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4E" w:rsidRDefault="00A44598" w:rsidP="002352CB">
      <w:pPr>
        <w:pStyle w:val="PIheader"/>
        <w:outlineLvl w:val="0"/>
      </w:pPr>
      <w:bookmarkStart w:id="0" w:name="_GoBack"/>
      <w:bookmarkEnd w:id="0"/>
      <w:r w:rsidRPr="00A44598">
        <w:t>PRODUCT INFORMATION</w:t>
      </w:r>
    </w:p>
    <w:p w:rsidR="00A44598" w:rsidRDefault="00A44598" w:rsidP="00A44598">
      <w:pPr>
        <w:spacing w:after="0" w:line="240" w:lineRule="auto"/>
        <w:jc w:val="center"/>
        <w:rPr>
          <w:rFonts w:ascii="Arial" w:hAnsi="Arial" w:cs="Arial"/>
          <w:b/>
        </w:rPr>
      </w:pPr>
    </w:p>
    <w:p w:rsidR="00A44598" w:rsidRPr="008C23B6" w:rsidRDefault="00A44598" w:rsidP="00A44598">
      <w:pPr>
        <w:spacing w:after="0" w:line="240" w:lineRule="auto"/>
        <w:jc w:val="center"/>
        <w:rPr>
          <w:rStyle w:val="PIHeading1Char"/>
        </w:rPr>
      </w:pPr>
      <w:r w:rsidRPr="008C23B6">
        <w:rPr>
          <w:rStyle w:val="PIHeading1Char"/>
        </w:rPr>
        <w:t>XOFIGO</w:t>
      </w:r>
      <w:r w:rsidRPr="00786569">
        <w:rPr>
          <w:rFonts w:ascii="Arial" w:hAnsi="Arial" w:cs="Arial"/>
          <w:b/>
          <w:vertAlign w:val="superscript"/>
        </w:rPr>
        <w:t>®</w:t>
      </w:r>
      <w:r w:rsidR="00786569" w:rsidRPr="008C23B6">
        <w:rPr>
          <w:rStyle w:val="PIHeading1Char"/>
        </w:rPr>
        <w:t xml:space="preserve"> Solution for Injection</w:t>
      </w:r>
    </w:p>
    <w:p w:rsidR="00A44598" w:rsidRDefault="00A44598" w:rsidP="00A44598">
      <w:pPr>
        <w:spacing w:after="0" w:line="240" w:lineRule="auto"/>
        <w:jc w:val="center"/>
        <w:rPr>
          <w:rFonts w:ascii="Arial" w:hAnsi="Arial" w:cs="Arial"/>
          <w:lang w:eastAsia="en-AU"/>
        </w:rPr>
      </w:pPr>
    </w:p>
    <w:p w:rsidR="00A44598" w:rsidRDefault="00A44598" w:rsidP="00A44598">
      <w:pPr>
        <w:spacing w:after="0" w:line="240" w:lineRule="auto"/>
        <w:jc w:val="center"/>
        <w:rPr>
          <w:rFonts w:ascii="Arial" w:hAnsi="Arial" w:cs="Arial"/>
          <w:lang w:eastAsia="en-AU"/>
        </w:rPr>
      </w:pPr>
      <w:r>
        <w:rPr>
          <w:rFonts w:ascii="Arial" w:hAnsi="Arial" w:cs="Arial"/>
          <w:lang w:eastAsia="en-AU"/>
        </w:rPr>
        <w:t xml:space="preserve">Radium </w:t>
      </w:r>
      <w:r w:rsidR="005F6B92">
        <w:rPr>
          <w:rFonts w:ascii="Arial" w:hAnsi="Arial" w:cs="Arial"/>
          <w:lang w:eastAsia="en-AU"/>
        </w:rPr>
        <w:t>(223Ra)</w:t>
      </w:r>
      <w:r>
        <w:rPr>
          <w:rFonts w:ascii="Arial" w:hAnsi="Arial" w:cs="Arial"/>
          <w:lang w:eastAsia="en-AU"/>
        </w:rPr>
        <w:t xml:space="preserve"> dichloride</w:t>
      </w:r>
      <w:r w:rsidR="001458E8">
        <w:rPr>
          <w:rFonts w:ascii="Arial" w:hAnsi="Arial" w:cs="Arial"/>
          <w:lang w:eastAsia="en-AU"/>
        </w:rPr>
        <w:t xml:space="preserve"> 6.0 </w:t>
      </w:r>
      <w:proofErr w:type="spellStart"/>
      <w:r w:rsidR="001458E8">
        <w:rPr>
          <w:rFonts w:ascii="Arial" w:hAnsi="Arial" w:cs="Arial"/>
          <w:lang w:eastAsia="en-AU"/>
        </w:rPr>
        <w:t>MBq</w:t>
      </w:r>
      <w:proofErr w:type="spellEnd"/>
      <w:r w:rsidR="001458E8">
        <w:rPr>
          <w:rFonts w:ascii="Arial" w:hAnsi="Arial" w:cs="Arial"/>
          <w:lang w:eastAsia="en-AU"/>
        </w:rPr>
        <w:t>/6 mL</w:t>
      </w:r>
    </w:p>
    <w:p w:rsidR="00A44598" w:rsidRDefault="00A44598" w:rsidP="00A44598">
      <w:pPr>
        <w:spacing w:after="0" w:line="240" w:lineRule="auto"/>
        <w:jc w:val="center"/>
        <w:rPr>
          <w:rFonts w:ascii="Arial" w:hAnsi="Arial" w:cs="Arial"/>
          <w:lang w:eastAsia="en-AU"/>
        </w:rPr>
      </w:pPr>
    </w:p>
    <w:p w:rsidR="00A44598" w:rsidRDefault="00A44598" w:rsidP="00A44598">
      <w:pPr>
        <w:spacing w:after="0" w:line="240" w:lineRule="auto"/>
        <w:jc w:val="center"/>
        <w:rPr>
          <w:rFonts w:ascii="Arial" w:hAnsi="Arial" w:cs="Arial"/>
          <w:lang w:eastAsia="en-AU"/>
        </w:rPr>
      </w:pPr>
    </w:p>
    <w:p w:rsidR="00A44598" w:rsidRDefault="00A44598" w:rsidP="002352CB">
      <w:pPr>
        <w:pStyle w:val="PIHeading1"/>
        <w:outlineLvl w:val="0"/>
      </w:pPr>
      <w:r w:rsidRPr="00A44598">
        <w:t>NAME OF THE MEDICINE</w:t>
      </w:r>
    </w:p>
    <w:p w:rsidR="00A44598" w:rsidRDefault="00A44598" w:rsidP="00A44598">
      <w:pPr>
        <w:spacing w:after="0" w:line="240" w:lineRule="auto"/>
        <w:rPr>
          <w:rFonts w:ascii="Arial" w:hAnsi="Arial" w:cs="Arial"/>
          <w:lang w:eastAsia="en-AU"/>
        </w:rPr>
      </w:pPr>
    </w:p>
    <w:p w:rsidR="00701644" w:rsidRDefault="00701644" w:rsidP="00E02770">
      <w:pPr>
        <w:tabs>
          <w:tab w:val="left" w:pos="3119"/>
        </w:tabs>
        <w:spacing w:before="120" w:after="0" w:line="240" w:lineRule="auto"/>
        <w:ind w:left="3119" w:hanging="3119"/>
        <w:rPr>
          <w:rFonts w:ascii="Arial" w:hAnsi="Arial" w:cs="Arial"/>
          <w:lang w:eastAsia="en-AU"/>
        </w:rPr>
      </w:pPr>
      <w:r>
        <w:rPr>
          <w:rFonts w:ascii="Arial" w:hAnsi="Arial" w:cs="Arial"/>
          <w:lang w:eastAsia="en-AU"/>
        </w:rPr>
        <w:t>Australian Approved Name:</w:t>
      </w:r>
      <w:r>
        <w:rPr>
          <w:rFonts w:ascii="Arial" w:hAnsi="Arial" w:cs="Arial"/>
          <w:lang w:eastAsia="en-AU"/>
        </w:rPr>
        <w:tab/>
        <w:t xml:space="preserve">Radium </w:t>
      </w:r>
      <w:r w:rsidR="00E656D0">
        <w:rPr>
          <w:rFonts w:ascii="Arial" w:hAnsi="Arial" w:cs="Arial"/>
          <w:lang w:eastAsia="en-AU"/>
        </w:rPr>
        <w:t>(223Ra)</w:t>
      </w:r>
      <w:r>
        <w:rPr>
          <w:rFonts w:ascii="Arial" w:hAnsi="Arial" w:cs="Arial"/>
          <w:lang w:eastAsia="en-AU"/>
        </w:rPr>
        <w:t xml:space="preserve"> dichloride </w:t>
      </w:r>
    </w:p>
    <w:p w:rsidR="00701644" w:rsidRPr="00701644" w:rsidRDefault="00701644" w:rsidP="00621829">
      <w:pPr>
        <w:tabs>
          <w:tab w:val="left" w:pos="3119"/>
        </w:tabs>
        <w:autoSpaceDE w:val="0"/>
        <w:autoSpaceDN w:val="0"/>
        <w:adjustRightInd w:val="0"/>
        <w:spacing w:before="120" w:after="0" w:line="240" w:lineRule="auto"/>
        <w:ind w:left="3119" w:hanging="3119"/>
        <w:rPr>
          <w:rFonts w:ascii="Arial" w:hAnsi="Arial" w:cs="Arial"/>
          <w:lang w:eastAsia="en-AU"/>
        </w:rPr>
      </w:pPr>
      <w:r w:rsidRPr="00701644">
        <w:rPr>
          <w:rFonts w:ascii="Arial" w:hAnsi="Arial" w:cs="Arial"/>
          <w:lang w:eastAsia="en-AU"/>
        </w:rPr>
        <w:t xml:space="preserve">Structural </w:t>
      </w:r>
      <w:r w:rsidR="00621829">
        <w:rPr>
          <w:rFonts w:ascii="Arial" w:hAnsi="Arial" w:cs="Arial"/>
          <w:lang w:eastAsia="en-AU"/>
        </w:rPr>
        <w:t>F</w:t>
      </w:r>
      <w:r w:rsidRPr="00701644">
        <w:rPr>
          <w:rFonts w:ascii="Arial" w:hAnsi="Arial" w:cs="Arial"/>
          <w:lang w:eastAsia="en-AU"/>
        </w:rPr>
        <w:t>ormula</w:t>
      </w:r>
      <w:r>
        <w:rPr>
          <w:rFonts w:ascii="Arial" w:hAnsi="Arial" w:cs="Arial"/>
          <w:lang w:eastAsia="en-AU"/>
        </w:rPr>
        <w:t>:</w:t>
      </w:r>
      <w:r>
        <w:rPr>
          <w:rFonts w:ascii="Arial" w:hAnsi="Arial" w:cs="Arial"/>
          <w:lang w:eastAsia="en-AU"/>
        </w:rPr>
        <w:tab/>
      </w:r>
      <w:r w:rsidRPr="00701644">
        <w:rPr>
          <w:rFonts w:ascii="Arial" w:hAnsi="Arial" w:cs="Arial"/>
          <w:lang w:eastAsia="en-AU"/>
        </w:rPr>
        <w:t xml:space="preserve">The active moiety of the </w:t>
      </w:r>
      <w:r w:rsidR="00E02770">
        <w:rPr>
          <w:rFonts w:ascii="Arial" w:hAnsi="Arial" w:cs="Arial"/>
          <w:lang w:eastAsia="en-AU"/>
        </w:rPr>
        <w:t>r</w:t>
      </w:r>
      <w:r w:rsidR="00621829">
        <w:rPr>
          <w:rFonts w:ascii="Arial" w:hAnsi="Arial" w:cs="Arial"/>
          <w:lang w:eastAsia="en-AU"/>
        </w:rPr>
        <w:t xml:space="preserve">adium </w:t>
      </w:r>
      <w:r w:rsidR="005F6B92">
        <w:rPr>
          <w:rFonts w:ascii="Arial" w:hAnsi="Arial" w:cs="Arial"/>
          <w:lang w:eastAsia="en-AU"/>
        </w:rPr>
        <w:t>(</w:t>
      </w:r>
      <w:r w:rsidR="00621829">
        <w:rPr>
          <w:rFonts w:ascii="Arial" w:hAnsi="Arial" w:cs="Arial"/>
          <w:lang w:eastAsia="en-AU"/>
        </w:rPr>
        <w:t>223</w:t>
      </w:r>
      <w:r w:rsidR="005F6B92">
        <w:rPr>
          <w:rFonts w:ascii="Arial" w:hAnsi="Arial" w:cs="Arial"/>
          <w:lang w:eastAsia="en-AU"/>
        </w:rPr>
        <w:t>Ra)</w:t>
      </w:r>
      <w:r w:rsidR="00621829">
        <w:rPr>
          <w:rFonts w:ascii="Arial" w:hAnsi="Arial" w:cs="Arial"/>
          <w:lang w:eastAsia="en-AU"/>
        </w:rPr>
        <w:t xml:space="preserve"> dichloride </w:t>
      </w:r>
      <w:r w:rsidRPr="00701644">
        <w:rPr>
          <w:rFonts w:ascii="Arial" w:hAnsi="Arial" w:cs="Arial"/>
          <w:lang w:eastAsia="en-AU"/>
        </w:rPr>
        <w:t>drug substance</w:t>
      </w:r>
      <w:r>
        <w:rPr>
          <w:rFonts w:ascii="Arial" w:hAnsi="Arial" w:cs="Arial"/>
          <w:lang w:eastAsia="en-AU"/>
        </w:rPr>
        <w:t xml:space="preserve"> </w:t>
      </w:r>
      <w:r w:rsidRPr="00701644">
        <w:rPr>
          <w:rFonts w:ascii="Arial" w:hAnsi="Arial" w:cs="Arial"/>
          <w:lang w:eastAsia="en-AU"/>
        </w:rPr>
        <w:t xml:space="preserve">is the divalent </w:t>
      </w:r>
      <w:proofErr w:type="spellStart"/>
      <w:r w:rsidRPr="00701644">
        <w:rPr>
          <w:rFonts w:ascii="Arial" w:hAnsi="Arial" w:cs="Arial"/>
          <w:lang w:eastAsia="en-AU"/>
        </w:rPr>
        <w:t>cation</w:t>
      </w:r>
      <w:proofErr w:type="spellEnd"/>
      <w:r w:rsidRPr="00701644">
        <w:rPr>
          <w:rFonts w:ascii="Arial" w:hAnsi="Arial" w:cs="Arial"/>
          <w:lang w:eastAsia="en-AU"/>
        </w:rPr>
        <w:t xml:space="preserve"> of radium-223</w:t>
      </w:r>
      <w:r w:rsidR="00621829">
        <w:rPr>
          <w:rFonts w:ascii="Arial" w:hAnsi="Arial" w:cs="Arial"/>
          <w:lang w:eastAsia="en-AU"/>
        </w:rPr>
        <w:t xml:space="preserve"> (</w:t>
      </w:r>
      <w:r w:rsidRPr="00621829">
        <w:rPr>
          <w:rFonts w:ascii="Arial" w:hAnsi="Arial" w:cs="Arial"/>
          <w:vertAlign w:val="superscript"/>
          <w:lang w:eastAsia="en-AU"/>
        </w:rPr>
        <w:t>223</w:t>
      </w:r>
      <w:r w:rsidRPr="00701644">
        <w:rPr>
          <w:rFonts w:ascii="Arial" w:hAnsi="Arial" w:cs="Arial"/>
          <w:lang w:eastAsia="en-AU"/>
        </w:rPr>
        <w:t>Ra</w:t>
      </w:r>
      <w:r w:rsidRPr="00621829">
        <w:rPr>
          <w:rFonts w:ascii="Arial" w:hAnsi="Arial" w:cs="Arial"/>
          <w:vertAlign w:val="superscript"/>
          <w:lang w:eastAsia="en-AU"/>
        </w:rPr>
        <w:t>2+</w:t>
      </w:r>
      <w:r w:rsidR="00621829" w:rsidRPr="00621829">
        <w:rPr>
          <w:rFonts w:ascii="Arial" w:hAnsi="Arial" w:cs="Arial"/>
          <w:lang w:eastAsia="en-AU"/>
        </w:rPr>
        <w:t>)</w:t>
      </w:r>
      <w:r w:rsidRPr="00701644">
        <w:rPr>
          <w:rFonts w:ascii="Arial" w:hAnsi="Arial" w:cs="Arial"/>
          <w:lang w:eastAsia="en-AU"/>
        </w:rPr>
        <w:t>.</w:t>
      </w:r>
      <w:r>
        <w:rPr>
          <w:rFonts w:ascii="Arial" w:hAnsi="Arial" w:cs="Arial"/>
          <w:lang w:eastAsia="en-AU"/>
        </w:rPr>
        <w:t xml:space="preserve">  </w:t>
      </w:r>
    </w:p>
    <w:p w:rsidR="00701644" w:rsidRPr="00701644" w:rsidRDefault="00701644" w:rsidP="00621829">
      <w:pPr>
        <w:tabs>
          <w:tab w:val="left" w:pos="3119"/>
        </w:tabs>
        <w:spacing w:before="120" w:after="0" w:line="240" w:lineRule="auto"/>
        <w:ind w:left="3119" w:hanging="3119"/>
        <w:rPr>
          <w:rFonts w:ascii="Arial" w:hAnsi="Arial" w:cs="Arial"/>
          <w:lang w:eastAsia="en-AU"/>
        </w:rPr>
      </w:pPr>
      <w:r w:rsidRPr="00701644">
        <w:rPr>
          <w:rFonts w:ascii="Arial" w:hAnsi="Arial" w:cs="Arial"/>
          <w:lang w:eastAsia="en-AU"/>
        </w:rPr>
        <w:t xml:space="preserve">Molecular </w:t>
      </w:r>
      <w:r w:rsidR="00621829">
        <w:rPr>
          <w:rFonts w:ascii="Arial" w:hAnsi="Arial" w:cs="Arial"/>
          <w:lang w:eastAsia="en-AU"/>
        </w:rPr>
        <w:t>F</w:t>
      </w:r>
      <w:r w:rsidRPr="00701644">
        <w:rPr>
          <w:rFonts w:ascii="Arial" w:hAnsi="Arial" w:cs="Arial"/>
          <w:lang w:eastAsia="en-AU"/>
        </w:rPr>
        <w:t>ormula</w:t>
      </w:r>
      <w:r>
        <w:rPr>
          <w:rFonts w:ascii="Arial" w:hAnsi="Arial" w:cs="Arial"/>
          <w:lang w:eastAsia="en-AU"/>
        </w:rPr>
        <w:t>:</w:t>
      </w:r>
      <w:r>
        <w:rPr>
          <w:rFonts w:ascii="Arial" w:hAnsi="Arial" w:cs="Arial"/>
          <w:lang w:eastAsia="en-AU"/>
        </w:rPr>
        <w:tab/>
      </w:r>
      <w:r w:rsidRPr="00701644">
        <w:rPr>
          <w:rFonts w:ascii="Arial" w:hAnsi="Arial" w:cs="Arial"/>
          <w:vertAlign w:val="superscript"/>
          <w:lang w:eastAsia="en-AU"/>
        </w:rPr>
        <w:t>223</w:t>
      </w:r>
      <w:r w:rsidRPr="00701644">
        <w:rPr>
          <w:rFonts w:ascii="Arial" w:hAnsi="Arial" w:cs="Arial"/>
          <w:lang w:eastAsia="en-AU"/>
        </w:rPr>
        <w:t>RaCl</w:t>
      </w:r>
      <w:r w:rsidRPr="00701644">
        <w:rPr>
          <w:rFonts w:ascii="Arial" w:hAnsi="Arial" w:cs="Arial"/>
          <w:vertAlign w:val="subscript"/>
          <w:lang w:eastAsia="en-AU"/>
        </w:rPr>
        <w:t>2</w:t>
      </w:r>
      <w:r w:rsidR="00456D35">
        <w:rPr>
          <w:rFonts w:ascii="Arial" w:hAnsi="Arial" w:cs="Arial"/>
          <w:vertAlign w:val="subscript"/>
          <w:lang w:eastAsia="en-AU"/>
        </w:rPr>
        <w:t xml:space="preserve"> </w:t>
      </w:r>
    </w:p>
    <w:p w:rsidR="00D27BD3" w:rsidRDefault="00D27BD3" w:rsidP="00621829">
      <w:pPr>
        <w:tabs>
          <w:tab w:val="left" w:pos="3119"/>
        </w:tabs>
        <w:autoSpaceDE w:val="0"/>
        <w:autoSpaceDN w:val="0"/>
        <w:adjustRightInd w:val="0"/>
        <w:spacing w:before="120" w:after="0" w:line="240" w:lineRule="auto"/>
        <w:ind w:left="3119" w:hanging="3119"/>
        <w:rPr>
          <w:rFonts w:ascii="Arial" w:hAnsi="Arial" w:cs="Arial"/>
          <w:lang w:eastAsia="en-AU"/>
        </w:rPr>
      </w:pPr>
      <w:r>
        <w:rPr>
          <w:rFonts w:ascii="Arial" w:hAnsi="Arial" w:cs="Arial"/>
          <w:lang w:eastAsia="en-AU"/>
        </w:rPr>
        <w:t>Molecular Weight:</w:t>
      </w:r>
      <w:r>
        <w:rPr>
          <w:rFonts w:ascii="Arial" w:hAnsi="Arial" w:cs="Arial"/>
          <w:lang w:eastAsia="en-AU"/>
        </w:rPr>
        <w:tab/>
        <w:t>293.9 g/</w:t>
      </w:r>
      <w:proofErr w:type="spellStart"/>
      <w:r>
        <w:rPr>
          <w:rFonts w:ascii="Arial" w:hAnsi="Arial" w:cs="Arial"/>
          <w:lang w:eastAsia="en-AU"/>
        </w:rPr>
        <w:t>mol</w:t>
      </w:r>
      <w:proofErr w:type="spellEnd"/>
    </w:p>
    <w:p w:rsidR="00701644" w:rsidRPr="00701644" w:rsidRDefault="00621829" w:rsidP="00621829">
      <w:pPr>
        <w:tabs>
          <w:tab w:val="left" w:pos="3119"/>
        </w:tabs>
        <w:autoSpaceDE w:val="0"/>
        <w:autoSpaceDN w:val="0"/>
        <w:adjustRightInd w:val="0"/>
        <w:spacing w:before="120" w:after="0" w:line="240" w:lineRule="auto"/>
        <w:ind w:left="3119" w:hanging="3119"/>
        <w:rPr>
          <w:rFonts w:ascii="Arial" w:hAnsi="Arial" w:cs="Arial"/>
          <w:lang w:eastAsia="en-AU"/>
        </w:rPr>
      </w:pPr>
      <w:r>
        <w:rPr>
          <w:rFonts w:ascii="Arial" w:hAnsi="Arial" w:cs="Arial"/>
          <w:lang w:eastAsia="en-AU"/>
        </w:rPr>
        <w:t>CAS N</w:t>
      </w:r>
      <w:r w:rsidR="00701644" w:rsidRPr="00701644">
        <w:rPr>
          <w:rFonts w:ascii="Arial" w:hAnsi="Arial" w:cs="Arial"/>
          <w:lang w:eastAsia="en-AU"/>
        </w:rPr>
        <w:t>ame</w:t>
      </w:r>
      <w:r w:rsidR="00701644">
        <w:rPr>
          <w:rFonts w:ascii="Arial" w:hAnsi="Arial" w:cs="Arial"/>
          <w:lang w:eastAsia="en-AU"/>
        </w:rPr>
        <w:t>:</w:t>
      </w:r>
      <w:r w:rsidR="00701644">
        <w:rPr>
          <w:rFonts w:ascii="Arial" w:hAnsi="Arial" w:cs="Arial"/>
          <w:lang w:eastAsia="en-AU"/>
        </w:rPr>
        <w:tab/>
      </w:r>
      <w:r w:rsidR="00701644" w:rsidRPr="00701644">
        <w:rPr>
          <w:rFonts w:ascii="Arial" w:hAnsi="Arial" w:cs="Arial"/>
          <w:lang w:eastAsia="en-AU"/>
        </w:rPr>
        <w:t>Radium-223 chloride (</w:t>
      </w:r>
      <w:r w:rsidR="00701644" w:rsidRPr="00701644">
        <w:rPr>
          <w:rFonts w:ascii="Arial" w:hAnsi="Arial" w:cs="Arial"/>
          <w:vertAlign w:val="superscript"/>
          <w:lang w:eastAsia="en-AU"/>
        </w:rPr>
        <w:t>223</w:t>
      </w:r>
      <w:r w:rsidR="00701644" w:rsidRPr="00701644">
        <w:rPr>
          <w:rFonts w:ascii="Arial" w:hAnsi="Arial" w:cs="Arial"/>
          <w:lang w:eastAsia="en-AU"/>
        </w:rPr>
        <w:t>RaCl</w:t>
      </w:r>
      <w:r w:rsidR="00701644" w:rsidRPr="00701644">
        <w:rPr>
          <w:rFonts w:ascii="Arial" w:hAnsi="Arial" w:cs="Arial"/>
          <w:vertAlign w:val="subscript"/>
          <w:lang w:eastAsia="en-AU"/>
        </w:rPr>
        <w:t>2</w:t>
      </w:r>
      <w:r w:rsidR="00701644" w:rsidRPr="00701644">
        <w:rPr>
          <w:rFonts w:ascii="Arial" w:hAnsi="Arial" w:cs="Arial"/>
          <w:lang w:eastAsia="en-AU"/>
        </w:rPr>
        <w:t>)</w:t>
      </w:r>
    </w:p>
    <w:p w:rsidR="00701644" w:rsidRDefault="00621829" w:rsidP="00621829">
      <w:pPr>
        <w:tabs>
          <w:tab w:val="left" w:pos="3119"/>
        </w:tabs>
        <w:spacing w:before="120" w:after="0" w:line="240" w:lineRule="auto"/>
        <w:ind w:left="3119" w:hanging="3119"/>
        <w:rPr>
          <w:rFonts w:ascii="Arial" w:hAnsi="Arial" w:cs="Arial"/>
          <w:lang w:eastAsia="en-AU"/>
        </w:rPr>
      </w:pPr>
      <w:r>
        <w:rPr>
          <w:rFonts w:ascii="Arial" w:hAnsi="Arial" w:cs="Arial"/>
          <w:lang w:eastAsia="en-AU"/>
        </w:rPr>
        <w:t>CAS N</w:t>
      </w:r>
      <w:r w:rsidR="00701644" w:rsidRPr="00701644">
        <w:rPr>
          <w:rFonts w:ascii="Arial" w:hAnsi="Arial" w:cs="Arial"/>
          <w:lang w:eastAsia="en-AU"/>
        </w:rPr>
        <w:t>umber</w:t>
      </w:r>
      <w:r w:rsidR="00701644">
        <w:rPr>
          <w:rFonts w:ascii="Arial" w:hAnsi="Arial" w:cs="Arial"/>
          <w:lang w:eastAsia="en-AU"/>
        </w:rPr>
        <w:t>:</w:t>
      </w:r>
      <w:r w:rsidR="00701644" w:rsidRPr="00701644">
        <w:rPr>
          <w:rFonts w:ascii="Arial" w:hAnsi="Arial" w:cs="Arial"/>
          <w:lang w:eastAsia="en-AU"/>
        </w:rPr>
        <w:t xml:space="preserve"> </w:t>
      </w:r>
      <w:r w:rsidR="00701644">
        <w:rPr>
          <w:rFonts w:ascii="Arial" w:hAnsi="Arial" w:cs="Arial"/>
          <w:lang w:eastAsia="en-AU"/>
        </w:rPr>
        <w:tab/>
      </w:r>
      <w:r w:rsidR="00701644" w:rsidRPr="00701644">
        <w:rPr>
          <w:rFonts w:ascii="Arial" w:hAnsi="Arial" w:cs="Arial"/>
          <w:lang w:eastAsia="en-AU"/>
        </w:rPr>
        <w:t>444811-40-9</w:t>
      </w:r>
    </w:p>
    <w:p w:rsidR="00A44598" w:rsidRDefault="00A44598" w:rsidP="00701644">
      <w:pPr>
        <w:tabs>
          <w:tab w:val="left" w:pos="2835"/>
        </w:tabs>
        <w:spacing w:after="0" w:line="240" w:lineRule="auto"/>
        <w:ind w:left="2835" w:hanging="2835"/>
        <w:rPr>
          <w:rFonts w:ascii="Arial" w:hAnsi="Arial" w:cs="Arial"/>
        </w:rPr>
      </w:pPr>
    </w:p>
    <w:p w:rsidR="00786569" w:rsidRDefault="00786569" w:rsidP="00701644">
      <w:pPr>
        <w:tabs>
          <w:tab w:val="left" w:pos="2835"/>
        </w:tabs>
        <w:spacing w:after="0" w:line="240" w:lineRule="auto"/>
        <w:ind w:left="2835" w:hanging="2835"/>
        <w:rPr>
          <w:rFonts w:ascii="Arial" w:hAnsi="Arial" w:cs="Arial"/>
        </w:rPr>
      </w:pPr>
    </w:p>
    <w:p w:rsidR="00786569" w:rsidRDefault="00786569" w:rsidP="002352CB">
      <w:pPr>
        <w:pStyle w:val="PIHeading1"/>
        <w:outlineLvl w:val="0"/>
      </w:pPr>
      <w:r>
        <w:t>DESCRIPTION</w:t>
      </w:r>
    </w:p>
    <w:p w:rsidR="008D4A28" w:rsidRPr="00E02770" w:rsidRDefault="008D4A28" w:rsidP="008D4A28">
      <w:pPr>
        <w:pStyle w:val="BayerBodyTextFull"/>
        <w:spacing w:before="0" w:after="0"/>
        <w:rPr>
          <w:rFonts w:ascii="Arial" w:hAnsi="Arial" w:cs="Arial"/>
          <w:sz w:val="22"/>
          <w:szCs w:val="22"/>
        </w:rPr>
      </w:pPr>
    </w:p>
    <w:p w:rsidR="00E02770" w:rsidRDefault="008D4A28" w:rsidP="007E1D5F">
      <w:pPr>
        <w:pStyle w:val="BayerBodyTextFull"/>
        <w:spacing w:before="0" w:after="0"/>
        <w:jc w:val="both"/>
        <w:rPr>
          <w:rFonts w:ascii="Arial" w:hAnsi="Arial" w:cs="Arial"/>
          <w:sz w:val="22"/>
          <w:szCs w:val="22"/>
        </w:rPr>
      </w:pPr>
      <w:r w:rsidRPr="007E1D5F">
        <w:rPr>
          <w:rFonts w:ascii="Arial" w:hAnsi="Arial" w:cs="Arial"/>
          <w:caps/>
          <w:sz w:val="22"/>
          <w:szCs w:val="22"/>
        </w:rPr>
        <w:t>Xofigo</w:t>
      </w:r>
      <w:r>
        <w:rPr>
          <w:rFonts w:ascii="Arial" w:hAnsi="Arial" w:cs="Arial"/>
          <w:sz w:val="22"/>
          <w:szCs w:val="22"/>
        </w:rPr>
        <w:t xml:space="preserve"> is a c</w:t>
      </w:r>
      <w:r w:rsidRPr="008D4A28">
        <w:rPr>
          <w:rFonts w:ascii="Arial" w:hAnsi="Arial" w:cs="Arial"/>
          <w:sz w:val="22"/>
          <w:szCs w:val="22"/>
        </w:rPr>
        <w:t xml:space="preserve">lear, </w:t>
      </w:r>
      <w:proofErr w:type="spellStart"/>
      <w:r w:rsidRPr="008D4A28">
        <w:rPr>
          <w:rFonts w:ascii="Arial" w:hAnsi="Arial" w:cs="Arial"/>
          <w:sz w:val="22"/>
          <w:szCs w:val="22"/>
        </w:rPr>
        <w:t>colo</w:t>
      </w:r>
      <w:r>
        <w:rPr>
          <w:rFonts w:ascii="Arial" w:hAnsi="Arial" w:cs="Arial"/>
          <w:sz w:val="22"/>
          <w:szCs w:val="22"/>
        </w:rPr>
        <w:t>urless</w:t>
      </w:r>
      <w:proofErr w:type="spellEnd"/>
      <w:r>
        <w:rPr>
          <w:rFonts w:ascii="Arial" w:hAnsi="Arial" w:cs="Arial"/>
          <w:sz w:val="22"/>
          <w:szCs w:val="22"/>
        </w:rPr>
        <w:t xml:space="preserve"> and</w:t>
      </w:r>
      <w:r w:rsidRPr="008D4A28">
        <w:rPr>
          <w:rFonts w:ascii="Arial" w:hAnsi="Arial" w:cs="Arial"/>
          <w:sz w:val="22"/>
          <w:szCs w:val="22"/>
        </w:rPr>
        <w:t xml:space="preserve"> sterile isotonic solution f</w:t>
      </w:r>
      <w:r>
        <w:rPr>
          <w:rFonts w:ascii="Arial" w:hAnsi="Arial" w:cs="Arial"/>
          <w:sz w:val="22"/>
          <w:szCs w:val="22"/>
        </w:rPr>
        <w:t xml:space="preserve">or injection with pH between 6 and 8. </w:t>
      </w:r>
      <w:r w:rsidRPr="008D4A28">
        <w:rPr>
          <w:rFonts w:ascii="Arial" w:hAnsi="Arial" w:cs="Arial"/>
          <w:sz w:val="22"/>
          <w:szCs w:val="22"/>
        </w:rPr>
        <w:t xml:space="preserve"> </w:t>
      </w:r>
      <w:r w:rsidR="00E02770" w:rsidRPr="00E02770">
        <w:rPr>
          <w:rFonts w:ascii="Arial" w:hAnsi="Arial" w:cs="Arial"/>
          <w:sz w:val="22"/>
          <w:szCs w:val="22"/>
        </w:rPr>
        <w:t>Each m</w:t>
      </w:r>
      <w:r w:rsidR="00E02770">
        <w:rPr>
          <w:rFonts w:ascii="Arial" w:hAnsi="Arial" w:cs="Arial"/>
          <w:sz w:val="22"/>
          <w:szCs w:val="22"/>
        </w:rPr>
        <w:t>L</w:t>
      </w:r>
      <w:r w:rsidR="00E02770" w:rsidRPr="00E02770">
        <w:rPr>
          <w:rFonts w:ascii="Arial" w:hAnsi="Arial" w:cs="Arial"/>
          <w:sz w:val="22"/>
          <w:szCs w:val="22"/>
        </w:rPr>
        <w:t xml:space="preserve"> of solution contains 1000 </w:t>
      </w:r>
      <w:proofErr w:type="spellStart"/>
      <w:r w:rsidR="00E02770" w:rsidRPr="00E02770">
        <w:rPr>
          <w:rFonts w:ascii="Arial" w:hAnsi="Arial" w:cs="Arial"/>
          <w:sz w:val="22"/>
          <w:szCs w:val="22"/>
        </w:rPr>
        <w:t>kBq</w:t>
      </w:r>
      <w:proofErr w:type="spellEnd"/>
      <w:r w:rsidR="00E02770" w:rsidRPr="00E02770">
        <w:rPr>
          <w:rFonts w:ascii="Arial" w:hAnsi="Arial" w:cs="Arial"/>
          <w:sz w:val="22"/>
          <w:szCs w:val="22"/>
        </w:rPr>
        <w:t xml:space="preserve"> radium </w:t>
      </w:r>
      <w:r w:rsidR="00DE1846">
        <w:rPr>
          <w:rFonts w:ascii="Arial" w:hAnsi="Arial" w:cs="Arial"/>
          <w:sz w:val="22"/>
          <w:szCs w:val="22"/>
        </w:rPr>
        <w:t>(223Ra)</w:t>
      </w:r>
      <w:r w:rsidR="00E02770" w:rsidRPr="00E02770">
        <w:rPr>
          <w:rFonts w:ascii="Arial" w:hAnsi="Arial" w:cs="Arial"/>
          <w:sz w:val="22"/>
          <w:szCs w:val="22"/>
        </w:rPr>
        <w:t xml:space="preserve"> dichloride (</w:t>
      </w:r>
      <w:r w:rsidR="00E02770">
        <w:rPr>
          <w:rFonts w:ascii="Arial" w:hAnsi="Arial" w:cs="Arial"/>
          <w:sz w:val="22"/>
          <w:szCs w:val="22"/>
        </w:rPr>
        <w:t>Ra</w:t>
      </w:r>
      <w:r w:rsidR="00E02770" w:rsidRPr="00E02770">
        <w:rPr>
          <w:rFonts w:ascii="Arial" w:hAnsi="Arial" w:cs="Arial"/>
          <w:sz w:val="22"/>
          <w:szCs w:val="22"/>
        </w:rPr>
        <w:t xml:space="preserve">-223 dichloride), corresponding to 0.53 ng </w:t>
      </w:r>
      <w:r w:rsidR="00931A51">
        <w:rPr>
          <w:rFonts w:ascii="Arial" w:hAnsi="Arial" w:cs="Arial"/>
          <w:sz w:val="22"/>
          <w:szCs w:val="22"/>
        </w:rPr>
        <w:t>Ra</w:t>
      </w:r>
      <w:r w:rsidR="00E02770" w:rsidRPr="00E02770">
        <w:rPr>
          <w:rFonts w:ascii="Arial" w:hAnsi="Arial" w:cs="Arial"/>
          <w:sz w:val="22"/>
          <w:szCs w:val="22"/>
        </w:rPr>
        <w:t xml:space="preserve">-223, at the reference date. </w:t>
      </w:r>
      <w:r w:rsidR="00E02770">
        <w:rPr>
          <w:rFonts w:ascii="Arial" w:hAnsi="Arial" w:cs="Arial"/>
          <w:sz w:val="22"/>
          <w:szCs w:val="22"/>
        </w:rPr>
        <w:t xml:space="preserve"> </w:t>
      </w:r>
      <w:r w:rsidR="00D27BD3">
        <w:rPr>
          <w:rFonts w:ascii="Arial" w:hAnsi="Arial" w:cs="Arial"/>
          <w:sz w:val="22"/>
          <w:szCs w:val="22"/>
        </w:rPr>
        <w:t>Radium is present in the solution as a free ion.</w:t>
      </w:r>
      <w:r w:rsidR="00DE1846" w:rsidRPr="00DE1846">
        <w:rPr>
          <w:rFonts w:ascii="Arial" w:hAnsi="Arial" w:cs="Arial"/>
          <w:sz w:val="22"/>
          <w:szCs w:val="22"/>
        </w:rPr>
        <w:t xml:space="preserve"> </w:t>
      </w:r>
      <w:r w:rsidR="00DE1846">
        <w:rPr>
          <w:rFonts w:ascii="Arial" w:hAnsi="Arial" w:cs="Arial"/>
          <w:sz w:val="22"/>
          <w:szCs w:val="22"/>
        </w:rPr>
        <w:t xml:space="preserve"> </w:t>
      </w:r>
      <w:r w:rsidR="00DE1846" w:rsidRPr="00931A51">
        <w:rPr>
          <w:rFonts w:ascii="Arial" w:hAnsi="Arial" w:cs="Arial"/>
          <w:sz w:val="22"/>
          <w:szCs w:val="22"/>
        </w:rPr>
        <w:t>The solution also contains hydrochloric acid, sodium chloride, sodium citrate and water for injections.</w:t>
      </w:r>
      <w:r w:rsidR="00FC434A">
        <w:rPr>
          <w:rFonts w:ascii="Arial" w:hAnsi="Arial" w:cs="Arial"/>
          <w:sz w:val="22"/>
          <w:szCs w:val="22"/>
        </w:rPr>
        <w:t xml:space="preserve">  </w:t>
      </w:r>
      <w:r w:rsidR="00D27BD3" w:rsidRPr="00E02770">
        <w:rPr>
          <w:rFonts w:ascii="Arial" w:hAnsi="Arial" w:cs="Arial"/>
          <w:sz w:val="22"/>
          <w:szCs w:val="22"/>
        </w:rPr>
        <w:t>Each vial contains 6 m</w:t>
      </w:r>
      <w:r w:rsidR="00D27BD3">
        <w:rPr>
          <w:rFonts w:ascii="Arial" w:hAnsi="Arial" w:cs="Arial"/>
          <w:sz w:val="22"/>
          <w:szCs w:val="22"/>
        </w:rPr>
        <w:t>L</w:t>
      </w:r>
      <w:r w:rsidR="00D27BD3" w:rsidRPr="00E02770">
        <w:rPr>
          <w:rFonts w:ascii="Arial" w:hAnsi="Arial" w:cs="Arial"/>
          <w:sz w:val="22"/>
          <w:szCs w:val="22"/>
        </w:rPr>
        <w:t xml:space="preserve"> of solution (6.0 </w:t>
      </w:r>
      <w:proofErr w:type="spellStart"/>
      <w:r w:rsidR="00D27BD3" w:rsidRPr="00E02770">
        <w:rPr>
          <w:rFonts w:ascii="Arial" w:hAnsi="Arial" w:cs="Arial"/>
          <w:sz w:val="22"/>
          <w:szCs w:val="22"/>
        </w:rPr>
        <w:t>MBq</w:t>
      </w:r>
      <w:proofErr w:type="spellEnd"/>
      <w:r w:rsidR="00D27BD3">
        <w:rPr>
          <w:rFonts w:ascii="Arial" w:hAnsi="Arial" w:cs="Arial"/>
          <w:sz w:val="22"/>
          <w:szCs w:val="22"/>
        </w:rPr>
        <w:t xml:space="preserve"> </w:t>
      </w:r>
      <w:r w:rsidR="00DE1846">
        <w:rPr>
          <w:rFonts w:ascii="Arial" w:hAnsi="Arial" w:cs="Arial"/>
          <w:sz w:val="22"/>
          <w:szCs w:val="22"/>
        </w:rPr>
        <w:t>Ra-223</w:t>
      </w:r>
      <w:r w:rsidR="00D27BD3" w:rsidRPr="00E02770">
        <w:rPr>
          <w:rFonts w:ascii="Arial" w:hAnsi="Arial" w:cs="Arial"/>
          <w:sz w:val="22"/>
          <w:szCs w:val="22"/>
        </w:rPr>
        <w:t xml:space="preserve"> at the reference date).</w:t>
      </w:r>
      <w:r w:rsidR="00D27BD3" w:rsidRPr="00931A51">
        <w:rPr>
          <w:rFonts w:ascii="Arial" w:hAnsi="Arial" w:cs="Arial"/>
          <w:sz w:val="22"/>
          <w:szCs w:val="22"/>
        </w:rPr>
        <w:t xml:space="preserve"> </w:t>
      </w:r>
      <w:r w:rsidR="00700C90">
        <w:rPr>
          <w:rFonts w:ascii="Arial" w:hAnsi="Arial" w:cs="Arial"/>
          <w:sz w:val="22"/>
          <w:szCs w:val="22"/>
        </w:rPr>
        <w:t xml:space="preserve"> </w:t>
      </w:r>
    </w:p>
    <w:p w:rsidR="00931A51" w:rsidRPr="00E02770" w:rsidRDefault="00931A51" w:rsidP="007E1D5F">
      <w:pPr>
        <w:pStyle w:val="BayerBodyTextFull"/>
        <w:spacing w:before="0" w:after="0"/>
        <w:jc w:val="both"/>
        <w:rPr>
          <w:rFonts w:ascii="Arial" w:hAnsi="Arial" w:cs="Arial"/>
          <w:sz w:val="22"/>
          <w:szCs w:val="22"/>
        </w:rPr>
      </w:pPr>
    </w:p>
    <w:p w:rsidR="00E02770" w:rsidRDefault="00931A51" w:rsidP="007E1D5F">
      <w:pPr>
        <w:pStyle w:val="BayerBodyTextFull"/>
        <w:spacing w:before="0" w:after="0"/>
        <w:jc w:val="both"/>
        <w:rPr>
          <w:rFonts w:ascii="Arial" w:hAnsi="Arial" w:cs="Arial"/>
          <w:sz w:val="22"/>
          <w:szCs w:val="22"/>
        </w:rPr>
      </w:pPr>
      <w:r>
        <w:rPr>
          <w:rFonts w:ascii="Arial" w:hAnsi="Arial" w:cs="Arial"/>
          <w:sz w:val="22"/>
          <w:szCs w:val="22"/>
        </w:rPr>
        <w:t>Ra</w:t>
      </w:r>
      <w:r w:rsidR="00E02770" w:rsidRPr="00E02770">
        <w:rPr>
          <w:rFonts w:ascii="Arial" w:hAnsi="Arial" w:cs="Arial"/>
          <w:sz w:val="22"/>
          <w:szCs w:val="22"/>
        </w:rPr>
        <w:t xml:space="preserve">-223 is an alpha particle-emitter with a half-life of 11.4 days. </w:t>
      </w:r>
      <w:r>
        <w:rPr>
          <w:rFonts w:ascii="Arial" w:hAnsi="Arial" w:cs="Arial"/>
          <w:sz w:val="22"/>
          <w:szCs w:val="22"/>
        </w:rPr>
        <w:t xml:space="preserve"> </w:t>
      </w:r>
      <w:r w:rsidR="00E02770" w:rsidRPr="00E02770">
        <w:rPr>
          <w:rFonts w:ascii="Arial" w:hAnsi="Arial" w:cs="Arial"/>
          <w:sz w:val="22"/>
          <w:szCs w:val="22"/>
        </w:rPr>
        <w:t xml:space="preserve">The specific activity of </w:t>
      </w:r>
      <w:r>
        <w:rPr>
          <w:rFonts w:ascii="Arial" w:hAnsi="Arial" w:cs="Arial"/>
          <w:sz w:val="22"/>
          <w:szCs w:val="22"/>
        </w:rPr>
        <w:t>Ra</w:t>
      </w:r>
      <w:r>
        <w:rPr>
          <w:rFonts w:ascii="Arial" w:hAnsi="Arial" w:cs="Arial"/>
          <w:sz w:val="22"/>
          <w:szCs w:val="22"/>
        </w:rPr>
        <w:noBreakHyphen/>
        <w:t xml:space="preserve">223 is 1.9 </w:t>
      </w:r>
      <w:proofErr w:type="spellStart"/>
      <w:r>
        <w:rPr>
          <w:rFonts w:ascii="Arial" w:hAnsi="Arial" w:cs="Arial"/>
          <w:sz w:val="22"/>
          <w:szCs w:val="22"/>
        </w:rPr>
        <w:t>MBq</w:t>
      </w:r>
      <w:proofErr w:type="spellEnd"/>
      <w:r w:rsidR="00E02770" w:rsidRPr="00E02770">
        <w:rPr>
          <w:rFonts w:ascii="Arial" w:hAnsi="Arial" w:cs="Arial"/>
          <w:sz w:val="22"/>
          <w:szCs w:val="22"/>
        </w:rPr>
        <w:t>/ng.</w:t>
      </w:r>
    </w:p>
    <w:p w:rsidR="00931A51" w:rsidRPr="00E02770" w:rsidRDefault="00931A51" w:rsidP="007E1D5F">
      <w:pPr>
        <w:pStyle w:val="BayerBodyTextFull"/>
        <w:spacing w:before="0" w:after="0"/>
        <w:jc w:val="both"/>
        <w:rPr>
          <w:rFonts w:ascii="Arial" w:hAnsi="Arial" w:cs="Arial"/>
          <w:sz w:val="22"/>
          <w:szCs w:val="22"/>
        </w:rPr>
      </w:pPr>
    </w:p>
    <w:p w:rsidR="00E02770" w:rsidRPr="00E02770" w:rsidRDefault="00E02770" w:rsidP="007E1D5F">
      <w:pPr>
        <w:pStyle w:val="BayerBodyTextFull"/>
        <w:spacing w:before="0" w:after="0"/>
        <w:jc w:val="both"/>
        <w:rPr>
          <w:rFonts w:ascii="Arial" w:hAnsi="Arial" w:cs="Arial"/>
          <w:sz w:val="22"/>
          <w:szCs w:val="22"/>
        </w:rPr>
      </w:pPr>
      <w:r w:rsidRPr="00E02770">
        <w:rPr>
          <w:rFonts w:ascii="Arial" w:hAnsi="Arial" w:cs="Arial"/>
          <w:sz w:val="22"/>
          <w:szCs w:val="22"/>
        </w:rPr>
        <w:t xml:space="preserve">The six-stage-decay of </w:t>
      </w:r>
      <w:r w:rsidR="00931A51">
        <w:rPr>
          <w:rFonts w:ascii="Arial" w:hAnsi="Arial" w:cs="Arial"/>
          <w:sz w:val="22"/>
          <w:szCs w:val="22"/>
        </w:rPr>
        <w:t>Ra</w:t>
      </w:r>
      <w:r w:rsidRPr="00E02770">
        <w:rPr>
          <w:rFonts w:ascii="Arial" w:hAnsi="Arial" w:cs="Arial"/>
          <w:sz w:val="22"/>
          <w:szCs w:val="22"/>
        </w:rPr>
        <w:t>-223 to lead-207 o</w:t>
      </w:r>
      <w:r w:rsidR="00931A51">
        <w:rPr>
          <w:rFonts w:ascii="Arial" w:hAnsi="Arial" w:cs="Arial"/>
          <w:sz w:val="22"/>
          <w:szCs w:val="22"/>
        </w:rPr>
        <w:t>ccurs via short-lived daughters</w:t>
      </w:r>
      <w:r w:rsidRPr="00E02770">
        <w:rPr>
          <w:rFonts w:ascii="Arial" w:hAnsi="Arial" w:cs="Arial"/>
          <w:sz w:val="22"/>
          <w:szCs w:val="22"/>
        </w:rPr>
        <w:t xml:space="preserve"> and is accompanied by a number of alpha, beta and gamma emissions with different energies and emission probabilities. </w:t>
      </w:r>
      <w:r w:rsidR="00931A51">
        <w:rPr>
          <w:rFonts w:ascii="Arial" w:hAnsi="Arial" w:cs="Arial"/>
          <w:sz w:val="22"/>
          <w:szCs w:val="22"/>
        </w:rPr>
        <w:t xml:space="preserve"> </w:t>
      </w:r>
      <w:r w:rsidRPr="00E02770">
        <w:rPr>
          <w:rFonts w:ascii="Arial" w:hAnsi="Arial" w:cs="Arial"/>
          <w:sz w:val="22"/>
          <w:szCs w:val="22"/>
        </w:rPr>
        <w:t xml:space="preserve">The fraction of energy emitted from </w:t>
      </w:r>
      <w:r w:rsidR="00931A51">
        <w:rPr>
          <w:rFonts w:ascii="Arial" w:hAnsi="Arial" w:cs="Arial"/>
          <w:sz w:val="22"/>
          <w:szCs w:val="22"/>
        </w:rPr>
        <w:t>Ra</w:t>
      </w:r>
      <w:r w:rsidRPr="00E02770">
        <w:rPr>
          <w:rFonts w:ascii="Arial" w:hAnsi="Arial" w:cs="Arial"/>
          <w:sz w:val="22"/>
          <w:szCs w:val="22"/>
        </w:rPr>
        <w:t>-223 and its daughters as alpha-particles is 95.3% (energy range of 5.0</w:t>
      </w:r>
      <w:r w:rsidR="00FB72E8" w:rsidRPr="00E02770">
        <w:rPr>
          <w:rFonts w:ascii="Arial" w:hAnsi="Arial" w:cs="Arial"/>
          <w:sz w:val="22"/>
          <w:szCs w:val="22"/>
        </w:rPr>
        <w:t xml:space="preserve"> - </w:t>
      </w:r>
      <w:r w:rsidRPr="00E02770">
        <w:rPr>
          <w:rFonts w:ascii="Arial" w:hAnsi="Arial" w:cs="Arial"/>
          <w:sz w:val="22"/>
          <w:szCs w:val="22"/>
        </w:rPr>
        <w:t>7.5 MeV).</w:t>
      </w:r>
      <w:r w:rsidR="00931A51">
        <w:rPr>
          <w:rFonts w:ascii="Arial" w:hAnsi="Arial" w:cs="Arial"/>
          <w:sz w:val="22"/>
          <w:szCs w:val="22"/>
        </w:rPr>
        <w:t xml:space="preserve"> </w:t>
      </w:r>
      <w:r w:rsidRPr="00E02770">
        <w:rPr>
          <w:rFonts w:ascii="Arial" w:hAnsi="Arial" w:cs="Arial"/>
          <w:sz w:val="22"/>
          <w:szCs w:val="22"/>
        </w:rPr>
        <w:t xml:space="preserve"> The fraction emitted as beta-particles is 3.6% (average energies are 0.445 MeV and 0.492 MeV), and the fraction emitted as gamma-radiation is 1.1% (energy range of 0.01 - 1.27 MeV).</w:t>
      </w:r>
    </w:p>
    <w:p w:rsidR="00786569" w:rsidRDefault="00786569" w:rsidP="00701644">
      <w:pPr>
        <w:tabs>
          <w:tab w:val="left" w:pos="2835"/>
        </w:tabs>
        <w:spacing w:after="0" w:line="240" w:lineRule="auto"/>
        <w:ind w:left="2835" w:hanging="2835"/>
        <w:rPr>
          <w:rFonts w:ascii="Arial" w:hAnsi="Arial" w:cs="Arial"/>
          <w:lang w:val="en-US"/>
        </w:rPr>
      </w:pPr>
    </w:p>
    <w:p w:rsidR="00FC434A" w:rsidRPr="00FC434A" w:rsidRDefault="00FC434A" w:rsidP="00701644">
      <w:pPr>
        <w:tabs>
          <w:tab w:val="left" w:pos="2835"/>
        </w:tabs>
        <w:spacing w:after="0" w:line="240" w:lineRule="auto"/>
        <w:ind w:left="2835" w:hanging="2835"/>
        <w:rPr>
          <w:rFonts w:ascii="Arial" w:hAnsi="Arial" w:cs="Arial"/>
          <w:b/>
          <w:lang w:val="en-US"/>
        </w:rPr>
      </w:pPr>
      <w:r>
        <w:rPr>
          <w:rFonts w:ascii="Arial" w:hAnsi="Arial" w:cs="Arial"/>
          <w:b/>
          <w:lang w:val="en-US"/>
        </w:rPr>
        <w:t>Figure 1: Radium-223 decay chain with physical half-lives and mode of decay:</w:t>
      </w:r>
    </w:p>
    <w:p w:rsidR="00A77224" w:rsidRDefault="005F48B2" w:rsidP="00F43776">
      <w:pPr>
        <w:tabs>
          <w:tab w:val="left" w:pos="2835"/>
        </w:tabs>
        <w:spacing w:before="120" w:after="0" w:line="240" w:lineRule="auto"/>
        <w:ind w:left="2835" w:hanging="2835"/>
        <w:rPr>
          <w:rFonts w:ascii="Arial" w:hAnsi="Arial" w:cs="Arial"/>
          <w:lang w:val="en-US"/>
        </w:rPr>
      </w:pPr>
      <w:r>
        <w:rPr>
          <w:rFonts w:ascii="Arial" w:hAnsi="Arial" w:cs="Arial"/>
          <w:noProof/>
          <w:lang w:eastAsia="en-AU"/>
        </w:rPr>
        <w:lastRenderedPageBreak/>
        <w:drawing>
          <wp:inline distT="0" distB="0" distL="0" distR="0">
            <wp:extent cx="4524375" cy="2552700"/>
            <wp:effectExtent l="0" t="0" r="9525" b="0"/>
            <wp:docPr id="1" name="Picture 1" descr="Radium-223 decay chain with physical half-lives and mode of dec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um-223 decay chain with physical half-lives and mode of decay"/>
                    <pic:cNvPicPr>
                      <a:picLocks noChangeAspect="1" noChangeArrowheads="1"/>
                    </pic:cNvPicPr>
                  </pic:nvPicPr>
                  <pic:blipFill>
                    <a:blip r:embed="rId16">
                      <a:extLst>
                        <a:ext uri="{28A0092B-C50C-407E-A947-70E740481C1C}">
                          <a14:useLocalDpi xmlns:a14="http://schemas.microsoft.com/office/drawing/2010/main" val="0"/>
                        </a:ext>
                      </a:extLst>
                    </a:blip>
                    <a:srcRect t="1833"/>
                    <a:stretch>
                      <a:fillRect/>
                    </a:stretch>
                  </pic:blipFill>
                  <pic:spPr bwMode="auto">
                    <a:xfrm>
                      <a:off x="0" y="0"/>
                      <a:ext cx="4524375" cy="2552700"/>
                    </a:xfrm>
                    <a:prstGeom prst="rect">
                      <a:avLst/>
                    </a:prstGeom>
                    <a:noFill/>
                    <a:ln>
                      <a:noFill/>
                    </a:ln>
                  </pic:spPr>
                </pic:pic>
              </a:graphicData>
            </a:graphic>
          </wp:inline>
        </w:drawing>
      </w:r>
    </w:p>
    <w:p w:rsidR="007E241E" w:rsidRDefault="007E241E" w:rsidP="00701644">
      <w:pPr>
        <w:tabs>
          <w:tab w:val="left" w:pos="2835"/>
        </w:tabs>
        <w:spacing w:after="0" w:line="240" w:lineRule="auto"/>
        <w:ind w:left="2835" w:hanging="2835"/>
        <w:rPr>
          <w:rFonts w:ascii="Arial" w:hAnsi="Arial" w:cs="Arial"/>
          <w:lang w:val="en-US"/>
        </w:rPr>
      </w:pPr>
    </w:p>
    <w:p w:rsidR="007E241E" w:rsidRDefault="007E241E" w:rsidP="002352CB">
      <w:pPr>
        <w:pStyle w:val="PIHeading1"/>
        <w:outlineLvl w:val="0"/>
        <w:rPr>
          <w:lang w:val="en-US"/>
        </w:rPr>
      </w:pPr>
      <w:r>
        <w:rPr>
          <w:lang w:val="en-US"/>
        </w:rPr>
        <w:t>PHARMACOLOGY</w:t>
      </w:r>
    </w:p>
    <w:p w:rsidR="00D27BD3" w:rsidRDefault="00D27BD3" w:rsidP="007E241E">
      <w:pPr>
        <w:pStyle w:val="BayerBodyTextFull"/>
        <w:spacing w:before="0" w:after="0"/>
        <w:rPr>
          <w:rFonts w:ascii="Arial" w:hAnsi="Arial" w:cs="Arial"/>
          <w:sz w:val="22"/>
          <w:szCs w:val="22"/>
        </w:rPr>
      </w:pPr>
    </w:p>
    <w:p w:rsidR="00D27BD3" w:rsidRPr="000E3147" w:rsidRDefault="00D27BD3" w:rsidP="002352CB">
      <w:pPr>
        <w:pStyle w:val="PIHeading2"/>
        <w:outlineLvl w:val="1"/>
      </w:pPr>
      <w:r w:rsidRPr="000E3147">
        <w:t>Mechanism of action</w:t>
      </w:r>
    </w:p>
    <w:p w:rsidR="00D27BD3" w:rsidRPr="00D27BD3" w:rsidRDefault="00D27BD3" w:rsidP="00D27BD3">
      <w:pPr>
        <w:pStyle w:val="BayerBodyTextFull"/>
        <w:keepNext/>
        <w:spacing w:before="0" w:after="0"/>
        <w:rPr>
          <w:rFonts w:ascii="Arial" w:hAnsi="Arial" w:cs="Arial"/>
          <w:sz w:val="22"/>
          <w:szCs w:val="22"/>
          <w:u w:val="single"/>
        </w:rPr>
      </w:pPr>
    </w:p>
    <w:p w:rsidR="007E241E" w:rsidRDefault="007E241E" w:rsidP="007E1D5F">
      <w:pPr>
        <w:pStyle w:val="BayerBodyTextFull"/>
        <w:spacing w:before="0" w:after="0"/>
        <w:jc w:val="both"/>
        <w:rPr>
          <w:rFonts w:ascii="Arial" w:hAnsi="Arial" w:cs="Arial"/>
          <w:sz w:val="22"/>
          <w:szCs w:val="22"/>
        </w:rPr>
      </w:pPr>
      <w:r w:rsidRPr="007E1D5F">
        <w:rPr>
          <w:rFonts w:ascii="Arial" w:hAnsi="Arial" w:cs="Arial"/>
          <w:caps/>
          <w:sz w:val="22"/>
          <w:szCs w:val="22"/>
        </w:rPr>
        <w:t>Xofigo</w:t>
      </w:r>
      <w:r w:rsidRPr="007E241E">
        <w:rPr>
          <w:rFonts w:ascii="Arial" w:hAnsi="Arial" w:cs="Arial"/>
          <w:sz w:val="22"/>
          <w:szCs w:val="22"/>
        </w:rPr>
        <w:t xml:space="preserve"> is a therapeutic alpha particle-emitting pharmaceutical with targeted anti-</w:t>
      </w:r>
      <w:proofErr w:type="spellStart"/>
      <w:r w:rsidRPr="007E241E">
        <w:rPr>
          <w:rFonts w:ascii="Arial" w:hAnsi="Arial" w:cs="Arial"/>
          <w:sz w:val="22"/>
          <w:szCs w:val="22"/>
        </w:rPr>
        <w:t>tumo</w:t>
      </w:r>
      <w:r>
        <w:rPr>
          <w:rFonts w:ascii="Arial" w:hAnsi="Arial" w:cs="Arial"/>
          <w:sz w:val="22"/>
          <w:szCs w:val="22"/>
        </w:rPr>
        <w:t>u</w:t>
      </w:r>
      <w:r w:rsidRPr="007E241E">
        <w:rPr>
          <w:rFonts w:ascii="Arial" w:hAnsi="Arial" w:cs="Arial"/>
          <w:sz w:val="22"/>
          <w:szCs w:val="22"/>
        </w:rPr>
        <w:t>r</w:t>
      </w:r>
      <w:proofErr w:type="spellEnd"/>
      <w:r w:rsidRPr="007E241E">
        <w:rPr>
          <w:rFonts w:ascii="Arial" w:hAnsi="Arial" w:cs="Arial"/>
          <w:sz w:val="22"/>
          <w:szCs w:val="22"/>
        </w:rPr>
        <w:t xml:space="preserve"> effect on bone metastases.</w:t>
      </w:r>
    </w:p>
    <w:p w:rsidR="007E241E" w:rsidRPr="007E241E" w:rsidRDefault="007E241E" w:rsidP="007E1D5F">
      <w:pPr>
        <w:pStyle w:val="BayerBodyTextFull"/>
        <w:spacing w:before="0" w:after="0"/>
        <w:jc w:val="both"/>
        <w:rPr>
          <w:rFonts w:ascii="Arial" w:hAnsi="Arial" w:cs="Arial"/>
          <w:sz w:val="22"/>
          <w:szCs w:val="22"/>
        </w:rPr>
      </w:pPr>
    </w:p>
    <w:p w:rsidR="007E241E" w:rsidRPr="007E241E" w:rsidRDefault="007E241E" w:rsidP="00D600E1">
      <w:pPr>
        <w:spacing w:after="0" w:line="240" w:lineRule="auto"/>
        <w:jc w:val="both"/>
        <w:rPr>
          <w:rFonts w:ascii="Arial" w:hAnsi="Arial" w:cs="Arial"/>
        </w:rPr>
      </w:pPr>
      <w:r w:rsidRPr="007E241E">
        <w:rPr>
          <w:rFonts w:ascii="Arial" w:hAnsi="Arial" w:cs="Arial"/>
        </w:rPr>
        <w:t xml:space="preserve">The active moiety of </w:t>
      </w:r>
      <w:r w:rsidRPr="007E1D5F">
        <w:rPr>
          <w:rFonts w:ascii="Arial" w:hAnsi="Arial" w:cs="Arial"/>
          <w:caps/>
        </w:rPr>
        <w:t>Xofigo</w:t>
      </w:r>
      <w:r w:rsidRPr="007E241E">
        <w:rPr>
          <w:rFonts w:ascii="Arial" w:hAnsi="Arial" w:cs="Arial"/>
        </w:rPr>
        <w:t xml:space="preserve"> is the isotope </w:t>
      </w:r>
      <w:r>
        <w:rPr>
          <w:rFonts w:ascii="Arial" w:hAnsi="Arial" w:cs="Arial"/>
        </w:rPr>
        <w:t>Ra</w:t>
      </w:r>
      <w:r w:rsidRPr="007E241E">
        <w:rPr>
          <w:rFonts w:ascii="Arial" w:hAnsi="Arial" w:cs="Arial"/>
        </w:rPr>
        <w:t xml:space="preserve">-223 (as </w:t>
      </w:r>
      <w:r>
        <w:rPr>
          <w:rFonts w:ascii="Arial" w:hAnsi="Arial" w:cs="Arial"/>
        </w:rPr>
        <w:t>Ra</w:t>
      </w:r>
      <w:r w:rsidRPr="007E241E">
        <w:rPr>
          <w:rFonts w:ascii="Arial" w:hAnsi="Arial" w:cs="Arial"/>
        </w:rPr>
        <w:t>-223 di</w:t>
      </w:r>
      <w:r>
        <w:rPr>
          <w:rFonts w:ascii="Arial" w:hAnsi="Arial" w:cs="Arial"/>
        </w:rPr>
        <w:t>chloride), which</w:t>
      </w:r>
      <w:r w:rsidRPr="007E241E">
        <w:rPr>
          <w:rFonts w:ascii="Arial" w:hAnsi="Arial" w:cs="Arial"/>
        </w:rPr>
        <w:t xml:space="preserve"> mimics calcium and selectively targets bone, specifically areas of bone metastases, by forming complexes with the bone mineral hydroxyapatite.</w:t>
      </w:r>
      <w:r>
        <w:rPr>
          <w:rFonts w:ascii="Arial" w:hAnsi="Arial" w:cs="Arial"/>
        </w:rPr>
        <w:t xml:space="preserve">  </w:t>
      </w:r>
      <w:r w:rsidR="00A961E1">
        <w:rPr>
          <w:rFonts w:ascii="Arial" w:hAnsi="Arial" w:cs="Arial"/>
        </w:rPr>
        <w:t xml:space="preserve"> </w:t>
      </w:r>
      <w:r w:rsidRPr="007E241E">
        <w:rPr>
          <w:rFonts w:ascii="Arial" w:hAnsi="Arial" w:cs="Arial"/>
        </w:rPr>
        <w:t xml:space="preserve">The high linear energy transfer of alpha emitters </w:t>
      </w:r>
      <w:proofErr w:type="gramStart"/>
      <w:r w:rsidRPr="007E241E">
        <w:rPr>
          <w:rFonts w:ascii="Arial" w:hAnsi="Arial" w:cs="Arial"/>
        </w:rPr>
        <w:t xml:space="preserve">(80 </w:t>
      </w:r>
      <w:proofErr w:type="spellStart"/>
      <w:r w:rsidRPr="007E241E">
        <w:rPr>
          <w:rFonts w:ascii="Arial" w:hAnsi="Arial" w:cs="Arial"/>
        </w:rPr>
        <w:t>keV</w:t>
      </w:r>
      <w:proofErr w:type="spellEnd"/>
      <w:r w:rsidRPr="007E241E">
        <w:rPr>
          <w:rFonts w:ascii="Arial" w:hAnsi="Arial" w:cs="Arial"/>
        </w:rPr>
        <w:t>/</w:t>
      </w:r>
      <w:proofErr w:type="spellStart"/>
      <w:r w:rsidRPr="007E241E">
        <w:rPr>
          <w:rFonts w:ascii="Arial" w:hAnsi="Arial" w:cs="Arial"/>
        </w:rPr>
        <w:t>micrometer</w:t>
      </w:r>
      <w:proofErr w:type="spellEnd"/>
      <w:r w:rsidRPr="007E241E">
        <w:rPr>
          <w:rFonts w:ascii="Arial" w:hAnsi="Arial" w:cs="Arial"/>
        </w:rPr>
        <w:t>)</w:t>
      </w:r>
      <w:proofErr w:type="gramEnd"/>
      <w:r w:rsidRPr="007E241E">
        <w:rPr>
          <w:rFonts w:ascii="Arial" w:hAnsi="Arial" w:cs="Arial"/>
        </w:rPr>
        <w:t xml:space="preserve"> leads to a high frequency of double-strand DNA breaks in adjacent cells, r</w:t>
      </w:r>
      <w:r>
        <w:rPr>
          <w:rFonts w:ascii="Arial" w:hAnsi="Arial" w:cs="Arial"/>
        </w:rPr>
        <w:t>esulting in a potent and localis</w:t>
      </w:r>
      <w:r w:rsidRPr="007E241E">
        <w:rPr>
          <w:rFonts w:ascii="Arial" w:hAnsi="Arial" w:cs="Arial"/>
        </w:rPr>
        <w:t>ed anti-tumo</w:t>
      </w:r>
      <w:r>
        <w:rPr>
          <w:rFonts w:ascii="Arial" w:hAnsi="Arial" w:cs="Arial"/>
        </w:rPr>
        <w:t>u</w:t>
      </w:r>
      <w:r w:rsidRPr="007E241E">
        <w:rPr>
          <w:rFonts w:ascii="Arial" w:hAnsi="Arial" w:cs="Arial"/>
        </w:rPr>
        <w:t xml:space="preserve">r effect. The alpha particle range from </w:t>
      </w:r>
      <w:r>
        <w:rPr>
          <w:rFonts w:ascii="Arial" w:hAnsi="Arial" w:cs="Arial"/>
        </w:rPr>
        <w:t>Ra</w:t>
      </w:r>
      <w:r w:rsidRPr="007E241E">
        <w:rPr>
          <w:rFonts w:ascii="Arial" w:hAnsi="Arial" w:cs="Arial"/>
        </w:rPr>
        <w:t xml:space="preserve">-223 is less than 100 </w:t>
      </w:r>
      <w:proofErr w:type="spellStart"/>
      <w:r w:rsidRPr="007E241E">
        <w:rPr>
          <w:rFonts w:ascii="Arial" w:hAnsi="Arial" w:cs="Arial"/>
        </w:rPr>
        <w:t>micrometers</w:t>
      </w:r>
      <w:proofErr w:type="spellEnd"/>
      <w:r w:rsidRPr="007E241E">
        <w:rPr>
          <w:rFonts w:ascii="Arial" w:hAnsi="Arial" w:cs="Arial"/>
        </w:rPr>
        <w:t xml:space="preserve"> (less than 10 cell diameters) which </w:t>
      </w:r>
      <w:r>
        <w:rPr>
          <w:rFonts w:ascii="Arial" w:hAnsi="Arial" w:cs="Arial"/>
        </w:rPr>
        <w:t>minimis</w:t>
      </w:r>
      <w:r w:rsidRPr="007E241E">
        <w:rPr>
          <w:rFonts w:ascii="Arial" w:hAnsi="Arial" w:cs="Arial"/>
        </w:rPr>
        <w:t>es damage to the surrounding normal tissue.</w:t>
      </w:r>
    </w:p>
    <w:p w:rsidR="007E241E" w:rsidRDefault="007E241E" w:rsidP="007E241E">
      <w:pPr>
        <w:pStyle w:val="BayerBodyTextFull"/>
        <w:spacing w:before="0" w:after="0"/>
        <w:rPr>
          <w:rFonts w:ascii="Arial" w:hAnsi="Arial" w:cs="Arial"/>
          <w:sz w:val="22"/>
          <w:szCs w:val="22"/>
        </w:rPr>
      </w:pPr>
    </w:p>
    <w:p w:rsidR="000E3147" w:rsidRPr="00D27BD3" w:rsidRDefault="000E3147" w:rsidP="002352CB">
      <w:pPr>
        <w:pStyle w:val="PIHeading2"/>
        <w:outlineLvl w:val="1"/>
      </w:pPr>
      <w:r w:rsidRPr="00D27BD3">
        <w:t>Pharmacodynamics</w:t>
      </w:r>
    </w:p>
    <w:p w:rsidR="00D27BD3" w:rsidRDefault="00D27BD3" w:rsidP="00D27BD3">
      <w:pPr>
        <w:pStyle w:val="BayerBodyTextFull"/>
        <w:keepNext/>
        <w:spacing w:before="0" w:after="0"/>
        <w:rPr>
          <w:rFonts w:ascii="Arial" w:hAnsi="Arial" w:cs="Arial"/>
          <w:sz w:val="22"/>
          <w:szCs w:val="22"/>
          <w:u w:val="single"/>
        </w:rPr>
      </w:pPr>
    </w:p>
    <w:p w:rsidR="007E241E" w:rsidRPr="007E241E" w:rsidRDefault="007E241E" w:rsidP="007E1D5F">
      <w:pPr>
        <w:pStyle w:val="BayerBodyTextFull"/>
        <w:spacing w:before="0" w:after="0"/>
        <w:jc w:val="both"/>
        <w:rPr>
          <w:rFonts w:ascii="Arial" w:hAnsi="Arial" w:cs="Arial"/>
          <w:sz w:val="22"/>
          <w:szCs w:val="22"/>
        </w:rPr>
      </w:pPr>
      <w:r w:rsidRPr="007E241E">
        <w:rPr>
          <w:rFonts w:ascii="Arial" w:hAnsi="Arial" w:cs="Arial"/>
          <w:sz w:val="22"/>
          <w:szCs w:val="22"/>
        </w:rPr>
        <w:t xml:space="preserve">Compared with placebo, there was a significant difference in </w:t>
      </w:r>
      <w:proofErr w:type="spellStart"/>
      <w:r w:rsidRPr="007E241E">
        <w:rPr>
          <w:rFonts w:ascii="Arial" w:hAnsi="Arial" w:cs="Arial"/>
          <w:sz w:val="22"/>
          <w:szCs w:val="22"/>
        </w:rPr>
        <w:t>favo</w:t>
      </w:r>
      <w:r>
        <w:rPr>
          <w:rFonts w:ascii="Arial" w:hAnsi="Arial" w:cs="Arial"/>
          <w:sz w:val="22"/>
          <w:szCs w:val="22"/>
        </w:rPr>
        <w:t>u</w:t>
      </w:r>
      <w:r w:rsidRPr="007E241E">
        <w:rPr>
          <w:rFonts w:ascii="Arial" w:hAnsi="Arial" w:cs="Arial"/>
          <w:sz w:val="22"/>
          <w:szCs w:val="22"/>
        </w:rPr>
        <w:t>r</w:t>
      </w:r>
      <w:proofErr w:type="spellEnd"/>
      <w:r w:rsidRPr="007E241E">
        <w:rPr>
          <w:rFonts w:ascii="Arial" w:hAnsi="Arial" w:cs="Arial"/>
          <w:sz w:val="22"/>
          <w:szCs w:val="22"/>
        </w:rPr>
        <w:t xml:space="preserve"> of </w:t>
      </w:r>
      <w:r w:rsidRPr="007E1D5F">
        <w:rPr>
          <w:rFonts w:ascii="Arial" w:hAnsi="Arial" w:cs="Arial"/>
          <w:caps/>
          <w:sz w:val="22"/>
          <w:szCs w:val="22"/>
        </w:rPr>
        <w:t>Xofigo</w:t>
      </w:r>
      <w:r w:rsidRPr="007E241E">
        <w:rPr>
          <w:rFonts w:ascii="Arial" w:hAnsi="Arial" w:cs="Arial"/>
          <w:sz w:val="22"/>
          <w:szCs w:val="22"/>
        </w:rPr>
        <w:t xml:space="preserve"> for all five serum biomarkers for bone turnove</w:t>
      </w:r>
      <w:r>
        <w:rPr>
          <w:rFonts w:ascii="Arial" w:hAnsi="Arial" w:cs="Arial"/>
          <w:sz w:val="22"/>
          <w:szCs w:val="22"/>
        </w:rPr>
        <w:t xml:space="preserve">r studied in a phase II </w:t>
      </w:r>
      <w:proofErr w:type="spellStart"/>
      <w:r>
        <w:rPr>
          <w:rFonts w:ascii="Arial" w:hAnsi="Arial" w:cs="Arial"/>
          <w:sz w:val="22"/>
          <w:szCs w:val="22"/>
        </w:rPr>
        <w:t>randomis</w:t>
      </w:r>
      <w:r w:rsidRPr="007E241E">
        <w:rPr>
          <w:rFonts w:ascii="Arial" w:hAnsi="Arial" w:cs="Arial"/>
          <w:sz w:val="22"/>
          <w:szCs w:val="22"/>
        </w:rPr>
        <w:t>ed</w:t>
      </w:r>
      <w:proofErr w:type="spellEnd"/>
      <w:r w:rsidRPr="007E241E">
        <w:rPr>
          <w:rFonts w:ascii="Arial" w:hAnsi="Arial" w:cs="Arial"/>
          <w:sz w:val="22"/>
          <w:szCs w:val="22"/>
        </w:rPr>
        <w:t xml:space="preserve"> study </w:t>
      </w:r>
      <w:r w:rsidR="002F24C6">
        <w:rPr>
          <w:rFonts w:ascii="Arial" w:hAnsi="Arial" w:cs="Arial"/>
          <w:sz w:val="22"/>
          <w:szCs w:val="22"/>
        </w:rPr>
        <w:t>[bone formation markers:</w:t>
      </w:r>
      <w:r w:rsidR="002F24C6" w:rsidRPr="007E241E">
        <w:rPr>
          <w:rFonts w:ascii="Arial" w:hAnsi="Arial" w:cs="Arial"/>
          <w:sz w:val="22"/>
          <w:szCs w:val="22"/>
        </w:rPr>
        <w:t xml:space="preserve"> </w:t>
      </w:r>
      <w:r w:rsidRPr="007E241E">
        <w:rPr>
          <w:rFonts w:ascii="Arial" w:hAnsi="Arial" w:cs="Arial"/>
          <w:sz w:val="22"/>
          <w:szCs w:val="22"/>
        </w:rPr>
        <w:t xml:space="preserve">bone alkaline phosphatase </w:t>
      </w:r>
      <w:r>
        <w:rPr>
          <w:rFonts w:ascii="Arial" w:hAnsi="Arial" w:cs="Arial"/>
          <w:sz w:val="22"/>
          <w:szCs w:val="22"/>
        </w:rPr>
        <w:t>(</w:t>
      </w:r>
      <w:r w:rsidRPr="007E241E">
        <w:rPr>
          <w:rFonts w:ascii="Arial" w:hAnsi="Arial" w:cs="Arial"/>
          <w:sz w:val="22"/>
          <w:szCs w:val="22"/>
        </w:rPr>
        <w:t>ALP</w:t>
      </w:r>
      <w:r>
        <w:rPr>
          <w:rFonts w:ascii="Arial" w:hAnsi="Arial" w:cs="Arial"/>
          <w:sz w:val="22"/>
          <w:szCs w:val="22"/>
        </w:rPr>
        <w:t>)</w:t>
      </w:r>
      <w:r w:rsidRPr="007E241E">
        <w:rPr>
          <w:rFonts w:ascii="Arial" w:hAnsi="Arial" w:cs="Arial"/>
          <w:sz w:val="22"/>
          <w:szCs w:val="22"/>
        </w:rPr>
        <w:t xml:space="preserve">, total ALP </w:t>
      </w:r>
      <w:r>
        <w:rPr>
          <w:rFonts w:ascii="Arial" w:hAnsi="Arial" w:cs="Arial"/>
          <w:sz w:val="22"/>
          <w:szCs w:val="22"/>
        </w:rPr>
        <w:t xml:space="preserve">and </w:t>
      </w:r>
      <w:proofErr w:type="spellStart"/>
      <w:r>
        <w:rPr>
          <w:rFonts w:ascii="Arial" w:hAnsi="Arial" w:cs="Arial"/>
          <w:sz w:val="22"/>
          <w:szCs w:val="22"/>
        </w:rPr>
        <w:t>procollagen</w:t>
      </w:r>
      <w:proofErr w:type="spellEnd"/>
      <w:r>
        <w:rPr>
          <w:rFonts w:ascii="Arial" w:hAnsi="Arial" w:cs="Arial"/>
          <w:sz w:val="22"/>
          <w:szCs w:val="22"/>
        </w:rPr>
        <w:t xml:space="preserve"> I N </w:t>
      </w:r>
      <w:proofErr w:type="spellStart"/>
      <w:r>
        <w:rPr>
          <w:rFonts w:ascii="Arial" w:hAnsi="Arial" w:cs="Arial"/>
          <w:sz w:val="22"/>
          <w:szCs w:val="22"/>
        </w:rPr>
        <w:t>propeptide</w:t>
      </w:r>
      <w:proofErr w:type="spellEnd"/>
      <w:r>
        <w:rPr>
          <w:rFonts w:ascii="Arial" w:hAnsi="Arial" w:cs="Arial"/>
          <w:sz w:val="22"/>
          <w:szCs w:val="22"/>
        </w:rPr>
        <w:t xml:space="preserve"> (</w:t>
      </w:r>
      <w:r w:rsidRPr="007E241E">
        <w:rPr>
          <w:rFonts w:ascii="Arial" w:hAnsi="Arial" w:cs="Arial"/>
          <w:sz w:val="22"/>
          <w:szCs w:val="22"/>
        </w:rPr>
        <w:t>PINP</w:t>
      </w:r>
      <w:r>
        <w:rPr>
          <w:rFonts w:ascii="Arial" w:hAnsi="Arial" w:cs="Arial"/>
          <w:sz w:val="22"/>
          <w:szCs w:val="22"/>
        </w:rPr>
        <w:t xml:space="preserve">); and </w:t>
      </w:r>
      <w:r w:rsidRPr="007E241E">
        <w:rPr>
          <w:rFonts w:ascii="Arial" w:hAnsi="Arial" w:cs="Arial"/>
          <w:sz w:val="22"/>
          <w:szCs w:val="22"/>
        </w:rPr>
        <w:t xml:space="preserve">bone </w:t>
      </w:r>
      <w:proofErr w:type="spellStart"/>
      <w:r w:rsidRPr="007E241E">
        <w:rPr>
          <w:rFonts w:ascii="Arial" w:hAnsi="Arial" w:cs="Arial"/>
          <w:sz w:val="22"/>
          <w:szCs w:val="22"/>
        </w:rPr>
        <w:t>resorption</w:t>
      </w:r>
      <w:proofErr w:type="spellEnd"/>
      <w:r w:rsidRPr="007E241E">
        <w:rPr>
          <w:rFonts w:ascii="Arial" w:hAnsi="Arial" w:cs="Arial"/>
          <w:sz w:val="22"/>
          <w:szCs w:val="22"/>
        </w:rPr>
        <w:t xml:space="preserve"> markers</w:t>
      </w:r>
      <w:r w:rsidR="002F24C6">
        <w:rPr>
          <w:rFonts w:ascii="Arial" w:hAnsi="Arial" w:cs="Arial"/>
          <w:sz w:val="22"/>
          <w:szCs w:val="22"/>
        </w:rPr>
        <w:t>:</w:t>
      </w:r>
      <w:r w:rsidRPr="007E241E">
        <w:rPr>
          <w:rFonts w:ascii="Arial" w:hAnsi="Arial" w:cs="Arial"/>
          <w:sz w:val="22"/>
          <w:szCs w:val="22"/>
        </w:rPr>
        <w:t xml:space="preserve"> C-terminal crosslinking </w:t>
      </w:r>
      <w:proofErr w:type="spellStart"/>
      <w:r w:rsidRPr="007E241E">
        <w:rPr>
          <w:rFonts w:ascii="Arial" w:hAnsi="Arial" w:cs="Arial"/>
          <w:sz w:val="22"/>
          <w:szCs w:val="22"/>
        </w:rPr>
        <w:t>telopeptide</w:t>
      </w:r>
      <w:proofErr w:type="spellEnd"/>
      <w:r w:rsidRPr="007E241E">
        <w:rPr>
          <w:rFonts w:ascii="Arial" w:hAnsi="Arial" w:cs="Arial"/>
          <w:sz w:val="22"/>
          <w:szCs w:val="22"/>
        </w:rPr>
        <w:t xml:space="preserve"> of type I collagen </w:t>
      </w:r>
      <w:r w:rsidR="002F24C6">
        <w:rPr>
          <w:rFonts w:ascii="Arial" w:hAnsi="Arial" w:cs="Arial"/>
          <w:sz w:val="22"/>
          <w:szCs w:val="22"/>
        </w:rPr>
        <w:t>(S-CTX-I)</w:t>
      </w:r>
      <w:r w:rsidRPr="007E241E">
        <w:rPr>
          <w:rFonts w:ascii="Arial" w:hAnsi="Arial" w:cs="Arial"/>
          <w:sz w:val="22"/>
          <w:szCs w:val="22"/>
        </w:rPr>
        <w:t xml:space="preserve"> and type I collagen </w:t>
      </w:r>
      <w:proofErr w:type="spellStart"/>
      <w:r w:rsidRPr="007E241E">
        <w:rPr>
          <w:rFonts w:ascii="Arial" w:hAnsi="Arial" w:cs="Arial"/>
          <w:sz w:val="22"/>
          <w:szCs w:val="22"/>
        </w:rPr>
        <w:t>crosslinked</w:t>
      </w:r>
      <w:proofErr w:type="spellEnd"/>
      <w:r w:rsidRPr="007E241E">
        <w:rPr>
          <w:rFonts w:ascii="Arial" w:hAnsi="Arial" w:cs="Arial"/>
          <w:sz w:val="22"/>
          <w:szCs w:val="22"/>
        </w:rPr>
        <w:t xml:space="preserve"> C-</w:t>
      </w:r>
      <w:proofErr w:type="spellStart"/>
      <w:r w:rsidRPr="007E241E">
        <w:rPr>
          <w:rFonts w:ascii="Arial" w:hAnsi="Arial" w:cs="Arial"/>
          <w:sz w:val="22"/>
          <w:szCs w:val="22"/>
        </w:rPr>
        <w:t>telopeptide</w:t>
      </w:r>
      <w:proofErr w:type="spellEnd"/>
      <w:r w:rsidRPr="007E241E">
        <w:rPr>
          <w:rFonts w:ascii="Arial" w:hAnsi="Arial" w:cs="Arial"/>
          <w:sz w:val="22"/>
          <w:szCs w:val="22"/>
        </w:rPr>
        <w:t xml:space="preserve"> </w:t>
      </w:r>
      <w:r w:rsidR="002F24C6">
        <w:rPr>
          <w:rFonts w:ascii="Arial" w:hAnsi="Arial" w:cs="Arial"/>
          <w:sz w:val="22"/>
          <w:szCs w:val="22"/>
        </w:rPr>
        <w:t>(ICTP</w:t>
      </w:r>
      <w:r>
        <w:rPr>
          <w:rFonts w:ascii="Arial" w:hAnsi="Arial" w:cs="Arial"/>
          <w:sz w:val="22"/>
          <w:szCs w:val="22"/>
        </w:rPr>
        <w:t>)</w:t>
      </w:r>
      <w:r w:rsidR="002F24C6">
        <w:rPr>
          <w:rFonts w:ascii="Arial" w:hAnsi="Arial" w:cs="Arial"/>
          <w:sz w:val="22"/>
          <w:szCs w:val="22"/>
        </w:rPr>
        <w:t>]</w:t>
      </w:r>
      <w:r w:rsidRPr="007E241E">
        <w:rPr>
          <w:rFonts w:ascii="Arial" w:hAnsi="Arial" w:cs="Arial"/>
          <w:sz w:val="22"/>
          <w:szCs w:val="22"/>
        </w:rPr>
        <w:t>.</w:t>
      </w:r>
    </w:p>
    <w:p w:rsidR="007E241E" w:rsidRDefault="007E241E" w:rsidP="00701644">
      <w:pPr>
        <w:tabs>
          <w:tab w:val="left" w:pos="2835"/>
        </w:tabs>
        <w:spacing w:after="0" w:line="240" w:lineRule="auto"/>
        <w:ind w:left="2835" w:hanging="2835"/>
        <w:rPr>
          <w:rFonts w:ascii="Arial" w:hAnsi="Arial" w:cs="Arial"/>
          <w:lang w:val="en-US"/>
        </w:rPr>
      </w:pPr>
    </w:p>
    <w:p w:rsidR="00CA2A5B" w:rsidRPr="00CA2A5B" w:rsidRDefault="00CA2A5B" w:rsidP="002352CB">
      <w:pPr>
        <w:pStyle w:val="PIHeading2"/>
        <w:outlineLvl w:val="1"/>
      </w:pPr>
      <w:r>
        <w:t>Pharmacokinetics</w:t>
      </w:r>
    </w:p>
    <w:p w:rsidR="00CA2A5B" w:rsidRDefault="00CA2A5B" w:rsidP="00701644">
      <w:pPr>
        <w:tabs>
          <w:tab w:val="left" w:pos="2835"/>
        </w:tabs>
        <w:spacing w:after="0" w:line="240" w:lineRule="auto"/>
        <w:ind w:left="2835" w:hanging="2835"/>
        <w:rPr>
          <w:rFonts w:ascii="Arial" w:hAnsi="Arial" w:cs="Arial"/>
          <w:b/>
          <w:lang w:val="en-US"/>
        </w:rPr>
      </w:pPr>
    </w:p>
    <w:p w:rsidR="00CA2A5B" w:rsidRDefault="00CA2A5B" w:rsidP="007E1D5F">
      <w:pPr>
        <w:spacing w:after="0" w:line="240" w:lineRule="auto"/>
        <w:jc w:val="both"/>
        <w:rPr>
          <w:rFonts w:ascii="Arial" w:hAnsi="Arial" w:cs="Arial"/>
          <w:lang w:val="en-US"/>
        </w:rPr>
      </w:pPr>
      <w:r w:rsidRPr="00CA2A5B">
        <w:rPr>
          <w:rFonts w:ascii="Arial" w:hAnsi="Arial" w:cs="Arial"/>
          <w:lang w:val="en-US"/>
        </w:rPr>
        <w:t xml:space="preserve">Pharmacokinetic, </w:t>
      </w:r>
      <w:proofErr w:type="spellStart"/>
      <w:r w:rsidRPr="00CA2A5B">
        <w:rPr>
          <w:rFonts w:ascii="Arial" w:hAnsi="Arial" w:cs="Arial"/>
          <w:lang w:val="en-US"/>
        </w:rPr>
        <w:t>biodistribution</w:t>
      </w:r>
      <w:proofErr w:type="spellEnd"/>
      <w:r w:rsidRPr="00CA2A5B">
        <w:rPr>
          <w:rFonts w:ascii="Arial" w:hAnsi="Arial" w:cs="Arial"/>
          <w:lang w:val="en-US"/>
        </w:rPr>
        <w:t xml:space="preserve"> and </w:t>
      </w:r>
      <w:proofErr w:type="spellStart"/>
      <w:r w:rsidRPr="00CA2A5B">
        <w:rPr>
          <w:rFonts w:ascii="Arial" w:hAnsi="Arial" w:cs="Arial"/>
          <w:lang w:val="en-US"/>
        </w:rPr>
        <w:t>dosimetry</w:t>
      </w:r>
      <w:proofErr w:type="spellEnd"/>
      <w:r w:rsidRPr="00CA2A5B">
        <w:rPr>
          <w:rFonts w:ascii="Arial" w:hAnsi="Arial" w:cs="Arial"/>
          <w:lang w:val="en-US"/>
        </w:rPr>
        <w:t xml:space="preserve"> data ha</w:t>
      </w:r>
      <w:r>
        <w:rPr>
          <w:rFonts w:ascii="Arial" w:hAnsi="Arial" w:cs="Arial"/>
          <w:lang w:val="en-US"/>
        </w:rPr>
        <w:t>ve been obtained from three</w:t>
      </w:r>
      <w:r w:rsidRPr="00CA2A5B">
        <w:rPr>
          <w:rFonts w:ascii="Arial" w:hAnsi="Arial" w:cs="Arial"/>
          <w:lang w:val="en-US"/>
        </w:rPr>
        <w:t xml:space="preserve"> phase I studies.</w:t>
      </w:r>
      <w:r>
        <w:rPr>
          <w:rFonts w:ascii="Arial" w:hAnsi="Arial" w:cs="Arial"/>
          <w:lang w:val="en-US"/>
        </w:rPr>
        <w:t xml:space="preserve"> </w:t>
      </w:r>
      <w:r w:rsidRPr="00CA2A5B">
        <w:rPr>
          <w:rFonts w:ascii="Arial" w:hAnsi="Arial" w:cs="Arial"/>
          <w:lang w:val="en-US"/>
        </w:rPr>
        <w:t xml:space="preserve"> Pharmacokinetic data </w:t>
      </w:r>
      <w:r>
        <w:rPr>
          <w:rFonts w:ascii="Arial" w:hAnsi="Arial" w:cs="Arial"/>
          <w:lang w:val="en-US"/>
        </w:rPr>
        <w:t>were</w:t>
      </w:r>
      <w:r w:rsidRPr="00CA2A5B">
        <w:rPr>
          <w:rFonts w:ascii="Arial" w:hAnsi="Arial" w:cs="Arial"/>
          <w:lang w:val="en-US"/>
        </w:rPr>
        <w:t xml:space="preserve"> obtained in 25 patients </w:t>
      </w:r>
      <w:r>
        <w:rPr>
          <w:rFonts w:ascii="Arial" w:hAnsi="Arial" w:cs="Arial"/>
          <w:lang w:val="en-US"/>
        </w:rPr>
        <w:t>at doses ranging from 46 </w:t>
      </w:r>
      <w:proofErr w:type="gramStart"/>
      <w:r>
        <w:rPr>
          <w:rFonts w:ascii="Arial" w:hAnsi="Arial" w:cs="Arial"/>
          <w:lang w:val="en-US"/>
        </w:rPr>
        <w:t>to 250 </w:t>
      </w:r>
      <w:proofErr w:type="spellStart"/>
      <w:r w:rsidRPr="00CA2A5B">
        <w:rPr>
          <w:rFonts w:ascii="Arial" w:hAnsi="Arial" w:cs="Arial"/>
          <w:lang w:val="en-US"/>
        </w:rPr>
        <w:t>kBq</w:t>
      </w:r>
      <w:proofErr w:type="spellEnd"/>
      <w:r w:rsidRPr="00CA2A5B">
        <w:rPr>
          <w:rFonts w:ascii="Arial" w:hAnsi="Arial" w:cs="Arial"/>
          <w:lang w:val="en-US"/>
        </w:rPr>
        <w:t>/kg</w:t>
      </w:r>
      <w:proofErr w:type="gramEnd"/>
      <w:r w:rsidRPr="00CA2A5B">
        <w:rPr>
          <w:rFonts w:ascii="Arial" w:hAnsi="Arial" w:cs="Arial"/>
          <w:lang w:val="en-US"/>
        </w:rPr>
        <w:t xml:space="preserve">.  Pharmacokinetic, </w:t>
      </w:r>
      <w:proofErr w:type="spellStart"/>
      <w:r w:rsidRPr="00CA2A5B">
        <w:rPr>
          <w:rFonts w:ascii="Arial" w:hAnsi="Arial" w:cs="Arial"/>
          <w:lang w:val="en-US"/>
        </w:rPr>
        <w:t>biodistribution</w:t>
      </w:r>
      <w:proofErr w:type="spellEnd"/>
      <w:r w:rsidRPr="00CA2A5B">
        <w:rPr>
          <w:rFonts w:ascii="Arial" w:hAnsi="Arial" w:cs="Arial"/>
          <w:lang w:val="en-US"/>
        </w:rPr>
        <w:t xml:space="preserve"> and </w:t>
      </w:r>
      <w:proofErr w:type="spellStart"/>
      <w:r w:rsidRPr="00CA2A5B">
        <w:rPr>
          <w:rFonts w:ascii="Arial" w:hAnsi="Arial" w:cs="Arial"/>
          <w:lang w:val="en-US"/>
        </w:rPr>
        <w:t>dosimetry</w:t>
      </w:r>
      <w:proofErr w:type="spellEnd"/>
      <w:r w:rsidRPr="00CA2A5B">
        <w:rPr>
          <w:rFonts w:ascii="Arial" w:hAnsi="Arial" w:cs="Arial"/>
          <w:lang w:val="en-US"/>
        </w:rPr>
        <w:t xml:space="preserve"> data </w:t>
      </w:r>
      <w:r>
        <w:rPr>
          <w:rFonts w:ascii="Arial" w:hAnsi="Arial" w:cs="Arial"/>
          <w:lang w:val="en-US"/>
        </w:rPr>
        <w:t>were</w:t>
      </w:r>
      <w:r w:rsidRPr="00CA2A5B">
        <w:rPr>
          <w:rFonts w:ascii="Arial" w:hAnsi="Arial" w:cs="Arial"/>
          <w:lang w:val="en-US"/>
        </w:rPr>
        <w:t xml:space="preserve"> obtained in 6</w:t>
      </w:r>
      <w:r>
        <w:rPr>
          <w:rFonts w:ascii="Arial" w:hAnsi="Arial" w:cs="Arial"/>
          <w:lang w:val="en-US"/>
        </w:rPr>
        <w:t xml:space="preserve"> patients at a dose </w:t>
      </w:r>
      <w:proofErr w:type="gramStart"/>
      <w:r>
        <w:rPr>
          <w:rFonts w:ascii="Arial" w:hAnsi="Arial" w:cs="Arial"/>
          <w:lang w:val="en-US"/>
        </w:rPr>
        <w:t xml:space="preserve">of 100 </w:t>
      </w:r>
      <w:proofErr w:type="spellStart"/>
      <w:r>
        <w:rPr>
          <w:rFonts w:ascii="Arial" w:hAnsi="Arial" w:cs="Arial"/>
          <w:lang w:val="en-US"/>
        </w:rPr>
        <w:t>kBq</w:t>
      </w:r>
      <w:proofErr w:type="spellEnd"/>
      <w:r w:rsidRPr="00CA2A5B">
        <w:rPr>
          <w:rFonts w:ascii="Arial" w:hAnsi="Arial" w:cs="Arial"/>
          <w:lang w:val="en-US"/>
        </w:rPr>
        <w:t>/kg given twice, 6 weeks apart,</w:t>
      </w:r>
      <w:proofErr w:type="gramEnd"/>
      <w:r w:rsidRPr="00CA2A5B">
        <w:rPr>
          <w:rFonts w:ascii="Arial" w:hAnsi="Arial" w:cs="Arial"/>
          <w:lang w:val="en-US"/>
        </w:rPr>
        <w:t xml:space="preserve"> and in 10 patients at a dose of 50, 100 or 200 </w:t>
      </w:r>
      <w:proofErr w:type="spellStart"/>
      <w:r w:rsidRPr="00CA2A5B">
        <w:rPr>
          <w:rFonts w:ascii="Arial" w:hAnsi="Arial" w:cs="Arial"/>
          <w:lang w:val="en-US"/>
        </w:rPr>
        <w:t>kBq</w:t>
      </w:r>
      <w:proofErr w:type="spellEnd"/>
      <w:r w:rsidRPr="00CA2A5B">
        <w:rPr>
          <w:rFonts w:ascii="Arial" w:hAnsi="Arial" w:cs="Arial"/>
          <w:lang w:val="en-US"/>
        </w:rPr>
        <w:t xml:space="preserve">/kg. </w:t>
      </w:r>
    </w:p>
    <w:p w:rsidR="00F336AB" w:rsidRDefault="00F336AB" w:rsidP="007E1D5F">
      <w:pPr>
        <w:spacing w:after="0" w:line="240" w:lineRule="auto"/>
        <w:jc w:val="both"/>
        <w:rPr>
          <w:rFonts w:ascii="Arial" w:hAnsi="Arial" w:cs="Arial"/>
          <w:lang w:val="en-US"/>
        </w:rPr>
      </w:pPr>
    </w:p>
    <w:p w:rsidR="00F336AB" w:rsidRDefault="00F336AB" w:rsidP="007E1D5F">
      <w:pPr>
        <w:spacing w:after="0" w:line="240" w:lineRule="auto"/>
        <w:jc w:val="both"/>
        <w:rPr>
          <w:rFonts w:ascii="Arial" w:hAnsi="Arial" w:cs="Arial"/>
          <w:lang w:val="en-US"/>
        </w:rPr>
      </w:pPr>
      <w:r w:rsidRPr="00CA2A5B">
        <w:rPr>
          <w:rFonts w:ascii="Arial" w:hAnsi="Arial" w:cs="Arial"/>
          <w:lang w:val="en-US"/>
        </w:rPr>
        <w:t xml:space="preserve">The pharmacokinetics of </w:t>
      </w:r>
      <w:r>
        <w:rPr>
          <w:rFonts w:ascii="Arial" w:hAnsi="Arial" w:cs="Arial"/>
          <w:lang w:val="en-US"/>
        </w:rPr>
        <w:t>Ra</w:t>
      </w:r>
      <w:r w:rsidRPr="00CA2A5B">
        <w:rPr>
          <w:rFonts w:ascii="Arial" w:hAnsi="Arial" w:cs="Arial"/>
          <w:lang w:val="en-US"/>
        </w:rPr>
        <w:t xml:space="preserve">-223 dichloride </w:t>
      </w:r>
      <w:r>
        <w:rPr>
          <w:rFonts w:ascii="Arial" w:hAnsi="Arial" w:cs="Arial"/>
          <w:lang w:val="en-US"/>
        </w:rPr>
        <w:t>were</w:t>
      </w:r>
      <w:r w:rsidRPr="00CA2A5B">
        <w:rPr>
          <w:rFonts w:ascii="Arial" w:hAnsi="Arial" w:cs="Arial"/>
          <w:lang w:val="en-US"/>
        </w:rPr>
        <w:t xml:space="preserve"> linear in the dose ra</w:t>
      </w:r>
      <w:r>
        <w:rPr>
          <w:rFonts w:ascii="Arial" w:hAnsi="Arial" w:cs="Arial"/>
          <w:lang w:val="en-US"/>
        </w:rPr>
        <w:t xml:space="preserve">nge investigated (46 to 250 </w:t>
      </w:r>
      <w:proofErr w:type="spellStart"/>
      <w:r>
        <w:rPr>
          <w:rFonts w:ascii="Arial" w:hAnsi="Arial" w:cs="Arial"/>
          <w:lang w:val="en-US"/>
        </w:rPr>
        <w:t>kBq</w:t>
      </w:r>
      <w:proofErr w:type="spellEnd"/>
      <w:r>
        <w:rPr>
          <w:rFonts w:ascii="Arial" w:hAnsi="Arial" w:cs="Arial"/>
          <w:lang w:val="en-US"/>
        </w:rPr>
        <w:t xml:space="preserve">/kg).  </w:t>
      </w:r>
    </w:p>
    <w:p w:rsidR="00CA2A5B" w:rsidRPr="00CA2A5B" w:rsidRDefault="00CA2A5B" w:rsidP="00CA2A5B">
      <w:pPr>
        <w:spacing w:after="0" w:line="240" w:lineRule="auto"/>
        <w:rPr>
          <w:rFonts w:ascii="Arial" w:hAnsi="Arial" w:cs="Arial"/>
          <w:lang w:val="en-US"/>
        </w:rPr>
      </w:pPr>
    </w:p>
    <w:p w:rsidR="00CA2A5B" w:rsidRDefault="00CA2A5B" w:rsidP="002352CB">
      <w:pPr>
        <w:pStyle w:val="PIHeading3undelined"/>
        <w:outlineLvl w:val="2"/>
      </w:pPr>
      <w:r w:rsidRPr="00CA2A5B">
        <w:t xml:space="preserve">Absorption </w:t>
      </w:r>
    </w:p>
    <w:p w:rsidR="00CA2A5B" w:rsidRPr="00CA2A5B" w:rsidRDefault="00CA2A5B" w:rsidP="008C23B6">
      <w:pPr>
        <w:pStyle w:val="PIHeading3undelined"/>
      </w:pPr>
    </w:p>
    <w:p w:rsidR="00CA2A5B" w:rsidRDefault="00CA2A5B" w:rsidP="001458E8">
      <w:pPr>
        <w:spacing w:after="0" w:line="240" w:lineRule="auto"/>
        <w:rPr>
          <w:rFonts w:ascii="Arial" w:hAnsi="Arial" w:cs="Arial"/>
          <w:lang w:val="en-US"/>
        </w:rPr>
      </w:pPr>
      <w:r w:rsidRPr="007E1D5F">
        <w:rPr>
          <w:rFonts w:ascii="Arial" w:hAnsi="Arial" w:cs="Arial"/>
          <w:caps/>
          <w:lang w:val="en-US"/>
        </w:rPr>
        <w:t>Xofigo</w:t>
      </w:r>
      <w:r w:rsidRPr="00CA2A5B">
        <w:rPr>
          <w:rFonts w:ascii="Arial" w:hAnsi="Arial" w:cs="Arial"/>
          <w:lang w:val="en-US"/>
        </w:rPr>
        <w:t xml:space="preserve"> is administered as an intravenous injection and </w:t>
      </w:r>
      <w:r w:rsidR="00F336AB">
        <w:rPr>
          <w:rFonts w:ascii="Arial" w:hAnsi="Arial" w:cs="Arial"/>
          <w:lang w:val="en-US"/>
        </w:rPr>
        <w:t xml:space="preserve">is </w:t>
      </w:r>
      <w:r>
        <w:rPr>
          <w:rFonts w:ascii="Arial" w:hAnsi="Arial" w:cs="Arial"/>
          <w:lang w:val="en-US"/>
        </w:rPr>
        <w:t>therefore</w:t>
      </w:r>
      <w:r w:rsidRPr="00CA2A5B">
        <w:rPr>
          <w:rFonts w:ascii="Arial" w:hAnsi="Arial" w:cs="Arial"/>
          <w:lang w:val="en-US"/>
        </w:rPr>
        <w:t xml:space="preserve"> 100% bioavailable.</w:t>
      </w:r>
    </w:p>
    <w:p w:rsidR="00CA2A5B" w:rsidRPr="00CA2A5B" w:rsidRDefault="00CA2A5B" w:rsidP="00CA2A5B">
      <w:pPr>
        <w:tabs>
          <w:tab w:val="left" w:pos="2835"/>
        </w:tabs>
        <w:spacing w:after="0" w:line="240" w:lineRule="auto"/>
        <w:ind w:left="2835" w:hanging="2835"/>
        <w:rPr>
          <w:rFonts w:ascii="Arial" w:hAnsi="Arial" w:cs="Arial"/>
          <w:lang w:val="en-US"/>
        </w:rPr>
      </w:pPr>
    </w:p>
    <w:p w:rsidR="00CA2A5B" w:rsidRPr="00CA2A5B" w:rsidRDefault="00CA2A5B" w:rsidP="002352CB">
      <w:pPr>
        <w:pStyle w:val="PIHeading3undelined"/>
        <w:outlineLvl w:val="2"/>
      </w:pPr>
      <w:r w:rsidRPr="00CA2A5B">
        <w:t>Distribution</w:t>
      </w:r>
    </w:p>
    <w:p w:rsidR="00CA2A5B" w:rsidRDefault="00CA2A5B" w:rsidP="00CA2A5B">
      <w:pPr>
        <w:tabs>
          <w:tab w:val="left" w:pos="2835"/>
        </w:tabs>
        <w:spacing w:after="0" w:line="240" w:lineRule="auto"/>
        <w:ind w:left="2835" w:hanging="2835"/>
        <w:rPr>
          <w:rFonts w:ascii="Arial" w:hAnsi="Arial" w:cs="Arial"/>
          <w:lang w:val="en-US"/>
        </w:rPr>
      </w:pPr>
    </w:p>
    <w:p w:rsidR="00CA2A5B" w:rsidRDefault="00CA2A5B" w:rsidP="007E1D5F">
      <w:pPr>
        <w:spacing w:after="0" w:line="240" w:lineRule="auto"/>
        <w:jc w:val="both"/>
        <w:rPr>
          <w:rFonts w:ascii="Arial" w:hAnsi="Arial" w:cs="Arial"/>
          <w:lang w:val="en-US"/>
        </w:rPr>
      </w:pPr>
      <w:r w:rsidRPr="00CA2A5B">
        <w:rPr>
          <w:rFonts w:ascii="Arial" w:hAnsi="Arial" w:cs="Arial"/>
          <w:lang w:val="en-US"/>
        </w:rPr>
        <w:t xml:space="preserve">After intravenous injection, </w:t>
      </w:r>
      <w:r>
        <w:rPr>
          <w:rFonts w:ascii="Arial" w:hAnsi="Arial" w:cs="Arial"/>
          <w:lang w:val="en-US"/>
        </w:rPr>
        <w:t>Ra</w:t>
      </w:r>
      <w:r w:rsidRPr="00CA2A5B">
        <w:rPr>
          <w:rFonts w:ascii="Arial" w:hAnsi="Arial" w:cs="Arial"/>
          <w:lang w:val="en-US"/>
        </w:rPr>
        <w:t xml:space="preserve">-223 is cleared </w:t>
      </w:r>
      <w:r w:rsidR="00F336AB" w:rsidRPr="00CA2A5B">
        <w:rPr>
          <w:rFonts w:ascii="Arial" w:hAnsi="Arial" w:cs="Arial"/>
          <w:lang w:val="en-US"/>
        </w:rPr>
        <w:t xml:space="preserve">rapidly </w:t>
      </w:r>
      <w:r w:rsidRPr="00CA2A5B">
        <w:rPr>
          <w:rFonts w:ascii="Arial" w:hAnsi="Arial" w:cs="Arial"/>
          <w:lang w:val="en-US"/>
        </w:rPr>
        <w:t xml:space="preserve">from the blood and is incorporated primarily into bone and bone metastases, or is excreted into the intestine.    </w:t>
      </w:r>
    </w:p>
    <w:p w:rsidR="00F336AB" w:rsidRPr="00CA2A5B" w:rsidRDefault="00F336AB" w:rsidP="007E1D5F">
      <w:pPr>
        <w:spacing w:after="0" w:line="240" w:lineRule="auto"/>
        <w:jc w:val="both"/>
        <w:rPr>
          <w:rFonts w:ascii="Arial" w:hAnsi="Arial" w:cs="Arial"/>
          <w:lang w:val="en-US"/>
        </w:rPr>
      </w:pPr>
    </w:p>
    <w:p w:rsidR="00CA2A5B" w:rsidRDefault="00CA2A5B" w:rsidP="007E1D5F">
      <w:pPr>
        <w:spacing w:after="0" w:line="240" w:lineRule="auto"/>
        <w:jc w:val="both"/>
        <w:rPr>
          <w:rFonts w:ascii="Arial" w:hAnsi="Arial" w:cs="Arial"/>
          <w:lang w:val="en-US"/>
        </w:rPr>
      </w:pPr>
      <w:r w:rsidRPr="00CA2A5B">
        <w:rPr>
          <w:rFonts w:ascii="Arial" w:hAnsi="Arial" w:cs="Arial"/>
          <w:lang w:val="en-US"/>
        </w:rPr>
        <w:t xml:space="preserve">Fifteen minutes post injection, about 20% of the injected activity remained in the blood. </w:t>
      </w:r>
      <w:r w:rsidR="00F336AB">
        <w:rPr>
          <w:rFonts w:ascii="Arial" w:hAnsi="Arial" w:cs="Arial"/>
          <w:lang w:val="en-US"/>
        </w:rPr>
        <w:t xml:space="preserve"> At</w:t>
      </w:r>
      <w:r w:rsidRPr="00CA2A5B">
        <w:rPr>
          <w:rFonts w:ascii="Arial" w:hAnsi="Arial" w:cs="Arial"/>
          <w:lang w:val="en-US"/>
        </w:rPr>
        <w:t xml:space="preserve"> 4 hours, about 4% of the injected activity remained in the blood, decreasing to less than 1% at 24 hours after the injection.  The volume of distribution was higher than the blood volume indicating distribution to peripheral compartments. </w:t>
      </w:r>
    </w:p>
    <w:p w:rsidR="00F336AB" w:rsidRPr="00CA2A5B" w:rsidRDefault="00F336AB" w:rsidP="007E1D5F">
      <w:pPr>
        <w:spacing w:after="0" w:line="240" w:lineRule="auto"/>
        <w:jc w:val="both"/>
        <w:rPr>
          <w:rFonts w:ascii="Arial" w:hAnsi="Arial" w:cs="Arial"/>
          <w:lang w:val="en-US"/>
        </w:rPr>
      </w:pPr>
    </w:p>
    <w:p w:rsidR="00F336AB" w:rsidRDefault="00CA2A5B" w:rsidP="007E1D5F">
      <w:pPr>
        <w:spacing w:after="0" w:line="240" w:lineRule="auto"/>
        <w:jc w:val="both"/>
        <w:rPr>
          <w:rFonts w:ascii="Arial" w:hAnsi="Arial" w:cs="Arial"/>
          <w:lang w:val="en-US"/>
        </w:rPr>
      </w:pPr>
      <w:r w:rsidRPr="00CA2A5B">
        <w:rPr>
          <w:rFonts w:ascii="Arial" w:hAnsi="Arial" w:cs="Arial"/>
          <w:lang w:val="en-US"/>
        </w:rPr>
        <w:t>At 10 minutes post injection, activity was observed in the bone and in the intestine.</w:t>
      </w:r>
      <w:r w:rsidR="00E531CB">
        <w:rPr>
          <w:rFonts w:ascii="Arial" w:hAnsi="Arial" w:cs="Arial"/>
          <w:lang w:val="en-US"/>
        </w:rPr>
        <w:t xml:space="preserve">  At 4 hours post-injection, the mean percentage of the radioactive dose present in bone and intestine was approximately 61% and 49%, respectively.</w:t>
      </w:r>
      <w:r w:rsidR="00F336AB">
        <w:rPr>
          <w:rFonts w:ascii="Arial" w:hAnsi="Arial" w:cs="Arial"/>
          <w:lang w:val="en-US"/>
        </w:rPr>
        <w:t xml:space="preserve"> </w:t>
      </w:r>
      <w:r w:rsidRPr="00CA2A5B">
        <w:rPr>
          <w:rFonts w:ascii="Arial" w:hAnsi="Arial" w:cs="Arial"/>
          <w:lang w:val="en-US"/>
        </w:rPr>
        <w:t xml:space="preserve"> </w:t>
      </w:r>
    </w:p>
    <w:p w:rsidR="0088685E" w:rsidRPr="00CA2A5B" w:rsidRDefault="0088685E" w:rsidP="007E1D5F">
      <w:pPr>
        <w:spacing w:after="0" w:line="240" w:lineRule="auto"/>
        <w:jc w:val="both"/>
        <w:rPr>
          <w:rFonts w:ascii="Arial" w:hAnsi="Arial" w:cs="Arial"/>
          <w:lang w:val="en-US"/>
        </w:rPr>
      </w:pPr>
    </w:p>
    <w:p w:rsidR="00CA2A5B" w:rsidRDefault="00CA2A5B" w:rsidP="007E1D5F">
      <w:pPr>
        <w:spacing w:after="0" w:line="240" w:lineRule="auto"/>
        <w:jc w:val="both"/>
        <w:rPr>
          <w:rFonts w:ascii="Arial" w:hAnsi="Arial" w:cs="Arial"/>
          <w:lang w:val="en-US"/>
        </w:rPr>
      </w:pPr>
      <w:r w:rsidRPr="00CA2A5B">
        <w:rPr>
          <w:rFonts w:ascii="Arial" w:hAnsi="Arial" w:cs="Arial"/>
          <w:lang w:val="en-US"/>
        </w:rPr>
        <w:t xml:space="preserve">No significant uptake was seen in other organs such as heart, liver, kidneys, urinary bladder and spleen at 4 hours post injection. </w:t>
      </w:r>
    </w:p>
    <w:p w:rsidR="00F336AB" w:rsidRPr="00CA2A5B" w:rsidRDefault="00F336AB" w:rsidP="00CA2A5B">
      <w:pPr>
        <w:spacing w:after="0" w:line="240" w:lineRule="auto"/>
        <w:rPr>
          <w:rFonts w:ascii="Arial" w:hAnsi="Arial" w:cs="Arial"/>
          <w:lang w:val="en-US"/>
        </w:rPr>
      </w:pPr>
    </w:p>
    <w:p w:rsidR="00CA2A5B" w:rsidRPr="00F336AB" w:rsidRDefault="00F336AB" w:rsidP="00AF5299">
      <w:pPr>
        <w:pStyle w:val="PIHeading3undelined"/>
        <w:keepNext/>
        <w:outlineLvl w:val="2"/>
      </w:pPr>
      <w:r w:rsidRPr="00F336AB">
        <w:t>Metabolism</w:t>
      </w:r>
    </w:p>
    <w:p w:rsidR="00F336AB" w:rsidRDefault="00F336AB" w:rsidP="00AF5299">
      <w:pPr>
        <w:keepNext/>
        <w:tabs>
          <w:tab w:val="left" w:pos="2835"/>
        </w:tabs>
        <w:spacing w:after="0" w:line="240" w:lineRule="auto"/>
        <w:ind w:left="2835" w:hanging="2835"/>
        <w:rPr>
          <w:rFonts w:ascii="Arial" w:hAnsi="Arial" w:cs="Arial"/>
          <w:lang w:val="en-US"/>
        </w:rPr>
      </w:pPr>
    </w:p>
    <w:p w:rsidR="00CA2A5B" w:rsidRDefault="00F336AB" w:rsidP="00AF5299">
      <w:pPr>
        <w:keepNext/>
        <w:tabs>
          <w:tab w:val="left" w:pos="2835"/>
        </w:tabs>
        <w:spacing w:after="0" w:line="240" w:lineRule="auto"/>
        <w:ind w:left="2835" w:hanging="2835"/>
        <w:rPr>
          <w:rFonts w:ascii="Arial" w:hAnsi="Arial" w:cs="Arial"/>
          <w:lang w:val="en-US"/>
        </w:rPr>
      </w:pPr>
      <w:r>
        <w:rPr>
          <w:rFonts w:ascii="Arial" w:hAnsi="Arial" w:cs="Arial"/>
          <w:lang w:val="en-US"/>
        </w:rPr>
        <w:t>Ra</w:t>
      </w:r>
      <w:r w:rsidR="00CA2A5B" w:rsidRPr="00CA2A5B">
        <w:rPr>
          <w:rFonts w:ascii="Arial" w:hAnsi="Arial" w:cs="Arial"/>
          <w:lang w:val="en-US"/>
        </w:rPr>
        <w:t xml:space="preserve">-223 is an isotope which decays and is not </w:t>
      </w:r>
      <w:proofErr w:type="spellStart"/>
      <w:r w:rsidR="00CA2A5B" w:rsidRPr="00CA2A5B">
        <w:rPr>
          <w:rFonts w:ascii="Arial" w:hAnsi="Arial" w:cs="Arial"/>
          <w:lang w:val="en-US"/>
        </w:rPr>
        <w:t>metaboli</w:t>
      </w:r>
      <w:r>
        <w:rPr>
          <w:rFonts w:ascii="Arial" w:hAnsi="Arial" w:cs="Arial"/>
          <w:lang w:val="en-US"/>
        </w:rPr>
        <w:t>s</w:t>
      </w:r>
      <w:r w:rsidR="00CA2A5B" w:rsidRPr="00CA2A5B">
        <w:rPr>
          <w:rFonts w:ascii="Arial" w:hAnsi="Arial" w:cs="Arial"/>
          <w:lang w:val="en-US"/>
        </w:rPr>
        <w:t>ed</w:t>
      </w:r>
      <w:proofErr w:type="spellEnd"/>
      <w:r w:rsidR="00CA2A5B" w:rsidRPr="00CA2A5B">
        <w:rPr>
          <w:rFonts w:ascii="Arial" w:hAnsi="Arial" w:cs="Arial"/>
          <w:lang w:val="en-US"/>
        </w:rPr>
        <w:t>.</w:t>
      </w:r>
    </w:p>
    <w:p w:rsidR="00F336AB" w:rsidRPr="00CA2A5B" w:rsidRDefault="00F336AB" w:rsidP="00CA2A5B">
      <w:pPr>
        <w:tabs>
          <w:tab w:val="left" w:pos="2835"/>
        </w:tabs>
        <w:spacing w:after="0" w:line="240" w:lineRule="auto"/>
        <w:ind w:left="2835" w:hanging="2835"/>
        <w:rPr>
          <w:rFonts w:ascii="Arial" w:hAnsi="Arial" w:cs="Arial"/>
          <w:lang w:val="en-US"/>
        </w:rPr>
      </w:pPr>
    </w:p>
    <w:p w:rsidR="00CA2A5B" w:rsidRPr="00F336AB" w:rsidRDefault="00F336AB" w:rsidP="002352CB">
      <w:pPr>
        <w:pStyle w:val="PIHeading3undelined"/>
        <w:outlineLvl w:val="2"/>
      </w:pPr>
      <w:r w:rsidRPr="00F336AB">
        <w:t>Excretion</w:t>
      </w:r>
    </w:p>
    <w:p w:rsidR="00F336AB" w:rsidRDefault="00F336AB" w:rsidP="00CA2A5B">
      <w:pPr>
        <w:tabs>
          <w:tab w:val="left" w:pos="2835"/>
        </w:tabs>
        <w:spacing w:after="0" w:line="240" w:lineRule="auto"/>
        <w:ind w:left="2835" w:hanging="2835"/>
        <w:rPr>
          <w:rFonts w:ascii="Arial" w:hAnsi="Arial" w:cs="Arial"/>
          <w:lang w:val="en-US"/>
        </w:rPr>
      </w:pPr>
    </w:p>
    <w:p w:rsidR="00CA2A5B" w:rsidRDefault="00CA2A5B" w:rsidP="007E1D5F">
      <w:pPr>
        <w:spacing w:after="0" w:line="240" w:lineRule="auto"/>
        <w:jc w:val="both"/>
        <w:rPr>
          <w:rFonts w:ascii="Arial" w:hAnsi="Arial" w:cs="Arial"/>
          <w:lang w:val="en-US"/>
        </w:rPr>
      </w:pPr>
      <w:proofErr w:type="spellStart"/>
      <w:r w:rsidRPr="00CA2A5B">
        <w:rPr>
          <w:rFonts w:ascii="Arial" w:hAnsi="Arial" w:cs="Arial"/>
          <w:lang w:val="en-US"/>
        </w:rPr>
        <w:t>F</w:t>
      </w:r>
      <w:r w:rsidR="00F336AB">
        <w:rPr>
          <w:rFonts w:ascii="Arial" w:hAnsi="Arial" w:cs="Arial"/>
          <w:lang w:val="en-US"/>
        </w:rPr>
        <w:t>a</w:t>
      </w:r>
      <w:r w:rsidRPr="00CA2A5B">
        <w:rPr>
          <w:rFonts w:ascii="Arial" w:hAnsi="Arial" w:cs="Arial"/>
          <w:lang w:val="en-US"/>
        </w:rPr>
        <w:t>ecal</w:t>
      </w:r>
      <w:proofErr w:type="spellEnd"/>
      <w:r w:rsidRPr="00CA2A5B">
        <w:rPr>
          <w:rFonts w:ascii="Arial" w:hAnsi="Arial" w:cs="Arial"/>
          <w:lang w:val="en-US"/>
        </w:rPr>
        <w:t xml:space="preserve"> excretion is the major route of elimination from the body. </w:t>
      </w:r>
      <w:r w:rsidR="00F336AB">
        <w:rPr>
          <w:rFonts w:ascii="Arial" w:hAnsi="Arial" w:cs="Arial"/>
          <w:lang w:val="en-US"/>
        </w:rPr>
        <w:t xml:space="preserve"> </w:t>
      </w:r>
      <w:r w:rsidRPr="00CA2A5B">
        <w:rPr>
          <w:rFonts w:ascii="Arial" w:hAnsi="Arial" w:cs="Arial"/>
          <w:lang w:val="en-US"/>
        </w:rPr>
        <w:t>About 5% is excreted in the urine and</w:t>
      </w:r>
      <w:r w:rsidR="00F336AB">
        <w:rPr>
          <w:rFonts w:ascii="Arial" w:hAnsi="Arial" w:cs="Arial"/>
          <w:lang w:val="en-US"/>
        </w:rPr>
        <w:t xml:space="preserve"> there is no evidence of </w:t>
      </w:r>
      <w:proofErr w:type="spellStart"/>
      <w:r w:rsidR="00F336AB">
        <w:rPr>
          <w:rFonts w:ascii="Arial" w:hAnsi="Arial" w:cs="Arial"/>
          <w:lang w:val="en-US"/>
        </w:rPr>
        <w:t>hepato</w:t>
      </w:r>
      <w:r w:rsidRPr="00CA2A5B">
        <w:rPr>
          <w:rFonts w:ascii="Arial" w:hAnsi="Arial" w:cs="Arial"/>
          <w:lang w:val="en-US"/>
        </w:rPr>
        <w:t>biliary</w:t>
      </w:r>
      <w:proofErr w:type="spellEnd"/>
      <w:r w:rsidRPr="00CA2A5B">
        <w:rPr>
          <w:rFonts w:ascii="Arial" w:hAnsi="Arial" w:cs="Arial"/>
          <w:lang w:val="en-US"/>
        </w:rPr>
        <w:t xml:space="preserve"> excretion. </w:t>
      </w:r>
    </w:p>
    <w:p w:rsidR="00F336AB" w:rsidRPr="00CA2A5B" w:rsidRDefault="00F336AB" w:rsidP="007E1D5F">
      <w:pPr>
        <w:spacing w:after="0" w:line="240" w:lineRule="auto"/>
        <w:jc w:val="both"/>
        <w:rPr>
          <w:rFonts w:ascii="Arial" w:hAnsi="Arial" w:cs="Arial"/>
          <w:lang w:val="en-US"/>
        </w:rPr>
      </w:pPr>
    </w:p>
    <w:p w:rsidR="00CA2A5B" w:rsidRDefault="00D27BD3" w:rsidP="007E1D5F">
      <w:pPr>
        <w:spacing w:after="0" w:line="240" w:lineRule="auto"/>
        <w:jc w:val="both"/>
        <w:rPr>
          <w:rFonts w:ascii="Arial" w:hAnsi="Arial" w:cs="Arial"/>
          <w:lang w:val="en-US"/>
        </w:rPr>
      </w:pPr>
      <w:r>
        <w:rPr>
          <w:rFonts w:ascii="Arial" w:hAnsi="Arial" w:cs="Arial"/>
          <w:lang w:val="en-US"/>
        </w:rPr>
        <w:t>W</w:t>
      </w:r>
      <w:r w:rsidR="00CA2A5B" w:rsidRPr="00CA2A5B">
        <w:rPr>
          <w:rFonts w:ascii="Arial" w:hAnsi="Arial" w:cs="Arial"/>
          <w:lang w:val="en-US"/>
        </w:rPr>
        <w:t>hole body measurements</w:t>
      </w:r>
      <w:r>
        <w:rPr>
          <w:rFonts w:ascii="Arial" w:hAnsi="Arial" w:cs="Arial"/>
          <w:lang w:val="en-US"/>
        </w:rPr>
        <w:t xml:space="preserve"> at 7 days after injection (after correcting for decay)</w:t>
      </w:r>
      <w:r w:rsidR="00CA2A5B" w:rsidRPr="00CA2A5B">
        <w:rPr>
          <w:rFonts w:ascii="Arial" w:hAnsi="Arial" w:cs="Arial"/>
          <w:lang w:val="en-US"/>
        </w:rPr>
        <w:t xml:space="preserve"> indicate</w:t>
      </w:r>
      <w:r w:rsidR="00F336AB">
        <w:rPr>
          <w:rFonts w:ascii="Arial" w:hAnsi="Arial" w:cs="Arial"/>
          <w:lang w:val="en-US"/>
        </w:rPr>
        <w:t>d</w:t>
      </w:r>
      <w:r w:rsidR="00CA2A5B" w:rsidRPr="00CA2A5B">
        <w:rPr>
          <w:rFonts w:ascii="Arial" w:hAnsi="Arial" w:cs="Arial"/>
          <w:lang w:val="en-US"/>
        </w:rPr>
        <w:t xml:space="preserve"> that a median of 76% of administered activity </w:t>
      </w:r>
      <w:r w:rsidR="00F336AB">
        <w:rPr>
          <w:rFonts w:ascii="Arial" w:hAnsi="Arial" w:cs="Arial"/>
          <w:lang w:val="en-US"/>
        </w:rPr>
        <w:t>had been</w:t>
      </w:r>
      <w:r w:rsidR="00CA2A5B" w:rsidRPr="00CA2A5B">
        <w:rPr>
          <w:rFonts w:ascii="Arial" w:hAnsi="Arial" w:cs="Arial"/>
          <w:lang w:val="en-US"/>
        </w:rPr>
        <w:t xml:space="preserve"> excreted from the body.  The rate of elimination of </w:t>
      </w:r>
      <w:r w:rsidR="00F336AB">
        <w:rPr>
          <w:rFonts w:ascii="Arial" w:hAnsi="Arial" w:cs="Arial"/>
          <w:lang w:val="en-US"/>
        </w:rPr>
        <w:t>Ra</w:t>
      </w:r>
      <w:r w:rsidR="00CA2A5B" w:rsidRPr="00CA2A5B">
        <w:rPr>
          <w:rFonts w:ascii="Arial" w:hAnsi="Arial" w:cs="Arial"/>
          <w:lang w:val="en-US"/>
        </w:rPr>
        <w:t xml:space="preserve">-223 dichloride from the gastrointestinal tract is influenced by the high variability in intestinal transit rates across the population, with the normal range from once daily to once weekly bowel evacuation.  </w:t>
      </w:r>
    </w:p>
    <w:p w:rsidR="00BE74EB" w:rsidRDefault="00BE74EB" w:rsidP="00BE74EB">
      <w:pPr>
        <w:spacing w:after="0" w:line="240" w:lineRule="auto"/>
        <w:rPr>
          <w:rFonts w:ascii="Arial" w:hAnsi="Arial" w:cs="Arial"/>
          <w:u w:val="single"/>
          <w:lang w:val="en-US"/>
        </w:rPr>
      </w:pPr>
    </w:p>
    <w:p w:rsidR="00BE74EB" w:rsidRPr="00554FED" w:rsidRDefault="00BE74EB" w:rsidP="002352CB">
      <w:pPr>
        <w:pStyle w:val="PIHeading3undelined"/>
        <w:outlineLvl w:val="2"/>
      </w:pPr>
      <w:r w:rsidRPr="00554FED">
        <w:t>Additional information on special population</w:t>
      </w:r>
      <w:r w:rsidR="00BF1428">
        <w:t>s</w:t>
      </w:r>
    </w:p>
    <w:p w:rsidR="00BE74EB" w:rsidRDefault="00BE74EB" w:rsidP="008C23B6">
      <w:pPr>
        <w:pStyle w:val="PIHeading3italics"/>
      </w:pPr>
    </w:p>
    <w:p w:rsidR="00BE74EB" w:rsidRPr="00554FED" w:rsidRDefault="00BE74EB" w:rsidP="002352CB">
      <w:pPr>
        <w:pStyle w:val="PIHeading3italics"/>
        <w:outlineLvl w:val="3"/>
      </w:pPr>
      <w:r w:rsidRPr="00554FED">
        <w:t>Patients with hepatic impairment</w:t>
      </w:r>
    </w:p>
    <w:p w:rsidR="00BE74EB" w:rsidRDefault="00BE74EB" w:rsidP="00BE74EB">
      <w:pPr>
        <w:spacing w:after="0" w:line="240" w:lineRule="auto"/>
        <w:rPr>
          <w:rFonts w:ascii="Arial" w:hAnsi="Arial" w:cs="Arial"/>
          <w:lang w:val="en-US"/>
        </w:rPr>
      </w:pPr>
    </w:p>
    <w:p w:rsidR="00BE74EB" w:rsidRDefault="00BE74EB" w:rsidP="007E1D5F">
      <w:pPr>
        <w:spacing w:after="0" w:line="240" w:lineRule="auto"/>
        <w:jc w:val="both"/>
        <w:rPr>
          <w:rFonts w:ascii="Arial" w:hAnsi="Arial" w:cs="Arial"/>
          <w:lang w:val="en-US"/>
        </w:rPr>
      </w:pPr>
      <w:r>
        <w:rPr>
          <w:rFonts w:ascii="Arial" w:hAnsi="Arial" w:cs="Arial"/>
          <w:lang w:val="en-US"/>
        </w:rPr>
        <w:t xml:space="preserve">No pharmacokinetic studies in patients with hepatic impairment have been conducted.  However, since Ra-223 as an isotope is not </w:t>
      </w:r>
      <w:proofErr w:type="spellStart"/>
      <w:r>
        <w:rPr>
          <w:rFonts w:ascii="Arial" w:hAnsi="Arial" w:cs="Arial"/>
          <w:lang w:val="en-US"/>
        </w:rPr>
        <w:t>metabolised</w:t>
      </w:r>
      <w:proofErr w:type="spellEnd"/>
      <w:r>
        <w:rPr>
          <w:rFonts w:ascii="Arial" w:hAnsi="Arial" w:cs="Arial"/>
          <w:lang w:val="en-US"/>
        </w:rPr>
        <w:t xml:space="preserve">, it is not expected that hepatic impairment will affect the pharmacokinetics of Ra-223 dichloride (see </w:t>
      </w:r>
      <w:r w:rsidRPr="008324CA">
        <w:rPr>
          <w:rFonts w:ascii="Arial" w:hAnsi="Arial" w:cs="Arial"/>
          <w:lang w:val="en-US"/>
        </w:rPr>
        <w:t>DOSAGE AND ADMINISTRATION</w:t>
      </w:r>
      <w:r>
        <w:rPr>
          <w:rFonts w:ascii="Arial" w:hAnsi="Arial" w:cs="Arial"/>
          <w:lang w:val="en-US"/>
        </w:rPr>
        <w:t>).</w:t>
      </w:r>
    </w:p>
    <w:p w:rsidR="00BE74EB" w:rsidRDefault="00BE74EB" w:rsidP="007E1D5F">
      <w:pPr>
        <w:spacing w:after="0" w:line="240" w:lineRule="auto"/>
        <w:jc w:val="both"/>
        <w:rPr>
          <w:rFonts w:ascii="Arial" w:hAnsi="Arial" w:cs="Arial"/>
          <w:lang w:val="en-US"/>
        </w:rPr>
      </w:pPr>
    </w:p>
    <w:p w:rsidR="00BE74EB" w:rsidRPr="00554FED" w:rsidRDefault="00BE74EB" w:rsidP="002352CB">
      <w:pPr>
        <w:pStyle w:val="PIHeading3italics"/>
        <w:outlineLvl w:val="3"/>
      </w:pPr>
      <w:r w:rsidRPr="00554FED">
        <w:t>Patients with renal impairment</w:t>
      </w:r>
    </w:p>
    <w:p w:rsidR="00BE74EB" w:rsidRDefault="00BE74EB" w:rsidP="00BE74EB">
      <w:pPr>
        <w:spacing w:after="0" w:line="240" w:lineRule="auto"/>
        <w:rPr>
          <w:rFonts w:ascii="Arial" w:hAnsi="Arial" w:cs="Arial"/>
          <w:lang w:val="en-US"/>
        </w:rPr>
      </w:pPr>
    </w:p>
    <w:p w:rsidR="00DA2C52" w:rsidRPr="00BE74EB" w:rsidRDefault="00BE74EB" w:rsidP="007E1D5F">
      <w:pPr>
        <w:spacing w:after="0" w:line="240" w:lineRule="auto"/>
        <w:jc w:val="both"/>
        <w:rPr>
          <w:rFonts w:ascii="Arial" w:hAnsi="Arial" w:cs="Arial"/>
        </w:rPr>
      </w:pPr>
      <w:r>
        <w:rPr>
          <w:rFonts w:ascii="Arial" w:hAnsi="Arial" w:cs="Arial"/>
          <w:lang w:val="en-US"/>
        </w:rPr>
        <w:t xml:space="preserve">No pharmacokinetic studies in patients with renal impairment have been conducted.  However, since excretion in urine is minimal and the major route of elimination is via the </w:t>
      </w:r>
      <w:proofErr w:type="spellStart"/>
      <w:r>
        <w:rPr>
          <w:rFonts w:ascii="Arial" w:hAnsi="Arial" w:cs="Arial"/>
          <w:lang w:val="en-US"/>
        </w:rPr>
        <w:t>faeces</w:t>
      </w:r>
      <w:proofErr w:type="spellEnd"/>
      <w:r>
        <w:rPr>
          <w:rFonts w:ascii="Arial" w:hAnsi="Arial" w:cs="Arial"/>
          <w:lang w:val="en-US"/>
        </w:rPr>
        <w:t xml:space="preserve">, it is not expected that renal impairment will affect the pharmacokinetics of Ra-223 dichloride (see </w:t>
      </w:r>
      <w:r w:rsidRPr="008324CA">
        <w:rPr>
          <w:rFonts w:ascii="Arial" w:hAnsi="Arial" w:cs="Arial"/>
          <w:lang w:val="en-US"/>
        </w:rPr>
        <w:t>DOSAGE AND ADMINISTRATION</w:t>
      </w:r>
      <w:r>
        <w:rPr>
          <w:rFonts w:ascii="Arial" w:hAnsi="Arial" w:cs="Arial"/>
          <w:lang w:val="en-US"/>
        </w:rPr>
        <w:t>).</w:t>
      </w:r>
    </w:p>
    <w:p w:rsidR="00DA2C52" w:rsidRDefault="00DA2C52" w:rsidP="007E1D5F">
      <w:pPr>
        <w:spacing w:after="0" w:line="240" w:lineRule="auto"/>
        <w:jc w:val="both"/>
        <w:rPr>
          <w:rFonts w:ascii="Arial" w:hAnsi="Arial" w:cs="Arial"/>
          <w:lang w:val="en-US"/>
        </w:rPr>
      </w:pPr>
    </w:p>
    <w:p w:rsidR="00E85F9F" w:rsidRDefault="00E85F9F" w:rsidP="00F336AB">
      <w:pPr>
        <w:spacing w:after="0" w:line="240" w:lineRule="auto"/>
        <w:rPr>
          <w:rFonts w:ascii="Arial" w:hAnsi="Arial" w:cs="Arial"/>
          <w:lang w:val="en-US"/>
        </w:rPr>
      </w:pPr>
    </w:p>
    <w:p w:rsidR="00DA2C52" w:rsidRPr="00DA2C52" w:rsidRDefault="00DA2C52" w:rsidP="002352CB">
      <w:pPr>
        <w:pStyle w:val="PIHeading1"/>
        <w:outlineLvl w:val="0"/>
        <w:rPr>
          <w:lang w:val="en-US"/>
        </w:rPr>
      </w:pPr>
      <w:r>
        <w:rPr>
          <w:lang w:val="en-US"/>
        </w:rPr>
        <w:t>CLINICAL TRIALS</w:t>
      </w:r>
    </w:p>
    <w:p w:rsidR="00CA2A5B" w:rsidRDefault="00CA2A5B" w:rsidP="00F336AB">
      <w:pPr>
        <w:spacing w:after="0" w:line="240" w:lineRule="auto"/>
        <w:rPr>
          <w:rFonts w:ascii="Arial" w:hAnsi="Arial" w:cs="Arial"/>
          <w:lang w:val="en-US"/>
        </w:rPr>
      </w:pPr>
    </w:p>
    <w:p w:rsidR="00D600E1" w:rsidRDefault="00DA2C52" w:rsidP="00D600E1">
      <w:pPr>
        <w:spacing w:after="0" w:line="240" w:lineRule="auto"/>
        <w:jc w:val="both"/>
        <w:rPr>
          <w:rFonts w:ascii="Arial" w:hAnsi="Arial" w:cs="Arial"/>
          <w:lang w:val="en-US"/>
        </w:rPr>
      </w:pPr>
      <w:r w:rsidRPr="00DA2C52">
        <w:rPr>
          <w:rFonts w:ascii="Arial" w:hAnsi="Arial" w:cs="Arial"/>
          <w:lang w:val="en-US"/>
        </w:rPr>
        <w:t xml:space="preserve">The clinical safety and efficacy of </w:t>
      </w:r>
      <w:r w:rsidRPr="007E1D5F">
        <w:rPr>
          <w:rFonts w:ascii="Arial" w:hAnsi="Arial" w:cs="Arial"/>
          <w:caps/>
          <w:lang w:val="en-US"/>
        </w:rPr>
        <w:t>Xofigo</w:t>
      </w:r>
      <w:r w:rsidRPr="00DA2C52">
        <w:rPr>
          <w:rFonts w:ascii="Arial" w:hAnsi="Arial" w:cs="Arial"/>
          <w:lang w:val="en-US"/>
        </w:rPr>
        <w:t xml:space="preserve"> have been evalu</w:t>
      </w:r>
      <w:r>
        <w:rPr>
          <w:rFonts w:ascii="Arial" w:hAnsi="Arial" w:cs="Arial"/>
          <w:lang w:val="en-US"/>
        </w:rPr>
        <w:t xml:space="preserve">ated in a double-blind, </w:t>
      </w:r>
      <w:proofErr w:type="spellStart"/>
      <w:r>
        <w:rPr>
          <w:rFonts w:ascii="Arial" w:hAnsi="Arial" w:cs="Arial"/>
          <w:lang w:val="en-US"/>
        </w:rPr>
        <w:t>randomis</w:t>
      </w:r>
      <w:r w:rsidRPr="00DA2C52">
        <w:rPr>
          <w:rFonts w:ascii="Arial" w:hAnsi="Arial" w:cs="Arial"/>
          <w:lang w:val="en-US"/>
        </w:rPr>
        <w:t>ed</w:t>
      </w:r>
      <w:proofErr w:type="spellEnd"/>
      <w:r w:rsidRPr="00DA2C52">
        <w:rPr>
          <w:rFonts w:ascii="Arial" w:hAnsi="Arial" w:cs="Arial"/>
          <w:lang w:val="en-US"/>
        </w:rPr>
        <w:t>, multi</w:t>
      </w:r>
      <w:r>
        <w:rPr>
          <w:rFonts w:ascii="Arial" w:hAnsi="Arial" w:cs="Arial"/>
          <w:lang w:val="en-US"/>
        </w:rPr>
        <w:t xml:space="preserve">ple dose, </w:t>
      </w:r>
      <w:proofErr w:type="gramStart"/>
      <w:r>
        <w:rPr>
          <w:rFonts w:ascii="Arial" w:hAnsi="Arial" w:cs="Arial"/>
          <w:lang w:val="en-US"/>
        </w:rPr>
        <w:t>phase</w:t>
      </w:r>
      <w:proofErr w:type="gramEnd"/>
      <w:r>
        <w:rPr>
          <w:rFonts w:ascii="Arial" w:hAnsi="Arial" w:cs="Arial"/>
          <w:lang w:val="en-US"/>
        </w:rPr>
        <w:t xml:space="preserve"> III, </w:t>
      </w:r>
      <w:proofErr w:type="spellStart"/>
      <w:r>
        <w:rPr>
          <w:rFonts w:ascii="Arial" w:hAnsi="Arial" w:cs="Arial"/>
          <w:lang w:val="en-US"/>
        </w:rPr>
        <w:t>multicentre</w:t>
      </w:r>
      <w:proofErr w:type="spellEnd"/>
      <w:r w:rsidRPr="00DA2C52">
        <w:rPr>
          <w:rFonts w:ascii="Arial" w:hAnsi="Arial" w:cs="Arial"/>
          <w:lang w:val="en-US"/>
        </w:rPr>
        <w:t xml:space="preserve"> study </w:t>
      </w:r>
      <w:r w:rsidR="00D01072" w:rsidRPr="00D01072">
        <w:rPr>
          <w:rFonts w:ascii="Arial" w:hAnsi="Arial" w:cs="Arial"/>
          <w:lang w:val="en-US"/>
        </w:rPr>
        <w:t xml:space="preserve">(ALSYMPCA) </w:t>
      </w:r>
      <w:r w:rsidRPr="00DA2C52">
        <w:rPr>
          <w:rFonts w:ascii="Arial" w:hAnsi="Arial" w:cs="Arial"/>
          <w:lang w:val="en-US"/>
        </w:rPr>
        <w:t xml:space="preserve">in castration-resistant </w:t>
      </w:r>
      <w:r w:rsidRPr="00DA2C52">
        <w:rPr>
          <w:rFonts w:ascii="Arial" w:hAnsi="Arial" w:cs="Arial"/>
          <w:lang w:val="en-US"/>
        </w:rPr>
        <w:lastRenderedPageBreak/>
        <w:t>prostate cancer patients with</w:t>
      </w:r>
      <w:r w:rsidR="00634F7D">
        <w:rPr>
          <w:rFonts w:ascii="Arial" w:hAnsi="Arial" w:cs="Arial"/>
          <w:lang w:val="en-US"/>
        </w:rPr>
        <w:t xml:space="preserve"> symptomatic</w:t>
      </w:r>
      <w:r w:rsidRPr="00DA2C52">
        <w:rPr>
          <w:rFonts w:ascii="Arial" w:hAnsi="Arial" w:cs="Arial"/>
          <w:lang w:val="en-US"/>
        </w:rPr>
        <w:t xml:space="preserve"> bone metastases.</w:t>
      </w:r>
      <w:r w:rsidR="00634F7D">
        <w:rPr>
          <w:rFonts w:ascii="Arial" w:hAnsi="Arial" w:cs="Arial"/>
          <w:lang w:val="en-US"/>
        </w:rPr>
        <w:t xml:space="preserve">  Patients with visceral metastases and malignant lymphadenopathy exceeding 3 cm were excluded.</w:t>
      </w:r>
      <w:r w:rsidRPr="00DA2C52">
        <w:rPr>
          <w:rFonts w:ascii="Arial" w:hAnsi="Arial" w:cs="Arial"/>
          <w:lang w:val="en-US"/>
        </w:rPr>
        <w:t xml:space="preserve"> </w:t>
      </w:r>
      <w:r>
        <w:rPr>
          <w:rFonts w:ascii="Arial" w:hAnsi="Arial" w:cs="Arial"/>
          <w:lang w:val="en-US"/>
        </w:rPr>
        <w:t xml:space="preserve"> </w:t>
      </w:r>
    </w:p>
    <w:p w:rsidR="00D600E1" w:rsidRDefault="00D600E1" w:rsidP="00D600E1">
      <w:pPr>
        <w:spacing w:after="0" w:line="240" w:lineRule="auto"/>
        <w:jc w:val="both"/>
        <w:rPr>
          <w:rFonts w:ascii="Arial" w:hAnsi="Arial" w:cs="Arial"/>
          <w:lang w:val="en-US"/>
        </w:rPr>
      </w:pPr>
    </w:p>
    <w:p w:rsidR="00DA2C52" w:rsidRDefault="00DA2C52" w:rsidP="00D600E1">
      <w:pPr>
        <w:spacing w:after="0" w:line="240" w:lineRule="auto"/>
        <w:jc w:val="both"/>
        <w:rPr>
          <w:rFonts w:ascii="Arial" w:hAnsi="Arial" w:cs="Arial"/>
          <w:lang w:val="en-US"/>
        </w:rPr>
      </w:pPr>
      <w:r w:rsidRPr="00DA2C52">
        <w:rPr>
          <w:rFonts w:ascii="Arial" w:hAnsi="Arial" w:cs="Arial"/>
          <w:lang w:val="en-US"/>
        </w:rPr>
        <w:t>The primary efficacy endpoint was overall survival</w:t>
      </w:r>
      <w:r w:rsidR="005067F2">
        <w:rPr>
          <w:rFonts w:ascii="Arial" w:hAnsi="Arial" w:cs="Arial"/>
          <w:lang w:val="en-US"/>
        </w:rPr>
        <w:t xml:space="preserve"> (OS)</w:t>
      </w:r>
      <w:r w:rsidRPr="00DA2C52">
        <w:rPr>
          <w:rFonts w:ascii="Arial" w:hAnsi="Arial" w:cs="Arial"/>
          <w:lang w:val="en-US"/>
        </w:rPr>
        <w:t xml:space="preserve">. </w:t>
      </w:r>
      <w:r w:rsidR="00D600E1">
        <w:rPr>
          <w:rFonts w:ascii="Arial" w:hAnsi="Arial" w:cs="Arial"/>
          <w:lang w:val="en-US"/>
        </w:rPr>
        <w:t xml:space="preserve"> </w:t>
      </w:r>
      <w:r w:rsidR="00634F7D">
        <w:rPr>
          <w:rFonts w:ascii="Arial" w:hAnsi="Arial" w:cs="Arial"/>
          <w:lang w:val="en-US"/>
        </w:rPr>
        <w:t>Main s</w:t>
      </w:r>
      <w:r w:rsidR="00D600E1" w:rsidRPr="00D600E1">
        <w:rPr>
          <w:rFonts w:ascii="Arial" w:hAnsi="Arial" w:cs="Arial"/>
          <w:lang w:val="en-US"/>
        </w:rPr>
        <w:t>econdary endpoints included time to</w:t>
      </w:r>
      <w:r w:rsidR="002D5207">
        <w:rPr>
          <w:rFonts w:ascii="Arial" w:hAnsi="Arial" w:cs="Arial"/>
          <w:lang w:val="en-US"/>
        </w:rPr>
        <w:t xml:space="preserve"> symptomatic skeletal events (SSE)</w:t>
      </w:r>
      <w:r w:rsidR="00D600E1" w:rsidRPr="00D600E1">
        <w:rPr>
          <w:rFonts w:ascii="Arial" w:hAnsi="Arial" w:cs="Arial"/>
          <w:lang w:val="en-US"/>
        </w:rPr>
        <w:t xml:space="preserve">, </w:t>
      </w:r>
      <w:r w:rsidR="00FC434A">
        <w:rPr>
          <w:rFonts w:ascii="Arial" w:hAnsi="Arial" w:cs="Arial"/>
          <w:lang w:val="en-US"/>
        </w:rPr>
        <w:t xml:space="preserve">time to </w:t>
      </w:r>
      <w:r w:rsidR="00FC434A" w:rsidRPr="00D60B3F">
        <w:rPr>
          <w:rFonts w:ascii="Arial" w:hAnsi="Arial" w:cs="Arial"/>
        </w:rPr>
        <w:t xml:space="preserve">total </w:t>
      </w:r>
      <w:r w:rsidR="00FC434A">
        <w:rPr>
          <w:rFonts w:ascii="Arial" w:hAnsi="Arial" w:cs="Arial"/>
        </w:rPr>
        <w:t>a</w:t>
      </w:r>
      <w:r w:rsidR="00FC434A" w:rsidRPr="00A12ED8">
        <w:rPr>
          <w:rFonts w:ascii="Arial" w:hAnsi="Arial" w:cs="Arial"/>
        </w:rPr>
        <w:t xml:space="preserve">lkaline </w:t>
      </w:r>
      <w:r w:rsidR="00FC434A">
        <w:rPr>
          <w:rFonts w:ascii="Arial" w:hAnsi="Arial" w:cs="Arial"/>
        </w:rPr>
        <w:t>p</w:t>
      </w:r>
      <w:r w:rsidR="00FC434A" w:rsidRPr="00A12ED8">
        <w:rPr>
          <w:rFonts w:ascii="Arial" w:hAnsi="Arial" w:cs="Arial"/>
        </w:rPr>
        <w:t xml:space="preserve">hosphatase </w:t>
      </w:r>
      <w:r w:rsidR="00FC434A">
        <w:rPr>
          <w:rFonts w:ascii="Arial" w:hAnsi="Arial" w:cs="Arial"/>
        </w:rPr>
        <w:t>(</w:t>
      </w:r>
      <w:r w:rsidR="00FC434A" w:rsidRPr="00D60B3F">
        <w:rPr>
          <w:rFonts w:ascii="Arial" w:hAnsi="Arial" w:cs="Arial"/>
        </w:rPr>
        <w:t>ALP</w:t>
      </w:r>
      <w:r w:rsidR="00FC434A">
        <w:rPr>
          <w:rFonts w:ascii="Arial" w:hAnsi="Arial" w:cs="Arial"/>
        </w:rPr>
        <w:t>)</w:t>
      </w:r>
      <w:r w:rsidR="00FC434A" w:rsidRPr="00D60B3F">
        <w:rPr>
          <w:rFonts w:ascii="Arial" w:hAnsi="Arial" w:cs="Arial"/>
        </w:rPr>
        <w:t xml:space="preserve"> progression</w:t>
      </w:r>
      <w:r w:rsidR="00D600E1" w:rsidRPr="00D600E1">
        <w:rPr>
          <w:rFonts w:ascii="Arial" w:hAnsi="Arial" w:cs="Arial"/>
          <w:lang w:val="en-US"/>
        </w:rPr>
        <w:t xml:space="preserve">, </w:t>
      </w:r>
      <w:r w:rsidR="00FC434A">
        <w:rPr>
          <w:rFonts w:ascii="Arial" w:hAnsi="Arial" w:cs="Arial"/>
          <w:lang w:val="en-US"/>
        </w:rPr>
        <w:t>t</w:t>
      </w:r>
      <w:r w:rsidR="00FC434A" w:rsidRPr="00FC434A">
        <w:rPr>
          <w:rFonts w:ascii="Arial" w:hAnsi="Arial" w:cs="Arial"/>
          <w:lang w:val="en-US"/>
        </w:rPr>
        <w:t xml:space="preserve">ime to Prostate Specific Antigen </w:t>
      </w:r>
      <w:r w:rsidR="00FC434A">
        <w:rPr>
          <w:rFonts w:ascii="Arial" w:hAnsi="Arial" w:cs="Arial"/>
          <w:lang w:val="en-US"/>
        </w:rPr>
        <w:t>(</w:t>
      </w:r>
      <w:r w:rsidR="00D600E1" w:rsidRPr="00D600E1">
        <w:rPr>
          <w:rFonts w:ascii="Arial" w:hAnsi="Arial" w:cs="Arial"/>
          <w:lang w:val="en-US"/>
        </w:rPr>
        <w:t>PSA</w:t>
      </w:r>
      <w:r w:rsidR="00FC434A">
        <w:rPr>
          <w:rFonts w:ascii="Arial" w:hAnsi="Arial" w:cs="Arial"/>
          <w:lang w:val="en-US"/>
        </w:rPr>
        <w:t>)</w:t>
      </w:r>
      <w:r w:rsidR="00D600E1" w:rsidRPr="00D600E1">
        <w:rPr>
          <w:rFonts w:ascii="Arial" w:hAnsi="Arial" w:cs="Arial"/>
          <w:lang w:val="en-US"/>
        </w:rPr>
        <w:t xml:space="preserve"> progression</w:t>
      </w:r>
      <w:r w:rsidR="00A961E1">
        <w:rPr>
          <w:rFonts w:ascii="Arial" w:hAnsi="Arial" w:cs="Arial"/>
          <w:lang w:val="en-US"/>
        </w:rPr>
        <w:t>, t</w:t>
      </w:r>
      <w:r w:rsidR="00A961E1" w:rsidRPr="00A961E1">
        <w:rPr>
          <w:rFonts w:ascii="Arial" w:hAnsi="Arial" w:cs="Arial"/>
          <w:lang w:val="en-US"/>
        </w:rPr>
        <w:t xml:space="preserve">otal ALP </w:t>
      </w:r>
      <w:r w:rsidR="00A961E1">
        <w:rPr>
          <w:rFonts w:ascii="Arial" w:hAnsi="Arial" w:cs="Arial"/>
          <w:lang w:val="en-US"/>
        </w:rPr>
        <w:t>r</w:t>
      </w:r>
      <w:r w:rsidR="00A961E1" w:rsidRPr="00A961E1">
        <w:rPr>
          <w:rFonts w:ascii="Arial" w:hAnsi="Arial" w:cs="Arial"/>
          <w:lang w:val="en-US"/>
        </w:rPr>
        <w:t xml:space="preserve">esponse and </w:t>
      </w:r>
      <w:r w:rsidR="00A961E1">
        <w:rPr>
          <w:rFonts w:ascii="Arial" w:hAnsi="Arial" w:cs="Arial"/>
          <w:lang w:val="en-US"/>
        </w:rPr>
        <w:t>t</w:t>
      </w:r>
      <w:r w:rsidR="00A961E1" w:rsidRPr="00A961E1">
        <w:rPr>
          <w:rFonts w:ascii="Arial" w:hAnsi="Arial" w:cs="Arial"/>
          <w:lang w:val="en-US"/>
        </w:rPr>
        <w:t xml:space="preserve">otal ALP </w:t>
      </w:r>
      <w:proofErr w:type="spellStart"/>
      <w:r w:rsidR="00A961E1">
        <w:rPr>
          <w:rFonts w:ascii="Arial" w:hAnsi="Arial" w:cs="Arial"/>
          <w:lang w:val="en-US"/>
        </w:rPr>
        <w:t>n</w:t>
      </w:r>
      <w:r w:rsidR="00A961E1" w:rsidRPr="00A961E1">
        <w:rPr>
          <w:rFonts w:ascii="Arial" w:hAnsi="Arial" w:cs="Arial"/>
          <w:lang w:val="en-US"/>
        </w:rPr>
        <w:t>ormalisation</w:t>
      </w:r>
      <w:proofErr w:type="spellEnd"/>
      <w:r w:rsidR="00D600E1" w:rsidRPr="00D600E1">
        <w:rPr>
          <w:rFonts w:ascii="Arial" w:hAnsi="Arial" w:cs="Arial"/>
          <w:lang w:val="en-US"/>
        </w:rPr>
        <w:t>.</w:t>
      </w:r>
    </w:p>
    <w:p w:rsidR="00DA2C52" w:rsidRPr="00DA2C52" w:rsidRDefault="00DA2C52" w:rsidP="007E1D5F">
      <w:pPr>
        <w:spacing w:after="0" w:line="240" w:lineRule="auto"/>
        <w:jc w:val="both"/>
        <w:rPr>
          <w:rFonts w:ascii="Arial" w:hAnsi="Arial" w:cs="Arial"/>
          <w:lang w:val="en-US"/>
        </w:rPr>
      </w:pPr>
    </w:p>
    <w:p w:rsidR="00DA2C52" w:rsidRDefault="00DA2C52" w:rsidP="007E1D5F">
      <w:pPr>
        <w:spacing w:after="0" w:line="240" w:lineRule="auto"/>
        <w:jc w:val="both"/>
        <w:rPr>
          <w:rFonts w:ascii="Arial" w:hAnsi="Arial" w:cs="Arial"/>
          <w:lang w:val="en-US"/>
        </w:rPr>
      </w:pPr>
      <w:r w:rsidRPr="00DA2C52">
        <w:rPr>
          <w:rFonts w:ascii="Arial" w:hAnsi="Arial" w:cs="Arial"/>
          <w:lang w:val="en-US"/>
        </w:rPr>
        <w:t>At the cut-off date of the pre-planned interim analysis, a tot</w:t>
      </w:r>
      <w:r>
        <w:rPr>
          <w:rFonts w:ascii="Arial" w:hAnsi="Arial" w:cs="Arial"/>
          <w:lang w:val="en-US"/>
        </w:rPr>
        <w:t xml:space="preserve">al of 809 patients were </w:t>
      </w:r>
      <w:proofErr w:type="spellStart"/>
      <w:r>
        <w:rPr>
          <w:rFonts w:ascii="Arial" w:hAnsi="Arial" w:cs="Arial"/>
          <w:lang w:val="en-US"/>
        </w:rPr>
        <w:t>randomis</w:t>
      </w:r>
      <w:r w:rsidRPr="00DA2C52">
        <w:rPr>
          <w:rFonts w:ascii="Arial" w:hAnsi="Arial" w:cs="Arial"/>
          <w:lang w:val="en-US"/>
        </w:rPr>
        <w:t>ed</w:t>
      </w:r>
      <w:proofErr w:type="spellEnd"/>
      <w:r w:rsidRPr="00DA2C52">
        <w:rPr>
          <w:rFonts w:ascii="Arial" w:hAnsi="Arial" w:cs="Arial"/>
          <w:lang w:val="en-US"/>
        </w:rPr>
        <w:t xml:space="preserve"> 2:1 to receive </w:t>
      </w:r>
      <w:r w:rsidRPr="007E1D5F">
        <w:rPr>
          <w:rFonts w:ascii="Arial" w:hAnsi="Arial" w:cs="Arial"/>
          <w:caps/>
          <w:lang w:val="en-US"/>
        </w:rPr>
        <w:t>Xofigo</w:t>
      </w:r>
      <w:r w:rsidRPr="00DA2C52">
        <w:rPr>
          <w:rFonts w:ascii="Arial" w:hAnsi="Arial" w:cs="Arial"/>
          <w:lang w:val="en-US"/>
        </w:rPr>
        <w:t xml:space="preserve"> 50 </w:t>
      </w:r>
      <w:proofErr w:type="spellStart"/>
      <w:r w:rsidRPr="00DA2C52">
        <w:rPr>
          <w:rFonts w:ascii="Arial" w:hAnsi="Arial" w:cs="Arial"/>
          <w:lang w:val="en-US"/>
        </w:rPr>
        <w:t>kBq</w:t>
      </w:r>
      <w:proofErr w:type="spellEnd"/>
      <w:r w:rsidRPr="00DA2C52">
        <w:rPr>
          <w:rFonts w:ascii="Arial" w:hAnsi="Arial" w:cs="Arial"/>
          <w:lang w:val="en-US"/>
        </w:rPr>
        <w:t>/kg intravenously every 4 weeks for 6 cycles (N=541) plus best standard of care</w:t>
      </w:r>
      <w:r w:rsidR="000F2827">
        <w:rPr>
          <w:rFonts w:ascii="Arial" w:hAnsi="Arial" w:cs="Arial"/>
          <w:lang w:val="en-US"/>
        </w:rPr>
        <w:t xml:space="preserve"> (</w:t>
      </w:r>
      <w:proofErr w:type="spellStart"/>
      <w:r w:rsidR="000F2827">
        <w:rPr>
          <w:rFonts w:ascii="Arial" w:hAnsi="Arial" w:cs="Arial"/>
          <w:lang w:val="en-US"/>
        </w:rPr>
        <w:t>BSoC</w:t>
      </w:r>
      <w:proofErr w:type="spellEnd"/>
      <w:r w:rsidR="000F2827">
        <w:rPr>
          <w:rFonts w:ascii="Arial" w:hAnsi="Arial" w:cs="Arial"/>
          <w:lang w:val="en-US"/>
        </w:rPr>
        <w:t>)</w:t>
      </w:r>
      <w:r w:rsidRPr="00DA2C52">
        <w:rPr>
          <w:rFonts w:ascii="Arial" w:hAnsi="Arial" w:cs="Arial"/>
          <w:lang w:val="en-US"/>
        </w:rPr>
        <w:t xml:space="preserve"> or matching placebo plus </w:t>
      </w:r>
      <w:proofErr w:type="spellStart"/>
      <w:r w:rsidR="000F2827">
        <w:rPr>
          <w:rFonts w:ascii="Arial" w:hAnsi="Arial" w:cs="Arial"/>
          <w:lang w:val="en-US"/>
        </w:rPr>
        <w:t>BSoC</w:t>
      </w:r>
      <w:proofErr w:type="spellEnd"/>
      <w:r w:rsidR="000F2827">
        <w:rPr>
          <w:rFonts w:ascii="Arial" w:hAnsi="Arial" w:cs="Arial"/>
          <w:lang w:val="en-US"/>
        </w:rPr>
        <w:t xml:space="preserve"> </w:t>
      </w:r>
      <w:r w:rsidRPr="00DA2C52">
        <w:rPr>
          <w:rFonts w:ascii="Arial" w:hAnsi="Arial" w:cs="Arial"/>
          <w:lang w:val="en-US"/>
        </w:rPr>
        <w:t xml:space="preserve">(N=268). </w:t>
      </w:r>
      <w:r w:rsidR="003D7752">
        <w:rPr>
          <w:rFonts w:ascii="Arial" w:hAnsi="Arial" w:cs="Arial"/>
          <w:lang w:val="en-US"/>
        </w:rPr>
        <w:t xml:space="preserve"> </w:t>
      </w:r>
      <w:proofErr w:type="spellStart"/>
      <w:r w:rsidR="000F2827">
        <w:rPr>
          <w:rFonts w:ascii="Arial" w:hAnsi="Arial" w:cs="Arial"/>
          <w:lang w:val="en-US"/>
        </w:rPr>
        <w:t>BSoC</w:t>
      </w:r>
      <w:proofErr w:type="spellEnd"/>
      <w:r w:rsidRPr="00DA2C52">
        <w:rPr>
          <w:rFonts w:ascii="Arial" w:hAnsi="Arial" w:cs="Arial"/>
          <w:lang w:val="en-US"/>
        </w:rPr>
        <w:t xml:space="preserve"> included</w:t>
      </w:r>
      <w:r w:rsidR="003D7752">
        <w:rPr>
          <w:rFonts w:ascii="Arial" w:hAnsi="Arial" w:cs="Arial"/>
          <w:lang w:val="en-US"/>
        </w:rPr>
        <w:t>,</w:t>
      </w:r>
      <w:r w:rsidRPr="00DA2C52">
        <w:rPr>
          <w:rFonts w:ascii="Arial" w:hAnsi="Arial" w:cs="Arial"/>
          <w:lang w:val="en-US"/>
        </w:rPr>
        <w:t xml:space="preserve"> </w:t>
      </w:r>
      <w:r w:rsidR="003D7752">
        <w:rPr>
          <w:rFonts w:ascii="Arial" w:hAnsi="Arial" w:cs="Arial"/>
          <w:lang w:val="en-US"/>
        </w:rPr>
        <w:t>for example,</w:t>
      </w:r>
      <w:r w:rsidRPr="00DA2C52">
        <w:rPr>
          <w:rFonts w:ascii="Arial" w:hAnsi="Arial" w:cs="Arial"/>
          <w:lang w:val="en-US"/>
        </w:rPr>
        <w:t xml:space="preserve"> local external beam radiotherapy,</w:t>
      </w:r>
      <w:r w:rsidR="002D5207">
        <w:rPr>
          <w:rFonts w:ascii="Arial" w:hAnsi="Arial" w:cs="Arial"/>
          <w:lang w:val="en-US"/>
        </w:rPr>
        <w:t xml:space="preserve"> bisphosphonates,</w:t>
      </w:r>
      <w:r w:rsidRPr="00DA2C52">
        <w:rPr>
          <w:rFonts w:ascii="Arial" w:hAnsi="Arial" w:cs="Arial"/>
          <w:lang w:val="en-US"/>
        </w:rPr>
        <w:t xml:space="preserve"> corticosteroids, anti</w:t>
      </w:r>
      <w:r w:rsidR="003D7752">
        <w:rPr>
          <w:rFonts w:ascii="Arial" w:hAnsi="Arial" w:cs="Arial"/>
          <w:lang w:val="en-US"/>
        </w:rPr>
        <w:t>-</w:t>
      </w:r>
      <w:r w:rsidRPr="00DA2C52">
        <w:rPr>
          <w:rFonts w:ascii="Arial" w:hAnsi="Arial" w:cs="Arial"/>
          <w:lang w:val="en-US"/>
        </w:rPr>
        <w:t xml:space="preserve">androgens, </w:t>
      </w:r>
      <w:proofErr w:type="spellStart"/>
      <w:r w:rsidR="003D7752">
        <w:rPr>
          <w:rFonts w:ascii="Arial" w:hAnsi="Arial" w:cs="Arial"/>
          <w:lang w:val="en-US"/>
        </w:rPr>
        <w:t>o</w:t>
      </w:r>
      <w:r w:rsidRPr="00DA2C52">
        <w:rPr>
          <w:rFonts w:ascii="Arial" w:hAnsi="Arial" w:cs="Arial"/>
          <w:lang w:val="en-US"/>
        </w:rPr>
        <w:t>estrogens</w:t>
      </w:r>
      <w:proofErr w:type="spellEnd"/>
      <w:r w:rsidRPr="00DA2C52">
        <w:rPr>
          <w:rFonts w:ascii="Arial" w:hAnsi="Arial" w:cs="Arial"/>
          <w:lang w:val="en-US"/>
        </w:rPr>
        <w:t xml:space="preserve">, </w:t>
      </w:r>
      <w:proofErr w:type="spellStart"/>
      <w:r w:rsidRPr="00DA2C52">
        <w:rPr>
          <w:rFonts w:ascii="Arial" w:hAnsi="Arial" w:cs="Arial"/>
          <w:lang w:val="en-US"/>
        </w:rPr>
        <w:t>estramustine</w:t>
      </w:r>
      <w:proofErr w:type="spellEnd"/>
      <w:r w:rsidRPr="00DA2C52">
        <w:rPr>
          <w:rFonts w:ascii="Arial" w:hAnsi="Arial" w:cs="Arial"/>
          <w:lang w:val="en-US"/>
        </w:rPr>
        <w:t xml:space="preserve"> </w:t>
      </w:r>
      <w:r w:rsidR="003D7752">
        <w:rPr>
          <w:rFonts w:ascii="Arial" w:hAnsi="Arial" w:cs="Arial"/>
          <w:lang w:val="en-US"/>
        </w:rPr>
        <w:t>and</w:t>
      </w:r>
      <w:r w:rsidRPr="00DA2C52">
        <w:rPr>
          <w:rFonts w:ascii="Arial" w:hAnsi="Arial" w:cs="Arial"/>
          <w:lang w:val="en-US"/>
        </w:rPr>
        <w:t xml:space="preserve"> ketoconazole.  At the recommendation of the Independent Data Monitoring Committee, the study was </w:t>
      </w:r>
      <w:proofErr w:type="spellStart"/>
      <w:r w:rsidRPr="00DA2C52">
        <w:rPr>
          <w:rFonts w:ascii="Arial" w:hAnsi="Arial" w:cs="Arial"/>
          <w:lang w:val="en-US"/>
        </w:rPr>
        <w:t>unbli</w:t>
      </w:r>
      <w:r w:rsidR="003D7752">
        <w:rPr>
          <w:rFonts w:ascii="Arial" w:hAnsi="Arial" w:cs="Arial"/>
          <w:lang w:val="en-US"/>
        </w:rPr>
        <w:t>nded</w:t>
      </w:r>
      <w:proofErr w:type="spellEnd"/>
      <w:r w:rsidR="003D7752">
        <w:rPr>
          <w:rFonts w:ascii="Arial" w:hAnsi="Arial" w:cs="Arial"/>
          <w:lang w:val="en-US"/>
        </w:rPr>
        <w:t xml:space="preserve"> after the interim analysis</w:t>
      </w:r>
      <w:r w:rsidRPr="00DA2C52">
        <w:rPr>
          <w:rFonts w:ascii="Arial" w:hAnsi="Arial" w:cs="Arial"/>
          <w:lang w:val="en-US"/>
        </w:rPr>
        <w:t xml:space="preserve"> due to evidence of </w:t>
      </w:r>
      <w:proofErr w:type="spellStart"/>
      <w:r w:rsidRPr="00DA2C52">
        <w:rPr>
          <w:rFonts w:ascii="Arial" w:hAnsi="Arial" w:cs="Arial"/>
          <w:lang w:val="en-US"/>
        </w:rPr>
        <w:t>favo</w:t>
      </w:r>
      <w:r w:rsidR="00BA794D">
        <w:rPr>
          <w:rFonts w:ascii="Arial" w:hAnsi="Arial" w:cs="Arial"/>
          <w:lang w:val="en-US"/>
        </w:rPr>
        <w:t>u</w:t>
      </w:r>
      <w:r w:rsidRPr="00DA2C52">
        <w:rPr>
          <w:rFonts w:ascii="Arial" w:hAnsi="Arial" w:cs="Arial"/>
          <w:lang w:val="en-US"/>
        </w:rPr>
        <w:t>rable</w:t>
      </w:r>
      <w:proofErr w:type="spellEnd"/>
      <w:r w:rsidRPr="00DA2C52">
        <w:rPr>
          <w:rFonts w:ascii="Arial" w:hAnsi="Arial" w:cs="Arial"/>
          <w:lang w:val="en-US"/>
        </w:rPr>
        <w:t xml:space="preserve"> efficacy based on the pre-specified stopping criteria.</w:t>
      </w:r>
      <w:r w:rsidR="005067F2">
        <w:rPr>
          <w:rFonts w:ascii="Arial" w:hAnsi="Arial" w:cs="Arial"/>
          <w:lang w:val="en-US"/>
        </w:rPr>
        <w:t xml:space="preserve">  </w:t>
      </w:r>
      <w:r w:rsidRPr="00DA2C52">
        <w:rPr>
          <w:rFonts w:ascii="Arial" w:hAnsi="Arial" w:cs="Arial"/>
          <w:lang w:val="en-US"/>
        </w:rPr>
        <w:t>An updated descriptive analysis of safety and of overall surviv</w:t>
      </w:r>
      <w:r w:rsidR="003D7752">
        <w:rPr>
          <w:rFonts w:ascii="Arial" w:hAnsi="Arial" w:cs="Arial"/>
          <w:lang w:val="en-US"/>
        </w:rPr>
        <w:t xml:space="preserve">al was performed in 921 </w:t>
      </w:r>
      <w:proofErr w:type="spellStart"/>
      <w:r w:rsidR="003D7752">
        <w:rPr>
          <w:rFonts w:ascii="Arial" w:hAnsi="Arial" w:cs="Arial"/>
          <w:lang w:val="en-US"/>
        </w:rPr>
        <w:t>randomis</w:t>
      </w:r>
      <w:r w:rsidRPr="00DA2C52">
        <w:rPr>
          <w:rFonts w:ascii="Arial" w:hAnsi="Arial" w:cs="Arial"/>
          <w:lang w:val="en-US"/>
        </w:rPr>
        <w:t>ed</w:t>
      </w:r>
      <w:proofErr w:type="spellEnd"/>
      <w:r w:rsidRPr="00DA2C52">
        <w:rPr>
          <w:rFonts w:ascii="Arial" w:hAnsi="Arial" w:cs="Arial"/>
          <w:lang w:val="en-US"/>
        </w:rPr>
        <w:t xml:space="preserve"> patients prior to implementing crossover (i.e.</w:t>
      </w:r>
      <w:r w:rsidR="00BA794D">
        <w:rPr>
          <w:rFonts w:ascii="Arial" w:hAnsi="Arial" w:cs="Arial"/>
          <w:lang w:val="en-US"/>
        </w:rPr>
        <w:t xml:space="preserve"> prior to</w:t>
      </w:r>
      <w:r w:rsidRPr="00DA2C52">
        <w:rPr>
          <w:rFonts w:ascii="Arial" w:hAnsi="Arial" w:cs="Arial"/>
          <w:lang w:val="en-US"/>
        </w:rPr>
        <w:t xml:space="preserve"> offering </w:t>
      </w:r>
      <w:r w:rsidR="003D7752" w:rsidRPr="007E1D5F">
        <w:rPr>
          <w:rFonts w:ascii="Arial" w:hAnsi="Arial" w:cs="Arial"/>
          <w:caps/>
          <w:lang w:val="en-US"/>
        </w:rPr>
        <w:t>Xofigo</w:t>
      </w:r>
      <w:r w:rsidR="003D7752" w:rsidRPr="00DA2C52">
        <w:rPr>
          <w:rFonts w:ascii="Arial" w:hAnsi="Arial" w:cs="Arial"/>
          <w:lang w:val="en-US"/>
        </w:rPr>
        <w:t xml:space="preserve"> treatment </w:t>
      </w:r>
      <w:r w:rsidR="003D7752">
        <w:rPr>
          <w:rFonts w:ascii="Arial" w:hAnsi="Arial" w:cs="Arial"/>
          <w:lang w:val="en-US"/>
        </w:rPr>
        <w:t xml:space="preserve">to </w:t>
      </w:r>
      <w:r w:rsidRPr="00DA2C52">
        <w:rPr>
          <w:rFonts w:ascii="Arial" w:hAnsi="Arial" w:cs="Arial"/>
          <w:lang w:val="en-US"/>
        </w:rPr>
        <w:t>patients in the placebo group).</w:t>
      </w:r>
    </w:p>
    <w:p w:rsidR="003D7752" w:rsidRPr="00DA2C52" w:rsidRDefault="003D7752" w:rsidP="007E1D5F">
      <w:pPr>
        <w:spacing w:after="0" w:line="240" w:lineRule="auto"/>
        <w:jc w:val="both"/>
        <w:rPr>
          <w:rFonts w:ascii="Arial" w:hAnsi="Arial" w:cs="Arial"/>
          <w:lang w:val="en-US"/>
        </w:rPr>
      </w:pPr>
    </w:p>
    <w:p w:rsidR="00DA2C52" w:rsidRPr="00DA2C52" w:rsidRDefault="00DA2C52" w:rsidP="00634F7D">
      <w:pPr>
        <w:keepLines/>
        <w:spacing w:after="0" w:line="240" w:lineRule="auto"/>
        <w:jc w:val="both"/>
        <w:rPr>
          <w:rFonts w:ascii="Arial" w:hAnsi="Arial" w:cs="Arial"/>
          <w:lang w:val="en-US"/>
        </w:rPr>
      </w:pPr>
      <w:r w:rsidRPr="00DA2C52">
        <w:rPr>
          <w:rFonts w:ascii="Arial" w:hAnsi="Arial" w:cs="Arial"/>
          <w:lang w:val="en-US"/>
        </w:rPr>
        <w:t xml:space="preserve">Patients with </w:t>
      </w:r>
      <w:proofErr w:type="spellStart"/>
      <w:r w:rsidRPr="00DA2C52">
        <w:rPr>
          <w:rFonts w:ascii="Arial" w:hAnsi="Arial" w:cs="Arial"/>
          <w:lang w:val="en-US"/>
        </w:rPr>
        <w:t>Crohn’s</w:t>
      </w:r>
      <w:proofErr w:type="spellEnd"/>
      <w:r w:rsidRPr="00DA2C52">
        <w:rPr>
          <w:rFonts w:ascii="Arial" w:hAnsi="Arial" w:cs="Arial"/>
          <w:lang w:val="en-US"/>
        </w:rPr>
        <w:t xml:space="preserve"> disease, ulcerative colitis, visceral metastases, prior </w:t>
      </w:r>
      <w:proofErr w:type="spellStart"/>
      <w:r w:rsidRPr="00DA2C52">
        <w:rPr>
          <w:rFonts w:ascii="Arial" w:hAnsi="Arial" w:cs="Arial"/>
          <w:lang w:val="en-US"/>
        </w:rPr>
        <w:t>hemibody</w:t>
      </w:r>
      <w:proofErr w:type="spellEnd"/>
      <w:r w:rsidRPr="00DA2C52">
        <w:rPr>
          <w:rFonts w:ascii="Arial" w:hAnsi="Arial" w:cs="Arial"/>
          <w:lang w:val="en-US"/>
        </w:rPr>
        <w:t xml:space="preserve"> radiation and untreated imminent or established spinal cord compression were excluded from the study. </w:t>
      </w:r>
      <w:r w:rsidR="005067F2">
        <w:rPr>
          <w:rFonts w:ascii="Arial" w:hAnsi="Arial" w:cs="Arial"/>
          <w:lang w:val="en-US"/>
        </w:rPr>
        <w:t xml:space="preserve"> </w:t>
      </w:r>
      <w:r w:rsidRPr="00DA2C52">
        <w:rPr>
          <w:rFonts w:ascii="Arial" w:hAnsi="Arial" w:cs="Arial"/>
          <w:lang w:val="en-US"/>
        </w:rPr>
        <w:t xml:space="preserve">Demographic and baseline disease characteristics (interim analysis population) were comparable between the </w:t>
      </w:r>
      <w:r w:rsidRPr="007E1D5F">
        <w:rPr>
          <w:rFonts w:ascii="Arial" w:hAnsi="Arial" w:cs="Arial"/>
          <w:caps/>
          <w:lang w:val="en-US"/>
        </w:rPr>
        <w:t>Xofigo</w:t>
      </w:r>
      <w:r w:rsidRPr="00DA2C52">
        <w:rPr>
          <w:rFonts w:ascii="Arial" w:hAnsi="Arial" w:cs="Arial"/>
          <w:lang w:val="en-US"/>
        </w:rPr>
        <w:t xml:space="preserve"> and placebo groups and are shown below for </w:t>
      </w:r>
      <w:r w:rsidRPr="007E1D5F">
        <w:rPr>
          <w:rFonts w:ascii="Arial" w:hAnsi="Arial" w:cs="Arial"/>
          <w:caps/>
          <w:lang w:val="en-US"/>
        </w:rPr>
        <w:t>Xofigo</w:t>
      </w:r>
      <w:r w:rsidRPr="00DA2C52">
        <w:rPr>
          <w:rFonts w:ascii="Arial" w:hAnsi="Arial" w:cs="Arial"/>
          <w:lang w:val="en-US"/>
        </w:rPr>
        <w:t xml:space="preserve">: </w:t>
      </w:r>
    </w:p>
    <w:p w:rsidR="00DA2C52" w:rsidRPr="00DA2C52" w:rsidRDefault="00DA2C52" w:rsidP="003D7752">
      <w:pPr>
        <w:numPr>
          <w:ilvl w:val="0"/>
          <w:numId w:val="2"/>
        </w:numPr>
        <w:spacing w:before="60" w:after="0" w:line="240" w:lineRule="auto"/>
        <w:ind w:left="714" w:hanging="357"/>
        <w:rPr>
          <w:rFonts w:ascii="Arial" w:hAnsi="Arial" w:cs="Arial"/>
          <w:lang w:val="en-US"/>
        </w:rPr>
      </w:pPr>
      <w:r w:rsidRPr="00DA2C52">
        <w:rPr>
          <w:rFonts w:ascii="Arial" w:hAnsi="Arial" w:cs="Arial"/>
          <w:lang w:val="en-US"/>
        </w:rPr>
        <w:t xml:space="preserve">the mean age of patients was </w:t>
      </w:r>
      <w:r w:rsidR="003D7752">
        <w:rPr>
          <w:rFonts w:ascii="Arial" w:hAnsi="Arial" w:cs="Arial"/>
          <w:lang w:val="en-US"/>
        </w:rPr>
        <w:t>70 years (range 49 to 90 years)</w:t>
      </w:r>
    </w:p>
    <w:p w:rsidR="00DA2C52" w:rsidRPr="00DA2C52" w:rsidRDefault="00DA2C52" w:rsidP="003D7752">
      <w:pPr>
        <w:numPr>
          <w:ilvl w:val="0"/>
          <w:numId w:val="2"/>
        </w:numPr>
        <w:spacing w:before="60" w:after="0" w:line="240" w:lineRule="auto"/>
        <w:ind w:left="714" w:hanging="357"/>
        <w:rPr>
          <w:rFonts w:ascii="Arial" w:hAnsi="Arial" w:cs="Arial"/>
          <w:lang w:val="en-US"/>
        </w:rPr>
      </w:pPr>
      <w:r w:rsidRPr="00DA2C52">
        <w:rPr>
          <w:rFonts w:ascii="Arial" w:hAnsi="Arial" w:cs="Arial"/>
          <w:lang w:val="en-US"/>
        </w:rPr>
        <w:t>87% of patients enrolled had an ECOG p</w:t>
      </w:r>
      <w:r w:rsidR="003D7752">
        <w:rPr>
          <w:rFonts w:ascii="Arial" w:hAnsi="Arial" w:cs="Arial"/>
          <w:lang w:val="en-US"/>
        </w:rPr>
        <w:t>erformance status score of 0-1</w:t>
      </w:r>
    </w:p>
    <w:p w:rsidR="00DA2C52" w:rsidRPr="00DA2C52" w:rsidRDefault="003D7752" w:rsidP="003D7752">
      <w:pPr>
        <w:numPr>
          <w:ilvl w:val="0"/>
          <w:numId w:val="2"/>
        </w:numPr>
        <w:spacing w:before="60" w:after="0" w:line="240" w:lineRule="auto"/>
        <w:ind w:left="714" w:hanging="357"/>
        <w:rPr>
          <w:rFonts w:ascii="Arial" w:hAnsi="Arial" w:cs="Arial"/>
          <w:lang w:val="en-US"/>
        </w:rPr>
      </w:pPr>
      <w:r>
        <w:rPr>
          <w:rFonts w:ascii="Arial" w:hAnsi="Arial" w:cs="Arial"/>
          <w:lang w:val="en-US"/>
        </w:rPr>
        <w:t>41% received bisphosphonates</w:t>
      </w:r>
    </w:p>
    <w:p w:rsidR="00DA2C52" w:rsidRPr="00DA2C52" w:rsidRDefault="00DA2C52" w:rsidP="003D7752">
      <w:pPr>
        <w:numPr>
          <w:ilvl w:val="0"/>
          <w:numId w:val="2"/>
        </w:numPr>
        <w:spacing w:before="60" w:after="0" w:line="240" w:lineRule="auto"/>
        <w:ind w:left="714" w:hanging="357"/>
        <w:rPr>
          <w:rFonts w:ascii="Arial" w:hAnsi="Arial" w:cs="Arial"/>
          <w:lang w:val="en-US"/>
        </w:rPr>
      </w:pPr>
      <w:r w:rsidRPr="00DA2C52">
        <w:rPr>
          <w:rFonts w:ascii="Arial" w:hAnsi="Arial" w:cs="Arial"/>
          <w:lang w:val="en-US"/>
        </w:rPr>
        <w:t xml:space="preserve">42% of patients did not receive prior </w:t>
      </w:r>
      <w:proofErr w:type="spellStart"/>
      <w:r w:rsidRPr="00DA2C52">
        <w:rPr>
          <w:rFonts w:ascii="Arial" w:hAnsi="Arial" w:cs="Arial"/>
          <w:lang w:val="en-US"/>
        </w:rPr>
        <w:t>docetaxel</w:t>
      </w:r>
      <w:proofErr w:type="spellEnd"/>
      <w:r w:rsidRPr="00DA2C52">
        <w:rPr>
          <w:rFonts w:ascii="Arial" w:hAnsi="Arial" w:cs="Arial"/>
          <w:lang w:val="en-US"/>
        </w:rPr>
        <w:t xml:space="preserve"> because they were deemed ineligible o</w:t>
      </w:r>
      <w:r w:rsidR="003D7752">
        <w:rPr>
          <w:rFonts w:ascii="Arial" w:hAnsi="Arial" w:cs="Arial"/>
          <w:lang w:val="en-US"/>
        </w:rPr>
        <w:t xml:space="preserve">r refused to receive </w:t>
      </w:r>
      <w:proofErr w:type="spellStart"/>
      <w:r w:rsidR="003D7752">
        <w:rPr>
          <w:rFonts w:ascii="Arial" w:hAnsi="Arial" w:cs="Arial"/>
          <w:lang w:val="en-US"/>
        </w:rPr>
        <w:t>docetaxel</w:t>
      </w:r>
      <w:proofErr w:type="spellEnd"/>
    </w:p>
    <w:p w:rsidR="00DA2C52" w:rsidRDefault="00DA2C52" w:rsidP="003D7752">
      <w:pPr>
        <w:numPr>
          <w:ilvl w:val="0"/>
          <w:numId w:val="2"/>
        </w:numPr>
        <w:spacing w:before="60" w:after="0" w:line="240" w:lineRule="auto"/>
        <w:ind w:left="714" w:hanging="357"/>
        <w:rPr>
          <w:rFonts w:ascii="Arial" w:hAnsi="Arial" w:cs="Arial"/>
          <w:lang w:val="en-US"/>
        </w:rPr>
      </w:pPr>
      <w:r w:rsidRPr="00DA2C52">
        <w:rPr>
          <w:rFonts w:ascii="Arial" w:hAnsi="Arial" w:cs="Arial"/>
          <w:lang w:val="en-US"/>
        </w:rPr>
        <w:t>46% of patients had no pain or WHO scale 1 (asymptomatic or</w:t>
      </w:r>
      <w:r w:rsidR="002D5207">
        <w:rPr>
          <w:rFonts w:ascii="Arial" w:hAnsi="Arial" w:cs="Arial"/>
          <w:lang w:val="en-US"/>
        </w:rPr>
        <w:t xml:space="preserve"> mildly </w:t>
      </w:r>
      <w:r w:rsidRPr="00DA2C52">
        <w:rPr>
          <w:rFonts w:ascii="Arial" w:hAnsi="Arial" w:cs="Arial"/>
          <w:lang w:val="en-US"/>
        </w:rPr>
        <w:t>symptomatic) and 54% had pain WHO scale 2-3</w:t>
      </w:r>
    </w:p>
    <w:p w:rsidR="005067F2" w:rsidRPr="005067F2" w:rsidRDefault="005067F2" w:rsidP="005067F2">
      <w:pPr>
        <w:numPr>
          <w:ilvl w:val="0"/>
          <w:numId w:val="2"/>
        </w:numPr>
        <w:spacing w:before="60" w:after="0" w:line="240" w:lineRule="auto"/>
        <w:ind w:left="714" w:hanging="357"/>
        <w:rPr>
          <w:rFonts w:ascii="Arial" w:hAnsi="Arial" w:cs="Arial"/>
          <w:lang w:val="en-US"/>
        </w:rPr>
      </w:pPr>
      <w:r w:rsidRPr="005067F2">
        <w:rPr>
          <w:rFonts w:ascii="Arial" w:hAnsi="Arial" w:cs="Arial"/>
          <w:lang w:val="en-US"/>
        </w:rPr>
        <w:t>16% of patients had &lt;</w:t>
      </w:r>
      <w:r w:rsidR="00BA794D">
        <w:rPr>
          <w:rFonts w:ascii="Arial" w:hAnsi="Arial" w:cs="Arial"/>
          <w:lang w:val="en-US"/>
        </w:rPr>
        <w:t> </w:t>
      </w:r>
      <w:r w:rsidRPr="005067F2">
        <w:rPr>
          <w:rFonts w:ascii="Arial" w:hAnsi="Arial" w:cs="Arial"/>
          <w:lang w:val="en-US"/>
        </w:rPr>
        <w:t>6 bone metastases, 44% of patients had between 6 and 20 bone metastases,</w:t>
      </w:r>
      <w:r w:rsidR="003B08BF">
        <w:rPr>
          <w:rFonts w:ascii="Arial" w:hAnsi="Arial" w:cs="Arial"/>
          <w:lang w:val="en-US"/>
        </w:rPr>
        <w:t xml:space="preserve"> and</w:t>
      </w:r>
      <w:r w:rsidRPr="005067F2">
        <w:rPr>
          <w:rFonts w:ascii="Arial" w:hAnsi="Arial" w:cs="Arial"/>
          <w:lang w:val="en-US"/>
        </w:rPr>
        <w:t xml:space="preserve"> 40% of patients had more than 20 bone metastases or </w:t>
      </w:r>
      <w:proofErr w:type="spellStart"/>
      <w:r w:rsidRPr="005067F2">
        <w:rPr>
          <w:rFonts w:ascii="Arial" w:hAnsi="Arial" w:cs="Arial"/>
          <w:lang w:val="en-US"/>
        </w:rPr>
        <w:t>superscan</w:t>
      </w:r>
      <w:proofErr w:type="spellEnd"/>
      <w:r w:rsidRPr="005067F2">
        <w:rPr>
          <w:rFonts w:ascii="Arial" w:hAnsi="Arial" w:cs="Arial"/>
          <w:lang w:val="en-US"/>
        </w:rPr>
        <w:t xml:space="preserve"> </w:t>
      </w:r>
    </w:p>
    <w:p w:rsidR="005067F2" w:rsidRPr="005067F2" w:rsidRDefault="005067F2" w:rsidP="005067F2">
      <w:pPr>
        <w:pStyle w:val="BulletBayerBodyText"/>
        <w:numPr>
          <w:ilvl w:val="0"/>
          <w:numId w:val="0"/>
        </w:numPr>
        <w:spacing w:after="0"/>
        <w:rPr>
          <w:rFonts w:ascii="Arial" w:hAnsi="Arial" w:cs="Arial"/>
          <w:sz w:val="22"/>
          <w:szCs w:val="22"/>
        </w:rPr>
      </w:pPr>
    </w:p>
    <w:p w:rsidR="005067F2" w:rsidRPr="005067F2" w:rsidRDefault="005067F2" w:rsidP="007E1D5F">
      <w:pPr>
        <w:pStyle w:val="BulletBayerBodyText"/>
        <w:numPr>
          <w:ilvl w:val="0"/>
          <w:numId w:val="0"/>
        </w:numPr>
        <w:spacing w:after="0"/>
        <w:jc w:val="both"/>
        <w:rPr>
          <w:rFonts w:ascii="Arial" w:hAnsi="Arial" w:cs="Arial"/>
          <w:sz w:val="22"/>
          <w:szCs w:val="22"/>
        </w:rPr>
      </w:pPr>
      <w:r w:rsidRPr="005067F2">
        <w:rPr>
          <w:rFonts w:ascii="Arial" w:hAnsi="Arial" w:cs="Arial"/>
          <w:sz w:val="22"/>
          <w:szCs w:val="22"/>
        </w:rPr>
        <w:t xml:space="preserve">During the treatment period, 83% of patients received </w:t>
      </w:r>
      <w:proofErr w:type="spellStart"/>
      <w:r>
        <w:rPr>
          <w:rFonts w:ascii="Arial" w:hAnsi="Arial" w:cs="Arial"/>
          <w:sz w:val="22"/>
          <w:szCs w:val="22"/>
        </w:rPr>
        <w:t>luteinis</w:t>
      </w:r>
      <w:r w:rsidRPr="005067F2">
        <w:rPr>
          <w:rFonts w:ascii="Arial" w:hAnsi="Arial" w:cs="Arial"/>
          <w:sz w:val="22"/>
          <w:szCs w:val="22"/>
        </w:rPr>
        <w:t>ing</w:t>
      </w:r>
      <w:proofErr w:type="spellEnd"/>
      <w:r w:rsidRPr="005067F2">
        <w:rPr>
          <w:rFonts w:ascii="Arial" w:hAnsi="Arial" w:cs="Arial"/>
          <w:sz w:val="22"/>
          <w:szCs w:val="22"/>
        </w:rPr>
        <w:t xml:space="preserve"> hormone-releasing hormone (LHRH) agonists and </w:t>
      </w:r>
      <w:r w:rsidR="00A222B4">
        <w:rPr>
          <w:rFonts w:ascii="Arial" w:hAnsi="Arial" w:cs="Arial"/>
          <w:sz w:val="22"/>
          <w:szCs w:val="22"/>
        </w:rPr>
        <w:t>21</w:t>
      </w:r>
      <w:r w:rsidRPr="005067F2">
        <w:rPr>
          <w:rFonts w:ascii="Arial" w:hAnsi="Arial" w:cs="Arial"/>
          <w:sz w:val="22"/>
          <w:szCs w:val="22"/>
        </w:rPr>
        <w:t>% of patients received anti-androgens concomitantly.</w:t>
      </w:r>
    </w:p>
    <w:p w:rsidR="005067F2" w:rsidRPr="005067F2" w:rsidRDefault="005067F2" w:rsidP="007E1D5F">
      <w:pPr>
        <w:pStyle w:val="BulletBayerBodyText"/>
        <w:numPr>
          <w:ilvl w:val="0"/>
          <w:numId w:val="0"/>
        </w:numPr>
        <w:spacing w:after="0"/>
        <w:jc w:val="both"/>
        <w:rPr>
          <w:rFonts w:ascii="Arial" w:hAnsi="Arial" w:cs="Arial"/>
          <w:sz w:val="22"/>
          <w:szCs w:val="22"/>
        </w:rPr>
      </w:pPr>
    </w:p>
    <w:p w:rsidR="005067F2" w:rsidRDefault="005067F2" w:rsidP="007E1D5F">
      <w:pPr>
        <w:pStyle w:val="BayerBodyTextFull"/>
        <w:spacing w:before="0" w:after="0"/>
        <w:jc w:val="both"/>
        <w:rPr>
          <w:rFonts w:ascii="Arial" w:hAnsi="Arial" w:cs="Arial"/>
          <w:sz w:val="22"/>
          <w:szCs w:val="22"/>
        </w:rPr>
      </w:pPr>
      <w:r w:rsidRPr="005067F2">
        <w:rPr>
          <w:rFonts w:ascii="Arial" w:hAnsi="Arial" w:cs="Arial"/>
          <w:sz w:val="22"/>
          <w:szCs w:val="22"/>
        </w:rPr>
        <w:t xml:space="preserve">The results of both interim and updated analysis revealed that </w:t>
      </w:r>
      <w:r w:rsidR="000F2827">
        <w:rPr>
          <w:rFonts w:ascii="Arial" w:hAnsi="Arial" w:cs="Arial"/>
          <w:sz w:val="22"/>
          <w:szCs w:val="22"/>
        </w:rPr>
        <w:t>OS</w:t>
      </w:r>
      <w:r w:rsidRPr="005067F2">
        <w:rPr>
          <w:rFonts w:ascii="Arial" w:hAnsi="Arial" w:cs="Arial"/>
          <w:sz w:val="22"/>
          <w:szCs w:val="22"/>
        </w:rPr>
        <w:t xml:space="preserve"> was significantly longer in patients treated with </w:t>
      </w:r>
      <w:r w:rsidRPr="007E1D5F">
        <w:rPr>
          <w:rFonts w:ascii="Arial" w:hAnsi="Arial" w:cs="Arial"/>
          <w:caps/>
          <w:sz w:val="22"/>
          <w:szCs w:val="22"/>
        </w:rPr>
        <w:t>Xofigo</w:t>
      </w:r>
      <w:r w:rsidRPr="005067F2">
        <w:rPr>
          <w:rFonts w:ascii="Arial" w:hAnsi="Arial" w:cs="Arial"/>
          <w:sz w:val="22"/>
          <w:szCs w:val="22"/>
        </w:rPr>
        <w:t xml:space="preserve"> plus </w:t>
      </w:r>
      <w:proofErr w:type="spellStart"/>
      <w:r w:rsidR="000F2827">
        <w:rPr>
          <w:rFonts w:ascii="Arial" w:hAnsi="Arial" w:cs="Arial"/>
          <w:sz w:val="22"/>
          <w:szCs w:val="22"/>
        </w:rPr>
        <w:t>BSoC</w:t>
      </w:r>
      <w:proofErr w:type="spellEnd"/>
      <w:r w:rsidRPr="005067F2">
        <w:rPr>
          <w:rFonts w:ascii="Arial" w:hAnsi="Arial" w:cs="Arial"/>
          <w:sz w:val="22"/>
          <w:szCs w:val="22"/>
        </w:rPr>
        <w:t xml:space="preserve"> compared to patients treated with placebo plus </w:t>
      </w:r>
      <w:proofErr w:type="spellStart"/>
      <w:r w:rsidR="000F2827">
        <w:rPr>
          <w:rFonts w:ascii="Arial" w:hAnsi="Arial" w:cs="Arial"/>
          <w:sz w:val="22"/>
          <w:szCs w:val="22"/>
        </w:rPr>
        <w:t>BSoC</w:t>
      </w:r>
      <w:proofErr w:type="spellEnd"/>
      <w:r w:rsidRPr="005067F2">
        <w:rPr>
          <w:rFonts w:ascii="Arial" w:hAnsi="Arial" w:cs="Arial"/>
          <w:sz w:val="22"/>
          <w:szCs w:val="22"/>
        </w:rPr>
        <w:t xml:space="preserve"> (see </w:t>
      </w:r>
      <w:hyperlink w:anchor="table2" w:history="1">
        <w:r w:rsidRPr="005067F2">
          <w:rPr>
            <w:rStyle w:val="Hyperlink"/>
            <w:rFonts w:ascii="Arial" w:hAnsi="Arial" w:cs="Arial"/>
            <w:color w:val="auto"/>
            <w:sz w:val="22"/>
            <w:szCs w:val="22"/>
            <w:u w:val="none"/>
          </w:rPr>
          <w:t>Table</w:t>
        </w:r>
        <w:r>
          <w:rPr>
            <w:rStyle w:val="Hyperlink"/>
            <w:rFonts w:ascii="Arial" w:hAnsi="Arial" w:cs="Arial"/>
            <w:color w:val="auto"/>
            <w:sz w:val="22"/>
            <w:szCs w:val="22"/>
            <w:u w:val="none"/>
          </w:rPr>
          <w:t xml:space="preserve"> </w:t>
        </w:r>
        <w:r w:rsidRPr="005067F2">
          <w:rPr>
            <w:rStyle w:val="Hyperlink"/>
            <w:rFonts w:ascii="Arial" w:hAnsi="Arial" w:cs="Arial"/>
            <w:color w:val="auto"/>
            <w:sz w:val="22"/>
            <w:szCs w:val="22"/>
            <w:u w:val="none"/>
          </w:rPr>
          <w:t>1</w:t>
        </w:r>
      </w:hyperlink>
      <w:r w:rsidRPr="005067F2">
        <w:rPr>
          <w:rFonts w:ascii="Arial" w:hAnsi="Arial" w:cs="Arial"/>
          <w:sz w:val="22"/>
          <w:szCs w:val="22"/>
        </w:rPr>
        <w:t xml:space="preserve">, </w:t>
      </w:r>
      <w:hyperlink w:anchor="figure1" w:history="1">
        <w:r w:rsidRPr="005067F2">
          <w:rPr>
            <w:rStyle w:val="Hyperlink"/>
            <w:rFonts w:ascii="Arial" w:hAnsi="Arial" w:cs="Arial"/>
            <w:color w:val="auto"/>
            <w:sz w:val="22"/>
            <w:szCs w:val="22"/>
            <w:u w:val="none"/>
          </w:rPr>
          <w:t>Figure 1</w:t>
        </w:r>
      </w:hyperlink>
      <w:r w:rsidRPr="005067F2">
        <w:rPr>
          <w:rFonts w:ascii="Arial" w:hAnsi="Arial" w:cs="Arial"/>
          <w:sz w:val="22"/>
          <w:szCs w:val="22"/>
        </w:rPr>
        <w:t xml:space="preserve">). </w:t>
      </w:r>
      <w:r>
        <w:rPr>
          <w:rFonts w:ascii="Arial" w:hAnsi="Arial" w:cs="Arial"/>
          <w:sz w:val="22"/>
          <w:szCs w:val="22"/>
        </w:rPr>
        <w:t xml:space="preserve"> </w:t>
      </w:r>
      <w:r w:rsidRPr="005067F2">
        <w:rPr>
          <w:rFonts w:ascii="Arial" w:hAnsi="Arial" w:cs="Arial"/>
          <w:sz w:val="22"/>
          <w:szCs w:val="22"/>
        </w:rPr>
        <w:t xml:space="preserve">For both databases, the </w:t>
      </w:r>
      <w:r w:rsidR="000F2827">
        <w:rPr>
          <w:rFonts w:ascii="Arial" w:hAnsi="Arial" w:cs="Arial"/>
          <w:sz w:val="22"/>
          <w:szCs w:val="22"/>
        </w:rPr>
        <w:t>OS</w:t>
      </w:r>
      <w:r w:rsidRPr="005067F2">
        <w:rPr>
          <w:rFonts w:ascii="Arial" w:hAnsi="Arial" w:cs="Arial"/>
          <w:sz w:val="22"/>
          <w:szCs w:val="22"/>
        </w:rPr>
        <w:t xml:space="preserve"> improvement was 44% based on the hazard ratios.</w:t>
      </w:r>
    </w:p>
    <w:p w:rsidR="005067F2" w:rsidRPr="005067F2" w:rsidRDefault="005067F2" w:rsidP="007E1D5F">
      <w:pPr>
        <w:pStyle w:val="BayerBodyTextFull"/>
        <w:spacing w:before="0" w:after="0"/>
        <w:jc w:val="both"/>
        <w:rPr>
          <w:rFonts w:ascii="Arial" w:hAnsi="Arial" w:cs="Arial"/>
          <w:sz w:val="22"/>
          <w:szCs w:val="22"/>
        </w:rPr>
      </w:pPr>
    </w:p>
    <w:p w:rsidR="005067F2" w:rsidRDefault="005067F2" w:rsidP="007E1D5F">
      <w:pPr>
        <w:pStyle w:val="BayerBodyTextFull"/>
        <w:spacing w:before="0" w:after="0"/>
        <w:jc w:val="both"/>
        <w:rPr>
          <w:rFonts w:ascii="Arial" w:hAnsi="Arial" w:cs="Arial"/>
          <w:sz w:val="22"/>
          <w:szCs w:val="22"/>
        </w:rPr>
      </w:pPr>
      <w:r w:rsidRPr="005067F2">
        <w:rPr>
          <w:rFonts w:ascii="Arial" w:hAnsi="Arial" w:cs="Arial"/>
          <w:sz w:val="22"/>
          <w:szCs w:val="22"/>
        </w:rPr>
        <w:t xml:space="preserve">For the interim analysis, an increase in median OS of 2.8 months was seen with </w:t>
      </w:r>
      <w:r w:rsidRPr="007E1D5F">
        <w:rPr>
          <w:rFonts w:ascii="Arial" w:hAnsi="Arial" w:cs="Arial"/>
          <w:caps/>
          <w:sz w:val="22"/>
          <w:szCs w:val="22"/>
        </w:rPr>
        <w:t>Xofigo</w:t>
      </w:r>
      <w:r w:rsidRPr="005067F2">
        <w:rPr>
          <w:rFonts w:ascii="Arial" w:hAnsi="Arial" w:cs="Arial"/>
          <w:sz w:val="22"/>
          <w:szCs w:val="22"/>
        </w:rPr>
        <w:t xml:space="preserve"> plus </w:t>
      </w:r>
      <w:proofErr w:type="spellStart"/>
      <w:r w:rsidR="000F2827">
        <w:rPr>
          <w:rFonts w:ascii="Arial" w:hAnsi="Arial" w:cs="Arial"/>
          <w:sz w:val="22"/>
          <w:szCs w:val="22"/>
        </w:rPr>
        <w:t>BSoC</w:t>
      </w:r>
      <w:proofErr w:type="spellEnd"/>
      <w:r w:rsidRPr="005067F2">
        <w:rPr>
          <w:rFonts w:ascii="Arial" w:hAnsi="Arial" w:cs="Arial"/>
          <w:sz w:val="22"/>
          <w:szCs w:val="22"/>
        </w:rPr>
        <w:t xml:space="preserve"> compared to plac</w:t>
      </w:r>
      <w:r w:rsidR="00D01072">
        <w:rPr>
          <w:rFonts w:ascii="Arial" w:hAnsi="Arial" w:cs="Arial"/>
          <w:sz w:val="22"/>
          <w:szCs w:val="22"/>
        </w:rPr>
        <w:t xml:space="preserve">ebo plus </w:t>
      </w:r>
      <w:proofErr w:type="spellStart"/>
      <w:r w:rsidR="000F2827">
        <w:rPr>
          <w:rFonts w:ascii="Arial" w:hAnsi="Arial" w:cs="Arial"/>
          <w:sz w:val="22"/>
          <w:szCs w:val="22"/>
        </w:rPr>
        <w:t>BSoC</w:t>
      </w:r>
      <w:proofErr w:type="spellEnd"/>
      <w:r w:rsidR="00D01072">
        <w:rPr>
          <w:rFonts w:ascii="Arial" w:hAnsi="Arial" w:cs="Arial"/>
          <w:sz w:val="22"/>
          <w:szCs w:val="22"/>
        </w:rPr>
        <w:t xml:space="preserve"> </w:t>
      </w:r>
      <w:r w:rsidRPr="005067F2">
        <w:rPr>
          <w:rFonts w:ascii="Arial" w:hAnsi="Arial" w:cs="Arial"/>
          <w:sz w:val="22"/>
          <w:szCs w:val="22"/>
        </w:rPr>
        <w:t>with a more than 30% reduction in the risk of death.</w:t>
      </w:r>
      <w:r w:rsidR="00D01072">
        <w:rPr>
          <w:rFonts w:ascii="Arial" w:hAnsi="Arial" w:cs="Arial"/>
          <w:sz w:val="22"/>
          <w:szCs w:val="22"/>
        </w:rPr>
        <w:t xml:space="preserve"> </w:t>
      </w:r>
      <w:r w:rsidRPr="005067F2">
        <w:rPr>
          <w:rFonts w:ascii="Arial" w:hAnsi="Arial" w:cs="Arial"/>
          <w:sz w:val="22"/>
          <w:szCs w:val="22"/>
        </w:rPr>
        <w:t xml:space="preserve"> For the updated analysis, an increase in median </w:t>
      </w:r>
      <w:r w:rsidR="00BA794D">
        <w:rPr>
          <w:rFonts w:ascii="Arial" w:hAnsi="Arial" w:cs="Arial"/>
          <w:sz w:val="22"/>
          <w:szCs w:val="22"/>
        </w:rPr>
        <w:t>OS</w:t>
      </w:r>
      <w:r w:rsidRPr="005067F2">
        <w:rPr>
          <w:rFonts w:ascii="Arial" w:hAnsi="Arial" w:cs="Arial"/>
          <w:sz w:val="22"/>
          <w:szCs w:val="22"/>
        </w:rPr>
        <w:t xml:space="preserve"> of 3.6 months was seen with </w:t>
      </w:r>
      <w:r w:rsidRPr="007E1D5F">
        <w:rPr>
          <w:rFonts w:ascii="Arial" w:hAnsi="Arial" w:cs="Arial"/>
          <w:caps/>
          <w:sz w:val="22"/>
          <w:szCs w:val="22"/>
        </w:rPr>
        <w:t>Xofigo</w:t>
      </w:r>
      <w:r w:rsidRPr="005067F2">
        <w:rPr>
          <w:rFonts w:ascii="Arial" w:hAnsi="Arial" w:cs="Arial"/>
          <w:sz w:val="22"/>
          <w:szCs w:val="22"/>
        </w:rPr>
        <w:t xml:space="preserve"> plus </w:t>
      </w:r>
      <w:proofErr w:type="spellStart"/>
      <w:r w:rsidR="000F2827">
        <w:rPr>
          <w:rFonts w:ascii="Arial" w:hAnsi="Arial" w:cs="Arial"/>
          <w:sz w:val="22"/>
          <w:szCs w:val="22"/>
        </w:rPr>
        <w:t>BSoC</w:t>
      </w:r>
      <w:proofErr w:type="spellEnd"/>
      <w:r w:rsidRPr="005067F2">
        <w:rPr>
          <w:rFonts w:ascii="Arial" w:hAnsi="Arial" w:cs="Arial"/>
          <w:sz w:val="22"/>
          <w:szCs w:val="22"/>
        </w:rPr>
        <w:t xml:space="preserve"> compared to pla</w:t>
      </w:r>
      <w:r w:rsidR="00D01072">
        <w:rPr>
          <w:rFonts w:ascii="Arial" w:hAnsi="Arial" w:cs="Arial"/>
          <w:sz w:val="22"/>
          <w:szCs w:val="22"/>
        </w:rPr>
        <w:t xml:space="preserve">cebo plus </w:t>
      </w:r>
      <w:proofErr w:type="spellStart"/>
      <w:r w:rsidR="000F2827">
        <w:rPr>
          <w:rFonts w:ascii="Arial" w:hAnsi="Arial" w:cs="Arial"/>
          <w:sz w:val="22"/>
          <w:szCs w:val="22"/>
        </w:rPr>
        <w:t>BSoC</w:t>
      </w:r>
      <w:proofErr w:type="spellEnd"/>
      <w:r w:rsidR="00D01072">
        <w:rPr>
          <w:rFonts w:ascii="Arial" w:hAnsi="Arial" w:cs="Arial"/>
          <w:sz w:val="22"/>
          <w:szCs w:val="22"/>
        </w:rPr>
        <w:t>.</w:t>
      </w:r>
    </w:p>
    <w:p w:rsidR="00512E04" w:rsidRDefault="00512E04" w:rsidP="00512E04">
      <w:pPr>
        <w:pStyle w:val="BayerBodyTextFull"/>
        <w:spacing w:before="0" w:after="0"/>
        <w:rPr>
          <w:rFonts w:ascii="Arial" w:hAnsi="Arial" w:cs="Arial"/>
          <w:sz w:val="22"/>
          <w:szCs w:val="22"/>
        </w:rPr>
      </w:pPr>
    </w:p>
    <w:p w:rsidR="00D01072" w:rsidRPr="00D01072" w:rsidRDefault="00D01072" w:rsidP="0011319D">
      <w:pPr>
        <w:pStyle w:val="Caption"/>
        <w:spacing w:before="0"/>
        <w:ind w:left="0"/>
        <w:rPr>
          <w:rFonts w:ascii="Arial" w:hAnsi="Arial" w:cs="Arial"/>
          <w:sz w:val="20"/>
        </w:rPr>
      </w:pPr>
      <w:bookmarkStart w:id="1" w:name="table2"/>
      <w:bookmarkStart w:id="2" w:name="OLE_LINK9"/>
      <w:r w:rsidRPr="00D01072">
        <w:rPr>
          <w:rFonts w:ascii="Arial" w:hAnsi="Arial" w:cs="Arial"/>
          <w:sz w:val="20"/>
        </w:rPr>
        <w:lastRenderedPageBreak/>
        <w:t xml:space="preserve">Table </w:t>
      </w:r>
      <w:r>
        <w:rPr>
          <w:rFonts w:ascii="Arial" w:hAnsi="Arial" w:cs="Arial"/>
          <w:sz w:val="20"/>
        </w:rPr>
        <w:t>1</w:t>
      </w:r>
      <w:r w:rsidRPr="00D01072">
        <w:rPr>
          <w:rFonts w:ascii="Arial" w:hAnsi="Arial" w:cs="Arial"/>
          <w:sz w:val="20"/>
        </w:rPr>
        <w:t>: Survival Results from the Phase III ALSYMPCA Study</w:t>
      </w:r>
    </w:p>
    <w:tbl>
      <w:tblPr>
        <w:tblW w:w="44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1"/>
        <w:gridCol w:w="2227"/>
        <w:gridCol w:w="2226"/>
      </w:tblGrid>
      <w:tr w:rsidR="00D01072" w:rsidRPr="00D01072" w:rsidTr="00D01072">
        <w:trPr>
          <w:tblHeader/>
        </w:trPr>
        <w:tc>
          <w:tcPr>
            <w:tcW w:w="2305" w:type="pct"/>
            <w:tcBorders>
              <w:top w:val="single" w:sz="12" w:space="0" w:color="auto"/>
              <w:left w:val="single" w:sz="12" w:space="0" w:color="auto"/>
              <w:bottom w:val="single" w:sz="6" w:space="0" w:color="auto"/>
              <w:right w:val="single" w:sz="4" w:space="0" w:color="auto"/>
            </w:tcBorders>
          </w:tcPr>
          <w:bookmarkEnd w:id="1"/>
          <w:p w:rsidR="00D01072" w:rsidRPr="00D01072" w:rsidRDefault="00D01072" w:rsidP="00D01072">
            <w:pPr>
              <w:pStyle w:val="BayerTableColumnHeadings"/>
              <w:spacing w:before="40" w:after="40"/>
              <w:rPr>
                <w:rFonts w:ascii="Arial" w:hAnsi="Arial" w:cs="Arial"/>
                <w:sz w:val="20"/>
              </w:rPr>
            </w:pPr>
            <w:r w:rsidRPr="00D01072">
              <w:rPr>
                <w:rFonts w:ascii="Arial" w:hAnsi="Arial" w:cs="Arial"/>
                <w:sz w:val="20"/>
              </w:rPr>
              <w:t>Efficacy Parameter</w:t>
            </w:r>
          </w:p>
        </w:tc>
        <w:tc>
          <w:tcPr>
            <w:tcW w:w="1347" w:type="pct"/>
            <w:tcBorders>
              <w:top w:val="single" w:sz="12" w:space="0" w:color="auto"/>
              <w:left w:val="nil"/>
              <w:bottom w:val="single" w:sz="6" w:space="0" w:color="auto"/>
              <w:right w:val="single" w:sz="4" w:space="0" w:color="auto"/>
            </w:tcBorders>
          </w:tcPr>
          <w:p w:rsidR="00D01072" w:rsidRPr="007E1D5F" w:rsidRDefault="00D01072" w:rsidP="00D01072">
            <w:pPr>
              <w:pStyle w:val="BayerTableColumnHeadings"/>
              <w:spacing w:before="40" w:after="40"/>
              <w:rPr>
                <w:rFonts w:ascii="Arial" w:hAnsi="Arial" w:cs="Arial"/>
                <w:caps/>
                <w:sz w:val="20"/>
              </w:rPr>
            </w:pPr>
            <w:r w:rsidRPr="007E1D5F">
              <w:rPr>
                <w:rFonts w:ascii="Arial" w:hAnsi="Arial" w:cs="Arial"/>
                <w:caps/>
                <w:sz w:val="20"/>
              </w:rPr>
              <w:t>Xofigo</w:t>
            </w:r>
          </w:p>
        </w:tc>
        <w:tc>
          <w:tcPr>
            <w:tcW w:w="1347" w:type="pct"/>
            <w:tcBorders>
              <w:top w:val="single" w:sz="12" w:space="0" w:color="auto"/>
              <w:left w:val="single" w:sz="4" w:space="0" w:color="auto"/>
              <w:bottom w:val="single" w:sz="6" w:space="0" w:color="auto"/>
              <w:right w:val="single" w:sz="12" w:space="0" w:color="auto"/>
            </w:tcBorders>
          </w:tcPr>
          <w:p w:rsidR="00D01072" w:rsidRPr="00D01072" w:rsidRDefault="00D01072" w:rsidP="00D01072">
            <w:pPr>
              <w:pStyle w:val="BayerTableColumnHeadings"/>
              <w:spacing w:before="40" w:after="40"/>
              <w:rPr>
                <w:rFonts w:ascii="Arial" w:hAnsi="Arial" w:cs="Arial"/>
                <w:sz w:val="20"/>
              </w:rPr>
            </w:pPr>
            <w:r w:rsidRPr="00D01072">
              <w:rPr>
                <w:rFonts w:ascii="Arial" w:hAnsi="Arial" w:cs="Arial"/>
                <w:sz w:val="20"/>
              </w:rPr>
              <w:t>Placebo</w:t>
            </w:r>
          </w:p>
        </w:tc>
      </w:tr>
      <w:tr w:rsidR="00D01072" w:rsidRPr="00D01072" w:rsidTr="00D01072">
        <w:tc>
          <w:tcPr>
            <w:tcW w:w="2305" w:type="pct"/>
            <w:tcBorders>
              <w:top w:val="single" w:sz="12" w:space="0" w:color="auto"/>
              <w:left w:val="single" w:sz="12" w:space="0" w:color="auto"/>
              <w:bottom w:val="single" w:sz="6" w:space="0" w:color="auto"/>
              <w:right w:val="single" w:sz="4" w:space="0" w:color="auto"/>
            </w:tcBorders>
          </w:tcPr>
          <w:p w:rsidR="00D01072" w:rsidRPr="00D01072" w:rsidRDefault="00D01072" w:rsidP="00D01072">
            <w:pPr>
              <w:pStyle w:val="BayerTableColumnHeadings"/>
              <w:spacing w:before="40" w:after="40"/>
              <w:jc w:val="left"/>
              <w:rPr>
                <w:rFonts w:ascii="Arial" w:hAnsi="Arial" w:cs="Arial"/>
                <w:sz w:val="20"/>
              </w:rPr>
            </w:pPr>
            <w:r w:rsidRPr="00D01072">
              <w:rPr>
                <w:rFonts w:ascii="Arial" w:hAnsi="Arial" w:cs="Arial"/>
                <w:sz w:val="20"/>
              </w:rPr>
              <w:t xml:space="preserve">Interim </w:t>
            </w:r>
            <w:r>
              <w:rPr>
                <w:rFonts w:ascii="Arial" w:hAnsi="Arial" w:cs="Arial"/>
                <w:sz w:val="20"/>
              </w:rPr>
              <w:t>A</w:t>
            </w:r>
            <w:r w:rsidRPr="00D01072">
              <w:rPr>
                <w:rFonts w:ascii="Arial" w:hAnsi="Arial" w:cs="Arial"/>
                <w:sz w:val="20"/>
              </w:rPr>
              <w:t>nalysis</w:t>
            </w:r>
          </w:p>
        </w:tc>
        <w:tc>
          <w:tcPr>
            <w:tcW w:w="1347" w:type="pct"/>
            <w:tcBorders>
              <w:top w:val="single" w:sz="12" w:space="0" w:color="auto"/>
              <w:left w:val="nil"/>
              <w:bottom w:val="single" w:sz="6" w:space="0" w:color="auto"/>
              <w:right w:val="single" w:sz="4" w:space="0" w:color="auto"/>
            </w:tcBorders>
          </w:tcPr>
          <w:p w:rsidR="00D01072" w:rsidRPr="00D01072" w:rsidRDefault="00D01072" w:rsidP="00D01072">
            <w:pPr>
              <w:pStyle w:val="BayerTableColumnHeadings"/>
              <w:spacing w:before="40" w:after="40"/>
              <w:rPr>
                <w:rFonts w:ascii="Arial" w:hAnsi="Arial" w:cs="Arial"/>
                <w:sz w:val="20"/>
              </w:rPr>
            </w:pPr>
            <w:r w:rsidRPr="00D01072">
              <w:rPr>
                <w:rFonts w:ascii="Arial" w:hAnsi="Arial" w:cs="Arial"/>
                <w:sz w:val="20"/>
              </w:rPr>
              <w:t>N</w:t>
            </w:r>
            <w:r>
              <w:rPr>
                <w:rFonts w:ascii="Arial" w:hAnsi="Arial" w:cs="Arial"/>
                <w:sz w:val="20"/>
              </w:rPr>
              <w:t xml:space="preserve"> </w:t>
            </w:r>
            <w:r w:rsidRPr="00D01072">
              <w:rPr>
                <w:rFonts w:ascii="Arial" w:hAnsi="Arial" w:cs="Arial"/>
                <w:sz w:val="20"/>
              </w:rPr>
              <w:t>=</w:t>
            </w:r>
            <w:r>
              <w:rPr>
                <w:rFonts w:ascii="Arial" w:hAnsi="Arial" w:cs="Arial"/>
                <w:sz w:val="20"/>
              </w:rPr>
              <w:t xml:space="preserve"> </w:t>
            </w:r>
            <w:r w:rsidRPr="00D01072">
              <w:rPr>
                <w:rFonts w:ascii="Arial" w:hAnsi="Arial" w:cs="Arial"/>
                <w:sz w:val="20"/>
              </w:rPr>
              <w:t>541</w:t>
            </w:r>
          </w:p>
        </w:tc>
        <w:tc>
          <w:tcPr>
            <w:tcW w:w="1347" w:type="pct"/>
            <w:tcBorders>
              <w:top w:val="single" w:sz="12" w:space="0" w:color="auto"/>
              <w:left w:val="single" w:sz="4" w:space="0" w:color="auto"/>
              <w:bottom w:val="single" w:sz="6" w:space="0" w:color="auto"/>
              <w:right w:val="single" w:sz="12" w:space="0" w:color="auto"/>
            </w:tcBorders>
          </w:tcPr>
          <w:p w:rsidR="00D01072" w:rsidRPr="00D01072" w:rsidRDefault="00D01072" w:rsidP="00D01072">
            <w:pPr>
              <w:pStyle w:val="BayerTableColumnHeadings"/>
              <w:spacing w:before="40" w:after="40"/>
              <w:rPr>
                <w:rFonts w:ascii="Arial" w:hAnsi="Arial" w:cs="Arial"/>
                <w:sz w:val="20"/>
              </w:rPr>
            </w:pPr>
            <w:r w:rsidRPr="00D01072">
              <w:rPr>
                <w:rFonts w:ascii="Arial" w:hAnsi="Arial" w:cs="Arial"/>
                <w:sz w:val="20"/>
              </w:rPr>
              <w:t>N</w:t>
            </w:r>
            <w:r>
              <w:rPr>
                <w:rFonts w:ascii="Arial" w:hAnsi="Arial" w:cs="Arial"/>
                <w:sz w:val="20"/>
              </w:rPr>
              <w:t xml:space="preserve"> </w:t>
            </w:r>
            <w:r w:rsidRPr="00D01072">
              <w:rPr>
                <w:rFonts w:ascii="Arial" w:hAnsi="Arial" w:cs="Arial"/>
                <w:sz w:val="20"/>
              </w:rPr>
              <w:t>=</w:t>
            </w:r>
            <w:r>
              <w:rPr>
                <w:rFonts w:ascii="Arial" w:hAnsi="Arial" w:cs="Arial"/>
                <w:sz w:val="20"/>
              </w:rPr>
              <w:t xml:space="preserve"> </w:t>
            </w:r>
            <w:r w:rsidRPr="00D01072">
              <w:rPr>
                <w:rFonts w:ascii="Arial" w:hAnsi="Arial" w:cs="Arial"/>
                <w:sz w:val="20"/>
              </w:rPr>
              <w:t>268</w:t>
            </w:r>
          </w:p>
        </w:tc>
      </w:tr>
      <w:tr w:rsidR="00D01072" w:rsidRPr="00D01072" w:rsidTr="00D01072">
        <w:tc>
          <w:tcPr>
            <w:tcW w:w="2305" w:type="pct"/>
            <w:tcBorders>
              <w:top w:val="single" w:sz="12" w:space="0" w:color="auto"/>
              <w:left w:val="single" w:sz="12" w:space="0" w:color="auto"/>
              <w:bottom w:val="single" w:sz="6" w:space="0" w:color="auto"/>
              <w:right w:val="single" w:sz="4" w:space="0" w:color="auto"/>
            </w:tcBorders>
          </w:tcPr>
          <w:p w:rsidR="00D01072" w:rsidRPr="00D01072" w:rsidRDefault="00D01072" w:rsidP="00D01072">
            <w:pPr>
              <w:pStyle w:val="BayerTableRowHeadings"/>
              <w:spacing w:before="40" w:after="40"/>
              <w:rPr>
                <w:rFonts w:ascii="Arial" w:hAnsi="Arial" w:cs="Arial"/>
                <w:sz w:val="20"/>
              </w:rPr>
            </w:pPr>
            <w:r w:rsidRPr="00D01072">
              <w:rPr>
                <w:rFonts w:ascii="Arial" w:hAnsi="Arial" w:cs="Arial"/>
                <w:sz w:val="20"/>
              </w:rPr>
              <w:t>Number of deaths (%)</w:t>
            </w:r>
          </w:p>
        </w:tc>
        <w:tc>
          <w:tcPr>
            <w:tcW w:w="1347" w:type="pct"/>
            <w:tcBorders>
              <w:top w:val="single" w:sz="12" w:space="0" w:color="auto"/>
              <w:left w:val="nil"/>
              <w:bottom w:val="single" w:sz="6" w:space="0" w:color="auto"/>
              <w:right w:val="single" w:sz="4" w:space="0" w:color="auto"/>
            </w:tcBorders>
          </w:tcPr>
          <w:p w:rsidR="00D01072" w:rsidRPr="00D01072" w:rsidRDefault="00D01072" w:rsidP="00D01072">
            <w:pPr>
              <w:pStyle w:val="BayerTableStyleCentered"/>
              <w:spacing w:before="40" w:after="40"/>
              <w:rPr>
                <w:rFonts w:ascii="Arial" w:hAnsi="Arial" w:cs="Arial"/>
                <w:sz w:val="20"/>
              </w:rPr>
            </w:pPr>
            <w:r w:rsidRPr="00D01072">
              <w:rPr>
                <w:rFonts w:ascii="Arial" w:hAnsi="Arial" w:cs="Arial"/>
                <w:sz w:val="20"/>
              </w:rPr>
              <w:t>191 (35.3%)</w:t>
            </w:r>
          </w:p>
        </w:tc>
        <w:tc>
          <w:tcPr>
            <w:tcW w:w="1347" w:type="pct"/>
            <w:tcBorders>
              <w:top w:val="single" w:sz="12" w:space="0" w:color="auto"/>
              <w:left w:val="single" w:sz="4" w:space="0" w:color="auto"/>
              <w:bottom w:val="single" w:sz="6" w:space="0" w:color="auto"/>
              <w:right w:val="single" w:sz="12" w:space="0" w:color="auto"/>
            </w:tcBorders>
          </w:tcPr>
          <w:p w:rsidR="00D01072" w:rsidRPr="00D01072" w:rsidRDefault="00D01072" w:rsidP="00D01072">
            <w:pPr>
              <w:pStyle w:val="BayerTableStyleCentered"/>
              <w:spacing w:before="40" w:after="40"/>
              <w:rPr>
                <w:rFonts w:ascii="Arial" w:hAnsi="Arial" w:cs="Arial"/>
                <w:sz w:val="20"/>
              </w:rPr>
            </w:pPr>
            <w:r w:rsidRPr="00D01072">
              <w:rPr>
                <w:rFonts w:ascii="Arial" w:hAnsi="Arial" w:cs="Arial"/>
                <w:sz w:val="20"/>
              </w:rPr>
              <w:t>123 (45.9%)</w:t>
            </w:r>
          </w:p>
        </w:tc>
      </w:tr>
      <w:tr w:rsidR="00D01072" w:rsidRPr="00D01072" w:rsidTr="00D01072">
        <w:tc>
          <w:tcPr>
            <w:tcW w:w="2305" w:type="pct"/>
            <w:tcBorders>
              <w:top w:val="single" w:sz="6" w:space="0" w:color="auto"/>
              <w:left w:val="single" w:sz="12" w:space="0" w:color="auto"/>
              <w:bottom w:val="single" w:sz="4" w:space="0" w:color="auto"/>
              <w:right w:val="single" w:sz="4" w:space="0" w:color="auto"/>
            </w:tcBorders>
          </w:tcPr>
          <w:p w:rsidR="00D01072" w:rsidRPr="00D01072" w:rsidRDefault="00D01072" w:rsidP="00D01072">
            <w:pPr>
              <w:pStyle w:val="BayerTableRowHeadings"/>
              <w:spacing w:before="40" w:after="40"/>
              <w:rPr>
                <w:rFonts w:ascii="Arial" w:hAnsi="Arial" w:cs="Arial"/>
                <w:sz w:val="20"/>
              </w:rPr>
            </w:pPr>
            <w:r w:rsidRPr="00D01072">
              <w:rPr>
                <w:rFonts w:ascii="Arial" w:hAnsi="Arial" w:cs="Arial"/>
                <w:sz w:val="20"/>
              </w:rPr>
              <w:t xml:space="preserve">Median </w:t>
            </w:r>
            <w:r>
              <w:rPr>
                <w:rFonts w:ascii="Arial" w:hAnsi="Arial" w:cs="Arial"/>
                <w:sz w:val="20"/>
              </w:rPr>
              <w:t>OS</w:t>
            </w:r>
            <w:r w:rsidRPr="00D01072">
              <w:rPr>
                <w:rFonts w:ascii="Arial" w:hAnsi="Arial" w:cs="Arial"/>
                <w:sz w:val="20"/>
              </w:rPr>
              <w:t xml:space="preserve"> (months) (95% CI)</w:t>
            </w:r>
          </w:p>
        </w:tc>
        <w:tc>
          <w:tcPr>
            <w:tcW w:w="1347" w:type="pct"/>
            <w:tcBorders>
              <w:top w:val="single" w:sz="6" w:space="0" w:color="auto"/>
              <w:left w:val="nil"/>
              <w:bottom w:val="single" w:sz="4" w:space="0" w:color="auto"/>
              <w:right w:val="single" w:sz="4" w:space="0" w:color="auto"/>
            </w:tcBorders>
          </w:tcPr>
          <w:p w:rsidR="00D01072" w:rsidRPr="00D01072" w:rsidRDefault="00D01072" w:rsidP="00D01072">
            <w:pPr>
              <w:pStyle w:val="BayerTableStyleCentered"/>
              <w:spacing w:before="40" w:after="40"/>
              <w:rPr>
                <w:rFonts w:ascii="Arial" w:hAnsi="Arial" w:cs="Arial"/>
                <w:sz w:val="20"/>
              </w:rPr>
            </w:pPr>
            <w:r w:rsidRPr="00D01072">
              <w:rPr>
                <w:rFonts w:ascii="Arial" w:hAnsi="Arial" w:cs="Arial"/>
                <w:sz w:val="20"/>
              </w:rPr>
              <w:t>14.0 (12.1 – 15.8)</w:t>
            </w:r>
          </w:p>
        </w:tc>
        <w:tc>
          <w:tcPr>
            <w:tcW w:w="1347" w:type="pct"/>
            <w:tcBorders>
              <w:top w:val="single" w:sz="6" w:space="0" w:color="auto"/>
              <w:left w:val="single" w:sz="4" w:space="0" w:color="auto"/>
              <w:bottom w:val="single" w:sz="4" w:space="0" w:color="auto"/>
              <w:right w:val="single" w:sz="12" w:space="0" w:color="auto"/>
            </w:tcBorders>
          </w:tcPr>
          <w:p w:rsidR="00D01072" w:rsidRPr="00D01072" w:rsidRDefault="00D01072" w:rsidP="00D01072">
            <w:pPr>
              <w:pStyle w:val="BayerTableStyleCentered"/>
              <w:spacing w:before="40" w:after="40"/>
              <w:rPr>
                <w:rFonts w:ascii="Arial" w:hAnsi="Arial" w:cs="Arial"/>
                <w:sz w:val="20"/>
              </w:rPr>
            </w:pPr>
            <w:r w:rsidRPr="00D01072">
              <w:rPr>
                <w:rFonts w:ascii="Arial" w:hAnsi="Arial" w:cs="Arial"/>
                <w:sz w:val="20"/>
              </w:rPr>
              <w:t>11.2 (9.0 – 13.2)</w:t>
            </w:r>
          </w:p>
        </w:tc>
      </w:tr>
      <w:tr w:rsidR="00D01072" w:rsidRPr="00D01072" w:rsidTr="00D01072">
        <w:tc>
          <w:tcPr>
            <w:tcW w:w="2305" w:type="pct"/>
            <w:tcBorders>
              <w:top w:val="single" w:sz="4" w:space="0" w:color="auto"/>
              <w:left w:val="single" w:sz="12" w:space="0" w:color="auto"/>
              <w:bottom w:val="single" w:sz="4" w:space="0" w:color="auto"/>
              <w:right w:val="single" w:sz="4" w:space="0" w:color="auto"/>
            </w:tcBorders>
          </w:tcPr>
          <w:p w:rsidR="00D01072" w:rsidRPr="00D01072" w:rsidRDefault="00D01072" w:rsidP="00D01072">
            <w:pPr>
              <w:pStyle w:val="BayerTableColumnHeadings"/>
              <w:spacing w:before="40" w:after="40"/>
              <w:jc w:val="left"/>
              <w:rPr>
                <w:rFonts w:ascii="Arial" w:hAnsi="Arial" w:cs="Arial"/>
                <w:b w:val="0"/>
                <w:sz w:val="20"/>
              </w:rPr>
            </w:pPr>
            <w:r w:rsidRPr="00D01072">
              <w:rPr>
                <w:rFonts w:ascii="Arial" w:hAnsi="Arial" w:cs="Arial"/>
                <w:b w:val="0"/>
                <w:sz w:val="20"/>
              </w:rPr>
              <w:t>p-</w:t>
            </w:r>
            <w:proofErr w:type="spellStart"/>
            <w:r w:rsidRPr="00D01072">
              <w:rPr>
                <w:rFonts w:ascii="Arial" w:hAnsi="Arial" w:cs="Arial"/>
                <w:b w:val="0"/>
                <w:sz w:val="20"/>
              </w:rPr>
              <w:t>value</w:t>
            </w:r>
            <w:r w:rsidRPr="00D01072">
              <w:rPr>
                <w:rFonts w:ascii="Arial" w:hAnsi="Arial" w:cs="Arial"/>
                <w:b w:val="0"/>
                <w:sz w:val="20"/>
                <w:vertAlign w:val="superscript"/>
              </w:rPr>
              <w:t>a</w:t>
            </w:r>
            <w:proofErr w:type="spellEnd"/>
            <w:r w:rsidRPr="00D01072">
              <w:rPr>
                <w:rFonts w:ascii="Arial" w:hAnsi="Arial" w:cs="Arial"/>
                <w:b w:val="0"/>
                <w:sz w:val="20"/>
              </w:rPr>
              <w:t xml:space="preserve"> (2-sided)</w:t>
            </w:r>
          </w:p>
        </w:tc>
        <w:tc>
          <w:tcPr>
            <w:tcW w:w="2694" w:type="pct"/>
            <w:gridSpan w:val="2"/>
            <w:tcBorders>
              <w:top w:val="single" w:sz="4" w:space="0" w:color="auto"/>
              <w:left w:val="nil"/>
              <w:bottom w:val="single" w:sz="4" w:space="0" w:color="auto"/>
              <w:right w:val="single" w:sz="12" w:space="0" w:color="auto"/>
            </w:tcBorders>
          </w:tcPr>
          <w:p w:rsidR="00D01072" w:rsidRPr="00D01072" w:rsidRDefault="00D01072" w:rsidP="00D01072">
            <w:pPr>
              <w:pStyle w:val="BayerTableStyleCentered"/>
              <w:spacing w:before="40" w:after="40"/>
              <w:rPr>
                <w:rFonts w:ascii="Arial" w:hAnsi="Arial" w:cs="Arial"/>
                <w:sz w:val="20"/>
              </w:rPr>
            </w:pPr>
            <w:r w:rsidRPr="00D01072">
              <w:rPr>
                <w:rFonts w:ascii="Arial" w:hAnsi="Arial" w:cs="Arial"/>
                <w:sz w:val="20"/>
              </w:rPr>
              <w:t>0.00185</w:t>
            </w:r>
          </w:p>
        </w:tc>
      </w:tr>
      <w:tr w:rsidR="00D01072" w:rsidRPr="00D01072" w:rsidTr="00D01072">
        <w:tc>
          <w:tcPr>
            <w:tcW w:w="2305" w:type="pct"/>
            <w:tcBorders>
              <w:top w:val="single" w:sz="4" w:space="0" w:color="auto"/>
              <w:left w:val="single" w:sz="12" w:space="0" w:color="auto"/>
              <w:bottom w:val="single" w:sz="6" w:space="0" w:color="auto"/>
              <w:right w:val="single" w:sz="4" w:space="0" w:color="auto"/>
            </w:tcBorders>
          </w:tcPr>
          <w:p w:rsidR="00D01072" w:rsidRPr="00D01072" w:rsidRDefault="00D01072" w:rsidP="00D01072">
            <w:pPr>
              <w:pStyle w:val="BayerTableColumnHeadings"/>
              <w:spacing w:before="40" w:after="40"/>
              <w:jc w:val="left"/>
              <w:rPr>
                <w:rFonts w:ascii="Arial" w:hAnsi="Arial" w:cs="Arial"/>
                <w:b w:val="0"/>
                <w:sz w:val="20"/>
              </w:rPr>
            </w:pPr>
            <w:r w:rsidRPr="00D01072">
              <w:rPr>
                <w:rFonts w:ascii="Arial" w:hAnsi="Arial" w:cs="Arial"/>
                <w:b w:val="0"/>
                <w:sz w:val="20"/>
              </w:rPr>
              <w:t xml:space="preserve">Hazard </w:t>
            </w:r>
            <w:proofErr w:type="spellStart"/>
            <w:r w:rsidRPr="00D01072">
              <w:rPr>
                <w:rFonts w:ascii="Arial" w:hAnsi="Arial" w:cs="Arial"/>
                <w:b w:val="0"/>
                <w:sz w:val="20"/>
              </w:rPr>
              <w:t>Ratio</w:t>
            </w:r>
            <w:r w:rsidRPr="00D01072">
              <w:rPr>
                <w:rFonts w:ascii="Arial" w:hAnsi="Arial" w:cs="Arial"/>
                <w:b w:val="0"/>
                <w:sz w:val="20"/>
                <w:vertAlign w:val="superscript"/>
              </w:rPr>
              <w:t>b</w:t>
            </w:r>
            <w:proofErr w:type="spellEnd"/>
            <w:r w:rsidRPr="00D01072">
              <w:rPr>
                <w:rFonts w:ascii="Arial" w:hAnsi="Arial" w:cs="Arial"/>
                <w:b w:val="0"/>
                <w:sz w:val="20"/>
                <w:vertAlign w:val="superscript"/>
              </w:rPr>
              <w:t xml:space="preserve"> </w:t>
            </w:r>
            <w:r w:rsidRPr="00D01072">
              <w:rPr>
                <w:rFonts w:ascii="Arial" w:hAnsi="Arial" w:cs="Arial"/>
                <w:b w:val="0"/>
                <w:sz w:val="20"/>
              </w:rPr>
              <w:t>(95% CI)</w:t>
            </w:r>
          </w:p>
        </w:tc>
        <w:tc>
          <w:tcPr>
            <w:tcW w:w="2694" w:type="pct"/>
            <w:gridSpan w:val="2"/>
            <w:tcBorders>
              <w:top w:val="single" w:sz="4" w:space="0" w:color="auto"/>
              <w:left w:val="nil"/>
              <w:bottom w:val="single" w:sz="6" w:space="0" w:color="auto"/>
              <w:right w:val="single" w:sz="12" w:space="0" w:color="auto"/>
            </w:tcBorders>
          </w:tcPr>
          <w:p w:rsidR="00D01072" w:rsidRPr="00D01072" w:rsidRDefault="00D01072" w:rsidP="00D01072">
            <w:pPr>
              <w:pStyle w:val="BayerTableStyleCentered"/>
              <w:spacing w:before="40" w:after="40"/>
              <w:rPr>
                <w:rFonts w:ascii="Arial" w:hAnsi="Arial" w:cs="Arial"/>
                <w:sz w:val="20"/>
              </w:rPr>
            </w:pPr>
            <w:r w:rsidRPr="00D01072">
              <w:rPr>
                <w:rFonts w:ascii="Arial" w:hAnsi="Arial" w:cs="Arial"/>
                <w:sz w:val="20"/>
              </w:rPr>
              <w:t>0.695 (0.552 - 0.875)</w:t>
            </w:r>
          </w:p>
        </w:tc>
      </w:tr>
      <w:tr w:rsidR="00D01072" w:rsidRPr="00D01072" w:rsidTr="00D01072">
        <w:tc>
          <w:tcPr>
            <w:tcW w:w="2305" w:type="pct"/>
            <w:tcBorders>
              <w:top w:val="single" w:sz="12" w:space="0" w:color="auto"/>
              <w:left w:val="single" w:sz="12" w:space="0" w:color="auto"/>
              <w:bottom w:val="single" w:sz="6" w:space="0" w:color="auto"/>
              <w:right w:val="single" w:sz="4" w:space="0" w:color="auto"/>
            </w:tcBorders>
          </w:tcPr>
          <w:p w:rsidR="00D01072" w:rsidRPr="00D01072" w:rsidRDefault="00D01072" w:rsidP="00D01072">
            <w:pPr>
              <w:pStyle w:val="BayerTableColumnHeadings"/>
              <w:spacing w:before="40" w:after="40"/>
              <w:jc w:val="left"/>
              <w:rPr>
                <w:rFonts w:ascii="Arial" w:hAnsi="Arial" w:cs="Arial"/>
                <w:sz w:val="20"/>
              </w:rPr>
            </w:pPr>
            <w:r>
              <w:rPr>
                <w:rFonts w:ascii="Arial" w:hAnsi="Arial" w:cs="Arial"/>
                <w:sz w:val="20"/>
              </w:rPr>
              <w:t>Updated A</w:t>
            </w:r>
            <w:r w:rsidRPr="00D01072">
              <w:rPr>
                <w:rFonts w:ascii="Arial" w:hAnsi="Arial" w:cs="Arial"/>
                <w:sz w:val="20"/>
              </w:rPr>
              <w:t>nalysis</w:t>
            </w:r>
          </w:p>
        </w:tc>
        <w:tc>
          <w:tcPr>
            <w:tcW w:w="1347" w:type="pct"/>
            <w:tcBorders>
              <w:top w:val="single" w:sz="12" w:space="0" w:color="auto"/>
              <w:left w:val="nil"/>
              <w:bottom w:val="single" w:sz="6" w:space="0" w:color="auto"/>
              <w:right w:val="single" w:sz="4" w:space="0" w:color="auto"/>
            </w:tcBorders>
          </w:tcPr>
          <w:p w:rsidR="00D01072" w:rsidRPr="00D01072" w:rsidRDefault="00D01072" w:rsidP="00D01072">
            <w:pPr>
              <w:pStyle w:val="BayerTableColumnHeadings"/>
              <w:spacing w:before="40" w:after="40"/>
              <w:rPr>
                <w:rFonts w:ascii="Arial" w:hAnsi="Arial" w:cs="Arial"/>
                <w:sz w:val="20"/>
              </w:rPr>
            </w:pPr>
            <w:r w:rsidRPr="00D01072">
              <w:rPr>
                <w:rFonts w:ascii="Arial" w:hAnsi="Arial" w:cs="Arial"/>
                <w:sz w:val="20"/>
              </w:rPr>
              <w:t>N</w:t>
            </w:r>
            <w:r w:rsidR="009A23D5">
              <w:rPr>
                <w:rFonts w:ascii="Arial" w:hAnsi="Arial" w:cs="Arial"/>
                <w:sz w:val="20"/>
              </w:rPr>
              <w:t> </w:t>
            </w:r>
            <w:r w:rsidRPr="00D01072">
              <w:rPr>
                <w:rFonts w:ascii="Arial" w:hAnsi="Arial" w:cs="Arial"/>
                <w:sz w:val="20"/>
              </w:rPr>
              <w:t>=</w:t>
            </w:r>
            <w:r w:rsidR="009A23D5">
              <w:rPr>
                <w:rFonts w:ascii="Arial" w:hAnsi="Arial" w:cs="Arial"/>
                <w:sz w:val="20"/>
              </w:rPr>
              <w:t> </w:t>
            </w:r>
            <w:r w:rsidRPr="00D01072">
              <w:rPr>
                <w:rFonts w:ascii="Arial" w:hAnsi="Arial" w:cs="Arial"/>
                <w:sz w:val="20"/>
              </w:rPr>
              <w:t>614</w:t>
            </w:r>
          </w:p>
        </w:tc>
        <w:tc>
          <w:tcPr>
            <w:tcW w:w="1347" w:type="pct"/>
            <w:tcBorders>
              <w:top w:val="single" w:sz="12" w:space="0" w:color="auto"/>
              <w:left w:val="single" w:sz="4" w:space="0" w:color="auto"/>
              <w:bottom w:val="single" w:sz="6" w:space="0" w:color="auto"/>
              <w:right w:val="single" w:sz="12" w:space="0" w:color="auto"/>
            </w:tcBorders>
          </w:tcPr>
          <w:p w:rsidR="00D01072" w:rsidRPr="00D01072" w:rsidRDefault="00D01072" w:rsidP="00D01072">
            <w:pPr>
              <w:pStyle w:val="BayerTableColumnHeadings"/>
              <w:spacing w:before="40" w:after="40"/>
              <w:rPr>
                <w:rFonts w:ascii="Arial" w:hAnsi="Arial" w:cs="Arial"/>
                <w:sz w:val="20"/>
              </w:rPr>
            </w:pPr>
            <w:r w:rsidRPr="00D01072">
              <w:rPr>
                <w:rFonts w:ascii="Arial" w:hAnsi="Arial" w:cs="Arial"/>
                <w:sz w:val="20"/>
              </w:rPr>
              <w:t>N</w:t>
            </w:r>
            <w:r w:rsidR="009A23D5">
              <w:rPr>
                <w:rFonts w:ascii="Arial" w:hAnsi="Arial" w:cs="Arial"/>
                <w:sz w:val="20"/>
              </w:rPr>
              <w:t> </w:t>
            </w:r>
            <w:r w:rsidRPr="00D01072">
              <w:rPr>
                <w:rFonts w:ascii="Arial" w:hAnsi="Arial" w:cs="Arial"/>
                <w:sz w:val="20"/>
              </w:rPr>
              <w:t>=</w:t>
            </w:r>
            <w:r w:rsidR="009A23D5">
              <w:rPr>
                <w:rFonts w:ascii="Arial" w:hAnsi="Arial" w:cs="Arial"/>
                <w:sz w:val="20"/>
              </w:rPr>
              <w:t> </w:t>
            </w:r>
            <w:r w:rsidRPr="00D01072">
              <w:rPr>
                <w:rFonts w:ascii="Arial" w:hAnsi="Arial" w:cs="Arial"/>
                <w:sz w:val="20"/>
              </w:rPr>
              <w:t>307</w:t>
            </w:r>
          </w:p>
        </w:tc>
      </w:tr>
      <w:tr w:rsidR="00D01072" w:rsidRPr="00D01072" w:rsidTr="00D01072">
        <w:tc>
          <w:tcPr>
            <w:tcW w:w="2305" w:type="pct"/>
            <w:tcBorders>
              <w:top w:val="single" w:sz="12" w:space="0" w:color="auto"/>
              <w:left w:val="single" w:sz="12" w:space="0" w:color="auto"/>
              <w:bottom w:val="single" w:sz="6" w:space="0" w:color="auto"/>
              <w:right w:val="single" w:sz="4" w:space="0" w:color="auto"/>
            </w:tcBorders>
          </w:tcPr>
          <w:p w:rsidR="00D01072" w:rsidRPr="00D01072" w:rsidRDefault="00D01072" w:rsidP="00D01072">
            <w:pPr>
              <w:pStyle w:val="BayerTableRowHeadings"/>
              <w:spacing w:before="40" w:after="40"/>
              <w:rPr>
                <w:rFonts w:ascii="Arial" w:hAnsi="Arial" w:cs="Arial"/>
                <w:sz w:val="20"/>
              </w:rPr>
            </w:pPr>
            <w:r w:rsidRPr="00D01072">
              <w:rPr>
                <w:rFonts w:ascii="Arial" w:hAnsi="Arial" w:cs="Arial"/>
                <w:sz w:val="20"/>
              </w:rPr>
              <w:t>Number of deaths (%)</w:t>
            </w:r>
          </w:p>
        </w:tc>
        <w:tc>
          <w:tcPr>
            <w:tcW w:w="1347" w:type="pct"/>
            <w:tcBorders>
              <w:top w:val="single" w:sz="12" w:space="0" w:color="auto"/>
              <w:left w:val="nil"/>
              <w:bottom w:val="single" w:sz="6" w:space="0" w:color="auto"/>
              <w:right w:val="single" w:sz="4" w:space="0" w:color="auto"/>
            </w:tcBorders>
          </w:tcPr>
          <w:p w:rsidR="00D01072" w:rsidRPr="00D01072" w:rsidRDefault="00D01072" w:rsidP="00D01072">
            <w:pPr>
              <w:pStyle w:val="BayerTableStyleCentered"/>
              <w:spacing w:before="40" w:after="40"/>
              <w:rPr>
                <w:rFonts w:ascii="Arial" w:hAnsi="Arial" w:cs="Arial"/>
                <w:sz w:val="20"/>
              </w:rPr>
            </w:pPr>
            <w:r w:rsidRPr="00D01072">
              <w:rPr>
                <w:rFonts w:ascii="Arial" w:hAnsi="Arial" w:cs="Arial"/>
                <w:sz w:val="20"/>
              </w:rPr>
              <w:t>333 (54.2%)</w:t>
            </w:r>
          </w:p>
        </w:tc>
        <w:tc>
          <w:tcPr>
            <w:tcW w:w="1347" w:type="pct"/>
            <w:tcBorders>
              <w:top w:val="single" w:sz="12" w:space="0" w:color="auto"/>
              <w:left w:val="single" w:sz="4" w:space="0" w:color="auto"/>
              <w:bottom w:val="single" w:sz="6" w:space="0" w:color="auto"/>
              <w:right w:val="single" w:sz="12" w:space="0" w:color="auto"/>
            </w:tcBorders>
          </w:tcPr>
          <w:p w:rsidR="00D01072" w:rsidRPr="00D01072" w:rsidRDefault="00D01072" w:rsidP="00D01072">
            <w:pPr>
              <w:pStyle w:val="BayerTableStyleCentered"/>
              <w:spacing w:before="40" w:after="40"/>
              <w:rPr>
                <w:rFonts w:ascii="Arial" w:hAnsi="Arial" w:cs="Arial"/>
                <w:sz w:val="20"/>
              </w:rPr>
            </w:pPr>
            <w:r w:rsidRPr="00D01072">
              <w:rPr>
                <w:rFonts w:ascii="Arial" w:hAnsi="Arial" w:cs="Arial"/>
                <w:sz w:val="20"/>
              </w:rPr>
              <w:t>195 (63.5%)</w:t>
            </w:r>
          </w:p>
        </w:tc>
      </w:tr>
      <w:tr w:rsidR="00D01072" w:rsidRPr="00D01072" w:rsidTr="00D01072">
        <w:tc>
          <w:tcPr>
            <w:tcW w:w="2305" w:type="pct"/>
            <w:tcBorders>
              <w:top w:val="single" w:sz="6" w:space="0" w:color="auto"/>
              <w:left w:val="single" w:sz="12" w:space="0" w:color="auto"/>
              <w:bottom w:val="single" w:sz="4" w:space="0" w:color="auto"/>
              <w:right w:val="single" w:sz="4" w:space="0" w:color="auto"/>
            </w:tcBorders>
          </w:tcPr>
          <w:p w:rsidR="00D01072" w:rsidRPr="00D01072" w:rsidRDefault="00D01072" w:rsidP="00D01072">
            <w:pPr>
              <w:pStyle w:val="BayerTableRowHeadings"/>
              <w:spacing w:before="40" w:after="40"/>
              <w:rPr>
                <w:rFonts w:ascii="Arial" w:hAnsi="Arial" w:cs="Arial"/>
                <w:sz w:val="20"/>
              </w:rPr>
            </w:pPr>
            <w:r w:rsidRPr="00D01072">
              <w:rPr>
                <w:rFonts w:ascii="Arial" w:hAnsi="Arial" w:cs="Arial"/>
                <w:sz w:val="20"/>
              </w:rPr>
              <w:t xml:space="preserve">Median </w:t>
            </w:r>
            <w:r>
              <w:rPr>
                <w:rFonts w:ascii="Arial" w:hAnsi="Arial" w:cs="Arial"/>
                <w:sz w:val="20"/>
              </w:rPr>
              <w:t>OS</w:t>
            </w:r>
            <w:r w:rsidRPr="00D01072">
              <w:rPr>
                <w:rFonts w:ascii="Arial" w:hAnsi="Arial" w:cs="Arial"/>
                <w:sz w:val="20"/>
              </w:rPr>
              <w:t xml:space="preserve"> (months) (95% CI)</w:t>
            </w:r>
          </w:p>
        </w:tc>
        <w:tc>
          <w:tcPr>
            <w:tcW w:w="1347" w:type="pct"/>
            <w:tcBorders>
              <w:top w:val="single" w:sz="6" w:space="0" w:color="auto"/>
              <w:left w:val="nil"/>
              <w:bottom w:val="single" w:sz="4" w:space="0" w:color="auto"/>
              <w:right w:val="single" w:sz="4" w:space="0" w:color="auto"/>
            </w:tcBorders>
          </w:tcPr>
          <w:p w:rsidR="00D01072" w:rsidRPr="00D01072" w:rsidRDefault="00D01072" w:rsidP="00D01072">
            <w:pPr>
              <w:pStyle w:val="BayerTableStyleCentered"/>
              <w:spacing w:before="40" w:after="40"/>
              <w:rPr>
                <w:rFonts w:ascii="Arial" w:hAnsi="Arial" w:cs="Arial"/>
                <w:sz w:val="20"/>
              </w:rPr>
            </w:pPr>
            <w:r w:rsidRPr="00D01072">
              <w:rPr>
                <w:rFonts w:ascii="Arial" w:hAnsi="Arial" w:cs="Arial"/>
                <w:sz w:val="20"/>
              </w:rPr>
              <w:t>14.9 (13.9 – 16.1)</w:t>
            </w:r>
          </w:p>
        </w:tc>
        <w:tc>
          <w:tcPr>
            <w:tcW w:w="1347" w:type="pct"/>
            <w:tcBorders>
              <w:top w:val="single" w:sz="6" w:space="0" w:color="auto"/>
              <w:left w:val="single" w:sz="4" w:space="0" w:color="auto"/>
              <w:bottom w:val="single" w:sz="4" w:space="0" w:color="auto"/>
              <w:right w:val="single" w:sz="12" w:space="0" w:color="auto"/>
            </w:tcBorders>
          </w:tcPr>
          <w:p w:rsidR="00D01072" w:rsidRPr="00D01072" w:rsidRDefault="00D01072" w:rsidP="00D01072">
            <w:pPr>
              <w:pStyle w:val="BayerTableStyleCentered"/>
              <w:spacing w:before="40" w:after="40"/>
              <w:rPr>
                <w:rFonts w:ascii="Arial" w:hAnsi="Arial" w:cs="Arial"/>
                <w:sz w:val="20"/>
              </w:rPr>
            </w:pPr>
            <w:r w:rsidRPr="00D01072">
              <w:rPr>
                <w:rFonts w:ascii="Arial" w:hAnsi="Arial" w:cs="Arial"/>
                <w:sz w:val="20"/>
              </w:rPr>
              <w:t>11.3 (10.4 – 12.8)</w:t>
            </w:r>
          </w:p>
        </w:tc>
      </w:tr>
      <w:tr w:rsidR="00D01072" w:rsidRPr="00D01072" w:rsidTr="00D01072">
        <w:tc>
          <w:tcPr>
            <w:tcW w:w="2305" w:type="pct"/>
            <w:tcBorders>
              <w:top w:val="single" w:sz="4" w:space="0" w:color="auto"/>
              <w:left w:val="single" w:sz="12" w:space="0" w:color="auto"/>
              <w:bottom w:val="single" w:sz="12" w:space="0" w:color="auto"/>
              <w:right w:val="single" w:sz="4" w:space="0" w:color="auto"/>
            </w:tcBorders>
          </w:tcPr>
          <w:p w:rsidR="00D01072" w:rsidRPr="00D01072" w:rsidRDefault="00D01072" w:rsidP="00D01072">
            <w:pPr>
              <w:pStyle w:val="BayerTableColumnHeadings"/>
              <w:spacing w:before="40" w:after="40"/>
              <w:jc w:val="left"/>
              <w:rPr>
                <w:rFonts w:ascii="Arial" w:hAnsi="Arial" w:cs="Arial"/>
                <w:b w:val="0"/>
                <w:sz w:val="20"/>
              </w:rPr>
            </w:pPr>
            <w:r w:rsidRPr="00D01072">
              <w:rPr>
                <w:rFonts w:ascii="Arial" w:hAnsi="Arial" w:cs="Arial"/>
                <w:b w:val="0"/>
                <w:sz w:val="20"/>
              </w:rPr>
              <w:t xml:space="preserve">Hazard </w:t>
            </w:r>
            <w:proofErr w:type="spellStart"/>
            <w:r w:rsidRPr="00D01072">
              <w:rPr>
                <w:rFonts w:ascii="Arial" w:hAnsi="Arial" w:cs="Arial"/>
                <w:b w:val="0"/>
                <w:sz w:val="20"/>
              </w:rPr>
              <w:t>Ratio</w:t>
            </w:r>
            <w:r w:rsidRPr="00D01072">
              <w:rPr>
                <w:rFonts w:ascii="Arial" w:hAnsi="Arial" w:cs="Arial"/>
                <w:b w:val="0"/>
                <w:sz w:val="20"/>
                <w:vertAlign w:val="superscript"/>
              </w:rPr>
              <w:t>b</w:t>
            </w:r>
            <w:proofErr w:type="spellEnd"/>
            <w:r w:rsidRPr="00D01072">
              <w:rPr>
                <w:rFonts w:ascii="Arial" w:hAnsi="Arial" w:cs="Arial"/>
                <w:b w:val="0"/>
                <w:sz w:val="20"/>
              </w:rPr>
              <w:t xml:space="preserve"> (95% CI)</w:t>
            </w:r>
          </w:p>
        </w:tc>
        <w:tc>
          <w:tcPr>
            <w:tcW w:w="2694" w:type="pct"/>
            <w:gridSpan w:val="2"/>
            <w:tcBorders>
              <w:top w:val="single" w:sz="4" w:space="0" w:color="auto"/>
              <w:left w:val="nil"/>
              <w:bottom w:val="single" w:sz="12" w:space="0" w:color="auto"/>
              <w:right w:val="single" w:sz="12" w:space="0" w:color="auto"/>
            </w:tcBorders>
          </w:tcPr>
          <w:p w:rsidR="00D01072" w:rsidRPr="00D01072" w:rsidRDefault="00D01072" w:rsidP="00D01072">
            <w:pPr>
              <w:pStyle w:val="BayerTableStyleCentered"/>
              <w:spacing w:before="40" w:after="40"/>
              <w:rPr>
                <w:rFonts w:ascii="Arial" w:hAnsi="Arial" w:cs="Arial"/>
                <w:sz w:val="20"/>
              </w:rPr>
            </w:pPr>
            <w:r w:rsidRPr="00D01072">
              <w:rPr>
                <w:rFonts w:ascii="Arial" w:hAnsi="Arial" w:cs="Arial"/>
                <w:sz w:val="20"/>
              </w:rPr>
              <w:t>0.695 (0.581 - 0.832)</w:t>
            </w:r>
          </w:p>
        </w:tc>
      </w:tr>
    </w:tbl>
    <w:p w:rsidR="00D01072" w:rsidRPr="00D01072" w:rsidRDefault="00D01072" w:rsidP="00D01072">
      <w:pPr>
        <w:pStyle w:val="BayerTableFootnote"/>
        <w:spacing w:before="40" w:after="0"/>
        <w:rPr>
          <w:rFonts w:ascii="Arial" w:hAnsi="Arial" w:cs="Arial"/>
        </w:rPr>
      </w:pPr>
      <w:r w:rsidRPr="00D01072">
        <w:rPr>
          <w:rFonts w:ascii="Arial" w:hAnsi="Arial" w:cs="Arial"/>
        </w:rPr>
        <w:t>CI</w:t>
      </w:r>
      <w:r>
        <w:rPr>
          <w:rFonts w:ascii="Arial" w:hAnsi="Arial" w:cs="Arial"/>
        </w:rPr>
        <w:t xml:space="preserve"> </w:t>
      </w:r>
      <w:r w:rsidRPr="00D01072">
        <w:rPr>
          <w:rFonts w:ascii="Arial" w:hAnsi="Arial" w:cs="Arial"/>
        </w:rPr>
        <w:t>=</w:t>
      </w:r>
      <w:r>
        <w:rPr>
          <w:rFonts w:ascii="Arial" w:hAnsi="Arial" w:cs="Arial"/>
        </w:rPr>
        <w:t xml:space="preserve"> </w:t>
      </w:r>
      <w:r w:rsidRPr="00D01072">
        <w:rPr>
          <w:rFonts w:ascii="Arial" w:hAnsi="Arial" w:cs="Arial"/>
        </w:rPr>
        <w:t>Confidence interval</w:t>
      </w:r>
      <w:r w:rsidR="00E41021">
        <w:rPr>
          <w:rFonts w:ascii="Arial" w:hAnsi="Arial" w:cs="Arial"/>
        </w:rPr>
        <w:t>;</w:t>
      </w:r>
      <w:r w:rsidR="00167305">
        <w:rPr>
          <w:rFonts w:ascii="Arial" w:hAnsi="Arial" w:cs="Arial"/>
        </w:rPr>
        <w:t xml:space="preserve"> OS = Overall survival</w:t>
      </w:r>
      <w:r w:rsidR="00E41021">
        <w:rPr>
          <w:rFonts w:ascii="Arial" w:hAnsi="Arial" w:cs="Arial"/>
        </w:rPr>
        <w:t>;</w:t>
      </w:r>
      <w:r w:rsidRPr="00D01072">
        <w:rPr>
          <w:rFonts w:ascii="Arial" w:hAnsi="Arial" w:cs="Arial"/>
        </w:rPr>
        <w:t xml:space="preserve"> HR</w:t>
      </w:r>
      <w:r>
        <w:rPr>
          <w:rFonts w:ascii="Arial" w:hAnsi="Arial" w:cs="Arial"/>
        </w:rPr>
        <w:t xml:space="preserve"> </w:t>
      </w:r>
      <w:r w:rsidRPr="00D01072">
        <w:rPr>
          <w:rFonts w:ascii="Arial" w:hAnsi="Arial" w:cs="Arial"/>
        </w:rPr>
        <w:t>=</w:t>
      </w:r>
      <w:r>
        <w:rPr>
          <w:rFonts w:ascii="Arial" w:hAnsi="Arial" w:cs="Arial"/>
        </w:rPr>
        <w:t xml:space="preserve"> </w:t>
      </w:r>
      <w:r w:rsidRPr="00D01072">
        <w:rPr>
          <w:rFonts w:ascii="Arial" w:hAnsi="Arial" w:cs="Arial"/>
        </w:rPr>
        <w:t>Hazard ratio (</w:t>
      </w:r>
      <w:r w:rsidRPr="007E1D5F">
        <w:rPr>
          <w:rFonts w:ascii="Arial" w:hAnsi="Arial" w:cs="Arial"/>
          <w:caps/>
        </w:rPr>
        <w:t>Xofigo</w:t>
      </w:r>
      <w:r w:rsidRPr="00D01072">
        <w:rPr>
          <w:rFonts w:ascii="Arial" w:hAnsi="Arial" w:cs="Arial"/>
        </w:rPr>
        <w:t xml:space="preserve"> over placebo) </w:t>
      </w:r>
    </w:p>
    <w:bookmarkEnd w:id="2"/>
    <w:p w:rsidR="00D01072" w:rsidRPr="00D01072" w:rsidRDefault="00D01072" w:rsidP="00D01072">
      <w:pPr>
        <w:pStyle w:val="BayerTableFootnote"/>
        <w:spacing w:before="40" w:after="0"/>
        <w:ind w:left="142" w:right="804" w:hanging="142"/>
        <w:rPr>
          <w:rFonts w:ascii="Arial" w:hAnsi="Arial" w:cs="Arial"/>
        </w:rPr>
      </w:pPr>
      <w:proofErr w:type="spellStart"/>
      <w:proofErr w:type="gramStart"/>
      <w:r w:rsidRPr="00D01072">
        <w:rPr>
          <w:rFonts w:ascii="Arial" w:hAnsi="Arial" w:cs="Arial"/>
          <w:vertAlign w:val="superscript"/>
        </w:rPr>
        <w:t>a</w:t>
      </w:r>
      <w:proofErr w:type="spellEnd"/>
      <w:proofErr w:type="gramEnd"/>
      <w:r w:rsidRPr="00D01072">
        <w:rPr>
          <w:rFonts w:ascii="Arial" w:hAnsi="Arial" w:cs="Arial"/>
        </w:rPr>
        <w:t xml:space="preserve"> The phase III study (ALSYMPCA) was stopped for efficacy after the interim analysis. </w:t>
      </w:r>
      <w:r>
        <w:rPr>
          <w:rFonts w:ascii="Arial" w:hAnsi="Arial" w:cs="Arial"/>
        </w:rPr>
        <w:t xml:space="preserve"> </w:t>
      </w:r>
      <w:r w:rsidRPr="00D01072">
        <w:rPr>
          <w:rFonts w:ascii="Arial" w:hAnsi="Arial" w:cs="Arial"/>
        </w:rPr>
        <w:t>As the updated analysis is provided for descriptive purposes only, a p-value is not provided.</w:t>
      </w:r>
    </w:p>
    <w:p w:rsidR="00D01072" w:rsidRPr="00D01072" w:rsidRDefault="00D01072" w:rsidP="00D01072">
      <w:pPr>
        <w:pStyle w:val="BayerTableFootnote"/>
        <w:spacing w:before="40" w:after="0"/>
        <w:rPr>
          <w:rFonts w:ascii="Arial" w:hAnsi="Arial" w:cs="Arial"/>
        </w:rPr>
      </w:pPr>
      <w:proofErr w:type="gramStart"/>
      <w:r w:rsidRPr="00D01072">
        <w:rPr>
          <w:rFonts w:ascii="Arial" w:hAnsi="Arial" w:cs="Arial"/>
          <w:vertAlign w:val="superscript"/>
        </w:rPr>
        <w:t>b</w:t>
      </w:r>
      <w:proofErr w:type="gramEnd"/>
      <w:r w:rsidRPr="00D01072">
        <w:rPr>
          <w:rFonts w:ascii="Arial" w:hAnsi="Arial" w:cs="Arial"/>
        </w:rPr>
        <w:t xml:space="preserve"> Hazard ratio &lt; 1 </w:t>
      </w:r>
      <w:proofErr w:type="spellStart"/>
      <w:r w:rsidRPr="00D01072">
        <w:rPr>
          <w:rFonts w:ascii="Arial" w:hAnsi="Arial" w:cs="Arial"/>
        </w:rPr>
        <w:t>favo</w:t>
      </w:r>
      <w:r w:rsidR="00B025E4">
        <w:rPr>
          <w:rFonts w:ascii="Arial" w:hAnsi="Arial" w:cs="Arial"/>
        </w:rPr>
        <w:t>u</w:t>
      </w:r>
      <w:r w:rsidRPr="00D01072">
        <w:rPr>
          <w:rFonts w:ascii="Arial" w:hAnsi="Arial" w:cs="Arial"/>
        </w:rPr>
        <w:t>rs</w:t>
      </w:r>
      <w:proofErr w:type="spellEnd"/>
      <w:r w:rsidRPr="00D01072">
        <w:rPr>
          <w:rFonts w:ascii="Arial" w:hAnsi="Arial" w:cs="Arial"/>
        </w:rPr>
        <w:t xml:space="preserve"> </w:t>
      </w:r>
      <w:r w:rsidRPr="007E1D5F">
        <w:rPr>
          <w:rFonts w:ascii="Arial" w:hAnsi="Arial" w:cs="Arial"/>
          <w:caps/>
        </w:rPr>
        <w:t>Xofigo</w:t>
      </w:r>
      <w:r w:rsidRPr="00D01072">
        <w:rPr>
          <w:rFonts w:ascii="Arial" w:hAnsi="Arial" w:cs="Arial"/>
        </w:rPr>
        <w:t>.</w:t>
      </w:r>
    </w:p>
    <w:p w:rsidR="00DA2C52" w:rsidRDefault="00DA2C52" w:rsidP="00F336AB">
      <w:pPr>
        <w:spacing w:after="0" w:line="240" w:lineRule="auto"/>
        <w:rPr>
          <w:rFonts w:ascii="Arial" w:hAnsi="Arial" w:cs="Arial"/>
          <w:lang w:val="en-US"/>
        </w:rPr>
      </w:pPr>
    </w:p>
    <w:p w:rsidR="0011319D" w:rsidRPr="0011319D" w:rsidRDefault="0011319D" w:rsidP="0011319D">
      <w:pPr>
        <w:pStyle w:val="Caption"/>
        <w:spacing w:before="0"/>
        <w:ind w:left="0"/>
        <w:rPr>
          <w:rFonts w:ascii="Arial" w:hAnsi="Arial" w:cs="Arial"/>
          <w:sz w:val="20"/>
        </w:rPr>
      </w:pPr>
      <w:bookmarkStart w:id="3" w:name="OLE_LINK4"/>
      <w:bookmarkStart w:id="4" w:name="figure1"/>
      <w:r w:rsidRPr="0011319D">
        <w:rPr>
          <w:rFonts w:ascii="Arial" w:hAnsi="Arial" w:cs="Arial"/>
          <w:sz w:val="20"/>
        </w:rPr>
        <w:t>Figure 1: Kaplan-Meier Overall Survival Curves (</w:t>
      </w:r>
      <w:r w:rsidR="002D5207">
        <w:rPr>
          <w:rFonts w:ascii="Arial" w:hAnsi="Arial" w:cs="Arial"/>
          <w:sz w:val="20"/>
        </w:rPr>
        <w:t>Updated</w:t>
      </w:r>
      <w:r w:rsidRPr="0011319D">
        <w:rPr>
          <w:rFonts w:ascii="Arial" w:hAnsi="Arial" w:cs="Arial"/>
          <w:sz w:val="20"/>
        </w:rPr>
        <w:t xml:space="preserve"> Analysis)</w:t>
      </w:r>
    </w:p>
    <w:bookmarkEnd w:id="3"/>
    <w:bookmarkEnd w:id="4"/>
    <w:p w:rsidR="002D5207" w:rsidRDefault="005F48B2" w:rsidP="009F0820">
      <w:pPr>
        <w:pStyle w:val="BayerBodyTextFull"/>
        <w:spacing w:before="0" w:after="0"/>
        <w:rPr>
          <w:noProof/>
          <w:lang w:val="en-AU" w:eastAsia="en-AU"/>
        </w:rPr>
      </w:pPr>
      <w:r>
        <w:rPr>
          <w:noProof/>
          <w:lang w:val="en-AU" w:eastAsia="en-AU"/>
        </w:rPr>
        <w:drawing>
          <wp:inline distT="0" distB="0" distL="0" distR="0">
            <wp:extent cx="5534025" cy="3724275"/>
            <wp:effectExtent l="0" t="0" r="9525" b="9525"/>
            <wp:docPr id="2" name="Grafik 1" descr="Kaplan-Meier Overall Survival Curves (Updated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aplan-Meier Overall Survival Curves (Updated Analys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4025" cy="3724275"/>
                    </a:xfrm>
                    <a:prstGeom prst="rect">
                      <a:avLst/>
                    </a:prstGeom>
                    <a:noFill/>
                    <a:ln>
                      <a:noFill/>
                    </a:ln>
                  </pic:spPr>
                </pic:pic>
              </a:graphicData>
            </a:graphic>
          </wp:inline>
        </w:drawing>
      </w:r>
    </w:p>
    <w:p w:rsidR="00CC171A" w:rsidRDefault="00CC171A" w:rsidP="009F0820">
      <w:pPr>
        <w:pStyle w:val="BayerBodyTextFull"/>
        <w:spacing w:before="0" w:after="0"/>
        <w:rPr>
          <w:rFonts w:ascii="Arial" w:hAnsi="Arial" w:cs="Arial"/>
          <w:sz w:val="22"/>
          <w:szCs w:val="22"/>
        </w:rPr>
      </w:pPr>
    </w:p>
    <w:p w:rsidR="00CC171A" w:rsidRDefault="00CC171A" w:rsidP="009F0820">
      <w:pPr>
        <w:pStyle w:val="BayerBodyTextFull"/>
        <w:spacing w:before="0" w:after="0"/>
        <w:rPr>
          <w:rFonts w:ascii="Arial" w:hAnsi="Arial" w:cs="Arial"/>
          <w:sz w:val="22"/>
          <w:szCs w:val="22"/>
        </w:rPr>
      </w:pPr>
    </w:p>
    <w:p w:rsidR="009F0820" w:rsidRPr="00512E04" w:rsidRDefault="009F0820" w:rsidP="007E1D5F">
      <w:pPr>
        <w:pStyle w:val="BayerBodyTextFull"/>
        <w:spacing w:before="0" w:after="0"/>
        <w:jc w:val="both"/>
        <w:rPr>
          <w:rFonts w:ascii="Arial" w:hAnsi="Arial" w:cs="Arial"/>
          <w:sz w:val="22"/>
          <w:szCs w:val="22"/>
        </w:rPr>
      </w:pPr>
      <w:r w:rsidRPr="00512E04">
        <w:rPr>
          <w:rFonts w:ascii="Arial" w:hAnsi="Arial" w:cs="Arial"/>
          <w:sz w:val="22"/>
          <w:szCs w:val="22"/>
        </w:rPr>
        <w:t xml:space="preserve">Subgroup survival analysis showed a consistent survival benefit for treatment with </w:t>
      </w:r>
      <w:r w:rsidRPr="007E1D5F">
        <w:rPr>
          <w:rFonts w:ascii="Arial" w:hAnsi="Arial" w:cs="Arial"/>
          <w:caps/>
          <w:sz w:val="22"/>
          <w:szCs w:val="22"/>
        </w:rPr>
        <w:t>Xofigo</w:t>
      </w:r>
      <w:r w:rsidRPr="00512E04">
        <w:rPr>
          <w:rFonts w:ascii="Arial" w:hAnsi="Arial" w:cs="Arial"/>
          <w:sz w:val="22"/>
          <w:szCs w:val="22"/>
        </w:rPr>
        <w:t xml:space="preserve">, independent of total </w:t>
      </w:r>
      <w:r>
        <w:rPr>
          <w:rFonts w:ascii="Arial" w:hAnsi="Arial" w:cs="Arial"/>
          <w:sz w:val="22"/>
          <w:szCs w:val="22"/>
        </w:rPr>
        <w:t>alkaline phosphatase (</w:t>
      </w:r>
      <w:r w:rsidRPr="00512E04">
        <w:rPr>
          <w:rFonts w:ascii="Arial" w:hAnsi="Arial" w:cs="Arial"/>
          <w:sz w:val="22"/>
          <w:szCs w:val="22"/>
        </w:rPr>
        <w:t>ALP</w:t>
      </w:r>
      <w:r>
        <w:rPr>
          <w:rFonts w:ascii="Arial" w:hAnsi="Arial" w:cs="Arial"/>
          <w:sz w:val="22"/>
          <w:szCs w:val="22"/>
        </w:rPr>
        <w:t>)</w:t>
      </w:r>
      <w:r w:rsidRPr="00512E04">
        <w:rPr>
          <w:rFonts w:ascii="Arial" w:hAnsi="Arial" w:cs="Arial"/>
          <w:sz w:val="22"/>
          <w:szCs w:val="22"/>
        </w:rPr>
        <w:t>, use of bisphosphonates</w:t>
      </w:r>
      <w:r w:rsidR="00FF6A01">
        <w:rPr>
          <w:rFonts w:ascii="Arial" w:hAnsi="Arial" w:cs="Arial"/>
          <w:sz w:val="22"/>
          <w:szCs w:val="22"/>
        </w:rPr>
        <w:t xml:space="preserve"> at baseline</w:t>
      </w:r>
      <w:r w:rsidRPr="00512E04">
        <w:rPr>
          <w:rFonts w:ascii="Arial" w:hAnsi="Arial" w:cs="Arial"/>
          <w:sz w:val="22"/>
          <w:szCs w:val="22"/>
        </w:rPr>
        <w:t xml:space="preserve"> and prior use of </w:t>
      </w:r>
      <w:proofErr w:type="spellStart"/>
      <w:r w:rsidRPr="00512E04">
        <w:rPr>
          <w:rFonts w:ascii="Arial" w:hAnsi="Arial" w:cs="Arial"/>
          <w:sz w:val="22"/>
          <w:szCs w:val="22"/>
        </w:rPr>
        <w:t>docetaxel</w:t>
      </w:r>
      <w:proofErr w:type="spellEnd"/>
      <w:r w:rsidRPr="00512E04">
        <w:rPr>
          <w:rFonts w:ascii="Arial" w:hAnsi="Arial" w:cs="Arial"/>
          <w:sz w:val="22"/>
          <w:szCs w:val="22"/>
        </w:rPr>
        <w:t xml:space="preserve">. </w:t>
      </w:r>
    </w:p>
    <w:p w:rsidR="009F0820" w:rsidRPr="005067F2" w:rsidRDefault="009F0820" w:rsidP="007E1D5F">
      <w:pPr>
        <w:pStyle w:val="BayerBodyTextFull"/>
        <w:spacing w:before="0" w:after="0"/>
        <w:jc w:val="both"/>
        <w:rPr>
          <w:rFonts w:ascii="Arial" w:hAnsi="Arial" w:cs="Arial"/>
          <w:sz w:val="22"/>
          <w:szCs w:val="22"/>
        </w:rPr>
      </w:pPr>
    </w:p>
    <w:p w:rsidR="0011319D" w:rsidRDefault="0011319D" w:rsidP="00246D8C">
      <w:pPr>
        <w:pStyle w:val="BayerBodyTextFull"/>
        <w:spacing w:before="0" w:after="0"/>
        <w:jc w:val="both"/>
        <w:rPr>
          <w:rFonts w:ascii="Arial" w:hAnsi="Arial" w:cs="Arial"/>
          <w:sz w:val="22"/>
          <w:szCs w:val="22"/>
        </w:rPr>
      </w:pPr>
      <w:r w:rsidRPr="0011319D">
        <w:rPr>
          <w:rFonts w:ascii="Arial" w:hAnsi="Arial" w:cs="Arial"/>
          <w:sz w:val="22"/>
          <w:szCs w:val="22"/>
        </w:rPr>
        <w:t xml:space="preserve">The results of the interim analysis and the updated analysis </w:t>
      </w:r>
      <w:r w:rsidR="004906E3" w:rsidRPr="0011319D">
        <w:rPr>
          <w:rFonts w:ascii="Arial" w:hAnsi="Arial" w:cs="Arial"/>
          <w:sz w:val="22"/>
          <w:szCs w:val="22"/>
        </w:rPr>
        <w:t xml:space="preserve">also </w:t>
      </w:r>
      <w:r w:rsidRPr="0011319D">
        <w:rPr>
          <w:rFonts w:ascii="Arial" w:hAnsi="Arial" w:cs="Arial"/>
          <w:sz w:val="22"/>
          <w:szCs w:val="22"/>
        </w:rPr>
        <w:t xml:space="preserve">showed a significant improvement in all main secondary endpoints in the </w:t>
      </w:r>
      <w:r w:rsidRPr="007E1D5F">
        <w:rPr>
          <w:rFonts w:ascii="Arial" w:hAnsi="Arial" w:cs="Arial"/>
          <w:caps/>
          <w:sz w:val="22"/>
          <w:szCs w:val="22"/>
        </w:rPr>
        <w:t>Xofigo</w:t>
      </w:r>
      <w:r w:rsidRPr="0011319D">
        <w:rPr>
          <w:rFonts w:ascii="Arial" w:hAnsi="Arial" w:cs="Arial"/>
          <w:sz w:val="22"/>
          <w:szCs w:val="22"/>
        </w:rPr>
        <w:t xml:space="preserve"> arm compared to the placebo arm (see </w:t>
      </w:r>
      <w:hyperlink w:anchor="table3" w:history="1">
        <w:r w:rsidRPr="002F3FCA">
          <w:rPr>
            <w:rStyle w:val="Hyperlink"/>
            <w:rFonts w:ascii="Arial" w:hAnsi="Arial" w:cs="Arial"/>
            <w:color w:val="auto"/>
            <w:sz w:val="22"/>
            <w:szCs w:val="22"/>
            <w:u w:val="none"/>
          </w:rPr>
          <w:t xml:space="preserve">Table </w:t>
        </w:r>
        <w:r w:rsidR="002F3FCA" w:rsidRPr="002F3FCA">
          <w:rPr>
            <w:rStyle w:val="Hyperlink"/>
            <w:rFonts w:ascii="Arial" w:hAnsi="Arial" w:cs="Arial"/>
            <w:color w:val="auto"/>
            <w:sz w:val="22"/>
            <w:szCs w:val="22"/>
            <w:u w:val="none"/>
          </w:rPr>
          <w:t>2</w:t>
        </w:r>
      </w:hyperlink>
      <w:r w:rsidR="00246D8C">
        <w:rPr>
          <w:rFonts w:ascii="Arial" w:hAnsi="Arial" w:cs="Arial"/>
          <w:sz w:val="22"/>
          <w:szCs w:val="22"/>
        </w:rPr>
        <w:t xml:space="preserve">). </w:t>
      </w:r>
    </w:p>
    <w:p w:rsidR="00246D8C" w:rsidRPr="00246D8C" w:rsidRDefault="00246D8C" w:rsidP="00246D8C">
      <w:pPr>
        <w:pStyle w:val="BayerBodyTextFull"/>
        <w:spacing w:before="0" w:after="0"/>
        <w:jc w:val="both"/>
        <w:rPr>
          <w:rFonts w:ascii="Arial" w:hAnsi="Arial" w:cs="Arial"/>
          <w:sz w:val="22"/>
          <w:szCs w:val="22"/>
        </w:rPr>
      </w:pPr>
    </w:p>
    <w:p w:rsidR="00D60B3F" w:rsidRPr="00246D8C" w:rsidRDefault="00D60B3F" w:rsidP="00246D8C">
      <w:pPr>
        <w:pStyle w:val="BayerBodyTextFull"/>
        <w:spacing w:before="0"/>
        <w:jc w:val="both"/>
        <w:rPr>
          <w:rFonts w:ascii="Arial" w:hAnsi="Arial" w:cs="Arial"/>
          <w:sz w:val="22"/>
          <w:szCs w:val="22"/>
          <w:highlight w:val="lightGray"/>
        </w:rPr>
      </w:pPr>
      <w:r w:rsidRPr="00D60B3F">
        <w:rPr>
          <w:rFonts w:ascii="Arial" w:hAnsi="Arial" w:cs="Arial"/>
          <w:sz w:val="22"/>
          <w:szCs w:val="22"/>
        </w:rPr>
        <w:t>Occurrence of</w:t>
      </w:r>
      <w:r w:rsidR="00FF6A01">
        <w:rPr>
          <w:rFonts w:ascii="Arial" w:hAnsi="Arial" w:cs="Arial"/>
          <w:sz w:val="22"/>
          <w:szCs w:val="22"/>
        </w:rPr>
        <w:t xml:space="preserve"> symptomatic skeletal events </w:t>
      </w:r>
      <w:r w:rsidRPr="00D60B3F">
        <w:rPr>
          <w:rFonts w:ascii="Arial" w:hAnsi="Arial" w:cs="Arial"/>
          <w:sz w:val="22"/>
          <w:szCs w:val="22"/>
        </w:rPr>
        <w:t>(</w:t>
      </w:r>
      <w:r w:rsidR="00FF6A01">
        <w:rPr>
          <w:rFonts w:ascii="Arial" w:hAnsi="Arial" w:cs="Arial"/>
          <w:sz w:val="22"/>
          <w:szCs w:val="22"/>
        </w:rPr>
        <w:t>SSE</w:t>
      </w:r>
      <w:r w:rsidRPr="00D60B3F">
        <w:rPr>
          <w:rFonts w:ascii="Arial" w:hAnsi="Arial" w:cs="Arial"/>
          <w:sz w:val="22"/>
          <w:szCs w:val="22"/>
        </w:rPr>
        <w:t xml:space="preserve">, defined as occurrence of any of the following: external beam radiotherapy to relieve pain, or spinal cord compression, or </w:t>
      </w:r>
      <w:proofErr w:type="spellStart"/>
      <w:r w:rsidRPr="00D60B3F">
        <w:rPr>
          <w:rFonts w:ascii="Arial" w:hAnsi="Arial" w:cs="Arial"/>
          <w:sz w:val="22"/>
          <w:szCs w:val="22"/>
        </w:rPr>
        <w:t>tumo</w:t>
      </w:r>
      <w:r w:rsidR="00B025E4">
        <w:rPr>
          <w:rFonts w:ascii="Arial" w:hAnsi="Arial" w:cs="Arial"/>
          <w:sz w:val="22"/>
          <w:szCs w:val="22"/>
        </w:rPr>
        <w:t>u</w:t>
      </w:r>
      <w:r w:rsidRPr="00D60B3F">
        <w:rPr>
          <w:rFonts w:ascii="Arial" w:hAnsi="Arial" w:cs="Arial"/>
          <w:sz w:val="22"/>
          <w:szCs w:val="22"/>
        </w:rPr>
        <w:t>r</w:t>
      </w:r>
      <w:proofErr w:type="spellEnd"/>
      <w:r w:rsidRPr="00D60B3F">
        <w:rPr>
          <w:rFonts w:ascii="Arial" w:hAnsi="Arial" w:cs="Arial"/>
          <w:sz w:val="22"/>
          <w:szCs w:val="22"/>
        </w:rPr>
        <w:t xml:space="preserve">-related </w:t>
      </w:r>
      <w:proofErr w:type="spellStart"/>
      <w:r w:rsidRPr="00D60B3F">
        <w:rPr>
          <w:rFonts w:ascii="Arial" w:hAnsi="Arial" w:cs="Arial"/>
          <w:sz w:val="22"/>
          <w:szCs w:val="22"/>
        </w:rPr>
        <w:t>orthop</w:t>
      </w:r>
      <w:r w:rsidR="00B025E4">
        <w:rPr>
          <w:rFonts w:ascii="Arial" w:hAnsi="Arial" w:cs="Arial"/>
          <w:sz w:val="22"/>
          <w:szCs w:val="22"/>
        </w:rPr>
        <w:t>a</w:t>
      </w:r>
      <w:r w:rsidRPr="00D60B3F">
        <w:rPr>
          <w:rFonts w:ascii="Arial" w:hAnsi="Arial" w:cs="Arial"/>
          <w:sz w:val="22"/>
          <w:szCs w:val="22"/>
        </w:rPr>
        <w:t>edic</w:t>
      </w:r>
      <w:proofErr w:type="spellEnd"/>
      <w:r w:rsidRPr="00D60B3F">
        <w:rPr>
          <w:rFonts w:ascii="Arial" w:hAnsi="Arial" w:cs="Arial"/>
          <w:sz w:val="22"/>
          <w:szCs w:val="22"/>
        </w:rPr>
        <w:t xml:space="preserve"> surgical intervention</w:t>
      </w:r>
      <w:r w:rsidR="00B025E4" w:rsidRPr="00B025E4">
        <w:rPr>
          <w:rFonts w:ascii="Arial" w:hAnsi="Arial" w:cs="Arial"/>
          <w:sz w:val="22"/>
          <w:szCs w:val="22"/>
        </w:rPr>
        <w:t xml:space="preserve"> </w:t>
      </w:r>
      <w:r w:rsidR="00B025E4" w:rsidRPr="00D60B3F">
        <w:rPr>
          <w:rFonts w:ascii="Arial" w:hAnsi="Arial" w:cs="Arial"/>
          <w:sz w:val="22"/>
          <w:szCs w:val="22"/>
        </w:rPr>
        <w:t>or pathologic fracture</w:t>
      </w:r>
      <w:r w:rsidRPr="00D60B3F">
        <w:rPr>
          <w:rFonts w:ascii="Arial" w:hAnsi="Arial" w:cs="Arial"/>
          <w:sz w:val="22"/>
          <w:szCs w:val="22"/>
        </w:rPr>
        <w:t xml:space="preserve">) was significantly delayed in patients receiving </w:t>
      </w:r>
      <w:r w:rsidRPr="007E1D5F">
        <w:rPr>
          <w:rFonts w:ascii="Arial" w:hAnsi="Arial" w:cs="Arial"/>
          <w:caps/>
          <w:sz w:val="22"/>
          <w:szCs w:val="22"/>
        </w:rPr>
        <w:t>Xofigo</w:t>
      </w:r>
      <w:r w:rsidRPr="00D60B3F">
        <w:rPr>
          <w:rFonts w:ascii="Arial" w:hAnsi="Arial" w:cs="Arial"/>
          <w:sz w:val="22"/>
          <w:szCs w:val="22"/>
        </w:rPr>
        <w:t xml:space="preserve"> compared to patients receiving placebo (</w:t>
      </w:r>
      <w:r>
        <w:rPr>
          <w:rFonts w:ascii="Arial" w:hAnsi="Arial" w:cs="Arial"/>
          <w:sz w:val="22"/>
          <w:szCs w:val="22"/>
        </w:rPr>
        <w:t>see Table 2</w:t>
      </w:r>
      <w:r w:rsidRPr="00D60B3F">
        <w:rPr>
          <w:rFonts w:ascii="Arial" w:hAnsi="Arial" w:cs="Arial"/>
          <w:sz w:val="22"/>
          <w:szCs w:val="22"/>
        </w:rPr>
        <w:t>).</w:t>
      </w:r>
      <w:r w:rsidR="00246D8C" w:rsidRPr="00246D8C">
        <w:rPr>
          <w:rFonts w:ascii="Arial" w:hAnsi="Arial" w:cs="Arial"/>
          <w:sz w:val="22"/>
          <w:szCs w:val="22"/>
          <w:highlight w:val="lightGray"/>
        </w:rPr>
        <w:t xml:space="preserve"> </w:t>
      </w:r>
    </w:p>
    <w:p w:rsidR="00246D8C" w:rsidRDefault="00246D8C" w:rsidP="00246D8C">
      <w:pPr>
        <w:numPr>
          <w:ilvl w:val="0"/>
          <w:numId w:val="4"/>
        </w:numPr>
        <w:spacing w:before="120" w:after="0" w:line="240" w:lineRule="auto"/>
        <w:rPr>
          <w:rFonts w:ascii="Arial" w:hAnsi="Arial" w:cs="Arial"/>
        </w:rPr>
      </w:pPr>
      <w:r>
        <w:rPr>
          <w:rFonts w:ascii="Arial" w:hAnsi="Arial" w:cs="Arial"/>
        </w:rPr>
        <w:t xml:space="preserve">The </w:t>
      </w:r>
      <w:r w:rsidRPr="00246D8C">
        <w:rPr>
          <w:rFonts w:ascii="Arial" w:hAnsi="Arial" w:cs="Arial"/>
        </w:rPr>
        <w:t xml:space="preserve">delay of occurrence of SSE with </w:t>
      </w:r>
      <w:r w:rsidRPr="00246D8C">
        <w:rPr>
          <w:rFonts w:ascii="Arial" w:hAnsi="Arial" w:cs="Arial"/>
          <w:caps/>
        </w:rPr>
        <w:t>Xofigo</w:t>
      </w:r>
      <w:r w:rsidRPr="00246D8C">
        <w:rPr>
          <w:rFonts w:ascii="Arial" w:hAnsi="Arial" w:cs="Arial"/>
        </w:rPr>
        <w:t xml:space="preserve"> was mainly driven by the statistically significant delay in time to external beam radiation therapy (EBRT) for pain relief.</w:t>
      </w:r>
    </w:p>
    <w:p w:rsidR="00D60B3F" w:rsidRPr="00D60B3F" w:rsidRDefault="00D60B3F" w:rsidP="00246D8C">
      <w:pPr>
        <w:numPr>
          <w:ilvl w:val="0"/>
          <w:numId w:val="4"/>
        </w:numPr>
        <w:spacing w:before="120" w:after="0" w:line="240" w:lineRule="auto"/>
        <w:rPr>
          <w:rFonts w:ascii="Arial" w:hAnsi="Arial" w:cs="Arial"/>
        </w:rPr>
      </w:pPr>
      <w:r w:rsidRPr="00D60B3F">
        <w:rPr>
          <w:rFonts w:ascii="Arial" w:hAnsi="Arial" w:cs="Arial"/>
        </w:rPr>
        <w:t xml:space="preserve">A delay in time to spinal cord compression was observed in patients receiving </w:t>
      </w:r>
      <w:r w:rsidRPr="007E1D5F">
        <w:rPr>
          <w:rFonts w:ascii="Arial" w:hAnsi="Arial" w:cs="Arial"/>
          <w:caps/>
        </w:rPr>
        <w:t>Xofigo</w:t>
      </w:r>
      <w:r w:rsidRPr="00D60B3F">
        <w:rPr>
          <w:rFonts w:ascii="Arial" w:hAnsi="Arial" w:cs="Arial"/>
        </w:rPr>
        <w:t xml:space="preserve"> compared to patients receiving placebo</w:t>
      </w:r>
      <w:r w:rsidRPr="00630EAD">
        <w:rPr>
          <w:rFonts w:ascii="Arial" w:eastAsia="Times New Roman" w:hAnsi="Arial" w:cs="Arial"/>
          <w:lang w:val="en-US"/>
        </w:rPr>
        <w:t>.</w:t>
      </w:r>
    </w:p>
    <w:p w:rsidR="00D60B3F" w:rsidRPr="00D60B3F" w:rsidRDefault="00D60B3F" w:rsidP="00246D8C">
      <w:pPr>
        <w:numPr>
          <w:ilvl w:val="0"/>
          <w:numId w:val="4"/>
        </w:numPr>
        <w:spacing w:before="120" w:after="0" w:line="240" w:lineRule="auto"/>
        <w:rPr>
          <w:rFonts w:ascii="Arial" w:hAnsi="Arial" w:cs="Arial"/>
        </w:rPr>
      </w:pPr>
      <w:r w:rsidRPr="00D60B3F">
        <w:rPr>
          <w:rFonts w:ascii="Arial" w:hAnsi="Arial" w:cs="Arial"/>
        </w:rPr>
        <w:t xml:space="preserve">A delay in time to surgical intervention was observed in patients receiving </w:t>
      </w:r>
      <w:r w:rsidRPr="007E1D5F">
        <w:rPr>
          <w:rFonts w:ascii="Arial" w:hAnsi="Arial" w:cs="Arial"/>
          <w:caps/>
        </w:rPr>
        <w:t>Xofigo</w:t>
      </w:r>
      <w:r w:rsidRPr="00D60B3F">
        <w:rPr>
          <w:rFonts w:ascii="Arial" w:hAnsi="Arial" w:cs="Arial"/>
        </w:rPr>
        <w:t xml:space="preserve"> compared to patients receiving placebo.</w:t>
      </w:r>
    </w:p>
    <w:p w:rsidR="00D60B3F" w:rsidRPr="00D60B3F" w:rsidRDefault="00D60B3F" w:rsidP="00246D8C">
      <w:pPr>
        <w:numPr>
          <w:ilvl w:val="0"/>
          <w:numId w:val="4"/>
        </w:numPr>
        <w:spacing w:before="120" w:after="0" w:line="240" w:lineRule="auto"/>
        <w:rPr>
          <w:rFonts w:ascii="Arial" w:hAnsi="Arial" w:cs="Arial"/>
        </w:rPr>
      </w:pPr>
      <w:r w:rsidRPr="00D60B3F">
        <w:rPr>
          <w:rFonts w:ascii="Arial" w:hAnsi="Arial" w:cs="Arial"/>
        </w:rPr>
        <w:t xml:space="preserve">A delay in time to bone fracture was observed in patients receiving </w:t>
      </w:r>
      <w:r w:rsidRPr="007E1D5F">
        <w:rPr>
          <w:rFonts w:ascii="Arial" w:hAnsi="Arial" w:cs="Arial"/>
          <w:caps/>
        </w:rPr>
        <w:t>Xofigo</w:t>
      </w:r>
      <w:r w:rsidRPr="00D60B3F">
        <w:rPr>
          <w:rFonts w:ascii="Arial" w:hAnsi="Arial" w:cs="Arial"/>
        </w:rPr>
        <w:t xml:space="preserve"> compared to patients receiving placebo.</w:t>
      </w:r>
    </w:p>
    <w:p w:rsidR="00AB08C5" w:rsidRDefault="00AB08C5" w:rsidP="00D60B3F">
      <w:pPr>
        <w:pStyle w:val="BayerBodyTextFull"/>
        <w:spacing w:before="0" w:after="0"/>
        <w:rPr>
          <w:rFonts w:ascii="Arial" w:hAnsi="Arial" w:cs="Arial"/>
          <w:sz w:val="22"/>
          <w:szCs w:val="22"/>
          <w:lang w:val="en-AU"/>
        </w:rPr>
      </w:pPr>
    </w:p>
    <w:p w:rsidR="0088685E" w:rsidRPr="00AB08C5" w:rsidRDefault="0088685E" w:rsidP="00E41021">
      <w:pPr>
        <w:pStyle w:val="Caption"/>
        <w:keepLines/>
        <w:spacing w:before="0"/>
        <w:ind w:left="0"/>
        <w:rPr>
          <w:rFonts w:ascii="Arial" w:hAnsi="Arial" w:cs="Arial"/>
          <w:sz w:val="20"/>
        </w:rPr>
      </w:pPr>
      <w:r w:rsidRPr="00AB08C5">
        <w:rPr>
          <w:rFonts w:ascii="Arial" w:hAnsi="Arial" w:cs="Arial"/>
          <w:sz w:val="20"/>
        </w:rPr>
        <w:t xml:space="preserve">Table </w:t>
      </w:r>
      <w:r>
        <w:rPr>
          <w:rFonts w:ascii="Arial" w:hAnsi="Arial" w:cs="Arial"/>
          <w:sz w:val="20"/>
        </w:rPr>
        <w:t>2</w:t>
      </w:r>
      <w:r w:rsidRPr="00AB08C5">
        <w:rPr>
          <w:rFonts w:ascii="Arial" w:hAnsi="Arial" w:cs="Arial"/>
          <w:sz w:val="20"/>
        </w:rPr>
        <w:t xml:space="preserve">: Secondary </w:t>
      </w:r>
      <w:r>
        <w:rPr>
          <w:rFonts w:ascii="Arial" w:hAnsi="Arial" w:cs="Arial"/>
          <w:sz w:val="20"/>
        </w:rPr>
        <w:t>efficacy endpo</w:t>
      </w:r>
      <w:r w:rsidR="00E41021">
        <w:rPr>
          <w:rFonts w:ascii="Arial" w:hAnsi="Arial" w:cs="Arial"/>
          <w:sz w:val="20"/>
        </w:rPr>
        <w:t>i</w:t>
      </w:r>
      <w:r>
        <w:rPr>
          <w:rFonts w:ascii="Arial" w:hAnsi="Arial" w:cs="Arial"/>
          <w:sz w:val="20"/>
        </w:rPr>
        <w:t>nts from the phase III ALSYMPCA study (interim analysis)</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6"/>
        <w:gridCol w:w="1842"/>
        <w:gridCol w:w="850"/>
        <w:gridCol w:w="851"/>
        <w:gridCol w:w="1063"/>
        <w:gridCol w:w="1064"/>
        <w:gridCol w:w="1421"/>
        <w:gridCol w:w="1054"/>
      </w:tblGrid>
      <w:tr w:rsidR="00E41021" w:rsidRPr="0063797E" w:rsidTr="0063797E">
        <w:tc>
          <w:tcPr>
            <w:tcW w:w="2943" w:type="dxa"/>
            <w:gridSpan w:val="3"/>
            <w:vMerge w:val="restart"/>
            <w:shd w:val="clear" w:color="auto" w:fill="auto"/>
          </w:tcPr>
          <w:p w:rsidR="00E41021" w:rsidRPr="0063797E" w:rsidRDefault="00E41021" w:rsidP="0063797E">
            <w:pPr>
              <w:keepNext/>
              <w:keepLines/>
              <w:spacing w:before="40" w:after="40"/>
              <w:rPr>
                <w:rFonts w:ascii="Arial" w:hAnsi="Arial" w:cs="Arial"/>
                <w:sz w:val="20"/>
                <w:szCs w:val="20"/>
              </w:rPr>
            </w:pPr>
          </w:p>
        </w:tc>
        <w:tc>
          <w:tcPr>
            <w:tcW w:w="1701" w:type="dxa"/>
            <w:gridSpan w:val="2"/>
            <w:shd w:val="clear" w:color="auto" w:fill="auto"/>
          </w:tcPr>
          <w:p w:rsidR="00E41021" w:rsidRPr="0063797E" w:rsidRDefault="00E41021" w:rsidP="0063797E">
            <w:pPr>
              <w:keepNext/>
              <w:keepLines/>
              <w:spacing w:before="40" w:after="40"/>
              <w:jc w:val="center"/>
              <w:rPr>
                <w:rFonts w:ascii="Arial" w:hAnsi="Arial" w:cs="Arial"/>
                <w:b/>
                <w:sz w:val="20"/>
                <w:szCs w:val="20"/>
              </w:rPr>
            </w:pPr>
            <w:r w:rsidRPr="0063797E">
              <w:rPr>
                <w:rFonts w:ascii="Arial" w:hAnsi="Arial" w:cs="Arial"/>
                <w:b/>
                <w:sz w:val="20"/>
                <w:szCs w:val="20"/>
              </w:rPr>
              <w:t>Incidence</w:t>
            </w:r>
          </w:p>
        </w:tc>
        <w:tc>
          <w:tcPr>
            <w:tcW w:w="4602" w:type="dxa"/>
            <w:gridSpan w:val="4"/>
            <w:shd w:val="clear" w:color="auto" w:fill="auto"/>
          </w:tcPr>
          <w:p w:rsidR="00E41021" w:rsidRPr="0063797E" w:rsidRDefault="00E41021" w:rsidP="0063797E">
            <w:pPr>
              <w:keepNext/>
              <w:keepLines/>
              <w:spacing w:before="40" w:after="40"/>
              <w:jc w:val="center"/>
              <w:rPr>
                <w:rFonts w:ascii="Arial" w:hAnsi="Arial" w:cs="Arial"/>
                <w:sz w:val="20"/>
                <w:szCs w:val="20"/>
              </w:rPr>
            </w:pPr>
            <w:r w:rsidRPr="0063797E">
              <w:rPr>
                <w:rFonts w:ascii="Arial" w:hAnsi="Arial" w:cs="Arial"/>
                <w:b/>
                <w:sz w:val="20"/>
                <w:szCs w:val="20"/>
              </w:rPr>
              <w:t xml:space="preserve">Time-to-event analysis </w:t>
            </w:r>
            <w:r w:rsidRPr="0063797E">
              <w:rPr>
                <w:rFonts w:ascii="Arial" w:hAnsi="Arial" w:cs="Arial"/>
                <w:sz w:val="20"/>
                <w:szCs w:val="20"/>
              </w:rPr>
              <w:t>(95% CI)</w:t>
            </w:r>
          </w:p>
        </w:tc>
      </w:tr>
      <w:tr w:rsidR="00E41021" w:rsidRPr="0063797E" w:rsidTr="0063797E">
        <w:tc>
          <w:tcPr>
            <w:tcW w:w="2943" w:type="dxa"/>
            <w:gridSpan w:val="3"/>
            <w:vMerge/>
            <w:shd w:val="clear" w:color="auto" w:fill="auto"/>
          </w:tcPr>
          <w:p w:rsidR="00E41021" w:rsidRPr="0063797E" w:rsidRDefault="00E41021" w:rsidP="0063797E">
            <w:pPr>
              <w:keepNext/>
              <w:keepLines/>
              <w:spacing w:before="40" w:after="40"/>
              <w:rPr>
                <w:rFonts w:ascii="Arial" w:hAnsi="Arial" w:cs="Arial"/>
                <w:sz w:val="20"/>
                <w:szCs w:val="20"/>
              </w:rPr>
            </w:pPr>
          </w:p>
        </w:tc>
        <w:tc>
          <w:tcPr>
            <w:tcW w:w="1701" w:type="dxa"/>
            <w:gridSpan w:val="2"/>
            <w:shd w:val="clear" w:color="auto" w:fill="auto"/>
          </w:tcPr>
          <w:p w:rsidR="00E41021" w:rsidRPr="0063797E" w:rsidRDefault="00E41021" w:rsidP="0063797E">
            <w:pPr>
              <w:keepNext/>
              <w:keepLines/>
              <w:spacing w:before="40" w:after="40"/>
              <w:jc w:val="center"/>
              <w:rPr>
                <w:rFonts w:ascii="Arial Narrow" w:hAnsi="Arial Narrow" w:cs="Arial"/>
                <w:b/>
                <w:sz w:val="20"/>
                <w:szCs w:val="20"/>
              </w:rPr>
            </w:pPr>
            <w:r w:rsidRPr="0063797E">
              <w:rPr>
                <w:rFonts w:ascii="Arial Narrow" w:hAnsi="Arial Narrow" w:cs="Arial"/>
                <w:sz w:val="20"/>
                <w:szCs w:val="20"/>
              </w:rPr>
              <w:t>[</w:t>
            </w:r>
            <w:proofErr w:type="gramStart"/>
            <w:r w:rsidRPr="0063797E">
              <w:rPr>
                <w:rFonts w:ascii="Arial Narrow" w:hAnsi="Arial Narrow" w:cs="Arial"/>
                <w:sz w:val="20"/>
                <w:szCs w:val="20"/>
              </w:rPr>
              <w:t>no</w:t>
            </w:r>
            <w:proofErr w:type="gramEnd"/>
            <w:r w:rsidRPr="0063797E">
              <w:rPr>
                <w:rFonts w:ascii="Arial Narrow" w:hAnsi="Arial Narrow" w:cs="Arial"/>
                <w:sz w:val="20"/>
                <w:szCs w:val="20"/>
              </w:rPr>
              <w:t>. (%) of patients]</w:t>
            </w:r>
          </w:p>
        </w:tc>
        <w:tc>
          <w:tcPr>
            <w:tcW w:w="2127" w:type="dxa"/>
            <w:gridSpan w:val="2"/>
            <w:shd w:val="clear" w:color="auto" w:fill="auto"/>
          </w:tcPr>
          <w:p w:rsidR="00E41021" w:rsidRPr="0063797E" w:rsidRDefault="00E41021" w:rsidP="0063797E">
            <w:pPr>
              <w:keepNext/>
              <w:keepLines/>
              <w:spacing w:before="40" w:after="40"/>
              <w:jc w:val="center"/>
              <w:rPr>
                <w:rFonts w:ascii="Arial Narrow" w:hAnsi="Arial Narrow" w:cs="Arial"/>
                <w:sz w:val="20"/>
                <w:szCs w:val="20"/>
              </w:rPr>
            </w:pPr>
            <w:r w:rsidRPr="0063797E">
              <w:rPr>
                <w:rFonts w:ascii="Arial Narrow" w:hAnsi="Arial Narrow" w:cs="Arial"/>
                <w:sz w:val="20"/>
                <w:szCs w:val="20"/>
              </w:rPr>
              <w:t>[median no. of months]</w:t>
            </w:r>
          </w:p>
        </w:tc>
        <w:tc>
          <w:tcPr>
            <w:tcW w:w="1421" w:type="dxa"/>
            <w:vMerge w:val="restart"/>
            <w:shd w:val="clear" w:color="auto" w:fill="auto"/>
            <w:vAlign w:val="center"/>
          </w:tcPr>
          <w:p w:rsidR="00E41021" w:rsidRPr="0063797E" w:rsidRDefault="00E41021" w:rsidP="0063797E">
            <w:pPr>
              <w:keepNext/>
              <w:keepLines/>
              <w:spacing w:before="40" w:after="40" w:line="240" w:lineRule="auto"/>
              <w:jc w:val="center"/>
              <w:rPr>
                <w:rFonts w:ascii="Arial" w:hAnsi="Arial" w:cs="Arial"/>
                <w:b/>
                <w:sz w:val="20"/>
                <w:szCs w:val="20"/>
              </w:rPr>
            </w:pPr>
            <w:r w:rsidRPr="0063797E">
              <w:rPr>
                <w:rFonts w:ascii="Arial" w:hAnsi="Arial" w:cs="Arial"/>
                <w:b/>
                <w:sz w:val="20"/>
                <w:szCs w:val="20"/>
              </w:rPr>
              <w:t xml:space="preserve">Hazard </w:t>
            </w:r>
            <w:proofErr w:type="spellStart"/>
            <w:r w:rsidRPr="0063797E">
              <w:rPr>
                <w:rFonts w:ascii="Arial" w:hAnsi="Arial" w:cs="Arial"/>
                <w:b/>
                <w:sz w:val="20"/>
                <w:szCs w:val="20"/>
              </w:rPr>
              <w:t>Ratio</w:t>
            </w:r>
            <w:r w:rsidRPr="0063797E">
              <w:rPr>
                <w:rFonts w:ascii="Arial" w:hAnsi="Arial" w:cs="Arial"/>
                <w:b/>
                <w:sz w:val="20"/>
                <w:szCs w:val="20"/>
                <w:vertAlign w:val="superscript"/>
              </w:rPr>
              <w:t>e</w:t>
            </w:r>
            <w:proofErr w:type="spellEnd"/>
          </w:p>
        </w:tc>
        <w:tc>
          <w:tcPr>
            <w:tcW w:w="1054" w:type="dxa"/>
            <w:vMerge w:val="restart"/>
            <w:shd w:val="clear" w:color="auto" w:fill="auto"/>
            <w:vAlign w:val="center"/>
          </w:tcPr>
          <w:p w:rsidR="00E41021" w:rsidRPr="0063797E" w:rsidRDefault="00E41021" w:rsidP="0063797E">
            <w:pPr>
              <w:keepNext/>
              <w:keepLines/>
              <w:spacing w:before="40" w:after="40" w:line="240" w:lineRule="auto"/>
              <w:jc w:val="center"/>
              <w:rPr>
                <w:rFonts w:ascii="Arial" w:hAnsi="Arial" w:cs="Arial"/>
                <w:b/>
                <w:sz w:val="20"/>
                <w:szCs w:val="20"/>
              </w:rPr>
            </w:pPr>
            <w:r w:rsidRPr="0063797E">
              <w:rPr>
                <w:rFonts w:ascii="Arial" w:hAnsi="Arial" w:cs="Arial"/>
                <w:b/>
                <w:sz w:val="20"/>
                <w:szCs w:val="20"/>
              </w:rPr>
              <w:t>p-value</w:t>
            </w:r>
          </w:p>
        </w:tc>
      </w:tr>
      <w:tr w:rsidR="00E41021" w:rsidRPr="0063797E" w:rsidTr="0063797E">
        <w:tc>
          <w:tcPr>
            <w:tcW w:w="2943" w:type="dxa"/>
            <w:gridSpan w:val="3"/>
            <w:vMerge/>
            <w:shd w:val="clear" w:color="auto" w:fill="auto"/>
          </w:tcPr>
          <w:p w:rsidR="00E41021" w:rsidRPr="0063797E" w:rsidRDefault="00E41021" w:rsidP="0063797E">
            <w:pPr>
              <w:keepNext/>
              <w:keepLines/>
              <w:spacing w:before="40" w:after="40"/>
              <w:rPr>
                <w:rFonts w:ascii="Arial" w:hAnsi="Arial" w:cs="Arial"/>
                <w:sz w:val="20"/>
                <w:szCs w:val="20"/>
              </w:rPr>
            </w:pPr>
          </w:p>
        </w:tc>
        <w:tc>
          <w:tcPr>
            <w:tcW w:w="850" w:type="dxa"/>
            <w:shd w:val="clear" w:color="auto" w:fill="auto"/>
          </w:tcPr>
          <w:p w:rsidR="00E41021" w:rsidRPr="0063797E" w:rsidRDefault="00E41021" w:rsidP="0063797E">
            <w:pPr>
              <w:keepNext/>
              <w:keepLines/>
              <w:spacing w:before="40" w:after="40"/>
              <w:ind w:left="-108" w:right="-109"/>
              <w:jc w:val="center"/>
              <w:rPr>
                <w:rFonts w:ascii="Arial Narrow" w:hAnsi="Arial Narrow" w:cs="Arial"/>
                <w:b/>
                <w:sz w:val="20"/>
                <w:szCs w:val="20"/>
              </w:rPr>
            </w:pPr>
            <w:r w:rsidRPr="0063797E">
              <w:rPr>
                <w:rFonts w:ascii="Arial Narrow" w:hAnsi="Arial Narrow" w:cs="Arial"/>
                <w:b/>
                <w:sz w:val="20"/>
                <w:szCs w:val="20"/>
              </w:rPr>
              <w:t>XOFIGO</w:t>
            </w:r>
            <w:r w:rsidRPr="0063797E">
              <w:rPr>
                <w:rFonts w:ascii="Arial Narrow" w:hAnsi="Arial Narrow" w:cs="Arial"/>
                <w:b/>
                <w:sz w:val="20"/>
                <w:szCs w:val="20"/>
              </w:rPr>
              <w:br/>
            </w:r>
            <w:r w:rsidRPr="0063797E">
              <w:rPr>
                <w:rFonts w:ascii="Arial Narrow" w:hAnsi="Arial Narrow" w:cs="Arial"/>
                <w:sz w:val="20"/>
                <w:szCs w:val="20"/>
              </w:rPr>
              <w:t>N = 541</w:t>
            </w:r>
          </w:p>
        </w:tc>
        <w:tc>
          <w:tcPr>
            <w:tcW w:w="851" w:type="dxa"/>
            <w:shd w:val="clear" w:color="auto" w:fill="auto"/>
          </w:tcPr>
          <w:p w:rsidR="00E41021" w:rsidRPr="0063797E" w:rsidRDefault="00E41021" w:rsidP="0063797E">
            <w:pPr>
              <w:keepNext/>
              <w:keepLines/>
              <w:spacing w:before="40" w:after="40"/>
              <w:jc w:val="center"/>
              <w:rPr>
                <w:rFonts w:ascii="Arial Narrow" w:hAnsi="Arial Narrow" w:cs="Arial"/>
                <w:b/>
                <w:sz w:val="20"/>
                <w:szCs w:val="20"/>
              </w:rPr>
            </w:pPr>
            <w:r w:rsidRPr="0063797E">
              <w:rPr>
                <w:rFonts w:ascii="Arial Narrow" w:hAnsi="Arial Narrow" w:cs="Arial"/>
                <w:b/>
                <w:sz w:val="20"/>
                <w:szCs w:val="20"/>
              </w:rPr>
              <w:t>Placebo</w:t>
            </w:r>
            <w:r w:rsidRPr="0063797E">
              <w:rPr>
                <w:rFonts w:ascii="Arial Narrow" w:hAnsi="Arial Narrow" w:cs="Arial"/>
                <w:b/>
                <w:sz w:val="20"/>
                <w:szCs w:val="20"/>
              </w:rPr>
              <w:br/>
            </w:r>
            <w:r w:rsidRPr="0063797E">
              <w:rPr>
                <w:rFonts w:ascii="Arial Narrow" w:hAnsi="Arial Narrow" w:cs="Arial"/>
                <w:sz w:val="20"/>
                <w:szCs w:val="20"/>
              </w:rPr>
              <w:t>N = 268</w:t>
            </w:r>
          </w:p>
        </w:tc>
        <w:tc>
          <w:tcPr>
            <w:tcW w:w="1063" w:type="dxa"/>
            <w:shd w:val="clear" w:color="auto" w:fill="auto"/>
          </w:tcPr>
          <w:p w:rsidR="00E41021" w:rsidRPr="0063797E" w:rsidRDefault="00E41021" w:rsidP="0063797E">
            <w:pPr>
              <w:keepNext/>
              <w:keepLines/>
              <w:spacing w:before="40" w:after="40"/>
              <w:jc w:val="center"/>
              <w:rPr>
                <w:rFonts w:ascii="Arial Narrow" w:hAnsi="Arial Narrow" w:cs="Arial"/>
                <w:b/>
                <w:sz w:val="20"/>
                <w:szCs w:val="20"/>
              </w:rPr>
            </w:pPr>
            <w:r w:rsidRPr="0063797E">
              <w:rPr>
                <w:rFonts w:ascii="Arial Narrow" w:hAnsi="Arial Narrow" w:cs="Arial"/>
                <w:b/>
                <w:sz w:val="20"/>
                <w:szCs w:val="20"/>
              </w:rPr>
              <w:t>XOFIGO</w:t>
            </w:r>
            <w:r w:rsidRPr="0063797E">
              <w:rPr>
                <w:rFonts w:ascii="Arial Narrow" w:hAnsi="Arial Narrow" w:cs="Arial"/>
                <w:b/>
                <w:sz w:val="20"/>
                <w:szCs w:val="20"/>
              </w:rPr>
              <w:br/>
            </w:r>
            <w:r w:rsidRPr="0063797E">
              <w:rPr>
                <w:rFonts w:ascii="Arial Narrow" w:hAnsi="Arial Narrow" w:cs="Arial"/>
                <w:sz w:val="20"/>
                <w:szCs w:val="20"/>
              </w:rPr>
              <w:t>N = 541</w:t>
            </w:r>
          </w:p>
        </w:tc>
        <w:tc>
          <w:tcPr>
            <w:tcW w:w="1064" w:type="dxa"/>
            <w:shd w:val="clear" w:color="auto" w:fill="auto"/>
          </w:tcPr>
          <w:p w:rsidR="00E41021" w:rsidRPr="0063797E" w:rsidRDefault="00E41021" w:rsidP="0063797E">
            <w:pPr>
              <w:keepNext/>
              <w:keepLines/>
              <w:spacing w:before="40" w:after="40"/>
              <w:jc w:val="center"/>
              <w:rPr>
                <w:rFonts w:ascii="Arial Narrow" w:hAnsi="Arial Narrow" w:cs="Arial"/>
                <w:b/>
                <w:sz w:val="20"/>
                <w:szCs w:val="20"/>
              </w:rPr>
            </w:pPr>
            <w:r w:rsidRPr="0063797E">
              <w:rPr>
                <w:rFonts w:ascii="Arial Narrow" w:hAnsi="Arial Narrow" w:cs="Arial"/>
                <w:b/>
                <w:sz w:val="20"/>
                <w:szCs w:val="20"/>
              </w:rPr>
              <w:t>Placebo</w:t>
            </w:r>
            <w:r w:rsidRPr="0063797E">
              <w:rPr>
                <w:rFonts w:ascii="Arial Narrow" w:hAnsi="Arial Narrow" w:cs="Arial"/>
                <w:b/>
                <w:sz w:val="20"/>
                <w:szCs w:val="20"/>
              </w:rPr>
              <w:br/>
            </w:r>
            <w:r w:rsidRPr="0063797E">
              <w:rPr>
                <w:rFonts w:ascii="Arial Narrow" w:hAnsi="Arial Narrow" w:cs="Arial"/>
                <w:sz w:val="20"/>
                <w:szCs w:val="20"/>
              </w:rPr>
              <w:t>N = 268</w:t>
            </w:r>
          </w:p>
        </w:tc>
        <w:tc>
          <w:tcPr>
            <w:tcW w:w="1421" w:type="dxa"/>
            <w:vMerge/>
            <w:shd w:val="clear" w:color="auto" w:fill="auto"/>
          </w:tcPr>
          <w:p w:rsidR="00E41021" w:rsidRPr="0063797E" w:rsidRDefault="00E41021" w:rsidP="0063797E">
            <w:pPr>
              <w:keepNext/>
              <w:keepLines/>
              <w:spacing w:before="40" w:after="40" w:line="240" w:lineRule="auto"/>
              <w:jc w:val="center"/>
              <w:rPr>
                <w:rFonts w:ascii="Arial" w:hAnsi="Arial" w:cs="Arial"/>
                <w:b/>
                <w:sz w:val="20"/>
                <w:szCs w:val="20"/>
              </w:rPr>
            </w:pPr>
          </w:p>
        </w:tc>
        <w:tc>
          <w:tcPr>
            <w:tcW w:w="1054" w:type="dxa"/>
            <w:vMerge/>
            <w:shd w:val="clear" w:color="auto" w:fill="auto"/>
          </w:tcPr>
          <w:p w:rsidR="00E41021" w:rsidRPr="0063797E" w:rsidRDefault="00E41021" w:rsidP="0063797E">
            <w:pPr>
              <w:keepNext/>
              <w:keepLines/>
              <w:spacing w:before="40" w:after="40" w:line="240" w:lineRule="auto"/>
              <w:jc w:val="center"/>
              <w:rPr>
                <w:rFonts w:ascii="Arial" w:hAnsi="Arial" w:cs="Arial"/>
                <w:b/>
                <w:sz w:val="20"/>
                <w:szCs w:val="20"/>
              </w:rPr>
            </w:pPr>
          </w:p>
        </w:tc>
      </w:tr>
      <w:tr w:rsidR="00E41021" w:rsidRPr="0063797E" w:rsidTr="0063797E">
        <w:trPr>
          <w:trHeight w:val="446"/>
        </w:trPr>
        <w:tc>
          <w:tcPr>
            <w:tcW w:w="675" w:type="dxa"/>
            <w:vMerge w:val="restart"/>
            <w:shd w:val="clear" w:color="auto" w:fill="auto"/>
            <w:textDirection w:val="btLr"/>
          </w:tcPr>
          <w:p w:rsidR="00E41021" w:rsidRPr="0063797E" w:rsidRDefault="00E41021" w:rsidP="0063797E">
            <w:pPr>
              <w:keepNext/>
              <w:keepLines/>
              <w:spacing w:before="40" w:after="40" w:line="240" w:lineRule="auto"/>
              <w:ind w:left="113" w:right="113"/>
              <w:jc w:val="center"/>
              <w:rPr>
                <w:rFonts w:ascii="Arial" w:hAnsi="Arial" w:cs="Arial"/>
                <w:sz w:val="20"/>
                <w:szCs w:val="20"/>
              </w:rPr>
            </w:pPr>
            <w:r w:rsidRPr="0063797E">
              <w:rPr>
                <w:rFonts w:ascii="Arial" w:hAnsi="Arial" w:cs="Arial"/>
                <w:b/>
                <w:sz w:val="20"/>
                <w:szCs w:val="20"/>
              </w:rPr>
              <w:t>Symptomatic Skeletal Event (SSE)</w:t>
            </w:r>
          </w:p>
        </w:tc>
        <w:tc>
          <w:tcPr>
            <w:tcW w:w="2268" w:type="dxa"/>
            <w:gridSpan w:val="2"/>
            <w:shd w:val="clear" w:color="auto" w:fill="auto"/>
            <w:vAlign w:val="center"/>
          </w:tcPr>
          <w:p w:rsidR="00E41021" w:rsidRPr="0063797E" w:rsidRDefault="00E41021" w:rsidP="0063797E">
            <w:pPr>
              <w:keepNext/>
              <w:keepLines/>
              <w:spacing w:before="40" w:after="40"/>
              <w:rPr>
                <w:rFonts w:ascii="Arial Narrow" w:hAnsi="Arial Narrow" w:cs="Arial"/>
                <w:b/>
                <w:sz w:val="20"/>
                <w:szCs w:val="20"/>
              </w:rPr>
            </w:pPr>
            <w:r w:rsidRPr="0063797E">
              <w:rPr>
                <w:rFonts w:ascii="Arial Narrow" w:hAnsi="Arial Narrow" w:cs="Arial"/>
                <w:b/>
                <w:sz w:val="20"/>
                <w:szCs w:val="20"/>
              </w:rPr>
              <w:t xml:space="preserve">SSE composite </w:t>
            </w:r>
            <w:proofErr w:type="spellStart"/>
            <w:r w:rsidRPr="0063797E">
              <w:rPr>
                <w:rFonts w:ascii="Arial Narrow" w:hAnsi="Arial Narrow" w:cs="Arial"/>
                <w:b/>
                <w:sz w:val="20"/>
                <w:szCs w:val="20"/>
              </w:rPr>
              <w:t>endpoint</w:t>
            </w:r>
            <w:r w:rsidRPr="0063797E">
              <w:rPr>
                <w:rFonts w:ascii="Arial Narrow" w:hAnsi="Arial Narrow" w:cs="Arial"/>
                <w:b/>
                <w:sz w:val="20"/>
                <w:szCs w:val="20"/>
                <w:vertAlign w:val="superscript"/>
              </w:rPr>
              <w:t>a</w:t>
            </w:r>
            <w:proofErr w:type="spellEnd"/>
          </w:p>
        </w:tc>
        <w:tc>
          <w:tcPr>
            <w:tcW w:w="850" w:type="dxa"/>
            <w:shd w:val="clear" w:color="auto" w:fill="auto"/>
          </w:tcPr>
          <w:p w:rsidR="00E41021" w:rsidRPr="0063797E" w:rsidRDefault="00E41021" w:rsidP="0063797E">
            <w:pPr>
              <w:keepNext/>
              <w:keepLines/>
              <w:spacing w:before="40" w:after="40"/>
              <w:jc w:val="center"/>
              <w:rPr>
                <w:rFonts w:ascii="Arial Narrow" w:hAnsi="Arial Narrow" w:cs="Arial"/>
                <w:b/>
                <w:sz w:val="20"/>
                <w:szCs w:val="20"/>
              </w:rPr>
            </w:pPr>
            <w:r w:rsidRPr="0063797E">
              <w:rPr>
                <w:rFonts w:ascii="Arial Narrow" w:hAnsi="Arial Narrow" w:cs="Arial"/>
                <w:sz w:val="20"/>
                <w:szCs w:val="20"/>
              </w:rPr>
              <w:t xml:space="preserve">132 </w:t>
            </w:r>
            <w:r w:rsidRPr="0063797E">
              <w:rPr>
                <w:rFonts w:ascii="Arial Narrow" w:hAnsi="Arial Narrow" w:cs="Arial"/>
                <w:sz w:val="20"/>
                <w:szCs w:val="20"/>
              </w:rPr>
              <w:br/>
              <w:t>(24.4%)</w:t>
            </w:r>
          </w:p>
        </w:tc>
        <w:tc>
          <w:tcPr>
            <w:tcW w:w="851" w:type="dxa"/>
            <w:shd w:val="clear" w:color="auto" w:fill="auto"/>
          </w:tcPr>
          <w:p w:rsidR="00E41021" w:rsidRPr="0063797E" w:rsidRDefault="00E41021" w:rsidP="0063797E">
            <w:pPr>
              <w:keepNext/>
              <w:keepLines/>
              <w:spacing w:before="40" w:after="40"/>
              <w:jc w:val="center"/>
              <w:rPr>
                <w:rFonts w:ascii="Arial Narrow" w:hAnsi="Arial Narrow" w:cs="Arial"/>
                <w:sz w:val="20"/>
                <w:szCs w:val="20"/>
              </w:rPr>
            </w:pPr>
            <w:r w:rsidRPr="0063797E">
              <w:rPr>
                <w:rFonts w:ascii="Arial Narrow" w:hAnsi="Arial Narrow" w:cs="Arial"/>
                <w:sz w:val="20"/>
                <w:szCs w:val="20"/>
              </w:rPr>
              <w:t xml:space="preserve">82 </w:t>
            </w:r>
            <w:r w:rsidRPr="0063797E">
              <w:rPr>
                <w:rFonts w:ascii="Arial Narrow" w:hAnsi="Arial Narrow" w:cs="Arial"/>
                <w:sz w:val="20"/>
                <w:szCs w:val="20"/>
              </w:rPr>
              <w:br/>
              <w:t>(30.6%)</w:t>
            </w:r>
          </w:p>
        </w:tc>
        <w:tc>
          <w:tcPr>
            <w:tcW w:w="1063" w:type="dxa"/>
            <w:shd w:val="clear" w:color="auto" w:fill="auto"/>
            <w:vAlign w:val="center"/>
          </w:tcPr>
          <w:p w:rsidR="00E41021" w:rsidRPr="0063797E" w:rsidRDefault="00E41021" w:rsidP="0063797E">
            <w:pPr>
              <w:keepNext/>
              <w:keepLines/>
              <w:spacing w:before="40" w:after="40"/>
              <w:jc w:val="center"/>
              <w:rPr>
                <w:rFonts w:ascii="Arial Narrow" w:hAnsi="Arial Narrow" w:cs="Arial"/>
                <w:b/>
                <w:sz w:val="20"/>
                <w:szCs w:val="20"/>
              </w:rPr>
            </w:pPr>
            <w:r w:rsidRPr="0063797E">
              <w:rPr>
                <w:rFonts w:ascii="Arial Narrow" w:hAnsi="Arial Narrow" w:cs="Arial"/>
                <w:sz w:val="20"/>
                <w:szCs w:val="20"/>
              </w:rPr>
              <w:t>13.5</w:t>
            </w:r>
            <w:r w:rsidRPr="0063797E">
              <w:rPr>
                <w:rFonts w:ascii="Arial Narrow" w:hAnsi="Arial Narrow" w:cs="Arial"/>
                <w:sz w:val="20"/>
                <w:szCs w:val="20"/>
              </w:rPr>
              <w:br/>
              <w:t>(12.2</w:t>
            </w:r>
            <w:r w:rsidRPr="0063797E">
              <w:rPr>
                <w:rFonts w:ascii="Arial Narrow" w:hAnsi="Arial Narrow" w:cs="Arial"/>
                <w:sz w:val="20"/>
                <w:szCs w:val="20"/>
              </w:rPr>
              <w:noBreakHyphen/>
              <w:t>19.6)</w:t>
            </w:r>
          </w:p>
        </w:tc>
        <w:tc>
          <w:tcPr>
            <w:tcW w:w="1064" w:type="dxa"/>
            <w:shd w:val="clear" w:color="auto" w:fill="auto"/>
            <w:vAlign w:val="center"/>
          </w:tcPr>
          <w:p w:rsidR="00E41021" w:rsidRPr="0063797E" w:rsidRDefault="00E41021" w:rsidP="0063797E">
            <w:pPr>
              <w:keepNext/>
              <w:keepLines/>
              <w:spacing w:before="40" w:after="40"/>
              <w:jc w:val="center"/>
              <w:rPr>
                <w:rFonts w:ascii="Arial Narrow" w:hAnsi="Arial Narrow" w:cs="Arial"/>
                <w:sz w:val="20"/>
                <w:szCs w:val="20"/>
              </w:rPr>
            </w:pPr>
            <w:r w:rsidRPr="0063797E">
              <w:rPr>
                <w:rFonts w:ascii="Arial Narrow" w:hAnsi="Arial Narrow" w:cs="Arial"/>
                <w:sz w:val="20"/>
                <w:szCs w:val="20"/>
              </w:rPr>
              <w:t xml:space="preserve">8.4 </w:t>
            </w:r>
            <w:r w:rsidRPr="0063797E">
              <w:rPr>
                <w:rFonts w:ascii="Arial Narrow" w:hAnsi="Arial Narrow" w:cs="Arial"/>
                <w:sz w:val="20"/>
                <w:szCs w:val="20"/>
              </w:rPr>
              <w:br/>
              <w:t>(7.2-NE</w:t>
            </w:r>
            <w:r w:rsidRPr="0063797E">
              <w:rPr>
                <w:rFonts w:ascii="Arial Narrow" w:hAnsi="Arial Narrow" w:cs="Arial"/>
                <w:sz w:val="20"/>
                <w:szCs w:val="20"/>
                <w:vertAlign w:val="superscript"/>
              </w:rPr>
              <w:t>b</w:t>
            </w:r>
            <w:r w:rsidRPr="0063797E">
              <w:rPr>
                <w:rFonts w:ascii="Arial Narrow" w:hAnsi="Arial Narrow" w:cs="Arial"/>
                <w:sz w:val="20"/>
                <w:szCs w:val="20"/>
              </w:rPr>
              <w:t>)</w:t>
            </w:r>
          </w:p>
        </w:tc>
        <w:tc>
          <w:tcPr>
            <w:tcW w:w="1421" w:type="dxa"/>
            <w:shd w:val="clear" w:color="auto" w:fill="auto"/>
            <w:vAlign w:val="center"/>
          </w:tcPr>
          <w:p w:rsidR="00E41021" w:rsidRPr="0063797E" w:rsidRDefault="00E41021" w:rsidP="0063797E">
            <w:pPr>
              <w:keepNext/>
              <w:keepLines/>
              <w:spacing w:before="40" w:after="40"/>
              <w:ind w:left="-108" w:right="-108"/>
              <w:jc w:val="center"/>
              <w:rPr>
                <w:rFonts w:ascii="Arial Narrow" w:hAnsi="Arial Narrow" w:cs="Arial"/>
                <w:b/>
                <w:sz w:val="20"/>
                <w:szCs w:val="20"/>
              </w:rPr>
            </w:pPr>
            <w:r w:rsidRPr="0063797E">
              <w:rPr>
                <w:rFonts w:ascii="Arial Narrow" w:hAnsi="Arial Narrow" w:cs="Arial"/>
                <w:sz w:val="20"/>
                <w:szCs w:val="20"/>
              </w:rPr>
              <w:t xml:space="preserve">0.610 </w:t>
            </w:r>
            <w:r w:rsidRPr="0063797E">
              <w:rPr>
                <w:rFonts w:ascii="Arial Narrow" w:hAnsi="Arial Narrow" w:cs="Arial"/>
                <w:sz w:val="20"/>
                <w:szCs w:val="20"/>
              </w:rPr>
              <w:br/>
              <w:t>(0.461 – 0.807)</w:t>
            </w:r>
          </w:p>
        </w:tc>
        <w:tc>
          <w:tcPr>
            <w:tcW w:w="1054" w:type="dxa"/>
            <w:shd w:val="clear" w:color="auto" w:fill="auto"/>
            <w:vAlign w:val="center"/>
          </w:tcPr>
          <w:p w:rsidR="00E41021" w:rsidRPr="0063797E" w:rsidRDefault="00E41021" w:rsidP="0063797E">
            <w:pPr>
              <w:pStyle w:val="BayerTableStyleCentered"/>
              <w:keepNext/>
              <w:keepLines/>
              <w:spacing w:before="40" w:after="40" w:line="180" w:lineRule="exact"/>
              <w:rPr>
                <w:rFonts w:ascii="Arial Narrow" w:hAnsi="Arial Narrow" w:cs="Arial"/>
                <w:sz w:val="20"/>
              </w:rPr>
            </w:pPr>
            <w:r w:rsidRPr="0063797E">
              <w:rPr>
                <w:rFonts w:ascii="Arial Narrow" w:hAnsi="Arial Narrow" w:cs="Arial"/>
                <w:sz w:val="20"/>
              </w:rPr>
              <w:t>0.00046</w:t>
            </w:r>
          </w:p>
        </w:tc>
      </w:tr>
      <w:tr w:rsidR="00E41021" w:rsidRPr="0063797E" w:rsidTr="0063797E">
        <w:tc>
          <w:tcPr>
            <w:tcW w:w="675" w:type="dxa"/>
            <w:vMerge/>
            <w:shd w:val="clear" w:color="auto" w:fill="auto"/>
            <w:textDirection w:val="btLr"/>
          </w:tcPr>
          <w:p w:rsidR="00E41021" w:rsidRPr="0063797E" w:rsidRDefault="00E41021" w:rsidP="0063797E">
            <w:pPr>
              <w:keepNext/>
              <w:keepLines/>
              <w:spacing w:before="40" w:after="40"/>
              <w:ind w:left="113" w:right="113"/>
              <w:jc w:val="center"/>
              <w:rPr>
                <w:rFonts w:ascii="Arial" w:hAnsi="Arial" w:cs="Arial"/>
                <w:b/>
                <w:sz w:val="20"/>
                <w:szCs w:val="20"/>
              </w:rPr>
            </w:pPr>
          </w:p>
        </w:tc>
        <w:tc>
          <w:tcPr>
            <w:tcW w:w="426" w:type="dxa"/>
            <w:vMerge w:val="restart"/>
            <w:shd w:val="clear" w:color="auto" w:fill="auto"/>
            <w:textDirection w:val="btLr"/>
            <w:vAlign w:val="center"/>
          </w:tcPr>
          <w:p w:rsidR="00E41021" w:rsidRPr="0063797E" w:rsidRDefault="00E41021" w:rsidP="0063797E">
            <w:pPr>
              <w:keepNext/>
              <w:keepLines/>
              <w:spacing w:before="100" w:beforeAutospacing="1" w:after="40"/>
              <w:ind w:left="113" w:right="113"/>
              <w:jc w:val="center"/>
              <w:rPr>
                <w:rFonts w:ascii="Arial Narrow" w:hAnsi="Arial Narrow" w:cs="Arial"/>
                <w:b/>
                <w:sz w:val="20"/>
                <w:szCs w:val="20"/>
              </w:rPr>
            </w:pPr>
            <w:r w:rsidRPr="0063797E">
              <w:rPr>
                <w:rFonts w:ascii="Arial Narrow" w:hAnsi="Arial Narrow" w:cs="Arial"/>
                <w:b/>
                <w:sz w:val="20"/>
                <w:szCs w:val="20"/>
              </w:rPr>
              <w:t>SSE components</w:t>
            </w:r>
          </w:p>
        </w:tc>
        <w:tc>
          <w:tcPr>
            <w:tcW w:w="1842" w:type="dxa"/>
            <w:shd w:val="clear" w:color="auto" w:fill="auto"/>
            <w:vAlign w:val="center"/>
          </w:tcPr>
          <w:p w:rsidR="00E41021" w:rsidRPr="0063797E" w:rsidRDefault="00E41021" w:rsidP="0063797E">
            <w:pPr>
              <w:keepNext/>
              <w:keepLines/>
              <w:spacing w:before="40" w:after="40"/>
              <w:rPr>
                <w:rFonts w:ascii="Arial Narrow" w:hAnsi="Arial Narrow" w:cs="Arial"/>
                <w:b/>
                <w:sz w:val="20"/>
                <w:szCs w:val="20"/>
              </w:rPr>
            </w:pPr>
            <w:r w:rsidRPr="0063797E">
              <w:rPr>
                <w:rFonts w:ascii="Arial Narrow" w:hAnsi="Arial Narrow" w:cs="Arial"/>
                <w:b/>
                <w:sz w:val="20"/>
                <w:szCs w:val="20"/>
              </w:rPr>
              <w:t>EBRT for pain relief</w:t>
            </w:r>
          </w:p>
        </w:tc>
        <w:tc>
          <w:tcPr>
            <w:tcW w:w="850" w:type="dxa"/>
            <w:shd w:val="clear" w:color="auto" w:fill="auto"/>
          </w:tcPr>
          <w:p w:rsidR="00E41021" w:rsidRPr="0063797E" w:rsidRDefault="00E41021" w:rsidP="0063797E">
            <w:pPr>
              <w:keepNext/>
              <w:keepLines/>
              <w:spacing w:before="40" w:after="40"/>
              <w:jc w:val="center"/>
              <w:rPr>
                <w:rFonts w:ascii="Arial Narrow" w:hAnsi="Arial Narrow" w:cs="Arial"/>
                <w:sz w:val="20"/>
                <w:szCs w:val="20"/>
              </w:rPr>
            </w:pPr>
            <w:r w:rsidRPr="0063797E">
              <w:rPr>
                <w:rFonts w:ascii="Arial Narrow" w:hAnsi="Arial Narrow" w:cs="Arial"/>
                <w:sz w:val="20"/>
                <w:szCs w:val="20"/>
              </w:rPr>
              <w:t>122 (22.6%)</w:t>
            </w:r>
          </w:p>
        </w:tc>
        <w:tc>
          <w:tcPr>
            <w:tcW w:w="851" w:type="dxa"/>
            <w:shd w:val="clear" w:color="auto" w:fill="auto"/>
          </w:tcPr>
          <w:p w:rsidR="00E41021" w:rsidRPr="0063797E" w:rsidRDefault="00E41021" w:rsidP="0063797E">
            <w:pPr>
              <w:keepNext/>
              <w:keepLines/>
              <w:spacing w:before="40" w:after="40"/>
              <w:jc w:val="center"/>
              <w:rPr>
                <w:rFonts w:ascii="Arial Narrow" w:hAnsi="Arial Narrow" w:cs="Arial"/>
                <w:sz w:val="20"/>
                <w:szCs w:val="20"/>
              </w:rPr>
            </w:pPr>
            <w:r w:rsidRPr="0063797E">
              <w:rPr>
                <w:rFonts w:ascii="Arial Narrow" w:hAnsi="Arial Narrow" w:cs="Arial"/>
                <w:sz w:val="20"/>
                <w:szCs w:val="20"/>
              </w:rPr>
              <w:t xml:space="preserve">72 </w:t>
            </w:r>
            <w:r w:rsidRPr="0063797E">
              <w:rPr>
                <w:rFonts w:ascii="Arial Narrow" w:hAnsi="Arial Narrow" w:cs="Arial"/>
                <w:sz w:val="20"/>
                <w:szCs w:val="20"/>
              </w:rPr>
              <w:br/>
              <w:t>(26.9%)</w:t>
            </w:r>
          </w:p>
        </w:tc>
        <w:tc>
          <w:tcPr>
            <w:tcW w:w="1063" w:type="dxa"/>
            <w:shd w:val="clear" w:color="auto" w:fill="auto"/>
            <w:vAlign w:val="center"/>
          </w:tcPr>
          <w:p w:rsidR="00E41021" w:rsidRPr="0063797E" w:rsidRDefault="00E41021" w:rsidP="0063797E">
            <w:pPr>
              <w:keepNext/>
              <w:keepLines/>
              <w:spacing w:before="40" w:after="40"/>
              <w:jc w:val="center"/>
              <w:rPr>
                <w:rFonts w:ascii="Arial Narrow" w:hAnsi="Arial Narrow" w:cs="Arial"/>
                <w:b/>
                <w:sz w:val="20"/>
                <w:szCs w:val="20"/>
              </w:rPr>
            </w:pPr>
            <w:r w:rsidRPr="0063797E">
              <w:rPr>
                <w:rFonts w:ascii="Arial Narrow" w:hAnsi="Arial Narrow" w:cs="Arial"/>
                <w:sz w:val="18"/>
                <w:szCs w:val="18"/>
              </w:rPr>
              <w:t xml:space="preserve">17.0 </w:t>
            </w:r>
            <w:r w:rsidRPr="0063797E">
              <w:rPr>
                <w:rFonts w:ascii="Arial Narrow" w:hAnsi="Arial Narrow" w:cs="Arial"/>
                <w:sz w:val="18"/>
                <w:szCs w:val="18"/>
              </w:rPr>
              <w:br/>
              <w:t>(12.9-NE)</w:t>
            </w:r>
          </w:p>
        </w:tc>
        <w:tc>
          <w:tcPr>
            <w:tcW w:w="1064" w:type="dxa"/>
            <w:shd w:val="clear" w:color="auto" w:fill="auto"/>
            <w:vAlign w:val="center"/>
          </w:tcPr>
          <w:p w:rsidR="00E41021" w:rsidRPr="0063797E" w:rsidRDefault="00E41021" w:rsidP="0063797E">
            <w:pPr>
              <w:keepNext/>
              <w:keepLines/>
              <w:spacing w:before="40" w:after="40"/>
              <w:jc w:val="center"/>
              <w:rPr>
                <w:rFonts w:ascii="Arial Narrow" w:hAnsi="Arial Narrow" w:cs="Arial"/>
                <w:sz w:val="18"/>
                <w:szCs w:val="18"/>
              </w:rPr>
            </w:pPr>
            <w:r w:rsidRPr="0063797E">
              <w:rPr>
                <w:rFonts w:ascii="Arial Narrow" w:hAnsi="Arial Narrow" w:cs="Arial"/>
                <w:sz w:val="18"/>
                <w:szCs w:val="18"/>
              </w:rPr>
              <w:t xml:space="preserve">10.8 </w:t>
            </w:r>
            <w:r w:rsidRPr="0063797E">
              <w:rPr>
                <w:rFonts w:ascii="Arial Narrow" w:hAnsi="Arial Narrow" w:cs="Arial"/>
                <w:sz w:val="18"/>
                <w:szCs w:val="18"/>
              </w:rPr>
              <w:br/>
              <w:t>(7.9-NE)</w:t>
            </w:r>
          </w:p>
        </w:tc>
        <w:tc>
          <w:tcPr>
            <w:tcW w:w="1421" w:type="dxa"/>
            <w:shd w:val="clear" w:color="auto" w:fill="auto"/>
            <w:vAlign w:val="center"/>
          </w:tcPr>
          <w:p w:rsidR="00E41021" w:rsidRPr="0063797E" w:rsidRDefault="00E41021" w:rsidP="0063797E">
            <w:pPr>
              <w:keepNext/>
              <w:keepLines/>
              <w:spacing w:before="40" w:after="40"/>
              <w:jc w:val="center"/>
              <w:rPr>
                <w:rFonts w:ascii="Arial Narrow" w:hAnsi="Arial Narrow" w:cs="Arial"/>
                <w:b/>
                <w:sz w:val="20"/>
                <w:szCs w:val="20"/>
              </w:rPr>
            </w:pPr>
            <w:r w:rsidRPr="0063797E">
              <w:rPr>
                <w:rFonts w:ascii="Arial Narrow" w:hAnsi="Arial Narrow" w:cs="Arial"/>
                <w:sz w:val="18"/>
                <w:szCs w:val="18"/>
              </w:rPr>
              <w:t xml:space="preserve">0.649 </w:t>
            </w:r>
            <w:r w:rsidRPr="0063797E">
              <w:rPr>
                <w:rFonts w:ascii="Arial Narrow" w:hAnsi="Arial Narrow" w:cs="Arial"/>
                <w:sz w:val="18"/>
                <w:szCs w:val="18"/>
              </w:rPr>
              <w:br/>
              <w:t>(0.483 – 0.871)</w:t>
            </w:r>
          </w:p>
        </w:tc>
        <w:tc>
          <w:tcPr>
            <w:tcW w:w="1054" w:type="dxa"/>
            <w:shd w:val="clear" w:color="auto" w:fill="auto"/>
            <w:vAlign w:val="center"/>
          </w:tcPr>
          <w:p w:rsidR="00E41021" w:rsidRPr="0063797E" w:rsidRDefault="00E41021" w:rsidP="0063797E">
            <w:pPr>
              <w:pStyle w:val="BayerTableStyleCentered"/>
              <w:keepNext/>
              <w:keepLines/>
              <w:spacing w:before="40" w:after="40" w:line="180" w:lineRule="exact"/>
              <w:rPr>
                <w:rFonts w:ascii="Arial Narrow" w:hAnsi="Arial Narrow" w:cs="Arial"/>
                <w:sz w:val="20"/>
              </w:rPr>
            </w:pPr>
            <w:r w:rsidRPr="0063797E">
              <w:rPr>
                <w:rFonts w:ascii="Arial Narrow" w:hAnsi="Arial Narrow" w:cs="Arial"/>
                <w:sz w:val="20"/>
              </w:rPr>
              <w:t>0.00375</w:t>
            </w:r>
          </w:p>
        </w:tc>
      </w:tr>
      <w:tr w:rsidR="00E41021" w:rsidRPr="0063797E" w:rsidTr="0063797E">
        <w:tc>
          <w:tcPr>
            <w:tcW w:w="675" w:type="dxa"/>
            <w:vMerge/>
            <w:shd w:val="clear" w:color="auto" w:fill="auto"/>
          </w:tcPr>
          <w:p w:rsidR="00E41021" w:rsidRPr="0063797E" w:rsidRDefault="00E41021" w:rsidP="0063797E">
            <w:pPr>
              <w:keepNext/>
              <w:keepLines/>
              <w:spacing w:before="40" w:after="40"/>
              <w:rPr>
                <w:rFonts w:ascii="Arial" w:hAnsi="Arial" w:cs="Arial"/>
                <w:sz w:val="20"/>
                <w:szCs w:val="20"/>
              </w:rPr>
            </w:pPr>
          </w:p>
        </w:tc>
        <w:tc>
          <w:tcPr>
            <w:tcW w:w="426" w:type="dxa"/>
            <w:vMerge/>
            <w:shd w:val="clear" w:color="auto" w:fill="auto"/>
            <w:vAlign w:val="center"/>
          </w:tcPr>
          <w:p w:rsidR="00E41021" w:rsidRPr="0063797E" w:rsidRDefault="00E41021" w:rsidP="0063797E">
            <w:pPr>
              <w:keepNext/>
              <w:keepLines/>
              <w:spacing w:before="40" w:after="40"/>
              <w:rPr>
                <w:rFonts w:ascii="Arial" w:hAnsi="Arial" w:cs="Arial"/>
                <w:sz w:val="20"/>
                <w:szCs w:val="20"/>
              </w:rPr>
            </w:pPr>
          </w:p>
        </w:tc>
        <w:tc>
          <w:tcPr>
            <w:tcW w:w="1842" w:type="dxa"/>
            <w:shd w:val="clear" w:color="auto" w:fill="auto"/>
            <w:vAlign w:val="center"/>
          </w:tcPr>
          <w:p w:rsidR="00E41021" w:rsidRPr="0063797E" w:rsidRDefault="00E41021" w:rsidP="0063797E">
            <w:pPr>
              <w:keepNext/>
              <w:keepLines/>
              <w:spacing w:before="40" w:after="40"/>
              <w:rPr>
                <w:rFonts w:ascii="Arial Narrow" w:hAnsi="Arial Narrow" w:cs="Arial"/>
                <w:b/>
                <w:sz w:val="20"/>
                <w:szCs w:val="20"/>
              </w:rPr>
            </w:pPr>
            <w:r w:rsidRPr="0063797E">
              <w:rPr>
                <w:rFonts w:ascii="Arial Narrow" w:hAnsi="Arial Narrow" w:cs="Arial"/>
                <w:b/>
                <w:bCs/>
                <w:sz w:val="20"/>
                <w:szCs w:val="20"/>
              </w:rPr>
              <w:t>Spinal cord compression</w:t>
            </w:r>
          </w:p>
        </w:tc>
        <w:tc>
          <w:tcPr>
            <w:tcW w:w="850" w:type="dxa"/>
            <w:shd w:val="clear" w:color="auto" w:fill="auto"/>
          </w:tcPr>
          <w:p w:rsidR="00E41021" w:rsidRPr="0063797E" w:rsidRDefault="00E41021" w:rsidP="0063797E">
            <w:pPr>
              <w:keepNext/>
              <w:keepLines/>
              <w:spacing w:before="40" w:after="40"/>
              <w:jc w:val="center"/>
              <w:rPr>
                <w:rFonts w:ascii="Arial Narrow" w:hAnsi="Arial Narrow" w:cs="Arial"/>
                <w:sz w:val="20"/>
                <w:szCs w:val="20"/>
              </w:rPr>
            </w:pPr>
            <w:r w:rsidRPr="0063797E">
              <w:rPr>
                <w:rFonts w:ascii="Arial Narrow" w:hAnsi="Arial Narrow" w:cs="Arial"/>
                <w:sz w:val="20"/>
                <w:szCs w:val="20"/>
              </w:rPr>
              <w:t xml:space="preserve">17 </w:t>
            </w:r>
            <w:r w:rsidRPr="0063797E">
              <w:rPr>
                <w:rFonts w:ascii="Arial Narrow" w:hAnsi="Arial Narrow" w:cs="Arial"/>
                <w:sz w:val="20"/>
                <w:szCs w:val="20"/>
              </w:rPr>
              <w:br/>
              <w:t>(3.1%)</w:t>
            </w:r>
          </w:p>
        </w:tc>
        <w:tc>
          <w:tcPr>
            <w:tcW w:w="851" w:type="dxa"/>
            <w:shd w:val="clear" w:color="auto" w:fill="auto"/>
          </w:tcPr>
          <w:p w:rsidR="00E41021" w:rsidRPr="0063797E" w:rsidRDefault="00E41021" w:rsidP="0063797E">
            <w:pPr>
              <w:keepNext/>
              <w:keepLines/>
              <w:spacing w:before="40" w:after="40"/>
              <w:jc w:val="center"/>
              <w:rPr>
                <w:rFonts w:ascii="Arial Narrow" w:hAnsi="Arial Narrow" w:cs="Arial"/>
                <w:sz w:val="20"/>
                <w:szCs w:val="20"/>
              </w:rPr>
            </w:pPr>
            <w:r w:rsidRPr="0063797E">
              <w:rPr>
                <w:rFonts w:ascii="Arial Narrow" w:hAnsi="Arial Narrow" w:cs="Arial"/>
                <w:sz w:val="20"/>
                <w:szCs w:val="20"/>
              </w:rPr>
              <w:t xml:space="preserve">16 </w:t>
            </w:r>
            <w:r w:rsidRPr="0063797E">
              <w:rPr>
                <w:rFonts w:ascii="Arial Narrow" w:hAnsi="Arial Narrow" w:cs="Arial"/>
                <w:sz w:val="20"/>
                <w:szCs w:val="20"/>
              </w:rPr>
              <w:br/>
              <w:t>(6.0%)</w:t>
            </w:r>
          </w:p>
        </w:tc>
        <w:tc>
          <w:tcPr>
            <w:tcW w:w="1063" w:type="dxa"/>
            <w:shd w:val="clear" w:color="auto" w:fill="auto"/>
            <w:vAlign w:val="center"/>
          </w:tcPr>
          <w:p w:rsidR="00E41021" w:rsidRPr="0063797E" w:rsidRDefault="00E41021" w:rsidP="0063797E">
            <w:pPr>
              <w:keepNext/>
              <w:keepLines/>
              <w:spacing w:before="40" w:after="40"/>
              <w:jc w:val="center"/>
              <w:rPr>
                <w:rFonts w:ascii="Arial Narrow" w:hAnsi="Arial Narrow" w:cs="Arial"/>
                <w:sz w:val="20"/>
                <w:szCs w:val="20"/>
              </w:rPr>
            </w:pPr>
            <w:proofErr w:type="spellStart"/>
            <w:r w:rsidRPr="0063797E">
              <w:rPr>
                <w:rFonts w:ascii="Arial Narrow" w:hAnsi="Arial Narrow" w:cs="Arial"/>
                <w:sz w:val="20"/>
                <w:szCs w:val="20"/>
              </w:rPr>
              <w:t>NE</w:t>
            </w:r>
            <w:r w:rsidRPr="0063797E">
              <w:rPr>
                <w:rFonts w:ascii="Arial Narrow" w:hAnsi="Arial Narrow" w:cs="Arial"/>
                <w:sz w:val="20"/>
                <w:szCs w:val="20"/>
                <w:vertAlign w:val="superscript"/>
              </w:rPr>
              <w:t>b</w:t>
            </w:r>
            <w:proofErr w:type="spellEnd"/>
          </w:p>
        </w:tc>
        <w:tc>
          <w:tcPr>
            <w:tcW w:w="1064" w:type="dxa"/>
            <w:shd w:val="clear" w:color="auto" w:fill="auto"/>
            <w:vAlign w:val="center"/>
          </w:tcPr>
          <w:p w:rsidR="00E41021" w:rsidRPr="0063797E" w:rsidRDefault="00E41021" w:rsidP="0063797E">
            <w:pPr>
              <w:keepNext/>
              <w:keepLines/>
              <w:spacing w:before="40" w:after="40"/>
              <w:jc w:val="center"/>
              <w:rPr>
                <w:rFonts w:ascii="Arial Narrow" w:hAnsi="Arial Narrow" w:cs="Arial"/>
                <w:sz w:val="20"/>
                <w:szCs w:val="20"/>
              </w:rPr>
            </w:pPr>
            <w:proofErr w:type="spellStart"/>
            <w:r w:rsidRPr="0063797E">
              <w:rPr>
                <w:rFonts w:ascii="Arial Narrow" w:hAnsi="Arial Narrow" w:cs="Arial"/>
                <w:sz w:val="20"/>
                <w:szCs w:val="20"/>
              </w:rPr>
              <w:t>NE</w:t>
            </w:r>
            <w:r w:rsidRPr="0063797E">
              <w:rPr>
                <w:rFonts w:ascii="Arial Narrow" w:hAnsi="Arial Narrow" w:cs="Arial"/>
                <w:sz w:val="20"/>
                <w:szCs w:val="20"/>
                <w:vertAlign w:val="superscript"/>
              </w:rPr>
              <w:t>b</w:t>
            </w:r>
            <w:proofErr w:type="spellEnd"/>
          </w:p>
        </w:tc>
        <w:tc>
          <w:tcPr>
            <w:tcW w:w="1421" w:type="dxa"/>
            <w:shd w:val="clear" w:color="auto" w:fill="auto"/>
            <w:vAlign w:val="center"/>
          </w:tcPr>
          <w:p w:rsidR="00E41021" w:rsidRPr="0063797E" w:rsidRDefault="00E41021" w:rsidP="0063797E">
            <w:pPr>
              <w:keepNext/>
              <w:keepLines/>
              <w:spacing w:before="40" w:after="40"/>
              <w:jc w:val="center"/>
              <w:rPr>
                <w:rFonts w:ascii="Arial Narrow" w:hAnsi="Arial Narrow" w:cs="Arial"/>
                <w:b/>
                <w:sz w:val="20"/>
                <w:szCs w:val="20"/>
              </w:rPr>
            </w:pPr>
            <w:r w:rsidRPr="0063797E">
              <w:rPr>
                <w:rFonts w:ascii="Arial Narrow" w:hAnsi="Arial Narrow" w:cs="Arial"/>
                <w:sz w:val="18"/>
                <w:szCs w:val="18"/>
              </w:rPr>
              <w:t xml:space="preserve">0.443 </w:t>
            </w:r>
            <w:r w:rsidRPr="0063797E">
              <w:rPr>
                <w:rFonts w:ascii="Arial Narrow" w:hAnsi="Arial Narrow" w:cs="Arial"/>
                <w:sz w:val="18"/>
                <w:szCs w:val="18"/>
              </w:rPr>
              <w:br/>
              <w:t>(0.223 – 0.877)</w:t>
            </w:r>
          </w:p>
        </w:tc>
        <w:tc>
          <w:tcPr>
            <w:tcW w:w="1054" w:type="dxa"/>
            <w:shd w:val="clear" w:color="auto" w:fill="auto"/>
            <w:vAlign w:val="center"/>
          </w:tcPr>
          <w:p w:rsidR="00E41021" w:rsidRPr="0063797E" w:rsidRDefault="00E41021" w:rsidP="0063797E">
            <w:pPr>
              <w:pStyle w:val="BayerTableStyleCentered"/>
              <w:keepNext/>
              <w:keepLines/>
              <w:spacing w:before="40" w:after="40" w:line="180" w:lineRule="exact"/>
              <w:rPr>
                <w:rFonts w:ascii="Arial Narrow" w:hAnsi="Arial Narrow" w:cs="Arial"/>
                <w:sz w:val="20"/>
              </w:rPr>
            </w:pPr>
            <w:r w:rsidRPr="0063797E">
              <w:rPr>
                <w:rFonts w:ascii="Arial Narrow" w:hAnsi="Arial Narrow" w:cs="Arial"/>
                <w:sz w:val="20"/>
              </w:rPr>
              <w:t>0.01647</w:t>
            </w:r>
          </w:p>
        </w:tc>
      </w:tr>
      <w:tr w:rsidR="00E41021" w:rsidRPr="0063797E" w:rsidTr="0063797E">
        <w:tc>
          <w:tcPr>
            <w:tcW w:w="675" w:type="dxa"/>
            <w:vMerge/>
            <w:shd w:val="clear" w:color="auto" w:fill="auto"/>
          </w:tcPr>
          <w:p w:rsidR="00E41021" w:rsidRPr="0063797E" w:rsidRDefault="00E41021" w:rsidP="0063797E">
            <w:pPr>
              <w:keepNext/>
              <w:keepLines/>
              <w:spacing w:before="40" w:after="40"/>
              <w:rPr>
                <w:rFonts w:ascii="Arial" w:hAnsi="Arial" w:cs="Arial"/>
                <w:sz w:val="20"/>
                <w:szCs w:val="20"/>
              </w:rPr>
            </w:pPr>
          </w:p>
        </w:tc>
        <w:tc>
          <w:tcPr>
            <w:tcW w:w="426" w:type="dxa"/>
            <w:vMerge/>
            <w:shd w:val="clear" w:color="auto" w:fill="auto"/>
            <w:vAlign w:val="center"/>
          </w:tcPr>
          <w:p w:rsidR="00E41021" w:rsidRPr="0063797E" w:rsidRDefault="00E41021" w:rsidP="0063797E">
            <w:pPr>
              <w:keepNext/>
              <w:keepLines/>
              <w:spacing w:before="40" w:after="40"/>
              <w:rPr>
                <w:rFonts w:ascii="Arial" w:hAnsi="Arial" w:cs="Arial"/>
                <w:sz w:val="20"/>
                <w:szCs w:val="20"/>
              </w:rPr>
            </w:pPr>
          </w:p>
        </w:tc>
        <w:tc>
          <w:tcPr>
            <w:tcW w:w="1842" w:type="dxa"/>
            <w:shd w:val="clear" w:color="auto" w:fill="auto"/>
            <w:vAlign w:val="center"/>
          </w:tcPr>
          <w:p w:rsidR="00E41021" w:rsidRPr="0063797E" w:rsidRDefault="00E41021" w:rsidP="0063797E">
            <w:pPr>
              <w:keepNext/>
              <w:keepLines/>
              <w:spacing w:before="40" w:after="40"/>
              <w:rPr>
                <w:rFonts w:ascii="Arial Narrow" w:hAnsi="Arial Narrow" w:cs="Arial"/>
                <w:b/>
                <w:sz w:val="20"/>
                <w:szCs w:val="20"/>
              </w:rPr>
            </w:pPr>
            <w:r w:rsidRPr="0063797E">
              <w:rPr>
                <w:rFonts w:ascii="Arial Narrow" w:hAnsi="Arial Narrow" w:cs="Arial"/>
                <w:b/>
                <w:bCs/>
                <w:sz w:val="20"/>
                <w:szCs w:val="20"/>
              </w:rPr>
              <w:t xml:space="preserve">Surgical </w:t>
            </w:r>
            <w:r w:rsidRPr="0063797E">
              <w:rPr>
                <w:rFonts w:ascii="Arial Narrow" w:hAnsi="Arial Narrow" w:cs="Arial"/>
                <w:b/>
                <w:bCs/>
                <w:sz w:val="20"/>
                <w:szCs w:val="20"/>
              </w:rPr>
              <w:br/>
              <w:t>intervention</w:t>
            </w:r>
          </w:p>
        </w:tc>
        <w:tc>
          <w:tcPr>
            <w:tcW w:w="850" w:type="dxa"/>
            <w:shd w:val="clear" w:color="auto" w:fill="auto"/>
          </w:tcPr>
          <w:p w:rsidR="00E41021" w:rsidRPr="0063797E" w:rsidRDefault="00E41021" w:rsidP="0063797E">
            <w:pPr>
              <w:keepNext/>
              <w:keepLines/>
              <w:spacing w:before="40" w:after="40"/>
              <w:jc w:val="center"/>
              <w:rPr>
                <w:rFonts w:ascii="Arial Narrow" w:hAnsi="Arial Narrow" w:cs="Arial"/>
                <w:sz w:val="20"/>
                <w:szCs w:val="20"/>
              </w:rPr>
            </w:pPr>
            <w:r w:rsidRPr="0063797E">
              <w:rPr>
                <w:rFonts w:ascii="Arial Narrow" w:hAnsi="Arial Narrow" w:cs="Arial"/>
                <w:sz w:val="20"/>
                <w:szCs w:val="20"/>
              </w:rPr>
              <w:t>9</w:t>
            </w:r>
            <w:r w:rsidRPr="0063797E">
              <w:rPr>
                <w:rFonts w:ascii="Arial Narrow" w:hAnsi="Arial Narrow" w:cs="Arial"/>
                <w:sz w:val="20"/>
                <w:szCs w:val="20"/>
              </w:rPr>
              <w:br/>
              <w:t>(1.7%)</w:t>
            </w:r>
          </w:p>
        </w:tc>
        <w:tc>
          <w:tcPr>
            <w:tcW w:w="851" w:type="dxa"/>
            <w:shd w:val="clear" w:color="auto" w:fill="auto"/>
          </w:tcPr>
          <w:p w:rsidR="00E41021" w:rsidRPr="0063797E" w:rsidRDefault="00E41021" w:rsidP="0063797E">
            <w:pPr>
              <w:keepNext/>
              <w:keepLines/>
              <w:spacing w:before="40" w:after="40"/>
              <w:jc w:val="center"/>
              <w:rPr>
                <w:rFonts w:ascii="Arial Narrow" w:hAnsi="Arial Narrow" w:cs="Arial"/>
                <w:sz w:val="20"/>
                <w:szCs w:val="20"/>
              </w:rPr>
            </w:pPr>
            <w:r w:rsidRPr="0063797E">
              <w:rPr>
                <w:rFonts w:ascii="Arial Narrow" w:hAnsi="Arial Narrow" w:cs="Arial"/>
                <w:sz w:val="20"/>
                <w:szCs w:val="20"/>
              </w:rPr>
              <w:t xml:space="preserve">5 </w:t>
            </w:r>
            <w:r w:rsidRPr="0063797E">
              <w:rPr>
                <w:rFonts w:ascii="Arial Narrow" w:hAnsi="Arial Narrow" w:cs="Arial"/>
                <w:sz w:val="20"/>
                <w:szCs w:val="20"/>
              </w:rPr>
              <w:br/>
              <w:t>(1.9%)</w:t>
            </w:r>
          </w:p>
        </w:tc>
        <w:tc>
          <w:tcPr>
            <w:tcW w:w="1063" w:type="dxa"/>
            <w:shd w:val="clear" w:color="auto" w:fill="auto"/>
            <w:vAlign w:val="center"/>
          </w:tcPr>
          <w:p w:rsidR="00E41021" w:rsidRPr="0063797E" w:rsidRDefault="00E41021" w:rsidP="0063797E">
            <w:pPr>
              <w:keepNext/>
              <w:keepLines/>
              <w:spacing w:before="40" w:after="40"/>
              <w:jc w:val="center"/>
              <w:rPr>
                <w:rFonts w:ascii="Arial Narrow" w:hAnsi="Arial Narrow" w:cs="Arial"/>
                <w:sz w:val="20"/>
                <w:szCs w:val="20"/>
              </w:rPr>
            </w:pPr>
            <w:proofErr w:type="spellStart"/>
            <w:r w:rsidRPr="0063797E">
              <w:rPr>
                <w:rFonts w:ascii="Arial Narrow" w:hAnsi="Arial Narrow" w:cs="Arial"/>
                <w:sz w:val="20"/>
                <w:szCs w:val="20"/>
              </w:rPr>
              <w:t>NE</w:t>
            </w:r>
            <w:r w:rsidRPr="0063797E">
              <w:rPr>
                <w:rFonts w:ascii="Arial Narrow" w:hAnsi="Arial Narrow" w:cs="Arial"/>
                <w:sz w:val="20"/>
                <w:szCs w:val="20"/>
                <w:vertAlign w:val="superscript"/>
              </w:rPr>
              <w:t>b</w:t>
            </w:r>
            <w:proofErr w:type="spellEnd"/>
          </w:p>
        </w:tc>
        <w:tc>
          <w:tcPr>
            <w:tcW w:w="1064" w:type="dxa"/>
            <w:shd w:val="clear" w:color="auto" w:fill="auto"/>
            <w:vAlign w:val="center"/>
          </w:tcPr>
          <w:p w:rsidR="00E41021" w:rsidRPr="0063797E" w:rsidRDefault="00E41021" w:rsidP="0063797E">
            <w:pPr>
              <w:keepNext/>
              <w:keepLines/>
              <w:spacing w:before="40" w:after="40"/>
              <w:jc w:val="center"/>
              <w:rPr>
                <w:rFonts w:ascii="Arial Narrow" w:hAnsi="Arial Narrow" w:cs="Arial"/>
                <w:sz w:val="20"/>
                <w:szCs w:val="20"/>
              </w:rPr>
            </w:pPr>
            <w:proofErr w:type="spellStart"/>
            <w:r w:rsidRPr="0063797E">
              <w:rPr>
                <w:rFonts w:ascii="Arial Narrow" w:hAnsi="Arial Narrow" w:cs="Arial"/>
                <w:sz w:val="20"/>
                <w:szCs w:val="20"/>
              </w:rPr>
              <w:t>NE</w:t>
            </w:r>
            <w:r w:rsidRPr="0063797E">
              <w:rPr>
                <w:rFonts w:ascii="Arial Narrow" w:hAnsi="Arial Narrow" w:cs="Arial"/>
                <w:sz w:val="20"/>
                <w:szCs w:val="20"/>
                <w:vertAlign w:val="superscript"/>
              </w:rPr>
              <w:t>b</w:t>
            </w:r>
            <w:proofErr w:type="spellEnd"/>
          </w:p>
        </w:tc>
        <w:tc>
          <w:tcPr>
            <w:tcW w:w="1421" w:type="dxa"/>
            <w:shd w:val="clear" w:color="auto" w:fill="auto"/>
            <w:vAlign w:val="center"/>
          </w:tcPr>
          <w:p w:rsidR="00E41021" w:rsidRPr="0063797E" w:rsidRDefault="00E41021" w:rsidP="0063797E">
            <w:pPr>
              <w:keepNext/>
              <w:keepLines/>
              <w:spacing w:before="40" w:after="40"/>
              <w:jc w:val="center"/>
              <w:rPr>
                <w:rFonts w:ascii="Arial Narrow" w:hAnsi="Arial Narrow" w:cs="Arial"/>
                <w:b/>
                <w:sz w:val="20"/>
                <w:szCs w:val="20"/>
              </w:rPr>
            </w:pPr>
            <w:r w:rsidRPr="0063797E">
              <w:rPr>
                <w:rFonts w:ascii="Arial Narrow" w:hAnsi="Arial Narrow" w:cs="Arial"/>
                <w:sz w:val="18"/>
                <w:szCs w:val="18"/>
              </w:rPr>
              <w:t>0.801</w:t>
            </w:r>
            <w:r w:rsidRPr="0063797E">
              <w:rPr>
                <w:rFonts w:ascii="Arial Narrow" w:hAnsi="Arial Narrow" w:cs="Arial"/>
                <w:sz w:val="18"/>
                <w:szCs w:val="18"/>
              </w:rPr>
              <w:br/>
              <w:t>(0.267 – 2.398)</w:t>
            </w:r>
          </w:p>
        </w:tc>
        <w:tc>
          <w:tcPr>
            <w:tcW w:w="1054" w:type="dxa"/>
            <w:shd w:val="clear" w:color="auto" w:fill="auto"/>
            <w:vAlign w:val="center"/>
          </w:tcPr>
          <w:p w:rsidR="00E41021" w:rsidRPr="0063797E" w:rsidRDefault="00E41021" w:rsidP="0063797E">
            <w:pPr>
              <w:pStyle w:val="BayerTableStyleCentered"/>
              <w:keepNext/>
              <w:keepLines/>
              <w:spacing w:before="40" w:after="40" w:line="180" w:lineRule="exact"/>
              <w:rPr>
                <w:rFonts w:ascii="Arial Narrow" w:hAnsi="Arial Narrow" w:cs="Arial"/>
                <w:sz w:val="20"/>
              </w:rPr>
            </w:pPr>
            <w:r w:rsidRPr="0063797E">
              <w:rPr>
                <w:rFonts w:ascii="Arial Narrow" w:hAnsi="Arial Narrow" w:cs="Arial"/>
                <w:sz w:val="20"/>
              </w:rPr>
              <w:t>0.69041</w:t>
            </w:r>
          </w:p>
        </w:tc>
      </w:tr>
      <w:tr w:rsidR="00E41021" w:rsidRPr="0063797E" w:rsidTr="0063797E">
        <w:tc>
          <w:tcPr>
            <w:tcW w:w="675" w:type="dxa"/>
            <w:vMerge/>
            <w:shd w:val="clear" w:color="auto" w:fill="auto"/>
          </w:tcPr>
          <w:p w:rsidR="00E41021" w:rsidRPr="0063797E" w:rsidRDefault="00E41021" w:rsidP="0063797E">
            <w:pPr>
              <w:keepNext/>
              <w:keepLines/>
              <w:spacing w:before="40" w:after="40"/>
              <w:rPr>
                <w:rFonts w:ascii="Arial" w:hAnsi="Arial" w:cs="Arial"/>
                <w:sz w:val="20"/>
                <w:szCs w:val="20"/>
              </w:rPr>
            </w:pPr>
          </w:p>
        </w:tc>
        <w:tc>
          <w:tcPr>
            <w:tcW w:w="426" w:type="dxa"/>
            <w:vMerge/>
            <w:shd w:val="clear" w:color="auto" w:fill="auto"/>
            <w:vAlign w:val="center"/>
          </w:tcPr>
          <w:p w:rsidR="00E41021" w:rsidRPr="0063797E" w:rsidRDefault="00E41021" w:rsidP="0063797E">
            <w:pPr>
              <w:keepNext/>
              <w:keepLines/>
              <w:spacing w:before="40" w:after="40"/>
              <w:rPr>
                <w:rFonts w:ascii="Arial" w:hAnsi="Arial" w:cs="Arial"/>
                <w:sz w:val="20"/>
                <w:szCs w:val="20"/>
              </w:rPr>
            </w:pPr>
          </w:p>
        </w:tc>
        <w:tc>
          <w:tcPr>
            <w:tcW w:w="1842" w:type="dxa"/>
            <w:shd w:val="clear" w:color="auto" w:fill="auto"/>
            <w:vAlign w:val="center"/>
          </w:tcPr>
          <w:p w:rsidR="00E41021" w:rsidRPr="0063797E" w:rsidRDefault="00E41021" w:rsidP="0063797E">
            <w:pPr>
              <w:keepNext/>
              <w:keepLines/>
              <w:spacing w:before="40" w:after="40"/>
              <w:rPr>
                <w:rFonts w:ascii="Arial Narrow" w:hAnsi="Arial Narrow" w:cs="Arial"/>
                <w:b/>
                <w:sz w:val="20"/>
                <w:szCs w:val="20"/>
              </w:rPr>
            </w:pPr>
            <w:r w:rsidRPr="0063797E">
              <w:rPr>
                <w:rFonts w:ascii="Arial Narrow" w:hAnsi="Arial Narrow" w:cs="Arial"/>
                <w:b/>
                <w:bCs/>
                <w:sz w:val="20"/>
                <w:szCs w:val="20"/>
              </w:rPr>
              <w:t xml:space="preserve">Bone </w:t>
            </w:r>
            <w:r w:rsidRPr="0063797E">
              <w:rPr>
                <w:rFonts w:ascii="Arial Narrow" w:hAnsi="Arial Narrow" w:cs="Arial"/>
                <w:b/>
                <w:bCs/>
                <w:sz w:val="20"/>
                <w:szCs w:val="20"/>
              </w:rPr>
              <w:br/>
              <w:t>fractures</w:t>
            </w:r>
          </w:p>
        </w:tc>
        <w:tc>
          <w:tcPr>
            <w:tcW w:w="850" w:type="dxa"/>
            <w:shd w:val="clear" w:color="auto" w:fill="auto"/>
          </w:tcPr>
          <w:p w:rsidR="00E41021" w:rsidRPr="0063797E" w:rsidRDefault="00E41021" w:rsidP="0063797E">
            <w:pPr>
              <w:keepNext/>
              <w:keepLines/>
              <w:spacing w:before="40" w:after="40"/>
              <w:jc w:val="center"/>
              <w:rPr>
                <w:rFonts w:ascii="Arial Narrow" w:hAnsi="Arial Narrow" w:cs="Arial"/>
                <w:sz w:val="20"/>
                <w:szCs w:val="20"/>
              </w:rPr>
            </w:pPr>
            <w:r w:rsidRPr="0063797E">
              <w:rPr>
                <w:rFonts w:ascii="Arial Narrow" w:hAnsi="Arial Narrow" w:cs="Arial"/>
                <w:sz w:val="20"/>
                <w:szCs w:val="20"/>
              </w:rPr>
              <w:t>20</w:t>
            </w:r>
            <w:r w:rsidRPr="0063797E">
              <w:rPr>
                <w:rFonts w:ascii="Arial Narrow" w:hAnsi="Arial Narrow" w:cs="Arial"/>
                <w:sz w:val="20"/>
                <w:szCs w:val="20"/>
              </w:rPr>
              <w:br/>
              <w:t>(3.7%)</w:t>
            </w:r>
          </w:p>
        </w:tc>
        <w:tc>
          <w:tcPr>
            <w:tcW w:w="851" w:type="dxa"/>
            <w:shd w:val="clear" w:color="auto" w:fill="auto"/>
          </w:tcPr>
          <w:p w:rsidR="00E41021" w:rsidRPr="0063797E" w:rsidRDefault="00E41021" w:rsidP="0063797E">
            <w:pPr>
              <w:keepNext/>
              <w:keepLines/>
              <w:spacing w:before="40" w:after="40"/>
              <w:jc w:val="center"/>
              <w:rPr>
                <w:rFonts w:ascii="Arial Narrow" w:hAnsi="Arial Narrow" w:cs="Arial"/>
                <w:sz w:val="20"/>
                <w:szCs w:val="20"/>
              </w:rPr>
            </w:pPr>
            <w:r w:rsidRPr="0063797E">
              <w:rPr>
                <w:rFonts w:ascii="Arial Narrow" w:hAnsi="Arial Narrow" w:cs="Arial"/>
                <w:sz w:val="20"/>
                <w:szCs w:val="20"/>
              </w:rPr>
              <w:t xml:space="preserve">18 </w:t>
            </w:r>
            <w:r w:rsidRPr="0063797E">
              <w:rPr>
                <w:rFonts w:ascii="Arial Narrow" w:hAnsi="Arial Narrow" w:cs="Arial"/>
                <w:sz w:val="20"/>
                <w:szCs w:val="20"/>
              </w:rPr>
              <w:br/>
              <w:t>(6.7%)</w:t>
            </w:r>
          </w:p>
        </w:tc>
        <w:tc>
          <w:tcPr>
            <w:tcW w:w="1063" w:type="dxa"/>
            <w:shd w:val="clear" w:color="auto" w:fill="auto"/>
            <w:vAlign w:val="center"/>
          </w:tcPr>
          <w:p w:rsidR="00E41021" w:rsidRPr="0063797E" w:rsidRDefault="00E41021" w:rsidP="0063797E">
            <w:pPr>
              <w:keepNext/>
              <w:keepLines/>
              <w:spacing w:before="40" w:after="40"/>
              <w:jc w:val="center"/>
              <w:rPr>
                <w:rFonts w:ascii="Arial Narrow" w:hAnsi="Arial Narrow" w:cs="Arial"/>
                <w:sz w:val="20"/>
                <w:szCs w:val="20"/>
              </w:rPr>
            </w:pPr>
            <w:proofErr w:type="spellStart"/>
            <w:r w:rsidRPr="0063797E">
              <w:rPr>
                <w:rFonts w:ascii="Arial Narrow" w:hAnsi="Arial Narrow" w:cs="Arial"/>
                <w:sz w:val="20"/>
                <w:szCs w:val="20"/>
              </w:rPr>
              <w:t>NE</w:t>
            </w:r>
            <w:r w:rsidRPr="0063797E">
              <w:rPr>
                <w:rFonts w:ascii="Arial Narrow" w:hAnsi="Arial Narrow" w:cs="Arial"/>
                <w:sz w:val="20"/>
                <w:szCs w:val="20"/>
                <w:vertAlign w:val="superscript"/>
              </w:rPr>
              <w:t>b</w:t>
            </w:r>
            <w:proofErr w:type="spellEnd"/>
          </w:p>
        </w:tc>
        <w:tc>
          <w:tcPr>
            <w:tcW w:w="1064" w:type="dxa"/>
            <w:shd w:val="clear" w:color="auto" w:fill="auto"/>
            <w:vAlign w:val="center"/>
          </w:tcPr>
          <w:p w:rsidR="00E41021" w:rsidRPr="0063797E" w:rsidRDefault="00E41021" w:rsidP="0063797E">
            <w:pPr>
              <w:keepNext/>
              <w:keepLines/>
              <w:spacing w:before="40" w:after="40"/>
              <w:jc w:val="center"/>
              <w:rPr>
                <w:rFonts w:ascii="Arial Narrow" w:hAnsi="Arial Narrow" w:cs="Arial"/>
                <w:sz w:val="20"/>
                <w:szCs w:val="20"/>
              </w:rPr>
            </w:pPr>
            <w:proofErr w:type="spellStart"/>
            <w:r w:rsidRPr="0063797E">
              <w:rPr>
                <w:rFonts w:ascii="Arial Narrow" w:hAnsi="Arial Narrow" w:cs="Arial"/>
                <w:sz w:val="20"/>
                <w:szCs w:val="20"/>
              </w:rPr>
              <w:t>NE</w:t>
            </w:r>
            <w:r w:rsidRPr="0063797E">
              <w:rPr>
                <w:rFonts w:ascii="Arial Narrow" w:hAnsi="Arial Narrow" w:cs="Arial"/>
                <w:sz w:val="20"/>
                <w:szCs w:val="20"/>
                <w:vertAlign w:val="superscript"/>
              </w:rPr>
              <w:t>b</w:t>
            </w:r>
            <w:proofErr w:type="spellEnd"/>
          </w:p>
        </w:tc>
        <w:tc>
          <w:tcPr>
            <w:tcW w:w="1421" w:type="dxa"/>
            <w:shd w:val="clear" w:color="auto" w:fill="auto"/>
            <w:vAlign w:val="center"/>
          </w:tcPr>
          <w:p w:rsidR="00E41021" w:rsidRPr="0063797E" w:rsidRDefault="00E41021" w:rsidP="0063797E">
            <w:pPr>
              <w:keepNext/>
              <w:keepLines/>
              <w:spacing w:before="40" w:after="40"/>
              <w:jc w:val="center"/>
              <w:rPr>
                <w:rFonts w:ascii="Arial Narrow" w:hAnsi="Arial Narrow" w:cs="Arial"/>
                <w:b/>
                <w:sz w:val="20"/>
                <w:szCs w:val="20"/>
              </w:rPr>
            </w:pPr>
            <w:r w:rsidRPr="0063797E">
              <w:rPr>
                <w:rFonts w:ascii="Arial Narrow" w:hAnsi="Arial Narrow" w:cs="Arial"/>
                <w:sz w:val="18"/>
                <w:szCs w:val="18"/>
              </w:rPr>
              <w:t>0.450</w:t>
            </w:r>
            <w:r w:rsidRPr="0063797E">
              <w:rPr>
                <w:rFonts w:ascii="Arial Narrow" w:hAnsi="Arial Narrow" w:cs="Arial"/>
                <w:sz w:val="18"/>
                <w:szCs w:val="18"/>
              </w:rPr>
              <w:br/>
              <w:t>(0.236 – 0.856)</w:t>
            </w:r>
          </w:p>
        </w:tc>
        <w:tc>
          <w:tcPr>
            <w:tcW w:w="1054" w:type="dxa"/>
            <w:shd w:val="clear" w:color="auto" w:fill="auto"/>
            <w:vAlign w:val="center"/>
          </w:tcPr>
          <w:p w:rsidR="00E41021" w:rsidRPr="0063797E" w:rsidRDefault="00E41021" w:rsidP="0063797E">
            <w:pPr>
              <w:pStyle w:val="BayerTableStyleCentered"/>
              <w:keepNext/>
              <w:keepLines/>
              <w:spacing w:before="40" w:after="40" w:line="180" w:lineRule="exact"/>
              <w:rPr>
                <w:rFonts w:ascii="Arial Narrow" w:hAnsi="Arial Narrow" w:cs="Arial"/>
                <w:sz w:val="20"/>
              </w:rPr>
            </w:pPr>
            <w:r w:rsidRPr="0063797E">
              <w:rPr>
                <w:rFonts w:ascii="Arial Narrow" w:hAnsi="Arial Narrow" w:cs="Arial"/>
                <w:sz w:val="20"/>
              </w:rPr>
              <w:t>0.01255</w:t>
            </w:r>
          </w:p>
        </w:tc>
      </w:tr>
      <w:tr w:rsidR="00E41021" w:rsidRPr="0063797E" w:rsidTr="0063797E">
        <w:tc>
          <w:tcPr>
            <w:tcW w:w="2943" w:type="dxa"/>
            <w:gridSpan w:val="3"/>
            <w:shd w:val="clear" w:color="auto" w:fill="auto"/>
            <w:vAlign w:val="center"/>
          </w:tcPr>
          <w:p w:rsidR="00E41021" w:rsidRPr="0063797E" w:rsidRDefault="00E41021" w:rsidP="0063797E">
            <w:pPr>
              <w:keepNext/>
              <w:keepLines/>
              <w:spacing w:before="40" w:after="40"/>
              <w:rPr>
                <w:rFonts w:ascii="Arial" w:hAnsi="Arial" w:cs="Arial"/>
                <w:b/>
                <w:sz w:val="20"/>
                <w:szCs w:val="20"/>
              </w:rPr>
            </w:pPr>
            <w:r w:rsidRPr="0063797E">
              <w:rPr>
                <w:rFonts w:ascii="Arial" w:hAnsi="Arial" w:cs="Arial"/>
                <w:b/>
                <w:sz w:val="20"/>
                <w:szCs w:val="20"/>
              </w:rPr>
              <w:t xml:space="preserve">Total ALP </w:t>
            </w:r>
            <w:proofErr w:type="spellStart"/>
            <w:r w:rsidRPr="0063797E">
              <w:rPr>
                <w:rFonts w:ascii="Arial" w:hAnsi="Arial" w:cs="Arial"/>
                <w:b/>
                <w:sz w:val="20"/>
                <w:szCs w:val="20"/>
              </w:rPr>
              <w:t>progression</w:t>
            </w:r>
            <w:r w:rsidRPr="0063797E">
              <w:rPr>
                <w:rFonts w:ascii="Arial" w:hAnsi="Arial" w:cs="Arial"/>
                <w:b/>
                <w:sz w:val="20"/>
                <w:szCs w:val="20"/>
                <w:vertAlign w:val="superscript"/>
              </w:rPr>
              <w:t>c</w:t>
            </w:r>
            <w:proofErr w:type="spellEnd"/>
          </w:p>
        </w:tc>
        <w:tc>
          <w:tcPr>
            <w:tcW w:w="850" w:type="dxa"/>
            <w:shd w:val="clear" w:color="auto" w:fill="auto"/>
            <w:vAlign w:val="center"/>
          </w:tcPr>
          <w:p w:rsidR="00E41021" w:rsidRPr="0063797E" w:rsidRDefault="00E41021" w:rsidP="0063797E">
            <w:pPr>
              <w:keepNext/>
              <w:keepLines/>
              <w:spacing w:before="40" w:after="40"/>
              <w:jc w:val="center"/>
              <w:rPr>
                <w:rFonts w:ascii="Arial Narrow" w:hAnsi="Arial Narrow" w:cs="Arial"/>
                <w:b/>
                <w:sz w:val="20"/>
                <w:szCs w:val="20"/>
              </w:rPr>
            </w:pPr>
            <w:r w:rsidRPr="0063797E">
              <w:rPr>
                <w:rFonts w:ascii="Arial Narrow" w:hAnsi="Arial Narrow" w:cs="Arial"/>
                <w:sz w:val="20"/>
                <w:szCs w:val="20"/>
              </w:rPr>
              <w:t>79</w:t>
            </w:r>
            <w:r w:rsidRPr="0063797E">
              <w:rPr>
                <w:rFonts w:ascii="Arial Narrow" w:hAnsi="Arial Narrow" w:cs="Arial"/>
                <w:sz w:val="20"/>
                <w:szCs w:val="20"/>
              </w:rPr>
              <w:br/>
              <w:t>(14.6%)</w:t>
            </w:r>
          </w:p>
        </w:tc>
        <w:tc>
          <w:tcPr>
            <w:tcW w:w="851" w:type="dxa"/>
            <w:shd w:val="clear" w:color="auto" w:fill="auto"/>
            <w:vAlign w:val="center"/>
          </w:tcPr>
          <w:p w:rsidR="00E41021" w:rsidRPr="0063797E" w:rsidRDefault="00E41021" w:rsidP="0063797E">
            <w:pPr>
              <w:keepNext/>
              <w:keepLines/>
              <w:autoSpaceDE w:val="0"/>
              <w:autoSpaceDN w:val="0"/>
              <w:adjustRightInd w:val="0"/>
              <w:spacing w:before="40" w:after="40"/>
              <w:jc w:val="center"/>
              <w:rPr>
                <w:rFonts w:ascii="Arial Narrow" w:hAnsi="Arial Narrow" w:cs="Arial"/>
                <w:b/>
                <w:sz w:val="20"/>
                <w:szCs w:val="20"/>
              </w:rPr>
            </w:pPr>
            <w:r w:rsidRPr="0063797E">
              <w:rPr>
                <w:rFonts w:ascii="Arial Narrow" w:hAnsi="Arial Narrow" w:cs="Arial"/>
                <w:sz w:val="20"/>
                <w:szCs w:val="20"/>
              </w:rPr>
              <w:t>116</w:t>
            </w:r>
            <w:r w:rsidRPr="0063797E">
              <w:rPr>
                <w:rFonts w:ascii="Arial Narrow" w:hAnsi="Arial Narrow" w:cs="Arial"/>
                <w:sz w:val="20"/>
                <w:szCs w:val="20"/>
              </w:rPr>
              <w:br/>
              <w:t>(43.3%)</w:t>
            </w:r>
          </w:p>
        </w:tc>
        <w:tc>
          <w:tcPr>
            <w:tcW w:w="1063" w:type="dxa"/>
            <w:shd w:val="clear" w:color="auto" w:fill="auto"/>
            <w:vAlign w:val="center"/>
          </w:tcPr>
          <w:p w:rsidR="00E41021" w:rsidRPr="0063797E" w:rsidRDefault="00E41021" w:rsidP="0063797E">
            <w:pPr>
              <w:keepNext/>
              <w:keepLines/>
              <w:spacing w:before="40" w:after="40"/>
              <w:jc w:val="center"/>
              <w:rPr>
                <w:rFonts w:ascii="Arial Narrow" w:hAnsi="Arial Narrow" w:cs="Arial"/>
                <w:sz w:val="20"/>
                <w:szCs w:val="20"/>
              </w:rPr>
            </w:pPr>
            <w:proofErr w:type="spellStart"/>
            <w:r w:rsidRPr="0063797E">
              <w:rPr>
                <w:rFonts w:ascii="Arial Narrow" w:hAnsi="Arial Narrow" w:cs="Arial"/>
                <w:sz w:val="20"/>
                <w:szCs w:val="20"/>
              </w:rPr>
              <w:t>NE</w:t>
            </w:r>
            <w:r w:rsidRPr="0063797E">
              <w:rPr>
                <w:rFonts w:ascii="Arial Narrow" w:hAnsi="Arial Narrow" w:cs="Arial"/>
                <w:sz w:val="20"/>
                <w:szCs w:val="20"/>
                <w:vertAlign w:val="superscript"/>
              </w:rPr>
              <w:t>b</w:t>
            </w:r>
            <w:proofErr w:type="spellEnd"/>
          </w:p>
        </w:tc>
        <w:tc>
          <w:tcPr>
            <w:tcW w:w="1064" w:type="dxa"/>
            <w:shd w:val="clear" w:color="auto" w:fill="auto"/>
            <w:vAlign w:val="center"/>
          </w:tcPr>
          <w:p w:rsidR="00E41021" w:rsidRPr="0063797E" w:rsidRDefault="00E41021" w:rsidP="0063797E">
            <w:pPr>
              <w:keepNext/>
              <w:keepLines/>
              <w:spacing w:before="40" w:after="40"/>
              <w:jc w:val="center"/>
              <w:rPr>
                <w:rFonts w:ascii="Arial Narrow" w:hAnsi="Arial Narrow" w:cs="Arial"/>
                <w:sz w:val="18"/>
                <w:szCs w:val="18"/>
              </w:rPr>
            </w:pPr>
            <w:r w:rsidRPr="0063797E">
              <w:rPr>
                <w:rFonts w:ascii="Arial Narrow" w:hAnsi="Arial Narrow" w:cs="Arial"/>
                <w:sz w:val="18"/>
                <w:szCs w:val="18"/>
              </w:rPr>
              <w:t>3.7</w:t>
            </w:r>
            <w:r w:rsidRPr="0063797E">
              <w:rPr>
                <w:rFonts w:ascii="Arial Narrow" w:hAnsi="Arial Narrow" w:cs="Arial"/>
                <w:sz w:val="18"/>
                <w:szCs w:val="18"/>
              </w:rPr>
              <w:br/>
              <w:t>(3.5 – 4.1)</w:t>
            </w:r>
          </w:p>
        </w:tc>
        <w:tc>
          <w:tcPr>
            <w:tcW w:w="1421" w:type="dxa"/>
            <w:shd w:val="clear" w:color="auto" w:fill="auto"/>
            <w:vAlign w:val="center"/>
          </w:tcPr>
          <w:p w:rsidR="00E41021" w:rsidRPr="0063797E" w:rsidRDefault="00E41021" w:rsidP="0063797E">
            <w:pPr>
              <w:keepNext/>
              <w:keepLines/>
              <w:spacing w:before="40" w:after="40"/>
              <w:jc w:val="center"/>
              <w:rPr>
                <w:rFonts w:ascii="Arial Narrow" w:hAnsi="Arial Narrow" w:cs="Arial"/>
                <w:sz w:val="20"/>
                <w:szCs w:val="20"/>
              </w:rPr>
            </w:pPr>
            <w:r w:rsidRPr="0063797E">
              <w:rPr>
                <w:rFonts w:ascii="Arial Narrow" w:hAnsi="Arial Narrow" w:cs="Arial"/>
                <w:sz w:val="20"/>
                <w:szCs w:val="20"/>
              </w:rPr>
              <w:t>0.162</w:t>
            </w:r>
            <w:r w:rsidRPr="0063797E">
              <w:rPr>
                <w:rFonts w:ascii="Arial Narrow" w:hAnsi="Arial Narrow" w:cs="Arial"/>
                <w:sz w:val="20"/>
                <w:szCs w:val="20"/>
              </w:rPr>
              <w:br/>
              <w:t>(0.120 – 0.220)</w:t>
            </w:r>
          </w:p>
        </w:tc>
        <w:tc>
          <w:tcPr>
            <w:tcW w:w="1054" w:type="dxa"/>
            <w:shd w:val="clear" w:color="auto" w:fill="auto"/>
            <w:vAlign w:val="center"/>
          </w:tcPr>
          <w:p w:rsidR="00E41021" w:rsidRPr="0063797E" w:rsidRDefault="00E41021" w:rsidP="0063797E">
            <w:pPr>
              <w:keepNext/>
              <w:keepLines/>
              <w:spacing w:before="40" w:after="40"/>
              <w:jc w:val="center"/>
              <w:rPr>
                <w:rFonts w:ascii="Arial Narrow" w:eastAsia="Times New Roman" w:hAnsi="Arial Narrow" w:cs="Arial"/>
                <w:sz w:val="20"/>
                <w:szCs w:val="20"/>
                <w:lang w:val="en-US"/>
              </w:rPr>
            </w:pPr>
            <w:r w:rsidRPr="0063797E">
              <w:rPr>
                <w:rFonts w:ascii="Arial Narrow" w:eastAsia="Times New Roman" w:hAnsi="Arial Narrow" w:cs="Arial"/>
                <w:sz w:val="20"/>
                <w:szCs w:val="20"/>
                <w:lang w:val="en-US"/>
              </w:rPr>
              <w:t>&lt; 0.00001</w:t>
            </w:r>
          </w:p>
        </w:tc>
      </w:tr>
      <w:tr w:rsidR="00E41021" w:rsidRPr="0063797E" w:rsidTr="0063797E">
        <w:tc>
          <w:tcPr>
            <w:tcW w:w="2943" w:type="dxa"/>
            <w:gridSpan w:val="3"/>
            <w:shd w:val="clear" w:color="auto" w:fill="auto"/>
            <w:vAlign w:val="center"/>
          </w:tcPr>
          <w:p w:rsidR="00E41021" w:rsidRPr="0063797E" w:rsidRDefault="00E41021" w:rsidP="0063797E">
            <w:pPr>
              <w:keepNext/>
              <w:keepLines/>
              <w:spacing w:before="40" w:after="40"/>
              <w:rPr>
                <w:rFonts w:ascii="Arial" w:hAnsi="Arial" w:cs="Arial"/>
                <w:b/>
                <w:sz w:val="20"/>
                <w:szCs w:val="20"/>
              </w:rPr>
            </w:pPr>
            <w:r w:rsidRPr="0063797E">
              <w:rPr>
                <w:rFonts w:ascii="Arial" w:hAnsi="Arial" w:cs="Arial"/>
                <w:b/>
                <w:sz w:val="20"/>
                <w:szCs w:val="20"/>
              </w:rPr>
              <w:t xml:space="preserve">PSA </w:t>
            </w:r>
            <w:proofErr w:type="spellStart"/>
            <w:r w:rsidRPr="0063797E">
              <w:rPr>
                <w:rFonts w:ascii="Arial" w:hAnsi="Arial" w:cs="Arial"/>
                <w:b/>
                <w:sz w:val="20"/>
                <w:szCs w:val="20"/>
              </w:rPr>
              <w:t>progression</w:t>
            </w:r>
            <w:r w:rsidRPr="0063797E">
              <w:rPr>
                <w:rFonts w:ascii="Arial" w:hAnsi="Arial" w:cs="Arial"/>
                <w:b/>
                <w:sz w:val="20"/>
                <w:szCs w:val="20"/>
                <w:vertAlign w:val="superscript"/>
              </w:rPr>
              <w:t>d</w:t>
            </w:r>
            <w:proofErr w:type="spellEnd"/>
          </w:p>
        </w:tc>
        <w:tc>
          <w:tcPr>
            <w:tcW w:w="850" w:type="dxa"/>
            <w:shd w:val="clear" w:color="auto" w:fill="auto"/>
            <w:vAlign w:val="center"/>
          </w:tcPr>
          <w:p w:rsidR="00E41021" w:rsidRPr="0063797E" w:rsidRDefault="00E41021" w:rsidP="0063797E">
            <w:pPr>
              <w:keepNext/>
              <w:keepLines/>
              <w:autoSpaceDE w:val="0"/>
              <w:autoSpaceDN w:val="0"/>
              <w:adjustRightInd w:val="0"/>
              <w:spacing w:before="40" w:after="40"/>
              <w:jc w:val="center"/>
              <w:rPr>
                <w:rFonts w:ascii="Arial Narrow" w:hAnsi="Arial Narrow" w:cs="Arial"/>
                <w:b/>
                <w:sz w:val="20"/>
                <w:szCs w:val="20"/>
              </w:rPr>
            </w:pPr>
            <w:r w:rsidRPr="0063797E">
              <w:rPr>
                <w:rFonts w:ascii="Arial Narrow" w:hAnsi="Arial Narrow" w:cs="Arial"/>
                <w:sz w:val="20"/>
                <w:szCs w:val="20"/>
              </w:rPr>
              <w:t>288</w:t>
            </w:r>
            <w:r w:rsidRPr="0063797E">
              <w:rPr>
                <w:rFonts w:ascii="Arial Narrow" w:hAnsi="Arial Narrow" w:cs="Arial"/>
                <w:sz w:val="20"/>
                <w:szCs w:val="20"/>
              </w:rPr>
              <w:br/>
              <w:t>(53.2%)</w:t>
            </w:r>
          </w:p>
        </w:tc>
        <w:tc>
          <w:tcPr>
            <w:tcW w:w="851" w:type="dxa"/>
            <w:shd w:val="clear" w:color="auto" w:fill="auto"/>
            <w:vAlign w:val="center"/>
          </w:tcPr>
          <w:p w:rsidR="00E41021" w:rsidRPr="0063797E" w:rsidRDefault="00E41021" w:rsidP="0063797E">
            <w:pPr>
              <w:keepNext/>
              <w:keepLines/>
              <w:autoSpaceDE w:val="0"/>
              <w:autoSpaceDN w:val="0"/>
              <w:adjustRightInd w:val="0"/>
              <w:spacing w:before="40" w:after="40"/>
              <w:jc w:val="center"/>
              <w:rPr>
                <w:rFonts w:ascii="Arial Narrow" w:hAnsi="Arial Narrow" w:cs="Arial"/>
                <w:b/>
                <w:sz w:val="20"/>
                <w:szCs w:val="20"/>
              </w:rPr>
            </w:pPr>
            <w:r w:rsidRPr="0063797E">
              <w:rPr>
                <w:rFonts w:ascii="Arial Narrow" w:hAnsi="Arial Narrow" w:cs="Arial"/>
                <w:sz w:val="20"/>
                <w:szCs w:val="20"/>
              </w:rPr>
              <w:t>141</w:t>
            </w:r>
            <w:r w:rsidRPr="0063797E">
              <w:rPr>
                <w:rFonts w:ascii="Arial Narrow" w:hAnsi="Arial Narrow" w:cs="Arial"/>
                <w:sz w:val="20"/>
                <w:szCs w:val="20"/>
              </w:rPr>
              <w:br/>
              <w:t>(52.6%)</w:t>
            </w:r>
          </w:p>
        </w:tc>
        <w:tc>
          <w:tcPr>
            <w:tcW w:w="1063" w:type="dxa"/>
            <w:shd w:val="clear" w:color="auto" w:fill="auto"/>
            <w:vAlign w:val="center"/>
          </w:tcPr>
          <w:p w:rsidR="00E41021" w:rsidRPr="0063797E" w:rsidRDefault="00E41021" w:rsidP="0063797E">
            <w:pPr>
              <w:keepNext/>
              <w:keepLines/>
              <w:autoSpaceDE w:val="0"/>
              <w:autoSpaceDN w:val="0"/>
              <w:adjustRightInd w:val="0"/>
              <w:spacing w:before="40" w:after="40"/>
              <w:jc w:val="center"/>
              <w:rPr>
                <w:rFonts w:ascii="Arial Narrow" w:hAnsi="Arial Narrow" w:cs="Arial"/>
                <w:sz w:val="20"/>
                <w:szCs w:val="20"/>
              </w:rPr>
            </w:pPr>
            <w:r w:rsidRPr="0063797E">
              <w:rPr>
                <w:rFonts w:ascii="Arial Narrow" w:hAnsi="Arial Narrow" w:cs="Arial"/>
                <w:sz w:val="20"/>
                <w:szCs w:val="20"/>
              </w:rPr>
              <w:t>3.6</w:t>
            </w:r>
            <w:r w:rsidRPr="0063797E">
              <w:rPr>
                <w:rFonts w:ascii="Arial Narrow" w:hAnsi="Arial Narrow" w:cs="Arial"/>
                <w:sz w:val="20"/>
                <w:szCs w:val="20"/>
              </w:rPr>
              <w:br/>
              <w:t>(3.5 – 3.7)</w:t>
            </w:r>
          </w:p>
        </w:tc>
        <w:tc>
          <w:tcPr>
            <w:tcW w:w="1064" w:type="dxa"/>
            <w:shd w:val="clear" w:color="auto" w:fill="auto"/>
            <w:vAlign w:val="center"/>
          </w:tcPr>
          <w:p w:rsidR="00E41021" w:rsidRPr="0063797E" w:rsidRDefault="00E41021" w:rsidP="0063797E">
            <w:pPr>
              <w:keepNext/>
              <w:keepLines/>
              <w:autoSpaceDE w:val="0"/>
              <w:autoSpaceDN w:val="0"/>
              <w:adjustRightInd w:val="0"/>
              <w:spacing w:before="40" w:after="40"/>
              <w:jc w:val="center"/>
              <w:rPr>
                <w:rFonts w:ascii="Arial Narrow" w:hAnsi="Arial Narrow" w:cs="Arial"/>
                <w:sz w:val="20"/>
                <w:szCs w:val="20"/>
              </w:rPr>
            </w:pPr>
            <w:r w:rsidRPr="0063797E">
              <w:rPr>
                <w:rFonts w:ascii="Arial Narrow" w:hAnsi="Arial Narrow" w:cs="Arial"/>
                <w:sz w:val="20"/>
                <w:szCs w:val="20"/>
              </w:rPr>
              <w:t>3.4</w:t>
            </w:r>
            <w:r w:rsidRPr="0063797E">
              <w:rPr>
                <w:rFonts w:ascii="Arial Narrow" w:hAnsi="Arial Narrow" w:cs="Arial"/>
                <w:sz w:val="20"/>
                <w:szCs w:val="20"/>
              </w:rPr>
              <w:br/>
              <w:t>(3.3 – 3.5)</w:t>
            </w:r>
          </w:p>
        </w:tc>
        <w:tc>
          <w:tcPr>
            <w:tcW w:w="1421" w:type="dxa"/>
            <w:shd w:val="clear" w:color="auto" w:fill="auto"/>
            <w:vAlign w:val="center"/>
          </w:tcPr>
          <w:p w:rsidR="00E41021" w:rsidRPr="0063797E" w:rsidRDefault="00E41021" w:rsidP="0063797E">
            <w:pPr>
              <w:keepNext/>
              <w:keepLines/>
              <w:autoSpaceDE w:val="0"/>
              <w:autoSpaceDN w:val="0"/>
              <w:adjustRightInd w:val="0"/>
              <w:spacing w:before="40" w:after="40"/>
              <w:jc w:val="center"/>
              <w:rPr>
                <w:rFonts w:ascii="Arial Narrow" w:hAnsi="Arial Narrow" w:cs="Arial"/>
                <w:sz w:val="20"/>
                <w:szCs w:val="20"/>
              </w:rPr>
            </w:pPr>
            <w:r w:rsidRPr="0063797E">
              <w:rPr>
                <w:rFonts w:ascii="Arial Narrow" w:hAnsi="Arial Narrow" w:cs="Arial"/>
                <w:sz w:val="20"/>
                <w:szCs w:val="20"/>
              </w:rPr>
              <w:t>0.671</w:t>
            </w:r>
            <w:r w:rsidRPr="0063797E">
              <w:rPr>
                <w:rFonts w:ascii="Arial Narrow" w:hAnsi="Arial Narrow" w:cs="Arial"/>
                <w:sz w:val="20"/>
                <w:szCs w:val="20"/>
              </w:rPr>
              <w:br/>
              <w:t>(0.546 – 0.826)</w:t>
            </w:r>
          </w:p>
        </w:tc>
        <w:tc>
          <w:tcPr>
            <w:tcW w:w="1054" w:type="dxa"/>
            <w:shd w:val="clear" w:color="auto" w:fill="auto"/>
            <w:vAlign w:val="center"/>
          </w:tcPr>
          <w:p w:rsidR="00E41021" w:rsidRPr="0063797E" w:rsidRDefault="00E41021" w:rsidP="0063797E">
            <w:pPr>
              <w:keepNext/>
              <w:keepLines/>
              <w:spacing w:before="40" w:after="40"/>
              <w:jc w:val="center"/>
              <w:rPr>
                <w:rFonts w:ascii="Arial Narrow" w:eastAsia="Times New Roman" w:hAnsi="Arial Narrow" w:cs="Arial"/>
                <w:sz w:val="20"/>
                <w:szCs w:val="20"/>
                <w:lang w:val="en-US"/>
              </w:rPr>
            </w:pPr>
            <w:r w:rsidRPr="0063797E">
              <w:rPr>
                <w:rFonts w:ascii="Arial Narrow" w:eastAsia="Times New Roman" w:hAnsi="Arial Narrow" w:cs="Arial"/>
                <w:sz w:val="20"/>
                <w:szCs w:val="20"/>
                <w:lang w:val="en-US"/>
              </w:rPr>
              <w:t>0.00015</w:t>
            </w:r>
          </w:p>
        </w:tc>
      </w:tr>
    </w:tbl>
    <w:p w:rsidR="0088685E" w:rsidRDefault="0088685E" w:rsidP="00E41021">
      <w:pPr>
        <w:pStyle w:val="BayerTableFootnote"/>
        <w:keepNext/>
        <w:keepLines/>
        <w:spacing w:before="40" w:after="0"/>
        <w:ind w:left="0" w:right="-330" w:firstLine="0"/>
        <w:rPr>
          <w:rFonts w:ascii="Arial" w:hAnsi="Arial" w:cs="Arial"/>
          <w:sz w:val="18"/>
          <w:szCs w:val="18"/>
        </w:rPr>
      </w:pPr>
      <w:r>
        <w:rPr>
          <w:rFonts w:ascii="Arial" w:hAnsi="Arial" w:cs="Arial"/>
          <w:sz w:val="18"/>
          <w:szCs w:val="18"/>
        </w:rPr>
        <w:t xml:space="preserve">ALP = </w:t>
      </w:r>
      <w:r w:rsidR="002C64B7">
        <w:rPr>
          <w:rFonts w:ascii="Arial" w:hAnsi="Arial" w:cs="Arial"/>
          <w:sz w:val="18"/>
          <w:szCs w:val="18"/>
        </w:rPr>
        <w:t>A</w:t>
      </w:r>
      <w:r>
        <w:rPr>
          <w:rFonts w:ascii="Arial" w:hAnsi="Arial" w:cs="Arial"/>
          <w:sz w:val="18"/>
          <w:szCs w:val="18"/>
        </w:rPr>
        <w:t xml:space="preserve">lkaline phosphatase; </w:t>
      </w:r>
      <w:r w:rsidRPr="00AB08C5">
        <w:rPr>
          <w:rFonts w:ascii="Arial" w:hAnsi="Arial" w:cs="Arial"/>
          <w:sz w:val="18"/>
          <w:szCs w:val="18"/>
        </w:rPr>
        <w:t>CI</w:t>
      </w:r>
      <w:r>
        <w:rPr>
          <w:rFonts w:ascii="Arial" w:hAnsi="Arial" w:cs="Arial"/>
          <w:sz w:val="18"/>
          <w:szCs w:val="18"/>
        </w:rPr>
        <w:t xml:space="preserve"> </w:t>
      </w:r>
      <w:r w:rsidRPr="00AB08C5">
        <w:rPr>
          <w:rFonts w:ascii="Arial" w:hAnsi="Arial" w:cs="Arial"/>
          <w:sz w:val="18"/>
          <w:szCs w:val="18"/>
        </w:rPr>
        <w:t>=</w:t>
      </w:r>
      <w:r>
        <w:rPr>
          <w:rFonts w:ascii="Arial" w:hAnsi="Arial" w:cs="Arial"/>
          <w:sz w:val="18"/>
          <w:szCs w:val="18"/>
        </w:rPr>
        <w:t xml:space="preserve"> </w:t>
      </w:r>
      <w:r w:rsidR="002C64B7">
        <w:rPr>
          <w:rFonts w:ascii="Arial" w:hAnsi="Arial" w:cs="Arial"/>
          <w:sz w:val="18"/>
          <w:szCs w:val="18"/>
        </w:rPr>
        <w:t>C</w:t>
      </w:r>
      <w:r>
        <w:rPr>
          <w:rFonts w:ascii="Arial" w:hAnsi="Arial" w:cs="Arial"/>
          <w:sz w:val="18"/>
          <w:szCs w:val="18"/>
        </w:rPr>
        <w:t xml:space="preserve">onfidence interval; </w:t>
      </w:r>
      <w:r w:rsidRPr="00AB08C5">
        <w:rPr>
          <w:rFonts w:ascii="Arial" w:hAnsi="Arial" w:cs="Arial"/>
          <w:sz w:val="18"/>
          <w:szCs w:val="18"/>
        </w:rPr>
        <w:t>EBRT</w:t>
      </w:r>
      <w:r>
        <w:rPr>
          <w:rFonts w:ascii="Arial" w:hAnsi="Arial" w:cs="Arial"/>
          <w:sz w:val="18"/>
          <w:szCs w:val="18"/>
        </w:rPr>
        <w:t xml:space="preserve"> </w:t>
      </w:r>
      <w:r w:rsidRPr="00AB08C5">
        <w:rPr>
          <w:rFonts w:ascii="Arial" w:hAnsi="Arial" w:cs="Arial"/>
          <w:sz w:val="18"/>
          <w:szCs w:val="18"/>
        </w:rPr>
        <w:t>=</w:t>
      </w:r>
      <w:r w:rsidRPr="00AB08C5">
        <w:rPr>
          <w:rFonts w:ascii="Arial" w:hAnsi="Arial" w:cs="Arial"/>
          <w:bCs/>
          <w:sz w:val="18"/>
          <w:szCs w:val="18"/>
        </w:rPr>
        <w:t xml:space="preserve"> </w:t>
      </w:r>
      <w:r w:rsidR="002C64B7">
        <w:rPr>
          <w:rFonts w:ascii="Arial" w:hAnsi="Arial" w:cs="Arial"/>
          <w:bCs/>
          <w:sz w:val="18"/>
          <w:szCs w:val="18"/>
        </w:rPr>
        <w:t>E</w:t>
      </w:r>
      <w:r w:rsidRPr="00AB08C5">
        <w:rPr>
          <w:rFonts w:ascii="Arial" w:hAnsi="Arial" w:cs="Arial"/>
          <w:bCs/>
          <w:sz w:val="18"/>
          <w:szCs w:val="18"/>
        </w:rPr>
        <w:t>xternal beam radiation</w:t>
      </w:r>
      <w:r w:rsidR="002C64B7">
        <w:rPr>
          <w:rFonts w:ascii="Arial" w:hAnsi="Arial" w:cs="Arial"/>
          <w:bCs/>
          <w:sz w:val="18"/>
          <w:szCs w:val="18"/>
        </w:rPr>
        <w:t xml:space="preserve"> therapy;</w:t>
      </w:r>
      <w:r w:rsidRPr="00AB08C5">
        <w:rPr>
          <w:rFonts w:ascii="Arial" w:hAnsi="Arial" w:cs="Arial"/>
          <w:sz w:val="18"/>
          <w:szCs w:val="18"/>
        </w:rPr>
        <w:t xml:space="preserve"> </w:t>
      </w:r>
      <w:r>
        <w:rPr>
          <w:rFonts w:ascii="Arial" w:hAnsi="Arial" w:cs="Arial"/>
          <w:sz w:val="18"/>
          <w:szCs w:val="18"/>
        </w:rPr>
        <w:t xml:space="preserve">NE = </w:t>
      </w:r>
      <w:r w:rsidR="002C64B7">
        <w:rPr>
          <w:rFonts w:ascii="Arial" w:hAnsi="Arial" w:cs="Arial"/>
          <w:sz w:val="18"/>
          <w:szCs w:val="18"/>
        </w:rPr>
        <w:t>N</w:t>
      </w:r>
      <w:r>
        <w:rPr>
          <w:rFonts w:ascii="Arial" w:hAnsi="Arial" w:cs="Arial"/>
          <w:sz w:val="18"/>
          <w:szCs w:val="18"/>
        </w:rPr>
        <w:t>ot estimable; PSA</w:t>
      </w:r>
      <w:r w:rsidR="00630EAD">
        <w:rPr>
          <w:rFonts w:ascii="Arial" w:hAnsi="Arial" w:cs="Arial"/>
          <w:sz w:val="18"/>
          <w:szCs w:val="18"/>
        </w:rPr>
        <w:t> </w:t>
      </w:r>
      <w:r>
        <w:rPr>
          <w:rFonts w:ascii="Arial" w:hAnsi="Arial" w:cs="Arial"/>
          <w:sz w:val="18"/>
          <w:szCs w:val="18"/>
        </w:rPr>
        <w:t>=</w:t>
      </w:r>
      <w:r w:rsidR="00630EAD">
        <w:rPr>
          <w:rFonts w:ascii="Arial" w:hAnsi="Arial" w:cs="Arial"/>
          <w:sz w:val="18"/>
          <w:szCs w:val="18"/>
        </w:rPr>
        <w:t> </w:t>
      </w:r>
      <w:r w:rsidR="002C64B7">
        <w:rPr>
          <w:rFonts w:ascii="Arial" w:hAnsi="Arial" w:cs="Arial"/>
          <w:sz w:val="18"/>
          <w:szCs w:val="18"/>
        </w:rPr>
        <w:t>P</w:t>
      </w:r>
      <w:r>
        <w:rPr>
          <w:rFonts w:ascii="Arial" w:hAnsi="Arial" w:cs="Arial"/>
          <w:sz w:val="18"/>
          <w:szCs w:val="18"/>
        </w:rPr>
        <w:t xml:space="preserve">rostate-specific antigen; </w:t>
      </w:r>
      <w:r w:rsidR="002C64B7">
        <w:rPr>
          <w:rFonts w:ascii="Arial" w:hAnsi="Arial" w:cs="Arial"/>
          <w:sz w:val="18"/>
          <w:szCs w:val="18"/>
        </w:rPr>
        <w:t>SSE = Symptomatic skeletal</w:t>
      </w:r>
      <w:r>
        <w:rPr>
          <w:rFonts w:ascii="Arial" w:hAnsi="Arial" w:cs="Arial"/>
          <w:sz w:val="18"/>
          <w:szCs w:val="18"/>
        </w:rPr>
        <w:t xml:space="preserve"> event</w:t>
      </w:r>
    </w:p>
    <w:p w:rsidR="0088685E" w:rsidRDefault="0088685E" w:rsidP="00E41021">
      <w:pPr>
        <w:pStyle w:val="BayerTableFootnote"/>
        <w:keepNext/>
        <w:keepLines/>
        <w:tabs>
          <w:tab w:val="left" w:pos="142"/>
        </w:tabs>
        <w:spacing w:before="40" w:after="0"/>
        <w:ind w:left="142" w:hanging="142"/>
        <w:jc w:val="both"/>
        <w:rPr>
          <w:rFonts w:ascii="Arial" w:hAnsi="Arial" w:cs="Arial"/>
          <w:sz w:val="18"/>
          <w:szCs w:val="18"/>
        </w:rPr>
      </w:pPr>
      <w:proofErr w:type="gramStart"/>
      <w:r>
        <w:rPr>
          <w:rFonts w:ascii="Arial" w:hAnsi="Arial" w:cs="Arial"/>
          <w:sz w:val="18"/>
          <w:szCs w:val="18"/>
          <w:vertAlign w:val="superscript"/>
        </w:rPr>
        <w:t>a</w:t>
      </w:r>
      <w:proofErr w:type="gramEnd"/>
      <w:r>
        <w:rPr>
          <w:rFonts w:ascii="Arial" w:hAnsi="Arial" w:cs="Arial"/>
          <w:sz w:val="18"/>
          <w:szCs w:val="18"/>
          <w:vertAlign w:val="superscript"/>
        </w:rPr>
        <w:t xml:space="preserve"> </w:t>
      </w:r>
      <w:r>
        <w:rPr>
          <w:rFonts w:ascii="Arial" w:hAnsi="Arial" w:cs="Arial"/>
          <w:sz w:val="18"/>
          <w:szCs w:val="18"/>
        </w:rPr>
        <w:tab/>
      </w:r>
      <w:r w:rsidRPr="0088685E">
        <w:rPr>
          <w:rFonts w:ascii="Arial" w:hAnsi="Arial" w:cs="Arial"/>
          <w:sz w:val="18"/>
          <w:szCs w:val="18"/>
        </w:rPr>
        <w:t>Defined as occurrence of any of the following: external beam radiotherapy to relieve pain, or pathologic fracture, or</w:t>
      </w:r>
      <w:r>
        <w:rPr>
          <w:rFonts w:ascii="Arial" w:hAnsi="Arial" w:cs="Arial"/>
          <w:sz w:val="18"/>
          <w:szCs w:val="18"/>
        </w:rPr>
        <w:t xml:space="preserve"> </w:t>
      </w:r>
      <w:r w:rsidRPr="0088685E">
        <w:rPr>
          <w:rFonts w:ascii="Arial" w:hAnsi="Arial" w:cs="Arial"/>
          <w:sz w:val="18"/>
          <w:szCs w:val="18"/>
        </w:rPr>
        <w:t>spinal cord compression, or tumor-related orthopedic surgical intervention.</w:t>
      </w:r>
    </w:p>
    <w:p w:rsidR="0088685E" w:rsidRPr="00AB08C5" w:rsidRDefault="0088685E" w:rsidP="00E41021">
      <w:pPr>
        <w:pStyle w:val="BayerTableFootnote"/>
        <w:keepNext/>
        <w:keepLines/>
        <w:spacing w:before="40" w:after="0"/>
        <w:ind w:left="142" w:hanging="142"/>
        <w:rPr>
          <w:rFonts w:ascii="Arial" w:hAnsi="Arial" w:cs="Arial"/>
          <w:sz w:val="18"/>
          <w:szCs w:val="18"/>
        </w:rPr>
      </w:pPr>
      <w:proofErr w:type="gramStart"/>
      <w:r w:rsidRPr="00AB08C5">
        <w:rPr>
          <w:rFonts w:ascii="Arial" w:hAnsi="Arial" w:cs="Arial"/>
          <w:sz w:val="18"/>
          <w:szCs w:val="18"/>
          <w:vertAlign w:val="superscript"/>
        </w:rPr>
        <w:t>b</w:t>
      </w:r>
      <w:proofErr w:type="gramEnd"/>
      <w:r w:rsidRPr="00AB08C5">
        <w:rPr>
          <w:rFonts w:ascii="Arial" w:hAnsi="Arial" w:cs="Arial"/>
          <w:sz w:val="18"/>
          <w:szCs w:val="18"/>
        </w:rPr>
        <w:t xml:space="preserve"> </w:t>
      </w:r>
      <w:r>
        <w:rPr>
          <w:rFonts w:ascii="Arial" w:hAnsi="Arial" w:cs="Arial"/>
          <w:sz w:val="18"/>
          <w:szCs w:val="18"/>
        </w:rPr>
        <w:t>N</w:t>
      </w:r>
      <w:r w:rsidRPr="0088685E">
        <w:rPr>
          <w:rFonts w:ascii="Arial" w:hAnsi="Arial" w:cs="Arial"/>
          <w:sz w:val="18"/>
          <w:szCs w:val="18"/>
        </w:rPr>
        <w:t xml:space="preserve">ot estimable </w:t>
      </w:r>
      <w:r>
        <w:rPr>
          <w:rFonts w:ascii="Arial" w:hAnsi="Arial" w:cs="Arial"/>
          <w:sz w:val="18"/>
          <w:szCs w:val="18"/>
        </w:rPr>
        <w:t>due</w:t>
      </w:r>
      <w:r w:rsidRPr="0088685E">
        <w:rPr>
          <w:rFonts w:ascii="Arial" w:hAnsi="Arial" w:cs="Arial"/>
          <w:sz w:val="18"/>
          <w:szCs w:val="18"/>
        </w:rPr>
        <w:t xml:space="preserve"> to insufficient events</w:t>
      </w:r>
      <w:r>
        <w:rPr>
          <w:rFonts w:ascii="Arial" w:hAnsi="Arial" w:cs="Arial"/>
          <w:sz w:val="18"/>
          <w:szCs w:val="18"/>
        </w:rPr>
        <w:t xml:space="preserve">, </w:t>
      </w:r>
      <w:r w:rsidRPr="00AB08C5">
        <w:rPr>
          <w:rFonts w:ascii="Arial" w:hAnsi="Arial" w:cs="Arial"/>
          <w:sz w:val="18"/>
          <w:szCs w:val="18"/>
        </w:rPr>
        <w:t>i.e. median was not reac</w:t>
      </w:r>
      <w:r>
        <w:rPr>
          <w:rFonts w:ascii="Arial" w:hAnsi="Arial" w:cs="Arial"/>
          <w:sz w:val="18"/>
          <w:szCs w:val="18"/>
        </w:rPr>
        <w:t>hed at the time of data cut-off.</w:t>
      </w:r>
    </w:p>
    <w:p w:rsidR="0088685E" w:rsidRPr="0088685E" w:rsidRDefault="0088685E" w:rsidP="00E41021">
      <w:pPr>
        <w:pStyle w:val="BayerTableFootnote"/>
        <w:keepNext/>
        <w:keepLines/>
        <w:spacing w:before="40" w:after="0"/>
        <w:rPr>
          <w:rFonts w:ascii="Arial" w:hAnsi="Arial" w:cs="Arial"/>
          <w:sz w:val="18"/>
          <w:szCs w:val="18"/>
        </w:rPr>
      </w:pPr>
      <w:proofErr w:type="gramStart"/>
      <w:r w:rsidRPr="00AB08C5">
        <w:rPr>
          <w:rFonts w:ascii="Arial" w:hAnsi="Arial" w:cs="Arial"/>
          <w:sz w:val="18"/>
          <w:szCs w:val="18"/>
          <w:vertAlign w:val="superscript"/>
        </w:rPr>
        <w:t>c</w:t>
      </w:r>
      <w:proofErr w:type="gramEnd"/>
      <w:r w:rsidRPr="00AB08C5">
        <w:rPr>
          <w:rFonts w:ascii="Arial" w:hAnsi="Arial" w:cs="Arial"/>
          <w:sz w:val="18"/>
          <w:szCs w:val="18"/>
        </w:rPr>
        <w:t xml:space="preserve"> </w:t>
      </w:r>
      <w:r w:rsidRPr="0088685E">
        <w:rPr>
          <w:rFonts w:ascii="Arial" w:hAnsi="Arial" w:cs="Arial"/>
          <w:sz w:val="18"/>
          <w:szCs w:val="18"/>
        </w:rPr>
        <w:t xml:space="preserve">Defined as </w:t>
      </w:r>
      <w:r w:rsidRPr="0088685E">
        <w:rPr>
          <w:rFonts w:ascii="Arial" w:hAnsi="Arial" w:cs="Arial" w:hint="eastAsia"/>
          <w:sz w:val="18"/>
          <w:szCs w:val="18"/>
        </w:rPr>
        <w:t>≥</w:t>
      </w:r>
      <w:r w:rsidRPr="0088685E">
        <w:rPr>
          <w:rFonts w:ascii="Arial" w:hAnsi="Arial" w:cs="Arial"/>
          <w:sz w:val="18"/>
          <w:szCs w:val="18"/>
        </w:rPr>
        <w:t xml:space="preserve"> 25% increase compared to baseline/nadir.</w:t>
      </w:r>
    </w:p>
    <w:p w:rsidR="0088685E" w:rsidRDefault="0088685E" w:rsidP="00E41021">
      <w:pPr>
        <w:pStyle w:val="BayerTableFootnote"/>
        <w:keepNext/>
        <w:keepLines/>
        <w:spacing w:before="40" w:after="0"/>
        <w:ind w:left="142" w:hanging="142"/>
        <w:rPr>
          <w:rFonts w:ascii="Arial" w:hAnsi="Arial" w:cs="Arial"/>
          <w:sz w:val="18"/>
          <w:szCs w:val="18"/>
        </w:rPr>
      </w:pPr>
      <w:proofErr w:type="gramStart"/>
      <w:r>
        <w:rPr>
          <w:rFonts w:ascii="Arial" w:hAnsi="Arial" w:cs="Arial"/>
          <w:sz w:val="18"/>
          <w:szCs w:val="18"/>
          <w:vertAlign w:val="superscript"/>
        </w:rPr>
        <w:t>d</w:t>
      </w:r>
      <w:proofErr w:type="gramEnd"/>
      <w:r w:rsidRPr="00AB08C5">
        <w:rPr>
          <w:rFonts w:ascii="Arial" w:hAnsi="Arial" w:cs="Arial"/>
          <w:sz w:val="18"/>
          <w:szCs w:val="18"/>
        </w:rPr>
        <w:t xml:space="preserve"> </w:t>
      </w:r>
      <w:r w:rsidRPr="0088685E">
        <w:rPr>
          <w:rFonts w:ascii="Arial" w:hAnsi="Arial" w:cs="Arial"/>
          <w:sz w:val="18"/>
          <w:szCs w:val="18"/>
        </w:rPr>
        <w:t>Defined as a ≥ 25% increase and an increase in absolute value of ≥ 2 ng/mL compared to baseline/nadir.</w:t>
      </w:r>
    </w:p>
    <w:p w:rsidR="007A007C" w:rsidRPr="00AB08C5" w:rsidRDefault="007A007C" w:rsidP="0088685E">
      <w:pPr>
        <w:pStyle w:val="BayerTableFootnote"/>
        <w:spacing w:before="40" w:after="0"/>
        <w:ind w:left="142" w:hanging="142"/>
        <w:rPr>
          <w:rFonts w:ascii="Arial" w:hAnsi="Arial" w:cs="Arial"/>
          <w:sz w:val="18"/>
          <w:szCs w:val="18"/>
        </w:rPr>
      </w:pPr>
      <w:proofErr w:type="gramStart"/>
      <w:r>
        <w:rPr>
          <w:rFonts w:ascii="Arial" w:hAnsi="Arial" w:cs="Arial"/>
          <w:vertAlign w:val="superscript"/>
        </w:rPr>
        <w:t>e</w:t>
      </w:r>
      <w:proofErr w:type="gramEnd"/>
      <w:r w:rsidRPr="00D01072">
        <w:rPr>
          <w:rFonts w:ascii="Arial" w:hAnsi="Arial" w:cs="Arial"/>
        </w:rPr>
        <w:t xml:space="preserve"> </w:t>
      </w:r>
      <w:r w:rsidRPr="00E41021">
        <w:rPr>
          <w:rFonts w:ascii="Arial" w:hAnsi="Arial" w:cs="Arial"/>
          <w:sz w:val="18"/>
          <w:szCs w:val="18"/>
        </w:rPr>
        <w:t xml:space="preserve">Hazard ratio &lt; 1 </w:t>
      </w:r>
      <w:proofErr w:type="spellStart"/>
      <w:r w:rsidRPr="00E41021">
        <w:rPr>
          <w:rFonts w:ascii="Arial" w:hAnsi="Arial" w:cs="Arial"/>
          <w:sz w:val="18"/>
          <w:szCs w:val="18"/>
        </w:rPr>
        <w:t>favours</w:t>
      </w:r>
      <w:proofErr w:type="spellEnd"/>
      <w:r w:rsidRPr="00E41021">
        <w:rPr>
          <w:rFonts w:ascii="Arial" w:hAnsi="Arial" w:cs="Arial"/>
          <w:sz w:val="18"/>
          <w:szCs w:val="18"/>
        </w:rPr>
        <w:t xml:space="preserve"> </w:t>
      </w:r>
      <w:r w:rsidR="002C64B7" w:rsidRPr="00E41021">
        <w:rPr>
          <w:rFonts w:ascii="Arial" w:hAnsi="Arial" w:cs="Arial"/>
          <w:sz w:val="18"/>
          <w:szCs w:val="18"/>
        </w:rPr>
        <w:t>XOFIGO</w:t>
      </w:r>
      <w:r w:rsidRPr="00E41021">
        <w:rPr>
          <w:rFonts w:ascii="Arial" w:hAnsi="Arial" w:cs="Arial"/>
          <w:sz w:val="18"/>
          <w:szCs w:val="18"/>
        </w:rPr>
        <w:t>.</w:t>
      </w:r>
    </w:p>
    <w:p w:rsidR="00AB08C5" w:rsidRPr="00AB08C5" w:rsidRDefault="00AB08C5" w:rsidP="007D60EF">
      <w:pPr>
        <w:pStyle w:val="Caption"/>
        <w:spacing w:before="0"/>
        <w:ind w:left="0"/>
        <w:rPr>
          <w:rFonts w:ascii="Arial" w:hAnsi="Arial" w:cs="Arial"/>
          <w:sz w:val="20"/>
        </w:rPr>
      </w:pPr>
      <w:bookmarkStart w:id="5" w:name="table3"/>
    </w:p>
    <w:bookmarkEnd w:id="5"/>
    <w:p w:rsidR="00D60B3F" w:rsidRDefault="00D60B3F" w:rsidP="00D623F3">
      <w:pPr>
        <w:pStyle w:val="BayerBodyTextFull"/>
        <w:keepLines/>
        <w:spacing w:before="0" w:after="0"/>
        <w:jc w:val="both"/>
        <w:rPr>
          <w:rFonts w:ascii="Arial" w:hAnsi="Arial" w:cs="Arial"/>
          <w:sz w:val="22"/>
          <w:szCs w:val="22"/>
        </w:rPr>
      </w:pPr>
      <w:r w:rsidRPr="00D60B3F">
        <w:rPr>
          <w:rFonts w:ascii="Arial" w:hAnsi="Arial" w:cs="Arial"/>
          <w:sz w:val="22"/>
          <w:szCs w:val="22"/>
        </w:rPr>
        <w:t xml:space="preserve">Treatment with </w:t>
      </w:r>
      <w:r w:rsidRPr="007E1D5F">
        <w:rPr>
          <w:rFonts w:ascii="Arial" w:hAnsi="Arial" w:cs="Arial"/>
          <w:caps/>
          <w:sz w:val="22"/>
          <w:szCs w:val="22"/>
        </w:rPr>
        <w:t>Xofigo</w:t>
      </w:r>
      <w:r w:rsidRPr="00D60B3F">
        <w:rPr>
          <w:rFonts w:ascii="Arial" w:hAnsi="Arial" w:cs="Arial"/>
          <w:sz w:val="22"/>
          <w:szCs w:val="22"/>
        </w:rPr>
        <w:t xml:space="preserve"> was superior to placebo in prolonging the time to total ALP progression (</w:t>
      </w:r>
      <w:r w:rsidRPr="00D60B3F">
        <w:rPr>
          <w:rStyle w:val="BayerBodyTextFullZchn"/>
          <w:rFonts w:ascii="Arial" w:hAnsi="Arial" w:cs="Arial"/>
          <w:sz w:val="22"/>
          <w:szCs w:val="22"/>
        </w:rPr>
        <w:t>defined as ≥ 25% increase compared to baseline/nadir)</w:t>
      </w:r>
      <w:r w:rsidR="00A12ED8">
        <w:rPr>
          <w:rStyle w:val="BayerBodyTextFullZchn"/>
          <w:rFonts w:ascii="Arial" w:hAnsi="Arial" w:cs="Arial"/>
          <w:sz w:val="22"/>
          <w:szCs w:val="22"/>
        </w:rPr>
        <w:t xml:space="preserve">. </w:t>
      </w:r>
      <w:r w:rsidRPr="00D60B3F">
        <w:rPr>
          <w:rFonts w:ascii="Arial" w:hAnsi="Arial" w:cs="Arial"/>
          <w:sz w:val="22"/>
          <w:szCs w:val="22"/>
        </w:rPr>
        <w:t xml:space="preserve"> </w:t>
      </w:r>
      <w:r w:rsidR="00A12ED8" w:rsidRPr="00D60B3F">
        <w:rPr>
          <w:rFonts w:ascii="Arial" w:hAnsi="Arial" w:cs="Arial"/>
          <w:sz w:val="22"/>
          <w:szCs w:val="22"/>
        </w:rPr>
        <w:t xml:space="preserve">Time </w:t>
      </w:r>
      <w:r w:rsidR="00A12ED8" w:rsidRPr="00D60B3F">
        <w:rPr>
          <w:rStyle w:val="BayerBodyTextFullChar"/>
          <w:rFonts w:ascii="Arial" w:hAnsi="Arial" w:cs="Arial"/>
          <w:sz w:val="22"/>
          <w:szCs w:val="22"/>
        </w:rPr>
        <w:t>to PSA progression (</w:t>
      </w:r>
      <w:r w:rsidR="00A12ED8" w:rsidRPr="00D60B3F">
        <w:rPr>
          <w:rStyle w:val="BayerBodyTextFullZchn"/>
          <w:rFonts w:ascii="Arial" w:hAnsi="Arial" w:cs="Arial"/>
          <w:sz w:val="22"/>
          <w:szCs w:val="22"/>
        </w:rPr>
        <w:t>defined as a ≥ 25% increase and an increase in absolute value of ≥ 2 ng/mL compared to baseline/nadir</w:t>
      </w:r>
      <w:r w:rsidR="00A12ED8" w:rsidRPr="00D60B3F">
        <w:rPr>
          <w:rStyle w:val="BayerBodyTextFullChar"/>
          <w:rFonts w:ascii="Arial" w:hAnsi="Arial" w:cs="Arial"/>
          <w:sz w:val="22"/>
          <w:szCs w:val="22"/>
        </w:rPr>
        <w:t xml:space="preserve">) was also significantly </w:t>
      </w:r>
      <w:r w:rsidR="00A12ED8" w:rsidRPr="00D60B3F">
        <w:rPr>
          <w:rFonts w:ascii="Arial" w:hAnsi="Arial" w:cs="Arial"/>
          <w:sz w:val="22"/>
          <w:szCs w:val="22"/>
        </w:rPr>
        <w:t xml:space="preserve">prolonged in patients receiving </w:t>
      </w:r>
      <w:r w:rsidR="00D600E1" w:rsidRPr="00D60B3F">
        <w:rPr>
          <w:rFonts w:ascii="Arial" w:hAnsi="Arial" w:cs="Arial"/>
          <w:sz w:val="22"/>
          <w:szCs w:val="22"/>
        </w:rPr>
        <w:t>XOFIGO</w:t>
      </w:r>
      <w:r w:rsidR="00A12ED8" w:rsidRPr="00D60B3F">
        <w:rPr>
          <w:rFonts w:ascii="Arial" w:hAnsi="Arial" w:cs="Arial"/>
          <w:sz w:val="22"/>
          <w:szCs w:val="22"/>
        </w:rPr>
        <w:t xml:space="preserve"> compared to patients receiving placebo</w:t>
      </w:r>
      <w:r w:rsidR="00A12ED8" w:rsidRPr="00D60B3F">
        <w:rPr>
          <w:rStyle w:val="BayerBodyTextFullChar"/>
          <w:rFonts w:ascii="Arial" w:hAnsi="Arial" w:cs="Arial"/>
          <w:sz w:val="22"/>
          <w:szCs w:val="22"/>
        </w:rPr>
        <w:t xml:space="preserve"> </w:t>
      </w:r>
      <w:r w:rsidRPr="00D60B3F">
        <w:rPr>
          <w:rFonts w:ascii="Arial" w:hAnsi="Arial" w:cs="Arial"/>
          <w:sz w:val="22"/>
          <w:szCs w:val="22"/>
        </w:rPr>
        <w:t>(</w:t>
      </w:r>
      <w:r w:rsidR="00A12ED8" w:rsidRPr="002108E3">
        <w:rPr>
          <w:rFonts w:ascii="Arial" w:hAnsi="Arial" w:cs="Arial"/>
          <w:sz w:val="22"/>
          <w:szCs w:val="22"/>
        </w:rPr>
        <w:t>see Table</w:t>
      </w:r>
      <w:r w:rsidR="00D600E1" w:rsidRPr="002108E3">
        <w:rPr>
          <w:rFonts w:ascii="Arial" w:hAnsi="Arial" w:cs="Arial"/>
          <w:sz w:val="22"/>
          <w:szCs w:val="22"/>
        </w:rPr>
        <w:t> </w:t>
      </w:r>
      <w:r w:rsidR="0088685E" w:rsidRPr="002108E3">
        <w:rPr>
          <w:rFonts w:ascii="Arial" w:hAnsi="Arial" w:cs="Arial"/>
          <w:sz w:val="22"/>
          <w:szCs w:val="22"/>
        </w:rPr>
        <w:t>2</w:t>
      </w:r>
      <w:r w:rsidR="00A12ED8" w:rsidRPr="003A5752">
        <w:rPr>
          <w:rFonts w:ascii="Arial" w:hAnsi="Arial" w:cs="Arial"/>
          <w:sz w:val="22"/>
          <w:szCs w:val="22"/>
        </w:rPr>
        <w:t>)</w:t>
      </w:r>
      <w:r w:rsidR="00A12ED8">
        <w:rPr>
          <w:rFonts w:ascii="Arial" w:hAnsi="Arial" w:cs="Arial"/>
          <w:sz w:val="22"/>
          <w:szCs w:val="22"/>
        </w:rPr>
        <w:t>.</w:t>
      </w:r>
      <w:r w:rsidRPr="00D60B3F">
        <w:rPr>
          <w:rFonts w:ascii="Arial" w:hAnsi="Arial" w:cs="Arial"/>
          <w:sz w:val="22"/>
          <w:szCs w:val="22"/>
        </w:rPr>
        <w:t xml:space="preserve"> </w:t>
      </w:r>
    </w:p>
    <w:p w:rsidR="00D60B3F" w:rsidRDefault="00D60B3F" w:rsidP="00D60B3F">
      <w:pPr>
        <w:spacing w:after="0" w:line="240" w:lineRule="auto"/>
        <w:rPr>
          <w:rFonts w:ascii="Arial" w:hAnsi="Arial" w:cs="Arial"/>
          <w:lang w:val="en-US"/>
        </w:rPr>
      </w:pPr>
    </w:p>
    <w:p w:rsidR="00246D8C" w:rsidRDefault="00BE74EB" w:rsidP="007E1D5F">
      <w:pPr>
        <w:pStyle w:val="BayerBodyTextFull"/>
        <w:spacing w:before="0" w:after="0"/>
        <w:jc w:val="both"/>
        <w:rPr>
          <w:rFonts w:ascii="Arial" w:hAnsi="Arial" w:cs="Arial"/>
          <w:sz w:val="22"/>
          <w:szCs w:val="22"/>
        </w:rPr>
      </w:pPr>
      <w:r w:rsidRPr="00D60B3F">
        <w:rPr>
          <w:rFonts w:ascii="Arial" w:hAnsi="Arial" w:cs="Arial"/>
          <w:sz w:val="22"/>
          <w:szCs w:val="22"/>
        </w:rPr>
        <w:t xml:space="preserve">A higher percentage of patients in the </w:t>
      </w:r>
      <w:r w:rsidRPr="007E1D5F">
        <w:rPr>
          <w:rFonts w:ascii="Arial" w:hAnsi="Arial" w:cs="Arial"/>
          <w:caps/>
          <w:sz w:val="22"/>
          <w:szCs w:val="22"/>
        </w:rPr>
        <w:t>Xofigo</w:t>
      </w:r>
      <w:r w:rsidRPr="00D60B3F">
        <w:rPr>
          <w:rFonts w:ascii="Arial" w:hAnsi="Arial" w:cs="Arial"/>
          <w:sz w:val="22"/>
          <w:szCs w:val="22"/>
        </w:rPr>
        <w:t xml:space="preserve"> group achieved total ALP response</w:t>
      </w:r>
      <w:r w:rsidR="00246D8C">
        <w:rPr>
          <w:rFonts w:ascii="Arial" w:hAnsi="Arial" w:cs="Arial"/>
          <w:sz w:val="22"/>
          <w:szCs w:val="22"/>
        </w:rPr>
        <w:t xml:space="preserve"> (confirmed ≥ 30% reduction compared to baseline) at week 12 compared to the placebo group (</w:t>
      </w:r>
      <w:r w:rsidR="00246D8C" w:rsidRPr="00246D8C">
        <w:rPr>
          <w:rFonts w:ascii="Arial" w:hAnsi="Arial" w:cs="Arial"/>
          <w:sz w:val="22"/>
          <w:szCs w:val="22"/>
        </w:rPr>
        <w:t>Interim analysis: 46.2% in the XOFIGO group, 2.5% in the placebo group, p &lt; 0.001).</w:t>
      </w:r>
    </w:p>
    <w:p w:rsidR="00246D8C" w:rsidRDefault="00246D8C" w:rsidP="007E1D5F">
      <w:pPr>
        <w:pStyle w:val="BayerBodyTextFull"/>
        <w:spacing w:before="0" w:after="0"/>
        <w:jc w:val="both"/>
        <w:rPr>
          <w:rFonts w:ascii="Arial" w:hAnsi="Arial" w:cs="Arial"/>
          <w:sz w:val="22"/>
          <w:szCs w:val="22"/>
        </w:rPr>
      </w:pPr>
    </w:p>
    <w:p w:rsidR="00BE74EB" w:rsidRPr="00D60B3F" w:rsidRDefault="00246D8C" w:rsidP="007E1D5F">
      <w:pPr>
        <w:pStyle w:val="BayerBodyTextFull"/>
        <w:spacing w:before="0" w:after="0"/>
        <w:jc w:val="both"/>
        <w:rPr>
          <w:rFonts w:ascii="Arial" w:hAnsi="Arial" w:cs="Arial"/>
          <w:sz w:val="22"/>
          <w:szCs w:val="22"/>
        </w:rPr>
      </w:pPr>
      <w:r w:rsidRPr="00246D8C">
        <w:rPr>
          <w:rFonts w:ascii="Arial" w:hAnsi="Arial" w:cs="Arial"/>
          <w:sz w:val="22"/>
          <w:szCs w:val="22"/>
        </w:rPr>
        <w:t xml:space="preserve">A higher percentage of patients in the XOFIGO group reached </w:t>
      </w:r>
      <w:r w:rsidR="00BE74EB" w:rsidRPr="00D60B3F">
        <w:rPr>
          <w:rFonts w:ascii="Arial" w:hAnsi="Arial" w:cs="Arial"/>
          <w:sz w:val="22"/>
          <w:szCs w:val="22"/>
        </w:rPr>
        <w:t xml:space="preserve">total ALP </w:t>
      </w:r>
      <w:proofErr w:type="spellStart"/>
      <w:r w:rsidR="00F76745">
        <w:rPr>
          <w:rFonts w:ascii="Arial" w:hAnsi="Arial" w:cs="Arial"/>
          <w:sz w:val="22"/>
          <w:szCs w:val="22"/>
        </w:rPr>
        <w:t>normalisation</w:t>
      </w:r>
      <w:proofErr w:type="spellEnd"/>
      <w:r w:rsidR="00F76745">
        <w:rPr>
          <w:rFonts w:ascii="Arial" w:hAnsi="Arial" w:cs="Arial"/>
          <w:sz w:val="22"/>
          <w:szCs w:val="22"/>
        </w:rPr>
        <w:t xml:space="preserve"> </w:t>
      </w:r>
      <w:r w:rsidRPr="00246D8C">
        <w:rPr>
          <w:rFonts w:ascii="Arial" w:hAnsi="Arial" w:cs="Arial"/>
          <w:sz w:val="22"/>
          <w:szCs w:val="22"/>
        </w:rPr>
        <w:t xml:space="preserve">(defined as return of total ALP value to within normal range) </w:t>
      </w:r>
      <w:r w:rsidR="00F76745">
        <w:rPr>
          <w:rFonts w:ascii="Arial" w:hAnsi="Arial" w:cs="Arial"/>
          <w:sz w:val="22"/>
          <w:szCs w:val="22"/>
        </w:rPr>
        <w:t>at week 12 compared to the placebo group</w:t>
      </w:r>
      <w:r w:rsidR="00300B7F">
        <w:rPr>
          <w:rFonts w:ascii="Arial" w:hAnsi="Arial" w:cs="Arial"/>
          <w:sz w:val="22"/>
          <w:szCs w:val="22"/>
        </w:rPr>
        <w:t xml:space="preserve"> </w:t>
      </w:r>
      <w:r w:rsidR="00300B7F" w:rsidRPr="00300B7F">
        <w:rPr>
          <w:rFonts w:ascii="Arial" w:hAnsi="Arial" w:cs="Arial"/>
          <w:sz w:val="22"/>
          <w:szCs w:val="22"/>
        </w:rPr>
        <w:t>(Interim analysis: 32.9% in the XOFIGO group, 0.9% in the placebo group, p</w:t>
      </w:r>
      <w:r w:rsidR="00300B7F">
        <w:rPr>
          <w:rFonts w:ascii="Arial" w:hAnsi="Arial" w:cs="Arial"/>
          <w:sz w:val="22"/>
          <w:szCs w:val="22"/>
        </w:rPr>
        <w:t> </w:t>
      </w:r>
      <w:r w:rsidR="00300B7F" w:rsidRPr="00300B7F">
        <w:rPr>
          <w:rFonts w:ascii="Arial" w:hAnsi="Arial" w:cs="Arial"/>
          <w:sz w:val="22"/>
          <w:szCs w:val="22"/>
        </w:rPr>
        <w:t>&lt; 0.001</w:t>
      </w:r>
      <w:r w:rsidR="003A5752">
        <w:rPr>
          <w:rFonts w:ascii="Arial" w:hAnsi="Arial" w:cs="Arial"/>
          <w:sz w:val="22"/>
          <w:szCs w:val="22"/>
        </w:rPr>
        <w:t>)</w:t>
      </w:r>
      <w:r w:rsidR="00BE74EB">
        <w:rPr>
          <w:rFonts w:ascii="Arial" w:hAnsi="Arial" w:cs="Arial"/>
          <w:sz w:val="22"/>
          <w:szCs w:val="22"/>
        </w:rPr>
        <w:t>.</w:t>
      </w:r>
    </w:p>
    <w:p w:rsidR="00306E61" w:rsidRDefault="00306E61" w:rsidP="00A12ED8">
      <w:pPr>
        <w:spacing w:after="0" w:line="240" w:lineRule="auto"/>
        <w:rPr>
          <w:rFonts w:ascii="Arial" w:hAnsi="Arial" w:cs="Arial"/>
          <w:sz w:val="24"/>
          <w:szCs w:val="24"/>
          <w:lang w:val="en-US"/>
        </w:rPr>
      </w:pPr>
    </w:p>
    <w:p w:rsidR="00512E04" w:rsidRDefault="00512E04" w:rsidP="002352CB">
      <w:pPr>
        <w:pStyle w:val="PIHeading2"/>
        <w:outlineLvl w:val="1"/>
      </w:pPr>
      <w:r w:rsidRPr="00512E04">
        <w:t>Quality of life</w:t>
      </w:r>
    </w:p>
    <w:p w:rsidR="00512E04" w:rsidRPr="00512E04" w:rsidRDefault="00512E04" w:rsidP="008C23B6">
      <w:pPr>
        <w:pStyle w:val="PIHeading2"/>
      </w:pPr>
    </w:p>
    <w:p w:rsidR="00512E04" w:rsidRPr="00512E04" w:rsidRDefault="00512E04" w:rsidP="007E1D5F">
      <w:pPr>
        <w:pStyle w:val="BayerBodyTextFull"/>
        <w:spacing w:before="0" w:after="0"/>
        <w:jc w:val="both"/>
        <w:rPr>
          <w:rFonts w:ascii="Arial" w:hAnsi="Arial" w:cs="Arial"/>
          <w:sz w:val="22"/>
          <w:szCs w:val="22"/>
        </w:rPr>
      </w:pPr>
      <w:r w:rsidRPr="00512E04">
        <w:rPr>
          <w:rFonts w:ascii="Arial" w:hAnsi="Arial" w:cs="Arial"/>
          <w:sz w:val="22"/>
          <w:szCs w:val="22"/>
        </w:rPr>
        <w:t>Health Related Quality of Life (HRQOL) was assessed in the phase III ALSYMPCA study using specific questionnaires: the EQ-5D (generic instrument) and the FACT-P (prostate cancer specific instrument).</w:t>
      </w:r>
      <w:r>
        <w:rPr>
          <w:rFonts w:ascii="Arial" w:hAnsi="Arial" w:cs="Arial"/>
          <w:sz w:val="22"/>
          <w:szCs w:val="22"/>
        </w:rPr>
        <w:t xml:space="preserve"> </w:t>
      </w:r>
      <w:r w:rsidRPr="00512E04">
        <w:rPr>
          <w:rFonts w:ascii="Arial" w:hAnsi="Arial" w:cs="Arial"/>
          <w:sz w:val="22"/>
          <w:szCs w:val="22"/>
        </w:rPr>
        <w:t xml:space="preserve"> Results from the EQ-5D analysis showed that </w:t>
      </w:r>
      <w:r w:rsidRPr="007E1D5F">
        <w:rPr>
          <w:rFonts w:ascii="Arial" w:hAnsi="Arial" w:cs="Arial"/>
          <w:caps/>
          <w:sz w:val="22"/>
          <w:szCs w:val="22"/>
        </w:rPr>
        <w:t>Xofigo</w:t>
      </w:r>
      <w:r w:rsidRPr="00512E04">
        <w:rPr>
          <w:rFonts w:ascii="Arial" w:hAnsi="Arial" w:cs="Arial"/>
          <w:sz w:val="22"/>
          <w:szCs w:val="22"/>
        </w:rPr>
        <w:t xml:space="preserve"> had greater HRQOL benefits over the course of the trial as measured by the utility index (</w:t>
      </w:r>
      <w:r w:rsidRPr="00512E04">
        <w:rPr>
          <w:rFonts w:ascii="Arial" w:hAnsi="Arial" w:cs="Arial"/>
          <w:sz w:val="22"/>
          <w:szCs w:val="22"/>
        </w:rPr>
        <w:noBreakHyphen/>
        <w:t xml:space="preserve">0.101 versus </w:t>
      </w:r>
      <w:r w:rsidRPr="00512E04">
        <w:rPr>
          <w:rFonts w:ascii="Arial" w:hAnsi="Arial" w:cs="Arial"/>
          <w:sz w:val="22"/>
          <w:szCs w:val="22"/>
        </w:rPr>
        <w:noBreakHyphen/>
        <w:t>0.161, p = 0.002) and self-reported Visual Analogue health status scores (</w:t>
      </w:r>
      <w:r w:rsidRPr="00512E04">
        <w:rPr>
          <w:rFonts w:ascii="Arial" w:hAnsi="Arial" w:cs="Arial"/>
          <w:sz w:val="22"/>
          <w:szCs w:val="22"/>
        </w:rPr>
        <w:noBreakHyphen/>
        <w:t xml:space="preserve">5.225 versus </w:t>
      </w:r>
      <w:r w:rsidRPr="00512E04">
        <w:rPr>
          <w:rFonts w:ascii="Arial" w:hAnsi="Arial" w:cs="Arial"/>
          <w:sz w:val="22"/>
          <w:szCs w:val="22"/>
        </w:rPr>
        <w:noBreakHyphen/>
        <w:t xml:space="preserve">8.516, p = 0.008) compared to placebo. </w:t>
      </w:r>
      <w:r>
        <w:rPr>
          <w:rFonts w:ascii="Arial" w:hAnsi="Arial" w:cs="Arial"/>
          <w:sz w:val="22"/>
          <w:szCs w:val="22"/>
        </w:rPr>
        <w:t xml:space="preserve"> </w:t>
      </w:r>
      <w:r w:rsidRPr="00512E04">
        <w:rPr>
          <w:rFonts w:ascii="Arial" w:hAnsi="Arial" w:cs="Arial"/>
          <w:sz w:val="22"/>
          <w:szCs w:val="22"/>
        </w:rPr>
        <w:t>The FACT-P analyses demonstrated that</w:t>
      </w:r>
      <w:r w:rsidR="00274C20">
        <w:rPr>
          <w:rFonts w:ascii="Arial" w:hAnsi="Arial" w:cs="Arial"/>
          <w:sz w:val="22"/>
          <w:szCs w:val="22"/>
        </w:rPr>
        <w:t>,</w:t>
      </w:r>
      <w:r w:rsidRPr="00512E04">
        <w:rPr>
          <w:rFonts w:ascii="Arial" w:hAnsi="Arial" w:cs="Arial"/>
          <w:sz w:val="22"/>
          <w:szCs w:val="22"/>
        </w:rPr>
        <w:t xml:space="preserve"> </w:t>
      </w:r>
      <w:r w:rsidR="00274C20" w:rsidRPr="00512E04">
        <w:rPr>
          <w:rFonts w:ascii="Arial" w:hAnsi="Arial" w:cs="Arial"/>
          <w:sz w:val="22"/>
          <w:szCs w:val="22"/>
        </w:rPr>
        <w:t xml:space="preserve">relative to placebo </w:t>
      </w:r>
      <w:r w:rsidRPr="00512E04">
        <w:rPr>
          <w:rFonts w:ascii="Arial" w:hAnsi="Arial" w:cs="Arial"/>
          <w:sz w:val="22"/>
          <w:szCs w:val="22"/>
        </w:rPr>
        <w:t xml:space="preserve">over the course of the trial, </w:t>
      </w:r>
      <w:r w:rsidRPr="007E1D5F">
        <w:rPr>
          <w:rFonts w:ascii="Arial" w:hAnsi="Arial" w:cs="Arial"/>
          <w:caps/>
          <w:sz w:val="22"/>
          <w:szCs w:val="22"/>
        </w:rPr>
        <w:t>Xofigo</w:t>
      </w:r>
      <w:r w:rsidRPr="00512E04">
        <w:rPr>
          <w:rFonts w:ascii="Arial" w:hAnsi="Arial" w:cs="Arial"/>
          <w:sz w:val="22"/>
          <w:szCs w:val="22"/>
        </w:rPr>
        <w:t xml:space="preserve"> was associated with significantly greater HRQOL </w:t>
      </w:r>
      <w:r w:rsidRPr="00512E04">
        <w:rPr>
          <w:rFonts w:ascii="Arial" w:hAnsi="Arial" w:cs="Arial"/>
          <w:iCs/>
          <w:sz w:val="22"/>
          <w:szCs w:val="22"/>
        </w:rPr>
        <w:t>as measured by the FACT-P total score (</w:t>
      </w:r>
      <w:r w:rsidRPr="00512E04">
        <w:rPr>
          <w:rFonts w:ascii="Arial" w:hAnsi="Arial" w:cs="Arial"/>
          <w:sz w:val="22"/>
          <w:szCs w:val="22"/>
        </w:rPr>
        <w:t xml:space="preserve">-4.828 versus -8.689, </w:t>
      </w:r>
      <w:r w:rsidRPr="00512E04">
        <w:rPr>
          <w:rFonts w:ascii="Arial" w:hAnsi="Arial" w:cs="Arial"/>
          <w:iCs/>
          <w:sz w:val="22"/>
          <w:szCs w:val="22"/>
        </w:rPr>
        <w:t xml:space="preserve">p = 0.004). </w:t>
      </w:r>
      <w:r>
        <w:rPr>
          <w:rFonts w:ascii="Arial" w:hAnsi="Arial" w:cs="Arial"/>
          <w:iCs/>
          <w:sz w:val="22"/>
          <w:szCs w:val="22"/>
        </w:rPr>
        <w:t xml:space="preserve"> </w:t>
      </w:r>
      <w:r w:rsidRPr="00512E04">
        <w:rPr>
          <w:rFonts w:ascii="Arial" w:hAnsi="Arial" w:cs="Arial"/>
          <w:iCs/>
          <w:sz w:val="22"/>
          <w:szCs w:val="22"/>
        </w:rPr>
        <w:t xml:space="preserve">Visit-specific analysis showed that at week 16 there was improvement in the FACT-P </w:t>
      </w:r>
      <w:r w:rsidRPr="00512E04">
        <w:rPr>
          <w:rFonts w:ascii="Arial" w:hAnsi="Arial" w:cs="Arial"/>
          <w:sz w:val="22"/>
          <w:szCs w:val="22"/>
        </w:rPr>
        <w:t>total score (p</w:t>
      </w:r>
      <w:r w:rsidR="00274C20">
        <w:rPr>
          <w:rFonts w:ascii="Arial" w:hAnsi="Arial" w:cs="Arial"/>
          <w:sz w:val="22"/>
          <w:szCs w:val="22"/>
        </w:rPr>
        <w:t> </w:t>
      </w:r>
      <w:r w:rsidRPr="00512E04">
        <w:rPr>
          <w:rFonts w:ascii="Arial" w:hAnsi="Arial" w:cs="Arial"/>
          <w:sz w:val="22"/>
          <w:szCs w:val="22"/>
        </w:rPr>
        <w:t>=</w:t>
      </w:r>
      <w:r w:rsidR="00274C20">
        <w:rPr>
          <w:rFonts w:ascii="Arial" w:hAnsi="Arial" w:cs="Arial"/>
          <w:sz w:val="22"/>
          <w:szCs w:val="22"/>
        </w:rPr>
        <w:t> </w:t>
      </w:r>
      <w:r w:rsidRPr="00512E04">
        <w:rPr>
          <w:rFonts w:ascii="Arial" w:hAnsi="Arial" w:cs="Arial"/>
          <w:sz w:val="22"/>
          <w:szCs w:val="22"/>
        </w:rPr>
        <w:t>0.006),</w:t>
      </w:r>
      <w:r w:rsidRPr="00512E04">
        <w:rPr>
          <w:rFonts w:ascii="Arial" w:hAnsi="Arial" w:cs="Arial"/>
          <w:iCs/>
          <w:sz w:val="22"/>
          <w:szCs w:val="22"/>
        </w:rPr>
        <w:t xml:space="preserve"> Trial Outcome Index score (p = 0.012), FACT-G score (p = 0.004), </w:t>
      </w:r>
      <w:r w:rsidRPr="00512E04">
        <w:rPr>
          <w:rFonts w:ascii="Arial" w:hAnsi="Arial" w:cs="Arial"/>
          <w:sz w:val="22"/>
          <w:szCs w:val="22"/>
        </w:rPr>
        <w:t xml:space="preserve">emotional well-being (p &lt; 0.001), functional well-being (p = 0.012) and prostate cancer subscale (p = 0.012). </w:t>
      </w:r>
      <w:r>
        <w:rPr>
          <w:rFonts w:ascii="Arial" w:hAnsi="Arial" w:cs="Arial"/>
          <w:sz w:val="22"/>
          <w:szCs w:val="22"/>
        </w:rPr>
        <w:t xml:space="preserve"> </w:t>
      </w:r>
      <w:r w:rsidRPr="00512E04">
        <w:rPr>
          <w:rFonts w:ascii="Arial" w:hAnsi="Arial" w:cs="Arial"/>
          <w:sz w:val="22"/>
          <w:szCs w:val="22"/>
        </w:rPr>
        <w:t xml:space="preserve">All patients received best standard of care. </w:t>
      </w:r>
    </w:p>
    <w:p w:rsidR="00512E04" w:rsidRPr="00512E04" w:rsidRDefault="00512E04" w:rsidP="00512E04">
      <w:pPr>
        <w:pStyle w:val="BayerBodyTextFull"/>
        <w:spacing w:before="0" w:after="0"/>
        <w:rPr>
          <w:rFonts w:ascii="Arial" w:hAnsi="Arial" w:cs="Arial"/>
          <w:sz w:val="22"/>
          <w:szCs w:val="22"/>
        </w:rPr>
      </w:pPr>
    </w:p>
    <w:p w:rsidR="00512E04" w:rsidRDefault="00512E04" w:rsidP="002352CB">
      <w:pPr>
        <w:pStyle w:val="PIHeading2"/>
        <w:outlineLvl w:val="1"/>
      </w:pPr>
      <w:r w:rsidRPr="00512E04">
        <w:t>Pain relief</w:t>
      </w:r>
    </w:p>
    <w:p w:rsidR="00512E04" w:rsidRPr="00512E04" w:rsidRDefault="00512E04" w:rsidP="00512E04">
      <w:pPr>
        <w:pStyle w:val="BayerBodyTextFull"/>
        <w:tabs>
          <w:tab w:val="left" w:pos="5239"/>
        </w:tabs>
        <w:spacing w:before="0" w:after="0"/>
        <w:rPr>
          <w:rFonts w:ascii="Arial" w:hAnsi="Arial" w:cs="Arial"/>
          <w:sz w:val="22"/>
          <w:szCs w:val="22"/>
        </w:rPr>
      </w:pPr>
    </w:p>
    <w:p w:rsidR="00512E04" w:rsidRPr="00512E04" w:rsidRDefault="00512E04" w:rsidP="007E1D5F">
      <w:pPr>
        <w:pStyle w:val="BayerBodyTextFull"/>
        <w:tabs>
          <w:tab w:val="left" w:pos="8037"/>
        </w:tabs>
        <w:spacing w:before="0" w:after="0"/>
        <w:jc w:val="both"/>
        <w:rPr>
          <w:rFonts w:ascii="Arial" w:hAnsi="Arial" w:cs="Arial"/>
          <w:sz w:val="22"/>
          <w:szCs w:val="22"/>
        </w:rPr>
      </w:pPr>
      <w:r w:rsidRPr="00512E04">
        <w:rPr>
          <w:rFonts w:ascii="Arial" w:hAnsi="Arial" w:cs="Arial"/>
          <w:sz w:val="22"/>
          <w:szCs w:val="22"/>
        </w:rPr>
        <w:t xml:space="preserve">The results from the phase III ALSYMPCA study </w:t>
      </w:r>
      <w:r w:rsidR="00274C20">
        <w:rPr>
          <w:rFonts w:ascii="Arial" w:hAnsi="Arial" w:cs="Arial"/>
          <w:sz w:val="22"/>
          <w:szCs w:val="22"/>
        </w:rPr>
        <w:t>(</w:t>
      </w:r>
      <w:r w:rsidRPr="00512E04">
        <w:rPr>
          <w:rFonts w:ascii="Arial" w:hAnsi="Arial" w:cs="Arial"/>
          <w:sz w:val="22"/>
          <w:szCs w:val="22"/>
        </w:rPr>
        <w:t xml:space="preserve">time to </w:t>
      </w:r>
      <w:r w:rsidR="0010050D">
        <w:rPr>
          <w:rFonts w:ascii="Arial" w:hAnsi="Arial" w:cs="Arial"/>
          <w:sz w:val="22"/>
          <w:szCs w:val="22"/>
        </w:rPr>
        <w:t>EBRT</w:t>
      </w:r>
      <w:r w:rsidRPr="00512E04">
        <w:rPr>
          <w:rFonts w:ascii="Arial" w:hAnsi="Arial" w:cs="Arial"/>
          <w:sz w:val="22"/>
          <w:szCs w:val="22"/>
        </w:rPr>
        <w:t xml:space="preserve"> for pain relief and fewer patients reporting bone pain as an adverse event in the </w:t>
      </w:r>
      <w:r w:rsidRPr="007E1D5F">
        <w:rPr>
          <w:rFonts w:ascii="Arial" w:hAnsi="Arial" w:cs="Arial"/>
          <w:caps/>
          <w:sz w:val="22"/>
          <w:szCs w:val="22"/>
        </w:rPr>
        <w:t>Xofigo</w:t>
      </w:r>
      <w:r w:rsidRPr="00512E04">
        <w:rPr>
          <w:rFonts w:ascii="Arial" w:hAnsi="Arial" w:cs="Arial"/>
          <w:sz w:val="22"/>
          <w:szCs w:val="22"/>
        </w:rPr>
        <w:t xml:space="preserve"> group</w:t>
      </w:r>
      <w:r w:rsidR="00274C20">
        <w:rPr>
          <w:rFonts w:ascii="Arial" w:hAnsi="Arial" w:cs="Arial"/>
          <w:sz w:val="22"/>
          <w:szCs w:val="22"/>
        </w:rPr>
        <w:t>)</w:t>
      </w:r>
      <w:r w:rsidRPr="00512E04">
        <w:rPr>
          <w:rFonts w:ascii="Arial" w:hAnsi="Arial" w:cs="Arial"/>
          <w:sz w:val="22"/>
          <w:szCs w:val="22"/>
        </w:rPr>
        <w:t xml:space="preserve"> indicate a positive effect on bone pain. </w:t>
      </w:r>
      <w:r w:rsidR="00274C20">
        <w:rPr>
          <w:rFonts w:ascii="Arial" w:hAnsi="Arial" w:cs="Arial"/>
          <w:sz w:val="22"/>
          <w:szCs w:val="22"/>
        </w:rPr>
        <w:t xml:space="preserve"> </w:t>
      </w:r>
      <w:r w:rsidRPr="00512E04">
        <w:rPr>
          <w:rFonts w:ascii="Arial" w:hAnsi="Arial" w:cs="Arial"/>
          <w:sz w:val="22"/>
          <w:szCs w:val="22"/>
        </w:rPr>
        <w:t xml:space="preserve">This is further supported by the effects seen on bone pain using specific </w:t>
      </w:r>
      <w:r w:rsidR="007876DD">
        <w:rPr>
          <w:rFonts w:ascii="Arial" w:hAnsi="Arial" w:cs="Arial"/>
          <w:sz w:val="22"/>
          <w:szCs w:val="22"/>
        </w:rPr>
        <w:t>pain measures in a single dose p</w:t>
      </w:r>
      <w:r w:rsidRPr="00512E04">
        <w:rPr>
          <w:rFonts w:ascii="Arial" w:hAnsi="Arial" w:cs="Arial"/>
          <w:sz w:val="22"/>
          <w:szCs w:val="22"/>
        </w:rPr>
        <w:t>hase II study.</w:t>
      </w:r>
    </w:p>
    <w:p w:rsidR="00512E04" w:rsidRDefault="00512E04" w:rsidP="008C23B6">
      <w:pPr>
        <w:pStyle w:val="PIHeading2"/>
      </w:pPr>
    </w:p>
    <w:p w:rsidR="00512E04" w:rsidRDefault="00512E04" w:rsidP="002352CB">
      <w:pPr>
        <w:pStyle w:val="PIHeading2"/>
        <w:outlineLvl w:val="1"/>
      </w:pPr>
      <w:r w:rsidRPr="00512E04">
        <w:t>Subsequent use of cytotoxic drugs</w:t>
      </w:r>
    </w:p>
    <w:p w:rsidR="00512E04" w:rsidRPr="00512E04" w:rsidRDefault="00512E04" w:rsidP="008C23B6">
      <w:pPr>
        <w:pStyle w:val="PIHeading2"/>
      </w:pPr>
    </w:p>
    <w:p w:rsidR="00512E04" w:rsidRPr="00512E04" w:rsidRDefault="00512E04" w:rsidP="007E1D5F">
      <w:pPr>
        <w:pStyle w:val="BayerBodyTextFull"/>
        <w:spacing w:before="0" w:after="0"/>
        <w:jc w:val="both"/>
        <w:rPr>
          <w:rFonts w:ascii="Arial" w:hAnsi="Arial" w:cs="Arial"/>
          <w:sz w:val="22"/>
          <w:szCs w:val="22"/>
        </w:rPr>
      </w:pPr>
      <w:r w:rsidRPr="00512E04">
        <w:rPr>
          <w:rFonts w:ascii="Arial" w:hAnsi="Arial" w:cs="Arial"/>
          <w:sz w:val="22"/>
          <w:szCs w:val="22"/>
        </w:rPr>
        <w:t>In the course of the</w:t>
      </w:r>
      <w:r w:rsidR="00D600E1">
        <w:rPr>
          <w:rFonts w:ascii="Arial" w:hAnsi="Arial" w:cs="Arial"/>
          <w:sz w:val="22"/>
          <w:szCs w:val="22"/>
        </w:rPr>
        <w:t xml:space="preserve"> 2:1 </w:t>
      </w:r>
      <w:proofErr w:type="spellStart"/>
      <w:r w:rsidR="00D600E1">
        <w:rPr>
          <w:rFonts w:ascii="Arial" w:hAnsi="Arial" w:cs="Arial"/>
          <w:sz w:val="22"/>
          <w:szCs w:val="22"/>
        </w:rPr>
        <w:t>randomised</w:t>
      </w:r>
      <w:proofErr w:type="spellEnd"/>
      <w:r w:rsidRPr="00512E04">
        <w:rPr>
          <w:rFonts w:ascii="Arial" w:hAnsi="Arial" w:cs="Arial"/>
          <w:sz w:val="22"/>
          <w:szCs w:val="22"/>
        </w:rPr>
        <w:t xml:space="preserve"> ALSYMPCA study, 93 </w:t>
      </w:r>
      <w:r w:rsidR="00D600E1">
        <w:rPr>
          <w:rFonts w:ascii="Arial" w:hAnsi="Arial" w:cs="Arial"/>
          <w:sz w:val="22"/>
          <w:szCs w:val="22"/>
        </w:rPr>
        <w:t>(1</w:t>
      </w:r>
      <w:r w:rsidR="00634F7D">
        <w:rPr>
          <w:rFonts w:ascii="Arial" w:hAnsi="Arial" w:cs="Arial"/>
          <w:sz w:val="22"/>
          <w:szCs w:val="22"/>
        </w:rPr>
        <w:t>5.5</w:t>
      </w:r>
      <w:r w:rsidR="00D600E1">
        <w:rPr>
          <w:rFonts w:ascii="Arial" w:hAnsi="Arial" w:cs="Arial"/>
          <w:sz w:val="22"/>
          <w:szCs w:val="22"/>
        </w:rPr>
        <w:t xml:space="preserve">%) </w:t>
      </w:r>
      <w:r w:rsidRPr="00512E04">
        <w:rPr>
          <w:rFonts w:ascii="Arial" w:hAnsi="Arial" w:cs="Arial"/>
          <w:sz w:val="22"/>
          <w:szCs w:val="22"/>
        </w:rPr>
        <w:t xml:space="preserve">patients in the </w:t>
      </w:r>
      <w:r w:rsidRPr="007E1D5F">
        <w:rPr>
          <w:rFonts w:ascii="Arial" w:hAnsi="Arial" w:cs="Arial"/>
          <w:caps/>
          <w:sz w:val="22"/>
          <w:szCs w:val="22"/>
        </w:rPr>
        <w:t>Xofigo</w:t>
      </w:r>
      <w:r w:rsidRPr="00512E04">
        <w:rPr>
          <w:rFonts w:ascii="Arial" w:hAnsi="Arial" w:cs="Arial"/>
          <w:sz w:val="22"/>
          <w:szCs w:val="22"/>
        </w:rPr>
        <w:t xml:space="preserve"> group and 54 </w:t>
      </w:r>
      <w:r w:rsidR="00634F7D">
        <w:rPr>
          <w:rFonts w:ascii="Arial" w:hAnsi="Arial" w:cs="Arial"/>
          <w:sz w:val="22"/>
          <w:szCs w:val="22"/>
        </w:rPr>
        <w:t>(17.9</w:t>
      </w:r>
      <w:r w:rsidR="00D600E1">
        <w:rPr>
          <w:rFonts w:ascii="Arial" w:hAnsi="Arial" w:cs="Arial"/>
          <w:sz w:val="22"/>
          <w:szCs w:val="22"/>
        </w:rPr>
        <w:t xml:space="preserve">%) </w:t>
      </w:r>
      <w:r w:rsidRPr="00512E04">
        <w:rPr>
          <w:rFonts w:ascii="Arial" w:hAnsi="Arial" w:cs="Arial"/>
          <w:sz w:val="22"/>
          <w:szCs w:val="22"/>
        </w:rPr>
        <w:t>patients in the placebo group received cytotoxic chemotherapy at varying times after the last treatment.</w:t>
      </w:r>
      <w:r>
        <w:rPr>
          <w:rFonts w:ascii="Arial" w:hAnsi="Arial" w:cs="Arial"/>
          <w:sz w:val="22"/>
          <w:szCs w:val="22"/>
        </w:rPr>
        <w:t xml:space="preserve"> </w:t>
      </w:r>
      <w:r w:rsidRPr="00512E04">
        <w:rPr>
          <w:rFonts w:ascii="Arial" w:hAnsi="Arial" w:cs="Arial"/>
          <w:sz w:val="22"/>
          <w:szCs w:val="22"/>
        </w:rPr>
        <w:t xml:space="preserve"> No differences in </w:t>
      </w:r>
      <w:proofErr w:type="spellStart"/>
      <w:r w:rsidRPr="00512E04">
        <w:rPr>
          <w:rFonts w:ascii="Arial" w:hAnsi="Arial" w:cs="Arial"/>
          <w:sz w:val="22"/>
          <w:szCs w:val="22"/>
        </w:rPr>
        <w:t>h</w:t>
      </w:r>
      <w:r w:rsidR="0010050D">
        <w:rPr>
          <w:rFonts w:ascii="Arial" w:hAnsi="Arial" w:cs="Arial"/>
          <w:sz w:val="22"/>
          <w:szCs w:val="22"/>
        </w:rPr>
        <w:t>a</w:t>
      </w:r>
      <w:r w:rsidRPr="00512E04">
        <w:rPr>
          <w:rFonts w:ascii="Arial" w:hAnsi="Arial" w:cs="Arial"/>
          <w:sz w:val="22"/>
          <w:szCs w:val="22"/>
        </w:rPr>
        <w:t>ematological</w:t>
      </w:r>
      <w:proofErr w:type="spellEnd"/>
      <w:r w:rsidRPr="00512E04">
        <w:rPr>
          <w:rFonts w:ascii="Arial" w:hAnsi="Arial" w:cs="Arial"/>
          <w:sz w:val="22"/>
          <w:szCs w:val="22"/>
        </w:rPr>
        <w:t xml:space="preserve"> laboratory values were apparent between the two groups.</w:t>
      </w:r>
    </w:p>
    <w:p w:rsidR="00512E04" w:rsidRDefault="00512E04" w:rsidP="00512E04">
      <w:pPr>
        <w:spacing w:after="0" w:line="240" w:lineRule="auto"/>
        <w:rPr>
          <w:rFonts w:ascii="Arial" w:hAnsi="Arial" w:cs="Arial"/>
          <w:lang w:val="en-US"/>
        </w:rPr>
      </w:pPr>
    </w:p>
    <w:p w:rsidR="0050578C" w:rsidRDefault="0050578C" w:rsidP="00512E04">
      <w:pPr>
        <w:spacing w:after="0" w:line="240" w:lineRule="auto"/>
        <w:rPr>
          <w:rFonts w:ascii="Arial" w:hAnsi="Arial" w:cs="Arial"/>
          <w:lang w:val="en-US"/>
        </w:rPr>
      </w:pPr>
    </w:p>
    <w:p w:rsidR="0050578C" w:rsidRDefault="0050578C" w:rsidP="002352CB">
      <w:pPr>
        <w:pStyle w:val="PIHeading1"/>
        <w:outlineLvl w:val="0"/>
        <w:rPr>
          <w:lang w:val="en-US"/>
        </w:rPr>
      </w:pPr>
      <w:r>
        <w:rPr>
          <w:lang w:val="en-US"/>
        </w:rPr>
        <w:t>INDICATIONS</w:t>
      </w:r>
    </w:p>
    <w:p w:rsidR="0050578C" w:rsidRDefault="0050578C" w:rsidP="00512E04">
      <w:pPr>
        <w:spacing w:after="0" w:line="240" w:lineRule="auto"/>
        <w:rPr>
          <w:rFonts w:ascii="Arial" w:hAnsi="Arial" w:cs="Arial"/>
          <w:lang w:val="en-US"/>
        </w:rPr>
      </w:pPr>
    </w:p>
    <w:p w:rsidR="0050578C" w:rsidRDefault="0050578C" w:rsidP="0083018B">
      <w:pPr>
        <w:spacing w:after="0" w:line="240" w:lineRule="auto"/>
        <w:jc w:val="both"/>
        <w:rPr>
          <w:rFonts w:ascii="Arial" w:hAnsi="Arial" w:cs="Arial"/>
          <w:lang w:val="en-US"/>
        </w:rPr>
      </w:pPr>
      <w:r w:rsidRPr="007E1D5F">
        <w:rPr>
          <w:rFonts w:ascii="Arial" w:hAnsi="Arial" w:cs="Arial"/>
          <w:caps/>
          <w:lang w:val="en-US"/>
        </w:rPr>
        <w:t>Xofigo</w:t>
      </w:r>
      <w:r w:rsidRPr="0050578C">
        <w:rPr>
          <w:rFonts w:ascii="Arial" w:hAnsi="Arial" w:cs="Arial"/>
          <w:lang w:val="en-US"/>
        </w:rPr>
        <w:t xml:space="preserve"> is indicated for the treatment of castration-resistant prostate cancer patients with </w:t>
      </w:r>
      <w:r w:rsidR="0083018B">
        <w:rPr>
          <w:rFonts w:ascii="Arial" w:hAnsi="Arial" w:cs="Arial"/>
          <w:lang w:val="en-US"/>
        </w:rPr>
        <w:t xml:space="preserve">symptomatic </w:t>
      </w:r>
      <w:r w:rsidRPr="0050578C">
        <w:rPr>
          <w:rFonts w:ascii="Arial" w:hAnsi="Arial" w:cs="Arial"/>
          <w:lang w:val="en-US"/>
        </w:rPr>
        <w:t>bone metastases</w:t>
      </w:r>
      <w:r w:rsidR="0083018B">
        <w:rPr>
          <w:rFonts w:ascii="Arial" w:hAnsi="Arial" w:cs="Arial"/>
          <w:lang w:val="en-US"/>
        </w:rPr>
        <w:t xml:space="preserve"> and no known visceral metastatic disease</w:t>
      </w:r>
      <w:r>
        <w:rPr>
          <w:rFonts w:ascii="Arial" w:hAnsi="Arial" w:cs="Arial"/>
          <w:lang w:val="en-US"/>
        </w:rPr>
        <w:t>.</w:t>
      </w:r>
    </w:p>
    <w:p w:rsidR="0050578C" w:rsidRDefault="0050578C" w:rsidP="00512E04">
      <w:pPr>
        <w:spacing w:after="0" w:line="240" w:lineRule="auto"/>
        <w:rPr>
          <w:rFonts w:ascii="Arial" w:hAnsi="Arial" w:cs="Arial"/>
          <w:lang w:val="en-US"/>
        </w:rPr>
      </w:pPr>
    </w:p>
    <w:p w:rsidR="0050578C" w:rsidRDefault="0050578C" w:rsidP="00512E04">
      <w:pPr>
        <w:spacing w:after="0" w:line="240" w:lineRule="auto"/>
        <w:rPr>
          <w:rFonts w:ascii="Arial" w:hAnsi="Arial" w:cs="Arial"/>
          <w:lang w:val="en-US"/>
        </w:rPr>
      </w:pPr>
    </w:p>
    <w:p w:rsidR="0050578C" w:rsidRDefault="00DC45BC" w:rsidP="002352CB">
      <w:pPr>
        <w:pStyle w:val="PIHeading1"/>
        <w:outlineLvl w:val="0"/>
        <w:rPr>
          <w:lang w:val="en-US"/>
        </w:rPr>
      </w:pPr>
      <w:r>
        <w:rPr>
          <w:lang w:val="en-US"/>
        </w:rPr>
        <w:t>CONTRAINDICATIONS</w:t>
      </w:r>
    </w:p>
    <w:p w:rsidR="00DC45BC" w:rsidRDefault="00DC45BC" w:rsidP="00512E04">
      <w:pPr>
        <w:spacing w:after="0" w:line="240" w:lineRule="auto"/>
        <w:rPr>
          <w:rFonts w:ascii="Arial" w:hAnsi="Arial" w:cs="Arial"/>
          <w:lang w:val="en-US"/>
        </w:rPr>
      </w:pPr>
    </w:p>
    <w:p w:rsidR="00DC45BC" w:rsidRDefault="00DC45BC" w:rsidP="00512E04">
      <w:pPr>
        <w:spacing w:after="0" w:line="240" w:lineRule="auto"/>
        <w:rPr>
          <w:rFonts w:ascii="Arial" w:hAnsi="Arial" w:cs="Arial"/>
          <w:lang w:val="en-US"/>
        </w:rPr>
      </w:pPr>
      <w:r w:rsidRPr="00DC45BC">
        <w:rPr>
          <w:rFonts w:ascii="Arial" w:hAnsi="Arial" w:cs="Arial"/>
          <w:lang w:val="en-US"/>
        </w:rPr>
        <w:t xml:space="preserve">There are no known contraindications to the use of </w:t>
      </w:r>
      <w:r w:rsidRPr="007E1D5F">
        <w:rPr>
          <w:rFonts w:ascii="Arial" w:hAnsi="Arial" w:cs="Arial"/>
          <w:caps/>
          <w:lang w:val="en-US"/>
        </w:rPr>
        <w:t>Xofigo</w:t>
      </w:r>
      <w:r w:rsidRPr="00DC45BC">
        <w:rPr>
          <w:rFonts w:ascii="Arial" w:hAnsi="Arial" w:cs="Arial"/>
          <w:lang w:val="en-US"/>
        </w:rPr>
        <w:t>.</w:t>
      </w:r>
    </w:p>
    <w:p w:rsidR="00DC45BC" w:rsidRDefault="00DC45BC" w:rsidP="00512E04">
      <w:pPr>
        <w:spacing w:after="0" w:line="240" w:lineRule="auto"/>
        <w:rPr>
          <w:rFonts w:ascii="Arial" w:hAnsi="Arial" w:cs="Arial"/>
          <w:lang w:val="en-US"/>
        </w:rPr>
      </w:pPr>
    </w:p>
    <w:p w:rsidR="00DC45BC" w:rsidRDefault="00DC45BC" w:rsidP="00512E04">
      <w:pPr>
        <w:spacing w:after="0" w:line="240" w:lineRule="auto"/>
        <w:rPr>
          <w:rFonts w:ascii="Arial" w:hAnsi="Arial" w:cs="Arial"/>
          <w:lang w:val="en-US"/>
        </w:rPr>
      </w:pPr>
    </w:p>
    <w:p w:rsidR="00DC45BC" w:rsidRDefault="00DC45BC" w:rsidP="002352CB">
      <w:pPr>
        <w:pStyle w:val="PIHeading1"/>
        <w:outlineLvl w:val="0"/>
        <w:rPr>
          <w:lang w:val="en-US"/>
        </w:rPr>
      </w:pPr>
      <w:r>
        <w:rPr>
          <w:lang w:val="en-US"/>
        </w:rPr>
        <w:t>PRECAUTIONS</w:t>
      </w:r>
    </w:p>
    <w:p w:rsidR="00DC45BC" w:rsidRDefault="00DC45BC" w:rsidP="00512E04">
      <w:pPr>
        <w:spacing w:after="0" w:line="240" w:lineRule="auto"/>
        <w:rPr>
          <w:rFonts w:ascii="Arial" w:hAnsi="Arial" w:cs="Arial"/>
          <w:lang w:val="en-US"/>
        </w:rPr>
      </w:pPr>
    </w:p>
    <w:p w:rsidR="00F76745" w:rsidRPr="00F76745" w:rsidRDefault="00F76745" w:rsidP="002352CB">
      <w:pPr>
        <w:pStyle w:val="PIHeading2"/>
        <w:outlineLvl w:val="1"/>
      </w:pPr>
      <w:r>
        <w:lastRenderedPageBreak/>
        <w:t>Bone marrow suppression</w:t>
      </w:r>
    </w:p>
    <w:p w:rsidR="00F76745" w:rsidRDefault="00F76745" w:rsidP="00FE2C78">
      <w:pPr>
        <w:pStyle w:val="BayerBodyTextFull"/>
        <w:spacing w:before="0" w:after="0"/>
        <w:rPr>
          <w:rFonts w:ascii="Arial" w:hAnsi="Arial" w:cs="Arial"/>
          <w:sz w:val="22"/>
          <w:szCs w:val="22"/>
        </w:rPr>
      </w:pPr>
    </w:p>
    <w:p w:rsidR="00FE2C78" w:rsidRDefault="00FE2C78" w:rsidP="007E1D5F">
      <w:pPr>
        <w:pStyle w:val="BayerBodyTextFull"/>
        <w:spacing w:before="0" w:after="0"/>
        <w:jc w:val="both"/>
        <w:rPr>
          <w:rFonts w:ascii="Arial" w:hAnsi="Arial" w:cs="Arial"/>
          <w:sz w:val="22"/>
          <w:szCs w:val="22"/>
        </w:rPr>
      </w:pPr>
      <w:r w:rsidRPr="00FE2C78">
        <w:rPr>
          <w:rFonts w:ascii="Arial" w:hAnsi="Arial" w:cs="Arial"/>
          <w:sz w:val="22"/>
          <w:szCs w:val="22"/>
        </w:rPr>
        <w:t>Bone marrow suppression, notably thrombocytopenia, neutropenia, leu</w:t>
      </w:r>
      <w:r>
        <w:rPr>
          <w:rFonts w:ascii="Arial" w:hAnsi="Arial" w:cs="Arial"/>
          <w:sz w:val="22"/>
          <w:szCs w:val="22"/>
        </w:rPr>
        <w:t>c</w:t>
      </w:r>
      <w:r w:rsidRPr="00FE2C78">
        <w:rPr>
          <w:rFonts w:ascii="Arial" w:hAnsi="Arial" w:cs="Arial"/>
          <w:sz w:val="22"/>
          <w:szCs w:val="22"/>
        </w:rPr>
        <w:t xml:space="preserve">openia and pancytopenia, has been reported in patients treated with </w:t>
      </w:r>
      <w:r w:rsidRPr="007E1D5F">
        <w:rPr>
          <w:rFonts w:ascii="Arial" w:hAnsi="Arial" w:cs="Arial"/>
          <w:caps/>
          <w:sz w:val="22"/>
          <w:szCs w:val="22"/>
        </w:rPr>
        <w:t xml:space="preserve">Xofigo </w:t>
      </w:r>
      <w:r w:rsidRPr="00FE2C78">
        <w:rPr>
          <w:rFonts w:ascii="Arial" w:hAnsi="Arial" w:cs="Arial"/>
          <w:sz w:val="22"/>
          <w:szCs w:val="22"/>
        </w:rPr>
        <w:t xml:space="preserve">(see </w:t>
      </w:r>
      <w:r w:rsidRPr="007E1D5F">
        <w:rPr>
          <w:rFonts w:ascii="Arial" w:hAnsi="Arial" w:cs="Arial"/>
          <w:caps/>
          <w:sz w:val="22"/>
          <w:szCs w:val="22"/>
        </w:rPr>
        <w:t>Adverse Effects</w:t>
      </w:r>
      <w:r w:rsidRPr="00FE2C78">
        <w:rPr>
          <w:rFonts w:ascii="Arial" w:hAnsi="Arial" w:cs="Arial"/>
          <w:sz w:val="22"/>
          <w:szCs w:val="22"/>
        </w:rPr>
        <w:t xml:space="preserve">). </w:t>
      </w:r>
    </w:p>
    <w:p w:rsidR="00FE2C78" w:rsidRPr="00FE2C78" w:rsidRDefault="00FE2C78" w:rsidP="00FE2C78">
      <w:pPr>
        <w:pStyle w:val="BayerBodyTextFull"/>
        <w:spacing w:before="0" w:after="0"/>
        <w:rPr>
          <w:rFonts w:ascii="Arial" w:hAnsi="Arial" w:cs="Arial"/>
          <w:sz w:val="22"/>
          <w:szCs w:val="22"/>
        </w:rPr>
      </w:pPr>
    </w:p>
    <w:p w:rsidR="00FE2C78" w:rsidRDefault="00FE2C78" w:rsidP="007E1D5F">
      <w:pPr>
        <w:pStyle w:val="BayerBodyTextFull"/>
        <w:spacing w:before="0" w:after="0"/>
        <w:jc w:val="both"/>
        <w:rPr>
          <w:rFonts w:ascii="Arial" w:hAnsi="Arial" w:cs="Arial"/>
          <w:sz w:val="22"/>
          <w:szCs w:val="22"/>
        </w:rPr>
      </w:pPr>
      <w:proofErr w:type="spellStart"/>
      <w:r>
        <w:rPr>
          <w:rFonts w:ascii="Arial" w:hAnsi="Arial" w:cs="Arial"/>
          <w:sz w:val="22"/>
          <w:szCs w:val="22"/>
        </w:rPr>
        <w:t>Ha</w:t>
      </w:r>
      <w:r w:rsidRPr="00FE2C78">
        <w:rPr>
          <w:rFonts w:ascii="Arial" w:hAnsi="Arial" w:cs="Arial"/>
          <w:sz w:val="22"/>
          <w:szCs w:val="22"/>
        </w:rPr>
        <w:t>ematological</w:t>
      </w:r>
      <w:proofErr w:type="spellEnd"/>
      <w:r w:rsidRPr="00FE2C78">
        <w:rPr>
          <w:rFonts w:ascii="Arial" w:hAnsi="Arial" w:cs="Arial"/>
          <w:sz w:val="22"/>
          <w:szCs w:val="22"/>
        </w:rPr>
        <w:t xml:space="preserve"> evaluation of patients must be performed at baseline and prior to every dose of </w:t>
      </w:r>
      <w:r w:rsidRPr="007E1D5F">
        <w:rPr>
          <w:rFonts w:ascii="Arial" w:hAnsi="Arial" w:cs="Arial"/>
          <w:caps/>
          <w:sz w:val="22"/>
          <w:szCs w:val="22"/>
        </w:rPr>
        <w:t>Xofigo</w:t>
      </w:r>
      <w:r w:rsidRPr="00FE2C78">
        <w:rPr>
          <w:rFonts w:ascii="Arial" w:hAnsi="Arial" w:cs="Arial"/>
          <w:sz w:val="22"/>
          <w:szCs w:val="22"/>
        </w:rPr>
        <w:t xml:space="preserve">. </w:t>
      </w:r>
      <w:r>
        <w:rPr>
          <w:rFonts w:ascii="Arial" w:hAnsi="Arial" w:cs="Arial"/>
          <w:sz w:val="22"/>
          <w:szCs w:val="22"/>
        </w:rPr>
        <w:t xml:space="preserve"> </w:t>
      </w:r>
      <w:r w:rsidRPr="00FE2C78">
        <w:rPr>
          <w:rFonts w:ascii="Arial" w:hAnsi="Arial" w:cs="Arial"/>
          <w:sz w:val="22"/>
          <w:szCs w:val="22"/>
        </w:rPr>
        <w:t xml:space="preserve">Before the first administration of </w:t>
      </w:r>
      <w:r w:rsidRPr="007E1D5F">
        <w:rPr>
          <w:rFonts w:ascii="Arial" w:hAnsi="Arial" w:cs="Arial"/>
          <w:caps/>
          <w:sz w:val="22"/>
          <w:szCs w:val="22"/>
        </w:rPr>
        <w:t>Xofigo</w:t>
      </w:r>
      <w:r w:rsidRPr="00FE2C78">
        <w:rPr>
          <w:rFonts w:ascii="Arial" w:hAnsi="Arial" w:cs="Arial"/>
          <w:sz w:val="22"/>
          <w:szCs w:val="22"/>
        </w:rPr>
        <w:t>, the absolute neutrophil count (ANC) should be ≥ 1.5 x 10</w:t>
      </w:r>
      <w:r w:rsidRPr="00FE2C78">
        <w:rPr>
          <w:rFonts w:ascii="Arial" w:hAnsi="Arial" w:cs="Arial"/>
          <w:sz w:val="22"/>
          <w:szCs w:val="22"/>
          <w:vertAlign w:val="superscript"/>
        </w:rPr>
        <w:t>9</w:t>
      </w:r>
      <w:r w:rsidRPr="00FE2C78">
        <w:rPr>
          <w:rFonts w:ascii="Arial" w:hAnsi="Arial" w:cs="Arial"/>
          <w:sz w:val="22"/>
          <w:szCs w:val="22"/>
        </w:rPr>
        <w:t xml:space="preserve">/L, the </w:t>
      </w:r>
      <w:proofErr w:type="gramStart"/>
      <w:r w:rsidRPr="00FE2C78">
        <w:rPr>
          <w:rFonts w:ascii="Arial" w:hAnsi="Arial" w:cs="Arial"/>
          <w:sz w:val="22"/>
          <w:szCs w:val="22"/>
        </w:rPr>
        <w:t>platelet count</w:t>
      </w:r>
      <w:proofErr w:type="gramEnd"/>
      <w:r w:rsidRPr="00FE2C78">
        <w:rPr>
          <w:rFonts w:ascii="Arial" w:hAnsi="Arial" w:cs="Arial"/>
          <w:sz w:val="22"/>
          <w:szCs w:val="22"/>
        </w:rPr>
        <w:t xml:space="preserve"> ≥ 100 x 10</w:t>
      </w:r>
      <w:r w:rsidRPr="00FE2C78">
        <w:rPr>
          <w:rFonts w:ascii="Arial" w:hAnsi="Arial" w:cs="Arial"/>
          <w:sz w:val="22"/>
          <w:szCs w:val="22"/>
          <w:vertAlign w:val="superscript"/>
        </w:rPr>
        <w:t>9</w:t>
      </w:r>
      <w:r w:rsidRPr="00FE2C78">
        <w:rPr>
          <w:rFonts w:ascii="Arial" w:hAnsi="Arial" w:cs="Arial"/>
          <w:sz w:val="22"/>
          <w:szCs w:val="22"/>
        </w:rPr>
        <w:t xml:space="preserve">/L and </w:t>
      </w:r>
      <w:proofErr w:type="spellStart"/>
      <w:r w:rsidRPr="00FE2C78">
        <w:rPr>
          <w:rFonts w:ascii="Arial" w:hAnsi="Arial" w:cs="Arial"/>
          <w:sz w:val="22"/>
          <w:szCs w:val="22"/>
        </w:rPr>
        <w:t>h</w:t>
      </w:r>
      <w:r>
        <w:rPr>
          <w:rFonts w:ascii="Arial" w:hAnsi="Arial" w:cs="Arial"/>
          <w:sz w:val="22"/>
          <w:szCs w:val="22"/>
        </w:rPr>
        <w:t>a</w:t>
      </w:r>
      <w:r w:rsidRPr="00FE2C78">
        <w:rPr>
          <w:rFonts w:ascii="Arial" w:hAnsi="Arial" w:cs="Arial"/>
          <w:sz w:val="22"/>
          <w:szCs w:val="22"/>
        </w:rPr>
        <w:t>emoglobin</w:t>
      </w:r>
      <w:proofErr w:type="spellEnd"/>
      <w:r w:rsidRPr="00FE2C78">
        <w:rPr>
          <w:rFonts w:ascii="Arial" w:hAnsi="Arial" w:cs="Arial"/>
          <w:sz w:val="22"/>
          <w:szCs w:val="22"/>
        </w:rPr>
        <w:t xml:space="preserve"> ≥ 10.0 g/</w:t>
      </w:r>
      <w:proofErr w:type="spellStart"/>
      <w:r w:rsidRPr="00FE2C78">
        <w:rPr>
          <w:rFonts w:ascii="Arial" w:hAnsi="Arial" w:cs="Arial"/>
          <w:sz w:val="22"/>
          <w:szCs w:val="22"/>
        </w:rPr>
        <w:t>dL</w:t>
      </w:r>
      <w:proofErr w:type="spellEnd"/>
      <w:r w:rsidRPr="00FE2C78">
        <w:rPr>
          <w:rFonts w:ascii="Arial" w:hAnsi="Arial" w:cs="Arial"/>
          <w:sz w:val="22"/>
          <w:szCs w:val="22"/>
        </w:rPr>
        <w:t xml:space="preserve">. </w:t>
      </w:r>
      <w:r>
        <w:rPr>
          <w:rFonts w:ascii="Arial" w:hAnsi="Arial" w:cs="Arial"/>
          <w:sz w:val="22"/>
          <w:szCs w:val="22"/>
        </w:rPr>
        <w:t xml:space="preserve"> </w:t>
      </w:r>
      <w:r w:rsidRPr="00FE2C78">
        <w:rPr>
          <w:rFonts w:ascii="Arial" w:hAnsi="Arial" w:cs="Arial"/>
          <w:sz w:val="22"/>
          <w:szCs w:val="22"/>
        </w:rPr>
        <w:t>Before subsequent administrations, the ANC should be ≥ 1.0 x 10</w:t>
      </w:r>
      <w:r w:rsidRPr="00FE2C78">
        <w:rPr>
          <w:rFonts w:ascii="Arial" w:hAnsi="Arial" w:cs="Arial"/>
          <w:sz w:val="22"/>
          <w:szCs w:val="22"/>
          <w:vertAlign w:val="superscript"/>
        </w:rPr>
        <w:t>9</w:t>
      </w:r>
      <w:r w:rsidRPr="00FE2C78">
        <w:rPr>
          <w:rFonts w:ascii="Arial" w:hAnsi="Arial" w:cs="Arial"/>
          <w:sz w:val="22"/>
          <w:szCs w:val="22"/>
        </w:rPr>
        <w:t>/L and the platelet count ≥ 50 x 10</w:t>
      </w:r>
      <w:r w:rsidRPr="00FE2C78">
        <w:rPr>
          <w:rFonts w:ascii="Arial" w:hAnsi="Arial" w:cs="Arial"/>
          <w:sz w:val="22"/>
          <w:szCs w:val="22"/>
          <w:vertAlign w:val="superscript"/>
        </w:rPr>
        <w:t>9</w:t>
      </w:r>
      <w:r w:rsidRPr="00FE2C78">
        <w:rPr>
          <w:rFonts w:ascii="Arial" w:hAnsi="Arial" w:cs="Arial"/>
          <w:sz w:val="22"/>
          <w:szCs w:val="22"/>
        </w:rPr>
        <w:t xml:space="preserve">/L. </w:t>
      </w:r>
      <w:r>
        <w:rPr>
          <w:rFonts w:ascii="Arial" w:hAnsi="Arial" w:cs="Arial"/>
          <w:sz w:val="22"/>
          <w:szCs w:val="22"/>
        </w:rPr>
        <w:t xml:space="preserve"> </w:t>
      </w:r>
      <w:r w:rsidRPr="00FE2C78">
        <w:rPr>
          <w:rFonts w:ascii="Arial" w:hAnsi="Arial" w:cs="Arial"/>
          <w:sz w:val="22"/>
          <w:szCs w:val="22"/>
        </w:rPr>
        <w:t xml:space="preserve">In case there is no recovery in these values within 6 weeks after the last administration of </w:t>
      </w:r>
      <w:r w:rsidRPr="007E1D5F">
        <w:rPr>
          <w:rFonts w:ascii="Arial" w:hAnsi="Arial" w:cs="Arial"/>
          <w:caps/>
          <w:sz w:val="22"/>
          <w:szCs w:val="22"/>
        </w:rPr>
        <w:t>Xofigo</w:t>
      </w:r>
      <w:r w:rsidRPr="00FE2C78">
        <w:rPr>
          <w:rFonts w:ascii="Arial" w:hAnsi="Arial" w:cs="Arial"/>
          <w:sz w:val="22"/>
          <w:szCs w:val="22"/>
        </w:rPr>
        <w:t xml:space="preserve"> despite receiving standard of care, further treatment with </w:t>
      </w:r>
      <w:r w:rsidRPr="007E1D5F">
        <w:rPr>
          <w:rFonts w:ascii="Arial" w:hAnsi="Arial" w:cs="Arial"/>
          <w:caps/>
          <w:sz w:val="22"/>
          <w:szCs w:val="22"/>
        </w:rPr>
        <w:t>Xofigo</w:t>
      </w:r>
      <w:r w:rsidRPr="00FE2C78">
        <w:rPr>
          <w:rFonts w:ascii="Arial" w:hAnsi="Arial" w:cs="Arial"/>
          <w:sz w:val="22"/>
          <w:szCs w:val="22"/>
        </w:rPr>
        <w:t xml:space="preserve"> should only be continued after a careful benefit/risk evaluation.</w:t>
      </w:r>
    </w:p>
    <w:p w:rsidR="00FE2C78" w:rsidRPr="00FE2C78" w:rsidRDefault="00FE2C78" w:rsidP="00FE2C78">
      <w:pPr>
        <w:pStyle w:val="BayerBodyTextFull"/>
        <w:spacing w:before="0" w:after="0"/>
        <w:rPr>
          <w:rFonts w:ascii="Arial" w:hAnsi="Arial" w:cs="Arial"/>
          <w:sz w:val="22"/>
          <w:szCs w:val="22"/>
        </w:rPr>
      </w:pPr>
    </w:p>
    <w:p w:rsidR="00381C4E" w:rsidRPr="00FE2C78" w:rsidRDefault="00FE2C78" w:rsidP="00A961E1">
      <w:pPr>
        <w:spacing w:after="0" w:line="240" w:lineRule="auto"/>
        <w:jc w:val="both"/>
        <w:rPr>
          <w:rFonts w:ascii="Arial" w:hAnsi="Arial" w:cs="Arial"/>
          <w:lang w:val="en-US"/>
        </w:rPr>
      </w:pPr>
      <w:r w:rsidRPr="00FE2C78">
        <w:rPr>
          <w:rFonts w:ascii="Arial" w:hAnsi="Arial" w:cs="Arial"/>
          <w:lang w:val="en-GB"/>
        </w:rPr>
        <w:t>P</w:t>
      </w:r>
      <w:proofErr w:type="spellStart"/>
      <w:r w:rsidRPr="00FE2C78">
        <w:rPr>
          <w:rFonts w:ascii="Arial" w:hAnsi="Arial" w:cs="Arial"/>
        </w:rPr>
        <w:t>atients</w:t>
      </w:r>
      <w:proofErr w:type="spellEnd"/>
      <w:r w:rsidRPr="00FE2C78">
        <w:rPr>
          <w:rFonts w:ascii="Arial" w:hAnsi="Arial" w:cs="Arial"/>
        </w:rPr>
        <w:t xml:space="preserve"> with evidence of compromised bone marrow reserve should be treated with caution.</w:t>
      </w:r>
      <w:r w:rsidR="00E221A0">
        <w:rPr>
          <w:rFonts w:ascii="Arial" w:hAnsi="Arial" w:cs="Arial"/>
        </w:rPr>
        <w:t xml:space="preserve">  </w:t>
      </w:r>
    </w:p>
    <w:p w:rsidR="00FE2C78" w:rsidRDefault="00FE2C78">
      <w:pPr>
        <w:spacing w:after="0" w:line="240" w:lineRule="auto"/>
        <w:rPr>
          <w:rFonts w:ascii="Arial" w:hAnsi="Arial" w:cs="Arial"/>
          <w:lang w:val="en-US"/>
        </w:rPr>
      </w:pPr>
    </w:p>
    <w:p w:rsidR="00F76745" w:rsidRDefault="00F76745" w:rsidP="002352CB">
      <w:pPr>
        <w:pStyle w:val="PIHeading2"/>
        <w:outlineLvl w:val="1"/>
        <w:rPr>
          <w:lang w:val="en-AU"/>
        </w:rPr>
      </w:pPr>
      <w:proofErr w:type="spellStart"/>
      <w:r>
        <w:t>Crohn’s</w:t>
      </w:r>
      <w:proofErr w:type="spellEnd"/>
      <w:r>
        <w:t xml:space="preserve"> disease and ulcerative colitis</w:t>
      </w:r>
    </w:p>
    <w:p w:rsidR="00F76745" w:rsidRPr="00F76745" w:rsidRDefault="00F76745" w:rsidP="008C23B6">
      <w:pPr>
        <w:pStyle w:val="PIHeading2"/>
      </w:pPr>
    </w:p>
    <w:p w:rsidR="00FE2C78" w:rsidRDefault="00FE2C78" w:rsidP="007E1D5F">
      <w:pPr>
        <w:spacing w:after="0" w:line="240" w:lineRule="auto"/>
        <w:jc w:val="both"/>
        <w:rPr>
          <w:rFonts w:ascii="Arial" w:hAnsi="Arial" w:cs="Arial"/>
          <w:lang w:val="en-US"/>
        </w:rPr>
      </w:pPr>
      <w:r w:rsidRPr="00FE2C78">
        <w:rPr>
          <w:rFonts w:ascii="Arial" w:hAnsi="Arial" w:cs="Arial"/>
          <w:lang w:val="en-US"/>
        </w:rPr>
        <w:t xml:space="preserve">Safety and efficacy of </w:t>
      </w:r>
      <w:r w:rsidRPr="007E1D5F">
        <w:rPr>
          <w:rFonts w:ascii="Arial" w:hAnsi="Arial" w:cs="Arial"/>
          <w:caps/>
          <w:lang w:val="en-US"/>
        </w:rPr>
        <w:t>Xofigo</w:t>
      </w:r>
      <w:r w:rsidRPr="00FE2C78">
        <w:rPr>
          <w:rFonts w:ascii="Arial" w:hAnsi="Arial" w:cs="Arial"/>
          <w:lang w:val="en-US"/>
        </w:rPr>
        <w:t xml:space="preserve"> in patients with </w:t>
      </w:r>
      <w:proofErr w:type="spellStart"/>
      <w:r w:rsidRPr="00FE2C78">
        <w:rPr>
          <w:rFonts w:ascii="Arial" w:hAnsi="Arial" w:cs="Arial"/>
          <w:lang w:val="en-US"/>
        </w:rPr>
        <w:t>Crohn’s</w:t>
      </w:r>
      <w:proofErr w:type="spellEnd"/>
      <w:r w:rsidRPr="00FE2C78">
        <w:rPr>
          <w:rFonts w:ascii="Arial" w:hAnsi="Arial" w:cs="Arial"/>
          <w:lang w:val="en-US"/>
        </w:rPr>
        <w:t xml:space="preserve"> disease and with ulcerative colitis have not been studied</w:t>
      </w:r>
      <w:r>
        <w:rPr>
          <w:rFonts w:ascii="Arial" w:hAnsi="Arial" w:cs="Arial"/>
          <w:lang w:val="en-US"/>
        </w:rPr>
        <w:t>.</w:t>
      </w:r>
      <w:r w:rsidR="00607FFB">
        <w:rPr>
          <w:rFonts w:ascii="Arial" w:hAnsi="Arial" w:cs="Arial"/>
          <w:lang w:val="en-US"/>
        </w:rPr>
        <w:t xml:space="preserve">  </w:t>
      </w:r>
    </w:p>
    <w:p w:rsidR="00FE2C78" w:rsidRDefault="00FE2C78">
      <w:pPr>
        <w:spacing w:after="0" w:line="240" w:lineRule="auto"/>
        <w:rPr>
          <w:rFonts w:ascii="Arial" w:hAnsi="Arial" w:cs="Arial"/>
          <w:lang w:val="en-US"/>
        </w:rPr>
      </w:pPr>
    </w:p>
    <w:p w:rsidR="00D971B4" w:rsidRDefault="00D971B4" w:rsidP="002352CB">
      <w:pPr>
        <w:pStyle w:val="PIHeading2"/>
        <w:outlineLvl w:val="1"/>
        <w:rPr>
          <w:lang w:val="en-AU"/>
        </w:rPr>
      </w:pPr>
      <w:r>
        <w:t>Spinal cord compression</w:t>
      </w:r>
    </w:p>
    <w:p w:rsidR="00D971B4" w:rsidRPr="00F76745" w:rsidRDefault="00D971B4" w:rsidP="008C23B6">
      <w:pPr>
        <w:pStyle w:val="PIHeading2"/>
      </w:pPr>
    </w:p>
    <w:p w:rsidR="00FE2C78" w:rsidRDefault="00FE2C78" w:rsidP="007E1D5F">
      <w:pPr>
        <w:spacing w:after="0" w:line="240" w:lineRule="auto"/>
        <w:jc w:val="both"/>
        <w:rPr>
          <w:rFonts w:ascii="Arial" w:hAnsi="Arial" w:cs="Arial"/>
          <w:lang w:val="en-US"/>
        </w:rPr>
      </w:pPr>
      <w:r w:rsidRPr="00FE2C78">
        <w:rPr>
          <w:rFonts w:ascii="Arial" w:hAnsi="Arial" w:cs="Arial"/>
          <w:lang w:val="en-US"/>
        </w:rPr>
        <w:t xml:space="preserve">In patients with untreated imminent or established spinal cord compression, treatment with standard of care, as clinically indicated, should be completed before starting or resuming treatment with </w:t>
      </w:r>
      <w:r w:rsidRPr="007E1D5F">
        <w:rPr>
          <w:rFonts w:ascii="Arial" w:hAnsi="Arial" w:cs="Arial"/>
          <w:caps/>
          <w:lang w:val="en-US"/>
        </w:rPr>
        <w:t>Xofigo</w:t>
      </w:r>
      <w:r w:rsidRPr="00FE2C78">
        <w:rPr>
          <w:rFonts w:ascii="Arial" w:hAnsi="Arial" w:cs="Arial"/>
          <w:lang w:val="en-US"/>
        </w:rPr>
        <w:t>.</w:t>
      </w:r>
    </w:p>
    <w:p w:rsidR="00FE2C78" w:rsidRDefault="00FE2C78">
      <w:pPr>
        <w:spacing w:after="0" w:line="240" w:lineRule="auto"/>
        <w:rPr>
          <w:rFonts w:ascii="Arial" w:hAnsi="Arial" w:cs="Arial"/>
          <w:lang w:val="en-US"/>
        </w:rPr>
      </w:pPr>
    </w:p>
    <w:p w:rsidR="00D971B4" w:rsidRDefault="00D971B4" w:rsidP="002352CB">
      <w:pPr>
        <w:pStyle w:val="PIHeading2"/>
        <w:outlineLvl w:val="1"/>
        <w:rPr>
          <w:lang w:val="en-AU"/>
        </w:rPr>
      </w:pPr>
      <w:r>
        <w:t>Bone fractures</w:t>
      </w:r>
    </w:p>
    <w:p w:rsidR="00D971B4" w:rsidRPr="00F76745" w:rsidRDefault="00D971B4" w:rsidP="008C23B6">
      <w:pPr>
        <w:pStyle w:val="PIHeading2"/>
      </w:pPr>
    </w:p>
    <w:p w:rsidR="00E80C60" w:rsidRDefault="00FE2C78">
      <w:pPr>
        <w:spacing w:after="0" w:line="240" w:lineRule="auto"/>
        <w:rPr>
          <w:rFonts w:ascii="Arial" w:hAnsi="Arial" w:cs="Arial"/>
          <w:lang w:val="en-US"/>
        </w:rPr>
      </w:pPr>
      <w:r w:rsidRPr="00FE2C78">
        <w:rPr>
          <w:rFonts w:ascii="Arial" w:hAnsi="Arial" w:cs="Arial"/>
          <w:lang w:val="en-US"/>
        </w:rPr>
        <w:t xml:space="preserve">In patients with bone fractures, </w:t>
      </w:r>
      <w:proofErr w:type="spellStart"/>
      <w:r w:rsidRPr="00FE2C78">
        <w:rPr>
          <w:rFonts w:ascii="Arial" w:hAnsi="Arial" w:cs="Arial"/>
          <w:lang w:val="en-US"/>
        </w:rPr>
        <w:t>orthop</w:t>
      </w:r>
      <w:r>
        <w:rPr>
          <w:rFonts w:ascii="Arial" w:hAnsi="Arial" w:cs="Arial"/>
          <w:lang w:val="en-US"/>
        </w:rPr>
        <w:t>aedic</w:t>
      </w:r>
      <w:proofErr w:type="spellEnd"/>
      <w:r>
        <w:rPr>
          <w:rFonts w:ascii="Arial" w:hAnsi="Arial" w:cs="Arial"/>
          <w:lang w:val="en-US"/>
        </w:rPr>
        <w:t xml:space="preserve"> </w:t>
      </w:r>
      <w:proofErr w:type="spellStart"/>
      <w:r>
        <w:rPr>
          <w:rFonts w:ascii="Arial" w:hAnsi="Arial" w:cs="Arial"/>
          <w:lang w:val="en-US"/>
        </w:rPr>
        <w:t>stabilis</w:t>
      </w:r>
      <w:r w:rsidRPr="00FE2C78">
        <w:rPr>
          <w:rFonts w:ascii="Arial" w:hAnsi="Arial" w:cs="Arial"/>
          <w:lang w:val="en-US"/>
        </w:rPr>
        <w:t>ation</w:t>
      </w:r>
      <w:proofErr w:type="spellEnd"/>
      <w:r w:rsidRPr="00FE2C78">
        <w:rPr>
          <w:rFonts w:ascii="Arial" w:hAnsi="Arial" w:cs="Arial"/>
          <w:lang w:val="en-US"/>
        </w:rPr>
        <w:t xml:space="preserve"> of fractures should be performed before starting or resuming treatment with </w:t>
      </w:r>
      <w:r w:rsidRPr="007E1D5F">
        <w:rPr>
          <w:rFonts w:ascii="Arial" w:hAnsi="Arial" w:cs="Arial"/>
          <w:caps/>
          <w:lang w:val="en-US"/>
        </w:rPr>
        <w:t>Xofigo</w:t>
      </w:r>
      <w:r>
        <w:rPr>
          <w:rFonts w:ascii="Arial" w:hAnsi="Arial" w:cs="Arial"/>
          <w:lang w:val="en-US"/>
        </w:rPr>
        <w:t>.</w:t>
      </w:r>
    </w:p>
    <w:p w:rsidR="00FE2C78" w:rsidRDefault="00FE2C78">
      <w:pPr>
        <w:spacing w:after="0" w:line="240" w:lineRule="auto"/>
        <w:rPr>
          <w:rFonts w:ascii="Arial" w:hAnsi="Arial" w:cs="Arial"/>
          <w:lang w:val="en-US"/>
        </w:rPr>
      </w:pPr>
    </w:p>
    <w:p w:rsidR="00BE300E" w:rsidRPr="00BE300E" w:rsidRDefault="00BE300E" w:rsidP="002352CB">
      <w:pPr>
        <w:pStyle w:val="PIHeading2"/>
        <w:outlineLvl w:val="1"/>
      </w:pPr>
      <w:r w:rsidRPr="00BE300E">
        <w:t>Contraception</w:t>
      </w:r>
    </w:p>
    <w:p w:rsidR="00BE300E" w:rsidRDefault="00BE300E" w:rsidP="00381C4E">
      <w:pPr>
        <w:keepNext/>
        <w:spacing w:after="0" w:line="240" w:lineRule="auto"/>
        <w:rPr>
          <w:rFonts w:ascii="Arial" w:hAnsi="Arial" w:cs="Arial"/>
          <w:lang w:val="en-US"/>
        </w:rPr>
      </w:pPr>
    </w:p>
    <w:p w:rsidR="00FE2C78" w:rsidRDefault="00FE2C78" w:rsidP="007E1D5F">
      <w:pPr>
        <w:spacing w:after="0" w:line="240" w:lineRule="auto"/>
        <w:jc w:val="both"/>
        <w:rPr>
          <w:rFonts w:ascii="Arial" w:hAnsi="Arial" w:cs="Arial"/>
          <w:lang w:val="en-US"/>
        </w:rPr>
      </w:pPr>
      <w:r w:rsidRPr="00FE2C78">
        <w:rPr>
          <w:rFonts w:ascii="Arial" w:hAnsi="Arial" w:cs="Arial"/>
          <w:lang w:val="en-US"/>
        </w:rPr>
        <w:t xml:space="preserve">Because of potential effects on spermatogenesis associated with radiation, men </w:t>
      </w:r>
      <w:r w:rsidR="0086268E">
        <w:rPr>
          <w:rFonts w:ascii="Arial" w:hAnsi="Arial" w:cs="Arial"/>
          <w:lang w:val="en-US"/>
        </w:rPr>
        <w:t xml:space="preserve">who are sexually active </w:t>
      </w:r>
      <w:r w:rsidRPr="00FE2C78">
        <w:rPr>
          <w:rFonts w:ascii="Arial" w:hAnsi="Arial" w:cs="Arial"/>
          <w:lang w:val="en-US"/>
        </w:rPr>
        <w:t>should be advised to use</w:t>
      </w:r>
      <w:r w:rsidR="0086268E">
        <w:rPr>
          <w:rFonts w:ascii="Arial" w:hAnsi="Arial" w:cs="Arial"/>
          <w:lang w:val="en-US"/>
        </w:rPr>
        <w:t xml:space="preserve"> condoms and their female partners of reproductive potential to use a highly</w:t>
      </w:r>
      <w:r w:rsidRPr="00FE2C78">
        <w:rPr>
          <w:rFonts w:ascii="Arial" w:hAnsi="Arial" w:cs="Arial"/>
          <w:lang w:val="en-US"/>
        </w:rPr>
        <w:t xml:space="preserve"> effective contraceptive method during and up to 6 months after </w:t>
      </w:r>
      <w:r w:rsidR="0086268E">
        <w:rPr>
          <w:rFonts w:ascii="Arial" w:hAnsi="Arial" w:cs="Arial"/>
          <w:lang w:val="en-US"/>
        </w:rPr>
        <w:t xml:space="preserve">completing </w:t>
      </w:r>
      <w:r w:rsidRPr="00FE2C78">
        <w:rPr>
          <w:rFonts w:ascii="Arial" w:hAnsi="Arial" w:cs="Arial"/>
          <w:lang w:val="en-US"/>
        </w:rPr>
        <w:t xml:space="preserve">treatment with </w:t>
      </w:r>
      <w:r w:rsidRPr="007E1D5F">
        <w:rPr>
          <w:rFonts w:ascii="Arial" w:hAnsi="Arial" w:cs="Arial"/>
          <w:caps/>
          <w:lang w:val="en-US"/>
        </w:rPr>
        <w:t>Xofigo</w:t>
      </w:r>
      <w:r w:rsidR="00D116FD">
        <w:rPr>
          <w:rFonts w:ascii="Arial" w:hAnsi="Arial" w:cs="Arial"/>
          <w:lang w:val="en-US"/>
        </w:rPr>
        <w:t>.</w:t>
      </w:r>
    </w:p>
    <w:p w:rsidR="00FE2C78" w:rsidRDefault="00FE2C78">
      <w:pPr>
        <w:spacing w:after="0" w:line="240" w:lineRule="auto"/>
        <w:rPr>
          <w:rFonts w:ascii="Arial" w:hAnsi="Arial" w:cs="Arial"/>
          <w:lang w:val="en-US"/>
        </w:rPr>
      </w:pPr>
    </w:p>
    <w:p w:rsidR="00FE2C78" w:rsidRDefault="00A10816" w:rsidP="002352CB">
      <w:pPr>
        <w:pStyle w:val="PIHeading2"/>
        <w:outlineLvl w:val="1"/>
      </w:pPr>
      <w:r>
        <w:t>Effects on f</w:t>
      </w:r>
      <w:r w:rsidR="00FE2C78">
        <w:t>ertility</w:t>
      </w:r>
    </w:p>
    <w:p w:rsidR="00FE2C78" w:rsidRDefault="00FE2C78">
      <w:pPr>
        <w:spacing w:after="0" w:line="240" w:lineRule="auto"/>
        <w:rPr>
          <w:rFonts w:ascii="Arial" w:hAnsi="Arial" w:cs="Arial"/>
          <w:lang w:val="en-US"/>
        </w:rPr>
      </w:pPr>
    </w:p>
    <w:p w:rsidR="00FE2C78" w:rsidRDefault="00FE2C78" w:rsidP="007E1D5F">
      <w:pPr>
        <w:spacing w:after="0" w:line="240" w:lineRule="auto"/>
        <w:jc w:val="both"/>
        <w:rPr>
          <w:rFonts w:ascii="Arial" w:hAnsi="Arial" w:cs="Arial"/>
          <w:lang w:val="en-US"/>
        </w:rPr>
      </w:pPr>
      <w:r>
        <w:rPr>
          <w:rFonts w:ascii="Arial" w:hAnsi="Arial" w:cs="Arial"/>
          <w:lang w:val="en-US"/>
        </w:rPr>
        <w:t xml:space="preserve">No animal fertility or reproduction studies have been conducted with </w:t>
      </w:r>
      <w:r w:rsidRPr="007E1D5F">
        <w:rPr>
          <w:rFonts w:ascii="Arial" w:hAnsi="Arial" w:cs="Arial"/>
          <w:caps/>
          <w:lang w:val="en-US"/>
        </w:rPr>
        <w:t>Xofigo</w:t>
      </w:r>
      <w:r>
        <w:rPr>
          <w:rFonts w:ascii="Arial" w:hAnsi="Arial" w:cs="Arial"/>
          <w:lang w:val="en-US"/>
        </w:rPr>
        <w:t>.</w:t>
      </w:r>
      <w:r w:rsidR="008721D5">
        <w:rPr>
          <w:rFonts w:ascii="Arial" w:hAnsi="Arial" w:cs="Arial"/>
          <w:lang w:val="en-US"/>
        </w:rPr>
        <w:t xml:space="preserve"> </w:t>
      </w:r>
      <w:r w:rsidR="008721D5" w:rsidRPr="008721D5">
        <w:rPr>
          <w:rFonts w:ascii="Arial" w:hAnsi="Arial" w:cs="Arial"/>
          <w:lang w:val="en-US"/>
        </w:rPr>
        <w:t xml:space="preserve"> </w:t>
      </w:r>
      <w:r w:rsidR="00BC26D6">
        <w:rPr>
          <w:rFonts w:ascii="Arial" w:hAnsi="Arial" w:cs="Arial"/>
          <w:lang w:val="en-US"/>
        </w:rPr>
        <w:t>Patients should be informed of a</w:t>
      </w:r>
      <w:r w:rsidRPr="00FE2C78">
        <w:rPr>
          <w:rFonts w:ascii="Arial" w:hAnsi="Arial" w:cs="Arial"/>
          <w:lang w:val="en-US"/>
        </w:rPr>
        <w:t xml:space="preserve"> potential risk that radiation from </w:t>
      </w:r>
      <w:r w:rsidR="009E37B3" w:rsidRPr="00E221A0">
        <w:rPr>
          <w:rFonts w:ascii="Arial" w:hAnsi="Arial" w:cs="Arial"/>
          <w:lang w:val="en-US"/>
        </w:rPr>
        <w:t>XOFIGO</w:t>
      </w:r>
      <w:r w:rsidRPr="00FE2C78">
        <w:rPr>
          <w:rFonts w:ascii="Arial" w:hAnsi="Arial" w:cs="Arial"/>
          <w:lang w:val="en-US"/>
        </w:rPr>
        <w:t xml:space="preserve"> could caus</w:t>
      </w:r>
      <w:r w:rsidR="00BC26D6">
        <w:rPr>
          <w:rFonts w:ascii="Arial" w:hAnsi="Arial" w:cs="Arial"/>
          <w:lang w:val="en-US"/>
        </w:rPr>
        <w:t>e adverse effects on testes</w:t>
      </w:r>
      <w:r w:rsidR="00FF6A01">
        <w:rPr>
          <w:rFonts w:ascii="Arial" w:hAnsi="Arial" w:cs="Arial"/>
          <w:lang w:val="en-US"/>
        </w:rPr>
        <w:t xml:space="preserve"> and impair fertility</w:t>
      </w:r>
      <w:r w:rsidR="0086268E">
        <w:rPr>
          <w:rFonts w:ascii="Arial" w:hAnsi="Arial" w:cs="Arial"/>
          <w:lang w:val="en-US"/>
        </w:rPr>
        <w:t xml:space="preserve"> (see PRECAUTIONS – Contraception)</w:t>
      </w:r>
      <w:r w:rsidR="00BC26D6">
        <w:rPr>
          <w:rFonts w:ascii="Arial" w:hAnsi="Arial" w:cs="Arial"/>
          <w:lang w:val="en-US"/>
        </w:rPr>
        <w:t>.</w:t>
      </w:r>
      <w:r w:rsidR="00A961E1">
        <w:rPr>
          <w:rFonts w:ascii="Arial" w:hAnsi="Arial" w:cs="Arial"/>
          <w:lang w:val="en-US"/>
        </w:rPr>
        <w:t xml:space="preserve"> </w:t>
      </w:r>
    </w:p>
    <w:p w:rsidR="00C77909" w:rsidRDefault="00C77909" w:rsidP="00E221A0">
      <w:pPr>
        <w:spacing w:after="0" w:line="240" w:lineRule="auto"/>
        <w:jc w:val="both"/>
        <w:rPr>
          <w:rFonts w:ascii="Arial" w:hAnsi="Arial" w:cs="Arial"/>
          <w:lang w:val="en-US"/>
        </w:rPr>
      </w:pPr>
    </w:p>
    <w:p w:rsidR="00C53448" w:rsidRDefault="00A10816" w:rsidP="00EC07A4">
      <w:pPr>
        <w:pStyle w:val="PIHeading2"/>
        <w:outlineLvl w:val="1"/>
      </w:pPr>
      <w:r>
        <w:t>Use in p</w:t>
      </w:r>
      <w:r w:rsidR="00C77909">
        <w:t>regnancy</w:t>
      </w:r>
      <w:r w:rsidR="00C53448" w:rsidRPr="00C53448">
        <w:t xml:space="preserve"> </w:t>
      </w:r>
    </w:p>
    <w:p w:rsidR="00D971B4" w:rsidRDefault="00D971B4" w:rsidP="00EC07A4">
      <w:pPr>
        <w:keepNext/>
        <w:spacing w:after="0" w:line="240" w:lineRule="auto"/>
        <w:rPr>
          <w:rFonts w:ascii="Arial" w:hAnsi="Arial" w:cs="Arial"/>
        </w:rPr>
      </w:pPr>
    </w:p>
    <w:p w:rsidR="00C77909" w:rsidRDefault="00C53448" w:rsidP="00EC07A4">
      <w:pPr>
        <w:keepNext/>
        <w:spacing w:after="0" w:line="240" w:lineRule="auto"/>
        <w:rPr>
          <w:rFonts w:ascii="Arial" w:hAnsi="Arial" w:cs="Arial"/>
          <w:lang w:val="en-US"/>
        </w:rPr>
      </w:pPr>
      <w:r w:rsidRPr="00C53448">
        <w:rPr>
          <w:rFonts w:ascii="Arial" w:hAnsi="Arial" w:cs="Arial"/>
        </w:rPr>
        <w:t xml:space="preserve">Pregnancy Category </w:t>
      </w:r>
      <w:r w:rsidR="0086268E">
        <w:rPr>
          <w:rFonts w:ascii="Arial" w:hAnsi="Arial" w:cs="Arial"/>
        </w:rPr>
        <w:t>X</w:t>
      </w:r>
    </w:p>
    <w:p w:rsidR="00C77909" w:rsidRDefault="00C77909" w:rsidP="00EC07A4">
      <w:pPr>
        <w:keepNext/>
        <w:spacing w:after="0" w:line="240" w:lineRule="auto"/>
        <w:rPr>
          <w:rFonts w:ascii="Arial" w:hAnsi="Arial" w:cs="Arial"/>
          <w:lang w:val="en-US"/>
        </w:rPr>
      </w:pPr>
    </w:p>
    <w:p w:rsidR="00C77909" w:rsidRDefault="00C53448" w:rsidP="007E1D5F">
      <w:pPr>
        <w:spacing w:after="0" w:line="240" w:lineRule="auto"/>
        <w:jc w:val="both"/>
        <w:rPr>
          <w:rFonts w:ascii="Arial" w:hAnsi="Arial" w:cs="Arial"/>
          <w:lang w:val="en-US"/>
        </w:rPr>
      </w:pPr>
      <w:r w:rsidRPr="007E1D5F">
        <w:rPr>
          <w:rFonts w:ascii="Arial" w:hAnsi="Arial" w:cs="Arial"/>
          <w:caps/>
          <w:lang w:val="en-US"/>
        </w:rPr>
        <w:t>Xofigo</w:t>
      </w:r>
      <w:r w:rsidRPr="00C53448">
        <w:rPr>
          <w:rFonts w:ascii="Arial" w:hAnsi="Arial" w:cs="Arial"/>
          <w:lang w:val="en-US"/>
        </w:rPr>
        <w:t xml:space="preserve"> is not indicated in women. </w:t>
      </w:r>
      <w:r>
        <w:rPr>
          <w:rFonts w:ascii="Arial" w:hAnsi="Arial" w:cs="Arial"/>
          <w:lang w:val="en-US"/>
        </w:rPr>
        <w:t xml:space="preserve"> </w:t>
      </w:r>
      <w:r w:rsidRPr="007E1D5F">
        <w:rPr>
          <w:rFonts w:ascii="Arial" w:hAnsi="Arial" w:cs="Arial"/>
          <w:caps/>
          <w:lang w:val="en-US"/>
        </w:rPr>
        <w:t>Xofigo</w:t>
      </w:r>
      <w:r w:rsidR="0086268E">
        <w:rPr>
          <w:rFonts w:ascii="Arial" w:hAnsi="Arial" w:cs="Arial"/>
          <w:lang w:val="en-US"/>
        </w:rPr>
        <w:t xml:space="preserve">, </w:t>
      </w:r>
      <w:r w:rsidR="002B633D">
        <w:rPr>
          <w:rFonts w:ascii="Arial" w:hAnsi="Arial" w:cs="Arial"/>
          <w:lang w:val="en-US"/>
        </w:rPr>
        <w:t>a radioactive therapeutic agent,</w:t>
      </w:r>
      <w:r w:rsidR="0086268E" w:rsidRPr="00C53448">
        <w:rPr>
          <w:rFonts w:ascii="Arial" w:hAnsi="Arial" w:cs="Arial"/>
          <w:lang w:val="en-US"/>
        </w:rPr>
        <w:t xml:space="preserve"> </w:t>
      </w:r>
      <w:r w:rsidRPr="00C53448">
        <w:rPr>
          <w:rFonts w:ascii="Arial" w:hAnsi="Arial" w:cs="Arial"/>
          <w:lang w:val="en-US"/>
        </w:rPr>
        <w:t>is not to be used in women who are or may be pregnant.</w:t>
      </w:r>
    </w:p>
    <w:p w:rsidR="00C53448" w:rsidRDefault="00C53448">
      <w:pPr>
        <w:spacing w:after="0" w:line="240" w:lineRule="auto"/>
        <w:rPr>
          <w:rFonts w:ascii="Arial" w:hAnsi="Arial" w:cs="Arial"/>
          <w:lang w:val="en-US"/>
        </w:rPr>
      </w:pPr>
    </w:p>
    <w:p w:rsidR="00C53448" w:rsidRDefault="00C53448" w:rsidP="002352CB">
      <w:pPr>
        <w:pStyle w:val="PIHeading2"/>
        <w:outlineLvl w:val="1"/>
      </w:pPr>
      <w:r>
        <w:t>Use in lactation</w:t>
      </w:r>
    </w:p>
    <w:p w:rsidR="00C53448" w:rsidRPr="00C53448" w:rsidRDefault="00C53448">
      <w:pPr>
        <w:spacing w:after="0" w:line="240" w:lineRule="auto"/>
        <w:rPr>
          <w:rFonts w:ascii="Arial" w:hAnsi="Arial" w:cs="Arial"/>
          <w:lang w:val="en-US"/>
        </w:rPr>
      </w:pPr>
    </w:p>
    <w:p w:rsidR="00C53448" w:rsidRDefault="00C53448" w:rsidP="007E1D5F">
      <w:pPr>
        <w:spacing w:after="0" w:line="240" w:lineRule="auto"/>
        <w:jc w:val="both"/>
        <w:rPr>
          <w:rFonts w:ascii="Arial" w:hAnsi="Arial" w:cs="Arial"/>
          <w:lang w:val="en-US"/>
        </w:rPr>
      </w:pPr>
      <w:r w:rsidRPr="007E1D5F">
        <w:rPr>
          <w:rFonts w:ascii="Arial" w:hAnsi="Arial" w:cs="Arial"/>
          <w:caps/>
          <w:lang w:val="en-US"/>
        </w:rPr>
        <w:lastRenderedPageBreak/>
        <w:t>Xofigo</w:t>
      </w:r>
      <w:r w:rsidRPr="00C53448">
        <w:rPr>
          <w:rFonts w:ascii="Arial" w:hAnsi="Arial" w:cs="Arial"/>
          <w:lang w:val="en-US"/>
        </w:rPr>
        <w:t xml:space="preserve"> is not indicated in women. </w:t>
      </w:r>
      <w:r>
        <w:rPr>
          <w:rFonts w:ascii="Arial" w:hAnsi="Arial" w:cs="Arial"/>
          <w:lang w:val="en-US"/>
        </w:rPr>
        <w:t xml:space="preserve"> </w:t>
      </w:r>
      <w:r w:rsidRPr="007E1D5F">
        <w:rPr>
          <w:rFonts w:ascii="Arial" w:hAnsi="Arial" w:cs="Arial"/>
          <w:caps/>
          <w:lang w:val="en-US"/>
        </w:rPr>
        <w:t>Xofigo</w:t>
      </w:r>
      <w:r w:rsidR="002B633D">
        <w:rPr>
          <w:rFonts w:ascii="Arial" w:hAnsi="Arial" w:cs="Arial"/>
          <w:lang w:val="en-US"/>
        </w:rPr>
        <w:t>, a radioactive therapeutic agent,</w:t>
      </w:r>
      <w:r w:rsidRPr="00C53448">
        <w:rPr>
          <w:rFonts w:ascii="Arial" w:hAnsi="Arial" w:cs="Arial"/>
          <w:lang w:val="en-US"/>
        </w:rPr>
        <w:t xml:space="preserve"> is not to be used in women who are</w:t>
      </w:r>
      <w:r>
        <w:rPr>
          <w:rFonts w:ascii="Arial" w:hAnsi="Arial" w:cs="Arial"/>
          <w:lang w:val="en-US"/>
        </w:rPr>
        <w:t xml:space="preserve"> breastfeeding.</w:t>
      </w:r>
    </w:p>
    <w:p w:rsidR="00C53448" w:rsidRDefault="00C53448">
      <w:pPr>
        <w:spacing w:after="0" w:line="240" w:lineRule="auto"/>
        <w:rPr>
          <w:rFonts w:ascii="Arial" w:hAnsi="Arial" w:cs="Arial"/>
          <w:b/>
          <w:lang w:val="en-US"/>
        </w:rPr>
      </w:pPr>
    </w:p>
    <w:p w:rsidR="00C53448" w:rsidRDefault="00A10816" w:rsidP="0086268E">
      <w:pPr>
        <w:pStyle w:val="PIHeading2"/>
        <w:keepLines/>
        <w:outlineLvl w:val="1"/>
      </w:pPr>
      <w:proofErr w:type="spellStart"/>
      <w:r>
        <w:t>Paediatric</w:t>
      </w:r>
      <w:proofErr w:type="spellEnd"/>
      <w:r>
        <w:t xml:space="preserve"> u</w:t>
      </w:r>
      <w:r w:rsidR="00C53448">
        <w:t>se</w:t>
      </w:r>
    </w:p>
    <w:p w:rsidR="00C53448" w:rsidRDefault="00C53448" w:rsidP="0086268E">
      <w:pPr>
        <w:keepNext/>
        <w:keepLines/>
        <w:spacing w:after="0" w:line="240" w:lineRule="auto"/>
        <w:rPr>
          <w:rFonts w:ascii="Arial" w:hAnsi="Arial" w:cs="Arial"/>
          <w:lang w:val="en-US"/>
        </w:rPr>
      </w:pPr>
    </w:p>
    <w:p w:rsidR="00C53448" w:rsidRDefault="00C53448" w:rsidP="0086268E">
      <w:pPr>
        <w:keepNext/>
        <w:spacing w:after="0" w:line="240" w:lineRule="auto"/>
        <w:jc w:val="both"/>
        <w:rPr>
          <w:rFonts w:ascii="Arial" w:hAnsi="Arial" w:cs="Arial"/>
          <w:lang w:val="en-US"/>
        </w:rPr>
      </w:pPr>
      <w:r w:rsidRPr="00C53448">
        <w:rPr>
          <w:rFonts w:ascii="Arial" w:hAnsi="Arial" w:cs="Arial"/>
          <w:lang w:val="en-US"/>
        </w:rPr>
        <w:t xml:space="preserve">Safety and effectiveness of </w:t>
      </w:r>
      <w:r w:rsidRPr="007E1D5F">
        <w:rPr>
          <w:rFonts w:ascii="Arial" w:hAnsi="Arial" w:cs="Arial"/>
          <w:caps/>
          <w:lang w:val="en-US"/>
        </w:rPr>
        <w:t>Xofigo</w:t>
      </w:r>
      <w:r w:rsidRPr="00C53448">
        <w:rPr>
          <w:rFonts w:ascii="Arial" w:hAnsi="Arial" w:cs="Arial"/>
          <w:lang w:val="en-US"/>
        </w:rPr>
        <w:t xml:space="preserve"> have not been studied in children and adolescents below 18 years of age.</w:t>
      </w:r>
    </w:p>
    <w:p w:rsidR="004E0E9C" w:rsidRDefault="004E0E9C">
      <w:pPr>
        <w:spacing w:after="0" w:line="240" w:lineRule="auto"/>
        <w:rPr>
          <w:rFonts w:ascii="Arial" w:hAnsi="Arial" w:cs="Arial"/>
          <w:lang w:val="en-US"/>
        </w:rPr>
      </w:pPr>
    </w:p>
    <w:p w:rsidR="004E0E9C" w:rsidRDefault="004E0E9C" w:rsidP="002352CB">
      <w:pPr>
        <w:pStyle w:val="PIHeading2"/>
        <w:keepLines/>
        <w:outlineLvl w:val="1"/>
      </w:pPr>
      <w:r>
        <w:t xml:space="preserve">Use in the </w:t>
      </w:r>
      <w:r w:rsidR="00A10816">
        <w:t>e</w:t>
      </w:r>
      <w:r>
        <w:t>lderly</w:t>
      </w:r>
    </w:p>
    <w:p w:rsidR="004E0E9C" w:rsidRPr="004E0E9C" w:rsidRDefault="004E0E9C" w:rsidP="00634F7D">
      <w:pPr>
        <w:keepNext/>
        <w:keepLines/>
        <w:spacing w:after="0" w:line="240" w:lineRule="auto"/>
        <w:rPr>
          <w:rFonts w:ascii="Arial" w:hAnsi="Arial" w:cs="Arial"/>
          <w:lang w:val="en-US"/>
        </w:rPr>
      </w:pPr>
    </w:p>
    <w:p w:rsidR="004E0E9C" w:rsidRDefault="004E0E9C" w:rsidP="00634F7D">
      <w:pPr>
        <w:keepLines/>
        <w:spacing w:after="0" w:line="240" w:lineRule="auto"/>
        <w:jc w:val="both"/>
        <w:rPr>
          <w:rFonts w:ascii="Arial" w:hAnsi="Arial" w:cs="Arial"/>
          <w:lang w:val="en-US"/>
        </w:rPr>
      </w:pPr>
      <w:r w:rsidRPr="004E0E9C">
        <w:rPr>
          <w:rFonts w:ascii="Arial" w:hAnsi="Arial" w:cs="Arial"/>
          <w:lang w:val="en-US"/>
        </w:rPr>
        <w:t xml:space="preserve">Of </w:t>
      </w:r>
      <w:r w:rsidR="00D971B4">
        <w:rPr>
          <w:rFonts w:ascii="Arial" w:hAnsi="Arial" w:cs="Arial"/>
          <w:lang w:val="en-US"/>
        </w:rPr>
        <w:t xml:space="preserve">the </w:t>
      </w:r>
      <w:r w:rsidRPr="004E0E9C">
        <w:rPr>
          <w:rFonts w:ascii="Arial" w:hAnsi="Arial" w:cs="Arial"/>
          <w:lang w:val="en-US"/>
        </w:rPr>
        <w:t xml:space="preserve">600 patients treated with </w:t>
      </w:r>
      <w:r w:rsidRPr="007E1D5F">
        <w:rPr>
          <w:rFonts w:ascii="Arial" w:hAnsi="Arial" w:cs="Arial"/>
          <w:caps/>
          <w:lang w:val="en-US"/>
        </w:rPr>
        <w:t>Xofigo</w:t>
      </w:r>
      <w:r w:rsidRPr="004E0E9C">
        <w:rPr>
          <w:rFonts w:ascii="Arial" w:hAnsi="Arial" w:cs="Arial"/>
          <w:lang w:val="en-US"/>
        </w:rPr>
        <w:t xml:space="preserve"> in the </w:t>
      </w:r>
      <w:r w:rsidRPr="00D01072">
        <w:rPr>
          <w:rFonts w:ascii="Arial" w:hAnsi="Arial" w:cs="Arial"/>
          <w:lang w:val="en-US"/>
        </w:rPr>
        <w:t>ALSYMPCA</w:t>
      </w:r>
      <w:r w:rsidRPr="004E0E9C">
        <w:rPr>
          <w:rFonts w:ascii="Arial" w:hAnsi="Arial" w:cs="Arial"/>
          <w:lang w:val="en-US"/>
        </w:rPr>
        <w:t xml:space="preserve"> phase III study, 447 patients (74.5%) were 65 years of age and over, while 196 patients (32.7%) were 75 years of age and over.</w:t>
      </w:r>
      <w:r>
        <w:rPr>
          <w:rFonts w:ascii="Arial" w:hAnsi="Arial" w:cs="Arial"/>
          <w:lang w:val="en-US"/>
        </w:rPr>
        <w:t xml:space="preserve">  </w:t>
      </w:r>
      <w:r w:rsidRPr="004E0E9C">
        <w:rPr>
          <w:rFonts w:ascii="Arial" w:hAnsi="Arial" w:cs="Arial"/>
          <w:lang w:val="en-US"/>
        </w:rPr>
        <w:t xml:space="preserve">No overall differences in safety or effectiveness were observed between </w:t>
      </w:r>
      <w:r>
        <w:rPr>
          <w:rFonts w:ascii="Arial" w:hAnsi="Arial" w:cs="Arial"/>
          <w:lang w:val="en-US"/>
        </w:rPr>
        <w:t>patients aged ≥ 65 years</w:t>
      </w:r>
      <w:r w:rsidRPr="004E0E9C">
        <w:rPr>
          <w:rFonts w:ascii="Arial" w:hAnsi="Arial" w:cs="Arial"/>
          <w:lang w:val="en-US"/>
        </w:rPr>
        <w:t xml:space="preserve"> and patients </w:t>
      </w:r>
      <w:r>
        <w:rPr>
          <w:rFonts w:ascii="Arial" w:hAnsi="Arial" w:cs="Arial"/>
          <w:lang w:val="en-US"/>
        </w:rPr>
        <w:t>aged &lt; 65 years</w:t>
      </w:r>
      <w:r w:rsidRPr="004E0E9C">
        <w:rPr>
          <w:rFonts w:ascii="Arial" w:hAnsi="Arial" w:cs="Arial"/>
          <w:lang w:val="en-US"/>
        </w:rPr>
        <w:t>.</w:t>
      </w:r>
      <w:r>
        <w:rPr>
          <w:rFonts w:ascii="Arial" w:hAnsi="Arial" w:cs="Arial"/>
          <w:lang w:val="en-US"/>
        </w:rPr>
        <w:t xml:space="preserve">  </w:t>
      </w:r>
      <w:r w:rsidRPr="004E0E9C">
        <w:rPr>
          <w:rFonts w:ascii="Arial" w:hAnsi="Arial" w:cs="Arial"/>
          <w:lang w:val="en-US"/>
        </w:rPr>
        <w:t>No dose adjustment is considered necessary in elderly patients.</w:t>
      </w:r>
    </w:p>
    <w:p w:rsidR="001251E0" w:rsidRDefault="001251E0" w:rsidP="004E0E9C">
      <w:pPr>
        <w:spacing w:after="0" w:line="240" w:lineRule="auto"/>
        <w:rPr>
          <w:rFonts w:ascii="Arial" w:hAnsi="Arial" w:cs="Arial"/>
          <w:lang w:val="en-US"/>
        </w:rPr>
      </w:pPr>
    </w:p>
    <w:p w:rsidR="001251E0" w:rsidRDefault="001251E0" w:rsidP="002154B2">
      <w:pPr>
        <w:pStyle w:val="PIHeading2"/>
        <w:outlineLvl w:val="1"/>
      </w:pPr>
      <w:proofErr w:type="spellStart"/>
      <w:r>
        <w:t>Genotoxicity</w:t>
      </w:r>
      <w:proofErr w:type="spellEnd"/>
    </w:p>
    <w:p w:rsidR="001251E0" w:rsidRDefault="001251E0" w:rsidP="002154B2">
      <w:pPr>
        <w:keepNext/>
        <w:spacing w:after="0" w:line="240" w:lineRule="auto"/>
        <w:rPr>
          <w:rFonts w:ascii="Arial" w:hAnsi="Arial" w:cs="Arial"/>
          <w:lang w:val="en-US"/>
        </w:rPr>
      </w:pPr>
    </w:p>
    <w:p w:rsidR="001251E0" w:rsidRDefault="001251E0" w:rsidP="00DB3184">
      <w:pPr>
        <w:spacing w:after="0" w:line="240" w:lineRule="auto"/>
        <w:jc w:val="both"/>
        <w:rPr>
          <w:rFonts w:ascii="Arial" w:hAnsi="Arial" w:cs="Arial"/>
          <w:lang w:val="en-US"/>
        </w:rPr>
      </w:pPr>
      <w:r w:rsidRPr="001251E0">
        <w:rPr>
          <w:rFonts w:ascii="Arial" w:hAnsi="Arial" w:cs="Arial"/>
          <w:lang w:val="en-US"/>
        </w:rPr>
        <w:t xml:space="preserve">Studies on the mutagenic potential of </w:t>
      </w:r>
      <w:r w:rsidRPr="007E1D5F">
        <w:rPr>
          <w:rFonts w:ascii="Arial" w:hAnsi="Arial" w:cs="Arial"/>
          <w:caps/>
          <w:lang w:val="en-US"/>
        </w:rPr>
        <w:t>Xofigo</w:t>
      </w:r>
      <w:r w:rsidRPr="001251E0">
        <w:rPr>
          <w:rFonts w:ascii="Arial" w:hAnsi="Arial" w:cs="Arial"/>
          <w:lang w:val="en-US"/>
        </w:rPr>
        <w:t xml:space="preserve"> have not been performed.</w:t>
      </w:r>
      <w:r w:rsidR="00DB3184">
        <w:rPr>
          <w:rFonts w:ascii="Arial" w:hAnsi="Arial" w:cs="Arial"/>
          <w:lang w:val="en-US"/>
        </w:rPr>
        <w:t xml:space="preserve">  </w:t>
      </w:r>
      <w:r w:rsidR="00DB3184" w:rsidRPr="00DB3184">
        <w:rPr>
          <w:rFonts w:ascii="Arial" w:hAnsi="Arial" w:cs="Arial"/>
          <w:lang w:val="en-US"/>
        </w:rPr>
        <w:t>However, radium</w:t>
      </w:r>
      <w:r w:rsidR="00DB3184">
        <w:rPr>
          <w:rFonts w:ascii="Arial" w:hAnsi="Arial" w:cs="Arial"/>
          <w:lang w:val="en-US"/>
        </w:rPr>
        <w:noBreakHyphen/>
      </w:r>
      <w:r w:rsidR="00DB3184" w:rsidRPr="00DB3184">
        <w:rPr>
          <w:rFonts w:ascii="Arial" w:hAnsi="Arial" w:cs="Arial"/>
          <w:lang w:val="en-US"/>
        </w:rPr>
        <w:t xml:space="preserve">223 dichloride </w:t>
      </w:r>
      <w:r w:rsidR="00DB3184">
        <w:rPr>
          <w:rFonts w:ascii="Arial" w:hAnsi="Arial" w:cs="Arial"/>
          <w:lang w:val="en-US"/>
        </w:rPr>
        <w:t>acts by the</w:t>
      </w:r>
      <w:r w:rsidR="00DB3184" w:rsidRPr="00DB3184">
        <w:rPr>
          <w:rFonts w:ascii="Arial" w:hAnsi="Arial" w:cs="Arial"/>
          <w:lang w:val="en-US"/>
        </w:rPr>
        <w:t xml:space="preserve"> induction of double-strand breaks</w:t>
      </w:r>
      <w:r w:rsidR="00DB3184">
        <w:rPr>
          <w:rFonts w:ascii="Arial" w:hAnsi="Arial" w:cs="Arial"/>
          <w:lang w:val="en-US"/>
        </w:rPr>
        <w:t xml:space="preserve"> in DNA</w:t>
      </w:r>
      <w:r w:rsidR="00DB3184" w:rsidRPr="00DB3184">
        <w:rPr>
          <w:rFonts w:ascii="Arial" w:hAnsi="Arial" w:cs="Arial"/>
          <w:lang w:val="en-US"/>
        </w:rPr>
        <w:t>, a known effect of radiation.</w:t>
      </w:r>
      <w:r w:rsidR="00E221A0">
        <w:rPr>
          <w:rFonts w:ascii="Arial" w:hAnsi="Arial" w:cs="Arial"/>
          <w:lang w:val="en-US"/>
        </w:rPr>
        <w:t xml:space="preserve">  </w:t>
      </w:r>
    </w:p>
    <w:p w:rsidR="00D971B4" w:rsidRDefault="00D971B4" w:rsidP="004E0E9C">
      <w:pPr>
        <w:spacing w:after="0" w:line="240" w:lineRule="auto"/>
        <w:rPr>
          <w:rFonts w:ascii="Arial" w:hAnsi="Arial" w:cs="Arial"/>
          <w:lang w:val="en-US"/>
        </w:rPr>
      </w:pPr>
    </w:p>
    <w:p w:rsidR="00D971B4" w:rsidRDefault="00D971B4" w:rsidP="00CC7633">
      <w:pPr>
        <w:pStyle w:val="PIHeading2"/>
        <w:outlineLvl w:val="1"/>
      </w:pPr>
      <w:r>
        <w:t>Carcinogenicity</w:t>
      </w:r>
    </w:p>
    <w:p w:rsidR="00D971B4" w:rsidRDefault="00D971B4" w:rsidP="00CC7633">
      <w:pPr>
        <w:keepNext/>
        <w:spacing w:after="0" w:line="240" w:lineRule="auto"/>
        <w:rPr>
          <w:rFonts w:ascii="Arial" w:hAnsi="Arial" w:cs="Arial"/>
          <w:lang w:val="en-US"/>
        </w:rPr>
      </w:pPr>
    </w:p>
    <w:p w:rsidR="00D971B4" w:rsidRDefault="00D971B4" w:rsidP="00DB3184">
      <w:pPr>
        <w:spacing w:after="0" w:line="240" w:lineRule="auto"/>
        <w:jc w:val="both"/>
        <w:rPr>
          <w:rFonts w:ascii="Arial" w:hAnsi="Arial" w:cs="Arial"/>
          <w:lang w:val="en-US"/>
        </w:rPr>
      </w:pPr>
      <w:r w:rsidRPr="001251E0">
        <w:rPr>
          <w:rFonts w:ascii="Arial" w:hAnsi="Arial" w:cs="Arial"/>
          <w:lang w:val="en-US"/>
        </w:rPr>
        <w:t xml:space="preserve">Studies on the </w:t>
      </w:r>
      <w:r>
        <w:rPr>
          <w:rFonts w:ascii="Arial" w:hAnsi="Arial" w:cs="Arial"/>
          <w:lang w:val="en-US"/>
        </w:rPr>
        <w:t xml:space="preserve">carcinogenic </w:t>
      </w:r>
      <w:r w:rsidRPr="001251E0">
        <w:rPr>
          <w:rFonts w:ascii="Arial" w:hAnsi="Arial" w:cs="Arial"/>
          <w:lang w:val="en-US"/>
        </w:rPr>
        <w:t xml:space="preserve">potential of </w:t>
      </w:r>
      <w:r w:rsidRPr="007E1D5F">
        <w:rPr>
          <w:rFonts w:ascii="Arial" w:hAnsi="Arial" w:cs="Arial"/>
          <w:caps/>
          <w:lang w:val="en-US"/>
        </w:rPr>
        <w:t>Xofigo</w:t>
      </w:r>
      <w:r w:rsidRPr="001251E0">
        <w:rPr>
          <w:rFonts w:ascii="Arial" w:hAnsi="Arial" w:cs="Arial"/>
          <w:lang w:val="en-US"/>
        </w:rPr>
        <w:t xml:space="preserve"> have not been performed.</w:t>
      </w:r>
      <w:r w:rsidR="00410B34">
        <w:rPr>
          <w:rFonts w:ascii="Arial" w:hAnsi="Arial" w:cs="Arial"/>
          <w:lang w:val="en-US"/>
        </w:rPr>
        <w:t xml:space="preserve"> </w:t>
      </w:r>
      <w:r w:rsidR="00DB3184" w:rsidRPr="00DB3184">
        <w:rPr>
          <w:rFonts w:ascii="Arial" w:hAnsi="Arial" w:cs="Arial"/>
          <w:lang w:val="en-US"/>
        </w:rPr>
        <w:t>Osteosarcomas, a known effect of bone-seeking radionuclides, were observed at clinically relevant doses in</w:t>
      </w:r>
      <w:r w:rsidR="00DB3184">
        <w:rPr>
          <w:rFonts w:ascii="Arial" w:hAnsi="Arial" w:cs="Arial"/>
          <w:lang w:val="en-US"/>
        </w:rPr>
        <w:t xml:space="preserve"> repeat-dose toxicity studies in </w:t>
      </w:r>
      <w:r w:rsidR="00DB3184" w:rsidRPr="00DB3184">
        <w:rPr>
          <w:rFonts w:ascii="Arial" w:hAnsi="Arial" w:cs="Arial"/>
          <w:lang w:val="en-US"/>
        </w:rPr>
        <w:t xml:space="preserve">rats 7 </w:t>
      </w:r>
      <w:r w:rsidR="00DB3184">
        <w:rPr>
          <w:rFonts w:ascii="Arial" w:hAnsi="Arial" w:cs="Arial"/>
          <w:lang w:val="en-US"/>
        </w:rPr>
        <w:t>to</w:t>
      </w:r>
      <w:r w:rsidR="00DB3184" w:rsidRPr="00DB3184">
        <w:rPr>
          <w:rFonts w:ascii="Arial" w:hAnsi="Arial" w:cs="Arial"/>
          <w:lang w:val="en-US"/>
        </w:rPr>
        <w:t xml:space="preserve"> 12 months after start of treatment.</w:t>
      </w:r>
    </w:p>
    <w:p w:rsidR="00511C09" w:rsidRDefault="00511C09" w:rsidP="00F364BA">
      <w:pPr>
        <w:keepNext/>
        <w:spacing w:after="0" w:line="240" w:lineRule="auto"/>
        <w:rPr>
          <w:rFonts w:ascii="Arial" w:hAnsi="Arial" w:cs="Arial"/>
          <w:b/>
          <w:lang w:val="en-US"/>
        </w:rPr>
      </w:pPr>
    </w:p>
    <w:p w:rsidR="005040AA" w:rsidRDefault="005040AA" w:rsidP="002352CB">
      <w:pPr>
        <w:pStyle w:val="PIHeading1"/>
        <w:outlineLvl w:val="0"/>
        <w:rPr>
          <w:lang w:val="en-US"/>
        </w:rPr>
      </w:pPr>
      <w:r>
        <w:rPr>
          <w:lang w:val="en-US"/>
        </w:rPr>
        <w:t>INTERACTIONS WITH OTHER MEDICINES</w:t>
      </w:r>
    </w:p>
    <w:p w:rsidR="005040AA" w:rsidRDefault="005040AA" w:rsidP="004E0E9C">
      <w:pPr>
        <w:spacing w:after="0" w:line="240" w:lineRule="auto"/>
        <w:rPr>
          <w:rFonts w:ascii="Arial" w:hAnsi="Arial" w:cs="Arial"/>
          <w:lang w:val="en-US"/>
        </w:rPr>
      </w:pPr>
    </w:p>
    <w:p w:rsidR="00E4116D" w:rsidRDefault="00F10702" w:rsidP="00E80C60">
      <w:pPr>
        <w:spacing w:after="0" w:line="240" w:lineRule="auto"/>
        <w:jc w:val="both"/>
        <w:rPr>
          <w:rFonts w:ascii="Arial" w:hAnsi="Arial" w:cs="Arial"/>
          <w:lang w:val="en-US"/>
        </w:rPr>
      </w:pPr>
      <w:r w:rsidRPr="00F10702">
        <w:rPr>
          <w:rFonts w:ascii="Arial" w:hAnsi="Arial" w:cs="Arial"/>
          <w:lang w:val="en-US"/>
        </w:rPr>
        <w:t xml:space="preserve">No clinical interaction studies have been performed. Concomitant chemotherapy with </w:t>
      </w:r>
      <w:r w:rsidRPr="007E1D5F">
        <w:rPr>
          <w:rFonts w:ascii="Arial" w:hAnsi="Arial" w:cs="Arial"/>
          <w:caps/>
          <w:lang w:val="en-US"/>
        </w:rPr>
        <w:t>Xofigo</w:t>
      </w:r>
      <w:r w:rsidRPr="00F10702">
        <w:rPr>
          <w:rFonts w:ascii="Arial" w:hAnsi="Arial" w:cs="Arial"/>
          <w:lang w:val="en-US"/>
        </w:rPr>
        <w:t xml:space="preserve"> may have additive effects on bone marrow suppression (see </w:t>
      </w:r>
      <w:r w:rsidR="00D971B4" w:rsidRPr="00F12D2C">
        <w:rPr>
          <w:rFonts w:ascii="Arial" w:hAnsi="Arial" w:cs="Arial"/>
          <w:lang w:val="en-US"/>
        </w:rPr>
        <w:t>PRECAUTIONS</w:t>
      </w:r>
      <w:r w:rsidR="00D971B4">
        <w:rPr>
          <w:rFonts w:ascii="Arial" w:hAnsi="Arial" w:cs="Arial"/>
          <w:lang w:val="en-US"/>
        </w:rPr>
        <w:t xml:space="preserve"> – Bone marrow suppression</w:t>
      </w:r>
      <w:r w:rsidRPr="00F10702">
        <w:rPr>
          <w:rFonts w:ascii="Arial" w:hAnsi="Arial" w:cs="Arial"/>
          <w:lang w:val="en-US"/>
        </w:rPr>
        <w:t>).</w:t>
      </w:r>
      <w:r>
        <w:rPr>
          <w:rFonts w:ascii="Arial" w:hAnsi="Arial" w:cs="Arial"/>
          <w:lang w:val="en-US"/>
        </w:rPr>
        <w:t xml:space="preserve"> </w:t>
      </w:r>
      <w:r w:rsidRPr="00F10702">
        <w:rPr>
          <w:rFonts w:ascii="Arial" w:hAnsi="Arial" w:cs="Arial"/>
          <w:lang w:val="en-US"/>
        </w:rPr>
        <w:t xml:space="preserve"> Safety and efficacy of concomitant chemotherapy with </w:t>
      </w:r>
      <w:r w:rsidRPr="007E1D5F">
        <w:rPr>
          <w:rFonts w:ascii="Arial" w:hAnsi="Arial" w:cs="Arial"/>
          <w:caps/>
          <w:lang w:val="en-US"/>
        </w:rPr>
        <w:t>Xofigo</w:t>
      </w:r>
      <w:r w:rsidRPr="00F10702">
        <w:rPr>
          <w:rFonts w:ascii="Arial" w:hAnsi="Arial" w:cs="Arial"/>
          <w:lang w:val="en-US"/>
        </w:rPr>
        <w:t xml:space="preserve"> have not been established</w:t>
      </w:r>
      <w:r>
        <w:rPr>
          <w:rFonts w:ascii="Arial" w:hAnsi="Arial" w:cs="Arial"/>
          <w:lang w:val="en-US"/>
        </w:rPr>
        <w:t>.</w:t>
      </w:r>
    </w:p>
    <w:p w:rsidR="00E4116D" w:rsidRDefault="00E4116D" w:rsidP="00F10702">
      <w:pPr>
        <w:spacing w:after="0" w:line="240" w:lineRule="auto"/>
        <w:rPr>
          <w:rFonts w:ascii="Arial" w:hAnsi="Arial" w:cs="Arial"/>
          <w:lang w:val="en-US"/>
        </w:rPr>
      </w:pPr>
    </w:p>
    <w:p w:rsidR="00E85F9F" w:rsidRDefault="00E85F9F" w:rsidP="00F10702">
      <w:pPr>
        <w:spacing w:after="0" w:line="240" w:lineRule="auto"/>
        <w:rPr>
          <w:rFonts w:ascii="Arial" w:hAnsi="Arial" w:cs="Arial"/>
          <w:b/>
          <w:lang w:val="en-US"/>
        </w:rPr>
      </w:pPr>
    </w:p>
    <w:p w:rsidR="00E4116D" w:rsidRDefault="00E4116D" w:rsidP="002352CB">
      <w:pPr>
        <w:pStyle w:val="PIHeading1"/>
        <w:outlineLvl w:val="0"/>
        <w:rPr>
          <w:lang w:val="en-US"/>
        </w:rPr>
      </w:pPr>
      <w:r>
        <w:rPr>
          <w:lang w:val="en-US"/>
        </w:rPr>
        <w:t>ADVERSE EFFECTS</w:t>
      </w:r>
    </w:p>
    <w:p w:rsidR="007876DD" w:rsidRDefault="007876DD" w:rsidP="00F10702">
      <w:pPr>
        <w:spacing w:after="0" w:line="240" w:lineRule="auto"/>
        <w:rPr>
          <w:rFonts w:ascii="Arial" w:hAnsi="Arial" w:cs="Arial"/>
          <w:lang w:val="en-US"/>
        </w:rPr>
      </w:pPr>
    </w:p>
    <w:p w:rsidR="007876DD" w:rsidRDefault="007876DD" w:rsidP="007E1D5F">
      <w:pPr>
        <w:spacing w:after="0" w:line="240" w:lineRule="auto"/>
        <w:jc w:val="both"/>
        <w:rPr>
          <w:rFonts w:ascii="Arial" w:hAnsi="Arial" w:cs="Arial"/>
          <w:lang w:val="en-US"/>
        </w:rPr>
      </w:pPr>
      <w:r w:rsidRPr="007876DD">
        <w:rPr>
          <w:rFonts w:ascii="Arial" w:hAnsi="Arial" w:cs="Arial"/>
          <w:lang w:val="en-US"/>
        </w:rPr>
        <w:t xml:space="preserve">The overall safety profile of </w:t>
      </w:r>
      <w:r w:rsidRPr="007E1D5F">
        <w:rPr>
          <w:rFonts w:ascii="Arial" w:hAnsi="Arial" w:cs="Arial"/>
          <w:caps/>
          <w:lang w:val="en-US"/>
        </w:rPr>
        <w:t>Xofigo</w:t>
      </w:r>
      <w:r w:rsidRPr="007876DD">
        <w:rPr>
          <w:rFonts w:ascii="Arial" w:hAnsi="Arial" w:cs="Arial"/>
          <w:lang w:val="en-US"/>
        </w:rPr>
        <w:t xml:space="preserve"> is based on data from 600 patients treated with </w:t>
      </w:r>
      <w:r w:rsidRPr="007E1D5F">
        <w:rPr>
          <w:rFonts w:ascii="Arial" w:hAnsi="Arial" w:cs="Arial"/>
          <w:caps/>
          <w:lang w:val="en-US"/>
        </w:rPr>
        <w:t>Xofigo</w:t>
      </w:r>
      <w:r w:rsidRPr="007876DD">
        <w:rPr>
          <w:rFonts w:ascii="Arial" w:hAnsi="Arial" w:cs="Arial"/>
          <w:lang w:val="en-US"/>
        </w:rPr>
        <w:t xml:space="preserve"> in the </w:t>
      </w:r>
      <w:r w:rsidRPr="00D01072">
        <w:rPr>
          <w:rFonts w:ascii="Arial" w:hAnsi="Arial" w:cs="Arial"/>
          <w:lang w:val="en-US"/>
        </w:rPr>
        <w:t>ALSYMPCA</w:t>
      </w:r>
      <w:r w:rsidRPr="007876DD">
        <w:rPr>
          <w:rFonts w:ascii="Arial" w:hAnsi="Arial" w:cs="Arial"/>
          <w:lang w:val="en-US"/>
        </w:rPr>
        <w:t xml:space="preserve"> phase III study. </w:t>
      </w:r>
    </w:p>
    <w:p w:rsidR="002B1B23" w:rsidRPr="007876DD" w:rsidRDefault="002B1B23" w:rsidP="007E1D5F">
      <w:pPr>
        <w:spacing w:after="0" w:line="240" w:lineRule="auto"/>
        <w:jc w:val="both"/>
        <w:rPr>
          <w:rFonts w:ascii="Arial" w:hAnsi="Arial" w:cs="Arial"/>
          <w:lang w:val="en-US"/>
        </w:rPr>
      </w:pPr>
    </w:p>
    <w:p w:rsidR="007876DD" w:rsidRDefault="007876DD" w:rsidP="007E1D5F">
      <w:pPr>
        <w:spacing w:after="0" w:line="240" w:lineRule="auto"/>
        <w:jc w:val="both"/>
        <w:rPr>
          <w:rFonts w:ascii="Arial" w:hAnsi="Arial" w:cs="Arial"/>
          <w:lang w:val="en-US"/>
        </w:rPr>
      </w:pPr>
      <w:r w:rsidRPr="007876DD">
        <w:rPr>
          <w:rFonts w:ascii="Arial" w:hAnsi="Arial" w:cs="Arial"/>
          <w:lang w:val="en-US"/>
        </w:rPr>
        <w:t xml:space="preserve">The most serious adverse drug reactions were thrombocytopenia and neutropenia (see </w:t>
      </w:r>
      <w:r w:rsidR="00D971B4" w:rsidRPr="00F12D2C">
        <w:rPr>
          <w:rFonts w:ascii="Arial" w:hAnsi="Arial" w:cs="Arial"/>
          <w:lang w:val="en-US"/>
        </w:rPr>
        <w:t>PRECAUTIONS</w:t>
      </w:r>
      <w:r w:rsidR="00D971B4">
        <w:rPr>
          <w:rFonts w:ascii="Arial" w:hAnsi="Arial" w:cs="Arial"/>
          <w:lang w:val="en-US"/>
        </w:rPr>
        <w:t xml:space="preserve"> – Bone marrow suppression</w:t>
      </w:r>
      <w:r w:rsidRPr="007876DD">
        <w:rPr>
          <w:rFonts w:ascii="Arial" w:hAnsi="Arial" w:cs="Arial"/>
          <w:lang w:val="en-US"/>
        </w:rPr>
        <w:t xml:space="preserve"> and </w:t>
      </w:r>
      <w:r w:rsidR="00F364BA">
        <w:rPr>
          <w:rFonts w:ascii="Arial" w:hAnsi="Arial" w:cs="Arial"/>
          <w:lang w:val="en-US"/>
        </w:rPr>
        <w:t xml:space="preserve">below for </w:t>
      </w:r>
      <w:r w:rsidR="002B1B23">
        <w:rPr>
          <w:rFonts w:ascii="Arial" w:hAnsi="Arial" w:cs="Arial"/>
          <w:lang w:val="en-US"/>
        </w:rPr>
        <w:t>d</w:t>
      </w:r>
      <w:r w:rsidRPr="007876DD">
        <w:rPr>
          <w:rFonts w:ascii="Arial" w:hAnsi="Arial" w:cs="Arial"/>
          <w:lang w:val="en-US"/>
        </w:rPr>
        <w:t>escriptio</w:t>
      </w:r>
      <w:r w:rsidR="002B1B23">
        <w:rPr>
          <w:rFonts w:ascii="Arial" w:hAnsi="Arial" w:cs="Arial"/>
          <w:lang w:val="en-US"/>
        </w:rPr>
        <w:t>n of selected adverse reactions</w:t>
      </w:r>
      <w:r w:rsidRPr="007876DD">
        <w:rPr>
          <w:rFonts w:ascii="Arial" w:hAnsi="Arial" w:cs="Arial"/>
          <w:lang w:val="en-US"/>
        </w:rPr>
        <w:t>).</w:t>
      </w:r>
      <w:r w:rsidR="002B1B23">
        <w:rPr>
          <w:rFonts w:ascii="Arial" w:hAnsi="Arial" w:cs="Arial"/>
          <w:lang w:val="en-US"/>
        </w:rPr>
        <w:t xml:space="preserve"> </w:t>
      </w:r>
      <w:r w:rsidRPr="007876DD">
        <w:rPr>
          <w:rFonts w:ascii="Arial" w:hAnsi="Arial" w:cs="Arial"/>
          <w:lang w:val="en-US"/>
        </w:rPr>
        <w:t xml:space="preserve"> The most frequently observed adverse drug reactions (</w:t>
      </w:r>
      <w:r w:rsidR="002B1B23">
        <w:rPr>
          <w:rFonts w:ascii="Arial" w:hAnsi="Arial" w:cs="Arial"/>
          <w:lang w:val="en-US"/>
        </w:rPr>
        <w:t>≥</w:t>
      </w:r>
      <w:r w:rsidRPr="007876DD">
        <w:rPr>
          <w:rFonts w:ascii="Arial" w:hAnsi="Arial" w:cs="Arial"/>
          <w:lang w:val="en-US"/>
        </w:rPr>
        <w:t xml:space="preserve"> 10%) in patients receiving </w:t>
      </w:r>
      <w:r w:rsidRPr="007E1D5F">
        <w:rPr>
          <w:rFonts w:ascii="Arial" w:hAnsi="Arial" w:cs="Arial"/>
          <w:caps/>
          <w:lang w:val="en-US"/>
        </w:rPr>
        <w:t>Xofigo</w:t>
      </w:r>
      <w:r w:rsidRPr="007876DD">
        <w:rPr>
          <w:rFonts w:ascii="Arial" w:hAnsi="Arial" w:cs="Arial"/>
          <w:lang w:val="en-US"/>
        </w:rPr>
        <w:t xml:space="preserve"> were </w:t>
      </w:r>
      <w:proofErr w:type="spellStart"/>
      <w:r w:rsidRPr="007876DD">
        <w:rPr>
          <w:rFonts w:ascii="Arial" w:hAnsi="Arial" w:cs="Arial"/>
          <w:lang w:val="en-US"/>
        </w:rPr>
        <w:t>diarrh</w:t>
      </w:r>
      <w:r w:rsidR="002B1B23">
        <w:rPr>
          <w:rFonts w:ascii="Arial" w:hAnsi="Arial" w:cs="Arial"/>
          <w:lang w:val="en-US"/>
        </w:rPr>
        <w:t>o</w:t>
      </w:r>
      <w:r w:rsidRPr="007876DD">
        <w:rPr>
          <w:rFonts w:ascii="Arial" w:hAnsi="Arial" w:cs="Arial"/>
          <w:lang w:val="en-US"/>
        </w:rPr>
        <w:t>ea</w:t>
      </w:r>
      <w:proofErr w:type="spellEnd"/>
      <w:r w:rsidRPr="007876DD">
        <w:rPr>
          <w:rFonts w:ascii="Arial" w:hAnsi="Arial" w:cs="Arial"/>
          <w:lang w:val="en-US"/>
        </w:rPr>
        <w:t>, nausea, vomiting and thrombocytopenia.</w:t>
      </w:r>
    </w:p>
    <w:p w:rsidR="009257F9" w:rsidRPr="009257F9" w:rsidRDefault="009257F9" w:rsidP="007E1D5F">
      <w:pPr>
        <w:spacing w:after="0" w:line="240" w:lineRule="auto"/>
        <w:jc w:val="both"/>
        <w:rPr>
          <w:rFonts w:ascii="Arial" w:hAnsi="Arial" w:cs="Arial"/>
          <w:lang w:val="en-US"/>
        </w:rPr>
      </w:pPr>
    </w:p>
    <w:p w:rsidR="00A90363" w:rsidRPr="00A90363" w:rsidRDefault="009257F9" w:rsidP="007E1D5F">
      <w:pPr>
        <w:pStyle w:val="BodyText"/>
        <w:spacing w:before="0" w:after="0"/>
        <w:rPr>
          <w:rFonts w:ascii="Arial" w:hAnsi="Arial" w:cs="Arial"/>
          <w:sz w:val="22"/>
          <w:szCs w:val="22"/>
        </w:rPr>
      </w:pPr>
      <w:r w:rsidRPr="009257F9">
        <w:rPr>
          <w:rFonts w:ascii="Arial" w:hAnsi="Arial" w:cs="Arial"/>
          <w:sz w:val="22"/>
          <w:szCs w:val="22"/>
        </w:rPr>
        <w:t xml:space="preserve">Table </w:t>
      </w:r>
      <w:r w:rsidR="0088685E">
        <w:rPr>
          <w:rFonts w:ascii="Arial" w:hAnsi="Arial" w:cs="Arial"/>
          <w:sz w:val="22"/>
          <w:szCs w:val="22"/>
        </w:rPr>
        <w:t>3</w:t>
      </w:r>
      <w:r w:rsidRPr="009257F9">
        <w:rPr>
          <w:rFonts w:ascii="Arial" w:hAnsi="Arial" w:cs="Arial"/>
          <w:sz w:val="22"/>
          <w:szCs w:val="22"/>
        </w:rPr>
        <w:t xml:space="preserve"> shows adverse reactions occurring in ≥ 1% of patients treated with </w:t>
      </w:r>
      <w:r w:rsidRPr="007E1D5F">
        <w:rPr>
          <w:rFonts w:ascii="Arial" w:hAnsi="Arial" w:cs="Arial"/>
          <w:caps/>
          <w:sz w:val="22"/>
          <w:szCs w:val="22"/>
        </w:rPr>
        <w:t>Xofigo</w:t>
      </w:r>
      <w:r w:rsidRPr="009257F9">
        <w:rPr>
          <w:rFonts w:ascii="Arial" w:hAnsi="Arial" w:cs="Arial"/>
          <w:sz w:val="22"/>
          <w:szCs w:val="22"/>
        </w:rPr>
        <w:t xml:space="preserve"> or placebo. </w:t>
      </w:r>
      <w:r w:rsidR="00F364BA">
        <w:rPr>
          <w:rFonts w:ascii="Arial" w:hAnsi="Arial" w:cs="Arial"/>
          <w:sz w:val="22"/>
          <w:szCs w:val="22"/>
        </w:rPr>
        <w:t xml:space="preserve"> </w:t>
      </w:r>
      <w:r w:rsidR="00A90363" w:rsidRPr="00A90363">
        <w:rPr>
          <w:rFonts w:ascii="Arial" w:hAnsi="Arial" w:cs="Arial"/>
          <w:sz w:val="22"/>
          <w:szCs w:val="22"/>
        </w:rPr>
        <w:t xml:space="preserve">Adverse reactions are identified using </w:t>
      </w:r>
      <w:proofErr w:type="spellStart"/>
      <w:r w:rsidR="00A90363" w:rsidRPr="00A90363">
        <w:rPr>
          <w:rFonts w:ascii="Arial" w:hAnsi="Arial" w:cs="Arial"/>
          <w:sz w:val="22"/>
          <w:szCs w:val="22"/>
        </w:rPr>
        <w:t>MedDRA</w:t>
      </w:r>
      <w:proofErr w:type="spellEnd"/>
      <w:r w:rsidR="00A90363" w:rsidRPr="00A90363">
        <w:rPr>
          <w:rFonts w:ascii="Arial" w:hAnsi="Arial" w:cs="Arial"/>
          <w:sz w:val="22"/>
          <w:szCs w:val="22"/>
        </w:rPr>
        <w:t xml:space="preserve"> version 14.1 and graded according to CTCAE version 3.0.</w:t>
      </w:r>
    </w:p>
    <w:p w:rsidR="009257F9" w:rsidRPr="009257F9" w:rsidRDefault="009257F9" w:rsidP="009257F9">
      <w:pPr>
        <w:pStyle w:val="BodyText"/>
        <w:spacing w:before="0" w:after="0"/>
        <w:rPr>
          <w:rFonts w:ascii="Arial" w:hAnsi="Arial" w:cs="Arial"/>
          <w:sz w:val="22"/>
          <w:szCs w:val="22"/>
        </w:rPr>
      </w:pPr>
    </w:p>
    <w:p w:rsidR="009257F9" w:rsidRPr="009257F9" w:rsidRDefault="009257F9" w:rsidP="00F12D2C">
      <w:pPr>
        <w:pStyle w:val="Caption"/>
        <w:spacing w:before="0"/>
        <w:ind w:left="0"/>
        <w:rPr>
          <w:rFonts w:ascii="Arial" w:hAnsi="Arial" w:cs="Arial"/>
          <w:sz w:val="20"/>
        </w:rPr>
      </w:pPr>
      <w:r w:rsidRPr="009257F9">
        <w:rPr>
          <w:rFonts w:ascii="Arial" w:hAnsi="Arial" w:cs="Arial"/>
          <w:sz w:val="20"/>
        </w:rPr>
        <w:t xml:space="preserve">Table </w:t>
      </w:r>
      <w:r w:rsidR="0088685E">
        <w:rPr>
          <w:rFonts w:ascii="Arial" w:hAnsi="Arial" w:cs="Arial"/>
          <w:sz w:val="20"/>
        </w:rPr>
        <w:t>3</w:t>
      </w:r>
      <w:r w:rsidRPr="009257F9">
        <w:rPr>
          <w:rFonts w:ascii="Arial" w:hAnsi="Arial" w:cs="Arial"/>
          <w:sz w:val="20"/>
        </w:rPr>
        <w:t xml:space="preserve">: Incidence of Adverse Reactions in ≥ 1% of Patients Treated with </w:t>
      </w:r>
      <w:r w:rsidRPr="007E1D5F">
        <w:rPr>
          <w:rFonts w:ascii="Arial" w:hAnsi="Arial" w:cs="Arial"/>
          <w:caps/>
          <w:sz w:val="20"/>
        </w:rPr>
        <w:t>Xofigo</w:t>
      </w:r>
      <w:r w:rsidRPr="009257F9">
        <w:rPr>
          <w:rFonts w:ascii="Arial" w:hAnsi="Arial" w:cs="Arial"/>
          <w:sz w:val="20"/>
        </w:rPr>
        <w:t xml:space="preserve"> or Placebo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16"/>
        <w:gridCol w:w="1686"/>
        <w:gridCol w:w="1690"/>
        <w:gridCol w:w="57"/>
        <w:gridCol w:w="1717"/>
      </w:tblGrid>
      <w:tr w:rsidR="009257F9" w:rsidRPr="009257F9" w:rsidTr="009E37B3">
        <w:trPr>
          <w:tblHeader/>
        </w:trPr>
        <w:tc>
          <w:tcPr>
            <w:tcW w:w="2268" w:type="dxa"/>
            <w:shd w:val="clear" w:color="auto" w:fill="auto"/>
          </w:tcPr>
          <w:p w:rsidR="009257F9" w:rsidRPr="009257F9" w:rsidRDefault="009257F9" w:rsidP="009E37B3">
            <w:pPr>
              <w:pStyle w:val="BodyText"/>
              <w:spacing w:before="40" w:after="40"/>
              <w:jc w:val="left"/>
              <w:rPr>
                <w:rFonts w:ascii="Arial" w:hAnsi="Arial" w:cs="Arial"/>
                <w:b/>
                <w:sz w:val="20"/>
              </w:rPr>
            </w:pPr>
            <w:r w:rsidRPr="009257F9">
              <w:rPr>
                <w:rFonts w:ascii="Arial" w:hAnsi="Arial" w:cs="Arial"/>
                <w:b/>
                <w:sz w:val="20"/>
              </w:rPr>
              <w:t>System/Organ Class</w:t>
            </w:r>
            <w:r w:rsidRPr="009257F9">
              <w:rPr>
                <w:rFonts w:ascii="Arial" w:hAnsi="Arial" w:cs="Arial"/>
                <w:b/>
                <w:sz w:val="20"/>
              </w:rPr>
              <w:br/>
              <w:t>Preferred Term</w:t>
            </w:r>
          </w:p>
        </w:tc>
        <w:tc>
          <w:tcPr>
            <w:tcW w:w="3402" w:type="dxa"/>
            <w:gridSpan w:val="2"/>
            <w:shd w:val="clear" w:color="auto" w:fill="auto"/>
          </w:tcPr>
          <w:p w:rsidR="009257F9" w:rsidRPr="009257F9" w:rsidRDefault="009257F9" w:rsidP="009257F9">
            <w:pPr>
              <w:pStyle w:val="BodyText"/>
              <w:spacing w:before="40" w:after="40"/>
              <w:jc w:val="center"/>
              <w:rPr>
                <w:rFonts w:ascii="Arial" w:hAnsi="Arial" w:cs="Arial"/>
                <w:b/>
                <w:sz w:val="20"/>
              </w:rPr>
            </w:pPr>
            <w:r w:rsidRPr="007E1D5F">
              <w:rPr>
                <w:rFonts w:ascii="Arial" w:hAnsi="Arial" w:cs="Arial"/>
                <w:b/>
                <w:caps/>
                <w:sz w:val="20"/>
              </w:rPr>
              <w:t>Xofigo</w:t>
            </w:r>
            <w:r w:rsidRPr="009257F9">
              <w:rPr>
                <w:rFonts w:ascii="Arial" w:hAnsi="Arial" w:cs="Arial"/>
                <w:b/>
                <w:sz w:val="20"/>
              </w:rPr>
              <w:t xml:space="preserve"> (n</w:t>
            </w:r>
            <w:r w:rsidR="00F364BA">
              <w:rPr>
                <w:rFonts w:ascii="Arial" w:hAnsi="Arial" w:cs="Arial"/>
                <w:b/>
                <w:sz w:val="20"/>
              </w:rPr>
              <w:t> </w:t>
            </w:r>
            <w:r w:rsidRPr="009257F9">
              <w:rPr>
                <w:rFonts w:ascii="Arial" w:hAnsi="Arial" w:cs="Arial"/>
                <w:b/>
                <w:sz w:val="20"/>
              </w:rPr>
              <w:t>=</w:t>
            </w:r>
            <w:r w:rsidR="00F364BA">
              <w:rPr>
                <w:rFonts w:ascii="Arial" w:hAnsi="Arial" w:cs="Arial"/>
                <w:b/>
                <w:sz w:val="20"/>
              </w:rPr>
              <w:t> </w:t>
            </w:r>
            <w:r w:rsidRPr="009257F9">
              <w:rPr>
                <w:rFonts w:ascii="Arial" w:hAnsi="Arial" w:cs="Arial"/>
                <w:b/>
                <w:sz w:val="20"/>
              </w:rPr>
              <w:t>600)</w:t>
            </w:r>
          </w:p>
        </w:tc>
        <w:tc>
          <w:tcPr>
            <w:tcW w:w="3464" w:type="dxa"/>
            <w:gridSpan w:val="3"/>
            <w:shd w:val="clear" w:color="auto" w:fill="auto"/>
          </w:tcPr>
          <w:p w:rsidR="009257F9" w:rsidRPr="009257F9" w:rsidRDefault="009257F9" w:rsidP="009257F9">
            <w:pPr>
              <w:pStyle w:val="BodyText"/>
              <w:spacing w:before="40" w:after="40"/>
              <w:jc w:val="center"/>
              <w:rPr>
                <w:rFonts w:ascii="Arial" w:hAnsi="Arial" w:cs="Arial"/>
                <w:b/>
                <w:sz w:val="20"/>
              </w:rPr>
            </w:pPr>
            <w:r w:rsidRPr="009257F9">
              <w:rPr>
                <w:rFonts w:ascii="Arial" w:hAnsi="Arial" w:cs="Arial"/>
                <w:b/>
                <w:sz w:val="20"/>
              </w:rPr>
              <w:t>Placebo (n</w:t>
            </w:r>
            <w:r w:rsidR="00F364BA">
              <w:rPr>
                <w:rFonts w:ascii="Arial" w:hAnsi="Arial" w:cs="Arial"/>
                <w:b/>
                <w:sz w:val="20"/>
              </w:rPr>
              <w:t> </w:t>
            </w:r>
            <w:r w:rsidRPr="009257F9">
              <w:rPr>
                <w:rFonts w:ascii="Arial" w:hAnsi="Arial" w:cs="Arial"/>
                <w:b/>
                <w:sz w:val="20"/>
              </w:rPr>
              <w:t>=</w:t>
            </w:r>
            <w:r w:rsidR="00F364BA">
              <w:rPr>
                <w:rFonts w:ascii="Arial" w:hAnsi="Arial" w:cs="Arial"/>
                <w:b/>
                <w:sz w:val="20"/>
              </w:rPr>
              <w:t> </w:t>
            </w:r>
            <w:r w:rsidRPr="009257F9">
              <w:rPr>
                <w:rFonts w:ascii="Arial" w:hAnsi="Arial" w:cs="Arial"/>
                <w:b/>
                <w:sz w:val="20"/>
              </w:rPr>
              <w:t>301)</w:t>
            </w:r>
          </w:p>
        </w:tc>
      </w:tr>
      <w:tr w:rsidR="009257F9" w:rsidRPr="009257F9" w:rsidTr="00C631B1">
        <w:trPr>
          <w:tblHeader/>
        </w:trPr>
        <w:tc>
          <w:tcPr>
            <w:tcW w:w="2268" w:type="dxa"/>
            <w:shd w:val="clear" w:color="auto" w:fill="auto"/>
          </w:tcPr>
          <w:p w:rsidR="009257F9" w:rsidRPr="009257F9" w:rsidRDefault="009257F9" w:rsidP="009257F9">
            <w:pPr>
              <w:pStyle w:val="BodyText"/>
              <w:spacing w:before="40" w:after="40"/>
              <w:rPr>
                <w:rFonts w:ascii="Arial" w:hAnsi="Arial" w:cs="Arial"/>
                <w:b/>
                <w:sz w:val="20"/>
              </w:rPr>
            </w:pPr>
          </w:p>
        </w:tc>
        <w:tc>
          <w:tcPr>
            <w:tcW w:w="1716" w:type="dxa"/>
            <w:shd w:val="clear" w:color="auto" w:fill="auto"/>
          </w:tcPr>
          <w:p w:rsidR="009257F9" w:rsidRPr="009257F9" w:rsidRDefault="009257F9" w:rsidP="009257F9">
            <w:pPr>
              <w:pStyle w:val="BodyText"/>
              <w:spacing w:before="40" w:after="40"/>
              <w:jc w:val="center"/>
              <w:rPr>
                <w:rFonts w:ascii="Arial" w:hAnsi="Arial" w:cs="Arial"/>
                <w:b/>
                <w:sz w:val="20"/>
              </w:rPr>
            </w:pPr>
            <w:r w:rsidRPr="009257F9">
              <w:rPr>
                <w:rFonts w:ascii="Arial" w:hAnsi="Arial" w:cs="Arial"/>
                <w:b/>
                <w:sz w:val="20"/>
              </w:rPr>
              <w:t xml:space="preserve">All Grades </w:t>
            </w:r>
            <w:r w:rsidRPr="009257F9">
              <w:rPr>
                <w:rFonts w:ascii="Arial" w:hAnsi="Arial" w:cs="Arial"/>
                <w:b/>
                <w:sz w:val="20"/>
              </w:rPr>
              <w:br/>
              <w:t>%</w:t>
            </w:r>
          </w:p>
        </w:tc>
        <w:tc>
          <w:tcPr>
            <w:tcW w:w="1686" w:type="dxa"/>
            <w:shd w:val="clear" w:color="auto" w:fill="auto"/>
          </w:tcPr>
          <w:p w:rsidR="009257F9" w:rsidRPr="009257F9" w:rsidRDefault="009257F9" w:rsidP="009257F9">
            <w:pPr>
              <w:pStyle w:val="BodyText"/>
              <w:spacing w:before="40" w:after="40"/>
              <w:jc w:val="center"/>
              <w:rPr>
                <w:rFonts w:ascii="Arial" w:hAnsi="Arial" w:cs="Arial"/>
                <w:b/>
                <w:sz w:val="20"/>
              </w:rPr>
            </w:pPr>
            <w:r w:rsidRPr="009257F9">
              <w:rPr>
                <w:rFonts w:ascii="Arial" w:hAnsi="Arial" w:cs="Arial"/>
                <w:b/>
                <w:sz w:val="20"/>
              </w:rPr>
              <w:t>Grades 3-4</w:t>
            </w:r>
            <w:r w:rsidRPr="009257F9">
              <w:rPr>
                <w:rFonts w:ascii="Arial" w:hAnsi="Arial" w:cs="Arial"/>
                <w:b/>
                <w:sz w:val="20"/>
              </w:rPr>
              <w:br/>
              <w:t>%</w:t>
            </w:r>
          </w:p>
        </w:tc>
        <w:tc>
          <w:tcPr>
            <w:tcW w:w="1747" w:type="dxa"/>
            <w:gridSpan w:val="2"/>
            <w:shd w:val="clear" w:color="auto" w:fill="auto"/>
          </w:tcPr>
          <w:p w:rsidR="009257F9" w:rsidRPr="009257F9" w:rsidRDefault="009257F9" w:rsidP="009257F9">
            <w:pPr>
              <w:pStyle w:val="BodyText"/>
              <w:spacing w:before="40" w:after="40"/>
              <w:jc w:val="center"/>
              <w:rPr>
                <w:rFonts w:ascii="Arial" w:hAnsi="Arial" w:cs="Arial"/>
                <w:b/>
                <w:sz w:val="20"/>
              </w:rPr>
            </w:pPr>
            <w:r w:rsidRPr="009257F9">
              <w:rPr>
                <w:rFonts w:ascii="Arial" w:hAnsi="Arial" w:cs="Arial"/>
                <w:b/>
                <w:sz w:val="20"/>
              </w:rPr>
              <w:t xml:space="preserve">All Grades </w:t>
            </w:r>
            <w:r w:rsidRPr="009257F9">
              <w:rPr>
                <w:rFonts w:ascii="Arial" w:hAnsi="Arial" w:cs="Arial"/>
                <w:b/>
                <w:sz w:val="20"/>
              </w:rPr>
              <w:br/>
              <w:t>%</w:t>
            </w:r>
          </w:p>
        </w:tc>
        <w:tc>
          <w:tcPr>
            <w:tcW w:w="1717" w:type="dxa"/>
            <w:shd w:val="clear" w:color="auto" w:fill="auto"/>
          </w:tcPr>
          <w:p w:rsidR="009257F9" w:rsidRPr="009257F9" w:rsidRDefault="009257F9" w:rsidP="009257F9">
            <w:pPr>
              <w:pStyle w:val="BodyText"/>
              <w:spacing w:before="40" w:after="40"/>
              <w:jc w:val="center"/>
              <w:rPr>
                <w:rFonts w:ascii="Arial" w:hAnsi="Arial" w:cs="Arial"/>
                <w:b/>
                <w:sz w:val="20"/>
              </w:rPr>
            </w:pPr>
            <w:r w:rsidRPr="009257F9">
              <w:rPr>
                <w:rFonts w:ascii="Arial" w:hAnsi="Arial" w:cs="Arial"/>
                <w:b/>
                <w:sz w:val="20"/>
              </w:rPr>
              <w:t>Grades 3-4</w:t>
            </w:r>
            <w:r w:rsidRPr="009257F9">
              <w:rPr>
                <w:rFonts w:ascii="Arial" w:hAnsi="Arial" w:cs="Arial"/>
                <w:b/>
                <w:sz w:val="20"/>
              </w:rPr>
              <w:br/>
              <w:t>%</w:t>
            </w:r>
          </w:p>
        </w:tc>
      </w:tr>
      <w:tr w:rsidR="009257F9" w:rsidRPr="009257F9" w:rsidTr="009E37B3">
        <w:tc>
          <w:tcPr>
            <w:tcW w:w="9134" w:type="dxa"/>
            <w:gridSpan w:val="6"/>
            <w:shd w:val="clear" w:color="auto" w:fill="auto"/>
          </w:tcPr>
          <w:p w:rsidR="009257F9" w:rsidRPr="009257F9" w:rsidRDefault="009257F9" w:rsidP="009257F9">
            <w:pPr>
              <w:pStyle w:val="BodyText"/>
              <w:spacing w:before="40" w:after="40"/>
              <w:rPr>
                <w:rFonts w:ascii="Arial" w:hAnsi="Arial" w:cs="Arial"/>
                <w:b/>
                <w:sz w:val="20"/>
              </w:rPr>
            </w:pPr>
            <w:r w:rsidRPr="009257F9">
              <w:rPr>
                <w:rFonts w:ascii="Arial" w:hAnsi="Arial" w:cs="Arial"/>
                <w:b/>
                <w:sz w:val="20"/>
              </w:rPr>
              <w:t xml:space="preserve">Blood and lymphatic system disorders </w:t>
            </w:r>
          </w:p>
        </w:tc>
      </w:tr>
      <w:tr w:rsidR="009257F9" w:rsidRPr="009257F9" w:rsidTr="00C631B1">
        <w:tc>
          <w:tcPr>
            <w:tcW w:w="2268" w:type="dxa"/>
            <w:shd w:val="clear" w:color="auto" w:fill="auto"/>
          </w:tcPr>
          <w:p w:rsidR="009257F9" w:rsidRPr="009257F9" w:rsidRDefault="009257F9" w:rsidP="009257F9">
            <w:pPr>
              <w:pStyle w:val="BodyText"/>
              <w:spacing w:before="40" w:after="40"/>
              <w:rPr>
                <w:rFonts w:ascii="Arial" w:hAnsi="Arial" w:cs="Arial"/>
                <w:sz w:val="20"/>
              </w:rPr>
            </w:pPr>
            <w:r w:rsidRPr="009257F9">
              <w:rPr>
                <w:rFonts w:ascii="Arial" w:hAnsi="Arial" w:cs="Arial"/>
                <w:sz w:val="20"/>
              </w:rPr>
              <w:t>Thrombocytopenia</w:t>
            </w:r>
          </w:p>
        </w:tc>
        <w:tc>
          <w:tcPr>
            <w:tcW w:w="1716" w:type="dxa"/>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11.5</w:t>
            </w:r>
          </w:p>
        </w:tc>
        <w:tc>
          <w:tcPr>
            <w:tcW w:w="1686" w:type="dxa"/>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6.3</w:t>
            </w:r>
          </w:p>
        </w:tc>
        <w:tc>
          <w:tcPr>
            <w:tcW w:w="1690" w:type="dxa"/>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5.6</w:t>
            </w:r>
          </w:p>
        </w:tc>
        <w:tc>
          <w:tcPr>
            <w:tcW w:w="1774" w:type="dxa"/>
            <w:gridSpan w:val="2"/>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2</w:t>
            </w:r>
          </w:p>
        </w:tc>
      </w:tr>
      <w:tr w:rsidR="009257F9" w:rsidRPr="009257F9" w:rsidTr="00C631B1">
        <w:tc>
          <w:tcPr>
            <w:tcW w:w="2268" w:type="dxa"/>
            <w:shd w:val="clear" w:color="auto" w:fill="auto"/>
          </w:tcPr>
          <w:p w:rsidR="009257F9" w:rsidRPr="009257F9" w:rsidRDefault="009257F9" w:rsidP="009257F9">
            <w:pPr>
              <w:pStyle w:val="BodyText"/>
              <w:spacing w:before="40" w:after="40"/>
              <w:rPr>
                <w:rFonts w:ascii="Arial" w:hAnsi="Arial" w:cs="Arial"/>
                <w:sz w:val="20"/>
              </w:rPr>
            </w:pPr>
            <w:r w:rsidRPr="009257F9">
              <w:rPr>
                <w:rFonts w:ascii="Arial" w:hAnsi="Arial" w:cs="Arial"/>
                <w:sz w:val="20"/>
              </w:rPr>
              <w:t>Neutropenia</w:t>
            </w:r>
          </w:p>
        </w:tc>
        <w:tc>
          <w:tcPr>
            <w:tcW w:w="1716" w:type="dxa"/>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5</w:t>
            </w:r>
          </w:p>
        </w:tc>
        <w:tc>
          <w:tcPr>
            <w:tcW w:w="1686" w:type="dxa"/>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2.2</w:t>
            </w:r>
          </w:p>
        </w:tc>
        <w:tc>
          <w:tcPr>
            <w:tcW w:w="1690" w:type="dxa"/>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1</w:t>
            </w:r>
          </w:p>
        </w:tc>
        <w:tc>
          <w:tcPr>
            <w:tcW w:w="1774" w:type="dxa"/>
            <w:gridSpan w:val="2"/>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0.7</w:t>
            </w:r>
          </w:p>
        </w:tc>
      </w:tr>
      <w:tr w:rsidR="009257F9" w:rsidRPr="009257F9" w:rsidTr="00C631B1">
        <w:tc>
          <w:tcPr>
            <w:tcW w:w="2268" w:type="dxa"/>
            <w:shd w:val="clear" w:color="auto" w:fill="auto"/>
          </w:tcPr>
          <w:p w:rsidR="009257F9" w:rsidRPr="009257F9" w:rsidRDefault="009257F9" w:rsidP="00BC03B1">
            <w:pPr>
              <w:pStyle w:val="BodyText"/>
              <w:spacing w:before="40" w:after="40"/>
              <w:rPr>
                <w:rFonts w:ascii="Arial" w:hAnsi="Arial" w:cs="Arial"/>
                <w:sz w:val="20"/>
              </w:rPr>
            </w:pPr>
            <w:proofErr w:type="spellStart"/>
            <w:r>
              <w:rPr>
                <w:rFonts w:ascii="Arial" w:hAnsi="Arial" w:cs="Arial"/>
                <w:sz w:val="20"/>
              </w:rPr>
              <w:t>Leuc</w:t>
            </w:r>
            <w:r w:rsidRPr="009257F9">
              <w:rPr>
                <w:rFonts w:ascii="Arial" w:hAnsi="Arial" w:cs="Arial"/>
                <w:sz w:val="20"/>
              </w:rPr>
              <w:t>openia</w:t>
            </w:r>
            <w:proofErr w:type="spellEnd"/>
          </w:p>
        </w:tc>
        <w:tc>
          <w:tcPr>
            <w:tcW w:w="1716" w:type="dxa"/>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4.2</w:t>
            </w:r>
          </w:p>
        </w:tc>
        <w:tc>
          <w:tcPr>
            <w:tcW w:w="1686" w:type="dxa"/>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1.3</w:t>
            </w:r>
          </w:p>
        </w:tc>
        <w:tc>
          <w:tcPr>
            <w:tcW w:w="1690" w:type="dxa"/>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0.3</w:t>
            </w:r>
          </w:p>
        </w:tc>
        <w:tc>
          <w:tcPr>
            <w:tcW w:w="1774" w:type="dxa"/>
            <w:gridSpan w:val="2"/>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0.3</w:t>
            </w:r>
          </w:p>
        </w:tc>
      </w:tr>
      <w:tr w:rsidR="009257F9" w:rsidRPr="009257F9" w:rsidTr="00C631B1">
        <w:tc>
          <w:tcPr>
            <w:tcW w:w="2268" w:type="dxa"/>
            <w:shd w:val="clear" w:color="auto" w:fill="auto"/>
          </w:tcPr>
          <w:p w:rsidR="009257F9" w:rsidRPr="009257F9" w:rsidRDefault="009257F9" w:rsidP="009257F9">
            <w:pPr>
              <w:pStyle w:val="BodyText"/>
              <w:spacing w:before="40" w:after="40"/>
              <w:rPr>
                <w:rFonts w:ascii="Arial" w:hAnsi="Arial" w:cs="Arial"/>
                <w:sz w:val="20"/>
              </w:rPr>
            </w:pPr>
            <w:r w:rsidRPr="009257F9">
              <w:rPr>
                <w:rFonts w:ascii="Arial" w:hAnsi="Arial" w:cs="Arial"/>
                <w:sz w:val="20"/>
              </w:rPr>
              <w:t>Pancytopenia</w:t>
            </w:r>
          </w:p>
        </w:tc>
        <w:tc>
          <w:tcPr>
            <w:tcW w:w="1716" w:type="dxa"/>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2</w:t>
            </w:r>
          </w:p>
        </w:tc>
        <w:tc>
          <w:tcPr>
            <w:tcW w:w="1686" w:type="dxa"/>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1.2</w:t>
            </w:r>
          </w:p>
        </w:tc>
        <w:tc>
          <w:tcPr>
            <w:tcW w:w="1690" w:type="dxa"/>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0</w:t>
            </w:r>
          </w:p>
        </w:tc>
        <w:tc>
          <w:tcPr>
            <w:tcW w:w="1774" w:type="dxa"/>
            <w:gridSpan w:val="2"/>
            <w:shd w:val="clear" w:color="auto" w:fill="auto"/>
          </w:tcPr>
          <w:p w:rsidR="009257F9" w:rsidRPr="009257F9" w:rsidRDefault="009257F9" w:rsidP="009257F9">
            <w:pPr>
              <w:pStyle w:val="BodyText"/>
              <w:spacing w:before="40" w:after="40"/>
              <w:jc w:val="center"/>
              <w:rPr>
                <w:rFonts w:ascii="Arial" w:hAnsi="Arial" w:cs="Arial"/>
                <w:sz w:val="20"/>
              </w:rPr>
            </w:pPr>
            <w:r w:rsidRPr="009257F9">
              <w:rPr>
                <w:rFonts w:ascii="Arial" w:hAnsi="Arial" w:cs="Arial"/>
                <w:sz w:val="20"/>
              </w:rPr>
              <w:t>0</w:t>
            </w:r>
          </w:p>
        </w:tc>
      </w:tr>
      <w:tr w:rsidR="009257F9" w:rsidRPr="009257F9" w:rsidTr="009E37B3">
        <w:tc>
          <w:tcPr>
            <w:tcW w:w="9134" w:type="dxa"/>
            <w:gridSpan w:val="6"/>
            <w:shd w:val="clear" w:color="auto" w:fill="auto"/>
          </w:tcPr>
          <w:p w:rsidR="009257F9" w:rsidRPr="009257F9" w:rsidRDefault="009257F9" w:rsidP="009257F9">
            <w:pPr>
              <w:pStyle w:val="BodyText"/>
              <w:spacing w:before="40" w:after="40"/>
              <w:rPr>
                <w:rFonts w:ascii="Arial" w:hAnsi="Arial" w:cs="Arial"/>
                <w:b/>
                <w:sz w:val="20"/>
              </w:rPr>
            </w:pPr>
            <w:r w:rsidRPr="009257F9">
              <w:rPr>
                <w:rFonts w:ascii="Arial" w:hAnsi="Arial" w:cs="Arial"/>
                <w:b/>
                <w:sz w:val="20"/>
              </w:rPr>
              <w:t>Gastrointestinal disorders</w:t>
            </w:r>
          </w:p>
        </w:tc>
      </w:tr>
      <w:tr w:rsidR="009257F9" w:rsidRPr="009257F9" w:rsidTr="002C64B7">
        <w:tc>
          <w:tcPr>
            <w:tcW w:w="2268" w:type="dxa"/>
            <w:shd w:val="clear" w:color="auto" w:fill="auto"/>
          </w:tcPr>
          <w:p w:rsidR="009257F9" w:rsidRPr="009257F9" w:rsidRDefault="009257F9" w:rsidP="002C64B7">
            <w:pPr>
              <w:pStyle w:val="BodyText"/>
              <w:spacing w:before="40" w:after="40"/>
              <w:jc w:val="left"/>
              <w:rPr>
                <w:rFonts w:ascii="Arial" w:hAnsi="Arial" w:cs="Arial"/>
                <w:sz w:val="20"/>
              </w:rPr>
            </w:pPr>
            <w:r w:rsidRPr="009257F9">
              <w:rPr>
                <w:rFonts w:ascii="Arial" w:hAnsi="Arial" w:cs="Arial"/>
                <w:sz w:val="20"/>
              </w:rPr>
              <w:t>Diarrh</w:t>
            </w:r>
            <w:r>
              <w:rPr>
                <w:rFonts w:ascii="Arial" w:hAnsi="Arial" w:cs="Arial"/>
                <w:sz w:val="20"/>
              </w:rPr>
              <w:t>o</w:t>
            </w:r>
            <w:r w:rsidRPr="009257F9">
              <w:rPr>
                <w:rFonts w:ascii="Arial" w:hAnsi="Arial" w:cs="Arial"/>
                <w:sz w:val="20"/>
              </w:rPr>
              <w:t>ea</w:t>
            </w:r>
          </w:p>
        </w:tc>
        <w:tc>
          <w:tcPr>
            <w:tcW w:w="1716" w:type="dxa"/>
            <w:shd w:val="clear" w:color="auto" w:fill="auto"/>
          </w:tcPr>
          <w:p w:rsidR="009257F9" w:rsidRPr="009257F9" w:rsidRDefault="009257F9" w:rsidP="002C64B7">
            <w:pPr>
              <w:pStyle w:val="BodyText"/>
              <w:spacing w:before="40" w:after="40"/>
              <w:jc w:val="center"/>
              <w:rPr>
                <w:rFonts w:ascii="Arial" w:hAnsi="Arial" w:cs="Arial"/>
                <w:sz w:val="20"/>
              </w:rPr>
            </w:pPr>
            <w:r w:rsidRPr="009257F9">
              <w:rPr>
                <w:rFonts w:ascii="Arial" w:hAnsi="Arial" w:cs="Arial"/>
                <w:sz w:val="20"/>
              </w:rPr>
              <w:t>25</w:t>
            </w:r>
          </w:p>
        </w:tc>
        <w:tc>
          <w:tcPr>
            <w:tcW w:w="1686" w:type="dxa"/>
            <w:shd w:val="clear" w:color="auto" w:fill="auto"/>
          </w:tcPr>
          <w:p w:rsidR="009257F9" w:rsidRPr="009257F9" w:rsidRDefault="009257F9" w:rsidP="002C64B7">
            <w:pPr>
              <w:pStyle w:val="BodyText"/>
              <w:spacing w:before="40" w:after="40"/>
              <w:jc w:val="center"/>
              <w:rPr>
                <w:rFonts w:ascii="Arial" w:hAnsi="Arial" w:cs="Arial"/>
                <w:sz w:val="20"/>
              </w:rPr>
            </w:pPr>
            <w:r w:rsidRPr="009257F9">
              <w:rPr>
                <w:rFonts w:ascii="Arial" w:hAnsi="Arial" w:cs="Arial"/>
                <w:sz w:val="20"/>
              </w:rPr>
              <w:t xml:space="preserve">1.5 </w:t>
            </w:r>
            <w:r>
              <w:rPr>
                <w:rFonts w:ascii="Arial" w:hAnsi="Arial" w:cs="Arial"/>
                <w:sz w:val="20"/>
              </w:rPr>
              <w:br/>
            </w:r>
            <w:r w:rsidRPr="009257F9">
              <w:rPr>
                <w:rFonts w:ascii="Arial" w:hAnsi="Arial" w:cs="Arial"/>
                <w:sz w:val="20"/>
              </w:rPr>
              <w:t>(grade 3 only)</w:t>
            </w:r>
          </w:p>
        </w:tc>
        <w:tc>
          <w:tcPr>
            <w:tcW w:w="1690" w:type="dxa"/>
            <w:shd w:val="clear" w:color="auto" w:fill="auto"/>
          </w:tcPr>
          <w:p w:rsidR="009257F9" w:rsidRPr="009257F9" w:rsidRDefault="009257F9" w:rsidP="002C64B7">
            <w:pPr>
              <w:pStyle w:val="BodyText"/>
              <w:spacing w:before="40" w:after="40"/>
              <w:jc w:val="center"/>
              <w:rPr>
                <w:rFonts w:ascii="Arial" w:hAnsi="Arial" w:cs="Arial"/>
                <w:sz w:val="20"/>
              </w:rPr>
            </w:pPr>
            <w:r w:rsidRPr="009257F9">
              <w:rPr>
                <w:rFonts w:ascii="Arial" w:hAnsi="Arial" w:cs="Arial"/>
                <w:sz w:val="20"/>
              </w:rPr>
              <w:t>15</w:t>
            </w:r>
          </w:p>
        </w:tc>
        <w:tc>
          <w:tcPr>
            <w:tcW w:w="1774" w:type="dxa"/>
            <w:gridSpan w:val="2"/>
            <w:shd w:val="clear" w:color="auto" w:fill="auto"/>
          </w:tcPr>
          <w:p w:rsidR="009257F9" w:rsidRPr="009257F9" w:rsidRDefault="009257F9" w:rsidP="002C64B7">
            <w:pPr>
              <w:pStyle w:val="BodyText"/>
              <w:spacing w:before="40" w:after="40"/>
              <w:jc w:val="center"/>
              <w:rPr>
                <w:rFonts w:ascii="Arial" w:hAnsi="Arial" w:cs="Arial"/>
                <w:sz w:val="20"/>
              </w:rPr>
            </w:pPr>
            <w:r w:rsidRPr="009257F9">
              <w:rPr>
                <w:rFonts w:ascii="Arial" w:hAnsi="Arial" w:cs="Arial"/>
                <w:sz w:val="20"/>
              </w:rPr>
              <w:t xml:space="preserve">1.7 </w:t>
            </w:r>
            <w:r>
              <w:rPr>
                <w:rFonts w:ascii="Arial" w:hAnsi="Arial" w:cs="Arial"/>
                <w:sz w:val="20"/>
              </w:rPr>
              <w:br/>
            </w:r>
            <w:r w:rsidRPr="009257F9">
              <w:rPr>
                <w:rFonts w:ascii="Arial" w:hAnsi="Arial" w:cs="Arial"/>
                <w:sz w:val="20"/>
              </w:rPr>
              <w:t>(grade 3 only)</w:t>
            </w:r>
          </w:p>
        </w:tc>
      </w:tr>
      <w:tr w:rsidR="009257F9" w:rsidRPr="009257F9" w:rsidTr="002C64B7">
        <w:tc>
          <w:tcPr>
            <w:tcW w:w="2268" w:type="dxa"/>
            <w:shd w:val="clear" w:color="auto" w:fill="auto"/>
          </w:tcPr>
          <w:p w:rsidR="009257F9" w:rsidRPr="009257F9" w:rsidRDefault="009257F9" w:rsidP="002C64B7">
            <w:pPr>
              <w:pStyle w:val="BodyText"/>
              <w:keepNext/>
              <w:spacing w:before="40" w:after="40"/>
              <w:jc w:val="left"/>
              <w:rPr>
                <w:rFonts w:ascii="Arial" w:hAnsi="Arial" w:cs="Arial"/>
                <w:sz w:val="20"/>
              </w:rPr>
            </w:pPr>
            <w:r w:rsidRPr="009257F9">
              <w:rPr>
                <w:rFonts w:ascii="Arial" w:hAnsi="Arial" w:cs="Arial"/>
                <w:sz w:val="20"/>
              </w:rPr>
              <w:t>Vomiting</w:t>
            </w:r>
          </w:p>
        </w:tc>
        <w:tc>
          <w:tcPr>
            <w:tcW w:w="1716" w:type="dxa"/>
            <w:shd w:val="clear" w:color="auto" w:fill="auto"/>
          </w:tcPr>
          <w:p w:rsidR="009257F9" w:rsidRPr="009257F9" w:rsidRDefault="009257F9" w:rsidP="002C64B7">
            <w:pPr>
              <w:pStyle w:val="BodyText"/>
              <w:spacing w:before="40" w:after="40"/>
              <w:jc w:val="center"/>
              <w:rPr>
                <w:rFonts w:ascii="Arial" w:hAnsi="Arial" w:cs="Arial"/>
                <w:sz w:val="20"/>
              </w:rPr>
            </w:pPr>
            <w:r w:rsidRPr="009257F9">
              <w:rPr>
                <w:rFonts w:ascii="Arial" w:hAnsi="Arial" w:cs="Arial"/>
                <w:sz w:val="20"/>
              </w:rPr>
              <w:t>18.5</w:t>
            </w:r>
          </w:p>
        </w:tc>
        <w:tc>
          <w:tcPr>
            <w:tcW w:w="1686" w:type="dxa"/>
            <w:shd w:val="clear" w:color="auto" w:fill="auto"/>
          </w:tcPr>
          <w:p w:rsidR="009257F9" w:rsidRPr="009257F9" w:rsidRDefault="009257F9" w:rsidP="002C64B7">
            <w:pPr>
              <w:pStyle w:val="BodyText"/>
              <w:spacing w:before="40" w:after="40"/>
              <w:jc w:val="center"/>
              <w:rPr>
                <w:rFonts w:ascii="Arial" w:hAnsi="Arial" w:cs="Arial"/>
                <w:sz w:val="20"/>
              </w:rPr>
            </w:pPr>
            <w:r w:rsidRPr="009257F9">
              <w:rPr>
                <w:rFonts w:ascii="Arial" w:hAnsi="Arial" w:cs="Arial"/>
                <w:sz w:val="20"/>
              </w:rPr>
              <w:t xml:space="preserve">1.7 </w:t>
            </w:r>
            <w:r>
              <w:rPr>
                <w:rFonts w:ascii="Arial" w:hAnsi="Arial" w:cs="Arial"/>
                <w:sz w:val="20"/>
              </w:rPr>
              <w:br/>
            </w:r>
            <w:r w:rsidRPr="009257F9">
              <w:rPr>
                <w:rFonts w:ascii="Arial" w:hAnsi="Arial" w:cs="Arial"/>
                <w:sz w:val="20"/>
              </w:rPr>
              <w:t>(grade 3 only)</w:t>
            </w:r>
          </w:p>
        </w:tc>
        <w:tc>
          <w:tcPr>
            <w:tcW w:w="1690" w:type="dxa"/>
            <w:shd w:val="clear" w:color="auto" w:fill="auto"/>
          </w:tcPr>
          <w:p w:rsidR="009257F9" w:rsidRPr="009257F9" w:rsidRDefault="009257F9" w:rsidP="002C64B7">
            <w:pPr>
              <w:pStyle w:val="BodyText"/>
              <w:spacing w:before="40" w:after="40"/>
              <w:jc w:val="center"/>
              <w:rPr>
                <w:rFonts w:ascii="Arial" w:hAnsi="Arial" w:cs="Arial"/>
                <w:sz w:val="20"/>
              </w:rPr>
            </w:pPr>
            <w:r w:rsidRPr="009257F9">
              <w:rPr>
                <w:rFonts w:ascii="Arial" w:hAnsi="Arial" w:cs="Arial"/>
                <w:sz w:val="20"/>
              </w:rPr>
              <w:t>13.6</w:t>
            </w:r>
          </w:p>
        </w:tc>
        <w:tc>
          <w:tcPr>
            <w:tcW w:w="1774" w:type="dxa"/>
            <w:gridSpan w:val="2"/>
            <w:shd w:val="clear" w:color="auto" w:fill="auto"/>
          </w:tcPr>
          <w:p w:rsidR="009257F9" w:rsidRPr="009257F9" w:rsidRDefault="009257F9" w:rsidP="002C64B7">
            <w:pPr>
              <w:pStyle w:val="BodyText"/>
              <w:spacing w:before="40" w:after="40"/>
              <w:jc w:val="center"/>
              <w:rPr>
                <w:rFonts w:ascii="Arial" w:hAnsi="Arial" w:cs="Arial"/>
                <w:sz w:val="20"/>
              </w:rPr>
            </w:pPr>
            <w:r w:rsidRPr="009257F9">
              <w:rPr>
                <w:rFonts w:ascii="Arial" w:hAnsi="Arial" w:cs="Arial"/>
                <w:sz w:val="20"/>
              </w:rPr>
              <w:t xml:space="preserve">2.3 </w:t>
            </w:r>
            <w:r>
              <w:rPr>
                <w:rFonts w:ascii="Arial" w:hAnsi="Arial" w:cs="Arial"/>
                <w:sz w:val="20"/>
              </w:rPr>
              <w:br/>
            </w:r>
            <w:r w:rsidRPr="009257F9">
              <w:rPr>
                <w:rFonts w:ascii="Arial" w:hAnsi="Arial" w:cs="Arial"/>
                <w:sz w:val="20"/>
              </w:rPr>
              <w:t>(grade 3 only)</w:t>
            </w:r>
          </w:p>
        </w:tc>
      </w:tr>
      <w:tr w:rsidR="009257F9" w:rsidRPr="009257F9" w:rsidTr="002C64B7">
        <w:tc>
          <w:tcPr>
            <w:tcW w:w="2268" w:type="dxa"/>
            <w:shd w:val="clear" w:color="auto" w:fill="auto"/>
          </w:tcPr>
          <w:p w:rsidR="009257F9" w:rsidRPr="009257F9" w:rsidRDefault="009257F9" w:rsidP="002C64B7">
            <w:pPr>
              <w:pStyle w:val="BodyText"/>
              <w:spacing w:before="40" w:after="40"/>
              <w:jc w:val="left"/>
              <w:rPr>
                <w:rFonts w:ascii="Arial" w:hAnsi="Arial" w:cs="Arial"/>
                <w:sz w:val="20"/>
              </w:rPr>
            </w:pPr>
            <w:r w:rsidRPr="009257F9">
              <w:rPr>
                <w:rFonts w:ascii="Arial" w:hAnsi="Arial" w:cs="Arial"/>
                <w:sz w:val="20"/>
              </w:rPr>
              <w:t>Nausea</w:t>
            </w:r>
          </w:p>
        </w:tc>
        <w:tc>
          <w:tcPr>
            <w:tcW w:w="1716" w:type="dxa"/>
            <w:shd w:val="clear" w:color="auto" w:fill="auto"/>
          </w:tcPr>
          <w:p w:rsidR="009257F9" w:rsidRPr="009257F9" w:rsidRDefault="009257F9" w:rsidP="002C64B7">
            <w:pPr>
              <w:pStyle w:val="BodyText"/>
              <w:spacing w:before="40" w:after="40"/>
              <w:jc w:val="center"/>
              <w:rPr>
                <w:rFonts w:ascii="Arial" w:hAnsi="Arial" w:cs="Arial"/>
                <w:sz w:val="20"/>
              </w:rPr>
            </w:pPr>
            <w:r w:rsidRPr="009257F9">
              <w:rPr>
                <w:rFonts w:ascii="Arial" w:hAnsi="Arial" w:cs="Arial"/>
                <w:sz w:val="20"/>
              </w:rPr>
              <w:t>35.5</w:t>
            </w:r>
          </w:p>
        </w:tc>
        <w:tc>
          <w:tcPr>
            <w:tcW w:w="1686" w:type="dxa"/>
            <w:shd w:val="clear" w:color="auto" w:fill="auto"/>
          </w:tcPr>
          <w:p w:rsidR="009257F9" w:rsidRPr="009257F9" w:rsidRDefault="009257F9" w:rsidP="002C64B7">
            <w:pPr>
              <w:pStyle w:val="BodyText"/>
              <w:spacing w:before="40" w:after="40"/>
              <w:jc w:val="center"/>
              <w:rPr>
                <w:rFonts w:ascii="Arial" w:hAnsi="Arial" w:cs="Arial"/>
                <w:sz w:val="20"/>
              </w:rPr>
            </w:pPr>
            <w:r w:rsidRPr="009257F9">
              <w:rPr>
                <w:rFonts w:ascii="Arial" w:hAnsi="Arial" w:cs="Arial"/>
                <w:sz w:val="20"/>
              </w:rPr>
              <w:t xml:space="preserve">1.7 </w:t>
            </w:r>
            <w:r>
              <w:rPr>
                <w:rFonts w:ascii="Arial" w:hAnsi="Arial" w:cs="Arial"/>
                <w:sz w:val="20"/>
              </w:rPr>
              <w:br/>
            </w:r>
            <w:r w:rsidRPr="009257F9">
              <w:rPr>
                <w:rFonts w:ascii="Arial" w:hAnsi="Arial" w:cs="Arial"/>
                <w:sz w:val="20"/>
              </w:rPr>
              <w:t>(grade 3 only)</w:t>
            </w:r>
          </w:p>
        </w:tc>
        <w:tc>
          <w:tcPr>
            <w:tcW w:w="1690" w:type="dxa"/>
            <w:shd w:val="clear" w:color="auto" w:fill="auto"/>
          </w:tcPr>
          <w:p w:rsidR="009257F9" w:rsidRPr="009257F9" w:rsidRDefault="009257F9" w:rsidP="002C64B7">
            <w:pPr>
              <w:pStyle w:val="BodyText"/>
              <w:spacing w:before="40" w:after="40"/>
              <w:jc w:val="center"/>
              <w:rPr>
                <w:rFonts w:ascii="Arial" w:hAnsi="Arial" w:cs="Arial"/>
                <w:sz w:val="20"/>
              </w:rPr>
            </w:pPr>
            <w:r w:rsidRPr="009257F9">
              <w:rPr>
                <w:rFonts w:ascii="Arial" w:hAnsi="Arial" w:cs="Arial"/>
                <w:sz w:val="20"/>
              </w:rPr>
              <w:t>34.6</w:t>
            </w:r>
          </w:p>
        </w:tc>
        <w:tc>
          <w:tcPr>
            <w:tcW w:w="1774" w:type="dxa"/>
            <w:gridSpan w:val="2"/>
            <w:shd w:val="clear" w:color="auto" w:fill="auto"/>
          </w:tcPr>
          <w:p w:rsidR="009257F9" w:rsidRPr="009257F9" w:rsidRDefault="009257F9" w:rsidP="002C64B7">
            <w:pPr>
              <w:pStyle w:val="BodyText"/>
              <w:spacing w:before="40" w:after="40"/>
              <w:jc w:val="center"/>
              <w:rPr>
                <w:rFonts w:ascii="Arial" w:hAnsi="Arial" w:cs="Arial"/>
                <w:sz w:val="20"/>
              </w:rPr>
            </w:pPr>
            <w:r w:rsidRPr="009257F9">
              <w:rPr>
                <w:rFonts w:ascii="Arial" w:hAnsi="Arial" w:cs="Arial"/>
                <w:sz w:val="20"/>
              </w:rPr>
              <w:t xml:space="preserve">1.7 </w:t>
            </w:r>
            <w:r>
              <w:rPr>
                <w:rFonts w:ascii="Arial" w:hAnsi="Arial" w:cs="Arial"/>
                <w:sz w:val="20"/>
              </w:rPr>
              <w:br/>
            </w:r>
            <w:r w:rsidRPr="009257F9">
              <w:rPr>
                <w:rFonts w:ascii="Arial" w:hAnsi="Arial" w:cs="Arial"/>
                <w:sz w:val="20"/>
              </w:rPr>
              <w:t>(grade 3 only)</w:t>
            </w:r>
          </w:p>
        </w:tc>
      </w:tr>
      <w:tr w:rsidR="009257F9" w:rsidRPr="009257F9" w:rsidTr="009E37B3">
        <w:tc>
          <w:tcPr>
            <w:tcW w:w="9134" w:type="dxa"/>
            <w:gridSpan w:val="6"/>
            <w:shd w:val="clear" w:color="auto" w:fill="auto"/>
          </w:tcPr>
          <w:p w:rsidR="009257F9" w:rsidRPr="009257F9" w:rsidRDefault="009257F9" w:rsidP="002154B2">
            <w:pPr>
              <w:pStyle w:val="BodyText"/>
              <w:keepNext/>
              <w:keepLines/>
              <w:spacing w:before="40" w:after="40"/>
              <w:rPr>
                <w:rFonts w:ascii="Arial" w:hAnsi="Arial" w:cs="Arial"/>
                <w:b/>
                <w:sz w:val="20"/>
              </w:rPr>
            </w:pPr>
            <w:r w:rsidRPr="009257F9">
              <w:rPr>
                <w:rFonts w:ascii="Arial" w:hAnsi="Arial" w:cs="Arial"/>
                <w:b/>
                <w:sz w:val="20"/>
              </w:rPr>
              <w:t>General disorders and administration site conditions</w:t>
            </w:r>
          </w:p>
        </w:tc>
      </w:tr>
      <w:tr w:rsidR="009257F9" w:rsidRPr="009257F9" w:rsidTr="002C64B7">
        <w:tc>
          <w:tcPr>
            <w:tcW w:w="2268" w:type="dxa"/>
            <w:shd w:val="clear" w:color="auto" w:fill="auto"/>
          </w:tcPr>
          <w:p w:rsidR="009257F9" w:rsidRPr="009257F9" w:rsidRDefault="009257F9" w:rsidP="002154B2">
            <w:pPr>
              <w:pStyle w:val="BodyText"/>
              <w:keepNext/>
              <w:keepLines/>
              <w:spacing w:before="40" w:after="40"/>
              <w:jc w:val="left"/>
              <w:rPr>
                <w:rFonts w:ascii="Arial" w:hAnsi="Arial" w:cs="Arial"/>
                <w:sz w:val="20"/>
              </w:rPr>
            </w:pPr>
            <w:r w:rsidRPr="009257F9">
              <w:rPr>
                <w:rFonts w:ascii="Arial" w:hAnsi="Arial" w:cs="Arial"/>
                <w:sz w:val="20"/>
              </w:rPr>
              <w:t>Injection site reactions (including erythema, pain and swelling)</w:t>
            </w:r>
          </w:p>
        </w:tc>
        <w:tc>
          <w:tcPr>
            <w:tcW w:w="1716" w:type="dxa"/>
            <w:shd w:val="clear" w:color="auto" w:fill="auto"/>
          </w:tcPr>
          <w:p w:rsidR="009257F9" w:rsidRPr="009257F9" w:rsidRDefault="009257F9" w:rsidP="002C64B7">
            <w:pPr>
              <w:pStyle w:val="BodyText"/>
              <w:keepNext/>
              <w:keepLines/>
              <w:spacing w:before="40" w:after="40"/>
              <w:jc w:val="center"/>
              <w:rPr>
                <w:rFonts w:ascii="Arial" w:hAnsi="Arial" w:cs="Arial"/>
                <w:sz w:val="20"/>
              </w:rPr>
            </w:pPr>
            <w:r w:rsidRPr="009257F9">
              <w:rPr>
                <w:rFonts w:ascii="Arial" w:hAnsi="Arial" w:cs="Arial"/>
                <w:sz w:val="20"/>
              </w:rPr>
              <w:t>1.2</w:t>
            </w:r>
          </w:p>
        </w:tc>
        <w:tc>
          <w:tcPr>
            <w:tcW w:w="1686" w:type="dxa"/>
            <w:shd w:val="clear" w:color="auto" w:fill="auto"/>
          </w:tcPr>
          <w:p w:rsidR="009257F9" w:rsidRPr="009257F9" w:rsidRDefault="009257F9" w:rsidP="002C64B7">
            <w:pPr>
              <w:pStyle w:val="BodyText"/>
              <w:keepNext/>
              <w:keepLines/>
              <w:spacing w:before="40" w:after="40"/>
              <w:jc w:val="center"/>
              <w:rPr>
                <w:rFonts w:ascii="Arial" w:hAnsi="Arial" w:cs="Arial"/>
                <w:sz w:val="20"/>
              </w:rPr>
            </w:pPr>
            <w:r w:rsidRPr="009257F9">
              <w:rPr>
                <w:rFonts w:ascii="Arial" w:hAnsi="Arial" w:cs="Arial"/>
                <w:sz w:val="20"/>
              </w:rPr>
              <w:t>0</w:t>
            </w:r>
          </w:p>
        </w:tc>
        <w:tc>
          <w:tcPr>
            <w:tcW w:w="1690" w:type="dxa"/>
            <w:shd w:val="clear" w:color="auto" w:fill="auto"/>
          </w:tcPr>
          <w:p w:rsidR="009257F9" w:rsidRPr="009257F9" w:rsidRDefault="009257F9" w:rsidP="002C64B7">
            <w:pPr>
              <w:pStyle w:val="BodyText"/>
              <w:keepNext/>
              <w:keepLines/>
              <w:spacing w:before="40" w:after="40"/>
              <w:jc w:val="center"/>
              <w:rPr>
                <w:rFonts w:ascii="Arial" w:hAnsi="Arial" w:cs="Arial"/>
                <w:sz w:val="20"/>
              </w:rPr>
            </w:pPr>
            <w:r w:rsidRPr="009257F9">
              <w:rPr>
                <w:rFonts w:ascii="Arial" w:hAnsi="Arial" w:cs="Arial"/>
                <w:sz w:val="20"/>
              </w:rPr>
              <w:t>0</w:t>
            </w:r>
          </w:p>
        </w:tc>
        <w:tc>
          <w:tcPr>
            <w:tcW w:w="1774" w:type="dxa"/>
            <w:gridSpan w:val="2"/>
            <w:shd w:val="clear" w:color="auto" w:fill="auto"/>
          </w:tcPr>
          <w:p w:rsidR="009257F9" w:rsidRPr="009257F9" w:rsidRDefault="009257F9" w:rsidP="002C64B7">
            <w:pPr>
              <w:pStyle w:val="BodyText"/>
              <w:keepNext/>
              <w:keepLines/>
              <w:spacing w:before="40" w:after="40"/>
              <w:jc w:val="center"/>
              <w:rPr>
                <w:rFonts w:ascii="Arial" w:hAnsi="Arial" w:cs="Arial"/>
                <w:sz w:val="20"/>
              </w:rPr>
            </w:pPr>
            <w:r w:rsidRPr="009257F9">
              <w:rPr>
                <w:rFonts w:ascii="Arial" w:hAnsi="Arial" w:cs="Arial"/>
                <w:sz w:val="20"/>
              </w:rPr>
              <w:t>0</w:t>
            </w:r>
          </w:p>
        </w:tc>
      </w:tr>
    </w:tbl>
    <w:p w:rsidR="009257F9" w:rsidRDefault="009257F9" w:rsidP="009257F9">
      <w:pPr>
        <w:spacing w:after="0" w:line="240" w:lineRule="auto"/>
        <w:rPr>
          <w:rFonts w:ascii="Arial" w:hAnsi="Arial" w:cs="Arial"/>
          <w:lang w:val="en-GB"/>
        </w:rPr>
      </w:pPr>
    </w:p>
    <w:p w:rsidR="002550E9" w:rsidRDefault="002550E9" w:rsidP="007E1D5F">
      <w:pPr>
        <w:spacing w:after="0" w:line="240" w:lineRule="auto"/>
        <w:jc w:val="both"/>
        <w:rPr>
          <w:rFonts w:ascii="Arial" w:hAnsi="Arial" w:cs="Arial"/>
          <w:lang w:val="en-GB"/>
        </w:rPr>
      </w:pPr>
      <w:r>
        <w:rPr>
          <w:rFonts w:ascii="Arial" w:hAnsi="Arial" w:cs="Arial"/>
          <w:lang w:val="en-GB"/>
        </w:rPr>
        <w:t xml:space="preserve">An additional clinically important adverse reaction observed in less than 1% of </w:t>
      </w:r>
      <w:r w:rsidRPr="007E1D5F">
        <w:rPr>
          <w:rFonts w:ascii="Arial" w:hAnsi="Arial" w:cs="Arial"/>
          <w:caps/>
          <w:lang w:val="en-GB"/>
        </w:rPr>
        <w:t>Xofigo</w:t>
      </w:r>
      <w:r>
        <w:rPr>
          <w:rFonts w:ascii="Arial" w:hAnsi="Arial" w:cs="Arial"/>
          <w:lang w:val="en-GB"/>
        </w:rPr>
        <w:t xml:space="preserve">-treated patients and at a higher incidence than in placebo-treated patients was </w:t>
      </w:r>
      <w:proofErr w:type="spellStart"/>
      <w:r>
        <w:rPr>
          <w:rFonts w:ascii="Arial" w:hAnsi="Arial" w:cs="Arial"/>
          <w:lang w:val="en-GB"/>
        </w:rPr>
        <w:t>lymphopenia</w:t>
      </w:r>
      <w:proofErr w:type="spellEnd"/>
      <w:r>
        <w:rPr>
          <w:rFonts w:ascii="Arial" w:hAnsi="Arial" w:cs="Arial"/>
          <w:lang w:val="en-GB"/>
        </w:rPr>
        <w:t xml:space="preserve"> (0.8%</w:t>
      </w:r>
      <w:r w:rsidR="00E85E70">
        <w:rPr>
          <w:rFonts w:ascii="Arial" w:hAnsi="Arial" w:cs="Arial"/>
          <w:lang w:val="en-GB"/>
        </w:rPr>
        <w:t xml:space="preserve"> </w:t>
      </w:r>
      <w:r w:rsidR="00A10816">
        <w:rPr>
          <w:rFonts w:ascii="Arial" w:hAnsi="Arial" w:cs="Arial"/>
          <w:lang w:val="en-GB"/>
        </w:rPr>
        <w:t>versus</w:t>
      </w:r>
      <w:r>
        <w:rPr>
          <w:rFonts w:ascii="Arial" w:hAnsi="Arial" w:cs="Arial"/>
          <w:lang w:val="en-GB"/>
        </w:rPr>
        <w:t xml:space="preserve"> 0.3%).</w:t>
      </w:r>
    </w:p>
    <w:p w:rsidR="002550E9" w:rsidRDefault="002550E9" w:rsidP="009257F9">
      <w:pPr>
        <w:spacing w:after="0" w:line="240" w:lineRule="auto"/>
        <w:rPr>
          <w:rFonts w:ascii="Arial" w:hAnsi="Arial" w:cs="Arial"/>
          <w:lang w:val="en-GB"/>
        </w:rPr>
      </w:pPr>
    </w:p>
    <w:p w:rsidR="008B6E51" w:rsidRPr="008B6E51" w:rsidRDefault="008B6E51" w:rsidP="002352CB">
      <w:pPr>
        <w:pStyle w:val="PIHeading2"/>
        <w:outlineLvl w:val="1"/>
      </w:pPr>
      <w:r w:rsidRPr="008B6E51">
        <w:t xml:space="preserve">Thrombocytopenia and </w:t>
      </w:r>
      <w:r w:rsidR="00400325">
        <w:t>n</w:t>
      </w:r>
      <w:r w:rsidRPr="008B6E51">
        <w:t>eutropenia</w:t>
      </w:r>
    </w:p>
    <w:p w:rsidR="00A50303" w:rsidRDefault="00A50303" w:rsidP="0042116B">
      <w:pPr>
        <w:pStyle w:val="BayerBodyTextFull"/>
        <w:keepNext/>
        <w:spacing w:before="0" w:after="0"/>
        <w:rPr>
          <w:rFonts w:ascii="Arial" w:hAnsi="Arial" w:cs="Arial"/>
          <w:sz w:val="22"/>
          <w:szCs w:val="22"/>
        </w:rPr>
      </w:pPr>
    </w:p>
    <w:p w:rsidR="008B6E51" w:rsidRDefault="008B6E51" w:rsidP="007E1D5F">
      <w:pPr>
        <w:pStyle w:val="BayerBodyTextFull"/>
        <w:keepNext/>
        <w:spacing w:before="0" w:after="0"/>
        <w:jc w:val="both"/>
        <w:rPr>
          <w:rFonts w:ascii="Arial" w:hAnsi="Arial" w:cs="Arial"/>
          <w:sz w:val="22"/>
          <w:szCs w:val="22"/>
          <w:lang w:val="en-GB"/>
        </w:rPr>
      </w:pPr>
      <w:r w:rsidRPr="008B6E51">
        <w:rPr>
          <w:rFonts w:ascii="Arial" w:hAnsi="Arial" w:cs="Arial"/>
          <w:sz w:val="22"/>
          <w:szCs w:val="22"/>
        </w:rPr>
        <w:t xml:space="preserve">Thrombocytopenia (all grades) occurred in 11.5% of patients treated with </w:t>
      </w:r>
      <w:r w:rsidR="002C64B7" w:rsidRPr="008B6E51">
        <w:rPr>
          <w:rFonts w:ascii="Arial" w:hAnsi="Arial" w:cs="Arial"/>
          <w:sz w:val="22"/>
          <w:szCs w:val="22"/>
        </w:rPr>
        <w:t>XOFIGO</w:t>
      </w:r>
      <w:r w:rsidRPr="008B6E51">
        <w:rPr>
          <w:rFonts w:ascii="Arial" w:hAnsi="Arial" w:cs="Arial"/>
          <w:sz w:val="22"/>
          <w:szCs w:val="22"/>
        </w:rPr>
        <w:t xml:space="preserve"> and 5.6% of patients receiving placebo.</w:t>
      </w:r>
      <w:r>
        <w:rPr>
          <w:rFonts w:ascii="Arial" w:hAnsi="Arial" w:cs="Arial"/>
          <w:sz w:val="22"/>
          <w:szCs w:val="22"/>
        </w:rPr>
        <w:t xml:space="preserve"> </w:t>
      </w:r>
      <w:r w:rsidRPr="008B6E51">
        <w:rPr>
          <w:rFonts w:ascii="Arial" w:hAnsi="Arial" w:cs="Arial"/>
          <w:sz w:val="22"/>
          <w:szCs w:val="22"/>
        </w:rPr>
        <w:t xml:space="preserve"> Grade 3 and 4 thrombocytopenia was observed in 6.3% of patients treated with </w:t>
      </w:r>
      <w:r w:rsidRPr="007E1D5F">
        <w:rPr>
          <w:rFonts w:ascii="Arial" w:hAnsi="Arial" w:cs="Arial"/>
          <w:caps/>
          <w:sz w:val="22"/>
          <w:szCs w:val="22"/>
        </w:rPr>
        <w:t>Xofigo</w:t>
      </w:r>
      <w:r w:rsidRPr="008B6E51">
        <w:rPr>
          <w:rFonts w:ascii="Arial" w:hAnsi="Arial" w:cs="Arial"/>
          <w:sz w:val="22"/>
          <w:szCs w:val="22"/>
        </w:rPr>
        <w:t xml:space="preserve"> and in 2% of patients receiving placebo (see </w:t>
      </w:r>
      <w:r w:rsidRPr="007E1D5F">
        <w:rPr>
          <w:rFonts w:ascii="Arial" w:hAnsi="Arial" w:cs="Arial"/>
          <w:caps/>
          <w:sz w:val="22"/>
          <w:szCs w:val="22"/>
        </w:rPr>
        <w:t>Precautions</w:t>
      </w:r>
      <w:r w:rsidR="00E85E70">
        <w:rPr>
          <w:rFonts w:ascii="Arial" w:hAnsi="Arial" w:cs="Arial"/>
          <w:sz w:val="22"/>
          <w:szCs w:val="22"/>
        </w:rPr>
        <w:t xml:space="preserve"> – Bone marrow suppression</w:t>
      </w:r>
      <w:r w:rsidRPr="008B6E51">
        <w:rPr>
          <w:rFonts w:ascii="Arial" w:hAnsi="Arial" w:cs="Arial"/>
          <w:sz w:val="22"/>
          <w:szCs w:val="22"/>
        </w:rPr>
        <w:t xml:space="preserve">). </w:t>
      </w:r>
      <w:r>
        <w:rPr>
          <w:rFonts w:ascii="Arial" w:hAnsi="Arial" w:cs="Arial"/>
          <w:sz w:val="22"/>
          <w:szCs w:val="22"/>
        </w:rPr>
        <w:t xml:space="preserve"> </w:t>
      </w:r>
      <w:r w:rsidRPr="008B6E51">
        <w:rPr>
          <w:rFonts w:ascii="Arial" w:hAnsi="Arial" w:cs="Arial"/>
          <w:sz w:val="22"/>
          <w:szCs w:val="22"/>
        </w:rPr>
        <w:t xml:space="preserve">Overall, the frequency of grade 3 and 4 thrombocytopenia was lower in patients that did not previously receive </w:t>
      </w:r>
      <w:proofErr w:type="spellStart"/>
      <w:r w:rsidRPr="008B6E51">
        <w:rPr>
          <w:rFonts w:ascii="Arial" w:hAnsi="Arial" w:cs="Arial"/>
          <w:sz w:val="22"/>
          <w:szCs w:val="22"/>
        </w:rPr>
        <w:t>docetaxel</w:t>
      </w:r>
      <w:proofErr w:type="spellEnd"/>
      <w:r w:rsidRPr="008B6E51">
        <w:rPr>
          <w:rFonts w:ascii="Arial" w:hAnsi="Arial" w:cs="Arial"/>
          <w:sz w:val="22"/>
          <w:szCs w:val="22"/>
        </w:rPr>
        <w:t xml:space="preserve"> (2.8% in patients treated with </w:t>
      </w:r>
      <w:r w:rsidRPr="007E1D5F">
        <w:rPr>
          <w:rFonts w:ascii="Arial" w:hAnsi="Arial" w:cs="Arial"/>
          <w:caps/>
          <w:sz w:val="22"/>
          <w:szCs w:val="22"/>
        </w:rPr>
        <w:t>Xofigo</w:t>
      </w:r>
      <w:r w:rsidRPr="008B6E51">
        <w:rPr>
          <w:rFonts w:ascii="Arial" w:hAnsi="Arial" w:cs="Arial"/>
          <w:sz w:val="22"/>
          <w:szCs w:val="22"/>
        </w:rPr>
        <w:t xml:space="preserve"> versus 0.8% in patients receiving placebo) compared to patients that previously received </w:t>
      </w:r>
      <w:proofErr w:type="spellStart"/>
      <w:r w:rsidRPr="008B6E51">
        <w:rPr>
          <w:rFonts w:ascii="Arial" w:hAnsi="Arial" w:cs="Arial"/>
          <w:sz w:val="22"/>
          <w:szCs w:val="22"/>
        </w:rPr>
        <w:t>docetaxel</w:t>
      </w:r>
      <w:proofErr w:type="spellEnd"/>
      <w:r w:rsidRPr="008B6E51">
        <w:rPr>
          <w:rFonts w:ascii="Arial" w:hAnsi="Arial" w:cs="Arial"/>
          <w:sz w:val="22"/>
          <w:szCs w:val="22"/>
        </w:rPr>
        <w:t xml:space="preserve"> </w:t>
      </w:r>
      <w:r w:rsidRPr="008B6E51">
        <w:rPr>
          <w:rFonts w:ascii="Arial" w:hAnsi="Arial" w:cs="Arial"/>
          <w:sz w:val="22"/>
          <w:szCs w:val="22"/>
          <w:lang w:val="en-GB"/>
        </w:rPr>
        <w:t xml:space="preserve">(8.9% </w:t>
      </w:r>
      <w:r w:rsidRPr="008B6E51">
        <w:rPr>
          <w:rFonts w:ascii="Arial" w:hAnsi="Arial" w:cs="Arial"/>
          <w:sz w:val="22"/>
          <w:szCs w:val="22"/>
        </w:rPr>
        <w:t xml:space="preserve">in patients treated with </w:t>
      </w:r>
      <w:r w:rsidRPr="007E1D5F">
        <w:rPr>
          <w:rFonts w:ascii="Arial" w:hAnsi="Arial" w:cs="Arial"/>
          <w:caps/>
          <w:sz w:val="22"/>
          <w:szCs w:val="22"/>
        </w:rPr>
        <w:t>Xofigo</w:t>
      </w:r>
      <w:r w:rsidRPr="008B6E51">
        <w:rPr>
          <w:rFonts w:ascii="Arial" w:hAnsi="Arial" w:cs="Arial"/>
          <w:sz w:val="22"/>
          <w:szCs w:val="22"/>
        </w:rPr>
        <w:t xml:space="preserve"> versus </w:t>
      </w:r>
      <w:r w:rsidRPr="008B6E51">
        <w:rPr>
          <w:rFonts w:ascii="Arial" w:hAnsi="Arial" w:cs="Arial"/>
          <w:sz w:val="22"/>
          <w:szCs w:val="22"/>
          <w:lang w:val="en-GB"/>
        </w:rPr>
        <w:t xml:space="preserve">2.9% </w:t>
      </w:r>
      <w:r w:rsidRPr="008B6E51">
        <w:rPr>
          <w:rFonts w:ascii="Arial" w:hAnsi="Arial" w:cs="Arial"/>
          <w:sz w:val="22"/>
          <w:szCs w:val="22"/>
        </w:rPr>
        <w:t>in patients receiving placebo</w:t>
      </w:r>
      <w:r w:rsidRPr="008B6E51">
        <w:rPr>
          <w:rFonts w:ascii="Arial" w:hAnsi="Arial" w:cs="Arial"/>
          <w:sz w:val="22"/>
          <w:szCs w:val="22"/>
          <w:lang w:val="en-GB"/>
        </w:rPr>
        <w:t xml:space="preserve">). </w:t>
      </w:r>
    </w:p>
    <w:p w:rsidR="00A50303" w:rsidRPr="008B6E51" w:rsidRDefault="00A50303" w:rsidP="007E1D5F">
      <w:pPr>
        <w:pStyle w:val="BayerBodyTextFull"/>
        <w:spacing w:before="0" w:after="0"/>
        <w:jc w:val="both"/>
        <w:rPr>
          <w:rFonts w:ascii="Arial" w:hAnsi="Arial" w:cs="Arial"/>
          <w:sz w:val="22"/>
          <w:szCs w:val="22"/>
          <w:lang w:val="en-GB"/>
        </w:rPr>
      </w:pPr>
    </w:p>
    <w:p w:rsidR="00A50303" w:rsidRDefault="00A50303" w:rsidP="007E1D5F">
      <w:pPr>
        <w:pStyle w:val="BayerBodyTextFull"/>
        <w:keepLines/>
        <w:spacing w:before="0" w:after="0"/>
        <w:jc w:val="both"/>
        <w:rPr>
          <w:rFonts w:ascii="Arial" w:hAnsi="Arial" w:cs="Arial"/>
          <w:sz w:val="22"/>
          <w:szCs w:val="22"/>
          <w:lang w:val="en-GB"/>
        </w:rPr>
      </w:pPr>
      <w:r w:rsidRPr="00A50303">
        <w:rPr>
          <w:rFonts w:ascii="Arial" w:hAnsi="Arial" w:cs="Arial"/>
          <w:sz w:val="22"/>
          <w:szCs w:val="22"/>
        </w:rPr>
        <w:t xml:space="preserve">Neutropenia (all grades) was reported in 5% of patients treated with </w:t>
      </w:r>
      <w:r w:rsidRPr="007E1D5F">
        <w:rPr>
          <w:rFonts w:ascii="Arial" w:hAnsi="Arial" w:cs="Arial"/>
          <w:caps/>
          <w:sz w:val="22"/>
          <w:szCs w:val="22"/>
        </w:rPr>
        <w:t>Xofigo</w:t>
      </w:r>
      <w:r w:rsidRPr="00A50303">
        <w:rPr>
          <w:rFonts w:ascii="Arial" w:hAnsi="Arial" w:cs="Arial"/>
          <w:sz w:val="22"/>
          <w:szCs w:val="22"/>
        </w:rPr>
        <w:t xml:space="preserve"> and in 1% of patients receiving placebo. </w:t>
      </w:r>
      <w:r>
        <w:rPr>
          <w:rFonts w:ascii="Arial" w:hAnsi="Arial" w:cs="Arial"/>
          <w:sz w:val="22"/>
          <w:szCs w:val="22"/>
        </w:rPr>
        <w:t xml:space="preserve"> </w:t>
      </w:r>
      <w:r w:rsidRPr="00A50303">
        <w:rPr>
          <w:rFonts w:ascii="Arial" w:hAnsi="Arial" w:cs="Arial"/>
          <w:sz w:val="22"/>
          <w:szCs w:val="22"/>
        </w:rPr>
        <w:t xml:space="preserve">Grade 3 and 4 neutropenia was observed in 2.2% of patients treated with </w:t>
      </w:r>
      <w:r w:rsidRPr="007E1D5F">
        <w:rPr>
          <w:rFonts w:ascii="Arial" w:hAnsi="Arial" w:cs="Arial"/>
          <w:caps/>
          <w:sz w:val="22"/>
          <w:szCs w:val="22"/>
        </w:rPr>
        <w:t>Xofigo</w:t>
      </w:r>
      <w:r w:rsidRPr="00A50303">
        <w:rPr>
          <w:rFonts w:ascii="Arial" w:hAnsi="Arial" w:cs="Arial"/>
          <w:sz w:val="22"/>
          <w:szCs w:val="22"/>
        </w:rPr>
        <w:t xml:space="preserve"> and in 0.7% of patients receiving placebo. </w:t>
      </w:r>
      <w:r>
        <w:rPr>
          <w:rFonts w:ascii="Arial" w:hAnsi="Arial" w:cs="Arial"/>
          <w:sz w:val="22"/>
          <w:szCs w:val="22"/>
        </w:rPr>
        <w:t xml:space="preserve"> </w:t>
      </w:r>
      <w:r w:rsidRPr="00A50303">
        <w:rPr>
          <w:rFonts w:ascii="Arial" w:hAnsi="Arial" w:cs="Arial"/>
          <w:sz w:val="22"/>
          <w:szCs w:val="22"/>
        </w:rPr>
        <w:t xml:space="preserve">Overall, the frequency of grade 3 and 4 neutropenia was lower in patients that did not previously receive </w:t>
      </w:r>
      <w:proofErr w:type="spellStart"/>
      <w:r w:rsidRPr="00A50303">
        <w:rPr>
          <w:rFonts w:ascii="Arial" w:hAnsi="Arial" w:cs="Arial"/>
          <w:sz w:val="22"/>
          <w:szCs w:val="22"/>
        </w:rPr>
        <w:t>docetaxel</w:t>
      </w:r>
      <w:proofErr w:type="spellEnd"/>
      <w:r w:rsidRPr="00A50303">
        <w:rPr>
          <w:rFonts w:ascii="Arial" w:hAnsi="Arial" w:cs="Arial"/>
          <w:sz w:val="22"/>
          <w:szCs w:val="22"/>
        </w:rPr>
        <w:t xml:space="preserve"> (0.8% in patients treated with </w:t>
      </w:r>
      <w:r w:rsidRPr="007E1D5F">
        <w:rPr>
          <w:rFonts w:ascii="Arial" w:hAnsi="Arial" w:cs="Arial"/>
          <w:caps/>
          <w:sz w:val="22"/>
          <w:szCs w:val="22"/>
        </w:rPr>
        <w:t>Xofigo</w:t>
      </w:r>
      <w:r w:rsidRPr="00A50303">
        <w:rPr>
          <w:rFonts w:ascii="Arial" w:hAnsi="Arial" w:cs="Arial"/>
          <w:sz w:val="22"/>
          <w:szCs w:val="22"/>
        </w:rPr>
        <w:t xml:space="preserve"> versus 0.8% in patients receiving placebo) compared to patients that previously received </w:t>
      </w:r>
      <w:proofErr w:type="spellStart"/>
      <w:r w:rsidRPr="00A50303">
        <w:rPr>
          <w:rFonts w:ascii="Arial" w:hAnsi="Arial" w:cs="Arial"/>
          <w:sz w:val="22"/>
          <w:szCs w:val="22"/>
        </w:rPr>
        <w:t>docetaxel</w:t>
      </w:r>
      <w:proofErr w:type="spellEnd"/>
      <w:r w:rsidRPr="00A50303">
        <w:rPr>
          <w:rFonts w:ascii="Arial" w:hAnsi="Arial" w:cs="Arial"/>
          <w:sz w:val="22"/>
          <w:szCs w:val="22"/>
        </w:rPr>
        <w:t xml:space="preserve"> </w:t>
      </w:r>
      <w:r w:rsidRPr="00A50303">
        <w:rPr>
          <w:rFonts w:ascii="Arial" w:hAnsi="Arial" w:cs="Arial"/>
          <w:sz w:val="22"/>
          <w:szCs w:val="22"/>
          <w:lang w:val="en-GB"/>
        </w:rPr>
        <w:t xml:space="preserve">(3.2% </w:t>
      </w:r>
      <w:r w:rsidRPr="00A50303">
        <w:rPr>
          <w:rFonts w:ascii="Arial" w:hAnsi="Arial" w:cs="Arial"/>
          <w:sz w:val="22"/>
          <w:szCs w:val="22"/>
        </w:rPr>
        <w:t xml:space="preserve">in patients treated with </w:t>
      </w:r>
      <w:r w:rsidRPr="007E1D5F">
        <w:rPr>
          <w:rFonts w:ascii="Arial" w:hAnsi="Arial" w:cs="Arial"/>
          <w:caps/>
          <w:sz w:val="22"/>
          <w:szCs w:val="22"/>
        </w:rPr>
        <w:t>Xofigo</w:t>
      </w:r>
      <w:r w:rsidRPr="00A50303">
        <w:rPr>
          <w:rFonts w:ascii="Arial" w:hAnsi="Arial" w:cs="Arial"/>
          <w:sz w:val="22"/>
          <w:szCs w:val="22"/>
        </w:rPr>
        <w:t xml:space="preserve"> versus </w:t>
      </w:r>
      <w:r w:rsidRPr="00A50303">
        <w:rPr>
          <w:rFonts w:ascii="Arial" w:hAnsi="Arial" w:cs="Arial"/>
          <w:sz w:val="22"/>
          <w:szCs w:val="22"/>
          <w:lang w:val="en-GB"/>
        </w:rPr>
        <w:t xml:space="preserve">0.6% in patients receiving placebo). </w:t>
      </w:r>
    </w:p>
    <w:p w:rsidR="00A50303" w:rsidRPr="00A50303" w:rsidRDefault="00A50303" w:rsidP="00A50303">
      <w:pPr>
        <w:pStyle w:val="BayerBodyTextFull"/>
        <w:keepLines/>
        <w:spacing w:before="0" w:after="0"/>
        <w:rPr>
          <w:rFonts w:ascii="Arial" w:hAnsi="Arial" w:cs="Arial"/>
          <w:sz w:val="22"/>
          <w:szCs w:val="22"/>
        </w:rPr>
      </w:pPr>
    </w:p>
    <w:p w:rsidR="00A50303" w:rsidRDefault="00A50303" w:rsidP="007E1D5F">
      <w:pPr>
        <w:pStyle w:val="BayerBodyTextFull"/>
        <w:spacing w:before="0" w:after="0"/>
        <w:jc w:val="both"/>
        <w:rPr>
          <w:rFonts w:ascii="Arial" w:hAnsi="Arial" w:cs="Arial"/>
          <w:sz w:val="22"/>
          <w:szCs w:val="22"/>
        </w:rPr>
      </w:pPr>
      <w:r w:rsidRPr="00A50303">
        <w:rPr>
          <w:rFonts w:ascii="Arial" w:hAnsi="Arial" w:cs="Arial"/>
          <w:sz w:val="22"/>
          <w:szCs w:val="22"/>
        </w:rPr>
        <w:t xml:space="preserve">In a phase I study, neutrophil and platelet count nadirs occurred at 2 to 3 weeks after intravenous administration of a single dose of </w:t>
      </w:r>
      <w:r w:rsidRPr="007E1D5F">
        <w:rPr>
          <w:rFonts w:ascii="Arial" w:hAnsi="Arial" w:cs="Arial"/>
          <w:caps/>
          <w:sz w:val="22"/>
          <w:szCs w:val="22"/>
        </w:rPr>
        <w:t>Xofigo</w:t>
      </w:r>
      <w:r w:rsidRPr="00A50303">
        <w:rPr>
          <w:rFonts w:ascii="Arial" w:hAnsi="Arial" w:cs="Arial"/>
          <w:sz w:val="22"/>
          <w:szCs w:val="22"/>
        </w:rPr>
        <w:t>.</w:t>
      </w:r>
    </w:p>
    <w:p w:rsidR="00A50303" w:rsidRPr="00A50303" w:rsidRDefault="00A50303" w:rsidP="00A50303">
      <w:pPr>
        <w:pStyle w:val="BayerBodyTextFull"/>
        <w:spacing w:before="0" w:after="0"/>
        <w:rPr>
          <w:rFonts w:ascii="Arial" w:hAnsi="Arial" w:cs="Arial"/>
          <w:sz w:val="22"/>
          <w:szCs w:val="22"/>
        </w:rPr>
      </w:pPr>
    </w:p>
    <w:p w:rsidR="00A50303" w:rsidRPr="00A50303" w:rsidRDefault="00A50303" w:rsidP="002352CB">
      <w:pPr>
        <w:pStyle w:val="PIHeading2"/>
        <w:outlineLvl w:val="1"/>
      </w:pPr>
      <w:r w:rsidRPr="00A50303">
        <w:t xml:space="preserve">Injection </w:t>
      </w:r>
      <w:r w:rsidR="00D971B4">
        <w:t>s</w:t>
      </w:r>
      <w:r>
        <w:t xml:space="preserve">ite </w:t>
      </w:r>
      <w:r w:rsidR="00D971B4">
        <w:t>r</w:t>
      </w:r>
      <w:r w:rsidRPr="00A50303">
        <w:t>eactions</w:t>
      </w:r>
    </w:p>
    <w:p w:rsidR="00A50303" w:rsidRDefault="00A50303" w:rsidP="00A50303">
      <w:pPr>
        <w:pStyle w:val="BayerBodyTextFull"/>
        <w:spacing w:before="0" w:after="0"/>
        <w:rPr>
          <w:rFonts w:ascii="Arial" w:hAnsi="Arial" w:cs="Arial"/>
          <w:sz w:val="22"/>
          <w:szCs w:val="22"/>
        </w:rPr>
      </w:pPr>
    </w:p>
    <w:p w:rsidR="00A50303" w:rsidRPr="00A50303" w:rsidRDefault="00A50303" w:rsidP="007E1D5F">
      <w:pPr>
        <w:pStyle w:val="BayerBodyTextFull"/>
        <w:spacing w:before="0" w:after="0"/>
        <w:jc w:val="both"/>
        <w:rPr>
          <w:rFonts w:ascii="Arial" w:hAnsi="Arial" w:cs="Arial"/>
          <w:sz w:val="22"/>
          <w:szCs w:val="22"/>
        </w:rPr>
      </w:pPr>
      <w:r w:rsidRPr="00A50303">
        <w:rPr>
          <w:rFonts w:ascii="Arial" w:hAnsi="Arial" w:cs="Arial"/>
          <w:sz w:val="22"/>
          <w:szCs w:val="22"/>
        </w:rPr>
        <w:t xml:space="preserve">Grade 1 and 2 injection site reactions, such as erythema, pain and swelling, were reported in 1.2% of patients treated with </w:t>
      </w:r>
      <w:r w:rsidRPr="007E1D5F">
        <w:rPr>
          <w:rFonts w:ascii="Arial" w:hAnsi="Arial" w:cs="Arial"/>
          <w:caps/>
          <w:sz w:val="22"/>
          <w:szCs w:val="22"/>
        </w:rPr>
        <w:t>Xofigo</w:t>
      </w:r>
      <w:r w:rsidRPr="00A50303">
        <w:rPr>
          <w:rFonts w:ascii="Arial" w:hAnsi="Arial" w:cs="Arial"/>
          <w:sz w:val="22"/>
          <w:szCs w:val="22"/>
        </w:rPr>
        <w:t xml:space="preserve"> and in 0% of patients receiving placebo.</w:t>
      </w:r>
    </w:p>
    <w:p w:rsidR="00A50303" w:rsidRDefault="00A50303" w:rsidP="00A50303">
      <w:pPr>
        <w:pStyle w:val="Heading4"/>
        <w:numPr>
          <w:ilvl w:val="0"/>
          <w:numId w:val="0"/>
        </w:numPr>
        <w:spacing w:before="0" w:after="0"/>
        <w:rPr>
          <w:rFonts w:ascii="Arial" w:hAnsi="Arial" w:cs="Arial"/>
          <w:sz w:val="22"/>
          <w:szCs w:val="22"/>
        </w:rPr>
      </w:pPr>
      <w:bookmarkStart w:id="6" w:name="Secondary_malignant_neoplasm"/>
    </w:p>
    <w:p w:rsidR="00A50303" w:rsidRPr="00A50303" w:rsidRDefault="00A50303" w:rsidP="002352CB">
      <w:pPr>
        <w:pStyle w:val="PIHeading2"/>
        <w:outlineLvl w:val="1"/>
      </w:pPr>
      <w:r w:rsidRPr="00A50303">
        <w:t xml:space="preserve">Secondary </w:t>
      </w:r>
      <w:r w:rsidR="00D971B4">
        <w:t>m</w:t>
      </w:r>
      <w:r>
        <w:t xml:space="preserve">alignant </w:t>
      </w:r>
      <w:r w:rsidR="00D971B4">
        <w:t>n</w:t>
      </w:r>
      <w:r w:rsidRPr="00A50303">
        <w:t>eoplasms</w:t>
      </w:r>
      <w:bookmarkEnd w:id="6"/>
    </w:p>
    <w:p w:rsidR="00A50303" w:rsidRDefault="00A50303" w:rsidP="00A50303">
      <w:pPr>
        <w:pStyle w:val="BayerBodyTextFull"/>
        <w:spacing w:before="0" w:after="0"/>
        <w:rPr>
          <w:rFonts w:ascii="Arial" w:hAnsi="Arial" w:cs="Arial"/>
          <w:sz w:val="22"/>
          <w:szCs w:val="22"/>
        </w:rPr>
      </w:pPr>
    </w:p>
    <w:p w:rsidR="00E6267F" w:rsidRDefault="00A50303" w:rsidP="009257F9">
      <w:pPr>
        <w:spacing w:after="0" w:line="240" w:lineRule="auto"/>
        <w:rPr>
          <w:rFonts w:ascii="Arial" w:hAnsi="Arial" w:cs="Arial"/>
        </w:rPr>
      </w:pPr>
      <w:r w:rsidRPr="007E1D5F">
        <w:rPr>
          <w:rFonts w:ascii="Arial" w:hAnsi="Arial" w:cs="Arial"/>
          <w:caps/>
        </w:rPr>
        <w:t>Xofigo</w:t>
      </w:r>
      <w:r w:rsidRPr="00A50303">
        <w:rPr>
          <w:rFonts w:ascii="Arial" w:hAnsi="Arial" w:cs="Arial"/>
        </w:rPr>
        <w:t xml:space="preserve"> contributes to a patient’s overall long-term cumulative radiation exposure. </w:t>
      </w:r>
      <w:r>
        <w:rPr>
          <w:rFonts w:ascii="Arial" w:hAnsi="Arial" w:cs="Arial"/>
        </w:rPr>
        <w:t xml:space="preserve"> </w:t>
      </w:r>
    </w:p>
    <w:p w:rsidR="002C64B7" w:rsidRDefault="002C64B7" w:rsidP="009257F9">
      <w:pPr>
        <w:spacing w:after="0" w:line="240" w:lineRule="auto"/>
        <w:rPr>
          <w:rFonts w:ascii="Arial" w:hAnsi="Arial" w:cs="Arial"/>
        </w:rPr>
      </w:pPr>
    </w:p>
    <w:p w:rsidR="00DD1FA5" w:rsidRDefault="00A50303" w:rsidP="009257F9">
      <w:pPr>
        <w:spacing w:after="0" w:line="240" w:lineRule="auto"/>
        <w:rPr>
          <w:rFonts w:ascii="Arial" w:hAnsi="Arial" w:cs="Arial"/>
        </w:rPr>
      </w:pPr>
      <w:r w:rsidRPr="00A50303">
        <w:rPr>
          <w:rFonts w:ascii="Arial" w:hAnsi="Arial" w:cs="Arial"/>
        </w:rPr>
        <w:t>Long</w:t>
      </w:r>
      <w:r w:rsidR="009E37B3">
        <w:rPr>
          <w:rFonts w:ascii="Arial" w:hAnsi="Arial" w:cs="Arial"/>
        </w:rPr>
        <w:noBreakHyphen/>
      </w:r>
      <w:r w:rsidRPr="00A50303">
        <w:rPr>
          <w:rFonts w:ascii="Arial" w:hAnsi="Arial" w:cs="Arial"/>
        </w:rPr>
        <w:t xml:space="preserve">term cumulative radiation exposure may be associated with an increased risk of cancer and hereditary defects. </w:t>
      </w:r>
      <w:r>
        <w:rPr>
          <w:rFonts w:ascii="Arial" w:hAnsi="Arial" w:cs="Arial"/>
        </w:rPr>
        <w:t xml:space="preserve"> </w:t>
      </w:r>
      <w:r w:rsidRPr="00A50303">
        <w:rPr>
          <w:rFonts w:ascii="Arial" w:hAnsi="Arial" w:cs="Arial"/>
        </w:rPr>
        <w:t xml:space="preserve">No cases of </w:t>
      </w:r>
      <w:r w:rsidRPr="007E1D5F">
        <w:rPr>
          <w:rFonts w:ascii="Arial" w:hAnsi="Arial" w:cs="Arial"/>
          <w:caps/>
        </w:rPr>
        <w:t>Xofigo</w:t>
      </w:r>
      <w:r w:rsidRPr="00A50303">
        <w:rPr>
          <w:rFonts w:ascii="Arial" w:hAnsi="Arial" w:cs="Arial"/>
        </w:rPr>
        <w:t>-induced cancer have been reported in clinical trials in follow-up of up to three years.</w:t>
      </w:r>
    </w:p>
    <w:p w:rsidR="00117961" w:rsidRDefault="00117961" w:rsidP="009257F9">
      <w:pPr>
        <w:spacing w:after="0" w:line="240" w:lineRule="auto"/>
        <w:rPr>
          <w:rFonts w:ascii="Arial" w:hAnsi="Arial" w:cs="Arial"/>
          <w:lang w:val="en-US"/>
        </w:rPr>
      </w:pPr>
    </w:p>
    <w:p w:rsidR="00117961" w:rsidRDefault="00117961" w:rsidP="002352CB">
      <w:pPr>
        <w:pStyle w:val="PIHeading1"/>
        <w:keepNext/>
        <w:outlineLvl w:val="0"/>
        <w:rPr>
          <w:lang w:val="en-US"/>
        </w:rPr>
      </w:pPr>
      <w:r>
        <w:rPr>
          <w:lang w:val="en-US"/>
        </w:rPr>
        <w:t>DOSAGE AND ADMINISTRATION</w:t>
      </w:r>
    </w:p>
    <w:p w:rsidR="00117961" w:rsidRDefault="00117961" w:rsidP="00FC5F82">
      <w:pPr>
        <w:keepNext/>
        <w:spacing w:after="0" w:line="240" w:lineRule="auto"/>
        <w:rPr>
          <w:rFonts w:ascii="Arial" w:hAnsi="Arial" w:cs="Arial"/>
          <w:lang w:val="en-US"/>
        </w:rPr>
      </w:pPr>
    </w:p>
    <w:p w:rsidR="00B924C6" w:rsidRPr="00B924C6" w:rsidRDefault="00B924C6" w:rsidP="002352CB">
      <w:pPr>
        <w:pStyle w:val="PIHeading2"/>
        <w:outlineLvl w:val="1"/>
      </w:pPr>
      <w:r>
        <w:t>Dosage regimen</w:t>
      </w:r>
    </w:p>
    <w:p w:rsidR="00B924C6" w:rsidRDefault="00B924C6" w:rsidP="00117961">
      <w:pPr>
        <w:spacing w:after="0" w:line="240" w:lineRule="auto"/>
        <w:rPr>
          <w:rFonts w:ascii="Arial" w:hAnsi="Arial" w:cs="Arial"/>
          <w:lang w:val="en-US"/>
        </w:rPr>
      </w:pPr>
    </w:p>
    <w:p w:rsidR="00D971B4" w:rsidRDefault="00117961" w:rsidP="007E1D5F">
      <w:pPr>
        <w:spacing w:after="0" w:line="240" w:lineRule="auto"/>
        <w:jc w:val="both"/>
        <w:rPr>
          <w:rFonts w:ascii="Arial" w:hAnsi="Arial" w:cs="Arial"/>
          <w:lang w:val="en-US"/>
        </w:rPr>
      </w:pPr>
      <w:r w:rsidRPr="00117961">
        <w:rPr>
          <w:rFonts w:ascii="Arial" w:hAnsi="Arial" w:cs="Arial"/>
          <w:lang w:val="en-US"/>
        </w:rPr>
        <w:t>The dose regimen</w:t>
      </w:r>
      <w:r w:rsidR="00D971B4">
        <w:rPr>
          <w:rFonts w:ascii="Arial" w:hAnsi="Arial" w:cs="Arial"/>
          <w:lang w:val="en-US"/>
        </w:rPr>
        <w:t xml:space="preserve"> of </w:t>
      </w:r>
      <w:r w:rsidR="00D971B4" w:rsidRPr="007E1D5F">
        <w:rPr>
          <w:rFonts w:ascii="Arial" w:hAnsi="Arial" w:cs="Arial"/>
          <w:caps/>
          <w:lang w:val="en-US"/>
        </w:rPr>
        <w:t>Xofigo</w:t>
      </w:r>
      <w:r w:rsidRPr="00117961">
        <w:rPr>
          <w:rFonts w:ascii="Arial" w:hAnsi="Arial" w:cs="Arial"/>
          <w:lang w:val="en-US"/>
        </w:rPr>
        <w:t xml:space="preserve"> </w:t>
      </w:r>
      <w:r>
        <w:rPr>
          <w:rFonts w:ascii="Arial" w:hAnsi="Arial" w:cs="Arial"/>
          <w:lang w:val="en-US"/>
        </w:rPr>
        <w:t xml:space="preserve">is 50 </w:t>
      </w:r>
      <w:proofErr w:type="spellStart"/>
      <w:r>
        <w:rPr>
          <w:rFonts w:ascii="Arial" w:hAnsi="Arial" w:cs="Arial"/>
          <w:lang w:val="en-US"/>
        </w:rPr>
        <w:t>kBq</w:t>
      </w:r>
      <w:proofErr w:type="spellEnd"/>
      <w:r w:rsidRPr="00117961">
        <w:rPr>
          <w:rFonts w:ascii="Arial" w:hAnsi="Arial" w:cs="Arial"/>
          <w:lang w:val="en-US"/>
        </w:rPr>
        <w:t xml:space="preserve"> per kg body weight, given at 4 week intervals for 6 injections.</w:t>
      </w:r>
      <w:r>
        <w:rPr>
          <w:rFonts w:ascii="Arial" w:hAnsi="Arial" w:cs="Arial"/>
          <w:lang w:val="en-US"/>
        </w:rPr>
        <w:t xml:space="preserve"> </w:t>
      </w:r>
      <w:r w:rsidRPr="00117961">
        <w:rPr>
          <w:rFonts w:ascii="Arial" w:hAnsi="Arial" w:cs="Arial"/>
          <w:lang w:val="en-US"/>
        </w:rPr>
        <w:t xml:space="preserve"> </w:t>
      </w:r>
    </w:p>
    <w:p w:rsidR="00D971B4" w:rsidRDefault="00D971B4" w:rsidP="007E1D5F">
      <w:pPr>
        <w:spacing w:after="0" w:line="240" w:lineRule="auto"/>
        <w:jc w:val="both"/>
        <w:rPr>
          <w:rFonts w:ascii="Arial" w:hAnsi="Arial" w:cs="Arial"/>
          <w:lang w:val="en-US"/>
        </w:rPr>
      </w:pPr>
    </w:p>
    <w:p w:rsidR="00117961" w:rsidRDefault="00117961" w:rsidP="007E1D5F">
      <w:pPr>
        <w:spacing w:after="0" w:line="240" w:lineRule="auto"/>
        <w:jc w:val="both"/>
        <w:rPr>
          <w:rFonts w:ascii="Arial" w:hAnsi="Arial" w:cs="Arial"/>
          <w:lang w:val="en-US"/>
        </w:rPr>
      </w:pPr>
      <w:r w:rsidRPr="00117961">
        <w:rPr>
          <w:rFonts w:ascii="Arial" w:hAnsi="Arial" w:cs="Arial"/>
          <w:lang w:val="en-US"/>
        </w:rPr>
        <w:t>Safety and efficacy beyond 6 injections have not been studied.</w:t>
      </w:r>
    </w:p>
    <w:p w:rsidR="00D971B4" w:rsidRDefault="00D971B4" w:rsidP="007E1D5F">
      <w:pPr>
        <w:spacing w:after="0" w:line="240" w:lineRule="auto"/>
        <w:jc w:val="both"/>
        <w:rPr>
          <w:rFonts w:ascii="Arial" w:hAnsi="Arial" w:cs="Arial"/>
          <w:lang w:val="en-US"/>
        </w:rPr>
      </w:pPr>
    </w:p>
    <w:p w:rsidR="00D971B4" w:rsidRPr="00D971B4" w:rsidRDefault="00D971B4" w:rsidP="007E1D5F">
      <w:pPr>
        <w:spacing w:after="0" w:line="240" w:lineRule="auto"/>
        <w:jc w:val="both"/>
        <w:rPr>
          <w:rFonts w:ascii="Arial" w:hAnsi="Arial" w:cs="Arial"/>
          <w:lang w:val="en-US"/>
        </w:rPr>
      </w:pPr>
      <w:r>
        <w:rPr>
          <w:rFonts w:ascii="Arial" w:hAnsi="Arial" w:cs="Arial"/>
          <w:lang w:val="en-US"/>
        </w:rPr>
        <w:t xml:space="preserve">For details on the calculation of the volume to be administered, see </w:t>
      </w:r>
      <w:r w:rsidR="00BF1428" w:rsidRPr="00B32918">
        <w:rPr>
          <w:rFonts w:ascii="Arial" w:hAnsi="Arial" w:cs="Arial"/>
          <w:lang w:val="en-US"/>
        </w:rPr>
        <w:t>Method of administration</w:t>
      </w:r>
      <w:r w:rsidRPr="00B32918">
        <w:rPr>
          <w:rFonts w:ascii="Arial" w:hAnsi="Arial" w:cs="Arial"/>
          <w:lang w:val="en-US"/>
        </w:rPr>
        <w:t>.</w:t>
      </w:r>
    </w:p>
    <w:p w:rsidR="00117961" w:rsidRDefault="00117961" w:rsidP="00117961">
      <w:pPr>
        <w:spacing w:after="0" w:line="240" w:lineRule="auto"/>
        <w:rPr>
          <w:rFonts w:ascii="Arial" w:hAnsi="Arial" w:cs="Arial"/>
          <w:lang w:val="en-US"/>
        </w:rPr>
      </w:pPr>
    </w:p>
    <w:p w:rsidR="00327969" w:rsidRDefault="00327969" w:rsidP="002352CB">
      <w:pPr>
        <w:pStyle w:val="PIHeading3undelined"/>
        <w:outlineLvl w:val="2"/>
      </w:pPr>
      <w:r w:rsidRPr="00CA2A5B">
        <w:t>A</w:t>
      </w:r>
      <w:r w:rsidR="00BF1428">
        <w:t>ddition</w:t>
      </w:r>
      <w:r w:rsidR="00400325">
        <w:t>al</w:t>
      </w:r>
      <w:r w:rsidR="00BF1428">
        <w:t xml:space="preserve"> information on special populations</w:t>
      </w:r>
    </w:p>
    <w:p w:rsidR="00327969" w:rsidRDefault="00327969" w:rsidP="00117961">
      <w:pPr>
        <w:spacing w:after="0" w:line="240" w:lineRule="auto"/>
        <w:rPr>
          <w:rFonts w:ascii="Arial" w:hAnsi="Arial" w:cs="Arial"/>
          <w:lang w:val="en-US"/>
        </w:rPr>
      </w:pPr>
    </w:p>
    <w:p w:rsidR="00117961" w:rsidRDefault="00117961" w:rsidP="007E1D5F">
      <w:pPr>
        <w:spacing w:after="0" w:line="240" w:lineRule="auto"/>
        <w:jc w:val="both"/>
        <w:rPr>
          <w:rFonts w:ascii="Arial" w:hAnsi="Arial" w:cs="Arial"/>
          <w:lang w:val="en-US"/>
        </w:rPr>
      </w:pPr>
      <w:r>
        <w:rPr>
          <w:rFonts w:ascii="Arial" w:hAnsi="Arial" w:cs="Arial"/>
          <w:lang w:val="en-US"/>
        </w:rPr>
        <w:t>No dose adjustment is considered necessary in the elderly or in patients with renal or hepatic impairment</w:t>
      </w:r>
      <w:r w:rsidR="00BF1428">
        <w:rPr>
          <w:rFonts w:ascii="Arial" w:hAnsi="Arial" w:cs="Arial"/>
          <w:lang w:val="en-US"/>
        </w:rPr>
        <w:t xml:space="preserve"> (see </w:t>
      </w:r>
      <w:r w:rsidR="00BF1428" w:rsidRPr="00B32918">
        <w:rPr>
          <w:rFonts w:ascii="Arial" w:hAnsi="Arial" w:cs="Arial"/>
          <w:lang w:val="en-US"/>
        </w:rPr>
        <w:t>PHARMACOLOGY – Pharmacokinetics</w:t>
      </w:r>
      <w:r w:rsidR="00BF1428">
        <w:rPr>
          <w:rFonts w:ascii="Arial" w:hAnsi="Arial" w:cs="Arial"/>
          <w:lang w:val="en-US"/>
        </w:rPr>
        <w:t>)</w:t>
      </w:r>
      <w:r>
        <w:rPr>
          <w:rFonts w:ascii="Arial" w:hAnsi="Arial" w:cs="Arial"/>
          <w:lang w:val="en-US"/>
        </w:rPr>
        <w:t>.</w:t>
      </w:r>
    </w:p>
    <w:p w:rsidR="004D1D81" w:rsidRDefault="004D1D81" w:rsidP="004D1D81">
      <w:pPr>
        <w:spacing w:after="0" w:line="240" w:lineRule="auto"/>
        <w:rPr>
          <w:rFonts w:ascii="Arial" w:hAnsi="Arial" w:cs="Arial"/>
          <w:lang w:val="en-US"/>
        </w:rPr>
      </w:pPr>
    </w:p>
    <w:p w:rsidR="00B924C6" w:rsidRDefault="00BF1428" w:rsidP="002352CB">
      <w:pPr>
        <w:pStyle w:val="PIHeading2"/>
        <w:outlineLvl w:val="1"/>
      </w:pPr>
      <w:r>
        <w:t>Method of a</w:t>
      </w:r>
      <w:r w:rsidR="00327969">
        <w:t>dministration</w:t>
      </w:r>
    </w:p>
    <w:p w:rsidR="00B924C6" w:rsidRPr="00B924C6" w:rsidRDefault="00B924C6" w:rsidP="009E37B3">
      <w:pPr>
        <w:keepNext/>
        <w:spacing w:after="0" w:line="240" w:lineRule="auto"/>
        <w:rPr>
          <w:rFonts w:ascii="Arial" w:hAnsi="Arial" w:cs="Arial"/>
          <w:b/>
        </w:rPr>
      </w:pPr>
    </w:p>
    <w:p w:rsidR="00F4106A" w:rsidRDefault="004D1D81" w:rsidP="007E1D5F">
      <w:pPr>
        <w:pStyle w:val="BayerBodyTextFull"/>
        <w:spacing w:before="0" w:after="0"/>
        <w:jc w:val="both"/>
        <w:rPr>
          <w:rFonts w:ascii="Arial" w:hAnsi="Arial" w:cs="Arial"/>
          <w:sz w:val="22"/>
          <w:szCs w:val="22"/>
          <w:lang w:val="en-GB"/>
        </w:rPr>
      </w:pPr>
      <w:r w:rsidRPr="007E1D5F">
        <w:rPr>
          <w:rFonts w:ascii="Arial" w:hAnsi="Arial" w:cs="Arial"/>
          <w:caps/>
          <w:sz w:val="22"/>
          <w:szCs w:val="22"/>
        </w:rPr>
        <w:t>Xofigo</w:t>
      </w:r>
      <w:r w:rsidRPr="00F4106A">
        <w:rPr>
          <w:rFonts w:ascii="Arial" w:hAnsi="Arial" w:cs="Arial"/>
          <w:sz w:val="22"/>
          <w:szCs w:val="22"/>
        </w:rPr>
        <w:t xml:space="preserve"> is to be administered by slow intravenous injection (generally up to 1 minute).  The intravenous access line or cannula must be flushed with isotonic saline before and after injection.</w:t>
      </w:r>
      <w:r w:rsidR="00F4106A">
        <w:rPr>
          <w:rFonts w:ascii="Arial" w:hAnsi="Arial" w:cs="Arial"/>
          <w:sz w:val="22"/>
          <w:szCs w:val="22"/>
        </w:rPr>
        <w:t xml:space="preserve"> </w:t>
      </w:r>
      <w:r w:rsidR="00F4106A" w:rsidRPr="00F4106A">
        <w:rPr>
          <w:rFonts w:ascii="Arial" w:hAnsi="Arial" w:cs="Arial"/>
          <w:sz w:val="22"/>
          <w:szCs w:val="22"/>
          <w:lang w:val="en-GB"/>
        </w:rPr>
        <w:t xml:space="preserve"> </w:t>
      </w:r>
    </w:p>
    <w:p w:rsidR="00993D20" w:rsidRDefault="00993D20" w:rsidP="007E1D5F">
      <w:pPr>
        <w:pStyle w:val="BayerBodyTextFull"/>
        <w:spacing w:before="0" w:after="0"/>
        <w:jc w:val="both"/>
        <w:rPr>
          <w:rFonts w:ascii="Arial" w:hAnsi="Arial" w:cs="Arial"/>
          <w:sz w:val="22"/>
          <w:szCs w:val="22"/>
          <w:lang w:val="en-GB"/>
        </w:rPr>
      </w:pPr>
    </w:p>
    <w:p w:rsidR="00993D20" w:rsidRPr="00117961" w:rsidRDefault="00993D20" w:rsidP="007E1D5F">
      <w:pPr>
        <w:pStyle w:val="BayerBodyTextFull"/>
        <w:spacing w:before="0" w:after="0"/>
        <w:jc w:val="both"/>
        <w:rPr>
          <w:rFonts w:ascii="Arial" w:hAnsi="Arial" w:cs="Arial"/>
          <w:sz w:val="22"/>
          <w:szCs w:val="22"/>
          <w:lang w:val="en-GB"/>
        </w:rPr>
      </w:pPr>
      <w:r w:rsidRPr="007E1D5F">
        <w:rPr>
          <w:rFonts w:ascii="Arial" w:hAnsi="Arial" w:cs="Arial"/>
          <w:caps/>
          <w:sz w:val="22"/>
          <w:szCs w:val="22"/>
          <w:lang w:val="en-GB"/>
        </w:rPr>
        <w:t>Xofigo</w:t>
      </w:r>
      <w:r w:rsidRPr="00117961">
        <w:rPr>
          <w:rFonts w:ascii="Arial" w:hAnsi="Arial" w:cs="Arial"/>
          <w:sz w:val="22"/>
          <w:szCs w:val="22"/>
          <w:lang w:val="en-GB"/>
        </w:rPr>
        <w:t xml:space="preserve"> should be inspected visually before use.</w:t>
      </w:r>
      <w:r>
        <w:rPr>
          <w:rFonts w:ascii="Arial" w:hAnsi="Arial" w:cs="Arial"/>
          <w:sz w:val="22"/>
          <w:szCs w:val="22"/>
          <w:lang w:val="en-GB"/>
        </w:rPr>
        <w:t xml:space="preserve"> </w:t>
      </w:r>
      <w:r w:rsidRPr="00117961">
        <w:rPr>
          <w:rFonts w:ascii="Arial" w:hAnsi="Arial" w:cs="Arial"/>
          <w:sz w:val="22"/>
          <w:szCs w:val="22"/>
          <w:lang w:val="en-GB"/>
        </w:rPr>
        <w:t xml:space="preserve"> </w:t>
      </w:r>
      <w:r w:rsidR="009E37B3" w:rsidRPr="00117961">
        <w:rPr>
          <w:rFonts w:ascii="Arial" w:hAnsi="Arial" w:cs="Arial"/>
          <w:sz w:val="22"/>
          <w:szCs w:val="22"/>
          <w:lang w:val="en-GB"/>
        </w:rPr>
        <w:t>XOFIGO</w:t>
      </w:r>
      <w:r w:rsidRPr="00117961">
        <w:rPr>
          <w:rFonts w:ascii="Arial" w:hAnsi="Arial" w:cs="Arial"/>
          <w:sz w:val="22"/>
          <w:szCs w:val="22"/>
          <w:lang w:val="en-GB"/>
        </w:rPr>
        <w:t xml:space="preserve"> is a clear, colo</w:t>
      </w:r>
      <w:r>
        <w:rPr>
          <w:rFonts w:ascii="Arial" w:hAnsi="Arial" w:cs="Arial"/>
          <w:sz w:val="22"/>
          <w:szCs w:val="22"/>
          <w:lang w:val="en-GB"/>
        </w:rPr>
        <w:t>u</w:t>
      </w:r>
      <w:r w:rsidRPr="00117961">
        <w:rPr>
          <w:rFonts w:ascii="Arial" w:hAnsi="Arial" w:cs="Arial"/>
          <w:sz w:val="22"/>
          <w:szCs w:val="22"/>
          <w:lang w:val="en-GB"/>
        </w:rPr>
        <w:t>rless solution and should not be used in case of discolo</w:t>
      </w:r>
      <w:r>
        <w:rPr>
          <w:rFonts w:ascii="Arial" w:hAnsi="Arial" w:cs="Arial"/>
          <w:sz w:val="22"/>
          <w:szCs w:val="22"/>
          <w:lang w:val="en-GB"/>
        </w:rPr>
        <w:t>u</w:t>
      </w:r>
      <w:r w:rsidRPr="00117961">
        <w:rPr>
          <w:rFonts w:ascii="Arial" w:hAnsi="Arial" w:cs="Arial"/>
          <w:sz w:val="22"/>
          <w:szCs w:val="22"/>
          <w:lang w:val="en-GB"/>
        </w:rPr>
        <w:t>ration, the occurrence of particulate matter or a defective container</w:t>
      </w:r>
      <w:r>
        <w:rPr>
          <w:rFonts w:ascii="Arial" w:hAnsi="Arial" w:cs="Arial"/>
          <w:sz w:val="22"/>
          <w:szCs w:val="22"/>
          <w:lang w:val="en-GB"/>
        </w:rPr>
        <w:t>.</w:t>
      </w:r>
    </w:p>
    <w:p w:rsidR="00F4106A" w:rsidRDefault="00F4106A" w:rsidP="007E1D5F">
      <w:pPr>
        <w:pStyle w:val="BayerBodyTextFull"/>
        <w:spacing w:before="0" w:after="0"/>
        <w:jc w:val="both"/>
        <w:rPr>
          <w:rFonts w:ascii="Arial" w:hAnsi="Arial" w:cs="Arial"/>
          <w:sz w:val="22"/>
          <w:szCs w:val="22"/>
          <w:lang w:val="en-GB"/>
        </w:rPr>
      </w:pPr>
    </w:p>
    <w:p w:rsidR="006E0D52" w:rsidRDefault="00F4106A" w:rsidP="007E1D5F">
      <w:pPr>
        <w:pStyle w:val="BayerBodyTextFull"/>
        <w:spacing w:before="0" w:after="0"/>
        <w:jc w:val="both"/>
        <w:rPr>
          <w:rFonts w:ascii="Arial" w:hAnsi="Arial" w:cs="Arial"/>
          <w:sz w:val="22"/>
          <w:szCs w:val="22"/>
        </w:rPr>
      </w:pPr>
      <w:r w:rsidRPr="007E1D5F">
        <w:rPr>
          <w:rFonts w:ascii="Arial" w:hAnsi="Arial" w:cs="Arial"/>
          <w:caps/>
          <w:sz w:val="22"/>
          <w:szCs w:val="22"/>
          <w:lang w:val="en-GB"/>
        </w:rPr>
        <w:t>Xofigo</w:t>
      </w:r>
      <w:r w:rsidRPr="00F4106A">
        <w:rPr>
          <w:rFonts w:ascii="Arial" w:hAnsi="Arial" w:cs="Arial"/>
          <w:sz w:val="22"/>
          <w:szCs w:val="22"/>
          <w:lang w:val="en-GB"/>
        </w:rPr>
        <w:t xml:space="preserve"> is a ready-to-use solution and should not be diluted or mixed with any solutions. </w:t>
      </w:r>
      <w:r w:rsidRPr="00F4106A">
        <w:rPr>
          <w:rFonts w:ascii="Arial" w:hAnsi="Arial" w:cs="Arial"/>
          <w:sz w:val="22"/>
          <w:szCs w:val="22"/>
        </w:rPr>
        <w:t xml:space="preserve"> </w:t>
      </w:r>
      <w:r w:rsidR="006E0D52">
        <w:rPr>
          <w:rFonts w:ascii="Arial" w:hAnsi="Arial" w:cs="Arial"/>
          <w:sz w:val="22"/>
          <w:szCs w:val="22"/>
        </w:rPr>
        <w:t xml:space="preserve">In the absence of compatibility studies, </w:t>
      </w:r>
      <w:r w:rsidR="006E0D52" w:rsidRPr="007E1D5F">
        <w:rPr>
          <w:rFonts w:ascii="Arial" w:hAnsi="Arial" w:cs="Arial"/>
          <w:caps/>
          <w:sz w:val="22"/>
          <w:szCs w:val="22"/>
        </w:rPr>
        <w:t>Xofigo</w:t>
      </w:r>
      <w:r w:rsidR="006E0D52">
        <w:rPr>
          <w:rFonts w:ascii="Arial" w:hAnsi="Arial" w:cs="Arial"/>
          <w:sz w:val="22"/>
          <w:szCs w:val="22"/>
        </w:rPr>
        <w:t xml:space="preserve"> must not be mixed with other medicinal products.</w:t>
      </w:r>
    </w:p>
    <w:p w:rsidR="006E0D52" w:rsidRDefault="006E0D52" w:rsidP="007E1D5F">
      <w:pPr>
        <w:pStyle w:val="BayerBodyTextFull"/>
        <w:spacing w:before="0" w:after="0"/>
        <w:jc w:val="both"/>
        <w:rPr>
          <w:rFonts w:ascii="Arial" w:hAnsi="Arial" w:cs="Arial"/>
          <w:sz w:val="22"/>
          <w:szCs w:val="22"/>
        </w:rPr>
      </w:pPr>
    </w:p>
    <w:p w:rsidR="00F4106A" w:rsidRDefault="00F4106A" w:rsidP="007E1D5F">
      <w:pPr>
        <w:pStyle w:val="BayerBodyTextFull"/>
        <w:spacing w:before="0" w:after="0"/>
        <w:jc w:val="both"/>
        <w:rPr>
          <w:rFonts w:ascii="Arial" w:hAnsi="Arial" w:cs="Arial"/>
          <w:sz w:val="22"/>
          <w:szCs w:val="22"/>
        </w:rPr>
      </w:pPr>
      <w:r w:rsidRPr="00F4106A">
        <w:rPr>
          <w:rFonts w:ascii="Arial" w:hAnsi="Arial" w:cs="Arial"/>
          <w:sz w:val="22"/>
          <w:szCs w:val="22"/>
        </w:rPr>
        <w:t>Each vial is for is for single use in one patient only.  Discard any residue</w:t>
      </w:r>
      <w:r w:rsidR="0083018B">
        <w:rPr>
          <w:rFonts w:ascii="Arial" w:hAnsi="Arial" w:cs="Arial"/>
          <w:sz w:val="22"/>
          <w:szCs w:val="22"/>
        </w:rPr>
        <w:t xml:space="preserve"> as described under Radiation Protection</w:t>
      </w:r>
      <w:r w:rsidRPr="00F4106A">
        <w:rPr>
          <w:rFonts w:ascii="Arial" w:hAnsi="Arial" w:cs="Arial"/>
          <w:sz w:val="22"/>
          <w:szCs w:val="22"/>
        </w:rPr>
        <w:t>.</w:t>
      </w:r>
    </w:p>
    <w:p w:rsidR="00327969" w:rsidRPr="00D971B4" w:rsidRDefault="00327969" w:rsidP="007E1D5F">
      <w:pPr>
        <w:pStyle w:val="BayerBodyTextFull"/>
        <w:spacing w:before="0" w:after="0"/>
        <w:jc w:val="both"/>
        <w:rPr>
          <w:rFonts w:ascii="Arial" w:hAnsi="Arial" w:cs="Arial"/>
          <w:sz w:val="22"/>
          <w:szCs w:val="22"/>
        </w:rPr>
      </w:pPr>
    </w:p>
    <w:p w:rsidR="00327969" w:rsidRPr="00117961" w:rsidRDefault="00327969" w:rsidP="007E1D5F">
      <w:pPr>
        <w:pStyle w:val="BayerBodyTextFull"/>
        <w:spacing w:before="0" w:after="0"/>
        <w:jc w:val="both"/>
        <w:rPr>
          <w:rFonts w:ascii="Arial" w:hAnsi="Arial" w:cs="Arial"/>
          <w:sz w:val="22"/>
          <w:szCs w:val="22"/>
          <w:lang w:val="en-GB"/>
        </w:rPr>
      </w:pPr>
      <w:r w:rsidRPr="00117961">
        <w:rPr>
          <w:rFonts w:ascii="Arial" w:hAnsi="Arial" w:cs="Arial"/>
          <w:sz w:val="22"/>
          <w:szCs w:val="22"/>
          <w:lang w:val="en-GB"/>
        </w:rPr>
        <w:t>The volume to be administered to a given patient should be calculated using the</w:t>
      </w:r>
      <w:r>
        <w:rPr>
          <w:rFonts w:ascii="Arial" w:hAnsi="Arial" w:cs="Arial"/>
          <w:sz w:val="22"/>
          <w:szCs w:val="22"/>
          <w:lang w:val="en-GB"/>
        </w:rPr>
        <w:t>:</w:t>
      </w:r>
    </w:p>
    <w:p w:rsidR="00327969" w:rsidRPr="00117961" w:rsidRDefault="00327969" w:rsidP="00327969">
      <w:pPr>
        <w:pStyle w:val="BulletBayerBodyText"/>
        <w:numPr>
          <w:ilvl w:val="0"/>
          <w:numId w:val="5"/>
        </w:numPr>
        <w:tabs>
          <w:tab w:val="clear" w:pos="1264"/>
        </w:tabs>
        <w:spacing w:before="60" w:after="0"/>
        <w:ind w:left="714" w:hanging="357"/>
        <w:rPr>
          <w:rFonts w:ascii="Arial" w:hAnsi="Arial" w:cs="Arial"/>
          <w:sz w:val="22"/>
          <w:szCs w:val="22"/>
          <w:lang w:val="en-GB"/>
        </w:rPr>
      </w:pPr>
      <w:r w:rsidRPr="00117961">
        <w:rPr>
          <w:rFonts w:ascii="Arial" w:hAnsi="Arial" w:cs="Arial"/>
          <w:sz w:val="22"/>
          <w:szCs w:val="22"/>
          <w:lang w:val="en-GB"/>
        </w:rPr>
        <w:t xml:space="preserve">Patient’s body weight (kg) </w:t>
      </w:r>
    </w:p>
    <w:p w:rsidR="00327969" w:rsidRPr="00117961" w:rsidRDefault="00327969" w:rsidP="00327969">
      <w:pPr>
        <w:pStyle w:val="BulletBayerBodyText"/>
        <w:numPr>
          <w:ilvl w:val="0"/>
          <w:numId w:val="5"/>
        </w:numPr>
        <w:tabs>
          <w:tab w:val="clear" w:pos="1264"/>
        </w:tabs>
        <w:spacing w:before="60" w:after="0"/>
        <w:ind w:left="714" w:hanging="357"/>
        <w:rPr>
          <w:rFonts w:ascii="Arial" w:hAnsi="Arial" w:cs="Arial"/>
          <w:sz w:val="22"/>
          <w:szCs w:val="22"/>
          <w:lang w:val="en-GB"/>
        </w:rPr>
      </w:pPr>
      <w:r>
        <w:rPr>
          <w:rFonts w:ascii="Arial" w:hAnsi="Arial" w:cs="Arial"/>
          <w:sz w:val="22"/>
          <w:szCs w:val="22"/>
          <w:lang w:val="en-GB"/>
        </w:rPr>
        <w:t>Dose</w:t>
      </w:r>
      <w:r w:rsidRPr="00117961">
        <w:rPr>
          <w:rFonts w:ascii="Arial" w:hAnsi="Arial" w:cs="Arial"/>
          <w:sz w:val="22"/>
          <w:szCs w:val="22"/>
          <w:lang w:val="en-GB"/>
        </w:rPr>
        <w:t xml:space="preserve"> (50 </w:t>
      </w:r>
      <w:proofErr w:type="spellStart"/>
      <w:r w:rsidRPr="00117961">
        <w:rPr>
          <w:rFonts w:ascii="Arial" w:hAnsi="Arial" w:cs="Arial"/>
          <w:sz w:val="22"/>
          <w:szCs w:val="22"/>
          <w:lang w:val="en-GB"/>
        </w:rPr>
        <w:t>kBq</w:t>
      </w:r>
      <w:proofErr w:type="spellEnd"/>
      <w:r w:rsidRPr="00117961">
        <w:rPr>
          <w:rFonts w:ascii="Arial" w:hAnsi="Arial" w:cs="Arial"/>
          <w:sz w:val="22"/>
          <w:szCs w:val="22"/>
          <w:lang w:val="en-GB"/>
        </w:rPr>
        <w:t>/kg body weight)</w:t>
      </w:r>
    </w:p>
    <w:p w:rsidR="00327969" w:rsidRPr="00117961" w:rsidRDefault="00327969" w:rsidP="00327969">
      <w:pPr>
        <w:pStyle w:val="BulletBayerBodyText"/>
        <w:numPr>
          <w:ilvl w:val="0"/>
          <w:numId w:val="5"/>
        </w:numPr>
        <w:tabs>
          <w:tab w:val="clear" w:pos="1264"/>
        </w:tabs>
        <w:spacing w:before="60" w:after="0"/>
        <w:ind w:left="714" w:hanging="357"/>
        <w:rPr>
          <w:rFonts w:ascii="Arial" w:hAnsi="Arial" w:cs="Arial"/>
          <w:sz w:val="22"/>
          <w:szCs w:val="22"/>
          <w:lang w:val="en-GB"/>
        </w:rPr>
      </w:pPr>
      <w:r w:rsidRPr="00117961">
        <w:rPr>
          <w:rFonts w:ascii="Arial" w:hAnsi="Arial" w:cs="Arial"/>
          <w:sz w:val="22"/>
          <w:szCs w:val="22"/>
          <w:lang w:val="en-GB"/>
        </w:rPr>
        <w:t>Radioactivity concentrat</w:t>
      </w:r>
      <w:r>
        <w:rPr>
          <w:rFonts w:ascii="Arial" w:hAnsi="Arial" w:cs="Arial"/>
          <w:sz w:val="22"/>
          <w:szCs w:val="22"/>
          <w:lang w:val="en-GB"/>
        </w:rPr>
        <w:t xml:space="preserve">ion of the product (1000 </w:t>
      </w:r>
      <w:proofErr w:type="spellStart"/>
      <w:r>
        <w:rPr>
          <w:rFonts w:ascii="Arial" w:hAnsi="Arial" w:cs="Arial"/>
          <w:sz w:val="22"/>
          <w:szCs w:val="22"/>
          <w:lang w:val="en-GB"/>
        </w:rPr>
        <w:t>kBq</w:t>
      </w:r>
      <w:proofErr w:type="spellEnd"/>
      <w:r>
        <w:rPr>
          <w:rFonts w:ascii="Arial" w:hAnsi="Arial" w:cs="Arial"/>
          <w:sz w:val="22"/>
          <w:szCs w:val="22"/>
          <w:lang w:val="en-GB"/>
        </w:rPr>
        <w:t>/mL</w:t>
      </w:r>
      <w:r w:rsidRPr="00117961">
        <w:rPr>
          <w:rFonts w:ascii="Arial" w:hAnsi="Arial" w:cs="Arial"/>
          <w:sz w:val="22"/>
          <w:szCs w:val="22"/>
          <w:lang w:val="en-GB"/>
        </w:rPr>
        <w:t xml:space="preserve">) at reference date. </w:t>
      </w:r>
      <w:r>
        <w:rPr>
          <w:rFonts w:ascii="Arial" w:hAnsi="Arial" w:cs="Arial"/>
          <w:sz w:val="22"/>
          <w:szCs w:val="22"/>
          <w:lang w:val="en-GB"/>
        </w:rPr>
        <w:t xml:space="preserve"> </w:t>
      </w:r>
      <w:r w:rsidRPr="00117961">
        <w:rPr>
          <w:rFonts w:ascii="Arial" w:hAnsi="Arial" w:cs="Arial"/>
          <w:sz w:val="22"/>
          <w:szCs w:val="22"/>
          <w:lang w:val="en-GB"/>
        </w:rPr>
        <w:t xml:space="preserve">The reference date is stated on the vial and lead container label. </w:t>
      </w:r>
    </w:p>
    <w:p w:rsidR="00327969" w:rsidRPr="00117961" w:rsidRDefault="00327969" w:rsidP="00327969">
      <w:pPr>
        <w:pStyle w:val="BulletBayerBodyText"/>
        <w:numPr>
          <w:ilvl w:val="0"/>
          <w:numId w:val="5"/>
        </w:numPr>
        <w:tabs>
          <w:tab w:val="clear" w:pos="1264"/>
        </w:tabs>
        <w:spacing w:before="60" w:after="0"/>
        <w:ind w:left="714" w:hanging="357"/>
        <w:rPr>
          <w:rFonts w:ascii="Arial" w:hAnsi="Arial" w:cs="Arial"/>
          <w:sz w:val="22"/>
          <w:szCs w:val="22"/>
        </w:rPr>
      </w:pPr>
      <w:r w:rsidRPr="00117961">
        <w:rPr>
          <w:rFonts w:ascii="Arial" w:hAnsi="Arial" w:cs="Arial"/>
          <w:sz w:val="22"/>
          <w:szCs w:val="22"/>
          <w:lang w:val="en-GB"/>
        </w:rPr>
        <w:t xml:space="preserve">Decay correction (DK) factor to correct for physical decay of radium-223. </w:t>
      </w:r>
      <w:r>
        <w:rPr>
          <w:rFonts w:ascii="Arial" w:hAnsi="Arial" w:cs="Arial"/>
          <w:sz w:val="22"/>
          <w:szCs w:val="22"/>
          <w:lang w:val="en-GB"/>
        </w:rPr>
        <w:t xml:space="preserve"> </w:t>
      </w:r>
      <w:r w:rsidRPr="00117961">
        <w:rPr>
          <w:rFonts w:ascii="Arial" w:hAnsi="Arial" w:cs="Arial"/>
          <w:sz w:val="22"/>
          <w:szCs w:val="22"/>
        </w:rPr>
        <w:t xml:space="preserve">A table of DK factors is provided </w:t>
      </w:r>
      <w:r>
        <w:rPr>
          <w:rFonts w:ascii="Arial" w:hAnsi="Arial" w:cs="Arial"/>
          <w:sz w:val="22"/>
          <w:szCs w:val="22"/>
        </w:rPr>
        <w:t>with</w:t>
      </w:r>
      <w:r w:rsidRPr="00117961">
        <w:rPr>
          <w:rFonts w:ascii="Arial" w:hAnsi="Arial" w:cs="Arial"/>
          <w:sz w:val="22"/>
          <w:szCs w:val="22"/>
        </w:rPr>
        <w:t xml:space="preserve"> each vial</w:t>
      </w:r>
      <w:r w:rsidR="00097F7C">
        <w:rPr>
          <w:rFonts w:ascii="Arial" w:hAnsi="Arial" w:cs="Arial"/>
          <w:sz w:val="22"/>
          <w:szCs w:val="22"/>
        </w:rPr>
        <w:t xml:space="preserve"> (see Table </w:t>
      </w:r>
      <w:r w:rsidR="0088685E">
        <w:rPr>
          <w:rFonts w:ascii="Arial" w:hAnsi="Arial" w:cs="Arial"/>
          <w:sz w:val="22"/>
          <w:szCs w:val="22"/>
        </w:rPr>
        <w:t>4</w:t>
      </w:r>
      <w:r w:rsidR="00097F7C">
        <w:rPr>
          <w:rFonts w:ascii="Arial" w:hAnsi="Arial" w:cs="Arial"/>
          <w:sz w:val="22"/>
          <w:szCs w:val="22"/>
        </w:rPr>
        <w:t>)</w:t>
      </w:r>
      <w:r w:rsidRPr="00117961">
        <w:rPr>
          <w:rFonts w:ascii="Arial" w:hAnsi="Arial" w:cs="Arial"/>
          <w:sz w:val="22"/>
          <w:szCs w:val="22"/>
        </w:rPr>
        <w:t xml:space="preserve">. </w:t>
      </w:r>
    </w:p>
    <w:p w:rsidR="00327969" w:rsidRPr="00117961" w:rsidRDefault="00327969" w:rsidP="00327969">
      <w:pPr>
        <w:pStyle w:val="BulletBayerBodyText"/>
        <w:numPr>
          <w:ilvl w:val="0"/>
          <w:numId w:val="0"/>
        </w:numPr>
        <w:spacing w:after="0"/>
        <w:rPr>
          <w:rFonts w:ascii="Arial" w:hAnsi="Arial" w:cs="Arial"/>
          <w:sz w:val="22"/>
          <w:szCs w:val="22"/>
          <w:lang w:val="en-GB"/>
        </w:rPr>
      </w:pPr>
    </w:p>
    <w:p w:rsidR="00327969" w:rsidRDefault="00327969" w:rsidP="00327969">
      <w:pPr>
        <w:pStyle w:val="BulletBayerBodyText"/>
        <w:numPr>
          <w:ilvl w:val="0"/>
          <w:numId w:val="0"/>
        </w:numPr>
        <w:spacing w:after="0"/>
        <w:rPr>
          <w:rFonts w:ascii="Arial" w:hAnsi="Arial" w:cs="Arial"/>
          <w:sz w:val="22"/>
          <w:szCs w:val="22"/>
          <w:lang w:val="en-GB"/>
        </w:rPr>
      </w:pPr>
      <w:r w:rsidRPr="00117961">
        <w:rPr>
          <w:rFonts w:ascii="Arial" w:hAnsi="Arial" w:cs="Arial"/>
          <w:sz w:val="22"/>
          <w:szCs w:val="22"/>
          <w:lang w:val="en-GB"/>
        </w:rPr>
        <w:t>The total volume to be administered to a patient is calculated as follows</w:t>
      </w:r>
      <w:r>
        <w:rPr>
          <w:rFonts w:ascii="Arial" w:hAnsi="Arial" w:cs="Arial"/>
          <w:sz w:val="22"/>
          <w:szCs w:val="22"/>
          <w:lang w:val="en-GB"/>
        </w:rPr>
        <w:t>:</w:t>
      </w:r>
    </w:p>
    <w:p w:rsidR="00327969" w:rsidRPr="00117961" w:rsidRDefault="00327969" w:rsidP="00327969">
      <w:pPr>
        <w:pStyle w:val="BulletBayerBodyText"/>
        <w:numPr>
          <w:ilvl w:val="0"/>
          <w:numId w:val="0"/>
        </w:numPr>
        <w:spacing w:after="0"/>
        <w:rPr>
          <w:rFonts w:ascii="Arial" w:hAnsi="Arial" w:cs="Arial"/>
          <w:sz w:val="22"/>
          <w:szCs w:val="22"/>
          <w:lang w:val="en-GB"/>
        </w:rPr>
      </w:pPr>
    </w:p>
    <w:tbl>
      <w:tblPr>
        <w:tblW w:w="8221" w:type="dxa"/>
        <w:tblInd w:w="534" w:type="dxa"/>
        <w:tblLook w:val="00A0" w:firstRow="1" w:lastRow="0" w:firstColumn="1" w:lastColumn="0" w:noHBand="0" w:noVBand="0"/>
      </w:tblPr>
      <w:tblGrid>
        <w:gridCol w:w="2268"/>
        <w:gridCol w:w="283"/>
        <w:gridCol w:w="5670"/>
      </w:tblGrid>
      <w:tr w:rsidR="00327969" w:rsidRPr="00E84882" w:rsidTr="00B3450B">
        <w:tc>
          <w:tcPr>
            <w:tcW w:w="2268" w:type="dxa"/>
            <w:vMerge w:val="restart"/>
            <w:vAlign w:val="center"/>
          </w:tcPr>
          <w:p w:rsidR="00327969" w:rsidRPr="00E84882" w:rsidRDefault="00327969" w:rsidP="00B3450B">
            <w:pPr>
              <w:pStyle w:val="BayerBodyTextFull"/>
              <w:spacing w:before="0" w:after="0"/>
              <w:rPr>
                <w:rFonts w:ascii="Arial" w:hAnsi="Arial" w:cs="Arial"/>
                <w:bCs/>
                <w:sz w:val="22"/>
                <w:szCs w:val="22"/>
                <w:lang w:val="en-GB"/>
              </w:rPr>
            </w:pPr>
            <w:r w:rsidRPr="00E84882">
              <w:rPr>
                <w:rFonts w:ascii="Arial" w:hAnsi="Arial" w:cs="Arial"/>
                <w:bCs/>
                <w:sz w:val="22"/>
                <w:szCs w:val="22"/>
                <w:lang w:val="en-GB"/>
              </w:rPr>
              <w:lastRenderedPageBreak/>
              <w:t>Volume to be administered (mL)</w:t>
            </w:r>
          </w:p>
        </w:tc>
        <w:tc>
          <w:tcPr>
            <w:tcW w:w="283" w:type="dxa"/>
            <w:vMerge w:val="restart"/>
            <w:vAlign w:val="center"/>
          </w:tcPr>
          <w:p w:rsidR="00327969" w:rsidRPr="00E84882" w:rsidRDefault="00327969" w:rsidP="00B3450B">
            <w:pPr>
              <w:pStyle w:val="BayerBodyTextFull"/>
              <w:spacing w:before="0" w:after="0"/>
              <w:ind w:left="-108"/>
              <w:rPr>
                <w:rFonts w:ascii="Arial" w:hAnsi="Arial" w:cs="Arial"/>
                <w:bCs/>
                <w:sz w:val="22"/>
                <w:szCs w:val="22"/>
                <w:lang w:val="en-GB"/>
              </w:rPr>
            </w:pPr>
            <w:r w:rsidRPr="00E84882">
              <w:rPr>
                <w:rFonts w:ascii="Arial" w:hAnsi="Arial" w:cs="Arial"/>
                <w:bCs/>
                <w:sz w:val="22"/>
                <w:szCs w:val="22"/>
                <w:lang w:val="en-GB"/>
              </w:rPr>
              <w:t>=</w:t>
            </w:r>
          </w:p>
        </w:tc>
        <w:tc>
          <w:tcPr>
            <w:tcW w:w="5670" w:type="dxa"/>
          </w:tcPr>
          <w:p w:rsidR="00327969" w:rsidRPr="00E84882" w:rsidRDefault="00327969" w:rsidP="00B3450B">
            <w:pPr>
              <w:pStyle w:val="BayerBodyTextFull"/>
              <w:spacing w:before="0" w:after="0"/>
              <w:jc w:val="center"/>
              <w:rPr>
                <w:rFonts w:ascii="Arial" w:hAnsi="Arial" w:cs="Arial"/>
                <w:bCs/>
                <w:sz w:val="22"/>
                <w:szCs w:val="22"/>
                <w:lang w:val="en-GB"/>
              </w:rPr>
            </w:pPr>
            <w:r w:rsidRPr="00E84882">
              <w:rPr>
                <w:rFonts w:ascii="Arial" w:hAnsi="Arial" w:cs="Arial"/>
                <w:bCs/>
                <w:sz w:val="22"/>
                <w:szCs w:val="22"/>
                <w:u w:val="single"/>
                <w:lang w:val="en-GB"/>
              </w:rPr>
              <w:t xml:space="preserve">Body weight (kg) </w:t>
            </w:r>
            <w:r w:rsidRPr="00E84882">
              <w:rPr>
                <w:rFonts w:ascii="Arial" w:hAnsi="Arial" w:cs="Arial"/>
                <w:bCs/>
                <w:sz w:val="22"/>
                <w:szCs w:val="22"/>
                <w:u w:val="single"/>
                <w:lang w:val="en-GB"/>
              </w:rPr>
              <w:sym w:font="Symbol" w:char="F0B4"/>
            </w:r>
            <w:r w:rsidRPr="00E84882">
              <w:rPr>
                <w:rFonts w:ascii="Arial" w:hAnsi="Arial" w:cs="Arial"/>
                <w:bCs/>
                <w:sz w:val="22"/>
                <w:szCs w:val="22"/>
                <w:u w:val="single"/>
                <w:lang w:val="en-GB"/>
              </w:rPr>
              <w:t xml:space="preserve"> dose (50 </w:t>
            </w:r>
            <w:proofErr w:type="spellStart"/>
            <w:r w:rsidRPr="00E84882">
              <w:rPr>
                <w:rFonts w:ascii="Arial" w:hAnsi="Arial" w:cs="Arial"/>
                <w:bCs/>
                <w:sz w:val="22"/>
                <w:szCs w:val="22"/>
                <w:u w:val="single"/>
                <w:lang w:val="en-GB"/>
              </w:rPr>
              <w:t>kBq</w:t>
            </w:r>
            <w:proofErr w:type="spellEnd"/>
            <w:r w:rsidRPr="00E84882">
              <w:rPr>
                <w:rFonts w:ascii="Arial" w:hAnsi="Arial" w:cs="Arial"/>
                <w:bCs/>
                <w:sz w:val="22"/>
                <w:szCs w:val="22"/>
                <w:u w:val="single"/>
                <w:lang w:val="en-GB"/>
              </w:rPr>
              <w:t>/kg body weight)</w:t>
            </w:r>
          </w:p>
        </w:tc>
      </w:tr>
      <w:tr w:rsidR="00327969" w:rsidRPr="00117961" w:rsidTr="00B3450B">
        <w:tc>
          <w:tcPr>
            <w:tcW w:w="2268" w:type="dxa"/>
            <w:vMerge/>
          </w:tcPr>
          <w:p w:rsidR="00327969" w:rsidRPr="00117961" w:rsidRDefault="00327969" w:rsidP="00B3450B">
            <w:pPr>
              <w:pStyle w:val="BayerBodyTextFull"/>
              <w:spacing w:before="0" w:after="0"/>
              <w:rPr>
                <w:rFonts w:ascii="Arial" w:hAnsi="Arial" w:cs="Arial"/>
                <w:b/>
                <w:bCs/>
                <w:sz w:val="22"/>
                <w:szCs w:val="22"/>
                <w:lang w:val="en-GB"/>
              </w:rPr>
            </w:pPr>
          </w:p>
        </w:tc>
        <w:tc>
          <w:tcPr>
            <w:tcW w:w="283" w:type="dxa"/>
            <w:vMerge/>
          </w:tcPr>
          <w:p w:rsidR="00327969" w:rsidRPr="00E84882" w:rsidRDefault="00327969" w:rsidP="00B3450B">
            <w:pPr>
              <w:pStyle w:val="BayerBodyTextFull"/>
              <w:spacing w:before="0" w:after="0"/>
              <w:rPr>
                <w:rFonts w:ascii="Arial" w:hAnsi="Arial" w:cs="Arial"/>
                <w:bCs/>
                <w:sz w:val="22"/>
                <w:szCs w:val="22"/>
                <w:lang w:val="en-GB"/>
              </w:rPr>
            </w:pPr>
          </w:p>
        </w:tc>
        <w:tc>
          <w:tcPr>
            <w:tcW w:w="5670" w:type="dxa"/>
          </w:tcPr>
          <w:p w:rsidR="00327969" w:rsidRPr="00E84882" w:rsidRDefault="00327969" w:rsidP="00B3450B">
            <w:pPr>
              <w:pStyle w:val="BayerBodyTextFull"/>
              <w:spacing w:before="0" w:after="0"/>
              <w:jc w:val="center"/>
              <w:rPr>
                <w:rFonts w:ascii="Arial" w:hAnsi="Arial" w:cs="Arial"/>
                <w:bCs/>
                <w:sz w:val="22"/>
                <w:szCs w:val="22"/>
                <w:lang w:val="en-GB"/>
              </w:rPr>
            </w:pPr>
            <w:r w:rsidRPr="00E84882">
              <w:rPr>
                <w:rFonts w:ascii="Arial" w:hAnsi="Arial" w:cs="Arial"/>
                <w:bCs/>
                <w:sz w:val="22"/>
                <w:szCs w:val="22"/>
                <w:lang w:val="en-GB"/>
              </w:rPr>
              <w:t xml:space="preserve">DK factor </w:t>
            </w:r>
            <w:r w:rsidRPr="00E84882">
              <w:rPr>
                <w:rFonts w:ascii="Arial" w:hAnsi="Arial" w:cs="Arial"/>
                <w:bCs/>
                <w:sz w:val="22"/>
                <w:szCs w:val="22"/>
                <w:lang w:val="en-GB"/>
              </w:rPr>
              <w:sym w:font="Symbol" w:char="F0B4"/>
            </w:r>
            <w:r>
              <w:rPr>
                <w:rFonts w:ascii="Arial" w:hAnsi="Arial" w:cs="Arial"/>
                <w:bCs/>
                <w:sz w:val="22"/>
                <w:szCs w:val="22"/>
                <w:lang w:val="en-GB"/>
              </w:rPr>
              <w:t xml:space="preserve"> 1000 </w:t>
            </w:r>
            <w:proofErr w:type="spellStart"/>
            <w:r>
              <w:rPr>
                <w:rFonts w:ascii="Arial" w:hAnsi="Arial" w:cs="Arial"/>
                <w:bCs/>
                <w:sz w:val="22"/>
                <w:szCs w:val="22"/>
                <w:lang w:val="en-GB"/>
              </w:rPr>
              <w:t>kBq</w:t>
            </w:r>
            <w:proofErr w:type="spellEnd"/>
            <w:r w:rsidRPr="00E84882">
              <w:rPr>
                <w:rFonts w:ascii="Arial" w:hAnsi="Arial" w:cs="Arial"/>
                <w:bCs/>
                <w:sz w:val="22"/>
                <w:szCs w:val="22"/>
                <w:lang w:val="en-GB"/>
              </w:rPr>
              <w:t>/mL</w:t>
            </w:r>
          </w:p>
        </w:tc>
      </w:tr>
    </w:tbl>
    <w:p w:rsidR="008A6F7B" w:rsidRDefault="008A6F7B" w:rsidP="004D1D81">
      <w:pPr>
        <w:spacing w:after="0" w:line="240" w:lineRule="auto"/>
        <w:rPr>
          <w:rFonts w:ascii="Arial" w:hAnsi="Arial" w:cs="Arial"/>
          <w:lang w:val="en-US"/>
        </w:rPr>
      </w:pPr>
    </w:p>
    <w:p w:rsidR="00BF08F9" w:rsidRDefault="00BF08F9" w:rsidP="00BF08F9">
      <w:pPr>
        <w:spacing w:after="0" w:line="240" w:lineRule="auto"/>
        <w:rPr>
          <w:rFonts w:ascii="Arial" w:hAnsi="Arial" w:cs="Arial"/>
          <w:lang w:val="en-US"/>
        </w:rPr>
      </w:pPr>
    </w:p>
    <w:p w:rsidR="00097F7C" w:rsidRPr="00097F7C" w:rsidRDefault="00097F7C" w:rsidP="00634F7D">
      <w:pPr>
        <w:pStyle w:val="Caption"/>
        <w:keepLines/>
        <w:spacing w:before="0"/>
        <w:ind w:left="993" w:hanging="993"/>
        <w:rPr>
          <w:rFonts w:ascii="Arial" w:hAnsi="Arial" w:cs="Arial"/>
          <w:szCs w:val="22"/>
        </w:rPr>
      </w:pPr>
      <w:r w:rsidRPr="00097F7C">
        <w:rPr>
          <w:rFonts w:ascii="Arial" w:hAnsi="Arial" w:cs="Arial"/>
          <w:szCs w:val="22"/>
        </w:rPr>
        <w:t xml:space="preserve">Table </w:t>
      </w:r>
      <w:r w:rsidR="0088685E">
        <w:rPr>
          <w:rFonts w:ascii="Arial" w:hAnsi="Arial" w:cs="Arial"/>
          <w:szCs w:val="22"/>
        </w:rPr>
        <w:t>4</w:t>
      </w:r>
      <w:r>
        <w:rPr>
          <w:rFonts w:ascii="Arial" w:hAnsi="Arial" w:cs="Arial"/>
          <w:szCs w:val="22"/>
        </w:rPr>
        <w:t xml:space="preserve">: </w:t>
      </w:r>
      <w:r w:rsidR="00410B34">
        <w:rPr>
          <w:rFonts w:ascii="Arial" w:hAnsi="Arial" w:cs="Arial"/>
          <w:szCs w:val="22"/>
        </w:rPr>
        <w:tab/>
      </w:r>
      <w:r>
        <w:rPr>
          <w:rFonts w:ascii="Arial" w:hAnsi="Arial" w:cs="Arial"/>
          <w:szCs w:val="22"/>
        </w:rPr>
        <w:t>Decay Correction Factor Table</w:t>
      </w:r>
      <w:r w:rsidR="009E37B3">
        <w:rPr>
          <w:rFonts w:ascii="Arial" w:hAnsi="Arial" w:cs="Arial"/>
          <w:szCs w:val="22"/>
        </w:rPr>
        <w:t xml:space="preserve"> </w:t>
      </w:r>
      <w:r w:rsidR="00410B34">
        <w:rPr>
          <w:rFonts w:ascii="Arial" w:hAnsi="Arial" w:cs="Arial"/>
          <w:szCs w:val="22"/>
        </w:rPr>
        <w:br/>
      </w:r>
      <w:r w:rsidR="009E37B3">
        <w:rPr>
          <w:rFonts w:ascii="Arial" w:hAnsi="Arial" w:cs="Arial"/>
        </w:rPr>
        <w:t>corrected to 12 noon Australian Central Standard Time (CST)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95"/>
        <w:gridCol w:w="2295"/>
        <w:gridCol w:w="2295"/>
      </w:tblGrid>
      <w:tr w:rsidR="00097F7C" w:rsidRPr="00B443BC" w:rsidTr="00B443B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
                <w:bCs/>
                <w:sz w:val="20"/>
                <w:szCs w:val="20"/>
                <w:lang w:val="en-US" w:eastAsia="en-AU"/>
              </w:rPr>
            </w:pPr>
            <w:r w:rsidRPr="00B443BC">
              <w:rPr>
                <w:rFonts w:ascii="Arial" w:hAnsi="Arial" w:cs="Arial"/>
                <w:b/>
                <w:bCs/>
                <w:sz w:val="20"/>
                <w:szCs w:val="20"/>
                <w:lang w:val="en-US" w:eastAsia="en-AU"/>
              </w:rPr>
              <w:t xml:space="preserve">Days from </w:t>
            </w:r>
            <w:r w:rsidR="009E37B3" w:rsidRPr="00B443BC">
              <w:rPr>
                <w:rFonts w:ascii="Arial" w:hAnsi="Arial" w:cs="Arial"/>
                <w:b/>
                <w:bCs/>
                <w:sz w:val="20"/>
                <w:szCs w:val="20"/>
                <w:lang w:val="en-US" w:eastAsia="en-AU"/>
              </w:rPr>
              <w:br/>
            </w:r>
            <w:r w:rsidRPr="00B443BC">
              <w:rPr>
                <w:rFonts w:ascii="Arial" w:hAnsi="Arial" w:cs="Arial"/>
                <w:b/>
                <w:bCs/>
                <w:sz w:val="20"/>
                <w:szCs w:val="20"/>
                <w:lang w:val="en-US" w:eastAsia="en-AU"/>
              </w:rPr>
              <w:t>Reference Date</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
                <w:bCs/>
                <w:sz w:val="20"/>
                <w:szCs w:val="20"/>
                <w:lang w:val="en-US" w:eastAsia="en-AU"/>
              </w:rPr>
            </w:pPr>
            <w:r w:rsidRPr="00B443BC">
              <w:rPr>
                <w:rFonts w:ascii="Arial" w:hAnsi="Arial" w:cs="Arial"/>
                <w:b/>
                <w:bCs/>
                <w:sz w:val="20"/>
                <w:szCs w:val="20"/>
                <w:lang w:val="en-US" w:eastAsia="en-AU"/>
              </w:rPr>
              <w:t xml:space="preserve">Physical </w:t>
            </w:r>
            <w:r w:rsidRPr="00B443BC">
              <w:rPr>
                <w:rFonts w:ascii="Arial" w:hAnsi="Arial" w:cs="Arial"/>
                <w:b/>
                <w:bCs/>
                <w:sz w:val="20"/>
                <w:szCs w:val="20"/>
                <w:lang w:val="en-US" w:eastAsia="en-AU"/>
              </w:rPr>
              <w:br/>
              <w:t>Decay Factor</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
                <w:bCs/>
                <w:sz w:val="20"/>
                <w:szCs w:val="20"/>
                <w:lang w:val="en-US" w:eastAsia="en-AU"/>
              </w:rPr>
            </w:pPr>
            <w:r w:rsidRPr="00B443BC">
              <w:rPr>
                <w:rFonts w:ascii="Arial" w:hAnsi="Arial" w:cs="Arial"/>
                <w:b/>
                <w:bCs/>
                <w:sz w:val="20"/>
                <w:szCs w:val="20"/>
                <w:lang w:val="en-US" w:eastAsia="en-AU"/>
              </w:rPr>
              <w:t xml:space="preserve">Days from </w:t>
            </w:r>
            <w:r w:rsidR="009E37B3" w:rsidRPr="00B443BC">
              <w:rPr>
                <w:rFonts w:ascii="Arial" w:hAnsi="Arial" w:cs="Arial"/>
                <w:b/>
                <w:bCs/>
                <w:sz w:val="20"/>
                <w:szCs w:val="20"/>
                <w:lang w:val="en-US" w:eastAsia="en-AU"/>
              </w:rPr>
              <w:br/>
            </w:r>
            <w:r w:rsidRPr="00B443BC">
              <w:rPr>
                <w:rFonts w:ascii="Arial" w:hAnsi="Arial" w:cs="Arial"/>
                <w:b/>
                <w:bCs/>
                <w:sz w:val="20"/>
                <w:szCs w:val="20"/>
                <w:lang w:val="en-US" w:eastAsia="en-AU"/>
              </w:rPr>
              <w:t>Reference Date</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
                <w:bCs/>
                <w:sz w:val="20"/>
                <w:szCs w:val="20"/>
                <w:lang w:val="en-US" w:eastAsia="en-AU"/>
              </w:rPr>
            </w:pPr>
            <w:r w:rsidRPr="00B443BC">
              <w:rPr>
                <w:rFonts w:ascii="Arial" w:hAnsi="Arial" w:cs="Arial"/>
                <w:b/>
                <w:bCs/>
                <w:sz w:val="20"/>
                <w:szCs w:val="20"/>
                <w:lang w:val="en-US" w:eastAsia="en-AU"/>
              </w:rPr>
              <w:t xml:space="preserve">Physical </w:t>
            </w:r>
            <w:r w:rsidRPr="00B443BC">
              <w:rPr>
                <w:rFonts w:ascii="Arial" w:hAnsi="Arial" w:cs="Arial"/>
                <w:b/>
                <w:bCs/>
                <w:sz w:val="20"/>
                <w:szCs w:val="20"/>
                <w:lang w:val="en-US" w:eastAsia="en-AU"/>
              </w:rPr>
              <w:br/>
              <w:t>Decay Factor</w:t>
            </w:r>
          </w:p>
        </w:tc>
      </w:tr>
      <w:tr w:rsidR="00097F7C" w:rsidRPr="00B443BC" w:rsidTr="00B443B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-14</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2.39</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w:t>
            </w:r>
          </w:p>
        </w:tc>
        <w:tc>
          <w:tcPr>
            <w:tcW w:w="2295" w:type="dxa"/>
            <w:shd w:val="clear" w:color="auto" w:fill="auto"/>
            <w:vAlign w:val="center"/>
          </w:tcPr>
          <w:p w:rsidR="00097F7C" w:rsidRPr="00B443BC" w:rsidRDefault="009E37B3"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1.02</w:t>
            </w:r>
          </w:p>
        </w:tc>
      </w:tr>
      <w:tr w:rsidR="00097F7C" w:rsidRPr="00B443BC" w:rsidTr="00B443B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-13</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2.25</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w:t>
            </w:r>
          </w:p>
        </w:tc>
        <w:tc>
          <w:tcPr>
            <w:tcW w:w="2295" w:type="dxa"/>
            <w:shd w:val="clear" w:color="auto" w:fill="auto"/>
            <w:vAlign w:val="center"/>
          </w:tcPr>
          <w:p w:rsidR="00097F7C" w:rsidRPr="00B443BC" w:rsidRDefault="009E37B3"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0.96</w:t>
            </w:r>
          </w:p>
        </w:tc>
      </w:tr>
      <w:tr w:rsidR="00097F7C" w:rsidRPr="00B443BC" w:rsidTr="00B443B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-12</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2.12</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2</w:t>
            </w:r>
          </w:p>
        </w:tc>
        <w:tc>
          <w:tcPr>
            <w:tcW w:w="2295" w:type="dxa"/>
            <w:shd w:val="clear" w:color="auto" w:fill="auto"/>
            <w:vAlign w:val="center"/>
          </w:tcPr>
          <w:p w:rsidR="00097F7C" w:rsidRPr="00B443BC" w:rsidRDefault="009E37B3"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0.91</w:t>
            </w:r>
          </w:p>
        </w:tc>
      </w:tr>
      <w:tr w:rsidR="00097F7C" w:rsidRPr="00B443BC" w:rsidTr="00B443B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-11</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1.99</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3</w:t>
            </w:r>
          </w:p>
        </w:tc>
        <w:tc>
          <w:tcPr>
            <w:tcW w:w="2295" w:type="dxa"/>
            <w:shd w:val="clear" w:color="auto" w:fill="auto"/>
            <w:vAlign w:val="center"/>
          </w:tcPr>
          <w:p w:rsidR="00097F7C" w:rsidRPr="00B443BC" w:rsidRDefault="009E37B3"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0.85</w:t>
            </w:r>
          </w:p>
        </w:tc>
      </w:tr>
      <w:tr w:rsidR="00097F7C" w:rsidRPr="00B443BC" w:rsidTr="00B443B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-10</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1.87</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4</w:t>
            </w:r>
          </w:p>
        </w:tc>
        <w:tc>
          <w:tcPr>
            <w:tcW w:w="2295" w:type="dxa"/>
            <w:shd w:val="clear" w:color="auto" w:fill="auto"/>
            <w:vAlign w:val="center"/>
          </w:tcPr>
          <w:p w:rsidR="00097F7C" w:rsidRPr="00B443BC" w:rsidRDefault="009E37B3"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0.80</w:t>
            </w:r>
          </w:p>
        </w:tc>
      </w:tr>
      <w:tr w:rsidR="00097F7C" w:rsidRPr="00B443BC" w:rsidTr="00B443B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-9</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1.76</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5</w:t>
            </w:r>
          </w:p>
        </w:tc>
        <w:tc>
          <w:tcPr>
            <w:tcW w:w="2295" w:type="dxa"/>
            <w:shd w:val="clear" w:color="auto" w:fill="auto"/>
            <w:vAlign w:val="center"/>
          </w:tcPr>
          <w:p w:rsidR="00097F7C" w:rsidRPr="00B443BC" w:rsidRDefault="009E37B3"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0.75</w:t>
            </w:r>
          </w:p>
        </w:tc>
      </w:tr>
      <w:tr w:rsidR="00097F7C" w:rsidRPr="00B443BC" w:rsidTr="00B443B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-8</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1.66</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6</w:t>
            </w:r>
          </w:p>
        </w:tc>
        <w:tc>
          <w:tcPr>
            <w:tcW w:w="2295" w:type="dxa"/>
            <w:shd w:val="clear" w:color="auto" w:fill="auto"/>
            <w:vAlign w:val="center"/>
          </w:tcPr>
          <w:p w:rsidR="00097F7C" w:rsidRPr="00B443BC" w:rsidRDefault="009E37B3"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0.71</w:t>
            </w:r>
          </w:p>
        </w:tc>
      </w:tr>
      <w:tr w:rsidR="00097F7C" w:rsidRPr="00B443BC" w:rsidTr="00B443B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-7</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1.56</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7</w:t>
            </w:r>
          </w:p>
        </w:tc>
        <w:tc>
          <w:tcPr>
            <w:tcW w:w="2295" w:type="dxa"/>
            <w:shd w:val="clear" w:color="auto" w:fill="auto"/>
            <w:vAlign w:val="center"/>
          </w:tcPr>
          <w:p w:rsidR="00097F7C" w:rsidRPr="00B443BC" w:rsidRDefault="009E37B3"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0.67</w:t>
            </w:r>
          </w:p>
        </w:tc>
      </w:tr>
      <w:tr w:rsidR="00097F7C" w:rsidRPr="00B443BC" w:rsidTr="00B443B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-6</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1.47</w:t>
            </w:r>
          </w:p>
        </w:tc>
        <w:tc>
          <w:tcPr>
            <w:tcW w:w="2295" w:type="dxa"/>
            <w:shd w:val="clear" w:color="auto" w:fill="auto"/>
            <w:vAlign w:val="center"/>
          </w:tcPr>
          <w:p w:rsidR="00097F7C" w:rsidRPr="00B443BC" w:rsidRDefault="00097F7C"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8</w:t>
            </w:r>
          </w:p>
        </w:tc>
        <w:tc>
          <w:tcPr>
            <w:tcW w:w="2295" w:type="dxa"/>
            <w:shd w:val="clear" w:color="auto" w:fill="auto"/>
            <w:vAlign w:val="center"/>
          </w:tcPr>
          <w:p w:rsidR="00097F7C" w:rsidRPr="00B443BC" w:rsidRDefault="009E37B3" w:rsidP="00634F7D">
            <w:pPr>
              <w:keepNext/>
              <w:keepLines/>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0.63</w:t>
            </w:r>
          </w:p>
        </w:tc>
      </w:tr>
      <w:tr w:rsidR="00097F7C" w:rsidRPr="00B443BC" w:rsidTr="00B443B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-5</w:t>
            </w:r>
          </w:p>
        </w:t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1.38</w:t>
            </w:r>
          </w:p>
        </w:t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9</w:t>
            </w:r>
          </w:p>
        </w:tc>
        <w:tc>
          <w:tcPr>
            <w:tcW w:w="2295" w:type="dxa"/>
            <w:shd w:val="clear" w:color="auto" w:fill="auto"/>
            <w:vAlign w:val="center"/>
          </w:tcPr>
          <w:p w:rsidR="00097F7C" w:rsidRPr="00B443BC" w:rsidRDefault="009E37B3"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0.59</w:t>
            </w:r>
          </w:p>
        </w:tc>
      </w:tr>
      <w:tr w:rsidR="00097F7C" w:rsidRPr="00B443BC" w:rsidTr="00B443B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-4</w:t>
            </w:r>
          </w:p>
        </w:t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1.30</w:t>
            </w:r>
          </w:p>
        </w:t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10</w:t>
            </w:r>
          </w:p>
        </w:tc>
        <w:tc>
          <w:tcPr>
            <w:tcW w:w="2295" w:type="dxa"/>
            <w:shd w:val="clear" w:color="auto" w:fill="auto"/>
            <w:vAlign w:val="center"/>
          </w:tcPr>
          <w:p w:rsidR="00097F7C" w:rsidRPr="00B443BC" w:rsidRDefault="009E37B3"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0.56</w:t>
            </w:r>
          </w:p>
        </w:tc>
      </w:tr>
      <w:tr w:rsidR="00097F7C" w:rsidRPr="00B443BC" w:rsidTr="00B443B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-3</w:t>
            </w:r>
          </w:p>
        </w:t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1.23</w:t>
            </w:r>
          </w:p>
        </w:t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11</w:t>
            </w:r>
          </w:p>
        </w:tc>
        <w:tc>
          <w:tcPr>
            <w:tcW w:w="2295" w:type="dxa"/>
            <w:shd w:val="clear" w:color="auto" w:fill="auto"/>
            <w:vAlign w:val="center"/>
          </w:tcPr>
          <w:p w:rsidR="00097F7C" w:rsidRPr="00B443BC" w:rsidRDefault="009E37B3"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0.52</w:t>
            </w:r>
          </w:p>
        </w:tc>
      </w:tr>
      <w:tr w:rsidR="00097F7C" w:rsidRPr="00B443BC" w:rsidTr="00B443B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-2</w:t>
            </w:r>
          </w:p>
        </w:t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1.15</w:t>
            </w:r>
          </w:p>
        </w:t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12</w:t>
            </w:r>
          </w:p>
        </w:tc>
        <w:tc>
          <w:tcPr>
            <w:tcW w:w="2295" w:type="dxa"/>
            <w:shd w:val="clear" w:color="auto" w:fill="auto"/>
            <w:vAlign w:val="center"/>
          </w:tcPr>
          <w:p w:rsidR="00097F7C" w:rsidRPr="00B443BC" w:rsidRDefault="009E37B3"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0.49</w:t>
            </w:r>
          </w:p>
        </w:tc>
      </w:tr>
      <w:tr w:rsidR="00097F7C" w:rsidRPr="00B443BC" w:rsidTr="00B443B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w:t>
            </w:r>
          </w:p>
        </w:t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1.09</w:t>
            </w:r>
          </w:p>
        </w:t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13</w:t>
            </w:r>
          </w:p>
        </w:tc>
        <w:tc>
          <w:tcPr>
            <w:tcW w:w="2295" w:type="dxa"/>
            <w:shd w:val="clear" w:color="auto" w:fill="auto"/>
            <w:vAlign w:val="center"/>
          </w:tcPr>
          <w:p w:rsidR="00097F7C" w:rsidRPr="00B443BC" w:rsidRDefault="009E37B3"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0.46</w:t>
            </w:r>
          </w:p>
        </w:tc>
      </w:tr>
      <w:tr w:rsidR="00097F7C" w:rsidRPr="00B443BC" w:rsidTr="00B443B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p>
        </w:t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p>
        </w:tc>
        <w:tc>
          <w:tcPr>
            <w:tcW w:w="2295" w:type="dxa"/>
            <w:shd w:val="clear" w:color="auto" w:fill="auto"/>
            <w:vAlign w:val="center"/>
          </w:tcPr>
          <w:p w:rsidR="00097F7C" w:rsidRPr="00B443BC" w:rsidRDefault="00097F7C"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14</w:t>
            </w:r>
          </w:p>
        </w:tc>
        <w:tc>
          <w:tcPr>
            <w:tcW w:w="2295" w:type="dxa"/>
            <w:shd w:val="clear" w:color="auto" w:fill="auto"/>
            <w:vAlign w:val="center"/>
          </w:tcPr>
          <w:p w:rsidR="00097F7C" w:rsidRPr="00B443BC" w:rsidRDefault="009E37B3" w:rsidP="00B443BC">
            <w:pPr>
              <w:autoSpaceDE w:val="0"/>
              <w:autoSpaceDN w:val="0"/>
              <w:adjustRightInd w:val="0"/>
              <w:spacing w:before="40" w:after="40" w:line="240" w:lineRule="auto"/>
              <w:jc w:val="center"/>
              <w:rPr>
                <w:rFonts w:ascii="Arial" w:hAnsi="Arial" w:cs="Arial"/>
                <w:bCs/>
                <w:sz w:val="20"/>
                <w:szCs w:val="20"/>
                <w:lang w:val="en-US" w:eastAsia="en-AU"/>
              </w:rPr>
            </w:pPr>
            <w:r w:rsidRPr="00B443BC">
              <w:rPr>
                <w:rFonts w:ascii="Arial" w:hAnsi="Arial" w:cs="Arial"/>
                <w:bCs/>
                <w:sz w:val="20"/>
                <w:szCs w:val="20"/>
                <w:lang w:val="en-US" w:eastAsia="en-AU"/>
              </w:rPr>
              <w:t>0.44</w:t>
            </w:r>
          </w:p>
        </w:tc>
      </w:tr>
    </w:tbl>
    <w:p w:rsidR="009E37B3" w:rsidRDefault="009E37B3" w:rsidP="009E37B3">
      <w:pPr>
        <w:spacing w:after="0" w:line="240" w:lineRule="auto"/>
        <w:jc w:val="both"/>
        <w:rPr>
          <w:rFonts w:ascii="Arial" w:hAnsi="Arial" w:cs="Arial"/>
          <w:lang w:val="en-US"/>
        </w:rPr>
      </w:pPr>
    </w:p>
    <w:p w:rsidR="009E37B3" w:rsidRDefault="009E37B3" w:rsidP="009E37B3">
      <w:pPr>
        <w:spacing w:after="0" w:line="240" w:lineRule="auto"/>
        <w:jc w:val="both"/>
        <w:rPr>
          <w:rFonts w:ascii="Arial" w:hAnsi="Arial" w:cs="Arial"/>
          <w:lang w:val="en-US"/>
        </w:rPr>
      </w:pPr>
      <w:r>
        <w:rPr>
          <w:rFonts w:ascii="Arial" w:hAnsi="Arial" w:cs="Arial"/>
          <w:lang w:val="en-US"/>
        </w:rPr>
        <w:t xml:space="preserve">The Decay Correction Factor Table is corrected to 12 </w:t>
      </w:r>
      <w:proofErr w:type="gramStart"/>
      <w:r>
        <w:rPr>
          <w:rFonts w:ascii="Arial" w:hAnsi="Arial" w:cs="Arial"/>
          <w:lang w:val="en-US"/>
        </w:rPr>
        <w:t>noon</w:t>
      </w:r>
      <w:proofErr w:type="gramEnd"/>
      <w:r>
        <w:rPr>
          <w:rFonts w:ascii="Arial" w:hAnsi="Arial" w:cs="Arial"/>
          <w:lang w:val="en-US"/>
        </w:rPr>
        <w:t xml:space="preserve"> Australian Central Standard Time (CST).  To determine the decay correction factor, count the number of days before or after the reference date.  The Decay Correction Factor Table includes a correction to account for the 8.5 hour time difference between 12 noon Central European Time (CET) at the site of manufacture and 12 noon ACST, which is 8.5 hours earlier than CET.  </w:t>
      </w:r>
      <w:r w:rsidRPr="00BF08F9">
        <w:rPr>
          <w:rFonts w:ascii="Arial" w:hAnsi="Arial" w:cs="Arial"/>
          <w:lang w:val="en-US"/>
        </w:rPr>
        <w:t xml:space="preserve">Changes due to daylight savings are not included in this table as the </w:t>
      </w:r>
      <w:r>
        <w:rPr>
          <w:rFonts w:ascii="Arial" w:hAnsi="Arial" w:cs="Arial"/>
          <w:lang w:val="en-US"/>
        </w:rPr>
        <w:t>difference</w:t>
      </w:r>
      <w:r w:rsidRPr="00BF08F9">
        <w:rPr>
          <w:rFonts w:ascii="Arial" w:hAnsi="Arial" w:cs="Arial"/>
          <w:lang w:val="en-US"/>
        </w:rPr>
        <w:t xml:space="preserve"> of</w:t>
      </w:r>
      <w:r>
        <w:rPr>
          <w:rFonts w:ascii="Arial" w:hAnsi="Arial" w:cs="Arial"/>
          <w:lang w:val="en-US"/>
        </w:rPr>
        <w:t xml:space="preserve"> </w:t>
      </w:r>
      <w:r w:rsidRPr="00BF08F9">
        <w:rPr>
          <w:rFonts w:ascii="Arial" w:hAnsi="Arial" w:cs="Arial"/>
          <w:lang w:val="en-US"/>
        </w:rPr>
        <w:t xml:space="preserve">1 hour </w:t>
      </w:r>
      <w:r>
        <w:rPr>
          <w:rFonts w:ascii="Arial" w:hAnsi="Arial" w:cs="Arial"/>
          <w:lang w:val="en-US"/>
        </w:rPr>
        <w:t xml:space="preserve">is </w:t>
      </w:r>
      <w:r w:rsidRPr="00BF08F9">
        <w:rPr>
          <w:rFonts w:ascii="Arial" w:hAnsi="Arial" w:cs="Arial"/>
          <w:lang w:val="en-US"/>
        </w:rPr>
        <w:t>not considered significant for a radionuclide with an 11.4 day half-life.</w:t>
      </w:r>
      <w:r>
        <w:rPr>
          <w:rFonts w:ascii="Arial" w:hAnsi="Arial" w:cs="Arial"/>
          <w:lang w:val="en-US"/>
        </w:rPr>
        <w:t xml:space="preserve">  </w:t>
      </w:r>
    </w:p>
    <w:p w:rsidR="009E37B3" w:rsidRDefault="009E37B3" w:rsidP="009E37B3">
      <w:pPr>
        <w:spacing w:before="60" w:after="0" w:line="240" w:lineRule="auto"/>
        <w:jc w:val="both"/>
        <w:rPr>
          <w:rFonts w:ascii="Arial" w:hAnsi="Arial" w:cs="Arial"/>
          <w:lang w:val="en-US"/>
        </w:rPr>
      </w:pPr>
    </w:p>
    <w:p w:rsidR="00117961" w:rsidRPr="00117961" w:rsidRDefault="008D3A79" w:rsidP="002352CB">
      <w:pPr>
        <w:pStyle w:val="PIHeading2"/>
        <w:outlineLvl w:val="1"/>
      </w:pPr>
      <w:r>
        <w:t xml:space="preserve">Instructions for </w:t>
      </w:r>
      <w:r w:rsidR="00BF1428">
        <w:t>u</w:t>
      </w:r>
      <w:r w:rsidR="004D1D81">
        <w:t xml:space="preserve">se and </w:t>
      </w:r>
      <w:r w:rsidR="00BF1428">
        <w:t>h</w:t>
      </w:r>
      <w:r w:rsidR="004D1D81">
        <w:t>andling</w:t>
      </w:r>
    </w:p>
    <w:p w:rsidR="008D3A79" w:rsidRPr="00117961" w:rsidRDefault="008D3A79" w:rsidP="008D3A79">
      <w:pPr>
        <w:spacing w:after="0" w:line="240" w:lineRule="auto"/>
        <w:rPr>
          <w:rFonts w:ascii="Arial" w:hAnsi="Arial" w:cs="Arial"/>
          <w:lang w:val="en-US"/>
        </w:rPr>
      </w:pPr>
    </w:p>
    <w:p w:rsidR="008D3A79" w:rsidRDefault="008D3A79" w:rsidP="007E1D5F">
      <w:pPr>
        <w:pStyle w:val="BayerBodyTextFull"/>
        <w:spacing w:before="0" w:after="0"/>
        <w:jc w:val="both"/>
        <w:rPr>
          <w:rFonts w:ascii="Arial" w:hAnsi="Arial" w:cs="Arial"/>
          <w:sz w:val="22"/>
          <w:szCs w:val="22"/>
        </w:rPr>
      </w:pPr>
      <w:r w:rsidRPr="007E1D5F">
        <w:rPr>
          <w:rFonts w:ascii="Arial" w:hAnsi="Arial" w:cs="Arial"/>
          <w:caps/>
          <w:sz w:val="22"/>
          <w:szCs w:val="22"/>
        </w:rPr>
        <w:t>Xofigo</w:t>
      </w:r>
      <w:r w:rsidRPr="00117961">
        <w:rPr>
          <w:rFonts w:ascii="Arial" w:hAnsi="Arial" w:cs="Arial"/>
          <w:sz w:val="22"/>
          <w:szCs w:val="22"/>
        </w:rPr>
        <w:t xml:space="preserve"> (an alpha particle-emitting pharmaceutical) should be received, used and admin</w:t>
      </w:r>
      <w:r>
        <w:rPr>
          <w:rFonts w:ascii="Arial" w:hAnsi="Arial" w:cs="Arial"/>
          <w:sz w:val="22"/>
          <w:szCs w:val="22"/>
        </w:rPr>
        <w:t xml:space="preserve">istered only by persons </w:t>
      </w:r>
      <w:proofErr w:type="spellStart"/>
      <w:r>
        <w:rPr>
          <w:rFonts w:ascii="Arial" w:hAnsi="Arial" w:cs="Arial"/>
          <w:sz w:val="22"/>
          <w:szCs w:val="22"/>
        </w:rPr>
        <w:t>authoris</w:t>
      </w:r>
      <w:r w:rsidRPr="00117961">
        <w:rPr>
          <w:rFonts w:ascii="Arial" w:hAnsi="Arial" w:cs="Arial"/>
          <w:sz w:val="22"/>
          <w:szCs w:val="22"/>
        </w:rPr>
        <w:t>ed</w:t>
      </w:r>
      <w:proofErr w:type="spellEnd"/>
      <w:r w:rsidRPr="00117961">
        <w:rPr>
          <w:rFonts w:ascii="Arial" w:hAnsi="Arial" w:cs="Arial"/>
          <w:sz w:val="22"/>
          <w:szCs w:val="22"/>
        </w:rPr>
        <w:t xml:space="preserve"> to handle radiopharmaceuticals in designated clinical settings.</w:t>
      </w:r>
      <w:r>
        <w:rPr>
          <w:rFonts w:ascii="Arial" w:hAnsi="Arial" w:cs="Arial"/>
          <w:sz w:val="22"/>
          <w:szCs w:val="22"/>
        </w:rPr>
        <w:t xml:space="preserve"> </w:t>
      </w:r>
      <w:r w:rsidRPr="00117961">
        <w:rPr>
          <w:rFonts w:ascii="Arial" w:hAnsi="Arial" w:cs="Arial"/>
          <w:sz w:val="22"/>
          <w:szCs w:val="22"/>
        </w:rPr>
        <w:t xml:space="preserve"> The receipt, storage, use, transfer and disposal of </w:t>
      </w:r>
      <w:r w:rsidRPr="007E1D5F">
        <w:rPr>
          <w:rFonts w:ascii="Arial" w:hAnsi="Arial" w:cs="Arial"/>
          <w:caps/>
          <w:sz w:val="22"/>
          <w:szCs w:val="22"/>
        </w:rPr>
        <w:t>Xofigo</w:t>
      </w:r>
      <w:r w:rsidRPr="00117961">
        <w:rPr>
          <w:rFonts w:ascii="Arial" w:hAnsi="Arial" w:cs="Arial"/>
          <w:sz w:val="22"/>
          <w:szCs w:val="22"/>
        </w:rPr>
        <w:t xml:space="preserve"> are subject to </w:t>
      </w:r>
      <w:r w:rsidR="003C713F">
        <w:rPr>
          <w:rFonts w:ascii="Arial" w:hAnsi="Arial" w:cs="Arial"/>
          <w:sz w:val="22"/>
          <w:szCs w:val="22"/>
        </w:rPr>
        <w:t>license and regulation by</w:t>
      </w:r>
      <w:r w:rsidRPr="00117961">
        <w:rPr>
          <w:rFonts w:ascii="Arial" w:hAnsi="Arial" w:cs="Arial"/>
          <w:sz w:val="22"/>
          <w:szCs w:val="22"/>
        </w:rPr>
        <w:t xml:space="preserve"> the </w:t>
      </w:r>
      <w:r>
        <w:rPr>
          <w:rFonts w:ascii="Arial" w:hAnsi="Arial" w:cs="Arial"/>
          <w:sz w:val="22"/>
          <w:szCs w:val="22"/>
        </w:rPr>
        <w:t>Australian Radiation Protection and Nuclear Safety Agency (ARPANSA).</w:t>
      </w:r>
    </w:p>
    <w:p w:rsidR="008D3A79" w:rsidRPr="00117961" w:rsidRDefault="008D3A79" w:rsidP="008D3A79">
      <w:pPr>
        <w:pStyle w:val="BayerBodyTextFull"/>
        <w:spacing w:before="0" w:after="0"/>
        <w:rPr>
          <w:rFonts w:ascii="Arial" w:hAnsi="Arial" w:cs="Arial"/>
          <w:sz w:val="22"/>
          <w:szCs w:val="22"/>
        </w:rPr>
      </w:pPr>
    </w:p>
    <w:p w:rsidR="008D3A79" w:rsidRDefault="008D3A79" w:rsidP="007E1D5F">
      <w:pPr>
        <w:pStyle w:val="BayerBodyTextFull"/>
        <w:spacing w:before="0" w:after="0"/>
        <w:jc w:val="both"/>
        <w:rPr>
          <w:rFonts w:ascii="Arial" w:hAnsi="Arial" w:cs="Arial"/>
          <w:sz w:val="22"/>
          <w:szCs w:val="22"/>
        </w:rPr>
      </w:pPr>
      <w:r w:rsidRPr="007E1D5F">
        <w:rPr>
          <w:rFonts w:ascii="Arial" w:hAnsi="Arial" w:cs="Arial"/>
          <w:caps/>
          <w:sz w:val="22"/>
          <w:szCs w:val="22"/>
        </w:rPr>
        <w:t>Xofigo</w:t>
      </w:r>
      <w:r w:rsidRPr="00117961">
        <w:rPr>
          <w:rFonts w:ascii="Arial" w:hAnsi="Arial" w:cs="Arial"/>
          <w:sz w:val="22"/>
          <w:szCs w:val="22"/>
        </w:rPr>
        <w:t xml:space="preserve"> should be handled by the user in a manner which satisfies both radiation safety and pharmaceutical quality requirements.</w:t>
      </w:r>
      <w:r>
        <w:rPr>
          <w:rFonts w:ascii="Arial" w:hAnsi="Arial" w:cs="Arial"/>
          <w:sz w:val="22"/>
          <w:szCs w:val="22"/>
        </w:rPr>
        <w:t xml:space="preserve"> </w:t>
      </w:r>
      <w:r w:rsidRPr="00117961">
        <w:rPr>
          <w:rFonts w:ascii="Arial" w:hAnsi="Arial" w:cs="Arial"/>
          <w:sz w:val="22"/>
          <w:szCs w:val="22"/>
        </w:rPr>
        <w:t xml:space="preserve"> Appropriate aseptic precautions should be taken.</w:t>
      </w:r>
    </w:p>
    <w:p w:rsidR="008D3A79" w:rsidRDefault="008D3A79" w:rsidP="008D3A79">
      <w:pPr>
        <w:pStyle w:val="BayerBodyTextFull"/>
        <w:keepNext/>
        <w:spacing w:before="0" w:after="0"/>
        <w:rPr>
          <w:rFonts w:ascii="Arial" w:hAnsi="Arial" w:cs="Arial"/>
          <w:sz w:val="22"/>
          <w:szCs w:val="22"/>
        </w:rPr>
      </w:pPr>
    </w:p>
    <w:p w:rsidR="008D3A79" w:rsidRPr="008D3A79" w:rsidRDefault="008D3A79" w:rsidP="002352CB">
      <w:pPr>
        <w:pStyle w:val="PIHeading3undelined"/>
        <w:keepNext/>
        <w:keepLines/>
        <w:outlineLvl w:val="2"/>
      </w:pPr>
      <w:r>
        <w:t>Radiation Protection</w:t>
      </w:r>
    </w:p>
    <w:p w:rsidR="008D3A79" w:rsidRDefault="008D3A79" w:rsidP="008C23B6">
      <w:pPr>
        <w:pStyle w:val="BayerBodyTextFull"/>
        <w:keepNext/>
        <w:keepLines/>
        <w:spacing w:before="0" w:after="0"/>
        <w:rPr>
          <w:rFonts w:ascii="Arial" w:hAnsi="Arial" w:cs="Arial"/>
          <w:sz w:val="22"/>
          <w:szCs w:val="22"/>
        </w:rPr>
      </w:pPr>
    </w:p>
    <w:p w:rsidR="00117961" w:rsidRPr="00117961" w:rsidRDefault="00117961" w:rsidP="007E1D5F">
      <w:pPr>
        <w:pStyle w:val="BayerBodyTextFull"/>
        <w:keepNext/>
        <w:keepLines/>
        <w:spacing w:before="0" w:after="0"/>
        <w:jc w:val="both"/>
        <w:rPr>
          <w:rFonts w:ascii="Arial" w:hAnsi="Arial" w:cs="Arial"/>
          <w:sz w:val="22"/>
          <w:szCs w:val="22"/>
        </w:rPr>
      </w:pPr>
      <w:r w:rsidRPr="00117961">
        <w:rPr>
          <w:rFonts w:ascii="Arial" w:hAnsi="Arial" w:cs="Arial"/>
          <w:sz w:val="22"/>
          <w:szCs w:val="22"/>
        </w:rPr>
        <w:t xml:space="preserve">The gamma radiation associated with the decay of </w:t>
      </w:r>
      <w:r w:rsidR="008D3A79">
        <w:rPr>
          <w:rFonts w:ascii="Arial" w:hAnsi="Arial" w:cs="Arial"/>
          <w:sz w:val="22"/>
          <w:szCs w:val="22"/>
        </w:rPr>
        <w:t>Ra</w:t>
      </w:r>
      <w:r w:rsidRPr="00117961">
        <w:rPr>
          <w:rFonts w:ascii="Arial" w:hAnsi="Arial" w:cs="Arial"/>
          <w:sz w:val="22"/>
          <w:szCs w:val="22"/>
        </w:rPr>
        <w:t xml:space="preserve">-223 and its daughters allows for the radioactivity measurement of </w:t>
      </w:r>
      <w:r w:rsidRPr="007E1D5F">
        <w:rPr>
          <w:rFonts w:ascii="Arial" w:hAnsi="Arial" w:cs="Arial"/>
          <w:caps/>
          <w:sz w:val="22"/>
          <w:szCs w:val="22"/>
        </w:rPr>
        <w:t>Xofigo</w:t>
      </w:r>
      <w:r w:rsidRPr="00117961">
        <w:rPr>
          <w:rFonts w:ascii="Arial" w:hAnsi="Arial" w:cs="Arial"/>
          <w:sz w:val="22"/>
          <w:szCs w:val="22"/>
        </w:rPr>
        <w:t xml:space="preserve"> and the detection of contaminations with standard instruments.</w:t>
      </w:r>
    </w:p>
    <w:p w:rsidR="008D3A79" w:rsidRDefault="008D3A79" w:rsidP="007E1D5F">
      <w:pPr>
        <w:pStyle w:val="BayerBodyTextFull"/>
        <w:spacing w:before="0" w:after="0"/>
        <w:jc w:val="both"/>
        <w:rPr>
          <w:rFonts w:ascii="Arial" w:hAnsi="Arial" w:cs="Arial"/>
          <w:sz w:val="22"/>
          <w:szCs w:val="22"/>
        </w:rPr>
      </w:pPr>
    </w:p>
    <w:p w:rsidR="00117961" w:rsidRPr="000A5E96" w:rsidRDefault="00117961" w:rsidP="007E1D5F">
      <w:pPr>
        <w:pStyle w:val="BayerBodyTextFull"/>
        <w:spacing w:before="0" w:after="0"/>
        <w:jc w:val="both"/>
        <w:rPr>
          <w:rFonts w:ascii="Arial" w:hAnsi="Arial" w:cs="Arial"/>
          <w:sz w:val="22"/>
          <w:szCs w:val="22"/>
          <w:lang w:val="en-GB"/>
        </w:rPr>
      </w:pPr>
      <w:r w:rsidRPr="000A5E96">
        <w:rPr>
          <w:rFonts w:ascii="Arial" w:hAnsi="Arial" w:cs="Arial"/>
          <w:sz w:val="22"/>
          <w:szCs w:val="22"/>
          <w:lang w:val="en-GB"/>
        </w:rPr>
        <w:lastRenderedPageBreak/>
        <w:t xml:space="preserve">The administration of </w:t>
      </w:r>
      <w:r w:rsidRPr="007E1D5F">
        <w:rPr>
          <w:rFonts w:ascii="Arial" w:hAnsi="Arial" w:cs="Arial"/>
          <w:caps/>
          <w:sz w:val="22"/>
          <w:szCs w:val="22"/>
          <w:lang w:val="en-GB"/>
        </w:rPr>
        <w:t>Xofigo</w:t>
      </w:r>
      <w:r w:rsidRPr="000A5E96">
        <w:rPr>
          <w:rFonts w:ascii="Arial" w:hAnsi="Arial" w:cs="Arial"/>
          <w:sz w:val="22"/>
          <w:szCs w:val="22"/>
          <w:lang w:val="en-GB"/>
        </w:rPr>
        <w:t xml:space="preserve"> is associated with potential risks for other persons (e.g. medical staff, care givers and</w:t>
      </w:r>
      <w:r w:rsidR="00E6267F">
        <w:rPr>
          <w:rFonts w:ascii="Arial" w:hAnsi="Arial" w:cs="Arial"/>
          <w:sz w:val="22"/>
          <w:szCs w:val="22"/>
          <w:lang w:val="en-GB"/>
        </w:rPr>
        <w:t xml:space="preserve"> patient’s household members</w:t>
      </w:r>
      <w:r w:rsidRPr="000A5E96">
        <w:rPr>
          <w:rFonts w:ascii="Arial" w:hAnsi="Arial" w:cs="Arial"/>
          <w:sz w:val="22"/>
          <w:szCs w:val="22"/>
          <w:lang w:val="en-GB"/>
        </w:rPr>
        <w:t>) from radiation or contamination from body fluids such as spills of urine, f</w:t>
      </w:r>
      <w:r w:rsidR="008D3A79" w:rsidRPr="000A5E96">
        <w:rPr>
          <w:rFonts w:ascii="Arial" w:hAnsi="Arial" w:cs="Arial"/>
          <w:sz w:val="22"/>
          <w:szCs w:val="22"/>
          <w:lang w:val="en-GB"/>
        </w:rPr>
        <w:t>a</w:t>
      </w:r>
      <w:r w:rsidRPr="000A5E96">
        <w:rPr>
          <w:rFonts w:ascii="Arial" w:hAnsi="Arial" w:cs="Arial"/>
          <w:sz w:val="22"/>
          <w:szCs w:val="22"/>
          <w:lang w:val="en-GB"/>
        </w:rPr>
        <w:t xml:space="preserve">eces and vomit. </w:t>
      </w:r>
      <w:r w:rsidR="008D3A79" w:rsidRPr="000A5E96">
        <w:rPr>
          <w:rFonts w:ascii="Arial" w:hAnsi="Arial" w:cs="Arial"/>
          <w:sz w:val="22"/>
          <w:szCs w:val="22"/>
          <w:lang w:val="en-GB"/>
        </w:rPr>
        <w:t xml:space="preserve"> </w:t>
      </w:r>
      <w:r w:rsidRPr="000A5E96">
        <w:rPr>
          <w:rFonts w:ascii="Arial" w:hAnsi="Arial" w:cs="Arial"/>
          <w:sz w:val="22"/>
          <w:szCs w:val="22"/>
          <w:lang w:val="en-GB"/>
        </w:rPr>
        <w:t>Therefore, radiation protection precautions must be taken in accordance with national and local regulations.</w:t>
      </w:r>
      <w:r w:rsidR="008D3A79" w:rsidRPr="000A5E96">
        <w:rPr>
          <w:rFonts w:ascii="Arial" w:hAnsi="Arial" w:cs="Arial"/>
          <w:sz w:val="22"/>
          <w:szCs w:val="22"/>
          <w:lang w:val="en-GB"/>
        </w:rPr>
        <w:t xml:space="preserve"> </w:t>
      </w:r>
      <w:r w:rsidRPr="000A5E96">
        <w:rPr>
          <w:rFonts w:ascii="Arial" w:hAnsi="Arial" w:cs="Arial"/>
          <w:sz w:val="22"/>
          <w:szCs w:val="22"/>
          <w:lang w:val="en-GB"/>
        </w:rPr>
        <w:t xml:space="preserve"> Although </w:t>
      </w:r>
      <w:r w:rsidR="008D3A79" w:rsidRPr="000A5E96">
        <w:rPr>
          <w:rFonts w:ascii="Arial" w:hAnsi="Arial" w:cs="Arial"/>
          <w:sz w:val="22"/>
          <w:szCs w:val="22"/>
          <w:lang w:val="en-GB"/>
        </w:rPr>
        <w:t>Ra</w:t>
      </w:r>
      <w:r w:rsidR="008D3A79" w:rsidRPr="000A5E96">
        <w:rPr>
          <w:rFonts w:ascii="Arial" w:hAnsi="Arial" w:cs="Arial"/>
          <w:sz w:val="22"/>
          <w:szCs w:val="22"/>
          <w:lang w:val="en-GB"/>
        </w:rPr>
        <w:noBreakHyphen/>
      </w:r>
      <w:r w:rsidRPr="000A5E96">
        <w:rPr>
          <w:rFonts w:ascii="Arial" w:hAnsi="Arial" w:cs="Arial"/>
          <w:sz w:val="22"/>
          <w:szCs w:val="22"/>
          <w:lang w:val="en-GB"/>
        </w:rPr>
        <w:t xml:space="preserve">223 is predominantly an alpha emitter, gamma and beta radiation is associated with the decay of </w:t>
      </w:r>
      <w:r w:rsidR="008D3A79" w:rsidRPr="000A5E96">
        <w:rPr>
          <w:rFonts w:ascii="Arial" w:hAnsi="Arial" w:cs="Arial"/>
          <w:sz w:val="22"/>
          <w:szCs w:val="22"/>
          <w:lang w:val="en-GB"/>
        </w:rPr>
        <w:t>Ra</w:t>
      </w:r>
      <w:r w:rsidRPr="000A5E96">
        <w:rPr>
          <w:rFonts w:ascii="Arial" w:hAnsi="Arial" w:cs="Arial"/>
          <w:sz w:val="22"/>
          <w:szCs w:val="22"/>
          <w:lang w:val="en-GB"/>
        </w:rPr>
        <w:t>-223 and its radioactive daughter isotopes.</w:t>
      </w:r>
      <w:r w:rsidR="008D3A79" w:rsidRPr="000A5E96">
        <w:rPr>
          <w:rFonts w:ascii="Arial" w:hAnsi="Arial" w:cs="Arial"/>
          <w:sz w:val="22"/>
          <w:szCs w:val="22"/>
          <w:lang w:val="en-GB"/>
        </w:rPr>
        <w:t xml:space="preserve"> </w:t>
      </w:r>
      <w:r w:rsidRPr="000A5E96">
        <w:rPr>
          <w:rFonts w:ascii="Arial" w:hAnsi="Arial" w:cs="Arial"/>
          <w:sz w:val="22"/>
          <w:szCs w:val="22"/>
          <w:lang w:val="en-GB"/>
        </w:rPr>
        <w:t xml:space="preserve"> The external radiation exposure associated with handling of patient doses is considerably lower in comparison to other radiopharmaceuticals for therapeutic purposes as the administered radioactivity will usually be below 8 </w:t>
      </w:r>
      <w:proofErr w:type="spellStart"/>
      <w:r w:rsidRPr="000A5E96">
        <w:rPr>
          <w:rFonts w:ascii="Arial" w:hAnsi="Arial" w:cs="Arial"/>
          <w:sz w:val="22"/>
          <w:szCs w:val="22"/>
          <w:lang w:val="en-GB"/>
        </w:rPr>
        <w:t>MBq</w:t>
      </w:r>
      <w:proofErr w:type="spellEnd"/>
      <w:r w:rsidRPr="000A5E96">
        <w:rPr>
          <w:rFonts w:ascii="Arial" w:hAnsi="Arial" w:cs="Arial"/>
          <w:sz w:val="22"/>
          <w:szCs w:val="22"/>
          <w:lang w:val="en-GB"/>
        </w:rPr>
        <w:t>.</w:t>
      </w:r>
      <w:r w:rsidR="008D3A79" w:rsidRPr="000A5E96">
        <w:rPr>
          <w:rFonts w:ascii="Arial" w:hAnsi="Arial" w:cs="Arial"/>
          <w:sz w:val="22"/>
          <w:szCs w:val="22"/>
          <w:lang w:val="en-GB"/>
        </w:rPr>
        <w:t xml:space="preserve"> </w:t>
      </w:r>
      <w:r w:rsidRPr="000A5E96">
        <w:rPr>
          <w:rFonts w:ascii="Arial" w:hAnsi="Arial" w:cs="Arial"/>
          <w:sz w:val="22"/>
          <w:szCs w:val="22"/>
          <w:lang w:val="en-GB"/>
        </w:rPr>
        <w:t xml:space="preserve"> However, in keeping with the ALARA (“As Low </w:t>
      </w:r>
      <w:proofErr w:type="gramStart"/>
      <w:r w:rsidRPr="000A5E96">
        <w:rPr>
          <w:rFonts w:ascii="Arial" w:hAnsi="Arial" w:cs="Arial"/>
          <w:sz w:val="22"/>
          <w:szCs w:val="22"/>
          <w:lang w:val="en-GB"/>
        </w:rPr>
        <w:t>As</w:t>
      </w:r>
      <w:proofErr w:type="gramEnd"/>
      <w:r w:rsidRPr="000A5E96">
        <w:rPr>
          <w:rFonts w:ascii="Arial" w:hAnsi="Arial" w:cs="Arial"/>
          <w:sz w:val="22"/>
          <w:szCs w:val="22"/>
          <w:lang w:val="en-GB"/>
        </w:rPr>
        <w:t xml:space="preserve"> Re</w:t>
      </w:r>
      <w:r w:rsidR="008D3A79" w:rsidRPr="000A5E96">
        <w:rPr>
          <w:rFonts w:ascii="Arial" w:hAnsi="Arial" w:cs="Arial"/>
          <w:sz w:val="22"/>
          <w:szCs w:val="22"/>
          <w:lang w:val="en-GB"/>
        </w:rPr>
        <w:t>asonably Achievable”) principle</w:t>
      </w:r>
      <w:r w:rsidRPr="000A5E96">
        <w:rPr>
          <w:rFonts w:ascii="Arial" w:hAnsi="Arial" w:cs="Arial"/>
          <w:sz w:val="22"/>
          <w:szCs w:val="22"/>
          <w:lang w:val="en-GB"/>
        </w:rPr>
        <w:t xml:space="preserve"> for minimi</w:t>
      </w:r>
      <w:r w:rsidR="008D3A79" w:rsidRPr="000A5E96">
        <w:rPr>
          <w:rFonts w:ascii="Arial" w:hAnsi="Arial" w:cs="Arial"/>
          <w:sz w:val="22"/>
          <w:szCs w:val="22"/>
          <w:lang w:val="en-GB"/>
        </w:rPr>
        <w:t>s</w:t>
      </w:r>
      <w:r w:rsidRPr="000A5E96">
        <w:rPr>
          <w:rFonts w:ascii="Arial" w:hAnsi="Arial" w:cs="Arial"/>
          <w:sz w:val="22"/>
          <w:szCs w:val="22"/>
          <w:lang w:val="en-GB"/>
        </w:rPr>
        <w:t>ation of radiation exposure, it is recommended to minimi</w:t>
      </w:r>
      <w:r w:rsidR="008D3A79" w:rsidRPr="000A5E96">
        <w:rPr>
          <w:rFonts w:ascii="Arial" w:hAnsi="Arial" w:cs="Arial"/>
          <w:sz w:val="22"/>
          <w:szCs w:val="22"/>
          <w:lang w:val="en-GB"/>
        </w:rPr>
        <w:t>s</w:t>
      </w:r>
      <w:r w:rsidRPr="000A5E96">
        <w:rPr>
          <w:rFonts w:ascii="Arial" w:hAnsi="Arial" w:cs="Arial"/>
          <w:sz w:val="22"/>
          <w:szCs w:val="22"/>
          <w:lang w:val="en-GB"/>
        </w:rPr>
        <w:t>e the time spent in radiation areas, to maximi</w:t>
      </w:r>
      <w:r w:rsidR="008D3A79" w:rsidRPr="000A5E96">
        <w:rPr>
          <w:rFonts w:ascii="Arial" w:hAnsi="Arial" w:cs="Arial"/>
          <w:sz w:val="22"/>
          <w:szCs w:val="22"/>
          <w:lang w:val="en-GB"/>
        </w:rPr>
        <w:t>s</w:t>
      </w:r>
      <w:r w:rsidRPr="000A5E96">
        <w:rPr>
          <w:rFonts w:ascii="Arial" w:hAnsi="Arial" w:cs="Arial"/>
          <w:sz w:val="22"/>
          <w:szCs w:val="22"/>
          <w:lang w:val="en-GB"/>
        </w:rPr>
        <w:t xml:space="preserve">e the distance to radiation sources, and to use adequate shielding. </w:t>
      </w:r>
    </w:p>
    <w:p w:rsidR="008D3A79" w:rsidRPr="00117961" w:rsidRDefault="008D3A79" w:rsidP="007E1D5F">
      <w:pPr>
        <w:pStyle w:val="BayerBodyTextFull"/>
        <w:spacing w:before="0" w:after="0"/>
        <w:jc w:val="both"/>
        <w:rPr>
          <w:rFonts w:ascii="Arial" w:hAnsi="Arial" w:cs="Arial"/>
          <w:sz w:val="22"/>
          <w:szCs w:val="22"/>
        </w:rPr>
      </w:pPr>
    </w:p>
    <w:p w:rsidR="00117961" w:rsidRDefault="00117961" w:rsidP="007E1D5F">
      <w:pPr>
        <w:pStyle w:val="BayerBodyTextFull"/>
        <w:spacing w:before="0" w:after="0"/>
        <w:jc w:val="both"/>
        <w:rPr>
          <w:rFonts w:ascii="Arial" w:hAnsi="Arial" w:cs="Arial"/>
          <w:sz w:val="22"/>
          <w:szCs w:val="22"/>
        </w:rPr>
      </w:pPr>
      <w:r w:rsidRPr="00117961">
        <w:rPr>
          <w:rFonts w:ascii="Arial" w:hAnsi="Arial" w:cs="Arial"/>
          <w:sz w:val="22"/>
          <w:szCs w:val="22"/>
        </w:rPr>
        <w:t xml:space="preserve">Any unused product or materials used in connection with preparation or administration </w:t>
      </w:r>
      <w:r w:rsidR="00E6267F">
        <w:rPr>
          <w:rFonts w:ascii="Arial" w:hAnsi="Arial" w:cs="Arial"/>
          <w:sz w:val="22"/>
          <w:szCs w:val="22"/>
        </w:rPr>
        <w:t xml:space="preserve">of XOFIGO </w:t>
      </w:r>
      <w:r w:rsidRPr="00117961">
        <w:rPr>
          <w:rFonts w:ascii="Arial" w:hAnsi="Arial" w:cs="Arial"/>
          <w:sz w:val="22"/>
          <w:szCs w:val="22"/>
        </w:rPr>
        <w:t>are to be treated as radioactive waste and should be disposed of in accordance with</w:t>
      </w:r>
      <w:r w:rsidR="00D971B4">
        <w:rPr>
          <w:rFonts w:ascii="Arial" w:hAnsi="Arial" w:cs="Arial"/>
          <w:sz w:val="22"/>
          <w:szCs w:val="22"/>
        </w:rPr>
        <w:t xml:space="preserve"> the </w:t>
      </w:r>
      <w:r w:rsidR="0083018B">
        <w:rPr>
          <w:rFonts w:ascii="Arial" w:hAnsi="Arial" w:cs="Arial"/>
          <w:sz w:val="22"/>
          <w:szCs w:val="22"/>
        </w:rPr>
        <w:t>“</w:t>
      </w:r>
      <w:r w:rsidR="0083018B" w:rsidRPr="0083018B">
        <w:rPr>
          <w:rFonts w:ascii="Arial" w:hAnsi="Arial" w:cs="Arial"/>
          <w:i/>
          <w:sz w:val="22"/>
          <w:szCs w:val="22"/>
        </w:rPr>
        <w:t>Code of Practice for the Disposal of Radioactive Wastes by the User</w:t>
      </w:r>
      <w:r w:rsidR="0083018B">
        <w:rPr>
          <w:rFonts w:ascii="Arial" w:hAnsi="Arial" w:cs="Arial"/>
          <w:sz w:val="22"/>
          <w:szCs w:val="22"/>
        </w:rPr>
        <w:t>”.  This code is published on the Australian Radiation Protection and Nuclear Safety Agency (ARPANSA) website as “Radiation Health Series (RHS) No. 13”</w:t>
      </w:r>
      <w:r w:rsidRPr="00117961">
        <w:rPr>
          <w:rFonts w:ascii="Arial" w:hAnsi="Arial" w:cs="Arial"/>
          <w:sz w:val="22"/>
          <w:szCs w:val="22"/>
        </w:rPr>
        <w:t xml:space="preserve">. </w:t>
      </w:r>
    </w:p>
    <w:p w:rsidR="0025295B" w:rsidRPr="00117961" w:rsidRDefault="0025295B" w:rsidP="00117961">
      <w:pPr>
        <w:pStyle w:val="BayerBodyTextFull"/>
        <w:spacing w:before="0" w:after="0"/>
        <w:rPr>
          <w:rFonts w:ascii="Arial" w:hAnsi="Arial" w:cs="Arial"/>
          <w:sz w:val="22"/>
          <w:szCs w:val="22"/>
        </w:rPr>
      </w:pPr>
    </w:p>
    <w:p w:rsidR="00117961" w:rsidRPr="00E84882" w:rsidRDefault="00117961" w:rsidP="002352CB">
      <w:pPr>
        <w:pStyle w:val="PIHeading3undelined"/>
        <w:outlineLvl w:val="2"/>
      </w:pPr>
      <w:proofErr w:type="spellStart"/>
      <w:r w:rsidRPr="00E84882">
        <w:t>Dosimetry</w:t>
      </w:r>
      <w:proofErr w:type="spellEnd"/>
    </w:p>
    <w:p w:rsidR="0025295B" w:rsidRPr="00E84882" w:rsidRDefault="0025295B" w:rsidP="00117961">
      <w:pPr>
        <w:spacing w:after="0"/>
        <w:rPr>
          <w:rFonts w:ascii="Arial" w:hAnsi="Arial" w:cs="Arial"/>
          <w:iCs/>
        </w:rPr>
      </w:pPr>
    </w:p>
    <w:p w:rsidR="00117961" w:rsidRDefault="00117961" w:rsidP="007E1D5F">
      <w:pPr>
        <w:pStyle w:val="BayerBodyTextFull"/>
        <w:spacing w:before="0" w:after="0"/>
        <w:jc w:val="both"/>
        <w:rPr>
          <w:rFonts w:ascii="Arial" w:hAnsi="Arial" w:cs="Arial"/>
          <w:sz w:val="22"/>
          <w:szCs w:val="22"/>
          <w:lang w:val="en-GB"/>
        </w:rPr>
      </w:pPr>
      <w:r w:rsidRPr="000A5E96">
        <w:rPr>
          <w:rFonts w:ascii="Arial" w:hAnsi="Arial" w:cs="Arial"/>
          <w:sz w:val="22"/>
          <w:szCs w:val="22"/>
          <w:lang w:val="en-GB"/>
        </w:rPr>
        <w:t xml:space="preserve">The absorbed radiation dose calculation was performed based on clinical </w:t>
      </w:r>
      <w:proofErr w:type="spellStart"/>
      <w:r w:rsidRPr="000A5E96">
        <w:rPr>
          <w:rFonts w:ascii="Arial" w:hAnsi="Arial" w:cs="Arial"/>
          <w:sz w:val="22"/>
          <w:szCs w:val="22"/>
          <w:lang w:val="en-GB"/>
        </w:rPr>
        <w:t>biodistribution</w:t>
      </w:r>
      <w:proofErr w:type="spellEnd"/>
      <w:r w:rsidRPr="000A5E96">
        <w:rPr>
          <w:rFonts w:ascii="Arial" w:hAnsi="Arial" w:cs="Arial"/>
          <w:sz w:val="22"/>
          <w:szCs w:val="22"/>
          <w:lang w:val="en-GB"/>
        </w:rPr>
        <w:t xml:space="preserve"> data. </w:t>
      </w:r>
      <w:r w:rsidR="004D1D81" w:rsidRPr="000A5E96">
        <w:rPr>
          <w:rFonts w:ascii="Arial" w:hAnsi="Arial" w:cs="Arial"/>
          <w:sz w:val="22"/>
          <w:szCs w:val="22"/>
          <w:lang w:val="en-GB"/>
        </w:rPr>
        <w:t xml:space="preserve"> </w:t>
      </w:r>
      <w:r w:rsidRPr="000A5E96">
        <w:rPr>
          <w:rFonts w:ascii="Arial" w:hAnsi="Arial" w:cs="Arial"/>
          <w:sz w:val="22"/>
          <w:szCs w:val="22"/>
          <w:lang w:val="en-GB"/>
        </w:rPr>
        <w:t>Calculations of absorbed doses were performed using OLINDA/EXM (</w:t>
      </w:r>
      <w:r w:rsidRPr="000A5E96">
        <w:rPr>
          <w:rFonts w:ascii="Arial" w:hAnsi="Arial" w:cs="Arial"/>
          <w:sz w:val="22"/>
          <w:szCs w:val="22"/>
          <w:u w:val="single"/>
          <w:lang w:val="en-GB"/>
        </w:rPr>
        <w:t>O</w:t>
      </w:r>
      <w:r w:rsidRPr="000A5E96">
        <w:rPr>
          <w:rFonts w:ascii="Arial" w:hAnsi="Arial" w:cs="Arial"/>
          <w:sz w:val="22"/>
          <w:szCs w:val="22"/>
          <w:lang w:val="en-GB"/>
        </w:rPr>
        <w:t xml:space="preserve">rgan </w:t>
      </w:r>
      <w:r w:rsidRPr="000A5E96">
        <w:rPr>
          <w:rFonts w:ascii="Arial" w:hAnsi="Arial" w:cs="Arial"/>
          <w:sz w:val="22"/>
          <w:szCs w:val="22"/>
          <w:u w:val="single"/>
          <w:lang w:val="en-GB"/>
        </w:rPr>
        <w:t>L</w:t>
      </w:r>
      <w:r w:rsidRPr="000A5E96">
        <w:rPr>
          <w:rFonts w:ascii="Arial" w:hAnsi="Arial" w:cs="Arial"/>
          <w:sz w:val="22"/>
          <w:szCs w:val="22"/>
          <w:lang w:val="en-GB"/>
        </w:rPr>
        <w:t xml:space="preserve">evel </w:t>
      </w:r>
      <w:proofErr w:type="spellStart"/>
      <w:r w:rsidRPr="000A5E96">
        <w:rPr>
          <w:rFonts w:ascii="Arial" w:hAnsi="Arial" w:cs="Arial"/>
          <w:sz w:val="22"/>
          <w:szCs w:val="22"/>
          <w:u w:val="single"/>
          <w:lang w:val="en-GB"/>
        </w:rPr>
        <w:t>IN</w:t>
      </w:r>
      <w:r w:rsidRPr="000A5E96">
        <w:rPr>
          <w:rFonts w:ascii="Arial" w:hAnsi="Arial" w:cs="Arial"/>
          <w:sz w:val="22"/>
          <w:szCs w:val="22"/>
          <w:lang w:val="en-GB"/>
        </w:rPr>
        <w:t>ternal</w:t>
      </w:r>
      <w:proofErr w:type="spellEnd"/>
      <w:r w:rsidRPr="000A5E96">
        <w:rPr>
          <w:rFonts w:ascii="Arial" w:hAnsi="Arial" w:cs="Arial"/>
          <w:sz w:val="22"/>
          <w:szCs w:val="22"/>
          <w:lang w:val="en-GB"/>
        </w:rPr>
        <w:t xml:space="preserve"> </w:t>
      </w:r>
      <w:r w:rsidRPr="000A5E96">
        <w:rPr>
          <w:rFonts w:ascii="Arial" w:hAnsi="Arial" w:cs="Arial"/>
          <w:sz w:val="22"/>
          <w:szCs w:val="22"/>
          <w:u w:val="single"/>
          <w:lang w:val="en-GB"/>
        </w:rPr>
        <w:t>D</w:t>
      </w:r>
      <w:r w:rsidRPr="000A5E96">
        <w:rPr>
          <w:rFonts w:ascii="Arial" w:hAnsi="Arial" w:cs="Arial"/>
          <w:sz w:val="22"/>
          <w:szCs w:val="22"/>
          <w:lang w:val="en-GB"/>
        </w:rPr>
        <w:t xml:space="preserve">ose </w:t>
      </w:r>
      <w:r w:rsidRPr="000A5E96">
        <w:rPr>
          <w:rFonts w:ascii="Arial" w:hAnsi="Arial" w:cs="Arial"/>
          <w:sz w:val="22"/>
          <w:szCs w:val="22"/>
          <w:u w:val="single"/>
          <w:lang w:val="en-GB"/>
        </w:rPr>
        <w:t>A</w:t>
      </w:r>
      <w:r w:rsidRPr="000A5E96">
        <w:rPr>
          <w:rFonts w:ascii="Arial" w:hAnsi="Arial" w:cs="Arial"/>
          <w:sz w:val="22"/>
          <w:szCs w:val="22"/>
          <w:lang w:val="en-GB"/>
        </w:rPr>
        <w:t>ssessment/</w:t>
      </w:r>
      <w:proofErr w:type="spellStart"/>
      <w:r w:rsidRPr="000A5E96">
        <w:rPr>
          <w:rFonts w:ascii="Arial" w:hAnsi="Arial" w:cs="Arial"/>
          <w:sz w:val="22"/>
          <w:szCs w:val="22"/>
          <w:u w:val="single"/>
          <w:lang w:val="en-GB"/>
        </w:rPr>
        <w:t>EX</w:t>
      </w:r>
      <w:r w:rsidRPr="000A5E96">
        <w:rPr>
          <w:rFonts w:ascii="Arial" w:hAnsi="Arial" w:cs="Arial"/>
          <w:sz w:val="22"/>
          <w:szCs w:val="22"/>
          <w:lang w:val="en-GB"/>
        </w:rPr>
        <w:t>ponential</w:t>
      </w:r>
      <w:proofErr w:type="spellEnd"/>
      <w:r w:rsidRPr="000A5E96">
        <w:rPr>
          <w:rFonts w:ascii="Arial" w:hAnsi="Arial" w:cs="Arial"/>
          <w:sz w:val="22"/>
          <w:szCs w:val="22"/>
          <w:lang w:val="en-GB"/>
        </w:rPr>
        <w:t xml:space="preserve"> </w:t>
      </w:r>
      <w:proofErr w:type="spellStart"/>
      <w:r w:rsidRPr="000A5E96">
        <w:rPr>
          <w:rFonts w:ascii="Arial" w:hAnsi="Arial" w:cs="Arial"/>
          <w:sz w:val="22"/>
          <w:szCs w:val="22"/>
          <w:u w:val="single"/>
          <w:lang w:val="en-GB"/>
        </w:rPr>
        <w:t>M</w:t>
      </w:r>
      <w:r w:rsidRPr="000A5E96">
        <w:rPr>
          <w:rFonts w:ascii="Arial" w:hAnsi="Arial" w:cs="Arial"/>
          <w:sz w:val="22"/>
          <w:szCs w:val="22"/>
          <w:lang w:val="en-GB"/>
        </w:rPr>
        <w:t>odeling</w:t>
      </w:r>
      <w:proofErr w:type="spellEnd"/>
      <w:r w:rsidRPr="000A5E96">
        <w:rPr>
          <w:rFonts w:ascii="Arial" w:hAnsi="Arial" w:cs="Arial"/>
          <w:sz w:val="22"/>
          <w:szCs w:val="22"/>
          <w:lang w:val="en-GB"/>
        </w:rPr>
        <w:t xml:space="preserve">), software based on the Medical Internal Radiation Dose (MIRD) algorithm, which is widely used for established beta and gamma emitting radionuclides. </w:t>
      </w:r>
      <w:r w:rsidR="004D1D81" w:rsidRPr="000A5E96">
        <w:rPr>
          <w:rFonts w:ascii="Arial" w:hAnsi="Arial" w:cs="Arial"/>
          <w:sz w:val="22"/>
          <w:szCs w:val="22"/>
          <w:lang w:val="en-GB"/>
        </w:rPr>
        <w:t xml:space="preserve"> </w:t>
      </w:r>
      <w:r w:rsidRPr="000A5E96">
        <w:rPr>
          <w:rFonts w:ascii="Arial" w:hAnsi="Arial" w:cs="Arial"/>
          <w:sz w:val="22"/>
          <w:szCs w:val="22"/>
          <w:lang w:val="en-GB"/>
        </w:rPr>
        <w:t xml:space="preserve">For </w:t>
      </w:r>
      <w:r w:rsidR="004D1D81" w:rsidRPr="000A5E96">
        <w:rPr>
          <w:rFonts w:ascii="Arial" w:hAnsi="Arial" w:cs="Arial"/>
          <w:sz w:val="22"/>
          <w:szCs w:val="22"/>
          <w:lang w:val="en-GB"/>
        </w:rPr>
        <w:t>Ra</w:t>
      </w:r>
      <w:r w:rsidRPr="000A5E96">
        <w:rPr>
          <w:rFonts w:ascii="Arial" w:hAnsi="Arial" w:cs="Arial"/>
          <w:sz w:val="22"/>
          <w:szCs w:val="22"/>
          <w:lang w:val="en-GB"/>
        </w:rPr>
        <w:t>-223, primarily an alpha emitter, additional assumptions were made for the intestine, red marrow and bone/</w:t>
      </w:r>
      <w:proofErr w:type="spellStart"/>
      <w:r w:rsidRPr="000A5E96">
        <w:rPr>
          <w:rFonts w:ascii="Arial" w:hAnsi="Arial" w:cs="Arial"/>
          <w:sz w:val="22"/>
          <w:szCs w:val="22"/>
          <w:lang w:val="en-GB"/>
        </w:rPr>
        <w:t>osteogenic</w:t>
      </w:r>
      <w:proofErr w:type="spellEnd"/>
      <w:r w:rsidRPr="000A5E96">
        <w:rPr>
          <w:rFonts w:ascii="Arial" w:hAnsi="Arial" w:cs="Arial"/>
          <w:sz w:val="22"/>
          <w:szCs w:val="22"/>
          <w:lang w:val="en-GB"/>
        </w:rPr>
        <w:t xml:space="preserve"> cells, to provide the best possible absorbed dose calculations for </w:t>
      </w:r>
      <w:r w:rsidRPr="007E1D5F">
        <w:rPr>
          <w:rFonts w:ascii="Arial" w:hAnsi="Arial" w:cs="Arial"/>
          <w:caps/>
          <w:sz w:val="22"/>
          <w:szCs w:val="22"/>
          <w:lang w:val="en-GB"/>
        </w:rPr>
        <w:t>Xofigo</w:t>
      </w:r>
      <w:r w:rsidRPr="000A5E96">
        <w:rPr>
          <w:rFonts w:ascii="Arial" w:hAnsi="Arial" w:cs="Arial"/>
          <w:sz w:val="22"/>
          <w:szCs w:val="22"/>
          <w:lang w:val="en-GB"/>
        </w:rPr>
        <w:t xml:space="preserve">, considering its observed </w:t>
      </w:r>
      <w:proofErr w:type="spellStart"/>
      <w:r w:rsidRPr="000A5E96">
        <w:rPr>
          <w:rFonts w:ascii="Arial" w:hAnsi="Arial" w:cs="Arial"/>
          <w:sz w:val="22"/>
          <w:szCs w:val="22"/>
          <w:lang w:val="en-GB"/>
        </w:rPr>
        <w:t>biodistribution</w:t>
      </w:r>
      <w:proofErr w:type="spellEnd"/>
      <w:r w:rsidRPr="000A5E96">
        <w:rPr>
          <w:rFonts w:ascii="Arial" w:hAnsi="Arial" w:cs="Arial"/>
          <w:sz w:val="22"/>
          <w:szCs w:val="22"/>
          <w:lang w:val="en-GB"/>
        </w:rPr>
        <w:t xml:space="preserve"> and specific characteristics.</w:t>
      </w:r>
    </w:p>
    <w:p w:rsidR="008F2B3B" w:rsidRDefault="008F2B3B" w:rsidP="007E1D5F">
      <w:pPr>
        <w:pStyle w:val="BayerBodyTextFull"/>
        <w:spacing w:before="0" w:after="0"/>
        <w:jc w:val="both"/>
        <w:rPr>
          <w:rFonts w:ascii="Arial" w:hAnsi="Arial" w:cs="Arial"/>
          <w:sz w:val="22"/>
          <w:szCs w:val="22"/>
          <w:lang w:val="en-GB"/>
        </w:rPr>
      </w:pPr>
    </w:p>
    <w:p w:rsidR="008F2B3B" w:rsidRPr="000A5E96" w:rsidRDefault="008F2B3B" w:rsidP="00901996">
      <w:pPr>
        <w:pStyle w:val="BayerBodyTextFull"/>
        <w:keepLines/>
        <w:spacing w:before="0" w:after="0"/>
        <w:jc w:val="both"/>
        <w:rPr>
          <w:rFonts w:ascii="Arial" w:hAnsi="Arial" w:cs="Arial"/>
          <w:sz w:val="22"/>
          <w:szCs w:val="22"/>
          <w:lang w:val="en-GB"/>
        </w:rPr>
      </w:pPr>
      <w:r>
        <w:rPr>
          <w:rFonts w:ascii="Arial" w:hAnsi="Arial" w:cs="Arial"/>
          <w:sz w:val="22"/>
          <w:szCs w:val="22"/>
          <w:lang w:val="en-GB"/>
        </w:rPr>
        <w:t xml:space="preserve">The calculated absorbed radiation doses to different organs are listed in Table </w:t>
      </w:r>
      <w:r w:rsidR="0088685E">
        <w:rPr>
          <w:rFonts w:ascii="Arial" w:hAnsi="Arial" w:cs="Arial"/>
          <w:sz w:val="22"/>
          <w:szCs w:val="22"/>
          <w:lang w:val="en-GB"/>
        </w:rPr>
        <w:t>5</w:t>
      </w:r>
      <w:r>
        <w:rPr>
          <w:rFonts w:ascii="Arial" w:hAnsi="Arial" w:cs="Arial"/>
          <w:sz w:val="22"/>
          <w:szCs w:val="22"/>
          <w:lang w:val="en-GB"/>
        </w:rPr>
        <w:t xml:space="preserve"> </w:t>
      </w:r>
      <w:r w:rsidR="002154B2">
        <w:rPr>
          <w:rFonts w:ascii="Arial" w:hAnsi="Arial" w:cs="Arial"/>
          <w:sz w:val="22"/>
          <w:szCs w:val="22"/>
          <w:lang w:val="en-GB"/>
        </w:rPr>
        <w:t>(</w:t>
      </w:r>
      <w:proofErr w:type="spellStart"/>
      <w:r w:rsidR="002154B2">
        <w:rPr>
          <w:rFonts w:ascii="Arial" w:hAnsi="Arial" w:cs="Arial"/>
          <w:sz w:val="22"/>
          <w:szCs w:val="22"/>
          <w:lang w:val="en-GB"/>
        </w:rPr>
        <w:t>mGy</w:t>
      </w:r>
      <w:proofErr w:type="spellEnd"/>
      <w:r w:rsidR="002154B2">
        <w:rPr>
          <w:rFonts w:ascii="Arial" w:hAnsi="Arial" w:cs="Arial"/>
          <w:sz w:val="22"/>
          <w:szCs w:val="22"/>
          <w:lang w:val="en-GB"/>
        </w:rPr>
        <w:t>/</w:t>
      </w:r>
      <w:proofErr w:type="spellStart"/>
      <w:r w:rsidR="002154B2">
        <w:rPr>
          <w:rFonts w:ascii="Arial" w:hAnsi="Arial" w:cs="Arial"/>
          <w:sz w:val="22"/>
          <w:szCs w:val="22"/>
          <w:lang w:val="en-GB"/>
        </w:rPr>
        <w:t>MBq</w:t>
      </w:r>
      <w:proofErr w:type="spellEnd"/>
      <w:r w:rsidR="002154B2">
        <w:rPr>
          <w:rFonts w:ascii="Arial" w:hAnsi="Arial" w:cs="Arial"/>
          <w:sz w:val="22"/>
          <w:szCs w:val="22"/>
          <w:lang w:val="en-GB"/>
        </w:rPr>
        <w:t>)</w:t>
      </w:r>
      <w:r>
        <w:rPr>
          <w:rFonts w:ascii="Arial" w:hAnsi="Arial" w:cs="Arial"/>
          <w:sz w:val="22"/>
          <w:szCs w:val="22"/>
          <w:lang w:val="en-GB"/>
        </w:rPr>
        <w:t>.  The organs with highest absorbed radiation doses were bone (</w:t>
      </w:r>
      <w:proofErr w:type="spellStart"/>
      <w:r>
        <w:rPr>
          <w:rFonts w:ascii="Arial" w:hAnsi="Arial" w:cs="Arial"/>
          <w:sz w:val="22"/>
          <w:szCs w:val="22"/>
          <w:lang w:val="en-GB"/>
        </w:rPr>
        <w:t>osteogenic</w:t>
      </w:r>
      <w:proofErr w:type="spellEnd"/>
      <w:r>
        <w:rPr>
          <w:rFonts w:ascii="Arial" w:hAnsi="Arial" w:cs="Arial"/>
          <w:sz w:val="22"/>
          <w:szCs w:val="22"/>
          <w:lang w:val="en-GB"/>
        </w:rPr>
        <w:t xml:space="preserve"> cells), red marrow, upper large intestine wall and lower large intestine wall.  The calculated doses to other organs are lower.</w:t>
      </w:r>
    </w:p>
    <w:p w:rsidR="007125E6" w:rsidRDefault="007125E6" w:rsidP="007E1D5F">
      <w:pPr>
        <w:spacing w:after="0" w:line="240" w:lineRule="auto"/>
        <w:jc w:val="both"/>
        <w:rPr>
          <w:rFonts w:ascii="Arial" w:hAnsi="Arial" w:cs="Arial"/>
          <w:lang w:val="en-US"/>
        </w:rPr>
      </w:pPr>
    </w:p>
    <w:p w:rsidR="00097F7C" w:rsidRPr="00097F7C" w:rsidRDefault="00097F7C" w:rsidP="00CC7633">
      <w:pPr>
        <w:pStyle w:val="Caption"/>
        <w:spacing w:before="0"/>
        <w:ind w:left="0"/>
        <w:rPr>
          <w:rFonts w:ascii="Arial" w:hAnsi="Arial" w:cs="Arial"/>
          <w:szCs w:val="22"/>
        </w:rPr>
      </w:pPr>
      <w:r w:rsidRPr="00097F7C">
        <w:rPr>
          <w:rFonts w:ascii="Arial" w:hAnsi="Arial" w:cs="Arial"/>
          <w:szCs w:val="22"/>
        </w:rPr>
        <w:t xml:space="preserve">Table </w:t>
      </w:r>
      <w:r w:rsidR="0088685E">
        <w:rPr>
          <w:rFonts w:ascii="Arial" w:hAnsi="Arial" w:cs="Arial"/>
          <w:szCs w:val="22"/>
        </w:rPr>
        <w:t>5</w:t>
      </w:r>
      <w:r w:rsidRPr="00097F7C">
        <w:rPr>
          <w:rFonts w:ascii="Arial" w:hAnsi="Arial" w:cs="Arial"/>
          <w:szCs w:val="22"/>
        </w:rPr>
        <w:t>: Calculated absorbed radiation doses to organs</w:t>
      </w: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1283"/>
        <w:gridCol w:w="1283"/>
        <w:gridCol w:w="1283"/>
        <w:gridCol w:w="1300"/>
        <w:gridCol w:w="1366"/>
      </w:tblGrid>
      <w:tr w:rsidR="002154B2" w:rsidRPr="00097F7C" w:rsidTr="009C7643">
        <w:trPr>
          <w:cantSplit/>
          <w:tblHeader/>
          <w:jc w:val="center"/>
        </w:trPr>
        <w:tc>
          <w:tcPr>
            <w:tcW w:w="2537" w:type="dxa"/>
            <w:tcBorders>
              <w:top w:val="single" w:sz="4" w:space="0" w:color="auto"/>
              <w:left w:val="single" w:sz="4" w:space="0" w:color="auto"/>
              <w:bottom w:val="single" w:sz="4" w:space="0" w:color="auto"/>
              <w:right w:val="single" w:sz="4" w:space="0" w:color="auto"/>
            </w:tcBorders>
            <w:hideMark/>
          </w:tcPr>
          <w:p w:rsidR="00097F7C" w:rsidRPr="00097F7C" w:rsidRDefault="00097F7C" w:rsidP="00CC7633">
            <w:pPr>
              <w:keepNext/>
              <w:tabs>
                <w:tab w:val="left" w:pos="567"/>
              </w:tabs>
              <w:spacing w:before="40" w:after="40" w:line="240" w:lineRule="auto"/>
              <w:rPr>
                <w:rFonts w:ascii="Arial" w:eastAsia="Times New Roman" w:hAnsi="Arial" w:cs="Arial"/>
                <w:sz w:val="20"/>
                <w:szCs w:val="20"/>
                <w:lang w:val="en-GB"/>
              </w:rPr>
            </w:pPr>
            <w:r w:rsidRPr="00097F7C">
              <w:rPr>
                <w:rFonts w:ascii="Arial" w:hAnsi="Arial" w:cs="Arial"/>
                <w:b/>
                <w:sz w:val="20"/>
                <w:szCs w:val="20"/>
              </w:rPr>
              <w:t>Target Organ</w:t>
            </w:r>
          </w:p>
        </w:tc>
        <w:tc>
          <w:tcPr>
            <w:tcW w:w="1283" w:type="dxa"/>
            <w:tcBorders>
              <w:top w:val="single" w:sz="4" w:space="0" w:color="auto"/>
              <w:left w:val="single" w:sz="4" w:space="0" w:color="auto"/>
              <w:bottom w:val="single" w:sz="4" w:space="0" w:color="auto"/>
              <w:right w:val="single" w:sz="4" w:space="0" w:color="auto"/>
            </w:tcBorders>
            <w:hideMark/>
          </w:tcPr>
          <w:p w:rsidR="00097F7C" w:rsidRPr="00097F7C" w:rsidRDefault="00097F7C" w:rsidP="00CC7633">
            <w:pPr>
              <w:keepNext/>
              <w:spacing w:before="40" w:after="40" w:line="240" w:lineRule="auto"/>
              <w:jc w:val="center"/>
              <w:rPr>
                <w:rFonts w:ascii="Arial" w:eastAsia="Times New Roman" w:hAnsi="Arial" w:cs="Arial"/>
                <w:b/>
                <w:sz w:val="20"/>
                <w:szCs w:val="20"/>
                <w:lang w:val="en-GB"/>
              </w:rPr>
            </w:pPr>
            <w:r w:rsidRPr="00097F7C">
              <w:rPr>
                <w:rFonts w:ascii="Arial" w:hAnsi="Arial" w:cs="Arial"/>
                <w:b/>
                <w:sz w:val="20"/>
                <w:szCs w:val="20"/>
              </w:rPr>
              <w:t>Alpha</w:t>
            </w:r>
            <w:r w:rsidRPr="00097F7C">
              <w:rPr>
                <w:rFonts w:ascii="Arial" w:hAnsi="Arial" w:cs="Arial"/>
                <w:b/>
                <w:sz w:val="20"/>
                <w:szCs w:val="20"/>
                <w:vertAlign w:val="superscript"/>
              </w:rPr>
              <w:t>1</w:t>
            </w:r>
            <w:r w:rsidRPr="00097F7C">
              <w:rPr>
                <w:rFonts w:ascii="Arial" w:hAnsi="Arial" w:cs="Arial"/>
                <w:b/>
                <w:sz w:val="20"/>
                <w:szCs w:val="20"/>
              </w:rPr>
              <w:t xml:space="preserve"> emission</w:t>
            </w:r>
          </w:p>
          <w:p w:rsidR="00097F7C" w:rsidRPr="00097F7C" w:rsidRDefault="00097F7C" w:rsidP="00CC7633">
            <w:pPr>
              <w:keepNext/>
              <w:tabs>
                <w:tab w:val="left" w:pos="567"/>
              </w:tabs>
              <w:spacing w:before="40" w:after="40" w:line="240" w:lineRule="auto"/>
              <w:jc w:val="center"/>
              <w:rPr>
                <w:rFonts w:ascii="Arial" w:eastAsia="Times New Roman" w:hAnsi="Arial" w:cs="Arial"/>
                <w:b/>
                <w:sz w:val="20"/>
                <w:szCs w:val="20"/>
                <w:lang w:val="en-GB"/>
              </w:rPr>
            </w:pPr>
            <w:r w:rsidRPr="00097F7C">
              <w:rPr>
                <w:rFonts w:ascii="Arial" w:hAnsi="Arial" w:cs="Arial"/>
                <w:b/>
                <w:sz w:val="20"/>
                <w:szCs w:val="20"/>
              </w:rPr>
              <w:t>(</w:t>
            </w:r>
            <w:proofErr w:type="spellStart"/>
            <w:r w:rsidR="009647B9">
              <w:rPr>
                <w:rFonts w:ascii="Arial" w:hAnsi="Arial" w:cs="Arial"/>
                <w:b/>
                <w:sz w:val="20"/>
                <w:szCs w:val="20"/>
              </w:rPr>
              <w:t>m</w:t>
            </w:r>
            <w:r w:rsidRPr="00097F7C">
              <w:rPr>
                <w:rFonts w:ascii="Arial" w:hAnsi="Arial" w:cs="Arial"/>
                <w:b/>
                <w:sz w:val="20"/>
                <w:szCs w:val="20"/>
              </w:rPr>
              <w:t>Gy</w:t>
            </w:r>
            <w:proofErr w:type="spellEnd"/>
            <w:r w:rsidRPr="00097F7C">
              <w:rPr>
                <w:rFonts w:ascii="Arial" w:hAnsi="Arial" w:cs="Arial"/>
                <w:b/>
                <w:sz w:val="20"/>
                <w:szCs w:val="20"/>
              </w:rPr>
              <w:t>/</w:t>
            </w:r>
            <w:proofErr w:type="spellStart"/>
            <w:r w:rsidRPr="00097F7C">
              <w:rPr>
                <w:rFonts w:ascii="Arial" w:hAnsi="Arial" w:cs="Arial"/>
                <w:b/>
                <w:sz w:val="20"/>
                <w:szCs w:val="20"/>
              </w:rPr>
              <w:t>MBq</w:t>
            </w:r>
            <w:proofErr w:type="spellEnd"/>
            <w:r w:rsidRPr="00097F7C">
              <w:rPr>
                <w:rFonts w:ascii="Arial" w:hAnsi="Arial" w:cs="Arial"/>
                <w:b/>
                <w:sz w:val="20"/>
                <w:szCs w:val="20"/>
              </w:rPr>
              <w:t>)</w:t>
            </w:r>
          </w:p>
        </w:tc>
        <w:tc>
          <w:tcPr>
            <w:tcW w:w="1283" w:type="dxa"/>
            <w:tcBorders>
              <w:top w:val="single" w:sz="4" w:space="0" w:color="auto"/>
              <w:left w:val="single" w:sz="4" w:space="0" w:color="auto"/>
              <w:bottom w:val="single" w:sz="4" w:space="0" w:color="auto"/>
              <w:right w:val="single" w:sz="4" w:space="0" w:color="auto"/>
            </w:tcBorders>
            <w:hideMark/>
          </w:tcPr>
          <w:p w:rsidR="00097F7C" w:rsidRPr="00097F7C" w:rsidRDefault="00097F7C" w:rsidP="00CC7633">
            <w:pPr>
              <w:keepNext/>
              <w:spacing w:before="40" w:after="40" w:line="240" w:lineRule="auto"/>
              <w:jc w:val="center"/>
              <w:rPr>
                <w:rFonts w:ascii="Arial" w:eastAsia="Times New Roman" w:hAnsi="Arial" w:cs="Arial"/>
                <w:b/>
                <w:sz w:val="20"/>
                <w:szCs w:val="20"/>
                <w:lang w:val="en-GB"/>
              </w:rPr>
            </w:pPr>
            <w:r w:rsidRPr="00097F7C">
              <w:rPr>
                <w:rFonts w:ascii="Arial" w:hAnsi="Arial" w:cs="Arial"/>
                <w:b/>
                <w:sz w:val="20"/>
                <w:szCs w:val="20"/>
              </w:rPr>
              <w:t>Beta emission</w:t>
            </w:r>
          </w:p>
          <w:p w:rsidR="00097F7C" w:rsidRPr="00097F7C" w:rsidRDefault="00097F7C" w:rsidP="00CC7633">
            <w:pPr>
              <w:keepNext/>
              <w:tabs>
                <w:tab w:val="left" w:pos="567"/>
              </w:tabs>
              <w:spacing w:before="40" w:after="40" w:line="240" w:lineRule="auto"/>
              <w:jc w:val="center"/>
              <w:rPr>
                <w:rFonts w:ascii="Arial" w:eastAsia="Times New Roman" w:hAnsi="Arial" w:cs="Arial"/>
                <w:b/>
                <w:sz w:val="20"/>
                <w:szCs w:val="20"/>
                <w:lang w:val="en-GB"/>
              </w:rPr>
            </w:pPr>
            <w:r w:rsidRPr="00097F7C">
              <w:rPr>
                <w:rFonts w:ascii="Arial" w:hAnsi="Arial" w:cs="Arial"/>
                <w:b/>
                <w:sz w:val="20"/>
                <w:szCs w:val="20"/>
              </w:rPr>
              <w:t>(</w:t>
            </w:r>
            <w:proofErr w:type="spellStart"/>
            <w:r w:rsidR="009647B9">
              <w:rPr>
                <w:rFonts w:ascii="Arial" w:hAnsi="Arial" w:cs="Arial"/>
                <w:b/>
                <w:sz w:val="20"/>
                <w:szCs w:val="20"/>
              </w:rPr>
              <w:t>m</w:t>
            </w:r>
            <w:r w:rsidRPr="00097F7C">
              <w:rPr>
                <w:rFonts w:ascii="Arial" w:hAnsi="Arial" w:cs="Arial"/>
                <w:b/>
                <w:sz w:val="20"/>
                <w:szCs w:val="20"/>
              </w:rPr>
              <w:t>Gy</w:t>
            </w:r>
            <w:proofErr w:type="spellEnd"/>
            <w:r w:rsidRPr="00097F7C">
              <w:rPr>
                <w:rFonts w:ascii="Arial" w:hAnsi="Arial" w:cs="Arial"/>
                <w:b/>
                <w:sz w:val="20"/>
                <w:szCs w:val="20"/>
              </w:rPr>
              <w:t>/</w:t>
            </w:r>
            <w:proofErr w:type="spellStart"/>
            <w:r w:rsidRPr="00097F7C">
              <w:rPr>
                <w:rFonts w:ascii="Arial" w:hAnsi="Arial" w:cs="Arial"/>
                <w:b/>
                <w:sz w:val="20"/>
                <w:szCs w:val="20"/>
              </w:rPr>
              <w:t>MBq</w:t>
            </w:r>
            <w:proofErr w:type="spellEnd"/>
            <w:r w:rsidRPr="00097F7C">
              <w:rPr>
                <w:rFonts w:ascii="Arial" w:hAnsi="Arial" w:cs="Arial"/>
                <w:b/>
                <w:sz w:val="20"/>
                <w:szCs w:val="20"/>
              </w:rPr>
              <w:t>)</w:t>
            </w:r>
          </w:p>
        </w:tc>
        <w:tc>
          <w:tcPr>
            <w:tcW w:w="1283" w:type="dxa"/>
            <w:tcBorders>
              <w:top w:val="single" w:sz="4" w:space="0" w:color="auto"/>
              <w:left w:val="single" w:sz="4" w:space="0" w:color="auto"/>
              <w:bottom w:val="single" w:sz="4" w:space="0" w:color="auto"/>
              <w:right w:val="single" w:sz="4" w:space="0" w:color="auto"/>
            </w:tcBorders>
            <w:hideMark/>
          </w:tcPr>
          <w:p w:rsidR="00097F7C" w:rsidRPr="00097F7C" w:rsidRDefault="00097F7C" w:rsidP="00CC7633">
            <w:pPr>
              <w:keepNext/>
              <w:spacing w:before="40" w:after="40" w:line="240" w:lineRule="auto"/>
              <w:jc w:val="center"/>
              <w:rPr>
                <w:rFonts w:ascii="Arial" w:eastAsia="Times New Roman" w:hAnsi="Arial" w:cs="Arial"/>
                <w:b/>
                <w:sz w:val="20"/>
                <w:szCs w:val="20"/>
                <w:lang w:val="en-GB"/>
              </w:rPr>
            </w:pPr>
            <w:r w:rsidRPr="00097F7C">
              <w:rPr>
                <w:rFonts w:ascii="Arial" w:hAnsi="Arial" w:cs="Arial"/>
                <w:b/>
                <w:sz w:val="20"/>
                <w:szCs w:val="20"/>
              </w:rPr>
              <w:t>Gamma emission</w:t>
            </w:r>
          </w:p>
          <w:p w:rsidR="00097F7C" w:rsidRPr="00097F7C" w:rsidRDefault="00097F7C" w:rsidP="00CC7633">
            <w:pPr>
              <w:keepNext/>
              <w:tabs>
                <w:tab w:val="left" w:pos="567"/>
              </w:tabs>
              <w:spacing w:before="40" w:after="40" w:line="240" w:lineRule="auto"/>
              <w:jc w:val="center"/>
              <w:rPr>
                <w:rFonts w:ascii="Arial" w:eastAsia="Times New Roman" w:hAnsi="Arial" w:cs="Arial"/>
                <w:b/>
                <w:sz w:val="20"/>
                <w:szCs w:val="20"/>
                <w:lang w:val="en-GB"/>
              </w:rPr>
            </w:pPr>
            <w:r w:rsidRPr="00097F7C">
              <w:rPr>
                <w:rFonts w:ascii="Arial" w:hAnsi="Arial" w:cs="Arial"/>
                <w:b/>
                <w:sz w:val="20"/>
                <w:szCs w:val="20"/>
              </w:rPr>
              <w:t>(</w:t>
            </w:r>
            <w:proofErr w:type="spellStart"/>
            <w:r w:rsidR="009647B9">
              <w:rPr>
                <w:rFonts w:ascii="Arial" w:hAnsi="Arial" w:cs="Arial"/>
                <w:b/>
                <w:sz w:val="20"/>
                <w:szCs w:val="20"/>
              </w:rPr>
              <w:t>m</w:t>
            </w:r>
            <w:r w:rsidRPr="00097F7C">
              <w:rPr>
                <w:rFonts w:ascii="Arial" w:hAnsi="Arial" w:cs="Arial"/>
                <w:b/>
                <w:sz w:val="20"/>
                <w:szCs w:val="20"/>
              </w:rPr>
              <w:t>Gy</w:t>
            </w:r>
            <w:proofErr w:type="spellEnd"/>
            <w:r w:rsidRPr="00097F7C">
              <w:rPr>
                <w:rFonts w:ascii="Arial" w:hAnsi="Arial" w:cs="Arial"/>
                <w:b/>
                <w:sz w:val="20"/>
                <w:szCs w:val="20"/>
              </w:rPr>
              <w:t>/</w:t>
            </w:r>
            <w:proofErr w:type="spellStart"/>
            <w:r w:rsidRPr="00097F7C">
              <w:rPr>
                <w:rFonts w:ascii="Arial" w:hAnsi="Arial" w:cs="Arial"/>
                <w:b/>
                <w:sz w:val="20"/>
                <w:szCs w:val="20"/>
              </w:rPr>
              <w:t>MBq</w:t>
            </w:r>
            <w:proofErr w:type="spellEnd"/>
            <w:r w:rsidRPr="00097F7C">
              <w:rPr>
                <w:rFonts w:ascii="Arial" w:hAnsi="Arial" w:cs="Arial"/>
                <w:b/>
                <w:sz w:val="20"/>
                <w:szCs w:val="20"/>
              </w:rPr>
              <w:t>)</w:t>
            </w:r>
          </w:p>
        </w:tc>
        <w:tc>
          <w:tcPr>
            <w:tcW w:w="1300" w:type="dxa"/>
            <w:tcBorders>
              <w:top w:val="single" w:sz="4" w:space="0" w:color="auto"/>
              <w:left w:val="single" w:sz="4" w:space="0" w:color="auto"/>
              <w:bottom w:val="single" w:sz="4" w:space="0" w:color="auto"/>
              <w:right w:val="single" w:sz="4" w:space="0" w:color="auto"/>
            </w:tcBorders>
          </w:tcPr>
          <w:p w:rsidR="00097F7C" w:rsidRPr="00097F7C" w:rsidRDefault="00097F7C" w:rsidP="00CC7633">
            <w:pPr>
              <w:keepNext/>
              <w:spacing w:before="40" w:after="40" w:line="240" w:lineRule="auto"/>
              <w:jc w:val="center"/>
              <w:rPr>
                <w:rFonts w:ascii="Arial" w:eastAsia="Times New Roman" w:hAnsi="Arial" w:cs="Arial"/>
                <w:b/>
                <w:sz w:val="20"/>
                <w:szCs w:val="20"/>
                <w:lang w:val="en-GB"/>
              </w:rPr>
            </w:pPr>
            <w:r w:rsidRPr="00097F7C">
              <w:rPr>
                <w:rFonts w:ascii="Arial" w:hAnsi="Arial" w:cs="Arial"/>
                <w:b/>
                <w:sz w:val="20"/>
                <w:szCs w:val="20"/>
              </w:rPr>
              <w:t>Total dose</w:t>
            </w:r>
          </w:p>
          <w:p w:rsidR="00097F7C" w:rsidRPr="00097F7C" w:rsidRDefault="00097F7C" w:rsidP="00CC7633">
            <w:pPr>
              <w:keepNext/>
              <w:tabs>
                <w:tab w:val="left" w:pos="567"/>
              </w:tabs>
              <w:spacing w:before="40" w:after="40" w:line="240" w:lineRule="auto"/>
              <w:jc w:val="center"/>
              <w:rPr>
                <w:rFonts w:ascii="Arial" w:eastAsia="Times New Roman" w:hAnsi="Arial" w:cs="Arial"/>
                <w:b/>
                <w:sz w:val="20"/>
                <w:szCs w:val="20"/>
                <w:lang w:val="en-GB"/>
              </w:rPr>
            </w:pPr>
            <w:r>
              <w:rPr>
                <w:rFonts w:ascii="Arial" w:hAnsi="Arial" w:cs="Arial"/>
                <w:b/>
                <w:sz w:val="20"/>
                <w:szCs w:val="20"/>
              </w:rPr>
              <w:br/>
            </w:r>
            <w:r w:rsidRPr="00097F7C">
              <w:rPr>
                <w:rFonts w:ascii="Arial" w:hAnsi="Arial" w:cs="Arial"/>
                <w:b/>
                <w:sz w:val="20"/>
                <w:szCs w:val="20"/>
              </w:rPr>
              <w:t>(</w:t>
            </w:r>
            <w:proofErr w:type="spellStart"/>
            <w:r w:rsidR="009647B9">
              <w:rPr>
                <w:rFonts w:ascii="Arial" w:hAnsi="Arial" w:cs="Arial"/>
                <w:b/>
                <w:sz w:val="20"/>
                <w:szCs w:val="20"/>
              </w:rPr>
              <w:t>m</w:t>
            </w:r>
            <w:r w:rsidRPr="00097F7C">
              <w:rPr>
                <w:rFonts w:ascii="Arial" w:hAnsi="Arial" w:cs="Arial"/>
                <w:b/>
                <w:sz w:val="20"/>
                <w:szCs w:val="20"/>
              </w:rPr>
              <w:t>Gy</w:t>
            </w:r>
            <w:proofErr w:type="spellEnd"/>
            <w:r w:rsidRPr="00097F7C">
              <w:rPr>
                <w:rFonts w:ascii="Arial" w:hAnsi="Arial" w:cs="Arial"/>
                <w:b/>
                <w:sz w:val="20"/>
                <w:szCs w:val="20"/>
              </w:rPr>
              <w:t>/</w:t>
            </w:r>
            <w:proofErr w:type="spellStart"/>
            <w:r w:rsidRPr="00097F7C">
              <w:rPr>
                <w:rFonts w:ascii="Arial" w:hAnsi="Arial" w:cs="Arial"/>
                <w:b/>
                <w:sz w:val="20"/>
                <w:szCs w:val="20"/>
              </w:rPr>
              <w:t>MBq</w:t>
            </w:r>
            <w:proofErr w:type="spellEnd"/>
            <w:r w:rsidRPr="00097F7C">
              <w:rPr>
                <w:rFonts w:ascii="Arial" w:hAnsi="Arial" w:cs="Arial"/>
                <w:b/>
                <w:sz w:val="20"/>
                <w:szCs w:val="20"/>
              </w:rPr>
              <w:t>)</w:t>
            </w:r>
          </w:p>
        </w:tc>
        <w:tc>
          <w:tcPr>
            <w:tcW w:w="1366" w:type="dxa"/>
            <w:tcBorders>
              <w:top w:val="single" w:sz="4" w:space="0" w:color="auto"/>
              <w:left w:val="single" w:sz="4" w:space="0" w:color="auto"/>
              <w:bottom w:val="single" w:sz="4" w:space="0" w:color="auto"/>
              <w:right w:val="single" w:sz="4" w:space="0" w:color="auto"/>
            </w:tcBorders>
            <w:hideMark/>
          </w:tcPr>
          <w:p w:rsidR="00097F7C" w:rsidRPr="00097F7C" w:rsidRDefault="00097F7C" w:rsidP="00CC7633">
            <w:pPr>
              <w:keepNext/>
              <w:spacing w:before="40" w:after="40" w:line="240" w:lineRule="auto"/>
              <w:jc w:val="center"/>
              <w:rPr>
                <w:rFonts w:ascii="Arial" w:eastAsia="Times New Roman" w:hAnsi="Arial" w:cs="Arial"/>
                <w:b/>
                <w:sz w:val="20"/>
                <w:szCs w:val="20"/>
                <w:lang w:val="en-GB"/>
              </w:rPr>
            </w:pPr>
            <w:r w:rsidRPr="00097F7C">
              <w:rPr>
                <w:rFonts w:ascii="Arial" w:hAnsi="Arial" w:cs="Arial"/>
                <w:b/>
                <w:sz w:val="20"/>
                <w:szCs w:val="20"/>
              </w:rPr>
              <w:t>Coefficient of variation</w:t>
            </w:r>
          </w:p>
          <w:p w:rsidR="00097F7C" w:rsidRPr="00097F7C" w:rsidRDefault="00097F7C" w:rsidP="00CC7633">
            <w:pPr>
              <w:keepNext/>
              <w:tabs>
                <w:tab w:val="left" w:pos="567"/>
              </w:tabs>
              <w:spacing w:before="40" w:after="40" w:line="240" w:lineRule="auto"/>
              <w:jc w:val="center"/>
              <w:rPr>
                <w:rFonts w:ascii="Arial" w:eastAsia="Times New Roman" w:hAnsi="Arial" w:cs="Arial"/>
                <w:b/>
                <w:sz w:val="20"/>
                <w:szCs w:val="20"/>
                <w:lang w:val="en-GB"/>
              </w:rPr>
            </w:pPr>
            <w:r w:rsidRPr="00097F7C">
              <w:rPr>
                <w:rFonts w:ascii="Arial" w:hAnsi="Arial" w:cs="Arial"/>
                <w:b/>
                <w:sz w:val="20"/>
                <w:szCs w:val="20"/>
              </w:rPr>
              <w:t>(%)</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Adrenals</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0.09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0.12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56</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Brain</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0.08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0.10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80</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Breasts</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0.03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0.05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120</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Gallbladder wall</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0.21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0.23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14</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Pr>
                <w:rFonts w:ascii="Arial" w:hAnsi="Arial" w:cs="Arial"/>
                <w:sz w:val="20"/>
                <w:szCs w:val="20"/>
              </w:rPr>
              <w:t>Lower large intestine w</w:t>
            </w:r>
            <w:r w:rsidRPr="00097F7C">
              <w:rPr>
                <w:rFonts w:ascii="Arial" w:hAnsi="Arial" w:cs="Arial"/>
                <w:sz w:val="20"/>
                <w:szCs w:val="20"/>
              </w:rPr>
              <w:t>all</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45.6</w:t>
            </w:r>
            <w:r w:rsidR="009A375E">
              <w:rPr>
                <w:rFonts w:ascii="Arial" w:hAnsi="Arial" w:cs="Arial"/>
                <w:sz w:val="20"/>
                <w:szCs w:val="20"/>
              </w:rPr>
              <w:t>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0.85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46.45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83</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Small intestine wall</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3.19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3.6</w:t>
            </w:r>
            <w:r w:rsidR="009A375E">
              <w:rPr>
                <w:rFonts w:ascii="Arial" w:hAnsi="Arial" w:cs="Arial"/>
                <w:sz w:val="20"/>
                <w:szCs w:val="20"/>
              </w:rPr>
              <w:t>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0.47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7.26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45</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Stomach wall</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0.12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0.14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22</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Pr>
                <w:rFonts w:ascii="Arial" w:hAnsi="Arial" w:cs="Arial"/>
                <w:sz w:val="20"/>
                <w:szCs w:val="20"/>
              </w:rPr>
              <w:t>Upper large intestine</w:t>
            </w:r>
            <w:r w:rsidRPr="00097F7C">
              <w:rPr>
                <w:rFonts w:ascii="Arial" w:hAnsi="Arial" w:cs="Arial"/>
                <w:sz w:val="20"/>
                <w:szCs w:val="20"/>
              </w:rPr>
              <w:t xml:space="preserve"> wall</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31.5</w:t>
            </w:r>
            <w:r w:rsidR="009A375E">
              <w:rPr>
                <w:rFonts w:ascii="Arial" w:hAnsi="Arial" w:cs="Arial"/>
                <w:sz w:val="20"/>
                <w:szCs w:val="20"/>
              </w:rPr>
              <w:t>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0.82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32.32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50</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Heart wall</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1.61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0.07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0.05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1.73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42</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Kidneys</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2.99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0.11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0.11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3.20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36</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lastRenderedPageBreak/>
              <w:t>Liver</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2.79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0.10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0.08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2.98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36</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Lungs</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D37513">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0.05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0.07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90</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Muscle</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0.10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0.12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41</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Ovaries</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0.46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0.49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40</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Pancreas</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0.09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0.11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43</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Red marrow</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132</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6.42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0.20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138.79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41</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proofErr w:type="spellStart"/>
            <w:r w:rsidRPr="00097F7C">
              <w:rPr>
                <w:rFonts w:ascii="Arial" w:hAnsi="Arial" w:cs="Arial"/>
                <w:sz w:val="20"/>
                <w:szCs w:val="20"/>
              </w:rPr>
              <w:t>Osteogenic</w:t>
            </w:r>
            <w:proofErr w:type="spellEnd"/>
            <w:r w:rsidRPr="00097F7C">
              <w:rPr>
                <w:rFonts w:ascii="Arial" w:hAnsi="Arial" w:cs="Arial"/>
                <w:sz w:val="20"/>
                <w:szCs w:val="20"/>
              </w:rPr>
              <w:t xml:space="preserve"> cells</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1140</w:t>
            </w:r>
            <w:r w:rsidR="009A375E">
              <w:rPr>
                <w:rFonts w:ascii="Arial" w:hAnsi="Arial" w:cs="Arial"/>
                <w:sz w:val="20"/>
                <w:szCs w:val="20"/>
              </w:rPr>
              <w:t>0.00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14.90</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0.30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1152.06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41</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Skin</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0.05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0.07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79</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Spleen</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0.07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0.09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54</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Testes</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0.06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0.08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59</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Thymus</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0.03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0.06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109</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Thyroid</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0.05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0.07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96</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Urinary bladder wall</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 xml:space="preserve">3.71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0.16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0.16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4.03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63</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Uterus</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0</w:t>
            </w:r>
            <w:r w:rsidR="009A375E">
              <w:rPr>
                <w:rFonts w:ascii="Arial" w:hAnsi="Arial" w:cs="Arial"/>
                <w:sz w:val="20"/>
                <w:szCs w:val="20"/>
              </w:rPr>
              <w:t>.00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0.02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0.23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0.26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28</w:t>
            </w:r>
          </w:p>
        </w:tc>
      </w:tr>
      <w:tr w:rsidR="002154B2" w:rsidRPr="00097F7C" w:rsidTr="009C7643">
        <w:trPr>
          <w:cantSplit/>
          <w:jc w:val="center"/>
        </w:trPr>
        <w:tc>
          <w:tcPr>
            <w:tcW w:w="2537"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left" w:pos="567"/>
              </w:tabs>
              <w:spacing w:before="40" w:after="40" w:line="240" w:lineRule="auto"/>
              <w:rPr>
                <w:rFonts w:ascii="Arial" w:eastAsia="Times New Roman" w:hAnsi="Arial" w:cs="Arial"/>
                <w:sz w:val="20"/>
                <w:szCs w:val="20"/>
                <w:lang w:val="en-GB"/>
              </w:rPr>
            </w:pPr>
            <w:r w:rsidRPr="00097F7C">
              <w:rPr>
                <w:rFonts w:ascii="Arial" w:hAnsi="Arial" w:cs="Arial"/>
                <w:sz w:val="20"/>
                <w:szCs w:val="20"/>
              </w:rPr>
              <w:t>Whole body</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9647B9" w:rsidP="009647B9">
            <w:pPr>
              <w:spacing w:before="40" w:after="40"/>
              <w:jc w:val="center"/>
              <w:rPr>
                <w:rFonts w:ascii="Arial" w:hAnsi="Arial" w:cs="Arial"/>
                <w:sz w:val="20"/>
                <w:szCs w:val="20"/>
              </w:rPr>
            </w:pPr>
            <w:r>
              <w:rPr>
                <w:rFonts w:ascii="Arial" w:hAnsi="Arial" w:cs="Arial"/>
                <w:sz w:val="20"/>
                <w:szCs w:val="20"/>
              </w:rPr>
              <w:t>22.2</w:t>
            </w:r>
            <w:r w:rsidR="009A375E">
              <w:rPr>
                <w:rFonts w:ascii="Arial" w:hAnsi="Arial" w:cs="Arial"/>
                <w:sz w:val="20"/>
                <w:szCs w:val="20"/>
              </w:rPr>
              <w:t>0</w:t>
            </w:r>
            <w:r>
              <w:rPr>
                <w:rFonts w:ascii="Arial" w:hAnsi="Arial" w:cs="Arial"/>
                <w:sz w:val="20"/>
                <w:szCs w:val="20"/>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0.81 </w:t>
            </w:r>
          </w:p>
        </w:tc>
        <w:tc>
          <w:tcPr>
            <w:tcW w:w="1283"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0.12 </w:t>
            </w:r>
          </w:p>
        </w:tc>
        <w:tc>
          <w:tcPr>
            <w:tcW w:w="1300" w:type="dxa"/>
            <w:tcBorders>
              <w:top w:val="single" w:sz="4" w:space="0" w:color="auto"/>
              <w:left w:val="single" w:sz="4" w:space="0" w:color="auto"/>
              <w:bottom w:val="single" w:sz="4" w:space="0" w:color="auto"/>
              <w:right w:val="single" w:sz="4" w:space="0" w:color="auto"/>
            </w:tcBorders>
            <w:vAlign w:val="center"/>
          </w:tcPr>
          <w:p w:rsidR="009647B9" w:rsidRPr="009647B9" w:rsidRDefault="002154B2" w:rsidP="009647B9">
            <w:pPr>
              <w:spacing w:before="40" w:after="40"/>
              <w:jc w:val="center"/>
              <w:rPr>
                <w:rFonts w:ascii="Arial" w:hAnsi="Arial" w:cs="Arial"/>
                <w:sz w:val="20"/>
                <w:szCs w:val="20"/>
              </w:rPr>
            </w:pPr>
            <w:r>
              <w:rPr>
                <w:rFonts w:ascii="Arial" w:hAnsi="Arial" w:cs="Arial"/>
                <w:sz w:val="20"/>
                <w:szCs w:val="20"/>
              </w:rPr>
              <w:t xml:space="preserve">23.11 </w:t>
            </w:r>
          </w:p>
        </w:tc>
        <w:tc>
          <w:tcPr>
            <w:tcW w:w="1366" w:type="dxa"/>
            <w:tcBorders>
              <w:top w:val="single" w:sz="4" w:space="0" w:color="auto"/>
              <w:left w:val="single" w:sz="4" w:space="0" w:color="auto"/>
              <w:bottom w:val="single" w:sz="4" w:space="0" w:color="auto"/>
              <w:right w:val="single" w:sz="4" w:space="0" w:color="auto"/>
            </w:tcBorders>
            <w:hideMark/>
          </w:tcPr>
          <w:p w:rsidR="009647B9" w:rsidRPr="00097F7C" w:rsidRDefault="009647B9" w:rsidP="008F2B3B">
            <w:pPr>
              <w:tabs>
                <w:tab w:val="decimal" w:pos="681"/>
              </w:tabs>
              <w:spacing w:before="40" w:after="40" w:line="240" w:lineRule="auto"/>
              <w:rPr>
                <w:rFonts w:ascii="Arial" w:eastAsia="Times New Roman" w:hAnsi="Arial" w:cs="Arial"/>
                <w:sz w:val="20"/>
                <w:szCs w:val="20"/>
                <w:lang w:val="en-GB"/>
              </w:rPr>
            </w:pPr>
            <w:r w:rsidRPr="00097F7C">
              <w:rPr>
                <w:rFonts w:ascii="Arial" w:hAnsi="Arial" w:cs="Arial"/>
                <w:sz w:val="20"/>
                <w:szCs w:val="20"/>
              </w:rPr>
              <w:t>16</w:t>
            </w:r>
          </w:p>
        </w:tc>
      </w:tr>
    </w:tbl>
    <w:p w:rsidR="00097F7C" w:rsidRPr="00097F7C" w:rsidRDefault="00097F7C" w:rsidP="00097F7C">
      <w:pPr>
        <w:pStyle w:val="TableNotes"/>
        <w:keepNext/>
        <w:numPr>
          <w:ilvl w:val="0"/>
          <w:numId w:val="0"/>
        </w:numPr>
        <w:tabs>
          <w:tab w:val="left" w:pos="720"/>
        </w:tabs>
        <w:spacing w:before="60" w:after="0" w:line="240" w:lineRule="auto"/>
        <w:rPr>
          <w:rFonts w:ascii="Arial" w:hAnsi="Arial" w:cs="Arial"/>
          <w:sz w:val="20"/>
          <w:szCs w:val="20"/>
          <w:vertAlign w:val="superscript"/>
        </w:rPr>
      </w:pPr>
      <w:r w:rsidRPr="00097F7C">
        <w:rPr>
          <w:rFonts w:ascii="Arial" w:hAnsi="Arial" w:cs="Arial"/>
          <w:sz w:val="20"/>
          <w:szCs w:val="20"/>
          <w:vertAlign w:val="superscript"/>
        </w:rPr>
        <w:t>1</w:t>
      </w:r>
      <w:r>
        <w:rPr>
          <w:rFonts w:ascii="Arial" w:hAnsi="Arial" w:cs="Arial"/>
          <w:sz w:val="20"/>
          <w:szCs w:val="20"/>
          <w:vertAlign w:val="superscript"/>
        </w:rPr>
        <w:t xml:space="preserve"> </w:t>
      </w:r>
      <w:r w:rsidRPr="00097F7C">
        <w:rPr>
          <w:rFonts w:ascii="Arial" w:hAnsi="Arial" w:cs="Arial"/>
          <w:sz w:val="20"/>
          <w:szCs w:val="20"/>
        </w:rPr>
        <w:t>As there was no uptake of radium-223 in most of the soft tissues observed, the alpha contribution to the total organ dose was set to zero for these organs.</w:t>
      </w:r>
    </w:p>
    <w:p w:rsidR="00097F7C" w:rsidRPr="009E37B3" w:rsidRDefault="00097F7C" w:rsidP="007E1D5F">
      <w:pPr>
        <w:spacing w:after="0" w:line="240" w:lineRule="auto"/>
        <w:jc w:val="both"/>
        <w:rPr>
          <w:rFonts w:ascii="Arial" w:hAnsi="Arial" w:cs="Arial"/>
          <w:lang w:val="en-CA"/>
        </w:rPr>
      </w:pPr>
    </w:p>
    <w:p w:rsidR="004E560C" w:rsidRPr="00117961" w:rsidRDefault="004E560C" w:rsidP="007E1D5F">
      <w:pPr>
        <w:pStyle w:val="BayerBodyTextFull"/>
        <w:spacing w:before="0" w:after="0"/>
        <w:jc w:val="both"/>
        <w:rPr>
          <w:rFonts w:ascii="Arial" w:hAnsi="Arial" w:cs="Arial"/>
          <w:sz w:val="22"/>
          <w:szCs w:val="22"/>
        </w:rPr>
      </w:pPr>
      <w:r w:rsidRPr="00117961">
        <w:rPr>
          <w:rFonts w:ascii="Arial" w:hAnsi="Arial" w:cs="Arial"/>
          <w:sz w:val="22"/>
          <w:szCs w:val="22"/>
        </w:rPr>
        <w:t xml:space="preserve">The </w:t>
      </w:r>
      <w:proofErr w:type="spellStart"/>
      <w:r w:rsidRPr="00117961">
        <w:rPr>
          <w:rFonts w:ascii="Arial" w:hAnsi="Arial" w:cs="Arial"/>
          <w:sz w:val="22"/>
          <w:szCs w:val="22"/>
        </w:rPr>
        <w:t>h</w:t>
      </w:r>
      <w:r w:rsidR="003C713F">
        <w:rPr>
          <w:rFonts w:ascii="Arial" w:hAnsi="Arial" w:cs="Arial"/>
          <w:sz w:val="22"/>
          <w:szCs w:val="22"/>
        </w:rPr>
        <w:t>a</w:t>
      </w:r>
      <w:r w:rsidRPr="00117961">
        <w:rPr>
          <w:rFonts w:ascii="Arial" w:hAnsi="Arial" w:cs="Arial"/>
          <w:sz w:val="22"/>
          <w:szCs w:val="22"/>
        </w:rPr>
        <w:t>ematological</w:t>
      </w:r>
      <w:proofErr w:type="spellEnd"/>
      <w:r w:rsidRPr="00117961">
        <w:rPr>
          <w:rFonts w:ascii="Arial" w:hAnsi="Arial" w:cs="Arial"/>
          <w:sz w:val="22"/>
          <w:szCs w:val="22"/>
        </w:rPr>
        <w:t xml:space="preserve"> adverse drug reactions observed in the clinical studies with </w:t>
      </w:r>
      <w:r w:rsidRPr="007E1D5F">
        <w:rPr>
          <w:rFonts w:ascii="Arial" w:hAnsi="Arial" w:cs="Arial"/>
          <w:caps/>
          <w:sz w:val="22"/>
          <w:szCs w:val="22"/>
        </w:rPr>
        <w:t>Xofigo</w:t>
      </w:r>
      <w:r w:rsidRPr="00117961">
        <w:rPr>
          <w:rFonts w:ascii="Arial" w:hAnsi="Arial" w:cs="Arial"/>
          <w:sz w:val="22"/>
          <w:szCs w:val="22"/>
        </w:rPr>
        <w:t xml:space="preserve"> are much lower in frequency and severity than what could be expected from the calculated absorbed doses to the red marrow.</w:t>
      </w:r>
      <w:r>
        <w:rPr>
          <w:rFonts w:ascii="Arial" w:hAnsi="Arial" w:cs="Arial"/>
          <w:sz w:val="22"/>
          <w:szCs w:val="22"/>
        </w:rPr>
        <w:t xml:space="preserve"> </w:t>
      </w:r>
      <w:r w:rsidRPr="00117961">
        <w:rPr>
          <w:rFonts w:ascii="Arial" w:hAnsi="Arial" w:cs="Arial"/>
          <w:sz w:val="22"/>
          <w:szCs w:val="22"/>
        </w:rPr>
        <w:t xml:space="preserve"> This may be related to spatial distribution of alpha particle radiation resulting in non-uniform radiation dose to the red marrow.</w:t>
      </w:r>
    </w:p>
    <w:p w:rsidR="007125E6" w:rsidRDefault="007125E6" w:rsidP="007125E6">
      <w:pPr>
        <w:autoSpaceDE w:val="0"/>
        <w:autoSpaceDN w:val="0"/>
        <w:adjustRightInd w:val="0"/>
        <w:spacing w:after="0" w:line="240" w:lineRule="auto"/>
        <w:rPr>
          <w:rFonts w:ascii="Arial" w:hAnsi="Arial" w:cs="Arial"/>
          <w:lang w:val="en-US"/>
        </w:rPr>
      </w:pPr>
    </w:p>
    <w:p w:rsidR="00B911E6" w:rsidRDefault="00B911E6" w:rsidP="007125E6">
      <w:pPr>
        <w:autoSpaceDE w:val="0"/>
        <w:autoSpaceDN w:val="0"/>
        <w:adjustRightInd w:val="0"/>
        <w:spacing w:after="0" w:line="240" w:lineRule="auto"/>
        <w:rPr>
          <w:rFonts w:ascii="Arial" w:hAnsi="Arial" w:cs="Arial"/>
          <w:lang w:val="en-US"/>
        </w:rPr>
      </w:pPr>
    </w:p>
    <w:p w:rsidR="00B911E6" w:rsidRDefault="00B911E6" w:rsidP="002154B2">
      <w:pPr>
        <w:pStyle w:val="PIHeading1"/>
        <w:keepNext/>
        <w:keepLines/>
        <w:outlineLvl w:val="0"/>
        <w:rPr>
          <w:lang w:val="en-US"/>
        </w:rPr>
      </w:pPr>
      <w:r>
        <w:rPr>
          <w:lang w:val="en-US"/>
        </w:rPr>
        <w:t>OVERDOSAGE</w:t>
      </w:r>
    </w:p>
    <w:p w:rsidR="00B911E6" w:rsidRDefault="00B911E6" w:rsidP="002154B2">
      <w:pPr>
        <w:keepNext/>
        <w:keepLines/>
        <w:autoSpaceDE w:val="0"/>
        <w:autoSpaceDN w:val="0"/>
        <w:adjustRightInd w:val="0"/>
        <w:spacing w:after="0" w:line="240" w:lineRule="auto"/>
        <w:rPr>
          <w:rFonts w:ascii="Arial" w:hAnsi="Arial" w:cs="Arial"/>
          <w:lang w:val="en-US"/>
        </w:rPr>
      </w:pPr>
    </w:p>
    <w:p w:rsidR="00BB459C" w:rsidRDefault="00BB459C" w:rsidP="002154B2">
      <w:pPr>
        <w:keepNext/>
        <w:keepLines/>
        <w:autoSpaceDE w:val="0"/>
        <w:autoSpaceDN w:val="0"/>
        <w:adjustRightInd w:val="0"/>
        <w:spacing w:after="0" w:line="240" w:lineRule="auto"/>
        <w:jc w:val="both"/>
        <w:rPr>
          <w:rFonts w:ascii="Arial" w:hAnsi="Arial" w:cs="Arial"/>
          <w:lang w:val="en-US"/>
        </w:rPr>
      </w:pPr>
      <w:r w:rsidRPr="00BB459C">
        <w:rPr>
          <w:rFonts w:ascii="Arial" w:hAnsi="Arial" w:cs="Arial"/>
          <w:lang w:val="en-US"/>
        </w:rPr>
        <w:t xml:space="preserve">There have been no reports of inadvertent overdosing of </w:t>
      </w:r>
      <w:r w:rsidRPr="007E1D5F">
        <w:rPr>
          <w:rFonts w:ascii="Arial" w:hAnsi="Arial" w:cs="Arial"/>
          <w:caps/>
          <w:lang w:val="en-US"/>
        </w:rPr>
        <w:t>Xofigo</w:t>
      </w:r>
      <w:r w:rsidRPr="00BB459C">
        <w:rPr>
          <w:rFonts w:ascii="Arial" w:hAnsi="Arial" w:cs="Arial"/>
          <w:lang w:val="en-US"/>
        </w:rPr>
        <w:t xml:space="preserve"> during clinical studies.</w:t>
      </w:r>
    </w:p>
    <w:p w:rsidR="00BB459C" w:rsidRPr="00BB459C" w:rsidRDefault="00BB459C" w:rsidP="002154B2">
      <w:pPr>
        <w:keepNext/>
        <w:keepLines/>
        <w:autoSpaceDE w:val="0"/>
        <w:autoSpaceDN w:val="0"/>
        <w:adjustRightInd w:val="0"/>
        <w:spacing w:after="0" w:line="240" w:lineRule="auto"/>
        <w:jc w:val="both"/>
        <w:rPr>
          <w:rFonts w:ascii="Arial" w:hAnsi="Arial" w:cs="Arial"/>
          <w:lang w:val="en-US"/>
        </w:rPr>
      </w:pPr>
    </w:p>
    <w:p w:rsidR="00BB459C" w:rsidRDefault="00BB459C" w:rsidP="002154B2">
      <w:pPr>
        <w:keepNext/>
        <w:keepLines/>
        <w:autoSpaceDE w:val="0"/>
        <w:autoSpaceDN w:val="0"/>
        <w:adjustRightInd w:val="0"/>
        <w:spacing w:after="0" w:line="240" w:lineRule="auto"/>
        <w:jc w:val="both"/>
        <w:rPr>
          <w:rFonts w:ascii="Arial" w:hAnsi="Arial" w:cs="Arial"/>
          <w:lang w:val="en-US"/>
        </w:rPr>
      </w:pPr>
      <w:r w:rsidRPr="00BB459C">
        <w:rPr>
          <w:rFonts w:ascii="Arial" w:hAnsi="Arial" w:cs="Arial"/>
          <w:lang w:val="en-US"/>
        </w:rPr>
        <w:t>There is no specific antidote.</w:t>
      </w:r>
      <w:r>
        <w:rPr>
          <w:rFonts w:ascii="Arial" w:hAnsi="Arial" w:cs="Arial"/>
          <w:lang w:val="en-US"/>
        </w:rPr>
        <w:t xml:space="preserve"> </w:t>
      </w:r>
      <w:r w:rsidRPr="00BB459C">
        <w:rPr>
          <w:rFonts w:ascii="Arial" w:hAnsi="Arial" w:cs="Arial"/>
          <w:lang w:val="en-US"/>
        </w:rPr>
        <w:t xml:space="preserve"> In the event of an inadvertent overdose, general supportive measures, including monitoring for potential </w:t>
      </w:r>
      <w:proofErr w:type="spellStart"/>
      <w:r w:rsidRPr="00BB459C">
        <w:rPr>
          <w:rFonts w:ascii="Arial" w:hAnsi="Arial" w:cs="Arial"/>
          <w:lang w:val="en-US"/>
        </w:rPr>
        <w:t>h</w:t>
      </w:r>
      <w:r w:rsidR="003C713F">
        <w:rPr>
          <w:rFonts w:ascii="Arial" w:hAnsi="Arial" w:cs="Arial"/>
          <w:lang w:val="en-US"/>
        </w:rPr>
        <w:t>a</w:t>
      </w:r>
      <w:r w:rsidRPr="00BB459C">
        <w:rPr>
          <w:rFonts w:ascii="Arial" w:hAnsi="Arial" w:cs="Arial"/>
          <w:lang w:val="en-US"/>
        </w:rPr>
        <w:t>ematological</w:t>
      </w:r>
      <w:proofErr w:type="spellEnd"/>
      <w:r w:rsidRPr="00BB459C">
        <w:rPr>
          <w:rFonts w:ascii="Arial" w:hAnsi="Arial" w:cs="Arial"/>
          <w:lang w:val="en-US"/>
        </w:rPr>
        <w:t xml:space="preserve"> and gastrointestinal toxicity should be undertaken. </w:t>
      </w:r>
      <w:r w:rsidR="00A5797D">
        <w:rPr>
          <w:rFonts w:ascii="Arial" w:hAnsi="Arial" w:cs="Arial"/>
          <w:lang w:val="en-US"/>
        </w:rPr>
        <w:t xml:space="preserve"> Contact the Poison Information Centre on 13 11 26</w:t>
      </w:r>
      <w:r w:rsidR="00A5797D" w:rsidRPr="00A5797D">
        <w:rPr>
          <w:rFonts w:ascii="Arial" w:hAnsi="Arial" w:cs="Arial"/>
          <w:lang w:val="en-US"/>
        </w:rPr>
        <w:t xml:space="preserve"> </w:t>
      </w:r>
      <w:r w:rsidR="00A5797D">
        <w:rPr>
          <w:rFonts w:ascii="Arial" w:hAnsi="Arial" w:cs="Arial"/>
          <w:lang w:val="en-US"/>
        </w:rPr>
        <w:t>for information on the management of overdose.</w:t>
      </w:r>
    </w:p>
    <w:p w:rsidR="00BB459C" w:rsidRPr="00BB459C" w:rsidRDefault="00BB459C" w:rsidP="007E1D5F">
      <w:pPr>
        <w:autoSpaceDE w:val="0"/>
        <w:autoSpaceDN w:val="0"/>
        <w:adjustRightInd w:val="0"/>
        <w:spacing w:after="0" w:line="240" w:lineRule="auto"/>
        <w:jc w:val="both"/>
        <w:rPr>
          <w:rFonts w:ascii="Arial" w:hAnsi="Arial" w:cs="Arial"/>
          <w:lang w:val="en-US"/>
        </w:rPr>
      </w:pPr>
    </w:p>
    <w:p w:rsidR="00B911E6" w:rsidRDefault="00BB459C" w:rsidP="007E1D5F">
      <w:pPr>
        <w:autoSpaceDE w:val="0"/>
        <w:autoSpaceDN w:val="0"/>
        <w:adjustRightInd w:val="0"/>
        <w:spacing w:after="0" w:line="240" w:lineRule="auto"/>
        <w:jc w:val="both"/>
        <w:rPr>
          <w:rFonts w:ascii="Arial" w:hAnsi="Arial" w:cs="Arial"/>
          <w:lang w:val="en-US"/>
        </w:rPr>
      </w:pPr>
      <w:r w:rsidRPr="00BB459C">
        <w:rPr>
          <w:rFonts w:ascii="Arial" w:hAnsi="Arial" w:cs="Arial"/>
          <w:lang w:val="en-US"/>
        </w:rPr>
        <w:t xml:space="preserve">Single </w:t>
      </w:r>
      <w:r w:rsidRPr="007E1D5F">
        <w:rPr>
          <w:rFonts w:ascii="Arial" w:hAnsi="Arial" w:cs="Arial"/>
          <w:caps/>
          <w:lang w:val="en-US"/>
        </w:rPr>
        <w:t>Xofigo</w:t>
      </w:r>
      <w:r w:rsidRPr="00BB459C">
        <w:rPr>
          <w:rFonts w:ascii="Arial" w:hAnsi="Arial" w:cs="Arial"/>
          <w:lang w:val="en-US"/>
        </w:rPr>
        <w:t xml:space="preserve"> doses up to 250 </w:t>
      </w:r>
      <w:proofErr w:type="spellStart"/>
      <w:r w:rsidRPr="00BB459C">
        <w:rPr>
          <w:rFonts w:ascii="Arial" w:hAnsi="Arial" w:cs="Arial"/>
          <w:lang w:val="en-US"/>
        </w:rPr>
        <w:t>kBq</w:t>
      </w:r>
      <w:proofErr w:type="spellEnd"/>
      <w:r w:rsidRPr="00BB459C">
        <w:rPr>
          <w:rFonts w:ascii="Arial" w:hAnsi="Arial" w:cs="Arial"/>
          <w:lang w:val="en-US"/>
        </w:rPr>
        <w:t xml:space="preserve"> per kg body weight were evaluated in a phase I clinical trial and no dose-limiting toxicities were observed</w:t>
      </w:r>
      <w:r>
        <w:rPr>
          <w:rFonts w:ascii="Arial" w:hAnsi="Arial" w:cs="Arial"/>
          <w:lang w:val="en-US"/>
        </w:rPr>
        <w:t>.</w:t>
      </w:r>
    </w:p>
    <w:p w:rsidR="00F4106A" w:rsidRDefault="00F4106A" w:rsidP="00BB459C">
      <w:pPr>
        <w:autoSpaceDE w:val="0"/>
        <w:autoSpaceDN w:val="0"/>
        <w:adjustRightInd w:val="0"/>
        <w:spacing w:after="0" w:line="240" w:lineRule="auto"/>
        <w:rPr>
          <w:rFonts w:ascii="Arial" w:hAnsi="Arial" w:cs="Arial"/>
          <w:lang w:val="en-US"/>
        </w:rPr>
      </w:pPr>
    </w:p>
    <w:p w:rsidR="00F4106A" w:rsidRDefault="00F4106A" w:rsidP="00BB459C">
      <w:pPr>
        <w:autoSpaceDE w:val="0"/>
        <w:autoSpaceDN w:val="0"/>
        <w:adjustRightInd w:val="0"/>
        <w:spacing w:after="0" w:line="240" w:lineRule="auto"/>
        <w:rPr>
          <w:rFonts w:ascii="Arial" w:hAnsi="Arial" w:cs="Arial"/>
          <w:lang w:val="en-US"/>
        </w:rPr>
      </w:pPr>
    </w:p>
    <w:p w:rsidR="00F4106A" w:rsidRDefault="00F4106A" w:rsidP="002352CB">
      <w:pPr>
        <w:pStyle w:val="PIHeading1"/>
        <w:outlineLvl w:val="0"/>
        <w:rPr>
          <w:lang w:val="en-US"/>
        </w:rPr>
      </w:pPr>
      <w:r>
        <w:rPr>
          <w:lang w:val="en-US"/>
        </w:rPr>
        <w:t>PRESENTATION AND STORAGE CONDITIONS</w:t>
      </w:r>
    </w:p>
    <w:p w:rsidR="00F4106A" w:rsidRDefault="00F4106A" w:rsidP="00BB459C">
      <w:pPr>
        <w:autoSpaceDE w:val="0"/>
        <w:autoSpaceDN w:val="0"/>
        <w:adjustRightInd w:val="0"/>
        <w:spacing w:after="0" w:line="240" w:lineRule="auto"/>
        <w:rPr>
          <w:rFonts w:ascii="Arial" w:hAnsi="Arial" w:cs="Arial"/>
          <w:lang w:val="en-US"/>
        </w:rPr>
      </w:pPr>
    </w:p>
    <w:p w:rsidR="00092F55" w:rsidRDefault="005432AD" w:rsidP="007E1D5F">
      <w:pPr>
        <w:pStyle w:val="BayerBodyTextFull"/>
        <w:spacing w:before="0" w:after="0"/>
        <w:jc w:val="both"/>
        <w:rPr>
          <w:rFonts w:ascii="Arial" w:hAnsi="Arial" w:cs="Arial"/>
          <w:sz w:val="22"/>
          <w:szCs w:val="22"/>
        </w:rPr>
      </w:pPr>
      <w:r w:rsidRPr="007E1D5F">
        <w:rPr>
          <w:rFonts w:ascii="Arial" w:hAnsi="Arial" w:cs="Arial"/>
          <w:caps/>
          <w:sz w:val="22"/>
          <w:szCs w:val="22"/>
        </w:rPr>
        <w:t>Xofigo</w:t>
      </w:r>
      <w:r w:rsidR="00EC3F52">
        <w:rPr>
          <w:rFonts w:ascii="Arial" w:hAnsi="Arial" w:cs="Arial"/>
          <w:sz w:val="22"/>
          <w:szCs w:val="22"/>
        </w:rPr>
        <w:t xml:space="preserve"> is</w:t>
      </w:r>
      <w:r w:rsidR="00E651DA">
        <w:rPr>
          <w:rFonts w:ascii="Arial" w:hAnsi="Arial" w:cs="Arial"/>
          <w:sz w:val="22"/>
          <w:szCs w:val="22"/>
        </w:rPr>
        <w:t xml:space="preserve"> </w:t>
      </w:r>
      <w:r w:rsidR="00BF74F6">
        <w:rPr>
          <w:rFonts w:ascii="Arial" w:hAnsi="Arial" w:cs="Arial"/>
          <w:sz w:val="22"/>
          <w:szCs w:val="22"/>
        </w:rPr>
        <w:t xml:space="preserve">a ready-to-use, clear and </w:t>
      </w:r>
      <w:proofErr w:type="spellStart"/>
      <w:r w:rsidR="00BF74F6">
        <w:rPr>
          <w:rFonts w:ascii="Arial" w:hAnsi="Arial" w:cs="Arial"/>
          <w:sz w:val="22"/>
          <w:szCs w:val="22"/>
        </w:rPr>
        <w:t>colourless</w:t>
      </w:r>
      <w:proofErr w:type="spellEnd"/>
      <w:r w:rsidR="00BF74F6">
        <w:rPr>
          <w:rFonts w:ascii="Arial" w:hAnsi="Arial" w:cs="Arial"/>
          <w:sz w:val="22"/>
          <w:szCs w:val="22"/>
        </w:rPr>
        <w:t xml:space="preserve"> solution for injection supplied in</w:t>
      </w:r>
      <w:r w:rsidRPr="007A6F1C">
        <w:rPr>
          <w:rFonts w:ascii="Arial" w:hAnsi="Arial" w:cs="Arial"/>
          <w:sz w:val="22"/>
          <w:szCs w:val="22"/>
        </w:rPr>
        <w:t xml:space="preserve"> one s</w:t>
      </w:r>
      <w:r w:rsidR="003D4543" w:rsidRPr="007A6F1C">
        <w:rPr>
          <w:rFonts w:ascii="Arial" w:hAnsi="Arial" w:cs="Arial"/>
          <w:sz w:val="22"/>
          <w:szCs w:val="22"/>
        </w:rPr>
        <w:t xml:space="preserve">ingle dose </w:t>
      </w:r>
      <w:r w:rsidRPr="007A6F1C">
        <w:rPr>
          <w:rFonts w:ascii="Arial" w:hAnsi="Arial" w:cs="Arial"/>
          <w:sz w:val="22"/>
          <w:szCs w:val="22"/>
        </w:rPr>
        <w:t>glass vial</w:t>
      </w:r>
      <w:r w:rsidR="00092F55">
        <w:rPr>
          <w:rFonts w:ascii="Arial" w:hAnsi="Arial" w:cs="Arial"/>
          <w:sz w:val="22"/>
          <w:szCs w:val="22"/>
        </w:rPr>
        <w:t xml:space="preserve"> closed with a rubber stopper.  The vial is wrapped with an adhesive transparent film and stored</w:t>
      </w:r>
      <w:r w:rsidR="00BF74F6">
        <w:rPr>
          <w:rFonts w:ascii="Arial" w:hAnsi="Arial" w:cs="Arial"/>
          <w:sz w:val="22"/>
          <w:szCs w:val="22"/>
        </w:rPr>
        <w:t xml:space="preserve"> in a lead container.</w:t>
      </w:r>
      <w:r w:rsidR="00092F55">
        <w:rPr>
          <w:rFonts w:ascii="Arial" w:hAnsi="Arial" w:cs="Arial"/>
          <w:sz w:val="22"/>
          <w:szCs w:val="22"/>
        </w:rPr>
        <w:t xml:space="preserve"> </w:t>
      </w:r>
    </w:p>
    <w:p w:rsidR="00092F55" w:rsidRDefault="00092F55" w:rsidP="007E1D5F">
      <w:pPr>
        <w:pStyle w:val="BayerBodyTextFull"/>
        <w:spacing w:before="0" w:after="0"/>
        <w:jc w:val="both"/>
        <w:rPr>
          <w:rFonts w:ascii="Arial" w:hAnsi="Arial" w:cs="Arial"/>
          <w:sz w:val="22"/>
          <w:szCs w:val="22"/>
        </w:rPr>
      </w:pPr>
    </w:p>
    <w:p w:rsidR="00EC3F52" w:rsidRDefault="00092F55" w:rsidP="007E1D5F">
      <w:pPr>
        <w:pStyle w:val="BayerBodyTextFull"/>
        <w:spacing w:before="0" w:after="0"/>
        <w:jc w:val="both"/>
        <w:rPr>
          <w:rFonts w:ascii="Arial" w:hAnsi="Arial" w:cs="Arial"/>
        </w:rPr>
      </w:pPr>
      <w:r>
        <w:rPr>
          <w:rFonts w:ascii="Arial" w:hAnsi="Arial" w:cs="Arial"/>
          <w:sz w:val="22"/>
          <w:szCs w:val="22"/>
        </w:rPr>
        <w:lastRenderedPageBreak/>
        <w:t xml:space="preserve">Each vial </w:t>
      </w:r>
      <w:r w:rsidR="00BF74F6">
        <w:rPr>
          <w:rFonts w:ascii="Arial" w:hAnsi="Arial" w:cs="Arial"/>
          <w:sz w:val="22"/>
          <w:szCs w:val="22"/>
        </w:rPr>
        <w:t>contains</w:t>
      </w:r>
      <w:r w:rsidR="003D4543" w:rsidRPr="007A6F1C">
        <w:rPr>
          <w:rFonts w:ascii="Arial" w:hAnsi="Arial" w:cs="Arial"/>
          <w:sz w:val="22"/>
          <w:szCs w:val="22"/>
        </w:rPr>
        <w:t xml:space="preserve"> </w:t>
      </w:r>
      <w:r w:rsidR="005432AD" w:rsidRPr="007A6F1C">
        <w:rPr>
          <w:rFonts w:ascii="Arial" w:hAnsi="Arial" w:cs="Arial"/>
          <w:sz w:val="22"/>
          <w:szCs w:val="22"/>
        </w:rPr>
        <w:t>6 </w:t>
      </w:r>
      <w:r w:rsidR="003D4543" w:rsidRPr="007A6F1C">
        <w:rPr>
          <w:rFonts w:ascii="Arial" w:hAnsi="Arial" w:cs="Arial"/>
          <w:sz w:val="22"/>
          <w:szCs w:val="22"/>
        </w:rPr>
        <w:t xml:space="preserve">mL </w:t>
      </w:r>
      <w:r w:rsidR="008A6F7B">
        <w:rPr>
          <w:rFonts w:ascii="Arial" w:hAnsi="Arial" w:cs="Arial"/>
          <w:sz w:val="22"/>
          <w:szCs w:val="22"/>
        </w:rPr>
        <w:t>Ra</w:t>
      </w:r>
      <w:r w:rsidR="00792367">
        <w:rPr>
          <w:rFonts w:ascii="Arial" w:hAnsi="Arial" w:cs="Arial"/>
          <w:sz w:val="22"/>
          <w:szCs w:val="22"/>
        </w:rPr>
        <w:t>-</w:t>
      </w:r>
      <w:r w:rsidR="008A6F7B">
        <w:rPr>
          <w:rFonts w:ascii="Arial" w:hAnsi="Arial" w:cs="Arial"/>
          <w:sz w:val="22"/>
          <w:szCs w:val="22"/>
        </w:rPr>
        <w:t xml:space="preserve">223 </w:t>
      </w:r>
      <w:r w:rsidR="003D4543" w:rsidRPr="007A6F1C">
        <w:rPr>
          <w:rFonts w:ascii="Arial" w:hAnsi="Arial" w:cs="Arial"/>
          <w:sz w:val="22"/>
          <w:szCs w:val="22"/>
        </w:rPr>
        <w:t>solution</w:t>
      </w:r>
      <w:r w:rsidR="005432AD" w:rsidRPr="007A6F1C">
        <w:rPr>
          <w:rFonts w:ascii="Arial" w:hAnsi="Arial" w:cs="Arial"/>
          <w:sz w:val="22"/>
          <w:szCs w:val="22"/>
        </w:rPr>
        <w:t xml:space="preserve"> for injection</w:t>
      </w:r>
      <w:r w:rsidR="003D4543" w:rsidRPr="007A6F1C">
        <w:rPr>
          <w:rFonts w:ascii="Arial" w:hAnsi="Arial" w:cs="Arial"/>
          <w:sz w:val="22"/>
          <w:szCs w:val="22"/>
        </w:rPr>
        <w:t xml:space="preserve"> with a</w:t>
      </w:r>
      <w:r w:rsidR="00EC3F52">
        <w:rPr>
          <w:rFonts w:ascii="Arial" w:hAnsi="Arial" w:cs="Arial"/>
          <w:sz w:val="22"/>
          <w:szCs w:val="22"/>
        </w:rPr>
        <w:t>n activity</w:t>
      </w:r>
      <w:r w:rsidR="003D4543" w:rsidRPr="007A6F1C">
        <w:rPr>
          <w:rFonts w:ascii="Arial" w:hAnsi="Arial" w:cs="Arial"/>
          <w:sz w:val="22"/>
          <w:szCs w:val="22"/>
        </w:rPr>
        <w:t xml:space="preserve"> concentration</w:t>
      </w:r>
      <w:r w:rsidR="00817539" w:rsidRPr="007A6F1C">
        <w:rPr>
          <w:rFonts w:ascii="Arial" w:hAnsi="Arial" w:cs="Arial"/>
          <w:sz w:val="22"/>
          <w:szCs w:val="22"/>
        </w:rPr>
        <w:t xml:space="preserve"> </w:t>
      </w:r>
      <w:r w:rsidR="003D4543" w:rsidRPr="007A6F1C">
        <w:rPr>
          <w:rFonts w:ascii="Arial" w:hAnsi="Arial" w:cs="Arial"/>
          <w:sz w:val="22"/>
          <w:szCs w:val="22"/>
        </w:rPr>
        <w:t xml:space="preserve">of </w:t>
      </w:r>
      <w:r w:rsidR="005432AD" w:rsidRPr="007A6F1C">
        <w:rPr>
          <w:rFonts w:ascii="Arial" w:hAnsi="Arial" w:cs="Arial"/>
          <w:sz w:val="22"/>
          <w:szCs w:val="22"/>
          <w:lang w:eastAsia="en-AU"/>
        </w:rPr>
        <w:t>1000 </w:t>
      </w:r>
      <w:proofErr w:type="spellStart"/>
      <w:r w:rsidR="00817539" w:rsidRPr="007A6F1C">
        <w:rPr>
          <w:rFonts w:ascii="Arial" w:hAnsi="Arial" w:cs="Arial"/>
          <w:sz w:val="22"/>
          <w:szCs w:val="22"/>
          <w:lang w:eastAsia="en-AU"/>
        </w:rPr>
        <w:t>kBq</w:t>
      </w:r>
      <w:proofErr w:type="spellEnd"/>
      <w:r w:rsidR="00817539" w:rsidRPr="007A6F1C">
        <w:rPr>
          <w:rFonts w:ascii="Arial" w:hAnsi="Arial" w:cs="Arial"/>
          <w:sz w:val="22"/>
          <w:szCs w:val="22"/>
        </w:rPr>
        <w:t xml:space="preserve"> </w:t>
      </w:r>
      <w:r w:rsidR="003D4543" w:rsidRPr="007A6F1C">
        <w:rPr>
          <w:rFonts w:ascii="Arial" w:hAnsi="Arial" w:cs="Arial"/>
          <w:sz w:val="22"/>
          <w:szCs w:val="22"/>
        </w:rPr>
        <w:t>per mL</w:t>
      </w:r>
      <w:r w:rsidR="00EC3F52">
        <w:rPr>
          <w:rFonts w:ascii="Arial" w:hAnsi="Arial" w:cs="Arial"/>
          <w:sz w:val="22"/>
          <w:szCs w:val="22"/>
        </w:rPr>
        <w:t xml:space="preserve"> (corresponding to</w:t>
      </w:r>
      <w:r w:rsidR="003D4543" w:rsidRPr="007A6F1C">
        <w:rPr>
          <w:rFonts w:ascii="Arial" w:hAnsi="Arial" w:cs="Arial"/>
          <w:sz w:val="22"/>
          <w:szCs w:val="22"/>
        </w:rPr>
        <w:t xml:space="preserve"> a total activity of </w:t>
      </w:r>
      <w:r w:rsidR="00817539" w:rsidRPr="007A6F1C">
        <w:rPr>
          <w:rFonts w:ascii="Arial" w:hAnsi="Arial" w:cs="Arial"/>
          <w:sz w:val="22"/>
          <w:szCs w:val="22"/>
          <w:lang w:eastAsia="en-AU"/>
        </w:rPr>
        <w:t xml:space="preserve">6.0 </w:t>
      </w:r>
      <w:proofErr w:type="spellStart"/>
      <w:r w:rsidR="00817539" w:rsidRPr="007A6F1C">
        <w:rPr>
          <w:rFonts w:ascii="Arial" w:hAnsi="Arial" w:cs="Arial"/>
          <w:sz w:val="22"/>
          <w:szCs w:val="22"/>
          <w:lang w:eastAsia="en-AU"/>
        </w:rPr>
        <w:t>MBq</w:t>
      </w:r>
      <w:proofErr w:type="spellEnd"/>
      <w:r w:rsidR="00817539" w:rsidRPr="007A6F1C">
        <w:rPr>
          <w:rFonts w:ascii="Arial" w:hAnsi="Arial" w:cs="Arial"/>
          <w:sz w:val="22"/>
          <w:szCs w:val="22"/>
        </w:rPr>
        <w:t xml:space="preserve"> </w:t>
      </w:r>
      <w:r w:rsidR="003D4543" w:rsidRPr="007A6F1C">
        <w:rPr>
          <w:rFonts w:ascii="Arial" w:hAnsi="Arial" w:cs="Arial"/>
          <w:sz w:val="22"/>
          <w:szCs w:val="22"/>
        </w:rPr>
        <w:t>per vial</w:t>
      </w:r>
      <w:r w:rsidR="008A6F7B">
        <w:rPr>
          <w:rFonts w:ascii="Arial" w:hAnsi="Arial" w:cs="Arial"/>
          <w:sz w:val="22"/>
          <w:szCs w:val="22"/>
        </w:rPr>
        <w:t>)</w:t>
      </w:r>
      <w:r w:rsidR="00817539" w:rsidRPr="007A6F1C">
        <w:rPr>
          <w:rFonts w:ascii="Arial" w:hAnsi="Arial" w:cs="Arial"/>
          <w:sz w:val="22"/>
          <w:szCs w:val="22"/>
        </w:rPr>
        <w:t xml:space="preserve"> </w:t>
      </w:r>
      <w:r w:rsidR="003D4543" w:rsidRPr="007A6F1C">
        <w:rPr>
          <w:rFonts w:ascii="Arial" w:hAnsi="Arial" w:cs="Arial"/>
          <w:sz w:val="22"/>
          <w:szCs w:val="22"/>
        </w:rPr>
        <w:t xml:space="preserve">at </w:t>
      </w:r>
      <w:r w:rsidR="00817539" w:rsidRPr="007A6F1C">
        <w:rPr>
          <w:rFonts w:ascii="Arial" w:hAnsi="Arial" w:cs="Arial"/>
          <w:sz w:val="22"/>
          <w:szCs w:val="22"/>
        </w:rPr>
        <w:t>the reference</w:t>
      </w:r>
      <w:r w:rsidR="003D4543" w:rsidRPr="007A6F1C">
        <w:rPr>
          <w:rFonts w:ascii="Arial" w:hAnsi="Arial" w:cs="Arial"/>
          <w:sz w:val="22"/>
          <w:szCs w:val="22"/>
        </w:rPr>
        <w:t xml:space="preserve"> </w:t>
      </w:r>
      <w:r w:rsidR="005432AD" w:rsidRPr="007A6F1C">
        <w:rPr>
          <w:rFonts w:ascii="Arial" w:hAnsi="Arial" w:cs="Arial"/>
          <w:sz w:val="22"/>
          <w:szCs w:val="22"/>
        </w:rPr>
        <w:t>date.</w:t>
      </w:r>
      <w:r w:rsidR="007A6F1C">
        <w:rPr>
          <w:rFonts w:ascii="Arial" w:hAnsi="Arial" w:cs="Arial"/>
        </w:rPr>
        <w:t xml:space="preserve">  </w:t>
      </w:r>
    </w:p>
    <w:p w:rsidR="00092F55" w:rsidRDefault="00092F55" w:rsidP="007E1D5F">
      <w:pPr>
        <w:pStyle w:val="BayerBodyTextFull"/>
        <w:spacing w:before="0" w:after="0"/>
        <w:jc w:val="both"/>
        <w:rPr>
          <w:rFonts w:ascii="Arial" w:hAnsi="Arial" w:cs="Arial"/>
        </w:rPr>
      </w:pPr>
    </w:p>
    <w:p w:rsidR="007A6F1C" w:rsidRPr="00117961" w:rsidRDefault="00D551F0" w:rsidP="007E1D5F">
      <w:pPr>
        <w:pStyle w:val="BayerBodyTextFull"/>
        <w:spacing w:before="0" w:after="0"/>
        <w:jc w:val="both"/>
        <w:rPr>
          <w:rFonts w:ascii="Arial" w:hAnsi="Arial" w:cs="Arial"/>
          <w:sz w:val="22"/>
          <w:szCs w:val="22"/>
          <w:lang w:val="en-GB"/>
        </w:rPr>
      </w:pPr>
      <w:r w:rsidRPr="007E1D5F">
        <w:rPr>
          <w:rFonts w:ascii="Arial" w:hAnsi="Arial" w:cs="Arial"/>
          <w:caps/>
          <w:sz w:val="22"/>
          <w:szCs w:val="22"/>
          <w:lang w:val="en-GB"/>
        </w:rPr>
        <w:t>Xofigo</w:t>
      </w:r>
      <w:r>
        <w:rPr>
          <w:rFonts w:ascii="Arial" w:hAnsi="Arial" w:cs="Arial"/>
          <w:sz w:val="22"/>
          <w:szCs w:val="22"/>
          <w:lang w:val="en-GB"/>
        </w:rPr>
        <w:t xml:space="preserve"> </w:t>
      </w:r>
      <w:r w:rsidR="007A6F1C" w:rsidRPr="00117961">
        <w:rPr>
          <w:rFonts w:ascii="Arial" w:hAnsi="Arial" w:cs="Arial"/>
          <w:sz w:val="22"/>
          <w:szCs w:val="22"/>
          <w:lang w:val="en-GB"/>
        </w:rPr>
        <w:t>should not be used in case of discolo</w:t>
      </w:r>
      <w:r w:rsidR="007A6F1C">
        <w:rPr>
          <w:rFonts w:ascii="Arial" w:hAnsi="Arial" w:cs="Arial"/>
          <w:sz w:val="22"/>
          <w:szCs w:val="22"/>
          <w:lang w:val="en-GB"/>
        </w:rPr>
        <w:t>u</w:t>
      </w:r>
      <w:r w:rsidR="007A6F1C" w:rsidRPr="00117961">
        <w:rPr>
          <w:rFonts w:ascii="Arial" w:hAnsi="Arial" w:cs="Arial"/>
          <w:sz w:val="22"/>
          <w:szCs w:val="22"/>
          <w:lang w:val="en-GB"/>
        </w:rPr>
        <w:t>ration, the occurrence of particulate matter or a defective container</w:t>
      </w:r>
      <w:r w:rsidR="007A6F1C">
        <w:rPr>
          <w:rFonts w:ascii="Arial" w:hAnsi="Arial" w:cs="Arial"/>
          <w:sz w:val="22"/>
          <w:szCs w:val="22"/>
          <w:lang w:val="en-GB"/>
        </w:rPr>
        <w:t>.</w:t>
      </w:r>
    </w:p>
    <w:p w:rsidR="003D4543" w:rsidRDefault="003D4543" w:rsidP="007E1D5F">
      <w:pPr>
        <w:autoSpaceDE w:val="0"/>
        <w:autoSpaceDN w:val="0"/>
        <w:adjustRightInd w:val="0"/>
        <w:spacing w:after="0" w:line="240" w:lineRule="auto"/>
        <w:jc w:val="both"/>
        <w:rPr>
          <w:rFonts w:ascii="Arial" w:hAnsi="Arial" w:cs="Arial"/>
          <w:lang w:val="en-GB"/>
        </w:rPr>
      </w:pPr>
    </w:p>
    <w:p w:rsidR="00294E68" w:rsidRDefault="007E1D5F" w:rsidP="007E1D5F">
      <w:pPr>
        <w:autoSpaceDE w:val="0"/>
        <w:autoSpaceDN w:val="0"/>
        <w:adjustRightInd w:val="0"/>
        <w:spacing w:after="0" w:line="240" w:lineRule="auto"/>
        <w:jc w:val="both"/>
        <w:rPr>
          <w:rFonts w:ascii="Arial" w:hAnsi="Arial" w:cs="Arial"/>
          <w:lang w:val="en-GB"/>
        </w:rPr>
      </w:pPr>
      <w:r>
        <w:rPr>
          <w:rFonts w:ascii="Arial" w:hAnsi="Arial" w:cs="Arial"/>
          <w:lang w:val="en-GB"/>
        </w:rPr>
        <w:t xml:space="preserve">Store below 40ºC.  </w:t>
      </w:r>
      <w:r w:rsidR="00294E68" w:rsidRPr="00294E68">
        <w:rPr>
          <w:rFonts w:ascii="Arial" w:hAnsi="Arial" w:cs="Arial"/>
          <w:lang w:val="en-GB"/>
        </w:rPr>
        <w:t>Storage should be in accordance with national regulation</w:t>
      </w:r>
      <w:r w:rsidR="00294E68">
        <w:rPr>
          <w:rFonts w:ascii="Arial" w:hAnsi="Arial" w:cs="Arial"/>
          <w:lang w:val="en-GB"/>
        </w:rPr>
        <w:t>s</w:t>
      </w:r>
      <w:r w:rsidR="00294E68" w:rsidRPr="00294E68">
        <w:rPr>
          <w:rFonts w:ascii="Arial" w:hAnsi="Arial" w:cs="Arial"/>
          <w:lang w:val="en-GB"/>
        </w:rPr>
        <w:t xml:space="preserve"> on radioactive materials.</w:t>
      </w:r>
      <w:r w:rsidR="00294E68">
        <w:rPr>
          <w:rFonts w:ascii="Arial" w:hAnsi="Arial" w:cs="Arial"/>
          <w:lang w:val="en-GB"/>
        </w:rPr>
        <w:t xml:space="preserve">  </w:t>
      </w:r>
    </w:p>
    <w:p w:rsidR="00B2055B" w:rsidRDefault="00B2055B" w:rsidP="00817539">
      <w:pPr>
        <w:autoSpaceDE w:val="0"/>
        <w:autoSpaceDN w:val="0"/>
        <w:adjustRightInd w:val="0"/>
        <w:spacing w:after="0" w:line="240" w:lineRule="auto"/>
        <w:rPr>
          <w:rFonts w:ascii="Arial" w:hAnsi="Arial" w:cs="Arial"/>
          <w:lang w:val="en-GB"/>
        </w:rPr>
      </w:pPr>
    </w:p>
    <w:p w:rsidR="00B2055B" w:rsidRDefault="00B2055B" w:rsidP="00817539">
      <w:pPr>
        <w:autoSpaceDE w:val="0"/>
        <w:autoSpaceDN w:val="0"/>
        <w:adjustRightInd w:val="0"/>
        <w:spacing w:after="0" w:line="240" w:lineRule="auto"/>
        <w:rPr>
          <w:rFonts w:ascii="Arial" w:hAnsi="Arial" w:cs="Arial"/>
          <w:lang w:val="en-GB"/>
        </w:rPr>
      </w:pPr>
    </w:p>
    <w:p w:rsidR="00B2055B" w:rsidRDefault="00B2055B" w:rsidP="002154B2">
      <w:pPr>
        <w:pStyle w:val="PIHeading1"/>
        <w:keepNext/>
        <w:keepLines/>
        <w:outlineLvl w:val="0"/>
        <w:rPr>
          <w:lang w:val="en-GB"/>
        </w:rPr>
      </w:pPr>
      <w:r>
        <w:rPr>
          <w:lang w:val="en-GB"/>
        </w:rPr>
        <w:t>NAME AND ADDRESS OF THE SPONSOR</w:t>
      </w:r>
    </w:p>
    <w:p w:rsidR="00B2055B" w:rsidRDefault="00B2055B" w:rsidP="002154B2">
      <w:pPr>
        <w:keepNext/>
        <w:keepLines/>
        <w:autoSpaceDE w:val="0"/>
        <w:autoSpaceDN w:val="0"/>
        <w:adjustRightInd w:val="0"/>
        <w:spacing w:after="0" w:line="240" w:lineRule="auto"/>
        <w:rPr>
          <w:rFonts w:ascii="Arial" w:hAnsi="Arial" w:cs="Arial"/>
          <w:lang w:val="en-GB"/>
        </w:rPr>
      </w:pPr>
    </w:p>
    <w:p w:rsidR="00B2055B" w:rsidRPr="00B2055B" w:rsidRDefault="00B2055B" w:rsidP="002154B2">
      <w:pPr>
        <w:keepNext/>
        <w:keepLines/>
        <w:autoSpaceDE w:val="0"/>
        <w:autoSpaceDN w:val="0"/>
        <w:adjustRightInd w:val="0"/>
        <w:spacing w:after="0" w:line="240" w:lineRule="auto"/>
        <w:rPr>
          <w:rFonts w:ascii="Arial" w:hAnsi="Arial" w:cs="Arial"/>
          <w:lang w:val="en-US"/>
        </w:rPr>
      </w:pPr>
      <w:r>
        <w:rPr>
          <w:rFonts w:ascii="Arial" w:hAnsi="Arial" w:cs="Arial"/>
          <w:lang w:val="en-US"/>
        </w:rPr>
        <w:t>Bayer Australia Ltd</w:t>
      </w:r>
    </w:p>
    <w:p w:rsidR="00B2055B" w:rsidRPr="00B2055B" w:rsidRDefault="00B2055B" w:rsidP="002154B2">
      <w:pPr>
        <w:keepNext/>
        <w:keepLines/>
        <w:autoSpaceDE w:val="0"/>
        <w:autoSpaceDN w:val="0"/>
        <w:adjustRightInd w:val="0"/>
        <w:spacing w:after="0" w:line="240" w:lineRule="auto"/>
        <w:rPr>
          <w:rFonts w:ascii="Arial" w:hAnsi="Arial" w:cs="Arial"/>
          <w:lang w:val="en-US"/>
        </w:rPr>
      </w:pPr>
      <w:r w:rsidRPr="00B2055B">
        <w:rPr>
          <w:rFonts w:ascii="Arial" w:hAnsi="Arial" w:cs="Arial"/>
          <w:lang w:val="en-US"/>
        </w:rPr>
        <w:t>ABN 22 000 138 714</w:t>
      </w:r>
    </w:p>
    <w:p w:rsidR="00B2055B" w:rsidRPr="00B2055B" w:rsidRDefault="00B2055B" w:rsidP="002154B2">
      <w:pPr>
        <w:keepNext/>
        <w:keepLines/>
        <w:autoSpaceDE w:val="0"/>
        <w:autoSpaceDN w:val="0"/>
        <w:adjustRightInd w:val="0"/>
        <w:spacing w:after="0" w:line="240" w:lineRule="auto"/>
        <w:rPr>
          <w:rFonts w:ascii="Arial" w:hAnsi="Arial" w:cs="Arial"/>
          <w:lang w:val="en-US"/>
        </w:rPr>
      </w:pPr>
      <w:r w:rsidRPr="00B2055B">
        <w:rPr>
          <w:rFonts w:ascii="Arial" w:hAnsi="Arial" w:cs="Arial"/>
          <w:lang w:val="en-US"/>
        </w:rPr>
        <w:t>875 Pacific Highway</w:t>
      </w:r>
    </w:p>
    <w:p w:rsidR="00B2055B" w:rsidRPr="00B2055B" w:rsidRDefault="00B2055B" w:rsidP="00EC07A4">
      <w:pPr>
        <w:autoSpaceDE w:val="0"/>
        <w:autoSpaceDN w:val="0"/>
        <w:adjustRightInd w:val="0"/>
        <w:spacing w:after="0" w:line="240" w:lineRule="auto"/>
        <w:rPr>
          <w:rFonts w:ascii="Arial" w:hAnsi="Arial" w:cs="Arial"/>
          <w:lang w:val="en-US"/>
        </w:rPr>
      </w:pPr>
      <w:r w:rsidRPr="00B2055B">
        <w:rPr>
          <w:rFonts w:ascii="Arial" w:hAnsi="Arial" w:cs="Arial"/>
          <w:lang w:val="en-US"/>
        </w:rPr>
        <w:t>PYMBLE NSW 2073</w:t>
      </w:r>
    </w:p>
    <w:p w:rsidR="00B2055B" w:rsidRDefault="00B2055B" w:rsidP="00817539">
      <w:pPr>
        <w:autoSpaceDE w:val="0"/>
        <w:autoSpaceDN w:val="0"/>
        <w:adjustRightInd w:val="0"/>
        <w:spacing w:after="0" w:line="240" w:lineRule="auto"/>
        <w:rPr>
          <w:rFonts w:ascii="Arial" w:hAnsi="Arial" w:cs="Arial"/>
          <w:lang w:val="en-GB"/>
        </w:rPr>
      </w:pPr>
    </w:p>
    <w:p w:rsidR="00911F59" w:rsidRDefault="00911F59" w:rsidP="00817539">
      <w:pPr>
        <w:autoSpaceDE w:val="0"/>
        <w:autoSpaceDN w:val="0"/>
        <w:adjustRightInd w:val="0"/>
        <w:spacing w:after="0" w:line="240" w:lineRule="auto"/>
        <w:rPr>
          <w:rFonts w:ascii="Arial" w:hAnsi="Arial" w:cs="Arial"/>
          <w:lang w:val="en-GB"/>
        </w:rPr>
      </w:pPr>
    </w:p>
    <w:p w:rsidR="00911F59" w:rsidRPr="002352CB" w:rsidRDefault="00911F59" w:rsidP="002352CB">
      <w:pPr>
        <w:pStyle w:val="PIHeading1"/>
        <w:keepNext/>
        <w:outlineLvl w:val="0"/>
        <w:rPr>
          <w:lang w:val="en-GB"/>
        </w:rPr>
      </w:pPr>
      <w:r w:rsidRPr="002352CB">
        <w:rPr>
          <w:lang w:val="en-GB"/>
        </w:rPr>
        <w:t>POISON SCHEDULE OF THE MEDICINE</w:t>
      </w:r>
    </w:p>
    <w:p w:rsidR="00911F59" w:rsidRPr="00911F59" w:rsidRDefault="00911F59" w:rsidP="009E37B3">
      <w:pPr>
        <w:keepNext/>
        <w:autoSpaceDE w:val="0"/>
        <w:autoSpaceDN w:val="0"/>
        <w:adjustRightInd w:val="0"/>
        <w:spacing w:after="0" w:line="240" w:lineRule="auto"/>
        <w:rPr>
          <w:rFonts w:ascii="Arial" w:hAnsi="Arial" w:cs="Arial"/>
          <w:lang w:val="en-GB"/>
        </w:rPr>
      </w:pPr>
    </w:p>
    <w:p w:rsidR="00911F59" w:rsidRDefault="00911F59" w:rsidP="00817539">
      <w:pPr>
        <w:autoSpaceDE w:val="0"/>
        <w:autoSpaceDN w:val="0"/>
        <w:adjustRightInd w:val="0"/>
        <w:spacing w:after="0" w:line="240" w:lineRule="auto"/>
        <w:rPr>
          <w:rFonts w:ascii="Arial" w:hAnsi="Arial" w:cs="Arial"/>
          <w:lang w:val="en-GB"/>
        </w:rPr>
      </w:pPr>
      <w:r>
        <w:rPr>
          <w:rFonts w:ascii="Arial" w:hAnsi="Arial" w:cs="Arial"/>
          <w:lang w:val="en-GB"/>
        </w:rPr>
        <w:t>Unscheduled</w:t>
      </w:r>
    </w:p>
    <w:p w:rsidR="00911F59" w:rsidRDefault="00911F59" w:rsidP="00817539">
      <w:pPr>
        <w:autoSpaceDE w:val="0"/>
        <w:autoSpaceDN w:val="0"/>
        <w:adjustRightInd w:val="0"/>
        <w:spacing w:after="0" w:line="240" w:lineRule="auto"/>
        <w:rPr>
          <w:rFonts w:ascii="Arial" w:hAnsi="Arial" w:cs="Arial"/>
          <w:lang w:val="en-GB"/>
        </w:rPr>
      </w:pPr>
    </w:p>
    <w:p w:rsidR="00911F59" w:rsidRDefault="00911F59" w:rsidP="00817539">
      <w:pPr>
        <w:autoSpaceDE w:val="0"/>
        <w:autoSpaceDN w:val="0"/>
        <w:adjustRightInd w:val="0"/>
        <w:spacing w:after="0" w:line="240" w:lineRule="auto"/>
        <w:rPr>
          <w:rFonts w:ascii="Arial" w:hAnsi="Arial" w:cs="Arial"/>
          <w:lang w:val="en-GB"/>
        </w:rPr>
      </w:pPr>
    </w:p>
    <w:p w:rsidR="00911F59" w:rsidRDefault="00911F59" w:rsidP="002352CB">
      <w:pPr>
        <w:pStyle w:val="PIHeading1"/>
        <w:keepNext/>
        <w:outlineLvl w:val="0"/>
        <w:rPr>
          <w:lang w:val="en-GB"/>
        </w:rPr>
      </w:pPr>
      <w:r>
        <w:rPr>
          <w:lang w:val="en-GB"/>
        </w:rPr>
        <w:t>DATE OF FIRST INCLUSION IN THE ARTG</w:t>
      </w:r>
    </w:p>
    <w:p w:rsidR="00911F59" w:rsidRDefault="00911F59" w:rsidP="00817539">
      <w:pPr>
        <w:autoSpaceDE w:val="0"/>
        <w:autoSpaceDN w:val="0"/>
        <w:adjustRightInd w:val="0"/>
        <w:spacing w:after="0" w:line="240" w:lineRule="auto"/>
        <w:rPr>
          <w:rFonts w:ascii="Arial" w:hAnsi="Arial" w:cs="Arial"/>
          <w:lang w:val="en-GB"/>
        </w:rPr>
      </w:pPr>
    </w:p>
    <w:p w:rsidR="00911F59" w:rsidRDefault="001B35F1" w:rsidP="00817539">
      <w:pPr>
        <w:autoSpaceDE w:val="0"/>
        <w:autoSpaceDN w:val="0"/>
        <w:adjustRightInd w:val="0"/>
        <w:spacing w:after="0" w:line="240" w:lineRule="auto"/>
        <w:rPr>
          <w:rFonts w:ascii="Arial" w:hAnsi="Arial" w:cs="Arial"/>
          <w:lang w:val="en-GB"/>
        </w:rPr>
      </w:pPr>
      <w:r>
        <w:rPr>
          <w:rFonts w:ascii="Arial" w:hAnsi="Arial" w:cs="Arial"/>
          <w:lang w:val="en-GB"/>
        </w:rPr>
        <w:t>20 May 2014</w:t>
      </w:r>
    </w:p>
    <w:p w:rsidR="00911F59" w:rsidRDefault="00911F59" w:rsidP="00817539">
      <w:pPr>
        <w:autoSpaceDE w:val="0"/>
        <w:autoSpaceDN w:val="0"/>
        <w:adjustRightInd w:val="0"/>
        <w:spacing w:after="0" w:line="240" w:lineRule="auto"/>
        <w:rPr>
          <w:rFonts w:ascii="Arial" w:hAnsi="Arial" w:cs="Arial"/>
          <w:lang w:val="en-GB"/>
        </w:rPr>
      </w:pPr>
    </w:p>
    <w:p w:rsidR="00911F59" w:rsidRPr="00911F59" w:rsidRDefault="00911F59" w:rsidP="00911F59">
      <w:pPr>
        <w:ind w:right="46"/>
        <w:rPr>
          <w:rFonts w:ascii="Arial" w:hAnsi="Arial" w:cs="Arial"/>
        </w:rPr>
      </w:pPr>
      <w:r w:rsidRPr="00BB0856">
        <w:rPr>
          <w:rFonts w:ascii="Arial" w:hAnsi="Arial" w:cs="Arial"/>
          <w:vertAlign w:val="superscript"/>
        </w:rPr>
        <w:t>®</w:t>
      </w:r>
      <w:r>
        <w:rPr>
          <w:rFonts w:ascii="Arial" w:hAnsi="Arial" w:cs="Arial"/>
          <w:vertAlign w:val="superscript"/>
        </w:rPr>
        <w:t xml:space="preserve"> </w:t>
      </w:r>
      <w:r w:rsidRPr="00BB0856">
        <w:rPr>
          <w:rFonts w:ascii="Arial" w:hAnsi="Arial" w:cs="Arial"/>
        </w:rPr>
        <w:t xml:space="preserve">Registered Trademark of </w:t>
      </w:r>
      <w:r w:rsidR="007154BF">
        <w:rPr>
          <w:rFonts w:ascii="Arial" w:hAnsi="Arial" w:cs="Arial"/>
        </w:rPr>
        <w:t xml:space="preserve">the </w:t>
      </w:r>
      <w:r w:rsidRPr="00BB0856">
        <w:rPr>
          <w:rFonts w:ascii="Arial" w:hAnsi="Arial" w:cs="Arial"/>
        </w:rPr>
        <w:t>Bayer</w:t>
      </w:r>
      <w:bookmarkStart w:id="7" w:name="_PictureBullets"/>
      <w:bookmarkEnd w:id="7"/>
      <w:r w:rsidR="007154BF">
        <w:rPr>
          <w:rFonts w:ascii="Arial" w:hAnsi="Arial" w:cs="Arial"/>
        </w:rPr>
        <w:t xml:space="preserve"> Group, Germany</w:t>
      </w:r>
    </w:p>
    <w:sectPr w:rsidR="00911F59" w:rsidRPr="00911F59" w:rsidSect="00F43776">
      <w:headerReference w:type="default" r:id="rId18"/>
      <w:footerReference w:type="default" r:id="rId19"/>
      <w:pgSz w:w="11906" w:h="16838" w:code="9"/>
      <w:pgMar w:top="1135" w:right="1440" w:bottom="993"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D70" w:rsidRDefault="00B57D70" w:rsidP="00462DEB">
      <w:pPr>
        <w:spacing w:after="0" w:line="240" w:lineRule="auto"/>
      </w:pPr>
      <w:r>
        <w:separator/>
      </w:r>
    </w:p>
  </w:endnote>
  <w:endnote w:type="continuationSeparator" w:id="0">
    <w:p w:rsidR="00B57D70" w:rsidRDefault="00B57D70" w:rsidP="0046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5B" w:rsidRPr="00786569" w:rsidRDefault="0088685E" w:rsidP="00786569">
    <w:pPr>
      <w:pStyle w:val="Footer"/>
      <w:pBdr>
        <w:top w:val="single" w:sz="4" w:space="3" w:color="auto"/>
      </w:pBdr>
      <w:spacing w:after="0" w:line="240" w:lineRule="auto"/>
      <w:rPr>
        <w:rFonts w:ascii="Arial" w:hAnsi="Arial" w:cs="Arial"/>
        <w:sz w:val="20"/>
        <w:szCs w:val="20"/>
      </w:rPr>
    </w:pPr>
    <w:r>
      <w:rPr>
        <w:rFonts w:ascii="Arial" w:hAnsi="Arial" w:cs="Arial"/>
        <w:sz w:val="20"/>
        <w:szCs w:val="20"/>
      </w:rPr>
      <w:t>1405</w:t>
    </w:r>
    <w:r w:rsidR="001B35F1">
      <w:rPr>
        <w:rFonts w:ascii="Arial" w:hAnsi="Arial" w:cs="Arial"/>
        <w:sz w:val="20"/>
        <w:szCs w:val="20"/>
      </w:rPr>
      <w:t>20</w:t>
    </w:r>
    <w:r>
      <w:rPr>
        <w:rFonts w:ascii="Arial" w:hAnsi="Arial" w:cs="Arial"/>
        <w:sz w:val="20"/>
        <w:szCs w:val="20"/>
      </w:rPr>
      <w:t xml:space="preserve"> </w:t>
    </w:r>
    <w:r w:rsidR="007E1D5F">
      <w:rPr>
        <w:rFonts w:ascii="Arial" w:hAnsi="Arial" w:cs="Arial"/>
        <w:sz w:val="20"/>
        <w:szCs w:val="20"/>
      </w:rPr>
      <w:t>XOFIGO PI</w:t>
    </w:r>
    <w:r w:rsidR="00B2055B" w:rsidRPr="00786569">
      <w:rPr>
        <w:rFonts w:ascii="Arial" w:hAnsi="Arial" w:cs="Arial"/>
        <w:sz w:val="20"/>
        <w:szCs w:val="20"/>
      </w:rPr>
      <w:tab/>
    </w:r>
    <w:r w:rsidR="00B2055B" w:rsidRPr="00786569">
      <w:rPr>
        <w:rFonts w:ascii="Arial" w:hAnsi="Arial" w:cs="Arial"/>
        <w:sz w:val="20"/>
        <w:szCs w:val="20"/>
      </w:rPr>
      <w:tab/>
    </w:r>
    <w:r w:rsidR="00B2055B" w:rsidRPr="00786569">
      <w:rPr>
        <w:rFonts w:ascii="Arial" w:hAnsi="Arial" w:cs="Arial"/>
        <w:sz w:val="20"/>
        <w:szCs w:val="20"/>
      </w:rPr>
      <w:fldChar w:fldCharType="begin"/>
    </w:r>
    <w:r w:rsidR="00B2055B" w:rsidRPr="00786569">
      <w:rPr>
        <w:rFonts w:ascii="Arial" w:hAnsi="Arial" w:cs="Arial"/>
        <w:sz w:val="20"/>
        <w:szCs w:val="20"/>
      </w:rPr>
      <w:instrText xml:space="preserve"> PAGE   \* MERGEFORMAT </w:instrText>
    </w:r>
    <w:r w:rsidR="00B2055B" w:rsidRPr="00786569">
      <w:rPr>
        <w:rFonts w:ascii="Arial" w:hAnsi="Arial" w:cs="Arial"/>
        <w:sz w:val="20"/>
        <w:szCs w:val="20"/>
      </w:rPr>
      <w:fldChar w:fldCharType="separate"/>
    </w:r>
    <w:r w:rsidR="00AA22C7">
      <w:rPr>
        <w:rFonts w:ascii="Arial" w:hAnsi="Arial" w:cs="Arial"/>
        <w:noProof/>
        <w:sz w:val="20"/>
        <w:szCs w:val="20"/>
      </w:rPr>
      <w:t>2</w:t>
    </w:r>
    <w:r w:rsidR="00B2055B" w:rsidRPr="00786569">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D70" w:rsidRDefault="00B57D70" w:rsidP="00462DEB">
      <w:pPr>
        <w:spacing w:after="0" w:line="240" w:lineRule="auto"/>
      </w:pPr>
      <w:r>
        <w:separator/>
      </w:r>
    </w:p>
  </w:footnote>
  <w:footnote w:type="continuationSeparator" w:id="0">
    <w:p w:rsidR="00B57D70" w:rsidRDefault="00B57D70" w:rsidP="00462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firstRow="1" w:lastRow="0" w:firstColumn="1" w:lastColumn="0" w:noHBand="0" w:noVBand="1"/>
    </w:tblPr>
    <w:tblGrid>
      <w:gridCol w:w="8720"/>
    </w:tblGrid>
    <w:tr w:rsidR="00CD36D0" w:rsidTr="00B57D70">
      <w:tc>
        <w:tcPr>
          <w:tcW w:w="8720" w:type="dxa"/>
          <w:shd w:val="clear" w:color="auto" w:fill="E4F2E0"/>
        </w:tcPr>
        <w:p w:rsidR="00CD36D0" w:rsidRPr="00B57D70" w:rsidRDefault="00CD36D0" w:rsidP="00B57D70">
          <w:pPr>
            <w:spacing w:before="40" w:after="40"/>
            <w:rPr>
              <w:rFonts w:ascii="Cambria" w:eastAsia="Meiryo" w:hAnsi="Cambria" w:cs="Meiryo"/>
              <w:b/>
              <w:sz w:val="20"/>
              <w:szCs w:val="20"/>
            </w:rPr>
          </w:pPr>
          <w:r w:rsidRPr="00B57D70">
            <w:rPr>
              <w:rFonts w:ascii="Cambria" w:eastAsia="Meiryo" w:hAnsi="Cambria" w:cs="Meiryo"/>
              <w:b/>
              <w:sz w:val="20"/>
              <w:szCs w:val="20"/>
            </w:rPr>
            <w:t xml:space="preserve">Attachment 1: Product information for </w:t>
          </w:r>
          <w:proofErr w:type="spellStart"/>
          <w:r w:rsidRPr="00B57D70">
            <w:rPr>
              <w:rFonts w:ascii="Cambria" w:eastAsia="Meiryo" w:hAnsi="Cambria" w:cs="Meiryo"/>
              <w:b/>
              <w:sz w:val="20"/>
              <w:szCs w:val="20"/>
            </w:rPr>
            <w:t>AusPAR</w:t>
          </w:r>
          <w:proofErr w:type="spellEnd"/>
          <w:r w:rsidRPr="00B57D70">
            <w:rPr>
              <w:rFonts w:ascii="Cambria" w:eastAsia="Meiryo" w:hAnsi="Cambria" w:cs="Meiryo"/>
              <w:b/>
              <w:sz w:val="20"/>
              <w:szCs w:val="20"/>
            </w:rPr>
            <w:t xml:space="preserve"> </w:t>
          </w:r>
          <w:proofErr w:type="spellStart"/>
          <w:r w:rsidR="005F48B2" w:rsidRPr="005F48B2">
            <w:rPr>
              <w:rFonts w:ascii="Cambria" w:eastAsia="Meiryo" w:hAnsi="Cambria" w:cs="Meiryo"/>
              <w:b/>
              <w:sz w:val="20"/>
              <w:szCs w:val="20"/>
            </w:rPr>
            <w:t>Xofigo</w:t>
          </w:r>
          <w:proofErr w:type="spellEnd"/>
          <w:r w:rsidR="005F48B2" w:rsidRPr="005F48B2">
            <w:rPr>
              <w:rFonts w:ascii="Cambria" w:eastAsia="Meiryo" w:hAnsi="Cambria" w:cs="Meiryo"/>
              <w:b/>
              <w:sz w:val="20"/>
              <w:szCs w:val="20"/>
            </w:rPr>
            <w:t xml:space="preserve"> radium (223Ra) dichloride Bayer</w:t>
          </w:r>
          <w:r w:rsidRPr="00B57D70">
            <w:rPr>
              <w:rFonts w:ascii="Cambria" w:eastAsia="Meiryo" w:hAnsi="Cambria" w:cs="Meiryo"/>
              <w:b/>
              <w:sz w:val="20"/>
              <w:szCs w:val="20"/>
            </w:rPr>
            <w:t xml:space="preserve"> Australia Ltd PM-2013-00738-1-2 Final 10 July 2014. This Product Information was approved at the time this </w:t>
          </w:r>
          <w:proofErr w:type="spellStart"/>
          <w:r w:rsidRPr="00B57D70">
            <w:rPr>
              <w:rFonts w:ascii="Cambria" w:eastAsia="Meiryo" w:hAnsi="Cambria" w:cs="Meiryo"/>
              <w:b/>
              <w:sz w:val="20"/>
              <w:szCs w:val="20"/>
            </w:rPr>
            <w:t>AusPAR</w:t>
          </w:r>
          <w:proofErr w:type="spellEnd"/>
          <w:r w:rsidRPr="00B57D70">
            <w:rPr>
              <w:rFonts w:ascii="Cambria" w:eastAsia="Meiryo" w:hAnsi="Cambria" w:cs="Meiryo"/>
              <w:b/>
              <w:sz w:val="20"/>
              <w:szCs w:val="20"/>
            </w:rPr>
            <w:t xml:space="preserve"> was published.</w:t>
          </w:r>
        </w:p>
      </w:tc>
    </w:tr>
  </w:tbl>
  <w:p w:rsidR="00CD36D0" w:rsidRDefault="00CD36D0" w:rsidP="00CD36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2890"/>
    <w:multiLevelType w:val="hybridMultilevel"/>
    <w:tmpl w:val="4AF6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EC25D1"/>
    <w:multiLevelType w:val="hybridMultilevel"/>
    <w:tmpl w:val="F0C43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FD0AF3"/>
    <w:multiLevelType w:val="hybridMultilevel"/>
    <w:tmpl w:val="98BE3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9E72FC2"/>
    <w:multiLevelType w:val="hybridMultilevel"/>
    <w:tmpl w:val="9DDA21EA"/>
    <w:lvl w:ilvl="0" w:tplc="2AD4677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E7448EC"/>
    <w:multiLevelType w:val="hybridMultilevel"/>
    <w:tmpl w:val="2982C854"/>
    <w:lvl w:ilvl="0" w:tplc="650631AE">
      <w:start w:val="1"/>
      <w:numFmt w:val="decimal"/>
      <w:pStyle w:val="TableNotes"/>
      <w:lvlText w:val="%1."/>
      <w:lvlJc w:val="left"/>
      <w:pPr>
        <w:ind w:left="720" w:hanging="360"/>
      </w:pPr>
    </w:lvl>
    <w:lvl w:ilvl="1" w:tplc="325EC058">
      <w:start w:val="1"/>
      <w:numFmt w:val="lowerLetter"/>
      <w:lvlText w:val="%2."/>
      <w:lvlJc w:val="left"/>
      <w:pPr>
        <w:ind w:left="1440" w:hanging="360"/>
      </w:pPr>
    </w:lvl>
    <w:lvl w:ilvl="2" w:tplc="87A4010C">
      <w:start w:val="1"/>
      <w:numFmt w:val="lowerRoman"/>
      <w:lvlText w:val="%3."/>
      <w:lvlJc w:val="right"/>
      <w:pPr>
        <w:ind w:left="2160" w:hanging="180"/>
      </w:pPr>
    </w:lvl>
    <w:lvl w:ilvl="3" w:tplc="9B9EABDE">
      <w:start w:val="1"/>
      <w:numFmt w:val="decimal"/>
      <w:lvlText w:val="%4."/>
      <w:lvlJc w:val="left"/>
      <w:pPr>
        <w:ind w:left="2880" w:hanging="360"/>
      </w:pPr>
    </w:lvl>
    <w:lvl w:ilvl="4" w:tplc="1402F290">
      <w:start w:val="1"/>
      <w:numFmt w:val="lowerLetter"/>
      <w:lvlText w:val="%5."/>
      <w:lvlJc w:val="left"/>
      <w:pPr>
        <w:ind w:left="3600" w:hanging="360"/>
      </w:pPr>
    </w:lvl>
    <w:lvl w:ilvl="5" w:tplc="034CF144">
      <w:start w:val="1"/>
      <w:numFmt w:val="lowerRoman"/>
      <w:lvlText w:val="%6."/>
      <w:lvlJc w:val="right"/>
      <w:pPr>
        <w:ind w:left="4320" w:hanging="180"/>
      </w:pPr>
    </w:lvl>
    <w:lvl w:ilvl="6" w:tplc="434C2484">
      <w:start w:val="1"/>
      <w:numFmt w:val="decimal"/>
      <w:lvlText w:val="%7."/>
      <w:lvlJc w:val="left"/>
      <w:pPr>
        <w:ind w:left="5040" w:hanging="360"/>
      </w:pPr>
    </w:lvl>
    <w:lvl w:ilvl="7" w:tplc="546C4CAC">
      <w:start w:val="1"/>
      <w:numFmt w:val="lowerLetter"/>
      <w:lvlText w:val="%8."/>
      <w:lvlJc w:val="left"/>
      <w:pPr>
        <w:ind w:left="5760" w:hanging="360"/>
      </w:pPr>
    </w:lvl>
    <w:lvl w:ilvl="8" w:tplc="DF648158">
      <w:start w:val="1"/>
      <w:numFmt w:val="lowerRoman"/>
      <w:lvlText w:val="%9."/>
      <w:lvlJc w:val="right"/>
      <w:pPr>
        <w:ind w:left="6480" w:hanging="180"/>
      </w:pPr>
    </w:lvl>
  </w:abstractNum>
  <w:abstractNum w:abstractNumId="5">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40A652D5"/>
    <w:multiLevelType w:val="hybridMultilevel"/>
    <w:tmpl w:val="91B07D70"/>
    <w:lvl w:ilvl="0" w:tplc="891A09C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AE83037"/>
    <w:multiLevelType w:val="multilevel"/>
    <w:tmpl w:val="FDA400E6"/>
    <w:lvl w:ilvl="0">
      <w:start w:val="1"/>
      <w:numFmt w:val="decimal"/>
      <w:pStyle w:val="Heading1"/>
      <w:lvlText w:val="%1."/>
      <w:lvlJc w:val="left"/>
      <w:pPr>
        <w:tabs>
          <w:tab w:val="num" w:pos="0"/>
        </w:tabs>
        <w:ind w:left="1134" w:hanging="1134"/>
      </w:pPr>
      <w:rPr>
        <w:rFonts w:hint="default"/>
        <w:b/>
        <w:sz w:val="28"/>
      </w:rPr>
    </w:lvl>
    <w:lvl w:ilvl="1">
      <w:start w:val="1"/>
      <w:numFmt w:val="decimal"/>
      <w:pStyle w:val="Heading2"/>
      <w:lvlText w:val="%1.%2"/>
      <w:lvlJc w:val="left"/>
      <w:pPr>
        <w:tabs>
          <w:tab w:val="num" w:pos="0"/>
        </w:tabs>
        <w:ind w:left="1134" w:hanging="1134"/>
      </w:pPr>
      <w:rPr>
        <w:rFonts w:hint="default"/>
        <w:b/>
      </w:rPr>
    </w:lvl>
    <w:lvl w:ilvl="2">
      <w:start w:val="1"/>
      <w:numFmt w:val="decimal"/>
      <w:pStyle w:val="Heading3"/>
      <w:lvlText w:val="%1.%2.%3"/>
      <w:lvlJc w:val="left"/>
      <w:pPr>
        <w:tabs>
          <w:tab w:val="num" w:pos="0"/>
        </w:tabs>
        <w:ind w:left="1134" w:hanging="1134"/>
      </w:pPr>
      <w:rPr>
        <w:rFonts w:hint="default"/>
        <w:b/>
      </w:rPr>
    </w:lvl>
    <w:lvl w:ilvl="3">
      <w:start w:val="1"/>
      <w:numFmt w:val="decimal"/>
      <w:pStyle w:val="Heading4"/>
      <w:lvlText w:val="%1.%2.%3.%4"/>
      <w:lvlJc w:val="left"/>
      <w:pPr>
        <w:tabs>
          <w:tab w:val="num" w:pos="0"/>
        </w:tabs>
        <w:ind w:left="1134" w:hanging="1134"/>
      </w:pPr>
      <w:rPr>
        <w:rFonts w:hint="default"/>
      </w:rPr>
    </w:lvl>
    <w:lvl w:ilvl="4">
      <w:start w:val="1"/>
      <w:numFmt w:val="decimal"/>
      <w:pStyle w:val="Heading5"/>
      <w:lvlText w:val="%1.%2.%3.%4.%5"/>
      <w:lvlJc w:val="left"/>
      <w:pPr>
        <w:tabs>
          <w:tab w:val="num" w:pos="0"/>
        </w:tabs>
        <w:ind w:left="1134" w:hanging="1134"/>
      </w:pPr>
      <w:rPr>
        <w:rFonts w:hint="default"/>
      </w:rPr>
    </w:lvl>
    <w:lvl w:ilvl="5">
      <w:start w:val="1"/>
      <w:numFmt w:val="decimal"/>
      <w:pStyle w:val="Heading6"/>
      <w:lvlText w:val="%1.%2.%3.%4.%5.%6"/>
      <w:lvlJc w:val="left"/>
      <w:pPr>
        <w:tabs>
          <w:tab w:val="num" w:pos="0"/>
        </w:tabs>
        <w:ind w:left="1134" w:hanging="1134"/>
      </w:pPr>
      <w:rPr>
        <w:rFonts w:hint="default"/>
      </w:rPr>
    </w:lvl>
    <w:lvl w:ilvl="6">
      <w:start w:val="1"/>
      <w:numFmt w:val="decimal"/>
      <w:pStyle w:val="Heading7"/>
      <w:lvlText w:val="%1.%2.%3.%4.%5.%6.%7"/>
      <w:lvlJc w:val="left"/>
      <w:pPr>
        <w:tabs>
          <w:tab w:val="num" w:pos="0"/>
        </w:tabs>
        <w:ind w:left="1134" w:hanging="1134"/>
      </w:pPr>
      <w:rPr>
        <w:rFonts w:hint="default"/>
      </w:rPr>
    </w:lvl>
    <w:lvl w:ilvl="7">
      <w:start w:val="1"/>
      <w:numFmt w:val="decimal"/>
      <w:pStyle w:val="Heading8"/>
      <w:lvlText w:val="%1.%2.%3.%4.%5.%6.%7.%8"/>
      <w:lvlJc w:val="left"/>
      <w:pPr>
        <w:tabs>
          <w:tab w:val="num" w:pos="0"/>
        </w:tabs>
        <w:ind w:left="1134" w:hanging="1134"/>
      </w:pPr>
      <w:rPr>
        <w:rFonts w:hint="default"/>
      </w:rPr>
    </w:lvl>
    <w:lvl w:ilvl="8">
      <w:start w:val="1"/>
      <w:numFmt w:val="decimal"/>
      <w:pStyle w:val="Heading9"/>
      <w:lvlText w:val="%1.%2.%3.%4.%5.%6.%7.%8.%9"/>
      <w:lvlJc w:val="left"/>
      <w:pPr>
        <w:tabs>
          <w:tab w:val="num" w:pos="0"/>
        </w:tabs>
        <w:ind w:left="1134" w:hanging="1134"/>
      </w:pPr>
      <w:rPr>
        <w:rFonts w:hint="default"/>
      </w:rPr>
    </w:lvl>
  </w:abstractNum>
  <w:abstractNum w:abstractNumId="8">
    <w:nsid w:val="65717A82"/>
    <w:multiLevelType w:val="hybridMultilevel"/>
    <w:tmpl w:val="5868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0"/>
  </w:num>
  <w:num w:numId="5">
    <w:abstractNumId w:val="1"/>
  </w:num>
  <w:num w:numId="6">
    <w:abstractNumId w:val="8"/>
  </w:num>
  <w:num w:numId="7">
    <w:abstractNumId w:val="6"/>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598"/>
    <w:rsid w:val="00004D61"/>
    <w:rsid w:val="000314DA"/>
    <w:rsid w:val="00057B03"/>
    <w:rsid w:val="000842AA"/>
    <w:rsid w:val="00092F55"/>
    <w:rsid w:val="00097F7C"/>
    <w:rsid w:val="000A0D60"/>
    <w:rsid w:val="000A5E96"/>
    <w:rsid w:val="000A7CCF"/>
    <w:rsid w:val="000B5C9B"/>
    <w:rsid w:val="000C279A"/>
    <w:rsid w:val="000E3147"/>
    <w:rsid w:val="000E33C7"/>
    <w:rsid w:val="000F2827"/>
    <w:rsid w:val="0010050D"/>
    <w:rsid w:val="00103E2A"/>
    <w:rsid w:val="0011319D"/>
    <w:rsid w:val="00115251"/>
    <w:rsid w:val="00116449"/>
    <w:rsid w:val="00117961"/>
    <w:rsid w:val="001202C4"/>
    <w:rsid w:val="001251E0"/>
    <w:rsid w:val="001458E8"/>
    <w:rsid w:val="00156434"/>
    <w:rsid w:val="00167305"/>
    <w:rsid w:val="001B35F1"/>
    <w:rsid w:val="001B5F57"/>
    <w:rsid w:val="001D1FA8"/>
    <w:rsid w:val="001F063C"/>
    <w:rsid w:val="001F772A"/>
    <w:rsid w:val="002042E2"/>
    <w:rsid w:val="002108E3"/>
    <w:rsid w:val="002154B2"/>
    <w:rsid w:val="0022446C"/>
    <w:rsid w:val="002352CB"/>
    <w:rsid w:val="002424EB"/>
    <w:rsid w:val="00246D8C"/>
    <w:rsid w:val="00247274"/>
    <w:rsid w:val="00250992"/>
    <w:rsid w:val="0025295B"/>
    <w:rsid w:val="002550E9"/>
    <w:rsid w:val="00274C20"/>
    <w:rsid w:val="00281859"/>
    <w:rsid w:val="00294E68"/>
    <w:rsid w:val="002A2245"/>
    <w:rsid w:val="002B1B23"/>
    <w:rsid w:val="002B633D"/>
    <w:rsid w:val="002B7BB5"/>
    <w:rsid w:val="002C64B7"/>
    <w:rsid w:val="002D5207"/>
    <w:rsid w:val="002E65CB"/>
    <w:rsid w:val="002F24C6"/>
    <w:rsid w:val="002F3FCA"/>
    <w:rsid w:val="00300B7F"/>
    <w:rsid w:val="00306A09"/>
    <w:rsid w:val="00306E61"/>
    <w:rsid w:val="00327969"/>
    <w:rsid w:val="0034528F"/>
    <w:rsid w:val="003735AB"/>
    <w:rsid w:val="00381C4E"/>
    <w:rsid w:val="00384551"/>
    <w:rsid w:val="00391952"/>
    <w:rsid w:val="00391D74"/>
    <w:rsid w:val="003A47A9"/>
    <w:rsid w:val="003A5752"/>
    <w:rsid w:val="003A5E03"/>
    <w:rsid w:val="003B08BF"/>
    <w:rsid w:val="003C713F"/>
    <w:rsid w:val="003D1799"/>
    <w:rsid w:val="003D4543"/>
    <w:rsid w:val="003D7752"/>
    <w:rsid w:val="003E3520"/>
    <w:rsid w:val="003F0DB3"/>
    <w:rsid w:val="003F1A53"/>
    <w:rsid w:val="00400325"/>
    <w:rsid w:val="00400F29"/>
    <w:rsid w:val="00403A73"/>
    <w:rsid w:val="00405A1F"/>
    <w:rsid w:val="00410B34"/>
    <w:rsid w:val="00410CD5"/>
    <w:rsid w:val="004124D1"/>
    <w:rsid w:val="00415477"/>
    <w:rsid w:val="004210F4"/>
    <w:rsid w:val="0042116B"/>
    <w:rsid w:val="004245E0"/>
    <w:rsid w:val="00433C48"/>
    <w:rsid w:val="00440546"/>
    <w:rsid w:val="004410DD"/>
    <w:rsid w:val="00456D35"/>
    <w:rsid w:val="00457E90"/>
    <w:rsid w:val="00462DEB"/>
    <w:rsid w:val="004714D6"/>
    <w:rsid w:val="0048656C"/>
    <w:rsid w:val="004906E3"/>
    <w:rsid w:val="00493BCD"/>
    <w:rsid w:val="004A6D8D"/>
    <w:rsid w:val="004C077C"/>
    <w:rsid w:val="004D1D81"/>
    <w:rsid w:val="004E0E9C"/>
    <w:rsid w:val="004E560C"/>
    <w:rsid w:val="004F2153"/>
    <w:rsid w:val="005040AA"/>
    <w:rsid w:val="0050578C"/>
    <w:rsid w:val="005067F2"/>
    <w:rsid w:val="00511C09"/>
    <w:rsid w:val="00512E04"/>
    <w:rsid w:val="005257D0"/>
    <w:rsid w:val="00526BD9"/>
    <w:rsid w:val="005432AD"/>
    <w:rsid w:val="00543D07"/>
    <w:rsid w:val="00560EAD"/>
    <w:rsid w:val="005629E8"/>
    <w:rsid w:val="00563D2F"/>
    <w:rsid w:val="0057102A"/>
    <w:rsid w:val="00571FF3"/>
    <w:rsid w:val="005A37DB"/>
    <w:rsid w:val="005C5128"/>
    <w:rsid w:val="005C6315"/>
    <w:rsid w:val="005D2E7E"/>
    <w:rsid w:val="005D31E4"/>
    <w:rsid w:val="005D43F6"/>
    <w:rsid w:val="005F0320"/>
    <w:rsid w:val="005F3623"/>
    <w:rsid w:val="005F48B2"/>
    <w:rsid w:val="005F6B92"/>
    <w:rsid w:val="00607FFB"/>
    <w:rsid w:val="00621829"/>
    <w:rsid w:val="00630EAD"/>
    <w:rsid w:val="00634F7D"/>
    <w:rsid w:val="006369BF"/>
    <w:rsid w:val="0063797E"/>
    <w:rsid w:val="00667C17"/>
    <w:rsid w:val="00682A4E"/>
    <w:rsid w:val="00686A74"/>
    <w:rsid w:val="006A1546"/>
    <w:rsid w:val="006B6427"/>
    <w:rsid w:val="006B6428"/>
    <w:rsid w:val="006D11E5"/>
    <w:rsid w:val="006E0D52"/>
    <w:rsid w:val="006E1414"/>
    <w:rsid w:val="00700C90"/>
    <w:rsid w:val="00701644"/>
    <w:rsid w:val="007125E6"/>
    <w:rsid w:val="00712C4E"/>
    <w:rsid w:val="00715200"/>
    <w:rsid w:val="007154BF"/>
    <w:rsid w:val="00721253"/>
    <w:rsid w:val="007428D7"/>
    <w:rsid w:val="00745537"/>
    <w:rsid w:val="00786569"/>
    <w:rsid w:val="007876DD"/>
    <w:rsid w:val="00792367"/>
    <w:rsid w:val="007A007C"/>
    <w:rsid w:val="007A6F1C"/>
    <w:rsid w:val="007C3B4D"/>
    <w:rsid w:val="007D0295"/>
    <w:rsid w:val="007D60EF"/>
    <w:rsid w:val="007E192B"/>
    <w:rsid w:val="007E1D5F"/>
    <w:rsid w:val="007E241E"/>
    <w:rsid w:val="007F3AB2"/>
    <w:rsid w:val="008172B4"/>
    <w:rsid w:val="00817539"/>
    <w:rsid w:val="0083018B"/>
    <w:rsid w:val="008324CA"/>
    <w:rsid w:val="0086121D"/>
    <w:rsid w:val="0086268E"/>
    <w:rsid w:val="00870F70"/>
    <w:rsid w:val="008721D5"/>
    <w:rsid w:val="008814F6"/>
    <w:rsid w:val="0088685E"/>
    <w:rsid w:val="008A6F7B"/>
    <w:rsid w:val="008B03D5"/>
    <w:rsid w:val="008B6943"/>
    <w:rsid w:val="008B6E51"/>
    <w:rsid w:val="008C0E00"/>
    <w:rsid w:val="008C23B6"/>
    <w:rsid w:val="008D18C1"/>
    <w:rsid w:val="008D3A79"/>
    <w:rsid w:val="008D4A28"/>
    <w:rsid w:val="008F0179"/>
    <w:rsid w:val="008F1154"/>
    <w:rsid w:val="008F2B3B"/>
    <w:rsid w:val="00901996"/>
    <w:rsid w:val="00911F59"/>
    <w:rsid w:val="009257F9"/>
    <w:rsid w:val="00931A51"/>
    <w:rsid w:val="00963F72"/>
    <w:rsid w:val="009647B9"/>
    <w:rsid w:val="0096752F"/>
    <w:rsid w:val="009704AE"/>
    <w:rsid w:val="0099240A"/>
    <w:rsid w:val="00993229"/>
    <w:rsid w:val="00993D20"/>
    <w:rsid w:val="009A0E42"/>
    <w:rsid w:val="009A23D5"/>
    <w:rsid w:val="009A375E"/>
    <w:rsid w:val="009A3F14"/>
    <w:rsid w:val="009B044A"/>
    <w:rsid w:val="009B3458"/>
    <w:rsid w:val="009C5442"/>
    <w:rsid w:val="009C7643"/>
    <w:rsid w:val="009D72BC"/>
    <w:rsid w:val="009D74BA"/>
    <w:rsid w:val="009E37B3"/>
    <w:rsid w:val="009E7F1F"/>
    <w:rsid w:val="009F0820"/>
    <w:rsid w:val="00A10816"/>
    <w:rsid w:val="00A12ED8"/>
    <w:rsid w:val="00A16B28"/>
    <w:rsid w:val="00A222B4"/>
    <w:rsid w:val="00A4152A"/>
    <w:rsid w:val="00A43BDA"/>
    <w:rsid w:val="00A44598"/>
    <w:rsid w:val="00A50303"/>
    <w:rsid w:val="00A5797D"/>
    <w:rsid w:val="00A7063D"/>
    <w:rsid w:val="00A77224"/>
    <w:rsid w:val="00A8163D"/>
    <w:rsid w:val="00A90363"/>
    <w:rsid w:val="00A961E1"/>
    <w:rsid w:val="00AA22C7"/>
    <w:rsid w:val="00AB08C5"/>
    <w:rsid w:val="00AF5299"/>
    <w:rsid w:val="00B01C75"/>
    <w:rsid w:val="00B025E4"/>
    <w:rsid w:val="00B07049"/>
    <w:rsid w:val="00B2055B"/>
    <w:rsid w:val="00B302CA"/>
    <w:rsid w:val="00B32918"/>
    <w:rsid w:val="00B3450B"/>
    <w:rsid w:val="00B37A01"/>
    <w:rsid w:val="00B443BC"/>
    <w:rsid w:val="00B57D70"/>
    <w:rsid w:val="00B608D2"/>
    <w:rsid w:val="00B64D83"/>
    <w:rsid w:val="00B65B61"/>
    <w:rsid w:val="00B727ED"/>
    <w:rsid w:val="00B911E6"/>
    <w:rsid w:val="00B91930"/>
    <w:rsid w:val="00B924C6"/>
    <w:rsid w:val="00BA12ED"/>
    <w:rsid w:val="00BA794D"/>
    <w:rsid w:val="00BB459C"/>
    <w:rsid w:val="00BC00F7"/>
    <w:rsid w:val="00BC03B1"/>
    <w:rsid w:val="00BC26D6"/>
    <w:rsid w:val="00BE300E"/>
    <w:rsid w:val="00BE74EB"/>
    <w:rsid w:val="00BF08F9"/>
    <w:rsid w:val="00BF1428"/>
    <w:rsid w:val="00BF74F6"/>
    <w:rsid w:val="00C130EE"/>
    <w:rsid w:val="00C2583B"/>
    <w:rsid w:val="00C53448"/>
    <w:rsid w:val="00C549B6"/>
    <w:rsid w:val="00C631B1"/>
    <w:rsid w:val="00C77909"/>
    <w:rsid w:val="00C77F71"/>
    <w:rsid w:val="00CA2A5B"/>
    <w:rsid w:val="00CB20A1"/>
    <w:rsid w:val="00CC171A"/>
    <w:rsid w:val="00CC7633"/>
    <w:rsid w:val="00CD36D0"/>
    <w:rsid w:val="00CD617E"/>
    <w:rsid w:val="00CF34FD"/>
    <w:rsid w:val="00D01072"/>
    <w:rsid w:val="00D03387"/>
    <w:rsid w:val="00D07D5D"/>
    <w:rsid w:val="00D116FD"/>
    <w:rsid w:val="00D12407"/>
    <w:rsid w:val="00D200AD"/>
    <w:rsid w:val="00D22149"/>
    <w:rsid w:val="00D228D5"/>
    <w:rsid w:val="00D27BD3"/>
    <w:rsid w:val="00D33021"/>
    <w:rsid w:val="00D37513"/>
    <w:rsid w:val="00D551F0"/>
    <w:rsid w:val="00D600E1"/>
    <w:rsid w:val="00D60B3F"/>
    <w:rsid w:val="00D6140F"/>
    <w:rsid w:val="00D623F3"/>
    <w:rsid w:val="00D8407C"/>
    <w:rsid w:val="00D971B4"/>
    <w:rsid w:val="00DA2C52"/>
    <w:rsid w:val="00DA7B20"/>
    <w:rsid w:val="00DB3184"/>
    <w:rsid w:val="00DB60D2"/>
    <w:rsid w:val="00DC45BC"/>
    <w:rsid w:val="00DD1FA5"/>
    <w:rsid w:val="00DE1846"/>
    <w:rsid w:val="00DE6536"/>
    <w:rsid w:val="00DF6546"/>
    <w:rsid w:val="00E02770"/>
    <w:rsid w:val="00E131AE"/>
    <w:rsid w:val="00E1372D"/>
    <w:rsid w:val="00E1536E"/>
    <w:rsid w:val="00E221A0"/>
    <w:rsid w:val="00E305D0"/>
    <w:rsid w:val="00E34F29"/>
    <w:rsid w:val="00E41021"/>
    <w:rsid w:val="00E4116D"/>
    <w:rsid w:val="00E45DB1"/>
    <w:rsid w:val="00E531CB"/>
    <w:rsid w:val="00E61F4F"/>
    <w:rsid w:val="00E6267F"/>
    <w:rsid w:val="00E650D8"/>
    <w:rsid w:val="00E651DA"/>
    <w:rsid w:val="00E656D0"/>
    <w:rsid w:val="00E73E09"/>
    <w:rsid w:val="00E80C60"/>
    <w:rsid w:val="00E84882"/>
    <w:rsid w:val="00E85E70"/>
    <w:rsid w:val="00E85F9F"/>
    <w:rsid w:val="00EC07A4"/>
    <w:rsid w:val="00EC178E"/>
    <w:rsid w:val="00EC3F52"/>
    <w:rsid w:val="00EE1042"/>
    <w:rsid w:val="00EE3CA5"/>
    <w:rsid w:val="00F02320"/>
    <w:rsid w:val="00F10702"/>
    <w:rsid w:val="00F12D2C"/>
    <w:rsid w:val="00F15959"/>
    <w:rsid w:val="00F336AB"/>
    <w:rsid w:val="00F364BA"/>
    <w:rsid w:val="00F4106A"/>
    <w:rsid w:val="00F43776"/>
    <w:rsid w:val="00F500F3"/>
    <w:rsid w:val="00F631AF"/>
    <w:rsid w:val="00F65745"/>
    <w:rsid w:val="00F75E28"/>
    <w:rsid w:val="00F76745"/>
    <w:rsid w:val="00F90A09"/>
    <w:rsid w:val="00F92965"/>
    <w:rsid w:val="00F93936"/>
    <w:rsid w:val="00FB72E8"/>
    <w:rsid w:val="00FC434A"/>
    <w:rsid w:val="00FC5F82"/>
    <w:rsid w:val="00FD4DF0"/>
    <w:rsid w:val="00FE2C78"/>
    <w:rsid w:val="00FF6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520"/>
    <w:pPr>
      <w:spacing w:after="200" w:line="276" w:lineRule="auto"/>
    </w:pPr>
    <w:rPr>
      <w:sz w:val="22"/>
      <w:szCs w:val="22"/>
      <w:lang w:eastAsia="en-US"/>
    </w:rPr>
  </w:style>
  <w:style w:type="paragraph" w:styleId="Heading1">
    <w:name w:val="heading 1"/>
    <w:aliases w:val="Bayer-Heading 1"/>
    <w:basedOn w:val="Normal"/>
    <w:next w:val="BayerBodyTextFull"/>
    <w:link w:val="Heading1Char"/>
    <w:qFormat/>
    <w:rsid w:val="007E241E"/>
    <w:pPr>
      <w:keepNext/>
      <w:numPr>
        <w:numId w:val="1"/>
      </w:numPr>
      <w:tabs>
        <w:tab w:val="left" w:pos="1134"/>
      </w:tabs>
      <w:spacing w:before="240" w:after="120" w:line="240" w:lineRule="auto"/>
      <w:outlineLvl w:val="0"/>
    </w:pPr>
    <w:rPr>
      <w:rFonts w:ascii="Times New Roman" w:eastAsia="Times New Roman" w:hAnsi="Times New Roman"/>
      <w:b/>
      <w:kern w:val="28"/>
      <w:sz w:val="28"/>
      <w:szCs w:val="20"/>
      <w:lang w:val="en-US"/>
    </w:rPr>
  </w:style>
  <w:style w:type="paragraph" w:styleId="Heading2">
    <w:name w:val="heading 2"/>
    <w:aliases w:val="Bayer-Heading 2"/>
    <w:basedOn w:val="Heading1"/>
    <w:next w:val="BayerBodyTextFull"/>
    <w:link w:val="Heading2Char"/>
    <w:qFormat/>
    <w:rsid w:val="007E241E"/>
    <w:pPr>
      <w:numPr>
        <w:ilvl w:val="1"/>
      </w:numPr>
      <w:outlineLvl w:val="1"/>
    </w:pPr>
    <w:rPr>
      <w:sz w:val="26"/>
    </w:rPr>
  </w:style>
  <w:style w:type="paragraph" w:styleId="Heading3">
    <w:name w:val="heading 3"/>
    <w:aliases w:val="Bayer-Heading 3"/>
    <w:basedOn w:val="Heading1"/>
    <w:next w:val="BayerBodyTextFull"/>
    <w:link w:val="Heading3Char"/>
    <w:qFormat/>
    <w:rsid w:val="007E241E"/>
    <w:pPr>
      <w:numPr>
        <w:ilvl w:val="2"/>
      </w:numPr>
      <w:outlineLvl w:val="2"/>
    </w:pPr>
    <w:rPr>
      <w:sz w:val="26"/>
    </w:rPr>
  </w:style>
  <w:style w:type="paragraph" w:styleId="Heading4">
    <w:name w:val="heading 4"/>
    <w:aliases w:val="Bayer-Heading 4"/>
    <w:basedOn w:val="Heading1"/>
    <w:next w:val="BayerBodyTextFull"/>
    <w:link w:val="Heading4Char"/>
    <w:qFormat/>
    <w:rsid w:val="007E241E"/>
    <w:pPr>
      <w:numPr>
        <w:ilvl w:val="3"/>
      </w:numPr>
      <w:outlineLvl w:val="3"/>
    </w:pPr>
    <w:rPr>
      <w:sz w:val="26"/>
    </w:rPr>
  </w:style>
  <w:style w:type="paragraph" w:styleId="Heading5">
    <w:name w:val="heading 5"/>
    <w:aliases w:val="Bayer-Heading 5"/>
    <w:basedOn w:val="Heading1"/>
    <w:next w:val="BayerBodyTextFull"/>
    <w:link w:val="Heading5Char"/>
    <w:qFormat/>
    <w:rsid w:val="007E241E"/>
    <w:pPr>
      <w:numPr>
        <w:ilvl w:val="4"/>
      </w:numPr>
      <w:outlineLvl w:val="4"/>
    </w:pPr>
    <w:rPr>
      <w:sz w:val="26"/>
    </w:rPr>
  </w:style>
  <w:style w:type="paragraph" w:styleId="Heading6">
    <w:name w:val="heading 6"/>
    <w:aliases w:val="Bayer-Heading 6"/>
    <w:basedOn w:val="Heading1"/>
    <w:next w:val="BayerBodyTextFull"/>
    <w:link w:val="Heading6Char"/>
    <w:qFormat/>
    <w:rsid w:val="007E241E"/>
    <w:pPr>
      <w:numPr>
        <w:ilvl w:val="5"/>
      </w:numPr>
      <w:outlineLvl w:val="5"/>
    </w:pPr>
    <w:rPr>
      <w:sz w:val="26"/>
    </w:rPr>
  </w:style>
  <w:style w:type="paragraph" w:styleId="Heading7">
    <w:name w:val="heading 7"/>
    <w:aliases w:val="Bayer-Heading 7"/>
    <w:basedOn w:val="Heading1"/>
    <w:next w:val="BayerBodyTextFull"/>
    <w:link w:val="Heading7Char"/>
    <w:qFormat/>
    <w:rsid w:val="007E241E"/>
    <w:pPr>
      <w:numPr>
        <w:ilvl w:val="6"/>
      </w:numPr>
      <w:outlineLvl w:val="6"/>
    </w:pPr>
    <w:rPr>
      <w:sz w:val="26"/>
    </w:rPr>
  </w:style>
  <w:style w:type="paragraph" w:styleId="Heading8">
    <w:name w:val="heading 8"/>
    <w:aliases w:val="Bayer-Heading 8"/>
    <w:basedOn w:val="Heading1"/>
    <w:next w:val="BayerBodyTextFull"/>
    <w:link w:val="Heading8Char"/>
    <w:qFormat/>
    <w:rsid w:val="007E241E"/>
    <w:pPr>
      <w:numPr>
        <w:ilvl w:val="7"/>
      </w:numPr>
      <w:spacing w:after="60"/>
      <w:outlineLvl w:val="7"/>
    </w:pPr>
    <w:rPr>
      <w:sz w:val="26"/>
    </w:rPr>
  </w:style>
  <w:style w:type="paragraph" w:styleId="Heading9">
    <w:name w:val="heading 9"/>
    <w:aliases w:val="Bayer-Heading 9"/>
    <w:basedOn w:val="Heading1"/>
    <w:next w:val="BayerBodyTextFull"/>
    <w:link w:val="Heading9Char"/>
    <w:qFormat/>
    <w:rsid w:val="007E241E"/>
    <w:pPr>
      <w:numPr>
        <w:ilvl w:val="8"/>
      </w:numPr>
      <w:spacing w:after="60"/>
      <w:outlineLvl w:val="8"/>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DEB"/>
    <w:pPr>
      <w:tabs>
        <w:tab w:val="center" w:pos="4513"/>
        <w:tab w:val="right" w:pos="9026"/>
      </w:tabs>
    </w:pPr>
  </w:style>
  <w:style w:type="character" w:customStyle="1" w:styleId="HeaderChar">
    <w:name w:val="Header Char"/>
    <w:link w:val="Header"/>
    <w:uiPriority w:val="99"/>
    <w:rsid w:val="00462DEB"/>
    <w:rPr>
      <w:sz w:val="22"/>
      <w:szCs w:val="22"/>
      <w:lang w:eastAsia="en-US"/>
    </w:rPr>
  </w:style>
  <w:style w:type="paragraph" w:styleId="Footer">
    <w:name w:val="footer"/>
    <w:basedOn w:val="Normal"/>
    <w:link w:val="FooterChar"/>
    <w:uiPriority w:val="99"/>
    <w:unhideWhenUsed/>
    <w:rsid w:val="00462DEB"/>
    <w:pPr>
      <w:tabs>
        <w:tab w:val="center" w:pos="4513"/>
        <w:tab w:val="right" w:pos="9026"/>
      </w:tabs>
    </w:pPr>
  </w:style>
  <w:style w:type="character" w:customStyle="1" w:styleId="FooterChar">
    <w:name w:val="Footer Char"/>
    <w:link w:val="Footer"/>
    <w:uiPriority w:val="99"/>
    <w:rsid w:val="00462DEB"/>
    <w:rPr>
      <w:sz w:val="22"/>
      <w:szCs w:val="22"/>
      <w:lang w:eastAsia="en-US"/>
    </w:rPr>
  </w:style>
  <w:style w:type="paragraph" w:customStyle="1" w:styleId="BayerBodyTextFull">
    <w:name w:val="Bayer Body Text Full"/>
    <w:basedOn w:val="Normal"/>
    <w:link w:val="BayerBodyTextFullZchn"/>
    <w:qFormat/>
    <w:rsid w:val="00E02770"/>
    <w:pPr>
      <w:spacing w:before="120" w:after="120" w:line="240" w:lineRule="auto"/>
    </w:pPr>
    <w:rPr>
      <w:rFonts w:ascii="Times New Roman" w:eastAsia="Times New Roman" w:hAnsi="Times New Roman"/>
      <w:sz w:val="24"/>
      <w:szCs w:val="20"/>
      <w:lang w:val="en-US"/>
    </w:rPr>
  </w:style>
  <w:style w:type="paragraph" w:customStyle="1" w:styleId="BayerBibliography">
    <w:name w:val="Bayer Bibliography"/>
    <w:basedOn w:val="Normal"/>
    <w:rsid w:val="00E02770"/>
    <w:pPr>
      <w:spacing w:after="120" w:line="240" w:lineRule="auto"/>
      <w:ind w:left="567" w:hanging="567"/>
    </w:pPr>
    <w:rPr>
      <w:rFonts w:ascii="Times New Roman" w:eastAsia="Times New Roman" w:hAnsi="Times New Roman"/>
      <w:sz w:val="24"/>
      <w:szCs w:val="20"/>
      <w:lang w:val="en-US"/>
    </w:rPr>
  </w:style>
  <w:style w:type="paragraph" w:styleId="EndnoteText">
    <w:name w:val="endnote text"/>
    <w:basedOn w:val="Normal"/>
    <w:link w:val="EndnoteTextChar"/>
    <w:semiHidden/>
    <w:rsid w:val="00E02770"/>
    <w:pPr>
      <w:spacing w:after="0" w:line="240" w:lineRule="auto"/>
    </w:pPr>
    <w:rPr>
      <w:rFonts w:ascii="Times New Roman" w:eastAsia="Times New Roman" w:hAnsi="Times New Roman"/>
      <w:sz w:val="20"/>
      <w:szCs w:val="20"/>
      <w:lang w:val="en-US"/>
    </w:rPr>
  </w:style>
  <w:style w:type="character" w:customStyle="1" w:styleId="EndnoteTextChar">
    <w:name w:val="Endnote Text Char"/>
    <w:link w:val="EndnoteText"/>
    <w:semiHidden/>
    <w:rsid w:val="00E02770"/>
    <w:rPr>
      <w:rFonts w:ascii="Times New Roman" w:eastAsia="Times New Roman" w:hAnsi="Times New Roman"/>
      <w:lang w:val="en-US" w:eastAsia="en-US"/>
    </w:rPr>
  </w:style>
  <w:style w:type="character" w:styleId="EndnoteReference">
    <w:name w:val="endnote reference"/>
    <w:semiHidden/>
    <w:rsid w:val="00E02770"/>
    <w:rPr>
      <w:bdr w:val="none" w:sz="0" w:space="0" w:color="auto"/>
      <w:shd w:val="clear" w:color="auto" w:fill="C0C0C0"/>
      <w:vertAlign w:val="superscript"/>
    </w:rPr>
  </w:style>
  <w:style w:type="character" w:customStyle="1" w:styleId="BayerBodyTextFullZchn">
    <w:name w:val="Bayer Body Text Full Zchn"/>
    <w:link w:val="BayerBodyTextFull"/>
    <w:rsid w:val="00E02770"/>
    <w:rPr>
      <w:rFonts w:ascii="Times New Roman" w:eastAsia="Times New Roman" w:hAnsi="Times New Roman"/>
      <w:sz w:val="24"/>
      <w:lang w:val="en-US" w:eastAsia="en-US"/>
    </w:rPr>
  </w:style>
  <w:style w:type="character" w:customStyle="1" w:styleId="Heading1Char">
    <w:name w:val="Heading 1 Char"/>
    <w:aliases w:val="Bayer-Heading 1 Char"/>
    <w:link w:val="Heading1"/>
    <w:rsid w:val="007E241E"/>
    <w:rPr>
      <w:rFonts w:ascii="Times New Roman" w:eastAsia="Times New Roman" w:hAnsi="Times New Roman"/>
      <w:b/>
      <w:kern w:val="28"/>
      <w:sz w:val="28"/>
      <w:lang w:val="en-US" w:eastAsia="en-US"/>
    </w:rPr>
  </w:style>
  <w:style w:type="character" w:customStyle="1" w:styleId="Heading2Char">
    <w:name w:val="Heading 2 Char"/>
    <w:aliases w:val="Bayer-Heading 2 Char"/>
    <w:link w:val="Heading2"/>
    <w:rsid w:val="007E241E"/>
    <w:rPr>
      <w:rFonts w:ascii="Times New Roman" w:eastAsia="Times New Roman" w:hAnsi="Times New Roman"/>
      <w:b/>
      <w:kern w:val="28"/>
      <w:sz w:val="26"/>
      <w:lang w:val="en-US" w:eastAsia="en-US"/>
    </w:rPr>
  </w:style>
  <w:style w:type="character" w:customStyle="1" w:styleId="Heading3Char">
    <w:name w:val="Heading 3 Char"/>
    <w:aliases w:val="Bayer-Heading 3 Char"/>
    <w:link w:val="Heading3"/>
    <w:rsid w:val="007E241E"/>
    <w:rPr>
      <w:rFonts w:ascii="Times New Roman" w:eastAsia="Times New Roman" w:hAnsi="Times New Roman"/>
      <w:b/>
      <w:kern w:val="28"/>
      <w:sz w:val="26"/>
      <w:lang w:val="en-US" w:eastAsia="en-US"/>
    </w:rPr>
  </w:style>
  <w:style w:type="character" w:customStyle="1" w:styleId="Heading4Char">
    <w:name w:val="Heading 4 Char"/>
    <w:aliases w:val="Bayer-Heading 4 Char"/>
    <w:link w:val="Heading4"/>
    <w:rsid w:val="007E241E"/>
    <w:rPr>
      <w:rFonts w:ascii="Times New Roman" w:eastAsia="Times New Roman" w:hAnsi="Times New Roman"/>
      <w:b/>
      <w:kern w:val="28"/>
      <w:sz w:val="26"/>
      <w:lang w:val="en-US" w:eastAsia="en-US"/>
    </w:rPr>
  </w:style>
  <w:style w:type="character" w:customStyle="1" w:styleId="Heading5Char">
    <w:name w:val="Heading 5 Char"/>
    <w:aliases w:val="Bayer-Heading 5 Char"/>
    <w:link w:val="Heading5"/>
    <w:rsid w:val="007E241E"/>
    <w:rPr>
      <w:rFonts w:ascii="Times New Roman" w:eastAsia="Times New Roman" w:hAnsi="Times New Roman"/>
      <w:b/>
      <w:kern w:val="28"/>
      <w:sz w:val="26"/>
      <w:lang w:val="en-US" w:eastAsia="en-US"/>
    </w:rPr>
  </w:style>
  <w:style w:type="character" w:customStyle="1" w:styleId="Heading6Char">
    <w:name w:val="Heading 6 Char"/>
    <w:aliases w:val="Bayer-Heading 6 Char"/>
    <w:link w:val="Heading6"/>
    <w:rsid w:val="007E241E"/>
    <w:rPr>
      <w:rFonts w:ascii="Times New Roman" w:eastAsia="Times New Roman" w:hAnsi="Times New Roman"/>
      <w:b/>
      <w:kern w:val="28"/>
      <w:sz w:val="26"/>
      <w:lang w:val="en-US" w:eastAsia="en-US"/>
    </w:rPr>
  </w:style>
  <w:style w:type="character" w:customStyle="1" w:styleId="Heading7Char">
    <w:name w:val="Heading 7 Char"/>
    <w:aliases w:val="Bayer-Heading 7 Char"/>
    <w:link w:val="Heading7"/>
    <w:rsid w:val="007E241E"/>
    <w:rPr>
      <w:rFonts w:ascii="Times New Roman" w:eastAsia="Times New Roman" w:hAnsi="Times New Roman"/>
      <w:b/>
      <w:kern w:val="28"/>
      <w:sz w:val="26"/>
      <w:lang w:val="en-US" w:eastAsia="en-US"/>
    </w:rPr>
  </w:style>
  <w:style w:type="character" w:customStyle="1" w:styleId="Heading8Char">
    <w:name w:val="Heading 8 Char"/>
    <w:aliases w:val="Bayer-Heading 8 Char"/>
    <w:link w:val="Heading8"/>
    <w:rsid w:val="007E241E"/>
    <w:rPr>
      <w:rFonts w:ascii="Times New Roman" w:eastAsia="Times New Roman" w:hAnsi="Times New Roman"/>
      <w:b/>
      <w:kern w:val="28"/>
      <w:sz w:val="26"/>
      <w:lang w:val="en-US" w:eastAsia="en-US"/>
    </w:rPr>
  </w:style>
  <w:style w:type="character" w:customStyle="1" w:styleId="Heading9Char">
    <w:name w:val="Heading 9 Char"/>
    <w:aliases w:val="Bayer-Heading 9 Char"/>
    <w:link w:val="Heading9"/>
    <w:rsid w:val="007E241E"/>
    <w:rPr>
      <w:rFonts w:ascii="Times New Roman" w:eastAsia="Times New Roman" w:hAnsi="Times New Roman"/>
      <w:b/>
      <w:kern w:val="28"/>
      <w:sz w:val="26"/>
      <w:lang w:val="en-US" w:eastAsia="en-US"/>
    </w:rPr>
  </w:style>
  <w:style w:type="paragraph" w:customStyle="1" w:styleId="BulletBayerBodyText">
    <w:name w:val="Bullet Bayer Body Text"/>
    <w:basedOn w:val="Normal"/>
    <w:rsid w:val="005067F2"/>
    <w:pPr>
      <w:numPr>
        <w:numId w:val="3"/>
      </w:numPr>
      <w:tabs>
        <w:tab w:val="left" w:pos="1264"/>
      </w:tabs>
      <w:spacing w:after="120" w:line="240" w:lineRule="auto"/>
    </w:pPr>
    <w:rPr>
      <w:rFonts w:ascii="Times New Roman" w:eastAsia="Times New Roman" w:hAnsi="Times New Roman"/>
      <w:sz w:val="24"/>
      <w:szCs w:val="20"/>
      <w:lang w:val="en-US"/>
    </w:rPr>
  </w:style>
  <w:style w:type="character" w:styleId="Hyperlink">
    <w:name w:val="Hyperlink"/>
    <w:uiPriority w:val="99"/>
    <w:rsid w:val="005067F2"/>
    <w:rPr>
      <w:color w:val="0000FF"/>
      <w:u w:val="single"/>
    </w:rPr>
  </w:style>
  <w:style w:type="paragraph" w:customStyle="1" w:styleId="BayerTableRowHeadings">
    <w:name w:val="Bayer Table Row Headings"/>
    <w:basedOn w:val="Normal"/>
    <w:link w:val="BayerTableRowHeadingsChar"/>
    <w:rsid w:val="00D01072"/>
    <w:pPr>
      <w:spacing w:before="120" w:after="120" w:line="240" w:lineRule="auto"/>
    </w:pPr>
    <w:rPr>
      <w:rFonts w:ascii="Times New Roman" w:eastAsia="Times New Roman" w:hAnsi="Times New Roman"/>
      <w:szCs w:val="20"/>
      <w:lang w:val="en-US"/>
    </w:rPr>
  </w:style>
  <w:style w:type="paragraph" w:customStyle="1" w:styleId="BayerTableColumnHeadings">
    <w:name w:val="Bayer Table Column Headings"/>
    <w:basedOn w:val="Normal"/>
    <w:link w:val="BayerTableColumnHeadingsChar"/>
    <w:uiPriority w:val="99"/>
    <w:qFormat/>
    <w:rsid w:val="00D01072"/>
    <w:pPr>
      <w:keepNext/>
      <w:spacing w:after="0" w:line="240" w:lineRule="auto"/>
      <w:jc w:val="center"/>
    </w:pPr>
    <w:rPr>
      <w:rFonts w:ascii="Times New Roman" w:eastAsia="Times New Roman" w:hAnsi="Times New Roman"/>
      <w:b/>
      <w:szCs w:val="20"/>
      <w:lang w:val="en-US"/>
    </w:rPr>
  </w:style>
  <w:style w:type="paragraph" w:customStyle="1" w:styleId="BayerTableFootnote">
    <w:name w:val="Bayer Table Footnote"/>
    <w:basedOn w:val="Normal"/>
    <w:link w:val="BayerTableFootnoteChar"/>
    <w:uiPriority w:val="99"/>
    <w:rsid w:val="00D01072"/>
    <w:pPr>
      <w:widowControl w:val="0"/>
      <w:spacing w:before="120" w:after="120" w:line="240" w:lineRule="auto"/>
      <w:ind w:left="357" w:hanging="357"/>
    </w:pPr>
    <w:rPr>
      <w:rFonts w:ascii="Times New Roman" w:eastAsia="Times New Roman" w:hAnsi="Times New Roman"/>
      <w:sz w:val="20"/>
      <w:szCs w:val="20"/>
      <w:lang w:val="en-US"/>
    </w:rPr>
  </w:style>
  <w:style w:type="paragraph" w:customStyle="1" w:styleId="BayerTableStyleCentered">
    <w:name w:val="Bayer TableStyle Centered"/>
    <w:basedOn w:val="Normal"/>
    <w:link w:val="BayerTableStyleCenteredZchn"/>
    <w:uiPriority w:val="99"/>
    <w:rsid w:val="00D01072"/>
    <w:pPr>
      <w:widowControl w:val="0"/>
      <w:spacing w:before="120" w:after="120" w:line="240" w:lineRule="auto"/>
      <w:jc w:val="center"/>
    </w:pPr>
    <w:rPr>
      <w:rFonts w:ascii="Times New Roman" w:eastAsia="Times New Roman" w:hAnsi="Times New Roman"/>
      <w:szCs w:val="20"/>
      <w:lang w:val="en-US"/>
    </w:rPr>
  </w:style>
  <w:style w:type="paragraph" w:styleId="Caption">
    <w:name w:val="caption"/>
    <w:aliases w:val="Bayer Caption"/>
    <w:basedOn w:val="Normal"/>
    <w:next w:val="Normal"/>
    <w:qFormat/>
    <w:rsid w:val="00D01072"/>
    <w:pPr>
      <w:keepNext/>
      <w:spacing w:before="120" w:after="120" w:line="240" w:lineRule="auto"/>
      <w:ind w:left="907"/>
    </w:pPr>
    <w:rPr>
      <w:rFonts w:ascii="Times New Roman" w:eastAsia="Times New Roman" w:hAnsi="Times New Roman"/>
      <w:b/>
      <w:szCs w:val="20"/>
      <w:lang w:val="en-US"/>
    </w:rPr>
  </w:style>
  <w:style w:type="character" w:customStyle="1" w:styleId="BayerTableStyleCenteredZchn">
    <w:name w:val="Bayer TableStyle Centered Zchn"/>
    <w:link w:val="BayerTableStyleCentered"/>
    <w:uiPriority w:val="99"/>
    <w:rsid w:val="00D01072"/>
    <w:rPr>
      <w:rFonts w:ascii="Times New Roman" w:eastAsia="Times New Roman" w:hAnsi="Times New Roman"/>
      <w:sz w:val="22"/>
      <w:lang w:val="en-US" w:eastAsia="en-US"/>
    </w:rPr>
  </w:style>
  <w:style w:type="character" w:customStyle="1" w:styleId="BayerTableColumnHeadingsChar">
    <w:name w:val="Bayer Table Column Headings Char"/>
    <w:link w:val="BayerTableColumnHeadings"/>
    <w:uiPriority w:val="99"/>
    <w:rsid w:val="00D01072"/>
    <w:rPr>
      <w:rFonts w:ascii="Times New Roman" w:eastAsia="Times New Roman" w:hAnsi="Times New Roman"/>
      <w:b/>
      <w:sz w:val="22"/>
      <w:lang w:val="en-US" w:eastAsia="en-US"/>
    </w:rPr>
  </w:style>
  <w:style w:type="character" w:customStyle="1" w:styleId="BayerTableRowHeadingsChar">
    <w:name w:val="Bayer Table Row Headings Char"/>
    <w:link w:val="BayerTableRowHeadings"/>
    <w:locked/>
    <w:rsid w:val="00D01072"/>
    <w:rPr>
      <w:rFonts w:ascii="Times New Roman" w:eastAsia="Times New Roman" w:hAnsi="Times New Roman"/>
      <w:sz w:val="22"/>
      <w:lang w:val="en-US" w:eastAsia="en-US"/>
    </w:rPr>
  </w:style>
  <w:style w:type="character" w:customStyle="1" w:styleId="BayerTableFootnoteChar">
    <w:name w:val="Bayer Table Footnote Char"/>
    <w:link w:val="BayerTableFootnote"/>
    <w:uiPriority w:val="99"/>
    <w:rsid w:val="00D01072"/>
    <w:rPr>
      <w:rFonts w:ascii="Times New Roman" w:eastAsia="Times New Roman" w:hAnsi="Times New Roman"/>
      <w:lang w:val="en-US" w:eastAsia="en-US"/>
    </w:rPr>
  </w:style>
  <w:style w:type="character" w:customStyle="1" w:styleId="BayerBodyTextFullChar">
    <w:name w:val="Bayer Body Text Full Char"/>
    <w:rsid w:val="00D60B3F"/>
    <w:rPr>
      <w:sz w:val="24"/>
      <w:lang w:val="en-US" w:eastAsia="en-US" w:bidi="ar-SA"/>
    </w:rPr>
  </w:style>
  <w:style w:type="paragraph" w:styleId="ListParagraph">
    <w:name w:val="List Paragraph"/>
    <w:basedOn w:val="Normal"/>
    <w:uiPriority w:val="34"/>
    <w:qFormat/>
    <w:rsid w:val="00D60B3F"/>
    <w:pPr>
      <w:spacing w:after="0" w:line="240" w:lineRule="auto"/>
      <w:ind w:left="720"/>
    </w:pPr>
    <w:rPr>
      <w:rFonts w:ascii="Times New Roman" w:hAnsi="Times New Roman"/>
      <w:sz w:val="24"/>
      <w:szCs w:val="24"/>
      <w:lang w:val="de-DE" w:eastAsia="de-DE"/>
    </w:rPr>
  </w:style>
  <w:style w:type="paragraph" w:styleId="BodyText">
    <w:name w:val="Body Text"/>
    <w:aliases w:val="Char"/>
    <w:basedOn w:val="Normal"/>
    <w:link w:val="BodyTextChar"/>
    <w:uiPriority w:val="99"/>
    <w:rsid w:val="009257F9"/>
    <w:pPr>
      <w:spacing w:before="120" w:after="120" w:line="240" w:lineRule="auto"/>
      <w:jc w:val="both"/>
    </w:pPr>
    <w:rPr>
      <w:rFonts w:ascii="Times New Roman" w:eastAsia="Times New Roman" w:hAnsi="Times New Roman"/>
      <w:sz w:val="24"/>
      <w:szCs w:val="20"/>
      <w:lang w:val="en-GB" w:eastAsia="nb-NO"/>
    </w:rPr>
  </w:style>
  <w:style w:type="character" w:customStyle="1" w:styleId="BodyTextChar">
    <w:name w:val="Body Text Char"/>
    <w:aliases w:val="Char Char"/>
    <w:link w:val="BodyText"/>
    <w:uiPriority w:val="99"/>
    <w:rsid w:val="009257F9"/>
    <w:rPr>
      <w:rFonts w:ascii="Times New Roman" w:eastAsia="Times New Roman" w:hAnsi="Times New Roman"/>
      <w:sz w:val="24"/>
      <w:lang w:val="en-GB" w:eastAsia="nb-NO"/>
    </w:rPr>
  </w:style>
  <w:style w:type="table" w:styleId="TableGrid">
    <w:name w:val="Table Grid"/>
    <w:basedOn w:val="TableNormal"/>
    <w:uiPriority w:val="59"/>
    <w:rsid w:val="0071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294E68"/>
    <w:rPr>
      <w:sz w:val="16"/>
      <w:szCs w:val="16"/>
    </w:rPr>
  </w:style>
  <w:style w:type="paragraph" w:styleId="CommentText">
    <w:name w:val="annotation text"/>
    <w:basedOn w:val="Normal"/>
    <w:link w:val="CommentTextChar"/>
    <w:unhideWhenUsed/>
    <w:rsid w:val="00294E68"/>
    <w:rPr>
      <w:sz w:val="20"/>
      <w:szCs w:val="20"/>
    </w:rPr>
  </w:style>
  <w:style w:type="character" w:customStyle="1" w:styleId="CommentTextChar">
    <w:name w:val="Comment Text Char"/>
    <w:link w:val="CommentText"/>
    <w:rsid w:val="00294E68"/>
    <w:rPr>
      <w:lang w:eastAsia="en-US"/>
    </w:rPr>
  </w:style>
  <w:style w:type="paragraph" w:styleId="CommentSubject">
    <w:name w:val="annotation subject"/>
    <w:basedOn w:val="CommentText"/>
    <w:next w:val="CommentText"/>
    <w:link w:val="CommentSubjectChar"/>
    <w:uiPriority w:val="99"/>
    <w:semiHidden/>
    <w:unhideWhenUsed/>
    <w:rsid w:val="00294E68"/>
    <w:rPr>
      <w:b/>
      <w:bCs/>
    </w:rPr>
  </w:style>
  <w:style w:type="character" w:customStyle="1" w:styleId="CommentSubjectChar">
    <w:name w:val="Comment Subject Char"/>
    <w:link w:val="CommentSubject"/>
    <w:uiPriority w:val="99"/>
    <w:semiHidden/>
    <w:rsid w:val="00294E68"/>
    <w:rPr>
      <w:b/>
      <w:bCs/>
      <w:lang w:eastAsia="en-US"/>
    </w:rPr>
  </w:style>
  <w:style w:type="paragraph" w:styleId="BalloonText">
    <w:name w:val="Balloon Text"/>
    <w:basedOn w:val="Normal"/>
    <w:link w:val="BalloonTextChar"/>
    <w:uiPriority w:val="99"/>
    <w:semiHidden/>
    <w:unhideWhenUsed/>
    <w:rsid w:val="00294E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94E68"/>
    <w:rPr>
      <w:rFonts w:ascii="Tahoma" w:hAnsi="Tahoma" w:cs="Tahoma"/>
      <w:sz w:val="16"/>
      <w:szCs w:val="16"/>
      <w:lang w:eastAsia="en-US"/>
    </w:rPr>
  </w:style>
  <w:style w:type="paragraph" w:customStyle="1" w:styleId="PIheader">
    <w:name w:val="PI header"/>
    <w:basedOn w:val="Normal"/>
    <w:link w:val="PIheaderChar"/>
    <w:qFormat/>
    <w:rsid w:val="008C23B6"/>
    <w:pPr>
      <w:spacing w:after="0" w:line="240" w:lineRule="auto"/>
      <w:jc w:val="center"/>
    </w:pPr>
    <w:rPr>
      <w:rFonts w:ascii="Arial" w:hAnsi="Arial" w:cs="Arial"/>
      <w:b/>
    </w:rPr>
  </w:style>
  <w:style w:type="paragraph" w:customStyle="1" w:styleId="PIHeading1">
    <w:name w:val="PI Heading 1"/>
    <w:basedOn w:val="Normal"/>
    <w:link w:val="PIHeading1Char"/>
    <w:qFormat/>
    <w:rsid w:val="008C23B6"/>
    <w:pPr>
      <w:spacing w:after="0" w:line="240" w:lineRule="auto"/>
    </w:pPr>
    <w:rPr>
      <w:rFonts w:ascii="Arial" w:hAnsi="Arial" w:cs="Arial"/>
      <w:b/>
      <w:lang w:eastAsia="en-AU"/>
    </w:rPr>
  </w:style>
  <w:style w:type="character" w:customStyle="1" w:styleId="PIheaderChar">
    <w:name w:val="PI header Char"/>
    <w:link w:val="PIheader"/>
    <w:rsid w:val="008C23B6"/>
    <w:rPr>
      <w:rFonts w:ascii="Arial" w:hAnsi="Arial" w:cs="Arial"/>
      <w:b/>
      <w:sz w:val="22"/>
      <w:szCs w:val="22"/>
      <w:lang w:eastAsia="en-US"/>
    </w:rPr>
  </w:style>
  <w:style w:type="paragraph" w:customStyle="1" w:styleId="PIHeading2">
    <w:name w:val="PI Heading 2"/>
    <w:basedOn w:val="BayerBodyTextFull"/>
    <w:link w:val="PIHeading2Char"/>
    <w:qFormat/>
    <w:rsid w:val="008C23B6"/>
    <w:pPr>
      <w:keepNext/>
      <w:spacing w:before="0" w:after="0"/>
    </w:pPr>
    <w:rPr>
      <w:rFonts w:ascii="Arial" w:hAnsi="Arial" w:cs="Arial"/>
      <w:b/>
      <w:sz w:val="22"/>
      <w:szCs w:val="22"/>
    </w:rPr>
  </w:style>
  <w:style w:type="character" w:customStyle="1" w:styleId="PIHeading1Char">
    <w:name w:val="PI Heading 1 Char"/>
    <w:link w:val="PIHeading1"/>
    <w:rsid w:val="008C23B6"/>
    <w:rPr>
      <w:rFonts w:ascii="Arial" w:hAnsi="Arial" w:cs="Arial"/>
      <w:b/>
      <w:sz w:val="22"/>
      <w:szCs w:val="22"/>
    </w:rPr>
  </w:style>
  <w:style w:type="paragraph" w:customStyle="1" w:styleId="PIHeading3undelined">
    <w:name w:val="PI Heading 3 undelined"/>
    <w:basedOn w:val="Normal"/>
    <w:link w:val="PIHeading3undelinedChar"/>
    <w:qFormat/>
    <w:rsid w:val="008C23B6"/>
    <w:pPr>
      <w:tabs>
        <w:tab w:val="left" w:pos="2835"/>
      </w:tabs>
      <w:spacing w:after="0" w:line="240" w:lineRule="auto"/>
      <w:ind w:left="2835" w:hanging="2835"/>
    </w:pPr>
    <w:rPr>
      <w:rFonts w:ascii="Arial" w:hAnsi="Arial" w:cs="Arial"/>
      <w:u w:val="single"/>
      <w:lang w:val="en-US"/>
    </w:rPr>
  </w:style>
  <w:style w:type="character" w:customStyle="1" w:styleId="PIHeading2Char">
    <w:name w:val="PI Heading 2 Char"/>
    <w:link w:val="PIHeading2"/>
    <w:rsid w:val="008C23B6"/>
    <w:rPr>
      <w:rFonts w:ascii="Arial" w:eastAsia="Times New Roman" w:hAnsi="Arial" w:cs="Arial"/>
      <w:b/>
      <w:sz w:val="22"/>
      <w:szCs w:val="22"/>
      <w:lang w:val="en-US" w:eastAsia="en-US"/>
    </w:rPr>
  </w:style>
  <w:style w:type="paragraph" w:customStyle="1" w:styleId="PIHeading3italics">
    <w:name w:val="PI Heading 3 italics"/>
    <w:basedOn w:val="Normal"/>
    <w:link w:val="PIHeading3italicsChar"/>
    <w:qFormat/>
    <w:rsid w:val="008C23B6"/>
    <w:pPr>
      <w:spacing w:after="0" w:line="240" w:lineRule="auto"/>
    </w:pPr>
    <w:rPr>
      <w:rFonts w:ascii="Arial" w:hAnsi="Arial" w:cs="Arial"/>
      <w:i/>
      <w:lang w:val="en-US"/>
    </w:rPr>
  </w:style>
  <w:style w:type="character" w:customStyle="1" w:styleId="PIHeading3undelinedChar">
    <w:name w:val="PI Heading 3 undelined Char"/>
    <w:link w:val="PIHeading3undelined"/>
    <w:rsid w:val="008C23B6"/>
    <w:rPr>
      <w:rFonts w:ascii="Arial" w:hAnsi="Arial" w:cs="Arial"/>
      <w:sz w:val="22"/>
      <w:szCs w:val="22"/>
      <w:u w:val="single"/>
      <w:lang w:val="en-US" w:eastAsia="en-US"/>
    </w:rPr>
  </w:style>
  <w:style w:type="paragraph" w:styleId="Revision">
    <w:name w:val="Revision"/>
    <w:hidden/>
    <w:uiPriority w:val="99"/>
    <w:semiHidden/>
    <w:rsid w:val="00B302CA"/>
    <w:rPr>
      <w:sz w:val="22"/>
      <w:szCs w:val="22"/>
      <w:lang w:eastAsia="en-US"/>
    </w:rPr>
  </w:style>
  <w:style w:type="character" w:customStyle="1" w:styleId="PIHeading3italicsChar">
    <w:name w:val="PI Heading 3 italics Char"/>
    <w:link w:val="PIHeading3italics"/>
    <w:rsid w:val="008C23B6"/>
    <w:rPr>
      <w:rFonts w:ascii="Arial" w:hAnsi="Arial" w:cs="Arial"/>
      <w:i/>
      <w:sz w:val="22"/>
      <w:szCs w:val="22"/>
      <w:lang w:val="en-US" w:eastAsia="en-US"/>
    </w:rPr>
  </w:style>
  <w:style w:type="paragraph" w:customStyle="1" w:styleId="TableNotes">
    <w:name w:val="Table Notes"/>
    <w:basedOn w:val="ListParagraph"/>
    <w:locked/>
    <w:rsid w:val="00097F7C"/>
    <w:pPr>
      <w:numPr>
        <w:numId w:val="9"/>
      </w:numPr>
      <w:tabs>
        <w:tab w:val="num" w:pos="360"/>
      </w:tabs>
      <w:spacing w:after="200" w:line="276" w:lineRule="auto"/>
      <w:ind w:firstLine="0"/>
      <w:contextualSpacing/>
    </w:pPr>
    <w:rPr>
      <w:rFonts w:eastAsia="Times New Roman"/>
      <w:sz w:val="18"/>
      <w:lang w:val="en-CA" w:eastAsia="en-US"/>
    </w:rPr>
  </w:style>
  <w:style w:type="paragraph" w:styleId="NormalWeb">
    <w:name w:val="Normal (Web)"/>
    <w:basedOn w:val="Normal"/>
    <w:uiPriority w:val="99"/>
    <w:semiHidden/>
    <w:unhideWhenUsed/>
    <w:rsid w:val="00433C48"/>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520"/>
    <w:pPr>
      <w:spacing w:after="200" w:line="276" w:lineRule="auto"/>
    </w:pPr>
    <w:rPr>
      <w:sz w:val="22"/>
      <w:szCs w:val="22"/>
      <w:lang w:eastAsia="en-US"/>
    </w:rPr>
  </w:style>
  <w:style w:type="paragraph" w:styleId="Heading1">
    <w:name w:val="heading 1"/>
    <w:aliases w:val="Bayer-Heading 1"/>
    <w:basedOn w:val="Normal"/>
    <w:next w:val="BayerBodyTextFull"/>
    <w:link w:val="Heading1Char"/>
    <w:qFormat/>
    <w:rsid w:val="007E241E"/>
    <w:pPr>
      <w:keepNext/>
      <w:numPr>
        <w:numId w:val="1"/>
      </w:numPr>
      <w:tabs>
        <w:tab w:val="left" w:pos="1134"/>
      </w:tabs>
      <w:spacing w:before="240" w:after="120" w:line="240" w:lineRule="auto"/>
      <w:outlineLvl w:val="0"/>
    </w:pPr>
    <w:rPr>
      <w:rFonts w:ascii="Times New Roman" w:eastAsia="Times New Roman" w:hAnsi="Times New Roman"/>
      <w:b/>
      <w:kern w:val="28"/>
      <w:sz w:val="28"/>
      <w:szCs w:val="20"/>
      <w:lang w:val="en-US"/>
    </w:rPr>
  </w:style>
  <w:style w:type="paragraph" w:styleId="Heading2">
    <w:name w:val="heading 2"/>
    <w:aliases w:val="Bayer-Heading 2"/>
    <w:basedOn w:val="Heading1"/>
    <w:next w:val="BayerBodyTextFull"/>
    <w:link w:val="Heading2Char"/>
    <w:qFormat/>
    <w:rsid w:val="007E241E"/>
    <w:pPr>
      <w:numPr>
        <w:ilvl w:val="1"/>
      </w:numPr>
      <w:outlineLvl w:val="1"/>
    </w:pPr>
    <w:rPr>
      <w:sz w:val="26"/>
    </w:rPr>
  </w:style>
  <w:style w:type="paragraph" w:styleId="Heading3">
    <w:name w:val="heading 3"/>
    <w:aliases w:val="Bayer-Heading 3"/>
    <w:basedOn w:val="Heading1"/>
    <w:next w:val="BayerBodyTextFull"/>
    <w:link w:val="Heading3Char"/>
    <w:qFormat/>
    <w:rsid w:val="007E241E"/>
    <w:pPr>
      <w:numPr>
        <w:ilvl w:val="2"/>
      </w:numPr>
      <w:outlineLvl w:val="2"/>
    </w:pPr>
    <w:rPr>
      <w:sz w:val="26"/>
    </w:rPr>
  </w:style>
  <w:style w:type="paragraph" w:styleId="Heading4">
    <w:name w:val="heading 4"/>
    <w:aliases w:val="Bayer-Heading 4"/>
    <w:basedOn w:val="Heading1"/>
    <w:next w:val="BayerBodyTextFull"/>
    <w:link w:val="Heading4Char"/>
    <w:qFormat/>
    <w:rsid w:val="007E241E"/>
    <w:pPr>
      <w:numPr>
        <w:ilvl w:val="3"/>
      </w:numPr>
      <w:outlineLvl w:val="3"/>
    </w:pPr>
    <w:rPr>
      <w:sz w:val="26"/>
    </w:rPr>
  </w:style>
  <w:style w:type="paragraph" w:styleId="Heading5">
    <w:name w:val="heading 5"/>
    <w:aliases w:val="Bayer-Heading 5"/>
    <w:basedOn w:val="Heading1"/>
    <w:next w:val="BayerBodyTextFull"/>
    <w:link w:val="Heading5Char"/>
    <w:qFormat/>
    <w:rsid w:val="007E241E"/>
    <w:pPr>
      <w:numPr>
        <w:ilvl w:val="4"/>
      </w:numPr>
      <w:outlineLvl w:val="4"/>
    </w:pPr>
    <w:rPr>
      <w:sz w:val="26"/>
    </w:rPr>
  </w:style>
  <w:style w:type="paragraph" w:styleId="Heading6">
    <w:name w:val="heading 6"/>
    <w:aliases w:val="Bayer-Heading 6"/>
    <w:basedOn w:val="Heading1"/>
    <w:next w:val="BayerBodyTextFull"/>
    <w:link w:val="Heading6Char"/>
    <w:qFormat/>
    <w:rsid w:val="007E241E"/>
    <w:pPr>
      <w:numPr>
        <w:ilvl w:val="5"/>
      </w:numPr>
      <w:outlineLvl w:val="5"/>
    </w:pPr>
    <w:rPr>
      <w:sz w:val="26"/>
    </w:rPr>
  </w:style>
  <w:style w:type="paragraph" w:styleId="Heading7">
    <w:name w:val="heading 7"/>
    <w:aliases w:val="Bayer-Heading 7"/>
    <w:basedOn w:val="Heading1"/>
    <w:next w:val="BayerBodyTextFull"/>
    <w:link w:val="Heading7Char"/>
    <w:qFormat/>
    <w:rsid w:val="007E241E"/>
    <w:pPr>
      <w:numPr>
        <w:ilvl w:val="6"/>
      </w:numPr>
      <w:outlineLvl w:val="6"/>
    </w:pPr>
    <w:rPr>
      <w:sz w:val="26"/>
    </w:rPr>
  </w:style>
  <w:style w:type="paragraph" w:styleId="Heading8">
    <w:name w:val="heading 8"/>
    <w:aliases w:val="Bayer-Heading 8"/>
    <w:basedOn w:val="Heading1"/>
    <w:next w:val="BayerBodyTextFull"/>
    <w:link w:val="Heading8Char"/>
    <w:qFormat/>
    <w:rsid w:val="007E241E"/>
    <w:pPr>
      <w:numPr>
        <w:ilvl w:val="7"/>
      </w:numPr>
      <w:spacing w:after="60"/>
      <w:outlineLvl w:val="7"/>
    </w:pPr>
    <w:rPr>
      <w:sz w:val="26"/>
    </w:rPr>
  </w:style>
  <w:style w:type="paragraph" w:styleId="Heading9">
    <w:name w:val="heading 9"/>
    <w:aliases w:val="Bayer-Heading 9"/>
    <w:basedOn w:val="Heading1"/>
    <w:next w:val="BayerBodyTextFull"/>
    <w:link w:val="Heading9Char"/>
    <w:qFormat/>
    <w:rsid w:val="007E241E"/>
    <w:pPr>
      <w:numPr>
        <w:ilvl w:val="8"/>
      </w:numPr>
      <w:spacing w:after="60"/>
      <w:outlineLvl w:val="8"/>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DEB"/>
    <w:pPr>
      <w:tabs>
        <w:tab w:val="center" w:pos="4513"/>
        <w:tab w:val="right" w:pos="9026"/>
      </w:tabs>
    </w:pPr>
  </w:style>
  <w:style w:type="character" w:customStyle="1" w:styleId="HeaderChar">
    <w:name w:val="Header Char"/>
    <w:link w:val="Header"/>
    <w:uiPriority w:val="99"/>
    <w:rsid w:val="00462DEB"/>
    <w:rPr>
      <w:sz w:val="22"/>
      <w:szCs w:val="22"/>
      <w:lang w:eastAsia="en-US"/>
    </w:rPr>
  </w:style>
  <w:style w:type="paragraph" w:styleId="Footer">
    <w:name w:val="footer"/>
    <w:basedOn w:val="Normal"/>
    <w:link w:val="FooterChar"/>
    <w:uiPriority w:val="99"/>
    <w:unhideWhenUsed/>
    <w:rsid w:val="00462DEB"/>
    <w:pPr>
      <w:tabs>
        <w:tab w:val="center" w:pos="4513"/>
        <w:tab w:val="right" w:pos="9026"/>
      </w:tabs>
    </w:pPr>
  </w:style>
  <w:style w:type="character" w:customStyle="1" w:styleId="FooterChar">
    <w:name w:val="Footer Char"/>
    <w:link w:val="Footer"/>
    <w:uiPriority w:val="99"/>
    <w:rsid w:val="00462DEB"/>
    <w:rPr>
      <w:sz w:val="22"/>
      <w:szCs w:val="22"/>
      <w:lang w:eastAsia="en-US"/>
    </w:rPr>
  </w:style>
  <w:style w:type="paragraph" w:customStyle="1" w:styleId="BayerBodyTextFull">
    <w:name w:val="Bayer Body Text Full"/>
    <w:basedOn w:val="Normal"/>
    <w:link w:val="BayerBodyTextFullZchn"/>
    <w:qFormat/>
    <w:rsid w:val="00E02770"/>
    <w:pPr>
      <w:spacing w:before="120" w:after="120" w:line="240" w:lineRule="auto"/>
    </w:pPr>
    <w:rPr>
      <w:rFonts w:ascii="Times New Roman" w:eastAsia="Times New Roman" w:hAnsi="Times New Roman"/>
      <w:sz w:val="24"/>
      <w:szCs w:val="20"/>
      <w:lang w:val="en-US"/>
    </w:rPr>
  </w:style>
  <w:style w:type="paragraph" w:customStyle="1" w:styleId="BayerBibliography">
    <w:name w:val="Bayer Bibliography"/>
    <w:basedOn w:val="Normal"/>
    <w:rsid w:val="00E02770"/>
    <w:pPr>
      <w:spacing w:after="120" w:line="240" w:lineRule="auto"/>
      <w:ind w:left="567" w:hanging="567"/>
    </w:pPr>
    <w:rPr>
      <w:rFonts w:ascii="Times New Roman" w:eastAsia="Times New Roman" w:hAnsi="Times New Roman"/>
      <w:sz w:val="24"/>
      <w:szCs w:val="20"/>
      <w:lang w:val="en-US"/>
    </w:rPr>
  </w:style>
  <w:style w:type="paragraph" w:styleId="EndnoteText">
    <w:name w:val="endnote text"/>
    <w:basedOn w:val="Normal"/>
    <w:link w:val="EndnoteTextChar"/>
    <w:semiHidden/>
    <w:rsid w:val="00E02770"/>
    <w:pPr>
      <w:spacing w:after="0" w:line="240" w:lineRule="auto"/>
    </w:pPr>
    <w:rPr>
      <w:rFonts w:ascii="Times New Roman" w:eastAsia="Times New Roman" w:hAnsi="Times New Roman"/>
      <w:sz w:val="20"/>
      <w:szCs w:val="20"/>
      <w:lang w:val="en-US"/>
    </w:rPr>
  </w:style>
  <w:style w:type="character" w:customStyle="1" w:styleId="EndnoteTextChar">
    <w:name w:val="Endnote Text Char"/>
    <w:link w:val="EndnoteText"/>
    <w:semiHidden/>
    <w:rsid w:val="00E02770"/>
    <w:rPr>
      <w:rFonts w:ascii="Times New Roman" w:eastAsia="Times New Roman" w:hAnsi="Times New Roman"/>
      <w:lang w:val="en-US" w:eastAsia="en-US"/>
    </w:rPr>
  </w:style>
  <w:style w:type="character" w:styleId="EndnoteReference">
    <w:name w:val="endnote reference"/>
    <w:semiHidden/>
    <w:rsid w:val="00E02770"/>
    <w:rPr>
      <w:bdr w:val="none" w:sz="0" w:space="0" w:color="auto"/>
      <w:shd w:val="clear" w:color="auto" w:fill="C0C0C0"/>
      <w:vertAlign w:val="superscript"/>
    </w:rPr>
  </w:style>
  <w:style w:type="character" w:customStyle="1" w:styleId="BayerBodyTextFullZchn">
    <w:name w:val="Bayer Body Text Full Zchn"/>
    <w:link w:val="BayerBodyTextFull"/>
    <w:rsid w:val="00E02770"/>
    <w:rPr>
      <w:rFonts w:ascii="Times New Roman" w:eastAsia="Times New Roman" w:hAnsi="Times New Roman"/>
      <w:sz w:val="24"/>
      <w:lang w:val="en-US" w:eastAsia="en-US"/>
    </w:rPr>
  </w:style>
  <w:style w:type="character" w:customStyle="1" w:styleId="Heading1Char">
    <w:name w:val="Heading 1 Char"/>
    <w:aliases w:val="Bayer-Heading 1 Char"/>
    <w:link w:val="Heading1"/>
    <w:rsid w:val="007E241E"/>
    <w:rPr>
      <w:rFonts w:ascii="Times New Roman" w:eastAsia="Times New Roman" w:hAnsi="Times New Roman"/>
      <w:b/>
      <w:kern w:val="28"/>
      <w:sz w:val="28"/>
      <w:lang w:val="en-US" w:eastAsia="en-US"/>
    </w:rPr>
  </w:style>
  <w:style w:type="character" w:customStyle="1" w:styleId="Heading2Char">
    <w:name w:val="Heading 2 Char"/>
    <w:aliases w:val="Bayer-Heading 2 Char"/>
    <w:link w:val="Heading2"/>
    <w:rsid w:val="007E241E"/>
    <w:rPr>
      <w:rFonts w:ascii="Times New Roman" w:eastAsia="Times New Roman" w:hAnsi="Times New Roman"/>
      <w:b/>
      <w:kern w:val="28"/>
      <w:sz w:val="26"/>
      <w:lang w:val="en-US" w:eastAsia="en-US"/>
    </w:rPr>
  </w:style>
  <w:style w:type="character" w:customStyle="1" w:styleId="Heading3Char">
    <w:name w:val="Heading 3 Char"/>
    <w:aliases w:val="Bayer-Heading 3 Char"/>
    <w:link w:val="Heading3"/>
    <w:rsid w:val="007E241E"/>
    <w:rPr>
      <w:rFonts w:ascii="Times New Roman" w:eastAsia="Times New Roman" w:hAnsi="Times New Roman"/>
      <w:b/>
      <w:kern w:val="28"/>
      <w:sz w:val="26"/>
      <w:lang w:val="en-US" w:eastAsia="en-US"/>
    </w:rPr>
  </w:style>
  <w:style w:type="character" w:customStyle="1" w:styleId="Heading4Char">
    <w:name w:val="Heading 4 Char"/>
    <w:aliases w:val="Bayer-Heading 4 Char"/>
    <w:link w:val="Heading4"/>
    <w:rsid w:val="007E241E"/>
    <w:rPr>
      <w:rFonts w:ascii="Times New Roman" w:eastAsia="Times New Roman" w:hAnsi="Times New Roman"/>
      <w:b/>
      <w:kern w:val="28"/>
      <w:sz w:val="26"/>
      <w:lang w:val="en-US" w:eastAsia="en-US"/>
    </w:rPr>
  </w:style>
  <w:style w:type="character" w:customStyle="1" w:styleId="Heading5Char">
    <w:name w:val="Heading 5 Char"/>
    <w:aliases w:val="Bayer-Heading 5 Char"/>
    <w:link w:val="Heading5"/>
    <w:rsid w:val="007E241E"/>
    <w:rPr>
      <w:rFonts w:ascii="Times New Roman" w:eastAsia="Times New Roman" w:hAnsi="Times New Roman"/>
      <w:b/>
      <w:kern w:val="28"/>
      <w:sz w:val="26"/>
      <w:lang w:val="en-US" w:eastAsia="en-US"/>
    </w:rPr>
  </w:style>
  <w:style w:type="character" w:customStyle="1" w:styleId="Heading6Char">
    <w:name w:val="Heading 6 Char"/>
    <w:aliases w:val="Bayer-Heading 6 Char"/>
    <w:link w:val="Heading6"/>
    <w:rsid w:val="007E241E"/>
    <w:rPr>
      <w:rFonts w:ascii="Times New Roman" w:eastAsia="Times New Roman" w:hAnsi="Times New Roman"/>
      <w:b/>
      <w:kern w:val="28"/>
      <w:sz w:val="26"/>
      <w:lang w:val="en-US" w:eastAsia="en-US"/>
    </w:rPr>
  </w:style>
  <w:style w:type="character" w:customStyle="1" w:styleId="Heading7Char">
    <w:name w:val="Heading 7 Char"/>
    <w:aliases w:val="Bayer-Heading 7 Char"/>
    <w:link w:val="Heading7"/>
    <w:rsid w:val="007E241E"/>
    <w:rPr>
      <w:rFonts w:ascii="Times New Roman" w:eastAsia="Times New Roman" w:hAnsi="Times New Roman"/>
      <w:b/>
      <w:kern w:val="28"/>
      <w:sz w:val="26"/>
      <w:lang w:val="en-US" w:eastAsia="en-US"/>
    </w:rPr>
  </w:style>
  <w:style w:type="character" w:customStyle="1" w:styleId="Heading8Char">
    <w:name w:val="Heading 8 Char"/>
    <w:aliases w:val="Bayer-Heading 8 Char"/>
    <w:link w:val="Heading8"/>
    <w:rsid w:val="007E241E"/>
    <w:rPr>
      <w:rFonts w:ascii="Times New Roman" w:eastAsia="Times New Roman" w:hAnsi="Times New Roman"/>
      <w:b/>
      <w:kern w:val="28"/>
      <w:sz w:val="26"/>
      <w:lang w:val="en-US" w:eastAsia="en-US"/>
    </w:rPr>
  </w:style>
  <w:style w:type="character" w:customStyle="1" w:styleId="Heading9Char">
    <w:name w:val="Heading 9 Char"/>
    <w:aliases w:val="Bayer-Heading 9 Char"/>
    <w:link w:val="Heading9"/>
    <w:rsid w:val="007E241E"/>
    <w:rPr>
      <w:rFonts w:ascii="Times New Roman" w:eastAsia="Times New Roman" w:hAnsi="Times New Roman"/>
      <w:b/>
      <w:kern w:val="28"/>
      <w:sz w:val="26"/>
      <w:lang w:val="en-US" w:eastAsia="en-US"/>
    </w:rPr>
  </w:style>
  <w:style w:type="paragraph" w:customStyle="1" w:styleId="BulletBayerBodyText">
    <w:name w:val="Bullet Bayer Body Text"/>
    <w:basedOn w:val="Normal"/>
    <w:rsid w:val="005067F2"/>
    <w:pPr>
      <w:numPr>
        <w:numId w:val="3"/>
      </w:numPr>
      <w:tabs>
        <w:tab w:val="left" w:pos="1264"/>
      </w:tabs>
      <w:spacing w:after="120" w:line="240" w:lineRule="auto"/>
    </w:pPr>
    <w:rPr>
      <w:rFonts w:ascii="Times New Roman" w:eastAsia="Times New Roman" w:hAnsi="Times New Roman"/>
      <w:sz w:val="24"/>
      <w:szCs w:val="20"/>
      <w:lang w:val="en-US"/>
    </w:rPr>
  </w:style>
  <w:style w:type="character" w:styleId="Hyperlink">
    <w:name w:val="Hyperlink"/>
    <w:uiPriority w:val="99"/>
    <w:rsid w:val="005067F2"/>
    <w:rPr>
      <w:color w:val="0000FF"/>
      <w:u w:val="single"/>
    </w:rPr>
  </w:style>
  <w:style w:type="paragraph" w:customStyle="1" w:styleId="BayerTableRowHeadings">
    <w:name w:val="Bayer Table Row Headings"/>
    <w:basedOn w:val="Normal"/>
    <w:link w:val="BayerTableRowHeadingsChar"/>
    <w:rsid w:val="00D01072"/>
    <w:pPr>
      <w:spacing w:before="120" w:after="120" w:line="240" w:lineRule="auto"/>
    </w:pPr>
    <w:rPr>
      <w:rFonts w:ascii="Times New Roman" w:eastAsia="Times New Roman" w:hAnsi="Times New Roman"/>
      <w:szCs w:val="20"/>
      <w:lang w:val="en-US"/>
    </w:rPr>
  </w:style>
  <w:style w:type="paragraph" w:customStyle="1" w:styleId="BayerTableColumnHeadings">
    <w:name w:val="Bayer Table Column Headings"/>
    <w:basedOn w:val="Normal"/>
    <w:link w:val="BayerTableColumnHeadingsChar"/>
    <w:uiPriority w:val="99"/>
    <w:qFormat/>
    <w:rsid w:val="00D01072"/>
    <w:pPr>
      <w:keepNext/>
      <w:spacing w:after="0" w:line="240" w:lineRule="auto"/>
      <w:jc w:val="center"/>
    </w:pPr>
    <w:rPr>
      <w:rFonts w:ascii="Times New Roman" w:eastAsia="Times New Roman" w:hAnsi="Times New Roman"/>
      <w:b/>
      <w:szCs w:val="20"/>
      <w:lang w:val="en-US"/>
    </w:rPr>
  </w:style>
  <w:style w:type="paragraph" w:customStyle="1" w:styleId="BayerTableFootnote">
    <w:name w:val="Bayer Table Footnote"/>
    <w:basedOn w:val="Normal"/>
    <w:link w:val="BayerTableFootnoteChar"/>
    <w:uiPriority w:val="99"/>
    <w:rsid w:val="00D01072"/>
    <w:pPr>
      <w:widowControl w:val="0"/>
      <w:spacing w:before="120" w:after="120" w:line="240" w:lineRule="auto"/>
      <w:ind w:left="357" w:hanging="357"/>
    </w:pPr>
    <w:rPr>
      <w:rFonts w:ascii="Times New Roman" w:eastAsia="Times New Roman" w:hAnsi="Times New Roman"/>
      <w:sz w:val="20"/>
      <w:szCs w:val="20"/>
      <w:lang w:val="en-US"/>
    </w:rPr>
  </w:style>
  <w:style w:type="paragraph" w:customStyle="1" w:styleId="BayerTableStyleCentered">
    <w:name w:val="Bayer TableStyle Centered"/>
    <w:basedOn w:val="Normal"/>
    <w:link w:val="BayerTableStyleCenteredZchn"/>
    <w:uiPriority w:val="99"/>
    <w:rsid w:val="00D01072"/>
    <w:pPr>
      <w:widowControl w:val="0"/>
      <w:spacing w:before="120" w:after="120" w:line="240" w:lineRule="auto"/>
      <w:jc w:val="center"/>
    </w:pPr>
    <w:rPr>
      <w:rFonts w:ascii="Times New Roman" w:eastAsia="Times New Roman" w:hAnsi="Times New Roman"/>
      <w:szCs w:val="20"/>
      <w:lang w:val="en-US"/>
    </w:rPr>
  </w:style>
  <w:style w:type="paragraph" w:styleId="Caption">
    <w:name w:val="caption"/>
    <w:aliases w:val="Bayer Caption"/>
    <w:basedOn w:val="Normal"/>
    <w:next w:val="Normal"/>
    <w:qFormat/>
    <w:rsid w:val="00D01072"/>
    <w:pPr>
      <w:keepNext/>
      <w:spacing w:before="120" w:after="120" w:line="240" w:lineRule="auto"/>
      <w:ind w:left="907"/>
    </w:pPr>
    <w:rPr>
      <w:rFonts w:ascii="Times New Roman" w:eastAsia="Times New Roman" w:hAnsi="Times New Roman"/>
      <w:b/>
      <w:szCs w:val="20"/>
      <w:lang w:val="en-US"/>
    </w:rPr>
  </w:style>
  <w:style w:type="character" w:customStyle="1" w:styleId="BayerTableStyleCenteredZchn">
    <w:name w:val="Bayer TableStyle Centered Zchn"/>
    <w:link w:val="BayerTableStyleCentered"/>
    <w:uiPriority w:val="99"/>
    <w:rsid w:val="00D01072"/>
    <w:rPr>
      <w:rFonts w:ascii="Times New Roman" w:eastAsia="Times New Roman" w:hAnsi="Times New Roman"/>
      <w:sz w:val="22"/>
      <w:lang w:val="en-US" w:eastAsia="en-US"/>
    </w:rPr>
  </w:style>
  <w:style w:type="character" w:customStyle="1" w:styleId="BayerTableColumnHeadingsChar">
    <w:name w:val="Bayer Table Column Headings Char"/>
    <w:link w:val="BayerTableColumnHeadings"/>
    <w:uiPriority w:val="99"/>
    <w:rsid w:val="00D01072"/>
    <w:rPr>
      <w:rFonts w:ascii="Times New Roman" w:eastAsia="Times New Roman" w:hAnsi="Times New Roman"/>
      <w:b/>
      <w:sz w:val="22"/>
      <w:lang w:val="en-US" w:eastAsia="en-US"/>
    </w:rPr>
  </w:style>
  <w:style w:type="character" w:customStyle="1" w:styleId="BayerTableRowHeadingsChar">
    <w:name w:val="Bayer Table Row Headings Char"/>
    <w:link w:val="BayerTableRowHeadings"/>
    <w:locked/>
    <w:rsid w:val="00D01072"/>
    <w:rPr>
      <w:rFonts w:ascii="Times New Roman" w:eastAsia="Times New Roman" w:hAnsi="Times New Roman"/>
      <w:sz w:val="22"/>
      <w:lang w:val="en-US" w:eastAsia="en-US"/>
    </w:rPr>
  </w:style>
  <w:style w:type="character" w:customStyle="1" w:styleId="BayerTableFootnoteChar">
    <w:name w:val="Bayer Table Footnote Char"/>
    <w:link w:val="BayerTableFootnote"/>
    <w:uiPriority w:val="99"/>
    <w:rsid w:val="00D01072"/>
    <w:rPr>
      <w:rFonts w:ascii="Times New Roman" w:eastAsia="Times New Roman" w:hAnsi="Times New Roman"/>
      <w:lang w:val="en-US" w:eastAsia="en-US"/>
    </w:rPr>
  </w:style>
  <w:style w:type="character" w:customStyle="1" w:styleId="BayerBodyTextFullChar">
    <w:name w:val="Bayer Body Text Full Char"/>
    <w:rsid w:val="00D60B3F"/>
    <w:rPr>
      <w:sz w:val="24"/>
      <w:lang w:val="en-US" w:eastAsia="en-US" w:bidi="ar-SA"/>
    </w:rPr>
  </w:style>
  <w:style w:type="paragraph" w:styleId="ListParagraph">
    <w:name w:val="List Paragraph"/>
    <w:basedOn w:val="Normal"/>
    <w:uiPriority w:val="34"/>
    <w:qFormat/>
    <w:rsid w:val="00D60B3F"/>
    <w:pPr>
      <w:spacing w:after="0" w:line="240" w:lineRule="auto"/>
      <w:ind w:left="720"/>
    </w:pPr>
    <w:rPr>
      <w:rFonts w:ascii="Times New Roman" w:hAnsi="Times New Roman"/>
      <w:sz w:val="24"/>
      <w:szCs w:val="24"/>
      <w:lang w:val="de-DE" w:eastAsia="de-DE"/>
    </w:rPr>
  </w:style>
  <w:style w:type="paragraph" w:styleId="BodyText">
    <w:name w:val="Body Text"/>
    <w:aliases w:val="Char"/>
    <w:basedOn w:val="Normal"/>
    <w:link w:val="BodyTextChar"/>
    <w:uiPriority w:val="99"/>
    <w:rsid w:val="009257F9"/>
    <w:pPr>
      <w:spacing w:before="120" w:after="120" w:line="240" w:lineRule="auto"/>
      <w:jc w:val="both"/>
    </w:pPr>
    <w:rPr>
      <w:rFonts w:ascii="Times New Roman" w:eastAsia="Times New Roman" w:hAnsi="Times New Roman"/>
      <w:sz w:val="24"/>
      <w:szCs w:val="20"/>
      <w:lang w:val="en-GB" w:eastAsia="nb-NO"/>
    </w:rPr>
  </w:style>
  <w:style w:type="character" w:customStyle="1" w:styleId="BodyTextChar">
    <w:name w:val="Body Text Char"/>
    <w:aliases w:val="Char Char"/>
    <w:link w:val="BodyText"/>
    <w:uiPriority w:val="99"/>
    <w:rsid w:val="009257F9"/>
    <w:rPr>
      <w:rFonts w:ascii="Times New Roman" w:eastAsia="Times New Roman" w:hAnsi="Times New Roman"/>
      <w:sz w:val="24"/>
      <w:lang w:val="en-GB" w:eastAsia="nb-NO"/>
    </w:rPr>
  </w:style>
  <w:style w:type="table" w:styleId="TableGrid">
    <w:name w:val="Table Grid"/>
    <w:basedOn w:val="TableNormal"/>
    <w:uiPriority w:val="59"/>
    <w:rsid w:val="0071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294E68"/>
    <w:rPr>
      <w:sz w:val="16"/>
      <w:szCs w:val="16"/>
    </w:rPr>
  </w:style>
  <w:style w:type="paragraph" w:styleId="CommentText">
    <w:name w:val="annotation text"/>
    <w:basedOn w:val="Normal"/>
    <w:link w:val="CommentTextChar"/>
    <w:unhideWhenUsed/>
    <w:rsid w:val="00294E68"/>
    <w:rPr>
      <w:sz w:val="20"/>
      <w:szCs w:val="20"/>
    </w:rPr>
  </w:style>
  <w:style w:type="character" w:customStyle="1" w:styleId="CommentTextChar">
    <w:name w:val="Comment Text Char"/>
    <w:link w:val="CommentText"/>
    <w:rsid w:val="00294E68"/>
    <w:rPr>
      <w:lang w:eastAsia="en-US"/>
    </w:rPr>
  </w:style>
  <w:style w:type="paragraph" w:styleId="CommentSubject">
    <w:name w:val="annotation subject"/>
    <w:basedOn w:val="CommentText"/>
    <w:next w:val="CommentText"/>
    <w:link w:val="CommentSubjectChar"/>
    <w:uiPriority w:val="99"/>
    <w:semiHidden/>
    <w:unhideWhenUsed/>
    <w:rsid w:val="00294E68"/>
    <w:rPr>
      <w:b/>
      <w:bCs/>
    </w:rPr>
  </w:style>
  <w:style w:type="character" w:customStyle="1" w:styleId="CommentSubjectChar">
    <w:name w:val="Comment Subject Char"/>
    <w:link w:val="CommentSubject"/>
    <w:uiPriority w:val="99"/>
    <w:semiHidden/>
    <w:rsid w:val="00294E68"/>
    <w:rPr>
      <w:b/>
      <w:bCs/>
      <w:lang w:eastAsia="en-US"/>
    </w:rPr>
  </w:style>
  <w:style w:type="paragraph" w:styleId="BalloonText">
    <w:name w:val="Balloon Text"/>
    <w:basedOn w:val="Normal"/>
    <w:link w:val="BalloonTextChar"/>
    <w:uiPriority w:val="99"/>
    <w:semiHidden/>
    <w:unhideWhenUsed/>
    <w:rsid w:val="00294E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94E68"/>
    <w:rPr>
      <w:rFonts w:ascii="Tahoma" w:hAnsi="Tahoma" w:cs="Tahoma"/>
      <w:sz w:val="16"/>
      <w:szCs w:val="16"/>
      <w:lang w:eastAsia="en-US"/>
    </w:rPr>
  </w:style>
  <w:style w:type="paragraph" w:customStyle="1" w:styleId="PIheader">
    <w:name w:val="PI header"/>
    <w:basedOn w:val="Normal"/>
    <w:link w:val="PIheaderChar"/>
    <w:qFormat/>
    <w:rsid w:val="008C23B6"/>
    <w:pPr>
      <w:spacing w:after="0" w:line="240" w:lineRule="auto"/>
      <w:jc w:val="center"/>
    </w:pPr>
    <w:rPr>
      <w:rFonts w:ascii="Arial" w:hAnsi="Arial" w:cs="Arial"/>
      <w:b/>
    </w:rPr>
  </w:style>
  <w:style w:type="paragraph" w:customStyle="1" w:styleId="PIHeading1">
    <w:name w:val="PI Heading 1"/>
    <w:basedOn w:val="Normal"/>
    <w:link w:val="PIHeading1Char"/>
    <w:qFormat/>
    <w:rsid w:val="008C23B6"/>
    <w:pPr>
      <w:spacing w:after="0" w:line="240" w:lineRule="auto"/>
    </w:pPr>
    <w:rPr>
      <w:rFonts w:ascii="Arial" w:hAnsi="Arial" w:cs="Arial"/>
      <w:b/>
      <w:lang w:eastAsia="en-AU"/>
    </w:rPr>
  </w:style>
  <w:style w:type="character" w:customStyle="1" w:styleId="PIheaderChar">
    <w:name w:val="PI header Char"/>
    <w:link w:val="PIheader"/>
    <w:rsid w:val="008C23B6"/>
    <w:rPr>
      <w:rFonts w:ascii="Arial" w:hAnsi="Arial" w:cs="Arial"/>
      <w:b/>
      <w:sz w:val="22"/>
      <w:szCs w:val="22"/>
      <w:lang w:eastAsia="en-US"/>
    </w:rPr>
  </w:style>
  <w:style w:type="paragraph" w:customStyle="1" w:styleId="PIHeading2">
    <w:name w:val="PI Heading 2"/>
    <w:basedOn w:val="BayerBodyTextFull"/>
    <w:link w:val="PIHeading2Char"/>
    <w:qFormat/>
    <w:rsid w:val="008C23B6"/>
    <w:pPr>
      <w:keepNext/>
      <w:spacing w:before="0" w:after="0"/>
    </w:pPr>
    <w:rPr>
      <w:rFonts w:ascii="Arial" w:hAnsi="Arial" w:cs="Arial"/>
      <w:b/>
      <w:sz w:val="22"/>
      <w:szCs w:val="22"/>
    </w:rPr>
  </w:style>
  <w:style w:type="character" w:customStyle="1" w:styleId="PIHeading1Char">
    <w:name w:val="PI Heading 1 Char"/>
    <w:link w:val="PIHeading1"/>
    <w:rsid w:val="008C23B6"/>
    <w:rPr>
      <w:rFonts w:ascii="Arial" w:hAnsi="Arial" w:cs="Arial"/>
      <w:b/>
      <w:sz w:val="22"/>
      <w:szCs w:val="22"/>
    </w:rPr>
  </w:style>
  <w:style w:type="paragraph" w:customStyle="1" w:styleId="PIHeading3undelined">
    <w:name w:val="PI Heading 3 undelined"/>
    <w:basedOn w:val="Normal"/>
    <w:link w:val="PIHeading3undelinedChar"/>
    <w:qFormat/>
    <w:rsid w:val="008C23B6"/>
    <w:pPr>
      <w:tabs>
        <w:tab w:val="left" w:pos="2835"/>
      </w:tabs>
      <w:spacing w:after="0" w:line="240" w:lineRule="auto"/>
      <w:ind w:left="2835" w:hanging="2835"/>
    </w:pPr>
    <w:rPr>
      <w:rFonts w:ascii="Arial" w:hAnsi="Arial" w:cs="Arial"/>
      <w:u w:val="single"/>
      <w:lang w:val="en-US"/>
    </w:rPr>
  </w:style>
  <w:style w:type="character" w:customStyle="1" w:styleId="PIHeading2Char">
    <w:name w:val="PI Heading 2 Char"/>
    <w:link w:val="PIHeading2"/>
    <w:rsid w:val="008C23B6"/>
    <w:rPr>
      <w:rFonts w:ascii="Arial" w:eastAsia="Times New Roman" w:hAnsi="Arial" w:cs="Arial"/>
      <w:b/>
      <w:sz w:val="22"/>
      <w:szCs w:val="22"/>
      <w:lang w:val="en-US" w:eastAsia="en-US"/>
    </w:rPr>
  </w:style>
  <w:style w:type="paragraph" w:customStyle="1" w:styleId="PIHeading3italics">
    <w:name w:val="PI Heading 3 italics"/>
    <w:basedOn w:val="Normal"/>
    <w:link w:val="PIHeading3italicsChar"/>
    <w:qFormat/>
    <w:rsid w:val="008C23B6"/>
    <w:pPr>
      <w:spacing w:after="0" w:line="240" w:lineRule="auto"/>
    </w:pPr>
    <w:rPr>
      <w:rFonts w:ascii="Arial" w:hAnsi="Arial" w:cs="Arial"/>
      <w:i/>
      <w:lang w:val="en-US"/>
    </w:rPr>
  </w:style>
  <w:style w:type="character" w:customStyle="1" w:styleId="PIHeading3undelinedChar">
    <w:name w:val="PI Heading 3 undelined Char"/>
    <w:link w:val="PIHeading3undelined"/>
    <w:rsid w:val="008C23B6"/>
    <w:rPr>
      <w:rFonts w:ascii="Arial" w:hAnsi="Arial" w:cs="Arial"/>
      <w:sz w:val="22"/>
      <w:szCs w:val="22"/>
      <w:u w:val="single"/>
      <w:lang w:val="en-US" w:eastAsia="en-US"/>
    </w:rPr>
  </w:style>
  <w:style w:type="paragraph" w:styleId="Revision">
    <w:name w:val="Revision"/>
    <w:hidden/>
    <w:uiPriority w:val="99"/>
    <w:semiHidden/>
    <w:rsid w:val="00B302CA"/>
    <w:rPr>
      <w:sz w:val="22"/>
      <w:szCs w:val="22"/>
      <w:lang w:eastAsia="en-US"/>
    </w:rPr>
  </w:style>
  <w:style w:type="character" w:customStyle="1" w:styleId="PIHeading3italicsChar">
    <w:name w:val="PI Heading 3 italics Char"/>
    <w:link w:val="PIHeading3italics"/>
    <w:rsid w:val="008C23B6"/>
    <w:rPr>
      <w:rFonts w:ascii="Arial" w:hAnsi="Arial" w:cs="Arial"/>
      <w:i/>
      <w:sz w:val="22"/>
      <w:szCs w:val="22"/>
      <w:lang w:val="en-US" w:eastAsia="en-US"/>
    </w:rPr>
  </w:style>
  <w:style w:type="paragraph" w:customStyle="1" w:styleId="TableNotes">
    <w:name w:val="Table Notes"/>
    <w:basedOn w:val="ListParagraph"/>
    <w:locked/>
    <w:rsid w:val="00097F7C"/>
    <w:pPr>
      <w:numPr>
        <w:numId w:val="9"/>
      </w:numPr>
      <w:tabs>
        <w:tab w:val="num" w:pos="360"/>
      </w:tabs>
      <w:spacing w:after="200" w:line="276" w:lineRule="auto"/>
      <w:ind w:firstLine="0"/>
      <w:contextualSpacing/>
    </w:pPr>
    <w:rPr>
      <w:rFonts w:eastAsia="Times New Roman"/>
      <w:sz w:val="18"/>
      <w:lang w:val="en-CA" w:eastAsia="en-US"/>
    </w:rPr>
  </w:style>
  <w:style w:type="paragraph" w:styleId="NormalWeb">
    <w:name w:val="Normal (Web)"/>
    <w:basedOn w:val="Normal"/>
    <w:uiPriority w:val="99"/>
    <w:semiHidden/>
    <w:unhideWhenUsed/>
    <w:rsid w:val="00433C48"/>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938579">
      <w:bodyDiv w:val="1"/>
      <w:marLeft w:val="0"/>
      <w:marRight w:val="0"/>
      <w:marTop w:val="0"/>
      <w:marBottom w:val="0"/>
      <w:divBdr>
        <w:top w:val="none" w:sz="0" w:space="0" w:color="auto"/>
        <w:left w:val="none" w:sz="0" w:space="0" w:color="auto"/>
        <w:bottom w:val="none" w:sz="0" w:space="0" w:color="auto"/>
        <w:right w:val="none" w:sz="0" w:space="0" w:color="auto"/>
      </w:divBdr>
    </w:div>
    <w:div w:id="308679304">
      <w:bodyDiv w:val="1"/>
      <w:marLeft w:val="0"/>
      <w:marRight w:val="0"/>
      <w:marTop w:val="0"/>
      <w:marBottom w:val="0"/>
      <w:divBdr>
        <w:top w:val="none" w:sz="0" w:space="0" w:color="auto"/>
        <w:left w:val="none" w:sz="0" w:space="0" w:color="auto"/>
        <w:bottom w:val="none" w:sz="0" w:space="0" w:color="auto"/>
        <w:right w:val="none" w:sz="0" w:space="0" w:color="auto"/>
      </w:divBdr>
    </w:div>
    <w:div w:id="9174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7c593367-9bb5-4764-945e-f6a26d2260c4"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e941b624-166c-4987-9ed6-d539972f16a8">
      <Value>1</Value>
    </TaxCatchAll>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Short-Term</TermName>
          <TermId xmlns="http://schemas.microsoft.com/office/infopath/2007/PartnerControls">6d967203-8346-4b9c-90f8-b3828a3fa508</TermId>
        </TermInfo>
      </Terms>
    </gbbd9102adcd43839cd73b51972a464c>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6BA860C9FA1954D909037DAE57D2739" ma:contentTypeVersion="9" ma:contentTypeDescription="Create a new document." ma:contentTypeScope="" ma:versionID="79325ff3db8174232f3bcb246c381df5">
  <xsd:schema xmlns:xsd="http://www.w3.org/2001/XMLSchema" xmlns:xs="http://www.w3.org/2001/XMLSchema" xmlns:p="http://schemas.microsoft.com/office/2006/metadata/properties" xmlns:ns1="http://schemas.microsoft.com/sharepoint/v3" xmlns:ns2="e941b624-166c-4987-9ed6-d539972f16a8" targetNamespace="http://schemas.microsoft.com/office/2006/metadata/properties" ma:root="true" ma:fieldsID="ebb68e921c44b2fa2a74f8a57ac5fed8" ns1:_="" ns2:_="">
    <xsd:import namespace="http://schemas.microsoft.com/sharepoint/v3"/>
    <xsd:import namespace="e941b624-166c-4987-9ed6-d539972f16a8"/>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a5956b4-bbc8-4865-a523-0c952c855381}" ma:internalName="TaxCatchAll" ma:showField="CatchAllData" ma:web="01975add-378c-4b9d-a0ca-0bae9822a13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a5956b4-bbc8-4865-a523-0c952c855381}" ma:internalName="TaxCatchAllLabel" ma:readOnly="true" ma:showField="CatchAllDataLabel" ma:web="01975add-378c-4b9d-a0ca-0bae9822a139">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ma:taxonomy="true" ma:internalName="gbbd9102adcd43839cd73b51972a464c" ma:taxonomyFieldName="DataClassBayerRetention" ma:displayName="Data Class" ma:readOnly="false" ma:default="1;#Short-Term|6d967203-8346-4b9c-90f8-b3828a3fa508"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0F088-18B9-487E-B2F7-0E8F1EF24B50}">
  <ds:schemaRefs>
    <ds:schemaRef ds:uri="Microsoft.SharePoint.Taxonomy.ContentTypeSync"/>
  </ds:schemaRefs>
</ds:datastoreItem>
</file>

<file path=customXml/itemProps2.xml><?xml version="1.0" encoding="utf-8"?>
<ds:datastoreItem xmlns:ds="http://schemas.openxmlformats.org/officeDocument/2006/customXml" ds:itemID="{BB64BA71-6D46-41B3-BE9C-7844AF30E18C}">
  <ds:schemaRefs>
    <ds:schemaRef ds:uri="http://schemas.microsoft.com/office/2006/documentManagement/types"/>
    <ds:schemaRef ds:uri="http://www.w3.org/XML/1998/namespace"/>
    <ds:schemaRef ds:uri="e941b624-166c-4987-9ed6-d539972f16a8"/>
    <ds:schemaRef ds:uri="http://schemas.microsoft.com/sharepoint/v3"/>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5065566-84BA-4254-9D06-1E0DE5F77256}">
  <ds:schemaRefs>
    <ds:schemaRef ds:uri="http://schemas.microsoft.com/office/2006/metadata/longProperties"/>
  </ds:schemaRefs>
</ds:datastoreItem>
</file>

<file path=customXml/itemProps4.xml><?xml version="1.0" encoding="utf-8"?>
<ds:datastoreItem xmlns:ds="http://schemas.openxmlformats.org/officeDocument/2006/customXml" ds:itemID="{ADFD0F51-C030-481C-A813-A9BF3B06BB74}">
  <ds:schemaRefs>
    <ds:schemaRef ds:uri="http://schemas.microsoft.com/sharepoint/events"/>
  </ds:schemaRefs>
</ds:datastoreItem>
</file>

<file path=customXml/itemProps5.xml><?xml version="1.0" encoding="utf-8"?>
<ds:datastoreItem xmlns:ds="http://schemas.openxmlformats.org/officeDocument/2006/customXml" ds:itemID="{C75E53DF-5D24-4E7D-8550-C6780A016E85}">
  <ds:schemaRefs>
    <ds:schemaRef ds:uri="office.server.policy"/>
  </ds:schemaRefs>
</ds:datastoreItem>
</file>

<file path=customXml/itemProps6.xml><?xml version="1.0" encoding="utf-8"?>
<ds:datastoreItem xmlns:ds="http://schemas.openxmlformats.org/officeDocument/2006/customXml" ds:itemID="{D336C2C9-965B-4B6F-A4A2-458810E2CFC4}">
  <ds:schemaRefs>
    <ds:schemaRef ds:uri="http://schemas.microsoft.com/sharepoint/v3/contenttype/forms"/>
  </ds:schemaRefs>
</ds:datastoreItem>
</file>

<file path=customXml/itemProps7.xml><?xml version="1.0" encoding="utf-8"?>
<ds:datastoreItem xmlns:ds="http://schemas.openxmlformats.org/officeDocument/2006/customXml" ds:itemID="{9EE2ACA1-2058-4DAB-B1A1-4071165EF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F5AB354-F1A5-459F-BBE2-4A7A39B7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4770</Words>
  <Characters>27190</Characters>
  <Application>Microsoft Office Word</Application>
  <DocSecurity>0</DocSecurity>
  <Lines>226</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Bayer Australia Ltd</Company>
  <LinksUpToDate>false</LinksUpToDate>
  <CharactersWithSpaces>31897</CharactersWithSpaces>
  <SharedDoc>false</SharedDoc>
  <HLinks>
    <vt:vector size="18" baseType="variant">
      <vt:variant>
        <vt:i4>4063347</vt:i4>
      </vt:variant>
      <vt:variant>
        <vt:i4>6</vt:i4>
      </vt:variant>
      <vt:variant>
        <vt:i4>0</vt:i4>
      </vt:variant>
      <vt:variant>
        <vt:i4>5</vt:i4>
      </vt:variant>
      <vt:variant>
        <vt:lpwstr/>
      </vt:variant>
      <vt:variant>
        <vt:lpwstr>table3</vt:lpwstr>
      </vt:variant>
      <vt:variant>
        <vt:i4>7929971</vt:i4>
      </vt:variant>
      <vt:variant>
        <vt:i4>3</vt:i4>
      </vt:variant>
      <vt:variant>
        <vt:i4>0</vt:i4>
      </vt:variant>
      <vt:variant>
        <vt:i4>5</vt:i4>
      </vt:variant>
      <vt:variant>
        <vt:lpwstr/>
      </vt:variant>
      <vt:variant>
        <vt:lpwstr>figure1</vt:lpwstr>
      </vt:variant>
      <vt:variant>
        <vt:i4>4128883</vt:i4>
      </vt:variant>
      <vt:variant>
        <vt:i4>0</vt:i4>
      </vt:variant>
      <vt:variant>
        <vt:i4>0</vt:i4>
      </vt:variant>
      <vt:variant>
        <vt:i4>5</vt:i4>
      </vt:variant>
      <vt:variant>
        <vt:lpwstr/>
      </vt:variant>
      <vt:variant>
        <vt:lpwstr>table2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radium (223Ra) dichloride</dc:title>
  <dc:subject>prescription medicine regulation</dc:subject>
  <dc:creator>Bayer Australia Ltd</dc:creator>
  <cp:keywords>product, information, prescription, medicine, regulation, bayer, australia, xofigo, radium, 223ra, dichloride</cp:keywords>
  <cp:lastModifiedBy>dixonj</cp:lastModifiedBy>
  <cp:revision>3</cp:revision>
  <cp:lastPrinted>2014-05-06T08:38:00Z</cp:lastPrinted>
  <dcterms:created xsi:type="dcterms:W3CDTF">2014-07-28T23:43:00Z</dcterms:created>
  <dcterms:modified xsi:type="dcterms:W3CDTF">2014-07-28T23:45:00Z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2015-11-20T07:25:51Z</vt:lpwstr>
  </property>
  <property fmtid="{D5CDD505-2E9C-101B-9397-08002B2CF9AE}" pid="3" name="ItemRetentionFormula">
    <vt:lpwstr>&lt;formula id="Bayer SharePoint Retention Policy 2.1" /&gt;</vt:lpwstr>
  </property>
  <property fmtid="{D5CDD505-2E9C-101B-9397-08002B2CF9AE}" pid="4" name="_dlc_policyId">
    <vt:lpwstr>0x0101|-2126682137</vt:lpwstr>
  </property>
</Properties>
</file>