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CE" w:rsidRPr="0019497F" w:rsidRDefault="00B541CE">
      <w:pPr>
        <w:pStyle w:val="Title"/>
      </w:pPr>
      <w:bookmarkStart w:id="0" w:name="_GoBack"/>
      <w:bookmarkEnd w:id="0"/>
      <w:r w:rsidRPr="0019497F">
        <w:t>PRODUCT INFORMATION</w:t>
      </w:r>
    </w:p>
    <w:p w:rsidR="00B541CE" w:rsidRDefault="00E52FF4">
      <w:pPr>
        <w:pStyle w:val="Subtitle"/>
      </w:pPr>
      <w:r w:rsidRPr="0019497F">
        <w:t>RANEXA</w:t>
      </w:r>
      <w:r w:rsidR="00A6605E" w:rsidRPr="00A6605E">
        <w:rPr>
          <w:vertAlign w:val="superscript"/>
        </w:rPr>
        <w:t>®</w:t>
      </w:r>
      <w:r w:rsidR="00D74174" w:rsidRPr="0019497F">
        <w:t xml:space="preserve"> </w:t>
      </w:r>
      <w:r w:rsidR="0071520E" w:rsidRPr="0019497F">
        <w:t>MODIFIED</w:t>
      </w:r>
      <w:r w:rsidR="0066687D" w:rsidRPr="0019497F">
        <w:t>-</w:t>
      </w:r>
      <w:r w:rsidR="007C2C74" w:rsidRPr="0019497F">
        <w:t xml:space="preserve">release </w:t>
      </w:r>
      <w:r w:rsidR="00D74174" w:rsidRPr="0019497F">
        <w:t>TABLETS</w:t>
      </w:r>
    </w:p>
    <w:p w:rsidR="00106755" w:rsidRPr="0019497F" w:rsidRDefault="00106755">
      <w:pPr>
        <w:pStyle w:val="Subtitle"/>
      </w:pPr>
    </w:p>
    <w:p w:rsidR="00B541CE" w:rsidRPr="0019497F" w:rsidRDefault="00A43013" w:rsidP="00106755">
      <w:pPr>
        <w:pStyle w:val="Heading1"/>
        <w:spacing w:after="240"/>
      </w:pPr>
      <w:r>
        <w:t>NAME OF THE MEDICINE</w:t>
      </w:r>
    </w:p>
    <w:p w:rsidR="004A4B9A" w:rsidRPr="0019497F" w:rsidRDefault="00A43013" w:rsidP="0048147E">
      <w:pPr>
        <w:autoSpaceDE w:val="0"/>
        <w:autoSpaceDN w:val="0"/>
        <w:adjustRightInd w:val="0"/>
        <w:spacing w:after="0"/>
        <w:jc w:val="left"/>
      </w:pPr>
      <w:r>
        <w:t>Ranolazine</w:t>
      </w:r>
    </w:p>
    <w:p w:rsidR="00B541CE" w:rsidRPr="0019497F" w:rsidRDefault="00A43013" w:rsidP="00786E49">
      <w:pPr>
        <w:autoSpaceDE w:val="0"/>
        <w:autoSpaceDN w:val="0"/>
        <w:adjustRightInd w:val="0"/>
        <w:spacing w:before="120" w:after="120"/>
        <w:jc w:val="left"/>
        <w:rPr>
          <w:b/>
        </w:rPr>
      </w:pPr>
      <w:r>
        <w:rPr>
          <w:b/>
        </w:rPr>
        <w:t>Chemical Structure</w:t>
      </w:r>
    </w:p>
    <w:p w:rsidR="00670137" w:rsidRPr="0019497F" w:rsidRDefault="00A43013" w:rsidP="00670137">
      <w:pPr>
        <w:autoSpaceDE w:val="0"/>
        <w:autoSpaceDN w:val="0"/>
        <w:adjustRightInd w:val="0"/>
        <w:spacing w:after="0"/>
        <w:jc w:val="left"/>
      </w:pPr>
      <w:r>
        <w:t>Ranolazine is designated chemically as (</w:t>
      </w:r>
      <w:r>
        <w:rPr>
          <w:rFonts w:cs="Arial"/>
        </w:rPr>
        <w:t>±</w:t>
      </w:r>
      <w:r>
        <w:t>)-</w:t>
      </w:r>
      <w:r w:rsidRPr="004C42F0">
        <w:rPr>
          <w:i/>
        </w:rPr>
        <w:t>N</w:t>
      </w:r>
      <w:r w:rsidR="00670137" w:rsidRPr="0019497F">
        <w:t>-(2</w:t>
      </w:r>
      <w:proofErr w:type="gramStart"/>
      <w:r w:rsidR="00670137" w:rsidRPr="0019497F">
        <w:t>,6</w:t>
      </w:r>
      <w:proofErr w:type="gramEnd"/>
      <w:r w:rsidR="00670137" w:rsidRPr="0019497F">
        <w:t xml:space="preserve">-dimethylphenyl)4-[2-hydroxy-3-(2- </w:t>
      </w:r>
      <w:proofErr w:type="spellStart"/>
      <w:r w:rsidR="00670137" w:rsidRPr="0019497F">
        <w:t>methoxyphenoxy</w:t>
      </w:r>
      <w:proofErr w:type="spellEnd"/>
      <w:r w:rsidR="00670137" w:rsidRPr="0019497F">
        <w:t>)propyl]</w:t>
      </w:r>
      <w:r w:rsidR="002A2B78" w:rsidRPr="0019497F">
        <w:t xml:space="preserve"> </w:t>
      </w:r>
      <w:proofErr w:type="spellStart"/>
      <w:r w:rsidR="002A2B78" w:rsidRPr="0019497F">
        <w:t>piperazineacetamide</w:t>
      </w:r>
      <w:proofErr w:type="spellEnd"/>
      <w:r w:rsidR="002A2B78" w:rsidRPr="0019497F">
        <w:t>.</w:t>
      </w:r>
    </w:p>
    <w:p w:rsidR="004A4B9A" w:rsidRPr="0019497F" w:rsidRDefault="00CE4086" w:rsidP="008A7E1F">
      <w:pPr>
        <w:autoSpaceDE w:val="0"/>
        <w:autoSpaceDN w:val="0"/>
        <w:adjustRightInd w:val="0"/>
        <w:spacing w:after="0"/>
        <w:jc w:val="center"/>
      </w:pPr>
      <w:r>
        <w:rPr>
          <w:noProof/>
          <w:lang w:eastAsia="en-AU"/>
        </w:rPr>
        <w:drawing>
          <wp:inline distT="0" distB="0" distL="0" distR="0">
            <wp:extent cx="3952875" cy="1543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52875" cy="1543050"/>
                    </a:xfrm>
                    <a:prstGeom prst="rect">
                      <a:avLst/>
                    </a:prstGeom>
                    <a:noFill/>
                    <a:ln w="9525">
                      <a:noFill/>
                      <a:miter lim="800000"/>
                      <a:headEnd/>
                      <a:tailEnd/>
                    </a:ln>
                  </pic:spPr>
                </pic:pic>
              </a:graphicData>
            </a:graphic>
          </wp:inline>
        </w:drawing>
      </w:r>
    </w:p>
    <w:p w:rsidR="00670137" w:rsidRPr="0019497F" w:rsidRDefault="00670137" w:rsidP="00106755">
      <w:pPr>
        <w:autoSpaceDE w:val="0"/>
        <w:autoSpaceDN w:val="0"/>
        <w:adjustRightInd w:val="0"/>
        <w:spacing w:before="120" w:after="120"/>
        <w:jc w:val="left"/>
      </w:pPr>
      <w:r w:rsidRPr="0019497F">
        <w:t xml:space="preserve">The empirical formula for </w:t>
      </w:r>
      <w:r w:rsidR="00692E8D">
        <w:t>r</w:t>
      </w:r>
      <w:r w:rsidRPr="0019497F">
        <w:t>anolazine is C</w:t>
      </w:r>
      <w:r w:rsidR="00A43013">
        <w:rPr>
          <w:vertAlign w:val="subscript"/>
        </w:rPr>
        <w:t>24</w:t>
      </w:r>
      <w:r w:rsidR="00A43013">
        <w:t>H</w:t>
      </w:r>
      <w:r w:rsidR="00A43013">
        <w:rPr>
          <w:vertAlign w:val="subscript"/>
        </w:rPr>
        <w:t>33</w:t>
      </w:r>
      <w:r w:rsidR="00A43013">
        <w:t>N</w:t>
      </w:r>
      <w:r w:rsidR="00A43013">
        <w:rPr>
          <w:vertAlign w:val="subscript"/>
        </w:rPr>
        <w:t>3</w:t>
      </w:r>
      <w:r w:rsidR="00A43013">
        <w:t>O</w:t>
      </w:r>
      <w:r w:rsidR="00A43013">
        <w:rPr>
          <w:vertAlign w:val="subscript"/>
        </w:rPr>
        <w:t>4</w:t>
      </w:r>
      <w:r w:rsidR="00A43013">
        <w:t xml:space="preserve"> with a molecular weight of 427.54.  </w:t>
      </w:r>
    </w:p>
    <w:p w:rsidR="00670137" w:rsidRPr="0019497F" w:rsidRDefault="00A43013" w:rsidP="00106755">
      <w:pPr>
        <w:autoSpaceDE w:val="0"/>
        <w:autoSpaceDN w:val="0"/>
        <w:adjustRightInd w:val="0"/>
        <w:spacing w:before="120" w:after="120"/>
        <w:jc w:val="left"/>
        <w:rPr>
          <w:b/>
        </w:rPr>
      </w:pPr>
      <w:r>
        <w:rPr>
          <w:b/>
        </w:rPr>
        <w:t xml:space="preserve">CAS number </w:t>
      </w:r>
    </w:p>
    <w:p w:rsidR="00670137" w:rsidRPr="0019497F" w:rsidRDefault="00814EE3" w:rsidP="00106755">
      <w:pPr>
        <w:autoSpaceDE w:val="0"/>
        <w:autoSpaceDN w:val="0"/>
        <w:adjustRightInd w:val="0"/>
        <w:spacing w:before="120" w:after="120"/>
        <w:jc w:val="left"/>
      </w:pPr>
      <w:hyperlink r:id="rId10" w:history="1"/>
      <w:hyperlink r:id="rId11" w:history="1"/>
      <w:r w:rsidR="00670137" w:rsidRPr="0019497F">
        <w:t>95635-55-5</w:t>
      </w:r>
    </w:p>
    <w:p w:rsidR="00B541CE" w:rsidRPr="0019497F" w:rsidRDefault="00B541CE" w:rsidP="00106755">
      <w:pPr>
        <w:pStyle w:val="Heading1"/>
        <w:spacing w:after="240"/>
      </w:pPr>
      <w:r w:rsidRPr="0019497F">
        <w:t>Description</w:t>
      </w:r>
    </w:p>
    <w:p w:rsidR="00B914B5" w:rsidRPr="00733B1D" w:rsidRDefault="005D1C01" w:rsidP="00106755">
      <w:pPr>
        <w:autoSpaceDE w:val="0"/>
        <w:autoSpaceDN w:val="0"/>
        <w:adjustRightInd w:val="0"/>
        <w:spacing w:before="120" w:after="120"/>
      </w:pPr>
      <w:r w:rsidRPr="0019497F">
        <w:t xml:space="preserve">Ranolazine </w:t>
      </w:r>
      <w:r w:rsidR="00A43013">
        <w:t xml:space="preserve">is a white to off-white solid powder. Ranolazine is soluble in dichloromethane and methanol; sparingly soluble in tetrahydrofuran, ethanol, acetonitrile, and acetone; slightly soluble in </w:t>
      </w:r>
      <w:r w:rsidR="00A43013" w:rsidRPr="00733B1D">
        <w:t xml:space="preserve">ethyl acetate, isopropanol, toluene, and ethyl ether; and very slightly soluble in water. </w:t>
      </w:r>
    </w:p>
    <w:p w:rsidR="00CD669E" w:rsidRPr="00733B1D" w:rsidRDefault="00CD669E" w:rsidP="00106755">
      <w:pPr>
        <w:autoSpaceDE w:val="0"/>
        <w:autoSpaceDN w:val="0"/>
        <w:adjustRightInd w:val="0"/>
        <w:spacing w:before="120" w:after="120"/>
      </w:pPr>
      <w:r w:rsidRPr="00733B1D">
        <w:t>Ranolazine is very slightly soluble at pH above 6.99, slightly soluble at pH from 6.29 to 5.76, sparingly soluble at pH 5.25, soluble at pH from 5.01 to 4.82 and freely soluble below pH 4.40.</w:t>
      </w:r>
    </w:p>
    <w:p w:rsidR="005D1C01" w:rsidRPr="0019497F" w:rsidRDefault="005D1C01" w:rsidP="00106755">
      <w:pPr>
        <w:autoSpaceDE w:val="0"/>
        <w:autoSpaceDN w:val="0"/>
        <w:adjustRightInd w:val="0"/>
        <w:spacing w:before="120" w:after="120"/>
      </w:pPr>
      <w:r w:rsidRPr="00733B1D">
        <w:t>The partition coefficient was determined using three different ratios of octanol:</w:t>
      </w:r>
      <w:r w:rsidR="00106755">
        <w:t xml:space="preserve"> </w:t>
      </w:r>
      <w:r w:rsidRPr="00733B1D">
        <w:t>water. The</w:t>
      </w:r>
      <w:r w:rsidR="00B914B5" w:rsidRPr="00733B1D">
        <w:t xml:space="preserve"> </w:t>
      </w:r>
      <w:r w:rsidRPr="00733B1D">
        <w:t xml:space="preserve">log </w:t>
      </w:r>
      <w:r w:rsidR="00A06275" w:rsidRPr="00A06275">
        <w:rPr>
          <w:i/>
        </w:rPr>
        <w:t>P</w:t>
      </w:r>
      <w:r w:rsidRPr="00733B1D">
        <w:t xml:space="preserve"> for</w:t>
      </w:r>
      <w:r w:rsidRPr="0019497F">
        <w:t xml:space="preserve"> ranolazine was measured at 2.07 </w:t>
      </w:r>
      <w:r w:rsidRPr="0019497F">
        <w:rPr>
          <w:rFonts w:cs="Arial"/>
        </w:rPr>
        <w:t>±</w:t>
      </w:r>
      <w:r w:rsidRPr="0019497F">
        <w:t xml:space="preserve"> 0.06.</w:t>
      </w:r>
    </w:p>
    <w:p w:rsidR="001900B7" w:rsidRPr="0019497F" w:rsidRDefault="009F3793" w:rsidP="00106755">
      <w:pPr>
        <w:spacing w:before="120" w:after="120"/>
      </w:pPr>
      <w:r w:rsidRPr="0019497F">
        <w:t>RANEXA</w:t>
      </w:r>
      <w:r w:rsidR="00625C16" w:rsidRPr="0019497F">
        <w:t xml:space="preserve"> </w:t>
      </w:r>
      <w:r w:rsidR="00B914B5" w:rsidRPr="0019497F">
        <w:t>375</w:t>
      </w:r>
      <w:r w:rsidR="0019497F" w:rsidRPr="0019497F">
        <w:t xml:space="preserve"> </w:t>
      </w:r>
      <w:r w:rsidR="00B914B5" w:rsidRPr="0019497F">
        <w:t>mg, 500</w:t>
      </w:r>
      <w:r w:rsidR="0019497F" w:rsidRPr="0019497F">
        <w:t xml:space="preserve"> </w:t>
      </w:r>
      <w:r w:rsidR="00B914B5" w:rsidRPr="0019497F">
        <w:t xml:space="preserve">mg and </w:t>
      </w:r>
      <w:r w:rsidR="00555855" w:rsidRPr="0019497F">
        <w:t>750</w:t>
      </w:r>
      <w:r w:rsidR="0019497F" w:rsidRPr="0019497F">
        <w:t xml:space="preserve"> </w:t>
      </w:r>
      <w:r w:rsidR="00555855" w:rsidRPr="0019497F">
        <w:t>mg</w:t>
      </w:r>
      <w:r w:rsidR="00B914B5" w:rsidRPr="0019497F">
        <w:t xml:space="preserve"> tablets contain the </w:t>
      </w:r>
      <w:r w:rsidR="005C5364" w:rsidRPr="0019497F">
        <w:t>following inactive ingredients:</w:t>
      </w:r>
      <w:r w:rsidR="00B262F2" w:rsidRPr="0019497F">
        <w:t xml:space="preserve"> c</w:t>
      </w:r>
      <w:r w:rsidR="001900B7" w:rsidRPr="0019497F">
        <w:t>arnauba wax</w:t>
      </w:r>
      <w:r w:rsidR="00B262F2" w:rsidRPr="0019497F">
        <w:t>, h</w:t>
      </w:r>
      <w:r w:rsidR="001900B7" w:rsidRPr="0019497F">
        <w:t>ypromellose</w:t>
      </w:r>
      <w:r w:rsidR="00B262F2" w:rsidRPr="0019497F">
        <w:t>, m</w:t>
      </w:r>
      <w:r w:rsidR="001900B7" w:rsidRPr="0019497F">
        <w:t>agnesium stearate</w:t>
      </w:r>
      <w:r w:rsidR="00B262F2" w:rsidRPr="0019497F">
        <w:t>, m</w:t>
      </w:r>
      <w:r w:rsidR="001900B7" w:rsidRPr="0019497F">
        <w:t>ethacrylic acid-ethyl acrylate copolymer (1:1)</w:t>
      </w:r>
      <w:r w:rsidR="00B262F2" w:rsidRPr="0019497F">
        <w:t>, m</w:t>
      </w:r>
      <w:r w:rsidR="001900B7" w:rsidRPr="0019497F">
        <w:t>icrocrystalline cellulose</w:t>
      </w:r>
      <w:r w:rsidR="00B262F2" w:rsidRPr="0019497F">
        <w:t>, s</w:t>
      </w:r>
      <w:r w:rsidR="001900B7" w:rsidRPr="0019497F">
        <w:t>odium hydroxide</w:t>
      </w:r>
      <w:r w:rsidR="00A43013">
        <w:t xml:space="preserve"> and titanium dioxide.</w:t>
      </w:r>
    </w:p>
    <w:p w:rsidR="00555855" w:rsidRPr="0019497F" w:rsidRDefault="00A43013" w:rsidP="00106755">
      <w:pPr>
        <w:spacing w:before="120" w:after="120"/>
      </w:pPr>
      <w:r>
        <w:t xml:space="preserve">Additional inactive ingredients for the 375 mg tablet include: macrogol, polysorbate 80, indigo carmine aluminium lake. </w:t>
      </w:r>
    </w:p>
    <w:p w:rsidR="00555855" w:rsidRPr="0019497F" w:rsidRDefault="00A43013" w:rsidP="00106755">
      <w:pPr>
        <w:spacing w:before="120" w:after="120"/>
      </w:pPr>
      <w:r>
        <w:t xml:space="preserve">Additional inactive ingredients for the 500 mg tablet include: macrogol, polyvinyl alcohol, </w:t>
      </w:r>
      <w:r w:rsidRPr="00A43013">
        <w:t xml:space="preserve">iron oxide yellow, iron oxide red, purified talc. </w:t>
      </w:r>
    </w:p>
    <w:p w:rsidR="001900B7" w:rsidRPr="0019497F" w:rsidRDefault="001900B7" w:rsidP="00106755">
      <w:pPr>
        <w:spacing w:before="120" w:after="120"/>
      </w:pPr>
      <w:r w:rsidRPr="0019497F">
        <w:t xml:space="preserve">Additional </w:t>
      </w:r>
      <w:r w:rsidR="00B914B5" w:rsidRPr="0019497F">
        <w:t xml:space="preserve">inactive ingredients for the </w:t>
      </w:r>
      <w:r w:rsidRPr="0019497F">
        <w:t>750</w:t>
      </w:r>
      <w:r w:rsidR="0019497F" w:rsidRPr="0019497F">
        <w:t xml:space="preserve"> </w:t>
      </w:r>
      <w:r w:rsidRPr="0019497F">
        <w:t>mg tablet</w:t>
      </w:r>
      <w:r w:rsidR="00B914B5" w:rsidRPr="0019497F">
        <w:t xml:space="preserve"> include</w:t>
      </w:r>
      <w:r w:rsidRPr="0019497F">
        <w:t>:</w:t>
      </w:r>
      <w:r w:rsidR="00555855" w:rsidRPr="0019497F">
        <w:t xml:space="preserve"> </w:t>
      </w:r>
      <w:r w:rsidR="002A2B78" w:rsidRPr="0019497F">
        <w:t>g</w:t>
      </w:r>
      <w:r w:rsidRPr="0019497F">
        <w:t>lycerol triacetate</w:t>
      </w:r>
      <w:r w:rsidR="00555855" w:rsidRPr="0019497F">
        <w:t xml:space="preserve">, </w:t>
      </w:r>
      <w:r w:rsidR="002A2B78" w:rsidRPr="0019497F">
        <w:t>l</w:t>
      </w:r>
      <w:r w:rsidRPr="0019497F">
        <w:t>actose</w:t>
      </w:r>
      <w:r w:rsidR="00555855" w:rsidRPr="0019497F">
        <w:t xml:space="preserve">, </w:t>
      </w:r>
      <w:r w:rsidR="002A2B78" w:rsidRPr="0019497F">
        <w:t>b</w:t>
      </w:r>
      <w:r w:rsidRPr="0019497F">
        <w:t xml:space="preserve">rilliant </w:t>
      </w:r>
      <w:r w:rsidR="002A2B78" w:rsidRPr="0019497F">
        <w:t>b</w:t>
      </w:r>
      <w:r w:rsidRPr="0019497F">
        <w:t xml:space="preserve">lue FCF </w:t>
      </w:r>
      <w:r w:rsidR="00A43013">
        <w:t xml:space="preserve">aluminium lake and tartrazine aluminium lake. </w:t>
      </w:r>
    </w:p>
    <w:p w:rsidR="00B541CE" w:rsidRPr="0019497F" w:rsidRDefault="00A43013" w:rsidP="00106755">
      <w:pPr>
        <w:pStyle w:val="Heading1"/>
        <w:spacing w:after="240"/>
      </w:pPr>
      <w:r>
        <w:lastRenderedPageBreak/>
        <w:t>Pharmacology</w:t>
      </w:r>
    </w:p>
    <w:p w:rsidR="00027877" w:rsidRPr="0019497F" w:rsidRDefault="00A43013" w:rsidP="00971C68">
      <w:pPr>
        <w:spacing w:before="120" w:after="120"/>
        <w:outlineLvl w:val="0"/>
        <w:rPr>
          <w:b/>
        </w:rPr>
      </w:pPr>
      <w:r w:rsidRPr="00A43013">
        <w:rPr>
          <w:b/>
        </w:rPr>
        <w:t>Pharmacodynamics</w:t>
      </w:r>
    </w:p>
    <w:p w:rsidR="00CA7218" w:rsidRPr="0019497F" w:rsidRDefault="00875524" w:rsidP="00971C68">
      <w:pPr>
        <w:spacing w:before="120" w:after="120"/>
        <w:rPr>
          <w:snapToGrid w:val="0"/>
        </w:rPr>
      </w:pPr>
      <w:r w:rsidRPr="0019497F">
        <w:t>The mechanism of action of ranolazine’s anti</w:t>
      </w:r>
      <w:r w:rsidR="002A2B78" w:rsidRPr="0019497F">
        <w:t>-</w:t>
      </w:r>
      <w:r w:rsidRPr="0019497F">
        <w:t xml:space="preserve">anginal effects has not been </w:t>
      </w:r>
      <w:r w:rsidR="00905D6A" w:rsidRPr="0019497F">
        <w:t xml:space="preserve">fully </w:t>
      </w:r>
      <w:r w:rsidRPr="0019497F">
        <w:t>determined. Ranolazine has anti-isch</w:t>
      </w:r>
      <w:r w:rsidR="00496F10">
        <w:t>a</w:t>
      </w:r>
      <w:r w:rsidRPr="0019497F">
        <w:t xml:space="preserve">emic and </w:t>
      </w:r>
      <w:r w:rsidR="002A2B78" w:rsidRPr="0019497F">
        <w:t>anti-anginal</w:t>
      </w:r>
      <w:r w:rsidRPr="0019497F">
        <w:t xml:space="preserve"> effects that do not depend </w:t>
      </w:r>
      <w:r w:rsidR="00496F10">
        <w:t>on</w:t>
      </w:r>
      <w:r w:rsidR="00496F10" w:rsidRPr="0019497F">
        <w:t xml:space="preserve"> </w:t>
      </w:r>
      <w:r w:rsidRPr="0019497F">
        <w:t xml:space="preserve">reductions in heart rate or blood pressure. </w:t>
      </w:r>
      <w:r w:rsidR="00497FCD" w:rsidRPr="0019497F">
        <w:t>Ranolazine may have some anti</w:t>
      </w:r>
      <w:r w:rsidR="00A43013">
        <w:t>-anginal effects by inhibition of the late sodium current in cardiac cells. This reduces intracellular sodium accumulation and consequently decreases intracellular calcium overload. Ranolazine, via its action to decrease the late sodium current, is considered to reduce these intracellular ionic imbalances during ischaemia. This reduction in cellular calcium overload is expected to improve myocardial relaxation and thereby decrease left ventricular diastolic stiffness. Clinical evidence of inhibition of the late sodium current by ranolazine is provided by a significant shortening of the QT</w:t>
      </w:r>
      <w:r w:rsidR="00A43013">
        <w:rPr>
          <w:vertAlign w:val="subscript"/>
        </w:rPr>
        <w:t>c</w:t>
      </w:r>
      <w:r w:rsidR="00A43013">
        <w:t xml:space="preserve"> interval and an improvement in diastolic relaxation in an open-label study of 5 patients with a long QT syndrome (LQT3 having the SCN5A ∆KPQ gene mutation). </w:t>
      </w:r>
    </w:p>
    <w:p w:rsidR="00497FCD" w:rsidRPr="0019497F" w:rsidRDefault="00A43013" w:rsidP="00971C68">
      <w:pPr>
        <w:spacing w:before="120" w:after="120"/>
        <w:rPr>
          <w:snapToGrid w:val="0"/>
        </w:rPr>
      </w:pPr>
      <w:r>
        <w:rPr>
          <w:snapToGrid w:val="0"/>
        </w:rPr>
        <w:t>These effects do not depend upon changes in heart rate, blood pressure, or vasodilation.</w:t>
      </w:r>
    </w:p>
    <w:p w:rsidR="00733B1D" w:rsidRDefault="00A43013" w:rsidP="00971C68">
      <w:pPr>
        <w:numPr>
          <w:ilvl w:val="12"/>
          <w:numId w:val="0"/>
        </w:numPr>
        <w:spacing w:before="120" w:after="120"/>
      </w:pPr>
      <w:r>
        <w:rPr>
          <w:u w:val="single"/>
        </w:rPr>
        <w:t>Haemodynamic effects</w:t>
      </w:r>
    </w:p>
    <w:p w:rsidR="00AA4778" w:rsidRPr="0019497F" w:rsidRDefault="00A43013" w:rsidP="00971C68">
      <w:pPr>
        <w:numPr>
          <w:ilvl w:val="12"/>
          <w:numId w:val="0"/>
        </w:numPr>
        <w:spacing w:before="120" w:after="120"/>
      </w:pPr>
      <w:r>
        <w:t>Minimal decreases in mean heart rate (&lt; 2 beats per minute) and mean systolic blood pressure (&lt; 3 mm Hg) were observed in patients treated with ranolazine either alone or in combination with other anti-anginal medicinal products in controlled studies.</w:t>
      </w:r>
    </w:p>
    <w:p w:rsidR="00733B1D" w:rsidRDefault="00A43013" w:rsidP="00971C68">
      <w:pPr>
        <w:spacing w:before="120" w:after="120"/>
      </w:pPr>
      <w:r>
        <w:rPr>
          <w:u w:val="single"/>
        </w:rPr>
        <w:t>Electrocardiographic effects</w:t>
      </w:r>
    </w:p>
    <w:p w:rsidR="00497FCD" w:rsidRPr="0019497F" w:rsidRDefault="00A43013" w:rsidP="00971C68">
      <w:pPr>
        <w:spacing w:before="120" w:after="120"/>
      </w:pPr>
      <w:r>
        <w:t>Dose and plasma concentration-related increases in the QT</w:t>
      </w:r>
      <w:r>
        <w:rPr>
          <w:vertAlign w:val="subscript"/>
        </w:rPr>
        <w:t>c</w:t>
      </w:r>
      <w:r>
        <w:t xml:space="preserve"> interval (about 6 msec at 1000 mg twice daily), reductions in T wave amplitude, and in some cases</w:t>
      </w:r>
      <w:r w:rsidR="00DC30EC">
        <w:t>,</w:t>
      </w:r>
      <w:r>
        <w:t xml:space="preserve"> notched T waves, have been observed in patients treated with </w:t>
      </w:r>
      <w:r w:rsidR="00DC30EC">
        <w:t>RANEXA</w:t>
      </w:r>
      <w:r>
        <w:t>. These effects of ranolazine on the surface electrocardiogram are believed to result from inhibition of the fast-rectifying potassium current, which prolongs the ventricular action potential, and from inhibition of the late sodium current, which shortens the ventricular action potential. A population analysis of combined data from 1,308 patients and healthy volunteers demonstrated a mean increase in QTc from baseline of 2.4 msec per 1000 ng/ml ranolazine plasma concentration. This value is consistent with data from pivotal clinical studies, where mean changes from baseline in QT</w:t>
      </w:r>
      <w:r>
        <w:rPr>
          <w:vertAlign w:val="subscript"/>
        </w:rPr>
        <w:t>c</w:t>
      </w:r>
      <w:r w:rsidR="00A06275" w:rsidRPr="00A06275">
        <w:t>F</w:t>
      </w:r>
      <w:r>
        <w:t xml:space="preserve"> (Fridericia’s correction) after doses of 500</w:t>
      </w:r>
      <w:r w:rsidR="00AB036C">
        <w:t xml:space="preserve"> </w:t>
      </w:r>
      <w:r>
        <w:t>mg and 750 mg twice daily were 1.9 and 4.9 msec, respectively. The slope is higher in patients with clinically significant hepatic impairment.</w:t>
      </w:r>
    </w:p>
    <w:p w:rsidR="00497FCD" w:rsidRPr="0019497F" w:rsidRDefault="00A43013" w:rsidP="00971C68">
      <w:pPr>
        <w:spacing w:before="120" w:after="120"/>
      </w:pPr>
      <w:r>
        <w:t>In a large outcome study (MERLIN-TIMI 36) in 6,560 patients with UA/NSTEMI ACS (Unstable angina /non ST elevated myocardial infarction a</w:t>
      </w:r>
      <w:r w:rsidR="003033AA" w:rsidRPr="0019497F">
        <w:t>cute coronary syndrome)</w:t>
      </w:r>
      <w:r w:rsidR="00497FCD" w:rsidRPr="0019497F">
        <w:t xml:space="preserve">, there was no difference between </w:t>
      </w:r>
      <w:r w:rsidR="00DC30EC">
        <w:t>RANEXA</w:t>
      </w:r>
      <w:r w:rsidR="00497FCD" w:rsidRPr="0019497F">
        <w:t xml:space="preserve"> and placebo in the risk of all-cause mortality (relative risk ranolazine:</w:t>
      </w:r>
      <w:r w:rsidR="00106755">
        <w:t xml:space="preserve"> </w:t>
      </w:r>
      <w:r w:rsidR="00497FCD" w:rsidRPr="0019497F">
        <w:t>placebo 0.99), sudden cardiac death (relative risk ranolazine:</w:t>
      </w:r>
      <w:r w:rsidR="00106755">
        <w:t xml:space="preserve"> </w:t>
      </w:r>
      <w:r w:rsidR="00497FCD" w:rsidRPr="0019497F">
        <w:t>placebo 0.87), or the frequency of symptomatic documented arrhythmias (3.0% versus 3.1%).</w:t>
      </w:r>
    </w:p>
    <w:p w:rsidR="00733B1D" w:rsidRPr="001171F6" w:rsidRDefault="00497FCD" w:rsidP="00625639">
      <w:pPr>
        <w:pStyle w:val="Heading3"/>
        <w:rPr>
          <w:u w:val="none"/>
        </w:rPr>
      </w:pPr>
      <w:r w:rsidRPr="001171F6">
        <w:rPr>
          <w:u w:val="none"/>
        </w:rPr>
        <w:t>No pro</w:t>
      </w:r>
      <w:r w:rsidR="0032492A" w:rsidRPr="001171F6">
        <w:rPr>
          <w:u w:val="none"/>
        </w:rPr>
        <w:t>-</w:t>
      </w:r>
      <w:r w:rsidRPr="001171F6">
        <w:rPr>
          <w:u w:val="none"/>
        </w:rPr>
        <w:t xml:space="preserve">arrhythmic effects were observed in 3,162 patients treated with </w:t>
      </w:r>
      <w:r w:rsidR="00DC30EC" w:rsidRPr="001171F6">
        <w:rPr>
          <w:u w:val="none"/>
        </w:rPr>
        <w:t>RANEXA</w:t>
      </w:r>
      <w:r w:rsidRPr="001171F6">
        <w:rPr>
          <w:u w:val="none"/>
        </w:rPr>
        <w:t xml:space="preserve"> based on 7</w:t>
      </w:r>
      <w:r w:rsidRPr="001171F6">
        <w:rPr>
          <w:u w:val="none"/>
        </w:rPr>
        <w:noBreakHyphen/>
        <w:t xml:space="preserve">day Holter monitoring in the MERLIN-TIMI 36 study. There was a significantly lower incidence of arrhythmias in patients treated with </w:t>
      </w:r>
      <w:r w:rsidR="00DC30EC" w:rsidRPr="001171F6">
        <w:rPr>
          <w:u w:val="none"/>
        </w:rPr>
        <w:t>RANEXA</w:t>
      </w:r>
      <w:r w:rsidR="00A43013" w:rsidRPr="001171F6">
        <w:rPr>
          <w:u w:val="none"/>
        </w:rPr>
        <w:t xml:space="preserve"> (80%) versus placebo (87%), including ventricular tachycardia </w:t>
      </w:r>
      <w:r w:rsidRPr="001171F6">
        <w:rPr>
          <w:u w:val="none"/>
        </w:rPr>
        <w:sym w:font="Symbol" w:char="F0B3"/>
      </w:r>
      <w:r w:rsidRPr="001171F6">
        <w:rPr>
          <w:u w:val="none"/>
        </w:rPr>
        <w:t> 8 beats (5% versus 8%).</w:t>
      </w:r>
    </w:p>
    <w:p w:rsidR="00B541CE" w:rsidRPr="0019497F" w:rsidRDefault="00B541CE" w:rsidP="00625639">
      <w:pPr>
        <w:pStyle w:val="Heading3"/>
        <w:rPr>
          <w:b/>
          <w:u w:val="none"/>
        </w:rPr>
      </w:pPr>
      <w:r w:rsidRPr="0019497F">
        <w:rPr>
          <w:b/>
          <w:u w:val="none"/>
        </w:rPr>
        <w:t>Pharmacokinetics</w:t>
      </w:r>
    </w:p>
    <w:p w:rsidR="00B541CE" w:rsidRPr="0019497F" w:rsidRDefault="00B541CE" w:rsidP="00625639">
      <w:pPr>
        <w:pStyle w:val="Heading3"/>
      </w:pPr>
      <w:r w:rsidRPr="0019497F">
        <w:t>Absorption</w:t>
      </w:r>
    </w:p>
    <w:p w:rsidR="00497FCD" w:rsidRPr="00D9396A" w:rsidRDefault="00A43013" w:rsidP="00625639">
      <w:pPr>
        <w:spacing w:before="120" w:after="120"/>
        <w:rPr>
          <w:szCs w:val="22"/>
        </w:rPr>
      </w:pPr>
      <w:r w:rsidRPr="00D9396A">
        <w:rPr>
          <w:szCs w:val="22"/>
        </w:rPr>
        <w:t xml:space="preserve">After oral administration of </w:t>
      </w:r>
      <w:r w:rsidR="00DC30EC" w:rsidRPr="00D9396A">
        <w:rPr>
          <w:szCs w:val="22"/>
        </w:rPr>
        <w:t>RANEXA</w:t>
      </w:r>
      <w:r w:rsidRPr="00D9396A">
        <w:rPr>
          <w:szCs w:val="22"/>
        </w:rPr>
        <w:t>, peak plasma concentrations (C</w:t>
      </w:r>
      <w:r w:rsidRPr="00D9396A">
        <w:rPr>
          <w:szCs w:val="22"/>
          <w:vertAlign w:val="subscript"/>
        </w:rPr>
        <w:t>max</w:t>
      </w:r>
      <w:r w:rsidRPr="00D9396A">
        <w:rPr>
          <w:szCs w:val="22"/>
        </w:rPr>
        <w:t>) are typically observed between 2 and 6 hours. Steady state is achieved from 3 days with twice-daily dosing.</w:t>
      </w:r>
    </w:p>
    <w:p w:rsidR="00971C68" w:rsidRDefault="00A43013" w:rsidP="00625639">
      <w:pPr>
        <w:spacing w:before="120" w:after="120"/>
        <w:rPr>
          <w:szCs w:val="22"/>
        </w:rPr>
      </w:pPr>
      <w:r w:rsidRPr="00D9396A">
        <w:rPr>
          <w:szCs w:val="22"/>
        </w:rPr>
        <w:t xml:space="preserve">The mean absolute bioavailability of ranolazine after oral administration of immediate-release ranolazine tablets ranged from 35−50%, with large inter-individual variability. </w:t>
      </w:r>
      <w:r w:rsidR="000677BF" w:rsidRPr="00CA5881">
        <w:rPr>
          <w:szCs w:val="22"/>
        </w:rPr>
        <w:t>RANEXA exposure increases more than in proportion to dose</w:t>
      </w:r>
      <w:r w:rsidR="003F5DFC">
        <w:rPr>
          <w:szCs w:val="22"/>
        </w:rPr>
        <w:t>; t</w:t>
      </w:r>
      <w:r w:rsidR="000677BF" w:rsidRPr="00CA5881">
        <w:rPr>
          <w:szCs w:val="22"/>
        </w:rPr>
        <w:t>here was a 2.5- to 3-fold increase i</w:t>
      </w:r>
      <w:r w:rsidR="000677BF" w:rsidRPr="00D9396A">
        <w:rPr>
          <w:szCs w:val="22"/>
        </w:rPr>
        <w:t>n steady-state AUC as the dose was increased from 500 mg to 1000 mg twice daily</w:t>
      </w:r>
      <w:r w:rsidRPr="00D9396A">
        <w:rPr>
          <w:szCs w:val="22"/>
        </w:rPr>
        <w:t>. In a pharmacokinetic study in healthy volunteers, steady-state C</w:t>
      </w:r>
      <w:r w:rsidRPr="00D9396A">
        <w:rPr>
          <w:szCs w:val="22"/>
          <w:vertAlign w:val="subscript"/>
        </w:rPr>
        <w:t xml:space="preserve">max </w:t>
      </w:r>
      <w:r w:rsidRPr="00D9396A">
        <w:rPr>
          <w:szCs w:val="22"/>
        </w:rPr>
        <w:t>was, on average, approximately 1770 (SD 1040) ng/ml, and steady-state AUC</w:t>
      </w:r>
      <w:r w:rsidRPr="00D9396A">
        <w:rPr>
          <w:szCs w:val="22"/>
          <w:vertAlign w:val="subscript"/>
        </w:rPr>
        <w:t>0-12</w:t>
      </w:r>
      <w:r w:rsidRPr="00D9396A">
        <w:rPr>
          <w:szCs w:val="22"/>
        </w:rPr>
        <w:t xml:space="preserve"> was, on average, 13,700 (SD 8290) ng x h/ml following a dose of 500 mg twice daily. Food does not affect the rate and extent of absorption of ranolazine.</w:t>
      </w:r>
    </w:p>
    <w:p w:rsidR="00B073B1" w:rsidRPr="0019497F" w:rsidRDefault="00B073B1" w:rsidP="00B073B1">
      <w:pPr>
        <w:pStyle w:val="Heading3"/>
      </w:pPr>
      <w:r>
        <w:lastRenderedPageBreak/>
        <w:t>Distribution</w:t>
      </w:r>
    </w:p>
    <w:p w:rsidR="00B073B1" w:rsidRPr="0019497F" w:rsidRDefault="00B073B1" w:rsidP="00B073B1">
      <w:pPr>
        <w:keepNext/>
        <w:keepLines/>
        <w:spacing w:before="120" w:after="120"/>
      </w:pPr>
      <w:r>
        <w:t>Approximately 62% of ranolazine is bound to plasma proteins, showing slightly more affinity for alpha</w:t>
      </w:r>
      <w:r>
        <w:noBreakHyphen/>
        <w:t xml:space="preserve">1 acid glycoprotein than albumin over the concentration range of 0.25 to 10 </w:t>
      </w:r>
      <w:r>
        <w:rPr>
          <w:rFonts w:cs="Arial"/>
        </w:rPr>
        <w:t>µ</w:t>
      </w:r>
      <w:r>
        <w:t>g/mL. The mean steady-state volume of distribution (V</w:t>
      </w:r>
      <w:r>
        <w:rPr>
          <w:sz w:val="20"/>
          <w:vertAlign w:val="subscript"/>
        </w:rPr>
        <w:t>ss</w:t>
      </w:r>
      <w:r>
        <w:t>) is about 180 L.</w:t>
      </w:r>
    </w:p>
    <w:p w:rsidR="00B073B1" w:rsidRDefault="00B073B1" w:rsidP="00625639">
      <w:pPr>
        <w:spacing w:before="120" w:after="120"/>
        <w:rPr>
          <w:szCs w:val="22"/>
        </w:rPr>
      </w:pPr>
    </w:p>
    <w:p w:rsidR="00B541CE" w:rsidRPr="0019497F" w:rsidRDefault="00A43013" w:rsidP="00B073B1">
      <w:pPr>
        <w:pStyle w:val="Heading3"/>
      </w:pPr>
      <w:r>
        <w:t>Metabolism</w:t>
      </w:r>
    </w:p>
    <w:p w:rsidR="00AA0D07" w:rsidRPr="0019497F" w:rsidRDefault="00A43013" w:rsidP="00B073B1">
      <w:pPr>
        <w:numPr>
          <w:ilvl w:val="12"/>
          <w:numId w:val="0"/>
        </w:numPr>
        <w:spacing w:before="120" w:after="120"/>
        <w:rPr>
          <w:szCs w:val="22"/>
          <w:highlight w:val="yellow"/>
        </w:rPr>
      </w:pPr>
      <w:r>
        <w:t>Ranolazine undergoes rapid and extensive metabolism. In healthy young adults, ranolazine accounts for approximately 13% of the radioactivity in plasma following a single oral 500 mg dose of [</w:t>
      </w:r>
      <w:r>
        <w:rPr>
          <w:vertAlign w:val="superscript"/>
        </w:rPr>
        <w:t>14</w:t>
      </w:r>
      <w:r>
        <w:t>C]</w:t>
      </w:r>
      <w:r>
        <w:noBreakHyphen/>
        <w:t>ranolazine. A large number of metabolites has been identified in human plasma (47 metabolites), urine (</w:t>
      </w:r>
      <w:r w:rsidR="00497FCD" w:rsidRPr="0019497F">
        <w:sym w:font="Symbol" w:char="F03E"/>
      </w:r>
      <w:r w:rsidR="00497FCD" w:rsidRPr="0019497F">
        <w:t> 100 metabolites), and faeces (25 metabolites). O</w:t>
      </w:r>
      <w:r w:rsidR="00497FCD" w:rsidRPr="0019497F">
        <w:noBreakHyphen/>
        <w:t>demethylation and N</w:t>
      </w:r>
      <w:r w:rsidR="00497FCD" w:rsidRPr="0019497F">
        <w:noBreakHyphen/>
        <w:t xml:space="preserve">dealkylation </w:t>
      </w:r>
      <w:r w:rsidR="00570C2F">
        <w:t xml:space="preserve">have been identified as key metabolic pathways. </w:t>
      </w:r>
      <w:r w:rsidR="00497FCD" w:rsidRPr="0019497F">
        <w:rPr>
          <w:i/>
        </w:rPr>
        <w:t>In vitro</w:t>
      </w:r>
      <w:r w:rsidR="00497FCD" w:rsidRPr="0019497F">
        <w:t xml:space="preserve"> studies using human liver microsomes indicate that ranolazine is metabolised primarily by CYP3A4, </w:t>
      </w:r>
      <w:r w:rsidR="0004731D">
        <w:t>and</w:t>
      </w:r>
      <w:r w:rsidR="00497FCD" w:rsidRPr="0019497F">
        <w:t xml:space="preserve"> CYP2D6. At 500 mg twice daily, subjects lacking CYP2D6 activity (poor metabolisers, PM) had 62% higher AUC than subjects with CYP2D6 metabolising capacity (extensive metabolisers, EM). The corresponding difference at the 1000 mg twice-daily dose was 25%.</w:t>
      </w:r>
    </w:p>
    <w:p w:rsidR="00B541CE" w:rsidRPr="0019497F" w:rsidRDefault="00B541CE" w:rsidP="00B073B1">
      <w:pPr>
        <w:pStyle w:val="Heading3"/>
      </w:pPr>
      <w:r w:rsidRPr="0019497F">
        <w:t>Excretion</w:t>
      </w:r>
    </w:p>
    <w:p w:rsidR="00497FCD" w:rsidRPr="0019497F" w:rsidRDefault="00A43013" w:rsidP="00B073B1">
      <w:pPr>
        <w:spacing w:before="120" w:after="120"/>
      </w:pPr>
      <w:r>
        <w:t>Ranolazine is eliminated primarily by metabolism. Less than 5% of the dose is excreted unchanged in the urine and faeces. Following oral administration of a single 500 mg dose of [</w:t>
      </w:r>
      <w:r>
        <w:rPr>
          <w:vertAlign w:val="superscript"/>
        </w:rPr>
        <w:t>14</w:t>
      </w:r>
      <w:r>
        <w:t>C]</w:t>
      </w:r>
      <w:r>
        <w:noBreakHyphen/>
        <w:t>ranolazine to healthy subjects, 73% of the radioactivity was recovered in urine and 25% in faeces.</w:t>
      </w:r>
    </w:p>
    <w:p w:rsidR="00497FCD" w:rsidRPr="0019497F" w:rsidRDefault="00A43013" w:rsidP="00B073B1">
      <w:pPr>
        <w:spacing w:before="120" w:after="120"/>
      </w:pPr>
      <w:r>
        <w:t>Clearance of ranolazine is dose</w:t>
      </w:r>
      <w:r>
        <w:noBreakHyphen/>
        <w:t>depend</w:t>
      </w:r>
      <w:r w:rsidR="00F56C88">
        <w:t>e</w:t>
      </w:r>
      <w:r>
        <w:t>nt, decreasing with increased dose. The elimination half</w:t>
      </w:r>
      <w:r>
        <w:noBreakHyphen/>
        <w:t>life is about 2−3 hours after intravenous administration. The terminal half-life at steady state after oral administration of ranolazine is about 7 hours, due to the absorption rate-limited elimination.</w:t>
      </w:r>
    </w:p>
    <w:p w:rsidR="00AA0D07" w:rsidRPr="0019497F" w:rsidRDefault="00A43013" w:rsidP="00B073B1">
      <w:pPr>
        <w:pStyle w:val="Heading3"/>
        <w:rPr>
          <w:b/>
          <w:u w:val="none"/>
        </w:rPr>
      </w:pPr>
      <w:r>
        <w:rPr>
          <w:b/>
          <w:u w:val="none"/>
        </w:rPr>
        <w:t>Pharmacokinetics in Special Populations</w:t>
      </w:r>
    </w:p>
    <w:p w:rsidR="00497FCD" w:rsidRPr="003222D6" w:rsidRDefault="00A43013" w:rsidP="00B073B1">
      <w:pPr>
        <w:spacing w:before="120" w:after="120"/>
      </w:pPr>
      <w:r>
        <w:t>The influence of various factors on the pharmacokinetics of ranolazine was assessed in a population pharmacokinetic evaluation in 928 angina patients and healthy subjects.</w:t>
      </w:r>
    </w:p>
    <w:p w:rsidR="00EB18FA" w:rsidRPr="0019497F" w:rsidRDefault="00A43013" w:rsidP="00B073B1">
      <w:pPr>
        <w:pStyle w:val="Heading3"/>
      </w:pPr>
      <w:r>
        <w:t>Gender effects</w:t>
      </w:r>
    </w:p>
    <w:p w:rsidR="00497FCD" w:rsidRPr="0019497F" w:rsidRDefault="00A43013" w:rsidP="00B073B1">
      <w:pPr>
        <w:spacing w:before="120" w:after="120"/>
      </w:pPr>
      <w:r>
        <w:t>Gender had no clinically relevant effect on pharmacokinetic parameters.</w:t>
      </w:r>
    </w:p>
    <w:p w:rsidR="00EB18FA" w:rsidRPr="0019497F" w:rsidRDefault="00A43013" w:rsidP="00B073B1">
      <w:pPr>
        <w:pStyle w:val="Heading3"/>
      </w:pPr>
      <w:r>
        <w:t>Elderly patients</w:t>
      </w:r>
    </w:p>
    <w:p w:rsidR="00497FCD" w:rsidRPr="0019497F" w:rsidRDefault="00A43013" w:rsidP="00B073B1">
      <w:pPr>
        <w:spacing w:before="120" w:after="120"/>
      </w:pPr>
      <w:r>
        <w:t>Age alone had no clinically relevant effect on pharmacokinetic parameters. However, the elderly may have increased ranolazine exposure due to age-related decrease in renal function.</w:t>
      </w:r>
    </w:p>
    <w:p w:rsidR="00EB18FA" w:rsidRPr="0019497F" w:rsidRDefault="00A43013" w:rsidP="00B073B1">
      <w:pPr>
        <w:pStyle w:val="Heading3"/>
      </w:pPr>
      <w:r>
        <w:t>Body weight</w:t>
      </w:r>
    </w:p>
    <w:p w:rsidR="00497FCD" w:rsidRPr="0019497F" w:rsidRDefault="00A43013" w:rsidP="00B073B1">
      <w:pPr>
        <w:spacing w:before="120" w:after="120"/>
      </w:pPr>
      <w:r>
        <w:t xml:space="preserve">Compared to subjects weighing 70 kg, exposure was estimated to be about 1.4-fold higher in subjects weighing 40 kg.  </w:t>
      </w:r>
    </w:p>
    <w:p w:rsidR="00EB18FA" w:rsidRPr="0019497F" w:rsidRDefault="00A43013" w:rsidP="00B073B1">
      <w:pPr>
        <w:pStyle w:val="Heading3"/>
      </w:pPr>
      <w:r>
        <w:t xml:space="preserve">Congestive Heart Failure (CHF) </w:t>
      </w:r>
    </w:p>
    <w:p w:rsidR="00497FCD" w:rsidRPr="0019497F" w:rsidRDefault="00A43013" w:rsidP="00B073B1">
      <w:pPr>
        <w:spacing w:before="120" w:after="120"/>
      </w:pPr>
      <w:r>
        <w:t xml:space="preserve">CHF NYHA (New York Heart Association) Class III and IV were estimated to have about 1.3-fold higher plasma concentrations.  </w:t>
      </w:r>
    </w:p>
    <w:p w:rsidR="00EB18FA" w:rsidRPr="0019497F" w:rsidRDefault="00A43013" w:rsidP="00B073B1">
      <w:pPr>
        <w:pStyle w:val="Heading3"/>
      </w:pPr>
      <w:r>
        <w:t>Renal impairment</w:t>
      </w:r>
    </w:p>
    <w:p w:rsidR="00497FCD" w:rsidRPr="0019497F" w:rsidRDefault="00A43013" w:rsidP="00B073B1">
      <w:pPr>
        <w:spacing w:before="120" w:after="120"/>
      </w:pPr>
      <w:r>
        <w:t xml:space="preserve">In a study evaluating the influence of renal function on ranolazine pharmacokinetics, ranolazine AUC was on average 1.7- to 2-fold higher in subjects with mild, moderate, and severe renal impairment compared with subjects with normal renal function. There was a large inter-individual variability in AUC in subjects with renal impairment. The AUC of metabolites increased with decreased renal function. The AUC of one pharmacologically active ranolazine metabolite was </w:t>
      </w:r>
      <w:r w:rsidR="003C7DCB">
        <w:t xml:space="preserve">increased </w:t>
      </w:r>
      <w:r>
        <w:t xml:space="preserve">5-fold in patients with severe renal impairment.  </w:t>
      </w:r>
    </w:p>
    <w:p w:rsidR="00497FCD" w:rsidRPr="0019497F" w:rsidRDefault="00A43013" w:rsidP="00B073B1">
      <w:pPr>
        <w:spacing w:before="120" w:after="120"/>
      </w:pPr>
      <w:r>
        <w:t xml:space="preserve">In the population pharmacokinetic analysis, a 1.2-fold increase in ranolazine exposure was estimated in subjects with moderate impairment (creatinine clearance 40 ml/min CKD stage 3). In subjects with severe renal impairment (creatinine clearance 10–30 ml/min CKD stage 4), a 1.3- to 1.8-fold increase in ranolazine exposure was estimated. </w:t>
      </w:r>
    </w:p>
    <w:p w:rsidR="00497FCD" w:rsidRPr="0019497F" w:rsidRDefault="00A43013" w:rsidP="00B073B1">
      <w:pPr>
        <w:spacing w:before="120" w:after="120"/>
      </w:pPr>
      <w:r>
        <w:lastRenderedPageBreak/>
        <w:t xml:space="preserve">The influence of dialysis on the pharmacokinetics of ranolazine has not been evaluated. </w:t>
      </w:r>
    </w:p>
    <w:p w:rsidR="00B073B1" w:rsidRDefault="00B073B1">
      <w:pPr>
        <w:spacing w:after="0"/>
        <w:jc w:val="left"/>
        <w:rPr>
          <w:u w:val="single"/>
        </w:rPr>
      </w:pPr>
      <w:r>
        <w:br w:type="page"/>
      </w:r>
    </w:p>
    <w:p w:rsidR="00EB18FA" w:rsidRPr="0019497F" w:rsidRDefault="00A43013" w:rsidP="00B073B1">
      <w:pPr>
        <w:pStyle w:val="Heading3"/>
      </w:pPr>
      <w:r>
        <w:lastRenderedPageBreak/>
        <w:t>Hepatic impairment</w:t>
      </w:r>
    </w:p>
    <w:p w:rsidR="00497FCD" w:rsidRPr="00106755" w:rsidRDefault="00A43013" w:rsidP="00B073B1">
      <w:pPr>
        <w:spacing w:before="120" w:after="120"/>
      </w:pPr>
      <w:r>
        <w:t xml:space="preserve">The pharmacokinetics of ranolazine </w:t>
      </w:r>
      <w:r w:rsidR="003B028C">
        <w:t>has</w:t>
      </w:r>
      <w:r w:rsidR="003B028C" w:rsidRPr="0019497F">
        <w:t xml:space="preserve"> </w:t>
      </w:r>
      <w:r w:rsidR="00497FCD" w:rsidRPr="0019497F">
        <w:t xml:space="preserve">been evaluated in patients with mild or moderate hepatic impairment. There are no data in patients with severe hepatic impairment. Ranolazine AUC was unaffected in patients with mild hepatic impairment but increased 1.8-fold in patients with moderate impairment. QT prolongation was more pronounced in these patients.  </w:t>
      </w:r>
      <w:r w:rsidR="00106755">
        <w:tab/>
      </w:r>
    </w:p>
    <w:p w:rsidR="00EB18FA" w:rsidRPr="0019497F" w:rsidRDefault="00497FCD" w:rsidP="00B073B1">
      <w:pPr>
        <w:pStyle w:val="Heading3"/>
      </w:pPr>
      <w:r w:rsidRPr="0019497F">
        <w:t>Paediatric population</w:t>
      </w:r>
    </w:p>
    <w:p w:rsidR="00497FCD" w:rsidRPr="0019497F" w:rsidRDefault="00A43013" w:rsidP="00B073B1">
      <w:pPr>
        <w:spacing w:before="120" w:after="120"/>
      </w:pPr>
      <w:r>
        <w:t>The pharmacokinetic parameters of ranolazine have not been studied in the paediatric population (&lt; 18 years).</w:t>
      </w:r>
    </w:p>
    <w:p w:rsidR="00B541CE" w:rsidRPr="0019497F" w:rsidRDefault="00A43013" w:rsidP="00971C68">
      <w:pPr>
        <w:pStyle w:val="Heading1"/>
        <w:spacing w:after="240"/>
      </w:pPr>
      <w:r>
        <w:t>Clinical Trials</w:t>
      </w:r>
    </w:p>
    <w:p w:rsidR="00E52FF4" w:rsidRPr="0019497F" w:rsidRDefault="00A43013" w:rsidP="00971C68">
      <w:pPr>
        <w:pStyle w:val="Heading3"/>
      </w:pPr>
      <w:r w:rsidRPr="00A43013">
        <w:t>Chronic Stable Angina CARISA trial (study 3033)</w:t>
      </w:r>
    </w:p>
    <w:p w:rsidR="00A037B5" w:rsidRDefault="00A037B5" w:rsidP="00971C68">
      <w:pPr>
        <w:spacing w:before="120" w:after="120"/>
      </w:pPr>
      <w:r w:rsidRPr="00A43013">
        <w:t>CARISA (Combination Assessment of Ranolazine In Stable Angina</w:t>
      </w:r>
      <w:r>
        <w:t>)</w:t>
      </w:r>
      <w:r w:rsidRPr="00A43013">
        <w:t xml:space="preserve"> was a </w:t>
      </w:r>
      <w:r>
        <w:t>12-week, double-blind, randomised, placebo-controlled, parallel group, multiple-dose study in 823 chronic angina patients. Patients were randomised to receive fixed doses of RANEXA 750</w:t>
      </w:r>
      <w:r w:rsidR="00140370">
        <w:t xml:space="preserve"> </w:t>
      </w:r>
      <w:r w:rsidR="00AB036C">
        <w:t>mg</w:t>
      </w:r>
      <w:r>
        <w:t xml:space="preserve"> or 1000 mg twice daily in combination with atenolol 50 mg once daily, or diltiazem </w:t>
      </w:r>
      <w:r w:rsidRPr="00A43013">
        <w:t>180 mg once daily, or amlodipine 5 mg once daily</w:t>
      </w:r>
      <w:r>
        <w:t>. T</w:t>
      </w:r>
      <w:r w:rsidRPr="00A43013">
        <w:t>he primary efficacy variable was symptom limited exercise duration at trough (12 hours post dose).</w:t>
      </w:r>
      <w:r w:rsidRPr="00A47198">
        <w:rPr>
          <w:szCs w:val="23"/>
        </w:rPr>
        <w:t xml:space="preserve"> </w:t>
      </w:r>
      <w:r w:rsidRPr="0019497F">
        <w:t xml:space="preserve">Sublingual nitrates were used in this study as needed. </w:t>
      </w:r>
    </w:p>
    <w:p w:rsidR="00A037B5" w:rsidRPr="0019497F" w:rsidRDefault="00A037B5" w:rsidP="00971C68">
      <w:pPr>
        <w:spacing w:before="120" w:after="120"/>
      </w:pPr>
      <w:r w:rsidRPr="0019497F">
        <w:t>In this trial, statistically significant (</w:t>
      </w:r>
      <w:r w:rsidR="00A06275" w:rsidRPr="00A06275">
        <w:rPr>
          <w:i/>
        </w:rPr>
        <w:t>p</w:t>
      </w:r>
      <w:r w:rsidRPr="0019497F">
        <w:t xml:space="preserve"> &lt; 0.05) increases in modified Bruce treadmill exercise duration and time to angina were observed for each RANEXA dose versus placebo, at both trough (12 hours after dosing) and peak (4 hours after dosing) plasma levels, with minimal effects on blood pressure and heart rate. The changes versus placebo in exercise par</w:t>
      </w:r>
      <w:r w:rsidRPr="00A43013">
        <w:t xml:space="preserve">ameters </w:t>
      </w:r>
      <w:r>
        <w:t>for the 750</w:t>
      </w:r>
      <w:r w:rsidR="00140370">
        <w:t xml:space="preserve"> </w:t>
      </w:r>
      <w:r>
        <w:t xml:space="preserve">mg strength </w:t>
      </w:r>
      <w:r w:rsidRPr="00A43013">
        <w:t xml:space="preserve">are presented in Table </w:t>
      </w:r>
      <w:r>
        <w:t>1</w:t>
      </w:r>
      <w:r w:rsidRPr="00A43013">
        <w:t xml:space="preserve"> below. </w:t>
      </w:r>
      <w:r>
        <w:t>Exercise treadmill results showed no increase on effect on exercise at the 1000</w:t>
      </w:r>
      <w:r w:rsidR="00140370">
        <w:t xml:space="preserve"> </w:t>
      </w:r>
      <w:r>
        <w:t xml:space="preserve">mg dose compared to the 750mg dose. </w:t>
      </w:r>
    </w:p>
    <w:p w:rsidR="00A06275" w:rsidRPr="00625639" w:rsidRDefault="006F0B23" w:rsidP="00971C68">
      <w:pPr>
        <w:spacing w:before="120" w:after="120"/>
        <w:rPr>
          <w:rFonts w:eastAsiaTheme="minorHAnsi" w:cstheme="minorBidi"/>
          <w:bCs/>
          <w:szCs w:val="22"/>
        </w:rPr>
      </w:pPr>
      <w:r w:rsidRPr="00625639">
        <w:rPr>
          <w:rFonts w:eastAsiaTheme="minorHAnsi" w:cstheme="minorBidi"/>
          <w:b/>
          <w:szCs w:val="22"/>
        </w:rPr>
        <w:t xml:space="preserve">Table 1 </w:t>
      </w:r>
      <w:r w:rsidRPr="00625639">
        <w:rPr>
          <w:rFonts w:eastAsiaTheme="minorHAnsi" w:cstheme="minorBidi"/>
          <w:b/>
          <w:szCs w:val="22"/>
        </w:rPr>
        <w:tab/>
        <w:t>Exercise Treadmill Results (CARISA)</w:t>
      </w:r>
    </w:p>
    <w:tbl>
      <w:tblPr>
        <w:tblStyle w:val="TableGrid"/>
        <w:tblW w:w="0" w:type="auto"/>
        <w:jc w:val="center"/>
        <w:tblInd w:w="243" w:type="dxa"/>
        <w:tblLook w:val="04A0" w:firstRow="1" w:lastRow="0" w:firstColumn="1" w:lastColumn="0" w:noHBand="0" w:noVBand="1"/>
      </w:tblPr>
      <w:tblGrid>
        <w:gridCol w:w="2577"/>
        <w:gridCol w:w="3537"/>
        <w:gridCol w:w="3497"/>
      </w:tblGrid>
      <w:tr w:rsidR="00FE21E2" w:rsidRPr="0019497F" w:rsidTr="00625639">
        <w:trPr>
          <w:jc w:val="center"/>
        </w:trPr>
        <w:tc>
          <w:tcPr>
            <w:tcW w:w="2577" w:type="dxa"/>
            <w:vAlign w:val="center"/>
          </w:tcPr>
          <w:p w:rsidR="00FE21E2" w:rsidRPr="00625639" w:rsidRDefault="00FE21E2" w:rsidP="00971C68">
            <w:pPr>
              <w:spacing w:before="20" w:after="20"/>
              <w:jc w:val="center"/>
              <w:rPr>
                <w:rFonts w:eastAsia="Times New Roman" w:cs="Times New Roman"/>
                <w:b/>
                <w:sz w:val="20"/>
                <w:szCs w:val="20"/>
              </w:rPr>
            </w:pPr>
          </w:p>
        </w:tc>
        <w:tc>
          <w:tcPr>
            <w:tcW w:w="7034" w:type="dxa"/>
            <w:gridSpan w:val="2"/>
            <w:vAlign w:val="center"/>
          </w:tcPr>
          <w:p w:rsidR="00FE21E2" w:rsidRPr="00625639" w:rsidRDefault="00FE21E2" w:rsidP="00971C68">
            <w:pPr>
              <w:spacing w:before="20" w:after="20"/>
              <w:jc w:val="center"/>
              <w:rPr>
                <w:b/>
                <w:sz w:val="20"/>
                <w:szCs w:val="20"/>
              </w:rPr>
            </w:pPr>
            <w:r w:rsidRPr="00625639">
              <w:rPr>
                <w:b/>
                <w:sz w:val="20"/>
                <w:szCs w:val="20"/>
              </w:rPr>
              <w:t>Mean Difference from placebo (sec)</w:t>
            </w:r>
          </w:p>
        </w:tc>
      </w:tr>
      <w:tr w:rsidR="00FE21E2" w:rsidRPr="0019497F" w:rsidTr="00625639">
        <w:trPr>
          <w:jc w:val="center"/>
        </w:trPr>
        <w:tc>
          <w:tcPr>
            <w:tcW w:w="2577" w:type="dxa"/>
            <w:tcBorders>
              <w:bottom w:val="double" w:sz="4" w:space="0" w:color="auto"/>
            </w:tcBorders>
            <w:vAlign w:val="center"/>
          </w:tcPr>
          <w:p w:rsidR="00FE21E2" w:rsidRPr="00625639" w:rsidRDefault="00FE21E2" w:rsidP="00971C68">
            <w:pPr>
              <w:keepNext/>
              <w:spacing w:before="20" w:after="20"/>
              <w:jc w:val="center"/>
              <w:outlineLvl w:val="0"/>
              <w:rPr>
                <w:rFonts w:eastAsia="Times New Roman" w:cs="Times New Roman"/>
                <w:b/>
                <w:sz w:val="20"/>
                <w:szCs w:val="20"/>
              </w:rPr>
            </w:pPr>
            <w:r w:rsidRPr="00625639">
              <w:rPr>
                <w:b/>
                <w:sz w:val="20"/>
                <w:szCs w:val="20"/>
              </w:rPr>
              <w:t>Study</w:t>
            </w:r>
          </w:p>
        </w:tc>
        <w:tc>
          <w:tcPr>
            <w:tcW w:w="7034" w:type="dxa"/>
            <w:gridSpan w:val="2"/>
            <w:tcBorders>
              <w:bottom w:val="double" w:sz="4" w:space="0" w:color="auto"/>
            </w:tcBorders>
            <w:vAlign w:val="center"/>
          </w:tcPr>
          <w:p w:rsidR="00FE21E2" w:rsidRPr="00625639" w:rsidRDefault="00FE21E2" w:rsidP="00971C68">
            <w:pPr>
              <w:keepNext/>
              <w:spacing w:before="20" w:after="20"/>
              <w:jc w:val="center"/>
              <w:outlineLvl w:val="0"/>
              <w:rPr>
                <w:b/>
                <w:sz w:val="20"/>
                <w:szCs w:val="20"/>
              </w:rPr>
            </w:pPr>
            <w:r w:rsidRPr="00625639">
              <w:rPr>
                <w:b/>
                <w:sz w:val="20"/>
                <w:szCs w:val="20"/>
              </w:rPr>
              <w:t>CARISA (N = 791)</w:t>
            </w:r>
          </w:p>
        </w:tc>
      </w:tr>
      <w:tr w:rsidR="00FE21E2" w:rsidRPr="0019497F" w:rsidTr="00625639">
        <w:trPr>
          <w:jc w:val="center"/>
        </w:trPr>
        <w:tc>
          <w:tcPr>
            <w:tcW w:w="2577" w:type="dxa"/>
            <w:tcBorders>
              <w:top w:val="double" w:sz="4" w:space="0" w:color="auto"/>
              <w:bottom w:val="single" w:sz="4" w:space="0" w:color="auto"/>
            </w:tcBorders>
            <w:vAlign w:val="center"/>
          </w:tcPr>
          <w:p w:rsidR="00FE21E2" w:rsidRPr="00625639" w:rsidRDefault="00FE21E2" w:rsidP="00971C68">
            <w:pPr>
              <w:keepNext/>
              <w:spacing w:before="20" w:after="20"/>
              <w:jc w:val="center"/>
              <w:outlineLvl w:val="0"/>
              <w:rPr>
                <w:rFonts w:eastAsia="Times New Roman" w:cs="Times New Roman"/>
                <w:b/>
                <w:sz w:val="20"/>
                <w:szCs w:val="20"/>
              </w:rPr>
            </w:pPr>
            <w:r w:rsidRPr="00625639">
              <w:rPr>
                <w:b/>
                <w:sz w:val="20"/>
                <w:szCs w:val="20"/>
              </w:rPr>
              <w:t>RANEXA Twice-daily Dose</w:t>
            </w:r>
          </w:p>
        </w:tc>
        <w:tc>
          <w:tcPr>
            <w:tcW w:w="3537" w:type="dxa"/>
            <w:tcBorders>
              <w:top w:val="double" w:sz="4" w:space="0" w:color="auto"/>
              <w:bottom w:val="single" w:sz="4" w:space="0" w:color="auto"/>
            </w:tcBorders>
            <w:vAlign w:val="center"/>
          </w:tcPr>
          <w:p w:rsidR="00FE21E2" w:rsidRPr="00625639" w:rsidRDefault="00FE21E2" w:rsidP="00971C68">
            <w:pPr>
              <w:keepNext/>
              <w:spacing w:before="20" w:after="20"/>
              <w:jc w:val="center"/>
              <w:outlineLvl w:val="0"/>
              <w:rPr>
                <w:rFonts w:eastAsia="Times New Roman" w:cs="Times New Roman"/>
                <w:b/>
                <w:sz w:val="20"/>
                <w:szCs w:val="20"/>
              </w:rPr>
            </w:pPr>
            <w:r w:rsidRPr="00625639">
              <w:rPr>
                <w:b/>
                <w:sz w:val="20"/>
                <w:szCs w:val="20"/>
              </w:rPr>
              <w:t>750 mg</w:t>
            </w:r>
          </w:p>
        </w:tc>
        <w:tc>
          <w:tcPr>
            <w:tcW w:w="3497" w:type="dxa"/>
            <w:tcBorders>
              <w:top w:val="double" w:sz="4" w:space="0" w:color="auto"/>
              <w:bottom w:val="single" w:sz="4" w:space="0" w:color="auto"/>
            </w:tcBorders>
            <w:vAlign w:val="center"/>
          </w:tcPr>
          <w:p w:rsidR="00FE21E2" w:rsidRPr="00625639" w:rsidRDefault="00FE21E2" w:rsidP="00625639">
            <w:pPr>
              <w:keepNext/>
              <w:spacing w:before="20" w:after="20"/>
              <w:jc w:val="center"/>
              <w:outlineLvl w:val="0"/>
              <w:rPr>
                <w:b/>
                <w:sz w:val="20"/>
                <w:szCs w:val="20"/>
              </w:rPr>
            </w:pPr>
            <w:r w:rsidRPr="00625639">
              <w:rPr>
                <w:b/>
                <w:sz w:val="20"/>
                <w:szCs w:val="20"/>
              </w:rPr>
              <w:t>1000</w:t>
            </w:r>
            <w:r w:rsidR="00746C70" w:rsidRPr="00625639">
              <w:rPr>
                <w:b/>
                <w:sz w:val="20"/>
                <w:szCs w:val="20"/>
              </w:rPr>
              <w:t xml:space="preserve"> </w:t>
            </w:r>
            <w:r w:rsidRPr="00625639">
              <w:rPr>
                <w:b/>
                <w:sz w:val="20"/>
                <w:szCs w:val="20"/>
              </w:rPr>
              <w:t>mg</w:t>
            </w:r>
          </w:p>
        </w:tc>
      </w:tr>
      <w:tr w:rsidR="00FE21E2" w:rsidRPr="0019497F" w:rsidTr="00625639">
        <w:trPr>
          <w:jc w:val="center"/>
        </w:trPr>
        <w:tc>
          <w:tcPr>
            <w:tcW w:w="2577" w:type="dxa"/>
            <w:tcBorders>
              <w:bottom w:val="nil"/>
            </w:tcBorders>
          </w:tcPr>
          <w:p w:rsidR="00FE21E2" w:rsidRPr="00625639" w:rsidRDefault="00FE21E2" w:rsidP="00971C68">
            <w:pPr>
              <w:spacing w:before="20" w:after="20"/>
              <w:rPr>
                <w:rFonts w:eastAsia="Times New Roman" w:cs="Times New Roman"/>
                <w:sz w:val="20"/>
                <w:szCs w:val="20"/>
              </w:rPr>
            </w:pPr>
            <w:r w:rsidRPr="00625639">
              <w:rPr>
                <w:sz w:val="20"/>
                <w:szCs w:val="20"/>
              </w:rPr>
              <w:t>Exercise Duration</w:t>
            </w:r>
          </w:p>
        </w:tc>
        <w:tc>
          <w:tcPr>
            <w:tcW w:w="3537" w:type="dxa"/>
            <w:tcBorders>
              <w:bottom w:val="nil"/>
            </w:tcBorders>
          </w:tcPr>
          <w:p w:rsidR="00FE21E2" w:rsidRPr="00625639" w:rsidRDefault="00FE21E2" w:rsidP="00971C68">
            <w:pPr>
              <w:spacing w:before="20" w:after="20"/>
              <w:jc w:val="center"/>
              <w:rPr>
                <w:rFonts w:eastAsia="Times New Roman" w:cs="Times New Roman"/>
                <w:sz w:val="20"/>
                <w:szCs w:val="20"/>
              </w:rPr>
            </w:pPr>
          </w:p>
        </w:tc>
        <w:tc>
          <w:tcPr>
            <w:tcW w:w="3497" w:type="dxa"/>
            <w:tcBorders>
              <w:bottom w:val="nil"/>
            </w:tcBorders>
          </w:tcPr>
          <w:p w:rsidR="00FE21E2" w:rsidRPr="00625639" w:rsidRDefault="00FE21E2" w:rsidP="00971C68">
            <w:pPr>
              <w:spacing w:before="20" w:after="20"/>
              <w:jc w:val="center"/>
              <w:rPr>
                <w:sz w:val="20"/>
                <w:szCs w:val="20"/>
              </w:rPr>
            </w:pPr>
          </w:p>
        </w:tc>
      </w:tr>
      <w:tr w:rsidR="00FE21E2" w:rsidRPr="0019497F" w:rsidTr="00625639">
        <w:trPr>
          <w:jc w:val="center"/>
        </w:trPr>
        <w:tc>
          <w:tcPr>
            <w:tcW w:w="2577" w:type="dxa"/>
            <w:tcBorders>
              <w:top w:val="nil"/>
              <w:bottom w:val="nil"/>
            </w:tcBorders>
          </w:tcPr>
          <w:p w:rsidR="00FE21E2" w:rsidRPr="00625639" w:rsidRDefault="00FE21E2" w:rsidP="00971C68">
            <w:pPr>
              <w:spacing w:before="20" w:after="20"/>
              <w:rPr>
                <w:rFonts w:eastAsia="Times New Roman" w:cs="Times New Roman"/>
                <w:sz w:val="20"/>
                <w:szCs w:val="20"/>
              </w:rPr>
            </w:pPr>
            <w:r w:rsidRPr="00625639">
              <w:rPr>
                <w:sz w:val="20"/>
                <w:szCs w:val="20"/>
              </w:rPr>
              <w:t>Trough</w:t>
            </w:r>
          </w:p>
        </w:tc>
        <w:tc>
          <w:tcPr>
            <w:tcW w:w="3537" w:type="dxa"/>
            <w:tcBorders>
              <w:top w:val="nil"/>
              <w:bottom w:val="nil"/>
            </w:tcBorders>
          </w:tcPr>
          <w:p w:rsidR="00FE21E2" w:rsidRPr="00625639" w:rsidRDefault="00FE21E2" w:rsidP="00971C68">
            <w:pPr>
              <w:spacing w:before="20" w:after="20"/>
              <w:jc w:val="center"/>
              <w:rPr>
                <w:rFonts w:eastAsia="Times New Roman" w:cs="Times New Roman"/>
                <w:sz w:val="20"/>
                <w:szCs w:val="20"/>
                <w:vertAlign w:val="superscript"/>
              </w:rPr>
            </w:pPr>
            <w:r w:rsidRPr="00625639">
              <w:rPr>
                <w:sz w:val="20"/>
                <w:szCs w:val="20"/>
              </w:rPr>
              <w:t>24</w:t>
            </w:r>
            <w:r w:rsidRPr="00625639">
              <w:rPr>
                <w:sz w:val="20"/>
                <w:szCs w:val="20"/>
                <w:vertAlign w:val="superscript"/>
              </w:rPr>
              <w:t>a</w:t>
            </w:r>
          </w:p>
        </w:tc>
        <w:tc>
          <w:tcPr>
            <w:tcW w:w="3497" w:type="dxa"/>
            <w:tcBorders>
              <w:top w:val="nil"/>
              <w:bottom w:val="nil"/>
            </w:tcBorders>
          </w:tcPr>
          <w:p w:rsidR="00FE21E2" w:rsidRPr="00625639" w:rsidRDefault="00FE21E2" w:rsidP="00971C68">
            <w:pPr>
              <w:spacing w:before="20" w:after="20"/>
              <w:jc w:val="center"/>
              <w:rPr>
                <w:sz w:val="20"/>
                <w:szCs w:val="20"/>
                <w:vertAlign w:val="superscript"/>
              </w:rPr>
            </w:pPr>
            <w:r w:rsidRPr="00625639">
              <w:rPr>
                <w:sz w:val="20"/>
                <w:szCs w:val="20"/>
              </w:rPr>
              <w:t>24</w:t>
            </w:r>
            <w:r w:rsidRPr="00625639">
              <w:rPr>
                <w:sz w:val="20"/>
                <w:szCs w:val="20"/>
                <w:vertAlign w:val="superscript"/>
              </w:rPr>
              <w:t>a</w:t>
            </w:r>
          </w:p>
        </w:tc>
      </w:tr>
      <w:tr w:rsidR="00FE21E2" w:rsidRPr="0019497F" w:rsidTr="00625639">
        <w:trPr>
          <w:jc w:val="center"/>
        </w:trPr>
        <w:tc>
          <w:tcPr>
            <w:tcW w:w="2577" w:type="dxa"/>
            <w:tcBorders>
              <w:top w:val="nil"/>
              <w:bottom w:val="single" w:sz="4" w:space="0" w:color="auto"/>
            </w:tcBorders>
          </w:tcPr>
          <w:p w:rsidR="00FE21E2" w:rsidRPr="00625639" w:rsidRDefault="00FE21E2" w:rsidP="00971C68">
            <w:pPr>
              <w:spacing w:before="20" w:after="20"/>
              <w:rPr>
                <w:rFonts w:eastAsia="Times New Roman" w:cs="Times New Roman"/>
                <w:sz w:val="20"/>
                <w:szCs w:val="20"/>
              </w:rPr>
            </w:pPr>
            <w:r w:rsidRPr="00625639">
              <w:rPr>
                <w:sz w:val="20"/>
                <w:szCs w:val="20"/>
              </w:rPr>
              <w:t>Peak</w:t>
            </w:r>
          </w:p>
        </w:tc>
        <w:tc>
          <w:tcPr>
            <w:tcW w:w="3537" w:type="dxa"/>
            <w:tcBorders>
              <w:top w:val="nil"/>
              <w:bottom w:val="single" w:sz="4" w:space="0" w:color="auto"/>
            </w:tcBorders>
          </w:tcPr>
          <w:p w:rsidR="00FE21E2" w:rsidRPr="00625639" w:rsidRDefault="00FE21E2" w:rsidP="00971C68">
            <w:pPr>
              <w:spacing w:before="20" w:after="20"/>
              <w:jc w:val="center"/>
              <w:rPr>
                <w:rFonts w:eastAsia="Times New Roman" w:cs="Times New Roman"/>
                <w:sz w:val="20"/>
                <w:szCs w:val="20"/>
              </w:rPr>
            </w:pPr>
            <w:r w:rsidRPr="00625639">
              <w:rPr>
                <w:sz w:val="20"/>
                <w:szCs w:val="20"/>
              </w:rPr>
              <w:t>34</w:t>
            </w:r>
            <w:r w:rsidRPr="00625639">
              <w:rPr>
                <w:sz w:val="20"/>
                <w:szCs w:val="20"/>
                <w:vertAlign w:val="superscript"/>
              </w:rPr>
              <w:t>b</w:t>
            </w:r>
          </w:p>
        </w:tc>
        <w:tc>
          <w:tcPr>
            <w:tcW w:w="3497" w:type="dxa"/>
            <w:tcBorders>
              <w:top w:val="nil"/>
              <w:bottom w:val="single" w:sz="4" w:space="0" w:color="auto"/>
            </w:tcBorders>
          </w:tcPr>
          <w:p w:rsidR="00FE21E2" w:rsidRPr="00625639" w:rsidRDefault="00FE21E2" w:rsidP="00971C68">
            <w:pPr>
              <w:spacing w:before="20" w:after="20"/>
              <w:jc w:val="center"/>
              <w:rPr>
                <w:sz w:val="20"/>
                <w:szCs w:val="20"/>
                <w:vertAlign w:val="superscript"/>
              </w:rPr>
            </w:pPr>
            <w:r w:rsidRPr="00625639">
              <w:rPr>
                <w:sz w:val="20"/>
                <w:szCs w:val="20"/>
              </w:rPr>
              <w:t>26</w:t>
            </w:r>
            <w:r w:rsidRPr="00625639">
              <w:rPr>
                <w:sz w:val="20"/>
                <w:szCs w:val="20"/>
                <w:vertAlign w:val="superscript"/>
              </w:rPr>
              <w:t>a</w:t>
            </w:r>
          </w:p>
        </w:tc>
      </w:tr>
      <w:tr w:rsidR="00FE21E2" w:rsidRPr="0019497F" w:rsidTr="00625639">
        <w:trPr>
          <w:jc w:val="center"/>
        </w:trPr>
        <w:tc>
          <w:tcPr>
            <w:tcW w:w="2577" w:type="dxa"/>
            <w:tcBorders>
              <w:bottom w:val="nil"/>
            </w:tcBorders>
          </w:tcPr>
          <w:p w:rsidR="00FE21E2" w:rsidRPr="00625639" w:rsidRDefault="00FE21E2" w:rsidP="00971C68">
            <w:pPr>
              <w:spacing w:before="20" w:after="20"/>
              <w:rPr>
                <w:rFonts w:eastAsia="Times New Roman" w:cs="Times New Roman"/>
                <w:sz w:val="20"/>
                <w:szCs w:val="20"/>
              </w:rPr>
            </w:pPr>
            <w:r w:rsidRPr="00625639">
              <w:rPr>
                <w:sz w:val="20"/>
                <w:szCs w:val="20"/>
              </w:rPr>
              <w:t>Time to Angina</w:t>
            </w:r>
          </w:p>
        </w:tc>
        <w:tc>
          <w:tcPr>
            <w:tcW w:w="3537" w:type="dxa"/>
            <w:tcBorders>
              <w:bottom w:val="nil"/>
            </w:tcBorders>
          </w:tcPr>
          <w:p w:rsidR="00FE21E2" w:rsidRPr="00625639" w:rsidRDefault="00FE21E2" w:rsidP="00971C68">
            <w:pPr>
              <w:spacing w:before="20" w:after="20"/>
              <w:jc w:val="center"/>
              <w:rPr>
                <w:rFonts w:eastAsia="Times New Roman" w:cs="Times New Roman"/>
                <w:sz w:val="20"/>
                <w:szCs w:val="20"/>
                <w:highlight w:val="yellow"/>
              </w:rPr>
            </w:pPr>
          </w:p>
        </w:tc>
        <w:tc>
          <w:tcPr>
            <w:tcW w:w="3497" w:type="dxa"/>
            <w:tcBorders>
              <w:bottom w:val="nil"/>
            </w:tcBorders>
          </w:tcPr>
          <w:p w:rsidR="00FE21E2" w:rsidRPr="00625639" w:rsidRDefault="00FE21E2" w:rsidP="00971C68">
            <w:pPr>
              <w:spacing w:before="20" w:after="20"/>
              <w:jc w:val="center"/>
              <w:rPr>
                <w:sz w:val="20"/>
                <w:szCs w:val="20"/>
                <w:highlight w:val="yellow"/>
              </w:rPr>
            </w:pPr>
          </w:p>
        </w:tc>
      </w:tr>
      <w:tr w:rsidR="00FE21E2" w:rsidRPr="0019497F" w:rsidTr="00625639">
        <w:trPr>
          <w:jc w:val="center"/>
        </w:trPr>
        <w:tc>
          <w:tcPr>
            <w:tcW w:w="2577" w:type="dxa"/>
            <w:tcBorders>
              <w:top w:val="nil"/>
              <w:bottom w:val="nil"/>
            </w:tcBorders>
          </w:tcPr>
          <w:p w:rsidR="00FE21E2" w:rsidRPr="00625639" w:rsidRDefault="00FE21E2" w:rsidP="00971C68">
            <w:pPr>
              <w:spacing w:before="20" w:after="20"/>
              <w:rPr>
                <w:rFonts w:eastAsia="Times New Roman" w:cs="Times New Roman"/>
                <w:sz w:val="20"/>
                <w:szCs w:val="20"/>
              </w:rPr>
            </w:pPr>
            <w:r w:rsidRPr="00625639">
              <w:rPr>
                <w:sz w:val="20"/>
                <w:szCs w:val="20"/>
              </w:rPr>
              <w:t>Trough</w:t>
            </w:r>
          </w:p>
        </w:tc>
        <w:tc>
          <w:tcPr>
            <w:tcW w:w="3537" w:type="dxa"/>
            <w:tcBorders>
              <w:top w:val="nil"/>
              <w:bottom w:val="nil"/>
            </w:tcBorders>
          </w:tcPr>
          <w:p w:rsidR="00FE21E2" w:rsidRPr="00625639" w:rsidRDefault="00FE21E2" w:rsidP="00971C68">
            <w:pPr>
              <w:spacing w:before="20" w:after="20"/>
              <w:jc w:val="center"/>
              <w:rPr>
                <w:rFonts w:eastAsia="Times New Roman" w:cs="Times New Roman"/>
                <w:sz w:val="20"/>
                <w:szCs w:val="20"/>
                <w:vertAlign w:val="superscript"/>
              </w:rPr>
            </w:pPr>
            <w:r w:rsidRPr="00625639">
              <w:rPr>
                <w:sz w:val="20"/>
                <w:szCs w:val="20"/>
              </w:rPr>
              <w:t>30</w:t>
            </w:r>
            <w:r w:rsidRPr="00625639">
              <w:rPr>
                <w:sz w:val="20"/>
                <w:szCs w:val="20"/>
                <w:vertAlign w:val="superscript"/>
              </w:rPr>
              <w:t>a</w:t>
            </w:r>
          </w:p>
        </w:tc>
        <w:tc>
          <w:tcPr>
            <w:tcW w:w="3497" w:type="dxa"/>
            <w:tcBorders>
              <w:top w:val="nil"/>
              <w:bottom w:val="nil"/>
            </w:tcBorders>
          </w:tcPr>
          <w:p w:rsidR="00FE21E2" w:rsidRPr="00625639" w:rsidRDefault="00FE21E2" w:rsidP="00971C68">
            <w:pPr>
              <w:spacing w:before="20" w:after="20"/>
              <w:jc w:val="center"/>
              <w:rPr>
                <w:sz w:val="20"/>
                <w:szCs w:val="20"/>
                <w:vertAlign w:val="superscript"/>
              </w:rPr>
            </w:pPr>
            <w:r w:rsidRPr="00625639">
              <w:rPr>
                <w:sz w:val="20"/>
                <w:szCs w:val="20"/>
              </w:rPr>
              <w:t>26</w:t>
            </w:r>
            <w:r w:rsidRPr="00625639">
              <w:rPr>
                <w:sz w:val="20"/>
                <w:szCs w:val="20"/>
                <w:vertAlign w:val="superscript"/>
              </w:rPr>
              <w:t>a</w:t>
            </w:r>
          </w:p>
        </w:tc>
      </w:tr>
      <w:tr w:rsidR="00FE21E2" w:rsidRPr="0019497F" w:rsidTr="00625639">
        <w:trPr>
          <w:jc w:val="center"/>
        </w:trPr>
        <w:tc>
          <w:tcPr>
            <w:tcW w:w="2577" w:type="dxa"/>
            <w:tcBorders>
              <w:top w:val="nil"/>
              <w:bottom w:val="single" w:sz="4" w:space="0" w:color="auto"/>
            </w:tcBorders>
          </w:tcPr>
          <w:p w:rsidR="00FE21E2" w:rsidRPr="00625639" w:rsidRDefault="00FE21E2" w:rsidP="00971C68">
            <w:pPr>
              <w:spacing w:before="20" w:after="20"/>
              <w:rPr>
                <w:rFonts w:eastAsia="Times New Roman" w:cs="Times New Roman"/>
                <w:sz w:val="20"/>
                <w:szCs w:val="20"/>
              </w:rPr>
            </w:pPr>
            <w:r w:rsidRPr="00625639">
              <w:rPr>
                <w:sz w:val="20"/>
                <w:szCs w:val="20"/>
              </w:rPr>
              <w:t>Peak</w:t>
            </w:r>
          </w:p>
        </w:tc>
        <w:tc>
          <w:tcPr>
            <w:tcW w:w="3537" w:type="dxa"/>
            <w:tcBorders>
              <w:top w:val="nil"/>
              <w:bottom w:val="single" w:sz="4" w:space="0" w:color="auto"/>
            </w:tcBorders>
          </w:tcPr>
          <w:p w:rsidR="00FE21E2" w:rsidRPr="00625639" w:rsidRDefault="00FE21E2" w:rsidP="00971C68">
            <w:pPr>
              <w:spacing w:before="20" w:after="20"/>
              <w:jc w:val="center"/>
              <w:rPr>
                <w:rFonts w:eastAsia="Times New Roman" w:cs="Times New Roman"/>
                <w:sz w:val="20"/>
                <w:szCs w:val="20"/>
              </w:rPr>
            </w:pPr>
            <w:r w:rsidRPr="00625639">
              <w:rPr>
                <w:sz w:val="20"/>
                <w:szCs w:val="20"/>
              </w:rPr>
              <w:t>38</w:t>
            </w:r>
            <w:r w:rsidRPr="00625639">
              <w:rPr>
                <w:sz w:val="20"/>
                <w:szCs w:val="20"/>
                <w:vertAlign w:val="superscript"/>
              </w:rPr>
              <w:t>b</w:t>
            </w:r>
          </w:p>
        </w:tc>
        <w:tc>
          <w:tcPr>
            <w:tcW w:w="3497" w:type="dxa"/>
            <w:tcBorders>
              <w:top w:val="nil"/>
              <w:bottom w:val="single" w:sz="4" w:space="0" w:color="auto"/>
            </w:tcBorders>
          </w:tcPr>
          <w:p w:rsidR="00FE21E2" w:rsidRPr="00625639" w:rsidRDefault="00FE21E2" w:rsidP="00971C68">
            <w:pPr>
              <w:spacing w:before="20" w:after="20"/>
              <w:jc w:val="center"/>
              <w:rPr>
                <w:sz w:val="20"/>
                <w:szCs w:val="20"/>
                <w:vertAlign w:val="superscript"/>
              </w:rPr>
            </w:pPr>
            <w:r w:rsidRPr="00625639">
              <w:rPr>
                <w:sz w:val="20"/>
                <w:szCs w:val="20"/>
              </w:rPr>
              <w:t>38</w:t>
            </w:r>
            <w:r w:rsidRPr="00625639">
              <w:rPr>
                <w:sz w:val="20"/>
                <w:szCs w:val="20"/>
                <w:vertAlign w:val="superscript"/>
              </w:rPr>
              <w:t>b</w:t>
            </w:r>
          </w:p>
        </w:tc>
      </w:tr>
      <w:tr w:rsidR="00FE21E2" w:rsidRPr="0019497F" w:rsidTr="00625639">
        <w:trPr>
          <w:jc w:val="center"/>
        </w:trPr>
        <w:tc>
          <w:tcPr>
            <w:tcW w:w="2577" w:type="dxa"/>
            <w:tcBorders>
              <w:bottom w:val="nil"/>
            </w:tcBorders>
          </w:tcPr>
          <w:p w:rsidR="00A06275" w:rsidRPr="00625639" w:rsidRDefault="00FE21E2" w:rsidP="00971C68">
            <w:pPr>
              <w:spacing w:before="20" w:after="20"/>
              <w:jc w:val="left"/>
              <w:rPr>
                <w:rFonts w:eastAsia="Times New Roman" w:cs="Times New Roman"/>
                <w:sz w:val="20"/>
                <w:szCs w:val="20"/>
              </w:rPr>
            </w:pPr>
            <w:r w:rsidRPr="00625639">
              <w:rPr>
                <w:sz w:val="20"/>
                <w:szCs w:val="20"/>
              </w:rPr>
              <w:t>Time to 1 mm ST-Segment Depression</w:t>
            </w:r>
          </w:p>
        </w:tc>
        <w:tc>
          <w:tcPr>
            <w:tcW w:w="3537" w:type="dxa"/>
            <w:tcBorders>
              <w:bottom w:val="nil"/>
            </w:tcBorders>
          </w:tcPr>
          <w:p w:rsidR="00FE21E2" w:rsidRPr="00625639" w:rsidRDefault="00FE21E2" w:rsidP="00971C68">
            <w:pPr>
              <w:spacing w:before="20" w:after="20"/>
              <w:jc w:val="center"/>
              <w:rPr>
                <w:rFonts w:eastAsia="Times New Roman" w:cs="Times New Roman"/>
                <w:sz w:val="20"/>
                <w:szCs w:val="20"/>
              </w:rPr>
            </w:pPr>
          </w:p>
        </w:tc>
        <w:tc>
          <w:tcPr>
            <w:tcW w:w="3497" w:type="dxa"/>
            <w:tcBorders>
              <w:bottom w:val="nil"/>
            </w:tcBorders>
          </w:tcPr>
          <w:p w:rsidR="00FE21E2" w:rsidRPr="00625639" w:rsidRDefault="00FE21E2" w:rsidP="00971C68">
            <w:pPr>
              <w:spacing w:before="20" w:after="20"/>
              <w:jc w:val="center"/>
              <w:rPr>
                <w:sz w:val="20"/>
                <w:szCs w:val="20"/>
              </w:rPr>
            </w:pPr>
          </w:p>
        </w:tc>
      </w:tr>
      <w:tr w:rsidR="00FE21E2" w:rsidRPr="0019497F" w:rsidTr="00625639">
        <w:trPr>
          <w:trHeight w:val="130"/>
          <w:jc w:val="center"/>
        </w:trPr>
        <w:tc>
          <w:tcPr>
            <w:tcW w:w="2577" w:type="dxa"/>
            <w:tcBorders>
              <w:top w:val="nil"/>
              <w:bottom w:val="nil"/>
            </w:tcBorders>
          </w:tcPr>
          <w:p w:rsidR="00FE21E2" w:rsidRPr="00625639" w:rsidRDefault="00FE21E2" w:rsidP="00971C68">
            <w:pPr>
              <w:spacing w:before="20" w:after="20"/>
              <w:rPr>
                <w:rFonts w:eastAsia="Times New Roman" w:cs="Times New Roman"/>
                <w:sz w:val="20"/>
                <w:szCs w:val="20"/>
              </w:rPr>
            </w:pPr>
            <w:r w:rsidRPr="00625639">
              <w:rPr>
                <w:sz w:val="20"/>
                <w:szCs w:val="20"/>
              </w:rPr>
              <w:t>Trough</w:t>
            </w:r>
          </w:p>
        </w:tc>
        <w:tc>
          <w:tcPr>
            <w:tcW w:w="3537" w:type="dxa"/>
            <w:tcBorders>
              <w:top w:val="nil"/>
              <w:bottom w:val="nil"/>
            </w:tcBorders>
          </w:tcPr>
          <w:p w:rsidR="00FE21E2" w:rsidRPr="00625639" w:rsidRDefault="00FE21E2" w:rsidP="00971C68">
            <w:pPr>
              <w:spacing w:before="20" w:after="20"/>
              <w:jc w:val="center"/>
              <w:rPr>
                <w:rFonts w:eastAsia="Times New Roman" w:cs="Times New Roman"/>
                <w:sz w:val="20"/>
                <w:szCs w:val="20"/>
                <w:vertAlign w:val="superscript"/>
              </w:rPr>
            </w:pPr>
            <w:r w:rsidRPr="00625639">
              <w:rPr>
                <w:sz w:val="20"/>
                <w:szCs w:val="20"/>
              </w:rPr>
              <w:t>20</w:t>
            </w:r>
          </w:p>
        </w:tc>
        <w:tc>
          <w:tcPr>
            <w:tcW w:w="3497" w:type="dxa"/>
            <w:tcBorders>
              <w:top w:val="nil"/>
              <w:bottom w:val="nil"/>
            </w:tcBorders>
          </w:tcPr>
          <w:p w:rsidR="00FE21E2" w:rsidRPr="00625639" w:rsidRDefault="00FE21E2" w:rsidP="00971C68">
            <w:pPr>
              <w:spacing w:before="20" w:after="20"/>
              <w:jc w:val="center"/>
              <w:rPr>
                <w:sz w:val="20"/>
                <w:szCs w:val="20"/>
              </w:rPr>
            </w:pPr>
            <w:r w:rsidRPr="00625639">
              <w:rPr>
                <w:sz w:val="20"/>
                <w:szCs w:val="20"/>
              </w:rPr>
              <w:t>21</w:t>
            </w:r>
          </w:p>
        </w:tc>
      </w:tr>
      <w:tr w:rsidR="00FE21E2" w:rsidRPr="0019497F" w:rsidTr="00625639">
        <w:trPr>
          <w:jc w:val="center"/>
        </w:trPr>
        <w:tc>
          <w:tcPr>
            <w:tcW w:w="2577" w:type="dxa"/>
            <w:tcBorders>
              <w:top w:val="nil"/>
            </w:tcBorders>
          </w:tcPr>
          <w:p w:rsidR="00FE21E2" w:rsidRPr="00625639" w:rsidRDefault="00FE21E2" w:rsidP="00971C68">
            <w:pPr>
              <w:spacing w:before="20" w:after="20"/>
              <w:rPr>
                <w:rFonts w:eastAsia="Times New Roman" w:cs="Times New Roman"/>
                <w:sz w:val="20"/>
                <w:szCs w:val="20"/>
              </w:rPr>
            </w:pPr>
            <w:r w:rsidRPr="00625639">
              <w:rPr>
                <w:sz w:val="20"/>
                <w:szCs w:val="20"/>
              </w:rPr>
              <w:t>Peak</w:t>
            </w:r>
          </w:p>
        </w:tc>
        <w:tc>
          <w:tcPr>
            <w:tcW w:w="3537" w:type="dxa"/>
            <w:tcBorders>
              <w:top w:val="nil"/>
            </w:tcBorders>
          </w:tcPr>
          <w:p w:rsidR="00FE21E2" w:rsidRPr="00625639" w:rsidRDefault="00FE21E2" w:rsidP="00971C68">
            <w:pPr>
              <w:spacing w:before="20" w:after="20"/>
              <w:jc w:val="center"/>
              <w:rPr>
                <w:rFonts w:eastAsia="Times New Roman" w:cs="Times New Roman"/>
                <w:sz w:val="20"/>
                <w:szCs w:val="20"/>
              </w:rPr>
            </w:pPr>
            <w:r w:rsidRPr="00625639">
              <w:rPr>
                <w:sz w:val="20"/>
                <w:szCs w:val="20"/>
              </w:rPr>
              <w:t>41</w:t>
            </w:r>
            <w:r w:rsidRPr="00625639">
              <w:rPr>
                <w:sz w:val="20"/>
                <w:szCs w:val="20"/>
                <w:vertAlign w:val="superscript"/>
              </w:rPr>
              <w:t>b</w:t>
            </w:r>
          </w:p>
        </w:tc>
        <w:tc>
          <w:tcPr>
            <w:tcW w:w="3497" w:type="dxa"/>
            <w:tcBorders>
              <w:top w:val="nil"/>
            </w:tcBorders>
          </w:tcPr>
          <w:p w:rsidR="00FE21E2" w:rsidRPr="00625639" w:rsidRDefault="00FE21E2" w:rsidP="00971C68">
            <w:pPr>
              <w:spacing w:before="20" w:after="20"/>
              <w:jc w:val="center"/>
              <w:rPr>
                <w:sz w:val="20"/>
                <w:szCs w:val="20"/>
                <w:vertAlign w:val="superscript"/>
              </w:rPr>
            </w:pPr>
            <w:r w:rsidRPr="00625639">
              <w:rPr>
                <w:sz w:val="20"/>
                <w:szCs w:val="20"/>
              </w:rPr>
              <w:t>35</w:t>
            </w:r>
            <w:r w:rsidRPr="00625639">
              <w:rPr>
                <w:sz w:val="20"/>
                <w:szCs w:val="20"/>
                <w:vertAlign w:val="superscript"/>
              </w:rPr>
              <w:t>b</w:t>
            </w:r>
          </w:p>
        </w:tc>
      </w:tr>
    </w:tbl>
    <w:p w:rsidR="00266BF3" w:rsidRPr="00625639" w:rsidRDefault="00A43013" w:rsidP="00054D6D">
      <w:pPr>
        <w:spacing w:before="120" w:after="120" w:line="168" w:lineRule="auto"/>
        <w:ind w:left="720" w:hanging="720"/>
        <w:rPr>
          <w:rFonts w:cs="Arial"/>
          <w:sz w:val="20"/>
        </w:rPr>
      </w:pPr>
      <w:r w:rsidRPr="00625639">
        <w:rPr>
          <w:sz w:val="20"/>
          <w:vertAlign w:val="superscript"/>
        </w:rPr>
        <w:t>a</w:t>
      </w:r>
      <w:r w:rsidRPr="00625639">
        <w:rPr>
          <w:sz w:val="20"/>
        </w:rPr>
        <w:t xml:space="preserve"> p-value </w:t>
      </w:r>
      <w:r w:rsidRPr="00625639">
        <w:rPr>
          <w:rFonts w:cs="Arial"/>
          <w:sz w:val="20"/>
        </w:rPr>
        <w:t>≤</w:t>
      </w:r>
      <w:r w:rsidRPr="00625639">
        <w:rPr>
          <w:sz w:val="20"/>
        </w:rPr>
        <w:t xml:space="preserve"> 0.05</w:t>
      </w:r>
      <w:r w:rsidRPr="00625639">
        <w:rPr>
          <w:sz w:val="20"/>
        </w:rPr>
        <w:tab/>
      </w:r>
      <w:r w:rsidRPr="00625639">
        <w:rPr>
          <w:sz w:val="20"/>
          <w:vertAlign w:val="superscript"/>
        </w:rPr>
        <w:t>b</w:t>
      </w:r>
      <w:r w:rsidRPr="00625639">
        <w:rPr>
          <w:sz w:val="20"/>
        </w:rPr>
        <w:t xml:space="preserve"> p-value </w:t>
      </w:r>
      <w:r w:rsidRPr="00625639">
        <w:rPr>
          <w:rFonts w:cs="Arial"/>
          <w:sz w:val="20"/>
        </w:rPr>
        <w:t>≤ 0.005</w:t>
      </w:r>
    </w:p>
    <w:p w:rsidR="00A76C4D" w:rsidRDefault="00DC30EC" w:rsidP="00971C68">
      <w:pPr>
        <w:spacing w:before="120" w:after="120"/>
        <w:rPr>
          <w:szCs w:val="22"/>
        </w:rPr>
      </w:pPr>
      <w:r w:rsidRPr="00A43013">
        <w:rPr>
          <w:szCs w:val="22"/>
        </w:rPr>
        <w:t>R</w:t>
      </w:r>
      <w:r>
        <w:rPr>
          <w:szCs w:val="22"/>
        </w:rPr>
        <w:t>ANEXA</w:t>
      </w:r>
      <w:r w:rsidRPr="00A43013">
        <w:rPr>
          <w:szCs w:val="22"/>
        </w:rPr>
        <w:t xml:space="preserve"> </w:t>
      </w:r>
      <w:r w:rsidR="00A43013" w:rsidRPr="00A43013">
        <w:rPr>
          <w:szCs w:val="22"/>
        </w:rPr>
        <w:t xml:space="preserve">resulted in significant decreases in the number of angina attacks per week and </w:t>
      </w:r>
      <w:r w:rsidR="00F75DB8">
        <w:rPr>
          <w:szCs w:val="22"/>
        </w:rPr>
        <w:t>administration</w:t>
      </w:r>
      <w:r w:rsidR="00F75DB8" w:rsidRPr="00A43013">
        <w:rPr>
          <w:szCs w:val="22"/>
        </w:rPr>
        <w:t xml:space="preserve"> </w:t>
      </w:r>
      <w:r w:rsidR="00A43013" w:rsidRPr="00A43013">
        <w:rPr>
          <w:szCs w:val="22"/>
        </w:rPr>
        <w:t xml:space="preserve">of short-acting nitroglycerin compared to placebo (see Table </w:t>
      </w:r>
      <w:r w:rsidR="005E4610">
        <w:rPr>
          <w:szCs w:val="22"/>
        </w:rPr>
        <w:t>2</w:t>
      </w:r>
      <w:r w:rsidR="00A43013" w:rsidRPr="00A43013">
        <w:rPr>
          <w:szCs w:val="22"/>
        </w:rPr>
        <w:t xml:space="preserve"> below). Tolerance to </w:t>
      </w:r>
      <w:r w:rsidR="006858A1">
        <w:rPr>
          <w:szCs w:val="22"/>
        </w:rPr>
        <w:t>RANEXA</w:t>
      </w:r>
      <w:r w:rsidR="00A43013" w:rsidRPr="00A43013">
        <w:rPr>
          <w:szCs w:val="22"/>
        </w:rPr>
        <w:t xml:space="preserve"> did not develop during treatment and no rebound increase in angina attacks was observed following abrupt discontinuation. </w:t>
      </w:r>
    </w:p>
    <w:p w:rsidR="00971C68" w:rsidRDefault="00971C68">
      <w:pPr>
        <w:spacing w:after="0"/>
        <w:jc w:val="left"/>
        <w:rPr>
          <w:rFonts w:eastAsiaTheme="minorHAnsi" w:cstheme="minorBidi"/>
          <w:b/>
          <w:sz w:val="20"/>
          <w:szCs w:val="22"/>
        </w:rPr>
      </w:pPr>
      <w:r>
        <w:rPr>
          <w:rFonts w:eastAsiaTheme="minorHAnsi" w:cstheme="minorBidi"/>
          <w:bCs/>
          <w:sz w:val="20"/>
          <w:szCs w:val="22"/>
        </w:rPr>
        <w:br w:type="page"/>
      </w:r>
    </w:p>
    <w:p w:rsidR="00266BF3" w:rsidRPr="00625639" w:rsidRDefault="00A43013" w:rsidP="00971C68">
      <w:pPr>
        <w:pStyle w:val="Caption"/>
        <w:keepNext/>
        <w:spacing w:before="120" w:after="120"/>
        <w:ind w:left="1440" w:hanging="1354"/>
        <w:rPr>
          <w:rFonts w:eastAsiaTheme="minorHAnsi" w:cstheme="minorBidi"/>
          <w:bCs w:val="0"/>
          <w:color w:val="auto"/>
          <w:sz w:val="22"/>
          <w:szCs w:val="22"/>
        </w:rPr>
      </w:pPr>
      <w:r w:rsidRPr="00625639">
        <w:rPr>
          <w:rFonts w:eastAsiaTheme="minorHAnsi" w:cstheme="minorBidi"/>
          <w:bCs w:val="0"/>
          <w:color w:val="auto"/>
          <w:sz w:val="22"/>
          <w:szCs w:val="22"/>
        </w:rPr>
        <w:lastRenderedPageBreak/>
        <w:t xml:space="preserve">Table </w:t>
      </w:r>
      <w:r w:rsidR="005E4610" w:rsidRPr="00625639">
        <w:rPr>
          <w:rFonts w:eastAsiaTheme="minorHAnsi" w:cstheme="minorBidi"/>
          <w:bCs w:val="0"/>
          <w:color w:val="auto"/>
          <w:sz w:val="22"/>
          <w:szCs w:val="22"/>
        </w:rPr>
        <w:t>2</w:t>
      </w:r>
      <w:r w:rsidRPr="00625639">
        <w:rPr>
          <w:rFonts w:eastAsiaTheme="minorHAnsi" w:cstheme="minorBidi"/>
          <w:bCs w:val="0"/>
          <w:color w:val="auto"/>
          <w:sz w:val="22"/>
          <w:szCs w:val="22"/>
        </w:rPr>
        <w:t xml:space="preserve"> </w:t>
      </w:r>
      <w:r w:rsidRPr="00625639">
        <w:rPr>
          <w:rFonts w:eastAsiaTheme="minorHAnsi" w:cstheme="minorBidi"/>
          <w:bCs w:val="0"/>
          <w:color w:val="auto"/>
          <w:sz w:val="22"/>
          <w:szCs w:val="22"/>
        </w:rPr>
        <w:tab/>
        <w:t>Angina Frequency and Nitroglycerin Use (CARISA)</w:t>
      </w:r>
    </w:p>
    <w:tbl>
      <w:tblPr>
        <w:tblStyle w:val="TableGrid"/>
        <w:tblW w:w="0" w:type="auto"/>
        <w:jc w:val="center"/>
        <w:tblLook w:val="04A0" w:firstRow="1" w:lastRow="0" w:firstColumn="1" w:lastColumn="0" w:noHBand="0" w:noVBand="1"/>
      </w:tblPr>
      <w:tblGrid>
        <w:gridCol w:w="1915"/>
        <w:gridCol w:w="1915"/>
        <w:gridCol w:w="1915"/>
        <w:gridCol w:w="1915"/>
      </w:tblGrid>
      <w:tr w:rsidR="00FE21E2" w:rsidRPr="0019497F" w:rsidTr="009A44B7">
        <w:trPr>
          <w:jc w:val="center"/>
        </w:trPr>
        <w:tc>
          <w:tcPr>
            <w:tcW w:w="3830" w:type="dxa"/>
            <w:gridSpan w:val="2"/>
            <w:vAlign w:val="center"/>
          </w:tcPr>
          <w:p w:rsidR="00FE21E2" w:rsidRPr="00625639" w:rsidRDefault="00FE21E2" w:rsidP="00266BF3">
            <w:pPr>
              <w:keepNext/>
              <w:spacing w:before="240"/>
              <w:jc w:val="center"/>
              <w:outlineLvl w:val="0"/>
              <w:rPr>
                <w:sz w:val="20"/>
                <w:szCs w:val="20"/>
              </w:rPr>
            </w:pPr>
          </w:p>
        </w:tc>
        <w:tc>
          <w:tcPr>
            <w:tcW w:w="1915" w:type="dxa"/>
            <w:vAlign w:val="center"/>
          </w:tcPr>
          <w:p w:rsidR="00FE21E2" w:rsidRPr="00625639" w:rsidRDefault="00FE21E2" w:rsidP="00266BF3">
            <w:pPr>
              <w:jc w:val="center"/>
              <w:rPr>
                <w:b/>
                <w:sz w:val="20"/>
                <w:szCs w:val="20"/>
              </w:rPr>
            </w:pPr>
            <w:r w:rsidRPr="00625639">
              <w:rPr>
                <w:b/>
                <w:sz w:val="20"/>
                <w:szCs w:val="20"/>
              </w:rPr>
              <w:t>Placebo</w:t>
            </w:r>
          </w:p>
        </w:tc>
        <w:tc>
          <w:tcPr>
            <w:tcW w:w="1915" w:type="dxa"/>
            <w:vAlign w:val="center"/>
          </w:tcPr>
          <w:p w:rsidR="00FE21E2" w:rsidRPr="00625639" w:rsidRDefault="00FE21E2" w:rsidP="00266BF3">
            <w:pPr>
              <w:jc w:val="center"/>
              <w:rPr>
                <w:b/>
                <w:sz w:val="20"/>
                <w:szCs w:val="20"/>
              </w:rPr>
            </w:pPr>
            <w:r w:rsidRPr="00625639">
              <w:rPr>
                <w:b/>
                <w:sz w:val="20"/>
                <w:szCs w:val="20"/>
              </w:rPr>
              <w:t>RANEXA 750 mg</w:t>
            </w:r>
            <w:r w:rsidRPr="00625639">
              <w:rPr>
                <w:b/>
                <w:sz w:val="20"/>
                <w:szCs w:val="20"/>
                <w:vertAlign w:val="superscript"/>
              </w:rPr>
              <w:t>a</w:t>
            </w:r>
          </w:p>
        </w:tc>
      </w:tr>
      <w:tr w:rsidR="00FE21E2" w:rsidRPr="0019497F" w:rsidTr="009A44B7">
        <w:trPr>
          <w:jc w:val="center"/>
        </w:trPr>
        <w:tc>
          <w:tcPr>
            <w:tcW w:w="1915" w:type="dxa"/>
            <w:vMerge w:val="restart"/>
            <w:vAlign w:val="center"/>
          </w:tcPr>
          <w:p w:rsidR="00FE21E2" w:rsidRPr="00625639" w:rsidRDefault="00FE21E2" w:rsidP="00266BF3">
            <w:pPr>
              <w:jc w:val="center"/>
              <w:rPr>
                <w:b/>
                <w:sz w:val="20"/>
                <w:szCs w:val="20"/>
              </w:rPr>
            </w:pPr>
            <w:r w:rsidRPr="00625639">
              <w:rPr>
                <w:b/>
                <w:sz w:val="20"/>
                <w:szCs w:val="20"/>
              </w:rPr>
              <w:t>Angina Frequency (attacks/week)</w:t>
            </w:r>
          </w:p>
        </w:tc>
        <w:tc>
          <w:tcPr>
            <w:tcW w:w="1915" w:type="dxa"/>
            <w:vAlign w:val="center"/>
          </w:tcPr>
          <w:p w:rsidR="00FE21E2" w:rsidRPr="00625639" w:rsidRDefault="00FE21E2" w:rsidP="00266BF3">
            <w:pPr>
              <w:jc w:val="center"/>
              <w:rPr>
                <w:sz w:val="20"/>
                <w:szCs w:val="20"/>
              </w:rPr>
            </w:pPr>
            <w:r w:rsidRPr="00625639">
              <w:rPr>
                <w:sz w:val="20"/>
                <w:szCs w:val="20"/>
              </w:rPr>
              <w:t>N</w:t>
            </w:r>
          </w:p>
        </w:tc>
        <w:tc>
          <w:tcPr>
            <w:tcW w:w="1915" w:type="dxa"/>
            <w:vAlign w:val="center"/>
          </w:tcPr>
          <w:p w:rsidR="00FE21E2" w:rsidRPr="00625639" w:rsidRDefault="00FE21E2" w:rsidP="00266BF3">
            <w:pPr>
              <w:jc w:val="center"/>
              <w:rPr>
                <w:sz w:val="20"/>
                <w:szCs w:val="20"/>
              </w:rPr>
            </w:pPr>
            <w:r w:rsidRPr="00625639">
              <w:rPr>
                <w:sz w:val="20"/>
                <w:szCs w:val="20"/>
              </w:rPr>
              <w:t>258</w:t>
            </w:r>
          </w:p>
        </w:tc>
        <w:tc>
          <w:tcPr>
            <w:tcW w:w="1915" w:type="dxa"/>
            <w:vAlign w:val="center"/>
          </w:tcPr>
          <w:p w:rsidR="00FE21E2" w:rsidRPr="00625639" w:rsidRDefault="00FE21E2" w:rsidP="00266BF3">
            <w:pPr>
              <w:jc w:val="center"/>
              <w:rPr>
                <w:sz w:val="20"/>
                <w:szCs w:val="20"/>
              </w:rPr>
            </w:pPr>
            <w:r w:rsidRPr="00625639">
              <w:rPr>
                <w:sz w:val="20"/>
                <w:szCs w:val="20"/>
              </w:rPr>
              <w:t>272</w:t>
            </w:r>
          </w:p>
        </w:tc>
      </w:tr>
      <w:tr w:rsidR="00FE21E2" w:rsidRPr="0019497F" w:rsidTr="009A44B7">
        <w:trPr>
          <w:jc w:val="center"/>
        </w:trPr>
        <w:tc>
          <w:tcPr>
            <w:tcW w:w="1915" w:type="dxa"/>
            <w:vMerge/>
            <w:vAlign w:val="center"/>
          </w:tcPr>
          <w:p w:rsidR="00FE21E2" w:rsidRPr="00625639" w:rsidRDefault="00FE21E2" w:rsidP="00266BF3">
            <w:pPr>
              <w:jc w:val="center"/>
              <w:rPr>
                <w:b/>
                <w:sz w:val="20"/>
                <w:szCs w:val="20"/>
              </w:rPr>
            </w:pPr>
          </w:p>
        </w:tc>
        <w:tc>
          <w:tcPr>
            <w:tcW w:w="1915" w:type="dxa"/>
            <w:vAlign w:val="center"/>
          </w:tcPr>
          <w:p w:rsidR="00FE21E2" w:rsidRPr="00625639" w:rsidRDefault="00FE21E2" w:rsidP="00266BF3">
            <w:pPr>
              <w:jc w:val="center"/>
              <w:rPr>
                <w:sz w:val="20"/>
                <w:szCs w:val="20"/>
              </w:rPr>
            </w:pPr>
            <w:r w:rsidRPr="00625639">
              <w:rPr>
                <w:sz w:val="20"/>
                <w:szCs w:val="20"/>
              </w:rPr>
              <w:t>Mean</w:t>
            </w:r>
          </w:p>
        </w:tc>
        <w:tc>
          <w:tcPr>
            <w:tcW w:w="1915" w:type="dxa"/>
            <w:vAlign w:val="center"/>
          </w:tcPr>
          <w:p w:rsidR="00FE21E2" w:rsidRPr="00625639" w:rsidRDefault="00FE21E2" w:rsidP="00266BF3">
            <w:pPr>
              <w:jc w:val="center"/>
              <w:rPr>
                <w:sz w:val="20"/>
                <w:szCs w:val="20"/>
              </w:rPr>
            </w:pPr>
            <w:r w:rsidRPr="00625639">
              <w:rPr>
                <w:sz w:val="20"/>
                <w:szCs w:val="20"/>
              </w:rPr>
              <w:t>3.3</w:t>
            </w:r>
          </w:p>
        </w:tc>
        <w:tc>
          <w:tcPr>
            <w:tcW w:w="1915" w:type="dxa"/>
            <w:vAlign w:val="center"/>
          </w:tcPr>
          <w:p w:rsidR="00FE21E2" w:rsidRPr="00625639" w:rsidRDefault="00FE21E2" w:rsidP="00266BF3">
            <w:pPr>
              <w:jc w:val="center"/>
              <w:rPr>
                <w:sz w:val="20"/>
                <w:szCs w:val="20"/>
              </w:rPr>
            </w:pPr>
            <w:r w:rsidRPr="00625639">
              <w:rPr>
                <w:sz w:val="20"/>
                <w:szCs w:val="20"/>
              </w:rPr>
              <w:t>2.5</w:t>
            </w:r>
          </w:p>
        </w:tc>
      </w:tr>
      <w:tr w:rsidR="00FE21E2" w:rsidRPr="0019497F" w:rsidTr="009A44B7">
        <w:trPr>
          <w:jc w:val="center"/>
        </w:trPr>
        <w:tc>
          <w:tcPr>
            <w:tcW w:w="1915" w:type="dxa"/>
            <w:vMerge/>
            <w:vAlign w:val="center"/>
          </w:tcPr>
          <w:p w:rsidR="00FE21E2" w:rsidRPr="00625639" w:rsidRDefault="00FE21E2" w:rsidP="00266BF3">
            <w:pPr>
              <w:jc w:val="center"/>
              <w:rPr>
                <w:b/>
                <w:sz w:val="20"/>
                <w:szCs w:val="20"/>
              </w:rPr>
            </w:pPr>
          </w:p>
        </w:tc>
        <w:tc>
          <w:tcPr>
            <w:tcW w:w="1915" w:type="dxa"/>
            <w:vAlign w:val="center"/>
          </w:tcPr>
          <w:p w:rsidR="00FE21E2" w:rsidRPr="00625639" w:rsidRDefault="00FE21E2" w:rsidP="00266BF3">
            <w:pPr>
              <w:jc w:val="center"/>
              <w:rPr>
                <w:i/>
                <w:sz w:val="20"/>
                <w:szCs w:val="20"/>
              </w:rPr>
            </w:pPr>
            <w:r w:rsidRPr="00625639">
              <w:rPr>
                <w:i/>
                <w:sz w:val="20"/>
                <w:szCs w:val="20"/>
              </w:rPr>
              <w:t>p-value vs placebo</w:t>
            </w:r>
          </w:p>
        </w:tc>
        <w:tc>
          <w:tcPr>
            <w:tcW w:w="1915" w:type="dxa"/>
            <w:vAlign w:val="center"/>
          </w:tcPr>
          <w:p w:rsidR="00FE21E2" w:rsidRPr="00625639" w:rsidRDefault="00FE21E2" w:rsidP="00266BF3">
            <w:pPr>
              <w:jc w:val="center"/>
              <w:rPr>
                <w:i/>
                <w:sz w:val="20"/>
                <w:szCs w:val="20"/>
              </w:rPr>
            </w:pPr>
            <w:r w:rsidRPr="00625639">
              <w:rPr>
                <w:i/>
                <w:sz w:val="20"/>
                <w:szCs w:val="20"/>
              </w:rPr>
              <w:t>-</w:t>
            </w:r>
          </w:p>
        </w:tc>
        <w:tc>
          <w:tcPr>
            <w:tcW w:w="1915" w:type="dxa"/>
            <w:vAlign w:val="center"/>
          </w:tcPr>
          <w:p w:rsidR="00FE21E2" w:rsidRPr="00625639" w:rsidRDefault="00FE21E2" w:rsidP="00266BF3">
            <w:pPr>
              <w:jc w:val="center"/>
              <w:rPr>
                <w:i/>
                <w:sz w:val="20"/>
                <w:szCs w:val="20"/>
              </w:rPr>
            </w:pPr>
            <w:r w:rsidRPr="00625639">
              <w:rPr>
                <w:i/>
                <w:sz w:val="20"/>
                <w:szCs w:val="20"/>
              </w:rPr>
              <w:t>0.006</w:t>
            </w:r>
          </w:p>
        </w:tc>
      </w:tr>
      <w:tr w:rsidR="00FE21E2" w:rsidRPr="0019497F" w:rsidTr="009A44B7">
        <w:trPr>
          <w:jc w:val="center"/>
        </w:trPr>
        <w:tc>
          <w:tcPr>
            <w:tcW w:w="1915" w:type="dxa"/>
            <w:vMerge w:val="restart"/>
            <w:vAlign w:val="center"/>
          </w:tcPr>
          <w:p w:rsidR="00FE21E2" w:rsidRPr="00625639" w:rsidRDefault="00FE21E2" w:rsidP="00266BF3">
            <w:pPr>
              <w:jc w:val="center"/>
              <w:rPr>
                <w:b/>
                <w:sz w:val="20"/>
                <w:szCs w:val="20"/>
              </w:rPr>
            </w:pPr>
            <w:r w:rsidRPr="00625639">
              <w:rPr>
                <w:b/>
                <w:sz w:val="20"/>
                <w:szCs w:val="20"/>
              </w:rPr>
              <w:t>Nitroglycerin Use (doses/week)</w:t>
            </w:r>
          </w:p>
        </w:tc>
        <w:tc>
          <w:tcPr>
            <w:tcW w:w="1915" w:type="dxa"/>
            <w:vAlign w:val="center"/>
          </w:tcPr>
          <w:p w:rsidR="00FE21E2" w:rsidRPr="00625639" w:rsidRDefault="00FE21E2" w:rsidP="00266BF3">
            <w:pPr>
              <w:jc w:val="center"/>
              <w:rPr>
                <w:sz w:val="20"/>
                <w:szCs w:val="20"/>
              </w:rPr>
            </w:pPr>
            <w:r w:rsidRPr="00625639">
              <w:rPr>
                <w:sz w:val="20"/>
                <w:szCs w:val="20"/>
              </w:rPr>
              <w:t>N</w:t>
            </w:r>
          </w:p>
        </w:tc>
        <w:tc>
          <w:tcPr>
            <w:tcW w:w="1915" w:type="dxa"/>
            <w:vAlign w:val="center"/>
          </w:tcPr>
          <w:p w:rsidR="00FE21E2" w:rsidRPr="00625639" w:rsidRDefault="00FE21E2" w:rsidP="00266BF3">
            <w:pPr>
              <w:jc w:val="center"/>
              <w:rPr>
                <w:sz w:val="20"/>
                <w:szCs w:val="20"/>
              </w:rPr>
            </w:pPr>
            <w:r w:rsidRPr="00625639">
              <w:rPr>
                <w:sz w:val="20"/>
                <w:szCs w:val="20"/>
              </w:rPr>
              <w:t>252</w:t>
            </w:r>
          </w:p>
        </w:tc>
        <w:tc>
          <w:tcPr>
            <w:tcW w:w="1915" w:type="dxa"/>
            <w:vAlign w:val="center"/>
          </w:tcPr>
          <w:p w:rsidR="00FE21E2" w:rsidRPr="00625639" w:rsidRDefault="00FE21E2" w:rsidP="00266BF3">
            <w:pPr>
              <w:jc w:val="center"/>
              <w:rPr>
                <w:sz w:val="20"/>
                <w:szCs w:val="20"/>
              </w:rPr>
            </w:pPr>
            <w:r w:rsidRPr="00625639">
              <w:rPr>
                <w:sz w:val="20"/>
                <w:szCs w:val="20"/>
              </w:rPr>
              <w:t>262</w:t>
            </w:r>
          </w:p>
        </w:tc>
      </w:tr>
      <w:tr w:rsidR="00FE21E2" w:rsidRPr="0019497F" w:rsidTr="009A44B7">
        <w:trPr>
          <w:jc w:val="center"/>
        </w:trPr>
        <w:tc>
          <w:tcPr>
            <w:tcW w:w="1915" w:type="dxa"/>
            <w:vMerge/>
            <w:vAlign w:val="center"/>
          </w:tcPr>
          <w:p w:rsidR="00FE21E2" w:rsidRPr="00625639" w:rsidRDefault="00FE21E2" w:rsidP="00266BF3">
            <w:pPr>
              <w:jc w:val="center"/>
              <w:rPr>
                <w:sz w:val="20"/>
                <w:szCs w:val="20"/>
              </w:rPr>
            </w:pPr>
          </w:p>
        </w:tc>
        <w:tc>
          <w:tcPr>
            <w:tcW w:w="1915" w:type="dxa"/>
            <w:vAlign w:val="center"/>
          </w:tcPr>
          <w:p w:rsidR="00FE21E2" w:rsidRPr="00625639" w:rsidRDefault="00FE21E2" w:rsidP="00266BF3">
            <w:pPr>
              <w:jc w:val="center"/>
              <w:rPr>
                <w:sz w:val="20"/>
                <w:szCs w:val="20"/>
              </w:rPr>
            </w:pPr>
            <w:r w:rsidRPr="00625639">
              <w:rPr>
                <w:sz w:val="20"/>
                <w:szCs w:val="20"/>
              </w:rPr>
              <w:t>Mean</w:t>
            </w:r>
          </w:p>
        </w:tc>
        <w:tc>
          <w:tcPr>
            <w:tcW w:w="1915" w:type="dxa"/>
            <w:vAlign w:val="center"/>
          </w:tcPr>
          <w:p w:rsidR="00FE21E2" w:rsidRPr="00625639" w:rsidRDefault="00FE21E2" w:rsidP="00266BF3">
            <w:pPr>
              <w:jc w:val="center"/>
              <w:rPr>
                <w:sz w:val="20"/>
                <w:szCs w:val="20"/>
              </w:rPr>
            </w:pPr>
            <w:r w:rsidRPr="00625639">
              <w:rPr>
                <w:sz w:val="20"/>
                <w:szCs w:val="20"/>
              </w:rPr>
              <w:t>3.1</w:t>
            </w:r>
          </w:p>
        </w:tc>
        <w:tc>
          <w:tcPr>
            <w:tcW w:w="1915" w:type="dxa"/>
            <w:vAlign w:val="center"/>
          </w:tcPr>
          <w:p w:rsidR="00FE21E2" w:rsidRPr="00625639" w:rsidRDefault="00FE21E2" w:rsidP="00266BF3">
            <w:pPr>
              <w:jc w:val="center"/>
              <w:rPr>
                <w:sz w:val="20"/>
                <w:szCs w:val="20"/>
              </w:rPr>
            </w:pPr>
            <w:r w:rsidRPr="00625639">
              <w:rPr>
                <w:sz w:val="20"/>
                <w:szCs w:val="20"/>
              </w:rPr>
              <w:t>2.1</w:t>
            </w:r>
          </w:p>
        </w:tc>
      </w:tr>
      <w:tr w:rsidR="00FE21E2" w:rsidRPr="0019497F" w:rsidTr="009A44B7">
        <w:trPr>
          <w:jc w:val="center"/>
        </w:trPr>
        <w:tc>
          <w:tcPr>
            <w:tcW w:w="1915" w:type="dxa"/>
            <w:vMerge/>
            <w:vAlign w:val="center"/>
          </w:tcPr>
          <w:p w:rsidR="00FE21E2" w:rsidRPr="00625639" w:rsidRDefault="00FE21E2" w:rsidP="00266BF3">
            <w:pPr>
              <w:jc w:val="center"/>
              <w:rPr>
                <w:sz w:val="20"/>
                <w:szCs w:val="20"/>
              </w:rPr>
            </w:pPr>
          </w:p>
        </w:tc>
        <w:tc>
          <w:tcPr>
            <w:tcW w:w="1915" w:type="dxa"/>
            <w:vAlign w:val="center"/>
          </w:tcPr>
          <w:p w:rsidR="00FE21E2" w:rsidRPr="00625639" w:rsidRDefault="00FE21E2" w:rsidP="00266BF3">
            <w:pPr>
              <w:jc w:val="center"/>
              <w:rPr>
                <w:i/>
                <w:sz w:val="20"/>
                <w:szCs w:val="20"/>
              </w:rPr>
            </w:pPr>
            <w:r w:rsidRPr="00625639">
              <w:rPr>
                <w:i/>
                <w:sz w:val="20"/>
                <w:szCs w:val="20"/>
              </w:rPr>
              <w:t>p-value vs placebo</w:t>
            </w:r>
          </w:p>
        </w:tc>
        <w:tc>
          <w:tcPr>
            <w:tcW w:w="1915" w:type="dxa"/>
            <w:vAlign w:val="center"/>
          </w:tcPr>
          <w:p w:rsidR="00FE21E2" w:rsidRPr="00625639" w:rsidRDefault="00FE21E2" w:rsidP="00266BF3">
            <w:pPr>
              <w:jc w:val="center"/>
              <w:rPr>
                <w:i/>
                <w:sz w:val="20"/>
                <w:szCs w:val="20"/>
              </w:rPr>
            </w:pPr>
            <w:r w:rsidRPr="00625639">
              <w:rPr>
                <w:i/>
                <w:sz w:val="20"/>
                <w:szCs w:val="20"/>
              </w:rPr>
              <w:t>-</w:t>
            </w:r>
          </w:p>
        </w:tc>
        <w:tc>
          <w:tcPr>
            <w:tcW w:w="1915" w:type="dxa"/>
            <w:vAlign w:val="center"/>
          </w:tcPr>
          <w:p w:rsidR="00FE21E2" w:rsidRPr="00625639" w:rsidRDefault="00FE21E2" w:rsidP="00266BF3">
            <w:pPr>
              <w:jc w:val="center"/>
              <w:rPr>
                <w:i/>
                <w:sz w:val="20"/>
                <w:szCs w:val="20"/>
              </w:rPr>
            </w:pPr>
            <w:r w:rsidRPr="00625639">
              <w:rPr>
                <w:i/>
                <w:sz w:val="20"/>
                <w:szCs w:val="20"/>
              </w:rPr>
              <w:t>0.016</w:t>
            </w:r>
          </w:p>
        </w:tc>
      </w:tr>
    </w:tbl>
    <w:p w:rsidR="00A95CDF" w:rsidRPr="00625639" w:rsidRDefault="00A43013" w:rsidP="00971C68">
      <w:pPr>
        <w:spacing w:before="60"/>
        <w:ind w:left="994"/>
        <w:rPr>
          <w:sz w:val="20"/>
        </w:rPr>
      </w:pPr>
      <w:r w:rsidRPr="00625639">
        <w:rPr>
          <w:sz w:val="20"/>
          <w:vertAlign w:val="superscript"/>
        </w:rPr>
        <w:t>a</w:t>
      </w:r>
      <w:r w:rsidRPr="00625639">
        <w:rPr>
          <w:sz w:val="20"/>
        </w:rPr>
        <w:t xml:space="preserve"> Twice daily</w:t>
      </w:r>
    </w:p>
    <w:p w:rsidR="002C2E5C" w:rsidRPr="00F92E07" w:rsidRDefault="002C2E5C" w:rsidP="00971C68">
      <w:pPr>
        <w:pStyle w:val="Default"/>
        <w:spacing w:before="120" w:after="120"/>
        <w:rPr>
          <w:sz w:val="23"/>
          <w:szCs w:val="23"/>
          <w:u w:val="single"/>
        </w:rPr>
      </w:pPr>
      <w:r w:rsidRPr="00F92E07">
        <w:rPr>
          <w:bCs/>
          <w:iCs/>
          <w:sz w:val="23"/>
          <w:szCs w:val="23"/>
          <w:u w:val="single"/>
        </w:rPr>
        <w:t xml:space="preserve">Gender </w:t>
      </w:r>
    </w:p>
    <w:p w:rsidR="002C2E5C" w:rsidRPr="00F92E07" w:rsidRDefault="002C2E5C" w:rsidP="00971C68">
      <w:pPr>
        <w:pStyle w:val="Heading3"/>
        <w:rPr>
          <w:szCs w:val="22"/>
          <w:u w:val="none"/>
        </w:rPr>
      </w:pPr>
      <w:r w:rsidRPr="00F92E07">
        <w:rPr>
          <w:szCs w:val="22"/>
          <w:u w:val="none"/>
        </w:rPr>
        <w:t xml:space="preserve">Effects on angina frequency and exercise tolerance were considerably smaller in women than in men. In CARISA, the improvement in Exercise Tolerance Test (ETT) in females was about 33% of that in males at the 1000 mg twice-daily dose level. </w:t>
      </w:r>
    </w:p>
    <w:p w:rsidR="0026008F" w:rsidRPr="0019497F" w:rsidRDefault="0026008F" w:rsidP="00971C68">
      <w:pPr>
        <w:pStyle w:val="Heading3"/>
      </w:pPr>
      <w:r w:rsidRPr="0019497F">
        <w:t xml:space="preserve">Race </w:t>
      </w:r>
    </w:p>
    <w:p w:rsidR="00655E35" w:rsidRPr="0019497F" w:rsidRDefault="00655E35" w:rsidP="00971C68">
      <w:pPr>
        <w:numPr>
          <w:ilvl w:val="12"/>
          <w:numId w:val="0"/>
        </w:numPr>
        <w:spacing w:before="120" w:after="120"/>
        <w:rPr>
          <w:strike/>
        </w:rPr>
      </w:pPr>
      <w:r w:rsidRPr="0019497F">
        <w:t xml:space="preserve">A small proportion of non-Caucasians </w:t>
      </w:r>
      <w:r w:rsidR="008C0EEF" w:rsidRPr="0019497F">
        <w:t>were</w:t>
      </w:r>
      <w:r w:rsidRPr="0019497F">
        <w:t xml:space="preserve"> included in the controlled clinical studies; therefore, no conclusions can be drawn regarding the </w:t>
      </w:r>
      <w:r w:rsidR="00DD7C4E">
        <w:t xml:space="preserve">safety and efficacy of </w:t>
      </w:r>
      <w:r w:rsidR="006858A1">
        <w:t>RANEXA</w:t>
      </w:r>
      <w:r w:rsidRPr="0019497F">
        <w:t xml:space="preserve"> in non-Caucasians.</w:t>
      </w:r>
    </w:p>
    <w:p w:rsidR="00DB419B" w:rsidRPr="0019497F" w:rsidRDefault="00A43013" w:rsidP="00971C68">
      <w:pPr>
        <w:pStyle w:val="Heading3"/>
      </w:pPr>
      <w:r w:rsidRPr="00A43013">
        <w:t>Elderly and renal impairment</w:t>
      </w:r>
    </w:p>
    <w:p w:rsidR="002E7C46" w:rsidRPr="002E7C46" w:rsidRDefault="00040529" w:rsidP="00971C68">
      <w:pPr>
        <w:pStyle w:val="Heading3"/>
        <w:rPr>
          <w:u w:val="none"/>
        </w:rPr>
      </w:pPr>
      <w:r w:rsidRPr="002E7C46">
        <w:rPr>
          <w:noProof/>
          <w:u w:val="none"/>
        </w:rPr>
        <w:t xml:space="preserve">Of the chronic angina patients treated with </w:t>
      </w:r>
      <w:r w:rsidR="006858A1" w:rsidRPr="002E7C46">
        <w:rPr>
          <w:noProof/>
          <w:u w:val="none"/>
        </w:rPr>
        <w:t>RANEXA</w:t>
      </w:r>
      <w:r w:rsidRPr="002E7C46">
        <w:rPr>
          <w:noProof/>
          <w:u w:val="none"/>
        </w:rPr>
        <w:t xml:space="preserve"> in controlled studies, 496 (48%) were </w:t>
      </w:r>
      <w:r w:rsidR="003222D6" w:rsidRPr="002E7C46">
        <w:rPr>
          <w:noProof/>
          <w:u w:val="none"/>
        </w:rPr>
        <w:br/>
      </w:r>
      <w:r w:rsidRPr="002E7C46">
        <w:rPr>
          <w:noProof/>
          <w:u w:val="none"/>
        </w:rPr>
        <w:t xml:space="preserve">≥ 65 years of age, and 114 (11%) were ≥ 75 years of age. No overall differences in efficacy were </w:t>
      </w:r>
      <w:r w:rsidRPr="002E7C46">
        <w:rPr>
          <w:u w:val="none"/>
        </w:rPr>
        <w:t>observed between older and younger patients</w:t>
      </w:r>
      <w:r w:rsidR="002E7C46" w:rsidRPr="002E7C46">
        <w:rPr>
          <w:u w:val="none"/>
        </w:rPr>
        <w:t xml:space="preserve">. </w:t>
      </w:r>
    </w:p>
    <w:p w:rsidR="00E12F67" w:rsidRPr="00422CE9" w:rsidRDefault="00EC011D" w:rsidP="00971C68">
      <w:pPr>
        <w:pStyle w:val="Heading3"/>
      </w:pPr>
      <w:r w:rsidRPr="00EC011D">
        <w:t>Study 3036 (MERLIN TIMI)</w:t>
      </w:r>
    </w:p>
    <w:p w:rsidR="00E12F67" w:rsidRPr="000F3057" w:rsidRDefault="00E12F67" w:rsidP="00971C68">
      <w:pPr>
        <w:spacing w:before="120" w:after="120"/>
        <w:rPr>
          <w:rFonts w:cs="Arial"/>
          <w:color w:val="000000"/>
          <w:szCs w:val="22"/>
          <w:lang w:eastAsia="en-AU"/>
        </w:rPr>
      </w:pPr>
      <w:r w:rsidRPr="000F3057">
        <w:rPr>
          <w:rFonts w:cs="Arial"/>
          <w:szCs w:val="22"/>
        </w:rPr>
        <w:t>In</w:t>
      </w:r>
      <w:r w:rsidRPr="00A6605E">
        <w:rPr>
          <w:rFonts w:cs="Arial"/>
          <w:color w:val="000000"/>
          <w:szCs w:val="22"/>
          <w:lang w:eastAsia="en-AU"/>
        </w:rPr>
        <w:t xml:space="preserve"> a large (n=6560) placebo-controlled trial (MERLIN-TIMI 36 study CVT 3036) in patients with acute coronary syndrome, no benefit was shown for the primary efficacy measure of time to CV death, MI, or severe recurrent ischaemia (ECG changes, hospitalisation, or revascularisation). </w:t>
      </w:r>
    </w:p>
    <w:p w:rsidR="00E12F67" w:rsidRPr="000F3057" w:rsidRDefault="00E12F67" w:rsidP="00971C68">
      <w:pPr>
        <w:spacing w:before="120" w:after="120"/>
        <w:rPr>
          <w:rFonts w:cs="Arial"/>
          <w:color w:val="000000"/>
          <w:szCs w:val="22"/>
          <w:lang w:eastAsia="en-AU"/>
        </w:rPr>
      </w:pPr>
      <w:r w:rsidRPr="00A6605E">
        <w:rPr>
          <w:rFonts w:cs="Arial"/>
          <w:color w:val="000000"/>
          <w:szCs w:val="22"/>
          <w:lang w:eastAsia="en-AU"/>
        </w:rPr>
        <w:t>Ventricular arrhythmias were less common on RANEXA and there was no statistically significant difference between RANEXA and placebo in the risk of all-cause mortality (relative risk ranolazine:</w:t>
      </w:r>
      <w:r w:rsidR="001A38E9">
        <w:rPr>
          <w:rFonts w:cs="Arial"/>
          <w:color w:val="000000"/>
          <w:szCs w:val="22"/>
          <w:lang w:eastAsia="en-AU"/>
        </w:rPr>
        <w:t xml:space="preserve"> </w:t>
      </w:r>
      <w:r w:rsidRPr="00A6605E">
        <w:rPr>
          <w:rFonts w:cs="Arial"/>
          <w:color w:val="000000"/>
          <w:szCs w:val="22"/>
          <w:lang w:eastAsia="en-AU"/>
        </w:rPr>
        <w:t>placebo 0.99 with a 95%</w:t>
      </w:r>
      <w:r w:rsidR="00B073B1">
        <w:rPr>
          <w:rFonts w:cs="Arial"/>
          <w:color w:val="000000"/>
          <w:szCs w:val="22"/>
          <w:lang w:eastAsia="en-AU"/>
        </w:rPr>
        <w:t xml:space="preserve"> confidence interval of 0.88 to </w:t>
      </w:r>
      <w:r w:rsidRPr="00A6605E">
        <w:rPr>
          <w:rFonts w:cs="Arial"/>
          <w:color w:val="000000"/>
          <w:szCs w:val="22"/>
          <w:lang w:eastAsia="en-AU"/>
        </w:rPr>
        <w:t xml:space="preserve">1.22). </w:t>
      </w:r>
    </w:p>
    <w:p w:rsidR="00E12F67" w:rsidRDefault="00E12F67" w:rsidP="00971C68">
      <w:pPr>
        <w:spacing w:before="120" w:after="120"/>
        <w:rPr>
          <w:rFonts w:cs="Arial"/>
          <w:szCs w:val="22"/>
        </w:rPr>
      </w:pPr>
      <w:r w:rsidRPr="00A6605E">
        <w:rPr>
          <w:rFonts w:cs="Arial"/>
          <w:color w:val="000000"/>
          <w:szCs w:val="22"/>
          <w:lang w:eastAsia="en-AU"/>
        </w:rPr>
        <w:t>Diabetes, Class I and II heart failure, and obstructive airway disease were not associated with clinically meaningful increases in the incidence of adverse events</w:t>
      </w:r>
      <w:r w:rsidR="00625639">
        <w:rPr>
          <w:rFonts w:cs="Arial"/>
          <w:color w:val="000000"/>
          <w:szCs w:val="22"/>
          <w:lang w:eastAsia="en-AU"/>
        </w:rPr>
        <w:t>.</w:t>
      </w:r>
      <w:r w:rsidRPr="000F3057">
        <w:rPr>
          <w:rFonts w:cs="Arial"/>
          <w:szCs w:val="22"/>
        </w:rPr>
        <w:t xml:space="preserve">  </w:t>
      </w:r>
    </w:p>
    <w:p w:rsidR="00B541CE" w:rsidRPr="00625639" w:rsidRDefault="00B541CE" w:rsidP="00971C68">
      <w:pPr>
        <w:pStyle w:val="Heading1"/>
        <w:spacing w:after="240"/>
      </w:pPr>
      <w:r w:rsidRPr="00625639">
        <w:t>Indications</w:t>
      </w:r>
    </w:p>
    <w:p w:rsidR="001900B7" w:rsidRPr="0019497F" w:rsidRDefault="00DC30EC" w:rsidP="00971C68">
      <w:pPr>
        <w:spacing w:before="120" w:after="120"/>
      </w:pPr>
      <w:r>
        <w:t>RANEXA</w:t>
      </w:r>
      <w:r w:rsidR="001900B7" w:rsidRPr="0019497F">
        <w:t xml:space="preserve"> is indicated in adults as add-on therapy for the symptomatic treatment of stable angina pectoris </w:t>
      </w:r>
      <w:r w:rsidR="0045129B">
        <w:t xml:space="preserve">in patients taking maximum tolerated doses of a beta-blocker or a calcium channel blocker and have inadequate symptom control. </w:t>
      </w:r>
    </w:p>
    <w:p w:rsidR="00B541CE" w:rsidRPr="00971C68" w:rsidRDefault="00A43013" w:rsidP="00971C68">
      <w:pPr>
        <w:pStyle w:val="Heading1"/>
        <w:spacing w:after="240"/>
        <w:rPr>
          <w:rFonts w:cs="Arial"/>
          <w:sz w:val="22"/>
          <w:szCs w:val="22"/>
        </w:rPr>
      </w:pPr>
      <w:r w:rsidRPr="00971C68">
        <w:rPr>
          <w:rFonts w:cs="Arial"/>
          <w:sz w:val="22"/>
          <w:szCs w:val="22"/>
        </w:rPr>
        <w:t>Contraindications</w:t>
      </w:r>
    </w:p>
    <w:p w:rsidR="00E622F9" w:rsidRPr="0019497F" w:rsidRDefault="00A43013" w:rsidP="003222D6">
      <w:pPr>
        <w:pStyle w:val="ListParagraph"/>
        <w:numPr>
          <w:ilvl w:val="0"/>
          <w:numId w:val="44"/>
        </w:numPr>
        <w:ind w:left="360"/>
        <w:contextualSpacing w:val="0"/>
      </w:pPr>
      <w:r w:rsidRPr="00A43013">
        <w:t xml:space="preserve">Concomitant administration of potent CYP3A4 inhibitors (e.g. itraconazole, ketoconazole, voriconazole, posaconazole, HIV protease inhibitors, clarithromycin). </w:t>
      </w:r>
    </w:p>
    <w:p w:rsidR="00E622F9" w:rsidRPr="0019497F" w:rsidRDefault="00A43013" w:rsidP="003222D6">
      <w:pPr>
        <w:pStyle w:val="ListParagraph"/>
        <w:numPr>
          <w:ilvl w:val="0"/>
          <w:numId w:val="44"/>
        </w:numPr>
        <w:ind w:left="360"/>
        <w:contextualSpacing w:val="0"/>
        <w:outlineLvl w:val="0"/>
      </w:pPr>
      <w:r w:rsidRPr="00A43013">
        <w:t>Concomitant administration of CYP3A4 inducers (e</w:t>
      </w:r>
      <w:r w:rsidR="007B2670">
        <w:t>.</w:t>
      </w:r>
      <w:r w:rsidRPr="00A43013">
        <w:t>g</w:t>
      </w:r>
      <w:r w:rsidR="007B2670">
        <w:t>.</w:t>
      </w:r>
      <w:r w:rsidRPr="00A43013">
        <w:t xml:space="preserve"> rifampicin, phenytoin, phenobarbital, carbamazepine,</w:t>
      </w:r>
      <w:r w:rsidR="0023394D">
        <w:t xml:space="preserve"> </w:t>
      </w:r>
      <w:r w:rsidRPr="00A43013">
        <w:t>St John’s Wort).</w:t>
      </w:r>
    </w:p>
    <w:p w:rsidR="00E622F9" w:rsidRPr="0019497F" w:rsidRDefault="00A43013" w:rsidP="003222D6">
      <w:pPr>
        <w:pStyle w:val="ListParagraph"/>
        <w:numPr>
          <w:ilvl w:val="0"/>
          <w:numId w:val="44"/>
        </w:numPr>
        <w:ind w:left="360"/>
        <w:contextualSpacing w:val="0"/>
        <w:outlineLvl w:val="0"/>
      </w:pPr>
      <w:r w:rsidRPr="00A43013">
        <w:t>Concomitant administration of Class Ia (e.g. quinidine) or Class III (e.g</w:t>
      </w:r>
      <w:r w:rsidR="00054D6D">
        <w:t>.</w:t>
      </w:r>
      <w:r w:rsidRPr="00A43013">
        <w:t xml:space="preserve"> sotalol) antiarrhythmics other than amiodarone.</w:t>
      </w:r>
    </w:p>
    <w:p w:rsidR="00B731A5" w:rsidRPr="0019497F" w:rsidRDefault="00A43013" w:rsidP="003222D6">
      <w:pPr>
        <w:pStyle w:val="ListParagraph"/>
        <w:numPr>
          <w:ilvl w:val="0"/>
          <w:numId w:val="44"/>
        </w:numPr>
        <w:ind w:left="360"/>
        <w:contextualSpacing w:val="0"/>
      </w:pPr>
      <w:r w:rsidRPr="00A43013">
        <w:t xml:space="preserve">Severe renal impairment (creatinine clearance &lt; 30 ml/min CKD stage 4) and end stage renal disease (CKD stage 5) </w:t>
      </w:r>
    </w:p>
    <w:p w:rsidR="001900B7" w:rsidRPr="0019497F" w:rsidRDefault="00A43013" w:rsidP="003222D6">
      <w:pPr>
        <w:pStyle w:val="ListParagraph"/>
        <w:numPr>
          <w:ilvl w:val="0"/>
          <w:numId w:val="44"/>
        </w:numPr>
        <w:ind w:left="360"/>
        <w:contextualSpacing w:val="0"/>
      </w:pPr>
      <w:r w:rsidRPr="00A43013">
        <w:t xml:space="preserve">Moderate or severe hepatic impairment. </w:t>
      </w:r>
    </w:p>
    <w:p w:rsidR="00E622F9" w:rsidRPr="0019497F" w:rsidRDefault="00A43013" w:rsidP="003222D6">
      <w:pPr>
        <w:pStyle w:val="ListParagraph"/>
        <w:numPr>
          <w:ilvl w:val="0"/>
          <w:numId w:val="44"/>
        </w:numPr>
        <w:ind w:left="360"/>
        <w:contextualSpacing w:val="0"/>
      </w:pPr>
      <w:r w:rsidRPr="00A43013">
        <w:t xml:space="preserve">Hypersensitivity to the active substance or to any of the excipients. </w:t>
      </w:r>
    </w:p>
    <w:p w:rsidR="00B541CE" w:rsidRPr="0019497F" w:rsidRDefault="00A43013" w:rsidP="00971C68">
      <w:pPr>
        <w:pStyle w:val="Heading1"/>
        <w:spacing w:after="240"/>
      </w:pPr>
      <w:r w:rsidRPr="00A43013">
        <w:lastRenderedPageBreak/>
        <w:t>Precautions</w:t>
      </w:r>
    </w:p>
    <w:p w:rsidR="00106755" w:rsidRPr="0019497F" w:rsidRDefault="00A43013" w:rsidP="002A1C79">
      <w:pPr>
        <w:spacing w:before="120" w:after="120"/>
        <w:rPr>
          <w:rFonts w:cs="Arial"/>
        </w:rPr>
      </w:pPr>
      <w:r w:rsidRPr="00A43013">
        <w:rPr>
          <w:rFonts w:cs="Arial"/>
        </w:rPr>
        <w:t>Caution should be exercised when prescribing or up</w:t>
      </w:r>
      <w:r w:rsidR="00266178">
        <w:rPr>
          <w:rFonts w:cs="Arial"/>
        </w:rPr>
        <w:t>-</w:t>
      </w:r>
      <w:r w:rsidRPr="00A43013">
        <w:rPr>
          <w:rFonts w:cs="Arial"/>
        </w:rPr>
        <w:t xml:space="preserve">titrating </w:t>
      </w:r>
      <w:r w:rsidR="006858A1">
        <w:rPr>
          <w:rFonts w:cs="Arial"/>
        </w:rPr>
        <w:t>RANEXA</w:t>
      </w:r>
      <w:r w:rsidRPr="00A43013">
        <w:rPr>
          <w:rFonts w:cs="Arial"/>
        </w:rPr>
        <w:t xml:space="preserve"> to patients in whom an increased exposure is expected:</w:t>
      </w:r>
    </w:p>
    <w:p w:rsidR="005A411F" w:rsidRPr="005E4610" w:rsidRDefault="00A43013" w:rsidP="002A1C79">
      <w:pPr>
        <w:pStyle w:val="ListParagraph"/>
        <w:numPr>
          <w:ilvl w:val="0"/>
          <w:numId w:val="44"/>
        </w:numPr>
        <w:spacing w:before="120" w:after="120"/>
        <w:ind w:left="360"/>
        <w:contextualSpacing w:val="0"/>
        <w:rPr>
          <w:rFonts w:cs="Arial"/>
          <w:b/>
        </w:rPr>
      </w:pPr>
      <w:r w:rsidRPr="00A43013">
        <w:rPr>
          <w:rFonts w:cs="Arial"/>
        </w:rPr>
        <w:t>Concomitant administration of moderate CYP3A4 inhibitors</w:t>
      </w:r>
      <w:r w:rsidR="005E4610">
        <w:rPr>
          <w:rFonts w:cs="Arial"/>
        </w:rPr>
        <w:t xml:space="preserve"> </w:t>
      </w:r>
      <w:r w:rsidR="00A12069">
        <w:rPr>
          <w:rFonts w:cs="Arial"/>
        </w:rPr>
        <w:t xml:space="preserve">(see </w:t>
      </w:r>
      <w:r w:rsidR="00A6605E" w:rsidRPr="00A6605E">
        <w:rPr>
          <w:rFonts w:cs="Arial"/>
          <w:b/>
        </w:rPr>
        <w:t>Interactions with other medicines)</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Concomitant administration of P-gp inhibitors</w:t>
      </w:r>
      <w:r w:rsidR="00A12069">
        <w:rPr>
          <w:rFonts w:cs="Arial"/>
        </w:rPr>
        <w:t xml:space="preserve"> (see </w:t>
      </w:r>
      <w:r w:rsidR="00A6605E" w:rsidRPr="00A6605E">
        <w:rPr>
          <w:rFonts w:cs="Arial"/>
          <w:b/>
        </w:rPr>
        <w:t>Interactions with other medicines)</w:t>
      </w:r>
      <w:r w:rsidRPr="00A43013">
        <w:rPr>
          <w:rFonts w:cs="Arial"/>
        </w:rPr>
        <w:t>.</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Mild hepatic impairment.</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Mild to moderate renal impairment (creatinine clearance 30–80 ml/min CKD stages 2-3).</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Elderly</w:t>
      </w:r>
      <w:r w:rsidR="007B2670">
        <w:rPr>
          <w:rFonts w:cs="Arial"/>
        </w:rPr>
        <w:t xml:space="preserve"> patients</w:t>
      </w:r>
      <w:r w:rsidRPr="00A43013">
        <w:rPr>
          <w:rFonts w:cs="Arial"/>
        </w:rPr>
        <w:t>.</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 xml:space="preserve">Patients with low </w:t>
      </w:r>
      <w:r w:rsidR="006E51EE">
        <w:rPr>
          <w:rFonts w:cs="Arial"/>
        </w:rPr>
        <w:t xml:space="preserve">body </w:t>
      </w:r>
      <w:r w:rsidRPr="00A43013">
        <w:rPr>
          <w:rFonts w:cs="Arial"/>
        </w:rPr>
        <w:t>weight (</w:t>
      </w:r>
      <w:r w:rsidRPr="00A43013">
        <w:rPr>
          <w:rFonts w:cs="Arial"/>
        </w:rPr>
        <w:sym w:font="Symbol" w:char="F0A3"/>
      </w:r>
      <w:r w:rsidRPr="00A43013">
        <w:rPr>
          <w:rFonts w:cs="Arial"/>
        </w:rPr>
        <w:t> 60 kg).</w:t>
      </w:r>
    </w:p>
    <w:p w:rsidR="005A411F" w:rsidRPr="0019497F" w:rsidRDefault="00A43013" w:rsidP="002A1C79">
      <w:pPr>
        <w:pStyle w:val="ListParagraph"/>
        <w:numPr>
          <w:ilvl w:val="0"/>
          <w:numId w:val="44"/>
        </w:numPr>
        <w:spacing w:before="120" w:after="120"/>
        <w:ind w:left="360"/>
        <w:contextualSpacing w:val="0"/>
        <w:rPr>
          <w:rFonts w:cs="Arial"/>
        </w:rPr>
      </w:pPr>
      <w:r w:rsidRPr="00A43013">
        <w:rPr>
          <w:rFonts w:cs="Arial"/>
        </w:rPr>
        <w:t>Patients with moderate to severe CHF (NYHA Class III–IV).</w:t>
      </w:r>
    </w:p>
    <w:p w:rsidR="005A411F" w:rsidRPr="0019497F" w:rsidRDefault="00A43013" w:rsidP="002A1C79">
      <w:pPr>
        <w:spacing w:before="120" w:after="120"/>
        <w:rPr>
          <w:rFonts w:cs="Arial"/>
        </w:rPr>
      </w:pPr>
      <w:r w:rsidRPr="00A43013">
        <w:rPr>
          <w:rFonts w:cs="Arial"/>
        </w:rPr>
        <w:t xml:space="preserve">In patients with a combination of these factors, additional exposure increases are expected. Dose- dependent side effects are likely to occur. If </w:t>
      </w:r>
      <w:r w:rsidR="00DC30EC">
        <w:rPr>
          <w:rFonts w:cs="Arial"/>
        </w:rPr>
        <w:t>RANEXA</w:t>
      </w:r>
      <w:r w:rsidRPr="00A43013">
        <w:rPr>
          <w:rFonts w:cs="Arial"/>
        </w:rPr>
        <w:t xml:space="preserve"> is used in patients with a combination of several of these factors, monitoring of adverse events should be frequent, the dose reduced, and treatment discontinued, if needed. </w:t>
      </w:r>
    </w:p>
    <w:p w:rsidR="005E4610" w:rsidRPr="005E4610" w:rsidRDefault="00A17825" w:rsidP="002A1C79">
      <w:pPr>
        <w:spacing w:before="120" w:after="120"/>
      </w:pPr>
      <w:r>
        <w:rPr>
          <w:rFonts w:cs="Arial"/>
        </w:rPr>
        <w:t xml:space="preserve">The risk of increased exposure and consequent adverse effects is higher in patients who are CYP2D6 poor metabolisers. </w:t>
      </w:r>
    </w:p>
    <w:p w:rsidR="005A411F" w:rsidRPr="0019497F" w:rsidRDefault="00A43013" w:rsidP="002A1C79">
      <w:pPr>
        <w:pStyle w:val="Heading3"/>
      </w:pPr>
      <w:r w:rsidRPr="00A43013">
        <w:t>QT prolongation</w:t>
      </w:r>
    </w:p>
    <w:p w:rsidR="005A411F" w:rsidRPr="0019497F" w:rsidRDefault="00A0461C" w:rsidP="002A1C79">
      <w:pPr>
        <w:spacing w:before="120" w:after="120"/>
        <w:rPr>
          <w:rFonts w:cs="Arial"/>
          <w:i/>
        </w:rPr>
      </w:pPr>
      <w:r>
        <w:rPr>
          <w:rFonts w:cs="Arial"/>
        </w:rPr>
        <w:t>Ranolazine blocks I</w:t>
      </w:r>
      <w:r w:rsidR="00A06275" w:rsidRPr="00A06275">
        <w:rPr>
          <w:rFonts w:cs="Arial"/>
          <w:vertAlign w:val="subscript"/>
        </w:rPr>
        <w:t>Kr</w:t>
      </w:r>
      <w:r>
        <w:rPr>
          <w:rFonts w:cs="Arial"/>
        </w:rPr>
        <w:t xml:space="preserve"> and prolongs the QTc interval in a dose-related manner. Clinical experience in an acute coronary syndrome population did not show an increased risk of proarrhythmia or sudden death </w:t>
      </w:r>
      <w:r w:rsidRPr="00A0461C">
        <w:rPr>
          <w:rFonts w:cs="Arial"/>
          <w:b/>
        </w:rPr>
        <w:t>(see Adverse Effects</w:t>
      </w:r>
      <w:r>
        <w:rPr>
          <w:rFonts w:cs="Arial"/>
        </w:rPr>
        <w:t>).</w:t>
      </w:r>
      <w:r w:rsidR="009E3AB6">
        <w:rPr>
          <w:rFonts w:cs="Arial"/>
        </w:rPr>
        <w:t xml:space="preserve"> </w:t>
      </w:r>
      <w:r w:rsidR="00A43013" w:rsidRPr="00A43013">
        <w:rPr>
          <w:rFonts w:cs="Arial"/>
        </w:rPr>
        <w:t>A population-based analysis of combined data from patients and healthy volunteers demonstrated that the slope of the plasma concentration-QTc relationship was estimated to be 2.4 </w:t>
      </w:r>
      <w:r w:rsidR="00774B87">
        <w:rPr>
          <w:rFonts w:cs="Arial"/>
        </w:rPr>
        <w:t>msec</w:t>
      </w:r>
      <w:r w:rsidR="00A43013" w:rsidRPr="00A43013">
        <w:rPr>
          <w:rFonts w:cs="Arial"/>
        </w:rPr>
        <w:t xml:space="preserve"> per 1000 ng/ml, which is approximately equal to a 2</w:t>
      </w:r>
      <w:r w:rsidR="009635C4">
        <w:rPr>
          <w:rFonts w:cs="Arial"/>
        </w:rPr>
        <w:t xml:space="preserve"> </w:t>
      </w:r>
      <w:r w:rsidR="00A43013" w:rsidRPr="00A43013">
        <w:rPr>
          <w:rFonts w:cs="Arial"/>
        </w:rPr>
        <w:t>to 7</w:t>
      </w:r>
      <w:r w:rsidR="009635C4">
        <w:rPr>
          <w:rFonts w:cs="Arial"/>
        </w:rPr>
        <w:t xml:space="preserve"> </w:t>
      </w:r>
      <w:r w:rsidR="00774B87">
        <w:rPr>
          <w:rFonts w:cs="Arial"/>
        </w:rPr>
        <w:t>msec</w:t>
      </w:r>
      <w:r w:rsidR="00A43013" w:rsidRPr="00A43013">
        <w:rPr>
          <w:rFonts w:cs="Arial"/>
        </w:rPr>
        <w:t xml:space="preserve"> increase over the plasma concentration range for </w:t>
      </w:r>
      <w:r w:rsidR="006858A1">
        <w:rPr>
          <w:rFonts w:cs="Arial"/>
        </w:rPr>
        <w:t>RANEXA</w:t>
      </w:r>
      <w:r w:rsidR="00A43013" w:rsidRPr="00A43013">
        <w:rPr>
          <w:rFonts w:cs="Arial"/>
        </w:rPr>
        <w:t xml:space="preserve"> 500</w:t>
      </w:r>
      <w:r w:rsidR="00FF77C5">
        <w:rPr>
          <w:rFonts w:cs="Arial"/>
        </w:rPr>
        <w:t>mg</w:t>
      </w:r>
      <w:r w:rsidR="00A43013" w:rsidRPr="00A43013">
        <w:rPr>
          <w:rFonts w:cs="Arial"/>
        </w:rPr>
        <w:t xml:space="preserve"> to 1000 mg twice daily. Therefore, caution should be observed when treating patients with a history of congenital or a family history of </w:t>
      </w:r>
      <w:r w:rsidR="009635C4">
        <w:rPr>
          <w:rFonts w:cs="Arial"/>
        </w:rPr>
        <w:t>prolonged</w:t>
      </w:r>
      <w:r w:rsidR="009635C4" w:rsidRPr="00A43013">
        <w:rPr>
          <w:rFonts w:cs="Arial"/>
        </w:rPr>
        <w:t xml:space="preserve"> </w:t>
      </w:r>
      <w:r w:rsidR="00A43013" w:rsidRPr="00A43013">
        <w:rPr>
          <w:rFonts w:cs="Arial"/>
        </w:rPr>
        <w:t xml:space="preserve">QT syndrome, in patients with known acquired QT interval prolongation, and in patients treated with drugs affecting the QTc interval (see </w:t>
      </w:r>
      <w:r w:rsidR="00A43013" w:rsidRPr="00A43013">
        <w:rPr>
          <w:rFonts w:cs="Arial"/>
          <w:b/>
        </w:rPr>
        <w:t>Interactions with other Medicines</w:t>
      </w:r>
      <w:r w:rsidR="00A43013" w:rsidRPr="00A43013">
        <w:rPr>
          <w:rFonts w:cs="Arial"/>
        </w:rPr>
        <w:t>).</w:t>
      </w:r>
    </w:p>
    <w:p w:rsidR="00A060A9" w:rsidRPr="0019497F" w:rsidRDefault="00A43013" w:rsidP="002A1C79">
      <w:pPr>
        <w:pStyle w:val="Heading3"/>
      </w:pPr>
      <w:r w:rsidRPr="00A43013">
        <w:t>Drug-drug interactions</w:t>
      </w:r>
    </w:p>
    <w:p w:rsidR="005A411F" w:rsidRPr="0019497F" w:rsidRDefault="00A43013" w:rsidP="002A1C79">
      <w:pPr>
        <w:spacing w:before="120" w:after="120"/>
        <w:rPr>
          <w:rFonts w:cs="Arial"/>
        </w:rPr>
      </w:pPr>
      <w:r w:rsidRPr="00A43013">
        <w:rPr>
          <w:rFonts w:cs="Arial"/>
        </w:rPr>
        <w:t xml:space="preserve">Co-administration with CYP3A4 inducers is expected to lead to lack of efficacy. </w:t>
      </w:r>
      <w:r w:rsidR="00DC30EC">
        <w:rPr>
          <w:rFonts w:cs="Arial"/>
        </w:rPr>
        <w:t>RANEXA</w:t>
      </w:r>
      <w:r w:rsidRPr="00A43013">
        <w:rPr>
          <w:rFonts w:cs="Arial"/>
        </w:rPr>
        <w:t xml:space="preserve"> should not be used in patients treated with CYP3A4 inducers (e.g. rifampicin, phenytoin, phenobarbital, carbamazepine, St. John’s Wort).</w:t>
      </w:r>
    </w:p>
    <w:p w:rsidR="005A411F" w:rsidRPr="0019497F" w:rsidRDefault="00A43013" w:rsidP="002A1C79">
      <w:pPr>
        <w:pStyle w:val="Heading3"/>
      </w:pPr>
      <w:r w:rsidRPr="00A43013">
        <w:t>Renal impairment</w:t>
      </w:r>
    </w:p>
    <w:p w:rsidR="005A411F" w:rsidRPr="0019497F" w:rsidRDefault="00A43013" w:rsidP="002A1C79">
      <w:pPr>
        <w:spacing w:before="120" w:after="120"/>
        <w:rPr>
          <w:rFonts w:cs="Arial"/>
        </w:rPr>
      </w:pPr>
      <w:r w:rsidRPr="00A43013">
        <w:rPr>
          <w:rFonts w:cs="Arial"/>
        </w:rPr>
        <w:t xml:space="preserve">Renal function decreases with age and it is therefore important to check renal function at regular intervals during treatment with </w:t>
      </w:r>
      <w:r w:rsidR="006858A1">
        <w:rPr>
          <w:rFonts w:cs="Arial"/>
        </w:rPr>
        <w:t>RANEXA</w:t>
      </w:r>
      <w:r w:rsidRPr="00A43013">
        <w:rPr>
          <w:rFonts w:cs="Arial"/>
        </w:rPr>
        <w:t xml:space="preserve"> (see </w:t>
      </w:r>
      <w:r w:rsidRPr="00A43013">
        <w:rPr>
          <w:rFonts w:cs="Arial"/>
          <w:b/>
        </w:rPr>
        <w:t>Pharmacokinetics in Special Populations</w:t>
      </w:r>
      <w:r w:rsidRPr="00A43013">
        <w:rPr>
          <w:rFonts w:cs="Arial"/>
        </w:rPr>
        <w:t xml:space="preserve"> and </w:t>
      </w:r>
      <w:r w:rsidRPr="00A43013">
        <w:rPr>
          <w:rFonts w:cs="Arial"/>
          <w:b/>
        </w:rPr>
        <w:t>Clinical Trials</w:t>
      </w:r>
      <w:r w:rsidRPr="00A43013">
        <w:rPr>
          <w:rFonts w:cs="Arial"/>
        </w:rPr>
        <w:t xml:space="preserve"> section).</w:t>
      </w:r>
    </w:p>
    <w:p w:rsidR="00F9510F" w:rsidRDefault="00A43013" w:rsidP="002A1C79">
      <w:pPr>
        <w:spacing w:before="120" w:after="120"/>
        <w:rPr>
          <w:rFonts w:cs="Arial"/>
        </w:rPr>
      </w:pPr>
      <w:r w:rsidRPr="00A43013">
        <w:rPr>
          <w:rFonts w:cs="Arial"/>
        </w:rPr>
        <w:t>In a study evaluating the influence of renal function on ranolazine pharmacokinetics, ranolazine AUC was on average 1.7- to 2-fold higher in subjects with mild</w:t>
      </w:r>
      <w:r w:rsidR="00595588">
        <w:rPr>
          <w:rFonts w:cs="Arial"/>
        </w:rPr>
        <w:t xml:space="preserve"> (CKD stage 2)</w:t>
      </w:r>
      <w:r w:rsidRPr="00A43013">
        <w:rPr>
          <w:rFonts w:cs="Arial"/>
        </w:rPr>
        <w:t>, moderate</w:t>
      </w:r>
      <w:r w:rsidR="00595588">
        <w:rPr>
          <w:rFonts w:cs="Arial"/>
        </w:rPr>
        <w:t xml:space="preserve"> (CKD stage 3)</w:t>
      </w:r>
      <w:r w:rsidRPr="00A43013">
        <w:rPr>
          <w:rFonts w:cs="Arial"/>
        </w:rPr>
        <w:t xml:space="preserve">, and severe renal impairment </w:t>
      </w:r>
      <w:r w:rsidR="00595588">
        <w:rPr>
          <w:rFonts w:cs="Arial"/>
        </w:rPr>
        <w:t xml:space="preserve">(CKD stage 4) </w:t>
      </w:r>
      <w:r w:rsidRPr="00A43013">
        <w:rPr>
          <w:rFonts w:cs="Arial"/>
        </w:rPr>
        <w:t>compared with subjects with normal renal function.</w:t>
      </w:r>
    </w:p>
    <w:p w:rsidR="00E422DA" w:rsidRPr="00E422DA" w:rsidRDefault="00E422DA" w:rsidP="002A1C79">
      <w:pPr>
        <w:spacing w:before="120" w:after="120"/>
        <w:rPr>
          <w:rFonts w:cs="Arial"/>
          <w:b/>
        </w:rPr>
      </w:pPr>
      <w:r w:rsidRPr="0019497F">
        <w:rPr>
          <w:rFonts w:cs="Arial"/>
        </w:rPr>
        <w:t>Careful dose titration is necessary in mild to moderate renal impairment</w:t>
      </w:r>
      <w:r w:rsidR="00595588">
        <w:rPr>
          <w:rFonts w:cs="Arial"/>
        </w:rPr>
        <w:t>; CKD stages 2-3</w:t>
      </w:r>
      <w:r w:rsidRPr="0019497F">
        <w:rPr>
          <w:rFonts w:cs="Arial"/>
        </w:rPr>
        <w:t xml:space="preserve"> (see </w:t>
      </w:r>
      <w:r w:rsidR="00040529" w:rsidRPr="00040529">
        <w:rPr>
          <w:rFonts w:cs="Arial"/>
          <w:b/>
        </w:rPr>
        <w:t>Dosage and Administration).</w:t>
      </w:r>
    </w:p>
    <w:p w:rsidR="00F9510F" w:rsidRPr="0019497F" w:rsidRDefault="00DC30EC" w:rsidP="002A1C79">
      <w:pPr>
        <w:spacing w:before="120" w:after="120"/>
        <w:rPr>
          <w:rFonts w:cs="Arial"/>
        </w:rPr>
      </w:pPr>
      <w:r>
        <w:rPr>
          <w:rFonts w:cs="Arial"/>
        </w:rPr>
        <w:t>RANEXA</w:t>
      </w:r>
      <w:r w:rsidR="00A43013" w:rsidRPr="00A43013">
        <w:rPr>
          <w:rFonts w:cs="Arial"/>
        </w:rPr>
        <w:t xml:space="preserve"> is contraindicated in patients with severe renal impairment (creatinine clearance </w:t>
      </w:r>
      <w:r w:rsidR="00F9510F" w:rsidRPr="0019497F">
        <w:rPr>
          <w:rFonts w:cs="Arial"/>
        </w:rPr>
        <w:sym w:font="Symbol" w:char="F03C"/>
      </w:r>
      <w:r w:rsidR="00F9510F" w:rsidRPr="0019497F">
        <w:rPr>
          <w:rFonts w:cs="Arial"/>
        </w:rPr>
        <w:t xml:space="preserve"> 30 ml/min CKD stage 4) and end stage renal impairment (CKD stage 5). </w:t>
      </w:r>
      <w:r w:rsidR="00E422DA">
        <w:rPr>
          <w:rFonts w:cs="Arial"/>
        </w:rPr>
        <w:t>(See</w:t>
      </w:r>
      <w:r w:rsidR="00F9510F" w:rsidRPr="0019497F">
        <w:rPr>
          <w:rFonts w:cs="Arial"/>
        </w:rPr>
        <w:t xml:space="preserve"> </w:t>
      </w:r>
      <w:r w:rsidR="00F9510F" w:rsidRPr="0019497F">
        <w:rPr>
          <w:rFonts w:cs="Arial"/>
          <w:b/>
        </w:rPr>
        <w:t>Contraindication</w:t>
      </w:r>
      <w:r w:rsidR="00F9510F" w:rsidRPr="002E7C46">
        <w:rPr>
          <w:rFonts w:cs="Arial"/>
          <w:b/>
          <w:szCs w:val="22"/>
        </w:rPr>
        <w:t>s</w:t>
      </w:r>
      <w:r w:rsidR="00E422DA" w:rsidRPr="002E7C46">
        <w:rPr>
          <w:rStyle w:val="CommentReference"/>
          <w:sz w:val="22"/>
          <w:szCs w:val="22"/>
        </w:rPr>
        <w:t>).</w:t>
      </w:r>
      <w:r w:rsidR="00E422DA" w:rsidDel="00E422DA">
        <w:rPr>
          <w:rStyle w:val="CommentReference"/>
        </w:rPr>
        <w:t xml:space="preserve"> </w:t>
      </w:r>
    </w:p>
    <w:p w:rsidR="006659AA" w:rsidRPr="0019497F" w:rsidRDefault="00782575" w:rsidP="002A1C79">
      <w:pPr>
        <w:pStyle w:val="Heading3"/>
      </w:pPr>
      <w:r w:rsidRPr="0019497F">
        <w:lastRenderedPageBreak/>
        <w:t>Low weight</w:t>
      </w:r>
    </w:p>
    <w:p w:rsidR="00782575" w:rsidRPr="0019497F" w:rsidRDefault="00A43013" w:rsidP="002A1C79">
      <w:pPr>
        <w:spacing w:before="120" w:after="120"/>
        <w:rPr>
          <w:rFonts w:cs="Arial"/>
        </w:rPr>
      </w:pPr>
      <w:r w:rsidRPr="00A43013">
        <w:rPr>
          <w:rFonts w:cs="Arial"/>
          <w:szCs w:val="22"/>
        </w:rPr>
        <w:t xml:space="preserve">The incidence of adverse effects was higher in patients with low </w:t>
      </w:r>
      <w:r w:rsidR="006E51EE">
        <w:rPr>
          <w:rFonts w:cs="Arial"/>
          <w:szCs w:val="22"/>
        </w:rPr>
        <w:t xml:space="preserve">body </w:t>
      </w:r>
      <w:r w:rsidRPr="00A43013">
        <w:rPr>
          <w:rFonts w:cs="Arial"/>
          <w:szCs w:val="22"/>
        </w:rPr>
        <w:t xml:space="preserve">weight (&lt; 60kgs). Dose titration in patients with low </w:t>
      </w:r>
      <w:r w:rsidR="006E51EE">
        <w:rPr>
          <w:rFonts w:cs="Arial"/>
          <w:szCs w:val="22"/>
        </w:rPr>
        <w:t xml:space="preserve">body </w:t>
      </w:r>
      <w:r w:rsidRPr="00A43013">
        <w:rPr>
          <w:rFonts w:cs="Arial"/>
          <w:szCs w:val="22"/>
        </w:rPr>
        <w:t xml:space="preserve">weight should be exercised with caution (see </w:t>
      </w:r>
      <w:r w:rsidRPr="00A43013">
        <w:rPr>
          <w:rFonts w:cs="Arial"/>
          <w:b/>
          <w:szCs w:val="22"/>
        </w:rPr>
        <w:t>Clinical Trials</w:t>
      </w:r>
      <w:r w:rsidRPr="00A43013">
        <w:rPr>
          <w:rFonts w:cs="Arial"/>
          <w:szCs w:val="22"/>
        </w:rPr>
        <w:t xml:space="preserve"> section). </w:t>
      </w:r>
      <w:r w:rsidRPr="00A43013">
        <w:rPr>
          <w:rFonts w:cs="Arial"/>
        </w:rPr>
        <w:t xml:space="preserve"> </w:t>
      </w:r>
    </w:p>
    <w:p w:rsidR="005A411F" w:rsidRPr="0019497F" w:rsidRDefault="00A43013" w:rsidP="002A1C79">
      <w:pPr>
        <w:pStyle w:val="Heading3"/>
      </w:pPr>
      <w:r w:rsidRPr="00A43013">
        <w:t xml:space="preserve">Hepatic impairment </w:t>
      </w:r>
    </w:p>
    <w:p w:rsidR="006659AA" w:rsidRPr="003222D6" w:rsidRDefault="00A43013" w:rsidP="002A1C79">
      <w:pPr>
        <w:spacing w:before="120" w:after="120"/>
        <w:rPr>
          <w:rFonts w:cs="Arial"/>
          <w:szCs w:val="22"/>
        </w:rPr>
      </w:pPr>
      <w:r w:rsidRPr="003222D6">
        <w:rPr>
          <w:rFonts w:cs="Arial"/>
          <w:szCs w:val="22"/>
        </w:rPr>
        <w:t>In a study of cirrhotic patients, the C</w:t>
      </w:r>
      <w:r w:rsidRPr="0041102A">
        <w:rPr>
          <w:rFonts w:cs="Arial"/>
          <w:szCs w:val="22"/>
          <w:vertAlign w:val="subscript"/>
        </w:rPr>
        <w:t>max</w:t>
      </w:r>
      <w:r w:rsidRPr="003222D6">
        <w:rPr>
          <w:rFonts w:cs="Arial"/>
          <w:szCs w:val="22"/>
        </w:rPr>
        <w:t xml:space="preserve"> of ranolazine was increased 30% in cirrhotic patients with mild (Child-Pugh Class A) hepatic impairment, but increased 80% in cirrhotic patients with moderate (Child-Pugh Class B) hepatic impairment compared to patients without hepatic impairment. This increase was not enough to account for the 3-fold increase in QT prolongation seen in cirrhotic patients with mild to moderate hepatic impairment. RANEXA is contraindicated in patients with moderate or severe hepatic impairment (See </w:t>
      </w:r>
      <w:r w:rsidRPr="003222D6">
        <w:rPr>
          <w:rFonts w:cs="Arial"/>
          <w:b/>
          <w:szCs w:val="22"/>
        </w:rPr>
        <w:t>Contraindications</w:t>
      </w:r>
      <w:r w:rsidRPr="003222D6">
        <w:rPr>
          <w:rFonts w:cs="Arial"/>
          <w:szCs w:val="22"/>
        </w:rPr>
        <w:t xml:space="preserve">). </w:t>
      </w:r>
    </w:p>
    <w:p w:rsidR="001E6076" w:rsidRPr="0019497F" w:rsidRDefault="00A43013" w:rsidP="002A1C79">
      <w:pPr>
        <w:pStyle w:val="Heading3"/>
      </w:pPr>
      <w:r w:rsidRPr="00A43013">
        <w:t>Lactose</w:t>
      </w:r>
    </w:p>
    <w:p w:rsidR="005A411F" w:rsidRPr="0019497F" w:rsidRDefault="00DC30EC" w:rsidP="002A1C79">
      <w:pPr>
        <w:spacing w:before="120" w:after="120"/>
        <w:rPr>
          <w:rFonts w:cs="Arial"/>
        </w:rPr>
      </w:pPr>
      <w:r>
        <w:rPr>
          <w:rFonts w:cs="Arial"/>
        </w:rPr>
        <w:t>RANEXA</w:t>
      </w:r>
      <w:r w:rsidR="006E51EE">
        <w:rPr>
          <w:rFonts w:cs="Arial"/>
        </w:rPr>
        <w:t xml:space="preserve"> </w:t>
      </w:r>
      <w:r w:rsidR="00EE11DF">
        <w:rPr>
          <w:rFonts w:cs="Arial"/>
        </w:rPr>
        <w:t>750</w:t>
      </w:r>
      <w:r w:rsidR="00FF77C5">
        <w:rPr>
          <w:rFonts w:cs="Arial"/>
        </w:rPr>
        <w:t xml:space="preserve"> </w:t>
      </w:r>
      <w:r w:rsidR="00EE11DF">
        <w:rPr>
          <w:rFonts w:cs="Arial"/>
        </w:rPr>
        <w:t xml:space="preserve">mg </w:t>
      </w:r>
      <w:r w:rsidR="006E51EE">
        <w:rPr>
          <w:rFonts w:cs="Arial"/>
        </w:rPr>
        <w:t xml:space="preserve">tablets </w:t>
      </w:r>
      <w:r w:rsidR="00A43013" w:rsidRPr="00A43013">
        <w:rPr>
          <w:rFonts w:cs="Arial"/>
        </w:rPr>
        <w:t>contain lactose. Patients with rare hereditary problems of galactose intolerance, the Lapp lactase deficiency, or glucose-galactose malabsorption should not take this medicinal product.</w:t>
      </w:r>
    </w:p>
    <w:p w:rsidR="00A060A9" w:rsidRPr="0019497F" w:rsidRDefault="00A43013" w:rsidP="002A1C79">
      <w:pPr>
        <w:pStyle w:val="Heading3"/>
      </w:pPr>
      <w:r w:rsidRPr="00A43013">
        <w:t>Tartrazine Azo colouring agent E102</w:t>
      </w:r>
    </w:p>
    <w:p w:rsidR="005A411F" w:rsidRPr="0019497F" w:rsidRDefault="00692E8D" w:rsidP="002A1C79">
      <w:pPr>
        <w:spacing w:before="120" w:after="120"/>
        <w:rPr>
          <w:rFonts w:cs="Arial"/>
        </w:rPr>
      </w:pPr>
      <w:r>
        <w:rPr>
          <w:rFonts w:cs="Arial"/>
        </w:rPr>
        <w:t>RANEXA</w:t>
      </w:r>
      <w:r w:rsidR="006D2D3B">
        <w:rPr>
          <w:rFonts w:cs="Arial"/>
        </w:rPr>
        <w:t xml:space="preserve"> 750</w:t>
      </w:r>
      <w:r w:rsidR="00FF77C5">
        <w:rPr>
          <w:rFonts w:cs="Arial"/>
        </w:rPr>
        <w:t xml:space="preserve"> </w:t>
      </w:r>
      <w:r w:rsidR="006D2D3B">
        <w:rPr>
          <w:rFonts w:cs="Arial"/>
        </w:rPr>
        <w:t>mg tablets</w:t>
      </w:r>
      <w:r w:rsidR="00A43013" w:rsidRPr="00A43013">
        <w:rPr>
          <w:rFonts w:cs="Arial"/>
        </w:rPr>
        <w:t xml:space="preserve"> contain tartrazine azo colouring agent E102 which may cause allergic reactions.</w:t>
      </w:r>
    </w:p>
    <w:p w:rsidR="00A060A9" w:rsidRPr="0019497F" w:rsidRDefault="00A43013" w:rsidP="002A1C79">
      <w:pPr>
        <w:pStyle w:val="Heading3"/>
      </w:pPr>
      <w:r w:rsidRPr="00A43013">
        <w:t>Effects on Fertility</w:t>
      </w:r>
    </w:p>
    <w:p w:rsidR="00AC75F3" w:rsidRPr="0019497F" w:rsidRDefault="00222F16" w:rsidP="002A1C79">
      <w:pPr>
        <w:spacing w:before="120" w:after="120"/>
        <w:rPr>
          <w:rFonts w:cs="Arial"/>
        </w:rPr>
      </w:pPr>
      <w:r>
        <w:rPr>
          <w:rFonts w:cs="Arial"/>
        </w:rPr>
        <w:t>In a fertility study in male rats, there was evidence of impaired fertility at doses of 300 mg/kg/day ranolazine (1.8-fold the maximum recommended clinical dose based on body surface area comparison).</w:t>
      </w:r>
      <w:r w:rsidRPr="00D974E9">
        <w:rPr>
          <w:rFonts w:cs="Arial"/>
        </w:rPr>
        <w:t xml:space="preserve"> </w:t>
      </w:r>
      <w:r>
        <w:rPr>
          <w:rFonts w:cs="Arial"/>
        </w:rPr>
        <w:t>The clinical significance of this finding is not known.</w:t>
      </w:r>
      <w:r w:rsidR="00A43013" w:rsidRPr="00A43013">
        <w:rPr>
          <w:rFonts w:cs="Arial"/>
        </w:rPr>
        <w:t xml:space="preserve">  </w:t>
      </w:r>
    </w:p>
    <w:p w:rsidR="005A411F" w:rsidRPr="0019497F" w:rsidRDefault="00A43013" w:rsidP="002A1C79">
      <w:pPr>
        <w:pStyle w:val="Heading3"/>
      </w:pPr>
      <w:r w:rsidRPr="00A43013">
        <w:t>Pregnancy</w:t>
      </w:r>
    </w:p>
    <w:p w:rsidR="005A411F" w:rsidRDefault="00A43013" w:rsidP="002A1C79">
      <w:pPr>
        <w:spacing w:before="120" w:after="120"/>
        <w:outlineLvl w:val="0"/>
        <w:rPr>
          <w:rFonts w:cs="Arial"/>
          <w:b/>
        </w:rPr>
      </w:pPr>
      <w:r w:rsidRPr="00A43013">
        <w:rPr>
          <w:rFonts w:cs="Arial"/>
          <w:b/>
        </w:rPr>
        <w:t xml:space="preserve">Pregnancy Category </w:t>
      </w:r>
      <w:r w:rsidR="00A52A85">
        <w:rPr>
          <w:rFonts w:cs="Arial"/>
          <w:b/>
        </w:rPr>
        <w:t>B3</w:t>
      </w:r>
    </w:p>
    <w:p w:rsidR="00A52A85" w:rsidRPr="00A52A85" w:rsidRDefault="00A52A85" w:rsidP="002A1C79">
      <w:pPr>
        <w:autoSpaceDE w:val="0"/>
        <w:autoSpaceDN w:val="0"/>
        <w:adjustRightInd w:val="0"/>
        <w:spacing w:before="120" w:after="120"/>
        <w:rPr>
          <w:rFonts w:ascii="Cambria" w:hAnsi="Cambria" w:cs="Cambria"/>
          <w:color w:val="000000"/>
          <w:szCs w:val="22"/>
          <w:lang w:eastAsia="en-AU"/>
        </w:rPr>
      </w:pPr>
      <w:r w:rsidRPr="00A52A85">
        <w:rPr>
          <w:rFonts w:cs="Arial"/>
          <w:color w:val="000000"/>
          <w:szCs w:val="22"/>
          <w:lang w:eastAsia="en-AU"/>
        </w:rPr>
        <w:t>There are no adequate data on the use of ranolazine in pregnant women. Embryof</w:t>
      </w:r>
      <w:r>
        <w:rPr>
          <w:rFonts w:cs="Arial"/>
          <w:color w:val="000000"/>
          <w:szCs w:val="22"/>
          <w:lang w:eastAsia="en-AU"/>
        </w:rPr>
        <w:t>o</w:t>
      </w:r>
      <w:r w:rsidRPr="00A52A85">
        <w:rPr>
          <w:rFonts w:cs="Arial"/>
          <w:color w:val="000000"/>
          <w:szCs w:val="22"/>
          <w:lang w:eastAsia="en-AU"/>
        </w:rPr>
        <w:t>etal development studies in rats and rabbits found treatment-related effects on development. There was an increased incidence of misshapen sternebrae and reduced ossification of pelvic and cranial bones in f</w:t>
      </w:r>
      <w:r>
        <w:rPr>
          <w:rFonts w:cs="Arial"/>
          <w:color w:val="000000"/>
          <w:szCs w:val="22"/>
          <w:lang w:eastAsia="en-AU"/>
        </w:rPr>
        <w:t>o</w:t>
      </w:r>
      <w:r w:rsidRPr="00A52A85">
        <w:rPr>
          <w:rFonts w:cs="Arial"/>
          <w:color w:val="000000"/>
          <w:szCs w:val="22"/>
          <w:lang w:eastAsia="en-AU"/>
        </w:rPr>
        <w:t>etuses of rats dosed 400 mg/kg/day (1.8–fold the maximum recommended clinical dose based on body surface area comparison). In rabbits, there was reduced ossification of sternebrae in f</w:t>
      </w:r>
      <w:r>
        <w:rPr>
          <w:rFonts w:cs="Arial"/>
          <w:color w:val="000000"/>
          <w:szCs w:val="22"/>
          <w:lang w:eastAsia="en-AU"/>
        </w:rPr>
        <w:t>o</w:t>
      </w:r>
      <w:r w:rsidR="007D6AB3">
        <w:rPr>
          <w:rFonts w:cs="Arial"/>
          <w:color w:val="000000"/>
          <w:szCs w:val="22"/>
          <w:lang w:eastAsia="en-AU"/>
        </w:rPr>
        <w:t>etuses from dams dosed</w:t>
      </w:r>
      <w:r w:rsidRPr="00A52A85">
        <w:rPr>
          <w:rFonts w:cs="Arial"/>
          <w:color w:val="000000"/>
          <w:szCs w:val="22"/>
          <w:lang w:eastAsia="en-AU"/>
        </w:rPr>
        <w:t xml:space="preserve"> at 150 mg/kg/day (1.7–fold the maximum recommended clinical dose based on body surface area comparison). These doses were associated with signs of maternotoxicity (including increased maternal mortality).</w:t>
      </w:r>
      <w:r w:rsidR="00435F69" w:rsidRPr="00435F69">
        <w:rPr>
          <w:rFonts w:cs="Arial"/>
        </w:rPr>
        <w:t xml:space="preserve"> </w:t>
      </w:r>
    </w:p>
    <w:p w:rsidR="005A411F" w:rsidRPr="0019497F" w:rsidRDefault="005A411F" w:rsidP="002A1C79">
      <w:pPr>
        <w:pStyle w:val="Heading3"/>
      </w:pPr>
      <w:r w:rsidRPr="0019497F">
        <w:t>Lactation</w:t>
      </w:r>
    </w:p>
    <w:p w:rsidR="001900B7" w:rsidRPr="0019497F" w:rsidRDefault="001900B7" w:rsidP="002A1C79">
      <w:pPr>
        <w:spacing w:before="120" w:after="120"/>
        <w:rPr>
          <w:rFonts w:cs="Arial"/>
        </w:rPr>
      </w:pPr>
      <w:r w:rsidRPr="0019497F">
        <w:rPr>
          <w:rFonts w:cs="Arial"/>
        </w:rPr>
        <w:t xml:space="preserve">It is unknown whether ranolazine is excreted in human breast milk. The excretion of ranolazine in milk has not been studied in animals. </w:t>
      </w:r>
      <w:r w:rsidR="00DC30EC">
        <w:rPr>
          <w:rFonts w:cs="Arial"/>
        </w:rPr>
        <w:t>RANEXA</w:t>
      </w:r>
      <w:r w:rsidRPr="0019497F">
        <w:rPr>
          <w:rFonts w:cs="Arial"/>
        </w:rPr>
        <w:t xml:space="preserve"> should not be used during breastfeeding.</w:t>
      </w:r>
    </w:p>
    <w:p w:rsidR="005A411F" w:rsidRPr="0019497F" w:rsidRDefault="005A411F" w:rsidP="002A1C79">
      <w:pPr>
        <w:pStyle w:val="Heading3"/>
      </w:pPr>
      <w:r w:rsidRPr="0019497F">
        <w:t>Paediatric population</w:t>
      </w:r>
    </w:p>
    <w:p w:rsidR="005A411F" w:rsidRPr="0019497F" w:rsidRDefault="00A43013" w:rsidP="002A1C79">
      <w:pPr>
        <w:keepNext/>
        <w:keepLines/>
        <w:spacing w:before="120" w:after="120"/>
        <w:rPr>
          <w:rFonts w:cs="Arial"/>
        </w:rPr>
      </w:pPr>
      <w:r w:rsidRPr="00A43013">
        <w:rPr>
          <w:rFonts w:cs="Arial"/>
        </w:rPr>
        <w:t xml:space="preserve">The safety and efficacy of </w:t>
      </w:r>
      <w:r w:rsidR="00DC30EC">
        <w:rPr>
          <w:rFonts w:cs="Arial"/>
        </w:rPr>
        <w:t>RANEXA</w:t>
      </w:r>
      <w:r w:rsidRPr="00A43013">
        <w:rPr>
          <w:rFonts w:cs="Arial"/>
        </w:rPr>
        <w:t xml:space="preserve"> in children below the age of 18 years have not been established.  No data are available. </w:t>
      </w:r>
    </w:p>
    <w:p w:rsidR="00B541CE" w:rsidRPr="0019497F" w:rsidRDefault="00A43013" w:rsidP="002A1C79">
      <w:pPr>
        <w:pStyle w:val="Heading3"/>
      </w:pPr>
      <w:r w:rsidRPr="00A43013">
        <w:t>Use in the Elderly</w:t>
      </w:r>
    </w:p>
    <w:p w:rsidR="00D11F5D" w:rsidRPr="003222D6" w:rsidRDefault="00A43013" w:rsidP="002A1C79">
      <w:pPr>
        <w:spacing w:before="120" w:after="120"/>
        <w:rPr>
          <w:rFonts w:cs="Arial"/>
          <w:szCs w:val="22"/>
        </w:rPr>
      </w:pPr>
      <w:r w:rsidRPr="003222D6">
        <w:rPr>
          <w:rFonts w:cs="Arial"/>
          <w:szCs w:val="22"/>
        </w:rPr>
        <w:t xml:space="preserve">No differences in efficacy were observed between older and younger patients. There were no differences in safety for patients ≥ 65 years compared to younger patients, but patients ≥ 75 years of age on RANEXA, compared to placebo, had a higher incidence of adverse events, serious adverse events, and drug discontinuations due to adverse events. Dose titration in elderly patients should be exercised with caution (see </w:t>
      </w:r>
      <w:r w:rsidRPr="003222D6">
        <w:rPr>
          <w:rFonts w:cs="Arial"/>
          <w:b/>
          <w:szCs w:val="22"/>
        </w:rPr>
        <w:t>Clinical Trials</w:t>
      </w:r>
      <w:r w:rsidRPr="003222D6">
        <w:rPr>
          <w:rFonts w:cs="Arial"/>
          <w:szCs w:val="22"/>
        </w:rPr>
        <w:t xml:space="preserve"> section).</w:t>
      </w:r>
    </w:p>
    <w:p w:rsidR="006659AA" w:rsidRPr="003222D6" w:rsidRDefault="00A43013" w:rsidP="002A1C79">
      <w:pPr>
        <w:spacing w:before="120" w:after="120"/>
        <w:rPr>
          <w:rFonts w:cs="Arial"/>
          <w:szCs w:val="22"/>
          <w:highlight w:val="yellow"/>
        </w:rPr>
      </w:pPr>
      <w:r w:rsidRPr="003222D6">
        <w:rPr>
          <w:rFonts w:cs="Arial"/>
          <w:szCs w:val="22"/>
        </w:rPr>
        <w:t xml:space="preserve">In general, dose selection for an elderly patient should usually start at the low end of the dosing range, reflecting the greater frequency of decreased hepatic, renal, or cardiac function, and of concomitant disease, or other drug therapy. </w:t>
      </w:r>
    </w:p>
    <w:p w:rsidR="00B541CE" w:rsidRPr="0019497F" w:rsidRDefault="00A43013" w:rsidP="002A1C79">
      <w:pPr>
        <w:pStyle w:val="Heading3"/>
      </w:pPr>
      <w:r w:rsidRPr="00A43013">
        <w:lastRenderedPageBreak/>
        <w:t>Genotoxicity</w:t>
      </w:r>
    </w:p>
    <w:p w:rsidR="00E94B1D" w:rsidRPr="0019497F" w:rsidRDefault="00DC30EC" w:rsidP="002A1C79">
      <w:pPr>
        <w:spacing w:before="120" w:after="120"/>
        <w:rPr>
          <w:rFonts w:cs="Arial"/>
        </w:rPr>
      </w:pPr>
      <w:r>
        <w:rPr>
          <w:rFonts w:cs="Arial"/>
        </w:rPr>
        <w:t>RANEXA</w:t>
      </w:r>
      <w:r w:rsidR="00A43013" w:rsidRPr="00A43013">
        <w:rPr>
          <w:rFonts w:cs="Arial"/>
        </w:rPr>
        <w:t xml:space="preserve"> </w:t>
      </w:r>
      <w:r w:rsidR="00C8636F">
        <w:rPr>
          <w:rFonts w:cs="Arial"/>
        </w:rPr>
        <w:t xml:space="preserve">has been </w:t>
      </w:r>
      <w:r w:rsidR="00A43013" w:rsidRPr="00A43013">
        <w:rPr>
          <w:rFonts w:cs="Arial"/>
        </w:rPr>
        <w:t>tested for genotoxic potential in the following assays; Ames bacterial mutation assay, Saccharomyces assay for mitotic gene conversion, chromos</w:t>
      </w:r>
      <w:r w:rsidR="00426CA6">
        <w:rPr>
          <w:rFonts w:cs="Arial"/>
        </w:rPr>
        <w:t>om</w:t>
      </w:r>
      <w:r w:rsidR="00A43013" w:rsidRPr="00A43013">
        <w:rPr>
          <w:rFonts w:cs="Arial"/>
        </w:rPr>
        <w:t>al aberrations assay in Chinese hamster ovary (CHO) cells, mammalian CHO/HGPRT gene mutation assay, mouse and rat bone marrow micronucleus assays</w:t>
      </w:r>
      <w:r w:rsidR="00C8636F">
        <w:rPr>
          <w:rFonts w:cs="Arial"/>
        </w:rPr>
        <w:t xml:space="preserve"> and the Comet assay in rats. The weight of evidence from these studies suggests that ranolazine is not genotoxic. </w:t>
      </w:r>
    </w:p>
    <w:p w:rsidR="0028125B" w:rsidRPr="0019497F" w:rsidRDefault="0028125B" w:rsidP="002A1C79">
      <w:pPr>
        <w:pStyle w:val="Heading3"/>
      </w:pPr>
      <w:r w:rsidRPr="0019497F">
        <w:t>Carcinogenicity</w:t>
      </w:r>
    </w:p>
    <w:p w:rsidR="002756D1" w:rsidRPr="00912119" w:rsidRDefault="002756D1" w:rsidP="002A1C79">
      <w:pPr>
        <w:spacing w:before="120" w:after="120"/>
        <w:rPr>
          <w:rFonts w:cs="Arial"/>
        </w:rPr>
      </w:pPr>
      <w:r w:rsidRPr="00912119">
        <w:rPr>
          <w:rFonts w:cs="Arial"/>
        </w:rPr>
        <w:t>The weight of evidence from long-term rodent carcinogenicity studies suggests that ranolazine has no primary carcinogenic potential. Doses were tested at up to maximum tolerated doses, which in mice were 50 mg/kg/day (0.15–fold the maximum recommended human dose based on body surface area), while in rats were 150 mg/kg/day (0.9–fold the maximum recommended human dose based on body surface area). A published study reported that ranolazine dose-dependently promoted tumour development when given to transgenic APC (min/+) mice (a transgenic mouse model of spontaneous intestinal tumourigenesis). The clinical significance of this finding is uncertain.</w:t>
      </w:r>
    </w:p>
    <w:p w:rsidR="005A411F" w:rsidRPr="0019497F" w:rsidRDefault="00A43013" w:rsidP="002A1C79">
      <w:pPr>
        <w:pStyle w:val="Heading3"/>
      </w:pPr>
      <w:r w:rsidRPr="00A43013">
        <w:t>Effects on ability to drive and use machines</w:t>
      </w:r>
    </w:p>
    <w:p w:rsidR="005A411F" w:rsidRPr="0019497F" w:rsidRDefault="00A43013" w:rsidP="002A1C79">
      <w:pPr>
        <w:spacing w:before="120" w:after="120"/>
        <w:rPr>
          <w:rFonts w:cs="Arial"/>
        </w:rPr>
      </w:pPr>
      <w:r w:rsidRPr="00A43013">
        <w:rPr>
          <w:rFonts w:cs="Arial"/>
        </w:rPr>
        <w:t xml:space="preserve">No studies on the effects of </w:t>
      </w:r>
      <w:r w:rsidR="00DC30EC">
        <w:rPr>
          <w:rFonts w:cs="Arial"/>
        </w:rPr>
        <w:t>RANEXA</w:t>
      </w:r>
      <w:r w:rsidRPr="00A43013">
        <w:rPr>
          <w:rFonts w:cs="Arial"/>
        </w:rPr>
        <w:t xml:space="preserve"> on the ability to drive and use machines have been performed. </w:t>
      </w:r>
      <w:r w:rsidR="00DC30EC">
        <w:rPr>
          <w:rFonts w:cs="Arial"/>
        </w:rPr>
        <w:t>RANEXA</w:t>
      </w:r>
      <w:r w:rsidRPr="00A43013">
        <w:rPr>
          <w:rFonts w:cs="Arial"/>
        </w:rPr>
        <w:t xml:space="preserve"> may cause dizziness, blurred vision, diplopia, confusional state, coordination abnormal, and hallucination, which may affect the ability to drive and use machines.  </w:t>
      </w:r>
    </w:p>
    <w:p w:rsidR="00A060A9" w:rsidRPr="0019497F" w:rsidRDefault="00A43013" w:rsidP="002A1C79">
      <w:pPr>
        <w:pStyle w:val="Heading3"/>
      </w:pPr>
      <w:r w:rsidRPr="00A43013">
        <w:t>Laboratory findings</w:t>
      </w:r>
    </w:p>
    <w:p w:rsidR="00B731A5" w:rsidRPr="0019497F" w:rsidRDefault="00A43013" w:rsidP="002A1C79">
      <w:pPr>
        <w:spacing w:before="120" w:after="120"/>
        <w:rPr>
          <w:rFonts w:cs="Arial"/>
        </w:rPr>
      </w:pPr>
      <w:r w:rsidRPr="00A43013">
        <w:rPr>
          <w:rFonts w:cs="Arial"/>
        </w:rPr>
        <w:t xml:space="preserve">Small, clinically insignificant, reversible elevations in serum creatinine levels have been observed in healthy subjects and patients treated with </w:t>
      </w:r>
      <w:r w:rsidR="00DC30EC">
        <w:rPr>
          <w:rFonts w:cs="Arial"/>
        </w:rPr>
        <w:t>RANEXA</w:t>
      </w:r>
      <w:r w:rsidRPr="00A43013">
        <w:rPr>
          <w:rFonts w:cs="Arial"/>
        </w:rPr>
        <w:t xml:space="preserve">. There was no renal toxicity related to these findings. A renal function study in healthy volunteers demonstrated a reduction in creatinine clearance with no change in glomerular filtration rate consistent with inhibition of renal tubular secretion of creatinine. </w:t>
      </w:r>
    </w:p>
    <w:p w:rsidR="004B4DA0" w:rsidRPr="0019497F" w:rsidRDefault="00A43013" w:rsidP="002A1C79">
      <w:pPr>
        <w:pStyle w:val="Heading3"/>
      </w:pPr>
      <w:r w:rsidRPr="00A43013">
        <w:t>Use in heart failure</w:t>
      </w:r>
    </w:p>
    <w:p w:rsidR="008F4831" w:rsidRPr="00912119" w:rsidRDefault="00A43013" w:rsidP="002A1C79">
      <w:pPr>
        <w:spacing w:before="120" w:after="120"/>
        <w:rPr>
          <w:rFonts w:cs="Arial"/>
        </w:rPr>
      </w:pPr>
      <w:r w:rsidRPr="00912119">
        <w:rPr>
          <w:rFonts w:cs="Arial"/>
        </w:rPr>
        <w:t>Heart failure (NYHA Class I to IV) had no significant effect on ranolazine pharmacokinetics. RANEXA had minimal effects on heart rate and blood pressure in patients with angina and heart failure NYHA Class I to IV. No dose adjustment of RANEXA is required in patients with heart failure. Dose titration in patients with moderate to severe CHF (NYHA Class III–IV) should be exercised with caution.</w:t>
      </w:r>
      <w:r w:rsidR="00DD79A5">
        <w:rPr>
          <w:rFonts w:cs="Arial"/>
        </w:rPr>
        <w:t xml:space="preserve"> Vasovagal syncope has been reported as an adverse event with RANEXA and patients with heart failure should be specifically asked about dizziness and syncope during dose titration. </w:t>
      </w:r>
    </w:p>
    <w:p w:rsidR="00D63EAE" w:rsidRPr="003D5BE1" w:rsidRDefault="00A43013" w:rsidP="002A1C79">
      <w:pPr>
        <w:pStyle w:val="Heading3"/>
        <w:rPr>
          <w:szCs w:val="22"/>
        </w:rPr>
      </w:pPr>
      <w:r w:rsidRPr="003D5BE1">
        <w:rPr>
          <w:szCs w:val="22"/>
        </w:rPr>
        <w:t xml:space="preserve">Use in diabetes mellitus </w:t>
      </w:r>
    </w:p>
    <w:p w:rsidR="00111AFE" w:rsidRDefault="00A43013" w:rsidP="002A1C79">
      <w:pPr>
        <w:spacing w:before="120" w:after="120"/>
        <w:rPr>
          <w:rFonts w:cs="Arial"/>
        </w:rPr>
      </w:pPr>
      <w:r w:rsidRPr="00912119">
        <w:rPr>
          <w:rFonts w:cs="Arial"/>
        </w:rPr>
        <w:t xml:space="preserve">A population pharmacokinetic evaluation of data from angina patients and healthy subjects showed no effect of diabetes on ranolazine pharmacokinetics. No dose adjustment is required in </w:t>
      </w:r>
      <w:r w:rsidR="00111AFE">
        <w:rPr>
          <w:rFonts w:cs="Arial"/>
        </w:rPr>
        <w:t xml:space="preserve">these </w:t>
      </w:r>
      <w:r w:rsidRPr="00912119">
        <w:rPr>
          <w:rFonts w:cs="Arial"/>
        </w:rPr>
        <w:t>patients</w:t>
      </w:r>
      <w:r w:rsidR="00111AFE">
        <w:rPr>
          <w:rFonts w:cs="Arial"/>
        </w:rPr>
        <w:t xml:space="preserve">. </w:t>
      </w:r>
      <w:r w:rsidR="00023EE4">
        <w:rPr>
          <w:rFonts w:cs="Arial"/>
        </w:rPr>
        <w:t>H</w:t>
      </w:r>
      <w:r w:rsidR="00111AFE">
        <w:rPr>
          <w:rFonts w:cs="Arial"/>
        </w:rPr>
        <w:t>owever patients with diabetes mellitus may have renal impairment</w:t>
      </w:r>
      <w:r w:rsidR="00023EE4">
        <w:rPr>
          <w:rFonts w:cs="Arial"/>
        </w:rPr>
        <w:t xml:space="preserve"> and doses should be titrated </w:t>
      </w:r>
      <w:r w:rsidR="00DB5780">
        <w:rPr>
          <w:rFonts w:cs="Arial"/>
        </w:rPr>
        <w:t xml:space="preserve">dependent </w:t>
      </w:r>
      <w:r w:rsidR="00111AFE">
        <w:rPr>
          <w:rFonts w:cs="Arial"/>
        </w:rPr>
        <w:t xml:space="preserve">on their renal function (See </w:t>
      </w:r>
      <w:r w:rsidR="00111AFE" w:rsidRPr="005945C6">
        <w:rPr>
          <w:rFonts w:cs="Arial"/>
          <w:b/>
        </w:rPr>
        <w:t>Precautions</w:t>
      </w:r>
      <w:r w:rsidR="00111AFE">
        <w:rPr>
          <w:rFonts w:cs="Arial"/>
        </w:rPr>
        <w:t xml:space="preserve">; </w:t>
      </w:r>
      <w:r w:rsidR="00111AFE" w:rsidRPr="00125B2E">
        <w:rPr>
          <w:rFonts w:cs="Arial"/>
          <w:b/>
        </w:rPr>
        <w:t xml:space="preserve">Renal impairment </w:t>
      </w:r>
      <w:r w:rsidR="00111AFE">
        <w:rPr>
          <w:rFonts w:cs="Arial"/>
        </w:rPr>
        <w:t xml:space="preserve">section above). </w:t>
      </w:r>
    </w:p>
    <w:p w:rsidR="00D63EAE" w:rsidRDefault="00A43013" w:rsidP="002A1C79">
      <w:pPr>
        <w:spacing w:before="120" w:after="120"/>
        <w:rPr>
          <w:rFonts w:cs="Arial"/>
        </w:rPr>
      </w:pPr>
      <w:r w:rsidRPr="00912119">
        <w:rPr>
          <w:rFonts w:cs="Arial"/>
        </w:rPr>
        <w:t>RANEXA produces small reductions in HbA1c in patients with diabetes, the clinical significance of which is unknown. RANEXA should not be considered a treatment for diabetes.</w:t>
      </w:r>
    </w:p>
    <w:p w:rsidR="00B541CE" w:rsidRPr="002A1C79" w:rsidRDefault="00A43013" w:rsidP="002A1C79">
      <w:pPr>
        <w:pStyle w:val="Heading1"/>
        <w:spacing w:after="240"/>
        <w:rPr>
          <w:szCs w:val="24"/>
        </w:rPr>
      </w:pPr>
      <w:r w:rsidRPr="002A1C79">
        <w:rPr>
          <w:szCs w:val="24"/>
        </w:rPr>
        <w:t>Interactions with other Medicines</w:t>
      </w:r>
    </w:p>
    <w:p w:rsidR="00090785" w:rsidRPr="003D5BE1" w:rsidRDefault="00A43013" w:rsidP="002A1C79">
      <w:pPr>
        <w:spacing w:before="120" w:after="120"/>
        <w:rPr>
          <w:szCs w:val="22"/>
        </w:rPr>
      </w:pPr>
      <w:r w:rsidRPr="003D5BE1">
        <w:rPr>
          <w:szCs w:val="22"/>
        </w:rPr>
        <w:t>Table</w:t>
      </w:r>
      <w:r w:rsidR="008A7F23">
        <w:rPr>
          <w:szCs w:val="22"/>
        </w:rPr>
        <w:t>s</w:t>
      </w:r>
      <w:r w:rsidRPr="003D5BE1">
        <w:rPr>
          <w:szCs w:val="22"/>
        </w:rPr>
        <w:t xml:space="preserve"> </w:t>
      </w:r>
      <w:r w:rsidR="00E67525">
        <w:rPr>
          <w:szCs w:val="22"/>
        </w:rPr>
        <w:t>3</w:t>
      </w:r>
      <w:r w:rsidRPr="003D5BE1">
        <w:rPr>
          <w:szCs w:val="22"/>
        </w:rPr>
        <w:t xml:space="preserve"> </w:t>
      </w:r>
      <w:r w:rsidR="00255175" w:rsidRPr="003D5BE1">
        <w:rPr>
          <w:szCs w:val="22"/>
        </w:rPr>
        <w:t xml:space="preserve">and </w:t>
      </w:r>
      <w:r w:rsidR="00E67525">
        <w:rPr>
          <w:szCs w:val="22"/>
        </w:rPr>
        <w:t>4</w:t>
      </w:r>
      <w:r w:rsidR="003D5BE1" w:rsidRPr="003D5BE1">
        <w:rPr>
          <w:szCs w:val="22"/>
        </w:rPr>
        <w:t xml:space="preserve"> below</w:t>
      </w:r>
      <w:r w:rsidR="00255175" w:rsidRPr="003D5BE1">
        <w:rPr>
          <w:szCs w:val="22"/>
        </w:rPr>
        <w:t xml:space="preserve"> </w:t>
      </w:r>
      <w:r w:rsidRPr="003D5BE1">
        <w:rPr>
          <w:szCs w:val="22"/>
        </w:rPr>
        <w:t xml:space="preserve">show all </w:t>
      </w:r>
      <w:r w:rsidR="007D7437" w:rsidRPr="003D5BE1">
        <w:rPr>
          <w:szCs w:val="22"/>
        </w:rPr>
        <w:t xml:space="preserve">the </w:t>
      </w:r>
      <w:r w:rsidRPr="003D5BE1">
        <w:rPr>
          <w:szCs w:val="22"/>
        </w:rPr>
        <w:t>potential drug in</w:t>
      </w:r>
      <w:r w:rsidR="003005D0" w:rsidRPr="003D5BE1">
        <w:rPr>
          <w:szCs w:val="22"/>
        </w:rPr>
        <w:t>teractions</w:t>
      </w:r>
      <w:r w:rsidR="00090785" w:rsidRPr="003D5BE1">
        <w:rPr>
          <w:szCs w:val="22"/>
        </w:rPr>
        <w:t xml:space="preserve"> </w:t>
      </w:r>
      <w:r w:rsidR="00255175" w:rsidRPr="003D5BE1">
        <w:rPr>
          <w:szCs w:val="22"/>
        </w:rPr>
        <w:t xml:space="preserve">associated with </w:t>
      </w:r>
      <w:r w:rsidR="00692E8D">
        <w:rPr>
          <w:szCs w:val="22"/>
        </w:rPr>
        <w:t>RANEXA</w:t>
      </w:r>
      <w:r w:rsidR="00255175" w:rsidRPr="003D5BE1">
        <w:rPr>
          <w:szCs w:val="22"/>
        </w:rPr>
        <w:t>.</w:t>
      </w:r>
    </w:p>
    <w:p w:rsidR="002A1C79" w:rsidRDefault="002A1C79">
      <w:r>
        <w:br w:type="page"/>
      </w:r>
    </w:p>
    <w:tbl>
      <w:tblPr>
        <w:tblStyle w:val="TableGrid"/>
        <w:tblW w:w="9639" w:type="dxa"/>
        <w:tblInd w:w="108" w:type="dxa"/>
        <w:tblLook w:val="04A0" w:firstRow="1" w:lastRow="0" w:firstColumn="1" w:lastColumn="0" w:noHBand="0" w:noVBand="1"/>
      </w:tblPr>
      <w:tblGrid>
        <w:gridCol w:w="2127"/>
        <w:gridCol w:w="2976"/>
        <w:gridCol w:w="4536"/>
      </w:tblGrid>
      <w:tr w:rsidR="00255175" w:rsidRPr="002A1C79" w:rsidTr="00971C68">
        <w:trPr>
          <w:tblHeader/>
        </w:trPr>
        <w:tc>
          <w:tcPr>
            <w:tcW w:w="9639" w:type="dxa"/>
            <w:gridSpan w:val="3"/>
            <w:tcBorders>
              <w:top w:val="double" w:sz="4" w:space="0" w:color="auto"/>
              <w:left w:val="double" w:sz="4" w:space="0" w:color="auto"/>
              <w:bottom w:val="double" w:sz="4" w:space="0" w:color="auto"/>
              <w:right w:val="double" w:sz="4" w:space="0" w:color="auto"/>
            </w:tcBorders>
            <w:vAlign w:val="center"/>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lastRenderedPageBreak/>
              <w:t xml:space="preserve">TABLE </w:t>
            </w:r>
            <w:r w:rsidR="00E67525" w:rsidRPr="002A1C79">
              <w:rPr>
                <w:rFonts w:cs="Arial"/>
                <w:b/>
                <w:sz w:val="20"/>
                <w:szCs w:val="20"/>
              </w:rPr>
              <w:t>3</w:t>
            </w:r>
          </w:p>
        </w:tc>
      </w:tr>
      <w:tr w:rsidR="00255175" w:rsidRPr="002A1C79" w:rsidTr="00971C68">
        <w:trPr>
          <w:tblHeader/>
        </w:trPr>
        <w:tc>
          <w:tcPr>
            <w:tcW w:w="9639" w:type="dxa"/>
            <w:gridSpan w:val="3"/>
            <w:tcBorders>
              <w:top w:val="double" w:sz="4" w:space="0" w:color="auto"/>
              <w:left w:val="double" w:sz="4" w:space="0" w:color="auto"/>
              <w:bottom w:val="double" w:sz="4" w:space="0" w:color="auto"/>
              <w:right w:val="double" w:sz="4" w:space="0" w:color="auto"/>
            </w:tcBorders>
            <w:vAlign w:val="center"/>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EFFECTS OF OTHER MEDICINES ON </w:t>
            </w:r>
            <w:r w:rsidR="00692E8D" w:rsidRPr="002A1C79">
              <w:rPr>
                <w:rFonts w:cs="Arial"/>
                <w:b/>
                <w:sz w:val="20"/>
                <w:szCs w:val="20"/>
              </w:rPr>
              <w:t>RANEXA</w:t>
            </w:r>
          </w:p>
        </w:tc>
      </w:tr>
      <w:tr w:rsidR="00255175" w:rsidRPr="002A1C79" w:rsidTr="00971C68">
        <w:trPr>
          <w:tblHeader/>
        </w:trPr>
        <w:tc>
          <w:tcPr>
            <w:tcW w:w="2127" w:type="dxa"/>
            <w:tcBorders>
              <w:top w:val="double" w:sz="4" w:space="0" w:color="auto"/>
              <w:left w:val="double" w:sz="4" w:space="0" w:color="auto"/>
              <w:bottom w:val="double" w:sz="4" w:space="0" w:color="auto"/>
              <w:right w:val="double" w:sz="4" w:space="0" w:color="auto"/>
            </w:tcBorders>
            <w:vAlign w:val="center"/>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Concomitant </w:t>
            </w:r>
            <w:r w:rsidR="00CC546F" w:rsidRPr="002A1C79">
              <w:rPr>
                <w:rFonts w:cs="Arial"/>
                <w:b/>
                <w:sz w:val="20"/>
                <w:szCs w:val="20"/>
              </w:rPr>
              <w:t>medicines</w:t>
            </w:r>
          </w:p>
        </w:tc>
        <w:tc>
          <w:tcPr>
            <w:tcW w:w="2976" w:type="dxa"/>
            <w:tcBorders>
              <w:top w:val="double" w:sz="4" w:space="0" w:color="auto"/>
              <w:left w:val="double" w:sz="4" w:space="0" w:color="auto"/>
              <w:bottom w:val="double" w:sz="4" w:space="0" w:color="auto"/>
              <w:right w:val="double" w:sz="4" w:space="0" w:color="auto"/>
            </w:tcBorders>
            <w:vAlign w:val="center"/>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Potential PK effects </w:t>
            </w:r>
          </w:p>
        </w:tc>
        <w:tc>
          <w:tcPr>
            <w:tcW w:w="4536" w:type="dxa"/>
            <w:tcBorders>
              <w:top w:val="double" w:sz="4" w:space="0" w:color="auto"/>
              <w:left w:val="double" w:sz="4" w:space="0" w:color="auto"/>
              <w:bottom w:val="double" w:sz="4" w:space="0" w:color="auto"/>
              <w:right w:val="double" w:sz="4" w:space="0" w:color="auto"/>
            </w:tcBorders>
            <w:vAlign w:val="center"/>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Additional information </w:t>
            </w:r>
          </w:p>
        </w:tc>
      </w:tr>
      <w:tr w:rsidR="0079165D" w:rsidRPr="002A1C79" w:rsidTr="00971C68">
        <w:tc>
          <w:tcPr>
            <w:tcW w:w="9639" w:type="dxa"/>
            <w:gridSpan w:val="3"/>
            <w:tcBorders>
              <w:top w:val="double" w:sz="4" w:space="0" w:color="auto"/>
            </w:tcBorders>
            <w:shd w:val="clear" w:color="auto" w:fill="595959" w:themeFill="text1" w:themeFillTint="A6"/>
            <w:vAlign w:val="center"/>
          </w:tcPr>
          <w:p w:rsidR="0079165D" w:rsidRPr="002A1C79" w:rsidRDefault="0079165D" w:rsidP="002A1C79">
            <w:pPr>
              <w:spacing w:before="20" w:after="20"/>
              <w:jc w:val="left"/>
              <w:rPr>
                <w:rFonts w:eastAsia="Times New Roman" w:cs="Arial"/>
                <w:b/>
                <w:i/>
                <w:color w:val="FFFFFF" w:themeColor="background1"/>
                <w:sz w:val="20"/>
                <w:szCs w:val="20"/>
              </w:rPr>
            </w:pPr>
            <w:r w:rsidRPr="002A1C79">
              <w:rPr>
                <w:rFonts w:cs="Arial"/>
                <w:b/>
                <w:i/>
                <w:color w:val="FFFFFF" w:themeColor="background1"/>
                <w:sz w:val="20"/>
                <w:szCs w:val="20"/>
              </w:rPr>
              <w:t>CYP3A4 inhibitors</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Ketoconazole</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[potent inhibitor]</w:t>
            </w:r>
          </w:p>
          <w:p w:rsidR="00A95CDF" w:rsidRPr="002A1C79" w:rsidRDefault="00A95CDF" w:rsidP="002A1C79">
            <w:pPr>
              <w:spacing w:before="20" w:after="20"/>
              <w:jc w:val="left"/>
              <w:rPr>
                <w:rFonts w:eastAsia="Times New Roman" w:cs="Arial"/>
                <w:sz w:val="20"/>
                <w:szCs w:val="20"/>
              </w:rPr>
            </w:pPr>
          </w:p>
          <w:p w:rsidR="00A95CDF" w:rsidRPr="002A1C79" w:rsidRDefault="00A95CDF" w:rsidP="002A1C79">
            <w:pPr>
              <w:spacing w:before="20" w:after="20"/>
              <w:jc w:val="left"/>
              <w:rPr>
                <w:rFonts w:eastAsia="Times New Roman" w:cs="Arial"/>
                <w:sz w:val="20"/>
                <w:szCs w:val="20"/>
              </w:rPr>
            </w:pPr>
          </w:p>
        </w:tc>
        <w:tc>
          <w:tcPr>
            <w:tcW w:w="2976" w:type="dxa"/>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Contraindicated</w:t>
            </w:r>
          </w:p>
          <w:p w:rsidR="00A95CDF" w:rsidRPr="002A1C79" w:rsidRDefault="00A95CDF" w:rsidP="002A1C79">
            <w:pPr>
              <w:spacing w:before="20" w:after="20"/>
              <w:jc w:val="left"/>
              <w:rPr>
                <w:rFonts w:eastAsia="Times New Roman" w:cs="Arial"/>
                <w:sz w:val="20"/>
                <w:szCs w:val="20"/>
              </w:rPr>
            </w:pP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Ketoconazole 200 mg twice daily increased the AUC of ranolazine by 3.0 to 3.9- fold </w:t>
            </w:r>
          </w:p>
        </w:tc>
        <w:tc>
          <w:tcPr>
            <w:tcW w:w="4536" w:type="dxa"/>
            <w:vMerge w:val="restart"/>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Ranolazine is a substrate of cytochrome CYP3A4. Inhibitors of CYP3A4 increase plasma concentrations of </w:t>
            </w:r>
            <w:r w:rsidR="009155D2" w:rsidRPr="002A1C79">
              <w:rPr>
                <w:rFonts w:cs="Arial"/>
                <w:sz w:val="20"/>
                <w:szCs w:val="20"/>
              </w:rPr>
              <w:t>ranolazine</w:t>
            </w:r>
            <w:r w:rsidRPr="002A1C79">
              <w:rPr>
                <w:rFonts w:cs="Arial"/>
                <w:sz w:val="20"/>
                <w:szCs w:val="20"/>
              </w:rPr>
              <w:t xml:space="preserve">. The potential for dose-related adverse events (e.g. nausea, dizziness) may also increase with increased plasma concentrations.  Combining ranolazine with potent CYP3A4 inhibitors is contraindicated. </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lang w:val="it-IT"/>
              </w:rPr>
            </w:pPr>
            <w:r w:rsidRPr="002A1C79">
              <w:rPr>
                <w:rFonts w:cs="Arial"/>
                <w:sz w:val="20"/>
                <w:szCs w:val="20"/>
                <w:lang w:val="it-IT"/>
              </w:rPr>
              <w:t>itraconazole</w:t>
            </w:r>
          </w:p>
          <w:p w:rsidR="00A95CDF" w:rsidRPr="002A1C79" w:rsidRDefault="00255175" w:rsidP="002A1C79">
            <w:pPr>
              <w:spacing w:before="20" w:after="20"/>
              <w:jc w:val="left"/>
              <w:rPr>
                <w:rFonts w:eastAsia="Times New Roman" w:cs="Arial"/>
                <w:sz w:val="20"/>
                <w:szCs w:val="20"/>
                <w:lang w:val="it-IT"/>
              </w:rPr>
            </w:pPr>
            <w:r w:rsidRPr="002A1C79">
              <w:rPr>
                <w:rFonts w:cs="Arial"/>
                <w:sz w:val="20"/>
                <w:szCs w:val="20"/>
                <w:lang w:val="it-IT"/>
              </w:rPr>
              <w:t>voriconazole posaconazole</w:t>
            </w:r>
          </w:p>
          <w:p w:rsidR="00A95CDF" w:rsidRPr="002A1C79" w:rsidRDefault="00255175" w:rsidP="002A1C79">
            <w:pPr>
              <w:spacing w:before="20" w:after="20"/>
              <w:jc w:val="left"/>
              <w:rPr>
                <w:rFonts w:eastAsia="Times New Roman" w:cs="Arial"/>
                <w:sz w:val="20"/>
                <w:szCs w:val="20"/>
                <w:lang w:val="it-IT"/>
              </w:rPr>
            </w:pPr>
            <w:r w:rsidRPr="002A1C79">
              <w:rPr>
                <w:rFonts w:cs="Arial"/>
                <w:sz w:val="20"/>
                <w:szCs w:val="20"/>
                <w:lang w:val="it-IT"/>
              </w:rPr>
              <w:t xml:space="preserve">HIV protease inhibitors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clarithromycin</w:t>
            </w:r>
          </w:p>
          <w:p w:rsidR="00FB3847" w:rsidRPr="002A1C79" w:rsidRDefault="00255175" w:rsidP="002A1C79">
            <w:pPr>
              <w:spacing w:before="20" w:after="20"/>
              <w:jc w:val="left"/>
              <w:rPr>
                <w:rFonts w:cs="Arial"/>
                <w:sz w:val="20"/>
                <w:szCs w:val="20"/>
              </w:rPr>
            </w:pPr>
            <w:r w:rsidRPr="002A1C79">
              <w:rPr>
                <w:rFonts w:cs="Arial"/>
                <w:sz w:val="20"/>
                <w:szCs w:val="20"/>
              </w:rPr>
              <w:t>grapefruit juice</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[potent inhibitors ]</w:t>
            </w:r>
          </w:p>
        </w:tc>
        <w:tc>
          <w:tcPr>
            <w:tcW w:w="2976" w:type="dxa"/>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Contraindicated</w:t>
            </w:r>
          </w:p>
          <w:p w:rsidR="00A95CDF" w:rsidRPr="002A1C79" w:rsidRDefault="00A95CDF" w:rsidP="002A1C79">
            <w:pPr>
              <w:spacing w:before="20" w:after="20"/>
              <w:jc w:val="left"/>
              <w:rPr>
                <w:rFonts w:eastAsia="Times New Roman" w:cs="Arial"/>
                <w:i/>
                <w:sz w:val="20"/>
                <w:szCs w:val="20"/>
              </w:rPr>
            </w:pPr>
          </w:p>
          <w:p w:rsidR="00A95CDF" w:rsidRPr="002A1C79" w:rsidRDefault="00255175" w:rsidP="002A1C79">
            <w:pPr>
              <w:spacing w:before="20" w:after="20"/>
              <w:jc w:val="left"/>
              <w:rPr>
                <w:rFonts w:eastAsia="Times New Roman" w:cs="Arial"/>
                <w:i/>
                <w:sz w:val="20"/>
                <w:szCs w:val="20"/>
              </w:rPr>
            </w:pPr>
            <w:r w:rsidRPr="002A1C79">
              <w:rPr>
                <w:rFonts w:cs="Arial"/>
                <w:i/>
                <w:sz w:val="20"/>
                <w:szCs w:val="20"/>
              </w:rPr>
              <w:t xml:space="preserve">See additional information </w:t>
            </w:r>
          </w:p>
        </w:tc>
        <w:tc>
          <w:tcPr>
            <w:tcW w:w="4536" w:type="dxa"/>
            <w:vMerge/>
          </w:tcPr>
          <w:p w:rsidR="00A95CDF" w:rsidRPr="002A1C79" w:rsidRDefault="00A95CDF" w:rsidP="002A1C79">
            <w:pPr>
              <w:spacing w:before="20" w:after="20"/>
              <w:jc w:val="left"/>
              <w:rPr>
                <w:rFonts w:eastAsia="Times New Roman" w:cs="Arial"/>
                <w:sz w:val="20"/>
                <w:szCs w:val="20"/>
              </w:rPr>
            </w:pP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Diltiazem</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[moderately potent inhibitor ]</w:t>
            </w:r>
          </w:p>
          <w:p w:rsidR="00A95CDF" w:rsidRPr="002A1C79" w:rsidRDefault="00A95CDF" w:rsidP="002A1C79">
            <w:pPr>
              <w:spacing w:before="20" w:after="20"/>
              <w:jc w:val="left"/>
              <w:rPr>
                <w:rFonts w:eastAsia="Times New Roman" w:cs="Arial"/>
                <w:sz w:val="20"/>
                <w:szCs w:val="20"/>
              </w:rPr>
            </w:pPr>
          </w:p>
        </w:tc>
        <w:tc>
          <w:tcPr>
            <w:tcW w:w="297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Diltiazem (180 to 360 mg once daily), causes dose-dependent increases in average ranolazine steady-state concentrations of 1.5 to 2.4-fold. </w:t>
            </w:r>
          </w:p>
        </w:tc>
        <w:tc>
          <w:tcPr>
            <w:tcW w:w="4536" w:type="dxa"/>
            <w:vMerge w:val="restart"/>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Diltiazem is a moderately potent CYP3A4 inhibitor. Careful dose titration of </w:t>
            </w:r>
            <w:r w:rsidR="00692E8D" w:rsidRPr="002A1C79">
              <w:rPr>
                <w:rFonts w:cs="Arial"/>
                <w:sz w:val="20"/>
                <w:szCs w:val="20"/>
              </w:rPr>
              <w:t>RANEXA</w:t>
            </w:r>
            <w:r w:rsidRPr="002A1C79">
              <w:rPr>
                <w:rFonts w:cs="Arial"/>
                <w:sz w:val="20"/>
                <w:szCs w:val="20"/>
              </w:rPr>
              <w:t xml:space="preserve"> is recommended in patients treated with diltiazem and other moderately potent CYP3A4 inhibitors e.g. erythromycin, fluconazole. Down-titration of </w:t>
            </w:r>
            <w:r w:rsidR="00692E8D" w:rsidRPr="002A1C79">
              <w:rPr>
                <w:rFonts w:cs="Arial"/>
                <w:sz w:val="20"/>
                <w:szCs w:val="20"/>
              </w:rPr>
              <w:t>RANEXA</w:t>
            </w:r>
            <w:r w:rsidRPr="002A1C79">
              <w:rPr>
                <w:rFonts w:cs="Arial"/>
                <w:sz w:val="20"/>
                <w:szCs w:val="20"/>
              </w:rPr>
              <w:t xml:space="preserve"> may be required.</w:t>
            </w:r>
          </w:p>
          <w:p w:rsidR="00A95CDF" w:rsidRPr="002A1C79" w:rsidRDefault="00A95CDF" w:rsidP="002A1C79">
            <w:pPr>
              <w:spacing w:before="20" w:after="20"/>
              <w:jc w:val="left"/>
              <w:rPr>
                <w:rFonts w:eastAsia="Times New Roman" w:cs="Arial"/>
                <w:sz w:val="20"/>
                <w:szCs w:val="20"/>
              </w:rPr>
            </w:pP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Erythromycin</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Fluconazole</w:t>
            </w:r>
          </w:p>
          <w:p w:rsidR="00A95CDF" w:rsidRPr="002A1C79" w:rsidRDefault="00255175" w:rsidP="002A1C79">
            <w:pPr>
              <w:spacing w:before="20" w:after="20"/>
              <w:jc w:val="left"/>
              <w:rPr>
                <w:rFonts w:eastAsia="Times New Roman" w:cs="Arial"/>
                <w:b/>
                <w:i/>
                <w:sz w:val="20"/>
                <w:szCs w:val="20"/>
              </w:rPr>
            </w:pPr>
            <w:r w:rsidRPr="002A1C79">
              <w:rPr>
                <w:rFonts w:cs="Arial"/>
                <w:sz w:val="20"/>
                <w:szCs w:val="20"/>
              </w:rPr>
              <w:t>[moderately potent  inhibitors]</w:t>
            </w:r>
          </w:p>
        </w:tc>
        <w:tc>
          <w:tcPr>
            <w:tcW w:w="2976" w:type="dxa"/>
          </w:tcPr>
          <w:p w:rsidR="00A95CDF" w:rsidRPr="002A1C79" w:rsidRDefault="00255175" w:rsidP="002A1C79">
            <w:pPr>
              <w:spacing w:before="20" w:after="20"/>
              <w:jc w:val="left"/>
              <w:rPr>
                <w:rFonts w:eastAsia="Times New Roman" w:cs="Arial"/>
                <w:sz w:val="20"/>
                <w:szCs w:val="20"/>
                <w:highlight w:val="yellow"/>
              </w:rPr>
            </w:pPr>
            <w:r w:rsidRPr="002A1C79">
              <w:rPr>
                <w:rFonts w:cs="Arial"/>
                <w:i/>
                <w:sz w:val="20"/>
                <w:szCs w:val="20"/>
              </w:rPr>
              <w:t>See additional information</w:t>
            </w:r>
          </w:p>
        </w:tc>
        <w:tc>
          <w:tcPr>
            <w:tcW w:w="4536" w:type="dxa"/>
            <w:vMerge/>
          </w:tcPr>
          <w:p w:rsidR="00A95CDF" w:rsidRPr="002A1C79" w:rsidRDefault="00A95CDF" w:rsidP="002A1C79">
            <w:pPr>
              <w:spacing w:before="20" w:after="20"/>
              <w:jc w:val="left"/>
              <w:rPr>
                <w:rFonts w:eastAsia="Times New Roman" w:cs="Arial"/>
                <w:b/>
                <w:i/>
                <w:sz w:val="20"/>
                <w:szCs w:val="20"/>
              </w:rPr>
            </w:pPr>
          </w:p>
        </w:tc>
      </w:tr>
      <w:tr w:rsidR="00255175" w:rsidRPr="002A1C79" w:rsidTr="00971C68">
        <w:tc>
          <w:tcPr>
            <w:tcW w:w="2127" w:type="dxa"/>
          </w:tcPr>
          <w:p w:rsidR="00A95CDF" w:rsidRPr="002A1C79" w:rsidRDefault="002B0A8C" w:rsidP="002A1C79">
            <w:pPr>
              <w:keepNext/>
              <w:spacing w:before="20" w:after="20"/>
              <w:jc w:val="left"/>
              <w:outlineLvl w:val="0"/>
              <w:rPr>
                <w:rFonts w:eastAsia="Times New Roman" w:cs="Arial"/>
                <w:sz w:val="20"/>
                <w:szCs w:val="20"/>
              </w:rPr>
            </w:pPr>
            <w:r w:rsidRPr="002A1C79">
              <w:rPr>
                <w:rFonts w:cs="Arial"/>
                <w:sz w:val="20"/>
                <w:szCs w:val="20"/>
              </w:rPr>
              <w:t>Oral contraceptives (OCTs)</w:t>
            </w:r>
          </w:p>
          <w:p w:rsidR="00A95CDF" w:rsidRPr="002A1C79" w:rsidRDefault="002B0A8C" w:rsidP="002A1C79">
            <w:pPr>
              <w:keepNext/>
              <w:spacing w:before="20" w:after="20"/>
              <w:jc w:val="left"/>
              <w:outlineLvl w:val="0"/>
              <w:rPr>
                <w:rFonts w:eastAsia="Times New Roman" w:cs="Arial"/>
                <w:sz w:val="20"/>
                <w:szCs w:val="20"/>
              </w:rPr>
            </w:pPr>
            <w:r w:rsidRPr="002A1C79">
              <w:rPr>
                <w:rFonts w:cs="Arial"/>
                <w:sz w:val="20"/>
                <w:szCs w:val="20"/>
              </w:rPr>
              <w:t xml:space="preserve">Hormone Replacement Therapy (HRT) </w:t>
            </w:r>
          </w:p>
          <w:p w:rsidR="00A95CDF" w:rsidRPr="002A1C79" w:rsidRDefault="002B0A8C" w:rsidP="002A1C79">
            <w:pPr>
              <w:keepNext/>
              <w:spacing w:before="20" w:after="20"/>
              <w:jc w:val="left"/>
              <w:outlineLvl w:val="0"/>
              <w:rPr>
                <w:rFonts w:eastAsia="Times New Roman" w:cs="Arial"/>
                <w:sz w:val="20"/>
                <w:szCs w:val="20"/>
              </w:rPr>
            </w:pPr>
            <w:r w:rsidRPr="002A1C79">
              <w:rPr>
                <w:rFonts w:cs="Arial"/>
                <w:sz w:val="20"/>
                <w:szCs w:val="20"/>
              </w:rPr>
              <w:t>[weak inhibitors]</w:t>
            </w:r>
          </w:p>
        </w:tc>
        <w:tc>
          <w:tcPr>
            <w:tcW w:w="2976" w:type="dxa"/>
          </w:tcPr>
          <w:p w:rsidR="00A95CDF" w:rsidRPr="002A1C79" w:rsidRDefault="002B0A8C" w:rsidP="002A1C79">
            <w:pPr>
              <w:spacing w:before="20" w:after="20"/>
              <w:jc w:val="left"/>
              <w:rPr>
                <w:rFonts w:eastAsia="Times New Roman" w:cs="Arial"/>
                <w:sz w:val="20"/>
                <w:szCs w:val="20"/>
              </w:rPr>
            </w:pPr>
            <w:r w:rsidRPr="002A1C79">
              <w:rPr>
                <w:rFonts w:cs="Arial"/>
                <w:i/>
                <w:sz w:val="20"/>
                <w:szCs w:val="20"/>
              </w:rPr>
              <w:t>See additional information</w:t>
            </w:r>
          </w:p>
        </w:tc>
        <w:tc>
          <w:tcPr>
            <w:tcW w:w="4536" w:type="dxa"/>
          </w:tcPr>
          <w:p w:rsidR="00A95CDF" w:rsidRPr="002A1C79" w:rsidRDefault="002B0A8C" w:rsidP="002A1C79">
            <w:pPr>
              <w:keepNext/>
              <w:spacing w:before="20" w:after="20"/>
              <w:jc w:val="left"/>
              <w:outlineLvl w:val="0"/>
              <w:rPr>
                <w:rFonts w:eastAsia="Times New Roman" w:cs="Arial"/>
                <w:sz w:val="20"/>
                <w:szCs w:val="20"/>
              </w:rPr>
            </w:pPr>
            <w:r w:rsidRPr="002A1C79">
              <w:rPr>
                <w:rFonts w:cs="Arial"/>
                <w:iCs/>
                <w:sz w:val="20"/>
                <w:szCs w:val="20"/>
              </w:rPr>
              <w:t xml:space="preserve">The effects of RANEXA with weak CYP3A4 inhibitors such as oral contraceptives (OCTs) and hormone replacement therapy (HRT) are unknown. However, the potential increase in ranolazine exposure is expected to be lower, compared to that with moderate / potent CYP3A4 inhibitors. </w:t>
            </w:r>
          </w:p>
        </w:tc>
      </w:tr>
      <w:tr w:rsidR="0079165D" w:rsidRPr="002A1C79" w:rsidTr="00971C68">
        <w:tc>
          <w:tcPr>
            <w:tcW w:w="9639" w:type="dxa"/>
            <w:gridSpan w:val="3"/>
            <w:shd w:val="clear" w:color="auto" w:fill="595959" w:themeFill="text1" w:themeFillTint="A6"/>
            <w:vAlign w:val="center"/>
          </w:tcPr>
          <w:p w:rsidR="0079165D" w:rsidRPr="002A1C79" w:rsidRDefault="0079165D" w:rsidP="002A1C79">
            <w:pPr>
              <w:spacing w:before="20" w:after="20"/>
              <w:jc w:val="left"/>
              <w:rPr>
                <w:rFonts w:eastAsia="Times New Roman" w:cs="Arial"/>
                <w:b/>
                <w:i/>
                <w:color w:val="FFFFFF" w:themeColor="background1"/>
                <w:sz w:val="20"/>
                <w:szCs w:val="20"/>
              </w:rPr>
            </w:pPr>
            <w:r w:rsidRPr="002A1C79">
              <w:rPr>
                <w:rFonts w:cs="Arial"/>
                <w:b/>
                <w:i/>
                <w:color w:val="FFFFFF" w:themeColor="background1"/>
                <w:sz w:val="20"/>
                <w:szCs w:val="20"/>
              </w:rPr>
              <w:t>P-gp inhibitors</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Verapamil</w:t>
            </w:r>
          </w:p>
        </w:tc>
        <w:tc>
          <w:tcPr>
            <w:tcW w:w="297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Verapamil (120 mg three times daily) increases ranolazine steady-state concentrations 2.2-fold.  </w:t>
            </w:r>
          </w:p>
        </w:tc>
        <w:tc>
          <w:tcPr>
            <w:tcW w:w="4536" w:type="dxa"/>
            <w:vMerge w:val="restart"/>
          </w:tcPr>
          <w:p w:rsidR="00A95CDF" w:rsidRPr="002A1C79" w:rsidRDefault="00255175" w:rsidP="002A1C79">
            <w:pPr>
              <w:spacing w:before="20" w:after="20"/>
              <w:jc w:val="left"/>
              <w:rPr>
                <w:rFonts w:eastAsia="Times New Roman" w:cs="Arial"/>
                <w:iCs/>
                <w:sz w:val="20"/>
                <w:szCs w:val="20"/>
              </w:rPr>
            </w:pPr>
            <w:r w:rsidRPr="002A1C79">
              <w:rPr>
                <w:rFonts w:cs="Arial"/>
                <w:iCs/>
                <w:sz w:val="20"/>
                <w:szCs w:val="20"/>
              </w:rPr>
              <w:t xml:space="preserve">Ranolazine is a substrate for P-gp. Inhibitors of P-gp increase plasma levels of ranolazine. Careful dose titration of </w:t>
            </w:r>
            <w:r w:rsidR="00692E8D" w:rsidRPr="002A1C79">
              <w:rPr>
                <w:rFonts w:cs="Arial"/>
                <w:iCs/>
                <w:sz w:val="20"/>
                <w:szCs w:val="20"/>
              </w:rPr>
              <w:t>RANEXA</w:t>
            </w:r>
            <w:r w:rsidRPr="002A1C79">
              <w:rPr>
                <w:rFonts w:cs="Arial"/>
                <w:iCs/>
                <w:sz w:val="20"/>
                <w:szCs w:val="20"/>
              </w:rPr>
              <w:t xml:space="preserve"> is recommended in patients treated with P</w:t>
            </w:r>
            <w:r w:rsidRPr="002A1C79">
              <w:rPr>
                <w:rFonts w:cs="Arial"/>
                <w:iCs/>
                <w:sz w:val="20"/>
                <w:szCs w:val="20"/>
              </w:rPr>
              <w:noBreakHyphen/>
              <w:t xml:space="preserve">gp inhibitors. Down-titration of </w:t>
            </w:r>
            <w:r w:rsidR="00692E8D" w:rsidRPr="002A1C79">
              <w:rPr>
                <w:rFonts w:cs="Arial"/>
                <w:iCs/>
                <w:sz w:val="20"/>
                <w:szCs w:val="20"/>
              </w:rPr>
              <w:t>RANEXA</w:t>
            </w:r>
            <w:r w:rsidRPr="002A1C79">
              <w:rPr>
                <w:rFonts w:cs="Arial"/>
                <w:iCs/>
                <w:sz w:val="20"/>
                <w:szCs w:val="20"/>
              </w:rPr>
              <w:t xml:space="preserve"> may be required.</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Cyclosporin</w:t>
            </w:r>
          </w:p>
        </w:tc>
        <w:tc>
          <w:tcPr>
            <w:tcW w:w="2976" w:type="dxa"/>
          </w:tcPr>
          <w:p w:rsidR="00A95CDF" w:rsidRPr="002A1C79" w:rsidRDefault="00255175" w:rsidP="002A1C79">
            <w:pPr>
              <w:spacing w:before="20" w:after="20"/>
              <w:jc w:val="left"/>
              <w:rPr>
                <w:rFonts w:cs="Arial"/>
                <w:i/>
                <w:sz w:val="20"/>
                <w:szCs w:val="20"/>
              </w:rPr>
            </w:pPr>
            <w:r w:rsidRPr="002A1C79">
              <w:rPr>
                <w:rFonts w:cs="Arial"/>
                <w:i/>
                <w:sz w:val="20"/>
                <w:szCs w:val="20"/>
              </w:rPr>
              <w:t>See additional information</w:t>
            </w:r>
          </w:p>
        </w:tc>
        <w:tc>
          <w:tcPr>
            <w:tcW w:w="4536" w:type="dxa"/>
            <w:vMerge/>
          </w:tcPr>
          <w:p w:rsidR="00A95CDF" w:rsidRPr="002A1C79" w:rsidRDefault="00A95CDF" w:rsidP="002A1C79">
            <w:pPr>
              <w:spacing w:before="20" w:after="20"/>
              <w:jc w:val="left"/>
              <w:rPr>
                <w:rFonts w:eastAsia="Times New Roman" w:cs="Arial"/>
                <w:iCs/>
                <w:sz w:val="20"/>
                <w:szCs w:val="20"/>
              </w:rPr>
            </w:pPr>
          </w:p>
        </w:tc>
      </w:tr>
      <w:tr w:rsidR="0079165D" w:rsidRPr="002A1C79" w:rsidTr="00971C68">
        <w:tc>
          <w:tcPr>
            <w:tcW w:w="9639" w:type="dxa"/>
            <w:gridSpan w:val="3"/>
            <w:shd w:val="clear" w:color="auto" w:fill="595959" w:themeFill="text1" w:themeFillTint="A6"/>
            <w:vAlign w:val="center"/>
          </w:tcPr>
          <w:p w:rsidR="0079165D" w:rsidRPr="002A1C79" w:rsidRDefault="0079165D" w:rsidP="002A1C79">
            <w:pPr>
              <w:spacing w:before="20" w:after="20"/>
              <w:jc w:val="left"/>
              <w:rPr>
                <w:rFonts w:eastAsia="Times New Roman" w:cs="Arial"/>
                <w:b/>
                <w:i/>
                <w:color w:val="FFFFFF" w:themeColor="background1"/>
                <w:sz w:val="20"/>
                <w:szCs w:val="20"/>
              </w:rPr>
            </w:pPr>
            <w:r w:rsidRPr="002A1C79">
              <w:rPr>
                <w:rFonts w:cs="Arial"/>
                <w:b/>
                <w:i/>
                <w:color w:val="FFFFFF" w:themeColor="background1"/>
                <w:sz w:val="20"/>
                <w:szCs w:val="20"/>
              </w:rPr>
              <w:t>CYP3A4 inducers</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Rifampicin</w:t>
            </w:r>
          </w:p>
          <w:p w:rsidR="00A95CDF" w:rsidRPr="002A1C79" w:rsidRDefault="00A95CDF" w:rsidP="002A1C79">
            <w:pPr>
              <w:spacing w:before="20" w:after="20"/>
              <w:jc w:val="left"/>
              <w:rPr>
                <w:rFonts w:eastAsia="Times New Roman" w:cs="Arial"/>
                <w:sz w:val="20"/>
                <w:szCs w:val="20"/>
              </w:rPr>
            </w:pPr>
          </w:p>
        </w:tc>
        <w:tc>
          <w:tcPr>
            <w:tcW w:w="2976" w:type="dxa"/>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Contraindicated</w:t>
            </w:r>
          </w:p>
          <w:p w:rsidR="00A95CDF" w:rsidRPr="002A1C79" w:rsidRDefault="00A95CDF" w:rsidP="002A1C79">
            <w:pPr>
              <w:spacing w:before="20" w:after="20"/>
              <w:jc w:val="left"/>
              <w:rPr>
                <w:rFonts w:eastAsia="Times New Roman" w:cs="Arial"/>
                <w:sz w:val="20"/>
                <w:szCs w:val="20"/>
              </w:rPr>
            </w:pP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Rifampicin (600 mg once daily) decreases ranolazine steady-state concentrations by approximately 95%. </w:t>
            </w:r>
          </w:p>
        </w:tc>
        <w:tc>
          <w:tcPr>
            <w:tcW w:w="4536" w:type="dxa"/>
            <w:vMerge w:val="restart"/>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Initiation of treatment with </w:t>
            </w:r>
            <w:r w:rsidR="00692E8D" w:rsidRPr="002A1C79">
              <w:rPr>
                <w:rFonts w:cs="Arial"/>
                <w:sz w:val="20"/>
                <w:szCs w:val="20"/>
              </w:rPr>
              <w:t>RANEXA</w:t>
            </w:r>
            <w:r w:rsidRPr="002A1C79">
              <w:rPr>
                <w:rFonts w:cs="Arial"/>
                <w:sz w:val="20"/>
                <w:szCs w:val="20"/>
              </w:rPr>
              <w:t xml:space="preserve"> should be avoided during administration of inducers of CYP3A4.</w:t>
            </w:r>
          </w:p>
          <w:p w:rsidR="00A95CDF" w:rsidRPr="002A1C79" w:rsidRDefault="00A95CDF" w:rsidP="002A1C79">
            <w:pPr>
              <w:spacing w:before="20" w:after="20"/>
              <w:jc w:val="left"/>
              <w:outlineLvl w:val="0"/>
              <w:rPr>
                <w:rFonts w:eastAsia="Times New Roman" w:cs="Arial"/>
                <w:sz w:val="20"/>
                <w:szCs w:val="20"/>
              </w:rPr>
            </w:pP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phenytoin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phenobarbital carbamazepine St. John’s Wort</w:t>
            </w:r>
          </w:p>
        </w:tc>
        <w:tc>
          <w:tcPr>
            <w:tcW w:w="2976" w:type="dxa"/>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Contraindicated</w:t>
            </w:r>
          </w:p>
          <w:p w:rsidR="00A95CDF" w:rsidRPr="002A1C79" w:rsidRDefault="00A95CDF" w:rsidP="002A1C79">
            <w:pPr>
              <w:spacing w:before="20" w:after="20"/>
              <w:jc w:val="left"/>
              <w:rPr>
                <w:rFonts w:eastAsia="Times New Roman" w:cs="Arial"/>
                <w:i/>
                <w:sz w:val="20"/>
                <w:szCs w:val="20"/>
              </w:rPr>
            </w:pPr>
          </w:p>
          <w:p w:rsidR="00A95CDF" w:rsidRPr="002A1C79" w:rsidRDefault="00255175" w:rsidP="002A1C79">
            <w:pPr>
              <w:spacing w:before="20" w:after="20"/>
              <w:jc w:val="left"/>
              <w:rPr>
                <w:rFonts w:eastAsia="Times New Roman" w:cs="Arial"/>
                <w:sz w:val="20"/>
                <w:szCs w:val="20"/>
                <w:highlight w:val="yellow"/>
              </w:rPr>
            </w:pPr>
            <w:r w:rsidRPr="002A1C79">
              <w:rPr>
                <w:rFonts w:cs="Arial"/>
                <w:i/>
                <w:sz w:val="20"/>
                <w:szCs w:val="20"/>
              </w:rPr>
              <w:t>See additional information</w:t>
            </w:r>
          </w:p>
        </w:tc>
        <w:tc>
          <w:tcPr>
            <w:tcW w:w="4536" w:type="dxa"/>
            <w:vMerge/>
          </w:tcPr>
          <w:p w:rsidR="00A95CDF" w:rsidRPr="002A1C79" w:rsidRDefault="00A95CDF" w:rsidP="002A1C79">
            <w:pPr>
              <w:spacing w:before="20" w:after="20"/>
              <w:jc w:val="left"/>
              <w:rPr>
                <w:rFonts w:eastAsia="Times New Roman" w:cs="Arial"/>
                <w:sz w:val="20"/>
                <w:szCs w:val="20"/>
              </w:rPr>
            </w:pPr>
          </w:p>
        </w:tc>
      </w:tr>
    </w:tbl>
    <w:p w:rsidR="002A1C79" w:rsidRDefault="002A1C79">
      <w:r>
        <w:br w:type="page"/>
      </w:r>
    </w:p>
    <w:tbl>
      <w:tblPr>
        <w:tblStyle w:val="TableGrid"/>
        <w:tblW w:w="9639" w:type="dxa"/>
        <w:tblInd w:w="108" w:type="dxa"/>
        <w:tblLook w:val="04A0" w:firstRow="1" w:lastRow="0" w:firstColumn="1" w:lastColumn="0" w:noHBand="0" w:noVBand="1"/>
      </w:tblPr>
      <w:tblGrid>
        <w:gridCol w:w="2127"/>
        <w:gridCol w:w="2976"/>
        <w:gridCol w:w="4536"/>
      </w:tblGrid>
      <w:tr w:rsidR="0079165D" w:rsidRPr="002A1C79" w:rsidTr="00971C68">
        <w:tc>
          <w:tcPr>
            <w:tcW w:w="9639" w:type="dxa"/>
            <w:gridSpan w:val="3"/>
            <w:shd w:val="clear" w:color="auto" w:fill="595959" w:themeFill="text1" w:themeFillTint="A6"/>
            <w:vAlign w:val="center"/>
          </w:tcPr>
          <w:p w:rsidR="0079165D" w:rsidRPr="002A1C79" w:rsidRDefault="0079165D" w:rsidP="002A1C79">
            <w:pPr>
              <w:spacing w:before="20" w:after="20"/>
              <w:jc w:val="left"/>
              <w:rPr>
                <w:rFonts w:eastAsia="Times New Roman" w:cs="Arial"/>
                <w:b/>
                <w:i/>
                <w:color w:val="FFFFFF" w:themeColor="background1"/>
                <w:sz w:val="20"/>
                <w:szCs w:val="20"/>
              </w:rPr>
            </w:pPr>
            <w:r w:rsidRPr="002A1C79">
              <w:rPr>
                <w:rFonts w:cs="Arial"/>
                <w:b/>
                <w:i/>
                <w:color w:val="FFFFFF" w:themeColor="background1"/>
                <w:sz w:val="20"/>
                <w:szCs w:val="20"/>
              </w:rPr>
              <w:lastRenderedPageBreak/>
              <w:t>CYP2D6 inhibitors</w:t>
            </w:r>
          </w:p>
        </w:tc>
      </w:tr>
      <w:tr w:rsidR="00255175" w:rsidRPr="002A1C79" w:rsidTr="00971C68">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Paroxetine</w:t>
            </w:r>
          </w:p>
          <w:p w:rsidR="00A95CDF" w:rsidRPr="002A1C79" w:rsidRDefault="00255175" w:rsidP="002A1C79">
            <w:pPr>
              <w:spacing w:before="20" w:after="20"/>
              <w:jc w:val="left"/>
              <w:rPr>
                <w:rFonts w:eastAsia="Times New Roman" w:cs="Arial"/>
                <w:b/>
                <w:i/>
                <w:sz w:val="20"/>
                <w:szCs w:val="20"/>
              </w:rPr>
            </w:pPr>
            <w:r w:rsidRPr="002A1C79">
              <w:rPr>
                <w:rFonts w:cs="Arial"/>
                <w:sz w:val="20"/>
                <w:szCs w:val="20"/>
              </w:rPr>
              <w:t>[potent inhibitor]</w:t>
            </w:r>
          </w:p>
        </w:tc>
        <w:tc>
          <w:tcPr>
            <w:tcW w:w="297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Paroxetine 20 mg once daily:</w:t>
            </w:r>
          </w:p>
          <w:p w:rsidR="00A95CDF" w:rsidRPr="002A1C79" w:rsidRDefault="002A1C79" w:rsidP="002A1C79">
            <w:pPr>
              <w:spacing w:before="20" w:after="20"/>
              <w:jc w:val="left"/>
              <w:rPr>
                <w:rFonts w:eastAsia="Times New Roman" w:cs="Arial"/>
                <w:sz w:val="20"/>
                <w:szCs w:val="20"/>
              </w:rPr>
            </w:pPr>
            <w:r>
              <w:rPr>
                <w:rFonts w:cs="Arial"/>
                <w:sz w:val="20"/>
                <w:szCs w:val="20"/>
              </w:rPr>
              <w:t xml:space="preserve">- </w:t>
            </w:r>
            <w:r w:rsidR="00255175" w:rsidRPr="002A1C79">
              <w:rPr>
                <w:rFonts w:cs="Arial"/>
                <w:sz w:val="20"/>
                <w:szCs w:val="20"/>
              </w:rPr>
              <w:t xml:space="preserve">with </w:t>
            </w:r>
            <w:r w:rsidR="0051668E" w:rsidRPr="002A1C79">
              <w:rPr>
                <w:rFonts w:cs="Arial"/>
                <w:sz w:val="20"/>
                <w:szCs w:val="20"/>
              </w:rPr>
              <w:t xml:space="preserve">ranolazine </w:t>
            </w:r>
            <w:r w:rsidR="00255175" w:rsidRPr="002A1C79">
              <w:rPr>
                <w:rFonts w:cs="Arial"/>
                <w:sz w:val="20"/>
                <w:szCs w:val="20"/>
              </w:rPr>
              <w:t>1000mg twice daily, increased steady-state plasma concentrations of ranolazine by an average of 1.2-fold.</w:t>
            </w:r>
          </w:p>
          <w:p w:rsidR="00A95CDF" w:rsidRPr="002A1C79" w:rsidRDefault="002A1C79" w:rsidP="002A1C79">
            <w:pPr>
              <w:spacing w:before="20" w:after="20"/>
              <w:jc w:val="left"/>
              <w:rPr>
                <w:rFonts w:eastAsia="Times New Roman" w:cs="Arial"/>
                <w:sz w:val="20"/>
                <w:szCs w:val="20"/>
              </w:rPr>
            </w:pPr>
            <w:r>
              <w:rPr>
                <w:rFonts w:cs="Arial"/>
                <w:sz w:val="20"/>
                <w:szCs w:val="20"/>
              </w:rPr>
              <w:t xml:space="preserve">- </w:t>
            </w:r>
            <w:r w:rsidR="00255175" w:rsidRPr="002A1C79">
              <w:rPr>
                <w:rFonts w:cs="Arial"/>
                <w:sz w:val="20"/>
                <w:szCs w:val="20"/>
              </w:rPr>
              <w:t xml:space="preserve">with </w:t>
            </w:r>
            <w:r w:rsidR="0051668E" w:rsidRPr="002A1C79">
              <w:rPr>
                <w:rFonts w:cs="Arial"/>
                <w:sz w:val="20"/>
                <w:szCs w:val="20"/>
              </w:rPr>
              <w:t xml:space="preserve">ranolazine </w:t>
            </w:r>
            <w:r w:rsidR="00255175" w:rsidRPr="002A1C79">
              <w:rPr>
                <w:rFonts w:cs="Arial"/>
                <w:sz w:val="20"/>
                <w:szCs w:val="20"/>
              </w:rPr>
              <w:t>500</w:t>
            </w:r>
            <w:r w:rsidR="00931760" w:rsidRPr="002A1C79">
              <w:rPr>
                <w:rFonts w:cs="Arial"/>
                <w:sz w:val="20"/>
                <w:szCs w:val="20"/>
              </w:rPr>
              <w:t xml:space="preserve"> </w:t>
            </w:r>
            <w:r w:rsidR="00255175" w:rsidRPr="002A1C79">
              <w:rPr>
                <w:rFonts w:cs="Arial"/>
                <w:sz w:val="20"/>
                <w:szCs w:val="20"/>
              </w:rPr>
              <w:t xml:space="preserve">mg twice daily, increased AUC of ranolazine by 62%.  </w:t>
            </w:r>
          </w:p>
        </w:tc>
        <w:tc>
          <w:tcPr>
            <w:tcW w:w="453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Ranolazine is partially metabolised by CYP2D6; therefore, inhibitors of this enzyme may increase plasma concentrations of ranolazine. No dose adjustment is required.</w:t>
            </w:r>
          </w:p>
        </w:tc>
      </w:tr>
      <w:tr w:rsidR="0079165D" w:rsidRPr="002A1C79" w:rsidTr="00971C68">
        <w:tc>
          <w:tcPr>
            <w:tcW w:w="9639" w:type="dxa"/>
            <w:gridSpan w:val="3"/>
            <w:shd w:val="clear" w:color="auto" w:fill="595959" w:themeFill="text1" w:themeFillTint="A6"/>
            <w:vAlign w:val="center"/>
          </w:tcPr>
          <w:p w:rsidR="0079165D" w:rsidRPr="002A1C79" w:rsidRDefault="0079165D" w:rsidP="002A1C79">
            <w:pPr>
              <w:spacing w:before="20" w:after="20"/>
              <w:jc w:val="left"/>
              <w:rPr>
                <w:rFonts w:eastAsia="Times New Roman" w:cs="Arial"/>
                <w:color w:val="FFFFFF" w:themeColor="background1"/>
                <w:sz w:val="20"/>
                <w:szCs w:val="20"/>
              </w:rPr>
            </w:pPr>
            <w:r w:rsidRPr="002A1C79">
              <w:rPr>
                <w:rFonts w:cs="Arial"/>
                <w:b/>
                <w:i/>
                <w:color w:val="FFFFFF" w:themeColor="background1"/>
                <w:sz w:val="20"/>
                <w:szCs w:val="20"/>
              </w:rPr>
              <w:t>Others</w:t>
            </w:r>
          </w:p>
        </w:tc>
      </w:tr>
      <w:tr w:rsidR="00255175" w:rsidRPr="002A1C79" w:rsidTr="00971C68">
        <w:trPr>
          <w:trHeight w:val="401"/>
        </w:trPr>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Dronedarone</w:t>
            </w:r>
          </w:p>
          <w:p w:rsidR="00A95CDF" w:rsidRPr="002A1C79" w:rsidRDefault="00A95CDF" w:rsidP="002A1C79">
            <w:pPr>
              <w:spacing w:before="20" w:after="20"/>
              <w:jc w:val="left"/>
              <w:rPr>
                <w:rFonts w:eastAsia="Times New Roman" w:cs="Arial"/>
                <w:sz w:val="20"/>
                <w:szCs w:val="20"/>
                <w:u w:val="single"/>
              </w:rPr>
            </w:pPr>
          </w:p>
        </w:tc>
        <w:tc>
          <w:tcPr>
            <w:tcW w:w="297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In patients with atrial fibrillation taking combination of ranolazine + dronedarone versus dronedarone alone, the C</w:t>
            </w:r>
            <w:r w:rsidRPr="002A1C79">
              <w:rPr>
                <w:rFonts w:cs="Arial"/>
                <w:sz w:val="20"/>
                <w:szCs w:val="20"/>
                <w:vertAlign w:val="subscript"/>
              </w:rPr>
              <w:t>max</w:t>
            </w:r>
            <w:r w:rsidRPr="002A1C79">
              <w:rPr>
                <w:rFonts w:cs="Arial"/>
                <w:sz w:val="20"/>
                <w:szCs w:val="20"/>
              </w:rPr>
              <w:t xml:space="preserve"> of dronedarone was similar in both, whereas the AUC</w:t>
            </w:r>
            <w:r w:rsidRPr="002A1C79">
              <w:rPr>
                <w:rFonts w:cs="Arial"/>
                <w:sz w:val="20"/>
                <w:szCs w:val="20"/>
                <w:vertAlign w:val="subscript"/>
              </w:rPr>
              <w:t xml:space="preserve">0-12 </w:t>
            </w:r>
            <w:r w:rsidRPr="002A1C79">
              <w:rPr>
                <w:rFonts w:cs="Arial"/>
                <w:sz w:val="20"/>
                <w:szCs w:val="20"/>
              </w:rPr>
              <w:t xml:space="preserve">was approximately 1.09-fold higher with the combination. </w:t>
            </w:r>
          </w:p>
        </w:tc>
        <w:tc>
          <w:tcPr>
            <w:tcW w:w="4536" w:type="dxa"/>
          </w:tcPr>
          <w:p w:rsidR="00A95CDF" w:rsidRPr="002A1C79" w:rsidRDefault="00A95CDF" w:rsidP="002A1C79">
            <w:pPr>
              <w:spacing w:before="20" w:after="20"/>
              <w:jc w:val="left"/>
              <w:rPr>
                <w:rFonts w:eastAsia="Times New Roman" w:cs="Arial"/>
                <w:sz w:val="20"/>
                <w:szCs w:val="20"/>
              </w:rPr>
            </w:pPr>
          </w:p>
        </w:tc>
      </w:tr>
      <w:tr w:rsidR="00255175" w:rsidRPr="002A1C79" w:rsidTr="00971C68">
        <w:trPr>
          <w:trHeight w:val="401"/>
        </w:trPr>
        <w:tc>
          <w:tcPr>
            <w:tcW w:w="2127"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Warfarin </w:t>
            </w:r>
          </w:p>
          <w:p w:rsidR="00A95CDF" w:rsidRPr="002A1C79" w:rsidRDefault="00A95CDF" w:rsidP="002A1C79">
            <w:pPr>
              <w:spacing w:before="20" w:after="20"/>
              <w:jc w:val="left"/>
              <w:rPr>
                <w:rFonts w:eastAsia="Times New Roman" w:cs="Arial"/>
                <w:sz w:val="20"/>
                <w:szCs w:val="20"/>
                <w:u w:val="single"/>
              </w:rPr>
            </w:pPr>
          </w:p>
        </w:tc>
        <w:tc>
          <w:tcPr>
            <w:tcW w:w="2976" w:type="dxa"/>
          </w:tcPr>
          <w:p w:rsidR="00A95CDF" w:rsidRPr="002A1C79" w:rsidRDefault="00255175" w:rsidP="002A1C79">
            <w:pPr>
              <w:spacing w:before="20" w:after="20"/>
              <w:jc w:val="left"/>
              <w:rPr>
                <w:rFonts w:cs="Arial"/>
                <w:sz w:val="20"/>
                <w:szCs w:val="20"/>
              </w:rPr>
            </w:pPr>
            <w:r w:rsidRPr="002A1C79">
              <w:rPr>
                <w:rFonts w:cs="Arial"/>
                <w:sz w:val="20"/>
                <w:szCs w:val="20"/>
              </w:rPr>
              <w:t>There was a statistically significant increase in the maximum prothrombin time (PT) and in the AUC for PT time when ranol</w:t>
            </w:r>
            <w:r w:rsidR="002A1C79">
              <w:rPr>
                <w:rFonts w:cs="Arial"/>
                <w:sz w:val="20"/>
                <w:szCs w:val="20"/>
              </w:rPr>
              <w:t>azine immediate release tablets</w:t>
            </w:r>
            <w:r w:rsidRPr="002A1C79">
              <w:rPr>
                <w:rFonts w:cs="Arial"/>
                <w:sz w:val="20"/>
                <w:szCs w:val="20"/>
              </w:rPr>
              <w:t xml:space="preserve">, </w:t>
            </w:r>
            <w:r w:rsidR="002A1C79">
              <w:rPr>
                <w:rFonts w:cs="Arial"/>
                <w:sz w:val="20"/>
                <w:szCs w:val="20"/>
              </w:rPr>
              <w:br/>
            </w:r>
            <w:r w:rsidRPr="002A1C79">
              <w:rPr>
                <w:rFonts w:cs="Arial"/>
                <w:sz w:val="20"/>
                <w:szCs w:val="20"/>
              </w:rPr>
              <w:t xml:space="preserve">400 mg three times daily was administered with 5 mg warfarin for 10 days. </w:t>
            </w:r>
          </w:p>
        </w:tc>
        <w:tc>
          <w:tcPr>
            <w:tcW w:w="4536"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Patients who are administered these drugs concurrently should have their prothrombin times closely monitored.</w:t>
            </w:r>
          </w:p>
        </w:tc>
      </w:tr>
    </w:tbl>
    <w:p w:rsidR="00222A9C" w:rsidRPr="002A1C79" w:rsidRDefault="00222A9C" w:rsidP="002A1C79">
      <w:pPr>
        <w:spacing w:before="20" w:after="20"/>
        <w:jc w:val="left"/>
        <w:rPr>
          <w:rFonts w:cs="Arial"/>
          <w:sz w:val="20"/>
        </w:rPr>
      </w:pPr>
    </w:p>
    <w:tbl>
      <w:tblPr>
        <w:tblStyle w:val="TableGrid"/>
        <w:tblW w:w="9639" w:type="dxa"/>
        <w:tblInd w:w="108" w:type="dxa"/>
        <w:tblLook w:val="04A0" w:firstRow="1" w:lastRow="0" w:firstColumn="1" w:lastColumn="0" w:noHBand="0" w:noVBand="1"/>
      </w:tblPr>
      <w:tblGrid>
        <w:gridCol w:w="1985"/>
        <w:gridCol w:w="3469"/>
        <w:gridCol w:w="4185"/>
      </w:tblGrid>
      <w:tr w:rsidR="00255175" w:rsidRPr="002A1C79" w:rsidTr="00625639">
        <w:trPr>
          <w:tblHeader/>
        </w:trPr>
        <w:tc>
          <w:tcPr>
            <w:tcW w:w="9639" w:type="dxa"/>
            <w:gridSpan w:val="3"/>
            <w:tcBorders>
              <w:top w:val="double" w:sz="4" w:space="0" w:color="auto"/>
              <w:left w:val="double" w:sz="4" w:space="0" w:color="auto"/>
              <w:bottom w:val="double" w:sz="4" w:space="0" w:color="auto"/>
              <w:right w:val="double" w:sz="4" w:space="0" w:color="auto"/>
            </w:tcBorders>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TABLE </w:t>
            </w:r>
            <w:r w:rsidR="00E67525" w:rsidRPr="002A1C79">
              <w:rPr>
                <w:rFonts w:cs="Arial"/>
                <w:b/>
                <w:sz w:val="20"/>
                <w:szCs w:val="20"/>
              </w:rPr>
              <w:t>4</w:t>
            </w:r>
          </w:p>
        </w:tc>
      </w:tr>
      <w:tr w:rsidR="00255175" w:rsidRPr="002A1C79" w:rsidTr="00625639">
        <w:trPr>
          <w:tblHeader/>
        </w:trPr>
        <w:tc>
          <w:tcPr>
            <w:tcW w:w="9639" w:type="dxa"/>
            <w:gridSpan w:val="3"/>
            <w:tcBorders>
              <w:top w:val="double" w:sz="4" w:space="0" w:color="auto"/>
              <w:left w:val="double" w:sz="4" w:space="0" w:color="auto"/>
              <w:bottom w:val="double" w:sz="4" w:space="0" w:color="auto"/>
              <w:right w:val="double" w:sz="4" w:space="0" w:color="auto"/>
            </w:tcBorders>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EFFECTS OF </w:t>
            </w:r>
            <w:r w:rsidR="00C40AA3" w:rsidRPr="002A1C79">
              <w:rPr>
                <w:rFonts w:cs="Arial"/>
                <w:b/>
                <w:sz w:val="20"/>
                <w:szCs w:val="20"/>
              </w:rPr>
              <w:t>RANEXA</w:t>
            </w:r>
            <w:r w:rsidRPr="002A1C79">
              <w:rPr>
                <w:rFonts w:cs="Arial"/>
                <w:b/>
                <w:sz w:val="20"/>
                <w:szCs w:val="20"/>
              </w:rPr>
              <w:t xml:space="preserve"> ON OTHER MEDICINES</w:t>
            </w:r>
          </w:p>
        </w:tc>
      </w:tr>
      <w:tr w:rsidR="00255175" w:rsidRPr="002A1C79" w:rsidTr="00625639">
        <w:trPr>
          <w:tblHeader/>
        </w:trPr>
        <w:tc>
          <w:tcPr>
            <w:tcW w:w="1985" w:type="dxa"/>
            <w:tcBorders>
              <w:top w:val="double" w:sz="4" w:space="0" w:color="auto"/>
              <w:left w:val="double" w:sz="4" w:space="0" w:color="auto"/>
              <w:bottom w:val="double" w:sz="4" w:space="0" w:color="auto"/>
              <w:right w:val="double" w:sz="4" w:space="0" w:color="auto"/>
            </w:tcBorders>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Concomitant </w:t>
            </w:r>
            <w:r w:rsidR="00CC546F" w:rsidRPr="002A1C79">
              <w:rPr>
                <w:rFonts w:cs="Arial"/>
                <w:b/>
                <w:sz w:val="20"/>
                <w:szCs w:val="20"/>
              </w:rPr>
              <w:t>medicines</w:t>
            </w:r>
          </w:p>
        </w:tc>
        <w:tc>
          <w:tcPr>
            <w:tcW w:w="3469" w:type="dxa"/>
            <w:tcBorders>
              <w:top w:val="double" w:sz="4" w:space="0" w:color="auto"/>
              <w:left w:val="double" w:sz="4" w:space="0" w:color="auto"/>
              <w:bottom w:val="double" w:sz="4" w:space="0" w:color="auto"/>
              <w:right w:val="double" w:sz="4" w:space="0" w:color="auto"/>
            </w:tcBorders>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Potential PK effects </w:t>
            </w:r>
          </w:p>
        </w:tc>
        <w:tc>
          <w:tcPr>
            <w:tcW w:w="4185" w:type="dxa"/>
            <w:tcBorders>
              <w:top w:val="double" w:sz="4" w:space="0" w:color="auto"/>
              <w:left w:val="double" w:sz="4" w:space="0" w:color="auto"/>
              <w:bottom w:val="double" w:sz="4" w:space="0" w:color="auto"/>
              <w:right w:val="double" w:sz="4" w:space="0" w:color="auto"/>
            </w:tcBorders>
          </w:tcPr>
          <w:p w:rsidR="00A95CDF" w:rsidRPr="002A1C79" w:rsidRDefault="00255175" w:rsidP="002A1C79">
            <w:pPr>
              <w:spacing w:before="20" w:after="20"/>
              <w:jc w:val="left"/>
              <w:rPr>
                <w:rFonts w:eastAsia="Times New Roman" w:cs="Arial"/>
                <w:b/>
                <w:sz w:val="20"/>
                <w:szCs w:val="20"/>
              </w:rPr>
            </w:pPr>
            <w:r w:rsidRPr="002A1C79">
              <w:rPr>
                <w:rFonts w:cs="Arial"/>
                <w:b/>
                <w:sz w:val="20"/>
                <w:szCs w:val="20"/>
              </w:rPr>
              <w:t xml:space="preserve">Additional information </w:t>
            </w:r>
          </w:p>
        </w:tc>
      </w:tr>
      <w:tr w:rsidR="00C0461C" w:rsidRPr="002A1C79" w:rsidTr="00625639">
        <w:tc>
          <w:tcPr>
            <w:tcW w:w="9639" w:type="dxa"/>
            <w:gridSpan w:val="3"/>
            <w:tcBorders>
              <w:top w:val="double" w:sz="4" w:space="0" w:color="auto"/>
            </w:tcBorders>
            <w:shd w:val="clear" w:color="auto" w:fill="595959" w:themeFill="text1" w:themeFillTint="A6"/>
            <w:vAlign w:val="center"/>
          </w:tcPr>
          <w:p w:rsidR="00C0461C" w:rsidRPr="002A1C79" w:rsidRDefault="00C0461C" w:rsidP="002A1C79">
            <w:pPr>
              <w:spacing w:before="20" w:after="20"/>
              <w:jc w:val="left"/>
              <w:rPr>
                <w:rFonts w:eastAsia="Times New Roman" w:cs="Arial"/>
                <w:b/>
                <w:i/>
                <w:color w:val="FFFFFF" w:themeColor="background1"/>
                <w:sz w:val="20"/>
                <w:szCs w:val="20"/>
              </w:rPr>
            </w:pPr>
            <w:r w:rsidRPr="002A1C79">
              <w:rPr>
                <w:rFonts w:cs="Arial"/>
                <w:b/>
                <w:color w:val="FFFFFF" w:themeColor="background1"/>
                <w:sz w:val="20"/>
                <w:szCs w:val="20"/>
              </w:rPr>
              <w:t>Drugs metabolised by CYP3A4 or P-gp</w:t>
            </w:r>
          </w:p>
        </w:tc>
      </w:tr>
      <w:tr w:rsidR="00255175" w:rsidRPr="002A1C79" w:rsidTr="00625639">
        <w:trPr>
          <w:trHeight w:val="1465"/>
        </w:trPr>
        <w:tc>
          <w:tcPr>
            <w:tcW w:w="1985"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Simvastatin</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Lovastatin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[sensitive </w:t>
            </w:r>
            <w:r w:rsidRPr="002A1C79">
              <w:rPr>
                <w:rFonts w:cs="Arial"/>
                <w:iCs/>
                <w:sz w:val="20"/>
                <w:szCs w:val="20"/>
              </w:rPr>
              <w:t>CYP3A4  s</w:t>
            </w:r>
            <w:r w:rsidRPr="002A1C79">
              <w:rPr>
                <w:rFonts w:cs="Arial"/>
                <w:sz w:val="20"/>
                <w:szCs w:val="20"/>
              </w:rPr>
              <w:t>ubstrates]</w:t>
            </w:r>
          </w:p>
          <w:p w:rsidR="00A95CDF" w:rsidRPr="002A1C79" w:rsidRDefault="00A95CDF" w:rsidP="002A1C79">
            <w:pPr>
              <w:spacing w:before="20" w:after="20"/>
              <w:jc w:val="left"/>
              <w:rPr>
                <w:rFonts w:eastAsia="Times New Roman" w:cs="Arial"/>
                <w:sz w:val="20"/>
                <w:szCs w:val="20"/>
              </w:rPr>
            </w:pPr>
          </w:p>
        </w:tc>
        <w:tc>
          <w:tcPr>
            <w:tcW w:w="3469"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Increased plasma concentrations of CYP3A4 substrates</w:t>
            </w:r>
          </w:p>
          <w:p w:rsidR="00A95CDF" w:rsidRPr="002A1C79" w:rsidRDefault="00A95CDF" w:rsidP="002A1C79">
            <w:pPr>
              <w:spacing w:before="20" w:after="20"/>
              <w:jc w:val="left"/>
              <w:rPr>
                <w:rFonts w:eastAsia="Times New Roman" w:cs="Arial"/>
                <w:sz w:val="20"/>
                <w:szCs w:val="20"/>
              </w:rPr>
            </w:pPr>
          </w:p>
          <w:p w:rsidR="00A95CDF" w:rsidRPr="002A1C79" w:rsidRDefault="00A95CDF" w:rsidP="002A1C79">
            <w:pPr>
              <w:spacing w:before="20" w:after="20"/>
              <w:jc w:val="left"/>
              <w:rPr>
                <w:rFonts w:eastAsia="Times New Roman" w:cs="Arial"/>
                <w:i/>
                <w:sz w:val="20"/>
                <w:szCs w:val="20"/>
              </w:rPr>
            </w:pPr>
          </w:p>
        </w:tc>
        <w:tc>
          <w:tcPr>
            <w:tcW w:w="4185" w:type="dxa"/>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Ranolazine is a moderate to potent inhibitor of P-gp and a mild inhibitor of CYP3A4, and may increase plasma concentrations of P-gp or CYP3A4 substrates. Tissue distribution of drugs which are transported by P-gp may be increased.  </w:t>
            </w:r>
          </w:p>
          <w:p w:rsidR="00A95CDF" w:rsidRPr="002A1C79" w:rsidRDefault="00255175" w:rsidP="002A1C79">
            <w:pPr>
              <w:autoSpaceDE w:val="0"/>
              <w:autoSpaceDN w:val="0"/>
              <w:adjustRightInd w:val="0"/>
              <w:spacing w:before="20" w:after="20"/>
              <w:jc w:val="left"/>
              <w:rPr>
                <w:rFonts w:eastAsia="Times New Roman" w:cs="Arial"/>
                <w:iCs/>
                <w:sz w:val="20"/>
                <w:szCs w:val="20"/>
              </w:rPr>
            </w:pPr>
            <w:r w:rsidRPr="002A1C79">
              <w:rPr>
                <w:rFonts w:cs="Arial"/>
                <w:iCs/>
                <w:sz w:val="20"/>
                <w:szCs w:val="20"/>
              </w:rPr>
              <w:t>Dose adjustment of sensitive CYP3A4 substrates may be required.</w:t>
            </w: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Simvastatin </w:t>
            </w:r>
          </w:p>
        </w:tc>
        <w:tc>
          <w:tcPr>
            <w:tcW w:w="3469" w:type="dxa"/>
            <w:shd w:val="clear" w:color="auto" w:fill="auto"/>
          </w:tcPr>
          <w:p w:rsidR="00A95CDF" w:rsidRPr="002A1C79" w:rsidRDefault="00B9164C" w:rsidP="002A1C79">
            <w:pPr>
              <w:spacing w:before="20" w:after="20"/>
              <w:jc w:val="left"/>
              <w:rPr>
                <w:rFonts w:eastAsia="Times New Roman" w:cs="Arial"/>
                <w:sz w:val="20"/>
                <w:szCs w:val="20"/>
              </w:rPr>
            </w:pPr>
            <w:r w:rsidRPr="002A1C79">
              <w:rPr>
                <w:rFonts w:cs="Arial"/>
                <w:sz w:val="20"/>
                <w:szCs w:val="20"/>
              </w:rPr>
              <w:t xml:space="preserve">Ranolazine </w:t>
            </w:r>
            <w:r w:rsidR="00255175" w:rsidRPr="002A1C79">
              <w:rPr>
                <w:rFonts w:cs="Arial"/>
                <w:sz w:val="20"/>
                <w:szCs w:val="20"/>
              </w:rPr>
              <w:t xml:space="preserve">1000 mg twice daily increased plasma concentrations of </w:t>
            </w:r>
            <w:r w:rsidR="005A0821" w:rsidRPr="002A1C79">
              <w:rPr>
                <w:rFonts w:cs="Arial"/>
                <w:sz w:val="20"/>
                <w:szCs w:val="20"/>
              </w:rPr>
              <w:t xml:space="preserve">simvastatin and its active metabolite </w:t>
            </w:r>
            <w:r w:rsidR="00255175" w:rsidRPr="002A1C79">
              <w:rPr>
                <w:rFonts w:cs="Arial"/>
                <w:sz w:val="20"/>
                <w:szCs w:val="20"/>
              </w:rPr>
              <w:t>by about 2-fold.</w:t>
            </w:r>
          </w:p>
          <w:p w:rsidR="00A95CDF" w:rsidRPr="002A1C79" w:rsidRDefault="00A95CDF" w:rsidP="002A1C79">
            <w:pPr>
              <w:spacing w:before="20" w:after="20"/>
              <w:jc w:val="left"/>
              <w:rPr>
                <w:rFonts w:eastAsia="Times New Roman" w:cs="Arial"/>
                <w:i/>
                <w:sz w:val="20"/>
                <w:szCs w:val="20"/>
              </w:rPr>
            </w:pPr>
          </w:p>
        </w:tc>
        <w:tc>
          <w:tcPr>
            <w:tcW w:w="41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Simvastatin metabolism and clearance are highly dependent on CYP3A4.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Rhabdomyolysis has been associated with high doses of simvastatin and cases of rhabdomyolysis have been observed in patients receiving </w:t>
            </w:r>
            <w:r w:rsidR="00692E8D" w:rsidRPr="002A1C79">
              <w:rPr>
                <w:rFonts w:cs="Arial"/>
                <w:sz w:val="20"/>
                <w:szCs w:val="20"/>
              </w:rPr>
              <w:t>RANEXA</w:t>
            </w:r>
            <w:r w:rsidRPr="002A1C79">
              <w:rPr>
                <w:rFonts w:cs="Arial"/>
                <w:sz w:val="20"/>
                <w:szCs w:val="20"/>
              </w:rPr>
              <w:t xml:space="preserve"> and simvastatin, in post</w:t>
            </w:r>
            <w:r w:rsidR="002168BD" w:rsidRPr="002A1C79">
              <w:rPr>
                <w:rFonts w:cs="Arial"/>
                <w:sz w:val="20"/>
                <w:szCs w:val="20"/>
              </w:rPr>
              <w:t>-</w:t>
            </w:r>
            <w:r w:rsidRPr="002A1C79">
              <w:rPr>
                <w:rFonts w:cs="Arial"/>
                <w:sz w:val="20"/>
                <w:szCs w:val="20"/>
              </w:rPr>
              <w:t xml:space="preserve">marketing experience.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Limit the dose of simvastatin to 20 mg once daily in patients taking any dose of </w:t>
            </w:r>
            <w:r w:rsidR="00692E8D" w:rsidRPr="002A1C79">
              <w:rPr>
                <w:rFonts w:cs="Arial"/>
                <w:sz w:val="20"/>
                <w:szCs w:val="20"/>
              </w:rPr>
              <w:t>RANEXA</w:t>
            </w:r>
            <w:r w:rsidRPr="002A1C79">
              <w:rPr>
                <w:rFonts w:cs="Arial"/>
                <w:sz w:val="20"/>
                <w:szCs w:val="20"/>
              </w:rPr>
              <w:t xml:space="preserve">. </w:t>
            </w: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Atorvastatin</w:t>
            </w:r>
          </w:p>
        </w:tc>
        <w:tc>
          <w:tcPr>
            <w:tcW w:w="3469" w:type="dxa"/>
            <w:shd w:val="clear" w:color="auto" w:fill="auto"/>
          </w:tcPr>
          <w:p w:rsidR="00A95CDF" w:rsidRPr="002A1C79" w:rsidRDefault="00B9164C" w:rsidP="002A1C79">
            <w:pPr>
              <w:spacing w:before="20" w:after="20"/>
              <w:jc w:val="left"/>
              <w:rPr>
                <w:rFonts w:eastAsia="Times New Roman" w:cs="Arial"/>
                <w:i/>
                <w:sz w:val="20"/>
                <w:szCs w:val="20"/>
              </w:rPr>
            </w:pPr>
            <w:r w:rsidRPr="002A1C79">
              <w:rPr>
                <w:rFonts w:cs="Arial"/>
                <w:sz w:val="20"/>
                <w:szCs w:val="20"/>
              </w:rPr>
              <w:t xml:space="preserve">Ranolazine </w:t>
            </w:r>
            <w:r w:rsidR="00A1403B" w:rsidRPr="002A1C79">
              <w:rPr>
                <w:rFonts w:cs="Arial"/>
                <w:sz w:val="20"/>
                <w:szCs w:val="20"/>
              </w:rPr>
              <w:t>1000</w:t>
            </w:r>
            <w:r w:rsidR="00DD3E0D" w:rsidRPr="002A1C79">
              <w:rPr>
                <w:rFonts w:cs="Arial"/>
                <w:sz w:val="20"/>
                <w:szCs w:val="20"/>
              </w:rPr>
              <w:t xml:space="preserve"> </w:t>
            </w:r>
            <w:r w:rsidR="00255175" w:rsidRPr="002A1C79">
              <w:rPr>
                <w:rFonts w:cs="Arial"/>
                <w:sz w:val="20"/>
                <w:szCs w:val="20"/>
              </w:rPr>
              <w:t>mg twice daily increased C</w:t>
            </w:r>
            <w:r w:rsidR="00255175" w:rsidRPr="002A1C79">
              <w:rPr>
                <w:rFonts w:cs="Arial"/>
                <w:sz w:val="20"/>
                <w:szCs w:val="20"/>
                <w:vertAlign w:val="subscript"/>
              </w:rPr>
              <w:t xml:space="preserve">max </w:t>
            </w:r>
            <w:r w:rsidR="00A1403B" w:rsidRPr="002A1C79">
              <w:rPr>
                <w:rFonts w:cs="Arial"/>
                <w:sz w:val="20"/>
                <w:szCs w:val="20"/>
              </w:rPr>
              <w:t>and AUC of atorvastatin 80</w:t>
            </w:r>
            <w:r w:rsidR="00255175" w:rsidRPr="002A1C79">
              <w:rPr>
                <w:rFonts w:cs="Arial"/>
                <w:sz w:val="20"/>
                <w:szCs w:val="20"/>
              </w:rPr>
              <w:t>mg once daily by 1.4 and 1.3 -fold, respectively, and changed the C</w:t>
            </w:r>
            <w:r w:rsidR="00255175" w:rsidRPr="002A1C79">
              <w:rPr>
                <w:rFonts w:cs="Arial"/>
                <w:sz w:val="20"/>
                <w:szCs w:val="20"/>
                <w:vertAlign w:val="subscript"/>
              </w:rPr>
              <w:t xml:space="preserve">max </w:t>
            </w:r>
            <w:r w:rsidR="00255175" w:rsidRPr="002A1C79">
              <w:rPr>
                <w:rFonts w:cs="Arial"/>
                <w:sz w:val="20"/>
                <w:szCs w:val="20"/>
              </w:rPr>
              <w:t>and AUC of atorvastatin metabolites less than 35%.</w:t>
            </w:r>
          </w:p>
        </w:tc>
        <w:tc>
          <w:tcPr>
            <w:tcW w:w="4185" w:type="dxa"/>
            <w:shd w:val="clear" w:color="auto" w:fill="auto"/>
          </w:tcPr>
          <w:p w:rsidR="00A95CDF" w:rsidRPr="002A1C79" w:rsidRDefault="00255175" w:rsidP="002A1C79">
            <w:pPr>
              <w:spacing w:before="20" w:after="20"/>
              <w:jc w:val="left"/>
              <w:rPr>
                <w:rFonts w:eastAsia="SimSun" w:cs="Arial"/>
                <w:bCs/>
                <w:sz w:val="20"/>
                <w:szCs w:val="20"/>
                <w:lang w:eastAsia="zh-CN"/>
              </w:rPr>
            </w:pPr>
            <w:r w:rsidRPr="002A1C79">
              <w:rPr>
                <w:rFonts w:cs="Arial"/>
                <w:iCs/>
                <w:sz w:val="20"/>
                <w:szCs w:val="20"/>
              </w:rPr>
              <w:t xml:space="preserve">Dose limitation of atorvastatin and appropriate clinical monitoring may be considered when taking </w:t>
            </w:r>
            <w:r w:rsidR="00692E8D" w:rsidRPr="002A1C79">
              <w:rPr>
                <w:rFonts w:cs="Arial"/>
                <w:iCs/>
                <w:sz w:val="20"/>
                <w:szCs w:val="20"/>
              </w:rPr>
              <w:t>RANEXA</w:t>
            </w:r>
            <w:r w:rsidRPr="002A1C79">
              <w:rPr>
                <w:rFonts w:cs="Arial"/>
                <w:iCs/>
                <w:sz w:val="20"/>
                <w:szCs w:val="20"/>
              </w:rPr>
              <w:t>.</w:t>
            </w:r>
          </w:p>
          <w:p w:rsidR="00A95CDF" w:rsidRPr="002A1C79" w:rsidRDefault="00A95CDF" w:rsidP="002A1C79">
            <w:pPr>
              <w:spacing w:before="20" w:after="20"/>
              <w:jc w:val="left"/>
              <w:rPr>
                <w:rFonts w:eastAsia="Times New Roman" w:cs="Arial"/>
                <w:i/>
                <w:sz w:val="20"/>
                <w:szCs w:val="20"/>
              </w:rPr>
            </w:pP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lastRenderedPageBreak/>
              <w:t>Cyclosporin</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Tacrolimus</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Sirolimus</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Everolimus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w:t>
            </w:r>
            <w:r w:rsidRPr="002A1C79">
              <w:rPr>
                <w:rFonts w:cs="Arial"/>
                <w:iCs/>
                <w:sz w:val="20"/>
                <w:szCs w:val="20"/>
              </w:rPr>
              <w:t xml:space="preserve">CYP3A4  </w:t>
            </w:r>
            <w:r w:rsidRPr="002A1C79">
              <w:rPr>
                <w:rFonts w:cs="Arial"/>
                <w:sz w:val="20"/>
                <w:szCs w:val="20"/>
              </w:rPr>
              <w:t xml:space="preserve">substrates with a narrow therapeutic range] </w:t>
            </w:r>
          </w:p>
        </w:tc>
        <w:tc>
          <w:tcPr>
            <w:tcW w:w="3469"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Increased plasma concentrations of CYP3A4 substrates</w:t>
            </w:r>
          </w:p>
          <w:p w:rsidR="00A95CDF" w:rsidRPr="002A1C79" w:rsidRDefault="00255175" w:rsidP="002A1C79">
            <w:pPr>
              <w:spacing w:before="20" w:after="20"/>
              <w:jc w:val="left"/>
              <w:rPr>
                <w:rFonts w:eastAsia="Times New Roman" w:cs="Arial"/>
                <w:i/>
                <w:sz w:val="20"/>
                <w:szCs w:val="20"/>
              </w:rPr>
            </w:pPr>
            <w:r w:rsidRPr="002A1C79">
              <w:rPr>
                <w:rFonts w:cs="Arial"/>
                <w:i/>
                <w:sz w:val="20"/>
                <w:szCs w:val="20"/>
              </w:rPr>
              <w:t xml:space="preserve"> </w:t>
            </w:r>
          </w:p>
          <w:p w:rsidR="00A95CDF" w:rsidRPr="002A1C79" w:rsidRDefault="00A95CDF" w:rsidP="002A1C79">
            <w:pPr>
              <w:spacing w:before="20" w:after="20"/>
              <w:jc w:val="left"/>
              <w:rPr>
                <w:rFonts w:eastAsia="Times New Roman" w:cs="Arial"/>
                <w:i/>
                <w:sz w:val="20"/>
                <w:szCs w:val="20"/>
              </w:rPr>
            </w:pPr>
          </w:p>
          <w:p w:rsidR="00A95CDF" w:rsidRPr="002A1C79" w:rsidRDefault="00A95CDF" w:rsidP="002A1C79">
            <w:pPr>
              <w:spacing w:before="20" w:after="20"/>
              <w:jc w:val="left"/>
              <w:rPr>
                <w:rFonts w:eastAsia="Times New Roman" w:cs="Arial"/>
                <w:i/>
                <w:sz w:val="20"/>
                <w:szCs w:val="20"/>
              </w:rPr>
            </w:pPr>
          </w:p>
          <w:p w:rsidR="00A95CDF" w:rsidRPr="002A1C79" w:rsidRDefault="00A95CDF" w:rsidP="002A1C79">
            <w:pPr>
              <w:spacing w:before="20" w:after="20"/>
              <w:jc w:val="left"/>
              <w:rPr>
                <w:rFonts w:eastAsia="Times New Roman" w:cs="Arial"/>
                <w:i/>
                <w:sz w:val="20"/>
                <w:szCs w:val="20"/>
              </w:rPr>
            </w:pPr>
          </w:p>
          <w:p w:rsidR="00A95CDF" w:rsidRPr="002A1C79" w:rsidRDefault="00A95CDF" w:rsidP="002A1C79">
            <w:pPr>
              <w:spacing w:before="20" w:after="20"/>
              <w:jc w:val="left"/>
              <w:rPr>
                <w:rFonts w:eastAsia="Times New Roman" w:cs="Arial"/>
                <w:i/>
                <w:sz w:val="20"/>
                <w:szCs w:val="20"/>
              </w:rPr>
            </w:pPr>
          </w:p>
        </w:tc>
        <w:tc>
          <w:tcPr>
            <w:tcW w:w="4185" w:type="dxa"/>
            <w:shd w:val="clear" w:color="auto" w:fill="auto"/>
          </w:tcPr>
          <w:p w:rsidR="00A95CDF" w:rsidRPr="002A1C79" w:rsidRDefault="00255175" w:rsidP="002A1C79">
            <w:pPr>
              <w:spacing w:before="20" w:after="20"/>
              <w:jc w:val="left"/>
              <w:rPr>
                <w:rFonts w:eastAsia="Times New Roman" w:cs="Arial"/>
                <w:iCs/>
                <w:sz w:val="20"/>
                <w:szCs w:val="20"/>
              </w:rPr>
            </w:pPr>
            <w:r w:rsidRPr="002A1C79">
              <w:rPr>
                <w:rFonts w:cs="Arial"/>
                <w:iCs/>
                <w:sz w:val="20"/>
                <w:szCs w:val="20"/>
              </w:rPr>
              <w:t xml:space="preserve">It is recommended that drug blood levels are monitored when co-administering </w:t>
            </w:r>
            <w:r w:rsidR="00692E8D" w:rsidRPr="002A1C79">
              <w:rPr>
                <w:rFonts w:cs="Arial"/>
                <w:iCs/>
                <w:sz w:val="20"/>
                <w:szCs w:val="20"/>
              </w:rPr>
              <w:t>RANEXA</w:t>
            </w:r>
            <w:r w:rsidRPr="002A1C79">
              <w:rPr>
                <w:rFonts w:cs="Arial"/>
                <w:iCs/>
                <w:sz w:val="20"/>
                <w:szCs w:val="20"/>
              </w:rPr>
              <w:t xml:space="preserve"> with </w:t>
            </w:r>
            <w:r w:rsidRPr="002A1C79">
              <w:rPr>
                <w:rFonts w:cs="Arial"/>
                <w:sz w:val="20"/>
                <w:szCs w:val="20"/>
              </w:rPr>
              <w:t xml:space="preserve">CYP3A4 substrates </w:t>
            </w:r>
            <w:r w:rsidRPr="002A1C79">
              <w:rPr>
                <w:rFonts w:cs="Arial"/>
                <w:iCs/>
                <w:sz w:val="20"/>
                <w:szCs w:val="20"/>
              </w:rPr>
              <w:t xml:space="preserve">and that the dosage is adjusted accordingly. </w:t>
            </w:r>
          </w:p>
          <w:p w:rsidR="00A95CDF" w:rsidRPr="002A1C79" w:rsidRDefault="00A95CDF" w:rsidP="002A1C79">
            <w:pPr>
              <w:spacing w:before="20" w:after="20"/>
              <w:jc w:val="left"/>
              <w:rPr>
                <w:rFonts w:eastAsia="Times New Roman" w:cs="Arial"/>
                <w:sz w:val="20"/>
                <w:szCs w:val="20"/>
              </w:rPr>
            </w:pP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iCs/>
                <w:sz w:val="20"/>
                <w:szCs w:val="20"/>
              </w:rPr>
            </w:pPr>
            <w:r w:rsidRPr="002A1C79">
              <w:rPr>
                <w:rFonts w:cs="Arial"/>
                <w:iCs/>
                <w:sz w:val="20"/>
                <w:szCs w:val="20"/>
              </w:rPr>
              <w:t>Tacrolimus</w:t>
            </w:r>
          </w:p>
          <w:p w:rsidR="00A95CDF" w:rsidRPr="002A1C79" w:rsidRDefault="00255175" w:rsidP="002A1C79">
            <w:pPr>
              <w:spacing w:before="20" w:after="20"/>
              <w:jc w:val="left"/>
              <w:rPr>
                <w:rFonts w:eastAsia="Times New Roman" w:cs="Arial"/>
                <w:i/>
                <w:sz w:val="20"/>
                <w:szCs w:val="20"/>
              </w:rPr>
            </w:pPr>
            <w:r w:rsidRPr="002A1C79">
              <w:rPr>
                <w:rFonts w:cs="Arial"/>
                <w:iCs/>
                <w:sz w:val="20"/>
                <w:szCs w:val="20"/>
              </w:rPr>
              <w:t xml:space="preserve"> </w:t>
            </w:r>
          </w:p>
        </w:tc>
        <w:tc>
          <w:tcPr>
            <w:tcW w:w="3469"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Cs/>
                <w:sz w:val="20"/>
                <w:szCs w:val="20"/>
              </w:rPr>
              <w:t>Increased plasma concentrations of tacrolimus</w:t>
            </w:r>
          </w:p>
        </w:tc>
        <w:tc>
          <w:tcPr>
            <w:tcW w:w="4185"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Cs/>
                <w:sz w:val="20"/>
                <w:szCs w:val="20"/>
              </w:rPr>
              <w:t xml:space="preserve">It is recommended that tacrolimus blood levels are monitored when co-administering </w:t>
            </w:r>
            <w:r w:rsidR="00692E8D" w:rsidRPr="002A1C79">
              <w:rPr>
                <w:rFonts w:cs="Arial"/>
                <w:iCs/>
                <w:sz w:val="20"/>
                <w:szCs w:val="20"/>
              </w:rPr>
              <w:t>RANEXA</w:t>
            </w:r>
            <w:r w:rsidRPr="002A1C79">
              <w:rPr>
                <w:rFonts w:cs="Arial"/>
                <w:iCs/>
                <w:sz w:val="20"/>
                <w:szCs w:val="20"/>
              </w:rPr>
              <w:t xml:space="preserve"> with tacrolimus and that tacrolimus dosage is adjusted accordingly. </w:t>
            </w:r>
          </w:p>
        </w:tc>
      </w:tr>
      <w:tr w:rsidR="00C0461C" w:rsidRPr="002A1C79" w:rsidTr="00625639">
        <w:tc>
          <w:tcPr>
            <w:tcW w:w="9639" w:type="dxa"/>
            <w:gridSpan w:val="3"/>
            <w:tcBorders>
              <w:top w:val="double" w:sz="4" w:space="0" w:color="auto"/>
            </w:tcBorders>
            <w:shd w:val="clear" w:color="auto" w:fill="595959" w:themeFill="text1" w:themeFillTint="A6"/>
            <w:vAlign w:val="center"/>
          </w:tcPr>
          <w:p w:rsidR="00C0461C" w:rsidRPr="002A1C79" w:rsidRDefault="00C0461C" w:rsidP="002A1C79">
            <w:pPr>
              <w:spacing w:before="20" w:after="20"/>
              <w:jc w:val="left"/>
              <w:rPr>
                <w:rFonts w:eastAsia="Times New Roman" w:cs="Arial"/>
                <w:b/>
                <w:i/>
                <w:color w:val="FFFFFF" w:themeColor="background1"/>
                <w:sz w:val="20"/>
                <w:szCs w:val="20"/>
              </w:rPr>
            </w:pPr>
            <w:r w:rsidRPr="002A1C79">
              <w:rPr>
                <w:rFonts w:cs="Arial"/>
                <w:b/>
                <w:color w:val="FFFFFF" w:themeColor="background1"/>
                <w:sz w:val="20"/>
                <w:szCs w:val="20"/>
              </w:rPr>
              <w:t>Drugs metabolised by CYP2D6</w:t>
            </w: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Metoprolol </w:t>
            </w:r>
          </w:p>
          <w:p w:rsidR="00A95CDF" w:rsidRPr="002A1C79" w:rsidRDefault="00A95CDF" w:rsidP="002A1C79">
            <w:pPr>
              <w:spacing w:before="20" w:after="20"/>
              <w:jc w:val="left"/>
              <w:rPr>
                <w:rFonts w:eastAsia="Times New Roman" w:cs="Arial"/>
                <w:i/>
                <w:sz w:val="20"/>
                <w:szCs w:val="20"/>
              </w:rPr>
            </w:pPr>
          </w:p>
        </w:tc>
        <w:tc>
          <w:tcPr>
            <w:tcW w:w="3469" w:type="dxa"/>
            <w:shd w:val="clear" w:color="auto" w:fill="auto"/>
          </w:tcPr>
          <w:p w:rsidR="00A95CDF" w:rsidRPr="002A1C79" w:rsidRDefault="00B9164C" w:rsidP="002A1C79">
            <w:pPr>
              <w:spacing w:before="20" w:after="20"/>
              <w:jc w:val="left"/>
              <w:rPr>
                <w:rFonts w:eastAsia="Times New Roman" w:cs="Arial"/>
                <w:sz w:val="20"/>
                <w:szCs w:val="20"/>
              </w:rPr>
            </w:pPr>
            <w:r w:rsidRPr="002A1C79">
              <w:rPr>
                <w:rFonts w:cs="Arial"/>
                <w:sz w:val="20"/>
                <w:szCs w:val="20"/>
              </w:rPr>
              <w:t xml:space="preserve">Ranolazine </w:t>
            </w:r>
            <w:r w:rsidR="00255175" w:rsidRPr="002A1C79">
              <w:rPr>
                <w:rFonts w:cs="Arial"/>
                <w:sz w:val="20"/>
                <w:szCs w:val="20"/>
              </w:rPr>
              <w:t xml:space="preserve">750 mg twice daily increased plasma concentrations of metoprolol by 1.8-fold. </w:t>
            </w:r>
          </w:p>
          <w:p w:rsidR="00A95CDF" w:rsidRPr="002A1C79" w:rsidRDefault="00A95CDF" w:rsidP="002A1C79">
            <w:pPr>
              <w:spacing w:before="20" w:after="20"/>
              <w:jc w:val="left"/>
              <w:rPr>
                <w:rFonts w:eastAsia="Times New Roman" w:cs="Arial"/>
                <w:i/>
                <w:sz w:val="20"/>
                <w:szCs w:val="20"/>
              </w:rPr>
            </w:pPr>
          </w:p>
        </w:tc>
        <w:tc>
          <w:tcPr>
            <w:tcW w:w="4185" w:type="dxa"/>
            <w:vMerge w:val="restart"/>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Available data suggest that ranolazine is a mild inhibitor of CYP2D6.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Therefore the exposure to metoprolol or other CYP2D6 substrates may be increased during co</w:t>
            </w:r>
            <w:r w:rsidRPr="002A1C79">
              <w:rPr>
                <w:rFonts w:cs="Arial"/>
                <w:sz w:val="20"/>
                <w:szCs w:val="20"/>
              </w:rPr>
              <w:noBreakHyphen/>
              <w:t xml:space="preserve">administration with </w:t>
            </w:r>
            <w:r w:rsidR="00692E8D" w:rsidRPr="002A1C79">
              <w:rPr>
                <w:rFonts w:cs="Arial"/>
                <w:sz w:val="20"/>
                <w:szCs w:val="20"/>
              </w:rPr>
              <w:t>RANEXA</w:t>
            </w:r>
            <w:r w:rsidRPr="002A1C79">
              <w:rPr>
                <w:rFonts w:cs="Arial"/>
                <w:sz w:val="20"/>
                <w:szCs w:val="20"/>
              </w:rPr>
              <w:t>, and lower doses of these medicinal products may be required.</w:t>
            </w:r>
          </w:p>
          <w:p w:rsidR="00A95CDF" w:rsidRPr="002A1C79" w:rsidRDefault="00A95CDF" w:rsidP="002A1C79">
            <w:pPr>
              <w:spacing w:before="20" w:after="20"/>
              <w:jc w:val="left"/>
              <w:rPr>
                <w:rFonts w:eastAsia="Times New Roman" w:cs="Arial"/>
                <w:i/>
                <w:sz w:val="20"/>
                <w:szCs w:val="20"/>
              </w:rPr>
            </w:pP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Propafenone</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Flecainide</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Tricyclic antidepressants </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Antipsychotics</w:t>
            </w:r>
          </w:p>
        </w:tc>
        <w:tc>
          <w:tcPr>
            <w:tcW w:w="3469"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See additional information</w:t>
            </w:r>
          </w:p>
          <w:p w:rsidR="00A95CDF" w:rsidRPr="002A1C79" w:rsidRDefault="00A95CDF" w:rsidP="002A1C79">
            <w:pPr>
              <w:spacing w:before="20" w:after="20"/>
              <w:jc w:val="left"/>
              <w:rPr>
                <w:rFonts w:eastAsia="Times New Roman" w:cs="Arial"/>
                <w:i/>
                <w:sz w:val="20"/>
                <w:szCs w:val="20"/>
              </w:rPr>
            </w:pPr>
          </w:p>
        </w:tc>
        <w:tc>
          <w:tcPr>
            <w:tcW w:w="4185" w:type="dxa"/>
            <w:vMerge/>
            <w:shd w:val="clear" w:color="auto" w:fill="auto"/>
          </w:tcPr>
          <w:p w:rsidR="00A95CDF" w:rsidRPr="002A1C79" w:rsidRDefault="00A95CDF" w:rsidP="002A1C79">
            <w:pPr>
              <w:spacing w:before="20" w:after="20"/>
              <w:jc w:val="left"/>
              <w:rPr>
                <w:rFonts w:eastAsia="Times New Roman" w:cs="Arial"/>
                <w:sz w:val="20"/>
                <w:szCs w:val="20"/>
              </w:rPr>
            </w:pPr>
          </w:p>
        </w:tc>
      </w:tr>
      <w:tr w:rsidR="00C0461C" w:rsidRPr="002A1C79" w:rsidTr="00625639">
        <w:tc>
          <w:tcPr>
            <w:tcW w:w="9639" w:type="dxa"/>
            <w:gridSpan w:val="3"/>
            <w:shd w:val="clear" w:color="auto" w:fill="595959" w:themeFill="text1" w:themeFillTint="A6"/>
            <w:vAlign w:val="center"/>
          </w:tcPr>
          <w:p w:rsidR="00C0461C" w:rsidRPr="002A1C79" w:rsidRDefault="00C0461C" w:rsidP="002A1C79">
            <w:pPr>
              <w:spacing w:before="20" w:after="20"/>
              <w:jc w:val="left"/>
              <w:rPr>
                <w:rFonts w:eastAsia="Times New Roman" w:cs="Arial"/>
                <w:b/>
                <w:color w:val="FFFFFF" w:themeColor="background1"/>
                <w:sz w:val="20"/>
                <w:szCs w:val="20"/>
              </w:rPr>
            </w:pPr>
            <w:r w:rsidRPr="002A1C79">
              <w:rPr>
                <w:rFonts w:cs="Arial"/>
                <w:b/>
                <w:color w:val="FFFFFF" w:themeColor="background1"/>
                <w:sz w:val="20"/>
                <w:szCs w:val="20"/>
              </w:rPr>
              <w:t>Drugs metabolized by CYP2B6</w:t>
            </w:r>
          </w:p>
        </w:tc>
      </w:tr>
      <w:tr w:rsidR="00255175" w:rsidRPr="002A1C79" w:rsidTr="00625639">
        <w:tc>
          <w:tcPr>
            <w:tcW w:w="1985" w:type="dxa"/>
            <w:shd w:val="clear" w:color="auto" w:fill="auto"/>
          </w:tcPr>
          <w:p w:rsidR="00A95CDF" w:rsidRPr="002A1C79" w:rsidRDefault="00F05665" w:rsidP="002A1C79">
            <w:pPr>
              <w:spacing w:before="20" w:after="20"/>
              <w:jc w:val="left"/>
              <w:rPr>
                <w:rFonts w:eastAsia="Times New Roman" w:cs="Arial"/>
                <w:sz w:val="20"/>
                <w:szCs w:val="20"/>
              </w:rPr>
            </w:pPr>
            <w:r w:rsidRPr="002A1C79">
              <w:rPr>
                <w:rFonts w:cs="Arial"/>
                <w:sz w:val="20"/>
                <w:szCs w:val="20"/>
              </w:rPr>
              <w:t>B</w:t>
            </w:r>
            <w:r w:rsidR="009155D2" w:rsidRPr="002A1C79">
              <w:rPr>
                <w:rFonts w:cs="Arial"/>
                <w:sz w:val="20"/>
                <w:szCs w:val="20"/>
              </w:rPr>
              <w:t>uprop</w:t>
            </w:r>
            <w:r w:rsidR="00255175" w:rsidRPr="002A1C79">
              <w:rPr>
                <w:rFonts w:cs="Arial"/>
                <w:sz w:val="20"/>
                <w:szCs w:val="20"/>
              </w:rPr>
              <w:t>ion</w:t>
            </w:r>
          </w:p>
          <w:p w:rsidR="00A95CDF" w:rsidRPr="002A1C79" w:rsidRDefault="00255175" w:rsidP="002A1C79">
            <w:pPr>
              <w:spacing w:before="20" w:after="20"/>
              <w:jc w:val="left"/>
              <w:rPr>
                <w:rFonts w:eastAsia="Times New Roman" w:cs="Arial"/>
                <w:sz w:val="20"/>
                <w:szCs w:val="20"/>
              </w:rPr>
            </w:pPr>
            <w:r w:rsidRPr="002A1C79">
              <w:rPr>
                <w:rFonts w:cs="Arial"/>
                <w:sz w:val="20"/>
                <w:szCs w:val="20"/>
              </w:rPr>
              <w:t>Efavirenz</w:t>
            </w:r>
          </w:p>
          <w:p w:rsidR="00A95CDF" w:rsidRPr="002A1C79" w:rsidRDefault="00255175" w:rsidP="002A1C79">
            <w:pPr>
              <w:spacing w:before="20" w:after="20"/>
              <w:jc w:val="left"/>
              <w:rPr>
                <w:rFonts w:eastAsia="Times New Roman" w:cs="Arial"/>
                <w:i/>
                <w:sz w:val="20"/>
                <w:szCs w:val="20"/>
              </w:rPr>
            </w:pPr>
            <w:r w:rsidRPr="002A1C79">
              <w:rPr>
                <w:rFonts w:cs="Arial"/>
                <w:sz w:val="20"/>
                <w:szCs w:val="20"/>
              </w:rPr>
              <w:t>Cyclophosphamide</w:t>
            </w:r>
          </w:p>
        </w:tc>
        <w:tc>
          <w:tcPr>
            <w:tcW w:w="3469"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See additional information</w:t>
            </w:r>
          </w:p>
        </w:tc>
        <w:tc>
          <w:tcPr>
            <w:tcW w:w="4185"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sz w:val="20"/>
                <w:szCs w:val="20"/>
              </w:rPr>
              <w:t>The potential for inhibition of CYP2B6 has not been evaluated. Caution is advised during co</w:t>
            </w:r>
            <w:r w:rsidRPr="002A1C79">
              <w:rPr>
                <w:rFonts w:cs="Arial"/>
                <w:sz w:val="20"/>
                <w:szCs w:val="20"/>
              </w:rPr>
              <w:noBreakHyphen/>
              <w:t xml:space="preserve">administration with CYP2B6 substrates. </w:t>
            </w:r>
          </w:p>
        </w:tc>
      </w:tr>
      <w:tr w:rsidR="0079165D" w:rsidRPr="002A1C79" w:rsidTr="00625639">
        <w:tc>
          <w:tcPr>
            <w:tcW w:w="9639" w:type="dxa"/>
            <w:gridSpan w:val="3"/>
            <w:shd w:val="clear" w:color="auto" w:fill="595959" w:themeFill="text1" w:themeFillTint="A6"/>
            <w:vAlign w:val="center"/>
          </w:tcPr>
          <w:p w:rsidR="0079165D" w:rsidRPr="002A1C79" w:rsidRDefault="0079165D" w:rsidP="002A1C79">
            <w:pPr>
              <w:spacing w:before="20" w:after="20"/>
              <w:jc w:val="left"/>
              <w:rPr>
                <w:rFonts w:eastAsia="Times New Roman" w:cs="Arial"/>
                <w:color w:val="FFFFFF" w:themeColor="background1"/>
                <w:sz w:val="20"/>
                <w:szCs w:val="20"/>
              </w:rPr>
            </w:pPr>
            <w:r w:rsidRPr="002A1C79">
              <w:rPr>
                <w:rFonts w:cs="Arial"/>
                <w:b/>
                <w:i/>
                <w:color w:val="FFFFFF" w:themeColor="background1"/>
                <w:sz w:val="20"/>
                <w:szCs w:val="20"/>
              </w:rPr>
              <w:t>OCT2 substrates  Organic Cation Transporter-2</w:t>
            </w: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Metformin</w:t>
            </w:r>
          </w:p>
          <w:p w:rsidR="00A95CDF" w:rsidRPr="002A1C79" w:rsidRDefault="00A95CDF" w:rsidP="002A1C79">
            <w:pPr>
              <w:spacing w:before="20" w:after="20"/>
              <w:jc w:val="left"/>
              <w:rPr>
                <w:rFonts w:eastAsia="Times New Roman" w:cs="Arial"/>
                <w:sz w:val="20"/>
                <w:szCs w:val="20"/>
              </w:rPr>
            </w:pPr>
          </w:p>
        </w:tc>
        <w:tc>
          <w:tcPr>
            <w:tcW w:w="3469" w:type="dxa"/>
            <w:shd w:val="clear" w:color="auto" w:fill="auto"/>
          </w:tcPr>
          <w:p w:rsidR="00A95CDF" w:rsidRPr="002A1C79" w:rsidRDefault="00255175" w:rsidP="002A1C79">
            <w:pPr>
              <w:spacing w:before="20" w:after="20"/>
              <w:jc w:val="left"/>
              <w:rPr>
                <w:rFonts w:cs="Arial"/>
                <w:sz w:val="20"/>
                <w:szCs w:val="20"/>
              </w:rPr>
            </w:pPr>
            <w:r w:rsidRPr="002A1C79">
              <w:rPr>
                <w:rFonts w:cs="Arial"/>
                <w:sz w:val="20"/>
                <w:szCs w:val="20"/>
              </w:rPr>
              <w:t xml:space="preserve">Plasma exposure of metformin (1000 mg twice daily) increased 1.4 and 1.8-fold in subjects with type 2 diabetes mellitus when co-administered with </w:t>
            </w:r>
            <w:r w:rsidR="00B9164C" w:rsidRPr="002A1C79">
              <w:rPr>
                <w:rFonts w:cs="Arial"/>
                <w:sz w:val="20"/>
                <w:szCs w:val="20"/>
              </w:rPr>
              <w:t xml:space="preserve">Ranolazine </w:t>
            </w:r>
            <w:r w:rsidRPr="002A1C79">
              <w:rPr>
                <w:rFonts w:cs="Arial"/>
                <w:sz w:val="20"/>
                <w:szCs w:val="20"/>
              </w:rPr>
              <w:t>500 mg and 1000 mg twice daily respectively.</w:t>
            </w:r>
          </w:p>
        </w:tc>
        <w:tc>
          <w:tcPr>
            <w:tcW w:w="4185" w:type="dxa"/>
            <w:vMerge w:val="restart"/>
            <w:shd w:val="clear" w:color="auto" w:fill="auto"/>
          </w:tcPr>
          <w:p w:rsidR="00A95CDF" w:rsidRPr="002A1C79" w:rsidRDefault="00255175" w:rsidP="002A1C79">
            <w:pPr>
              <w:pStyle w:val="Heading3"/>
              <w:spacing w:before="20" w:after="20"/>
              <w:jc w:val="left"/>
              <w:outlineLvl w:val="2"/>
              <w:rPr>
                <w:rFonts w:eastAsia="Times New Roman" w:cs="Arial"/>
                <w:sz w:val="20"/>
                <w:szCs w:val="20"/>
              </w:rPr>
            </w:pPr>
            <w:r w:rsidRPr="002A1C79">
              <w:rPr>
                <w:rFonts w:cs="Arial"/>
                <w:sz w:val="20"/>
                <w:szCs w:val="20"/>
                <w:u w:val="none"/>
              </w:rPr>
              <w:t xml:space="preserve">It is recommended to monitor blood glucose levels and risks associated with high doses of metformin </w:t>
            </w:r>
            <w:r w:rsidR="00A06275" w:rsidRPr="002A1C79">
              <w:rPr>
                <w:rFonts w:cs="Arial"/>
                <w:sz w:val="20"/>
                <w:szCs w:val="20"/>
                <w:u w:val="none"/>
              </w:rPr>
              <w:t>(</w:t>
            </w:r>
            <w:r w:rsidRPr="002A1C79">
              <w:rPr>
                <w:rFonts w:cs="Arial"/>
                <w:sz w:val="20"/>
                <w:szCs w:val="20"/>
                <w:u w:val="none"/>
              </w:rPr>
              <w:t xml:space="preserve">and limit the dose as required).   </w:t>
            </w:r>
          </w:p>
          <w:p w:rsidR="00A95CDF" w:rsidRPr="002A1C79" w:rsidRDefault="00964495" w:rsidP="002A1C79">
            <w:pPr>
              <w:pStyle w:val="CommentText"/>
              <w:spacing w:before="20" w:after="20"/>
              <w:jc w:val="left"/>
              <w:rPr>
                <w:rFonts w:eastAsia="Times New Roman" w:cs="Arial"/>
                <w:szCs w:val="20"/>
              </w:rPr>
            </w:pPr>
            <w:r w:rsidRPr="002A1C79">
              <w:rPr>
                <w:szCs w:val="20"/>
              </w:rPr>
              <w:t>Patients treated with RANEXA and other OCT2 substrates</w:t>
            </w:r>
            <w:r w:rsidR="00255175" w:rsidRPr="002A1C79">
              <w:rPr>
                <w:rFonts w:cs="Arial"/>
                <w:szCs w:val="20"/>
              </w:rPr>
              <w:t xml:space="preserve">, including but not limited to pindolol and varenicline, may be affected to a similar degree.  Doses of other OCT2 substrates may require dose adjustments. </w:t>
            </w: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Pindolol</w:t>
            </w:r>
          </w:p>
          <w:p w:rsidR="00A95CDF" w:rsidRPr="002A1C79" w:rsidRDefault="00255175" w:rsidP="002A1C79">
            <w:pPr>
              <w:spacing w:before="20" w:after="20"/>
              <w:jc w:val="left"/>
              <w:rPr>
                <w:rFonts w:eastAsia="Times New Roman" w:cs="Arial"/>
                <w:i/>
                <w:sz w:val="20"/>
                <w:szCs w:val="20"/>
              </w:rPr>
            </w:pPr>
            <w:r w:rsidRPr="002A1C79">
              <w:rPr>
                <w:rFonts w:cs="Arial"/>
                <w:sz w:val="20"/>
                <w:szCs w:val="20"/>
              </w:rPr>
              <w:t>Varenicline</w:t>
            </w:r>
          </w:p>
        </w:tc>
        <w:tc>
          <w:tcPr>
            <w:tcW w:w="3469"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See additional information</w:t>
            </w:r>
          </w:p>
        </w:tc>
        <w:tc>
          <w:tcPr>
            <w:tcW w:w="4185" w:type="dxa"/>
            <w:vMerge/>
            <w:shd w:val="clear" w:color="auto" w:fill="auto"/>
          </w:tcPr>
          <w:p w:rsidR="00A95CDF" w:rsidRPr="002A1C79" w:rsidRDefault="00A95CDF" w:rsidP="002A1C79">
            <w:pPr>
              <w:spacing w:before="20" w:after="20"/>
              <w:jc w:val="left"/>
              <w:rPr>
                <w:rFonts w:eastAsia="Times New Roman" w:cs="Arial"/>
                <w:i/>
                <w:sz w:val="20"/>
                <w:szCs w:val="20"/>
              </w:rPr>
            </w:pPr>
          </w:p>
        </w:tc>
      </w:tr>
      <w:tr w:rsidR="00C0461C" w:rsidRPr="002A1C79" w:rsidTr="00625639">
        <w:tc>
          <w:tcPr>
            <w:tcW w:w="9639" w:type="dxa"/>
            <w:gridSpan w:val="3"/>
            <w:shd w:val="clear" w:color="auto" w:fill="595959" w:themeFill="text1" w:themeFillTint="A6"/>
            <w:vAlign w:val="center"/>
          </w:tcPr>
          <w:p w:rsidR="00C0461C" w:rsidRPr="002A1C79" w:rsidRDefault="00941B5D" w:rsidP="002A1C79">
            <w:pPr>
              <w:spacing w:before="20" w:after="20"/>
              <w:jc w:val="left"/>
              <w:rPr>
                <w:rFonts w:eastAsia="Times New Roman" w:cs="Arial"/>
                <w:color w:val="FFFFFF" w:themeColor="background1"/>
                <w:sz w:val="20"/>
                <w:szCs w:val="20"/>
              </w:rPr>
            </w:pPr>
            <w:r w:rsidRPr="002A1C79">
              <w:rPr>
                <w:rFonts w:cs="Arial"/>
                <w:b/>
                <w:i/>
                <w:color w:val="FFFFFF" w:themeColor="background1"/>
                <w:sz w:val="20"/>
                <w:szCs w:val="20"/>
              </w:rPr>
              <w:t xml:space="preserve">Medicines </w:t>
            </w:r>
            <w:r w:rsidR="00C0461C" w:rsidRPr="002A1C79">
              <w:rPr>
                <w:rFonts w:cs="Arial"/>
                <w:b/>
                <w:i/>
                <w:color w:val="FFFFFF" w:themeColor="background1"/>
                <w:sz w:val="20"/>
                <w:szCs w:val="20"/>
              </w:rPr>
              <w:t>known to prolong QTc interval</w:t>
            </w:r>
          </w:p>
        </w:tc>
      </w:tr>
      <w:tr w:rsidR="00DC13CE" w:rsidRPr="002A1C79" w:rsidTr="00625639">
        <w:tc>
          <w:tcPr>
            <w:tcW w:w="1985" w:type="dxa"/>
            <w:shd w:val="clear" w:color="auto" w:fill="auto"/>
          </w:tcPr>
          <w:p w:rsidR="00DC13CE" w:rsidRPr="002A1C79" w:rsidRDefault="00DC13CE" w:rsidP="002A1C79">
            <w:pPr>
              <w:spacing w:before="20" w:after="20"/>
              <w:jc w:val="left"/>
              <w:rPr>
                <w:rFonts w:eastAsia="Times New Roman" w:cs="Arial"/>
                <w:sz w:val="20"/>
                <w:szCs w:val="20"/>
              </w:rPr>
            </w:pPr>
            <w:r w:rsidRPr="002A1C79">
              <w:rPr>
                <w:rFonts w:cs="Arial"/>
                <w:sz w:val="20"/>
                <w:szCs w:val="20"/>
              </w:rPr>
              <w:t>Certain Antihistamines:</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Terfenadine</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Astemizole</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Mizolastine</w:t>
            </w:r>
          </w:p>
        </w:tc>
        <w:tc>
          <w:tcPr>
            <w:tcW w:w="3469" w:type="dxa"/>
            <w:shd w:val="clear" w:color="auto" w:fill="auto"/>
          </w:tcPr>
          <w:p w:rsidR="00DC13CE" w:rsidRPr="002A1C79" w:rsidRDefault="00DC13CE" w:rsidP="002A1C79">
            <w:pPr>
              <w:spacing w:before="20" w:after="20"/>
              <w:jc w:val="left"/>
              <w:rPr>
                <w:rFonts w:eastAsia="Times New Roman" w:cs="Arial"/>
                <w:i/>
                <w:sz w:val="20"/>
                <w:szCs w:val="20"/>
              </w:rPr>
            </w:pPr>
            <w:r w:rsidRPr="002A1C79">
              <w:rPr>
                <w:rFonts w:cs="Arial"/>
                <w:i/>
                <w:sz w:val="20"/>
                <w:szCs w:val="20"/>
              </w:rPr>
              <w:t>See additional information</w:t>
            </w:r>
          </w:p>
        </w:tc>
        <w:tc>
          <w:tcPr>
            <w:tcW w:w="4185" w:type="dxa"/>
            <w:vMerge w:val="restart"/>
            <w:shd w:val="clear" w:color="auto" w:fill="auto"/>
          </w:tcPr>
          <w:p w:rsidR="00DC13CE" w:rsidRPr="002A1C79" w:rsidRDefault="00DC13CE" w:rsidP="002A1C79">
            <w:pPr>
              <w:spacing w:before="20" w:after="20"/>
              <w:jc w:val="left"/>
              <w:rPr>
                <w:rFonts w:eastAsia="Times New Roman" w:cs="Arial"/>
                <w:sz w:val="20"/>
                <w:szCs w:val="20"/>
              </w:rPr>
            </w:pPr>
            <w:r w:rsidRPr="002A1C79">
              <w:rPr>
                <w:rFonts w:cs="Arial"/>
                <w:sz w:val="20"/>
                <w:szCs w:val="20"/>
              </w:rPr>
              <w:t>There is a theoretical risk that concomitant treatment of RANEXA with other drugs known to prolong the QTc interval may give rise to a pharmacodynamic interaction and increase the possible risk of ventricular arrhythmias.</w:t>
            </w:r>
          </w:p>
          <w:p w:rsidR="00DC13CE" w:rsidRPr="00CA1CAE" w:rsidRDefault="00DC13CE" w:rsidP="002A1C79">
            <w:pPr>
              <w:spacing w:before="20" w:after="20"/>
              <w:jc w:val="left"/>
              <w:rPr>
                <w:rFonts w:eastAsia="Times New Roman" w:cs="Arial"/>
                <w:sz w:val="20"/>
                <w:szCs w:val="20"/>
              </w:rPr>
            </w:pPr>
          </w:p>
        </w:tc>
      </w:tr>
      <w:tr w:rsidR="00DC13CE" w:rsidRPr="002A1C79" w:rsidTr="00625639">
        <w:tc>
          <w:tcPr>
            <w:tcW w:w="1985" w:type="dxa"/>
            <w:shd w:val="clear" w:color="auto" w:fill="auto"/>
          </w:tcPr>
          <w:p w:rsidR="00DC13CE" w:rsidRPr="002A1C79" w:rsidRDefault="00DC13CE" w:rsidP="002A1C79">
            <w:pPr>
              <w:spacing w:before="20" w:after="20"/>
              <w:jc w:val="left"/>
              <w:rPr>
                <w:rFonts w:cs="Arial"/>
                <w:sz w:val="20"/>
                <w:szCs w:val="20"/>
              </w:rPr>
            </w:pPr>
            <w:r w:rsidRPr="002A1C79">
              <w:rPr>
                <w:rFonts w:cs="Arial"/>
                <w:sz w:val="20"/>
                <w:szCs w:val="20"/>
              </w:rPr>
              <w:t>Erythromycin</w:t>
            </w:r>
          </w:p>
        </w:tc>
        <w:tc>
          <w:tcPr>
            <w:tcW w:w="3469" w:type="dxa"/>
            <w:shd w:val="clear" w:color="auto" w:fill="auto"/>
          </w:tcPr>
          <w:p w:rsidR="00DC13CE" w:rsidRPr="002A1C79" w:rsidRDefault="00DC13CE" w:rsidP="002A1C79">
            <w:pPr>
              <w:spacing w:before="20" w:after="20"/>
              <w:jc w:val="left"/>
              <w:rPr>
                <w:rFonts w:cs="Arial"/>
                <w:i/>
                <w:sz w:val="20"/>
                <w:szCs w:val="20"/>
              </w:rPr>
            </w:pPr>
            <w:r w:rsidRPr="002A1C79">
              <w:rPr>
                <w:rFonts w:cs="Arial"/>
                <w:i/>
                <w:sz w:val="20"/>
                <w:szCs w:val="20"/>
              </w:rPr>
              <w:t xml:space="preserve">See additional information </w:t>
            </w:r>
          </w:p>
        </w:tc>
        <w:tc>
          <w:tcPr>
            <w:tcW w:w="4185" w:type="dxa"/>
            <w:vMerge/>
            <w:shd w:val="clear" w:color="auto" w:fill="auto"/>
          </w:tcPr>
          <w:p w:rsidR="00DC13CE" w:rsidRPr="002A1C79" w:rsidRDefault="00DC13CE" w:rsidP="002A1C79">
            <w:pPr>
              <w:spacing w:before="20" w:after="20"/>
              <w:jc w:val="left"/>
              <w:rPr>
                <w:rFonts w:cs="Arial"/>
                <w:sz w:val="20"/>
                <w:szCs w:val="20"/>
              </w:rPr>
            </w:pPr>
          </w:p>
        </w:tc>
      </w:tr>
      <w:tr w:rsidR="00DC13CE" w:rsidRPr="002A1C79" w:rsidTr="00625639">
        <w:tc>
          <w:tcPr>
            <w:tcW w:w="1985" w:type="dxa"/>
            <w:shd w:val="clear" w:color="auto" w:fill="auto"/>
          </w:tcPr>
          <w:p w:rsidR="00DC13CE" w:rsidRPr="002A1C79" w:rsidRDefault="00DC13CE" w:rsidP="002A1C79">
            <w:pPr>
              <w:spacing w:before="20" w:after="20"/>
              <w:jc w:val="left"/>
              <w:rPr>
                <w:rFonts w:eastAsia="Times New Roman" w:cs="Arial"/>
                <w:sz w:val="20"/>
                <w:szCs w:val="20"/>
              </w:rPr>
            </w:pPr>
            <w:r w:rsidRPr="002A1C79">
              <w:rPr>
                <w:rFonts w:cs="Arial"/>
                <w:sz w:val="20"/>
                <w:szCs w:val="20"/>
              </w:rPr>
              <w:t>certain antiarrhythmics:</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Disopyramide</w:t>
            </w:r>
          </w:p>
          <w:p w:rsidR="00DC13CE" w:rsidRPr="002A1C79" w:rsidRDefault="00DC13CE" w:rsidP="002A1C79">
            <w:pPr>
              <w:spacing w:before="20" w:after="20"/>
              <w:jc w:val="left"/>
              <w:rPr>
                <w:rFonts w:cs="Arial"/>
                <w:sz w:val="20"/>
                <w:szCs w:val="20"/>
              </w:rPr>
            </w:pPr>
            <w:r w:rsidRPr="002A1C79">
              <w:rPr>
                <w:rFonts w:cs="Arial"/>
                <w:sz w:val="20"/>
                <w:szCs w:val="20"/>
              </w:rPr>
              <w:t>Procainamide</w:t>
            </w:r>
          </w:p>
        </w:tc>
        <w:tc>
          <w:tcPr>
            <w:tcW w:w="3469" w:type="dxa"/>
            <w:shd w:val="clear" w:color="auto" w:fill="auto"/>
          </w:tcPr>
          <w:p w:rsidR="00DC13CE" w:rsidRPr="002A1C79" w:rsidRDefault="00DC13CE" w:rsidP="002A1C79">
            <w:pPr>
              <w:spacing w:before="20" w:after="20"/>
              <w:jc w:val="left"/>
              <w:rPr>
                <w:rFonts w:eastAsia="Times New Roman" w:cs="Arial"/>
                <w:i/>
                <w:sz w:val="20"/>
                <w:szCs w:val="20"/>
              </w:rPr>
            </w:pPr>
            <w:r w:rsidRPr="002A1C79">
              <w:rPr>
                <w:rFonts w:cs="Arial"/>
                <w:i/>
                <w:sz w:val="20"/>
                <w:szCs w:val="20"/>
              </w:rPr>
              <w:t>See additional information</w:t>
            </w:r>
          </w:p>
        </w:tc>
        <w:tc>
          <w:tcPr>
            <w:tcW w:w="4185" w:type="dxa"/>
            <w:vMerge/>
            <w:shd w:val="clear" w:color="auto" w:fill="auto"/>
          </w:tcPr>
          <w:p w:rsidR="00DC13CE" w:rsidRPr="002A1C79" w:rsidRDefault="00DC13CE" w:rsidP="002A1C79">
            <w:pPr>
              <w:spacing w:before="20" w:after="20"/>
              <w:jc w:val="left"/>
              <w:rPr>
                <w:rFonts w:eastAsia="Times New Roman" w:cs="Arial"/>
                <w:i/>
                <w:sz w:val="20"/>
                <w:szCs w:val="20"/>
              </w:rPr>
            </w:pPr>
          </w:p>
        </w:tc>
      </w:tr>
      <w:tr w:rsidR="00DC13CE" w:rsidRPr="002A1C79" w:rsidTr="00625639">
        <w:tc>
          <w:tcPr>
            <w:tcW w:w="1985" w:type="dxa"/>
            <w:shd w:val="clear" w:color="auto" w:fill="auto"/>
          </w:tcPr>
          <w:p w:rsidR="00DC13CE" w:rsidRPr="002A1C79" w:rsidRDefault="00DC13CE" w:rsidP="002A1C79">
            <w:pPr>
              <w:spacing w:before="20" w:after="20"/>
              <w:jc w:val="left"/>
              <w:rPr>
                <w:rFonts w:eastAsia="Times New Roman" w:cs="Arial"/>
                <w:sz w:val="20"/>
                <w:szCs w:val="20"/>
              </w:rPr>
            </w:pPr>
            <w:r w:rsidRPr="002A1C79">
              <w:rPr>
                <w:rFonts w:cs="Arial"/>
                <w:sz w:val="20"/>
                <w:szCs w:val="20"/>
              </w:rPr>
              <w:t>Quinidine</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 xml:space="preserve">Sotalol </w:t>
            </w:r>
          </w:p>
        </w:tc>
        <w:tc>
          <w:tcPr>
            <w:tcW w:w="3469" w:type="dxa"/>
            <w:shd w:val="clear" w:color="auto" w:fill="auto"/>
          </w:tcPr>
          <w:p w:rsidR="00DC13CE" w:rsidRPr="002A1C79" w:rsidRDefault="00DC13CE" w:rsidP="002A1C79">
            <w:pPr>
              <w:spacing w:before="20" w:after="20"/>
              <w:jc w:val="left"/>
              <w:rPr>
                <w:rFonts w:eastAsia="Times New Roman" w:cs="Arial"/>
                <w:i/>
                <w:sz w:val="20"/>
                <w:szCs w:val="20"/>
              </w:rPr>
            </w:pPr>
            <w:r w:rsidRPr="002A1C79">
              <w:rPr>
                <w:rFonts w:cs="Arial"/>
                <w:i/>
                <w:sz w:val="20"/>
                <w:szCs w:val="20"/>
              </w:rPr>
              <w:t xml:space="preserve">Contraindicated </w:t>
            </w:r>
          </w:p>
        </w:tc>
        <w:tc>
          <w:tcPr>
            <w:tcW w:w="4185" w:type="dxa"/>
            <w:vMerge/>
            <w:shd w:val="clear" w:color="auto" w:fill="auto"/>
          </w:tcPr>
          <w:p w:rsidR="00DC13CE" w:rsidRPr="002A1C79" w:rsidRDefault="00DC13CE" w:rsidP="002A1C79">
            <w:pPr>
              <w:spacing w:before="20" w:after="20"/>
              <w:jc w:val="left"/>
              <w:rPr>
                <w:rFonts w:eastAsia="Times New Roman" w:cs="Arial"/>
                <w:i/>
                <w:sz w:val="20"/>
                <w:szCs w:val="20"/>
              </w:rPr>
            </w:pPr>
          </w:p>
        </w:tc>
      </w:tr>
      <w:tr w:rsidR="00DC13CE" w:rsidRPr="002A1C79" w:rsidTr="00625639">
        <w:tc>
          <w:tcPr>
            <w:tcW w:w="1985" w:type="dxa"/>
            <w:shd w:val="clear" w:color="auto" w:fill="auto"/>
          </w:tcPr>
          <w:p w:rsidR="00DC13CE" w:rsidRPr="002A1C79" w:rsidRDefault="00DC13CE" w:rsidP="002A1C79">
            <w:pPr>
              <w:spacing w:before="20" w:after="20"/>
              <w:jc w:val="left"/>
              <w:rPr>
                <w:rFonts w:eastAsia="Times New Roman" w:cs="Arial"/>
                <w:sz w:val="20"/>
                <w:szCs w:val="20"/>
              </w:rPr>
            </w:pPr>
            <w:r w:rsidRPr="002A1C79">
              <w:rPr>
                <w:rFonts w:cs="Arial"/>
                <w:sz w:val="20"/>
                <w:szCs w:val="20"/>
              </w:rPr>
              <w:t>Tricyclic antidepressants:</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t>Imipramine</w:t>
            </w:r>
          </w:p>
          <w:p w:rsidR="00DC13CE" w:rsidRPr="002A1C79" w:rsidRDefault="00DC13CE" w:rsidP="002A1C79">
            <w:pPr>
              <w:spacing w:before="20" w:after="20"/>
              <w:jc w:val="left"/>
              <w:rPr>
                <w:rFonts w:eastAsia="Times New Roman" w:cs="Arial"/>
                <w:sz w:val="20"/>
                <w:szCs w:val="20"/>
              </w:rPr>
            </w:pPr>
            <w:r w:rsidRPr="002A1C79">
              <w:rPr>
                <w:rFonts w:cs="Arial"/>
                <w:sz w:val="20"/>
                <w:szCs w:val="20"/>
              </w:rPr>
              <w:lastRenderedPageBreak/>
              <w:t>Doxepin</w:t>
            </w:r>
          </w:p>
          <w:p w:rsidR="00DC13CE" w:rsidRPr="002A1C79" w:rsidRDefault="00DC13CE" w:rsidP="002A1C79">
            <w:pPr>
              <w:spacing w:before="20" w:after="20"/>
              <w:jc w:val="left"/>
              <w:rPr>
                <w:rFonts w:cs="Arial"/>
                <w:sz w:val="20"/>
                <w:szCs w:val="20"/>
              </w:rPr>
            </w:pPr>
            <w:r w:rsidRPr="002A1C79">
              <w:rPr>
                <w:rFonts w:cs="Arial"/>
                <w:sz w:val="20"/>
                <w:szCs w:val="20"/>
              </w:rPr>
              <w:t>Amitriptyline</w:t>
            </w:r>
          </w:p>
        </w:tc>
        <w:tc>
          <w:tcPr>
            <w:tcW w:w="3469" w:type="dxa"/>
            <w:shd w:val="clear" w:color="auto" w:fill="auto"/>
          </w:tcPr>
          <w:p w:rsidR="00DC13CE" w:rsidRPr="002A1C79" w:rsidRDefault="00DC13CE" w:rsidP="002A1C79">
            <w:pPr>
              <w:spacing w:before="20" w:after="20"/>
              <w:jc w:val="left"/>
              <w:rPr>
                <w:rFonts w:eastAsia="Times New Roman" w:cs="Arial"/>
                <w:i/>
                <w:sz w:val="20"/>
                <w:szCs w:val="20"/>
              </w:rPr>
            </w:pPr>
            <w:r w:rsidRPr="002A1C79">
              <w:rPr>
                <w:rFonts w:cs="Arial"/>
                <w:i/>
                <w:sz w:val="20"/>
                <w:szCs w:val="20"/>
              </w:rPr>
              <w:lastRenderedPageBreak/>
              <w:t>See additional information</w:t>
            </w:r>
          </w:p>
        </w:tc>
        <w:tc>
          <w:tcPr>
            <w:tcW w:w="4185" w:type="dxa"/>
            <w:vMerge/>
            <w:shd w:val="clear" w:color="auto" w:fill="auto"/>
          </w:tcPr>
          <w:p w:rsidR="00DC13CE" w:rsidRPr="002A1C79" w:rsidRDefault="00DC13CE" w:rsidP="002A1C79">
            <w:pPr>
              <w:spacing w:before="20" w:after="20"/>
              <w:jc w:val="left"/>
              <w:rPr>
                <w:rFonts w:eastAsia="Times New Roman" w:cs="Arial"/>
                <w:i/>
                <w:sz w:val="20"/>
                <w:szCs w:val="20"/>
              </w:rPr>
            </w:pPr>
          </w:p>
        </w:tc>
      </w:tr>
      <w:tr w:rsidR="00255175" w:rsidRPr="002A1C79" w:rsidTr="00625639">
        <w:tc>
          <w:tcPr>
            <w:tcW w:w="1985" w:type="dxa"/>
            <w:shd w:val="clear" w:color="auto" w:fill="595959" w:themeFill="text1" w:themeFillTint="A6"/>
            <w:vAlign w:val="center"/>
          </w:tcPr>
          <w:p w:rsidR="00A95CDF" w:rsidRPr="002A1C79" w:rsidRDefault="00255175" w:rsidP="002A1C79">
            <w:pPr>
              <w:spacing w:before="20" w:after="20"/>
              <w:jc w:val="left"/>
              <w:rPr>
                <w:rFonts w:eastAsia="Times New Roman" w:cs="Arial"/>
                <w:b/>
                <w:i/>
                <w:color w:val="FFFFFF" w:themeColor="background1"/>
                <w:sz w:val="20"/>
                <w:szCs w:val="20"/>
              </w:rPr>
            </w:pPr>
            <w:r w:rsidRPr="002A1C79">
              <w:rPr>
                <w:rFonts w:cs="Arial"/>
                <w:b/>
                <w:i/>
                <w:color w:val="FFFFFF" w:themeColor="background1"/>
                <w:sz w:val="20"/>
                <w:szCs w:val="20"/>
              </w:rPr>
              <w:lastRenderedPageBreak/>
              <w:t xml:space="preserve">Others </w:t>
            </w:r>
          </w:p>
        </w:tc>
        <w:tc>
          <w:tcPr>
            <w:tcW w:w="3469" w:type="dxa"/>
            <w:shd w:val="clear" w:color="auto" w:fill="595959" w:themeFill="text1" w:themeFillTint="A6"/>
            <w:vAlign w:val="center"/>
          </w:tcPr>
          <w:p w:rsidR="00A95CDF" w:rsidRPr="002A1C79" w:rsidRDefault="00A95CDF" w:rsidP="002A1C79">
            <w:pPr>
              <w:spacing w:before="20" w:after="20"/>
              <w:jc w:val="left"/>
              <w:rPr>
                <w:rFonts w:eastAsia="Times New Roman" w:cs="Arial"/>
                <w:b/>
                <w:i/>
                <w:color w:val="FFFFFF" w:themeColor="background1"/>
                <w:sz w:val="20"/>
                <w:szCs w:val="20"/>
              </w:rPr>
            </w:pPr>
          </w:p>
        </w:tc>
        <w:tc>
          <w:tcPr>
            <w:tcW w:w="4185" w:type="dxa"/>
            <w:shd w:val="clear" w:color="auto" w:fill="595959" w:themeFill="text1" w:themeFillTint="A6"/>
            <w:vAlign w:val="center"/>
          </w:tcPr>
          <w:p w:rsidR="00A95CDF" w:rsidRPr="002A1C79" w:rsidRDefault="00A95CDF" w:rsidP="002A1C79">
            <w:pPr>
              <w:spacing w:before="20" w:after="20"/>
              <w:jc w:val="left"/>
              <w:rPr>
                <w:rFonts w:eastAsia="Times New Roman" w:cs="Arial"/>
                <w:b/>
                <w:i/>
                <w:color w:val="FFFFFF" w:themeColor="background1"/>
                <w:sz w:val="20"/>
                <w:szCs w:val="20"/>
              </w:rPr>
            </w:pPr>
          </w:p>
        </w:tc>
      </w:tr>
      <w:tr w:rsidR="00255175" w:rsidRPr="002A1C79" w:rsidTr="00625639">
        <w:tc>
          <w:tcPr>
            <w:tcW w:w="1985"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i/>
                <w:sz w:val="20"/>
                <w:szCs w:val="20"/>
              </w:rPr>
              <w:t xml:space="preserve">Digoxin </w:t>
            </w:r>
          </w:p>
        </w:tc>
        <w:tc>
          <w:tcPr>
            <w:tcW w:w="3469" w:type="dxa"/>
            <w:shd w:val="clear" w:color="auto" w:fill="auto"/>
          </w:tcPr>
          <w:p w:rsidR="00A95CDF" w:rsidRPr="002A1C79" w:rsidRDefault="00255175" w:rsidP="002A1C79">
            <w:pPr>
              <w:spacing w:before="20" w:after="20"/>
              <w:jc w:val="left"/>
              <w:rPr>
                <w:rFonts w:eastAsia="Times New Roman" w:cs="Arial"/>
                <w:i/>
                <w:sz w:val="20"/>
                <w:szCs w:val="20"/>
              </w:rPr>
            </w:pPr>
            <w:r w:rsidRPr="002A1C79">
              <w:rPr>
                <w:rFonts w:cs="Arial"/>
                <w:sz w:val="20"/>
                <w:szCs w:val="20"/>
              </w:rPr>
              <w:t>Increase in plasma digoxin conce</w:t>
            </w:r>
            <w:r w:rsidR="00ED208E" w:rsidRPr="002A1C79">
              <w:rPr>
                <w:rFonts w:cs="Arial"/>
                <w:sz w:val="20"/>
                <w:szCs w:val="20"/>
              </w:rPr>
              <w:t xml:space="preserve">ntrations by an average of </w:t>
            </w:r>
            <w:r w:rsidR="002A1C79">
              <w:rPr>
                <w:rFonts w:cs="Arial"/>
                <w:sz w:val="20"/>
                <w:szCs w:val="20"/>
              </w:rPr>
              <w:br/>
            </w:r>
            <w:r w:rsidR="00ED208E" w:rsidRPr="002A1C79">
              <w:rPr>
                <w:rFonts w:cs="Arial"/>
                <w:sz w:val="20"/>
                <w:szCs w:val="20"/>
              </w:rPr>
              <w:t xml:space="preserve">1.5-fold in healthy volunteers receiving Ranolazine </w:t>
            </w:r>
            <w:r w:rsidR="000677BF" w:rsidRPr="002A1C79">
              <w:rPr>
                <w:rFonts w:cs="Arial"/>
                <w:sz w:val="20"/>
                <w:szCs w:val="20"/>
              </w:rPr>
              <w:t xml:space="preserve">1000 mg twice daily and digoxin 0.125 mg once daily.  </w:t>
            </w:r>
          </w:p>
        </w:tc>
        <w:tc>
          <w:tcPr>
            <w:tcW w:w="4185" w:type="dxa"/>
            <w:shd w:val="clear" w:color="auto" w:fill="auto"/>
          </w:tcPr>
          <w:p w:rsidR="00A95CDF" w:rsidRPr="002A1C79" w:rsidRDefault="00255175" w:rsidP="002A1C79">
            <w:pPr>
              <w:spacing w:before="20" w:after="20"/>
              <w:jc w:val="left"/>
              <w:rPr>
                <w:rFonts w:eastAsia="Times New Roman" w:cs="Arial"/>
                <w:sz w:val="20"/>
                <w:szCs w:val="20"/>
              </w:rPr>
            </w:pPr>
            <w:r w:rsidRPr="002A1C79">
              <w:rPr>
                <w:rFonts w:cs="Arial"/>
                <w:sz w:val="20"/>
                <w:szCs w:val="20"/>
              </w:rPr>
              <w:t xml:space="preserve">Digoxin levels should be monitored following initiation and termination of </w:t>
            </w:r>
            <w:r w:rsidR="00692E8D" w:rsidRPr="002A1C79">
              <w:rPr>
                <w:rFonts w:cs="Arial"/>
                <w:sz w:val="20"/>
                <w:szCs w:val="20"/>
              </w:rPr>
              <w:t>RANEXA</w:t>
            </w:r>
            <w:r w:rsidRPr="002A1C79">
              <w:rPr>
                <w:rFonts w:cs="Arial"/>
                <w:sz w:val="20"/>
                <w:szCs w:val="20"/>
              </w:rPr>
              <w:t xml:space="preserve"> therapy.</w:t>
            </w:r>
          </w:p>
          <w:p w:rsidR="00A95CDF" w:rsidRPr="002A1C79" w:rsidRDefault="00A95CDF" w:rsidP="002A1C79">
            <w:pPr>
              <w:spacing w:before="20" w:after="20"/>
              <w:jc w:val="left"/>
              <w:rPr>
                <w:rFonts w:eastAsia="Times New Roman" w:cs="Arial"/>
                <w:i/>
                <w:sz w:val="20"/>
                <w:szCs w:val="20"/>
              </w:rPr>
            </w:pPr>
          </w:p>
        </w:tc>
      </w:tr>
    </w:tbl>
    <w:p w:rsidR="00066AAC" w:rsidRPr="0019497F" w:rsidRDefault="00066AAC" w:rsidP="00625639">
      <w:pPr>
        <w:pStyle w:val="Heading1"/>
        <w:spacing w:after="240"/>
      </w:pPr>
      <w:r w:rsidRPr="0019497F">
        <w:t>Adverse Effects</w:t>
      </w:r>
    </w:p>
    <w:p w:rsidR="00E13EED" w:rsidRDefault="00066AAC" w:rsidP="00A75A7F">
      <w:pPr>
        <w:spacing w:before="120" w:after="120"/>
        <w:rPr>
          <w:rFonts w:cs="Arial"/>
        </w:rPr>
      </w:pPr>
      <w:r w:rsidRPr="00912119">
        <w:rPr>
          <w:rFonts w:cs="Arial"/>
        </w:rPr>
        <w:t xml:space="preserve">Undesirable effects in patients receiving </w:t>
      </w:r>
      <w:r w:rsidR="00964495" w:rsidRPr="00912119">
        <w:rPr>
          <w:rFonts w:cs="Arial"/>
        </w:rPr>
        <w:t xml:space="preserve">RANEXA </w:t>
      </w:r>
      <w:r w:rsidRPr="00912119">
        <w:rPr>
          <w:rFonts w:cs="Arial"/>
        </w:rPr>
        <w:t xml:space="preserve">are generally mild to moderate in severity and often develop within the first 2 weeks of treatment. </w:t>
      </w:r>
    </w:p>
    <w:p w:rsidR="00B03E44" w:rsidRDefault="008174AB" w:rsidP="00A75A7F">
      <w:pPr>
        <w:pStyle w:val="Heading3"/>
      </w:pPr>
      <w:r w:rsidRPr="000828FC">
        <w:t>Adverse effects in clinical trials</w:t>
      </w:r>
    </w:p>
    <w:p w:rsidR="0043185D" w:rsidRDefault="0043185D" w:rsidP="00A75A7F">
      <w:pPr>
        <w:spacing w:before="120" w:after="120"/>
        <w:rPr>
          <w:rFonts w:cs="Arial"/>
          <w:szCs w:val="22"/>
          <w:lang w:eastAsia="en-AU"/>
        </w:rPr>
      </w:pPr>
      <w:r>
        <w:rPr>
          <w:rFonts w:cs="Arial"/>
          <w:szCs w:val="22"/>
          <w:lang w:eastAsia="en-AU"/>
        </w:rPr>
        <w:t>The table below presents the incidence of adverse events from the CARISA study (CVT 3033).</w:t>
      </w:r>
    </w:p>
    <w:p w:rsidR="005548E6" w:rsidRDefault="0043185D" w:rsidP="00A75A7F">
      <w:pPr>
        <w:pStyle w:val="Caption"/>
        <w:keepNext/>
        <w:spacing w:before="120" w:after="120"/>
        <w:ind w:left="1354" w:hanging="1354"/>
        <w:rPr>
          <w:rFonts w:eastAsiaTheme="minorHAnsi" w:cstheme="minorBidi"/>
          <w:bCs w:val="0"/>
          <w:color w:val="auto"/>
          <w:sz w:val="20"/>
          <w:szCs w:val="22"/>
        </w:rPr>
      </w:pPr>
      <w:r w:rsidRPr="00A36308">
        <w:rPr>
          <w:rFonts w:eastAsiaTheme="minorHAnsi" w:cstheme="minorBidi"/>
          <w:bCs w:val="0"/>
          <w:color w:val="auto"/>
          <w:sz w:val="20"/>
          <w:szCs w:val="22"/>
        </w:rPr>
        <w:t>Table</w:t>
      </w:r>
      <w:r>
        <w:rPr>
          <w:rFonts w:eastAsiaTheme="minorHAnsi" w:cstheme="minorBidi"/>
          <w:bCs w:val="0"/>
          <w:color w:val="auto"/>
          <w:sz w:val="20"/>
          <w:szCs w:val="22"/>
        </w:rPr>
        <w:t xml:space="preserve"> 5</w:t>
      </w:r>
      <w:r>
        <w:rPr>
          <w:rFonts w:eastAsiaTheme="minorHAnsi" w:cstheme="minorBidi"/>
          <w:bCs w:val="0"/>
          <w:color w:val="auto"/>
          <w:sz w:val="20"/>
          <w:szCs w:val="22"/>
        </w:rPr>
        <w:tab/>
      </w:r>
      <w:r w:rsidRPr="00A36308">
        <w:rPr>
          <w:rFonts w:eastAsiaTheme="minorHAnsi" w:cstheme="minorBidi"/>
          <w:bCs w:val="0"/>
          <w:color w:val="auto"/>
          <w:sz w:val="20"/>
          <w:szCs w:val="22"/>
        </w:rPr>
        <w:t>Incidence of Adverse Events with a frequency ≥ 2% in any Treatment Group Occurring on or after Visit 2 - CARISA Study 3033</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4"/>
        <w:gridCol w:w="2522"/>
        <w:gridCol w:w="2175"/>
        <w:gridCol w:w="1948"/>
      </w:tblGrid>
      <w:tr w:rsidR="005548E6" w:rsidRPr="00690944" w:rsidTr="002A1C79">
        <w:trPr>
          <w:trHeight w:val="190"/>
          <w:jc w:val="center"/>
        </w:trPr>
        <w:tc>
          <w:tcPr>
            <w:tcW w:w="2914"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p>
        </w:tc>
        <w:tc>
          <w:tcPr>
            <w:tcW w:w="6645" w:type="dxa"/>
            <w:gridSpan w:val="3"/>
          </w:tcPr>
          <w:p w:rsidR="005548E6" w:rsidRPr="00806B64" w:rsidRDefault="005548E6" w:rsidP="00A75A7F">
            <w:pPr>
              <w:autoSpaceDE w:val="0"/>
              <w:autoSpaceDN w:val="0"/>
              <w:adjustRightInd w:val="0"/>
              <w:spacing w:before="20" w:after="20"/>
              <w:jc w:val="center"/>
              <w:rPr>
                <w:rFonts w:cs="Arial"/>
                <w:b/>
                <w:color w:val="000000"/>
                <w:sz w:val="18"/>
                <w:szCs w:val="18"/>
                <w:lang w:eastAsia="en-AU"/>
              </w:rPr>
            </w:pPr>
            <w:r w:rsidRPr="00806B64">
              <w:rPr>
                <w:rFonts w:cs="Arial"/>
                <w:b/>
                <w:color w:val="000000"/>
                <w:sz w:val="18"/>
                <w:szCs w:val="18"/>
                <w:lang w:eastAsia="en-AU"/>
              </w:rPr>
              <w:t>Treatment</w:t>
            </w:r>
          </w:p>
        </w:tc>
      </w:tr>
      <w:tr w:rsidR="00922130" w:rsidRPr="00690944" w:rsidTr="00CA1CAE">
        <w:trPr>
          <w:trHeight w:val="432"/>
          <w:jc w:val="center"/>
        </w:trPr>
        <w:tc>
          <w:tcPr>
            <w:tcW w:w="2914" w:type="dxa"/>
            <w:tcBorders>
              <w:bottom w:val="double" w:sz="4" w:space="0" w:color="auto"/>
            </w:tcBorders>
          </w:tcPr>
          <w:p w:rsidR="00922130" w:rsidRPr="00806B64" w:rsidRDefault="00922130" w:rsidP="00A75A7F">
            <w:pPr>
              <w:autoSpaceDE w:val="0"/>
              <w:autoSpaceDN w:val="0"/>
              <w:adjustRightInd w:val="0"/>
              <w:spacing w:before="20" w:after="20"/>
              <w:jc w:val="center"/>
              <w:rPr>
                <w:rFonts w:cs="Arial"/>
                <w:b/>
                <w:color w:val="000000"/>
                <w:sz w:val="18"/>
                <w:szCs w:val="18"/>
                <w:lang w:eastAsia="en-AU"/>
              </w:rPr>
            </w:pPr>
            <w:r w:rsidRPr="00806B64">
              <w:rPr>
                <w:rFonts w:cs="Arial"/>
                <w:b/>
                <w:color w:val="000000"/>
                <w:sz w:val="18"/>
                <w:szCs w:val="18"/>
                <w:lang w:eastAsia="en-AU"/>
              </w:rPr>
              <w:t xml:space="preserve">Body System </w:t>
            </w:r>
          </w:p>
          <w:p w:rsidR="00922130" w:rsidRDefault="00922130" w:rsidP="00A75A7F">
            <w:pPr>
              <w:autoSpaceDE w:val="0"/>
              <w:autoSpaceDN w:val="0"/>
              <w:adjustRightInd w:val="0"/>
              <w:spacing w:before="20" w:after="20"/>
              <w:jc w:val="center"/>
              <w:rPr>
                <w:rFonts w:cs="Arial"/>
                <w:b/>
                <w:bCs/>
                <w:color w:val="000000"/>
                <w:sz w:val="18"/>
                <w:szCs w:val="18"/>
                <w:lang w:eastAsia="en-AU"/>
              </w:rPr>
            </w:pPr>
            <w:r w:rsidRPr="00806B64">
              <w:rPr>
                <w:rFonts w:cs="Arial"/>
                <w:b/>
                <w:color w:val="000000"/>
                <w:sz w:val="18"/>
                <w:szCs w:val="18"/>
                <w:lang w:eastAsia="en-AU"/>
              </w:rPr>
              <w:t>Preferred Term</w:t>
            </w:r>
          </w:p>
        </w:tc>
        <w:tc>
          <w:tcPr>
            <w:tcW w:w="2522" w:type="dxa"/>
            <w:tcBorders>
              <w:bottom w:val="double" w:sz="4" w:space="0" w:color="auto"/>
            </w:tcBorders>
          </w:tcPr>
          <w:p w:rsidR="00922130" w:rsidRPr="00806B64" w:rsidRDefault="00922130" w:rsidP="00A75A7F">
            <w:pPr>
              <w:autoSpaceDE w:val="0"/>
              <w:autoSpaceDN w:val="0"/>
              <w:adjustRightInd w:val="0"/>
              <w:spacing w:before="20" w:after="20"/>
              <w:jc w:val="center"/>
              <w:rPr>
                <w:rFonts w:cs="Arial"/>
                <w:b/>
                <w:color w:val="000000"/>
                <w:sz w:val="18"/>
                <w:szCs w:val="18"/>
                <w:lang w:eastAsia="en-AU"/>
              </w:rPr>
            </w:pPr>
            <w:r w:rsidRPr="00806B64">
              <w:rPr>
                <w:rFonts w:cs="Arial"/>
                <w:b/>
                <w:color w:val="000000"/>
                <w:sz w:val="18"/>
                <w:szCs w:val="18"/>
                <w:lang w:eastAsia="en-AU"/>
              </w:rPr>
              <w:t xml:space="preserve">Placebo </w:t>
            </w:r>
          </w:p>
          <w:p w:rsidR="00922130" w:rsidRPr="00690944" w:rsidRDefault="00922130" w:rsidP="00A75A7F">
            <w:pPr>
              <w:autoSpaceDE w:val="0"/>
              <w:autoSpaceDN w:val="0"/>
              <w:adjustRightInd w:val="0"/>
              <w:spacing w:before="20" w:after="20"/>
              <w:jc w:val="center"/>
              <w:rPr>
                <w:rFonts w:cs="Arial"/>
                <w:b/>
                <w:bCs/>
                <w:color w:val="000000"/>
                <w:sz w:val="18"/>
                <w:szCs w:val="18"/>
                <w:lang w:eastAsia="en-AU"/>
              </w:rPr>
            </w:pPr>
            <w:r w:rsidRPr="00806B64">
              <w:rPr>
                <w:rFonts w:cs="Arial"/>
                <w:b/>
                <w:color w:val="000000"/>
                <w:sz w:val="18"/>
                <w:szCs w:val="18"/>
                <w:lang w:eastAsia="en-AU"/>
              </w:rPr>
              <w:t>(n=269)</w:t>
            </w:r>
          </w:p>
        </w:tc>
        <w:tc>
          <w:tcPr>
            <w:tcW w:w="2175" w:type="dxa"/>
            <w:tcBorders>
              <w:bottom w:val="double" w:sz="4" w:space="0" w:color="auto"/>
            </w:tcBorders>
          </w:tcPr>
          <w:p w:rsidR="00922130" w:rsidRDefault="00922130" w:rsidP="00A75A7F">
            <w:pPr>
              <w:autoSpaceDE w:val="0"/>
              <w:autoSpaceDN w:val="0"/>
              <w:adjustRightInd w:val="0"/>
              <w:spacing w:before="20" w:after="20"/>
              <w:jc w:val="center"/>
              <w:rPr>
                <w:rFonts w:cs="Arial"/>
                <w:b/>
                <w:color w:val="000000"/>
                <w:sz w:val="18"/>
                <w:szCs w:val="18"/>
                <w:lang w:eastAsia="en-AU"/>
              </w:rPr>
            </w:pPr>
            <w:r w:rsidRPr="00806B64">
              <w:rPr>
                <w:rFonts w:cs="Arial"/>
                <w:b/>
                <w:color w:val="000000"/>
                <w:sz w:val="18"/>
                <w:szCs w:val="18"/>
                <w:lang w:eastAsia="en-AU"/>
              </w:rPr>
              <w:t>RANEXA 750 mg</w:t>
            </w:r>
          </w:p>
          <w:p w:rsidR="00922130" w:rsidRPr="00690944" w:rsidRDefault="00922130" w:rsidP="00A75A7F">
            <w:pPr>
              <w:autoSpaceDE w:val="0"/>
              <w:autoSpaceDN w:val="0"/>
              <w:adjustRightInd w:val="0"/>
              <w:spacing w:before="20" w:after="20"/>
              <w:jc w:val="center"/>
              <w:rPr>
                <w:rFonts w:cs="Arial"/>
                <w:b/>
                <w:bCs/>
                <w:color w:val="000000"/>
                <w:sz w:val="18"/>
                <w:szCs w:val="18"/>
                <w:lang w:eastAsia="en-AU"/>
              </w:rPr>
            </w:pPr>
            <w:r w:rsidRPr="00806B64">
              <w:rPr>
                <w:rFonts w:cs="Arial"/>
                <w:b/>
                <w:color w:val="000000"/>
                <w:sz w:val="18"/>
                <w:szCs w:val="18"/>
                <w:lang w:eastAsia="en-AU"/>
              </w:rPr>
              <w:t xml:space="preserve"> (n=279)</w:t>
            </w:r>
          </w:p>
        </w:tc>
        <w:tc>
          <w:tcPr>
            <w:tcW w:w="1948" w:type="dxa"/>
            <w:tcBorders>
              <w:bottom w:val="double" w:sz="4" w:space="0" w:color="auto"/>
            </w:tcBorders>
          </w:tcPr>
          <w:p w:rsidR="00922130" w:rsidRPr="00690944" w:rsidRDefault="00CA1CAE" w:rsidP="00A75A7F">
            <w:pPr>
              <w:autoSpaceDE w:val="0"/>
              <w:autoSpaceDN w:val="0"/>
              <w:adjustRightInd w:val="0"/>
              <w:spacing w:before="20" w:after="20"/>
              <w:jc w:val="center"/>
              <w:rPr>
                <w:rFonts w:cs="Arial"/>
                <w:b/>
                <w:bCs/>
                <w:color w:val="000000"/>
                <w:sz w:val="18"/>
                <w:szCs w:val="18"/>
                <w:lang w:eastAsia="en-AU"/>
              </w:rPr>
            </w:pPr>
            <w:r>
              <w:rPr>
                <w:rFonts w:cs="Arial"/>
                <w:b/>
                <w:color w:val="000000"/>
                <w:sz w:val="18"/>
                <w:szCs w:val="18"/>
                <w:lang w:eastAsia="en-AU"/>
              </w:rPr>
              <w:t xml:space="preserve">RANEXA </w:t>
            </w:r>
            <w:r w:rsidR="00922130" w:rsidRPr="00806B64">
              <w:rPr>
                <w:rFonts w:cs="Arial"/>
                <w:b/>
                <w:color w:val="000000"/>
                <w:sz w:val="18"/>
                <w:szCs w:val="18"/>
                <w:lang w:eastAsia="en-AU"/>
              </w:rPr>
              <w:t>1000 mg (n=275)</w:t>
            </w:r>
          </w:p>
        </w:tc>
      </w:tr>
      <w:tr w:rsidR="005548E6" w:rsidRPr="00690944" w:rsidTr="00CA1CAE">
        <w:trPr>
          <w:trHeight w:val="127"/>
          <w:jc w:val="center"/>
        </w:trPr>
        <w:tc>
          <w:tcPr>
            <w:tcW w:w="2914"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Pr>
                <w:rFonts w:cs="Arial"/>
                <w:b/>
                <w:bCs/>
                <w:color w:val="000000"/>
                <w:sz w:val="18"/>
                <w:szCs w:val="18"/>
                <w:lang w:eastAsia="en-AU"/>
              </w:rPr>
              <w:t>General Disorders and administration site conditions</w:t>
            </w:r>
          </w:p>
        </w:tc>
        <w:tc>
          <w:tcPr>
            <w:tcW w:w="2522"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28 (10.4)</w:t>
            </w:r>
          </w:p>
        </w:tc>
        <w:tc>
          <w:tcPr>
            <w:tcW w:w="2175"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22 (7.9)</w:t>
            </w:r>
          </w:p>
        </w:tc>
        <w:tc>
          <w:tcPr>
            <w:tcW w:w="1948"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29 (10.5)</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a</w:t>
            </w:r>
            <w:r w:rsidR="005548E6" w:rsidRPr="00690944">
              <w:rPr>
                <w:rFonts w:cs="Arial"/>
                <w:color w:val="000000"/>
                <w:sz w:val="18"/>
                <w:szCs w:val="18"/>
                <w:lang w:eastAsia="en-AU"/>
              </w:rPr>
              <w:t>sth</w:t>
            </w:r>
            <w:r w:rsidR="005548E6">
              <w:rPr>
                <w:rFonts w:cs="Arial"/>
                <w:color w:val="000000"/>
                <w:sz w:val="18"/>
                <w:szCs w:val="18"/>
                <w:lang w:eastAsia="en-AU"/>
              </w:rPr>
              <w:t>a</w:t>
            </w:r>
            <w:r w:rsidR="005548E6" w:rsidRPr="00690944">
              <w:rPr>
                <w:rFonts w:cs="Arial"/>
                <w:color w:val="000000"/>
                <w:sz w:val="18"/>
                <w:szCs w:val="18"/>
                <w:lang w:eastAsia="en-AU"/>
              </w:rPr>
              <w:t>enia</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6 (2.2)</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5 (1.8)</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13 (4.7)</w:t>
            </w:r>
          </w:p>
        </w:tc>
      </w:tr>
      <w:tr w:rsidR="005548E6" w:rsidRPr="00690944" w:rsidTr="00CA1CAE">
        <w:trPr>
          <w:trHeight w:val="127"/>
          <w:jc w:val="center"/>
        </w:trPr>
        <w:tc>
          <w:tcPr>
            <w:tcW w:w="2914"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Pr>
                <w:rFonts w:cs="Arial"/>
                <w:b/>
                <w:bCs/>
                <w:color w:val="000000"/>
                <w:sz w:val="18"/>
                <w:szCs w:val="18"/>
                <w:lang w:eastAsia="en-AU"/>
              </w:rPr>
              <w:t>Cardiac Disorders</w:t>
            </w:r>
          </w:p>
        </w:tc>
        <w:tc>
          <w:tcPr>
            <w:tcW w:w="2522"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29 (10.8)</w:t>
            </w:r>
          </w:p>
        </w:tc>
        <w:tc>
          <w:tcPr>
            <w:tcW w:w="2175"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35 (12.5)</w:t>
            </w:r>
          </w:p>
        </w:tc>
        <w:tc>
          <w:tcPr>
            <w:tcW w:w="1948"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28 (10.2)</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a</w:t>
            </w:r>
            <w:r w:rsidR="005548E6" w:rsidRPr="00690944">
              <w:rPr>
                <w:rFonts w:cs="Arial"/>
                <w:color w:val="000000"/>
                <w:sz w:val="18"/>
                <w:szCs w:val="18"/>
                <w:lang w:eastAsia="en-AU"/>
              </w:rPr>
              <w:t>ngina Pectoris</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12 (4.5)</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11 (3.9)</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8 (2.9)</w:t>
            </w:r>
          </w:p>
        </w:tc>
      </w:tr>
      <w:tr w:rsidR="005548E6" w:rsidRPr="00690944" w:rsidTr="00CA1CAE">
        <w:trPr>
          <w:trHeight w:val="127"/>
          <w:jc w:val="center"/>
        </w:trPr>
        <w:tc>
          <w:tcPr>
            <w:tcW w:w="2914"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Pr>
                <w:rFonts w:cs="Arial"/>
                <w:b/>
                <w:bCs/>
                <w:color w:val="000000"/>
                <w:sz w:val="18"/>
                <w:szCs w:val="18"/>
                <w:lang w:eastAsia="en-AU"/>
              </w:rPr>
              <w:t>Gastrointestinal disorders</w:t>
            </w:r>
          </w:p>
        </w:tc>
        <w:tc>
          <w:tcPr>
            <w:tcW w:w="2522"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18 (6.7)</w:t>
            </w:r>
          </w:p>
        </w:tc>
        <w:tc>
          <w:tcPr>
            <w:tcW w:w="2175"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36 (12.9)</w:t>
            </w:r>
          </w:p>
        </w:tc>
        <w:tc>
          <w:tcPr>
            <w:tcW w:w="1948"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41 (14.9)</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c</w:t>
            </w:r>
            <w:r w:rsidR="005548E6" w:rsidRPr="00690944">
              <w:rPr>
                <w:rFonts w:cs="Arial"/>
                <w:color w:val="000000"/>
                <w:sz w:val="18"/>
                <w:szCs w:val="18"/>
                <w:lang w:eastAsia="en-AU"/>
              </w:rPr>
              <w:t>onstipation</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2 (0.7)</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18 (6.5)</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20 (7.3)</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d</w:t>
            </w:r>
            <w:r w:rsidR="005548E6" w:rsidRPr="00690944">
              <w:rPr>
                <w:rFonts w:cs="Arial"/>
                <w:color w:val="000000"/>
                <w:sz w:val="18"/>
                <w:szCs w:val="18"/>
                <w:lang w:eastAsia="en-AU"/>
              </w:rPr>
              <w:t>yspepsia</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4 (1.5)</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7 (2.5)</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5 (1.8)</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n</w:t>
            </w:r>
            <w:r w:rsidR="005548E6" w:rsidRPr="00690944">
              <w:rPr>
                <w:rFonts w:cs="Arial"/>
                <w:color w:val="000000"/>
                <w:sz w:val="18"/>
                <w:szCs w:val="18"/>
                <w:lang w:eastAsia="en-AU"/>
              </w:rPr>
              <w:t>ausea</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2 (0.7)</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9 (3.2)</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14 (5.1)</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a</w:t>
            </w:r>
            <w:r w:rsidR="005548E6" w:rsidRPr="00690944">
              <w:rPr>
                <w:rFonts w:cs="Arial"/>
                <w:color w:val="000000"/>
                <w:sz w:val="18"/>
                <w:szCs w:val="18"/>
                <w:lang w:eastAsia="en-AU"/>
              </w:rPr>
              <w:t>bdominal Pain</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2 (0.7)</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2 (0.7)</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7 (2.5)</w:t>
            </w:r>
          </w:p>
        </w:tc>
      </w:tr>
      <w:tr w:rsidR="005548E6" w:rsidRPr="00690944" w:rsidTr="00CA1CAE">
        <w:trPr>
          <w:trHeight w:val="127"/>
          <w:jc w:val="center"/>
        </w:trPr>
        <w:tc>
          <w:tcPr>
            <w:tcW w:w="2914"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Nervous</w:t>
            </w:r>
            <w:r>
              <w:rPr>
                <w:rFonts w:cs="Arial"/>
                <w:b/>
                <w:bCs/>
                <w:color w:val="000000"/>
                <w:sz w:val="18"/>
                <w:szCs w:val="18"/>
                <w:lang w:eastAsia="en-AU"/>
              </w:rPr>
              <w:t xml:space="preserve"> System Disorders</w:t>
            </w:r>
          </w:p>
        </w:tc>
        <w:tc>
          <w:tcPr>
            <w:tcW w:w="2522"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9 (3.3)</w:t>
            </w:r>
          </w:p>
        </w:tc>
        <w:tc>
          <w:tcPr>
            <w:tcW w:w="2175"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17 (6.1)</w:t>
            </w:r>
          </w:p>
        </w:tc>
        <w:tc>
          <w:tcPr>
            <w:tcW w:w="1948" w:type="dxa"/>
          </w:tcPr>
          <w:p w:rsidR="005548E6" w:rsidRPr="00690944" w:rsidRDefault="005548E6" w:rsidP="00A75A7F">
            <w:pPr>
              <w:autoSpaceDE w:val="0"/>
              <w:autoSpaceDN w:val="0"/>
              <w:adjustRightInd w:val="0"/>
              <w:spacing w:before="20" w:after="20"/>
              <w:jc w:val="center"/>
              <w:rPr>
                <w:rFonts w:cs="Arial"/>
                <w:b/>
                <w:color w:val="000000"/>
                <w:sz w:val="18"/>
                <w:szCs w:val="18"/>
                <w:lang w:eastAsia="en-AU"/>
              </w:rPr>
            </w:pPr>
            <w:r w:rsidRPr="00690944">
              <w:rPr>
                <w:rFonts w:cs="Arial"/>
                <w:b/>
                <w:bCs/>
                <w:color w:val="000000"/>
                <w:sz w:val="18"/>
                <w:szCs w:val="18"/>
                <w:lang w:eastAsia="en-AU"/>
              </w:rPr>
              <w:t>28 (10.2)</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d</w:t>
            </w:r>
            <w:r w:rsidR="005548E6" w:rsidRPr="00690944">
              <w:rPr>
                <w:rFonts w:cs="Arial"/>
                <w:color w:val="000000"/>
                <w:sz w:val="18"/>
                <w:szCs w:val="18"/>
                <w:lang w:eastAsia="en-AU"/>
              </w:rPr>
              <w:t>izziness</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5 (1.9)</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10 (3.6)</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19 (6.9)</w:t>
            </w:r>
          </w:p>
        </w:tc>
      </w:tr>
      <w:tr w:rsidR="005548E6" w:rsidRPr="00690944" w:rsidTr="00CA1CAE">
        <w:trPr>
          <w:trHeight w:val="121"/>
          <w:jc w:val="center"/>
        </w:trPr>
        <w:tc>
          <w:tcPr>
            <w:tcW w:w="2914" w:type="dxa"/>
          </w:tcPr>
          <w:p w:rsidR="005548E6" w:rsidRPr="00690944" w:rsidRDefault="00F05665" w:rsidP="00A75A7F">
            <w:pPr>
              <w:autoSpaceDE w:val="0"/>
              <w:autoSpaceDN w:val="0"/>
              <w:adjustRightInd w:val="0"/>
              <w:spacing w:before="20" w:after="20"/>
              <w:jc w:val="center"/>
              <w:rPr>
                <w:rFonts w:cs="Arial"/>
                <w:color w:val="000000"/>
                <w:sz w:val="18"/>
                <w:szCs w:val="18"/>
                <w:lang w:eastAsia="en-AU"/>
              </w:rPr>
            </w:pPr>
            <w:r>
              <w:rPr>
                <w:rFonts w:cs="Arial"/>
                <w:color w:val="000000"/>
                <w:sz w:val="18"/>
                <w:szCs w:val="18"/>
                <w:lang w:eastAsia="en-AU"/>
              </w:rPr>
              <w:t>h</w:t>
            </w:r>
            <w:r w:rsidR="005548E6" w:rsidRPr="00690944">
              <w:rPr>
                <w:rFonts w:cs="Arial"/>
                <w:color w:val="000000"/>
                <w:sz w:val="18"/>
                <w:szCs w:val="18"/>
                <w:lang w:eastAsia="en-AU"/>
              </w:rPr>
              <w:t>eadache</w:t>
            </w:r>
          </w:p>
        </w:tc>
        <w:tc>
          <w:tcPr>
            <w:tcW w:w="2522"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4 (1.5)</w:t>
            </w:r>
          </w:p>
        </w:tc>
        <w:tc>
          <w:tcPr>
            <w:tcW w:w="2175"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7 (2.5)</w:t>
            </w:r>
          </w:p>
        </w:tc>
        <w:tc>
          <w:tcPr>
            <w:tcW w:w="1948" w:type="dxa"/>
          </w:tcPr>
          <w:p w:rsidR="005548E6" w:rsidRPr="00690944" w:rsidRDefault="005548E6" w:rsidP="00A75A7F">
            <w:pPr>
              <w:autoSpaceDE w:val="0"/>
              <w:autoSpaceDN w:val="0"/>
              <w:adjustRightInd w:val="0"/>
              <w:spacing w:before="20" w:after="20"/>
              <w:jc w:val="center"/>
              <w:rPr>
                <w:rFonts w:cs="Arial"/>
                <w:color w:val="000000"/>
                <w:sz w:val="18"/>
                <w:szCs w:val="18"/>
                <w:lang w:eastAsia="en-AU"/>
              </w:rPr>
            </w:pPr>
            <w:r w:rsidRPr="00690944">
              <w:rPr>
                <w:rFonts w:cs="Arial"/>
                <w:color w:val="000000"/>
                <w:sz w:val="18"/>
                <w:szCs w:val="18"/>
                <w:lang w:eastAsia="en-AU"/>
              </w:rPr>
              <w:t>6 (2.2)</w:t>
            </w:r>
          </w:p>
        </w:tc>
      </w:tr>
    </w:tbl>
    <w:p w:rsidR="00FA498F" w:rsidRDefault="005548E6" w:rsidP="00A75A7F">
      <w:pPr>
        <w:autoSpaceDE w:val="0"/>
        <w:autoSpaceDN w:val="0"/>
        <w:adjustRightInd w:val="0"/>
        <w:spacing w:before="120" w:after="120"/>
        <w:rPr>
          <w:lang w:eastAsia="en-AU"/>
        </w:rPr>
      </w:pPr>
      <w:r w:rsidRPr="00A36308">
        <w:rPr>
          <w:rFonts w:cs="Arial"/>
          <w:szCs w:val="22"/>
          <w:lang w:val="en-US" w:eastAsia="en-AU"/>
        </w:rPr>
        <w:t>In the placebo group, patients most frequently had an adverse event relating to</w:t>
      </w:r>
      <w:r>
        <w:rPr>
          <w:rFonts w:cs="Arial"/>
          <w:szCs w:val="22"/>
          <w:lang w:val="en-US" w:eastAsia="en-AU"/>
        </w:rPr>
        <w:t xml:space="preserve"> </w:t>
      </w:r>
      <w:r w:rsidRPr="00A36308">
        <w:rPr>
          <w:rFonts w:cs="Arial"/>
          <w:szCs w:val="22"/>
          <w:lang w:val="en-US" w:eastAsia="en-AU"/>
        </w:rPr>
        <w:t xml:space="preserve">the cardiovascular body system. For both </w:t>
      </w:r>
      <w:r>
        <w:rPr>
          <w:rFonts w:cs="Arial"/>
          <w:szCs w:val="22"/>
          <w:lang w:val="en-US" w:eastAsia="en-AU"/>
        </w:rPr>
        <w:t>RANEXA</w:t>
      </w:r>
      <w:r w:rsidRPr="00A36308">
        <w:rPr>
          <w:rFonts w:cs="Arial"/>
          <w:szCs w:val="22"/>
          <w:lang w:val="en-US" w:eastAsia="en-AU"/>
        </w:rPr>
        <w:t xml:space="preserve"> groups, the majority of</w:t>
      </w:r>
      <w:r>
        <w:rPr>
          <w:rFonts w:cs="Arial"/>
          <w:szCs w:val="22"/>
          <w:lang w:val="en-US" w:eastAsia="en-AU"/>
        </w:rPr>
        <w:t xml:space="preserve"> </w:t>
      </w:r>
      <w:r w:rsidRPr="00A36308">
        <w:rPr>
          <w:rFonts w:cs="Arial"/>
          <w:szCs w:val="22"/>
          <w:lang w:val="en-US" w:eastAsia="en-AU"/>
        </w:rPr>
        <w:t>adverse events were relating to the digestive system. Angina pectoris, an</w:t>
      </w:r>
      <w:r>
        <w:rPr>
          <w:rFonts w:cs="Arial"/>
          <w:szCs w:val="22"/>
          <w:lang w:val="en-US" w:eastAsia="en-AU"/>
        </w:rPr>
        <w:t xml:space="preserve"> </w:t>
      </w:r>
      <w:r w:rsidRPr="00A36308">
        <w:rPr>
          <w:rFonts w:cs="Arial"/>
          <w:szCs w:val="22"/>
          <w:lang w:val="en-US" w:eastAsia="en-AU"/>
        </w:rPr>
        <w:t>inclusion criterion for the study, was the most common adverse event among</w:t>
      </w:r>
      <w:r>
        <w:rPr>
          <w:rFonts w:cs="Arial"/>
          <w:szCs w:val="22"/>
          <w:lang w:val="en-US" w:eastAsia="en-AU"/>
        </w:rPr>
        <w:t xml:space="preserve"> </w:t>
      </w:r>
      <w:r w:rsidRPr="00A36308">
        <w:rPr>
          <w:rFonts w:cs="Arial"/>
          <w:szCs w:val="22"/>
          <w:lang w:val="en-US" w:eastAsia="en-AU"/>
        </w:rPr>
        <w:t>patients randomi</w:t>
      </w:r>
      <w:r>
        <w:rPr>
          <w:rFonts w:cs="Arial"/>
          <w:szCs w:val="22"/>
          <w:lang w:val="en-US" w:eastAsia="en-AU"/>
        </w:rPr>
        <w:t>s</w:t>
      </w:r>
      <w:r w:rsidRPr="00A36308">
        <w:rPr>
          <w:rFonts w:cs="Arial"/>
          <w:szCs w:val="22"/>
          <w:lang w:val="en-US" w:eastAsia="en-AU"/>
        </w:rPr>
        <w:t>ed to placebo and the frequency was higher in that group</w:t>
      </w:r>
      <w:r>
        <w:rPr>
          <w:rFonts w:cs="Arial"/>
          <w:szCs w:val="22"/>
          <w:lang w:val="en-US" w:eastAsia="en-AU"/>
        </w:rPr>
        <w:t xml:space="preserve"> </w:t>
      </w:r>
      <w:r w:rsidRPr="00A36308">
        <w:rPr>
          <w:rFonts w:cs="Arial"/>
          <w:szCs w:val="22"/>
          <w:lang w:val="en-US" w:eastAsia="en-AU"/>
        </w:rPr>
        <w:t xml:space="preserve">compared to either dose of </w:t>
      </w:r>
      <w:r>
        <w:rPr>
          <w:rFonts w:cs="Arial"/>
          <w:szCs w:val="22"/>
          <w:lang w:val="en-US" w:eastAsia="en-AU"/>
        </w:rPr>
        <w:t>RANEXA</w:t>
      </w:r>
      <w:r w:rsidRPr="00A36308">
        <w:rPr>
          <w:rFonts w:cs="Arial"/>
          <w:szCs w:val="22"/>
          <w:lang w:val="en-US" w:eastAsia="en-AU"/>
        </w:rPr>
        <w:t>. Constipation (38 patients, 6.9%) was the most common event amongst patients randomi</w:t>
      </w:r>
      <w:r>
        <w:rPr>
          <w:rFonts w:cs="Arial"/>
          <w:szCs w:val="22"/>
          <w:lang w:val="en-US" w:eastAsia="en-AU"/>
        </w:rPr>
        <w:t>s</w:t>
      </w:r>
      <w:r w:rsidRPr="00A36308">
        <w:rPr>
          <w:rFonts w:cs="Arial"/>
          <w:szCs w:val="22"/>
          <w:lang w:val="en-US" w:eastAsia="en-AU"/>
        </w:rPr>
        <w:t>ed to</w:t>
      </w:r>
      <w:r>
        <w:rPr>
          <w:rFonts w:cs="Arial"/>
          <w:szCs w:val="22"/>
          <w:lang w:val="en-US" w:eastAsia="en-AU"/>
        </w:rPr>
        <w:t xml:space="preserve"> RANEXA</w:t>
      </w:r>
      <w:r w:rsidRPr="00A36308">
        <w:rPr>
          <w:rFonts w:cs="Arial"/>
          <w:szCs w:val="22"/>
          <w:lang w:val="en-US" w:eastAsia="en-AU"/>
        </w:rPr>
        <w:t>, irrespective of dose. This event was infrequent in the placebo</w:t>
      </w:r>
      <w:r>
        <w:rPr>
          <w:rFonts w:cs="Arial"/>
          <w:szCs w:val="22"/>
          <w:lang w:val="en-US" w:eastAsia="en-AU"/>
        </w:rPr>
        <w:t xml:space="preserve"> </w:t>
      </w:r>
      <w:r w:rsidRPr="00A36308">
        <w:rPr>
          <w:rFonts w:cs="Arial"/>
          <w:szCs w:val="22"/>
          <w:lang w:val="en-US" w:eastAsia="en-AU"/>
        </w:rPr>
        <w:t>group. Dizziness (29 patients, 5.2%) and nausea (23 patients, 4.1%) were the</w:t>
      </w:r>
      <w:r>
        <w:rPr>
          <w:rFonts w:cs="Arial"/>
          <w:szCs w:val="22"/>
          <w:lang w:val="en-US" w:eastAsia="en-AU"/>
        </w:rPr>
        <w:t xml:space="preserve"> </w:t>
      </w:r>
      <w:r w:rsidRPr="00A36308">
        <w:rPr>
          <w:rFonts w:cs="Arial"/>
          <w:szCs w:val="22"/>
          <w:lang w:val="en-US" w:eastAsia="en-AU"/>
        </w:rPr>
        <w:t>next most common events amongst patients randomi</w:t>
      </w:r>
      <w:r>
        <w:rPr>
          <w:rFonts w:cs="Arial"/>
          <w:szCs w:val="22"/>
          <w:lang w:val="en-US" w:eastAsia="en-AU"/>
        </w:rPr>
        <w:t>s</w:t>
      </w:r>
      <w:r w:rsidRPr="00A36308">
        <w:rPr>
          <w:rFonts w:cs="Arial"/>
          <w:szCs w:val="22"/>
          <w:lang w:val="en-US" w:eastAsia="en-AU"/>
        </w:rPr>
        <w:t xml:space="preserve">ed to </w:t>
      </w:r>
      <w:r>
        <w:rPr>
          <w:rFonts w:cs="Arial"/>
          <w:szCs w:val="22"/>
          <w:lang w:val="en-US" w:eastAsia="en-AU"/>
        </w:rPr>
        <w:t>RANEXA</w:t>
      </w:r>
      <w:r w:rsidRPr="00A36308">
        <w:rPr>
          <w:rFonts w:cs="Arial"/>
          <w:szCs w:val="22"/>
          <w:lang w:val="en-US" w:eastAsia="en-AU"/>
        </w:rPr>
        <w:t>. The</w:t>
      </w:r>
      <w:r>
        <w:rPr>
          <w:rFonts w:cs="Arial"/>
          <w:szCs w:val="22"/>
          <w:lang w:val="en-US" w:eastAsia="en-AU"/>
        </w:rPr>
        <w:t xml:space="preserve"> </w:t>
      </w:r>
      <w:r w:rsidRPr="00A36308">
        <w:rPr>
          <w:rFonts w:cs="Arial"/>
          <w:szCs w:val="22"/>
          <w:lang w:val="en-US" w:eastAsia="en-AU"/>
        </w:rPr>
        <w:t>incidence of constipation, dizziness and nausea was slightly greater at the</w:t>
      </w:r>
      <w:r>
        <w:rPr>
          <w:rFonts w:cs="Arial"/>
          <w:szCs w:val="22"/>
          <w:lang w:val="en-US" w:eastAsia="en-AU"/>
        </w:rPr>
        <w:t xml:space="preserve"> </w:t>
      </w:r>
      <w:r w:rsidRPr="00A36308">
        <w:rPr>
          <w:lang w:val="en-US" w:eastAsia="en-AU"/>
        </w:rPr>
        <w:t xml:space="preserve">higher dose of </w:t>
      </w:r>
      <w:r>
        <w:rPr>
          <w:rFonts w:cs="Arial"/>
          <w:szCs w:val="22"/>
          <w:lang w:val="en-US" w:eastAsia="en-AU"/>
        </w:rPr>
        <w:t>RANEXA</w:t>
      </w:r>
      <w:r w:rsidRPr="00A36308">
        <w:rPr>
          <w:lang w:val="en-US" w:eastAsia="en-AU"/>
        </w:rPr>
        <w:t>.</w:t>
      </w:r>
      <w:r w:rsidRPr="00462417" w:rsidDel="00462417">
        <w:rPr>
          <w:lang w:eastAsia="en-AU"/>
        </w:rPr>
        <w:t xml:space="preserve"> </w:t>
      </w:r>
    </w:p>
    <w:p w:rsidR="006D7E77" w:rsidRPr="00912119" w:rsidRDefault="00A43013" w:rsidP="00912119">
      <w:pPr>
        <w:rPr>
          <w:rFonts w:cs="Arial"/>
        </w:rPr>
      </w:pPr>
      <w:r w:rsidRPr="00912119">
        <w:rPr>
          <w:rFonts w:cs="Arial"/>
        </w:rPr>
        <w:t xml:space="preserve">The adverse events, considered to be at least possibly related to treatment are listed in Table </w:t>
      </w:r>
      <w:r w:rsidR="0043185D">
        <w:rPr>
          <w:rFonts w:cs="Arial"/>
        </w:rPr>
        <w:t>6</w:t>
      </w:r>
      <w:r w:rsidRPr="00912119">
        <w:rPr>
          <w:rFonts w:cs="Arial"/>
        </w:rPr>
        <w:t xml:space="preserve">. </w:t>
      </w:r>
      <w:r w:rsidR="00D5466A" w:rsidRPr="00912119">
        <w:rPr>
          <w:rFonts w:cs="Arial"/>
        </w:rPr>
        <w:t>These were reported during the Phase 3 clinical development programme, which included a total of 1,030 chronic angina patients treated with RANEXA.</w:t>
      </w:r>
      <w:r w:rsidR="002A3271">
        <w:rPr>
          <w:rFonts w:cs="Arial"/>
        </w:rPr>
        <w:t xml:space="preserve"> </w:t>
      </w:r>
      <w:r w:rsidRPr="00912119">
        <w:rPr>
          <w:rFonts w:cs="Arial"/>
        </w:rPr>
        <w:t>Frequencies are defined as: very common (≥ 1/10), common (≥ 1/100 to &lt; 1/10), uncommon (≥ 1/1,000 to &lt; 1/100), and rare (≥ 1/10,000 to &lt; 1/1,000).</w:t>
      </w:r>
    </w:p>
    <w:p w:rsidR="00196BC5" w:rsidRPr="00A75A7F" w:rsidRDefault="004931B6" w:rsidP="00A75A7F">
      <w:pPr>
        <w:pStyle w:val="Caption"/>
        <w:keepNext/>
        <w:spacing w:before="120" w:after="120"/>
        <w:rPr>
          <w:rFonts w:eastAsiaTheme="minorHAnsi" w:cstheme="minorBidi"/>
          <w:bCs w:val="0"/>
          <w:color w:val="auto"/>
          <w:sz w:val="22"/>
          <w:szCs w:val="22"/>
        </w:rPr>
      </w:pPr>
      <w:r w:rsidRPr="00A75A7F">
        <w:rPr>
          <w:rFonts w:eastAsiaTheme="minorHAnsi" w:cstheme="minorBidi"/>
          <w:bCs w:val="0"/>
          <w:color w:val="auto"/>
          <w:sz w:val="22"/>
          <w:szCs w:val="22"/>
        </w:rPr>
        <w:lastRenderedPageBreak/>
        <w:t xml:space="preserve">Table </w:t>
      </w:r>
      <w:r w:rsidR="0043185D" w:rsidRPr="00A75A7F">
        <w:rPr>
          <w:rFonts w:eastAsiaTheme="minorHAnsi" w:cstheme="minorBidi"/>
          <w:bCs w:val="0"/>
          <w:color w:val="auto"/>
          <w:sz w:val="22"/>
          <w:szCs w:val="22"/>
        </w:rPr>
        <w:t>6</w:t>
      </w:r>
      <w:r w:rsidR="00625639" w:rsidRPr="00A75A7F">
        <w:rPr>
          <w:rFonts w:eastAsiaTheme="minorHAnsi" w:cstheme="minorBidi"/>
          <w:bCs w:val="0"/>
          <w:color w:val="auto"/>
          <w:sz w:val="22"/>
          <w:szCs w:val="22"/>
        </w:rPr>
        <w:tab/>
      </w:r>
      <w:r w:rsidR="00691929" w:rsidRPr="00A75A7F">
        <w:rPr>
          <w:rFonts w:eastAsiaTheme="minorHAnsi" w:cstheme="minorBidi"/>
          <w:bCs w:val="0"/>
          <w:color w:val="auto"/>
          <w:sz w:val="22"/>
          <w:szCs w:val="22"/>
        </w:rPr>
        <w:t>Tabulated list of adverse reactions from Phase 3 controlled angina studies</w:t>
      </w:r>
    </w:p>
    <w:tbl>
      <w:tblPr>
        <w:tblStyle w:val="TableGrid"/>
        <w:tblW w:w="9652" w:type="dxa"/>
        <w:jc w:val="center"/>
        <w:tblLook w:val="04A0" w:firstRow="1" w:lastRow="0" w:firstColumn="1" w:lastColumn="0" w:noHBand="0" w:noVBand="1"/>
      </w:tblPr>
      <w:tblGrid>
        <w:gridCol w:w="2399"/>
        <w:gridCol w:w="2327"/>
        <w:gridCol w:w="2551"/>
        <w:gridCol w:w="2375"/>
      </w:tblGrid>
      <w:tr w:rsidR="00691929" w:rsidRPr="00222A9C" w:rsidTr="0005664E">
        <w:trPr>
          <w:jc w:val="center"/>
        </w:trPr>
        <w:tc>
          <w:tcPr>
            <w:tcW w:w="2399" w:type="dxa"/>
            <w:vAlign w:val="center"/>
          </w:tcPr>
          <w:p w:rsidR="00691929" w:rsidRPr="00222A9C" w:rsidRDefault="00691929" w:rsidP="00A75A7F">
            <w:pPr>
              <w:spacing w:before="20" w:after="20"/>
              <w:jc w:val="left"/>
              <w:rPr>
                <w:rFonts w:cs="Arial"/>
                <w:sz w:val="18"/>
              </w:rPr>
            </w:pPr>
          </w:p>
        </w:tc>
        <w:tc>
          <w:tcPr>
            <w:tcW w:w="2327" w:type="dxa"/>
            <w:vAlign w:val="center"/>
          </w:tcPr>
          <w:p w:rsidR="00691929" w:rsidRPr="00222A9C" w:rsidRDefault="00A43013" w:rsidP="00A75A7F">
            <w:pPr>
              <w:spacing w:before="20" w:after="20"/>
              <w:jc w:val="left"/>
              <w:rPr>
                <w:rFonts w:cs="Arial"/>
                <w:b/>
                <w:sz w:val="18"/>
              </w:rPr>
            </w:pPr>
            <w:r w:rsidRPr="00222A9C">
              <w:rPr>
                <w:rFonts w:cs="Arial"/>
                <w:b/>
                <w:sz w:val="18"/>
                <w:szCs w:val="20"/>
              </w:rPr>
              <w:t>Common</w:t>
            </w:r>
          </w:p>
        </w:tc>
        <w:tc>
          <w:tcPr>
            <w:tcW w:w="2551" w:type="dxa"/>
            <w:vAlign w:val="center"/>
          </w:tcPr>
          <w:p w:rsidR="00691929" w:rsidRPr="00222A9C" w:rsidRDefault="00A43013" w:rsidP="00A75A7F">
            <w:pPr>
              <w:spacing w:before="20" w:after="20"/>
              <w:jc w:val="left"/>
              <w:rPr>
                <w:rFonts w:cs="Arial"/>
                <w:b/>
                <w:sz w:val="18"/>
              </w:rPr>
            </w:pPr>
            <w:r w:rsidRPr="00222A9C">
              <w:rPr>
                <w:rFonts w:cs="Arial"/>
                <w:b/>
                <w:sz w:val="18"/>
                <w:szCs w:val="20"/>
              </w:rPr>
              <w:t>Uncommon</w:t>
            </w:r>
          </w:p>
        </w:tc>
        <w:tc>
          <w:tcPr>
            <w:tcW w:w="2375" w:type="dxa"/>
            <w:vAlign w:val="center"/>
          </w:tcPr>
          <w:p w:rsidR="00691929" w:rsidRPr="00222A9C" w:rsidRDefault="00A43013" w:rsidP="00A75A7F">
            <w:pPr>
              <w:spacing w:before="20" w:after="20"/>
              <w:jc w:val="left"/>
              <w:rPr>
                <w:rFonts w:cs="Arial"/>
                <w:b/>
                <w:sz w:val="18"/>
              </w:rPr>
            </w:pPr>
            <w:r w:rsidRPr="00222A9C">
              <w:rPr>
                <w:rFonts w:cs="Arial"/>
                <w:b/>
                <w:sz w:val="18"/>
                <w:szCs w:val="20"/>
              </w:rPr>
              <w:t>Rare</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rPr>
            </w:pPr>
            <w:r w:rsidRPr="00222A9C">
              <w:rPr>
                <w:rFonts w:cs="Arial"/>
                <w:b/>
                <w:sz w:val="18"/>
                <w:szCs w:val="20"/>
                <w:u w:val="single"/>
              </w:rPr>
              <w:t>Metabolism and nutrition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sz w:val="18"/>
              </w:rPr>
            </w:pPr>
            <w:r w:rsidRPr="00222A9C">
              <w:rPr>
                <w:rFonts w:cs="Arial"/>
                <w:sz w:val="18"/>
                <w:szCs w:val="20"/>
              </w:rPr>
              <w:t>anorexia, decreased appetite, dehydration</w:t>
            </w:r>
          </w:p>
        </w:tc>
        <w:tc>
          <w:tcPr>
            <w:tcW w:w="2375" w:type="dxa"/>
          </w:tcPr>
          <w:p w:rsidR="00691929" w:rsidRPr="00222A9C" w:rsidRDefault="002A6AB4" w:rsidP="00137A92">
            <w:pPr>
              <w:spacing w:before="20" w:after="20"/>
              <w:jc w:val="left"/>
              <w:rPr>
                <w:rFonts w:cs="Arial"/>
                <w:sz w:val="18"/>
              </w:rPr>
            </w:pPr>
            <w:r w:rsidRPr="00222A9C">
              <w:rPr>
                <w:rFonts w:cs="Arial"/>
                <w:sz w:val="18"/>
              </w:rPr>
              <w:t>hyponatr</w:t>
            </w:r>
            <w:r w:rsidR="008F7167" w:rsidRPr="00222A9C">
              <w:rPr>
                <w:rFonts w:cs="Arial"/>
                <w:sz w:val="18"/>
              </w:rPr>
              <w:t>a</w:t>
            </w:r>
            <w:r w:rsidRPr="00222A9C">
              <w:rPr>
                <w:rFonts w:cs="Arial"/>
                <w:sz w:val="18"/>
              </w:rPr>
              <w:t>emia</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Psychiatric disorders</w:t>
            </w:r>
          </w:p>
          <w:p w:rsidR="00691929" w:rsidRPr="00222A9C" w:rsidRDefault="00691929" w:rsidP="00137A92">
            <w:pPr>
              <w:spacing w:before="20" w:after="20"/>
              <w:jc w:val="left"/>
              <w:rPr>
                <w:rFonts w:cs="Arial"/>
                <w:b/>
                <w:sz w:val="18"/>
              </w:rPr>
            </w:pP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691929" w:rsidP="00137A92">
            <w:pPr>
              <w:spacing w:before="20" w:after="20"/>
              <w:jc w:val="left"/>
              <w:rPr>
                <w:rFonts w:cs="Arial"/>
                <w:sz w:val="18"/>
              </w:rPr>
            </w:pPr>
            <w:r w:rsidRPr="00222A9C">
              <w:rPr>
                <w:rFonts w:cs="Arial"/>
                <w:sz w:val="18"/>
              </w:rPr>
              <w:t>anxiety, insomnia, confusional state, hallucination</w:t>
            </w:r>
          </w:p>
        </w:tc>
        <w:tc>
          <w:tcPr>
            <w:tcW w:w="2375" w:type="dxa"/>
          </w:tcPr>
          <w:p w:rsidR="00691929" w:rsidRPr="00222A9C" w:rsidRDefault="00691929" w:rsidP="00137A92">
            <w:pPr>
              <w:spacing w:before="20" w:after="20"/>
              <w:jc w:val="left"/>
              <w:rPr>
                <w:rFonts w:cs="Arial"/>
                <w:sz w:val="18"/>
              </w:rPr>
            </w:pPr>
            <w:r w:rsidRPr="00222A9C">
              <w:rPr>
                <w:rFonts w:cs="Arial"/>
                <w:sz w:val="18"/>
              </w:rPr>
              <w:t>disorientation</w:t>
            </w:r>
          </w:p>
          <w:p w:rsidR="00691929" w:rsidRPr="00222A9C" w:rsidRDefault="00691929" w:rsidP="00137A92">
            <w:pPr>
              <w:spacing w:before="20" w:after="20"/>
              <w:jc w:val="left"/>
              <w:rPr>
                <w:rFonts w:cs="Arial"/>
                <w:sz w:val="18"/>
              </w:rPr>
            </w:pP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Nervous system disorders</w:t>
            </w:r>
          </w:p>
          <w:p w:rsidR="00691929" w:rsidRPr="00222A9C" w:rsidRDefault="00691929" w:rsidP="00137A92">
            <w:pPr>
              <w:spacing w:before="20" w:after="20"/>
              <w:jc w:val="left"/>
              <w:rPr>
                <w:rFonts w:cs="Arial"/>
                <w:b/>
                <w:sz w:val="18"/>
              </w:rPr>
            </w:pPr>
          </w:p>
        </w:tc>
        <w:tc>
          <w:tcPr>
            <w:tcW w:w="2327" w:type="dxa"/>
          </w:tcPr>
          <w:p w:rsidR="00691929" w:rsidRPr="00222A9C" w:rsidRDefault="00A43013" w:rsidP="00137A92">
            <w:pPr>
              <w:spacing w:before="20" w:after="20"/>
              <w:jc w:val="left"/>
              <w:rPr>
                <w:rFonts w:cs="Arial"/>
                <w:sz w:val="18"/>
              </w:rPr>
            </w:pPr>
            <w:r w:rsidRPr="00222A9C">
              <w:rPr>
                <w:rFonts w:cs="Arial"/>
                <w:sz w:val="18"/>
                <w:szCs w:val="20"/>
              </w:rPr>
              <w:t>dizziness, headache.</w:t>
            </w:r>
          </w:p>
          <w:p w:rsidR="00691929" w:rsidRPr="00222A9C" w:rsidRDefault="00691929" w:rsidP="00137A92">
            <w:pPr>
              <w:spacing w:before="20" w:after="20"/>
              <w:jc w:val="left"/>
              <w:rPr>
                <w:rFonts w:cs="Arial"/>
                <w:sz w:val="18"/>
              </w:rPr>
            </w:pPr>
          </w:p>
        </w:tc>
        <w:tc>
          <w:tcPr>
            <w:tcW w:w="2551" w:type="dxa"/>
          </w:tcPr>
          <w:p w:rsidR="00691929" w:rsidRPr="00222A9C" w:rsidRDefault="00691929" w:rsidP="00137A92">
            <w:pPr>
              <w:spacing w:before="20" w:after="20"/>
              <w:jc w:val="left"/>
              <w:rPr>
                <w:rFonts w:cs="Arial"/>
                <w:sz w:val="18"/>
              </w:rPr>
            </w:pPr>
            <w:r w:rsidRPr="00222A9C">
              <w:rPr>
                <w:rFonts w:cs="Arial"/>
                <w:sz w:val="18"/>
              </w:rPr>
              <w:t>lethargy, syncope, hypoaesthesia, somnolence, tremor, postural dizziness, par</w:t>
            </w:r>
            <w:r w:rsidR="009155D2" w:rsidRPr="00222A9C">
              <w:rPr>
                <w:rFonts w:cs="Arial"/>
                <w:sz w:val="18"/>
              </w:rPr>
              <w:t>a</w:t>
            </w:r>
            <w:r w:rsidRPr="00222A9C">
              <w:rPr>
                <w:rFonts w:cs="Arial"/>
                <w:sz w:val="18"/>
              </w:rPr>
              <w:t>esthesia</w:t>
            </w:r>
          </w:p>
          <w:p w:rsidR="00691929" w:rsidRPr="00222A9C" w:rsidRDefault="00691929" w:rsidP="00137A92">
            <w:pPr>
              <w:spacing w:before="20" w:after="20"/>
              <w:jc w:val="left"/>
              <w:rPr>
                <w:rFonts w:cs="Arial"/>
                <w:sz w:val="18"/>
              </w:rPr>
            </w:pPr>
          </w:p>
        </w:tc>
        <w:tc>
          <w:tcPr>
            <w:tcW w:w="2375" w:type="dxa"/>
          </w:tcPr>
          <w:p w:rsidR="00A06275" w:rsidRDefault="00691929" w:rsidP="00137A92">
            <w:pPr>
              <w:spacing w:before="20" w:after="20"/>
              <w:ind w:firstLine="2"/>
              <w:jc w:val="left"/>
              <w:rPr>
                <w:rFonts w:eastAsia="Times New Roman" w:cs="Arial"/>
                <w:sz w:val="18"/>
                <w:szCs w:val="20"/>
              </w:rPr>
            </w:pPr>
            <w:r w:rsidRPr="00222A9C">
              <w:rPr>
                <w:rFonts w:cs="Arial"/>
                <w:sz w:val="18"/>
              </w:rPr>
              <w:t>amnesia,</w:t>
            </w:r>
            <w:r w:rsidR="00D463D3">
              <w:rPr>
                <w:rFonts w:cs="Arial"/>
                <w:sz w:val="18"/>
              </w:rPr>
              <w:t xml:space="preserve"> </w:t>
            </w:r>
            <w:r w:rsidRPr="00222A9C">
              <w:rPr>
                <w:rFonts w:cs="Arial"/>
                <w:sz w:val="18"/>
              </w:rPr>
              <w:t>depressed level</w:t>
            </w:r>
            <w:r w:rsidR="00D463D3">
              <w:rPr>
                <w:rFonts w:cs="Arial"/>
                <w:sz w:val="18"/>
              </w:rPr>
              <w:t xml:space="preserve"> </w:t>
            </w:r>
            <w:r w:rsidRPr="00222A9C">
              <w:rPr>
                <w:rFonts w:cs="Arial"/>
                <w:sz w:val="18"/>
              </w:rPr>
              <w:t>of consciousness,</w:t>
            </w:r>
            <w:r w:rsidR="00D463D3">
              <w:rPr>
                <w:rFonts w:cs="Arial"/>
                <w:sz w:val="18"/>
              </w:rPr>
              <w:t xml:space="preserve"> </w:t>
            </w:r>
            <w:r w:rsidRPr="00222A9C">
              <w:rPr>
                <w:rFonts w:cs="Arial"/>
                <w:sz w:val="18"/>
              </w:rPr>
              <w:t>loss of</w:t>
            </w:r>
            <w:r w:rsidR="00D463D3">
              <w:rPr>
                <w:rFonts w:cs="Arial"/>
                <w:sz w:val="18"/>
                <w:szCs w:val="20"/>
              </w:rPr>
              <w:t xml:space="preserve"> </w:t>
            </w:r>
            <w:r w:rsidR="00A43013" w:rsidRPr="00222A9C">
              <w:rPr>
                <w:rFonts w:cs="Arial"/>
                <w:sz w:val="18"/>
                <w:szCs w:val="20"/>
              </w:rPr>
              <w:t>consciousness,</w:t>
            </w:r>
            <w:r w:rsidR="00D463D3">
              <w:rPr>
                <w:rFonts w:cs="Arial"/>
                <w:sz w:val="18"/>
                <w:szCs w:val="20"/>
              </w:rPr>
              <w:t xml:space="preserve"> </w:t>
            </w:r>
            <w:r w:rsidR="00A43013" w:rsidRPr="00222A9C">
              <w:rPr>
                <w:rFonts w:cs="Arial"/>
                <w:sz w:val="18"/>
                <w:szCs w:val="20"/>
              </w:rPr>
              <w:t>coordination</w:t>
            </w:r>
            <w:r w:rsidR="00D463D3">
              <w:rPr>
                <w:rFonts w:cs="Arial"/>
                <w:sz w:val="18"/>
                <w:szCs w:val="20"/>
              </w:rPr>
              <w:t xml:space="preserve"> </w:t>
            </w:r>
            <w:r w:rsidR="00A43013" w:rsidRPr="00222A9C">
              <w:rPr>
                <w:rFonts w:cs="Arial"/>
                <w:sz w:val="18"/>
                <w:szCs w:val="20"/>
              </w:rPr>
              <w:t>abnormal, gait</w:t>
            </w:r>
            <w:r w:rsidR="00D463D3">
              <w:rPr>
                <w:rFonts w:cs="Arial"/>
                <w:sz w:val="18"/>
                <w:szCs w:val="20"/>
              </w:rPr>
              <w:t xml:space="preserve"> </w:t>
            </w:r>
            <w:r w:rsidR="00A43013" w:rsidRPr="00222A9C">
              <w:rPr>
                <w:rFonts w:cs="Arial"/>
                <w:sz w:val="18"/>
                <w:szCs w:val="20"/>
              </w:rPr>
              <w:t>disturbance,</w:t>
            </w:r>
            <w:r w:rsidR="00D463D3">
              <w:rPr>
                <w:rFonts w:cs="Arial"/>
                <w:sz w:val="18"/>
                <w:szCs w:val="20"/>
              </w:rPr>
              <w:t xml:space="preserve"> </w:t>
            </w:r>
            <w:r w:rsidR="00A43013" w:rsidRPr="00222A9C">
              <w:rPr>
                <w:rFonts w:cs="Arial"/>
                <w:sz w:val="18"/>
                <w:szCs w:val="20"/>
              </w:rPr>
              <w:t>parosmia</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Eye disorders</w:t>
            </w:r>
          </w:p>
          <w:p w:rsidR="00691929" w:rsidRPr="00222A9C" w:rsidRDefault="00691929" w:rsidP="00137A92">
            <w:pPr>
              <w:spacing w:before="20" w:after="20"/>
              <w:jc w:val="left"/>
              <w:rPr>
                <w:rFonts w:cs="Arial"/>
                <w:b/>
                <w:sz w:val="18"/>
              </w:rPr>
            </w:pP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sz w:val="18"/>
              </w:rPr>
            </w:pPr>
            <w:r w:rsidRPr="00222A9C">
              <w:rPr>
                <w:rFonts w:cs="Arial"/>
                <w:sz w:val="18"/>
                <w:szCs w:val="20"/>
              </w:rPr>
              <w:t>blurred vision, visual disturbance, diplopia</w:t>
            </w:r>
          </w:p>
        </w:tc>
        <w:tc>
          <w:tcPr>
            <w:tcW w:w="2375" w:type="dxa"/>
          </w:tcPr>
          <w:p w:rsidR="00691929" w:rsidRPr="00222A9C" w:rsidRDefault="00691929" w:rsidP="00137A92">
            <w:pPr>
              <w:spacing w:before="20" w:after="20"/>
              <w:jc w:val="left"/>
              <w:rPr>
                <w:rFonts w:cs="Arial"/>
                <w:sz w:val="18"/>
              </w:rPr>
            </w:pPr>
          </w:p>
        </w:tc>
      </w:tr>
      <w:tr w:rsidR="00691929" w:rsidRPr="00222A9C" w:rsidTr="00137A92">
        <w:trPr>
          <w:jc w:val="center"/>
        </w:trPr>
        <w:tc>
          <w:tcPr>
            <w:tcW w:w="2399" w:type="dxa"/>
          </w:tcPr>
          <w:p w:rsidR="00691929" w:rsidRPr="00222A9C" w:rsidRDefault="00A43013" w:rsidP="00137A92">
            <w:pPr>
              <w:keepLines/>
              <w:spacing w:before="20" w:after="20"/>
              <w:jc w:val="left"/>
              <w:rPr>
                <w:rFonts w:cs="Arial"/>
                <w:b/>
                <w:sz w:val="18"/>
              </w:rPr>
            </w:pPr>
            <w:r w:rsidRPr="00222A9C">
              <w:rPr>
                <w:rFonts w:cs="Arial"/>
                <w:b/>
                <w:sz w:val="18"/>
                <w:szCs w:val="20"/>
                <w:u w:val="single"/>
              </w:rPr>
              <w:t>Ear and labyrinth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keepLines/>
              <w:spacing w:before="20" w:after="20"/>
              <w:jc w:val="left"/>
              <w:rPr>
                <w:rFonts w:cs="Arial"/>
                <w:sz w:val="18"/>
              </w:rPr>
            </w:pPr>
            <w:r w:rsidRPr="00222A9C">
              <w:rPr>
                <w:rFonts w:cs="Arial"/>
                <w:sz w:val="18"/>
                <w:szCs w:val="20"/>
              </w:rPr>
              <w:t>vertigo, tinnitus</w:t>
            </w:r>
          </w:p>
        </w:tc>
        <w:tc>
          <w:tcPr>
            <w:tcW w:w="2375" w:type="dxa"/>
          </w:tcPr>
          <w:p w:rsidR="00691929" w:rsidRPr="00222A9C" w:rsidRDefault="00A43013" w:rsidP="00137A92">
            <w:pPr>
              <w:keepLines/>
              <w:spacing w:before="20" w:after="20"/>
              <w:jc w:val="left"/>
              <w:rPr>
                <w:rFonts w:cs="Arial"/>
                <w:sz w:val="18"/>
              </w:rPr>
            </w:pPr>
            <w:r w:rsidRPr="00222A9C">
              <w:rPr>
                <w:rFonts w:cs="Arial"/>
                <w:sz w:val="18"/>
                <w:szCs w:val="20"/>
              </w:rPr>
              <w:t>impaired hearing</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rPr>
            </w:pPr>
            <w:r w:rsidRPr="00222A9C">
              <w:rPr>
                <w:rFonts w:cs="Arial"/>
                <w:b/>
                <w:sz w:val="18"/>
                <w:szCs w:val="20"/>
                <w:u w:val="single"/>
              </w:rPr>
              <w:t>Vascular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sz w:val="18"/>
              </w:rPr>
            </w:pPr>
            <w:r w:rsidRPr="00222A9C">
              <w:rPr>
                <w:rFonts w:cs="Arial"/>
                <w:sz w:val="18"/>
                <w:szCs w:val="20"/>
              </w:rPr>
              <w:t>hot flush, hypotension</w:t>
            </w:r>
          </w:p>
          <w:p w:rsidR="00691929" w:rsidRPr="00222A9C" w:rsidRDefault="00691929" w:rsidP="00137A92">
            <w:pPr>
              <w:spacing w:before="20" w:after="20"/>
              <w:jc w:val="left"/>
              <w:rPr>
                <w:rFonts w:cs="Arial"/>
                <w:sz w:val="18"/>
              </w:rPr>
            </w:pPr>
          </w:p>
        </w:tc>
        <w:tc>
          <w:tcPr>
            <w:tcW w:w="2375" w:type="dxa"/>
          </w:tcPr>
          <w:p w:rsidR="00691929" w:rsidRPr="00222A9C" w:rsidRDefault="00A43013" w:rsidP="00137A92">
            <w:pPr>
              <w:spacing w:before="20" w:after="20"/>
              <w:jc w:val="left"/>
              <w:rPr>
                <w:rFonts w:cs="Arial"/>
                <w:sz w:val="18"/>
              </w:rPr>
            </w:pPr>
            <w:r w:rsidRPr="00222A9C">
              <w:rPr>
                <w:rFonts w:cs="Arial"/>
                <w:sz w:val="18"/>
                <w:szCs w:val="20"/>
              </w:rPr>
              <w:t>peripheral coldness, orthostatic hypotension</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Respiratory, thoracic, and mediastinal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sz w:val="18"/>
              </w:rPr>
            </w:pPr>
            <w:r w:rsidRPr="00222A9C">
              <w:rPr>
                <w:rFonts w:cs="Arial"/>
                <w:sz w:val="18"/>
                <w:szCs w:val="20"/>
              </w:rPr>
              <w:t>dyspnoea, cough, epistaxis</w:t>
            </w:r>
          </w:p>
          <w:p w:rsidR="00691929" w:rsidRPr="00222A9C" w:rsidRDefault="00691929" w:rsidP="00137A92">
            <w:pPr>
              <w:spacing w:before="20" w:after="20"/>
              <w:jc w:val="left"/>
              <w:rPr>
                <w:rFonts w:cs="Arial"/>
                <w:i/>
                <w:sz w:val="18"/>
              </w:rPr>
            </w:pPr>
          </w:p>
        </w:tc>
        <w:tc>
          <w:tcPr>
            <w:tcW w:w="2375" w:type="dxa"/>
          </w:tcPr>
          <w:p w:rsidR="00691929" w:rsidRPr="00222A9C" w:rsidRDefault="00A43013" w:rsidP="00137A92">
            <w:pPr>
              <w:spacing w:before="20" w:after="20"/>
              <w:jc w:val="left"/>
              <w:rPr>
                <w:rFonts w:cs="Arial"/>
                <w:sz w:val="18"/>
              </w:rPr>
            </w:pPr>
            <w:r w:rsidRPr="00222A9C">
              <w:rPr>
                <w:rFonts w:cs="Arial"/>
                <w:sz w:val="18"/>
                <w:szCs w:val="20"/>
              </w:rPr>
              <w:t>throat tightness</w:t>
            </w:r>
          </w:p>
          <w:p w:rsidR="00691929" w:rsidRPr="00222A9C" w:rsidRDefault="00691929" w:rsidP="00137A92">
            <w:pPr>
              <w:spacing w:before="20" w:after="20"/>
              <w:jc w:val="left"/>
              <w:rPr>
                <w:rFonts w:cs="Arial"/>
                <w:i/>
                <w:sz w:val="18"/>
              </w:rPr>
            </w:pP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Gastrointestinal disorders</w:t>
            </w:r>
          </w:p>
          <w:p w:rsidR="00691929" w:rsidRPr="00222A9C" w:rsidRDefault="00691929" w:rsidP="00137A92">
            <w:pPr>
              <w:spacing w:before="20" w:after="20"/>
              <w:jc w:val="left"/>
              <w:rPr>
                <w:rFonts w:cs="Arial"/>
                <w:b/>
                <w:sz w:val="18"/>
                <w:u w:val="single"/>
              </w:rPr>
            </w:pPr>
          </w:p>
        </w:tc>
        <w:tc>
          <w:tcPr>
            <w:tcW w:w="2327" w:type="dxa"/>
          </w:tcPr>
          <w:p w:rsidR="00691929" w:rsidRPr="00222A9C" w:rsidRDefault="00A43013" w:rsidP="00137A92">
            <w:pPr>
              <w:spacing w:before="20" w:after="20"/>
              <w:jc w:val="left"/>
              <w:rPr>
                <w:rFonts w:cs="Arial"/>
                <w:sz w:val="18"/>
              </w:rPr>
            </w:pPr>
            <w:r w:rsidRPr="00222A9C">
              <w:rPr>
                <w:rFonts w:cs="Arial"/>
                <w:sz w:val="18"/>
                <w:szCs w:val="20"/>
              </w:rPr>
              <w:t xml:space="preserve">constipation, </w:t>
            </w:r>
            <w:r w:rsidR="00691929" w:rsidRPr="00222A9C">
              <w:rPr>
                <w:rFonts w:cs="Arial"/>
                <w:sz w:val="18"/>
              </w:rPr>
              <w:t xml:space="preserve">vomiting, </w:t>
            </w:r>
            <w:r w:rsidRPr="00222A9C">
              <w:rPr>
                <w:rFonts w:cs="Arial"/>
                <w:sz w:val="18"/>
                <w:szCs w:val="20"/>
              </w:rPr>
              <w:t>nausea</w:t>
            </w:r>
            <w:r w:rsidR="00691929" w:rsidRPr="00222A9C">
              <w:rPr>
                <w:rFonts w:cs="Arial"/>
                <w:sz w:val="18"/>
              </w:rPr>
              <w:t>.</w:t>
            </w:r>
          </w:p>
        </w:tc>
        <w:tc>
          <w:tcPr>
            <w:tcW w:w="2551" w:type="dxa"/>
          </w:tcPr>
          <w:p w:rsidR="00A06275" w:rsidRDefault="00691929" w:rsidP="00137A92">
            <w:pPr>
              <w:spacing w:before="20" w:after="20"/>
              <w:jc w:val="left"/>
              <w:rPr>
                <w:rFonts w:eastAsia="Times New Roman" w:cs="Times New Roman"/>
                <w:sz w:val="18"/>
                <w:szCs w:val="20"/>
              </w:rPr>
            </w:pPr>
            <w:r w:rsidRPr="00222A9C">
              <w:rPr>
                <w:rFonts w:cs="Arial"/>
                <w:sz w:val="18"/>
              </w:rPr>
              <w:t>abdominal pain, dry</w:t>
            </w:r>
            <w:r w:rsidR="00D463D3">
              <w:rPr>
                <w:rFonts w:cs="Arial"/>
                <w:sz w:val="18"/>
              </w:rPr>
              <w:t xml:space="preserve"> </w:t>
            </w:r>
            <w:r w:rsidRPr="00222A9C">
              <w:rPr>
                <w:rFonts w:cs="Arial"/>
                <w:sz w:val="18"/>
              </w:rPr>
              <w:t>mouth, dyspepsia,</w:t>
            </w:r>
            <w:r w:rsidR="00D463D3">
              <w:rPr>
                <w:rFonts w:cs="Arial"/>
                <w:sz w:val="18"/>
              </w:rPr>
              <w:t xml:space="preserve"> </w:t>
            </w:r>
            <w:r w:rsidRPr="00222A9C">
              <w:rPr>
                <w:rFonts w:cs="Arial"/>
                <w:sz w:val="18"/>
              </w:rPr>
              <w:t>flatulence, stomac</w:t>
            </w:r>
            <w:r w:rsidR="00D463D3">
              <w:rPr>
                <w:rFonts w:cs="Arial"/>
                <w:sz w:val="18"/>
              </w:rPr>
              <w:t xml:space="preserve">h </w:t>
            </w:r>
            <w:r w:rsidRPr="00222A9C">
              <w:rPr>
                <w:rFonts w:cs="Arial"/>
                <w:sz w:val="18"/>
              </w:rPr>
              <w:t>discomfort</w:t>
            </w:r>
          </w:p>
        </w:tc>
        <w:tc>
          <w:tcPr>
            <w:tcW w:w="2375" w:type="dxa"/>
          </w:tcPr>
          <w:p w:rsidR="00691929" w:rsidRPr="00222A9C" w:rsidRDefault="00691929" w:rsidP="00137A92">
            <w:pPr>
              <w:spacing w:before="20" w:after="20"/>
              <w:jc w:val="left"/>
              <w:rPr>
                <w:rFonts w:cs="Arial"/>
                <w:i/>
                <w:sz w:val="18"/>
              </w:rPr>
            </w:pPr>
            <w:r w:rsidRPr="00222A9C">
              <w:rPr>
                <w:rFonts w:cs="Arial"/>
                <w:sz w:val="18"/>
              </w:rPr>
              <w:t>pancreatitis, erosive duodenitis, oral hypoaesthesia</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Skin and subcutaneous tissue disorders</w:t>
            </w:r>
          </w:p>
          <w:p w:rsidR="00691929" w:rsidRPr="00222A9C" w:rsidRDefault="00691929" w:rsidP="00137A92">
            <w:pPr>
              <w:spacing w:before="20" w:after="20"/>
              <w:jc w:val="left"/>
              <w:rPr>
                <w:rFonts w:cs="Arial"/>
                <w:b/>
                <w:sz w:val="18"/>
                <w:u w:val="single"/>
              </w:rPr>
            </w:pP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sz w:val="18"/>
              </w:rPr>
            </w:pPr>
            <w:r w:rsidRPr="00222A9C">
              <w:rPr>
                <w:rFonts w:cs="Arial"/>
                <w:sz w:val="18"/>
                <w:szCs w:val="20"/>
              </w:rPr>
              <w:t>pruritus, hyperhydrosis</w:t>
            </w:r>
          </w:p>
          <w:p w:rsidR="00691929" w:rsidRPr="00222A9C" w:rsidRDefault="00691929" w:rsidP="00137A92">
            <w:pPr>
              <w:pStyle w:val="EndnoteText"/>
              <w:tabs>
                <w:tab w:val="clear" w:pos="567"/>
              </w:tabs>
              <w:spacing w:before="20" w:after="20"/>
              <w:rPr>
                <w:rFonts w:ascii="Arial" w:hAnsi="Arial" w:cs="Arial"/>
                <w:i/>
                <w:sz w:val="18"/>
                <w:lang w:val="en-AU"/>
              </w:rPr>
            </w:pPr>
          </w:p>
        </w:tc>
        <w:tc>
          <w:tcPr>
            <w:tcW w:w="2375" w:type="dxa"/>
          </w:tcPr>
          <w:p w:rsidR="00691929" w:rsidRPr="00222A9C" w:rsidRDefault="00691929" w:rsidP="00137A92">
            <w:pPr>
              <w:spacing w:before="20" w:after="20"/>
              <w:jc w:val="left"/>
              <w:rPr>
                <w:rFonts w:cs="Arial"/>
                <w:i/>
                <w:sz w:val="18"/>
              </w:rPr>
            </w:pPr>
            <w:r w:rsidRPr="00222A9C">
              <w:rPr>
                <w:rFonts w:cs="Arial"/>
                <w:sz w:val="18"/>
              </w:rPr>
              <w:t>angioedema, allergic dermatitis, urticaria, cold sweat, rash</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Musculoskeletal and connective tissue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sz w:val="18"/>
              </w:rPr>
            </w:pPr>
            <w:r w:rsidRPr="00222A9C">
              <w:rPr>
                <w:rFonts w:cs="Arial"/>
                <w:sz w:val="18"/>
                <w:szCs w:val="20"/>
              </w:rPr>
              <w:t>pain in extremity, muscle cramp, joint swelling, muscular weakness</w:t>
            </w:r>
          </w:p>
        </w:tc>
        <w:tc>
          <w:tcPr>
            <w:tcW w:w="2375" w:type="dxa"/>
          </w:tcPr>
          <w:p w:rsidR="00691929" w:rsidRPr="00222A9C" w:rsidRDefault="00691929" w:rsidP="00137A92">
            <w:pPr>
              <w:spacing w:before="20" w:after="20"/>
              <w:jc w:val="left"/>
              <w:rPr>
                <w:rFonts w:cs="Arial"/>
                <w:i/>
                <w:sz w:val="18"/>
              </w:rPr>
            </w:pP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Renal and urinary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i/>
                <w:sz w:val="18"/>
              </w:rPr>
            </w:pPr>
            <w:r w:rsidRPr="00222A9C">
              <w:rPr>
                <w:rFonts w:cs="Arial"/>
                <w:sz w:val="18"/>
                <w:szCs w:val="20"/>
              </w:rPr>
              <w:t>dysuria, haematuria, chromaturia</w:t>
            </w:r>
          </w:p>
        </w:tc>
        <w:tc>
          <w:tcPr>
            <w:tcW w:w="2375" w:type="dxa"/>
          </w:tcPr>
          <w:p w:rsidR="00691929" w:rsidRPr="00222A9C" w:rsidRDefault="00A43013" w:rsidP="00137A92">
            <w:pPr>
              <w:spacing w:before="20" w:after="20"/>
              <w:jc w:val="left"/>
              <w:rPr>
                <w:rFonts w:cs="Arial"/>
                <w:i/>
                <w:sz w:val="18"/>
              </w:rPr>
            </w:pPr>
            <w:r w:rsidRPr="00222A9C">
              <w:rPr>
                <w:rFonts w:cs="Arial"/>
                <w:sz w:val="18"/>
                <w:szCs w:val="20"/>
              </w:rPr>
              <w:t>acute renal failure, urinary retention</w:t>
            </w: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Reproductive system and breast disorders</w:t>
            </w:r>
          </w:p>
        </w:tc>
        <w:tc>
          <w:tcPr>
            <w:tcW w:w="2327" w:type="dxa"/>
          </w:tcPr>
          <w:p w:rsidR="00691929" w:rsidRPr="00222A9C" w:rsidRDefault="00691929" w:rsidP="00137A92">
            <w:pPr>
              <w:spacing w:before="20" w:after="20"/>
              <w:jc w:val="left"/>
              <w:rPr>
                <w:rFonts w:cs="Arial"/>
                <w:sz w:val="18"/>
              </w:rPr>
            </w:pPr>
          </w:p>
        </w:tc>
        <w:tc>
          <w:tcPr>
            <w:tcW w:w="2551" w:type="dxa"/>
          </w:tcPr>
          <w:p w:rsidR="00691929" w:rsidRPr="00222A9C" w:rsidRDefault="00691929" w:rsidP="00137A92">
            <w:pPr>
              <w:spacing w:before="20" w:after="20"/>
              <w:jc w:val="left"/>
              <w:rPr>
                <w:rFonts w:cs="Arial"/>
                <w:i/>
                <w:sz w:val="18"/>
              </w:rPr>
            </w:pPr>
          </w:p>
        </w:tc>
        <w:tc>
          <w:tcPr>
            <w:tcW w:w="2375" w:type="dxa"/>
          </w:tcPr>
          <w:p w:rsidR="00691929" w:rsidRPr="00222A9C" w:rsidRDefault="00A43013" w:rsidP="00137A92">
            <w:pPr>
              <w:spacing w:before="20" w:after="20"/>
              <w:jc w:val="left"/>
              <w:rPr>
                <w:rFonts w:cs="Arial"/>
                <w:sz w:val="18"/>
                <w:u w:val="single"/>
              </w:rPr>
            </w:pPr>
            <w:r w:rsidRPr="00222A9C">
              <w:rPr>
                <w:rFonts w:cs="Arial"/>
                <w:sz w:val="18"/>
                <w:szCs w:val="20"/>
              </w:rPr>
              <w:t>erectile dysfunction</w:t>
            </w:r>
          </w:p>
          <w:p w:rsidR="00691929" w:rsidRPr="00222A9C" w:rsidRDefault="00691929" w:rsidP="00137A92">
            <w:pPr>
              <w:spacing w:before="20" w:after="20"/>
              <w:jc w:val="left"/>
              <w:rPr>
                <w:rFonts w:cs="Arial"/>
                <w:i/>
                <w:sz w:val="18"/>
              </w:rPr>
            </w:pP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General disorders and administration site conditions</w:t>
            </w:r>
          </w:p>
        </w:tc>
        <w:tc>
          <w:tcPr>
            <w:tcW w:w="2327" w:type="dxa"/>
          </w:tcPr>
          <w:p w:rsidR="00691929" w:rsidRPr="00222A9C" w:rsidRDefault="00A43013" w:rsidP="00137A92">
            <w:pPr>
              <w:spacing w:before="20" w:after="20"/>
              <w:jc w:val="left"/>
              <w:rPr>
                <w:rFonts w:cs="Arial"/>
                <w:i/>
                <w:sz w:val="18"/>
              </w:rPr>
            </w:pPr>
            <w:r w:rsidRPr="00222A9C">
              <w:rPr>
                <w:rFonts w:cs="Arial"/>
                <w:sz w:val="18"/>
                <w:szCs w:val="20"/>
              </w:rPr>
              <w:t>asth</w:t>
            </w:r>
            <w:r w:rsidR="00810DF8" w:rsidRPr="00222A9C">
              <w:rPr>
                <w:rFonts w:cs="Arial"/>
                <w:sz w:val="18"/>
                <w:szCs w:val="20"/>
              </w:rPr>
              <w:t>a</w:t>
            </w:r>
            <w:r w:rsidRPr="00222A9C">
              <w:rPr>
                <w:rFonts w:cs="Arial"/>
                <w:sz w:val="18"/>
                <w:szCs w:val="20"/>
              </w:rPr>
              <w:t>enia</w:t>
            </w:r>
          </w:p>
          <w:p w:rsidR="00691929" w:rsidRPr="00222A9C" w:rsidRDefault="00691929" w:rsidP="00137A92">
            <w:pPr>
              <w:spacing w:before="20" w:after="20"/>
              <w:jc w:val="left"/>
              <w:rPr>
                <w:rFonts w:cs="Arial"/>
                <w:sz w:val="18"/>
              </w:rPr>
            </w:pPr>
          </w:p>
        </w:tc>
        <w:tc>
          <w:tcPr>
            <w:tcW w:w="2551" w:type="dxa"/>
          </w:tcPr>
          <w:p w:rsidR="00691929" w:rsidRPr="00222A9C" w:rsidRDefault="00A43013" w:rsidP="00137A92">
            <w:pPr>
              <w:spacing w:before="20" w:after="20"/>
              <w:jc w:val="left"/>
              <w:rPr>
                <w:rFonts w:cs="Arial"/>
                <w:i/>
                <w:sz w:val="18"/>
              </w:rPr>
            </w:pPr>
            <w:r w:rsidRPr="00222A9C">
              <w:rPr>
                <w:rFonts w:cs="Arial"/>
                <w:sz w:val="18"/>
                <w:szCs w:val="20"/>
              </w:rPr>
              <w:t>fatigue, peripheral oedema</w:t>
            </w:r>
          </w:p>
        </w:tc>
        <w:tc>
          <w:tcPr>
            <w:tcW w:w="2375" w:type="dxa"/>
          </w:tcPr>
          <w:p w:rsidR="00691929" w:rsidRPr="00222A9C" w:rsidRDefault="00691929" w:rsidP="00137A92">
            <w:pPr>
              <w:spacing w:before="20" w:after="20"/>
              <w:jc w:val="left"/>
              <w:rPr>
                <w:rFonts w:cs="Arial"/>
                <w:i/>
                <w:sz w:val="18"/>
              </w:rPr>
            </w:pPr>
          </w:p>
        </w:tc>
      </w:tr>
      <w:tr w:rsidR="00691929" w:rsidRPr="00222A9C" w:rsidTr="00137A92">
        <w:trPr>
          <w:jc w:val="center"/>
        </w:trPr>
        <w:tc>
          <w:tcPr>
            <w:tcW w:w="2399" w:type="dxa"/>
          </w:tcPr>
          <w:p w:rsidR="00691929" w:rsidRPr="00222A9C" w:rsidRDefault="00A43013" w:rsidP="00137A92">
            <w:pPr>
              <w:spacing w:before="20" w:after="20"/>
              <w:jc w:val="left"/>
              <w:rPr>
                <w:rFonts w:cs="Arial"/>
                <w:b/>
                <w:sz w:val="18"/>
                <w:u w:val="single"/>
              </w:rPr>
            </w:pPr>
            <w:r w:rsidRPr="00222A9C">
              <w:rPr>
                <w:rFonts w:cs="Arial"/>
                <w:b/>
                <w:sz w:val="18"/>
                <w:szCs w:val="20"/>
                <w:u w:val="single"/>
              </w:rPr>
              <w:t>Investigations</w:t>
            </w:r>
          </w:p>
          <w:p w:rsidR="00691929" w:rsidRPr="00222A9C" w:rsidRDefault="00691929" w:rsidP="00137A92">
            <w:pPr>
              <w:spacing w:before="20" w:after="20"/>
              <w:jc w:val="left"/>
              <w:rPr>
                <w:rFonts w:cs="Arial"/>
                <w:b/>
                <w:sz w:val="18"/>
                <w:u w:val="single"/>
              </w:rPr>
            </w:pPr>
          </w:p>
        </w:tc>
        <w:tc>
          <w:tcPr>
            <w:tcW w:w="2327" w:type="dxa"/>
          </w:tcPr>
          <w:p w:rsidR="00691929" w:rsidRPr="00222A9C" w:rsidRDefault="00691929" w:rsidP="00137A92">
            <w:pPr>
              <w:spacing w:before="20" w:after="20"/>
              <w:jc w:val="left"/>
              <w:rPr>
                <w:rFonts w:cs="Arial"/>
                <w:sz w:val="18"/>
              </w:rPr>
            </w:pPr>
          </w:p>
        </w:tc>
        <w:tc>
          <w:tcPr>
            <w:tcW w:w="2551" w:type="dxa"/>
          </w:tcPr>
          <w:p w:rsidR="00A06275" w:rsidRDefault="00A43013" w:rsidP="00137A92">
            <w:pPr>
              <w:spacing w:before="20" w:after="20"/>
              <w:ind w:left="33"/>
              <w:jc w:val="left"/>
              <w:rPr>
                <w:rFonts w:eastAsia="Times New Roman" w:cs="Arial"/>
                <w:i/>
                <w:sz w:val="18"/>
                <w:szCs w:val="20"/>
              </w:rPr>
            </w:pPr>
            <w:r w:rsidRPr="00222A9C">
              <w:rPr>
                <w:rFonts w:cs="Arial"/>
                <w:sz w:val="18"/>
                <w:szCs w:val="20"/>
              </w:rPr>
              <w:t>increased blood</w:t>
            </w:r>
            <w:r w:rsidR="00D463D3">
              <w:rPr>
                <w:rFonts w:cs="Arial"/>
                <w:sz w:val="18"/>
                <w:szCs w:val="20"/>
              </w:rPr>
              <w:t xml:space="preserve"> </w:t>
            </w:r>
            <w:r w:rsidRPr="00222A9C">
              <w:rPr>
                <w:rFonts w:cs="Arial"/>
                <w:sz w:val="18"/>
                <w:szCs w:val="20"/>
              </w:rPr>
              <w:t>creatinine, increased</w:t>
            </w:r>
            <w:r w:rsidR="00D463D3">
              <w:rPr>
                <w:rFonts w:cs="Arial"/>
                <w:sz w:val="18"/>
                <w:szCs w:val="20"/>
              </w:rPr>
              <w:t xml:space="preserve"> </w:t>
            </w:r>
            <w:r w:rsidRPr="00222A9C">
              <w:rPr>
                <w:rFonts w:cs="Arial"/>
                <w:sz w:val="18"/>
                <w:szCs w:val="20"/>
              </w:rPr>
              <w:t>blood urea, prolonged</w:t>
            </w:r>
            <w:r w:rsidR="00D463D3">
              <w:rPr>
                <w:rFonts w:cs="Arial"/>
                <w:sz w:val="18"/>
                <w:szCs w:val="20"/>
              </w:rPr>
              <w:t xml:space="preserve"> </w:t>
            </w:r>
            <w:r w:rsidRPr="00222A9C">
              <w:rPr>
                <w:rFonts w:cs="Arial"/>
                <w:sz w:val="18"/>
                <w:szCs w:val="20"/>
              </w:rPr>
              <w:t>QT corrected interval,</w:t>
            </w:r>
            <w:r w:rsidR="00D463D3">
              <w:rPr>
                <w:rFonts w:cs="Arial"/>
                <w:sz w:val="18"/>
                <w:szCs w:val="20"/>
              </w:rPr>
              <w:t xml:space="preserve"> </w:t>
            </w:r>
            <w:r w:rsidRPr="00222A9C">
              <w:rPr>
                <w:rFonts w:cs="Arial"/>
                <w:sz w:val="18"/>
                <w:szCs w:val="20"/>
              </w:rPr>
              <w:t>increased platelet or</w:t>
            </w:r>
            <w:r w:rsidR="00D463D3">
              <w:rPr>
                <w:rFonts w:cs="Arial"/>
                <w:sz w:val="18"/>
                <w:szCs w:val="20"/>
              </w:rPr>
              <w:t xml:space="preserve"> </w:t>
            </w:r>
            <w:r w:rsidRPr="00222A9C">
              <w:rPr>
                <w:rFonts w:cs="Arial"/>
                <w:sz w:val="18"/>
                <w:szCs w:val="20"/>
              </w:rPr>
              <w:t>white blood cell count,</w:t>
            </w:r>
            <w:r w:rsidR="00D463D3">
              <w:rPr>
                <w:rFonts w:cs="Arial"/>
                <w:sz w:val="18"/>
                <w:szCs w:val="20"/>
              </w:rPr>
              <w:t xml:space="preserve"> </w:t>
            </w:r>
            <w:r w:rsidRPr="00222A9C">
              <w:rPr>
                <w:rFonts w:cs="Arial"/>
                <w:sz w:val="18"/>
                <w:szCs w:val="20"/>
              </w:rPr>
              <w:t>decreased weight</w:t>
            </w:r>
          </w:p>
        </w:tc>
        <w:tc>
          <w:tcPr>
            <w:tcW w:w="2375" w:type="dxa"/>
          </w:tcPr>
          <w:p w:rsidR="00A06275" w:rsidRDefault="00137A92" w:rsidP="00137A92">
            <w:pPr>
              <w:spacing w:before="20" w:after="20"/>
              <w:ind w:firstLine="2"/>
              <w:jc w:val="left"/>
              <w:rPr>
                <w:rFonts w:eastAsia="Times New Roman" w:cs="Arial"/>
                <w:sz w:val="18"/>
                <w:szCs w:val="20"/>
              </w:rPr>
            </w:pPr>
            <w:r>
              <w:rPr>
                <w:rFonts w:cs="Arial"/>
                <w:sz w:val="18"/>
                <w:szCs w:val="20"/>
              </w:rPr>
              <w:t>e</w:t>
            </w:r>
            <w:r w:rsidR="00A43013" w:rsidRPr="00222A9C">
              <w:rPr>
                <w:rFonts w:cs="Arial"/>
                <w:sz w:val="18"/>
                <w:szCs w:val="20"/>
              </w:rPr>
              <w:t>levated</w:t>
            </w:r>
            <w:r w:rsidR="00D463D3">
              <w:rPr>
                <w:rFonts w:cs="Arial"/>
                <w:sz w:val="18"/>
                <w:szCs w:val="20"/>
              </w:rPr>
              <w:t xml:space="preserve"> </w:t>
            </w:r>
            <w:r w:rsidR="00A43013" w:rsidRPr="00222A9C">
              <w:rPr>
                <w:rFonts w:cs="Arial"/>
                <w:sz w:val="18"/>
                <w:szCs w:val="20"/>
              </w:rPr>
              <w:t>levels of hepatic</w:t>
            </w:r>
            <w:r w:rsidR="00D463D3">
              <w:rPr>
                <w:rFonts w:cs="Arial"/>
                <w:sz w:val="18"/>
                <w:szCs w:val="20"/>
              </w:rPr>
              <w:t xml:space="preserve"> </w:t>
            </w:r>
            <w:r w:rsidR="00A43013" w:rsidRPr="00222A9C">
              <w:rPr>
                <w:rFonts w:cs="Arial"/>
                <w:sz w:val="18"/>
                <w:szCs w:val="20"/>
              </w:rPr>
              <w:t>enzyme</w:t>
            </w:r>
          </w:p>
          <w:p w:rsidR="00691929" w:rsidRPr="00222A9C" w:rsidRDefault="00691929" w:rsidP="00137A92">
            <w:pPr>
              <w:spacing w:before="20" w:after="20"/>
              <w:jc w:val="left"/>
              <w:rPr>
                <w:rFonts w:cs="Arial"/>
                <w:i/>
                <w:sz w:val="18"/>
              </w:rPr>
            </w:pPr>
          </w:p>
        </w:tc>
      </w:tr>
    </w:tbl>
    <w:p w:rsidR="00307E4F" w:rsidRPr="0019497F" w:rsidRDefault="00A43013" w:rsidP="00625639">
      <w:pPr>
        <w:pStyle w:val="Heading3"/>
      </w:pPr>
      <w:r w:rsidRPr="00A43013">
        <w:t xml:space="preserve">Adverse Events in sub-groups (Elderly, renal impairment, low body weight) </w:t>
      </w:r>
    </w:p>
    <w:p w:rsidR="00307E4F" w:rsidRPr="00912119" w:rsidRDefault="00307E4F" w:rsidP="00625639">
      <w:pPr>
        <w:spacing w:before="120" w:after="120"/>
        <w:rPr>
          <w:rFonts w:cs="Arial"/>
        </w:rPr>
      </w:pPr>
      <w:r w:rsidRPr="00912119">
        <w:rPr>
          <w:rFonts w:cs="Arial"/>
        </w:rPr>
        <w:t xml:space="preserve">In general, adverse events occurred more frequently among elderly patients and patients with renal impairment; however, the types of events in these sub-groups were similar to those observed in the general population. Of the most commonly reported, the following events occurred more often with </w:t>
      </w:r>
      <w:r w:rsidR="00E55798" w:rsidRPr="00912119">
        <w:rPr>
          <w:rFonts w:cs="Arial"/>
        </w:rPr>
        <w:t>RANEXA</w:t>
      </w:r>
      <w:r w:rsidRPr="00912119">
        <w:rPr>
          <w:rFonts w:cs="Arial"/>
        </w:rPr>
        <w:t xml:space="preserve"> (placebo-corrected frequencies) in elderly (</w:t>
      </w:r>
      <w:r w:rsidRPr="00912119">
        <w:rPr>
          <w:rFonts w:cs="Arial"/>
        </w:rPr>
        <w:sym w:font="Symbol" w:char="F0B3"/>
      </w:r>
      <w:r w:rsidRPr="00912119">
        <w:rPr>
          <w:rFonts w:cs="Arial"/>
        </w:rPr>
        <w:t> 75 years of age) than younger patients (&lt; 75 years of age): constipation (8% versus 5%), nausea (6% versus 3%), hypotension (5% versus 1%), and vomiting (4% versus 1%).  </w:t>
      </w:r>
    </w:p>
    <w:p w:rsidR="00307E4F" w:rsidRPr="00912119" w:rsidRDefault="00307E4F" w:rsidP="00625639">
      <w:pPr>
        <w:spacing w:before="120" w:after="120"/>
        <w:rPr>
          <w:rFonts w:cs="Arial"/>
        </w:rPr>
      </w:pPr>
      <w:r w:rsidRPr="00912119">
        <w:rPr>
          <w:rFonts w:cs="Arial"/>
        </w:rPr>
        <w:t xml:space="preserve">In patients with mild or moderate renal impairment (creatinine clearance </w:t>
      </w:r>
      <w:r w:rsidRPr="00912119">
        <w:rPr>
          <w:rFonts w:cs="Arial"/>
        </w:rPr>
        <w:sym w:font="Symbol" w:char="F0B3"/>
      </w:r>
      <w:r w:rsidRPr="00912119">
        <w:rPr>
          <w:rFonts w:cs="Arial"/>
        </w:rPr>
        <w:t xml:space="preserve"> 30–80 ml/min CKD stages 2-3) compared to those with normal renal function (creatinine clearance &gt; 80 ml/min), the most commonly reported events and their placebo-corrected frequencies included: constipation (8% versus 4%), dizziness (7% versus 5%), and nausea (4% versus 2%). </w:t>
      </w:r>
    </w:p>
    <w:p w:rsidR="00307E4F" w:rsidRPr="00912119" w:rsidRDefault="00307E4F" w:rsidP="00625639">
      <w:pPr>
        <w:spacing w:before="120" w:after="120"/>
        <w:rPr>
          <w:rFonts w:cs="Arial"/>
        </w:rPr>
      </w:pPr>
      <w:r w:rsidRPr="00912119">
        <w:rPr>
          <w:rFonts w:cs="Arial"/>
        </w:rPr>
        <w:t>In general, the type and frequency of adverse events reported in patients with low body weight (</w:t>
      </w:r>
      <w:r w:rsidR="00912119" w:rsidRPr="00912119">
        <w:rPr>
          <w:rFonts w:cs="Arial"/>
        </w:rPr>
        <w:t>&lt;</w:t>
      </w:r>
      <w:r w:rsidR="00467DBD" w:rsidRPr="00912119">
        <w:rPr>
          <w:rFonts w:cs="Arial"/>
        </w:rPr>
        <w:t> </w:t>
      </w:r>
      <w:r w:rsidRPr="00912119">
        <w:rPr>
          <w:rFonts w:cs="Arial"/>
        </w:rPr>
        <w:t xml:space="preserve">60 kg) were similar to those of patients with higher </w:t>
      </w:r>
      <w:r w:rsidR="006E51EE" w:rsidRPr="00912119">
        <w:rPr>
          <w:rFonts w:cs="Arial"/>
        </w:rPr>
        <w:t xml:space="preserve">body </w:t>
      </w:r>
      <w:r w:rsidRPr="00912119">
        <w:rPr>
          <w:rFonts w:cs="Arial"/>
        </w:rPr>
        <w:t>weight (&gt; 60 kg); however, the placebo-corrected frequencies of the following common adverse events were higher</w:t>
      </w:r>
      <w:r w:rsidR="00A43013" w:rsidRPr="00912119">
        <w:rPr>
          <w:rFonts w:cs="Arial"/>
        </w:rPr>
        <w:t xml:space="preserve"> in low body weight than </w:t>
      </w:r>
      <w:r w:rsidR="006F3D71" w:rsidRPr="00912119">
        <w:rPr>
          <w:rFonts w:cs="Arial"/>
        </w:rPr>
        <w:t xml:space="preserve">higher body weight </w:t>
      </w:r>
      <w:r w:rsidR="00A43013" w:rsidRPr="00912119">
        <w:rPr>
          <w:rFonts w:cs="Arial"/>
        </w:rPr>
        <w:t xml:space="preserve">patients; nausea (14% versus 2%), vomiting (6% versus 1%), and hypotension (4% </w:t>
      </w:r>
      <w:r w:rsidRPr="00912119">
        <w:rPr>
          <w:rFonts w:cs="Arial"/>
        </w:rPr>
        <w:t>versus 2%).</w:t>
      </w:r>
    </w:p>
    <w:p w:rsidR="00D42D37" w:rsidRPr="0019497F" w:rsidRDefault="00A43013" w:rsidP="00625639">
      <w:pPr>
        <w:pStyle w:val="Heading3"/>
      </w:pPr>
      <w:r w:rsidRPr="00A43013">
        <w:lastRenderedPageBreak/>
        <w:t>Adverse Events by Ranolazine Dose</w:t>
      </w:r>
    </w:p>
    <w:p w:rsidR="001D2CBD" w:rsidRPr="007F6465" w:rsidRDefault="00066AAC" w:rsidP="00625639">
      <w:pPr>
        <w:spacing w:before="120" w:after="120"/>
        <w:rPr>
          <w:rFonts w:cs="Arial"/>
        </w:rPr>
      </w:pPr>
      <w:r w:rsidRPr="00912119">
        <w:rPr>
          <w:rFonts w:cs="Arial"/>
        </w:rPr>
        <w:t>Three studies (CVT 3031, CVT 3111, and CVT 3023) evaluated the safety of high doses</w:t>
      </w:r>
      <w:r w:rsidR="00875E2C" w:rsidRPr="00912119">
        <w:rPr>
          <w:rFonts w:cs="Arial"/>
        </w:rPr>
        <w:t xml:space="preserve"> (up to </w:t>
      </w:r>
      <w:r w:rsidR="002A6AB4" w:rsidRPr="002A6AB4">
        <w:rPr>
          <w:rFonts w:cs="Arial"/>
        </w:rPr>
        <w:t>3</w:t>
      </w:r>
      <w:r w:rsidR="00D568B5">
        <w:rPr>
          <w:rFonts w:cs="Arial"/>
        </w:rPr>
        <w:t>,</w:t>
      </w:r>
      <w:r w:rsidR="002A6AB4" w:rsidRPr="002A6AB4">
        <w:rPr>
          <w:rFonts w:cs="Arial"/>
        </w:rPr>
        <w:t>000 mg</w:t>
      </w:r>
      <w:r w:rsidR="00810DF8">
        <w:rPr>
          <w:rFonts w:cs="Arial"/>
        </w:rPr>
        <w:t xml:space="preserve"> orally </w:t>
      </w:r>
      <w:r w:rsidR="002A6AB4" w:rsidRPr="002A6AB4">
        <w:rPr>
          <w:rFonts w:cs="Arial"/>
        </w:rPr>
        <w:t>twice daily) and high</w:t>
      </w:r>
      <w:r w:rsidR="00746C70">
        <w:rPr>
          <w:rFonts w:cs="Arial"/>
        </w:rPr>
        <w:t xml:space="preserve"> </w:t>
      </w:r>
      <w:r w:rsidR="002A6AB4" w:rsidRPr="002A6AB4">
        <w:rPr>
          <w:rFonts w:cs="Arial"/>
        </w:rPr>
        <w:t>plasma concentrations of ranolazine (IV administration with target plasma concentrations up to 15</w:t>
      </w:r>
      <w:r w:rsidR="00D568B5">
        <w:rPr>
          <w:rFonts w:cs="Arial"/>
        </w:rPr>
        <w:t>,</w:t>
      </w:r>
      <w:r w:rsidR="002A6AB4" w:rsidRPr="002A6AB4">
        <w:rPr>
          <w:rFonts w:cs="Arial"/>
        </w:rPr>
        <w:t xml:space="preserve">000 ng/mL). The Phase 2/3 controlled angina studies, showed that dizziness, nausea, and aesthenia were the most clearly dose-dependent adverse events.  </w:t>
      </w:r>
    </w:p>
    <w:p w:rsidR="00DD3E0D" w:rsidRPr="00DD3E0D" w:rsidRDefault="00E01FE5" w:rsidP="00625639">
      <w:pPr>
        <w:spacing w:before="120" w:after="120"/>
        <w:rPr>
          <w:rFonts w:cs="Arial"/>
        </w:rPr>
      </w:pPr>
      <w:r w:rsidRPr="00E01FE5">
        <w:rPr>
          <w:rFonts w:cs="Arial"/>
        </w:rPr>
        <w:t xml:space="preserve">The highest recommended dose </w:t>
      </w:r>
      <w:r w:rsidR="00C551EA">
        <w:rPr>
          <w:rFonts w:cs="Arial"/>
        </w:rPr>
        <w:t xml:space="preserve">of RANEXA </w:t>
      </w:r>
      <w:r w:rsidRPr="00E01FE5">
        <w:rPr>
          <w:rFonts w:cs="Arial"/>
        </w:rPr>
        <w:t>is 750</w:t>
      </w:r>
      <w:r w:rsidR="00965A38">
        <w:rPr>
          <w:rFonts w:cs="Arial"/>
        </w:rPr>
        <w:t xml:space="preserve"> </w:t>
      </w:r>
      <w:r w:rsidRPr="00E01FE5">
        <w:rPr>
          <w:rFonts w:cs="Arial"/>
        </w:rPr>
        <w:t>mg twice daily</w:t>
      </w:r>
      <w:r w:rsidR="00DD3E0D" w:rsidRPr="00DD3E0D">
        <w:rPr>
          <w:rFonts w:cs="Arial"/>
        </w:rPr>
        <w:t xml:space="preserve">. </w:t>
      </w:r>
    </w:p>
    <w:p w:rsidR="00AD3E77" w:rsidRPr="00DD3E0D" w:rsidRDefault="00AD3E77" w:rsidP="00625639">
      <w:pPr>
        <w:pStyle w:val="Heading3"/>
      </w:pPr>
      <w:r w:rsidRPr="00DD3E0D">
        <w:t>Discontinuation due to adverse events</w:t>
      </w:r>
    </w:p>
    <w:p w:rsidR="006478DD" w:rsidRPr="00912119" w:rsidRDefault="00AD3E77" w:rsidP="00625639">
      <w:pPr>
        <w:spacing w:before="120" w:after="120"/>
        <w:rPr>
          <w:rFonts w:cs="Arial"/>
        </w:rPr>
      </w:pPr>
      <w:r w:rsidRPr="00912119">
        <w:rPr>
          <w:rFonts w:cs="Arial"/>
        </w:rPr>
        <w:t xml:space="preserve">At recommended doses, </w:t>
      </w:r>
      <w:r w:rsidR="00810DF8">
        <w:rPr>
          <w:rFonts w:cs="Arial"/>
        </w:rPr>
        <w:t xml:space="preserve">approximately </w:t>
      </w:r>
      <w:r w:rsidRPr="00912119">
        <w:rPr>
          <w:rFonts w:cs="Arial"/>
        </w:rPr>
        <w:t xml:space="preserve">6% of patients discontinued treatment with </w:t>
      </w:r>
      <w:r w:rsidR="00EC73EE" w:rsidRPr="00912119">
        <w:rPr>
          <w:rFonts w:cs="Arial"/>
        </w:rPr>
        <w:t>RANEXA</w:t>
      </w:r>
      <w:r w:rsidRPr="00912119">
        <w:rPr>
          <w:rFonts w:cs="Arial"/>
        </w:rPr>
        <w:t xml:space="preserve"> because of an adverse event in controlled studies in angina patients compared to </w:t>
      </w:r>
      <w:r w:rsidR="009155D2">
        <w:rPr>
          <w:rFonts w:cs="Arial"/>
        </w:rPr>
        <w:t xml:space="preserve">approximately </w:t>
      </w:r>
      <w:r w:rsidRPr="00912119">
        <w:rPr>
          <w:rFonts w:cs="Arial"/>
        </w:rPr>
        <w:t>3% on placebo. The most common adverse events that led to discontinuation</w:t>
      </w:r>
      <w:r w:rsidR="00EC73EE" w:rsidRPr="00912119">
        <w:rPr>
          <w:rFonts w:cs="Arial"/>
        </w:rPr>
        <w:t>,</w:t>
      </w:r>
      <w:r w:rsidRPr="00912119">
        <w:rPr>
          <w:rFonts w:cs="Arial"/>
        </w:rPr>
        <w:t xml:space="preserve"> more frequently on </w:t>
      </w:r>
      <w:r w:rsidR="00EC73EE" w:rsidRPr="00912119">
        <w:rPr>
          <w:rFonts w:cs="Arial"/>
        </w:rPr>
        <w:t>RANEXA</w:t>
      </w:r>
      <w:r w:rsidR="00F540F5" w:rsidRPr="00912119">
        <w:rPr>
          <w:rFonts w:cs="Arial"/>
        </w:rPr>
        <w:t xml:space="preserve"> </w:t>
      </w:r>
      <w:r w:rsidRPr="00912119">
        <w:rPr>
          <w:rFonts w:cs="Arial"/>
        </w:rPr>
        <w:t>than placebo</w:t>
      </w:r>
      <w:r w:rsidR="00EC73EE" w:rsidRPr="00912119">
        <w:rPr>
          <w:rFonts w:cs="Arial"/>
        </w:rPr>
        <w:t>,</w:t>
      </w:r>
      <w:r w:rsidRPr="00912119">
        <w:rPr>
          <w:rFonts w:cs="Arial"/>
        </w:rPr>
        <w:t xml:space="preserve"> were</w:t>
      </w:r>
      <w:r w:rsidR="00EC73EE" w:rsidRPr="00912119">
        <w:rPr>
          <w:rFonts w:cs="Arial"/>
        </w:rPr>
        <w:t>;</w:t>
      </w:r>
      <w:r w:rsidRPr="00912119">
        <w:rPr>
          <w:rFonts w:cs="Arial"/>
        </w:rPr>
        <w:t xml:space="preserve"> dizziness (1.3% versus 0.1%), nausea (1% versus 0%), asth</w:t>
      </w:r>
      <w:r w:rsidR="00922130">
        <w:rPr>
          <w:rFonts w:cs="Arial"/>
        </w:rPr>
        <w:t>a</w:t>
      </w:r>
      <w:r w:rsidRPr="00912119">
        <w:rPr>
          <w:rFonts w:cs="Arial"/>
        </w:rPr>
        <w:t>enia, constipation, and headache (ea</w:t>
      </w:r>
      <w:r w:rsidR="00EC73EE" w:rsidRPr="00912119">
        <w:rPr>
          <w:rFonts w:cs="Arial"/>
        </w:rPr>
        <w:t>ch 0.5% versus 0%).</w:t>
      </w:r>
      <w:r w:rsidRPr="00912119">
        <w:rPr>
          <w:rFonts w:cs="Arial"/>
        </w:rPr>
        <w:t xml:space="preserve"> </w:t>
      </w:r>
    </w:p>
    <w:p w:rsidR="007B1BB1" w:rsidRPr="00912119" w:rsidRDefault="00A43013" w:rsidP="00625639">
      <w:pPr>
        <w:pStyle w:val="Heading3"/>
      </w:pPr>
      <w:r w:rsidRPr="00912119">
        <w:t>Post</w:t>
      </w:r>
      <w:r w:rsidR="00A7544E" w:rsidRPr="00912119">
        <w:t>-</w:t>
      </w:r>
      <w:r w:rsidRPr="00912119">
        <w:t xml:space="preserve">Marketing </w:t>
      </w:r>
      <w:r w:rsidR="005D14D7">
        <w:t>Experience</w:t>
      </w:r>
    </w:p>
    <w:p w:rsidR="00DA7566" w:rsidRPr="00922130" w:rsidRDefault="00053A92" w:rsidP="00625639">
      <w:pPr>
        <w:pStyle w:val="Heading3"/>
        <w:rPr>
          <w:u w:val="none"/>
        </w:rPr>
      </w:pPr>
      <w:r w:rsidRPr="00922130">
        <w:rPr>
          <w:rFonts w:cs="Arial"/>
          <w:u w:val="none"/>
        </w:rPr>
        <w:t>The following adverse reactions have been identified during post</w:t>
      </w:r>
      <w:r w:rsidR="00691929" w:rsidRPr="00922130">
        <w:rPr>
          <w:rFonts w:cs="Arial"/>
          <w:u w:val="none"/>
        </w:rPr>
        <w:t>-</w:t>
      </w:r>
      <w:r w:rsidR="00A7544E" w:rsidRPr="00922130">
        <w:rPr>
          <w:rFonts w:cs="Arial"/>
          <w:u w:val="none"/>
        </w:rPr>
        <w:t xml:space="preserve">marketing </w:t>
      </w:r>
      <w:r w:rsidRPr="00922130">
        <w:rPr>
          <w:rFonts w:cs="Arial"/>
          <w:u w:val="none"/>
        </w:rPr>
        <w:t>use of RANEXA. Because these reactions are reported voluntarily from a population of uncertain size, it is not always possible to reliably estimate their frequency or establish a caus</w:t>
      </w:r>
      <w:r w:rsidR="00A077A4" w:rsidRPr="00922130">
        <w:rPr>
          <w:rFonts w:cs="Arial"/>
          <w:u w:val="none"/>
        </w:rPr>
        <w:t xml:space="preserve">al relationship to drug </w:t>
      </w:r>
      <w:r w:rsidR="008C0EEF" w:rsidRPr="00922130">
        <w:rPr>
          <w:u w:val="none"/>
        </w:rPr>
        <w:t xml:space="preserve">exposure. </w:t>
      </w:r>
    </w:p>
    <w:p w:rsidR="00CE4086" w:rsidRPr="00922130" w:rsidRDefault="00A6605E" w:rsidP="00625639">
      <w:pPr>
        <w:pStyle w:val="Heading3"/>
        <w:rPr>
          <w:rFonts w:cs="Arial"/>
          <w:u w:val="none"/>
        </w:rPr>
      </w:pPr>
      <w:r w:rsidRPr="00B3460A">
        <w:rPr>
          <w:i/>
        </w:rPr>
        <w:t>Nervous System Disorders</w:t>
      </w:r>
      <w:r w:rsidR="00922130">
        <w:rPr>
          <w:u w:val="none"/>
        </w:rPr>
        <w:t xml:space="preserve"> - t</w:t>
      </w:r>
      <w:r w:rsidR="00A43013" w:rsidRPr="00922130">
        <w:rPr>
          <w:u w:val="none"/>
        </w:rPr>
        <w:t>remor, par</w:t>
      </w:r>
      <w:r w:rsidR="00236976" w:rsidRPr="00922130">
        <w:rPr>
          <w:u w:val="none"/>
        </w:rPr>
        <w:t>a</w:t>
      </w:r>
      <w:r w:rsidR="00A43013" w:rsidRPr="00922130">
        <w:rPr>
          <w:u w:val="none"/>
        </w:rPr>
        <w:t>esthesia, abnormal coordination, and other serious</w:t>
      </w:r>
      <w:r w:rsidR="00A43013" w:rsidRPr="00922130">
        <w:rPr>
          <w:rFonts w:cs="Arial"/>
          <w:u w:val="none"/>
        </w:rPr>
        <w:t xml:space="preserve"> neurologic adverse events have been reported, sometimes concurrently, in patients taking ranolazine. The onset of events was often associated with an increase in ranolazine dose or exposure. </w:t>
      </w:r>
      <w:r w:rsidR="00236976" w:rsidRPr="00922130">
        <w:rPr>
          <w:rFonts w:cs="Arial"/>
          <w:u w:val="none"/>
        </w:rPr>
        <w:t>M</w:t>
      </w:r>
      <w:r w:rsidR="00161A67" w:rsidRPr="00922130">
        <w:rPr>
          <w:rFonts w:cs="Arial"/>
          <w:u w:val="none"/>
        </w:rPr>
        <w:t>any</w:t>
      </w:r>
      <w:r w:rsidR="00236976" w:rsidRPr="00922130">
        <w:rPr>
          <w:rFonts w:cs="Arial"/>
          <w:u w:val="none"/>
        </w:rPr>
        <w:t xml:space="preserve"> </w:t>
      </w:r>
      <w:r w:rsidR="00A43013" w:rsidRPr="00922130">
        <w:rPr>
          <w:rFonts w:cs="Arial"/>
          <w:u w:val="none"/>
        </w:rPr>
        <w:t xml:space="preserve">patients reported symptom resolution following drug discontinuation or dose decrease. </w:t>
      </w:r>
    </w:p>
    <w:p w:rsidR="00053A92" w:rsidRPr="001171F6" w:rsidRDefault="002A6AB4" w:rsidP="00625639">
      <w:pPr>
        <w:tabs>
          <w:tab w:val="left" w:pos="0"/>
        </w:tabs>
        <w:spacing w:before="120" w:after="120"/>
      </w:pPr>
      <w:r w:rsidRPr="001171F6">
        <w:rPr>
          <w:i/>
          <w:u w:val="single"/>
        </w:rPr>
        <w:t>Psychiatric Disorders</w:t>
      </w:r>
      <w:r w:rsidR="00A43013" w:rsidRPr="001171F6">
        <w:rPr>
          <w:i/>
          <w:u w:val="single"/>
        </w:rPr>
        <w:t xml:space="preserve"> </w:t>
      </w:r>
      <w:r w:rsidR="00053A92" w:rsidRPr="001171F6">
        <w:t>– hallucination</w:t>
      </w:r>
      <w:r w:rsidR="00B022EB" w:rsidRPr="001171F6">
        <w:t>.</w:t>
      </w:r>
    </w:p>
    <w:p w:rsidR="00053A92" w:rsidRPr="001171F6" w:rsidRDefault="002A6AB4" w:rsidP="00625639">
      <w:pPr>
        <w:tabs>
          <w:tab w:val="left" w:pos="0"/>
        </w:tabs>
        <w:spacing w:before="120" w:after="120"/>
      </w:pPr>
      <w:r w:rsidRPr="001171F6">
        <w:rPr>
          <w:i/>
          <w:u w:val="single"/>
        </w:rPr>
        <w:t>Renal and Urinary Disorders</w:t>
      </w:r>
      <w:r w:rsidR="00A43013" w:rsidRPr="001171F6">
        <w:rPr>
          <w:i/>
        </w:rPr>
        <w:t xml:space="preserve"> </w:t>
      </w:r>
      <w:r w:rsidR="00053A92" w:rsidRPr="001171F6">
        <w:t>– dysuria, urinary retention</w:t>
      </w:r>
      <w:r w:rsidR="00B022EB" w:rsidRPr="001171F6">
        <w:t>.</w:t>
      </w:r>
      <w:r w:rsidR="00053A92" w:rsidRPr="001171F6">
        <w:t xml:space="preserve"> </w:t>
      </w:r>
    </w:p>
    <w:p w:rsidR="009C36ED" w:rsidRPr="001171F6" w:rsidRDefault="002A6AB4" w:rsidP="00625639">
      <w:pPr>
        <w:tabs>
          <w:tab w:val="left" w:pos="0"/>
        </w:tabs>
        <w:spacing w:before="120" w:after="120"/>
      </w:pPr>
      <w:r w:rsidRPr="001171F6">
        <w:rPr>
          <w:i/>
          <w:u w:val="single"/>
        </w:rPr>
        <w:t>Skin and Subcutaneous</w:t>
      </w:r>
      <w:r w:rsidR="00A43013" w:rsidRPr="001171F6">
        <w:rPr>
          <w:i/>
          <w:u w:val="single"/>
        </w:rPr>
        <w:t xml:space="preserve"> Tissue Disorders</w:t>
      </w:r>
      <w:r w:rsidR="00A43013" w:rsidRPr="001171F6">
        <w:rPr>
          <w:i/>
        </w:rPr>
        <w:t xml:space="preserve"> –</w:t>
      </w:r>
      <w:r w:rsidR="00053A92" w:rsidRPr="001171F6">
        <w:t xml:space="preserve"> angioedema, pruritus, rash</w:t>
      </w:r>
      <w:r w:rsidR="00B022EB" w:rsidRPr="001171F6">
        <w:t>.</w:t>
      </w:r>
    </w:p>
    <w:p w:rsidR="00B541CE" w:rsidRPr="001171F6" w:rsidRDefault="00B541CE" w:rsidP="00137A92">
      <w:pPr>
        <w:pStyle w:val="Heading1"/>
        <w:spacing w:after="240"/>
      </w:pPr>
      <w:r w:rsidRPr="001171F6">
        <w:t>Dosage and Administration</w:t>
      </w:r>
    </w:p>
    <w:p w:rsidR="000B4A4C" w:rsidRDefault="00DC30EC" w:rsidP="000E26D1">
      <w:pPr>
        <w:spacing w:after="0"/>
      </w:pPr>
      <w:r>
        <w:t>RANEXA</w:t>
      </w:r>
      <w:r w:rsidR="000B4A4C" w:rsidRPr="0019497F">
        <w:t xml:space="preserve"> tablets should be swallowed whole and not crushed, broken, or chewed. They may be taken with or without food.</w:t>
      </w:r>
    </w:p>
    <w:p w:rsidR="00FD5596" w:rsidRPr="0019497F" w:rsidRDefault="001900B7" w:rsidP="00912119">
      <w:pPr>
        <w:pStyle w:val="Heading3"/>
      </w:pPr>
      <w:r w:rsidRPr="0019497F">
        <w:t>Adult</w:t>
      </w:r>
      <w:r w:rsidR="00FD5596" w:rsidRPr="0019497F">
        <w:t>s</w:t>
      </w:r>
    </w:p>
    <w:p w:rsidR="001900B7" w:rsidRPr="0019497F" w:rsidRDefault="001900B7" w:rsidP="00912119">
      <w:r w:rsidRPr="0019497F">
        <w:t xml:space="preserve">The recommended initial dose of </w:t>
      </w:r>
      <w:r w:rsidR="00DC30EC">
        <w:t>RANEXA</w:t>
      </w:r>
      <w:r w:rsidRPr="0019497F">
        <w:t xml:space="preserve"> is 375 mg twice daily. After 2–4 weeks, the dose should be titrated to 500 mg twice daily and, according to the patient’s response, further titrated to a recommended maximum dose of 750 m</w:t>
      </w:r>
      <w:r w:rsidR="00A43013" w:rsidRPr="00A43013">
        <w:t>g twice daily.</w:t>
      </w:r>
    </w:p>
    <w:p w:rsidR="001900B7" w:rsidRDefault="00A43013" w:rsidP="00912119">
      <w:r w:rsidRPr="00A43013">
        <w:t xml:space="preserve">If a patient experiences treatment-related adverse events (e.g. dizziness, nausea, or vomiting), down-titration of </w:t>
      </w:r>
      <w:r w:rsidR="00DC30EC">
        <w:t>RANEXA</w:t>
      </w:r>
      <w:r w:rsidRPr="00A43013">
        <w:t xml:space="preserve"> to 500 mg or 375 mg twice daily may be required. If symptoms do not resolve after dose reduction, treatment should be discontinued.</w:t>
      </w:r>
    </w:p>
    <w:p w:rsidR="00816CF4" w:rsidRDefault="00816CF4" w:rsidP="00912119"/>
    <w:p w:rsidR="00816CF4" w:rsidRDefault="00816CF4" w:rsidP="00912119"/>
    <w:p w:rsidR="00816CF4" w:rsidRDefault="00816CF4" w:rsidP="00912119"/>
    <w:p w:rsidR="00816CF4" w:rsidRDefault="00816CF4" w:rsidP="00912119"/>
    <w:p w:rsidR="00CA1CAE" w:rsidRDefault="00CA1CAE" w:rsidP="00912119"/>
    <w:p w:rsidR="00CA1CAE" w:rsidRDefault="00CA1CAE" w:rsidP="00912119"/>
    <w:p w:rsidR="00CA1CAE" w:rsidRDefault="00CA1CAE" w:rsidP="00912119"/>
    <w:p w:rsidR="00CA1CAE" w:rsidRDefault="00CA1CAE" w:rsidP="00912119"/>
    <w:p w:rsidR="00CA1CAE" w:rsidRDefault="00CA1CAE" w:rsidP="00912119"/>
    <w:p w:rsidR="00CA1CAE" w:rsidRDefault="00CA1CAE" w:rsidP="00912119"/>
    <w:p w:rsidR="00AB092F" w:rsidRPr="00912119" w:rsidRDefault="00AB092F" w:rsidP="001900B7">
      <w:pPr>
        <w:tabs>
          <w:tab w:val="left" w:pos="0"/>
        </w:tabs>
        <w:rPr>
          <w:sz w:val="20"/>
        </w:rPr>
      </w:pPr>
    </w:p>
    <w:p w:rsidR="00AB092F" w:rsidRPr="00912119" w:rsidRDefault="003F3889" w:rsidP="001900B7">
      <w:pPr>
        <w:tabs>
          <w:tab w:val="left" w:pos="0"/>
        </w:tabs>
        <w:rPr>
          <w:sz w:val="20"/>
        </w:rPr>
      </w:pPr>
      <w:r>
        <w:rPr>
          <w:noProof/>
          <w:sz w:val="20"/>
          <w:lang w:eastAsia="en-AU"/>
        </w:rPr>
        <w:lastRenderedPageBreak/>
        <mc:AlternateContent>
          <mc:Choice Requires="wps">
            <w:drawing>
              <wp:anchor distT="0" distB="0" distL="114300" distR="114300" simplePos="0" relativeHeight="251672576" behindDoc="0" locked="0" layoutInCell="1" allowOverlap="1">
                <wp:simplePos x="0" y="0"/>
                <wp:positionH relativeFrom="column">
                  <wp:posOffset>2929255</wp:posOffset>
                </wp:positionH>
                <wp:positionV relativeFrom="paragraph">
                  <wp:posOffset>25400</wp:posOffset>
                </wp:positionV>
                <wp:extent cx="1193800" cy="435610"/>
                <wp:effectExtent l="0" t="0" r="6350" b="254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B1" w:rsidRDefault="00B073B1">
                            <w:r>
                              <w:t xml:space="preserve">Starting dose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30.65pt;margin-top:2pt;width:94pt;height:3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" stroked="f">
                <v:textbox>
                  <w:txbxContent>
                    <w:p w:rsidR="00B073B1" w:rsidRDefault="00B073B1">
                      <w:r>
                        <w:t xml:space="preserve">Starting dose </w:t>
                      </w:r>
                    </w:p>
                  </w:txbxContent>
                </v:textbox>
              </v:shape>
            </w:pict>
          </mc:Fallback>
        </mc:AlternateContent>
      </w:r>
      <w:r>
        <w:rPr>
          <w:noProof/>
          <w:sz w:val="20"/>
          <w:lang w:eastAsia="en-AU"/>
        </w:rPr>
        <mc:AlternateContent>
          <mc:Choice Requires="wps">
            <w:drawing>
              <wp:anchor distT="0" distB="0" distL="114300" distR="114300" simplePos="0" relativeHeight="251660288" behindDoc="0" locked="0" layoutInCell="1" allowOverlap="1">
                <wp:simplePos x="0" y="0"/>
                <wp:positionH relativeFrom="column">
                  <wp:posOffset>1315720</wp:posOffset>
                </wp:positionH>
                <wp:positionV relativeFrom="paragraph">
                  <wp:posOffset>5080</wp:posOffset>
                </wp:positionV>
                <wp:extent cx="1388110" cy="306705"/>
                <wp:effectExtent l="0" t="0" r="2159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306705"/>
                        </a:xfrm>
                        <a:prstGeom prst="rect">
                          <a:avLst/>
                        </a:prstGeom>
                        <a:solidFill>
                          <a:srgbClr val="FFFFFF"/>
                        </a:solidFill>
                        <a:ln w="9525">
                          <a:solidFill>
                            <a:srgbClr val="000000"/>
                          </a:solidFill>
                          <a:miter lim="800000"/>
                          <a:headEnd/>
                          <a:tailEnd/>
                        </a:ln>
                      </wps:spPr>
                      <wps:txbx>
                        <w:txbxContent>
                          <w:p w:rsidR="00B073B1" w:rsidRDefault="00B073B1">
                            <w:r>
                              <w:t xml:space="preserve">375 mg twice daily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3.6pt;margin-top:.4pt;width:109.3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ukKwIAAFg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">
                <v:textbox>
                  <w:txbxContent>
                    <w:p w:rsidR="00B073B1" w:rsidRDefault="00B073B1">
                      <w:r>
                        <w:t xml:space="preserve">375 mg twice daily </w:t>
                      </w:r>
                    </w:p>
                  </w:txbxContent>
                </v:textbox>
              </v:shape>
            </w:pict>
          </mc:Fallback>
        </mc:AlternateContent>
      </w:r>
      <w:r>
        <w:rPr>
          <w:noProof/>
          <w:sz w:val="20"/>
          <w:lang w:eastAsia="en-AU"/>
        </w:rPr>
        <mc:AlternateContent>
          <mc:Choice Requires="wps">
            <w:drawing>
              <wp:anchor distT="0" distB="0" distL="114300" distR="114300" simplePos="0" relativeHeight="251668480" behindDoc="0" locked="0" layoutInCell="1" allowOverlap="1">
                <wp:simplePos x="0" y="0"/>
                <wp:positionH relativeFrom="column">
                  <wp:posOffset>4312285</wp:posOffset>
                </wp:positionH>
                <wp:positionV relativeFrom="paragraph">
                  <wp:posOffset>5080</wp:posOffset>
                </wp:positionV>
                <wp:extent cx="124460" cy="2167890"/>
                <wp:effectExtent l="0" t="0" r="27940" b="2286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2167890"/>
                        </a:xfrm>
                        <a:prstGeom prst="rightBrace">
                          <a:avLst>
                            <a:gd name="adj1" fmla="val 145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39.55pt;margin-top:.4pt;width:9.8pt;height:17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aihQ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"/>
            </w:pict>
          </mc:Fallback>
        </mc:AlternateContent>
      </w:r>
    </w:p>
    <w:p w:rsidR="00AB092F" w:rsidRPr="00912119" w:rsidRDefault="003F3889" w:rsidP="001900B7">
      <w:pPr>
        <w:tabs>
          <w:tab w:val="left" w:pos="0"/>
        </w:tabs>
        <w:rPr>
          <w:sz w:val="20"/>
        </w:rPr>
      </w:pPr>
      <w:r>
        <w:rPr>
          <w:noProof/>
          <w:sz w:val="20"/>
          <w:lang w:eastAsia="en-AU"/>
        </w:rPr>
        <mc:AlternateContent>
          <mc:Choice Requires="wps">
            <w:drawing>
              <wp:anchor distT="0" distB="0" distL="114300" distR="114300" simplePos="0" relativeHeight="251663360" behindDoc="0" locked="0" layoutInCell="1" allowOverlap="1">
                <wp:simplePos x="0" y="0"/>
                <wp:positionH relativeFrom="column">
                  <wp:posOffset>2108200</wp:posOffset>
                </wp:positionH>
                <wp:positionV relativeFrom="paragraph">
                  <wp:posOffset>127635</wp:posOffset>
                </wp:positionV>
                <wp:extent cx="11430" cy="669925"/>
                <wp:effectExtent l="38100" t="0" r="83820" b="539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69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6pt;margin-top:10.05pt;width:.9pt;height:5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">
                <v:stroke endarrow="block"/>
              </v:shape>
            </w:pict>
          </mc:Fallback>
        </mc:AlternateContent>
      </w:r>
    </w:p>
    <w:p w:rsidR="008A23ED" w:rsidRPr="0019497F" w:rsidRDefault="003F3889" w:rsidP="00AB092F">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2193290</wp:posOffset>
                </wp:positionH>
                <wp:positionV relativeFrom="paragraph">
                  <wp:posOffset>92710</wp:posOffset>
                </wp:positionV>
                <wp:extent cx="1550670" cy="3067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B1" w:rsidRDefault="00B073B1" w:rsidP="008A23ED">
                            <w:r>
                              <w:t xml:space="preserve">2- 4 weeks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172.7pt;margin-top:7.3pt;width:122.1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XrgwIAABY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" stroked="f">
                <v:textbox>
                  <w:txbxContent>
                    <w:p w:rsidR="00B073B1" w:rsidRDefault="00B073B1" w:rsidP="008A23ED">
                      <w:r>
                        <w:t xml:space="preserve">2- 4 weeks  </w:t>
                      </w:r>
                    </w:p>
                  </w:txbxContent>
                </v:textbox>
              </v:shape>
            </w:pict>
          </mc:Fallback>
        </mc:AlternateContent>
      </w:r>
    </w:p>
    <w:p w:rsidR="008A23ED" w:rsidRPr="0019497F" w:rsidRDefault="003F3889" w:rsidP="00AB092F">
      <w:r>
        <w:rPr>
          <w:noProof/>
          <w:lang w:eastAsia="en-AU"/>
        </w:rPr>
        <mc:AlternateContent>
          <mc:Choice Requires="wps">
            <w:drawing>
              <wp:anchor distT="0" distB="0" distL="114300" distR="114300" simplePos="0" relativeHeight="251670528" behindDoc="0" locked="0" layoutInCell="1" allowOverlap="1">
                <wp:simplePos x="0" y="0"/>
                <wp:positionH relativeFrom="column">
                  <wp:posOffset>4755515</wp:posOffset>
                </wp:positionH>
                <wp:positionV relativeFrom="paragraph">
                  <wp:posOffset>48895</wp:posOffset>
                </wp:positionV>
                <wp:extent cx="1403350" cy="814705"/>
                <wp:effectExtent l="0" t="0" r="6350" b="444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B1" w:rsidRDefault="00B073B1" w:rsidP="008A23ED">
                            <w:pPr>
                              <w:jc w:val="left"/>
                            </w:pPr>
                            <w:r>
                              <w:t xml:space="preserve">Careful dose titration based on patient group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74.45pt;margin-top:3.85pt;width:110.5pt;height:6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" stroked="f">
                <v:textbox>
                  <w:txbxContent>
                    <w:p w:rsidR="00B073B1" w:rsidRDefault="00B073B1" w:rsidP="008A23ED">
                      <w:pPr>
                        <w:jc w:val="left"/>
                      </w:pPr>
                      <w:r>
                        <w:t xml:space="preserve">Careful dose titration based on patient group </w:t>
                      </w:r>
                    </w:p>
                  </w:txbxContent>
                </v:textbox>
              </v:shape>
            </w:pict>
          </mc:Fallback>
        </mc:AlternateContent>
      </w:r>
    </w:p>
    <w:p w:rsidR="008A23ED" w:rsidRPr="0019497F" w:rsidRDefault="008A23ED" w:rsidP="00AB092F"/>
    <w:p w:rsidR="008A23ED" w:rsidRPr="0019497F" w:rsidRDefault="003F3889" w:rsidP="00AB092F">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17145</wp:posOffset>
                </wp:positionV>
                <wp:extent cx="1388110" cy="306705"/>
                <wp:effectExtent l="0" t="0" r="21590" b="171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306705"/>
                        </a:xfrm>
                        <a:prstGeom prst="rect">
                          <a:avLst/>
                        </a:prstGeom>
                        <a:solidFill>
                          <a:srgbClr val="FFFFFF"/>
                        </a:solidFill>
                        <a:ln w="9525">
                          <a:solidFill>
                            <a:srgbClr val="000000"/>
                          </a:solidFill>
                          <a:miter lim="800000"/>
                          <a:headEnd/>
                          <a:tailEnd/>
                        </a:ln>
                      </wps:spPr>
                      <wps:txbx>
                        <w:txbxContent>
                          <w:p w:rsidR="00B073B1" w:rsidRDefault="00B073B1" w:rsidP="008A23ED">
                            <w:r>
                              <w:t xml:space="preserve">500 mg twice daily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03.6pt;margin-top:1.35pt;width:109.3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">
                <v:textbox>
                  <w:txbxContent>
                    <w:p w:rsidR="00B073B1" w:rsidRDefault="00B073B1" w:rsidP="008A23ED">
                      <w:r>
                        <w:t xml:space="preserve">500 mg twice daily </w:t>
                      </w:r>
                    </w:p>
                  </w:txbxContent>
                </v:textbox>
              </v:shape>
            </w:pict>
          </mc:Fallback>
        </mc:AlternateContent>
      </w:r>
    </w:p>
    <w:p w:rsidR="008A23ED" w:rsidRPr="0019497F" w:rsidRDefault="003F3889" w:rsidP="00AB092F">
      <w:r>
        <w:rPr>
          <w:noProof/>
          <w:lang w:eastAsia="en-AU"/>
        </w:rPr>
        <mc:AlternateContent>
          <mc:Choice Requires="wps">
            <w:drawing>
              <wp:anchor distT="0" distB="0" distL="114300" distR="114300" simplePos="0" relativeHeight="251664384" behindDoc="0" locked="0" layoutInCell="1" allowOverlap="1">
                <wp:simplePos x="0" y="0"/>
                <wp:positionH relativeFrom="column">
                  <wp:posOffset>2118995</wp:posOffset>
                </wp:positionH>
                <wp:positionV relativeFrom="paragraph">
                  <wp:posOffset>125095</wp:posOffset>
                </wp:positionV>
                <wp:extent cx="635" cy="669925"/>
                <wp:effectExtent l="76200" t="0" r="94615" b="5397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69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6.85pt;margin-top:9.85pt;width:.05pt;height:5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">
                <v:stroke endarrow="block"/>
              </v:shape>
            </w:pict>
          </mc:Fallback>
        </mc:AlternateContent>
      </w:r>
    </w:p>
    <w:p w:rsidR="008A23ED" w:rsidRPr="0019497F" w:rsidRDefault="003F3889" w:rsidP="00AB092F">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2193290</wp:posOffset>
                </wp:positionH>
                <wp:positionV relativeFrom="paragraph">
                  <wp:posOffset>68580</wp:posOffset>
                </wp:positionV>
                <wp:extent cx="1550670" cy="25273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B1" w:rsidRDefault="00B073B1" w:rsidP="008A23ED">
                            <w:proofErr w:type="gramStart"/>
                            <w:r>
                              <w:t>based</w:t>
                            </w:r>
                            <w:proofErr w:type="gramEnd"/>
                            <w:r>
                              <w:t xml:space="preserve"> on response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172.7pt;margin-top:5.4pt;width:122.1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EPhAIAABY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" stroked="f">
                <v:textbox>
                  <w:txbxContent>
                    <w:p w:rsidR="00B073B1" w:rsidRDefault="00B073B1" w:rsidP="008A23ED">
                      <w:proofErr w:type="gramStart"/>
                      <w:r>
                        <w:t>based</w:t>
                      </w:r>
                      <w:proofErr w:type="gramEnd"/>
                      <w:r>
                        <w:t xml:space="preserve"> on response</w:t>
                      </w:r>
                    </w:p>
                  </w:txbxContent>
                </v:textbox>
              </v:shape>
            </w:pict>
          </mc:Fallback>
        </mc:AlternateContent>
      </w:r>
    </w:p>
    <w:p w:rsidR="008A23ED" w:rsidRPr="0019497F" w:rsidRDefault="008A23ED" w:rsidP="00AB092F"/>
    <w:p w:rsidR="008A23ED" w:rsidRPr="0019497F" w:rsidRDefault="008A23ED" w:rsidP="00AB092F"/>
    <w:p w:rsidR="008A23ED" w:rsidRPr="0019497F" w:rsidRDefault="003F3889" w:rsidP="00AB092F">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2929255</wp:posOffset>
                </wp:positionH>
                <wp:positionV relativeFrom="paragraph">
                  <wp:posOffset>635</wp:posOffset>
                </wp:positionV>
                <wp:extent cx="1550670" cy="452755"/>
                <wp:effectExtent l="0" t="0" r="0"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3B1" w:rsidRDefault="00B073B1" w:rsidP="008A23ED">
                            <w:r>
                              <w:t>Maximum Dose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230.65pt;margin-top:.05pt;width:122.1pt;height:3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0XshQIAABY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" stroked="f">
                <v:textbox>
                  <w:txbxContent>
                    <w:p w:rsidR="00B073B1" w:rsidRDefault="00B073B1" w:rsidP="008A23ED">
                      <w:r>
                        <w:t>Maximum Dose</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1315720</wp:posOffset>
                </wp:positionH>
                <wp:positionV relativeFrom="paragraph">
                  <wp:posOffset>635</wp:posOffset>
                </wp:positionV>
                <wp:extent cx="1388110" cy="306705"/>
                <wp:effectExtent l="0" t="0" r="2159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306705"/>
                        </a:xfrm>
                        <a:prstGeom prst="rect">
                          <a:avLst/>
                        </a:prstGeom>
                        <a:solidFill>
                          <a:srgbClr val="FFFFFF"/>
                        </a:solidFill>
                        <a:ln w="9525">
                          <a:solidFill>
                            <a:srgbClr val="000000"/>
                          </a:solidFill>
                          <a:miter lim="800000"/>
                          <a:headEnd/>
                          <a:tailEnd/>
                        </a:ln>
                      </wps:spPr>
                      <wps:txbx>
                        <w:txbxContent>
                          <w:p w:rsidR="00B073B1" w:rsidRDefault="00B073B1" w:rsidP="008A23ED">
                            <w:r>
                              <w:t>750 mg twice daily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left:0;text-align:left;margin-left:103.6pt;margin-top:.05pt;width:109.3pt;height:2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5rLAIAAFc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">
                <v:textbox>
                  <w:txbxContent>
                    <w:p w:rsidR="00B073B1" w:rsidRDefault="00B073B1" w:rsidP="008A23ED">
                      <w:r>
                        <w:t>750 mg twice daily</w:t>
                      </w:r>
                    </w:p>
                  </w:txbxContent>
                </v:textbox>
              </v:shape>
            </w:pict>
          </mc:Fallback>
        </mc:AlternateContent>
      </w:r>
    </w:p>
    <w:p w:rsidR="008A23ED" w:rsidRDefault="008A23ED" w:rsidP="00AB092F"/>
    <w:p w:rsidR="00E623AF" w:rsidRPr="0019497F" w:rsidRDefault="00E623AF" w:rsidP="00AB092F"/>
    <w:p w:rsidR="008A23ED" w:rsidRPr="00DA7566" w:rsidRDefault="00A6605E" w:rsidP="00816CF4">
      <w:pPr>
        <w:spacing w:before="120" w:after="120"/>
        <w:rPr>
          <w:b/>
        </w:rPr>
      </w:pPr>
      <w:r w:rsidRPr="00A6605E">
        <w:rPr>
          <w:b/>
        </w:rPr>
        <w:t xml:space="preserve">Dose modification </w:t>
      </w:r>
    </w:p>
    <w:p w:rsidR="00941AB4" w:rsidRPr="00DA7566" w:rsidRDefault="00F11C0E" w:rsidP="00816CF4">
      <w:pPr>
        <w:pStyle w:val="Heading3"/>
      </w:pPr>
      <w:r w:rsidRPr="00DA7566">
        <w:t>Patients with Renal impairment</w:t>
      </w:r>
    </w:p>
    <w:p w:rsidR="00941AB4" w:rsidRPr="0019497F" w:rsidRDefault="006478DD" w:rsidP="00816CF4">
      <w:pPr>
        <w:spacing w:before="120" w:after="120"/>
      </w:pPr>
      <w:r w:rsidRPr="0019497F">
        <w:t>P</w:t>
      </w:r>
      <w:r w:rsidR="00941AB4" w:rsidRPr="0019497F">
        <w:t>atients with mild to moderate renal impairment (creatinine clearance 30–80 ml/min CKD stages 2-3)</w:t>
      </w:r>
      <w:r w:rsidR="00366070" w:rsidRPr="0019497F">
        <w:t xml:space="preserve"> require careful dose titration</w:t>
      </w:r>
      <w:r w:rsidR="00941AB4" w:rsidRPr="0019497F">
        <w:t xml:space="preserve">. </w:t>
      </w:r>
      <w:r w:rsidR="00DC30EC">
        <w:t>RANEXA</w:t>
      </w:r>
      <w:r w:rsidR="00941AB4" w:rsidRPr="0019497F">
        <w:t xml:space="preserve"> is contraindicated in patients with severe renal impairment (creatinine clearance </w:t>
      </w:r>
      <w:r w:rsidR="00941AB4" w:rsidRPr="0019497F">
        <w:sym w:font="Symbol" w:char="F03C"/>
      </w:r>
      <w:r w:rsidR="00941AB4" w:rsidRPr="0019497F">
        <w:t xml:space="preserve"> 30 ml/min CKD stage 4) and end stage renal impairment (CKD stage 5). Refer to </w:t>
      </w:r>
      <w:r w:rsidR="00A6605E" w:rsidRPr="00A6605E">
        <w:rPr>
          <w:b/>
        </w:rPr>
        <w:t>Contraindications</w:t>
      </w:r>
      <w:r w:rsidR="00941AB4" w:rsidRPr="0019497F">
        <w:t xml:space="preserve"> section.</w:t>
      </w:r>
    </w:p>
    <w:p w:rsidR="00941AB4" w:rsidRPr="00DA7566" w:rsidRDefault="00F11C0E" w:rsidP="00816CF4">
      <w:pPr>
        <w:pStyle w:val="Heading3"/>
      </w:pPr>
      <w:r w:rsidRPr="00DA7566">
        <w:t>Patients with Hepatic impairment</w:t>
      </w:r>
    </w:p>
    <w:p w:rsidR="00941AB4" w:rsidRPr="0019497F" w:rsidRDefault="006478DD" w:rsidP="00816CF4">
      <w:pPr>
        <w:spacing w:before="120" w:after="120"/>
      </w:pPr>
      <w:r w:rsidRPr="0019497F">
        <w:t>P</w:t>
      </w:r>
      <w:r w:rsidR="00941AB4" w:rsidRPr="0019497F">
        <w:t xml:space="preserve">atients with mild hepatic impairment </w:t>
      </w:r>
      <w:r w:rsidR="00366070" w:rsidRPr="0019497F">
        <w:t xml:space="preserve">require careful dose titration </w:t>
      </w:r>
      <w:r w:rsidR="00941AB4" w:rsidRPr="0019497F">
        <w:t xml:space="preserve">(see </w:t>
      </w:r>
      <w:r w:rsidR="00A6605E" w:rsidRPr="00A6605E">
        <w:rPr>
          <w:b/>
        </w:rPr>
        <w:t>Precautions</w:t>
      </w:r>
      <w:r w:rsidR="00941AB4" w:rsidRPr="0019497F">
        <w:t xml:space="preserve"> section). </w:t>
      </w:r>
      <w:r w:rsidR="00DC30EC">
        <w:t>RANEXA</w:t>
      </w:r>
      <w:r w:rsidR="00941AB4" w:rsidRPr="0019497F">
        <w:t xml:space="preserve"> is contraindicated in patients with moderate or severe hepatic impairment (see </w:t>
      </w:r>
      <w:r w:rsidR="00941AB4" w:rsidRPr="00912119">
        <w:rPr>
          <w:b/>
        </w:rPr>
        <w:t>Contraindications</w:t>
      </w:r>
      <w:r w:rsidR="00941AB4" w:rsidRPr="0019497F">
        <w:t xml:space="preserve"> section).</w:t>
      </w:r>
    </w:p>
    <w:p w:rsidR="00941AB4" w:rsidRPr="00DA7566" w:rsidRDefault="00F11C0E" w:rsidP="00816CF4">
      <w:pPr>
        <w:pStyle w:val="Heading3"/>
      </w:pPr>
      <w:r w:rsidRPr="00DA7566">
        <w:t>Concomitant Medicines</w:t>
      </w:r>
    </w:p>
    <w:p w:rsidR="00AB092F" w:rsidRPr="0019497F" w:rsidRDefault="00A43013" w:rsidP="00816CF4">
      <w:pPr>
        <w:spacing w:before="120" w:after="120"/>
      </w:pPr>
      <w:r w:rsidRPr="00A43013">
        <w:t>Careful dose titration is recommended in patients treated with moderate CYP3A4 inhibitors e.g. diltiazem, fluconazole, erythromycin or P</w:t>
      </w:r>
      <w:r w:rsidRPr="00A43013">
        <w:noBreakHyphen/>
        <w:t>gp inhibitors e.g</w:t>
      </w:r>
      <w:r w:rsidR="00BA07BE">
        <w:t>.</w:t>
      </w:r>
      <w:r w:rsidRPr="00A43013">
        <w:t xml:space="preserve"> verapamil, cyclosporin. Concomitant administration of potent CYP3A4 inhibitors </w:t>
      </w:r>
      <w:r w:rsidR="00915CAD">
        <w:t xml:space="preserve">with RANEXA </w:t>
      </w:r>
      <w:r w:rsidRPr="00A43013">
        <w:t xml:space="preserve">is contraindicated (see </w:t>
      </w:r>
      <w:r w:rsidRPr="00A43013">
        <w:rPr>
          <w:b/>
        </w:rPr>
        <w:t>Contraindications</w:t>
      </w:r>
      <w:r w:rsidRPr="00A43013">
        <w:t xml:space="preserve"> </w:t>
      </w:r>
      <w:r w:rsidR="00CC546F">
        <w:t xml:space="preserve">and </w:t>
      </w:r>
      <w:r w:rsidR="00A6605E" w:rsidRPr="00A6605E">
        <w:rPr>
          <w:b/>
        </w:rPr>
        <w:t>Interactions with other medicines</w:t>
      </w:r>
      <w:r w:rsidRPr="00A43013">
        <w:t xml:space="preserve">). </w:t>
      </w:r>
    </w:p>
    <w:p w:rsidR="008A23ED" w:rsidRPr="00DA7566" w:rsidRDefault="00F11C0E" w:rsidP="00816CF4">
      <w:pPr>
        <w:pStyle w:val="Heading3"/>
      </w:pPr>
      <w:r w:rsidRPr="00DA7566">
        <w:t>Elderly patients ≥ 75 years of age</w:t>
      </w:r>
    </w:p>
    <w:p w:rsidR="00366070" w:rsidRPr="0019497F" w:rsidRDefault="00366070" w:rsidP="00816CF4">
      <w:pPr>
        <w:tabs>
          <w:tab w:val="left" w:pos="180"/>
        </w:tabs>
        <w:spacing w:before="120" w:after="120"/>
      </w:pPr>
      <w:r w:rsidRPr="0019497F">
        <w:t>Dose titration in elderly patients shoul</w:t>
      </w:r>
      <w:r w:rsidR="00A056E9">
        <w:t>d be exercised with caution</w:t>
      </w:r>
      <w:r w:rsidRPr="0019497F">
        <w:t xml:space="preserve">. Elderly </w:t>
      </w:r>
      <w:r w:rsidR="00236976">
        <w:t xml:space="preserve">patients </w:t>
      </w:r>
      <w:r w:rsidRPr="0019497F">
        <w:t xml:space="preserve">may have increased ranolazine exposure due to age-related decrease in renal function (see </w:t>
      </w:r>
      <w:r w:rsidR="00A6605E" w:rsidRPr="00A6605E">
        <w:rPr>
          <w:b/>
        </w:rPr>
        <w:t>Pharmacokinetics</w:t>
      </w:r>
      <w:r w:rsidR="00A056E9">
        <w:t xml:space="preserve"> </w:t>
      </w:r>
      <w:r w:rsidR="00A6605E" w:rsidRPr="00A6605E">
        <w:rPr>
          <w:b/>
        </w:rPr>
        <w:t>in Special Populations</w:t>
      </w:r>
      <w:r w:rsidR="00900383" w:rsidRPr="0019497F">
        <w:t xml:space="preserve"> and </w:t>
      </w:r>
      <w:r w:rsidR="00A6605E" w:rsidRPr="00A6605E">
        <w:rPr>
          <w:b/>
        </w:rPr>
        <w:t>Precautions</w:t>
      </w:r>
      <w:r w:rsidRPr="0019497F">
        <w:t xml:space="preserve">). The incidence of adverse events was higher in the elderly (see </w:t>
      </w:r>
      <w:r w:rsidR="00A6605E" w:rsidRPr="00A6605E">
        <w:rPr>
          <w:b/>
        </w:rPr>
        <w:t>Adverse Effects</w:t>
      </w:r>
      <w:r w:rsidRPr="0019497F">
        <w:t xml:space="preserve">). </w:t>
      </w:r>
    </w:p>
    <w:p w:rsidR="00A6605E" w:rsidRDefault="00F11C0E" w:rsidP="00816CF4">
      <w:pPr>
        <w:pStyle w:val="Heading3"/>
      </w:pPr>
      <w:r w:rsidRPr="00DA7566">
        <w:t xml:space="preserve">Low body weight </w:t>
      </w:r>
    </w:p>
    <w:p w:rsidR="00366070" w:rsidRPr="00FD0B3E" w:rsidRDefault="00366070" w:rsidP="00816CF4">
      <w:pPr>
        <w:tabs>
          <w:tab w:val="left" w:pos="180"/>
        </w:tabs>
        <w:spacing w:before="120" w:after="120"/>
        <w:rPr>
          <w:b/>
        </w:rPr>
      </w:pPr>
      <w:r w:rsidRPr="0019497F">
        <w:t xml:space="preserve">The incidence of adverse events was higher in patients with low </w:t>
      </w:r>
      <w:r w:rsidR="006E51EE">
        <w:t xml:space="preserve">body </w:t>
      </w:r>
      <w:r w:rsidRPr="0019497F">
        <w:t>weight (</w:t>
      </w:r>
      <w:r w:rsidRPr="0019497F">
        <w:rPr>
          <w:rFonts w:cs="Arial"/>
        </w:rPr>
        <w:t>≤</w:t>
      </w:r>
      <w:r w:rsidRPr="0019497F">
        <w:t xml:space="preserve"> 60 kg).</w:t>
      </w:r>
      <w:r w:rsidR="00A056E9">
        <w:t xml:space="preserve"> Dose titration in patients wit</w:t>
      </w:r>
      <w:r w:rsidRPr="0019497F">
        <w:t xml:space="preserve">h low </w:t>
      </w:r>
      <w:r w:rsidR="006E51EE">
        <w:t xml:space="preserve">body </w:t>
      </w:r>
      <w:r w:rsidRPr="0019497F">
        <w:t xml:space="preserve">weight should be exercised with caution (see </w:t>
      </w:r>
      <w:r w:rsidR="00A6605E" w:rsidRPr="00A6605E">
        <w:rPr>
          <w:b/>
        </w:rPr>
        <w:t xml:space="preserve">Pharmacokinetics, Precautions, </w:t>
      </w:r>
      <w:r w:rsidR="00C66EE5" w:rsidRPr="00FD0B3E">
        <w:t>and</w:t>
      </w:r>
      <w:r w:rsidR="00A6605E" w:rsidRPr="00A6605E">
        <w:rPr>
          <w:b/>
        </w:rPr>
        <w:t xml:space="preserve"> Adverse Effects). </w:t>
      </w:r>
    </w:p>
    <w:p w:rsidR="00C66EE5" w:rsidRPr="00DA7566" w:rsidRDefault="00F11C0E" w:rsidP="00816CF4">
      <w:pPr>
        <w:pStyle w:val="Heading3"/>
      </w:pPr>
      <w:r w:rsidRPr="00DA7566">
        <w:t>Congestive heart failure (CHF)</w:t>
      </w:r>
    </w:p>
    <w:p w:rsidR="00411697" w:rsidRDefault="00C66EE5" w:rsidP="00816CF4">
      <w:pPr>
        <w:tabs>
          <w:tab w:val="left" w:pos="180"/>
        </w:tabs>
        <w:spacing w:before="120" w:after="120"/>
        <w:rPr>
          <w:b/>
          <w:caps/>
          <w:sz w:val="24"/>
        </w:rPr>
      </w:pPr>
      <w:r w:rsidRPr="0019497F">
        <w:t xml:space="preserve">Dose titration in patients with moderate to severe CHF (NYHA Class III- IV) should be exercised with caution (see </w:t>
      </w:r>
      <w:r w:rsidR="00A6605E" w:rsidRPr="00A6605E">
        <w:rPr>
          <w:b/>
        </w:rPr>
        <w:t xml:space="preserve">Pharmacokinetics in Special Populations </w:t>
      </w:r>
      <w:r w:rsidRPr="007600D9">
        <w:t>and</w:t>
      </w:r>
      <w:r w:rsidR="00A6605E" w:rsidRPr="00A6605E">
        <w:rPr>
          <w:b/>
        </w:rPr>
        <w:t xml:space="preserve"> Precautions). </w:t>
      </w:r>
    </w:p>
    <w:p w:rsidR="00B541CE" w:rsidRPr="0019497F" w:rsidRDefault="00B541CE" w:rsidP="00816CF4">
      <w:pPr>
        <w:pStyle w:val="Heading1"/>
        <w:spacing w:after="240"/>
      </w:pPr>
      <w:r w:rsidRPr="0019497F">
        <w:t>Overdosage</w:t>
      </w:r>
    </w:p>
    <w:p w:rsidR="001046D7" w:rsidRPr="0019497F" w:rsidRDefault="001046D7" w:rsidP="00816CF4">
      <w:pPr>
        <w:tabs>
          <w:tab w:val="left" w:pos="180"/>
        </w:tabs>
        <w:spacing w:before="120" w:after="120"/>
      </w:pPr>
      <w:r w:rsidRPr="0019497F">
        <w:t>In an oral high-dose tolerability</w:t>
      </w:r>
      <w:r w:rsidR="005F2DA9">
        <w:t xml:space="preserve"> </w:t>
      </w:r>
      <w:r w:rsidRPr="0019497F">
        <w:t>study</w:t>
      </w:r>
      <w:r w:rsidR="005F2DA9">
        <w:t xml:space="preserve"> (3000</w:t>
      </w:r>
      <w:r w:rsidR="0090740A">
        <w:t xml:space="preserve"> </w:t>
      </w:r>
      <w:r w:rsidR="005F2DA9">
        <w:t xml:space="preserve">mg twice daily) </w:t>
      </w:r>
      <w:r w:rsidRPr="0019497F">
        <w:t>in angina patients,</w:t>
      </w:r>
      <w:r w:rsidR="005F2DA9">
        <w:t xml:space="preserve"> </w:t>
      </w:r>
      <w:r w:rsidRPr="0019497F">
        <w:t>the incidence of dizziness, nausea, and vomiting increased in a dose-dependent manner. In addition to these adverse events, diplopia, lethargy, and syncope were observed in an intravenous overdose study in healthy volunteers. In the event of overdose,</w:t>
      </w:r>
      <w:r w:rsidR="00FD5596" w:rsidRPr="0019497F">
        <w:t xml:space="preserve"> immediately contact the Poison Information Centre on 13</w:t>
      </w:r>
      <w:r w:rsidR="003B5182">
        <w:t xml:space="preserve"> </w:t>
      </w:r>
      <w:r w:rsidR="00FD5596" w:rsidRPr="0019497F">
        <w:t>11</w:t>
      </w:r>
      <w:r w:rsidR="003B5182">
        <w:t xml:space="preserve"> </w:t>
      </w:r>
      <w:r w:rsidR="00FD5596" w:rsidRPr="0019497F">
        <w:t>26.</w:t>
      </w:r>
      <w:r w:rsidRPr="0019497F">
        <w:t xml:space="preserve"> </w:t>
      </w:r>
      <w:r w:rsidR="00FD5596" w:rsidRPr="0019497F">
        <w:t>T</w:t>
      </w:r>
      <w:r w:rsidRPr="0019497F">
        <w:t xml:space="preserve">he patient should be closely monitored and the treatment should be symptomatic and supportive. </w:t>
      </w:r>
    </w:p>
    <w:p w:rsidR="001046D7" w:rsidRPr="0019497F" w:rsidRDefault="001046D7" w:rsidP="00816CF4">
      <w:pPr>
        <w:tabs>
          <w:tab w:val="left" w:pos="180"/>
        </w:tabs>
        <w:spacing w:before="120" w:after="120"/>
      </w:pPr>
      <w:r w:rsidRPr="0019497F">
        <w:lastRenderedPageBreak/>
        <w:t>Approximately 62% of ranolazine is bound to plasm</w:t>
      </w:r>
      <w:r w:rsidR="00A43013" w:rsidRPr="00A43013">
        <w:t>a proteins, and therefore, complete clearance by haemodialysis is unlikely.</w:t>
      </w:r>
    </w:p>
    <w:p w:rsidR="00B541CE" w:rsidRPr="0019497F" w:rsidRDefault="00A43013" w:rsidP="00625639">
      <w:pPr>
        <w:pStyle w:val="Heading1"/>
        <w:spacing w:after="240"/>
      </w:pPr>
      <w:r w:rsidRPr="00A43013">
        <w:t>Presentation and Storage Conditions</w:t>
      </w:r>
    </w:p>
    <w:p w:rsidR="008A23ED" w:rsidRPr="0019497F" w:rsidRDefault="00A43013" w:rsidP="00816CF4">
      <w:pPr>
        <w:tabs>
          <w:tab w:val="left" w:pos="180"/>
        </w:tabs>
        <w:spacing w:before="120" w:after="120"/>
      </w:pPr>
      <w:r w:rsidRPr="00A43013">
        <w:t>RANEXA is supplied as film-coated, modified-</w:t>
      </w:r>
      <w:r w:rsidR="007C2C74" w:rsidRPr="0019497F">
        <w:t xml:space="preserve">release </w:t>
      </w:r>
      <w:r w:rsidR="008A23ED" w:rsidRPr="0019497F">
        <w:t xml:space="preserve">tablets, in PVC/PVDC/Aluminium blister packs of </w:t>
      </w:r>
      <w:r w:rsidR="00702D15" w:rsidRPr="0019497F">
        <w:t>15</w:t>
      </w:r>
      <w:r w:rsidR="008A23ED" w:rsidRPr="0019497F">
        <w:t xml:space="preserve"> and 60 tablets per carton in the following strengths:</w:t>
      </w:r>
    </w:p>
    <w:p w:rsidR="007517D5" w:rsidRDefault="008A23ED" w:rsidP="00816CF4">
      <w:pPr>
        <w:tabs>
          <w:tab w:val="left" w:pos="180"/>
        </w:tabs>
        <w:spacing w:before="120" w:after="120"/>
      </w:pPr>
      <w:r w:rsidRPr="0019497F">
        <w:t>375 mg: Pale blue</w:t>
      </w:r>
      <w:r w:rsidR="006478DD" w:rsidRPr="0019497F">
        <w:t>,</w:t>
      </w:r>
      <w:r w:rsidRPr="0019497F">
        <w:t xml:space="preserve"> oval-shaped tablet engraved with 375 on one side.</w:t>
      </w:r>
    </w:p>
    <w:p w:rsidR="007517D5" w:rsidRDefault="00A43013" w:rsidP="00816CF4">
      <w:pPr>
        <w:tabs>
          <w:tab w:val="left" w:pos="180"/>
        </w:tabs>
        <w:spacing w:before="120" w:after="120"/>
      </w:pPr>
      <w:r w:rsidRPr="00A43013">
        <w:t>500</w:t>
      </w:r>
      <w:r w:rsidR="0019497F">
        <w:t xml:space="preserve"> </w:t>
      </w:r>
      <w:r w:rsidR="008A23ED" w:rsidRPr="0019497F">
        <w:t>mg:  Light orange</w:t>
      </w:r>
      <w:r w:rsidR="006478DD" w:rsidRPr="0019497F">
        <w:t>,</w:t>
      </w:r>
      <w:r w:rsidR="008A23ED" w:rsidRPr="0019497F">
        <w:t xml:space="preserve"> oval-shaped tablet engraved with 500 on one side.</w:t>
      </w:r>
    </w:p>
    <w:p w:rsidR="007517D5" w:rsidRDefault="008A23ED" w:rsidP="00816CF4">
      <w:pPr>
        <w:tabs>
          <w:tab w:val="left" w:pos="180"/>
        </w:tabs>
        <w:spacing w:before="120" w:after="120"/>
      </w:pPr>
      <w:r w:rsidRPr="0019497F">
        <w:t>750 mg: Pale green</w:t>
      </w:r>
      <w:r w:rsidR="006478DD" w:rsidRPr="0019497F">
        <w:t>,</w:t>
      </w:r>
      <w:r w:rsidR="00A43013" w:rsidRPr="00A43013">
        <w:t xml:space="preserve"> oval-shaped tablet engraved with 750 on one side.</w:t>
      </w:r>
    </w:p>
    <w:p w:rsidR="008A23ED" w:rsidRPr="0019497F" w:rsidRDefault="00A43013" w:rsidP="00816CF4">
      <w:pPr>
        <w:tabs>
          <w:tab w:val="left" w:pos="180"/>
        </w:tabs>
        <w:spacing w:before="120" w:after="120"/>
      </w:pPr>
      <w:r w:rsidRPr="00A43013">
        <w:t>Not all pack sizes may be marketed. Store below 25ºC. Store in the original package.</w:t>
      </w:r>
    </w:p>
    <w:p w:rsidR="00B541CE" w:rsidRPr="0019497F" w:rsidRDefault="00A43013" w:rsidP="00625639">
      <w:pPr>
        <w:pStyle w:val="Heading1"/>
        <w:spacing w:after="240"/>
      </w:pPr>
      <w:r w:rsidRPr="00A43013">
        <w:t>Name and Address of the Sponsor</w:t>
      </w:r>
    </w:p>
    <w:p w:rsidR="00BD2777" w:rsidRPr="0019497F" w:rsidRDefault="00A43013" w:rsidP="00912119">
      <w:pPr>
        <w:tabs>
          <w:tab w:val="left" w:pos="180"/>
        </w:tabs>
        <w:jc w:val="left"/>
      </w:pPr>
      <w:r w:rsidRPr="00054D6D">
        <w:rPr>
          <w:lang w:val="en-US"/>
        </w:rPr>
        <w:t>A. Menarini Australia Pty Ltd</w:t>
      </w:r>
      <w:r w:rsidR="00912119" w:rsidRPr="00FD4939">
        <w:rPr>
          <w:lang w:val="en-US"/>
        </w:rPr>
        <w:br/>
      </w:r>
      <w:r w:rsidRPr="00A43013">
        <w:t xml:space="preserve">Level 8, 67 Albert Ave </w:t>
      </w:r>
      <w:r w:rsidR="00912119">
        <w:br/>
      </w:r>
      <w:r w:rsidRPr="00A43013">
        <w:t>Chatswood NSW 2067 Australia</w:t>
      </w:r>
    </w:p>
    <w:p w:rsidR="00B541CE" w:rsidRPr="0019497F" w:rsidRDefault="00A43013" w:rsidP="00625639">
      <w:pPr>
        <w:pStyle w:val="Heading1"/>
        <w:spacing w:after="240"/>
      </w:pPr>
      <w:r w:rsidRPr="00A43013">
        <w:t>Poison Schedule of the Medicine</w:t>
      </w:r>
    </w:p>
    <w:p w:rsidR="0020288E" w:rsidRPr="0019497F" w:rsidRDefault="00A43013" w:rsidP="008A4E69">
      <w:pPr>
        <w:spacing w:after="120"/>
      </w:pPr>
      <w:r w:rsidRPr="00A43013">
        <w:t>Schedule 4</w:t>
      </w:r>
    </w:p>
    <w:p w:rsidR="006478DD" w:rsidRPr="0019497F" w:rsidRDefault="00A43013" w:rsidP="00625639">
      <w:pPr>
        <w:pStyle w:val="Heading1"/>
        <w:spacing w:after="240"/>
      </w:pPr>
      <w:r w:rsidRPr="00A43013">
        <w:t>Date of first inclusion in the ARTG</w:t>
      </w:r>
    </w:p>
    <w:p w:rsidR="00A6605E" w:rsidRDefault="00A3218F" w:rsidP="00D64695">
      <w:pPr>
        <w:spacing w:after="120"/>
      </w:pPr>
      <w:r>
        <w:t>13 October 2017</w:t>
      </w:r>
    </w:p>
    <w:sectPr w:rsidR="00A6605E" w:rsidSect="00B073B1">
      <w:headerReference w:type="default" r:id="rId12"/>
      <w:footerReference w:type="default" r:id="rId13"/>
      <w:pgSz w:w="11906" w:h="16838"/>
      <w:pgMar w:top="1170" w:right="1134" w:bottom="990" w:left="1134" w:header="709" w:footer="37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E69CA5" w15:done="0"/>
  <w15:commentEx w15:paraId="0A145EA8" w15:done="0"/>
  <w15:commentEx w15:paraId="4A7FF80C" w15:done="0"/>
  <w15:commentEx w15:paraId="1B0FCE0C" w15:done="0"/>
  <w15:commentEx w15:paraId="48607501" w15:done="0"/>
  <w15:commentEx w15:paraId="37758E9E" w15:done="0"/>
  <w15:commentEx w15:paraId="33ED026A" w15:done="0"/>
  <w15:commentEx w15:paraId="6FF86F8E" w15:done="0"/>
  <w15:commentEx w15:paraId="28DC9E3D" w15:done="0"/>
  <w15:commentEx w15:paraId="1D32B760" w15:done="0"/>
  <w15:commentEx w15:paraId="32AF432F" w15:done="0"/>
  <w15:commentEx w15:paraId="08B11E52" w15:done="0"/>
  <w15:commentEx w15:paraId="30350FFC" w15:done="0"/>
  <w15:commentEx w15:paraId="1A993805" w15:done="0"/>
  <w15:commentEx w15:paraId="4D31D9ED" w15:done="0"/>
  <w15:commentEx w15:paraId="30C3BC88" w15:done="0"/>
  <w15:commentEx w15:paraId="6024738A" w15:done="0"/>
  <w15:commentEx w15:paraId="23067719" w15:done="0"/>
  <w15:commentEx w15:paraId="039DCD50" w15:paraIdParent="23067719" w15:done="0"/>
  <w15:commentEx w15:paraId="730C4C0E" w15:done="0"/>
  <w15:commentEx w15:paraId="25675147" w15:done="0"/>
  <w15:commentEx w15:paraId="769E839A" w15:done="0"/>
  <w15:commentEx w15:paraId="3A2BA8D3" w15:done="0"/>
  <w15:commentEx w15:paraId="37F8867D" w15:done="0"/>
  <w15:commentEx w15:paraId="0430447A" w15:done="0"/>
  <w15:commentEx w15:paraId="544C2919" w15:done="0"/>
  <w15:commentEx w15:paraId="716E83E0" w15:paraIdParent="544C2919" w15:done="0"/>
  <w15:commentEx w15:paraId="35208746" w15:done="0"/>
  <w15:commentEx w15:paraId="24FF470E" w15:done="0"/>
  <w15:commentEx w15:paraId="29A818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B1" w:rsidRDefault="00B073B1">
      <w:r>
        <w:separator/>
      </w:r>
    </w:p>
  </w:endnote>
  <w:endnote w:type="continuationSeparator" w:id="0">
    <w:p w:rsidR="00B073B1" w:rsidRDefault="00B0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292"/>
      <w:gridCol w:w="3273"/>
      <w:gridCol w:w="3289"/>
    </w:tblGrid>
    <w:tr w:rsidR="00B073B1" w:rsidRPr="00106755">
      <w:tc>
        <w:tcPr>
          <w:tcW w:w="3382" w:type="dxa"/>
        </w:tcPr>
        <w:p w:rsidR="00B073B1" w:rsidRPr="00106755" w:rsidRDefault="00B073B1" w:rsidP="00B073B1">
          <w:pPr>
            <w:pStyle w:val="Footer"/>
            <w:tabs>
              <w:tab w:val="right" w:pos="-1843"/>
              <w:tab w:val="center" w:pos="4962"/>
              <w:tab w:val="right" w:pos="9923"/>
              <w:tab w:val="right" w:pos="10632"/>
            </w:tabs>
            <w:spacing w:before="60"/>
            <w:jc w:val="left"/>
            <w:rPr>
              <w:rStyle w:val="PageNumber"/>
              <w:rFonts w:ascii="Arial" w:hAnsi="Arial" w:cs="Arial"/>
              <w:bCs/>
              <w:iCs/>
              <w:sz w:val="20"/>
            </w:rPr>
          </w:pPr>
          <w:r w:rsidRPr="00106755">
            <w:rPr>
              <w:rFonts w:ascii="Arial" w:hAnsi="Arial" w:cs="Arial"/>
              <w:bCs/>
              <w:iCs/>
              <w:sz w:val="20"/>
            </w:rPr>
            <w:t>RAN</w:t>
          </w:r>
          <w:r>
            <w:rPr>
              <w:rFonts w:ascii="Arial" w:hAnsi="Arial" w:cs="Arial"/>
              <w:bCs/>
              <w:iCs/>
              <w:sz w:val="20"/>
            </w:rPr>
            <w:t>i-v01</w:t>
          </w:r>
        </w:p>
      </w:tc>
      <w:tc>
        <w:tcPr>
          <w:tcW w:w="3382" w:type="dxa"/>
        </w:tcPr>
        <w:p w:rsidR="00B073B1" w:rsidRPr="00106755" w:rsidRDefault="00B073B1" w:rsidP="00106755">
          <w:pPr>
            <w:pStyle w:val="Footer"/>
            <w:tabs>
              <w:tab w:val="right" w:pos="-1843"/>
              <w:tab w:val="center" w:pos="4962"/>
              <w:tab w:val="right" w:pos="9923"/>
              <w:tab w:val="right" w:pos="10632"/>
            </w:tabs>
            <w:spacing w:before="60"/>
            <w:jc w:val="center"/>
            <w:rPr>
              <w:rStyle w:val="PageNumber"/>
              <w:rFonts w:ascii="Arial" w:hAnsi="Arial" w:cs="Arial"/>
              <w:bCs/>
              <w:iCs/>
              <w:sz w:val="20"/>
            </w:rPr>
          </w:pPr>
          <w:r w:rsidRPr="00106755">
            <w:rPr>
              <w:rStyle w:val="PageNumber"/>
              <w:rFonts w:ascii="Arial" w:hAnsi="Arial" w:cs="Arial"/>
              <w:bCs/>
              <w:iCs/>
              <w:sz w:val="20"/>
            </w:rPr>
            <w:t xml:space="preserve"> </w:t>
          </w:r>
        </w:p>
      </w:tc>
      <w:tc>
        <w:tcPr>
          <w:tcW w:w="3382" w:type="dxa"/>
        </w:tcPr>
        <w:p w:rsidR="00B073B1" w:rsidRPr="00106755" w:rsidRDefault="00B073B1" w:rsidP="00106755">
          <w:pPr>
            <w:pStyle w:val="Footer"/>
            <w:tabs>
              <w:tab w:val="right" w:pos="-1843"/>
              <w:tab w:val="center" w:pos="4962"/>
              <w:tab w:val="right" w:pos="9923"/>
              <w:tab w:val="right" w:pos="10632"/>
            </w:tabs>
            <w:spacing w:before="60"/>
            <w:jc w:val="right"/>
            <w:rPr>
              <w:rStyle w:val="PageNumber"/>
              <w:rFonts w:ascii="Arial" w:hAnsi="Arial" w:cs="Arial"/>
              <w:bCs/>
              <w:iCs/>
              <w:sz w:val="20"/>
              <w:highlight w:val="yellow"/>
            </w:rPr>
          </w:pPr>
          <w:r w:rsidRPr="00106755">
            <w:rPr>
              <w:rFonts w:ascii="Arial" w:hAnsi="Arial" w:cs="Arial"/>
              <w:bCs/>
              <w:iCs/>
              <w:sz w:val="20"/>
            </w:rPr>
            <w:t xml:space="preserve">Page </w:t>
          </w:r>
          <w:r w:rsidRPr="00106755">
            <w:rPr>
              <w:rStyle w:val="PageNumber"/>
              <w:rFonts w:ascii="Arial" w:hAnsi="Arial" w:cs="Arial"/>
              <w:iCs/>
              <w:sz w:val="20"/>
            </w:rPr>
            <w:fldChar w:fldCharType="begin"/>
          </w:r>
          <w:r w:rsidRPr="00106755">
            <w:rPr>
              <w:rStyle w:val="PageNumber"/>
              <w:rFonts w:ascii="Arial" w:hAnsi="Arial" w:cs="Arial"/>
              <w:iCs/>
              <w:sz w:val="20"/>
            </w:rPr>
            <w:instrText xml:space="preserve"> PAGE </w:instrText>
          </w:r>
          <w:r w:rsidRPr="00106755">
            <w:rPr>
              <w:rStyle w:val="PageNumber"/>
              <w:rFonts w:ascii="Arial" w:hAnsi="Arial" w:cs="Arial"/>
              <w:iCs/>
              <w:sz w:val="20"/>
            </w:rPr>
            <w:fldChar w:fldCharType="separate"/>
          </w:r>
          <w:r w:rsidR="00814EE3">
            <w:rPr>
              <w:rStyle w:val="PageNumber"/>
              <w:rFonts w:ascii="Arial" w:hAnsi="Arial" w:cs="Arial"/>
              <w:iCs/>
              <w:noProof/>
              <w:sz w:val="20"/>
            </w:rPr>
            <w:t>1</w:t>
          </w:r>
          <w:r w:rsidRPr="00106755">
            <w:rPr>
              <w:rStyle w:val="PageNumber"/>
              <w:rFonts w:ascii="Arial" w:hAnsi="Arial" w:cs="Arial"/>
              <w:iCs/>
              <w:sz w:val="20"/>
            </w:rPr>
            <w:fldChar w:fldCharType="end"/>
          </w:r>
          <w:r w:rsidRPr="00106755">
            <w:rPr>
              <w:rFonts w:ascii="Arial" w:hAnsi="Arial" w:cs="Arial"/>
              <w:bCs/>
              <w:iCs/>
              <w:sz w:val="20"/>
            </w:rPr>
            <w:t xml:space="preserve"> </w:t>
          </w:r>
        </w:p>
      </w:tc>
    </w:tr>
  </w:tbl>
  <w:p w:rsidR="00B073B1" w:rsidRDefault="00B073B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B1" w:rsidRDefault="00B073B1">
      <w:r>
        <w:separator/>
      </w:r>
    </w:p>
  </w:footnote>
  <w:footnote w:type="continuationSeparator" w:id="0">
    <w:p w:rsidR="00B073B1" w:rsidRDefault="00B07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14EE3" w:rsidRPr="00A27DA6" w:rsidTr="00E206F5">
      <w:tc>
        <w:tcPr>
          <w:tcW w:w="8720" w:type="dxa"/>
          <w:shd w:val="clear" w:color="auto" w:fill="E4F2E0"/>
        </w:tcPr>
        <w:p w:rsidR="00814EE3" w:rsidRPr="00A27DA6" w:rsidRDefault="00814EE3" w:rsidP="00E206F5">
          <w:pPr>
            <w:spacing w:before="40" w:after="40"/>
            <w:rPr>
              <w:b/>
              <w:sz w:val="20"/>
              <w:szCs w:val="20"/>
            </w:rPr>
          </w:pPr>
          <w:r w:rsidRPr="00A27DA6">
            <w:rPr>
              <w:b/>
              <w:sz w:val="20"/>
              <w:szCs w:val="20"/>
            </w:rPr>
            <w:t xml:space="preserve">Attachment 1: Product information for AusPAR - AusPAR RANEXA </w:t>
          </w:r>
          <w:proofErr w:type="spellStart"/>
          <w:r w:rsidRPr="00A27DA6">
            <w:rPr>
              <w:b/>
              <w:sz w:val="20"/>
              <w:szCs w:val="20"/>
            </w:rPr>
            <w:t>ranolazine</w:t>
          </w:r>
          <w:proofErr w:type="spellEnd"/>
          <w:r w:rsidRPr="00A27DA6">
            <w:rPr>
              <w:b/>
              <w:sz w:val="20"/>
              <w:szCs w:val="20"/>
            </w:rPr>
            <w:t xml:space="preserve"> – A </w:t>
          </w:r>
          <w:proofErr w:type="spellStart"/>
          <w:r w:rsidRPr="00A27DA6">
            <w:rPr>
              <w:b/>
              <w:sz w:val="20"/>
              <w:szCs w:val="20"/>
            </w:rPr>
            <w:t>Menarini</w:t>
          </w:r>
          <w:proofErr w:type="spellEnd"/>
          <w:r w:rsidRPr="00A27DA6">
            <w:rPr>
              <w:b/>
              <w:sz w:val="20"/>
              <w:szCs w:val="20"/>
            </w:rPr>
            <w:t xml:space="preserve"> Australia Pty Ltd PM-2015-00423-1-3 FINAL 20 February 2018 This Product information was approved at the time this AusPAR was published.</w:t>
          </w:r>
        </w:p>
      </w:tc>
    </w:tr>
  </w:tbl>
  <w:p w:rsidR="00814EE3" w:rsidRDefault="00814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7B8E5E6"/>
    <w:lvl w:ilvl="0">
      <w:start w:val="1"/>
      <w:numFmt w:val="decimal"/>
      <w:pStyle w:val="ListNumber"/>
      <w:lvlText w:val="%1."/>
      <w:lvlJc w:val="left"/>
      <w:pPr>
        <w:tabs>
          <w:tab w:val="num" w:pos="360"/>
        </w:tabs>
        <w:ind w:left="360" w:hanging="360"/>
      </w:pPr>
      <w:rPr>
        <w:rFonts w:ascii="Arial" w:hAnsi="Arial" w:hint="default"/>
        <w:b w:val="0"/>
        <w:i w:val="0"/>
        <w:sz w:val="22"/>
      </w:rPr>
    </w:lvl>
  </w:abstractNum>
  <w:abstractNum w:abstractNumId="1">
    <w:nsid w:val="FFFFFF89"/>
    <w:multiLevelType w:val="singleLevel"/>
    <w:tmpl w:val="4C466B7A"/>
    <w:lvl w:ilvl="0">
      <w:start w:val="1"/>
      <w:numFmt w:val="bullet"/>
      <w:pStyle w:val="ListBullet"/>
      <w:lvlText w:val=""/>
      <w:lvlJc w:val="left"/>
      <w:pPr>
        <w:tabs>
          <w:tab w:val="num" w:pos="360"/>
        </w:tabs>
        <w:ind w:left="340" w:hanging="340"/>
      </w:pPr>
      <w:rPr>
        <w:rFonts w:ascii="Symbol" w:hAnsi="Symbol" w:hint="default"/>
      </w:rPr>
    </w:lvl>
  </w:abstractNum>
  <w:abstractNum w:abstractNumId="2">
    <w:nsid w:val="081A082C"/>
    <w:multiLevelType w:val="hybridMultilevel"/>
    <w:tmpl w:val="CF629692"/>
    <w:lvl w:ilvl="0" w:tplc="2FC4D4BC">
      <w:start w:val="1"/>
      <w:numFmt w:val="decimal"/>
      <w:lvlText w:val="%1."/>
      <w:lvlJc w:val="left"/>
      <w:pPr>
        <w:ind w:left="720" w:hanging="360"/>
      </w:pPr>
      <w:rPr>
        <w:rFonts w:hint="default"/>
        <w:color w:val="1F497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553548"/>
    <w:multiLevelType w:val="hybridMultilevel"/>
    <w:tmpl w:val="A64899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A3A0CCF"/>
    <w:multiLevelType w:val="hybridMultilevel"/>
    <w:tmpl w:val="F4F61A5A"/>
    <w:lvl w:ilvl="0" w:tplc="CF0A5C00">
      <w:start w:val="1"/>
      <w:numFmt w:val="bullet"/>
      <w:lvlText w:val=""/>
      <w:lvlJc w:val="left"/>
      <w:pPr>
        <w:ind w:left="720" w:hanging="360"/>
      </w:pPr>
      <w:rPr>
        <w:rFonts w:ascii="Wingdings" w:eastAsia="Times New Roman" w:hAnsi="Wingdings" w:cs="TimesNewRoman" w:hint="default"/>
        <w:color w:val="0000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F41A1F"/>
    <w:multiLevelType w:val="hybridMultilevel"/>
    <w:tmpl w:val="AEBCFC6C"/>
    <w:lvl w:ilvl="0" w:tplc="0C090003">
      <w:start w:val="1"/>
      <w:numFmt w:val="bullet"/>
      <w:lvlText w:val="o"/>
      <w:lvlJc w:val="left"/>
      <w:pPr>
        <w:ind w:left="720" w:hanging="360"/>
      </w:pPr>
      <w:rPr>
        <w:rFonts w:ascii="Courier New" w:hAnsi="Courier New" w:cs="Courier New" w:hint="default"/>
      </w:rPr>
    </w:lvl>
    <w:lvl w:ilvl="1" w:tplc="851AD5B2">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771114"/>
    <w:multiLevelType w:val="hybridMultilevel"/>
    <w:tmpl w:val="BB6CBD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F65CF9"/>
    <w:multiLevelType w:val="hybridMultilevel"/>
    <w:tmpl w:val="0B32ED88"/>
    <w:lvl w:ilvl="0" w:tplc="22104444">
      <w:start w:val="1"/>
      <w:numFmt w:val="lowerLetter"/>
      <w:lvlText w:val="%1."/>
      <w:lvlJc w:val="left"/>
      <w:pPr>
        <w:tabs>
          <w:tab w:val="num" w:pos="360"/>
        </w:tabs>
        <w:ind w:left="340" w:hanging="340"/>
      </w:pPr>
      <w:rPr>
        <w:rFonts w:ascii="Arial" w:hAnsi="Arial"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E92AEF"/>
    <w:multiLevelType w:val="hybridMultilevel"/>
    <w:tmpl w:val="3F60BF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515262"/>
    <w:multiLevelType w:val="hybridMultilevel"/>
    <w:tmpl w:val="5F689D4A"/>
    <w:lvl w:ilvl="0" w:tplc="AFA869B6">
      <w:start w:val="1"/>
      <w:numFmt w:val="bullet"/>
      <w:lvlText w:val=""/>
      <w:lvlJc w:val="left"/>
      <w:pPr>
        <w:tabs>
          <w:tab w:val="num" w:pos="448"/>
        </w:tabs>
        <w:ind w:left="448" w:hanging="360"/>
      </w:pPr>
      <w:rPr>
        <w:rFonts w:ascii="Symbol" w:hAnsi="Symbol" w:hint="default"/>
        <w:lang w:val="en-GB"/>
      </w:rPr>
    </w:lvl>
    <w:lvl w:ilvl="1" w:tplc="08090003" w:tentative="1">
      <w:start w:val="1"/>
      <w:numFmt w:val="bullet"/>
      <w:lvlText w:val="o"/>
      <w:lvlJc w:val="left"/>
      <w:pPr>
        <w:tabs>
          <w:tab w:val="num" w:pos="1168"/>
        </w:tabs>
        <w:ind w:left="1168" w:hanging="360"/>
      </w:pPr>
      <w:rPr>
        <w:rFonts w:ascii="Courier New" w:hAnsi="Courier New" w:cs="Courier New" w:hint="default"/>
      </w:rPr>
    </w:lvl>
    <w:lvl w:ilvl="2" w:tplc="08090005" w:tentative="1">
      <w:start w:val="1"/>
      <w:numFmt w:val="bullet"/>
      <w:lvlText w:val=""/>
      <w:lvlJc w:val="left"/>
      <w:pPr>
        <w:tabs>
          <w:tab w:val="num" w:pos="1888"/>
        </w:tabs>
        <w:ind w:left="1888" w:hanging="360"/>
      </w:pPr>
      <w:rPr>
        <w:rFonts w:ascii="Wingdings" w:hAnsi="Wingdings" w:hint="default"/>
      </w:rPr>
    </w:lvl>
    <w:lvl w:ilvl="3" w:tplc="08090001" w:tentative="1">
      <w:start w:val="1"/>
      <w:numFmt w:val="bullet"/>
      <w:lvlText w:val=""/>
      <w:lvlJc w:val="left"/>
      <w:pPr>
        <w:tabs>
          <w:tab w:val="num" w:pos="2608"/>
        </w:tabs>
        <w:ind w:left="2608" w:hanging="360"/>
      </w:pPr>
      <w:rPr>
        <w:rFonts w:ascii="Symbol" w:hAnsi="Symbol" w:hint="default"/>
      </w:rPr>
    </w:lvl>
    <w:lvl w:ilvl="4" w:tplc="08090003" w:tentative="1">
      <w:start w:val="1"/>
      <w:numFmt w:val="bullet"/>
      <w:lvlText w:val="o"/>
      <w:lvlJc w:val="left"/>
      <w:pPr>
        <w:tabs>
          <w:tab w:val="num" w:pos="3328"/>
        </w:tabs>
        <w:ind w:left="3328" w:hanging="360"/>
      </w:pPr>
      <w:rPr>
        <w:rFonts w:ascii="Courier New" w:hAnsi="Courier New" w:cs="Courier New" w:hint="default"/>
      </w:rPr>
    </w:lvl>
    <w:lvl w:ilvl="5" w:tplc="08090005" w:tentative="1">
      <w:start w:val="1"/>
      <w:numFmt w:val="bullet"/>
      <w:lvlText w:val=""/>
      <w:lvlJc w:val="left"/>
      <w:pPr>
        <w:tabs>
          <w:tab w:val="num" w:pos="4048"/>
        </w:tabs>
        <w:ind w:left="4048" w:hanging="360"/>
      </w:pPr>
      <w:rPr>
        <w:rFonts w:ascii="Wingdings" w:hAnsi="Wingdings" w:hint="default"/>
      </w:rPr>
    </w:lvl>
    <w:lvl w:ilvl="6" w:tplc="08090001" w:tentative="1">
      <w:start w:val="1"/>
      <w:numFmt w:val="bullet"/>
      <w:lvlText w:val=""/>
      <w:lvlJc w:val="left"/>
      <w:pPr>
        <w:tabs>
          <w:tab w:val="num" w:pos="4768"/>
        </w:tabs>
        <w:ind w:left="4768" w:hanging="360"/>
      </w:pPr>
      <w:rPr>
        <w:rFonts w:ascii="Symbol" w:hAnsi="Symbol" w:hint="default"/>
      </w:rPr>
    </w:lvl>
    <w:lvl w:ilvl="7" w:tplc="08090003" w:tentative="1">
      <w:start w:val="1"/>
      <w:numFmt w:val="bullet"/>
      <w:lvlText w:val="o"/>
      <w:lvlJc w:val="left"/>
      <w:pPr>
        <w:tabs>
          <w:tab w:val="num" w:pos="5488"/>
        </w:tabs>
        <w:ind w:left="5488" w:hanging="360"/>
      </w:pPr>
      <w:rPr>
        <w:rFonts w:ascii="Courier New" w:hAnsi="Courier New" w:cs="Courier New" w:hint="default"/>
      </w:rPr>
    </w:lvl>
    <w:lvl w:ilvl="8" w:tplc="08090005" w:tentative="1">
      <w:start w:val="1"/>
      <w:numFmt w:val="bullet"/>
      <w:lvlText w:val=""/>
      <w:lvlJc w:val="left"/>
      <w:pPr>
        <w:tabs>
          <w:tab w:val="num" w:pos="6208"/>
        </w:tabs>
        <w:ind w:left="6208" w:hanging="360"/>
      </w:pPr>
      <w:rPr>
        <w:rFonts w:ascii="Wingdings" w:hAnsi="Wingdings" w:hint="default"/>
      </w:rPr>
    </w:lvl>
  </w:abstractNum>
  <w:abstractNum w:abstractNumId="11">
    <w:nsid w:val="38E90932"/>
    <w:multiLevelType w:val="multilevel"/>
    <w:tmpl w:val="D6C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261595"/>
    <w:multiLevelType w:val="hybridMultilevel"/>
    <w:tmpl w:val="C478C13C"/>
    <w:lvl w:ilvl="0" w:tplc="B0A64176">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9B1AF2"/>
    <w:multiLevelType w:val="hybridMultilevel"/>
    <w:tmpl w:val="BEF42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EE7814"/>
    <w:multiLevelType w:val="hybridMultilevel"/>
    <w:tmpl w:val="2C809056"/>
    <w:lvl w:ilvl="0" w:tplc="92AC730C">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47E1389E"/>
    <w:multiLevelType w:val="multilevel"/>
    <w:tmpl w:val="67A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D42119"/>
    <w:multiLevelType w:val="hybridMultilevel"/>
    <w:tmpl w:val="C608D3D8"/>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6E4"/>
    <w:multiLevelType w:val="hybridMultilevel"/>
    <w:tmpl w:val="D19E54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8643410"/>
    <w:multiLevelType w:val="hybridMultilevel"/>
    <w:tmpl w:val="F078EB56"/>
    <w:lvl w:ilvl="0" w:tplc="92AC73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47809"/>
    <w:multiLevelType w:val="hybridMultilevel"/>
    <w:tmpl w:val="02561C0A"/>
    <w:lvl w:ilvl="0" w:tplc="670CB07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8552996"/>
    <w:multiLevelType w:val="hybridMultilevel"/>
    <w:tmpl w:val="0E1CB6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C510B5A"/>
    <w:multiLevelType w:val="multilevel"/>
    <w:tmpl w:val="388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E70A5"/>
    <w:multiLevelType w:val="hybridMultilevel"/>
    <w:tmpl w:val="22B613F4"/>
    <w:lvl w:ilvl="0" w:tplc="13388E8C">
      <w:start w:val="1"/>
      <w:numFmt w:val="decimal"/>
      <w:lvlText w:val="%1."/>
      <w:lvlJc w:val="left"/>
      <w:pPr>
        <w:ind w:left="720" w:hanging="360"/>
      </w:pPr>
      <w:rPr>
        <w:rFonts w:hint="default"/>
        <w:color w:val="1F497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DB97BFF"/>
    <w:multiLevelType w:val="multilevel"/>
    <w:tmpl w:val="705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2A5F6A"/>
    <w:multiLevelType w:val="hybridMultilevel"/>
    <w:tmpl w:val="2F7AE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3"/>
  </w:num>
  <w:num w:numId="4">
    <w:abstractNumId w:val="13"/>
  </w:num>
  <w:num w:numId="5">
    <w:abstractNumId w:val="0"/>
  </w:num>
  <w:num w:numId="6">
    <w:abstractNumId w:val="0"/>
  </w:num>
  <w:num w:numId="7">
    <w:abstractNumId w:val="0"/>
  </w:num>
  <w:num w:numId="8">
    <w:abstractNumId w:val="0"/>
  </w:num>
  <w:num w:numId="9">
    <w:abstractNumId w:val="1"/>
  </w:num>
  <w:num w:numId="10">
    <w:abstractNumId w:val="8"/>
  </w:num>
  <w:num w:numId="11">
    <w:abstractNumId w:val="8"/>
  </w:num>
  <w:num w:numId="12">
    <w:abstractNumId w:val="8"/>
  </w:num>
  <w:num w:numId="13">
    <w:abstractNumId w:val="8"/>
  </w:num>
  <w:num w:numId="14">
    <w:abstractNumId w:val="8"/>
  </w:num>
  <w:num w:numId="15">
    <w:abstractNumId w:val="0"/>
  </w:num>
  <w:num w:numId="16">
    <w:abstractNumId w:val="13"/>
  </w:num>
  <w:num w:numId="17">
    <w:abstractNumId w:val="8"/>
  </w:num>
  <w:num w:numId="18">
    <w:abstractNumId w:val="1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6"/>
  </w:num>
  <w:num w:numId="26">
    <w:abstractNumId w:val="13"/>
  </w:num>
  <w:num w:numId="27">
    <w:abstractNumId w:val="1"/>
  </w:num>
  <w:num w:numId="28">
    <w:abstractNumId w:val="7"/>
  </w:num>
  <w:num w:numId="29">
    <w:abstractNumId w:val="17"/>
  </w:num>
  <w:num w:numId="30">
    <w:abstractNumId w:val="11"/>
  </w:num>
  <w:num w:numId="31">
    <w:abstractNumId w:val="22"/>
  </w:num>
  <w:num w:numId="32">
    <w:abstractNumId w:val="16"/>
  </w:num>
  <w:num w:numId="33">
    <w:abstractNumId w:val="24"/>
  </w:num>
  <w:num w:numId="34">
    <w:abstractNumId w:val="10"/>
  </w:num>
  <w:num w:numId="35">
    <w:abstractNumId w:val="20"/>
  </w:num>
  <w:num w:numId="36">
    <w:abstractNumId w:val="25"/>
  </w:num>
  <w:num w:numId="37">
    <w:abstractNumId w:val="5"/>
  </w:num>
  <w:num w:numId="38">
    <w:abstractNumId w:val="14"/>
  </w:num>
  <w:num w:numId="39">
    <w:abstractNumId w:val="18"/>
  </w:num>
  <w:num w:numId="40">
    <w:abstractNumId w:val="3"/>
  </w:num>
  <w:num w:numId="41">
    <w:abstractNumId w:val="9"/>
  </w:num>
  <w:num w:numId="42">
    <w:abstractNumId w:val="21"/>
  </w:num>
  <w:num w:numId="43">
    <w:abstractNumId w:val="15"/>
  </w:num>
  <w:num w:numId="44">
    <w:abstractNumId w:val="19"/>
  </w:num>
  <w:num w:numId="45">
    <w:abstractNumId w:val="4"/>
  </w:num>
  <w:num w:numId="46">
    <w:abstractNumId w:val="23"/>
  </w:num>
  <w:num w:numId="47">
    <w:abstractNumId w:val="2"/>
  </w:num>
  <w:num w:numId="4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na Fourie">
    <w15:presenceInfo w15:providerId="AD" w15:userId="S-1-5-21-3709997724-3254774634-2930355905-22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C4"/>
    <w:rsid w:val="00000BBC"/>
    <w:rsid w:val="00006B5E"/>
    <w:rsid w:val="000119AE"/>
    <w:rsid w:val="0001200C"/>
    <w:rsid w:val="00012D04"/>
    <w:rsid w:val="00012ED4"/>
    <w:rsid w:val="00022E5F"/>
    <w:rsid w:val="00023206"/>
    <w:rsid w:val="00023EE4"/>
    <w:rsid w:val="00024576"/>
    <w:rsid w:val="000250A7"/>
    <w:rsid w:val="0002530C"/>
    <w:rsid w:val="000253B3"/>
    <w:rsid w:val="00027877"/>
    <w:rsid w:val="0003033E"/>
    <w:rsid w:val="000304CA"/>
    <w:rsid w:val="000326CA"/>
    <w:rsid w:val="000374A9"/>
    <w:rsid w:val="0004038D"/>
    <w:rsid w:val="00040529"/>
    <w:rsid w:val="000425B9"/>
    <w:rsid w:val="00043F74"/>
    <w:rsid w:val="000449EC"/>
    <w:rsid w:val="000454B2"/>
    <w:rsid w:val="0004731D"/>
    <w:rsid w:val="0005114E"/>
    <w:rsid w:val="000522DB"/>
    <w:rsid w:val="00053A92"/>
    <w:rsid w:val="00054D13"/>
    <w:rsid w:val="00054D6D"/>
    <w:rsid w:val="000553AB"/>
    <w:rsid w:val="00055F7C"/>
    <w:rsid w:val="0005664E"/>
    <w:rsid w:val="00056C55"/>
    <w:rsid w:val="00057969"/>
    <w:rsid w:val="00057E18"/>
    <w:rsid w:val="00060386"/>
    <w:rsid w:val="00061623"/>
    <w:rsid w:val="00061F84"/>
    <w:rsid w:val="0006410F"/>
    <w:rsid w:val="00066AAC"/>
    <w:rsid w:val="000677BF"/>
    <w:rsid w:val="00070F51"/>
    <w:rsid w:val="00071908"/>
    <w:rsid w:val="00071E0D"/>
    <w:rsid w:val="00071F8E"/>
    <w:rsid w:val="00074A62"/>
    <w:rsid w:val="00074C59"/>
    <w:rsid w:val="00075D05"/>
    <w:rsid w:val="0007679A"/>
    <w:rsid w:val="0008274A"/>
    <w:rsid w:val="000828FC"/>
    <w:rsid w:val="00082905"/>
    <w:rsid w:val="000830BD"/>
    <w:rsid w:val="0008460B"/>
    <w:rsid w:val="000868C5"/>
    <w:rsid w:val="00086951"/>
    <w:rsid w:val="00087D26"/>
    <w:rsid w:val="00090785"/>
    <w:rsid w:val="0009435E"/>
    <w:rsid w:val="000A0665"/>
    <w:rsid w:val="000A103D"/>
    <w:rsid w:val="000A143C"/>
    <w:rsid w:val="000A28A5"/>
    <w:rsid w:val="000A335D"/>
    <w:rsid w:val="000A44A2"/>
    <w:rsid w:val="000B4A4C"/>
    <w:rsid w:val="000B5187"/>
    <w:rsid w:val="000B6A16"/>
    <w:rsid w:val="000C13CB"/>
    <w:rsid w:val="000C2EE8"/>
    <w:rsid w:val="000C56C9"/>
    <w:rsid w:val="000C5F01"/>
    <w:rsid w:val="000D1F11"/>
    <w:rsid w:val="000D1F9D"/>
    <w:rsid w:val="000D744F"/>
    <w:rsid w:val="000E230A"/>
    <w:rsid w:val="000E26D1"/>
    <w:rsid w:val="000E3A2B"/>
    <w:rsid w:val="000E4279"/>
    <w:rsid w:val="000E492A"/>
    <w:rsid w:val="000F1721"/>
    <w:rsid w:val="000F23D0"/>
    <w:rsid w:val="000F3057"/>
    <w:rsid w:val="000F4E6C"/>
    <w:rsid w:val="000F5351"/>
    <w:rsid w:val="00100D1C"/>
    <w:rsid w:val="00102D6F"/>
    <w:rsid w:val="00103608"/>
    <w:rsid w:val="001046D7"/>
    <w:rsid w:val="00105232"/>
    <w:rsid w:val="0010523D"/>
    <w:rsid w:val="00105D98"/>
    <w:rsid w:val="00106755"/>
    <w:rsid w:val="00111AFE"/>
    <w:rsid w:val="00111F7F"/>
    <w:rsid w:val="0011408D"/>
    <w:rsid w:val="001143F0"/>
    <w:rsid w:val="00114C58"/>
    <w:rsid w:val="001171F6"/>
    <w:rsid w:val="0012331D"/>
    <w:rsid w:val="00123524"/>
    <w:rsid w:val="0012507F"/>
    <w:rsid w:val="00125B2E"/>
    <w:rsid w:val="00126A26"/>
    <w:rsid w:val="00130919"/>
    <w:rsid w:val="0013199A"/>
    <w:rsid w:val="00132D83"/>
    <w:rsid w:val="001332B5"/>
    <w:rsid w:val="001354FC"/>
    <w:rsid w:val="00136EC2"/>
    <w:rsid w:val="00137A92"/>
    <w:rsid w:val="00140370"/>
    <w:rsid w:val="00140886"/>
    <w:rsid w:val="00140C63"/>
    <w:rsid w:val="00141D53"/>
    <w:rsid w:val="0014592C"/>
    <w:rsid w:val="00145AE3"/>
    <w:rsid w:val="00147DBB"/>
    <w:rsid w:val="00150685"/>
    <w:rsid w:val="00152642"/>
    <w:rsid w:val="001562CD"/>
    <w:rsid w:val="001571AC"/>
    <w:rsid w:val="001601B5"/>
    <w:rsid w:val="00160E9E"/>
    <w:rsid w:val="00161A67"/>
    <w:rsid w:val="00161D3C"/>
    <w:rsid w:val="00163645"/>
    <w:rsid w:val="001640B7"/>
    <w:rsid w:val="00164B82"/>
    <w:rsid w:val="001673E1"/>
    <w:rsid w:val="0017011B"/>
    <w:rsid w:val="001762AD"/>
    <w:rsid w:val="00176C46"/>
    <w:rsid w:val="00177F07"/>
    <w:rsid w:val="00180678"/>
    <w:rsid w:val="001819E3"/>
    <w:rsid w:val="00182AE3"/>
    <w:rsid w:val="0018495F"/>
    <w:rsid w:val="00185AAF"/>
    <w:rsid w:val="001900B7"/>
    <w:rsid w:val="00191ACE"/>
    <w:rsid w:val="00191C2D"/>
    <w:rsid w:val="001920D9"/>
    <w:rsid w:val="001921CE"/>
    <w:rsid w:val="00192506"/>
    <w:rsid w:val="00192C61"/>
    <w:rsid w:val="00194299"/>
    <w:rsid w:val="0019497F"/>
    <w:rsid w:val="001953A3"/>
    <w:rsid w:val="00196470"/>
    <w:rsid w:val="00196BC5"/>
    <w:rsid w:val="0019756E"/>
    <w:rsid w:val="001A38E9"/>
    <w:rsid w:val="001A391C"/>
    <w:rsid w:val="001A3C12"/>
    <w:rsid w:val="001A4DB8"/>
    <w:rsid w:val="001A6B9E"/>
    <w:rsid w:val="001A6FD6"/>
    <w:rsid w:val="001B0F56"/>
    <w:rsid w:val="001B3EDA"/>
    <w:rsid w:val="001B6F11"/>
    <w:rsid w:val="001B6F62"/>
    <w:rsid w:val="001B7845"/>
    <w:rsid w:val="001C1975"/>
    <w:rsid w:val="001C2D30"/>
    <w:rsid w:val="001C34A4"/>
    <w:rsid w:val="001C45D5"/>
    <w:rsid w:val="001C4F26"/>
    <w:rsid w:val="001C5991"/>
    <w:rsid w:val="001C79CA"/>
    <w:rsid w:val="001D087F"/>
    <w:rsid w:val="001D11A1"/>
    <w:rsid w:val="001D2CBD"/>
    <w:rsid w:val="001D2F3E"/>
    <w:rsid w:val="001D2F8A"/>
    <w:rsid w:val="001D3B9E"/>
    <w:rsid w:val="001D3ED1"/>
    <w:rsid w:val="001D5550"/>
    <w:rsid w:val="001E2162"/>
    <w:rsid w:val="001E3335"/>
    <w:rsid w:val="001E6076"/>
    <w:rsid w:val="001E66EC"/>
    <w:rsid w:val="001F0BCE"/>
    <w:rsid w:val="001F4013"/>
    <w:rsid w:val="0020288E"/>
    <w:rsid w:val="00203302"/>
    <w:rsid w:val="00205BFE"/>
    <w:rsid w:val="00210479"/>
    <w:rsid w:val="0021277B"/>
    <w:rsid w:val="00215599"/>
    <w:rsid w:val="00215CEA"/>
    <w:rsid w:val="00216782"/>
    <w:rsid w:val="002168BD"/>
    <w:rsid w:val="002223EB"/>
    <w:rsid w:val="00222A9C"/>
    <w:rsid w:val="00222F16"/>
    <w:rsid w:val="00223B61"/>
    <w:rsid w:val="002272A1"/>
    <w:rsid w:val="00232949"/>
    <w:rsid w:val="0023394D"/>
    <w:rsid w:val="00236976"/>
    <w:rsid w:val="0024074F"/>
    <w:rsid w:val="002424E3"/>
    <w:rsid w:val="00242716"/>
    <w:rsid w:val="00243EF4"/>
    <w:rsid w:val="002454BB"/>
    <w:rsid w:val="002454D7"/>
    <w:rsid w:val="00246424"/>
    <w:rsid w:val="00246BE2"/>
    <w:rsid w:val="00246D0A"/>
    <w:rsid w:val="0024748F"/>
    <w:rsid w:val="0025038E"/>
    <w:rsid w:val="00251159"/>
    <w:rsid w:val="00253621"/>
    <w:rsid w:val="00255175"/>
    <w:rsid w:val="00255503"/>
    <w:rsid w:val="00256219"/>
    <w:rsid w:val="00257E91"/>
    <w:rsid w:val="0026008F"/>
    <w:rsid w:val="002620C7"/>
    <w:rsid w:val="002621C5"/>
    <w:rsid w:val="002624D8"/>
    <w:rsid w:val="002626D6"/>
    <w:rsid w:val="002632E2"/>
    <w:rsid w:val="00263743"/>
    <w:rsid w:val="002646D6"/>
    <w:rsid w:val="00266178"/>
    <w:rsid w:val="00266BF3"/>
    <w:rsid w:val="002709D2"/>
    <w:rsid w:val="0027485E"/>
    <w:rsid w:val="002750C3"/>
    <w:rsid w:val="002755E4"/>
    <w:rsid w:val="002756D1"/>
    <w:rsid w:val="00276319"/>
    <w:rsid w:val="00277EB6"/>
    <w:rsid w:val="0028038C"/>
    <w:rsid w:val="0028125B"/>
    <w:rsid w:val="00282342"/>
    <w:rsid w:val="00284DC7"/>
    <w:rsid w:val="00287714"/>
    <w:rsid w:val="0029440B"/>
    <w:rsid w:val="002A0214"/>
    <w:rsid w:val="002A1C79"/>
    <w:rsid w:val="002A238D"/>
    <w:rsid w:val="002A2B78"/>
    <w:rsid w:val="002A3271"/>
    <w:rsid w:val="002A6AB4"/>
    <w:rsid w:val="002B0A8C"/>
    <w:rsid w:val="002B464B"/>
    <w:rsid w:val="002B4B40"/>
    <w:rsid w:val="002B4E8E"/>
    <w:rsid w:val="002B6DC7"/>
    <w:rsid w:val="002C0F5C"/>
    <w:rsid w:val="002C2E5C"/>
    <w:rsid w:val="002C32FC"/>
    <w:rsid w:val="002C4D23"/>
    <w:rsid w:val="002C6778"/>
    <w:rsid w:val="002C799C"/>
    <w:rsid w:val="002C7EEB"/>
    <w:rsid w:val="002D04D7"/>
    <w:rsid w:val="002D0D51"/>
    <w:rsid w:val="002D1260"/>
    <w:rsid w:val="002D1E0D"/>
    <w:rsid w:val="002D24B1"/>
    <w:rsid w:val="002D4102"/>
    <w:rsid w:val="002D607F"/>
    <w:rsid w:val="002D6ABD"/>
    <w:rsid w:val="002D74B4"/>
    <w:rsid w:val="002E5685"/>
    <w:rsid w:val="002E681F"/>
    <w:rsid w:val="002E6E55"/>
    <w:rsid w:val="002E7C46"/>
    <w:rsid w:val="002F0BA7"/>
    <w:rsid w:val="002F1EBB"/>
    <w:rsid w:val="002F3216"/>
    <w:rsid w:val="002F572B"/>
    <w:rsid w:val="002F696E"/>
    <w:rsid w:val="003005D0"/>
    <w:rsid w:val="003033AA"/>
    <w:rsid w:val="00304C25"/>
    <w:rsid w:val="00307E4F"/>
    <w:rsid w:val="0031044A"/>
    <w:rsid w:val="0031308F"/>
    <w:rsid w:val="003148EB"/>
    <w:rsid w:val="00314E69"/>
    <w:rsid w:val="00317B43"/>
    <w:rsid w:val="00317B9F"/>
    <w:rsid w:val="003209B8"/>
    <w:rsid w:val="00320C8B"/>
    <w:rsid w:val="00322280"/>
    <w:rsid w:val="003222D6"/>
    <w:rsid w:val="003231B3"/>
    <w:rsid w:val="00323B68"/>
    <w:rsid w:val="00324231"/>
    <w:rsid w:val="0032492A"/>
    <w:rsid w:val="00325E36"/>
    <w:rsid w:val="00333153"/>
    <w:rsid w:val="00334464"/>
    <w:rsid w:val="0033638F"/>
    <w:rsid w:val="00342A16"/>
    <w:rsid w:val="003447A8"/>
    <w:rsid w:val="00346CA3"/>
    <w:rsid w:val="00347277"/>
    <w:rsid w:val="00352C49"/>
    <w:rsid w:val="00355613"/>
    <w:rsid w:val="00357281"/>
    <w:rsid w:val="0036102B"/>
    <w:rsid w:val="003614A6"/>
    <w:rsid w:val="00362933"/>
    <w:rsid w:val="00362A9B"/>
    <w:rsid w:val="003630F7"/>
    <w:rsid w:val="003635FB"/>
    <w:rsid w:val="003648F4"/>
    <w:rsid w:val="00366070"/>
    <w:rsid w:val="003662B8"/>
    <w:rsid w:val="00374236"/>
    <w:rsid w:val="003747C3"/>
    <w:rsid w:val="00375940"/>
    <w:rsid w:val="00375BB1"/>
    <w:rsid w:val="0038386D"/>
    <w:rsid w:val="00385B55"/>
    <w:rsid w:val="00385F3B"/>
    <w:rsid w:val="00387F2A"/>
    <w:rsid w:val="00390AD0"/>
    <w:rsid w:val="003927CA"/>
    <w:rsid w:val="00393763"/>
    <w:rsid w:val="0039492C"/>
    <w:rsid w:val="003955F0"/>
    <w:rsid w:val="0039758F"/>
    <w:rsid w:val="003A0FCD"/>
    <w:rsid w:val="003A3039"/>
    <w:rsid w:val="003A303E"/>
    <w:rsid w:val="003A6E99"/>
    <w:rsid w:val="003B028C"/>
    <w:rsid w:val="003B0DF5"/>
    <w:rsid w:val="003B1900"/>
    <w:rsid w:val="003B1CB7"/>
    <w:rsid w:val="003B4233"/>
    <w:rsid w:val="003B4A58"/>
    <w:rsid w:val="003B4DCA"/>
    <w:rsid w:val="003B5182"/>
    <w:rsid w:val="003B51B6"/>
    <w:rsid w:val="003B60E6"/>
    <w:rsid w:val="003B67BC"/>
    <w:rsid w:val="003B7620"/>
    <w:rsid w:val="003C3113"/>
    <w:rsid w:val="003C34BC"/>
    <w:rsid w:val="003C4363"/>
    <w:rsid w:val="003C6950"/>
    <w:rsid w:val="003C6F86"/>
    <w:rsid w:val="003C7DCB"/>
    <w:rsid w:val="003D2522"/>
    <w:rsid w:val="003D35E9"/>
    <w:rsid w:val="003D3D8F"/>
    <w:rsid w:val="003D4CEC"/>
    <w:rsid w:val="003D5BE1"/>
    <w:rsid w:val="003D6E0E"/>
    <w:rsid w:val="003D7A33"/>
    <w:rsid w:val="003E0C0C"/>
    <w:rsid w:val="003E3826"/>
    <w:rsid w:val="003E3E5B"/>
    <w:rsid w:val="003E5692"/>
    <w:rsid w:val="003E70F8"/>
    <w:rsid w:val="003E733A"/>
    <w:rsid w:val="003F0EB7"/>
    <w:rsid w:val="003F129F"/>
    <w:rsid w:val="003F3793"/>
    <w:rsid w:val="003F3889"/>
    <w:rsid w:val="003F4F5A"/>
    <w:rsid w:val="003F5DFC"/>
    <w:rsid w:val="003F6414"/>
    <w:rsid w:val="003F6F75"/>
    <w:rsid w:val="003F7EFC"/>
    <w:rsid w:val="0040046F"/>
    <w:rsid w:val="00407EEC"/>
    <w:rsid w:val="0041102A"/>
    <w:rsid w:val="00411595"/>
    <w:rsid w:val="00411697"/>
    <w:rsid w:val="0041175D"/>
    <w:rsid w:val="00414356"/>
    <w:rsid w:val="0041568E"/>
    <w:rsid w:val="004204CC"/>
    <w:rsid w:val="00422CE9"/>
    <w:rsid w:val="00423CEE"/>
    <w:rsid w:val="00423D43"/>
    <w:rsid w:val="00425546"/>
    <w:rsid w:val="00426568"/>
    <w:rsid w:val="00426CA6"/>
    <w:rsid w:val="004316D0"/>
    <w:rsid w:val="0043185D"/>
    <w:rsid w:val="00431F77"/>
    <w:rsid w:val="00434448"/>
    <w:rsid w:val="00435F69"/>
    <w:rsid w:val="00437E27"/>
    <w:rsid w:val="00441FC6"/>
    <w:rsid w:val="004425D4"/>
    <w:rsid w:val="004426E3"/>
    <w:rsid w:val="00444079"/>
    <w:rsid w:val="00445573"/>
    <w:rsid w:val="0045078F"/>
    <w:rsid w:val="004508EB"/>
    <w:rsid w:val="0045129B"/>
    <w:rsid w:val="0045329A"/>
    <w:rsid w:val="00453678"/>
    <w:rsid w:val="00454016"/>
    <w:rsid w:val="0045408C"/>
    <w:rsid w:val="00454201"/>
    <w:rsid w:val="0046017C"/>
    <w:rsid w:val="004614C7"/>
    <w:rsid w:val="00462417"/>
    <w:rsid w:val="004627BC"/>
    <w:rsid w:val="0046310E"/>
    <w:rsid w:val="0046437B"/>
    <w:rsid w:val="004643B9"/>
    <w:rsid w:val="004656D1"/>
    <w:rsid w:val="0046799C"/>
    <w:rsid w:val="00467DBD"/>
    <w:rsid w:val="004711E5"/>
    <w:rsid w:val="00472D56"/>
    <w:rsid w:val="00475744"/>
    <w:rsid w:val="00475961"/>
    <w:rsid w:val="00475EEC"/>
    <w:rsid w:val="004768CF"/>
    <w:rsid w:val="0048147E"/>
    <w:rsid w:val="004821DE"/>
    <w:rsid w:val="00483F47"/>
    <w:rsid w:val="00484FE0"/>
    <w:rsid w:val="00486775"/>
    <w:rsid w:val="00486F1B"/>
    <w:rsid w:val="004879F7"/>
    <w:rsid w:val="004911D0"/>
    <w:rsid w:val="00491232"/>
    <w:rsid w:val="00491A07"/>
    <w:rsid w:val="004931B6"/>
    <w:rsid w:val="00494A22"/>
    <w:rsid w:val="0049661A"/>
    <w:rsid w:val="00496F10"/>
    <w:rsid w:val="00497429"/>
    <w:rsid w:val="00497D15"/>
    <w:rsid w:val="00497FCD"/>
    <w:rsid w:val="004A1054"/>
    <w:rsid w:val="004A200A"/>
    <w:rsid w:val="004A4349"/>
    <w:rsid w:val="004A4B9A"/>
    <w:rsid w:val="004B254E"/>
    <w:rsid w:val="004B27BB"/>
    <w:rsid w:val="004B4DA0"/>
    <w:rsid w:val="004B564E"/>
    <w:rsid w:val="004B7863"/>
    <w:rsid w:val="004C42F0"/>
    <w:rsid w:val="004C4E32"/>
    <w:rsid w:val="004C4EDD"/>
    <w:rsid w:val="004C54D4"/>
    <w:rsid w:val="004C7C22"/>
    <w:rsid w:val="004D0325"/>
    <w:rsid w:val="004D102D"/>
    <w:rsid w:val="004D2DC7"/>
    <w:rsid w:val="004E01C0"/>
    <w:rsid w:val="004E22DD"/>
    <w:rsid w:val="004F4659"/>
    <w:rsid w:val="004F60EF"/>
    <w:rsid w:val="004F747A"/>
    <w:rsid w:val="00500C07"/>
    <w:rsid w:val="0050122E"/>
    <w:rsid w:val="00501AD8"/>
    <w:rsid w:val="0050444C"/>
    <w:rsid w:val="00504C46"/>
    <w:rsid w:val="005059C3"/>
    <w:rsid w:val="00506392"/>
    <w:rsid w:val="0051045D"/>
    <w:rsid w:val="00512C60"/>
    <w:rsid w:val="00512DE2"/>
    <w:rsid w:val="00515350"/>
    <w:rsid w:val="00516591"/>
    <w:rsid w:val="0051668E"/>
    <w:rsid w:val="00517219"/>
    <w:rsid w:val="005227CD"/>
    <w:rsid w:val="0052672D"/>
    <w:rsid w:val="00530AEA"/>
    <w:rsid w:val="00530EC6"/>
    <w:rsid w:val="005330ED"/>
    <w:rsid w:val="005335FD"/>
    <w:rsid w:val="0054044F"/>
    <w:rsid w:val="00541D70"/>
    <w:rsid w:val="00543976"/>
    <w:rsid w:val="0054683B"/>
    <w:rsid w:val="00547065"/>
    <w:rsid w:val="00550029"/>
    <w:rsid w:val="00550D75"/>
    <w:rsid w:val="0055240A"/>
    <w:rsid w:val="00552DDC"/>
    <w:rsid w:val="005530BA"/>
    <w:rsid w:val="005541E0"/>
    <w:rsid w:val="005548E6"/>
    <w:rsid w:val="005556CF"/>
    <w:rsid w:val="00555855"/>
    <w:rsid w:val="00560D81"/>
    <w:rsid w:val="00561461"/>
    <w:rsid w:val="00561810"/>
    <w:rsid w:val="0056480A"/>
    <w:rsid w:val="005648ED"/>
    <w:rsid w:val="00570C2F"/>
    <w:rsid w:val="00571BDD"/>
    <w:rsid w:val="00573CEA"/>
    <w:rsid w:val="0057424A"/>
    <w:rsid w:val="00581694"/>
    <w:rsid w:val="00583837"/>
    <w:rsid w:val="00584036"/>
    <w:rsid w:val="00586FC5"/>
    <w:rsid w:val="005877BB"/>
    <w:rsid w:val="005913E0"/>
    <w:rsid w:val="00593DBA"/>
    <w:rsid w:val="0059403E"/>
    <w:rsid w:val="00594102"/>
    <w:rsid w:val="00594522"/>
    <w:rsid w:val="005945C6"/>
    <w:rsid w:val="00595588"/>
    <w:rsid w:val="00596D05"/>
    <w:rsid w:val="00597D3D"/>
    <w:rsid w:val="005A0821"/>
    <w:rsid w:val="005A0C1E"/>
    <w:rsid w:val="005A2675"/>
    <w:rsid w:val="005A3AB7"/>
    <w:rsid w:val="005A411F"/>
    <w:rsid w:val="005A45B1"/>
    <w:rsid w:val="005A4F80"/>
    <w:rsid w:val="005A5093"/>
    <w:rsid w:val="005A558B"/>
    <w:rsid w:val="005A72CB"/>
    <w:rsid w:val="005B0BB1"/>
    <w:rsid w:val="005B3FB5"/>
    <w:rsid w:val="005B4FA9"/>
    <w:rsid w:val="005B53F2"/>
    <w:rsid w:val="005B705A"/>
    <w:rsid w:val="005C042C"/>
    <w:rsid w:val="005C0CEC"/>
    <w:rsid w:val="005C439F"/>
    <w:rsid w:val="005C4803"/>
    <w:rsid w:val="005C5364"/>
    <w:rsid w:val="005D1201"/>
    <w:rsid w:val="005D14D7"/>
    <w:rsid w:val="005D1AA0"/>
    <w:rsid w:val="005D1BF9"/>
    <w:rsid w:val="005D1C01"/>
    <w:rsid w:val="005D1CD3"/>
    <w:rsid w:val="005D47C5"/>
    <w:rsid w:val="005D552B"/>
    <w:rsid w:val="005E2949"/>
    <w:rsid w:val="005E2B6E"/>
    <w:rsid w:val="005E2E36"/>
    <w:rsid w:val="005E322B"/>
    <w:rsid w:val="005E4610"/>
    <w:rsid w:val="005E6DB0"/>
    <w:rsid w:val="005E776A"/>
    <w:rsid w:val="005F009B"/>
    <w:rsid w:val="005F015F"/>
    <w:rsid w:val="005F2DA9"/>
    <w:rsid w:val="005F33CA"/>
    <w:rsid w:val="005F5DA0"/>
    <w:rsid w:val="00600481"/>
    <w:rsid w:val="00600A44"/>
    <w:rsid w:val="006014FD"/>
    <w:rsid w:val="006016E7"/>
    <w:rsid w:val="0060511E"/>
    <w:rsid w:val="00605376"/>
    <w:rsid w:val="0060684E"/>
    <w:rsid w:val="00606D10"/>
    <w:rsid w:val="006076CD"/>
    <w:rsid w:val="006078E6"/>
    <w:rsid w:val="00607B02"/>
    <w:rsid w:val="00613106"/>
    <w:rsid w:val="00614642"/>
    <w:rsid w:val="00615B7A"/>
    <w:rsid w:val="006164B1"/>
    <w:rsid w:val="00621973"/>
    <w:rsid w:val="00625639"/>
    <w:rsid w:val="00625C16"/>
    <w:rsid w:val="0063098A"/>
    <w:rsid w:val="006331BD"/>
    <w:rsid w:val="006336AF"/>
    <w:rsid w:val="00633D64"/>
    <w:rsid w:val="006358C4"/>
    <w:rsid w:val="00635F2B"/>
    <w:rsid w:val="006403C9"/>
    <w:rsid w:val="00645DA8"/>
    <w:rsid w:val="00646E87"/>
    <w:rsid w:val="006475A8"/>
    <w:rsid w:val="006478DD"/>
    <w:rsid w:val="00650440"/>
    <w:rsid w:val="00652023"/>
    <w:rsid w:val="00652217"/>
    <w:rsid w:val="006538E7"/>
    <w:rsid w:val="0065414D"/>
    <w:rsid w:val="00655E35"/>
    <w:rsid w:val="00656F2D"/>
    <w:rsid w:val="006576A7"/>
    <w:rsid w:val="00657F8A"/>
    <w:rsid w:val="006611DC"/>
    <w:rsid w:val="00661FF6"/>
    <w:rsid w:val="006621C3"/>
    <w:rsid w:val="0066441B"/>
    <w:rsid w:val="006659AA"/>
    <w:rsid w:val="00665CA8"/>
    <w:rsid w:val="006660FA"/>
    <w:rsid w:val="0066687D"/>
    <w:rsid w:val="00667C35"/>
    <w:rsid w:val="00670137"/>
    <w:rsid w:val="00670333"/>
    <w:rsid w:val="00670B9D"/>
    <w:rsid w:val="00670E07"/>
    <w:rsid w:val="00673336"/>
    <w:rsid w:val="00675378"/>
    <w:rsid w:val="00681947"/>
    <w:rsid w:val="00682099"/>
    <w:rsid w:val="0068244C"/>
    <w:rsid w:val="00682EF3"/>
    <w:rsid w:val="00683262"/>
    <w:rsid w:val="006841C0"/>
    <w:rsid w:val="006858A1"/>
    <w:rsid w:val="0069049B"/>
    <w:rsid w:val="006905FC"/>
    <w:rsid w:val="00690944"/>
    <w:rsid w:val="00690CE5"/>
    <w:rsid w:val="00691929"/>
    <w:rsid w:val="00692D02"/>
    <w:rsid w:val="00692E8D"/>
    <w:rsid w:val="006931C9"/>
    <w:rsid w:val="006971A4"/>
    <w:rsid w:val="006972AA"/>
    <w:rsid w:val="006A0FE6"/>
    <w:rsid w:val="006A1DAE"/>
    <w:rsid w:val="006A2E86"/>
    <w:rsid w:val="006A3582"/>
    <w:rsid w:val="006A3A1F"/>
    <w:rsid w:val="006A3D03"/>
    <w:rsid w:val="006A4BDF"/>
    <w:rsid w:val="006A61BA"/>
    <w:rsid w:val="006A64E4"/>
    <w:rsid w:val="006A6757"/>
    <w:rsid w:val="006B4F71"/>
    <w:rsid w:val="006B6CF3"/>
    <w:rsid w:val="006B79DA"/>
    <w:rsid w:val="006C160D"/>
    <w:rsid w:val="006C28E8"/>
    <w:rsid w:val="006C33EB"/>
    <w:rsid w:val="006C3B8D"/>
    <w:rsid w:val="006C4C06"/>
    <w:rsid w:val="006C741C"/>
    <w:rsid w:val="006D2D3B"/>
    <w:rsid w:val="006D3242"/>
    <w:rsid w:val="006D3644"/>
    <w:rsid w:val="006D4B82"/>
    <w:rsid w:val="006D4DC4"/>
    <w:rsid w:val="006D6571"/>
    <w:rsid w:val="006D7E77"/>
    <w:rsid w:val="006E12A5"/>
    <w:rsid w:val="006E1CA5"/>
    <w:rsid w:val="006E2AAD"/>
    <w:rsid w:val="006E2ECE"/>
    <w:rsid w:val="006E51EE"/>
    <w:rsid w:val="006F0B23"/>
    <w:rsid w:val="006F1966"/>
    <w:rsid w:val="006F1C83"/>
    <w:rsid w:val="006F3D71"/>
    <w:rsid w:val="006F482C"/>
    <w:rsid w:val="006F4892"/>
    <w:rsid w:val="006F56F3"/>
    <w:rsid w:val="006F68B3"/>
    <w:rsid w:val="00702D15"/>
    <w:rsid w:val="0070421C"/>
    <w:rsid w:val="007065E6"/>
    <w:rsid w:val="00710621"/>
    <w:rsid w:val="0071068E"/>
    <w:rsid w:val="0071416A"/>
    <w:rsid w:val="00714668"/>
    <w:rsid w:val="00714EE0"/>
    <w:rsid w:val="0071520E"/>
    <w:rsid w:val="00715D86"/>
    <w:rsid w:val="007161F7"/>
    <w:rsid w:val="007162DB"/>
    <w:rsid w:val="007162FF"/>
    <w:rsid w:val="00720408"/>
    <w:rsid w:val="007222C4"/>
    <w:rsid w:val="007244FE"/>
    <w:rsid w:val="00725749"/>
    <w:rsid w:val="00725EFA"/>
    <w:rsid w:val="00726411"/>
    <w:rsid w:val="00726567"/>
    <w:rsid w:val="007267E5"/>
    <w:rsid w:val="00730616"/>
    <w:rsid w:val="00731701"/>
    <w:rsid w:val="0073392E"/>
    <w:rsid w:val="00733B1D"/>
    <w:rsid w:val="007354E5"/>
    <w:rsid w:val="00735888"/>
    <w:rsid w:val="00737F71"/>
    <w:rsid w:val="0074312E"/>
    <w:rsid w:val="0074349A"/>
    <w:rsid w:val="007445A8"/>
    <w:rsid w:val="00745FD1"/>
    <w:rsid w:val="00746C70"/>
    <w:rsid w:val="00750BCD"/>
    <w:rsid w:val="0075104D"/>
    <w:rsid w:val="007517D5"/>
    <w:rsid w:val="0075558C"/>
    <w:rsid w:val="007600D9"/>
    <w:rsid w:val="00760867"/>
    <w:rsid w:val="0076246D"/>
    <w:rsid w:val="00766130"/>
    <w:rsid w:val="00766602"/>
    <w:rsid w:val="0076716D"/>
    <w:rsid w:val="00767528"/>
    <w:rsid w:val="007715E8"/>
    <w:rsid w:val="0077225A"/>
    <w:rsid w:val="00772A66"/>
    <w:rsid w:val="007730B1"/>
    <w:rsid w:val="0077418C"/>
    <w:rsid w:val="00774B87"/>
    <w:rsid w:val="0078082E"/>
    <w:rsid w:val="00781B40"/>
    <w:rsid w:val="00782575"/>
    <w:rsid w:val="00783F39"/>
    <w:rsid w:val="0078663E"/>
    <w:rsid w:val="00786E49"/>
    <w:rsid w:val="0079165D"/>
    <w:rsid w:val="00791AE0"/>
    <w:rsid w:val="00792C27"/>
    <w:rsid w:val="0079793B"/>
    <w:rsid w:val="007A3259"/>
    <w:rsid w:val="007A4872"/>
    <w:rsid w:val="007A6706"/>
    <w:rsid w:val="007A6D95"/>
    <w:rsid w:val="007B001D"/>
    <w:rsid w:val="007B1B8B"/>
    <w:rsid w:val="007B1BB1"/>
    <w:rsid w:val="007B2670"/>
    <w:rsid w:val="007B2FEC"/>
    <w:rsid w:val="007B312A"/>
    <w:rsid w:val="007B56AD"/>
    <w:rsid w:val="007B6D39"/>
    <w:rsid w:val="007B7C2C"/>
    <w:rsid w:val="007B7F14"/>
    <w:rsid w:val="007C2967"/>
    <w:rsid w:val="007C2C74"/>
    <w:rsid w:val="007C44C3"/>
    <w:rsid w:val="007C64AD"/>
    <w:rsid w:val="007D11D2"/>
    <w:rsid w:val="007D20D1"/>
    <w:rsid w:val="007D4AF5"/>
    <w:rsid w:val="007D5474"/>
    <w:rsid w:val="007D6AB3"/>
    <w:rsid w:val="007D7437"/>
    <w:rsid w:val="007D7A25"/>
    <w:rsid w:val="007D7C42"/>
    <w:rsid w:val="007D7E33"/>
    <w:rsid w:val="007E04E3"/>
    <w:rsid w:val="007E0B50"/>
    <w:rsid w:val="007E0E75"/>
    <w:rsid w:val="007E3663"/>
    <w:rsid w:val="007E79CA"/>
    <w:rsid w:val="007F11B0"/>
    <w:rsid w:val="007F1EA7"/>
    <w:rsid w:val="007F2F36"/>
    <w:rsid w:val="007F3D69"/>
    <w:rsid w:val="007F3E84"/>
    <w:rsid w:val="007F6465"/>
    <w:rsid w:val="00802238"/>
    <w:rsid w:val="00806B64"/>
    <w:rsid w:val="00807336"/>
    <w:rsid w:val="00807484"/>
    <w:rsid w:val="008102A7"/>
    <w:rsid w:val="0081064C"/>
    <w:rsid w:val="00810DF8"/>
    <w:rsid w:val="00812B0B"/>
    <w:rsid w:val="00813B3A"/>
    <w:rsid w:val="00814EE3"/>
    <w:rsid w:val="00816CF4"/>
    <w:rsid w:val="00817399"/>
    <w:rsid w:val="008174AB"/>
    <w:rsid w:val="00820062"/>
    <w:rsid w:val="00820DC8"/>
    <w:rsid w:val="00820FB3"/>
    <w:rsid w:val="00822863"/>
    <w:rsid w:val="008228FD"/>
    <w:rsid w:val="00825678"/>
    <w:rsid w:val="0082599C"/>
    <w:rsid w:val="00825A2E"/>
    <w:rsid w:val="00826DBB"/>
    <w:rsid w:val="00827023"/>
    <w:rsid w:val="0082766D"/>
    <w:rsid w:val="008309BB"/>
    <w:rsid w:val="00830C01"/>
    <w:rsid w:val="00833ABF"/>
    <w:rsid w:val="008421BF"/>
    <w:rsid w:val="00842993"/>
    <w:rsid w:val="00842DC3"/>
    <w:rsid w:val="00843D0F"/>
    <w:rsid w:val="00846C6F"/>
    <w:rsid w:val="0085386B"/>
    <w:rsid w:val="00854A9C"/>
    <w:rsid w:val="00854E2B"/>
    <w:rsid w:val="00855498"/>
    <w:rsid w:val="00860D51"/>
    <w:rsid w:val="00861DE7"/>
    <w:rsid w:val="008621C0"/>
    <w:rsid w:val="008648F6"/>
    <w:rsid w:val="00864C81"/>
    <w:rsid w:val="008669BC"/>
    <w:rsid w:val="008700F6"/>
    <w:rsid w:val="008703D7"/>
    <w:rsid w:val="00875524"/>
    <w:rsid w:val="00875E2C"/>
    <w:rsid w:val="0087761D"/>
    <w:rsid w:val="00885594"/>
    <w:rsid w:val="008855B4"/>
    <w:rsid w:val="008878F5"/>
    <w:rsid w:val="008910CF"/>
    <w:rsid w:val="00893887"/>
    <w:rsid w:val="00893F71"/>
    <w:rsid w:val="00894082"/>
    <w:rsid w:val="00894D41"/>
    <w:rsid w:val="0089577E"/>
    <w:rsid w:val="00896A85"/>
    <w:rsid w:val="008975E0"/>
    <w:rsid w:val="008A04FD"/>
    <w:rsid w:val="008A137F"/>
    <w:rsid w:val="008A139A"/>
    <w:rsid w:val="008A23ED"/>
    <w:rsid w:val="008A432B"/>
    <w:rsid w:val="008A4521"/>
    <w:rsid w:val="008A4E69"/>
    <w:rsid w:val="008A6F46"/>
    <w:rsid w:val="008A7E1F"/>
    <w:rsid w:val="008A7F23"/>
    <w:rsid w:val="008B2178"/>
    <w:rsid w:val="008B23F2"/>
    <w:rsid w:val="008B6CB6"/>
    <w:rsid w:val="008C06B7"/>
    <w:rsid w:val="008C0EEF"/>
    <w:rsid w:val="008C432A"/>
    <w:rsid w:val="008C547A"/>
    <w:rsid w:val="008C6E71"/>
    <w:rsid w:val="008D0561"/>
    <w:rsid w:val="008D06C4"/>
    <w:rsid w:val="008D4868"/>
    <w:rsid w:val="008D4F9B"/>
    <w:rsid w:val="008D54F3"/>
    <w:rsid w:val="008E0F5A"/>
    <w:rsid w:val="008E1F4C"/>
    <w:rsid w:val="008E3A53"/>
    <w:rsid w:val="008E742D"/>
    <w:rsid w:val="008E79A1"/>
    <w:rsid w:val="008E7B86"/>
    <w:rsid w:val="008F081E"/>
    <w:rsid w:val="008F0C7E"/>
    <w:rsid w:val="008F0CDE"/>
    <w:rsid w:val="008F0FC0"/>
    <w:rsid w:val="008F28D7"/>
    <w:rsid w:val="008F3155"/>
    <w:rsid w:val="008F4207"/>
    <w:rsid w:val="008F47A4"/>
    <w:rsid w:val="008F4831"/>
    <w:rsid w:val="008F5361"/>
    <w:rsid w:val="008F7167"/>
    <w:rsid w:val="008F7AA9"/>
    <w:rsid w:val="00900383"/>
    <w:rsid w:val="00902713"/>
    <w:rsid w:val="0090310F"/>
    <w:rsid w:val="00903171"/>
    <w:rsid w:val="009032A5"/>
    <w:rsid w:val="00905258"/>
    <w:rsid w:val="0090536A"/>
    <w:rsid w:val="00905D6A"/>
    <w:rsid w:val="009060F6"/>
    <w:rsid w:val="0090740A"/>
    <w:rsid w:val="00910431"/>
    <w:rsid w:val="00912119"/>
    <w:rsid w:val="0091314E"/>
    <w:rsid w:val="009155D2"/>
    <w:rsid w:val="00915CAD"/>
    <w:rsid w:val="00915D84"/>
    <w:rsid w:val="009176BD"/>
    <w:rsid w:val="0091799C"/>
    <w:rsid w:val="00921491"/>
    <w:rsid w:val="00922130"/>
    <w:rsid w:val="0092663D"/>
    <w:rsid w:val="00931760"/>
    <w:rsid w:val="00931B80"/>
    <w:rsid w:val="00932FA6"/>
    <w:rsid w:val="00936CC5"/>
    <w:rsid w:val="0094120B"/>
    <w:rsid w:val="009412CE"/>
    <w:rsid w:val="00941AB4"/>
    <w:rsid w:val="00941B5D"/>
    <w:rsid w:val="00943EB0"/>
    <w:rsid w:val="009454FC"/>
    <w:rsid w:val="0094703D"/>
    <w:rsid w:val="00950D88"/>
    <w:rsid w:val="00950DD2"/>
    <w:rsid w:val="00953720"/>
    <w:rsid w:val="0095417D"/>
    <w:rsid w:val="009569BF"/>
    <w:rsid w:val="009608ED"/>
    <w:rsid w:val="00961A9D"/>
    <w:rsid w:val="00963150"/>
    <w:rsid w:val="009635C4"/>
    <w:rsid w:val="00964495"/>
    <w:rsid w:val="00964CFC"/>
    <w:rsid w:val="00965A38"/>
    <w:rsid w:val="00970B16"/>
    <w:rsid w:val="00971C68"/>
    <w:rsid w:val="00975656"/>
    <w:rsid w:val="00975A88"/>
    <w:rsid w:val="009776E7"/>
    <w:rsid w:val="00982916"/>
    <w:rsid w:val="009837E2"/>
    <w:rsid w:val="00985BA6"/>
    <w:rsid w:val="00986FDD"/>
    <w:rsid w:val="0098778D"/>
    <w:rsid w:val="00987F92"/>
    <w:rsid w:val="00990B51"/>
    <w:rsid w:val="009921A3"/>
    <w:rsid w:val="009966EB"/>
    <w:rsid w:val="009A0E87"/>
    <w:rsid w:val="009A1370"/>
    <w:rsid w:val="009A3DFC"/>
    <w:rsid w:val="009A44B7"/>
    <w:rsid w:val="009A49C1"/>
    <w:rsid w:val="009A4E3D"/>
    <w:rsid w:val="009A54F0"/>
    <w:rsid w:val="009B193A"/>
    <w:rsid w:val="009B1DDF"/>
    <w:rsid w:val="009B3EE0"/>
    <w:rsid w:val="009B4A9B"/>
    <w:rsid w:val="009B788F"/>
    <w:rsid w:val="009C19C6"/>
    <w:rsid w:val="009C2130"/>
    <w:rsid w:val="009C2E65"/>
    <w:rsid w:val="009C31D7"/>
    <w:rsid w:val="009C36ED"/>
    <w:rsid w:val="009C5074"/>
    <w:rsid w:val="009C50A9"/>
    <w:rsid w:val="009C58F6"/>
    <w:rsid w:val="009C5FC9"/>
    <w:rsid w:val="009C6C60"/>
    <w:rsid w:val="009C7E7F"/>
    <w:rsid w:val="009D0474"/>
    <w:rsid w:val="009D36EC"/>
    <w:rsid w:val="009D6DB3"/>
    <w:rsid w:val="009D7B64"/>
    <w:rsid w:val="009E166A"/>
    <w:rsid w:val="009E1E76"/>
    <w:rsid w:val="009E3575"/>
    <w:rsid w:val="009E3AB6"/>
    <w:rsid w:val="009E3AF2"/>
    <w:rsid w:val="009E4276"/>
    <w:rsid w:val="009E5859"/>
    <w:rsid w:val="009F3389"/>
    <w:rsid w:val="009F3793"/>
    <w:rsid w:val="009F3CD7"/>
    <w:rsid w:val="009F513C"/>
    <w:rsid w:val="009F568B"/>
    <w:rsid w:val="009F660C"/>
    <w:rsid w:val="00A00396"/>
    <w:rsid w:val="00A0273B"/>
    <w:rsid w:val="00A03023"/>
    <w:rsid w:val="00A03762"/>
    <w:rsid w:val="00A037B5"/>
    <w:rsid w:val="00A0461C"/>
    <w:rsid w:val="00A0504F"/>
    <w:rsid w:val="00A056E9"/>
    <w:rsid w:val="00A060A9"/>
    <w:rsid w:val="00A06275"/>
    <w:rsid w:val="00A077A4"/>
    <w:rsid w:val="00A12069"/>
    <w:rsid w:val="00A12FFB"/>
    <w:rsid w:val="00A1403B"/>
    <w:rsid w:val="00A14B1B"/>
    <w:rsid w:val="00A15C3B"/>
    <w:rsid w:val="00A17825"/>
    <w:rsid w:val="00A21FD4"/>
    <w:rsid w:val="00A25421"/>
    <w:rsid w:val="00A27181"/>
    <w:rsid w:val="00A3182E"/>
    <w:rsid w:val="00A31CD1"/>
    <w:rsid w:val="00A3218F"/>
    <w:rsid w:val="00A34B8B"/>
    <w:rsid w:val="00A36308"/>
    <w:rsid w:val="00A43013"/>
    <w:rsid w:val="00A46867"/>
    <w:rsid w:val="00A526D4"/>
    <w:rsid w:val="00A52A85"/>
    <w:rsid w:val="00A547B9"/>
    <w:rsid w:val="00A54C40"/>
    <w:rsid w:val="00A57127"/>
    <w:rsid w:val="00A60D6E"/>
    <w:rsid w:val="00A61505"/>
    <w:rsid w:val="00A61720"/>
    <w:rsid w:val="00A618B2"/>
    <w:rsid w:val="00A618E4"/>
    <w:rsid w:val="00A63E1F"/>
    <w:rsid w:val="00A64834"/>
    <w:rsid w:val="00A65EEB"/>
    <w:rsid w:val="00A6605E"/>
    <w:rsid w:val="00A73ABB"/>
    <w:rsid w:val="00A743C0"/>
    <w:rsid w:val="00A7544E"/>
    <w:rsid w:val="00A75A7F"/>
    <w:rsid w:val="00A76C4D"/>
    <w:rsid w:val="00A770A0"/>
    <w:rsid w:val="00A81AC3"/>
    <w:rsid w:val="00A82F74"/>
    <w:rsid w:val="00A8534D"/>
    <w:rsid w:val="00A87609"/>
    <w:rsid w:val="00A91526"/>
    <w:rsid w:val="00A92146"/>
    <w:rsid w:val="00A93F79"/>
    <w:rsid w:val="00A94714"/>
    <w:rsid w:val="00A95CDF"/>
    <w:rsid w:val="00AA0D07"/>
    <w:rsid w:val="00AA0E4C"/>
    <w:rsid w:val="00AA16F7"/>
    <w:rsid w:val="00AA1909"/>
    <w:rsid w:val="00AA2538"/>
    <w:rsid w:val="00AA253E"/>
    <w:rsid w:val="00AA2614"/>
    <w:rsid w:val="00AA355F"/>
    <w:rsid w:val="00AA4778"/>
    <w:rsid w:val="00AA58C0"/>
    <w:rsid w:val="00AA67CA"/>
    <w:rsid w:val="00AB036C"/>
    <w:rsid w:val="00AB092F"/>
    <w:rsid w:val="00AB4388"/>
    <w:rsid w:val="00AB55FB"/>
    <w:rsid w:val="00AB68F0"/>
    <w:rsid w:val="00AB71E1"/>
    <w:rsid w:val="00AC01BA"/>
    <w:rsid w:val="00AC0BCD"/>
    <w:rsid w:val="00AC0C11"/>
    <w:rsid w:val="00AC1B84"/>
    <w:rsid w:val="00AC75F3"/>
    <w:rsid w:val="00AC7A8C"/>
    <w:rsid w:val="00AD0315"/>
    <w:rsid w:val="00AD2411"/>
    <w:rsid w:val="00AD3E77"/>
    <w:rsid w:val="00AD5BC3"/>
    <w:rsid w:val="00AD5D92"/>
    <w:rsid w:val="00AE07AA"/>
    <w:rsid w:val="00AE13CF"/>
    <w:rsid w:val="00AE23A3"/>
    <w:rsid w:val="00AE4F68"/>
    <w:rsid w:val="00AE68EB"/>
    <w:rsid w:val="00AE6C52"/>
    <w:rsid w:val="00AE7260"/>
    <w:rsid w:val="00AF02DE"/>
    <w:rsid w:val="00AF1AF3"/>
    <w:rsid w:val="00AF21EB"/>
    <w:rsid w:val="00AF2A94"/>
    <w:rsid w:val="00AF662C"/>
    <w:rsid w:val="00AF7B2C"/>
    <w:rsid w:val="00B008C9"/>
    <w:rsid w:val="00B022EB"/>
    <w:rsid w:val="00B0242D"/>
    <w:rsid w:val="00B03E44"/>
    <w:rsid w:val="00B04223"/>
    <w:rsid w:val="00B042C5"/>
    <w:rsid w:val="00B065F1"/>
    <w:rsid w:val="00B073B1"/>
    <w:rsid w:val="00B10497"/>
    <w:rsid w:val="00B11DE1"/>
    <w:rsid w:val="00B123A0"/>
    <w:rsid w:val="00B130F1"/>
    <w:rsid w:val="00B14577"/>
    <w:rsid w:val="00B1539C"/>
    <w:rsid w:val="00B153C6"/>
    <w:rsid w:val="00B17946"/>
    <w:rsid w:val="00B201A0"/>
    <w:rsid w:val="00B21C8D"/>
    <w:rsid w:val="00B24961"/>
    <w:rsid w:val="00B262F2"/>
    <w:rsid w:val="00B311CF"/>
    <w:rsid w:val="00B3164F"/>
    <w:rsid w:val="00B3199D"/>
    <w:rsid w:val="00B32248"/>
    <w:rsid w:val="00B3388B"/>
    <w:rsid w:val="00B3458F"/>
    <w:rsid w:val="00B3460A"/>
    <w:rsid w:val="00B35D51"/>
    <w:rsid w:val="00B379E4"/>
    <w:rsid w:val="00B37FF9"/>
    <w:rsid w:val="00B43546"/>
    <w:rsid w:val="00B454F7"/>
    <w:rsid w:val="00B507B1"/>
    <w:rsid w:val="00B50CAE"/>
    <w:rsid w:val="00B51AC5"/>
    <w:rsid w:val="00B530AB"/>
    <w:rsid w:val="00B541CE"/>
    <w:rsid w:val="00B54D30"/>
    <w:rsid w:val="00B577F4"/>
    <w:rsid w:val="00B57B1B"/>
    <w:rsid w:val="00B640D1"/>
    <w:rsid w:val="00B645D7"/>
    <w:rsid w:val="00B6550B"/>
    <w:rsid w:val="00B65FDE"/>
    <w:rsid w:val="00B66974"/>
    <w:rsid w:val="00B67656"/>
    <w:rsid w:val="00B67CEE"/>
    <w:rsid w:val="00B7006A"/>
    <w:rsid w:val="00B70B34"/>
    <w:rsid w:val="00B71908"/>
    <w:rsid w:val="00B72809"/>
    <w:rsid w:val="00B72C43"/>
    <w:rsid w:val="00B73035"/>
    <w:rsid w:val="00B731A5"/>
    <w:rsid w:val="00B7348B"/>
    <w:rsid w:val="00B73A73"/>
    <w:rsid w:val="00B73CFD"/>
    <w:rsid w:val="00B83573"/>
    <w:rsid w:val="00B83CC8"/>
    <w:rsid w:val="00B84257"/>
    <w:rsid w:val="00B85134"/>
    <w:rsid w:val="00B85671"/>
    <w:rsid w:val="00B914B5"/>
    <w:rsid w:val="00B9164C"/>
    <w:rsid w:val="00B91AB3"/>
    <w:rsid w:val="00B9235A"/>
    <w:rsid w:val="00B94045"/>
    <w:rsid w:val="00B94CAF"/>
    <w:rsid w:val="00B97EBE"/>
    <w:rsid w:val="00B97F50"/>
    <w:rsid w:val="00BA07BE"/>
    <w:rsid w:val="00BA1327"/>
    <w:rsid w:val="00BA13E1"/>
    <w:rsid w:val="00BA6BE3"/>
    <w:rsid w:val="00BB0975"/>
    <w:rsid w:val="00BB116F"/>
    <w:rsid w:val="00BB1902"/>
    <w:rsid w:val="00BB1BC9"/>
    <w:rsid w:val="00BB49B2"/>
    <w:rsid w:val="00BB4FC4"/>
    <w:rsid w:val="00BB4FFA"/>
    <w:rsid w:val="00BB6582"/>
    <w:rsid w:val="00BC2D61"/>
    <w:rsid w:val="00BC3B9C"/>
    <w:rsid w:val="00BC5AB4"/>
    <w:rsid w:val="00BC7808"/>
    <w:rsid w:val="00BD0AD9"/>
    <w:rsid w:val="00BD229E"/>
    <w:rsid w:val="00BD2777"/>
    <w:rsid w:val="00BE0A51"/>
    <w:rsid w:val="00BE0C70"/>
    <w:rsid w:val="00BE302B"/>
    <w:rsid w:val="00BE33FC"/>
    <w:rsid w:val="00BE410C"/>
    <w:rsid w:val="00BE4F5A"/>
    <w:rsid w:val="00BE723A"/>
    <w:rsid w:val="00BE7398"/>
    <w:rsid w:val="00BE7D49"/>
    <w:rsid w:val="00BF13AD"/>
    <w:rsid w:val="00BF248D"/>
    <w:rsid w:val="00BF42DD"/>
    <w:rsid w:val="00BF6438"/>
    <w:rsid w:val="00C001BA"/>
    <w:rsid w:val="00C0154D"/>
    <w:rsid w:val="00C025F7"/>
    <w:rsid w:val="00C030C9"/>
    <w:rsid w:val="00C0461C"/>
    <w:rsid w:val="00C10A15"/>
    <w:rsid w:val="00C10B9E"/>
    <w:rsid w:val="00C12B5C"/>
    <w:rsid w:val="00C14801"/>
    <w:rsid w:val="00C1487C"/>
    <w:rsid w:val="00C1753F"/>
    <w:rsid w:val="00C176A4"/>
    <w:rsid w:val="00C17893"/>
    <w:rsid w:val="00C21857"/>
    <w:rsid w:val="00C21D43"/>
    <w:rsid w:val="00C21F69"/>
    <w:rsid w:val="00C22E85"/>
    <w:rsid w:val="00C2418F"/>
    <w:rsid w:val="00C241F7"/>
    <w:rsid w:val="00C27C38"/>
    <w:rsid w:val="00C27F55"/>
    <w:rsid w:val="00C31009"/>
    <w:rsid w:val="00C31FB3"/>
    <w:rsid w:val="00C35215"/>
    <w:rsid w:val="00C40AA3"/>
    <w:rsid w:val="00C41371"/>
    <w:rsid w:val="00C4137C"/>
    <w:rsid w:val="00C434ED"/>
    <w:rsid w:val="00C5139F"/>
    <w:rsid w:val="00C51806"/>
    <w:rsid w:val="00C51BAE"/>
    <w:rsid w:val="00C52378"/>
    <w:rsid w:val="00C5254F"/>
    <w:rsid w:val="00C551EA"/>
    <w:rsid w:val="00C64319"/>
    <w:rsid w:val="00C64368"/>
    <w:rsid w:val="00C66EE5"/>
    <w:rsid w:val="00C671C9"/>
    <w:rsid w:val="00C67B6B"/>
    <w:rsid w:val="00C702C1"/>
    <w:rsid w:val="00C73287"/>
    <w:rsid w:val="00C73461"/>
    <w:rsid w:val="00C737D7"/>
    <w:rsid w:val="00C737E0"/>
    <w:rsid w:val="00C73AD8"/>
    <w:rsid w:val="00C76DB1"/>
    <w:rsid w:val="00C779A4"/>
    <w:rsid w:val="00C80E0C"/>
    <w:rsid w:val="00C814E4"/>
    <w:rsid w:val="00C826E2"/>
    <w:rsid w:val="00C83F7E"/>
    <w:rsid w:val="00C846CD"/>
    <w:rsid w:val="00C8636F"/>
    <w:rsid w:val="00C91A06"/>
    <w:rsid w:val="00C92033"/>
    <w:rsid w:val="00C9297C"/>
    <w:rsid w:val="00C92CFF"/>
    <w:rsid w:val="00C9315E"/>
    <w:rsid w:val="00C9487E"/>
    <w:rsid w:val="00C9497A"/>
    <w:rsid w:val="00C95561"/>
    <w:rsid w:val="00C95694"/>
    <w:rsid w:val="00C95C4D"/>
    <w:rsid w:val="00C97A9E"/>
    <w:rsid w:val="00C97E8D"/>
    <w:rsid w:val="00CA1CAE"/>
    <w:rsid w:val="00CA4352"/>
    <w:rsid w:val="00CA46CD"/>
    <w:rsid w:val="00CA4CED"/>
    <w:rsid w:val="00CA52B3"/>
    <w:rsid w:val="00CA5881"/>
    <w:rsid w:val="00CA5CA3"/>
    <w:rsid w:val="00CA5D39"/>
    <w:rsid w:val="00CA7179"/>
    <w:rsid w:val="00CA7218"/>
    <w:rsid w:val="00CA72C5"/>
    <w:rsid w:val="00CB0EB6"/>
    <w:rsid w:val="00CB2F7E"/>
    <w:rsid w:val="00CC234B"/>
    <w:rsid w:val="00CC546F"/>
    <w:rsid w:val="00CC5ED0"/>
    <w:rsid w:val="00CD09E9"/>
    <w:rsid w:val="00CD1F78"/>
    <w:rsid w:val="00CD2BC8"/>
    <w:rsid w:val="00CD3D02"/>
    <w:rsid w:val="00CD4D6B"/>
    <w:rsid w:val="00CD57E3"/>
    <w:rsid w:val="00CD5BB9"/>
    <w:rsid w:val="00CD669E"/>
    <w:rsid w:val="00CD6C23"/>
    <w:rsid w:val="00CE0D28"/>
    <w:rsid w:val="00CE1D6A"/>
    <w:rsid w:val="00CE2BFE"/>
    <w:rsid w:val="00CE3454"/>
    <w:rsid w:val="00CE3D02"/>
    <w:rsid w:val="00CE4086"/>
    <w:rsid w:val="00CE753C"/>
    <w:rsid w:val="00CF184C"/>
    <w:rsid w:val="00CF279D"/>
    <w:rsid w:val="00CF2F71"/>
    <w:rsid w:val="00CF5699"/>
    <w:rsid w:val="00CF62FF"/>
    <w:rsid w:val="00CF6646"/>
    <w:rsid w:val="00D046FD"/>
    <w:rsid w:val="00D04830"/>
    <w:rsid w:val="00D04B23"/>
    <w:rsid w:val="00D05934"/>
    <w:rsid w:val="00D1047C"/>
    <w:rsid w:val="00D11F5D"/>
    <w:rsid w:val="00D121A1"/>
    <w:rsid w:val="00D13477"/>
    <w:rsid w:val="00D1416C"/>
    <w:rsid w:val="00D14908"/>
    <w:rsid w:val="00D14C7F"/>
    <w:rsid w:val="00D15CF0"/>
    <w:rsid w:val="00D20762"/>
    <w:rsid w:val="00D22B6E"/>
    <w:rsid w:val="00D23F5D"/>
    <w:rsid w:val="00D24454"/>
    <w:rsid w:val="00D32C68"/>
    <w:rsid w:val="00D34C42"/>
    <w:rsid w:val="00D35430"/>
    <w:rsid w:val="00D360C5"/>
    <w:rsid w:val="00D37DA2"/>
    <w:rsid w:val="00D406AB"/>
    <w:rsid w:val="00D42D37"/>
    <w:rsid w:val="00D4305A"/>
    <w:rsid w:val="00D434A1"/>
    <w:rsid w:val="00D4375F"/>
    <w:rsid w:val="00D463D3"/>
    <w:rsid w:val="00D47763"/>
    <w:rsid w:val="00D47FAF"/>
    <w:rsid w:val="00D50E64"/>
    <w:rsid w:val="00D51316"/>
    <w:rsid w:val="00D520A2"/>
    <w:rsid w:val="00D52FC7"/>
    <w:rsid w:val="00D530A2"/>
    <w:rsid w:val="00D541EA"/>
    <w:rsid w:val="00D54618"/>
    <w:rsid w:val="00D5466A"/>
    <w:rsid w:val="00D560A5"/>
    <w:rsid w:val="00D568B5"/>
    <w:rsid w:val="00D56A9A"/>
    <w:rsid w:val="00D6099F"/>
    <w:rsid w:val="00D637DB"/>
    <w:rsid w:val="00D63EAE"/>
    <w:rsid w:val="00D64695"/>
    <w:rsid w:val="00D647BD"/>
    <w:rsid w:val="00D65415"/>
    <w:rsid w:val="00D673AF"/>
    <w:rsid w:val="00D72825"/>
    <w:rsid w:val="00D72C78"/>
    <w:rsid w:val="00D74174"/>
    <w:rsid w:val="00D74545"/>
    <w:rsid w:val="00D7601D"/>
    <w:rsid w:val="00D82288"/>
    <w:rsid w:val="00D859E7"/>
    <w:rsid w:val="00D86080"/>
    <w:rsid w:val="00D86AE7"/>
    <w:rsid w:val="00D87D3A"/>
    <w:rsid w:val="00D90153"/>
    <w:rsid w:val="00D90BC8"/>
    <w:rsid w:val="00D90FA9"/>
    <w:rsid w:val="00D913E5"/>
    <w:rsid w:val="00D92DB1"/>
    <w:rsid w:val="00D9396A"/>
    <w:rsid w:val="00D95584"/>
    <w:rsid w:val="00D95BEB"/>
    <w:rsid w:val="00D974E9"/>
    <w:rsid w:val="00D97FDD"/>
    <w:rsid w:val="00DA0587"/>
    <w:rsid w:val="00DA11B6"/>
    <w:rsid w:val="00DA3C12"/>
    <w:rsid w:val="00DA414B"/>
    <w:rsid w:val="00DA5FA6"/>
    <w:rsid w:val="00DA64CF"/>
    <w:rsid w:val="00DA66BD"/>
    <w:rsid w:val="00DA7566"/>
    <w:rsid w:val="00DA7953"/>
    <w:rsid w:val="00DB1D02"/>
    <w:rsid w:val="00DB22E9"/>
    <w:rsid w:val="00DB419B"/>
    <w:rsid w:val="00DB48C8"/>
    <w:rsid w:val="00DB5780"/>
    <w:rsid w:val="00DC0221"/>
    <w:rsid w:val="00DC12E6"/>
    <w:rsid w:val="00DC13CE"/>
    <w:rsid w:val="00DC1A85"/>
    <w:rsid w:val="00DC30EC"/>
    <w:rsid w:val="00DC41EA"/>
    <w:rsid w:val="00DC42A8"/>
    <w:rsid w:val="00DC42C1"/>
    <w:rsid w:val="00DC4D43"/>
    <w:rsid w:val="00DC650B"/>
    <w:rsid w:val="00DC6C16"/>
    <w:rsid w:val="00DD229E"/>
    <w:rsid w:val="00DD3E0D"/>
    <w:rsid w:val="00DD4CBF"/>
    <w:rsid w:val="00DD52BF"/>
    <w:rsid w:val="00DD5639"/>
    <w:rsid w:val="00DD5E42"/>
    <w:rsid w:val="00DD7039"/>
    <w:rsid w:val="00DD744D"/>
    <w:rsid w:val="00DD79A5"/>
    <w:rsid w:val="00DD7B85"/>
    <w:rsid w:val="00DD7C4E"/>
    <w:rsid w:val="00DE0BB6"/>
    <w:rsid w:val="00DE1485"/>
    <w:rsid w:val="00DE1681"/>
    <w:rsid w:val="00DE17B7"/>
    <w:rsid w:val="00DE4337"/>
    <w:rsid w:val="00DE6961"/>
    <w:rsid w:val="00DE789A"/>
    <w:rsid w:val="00DF2988"/>
    <w:rsid w:val="00DF31D3"/>
    <w:rsid w:val="00DF4245"/>
    <w:rsid w:val="00DF5750"/>
    <w:rsid w:val="00DF7561"/>
    <w:rsid w:val="00E00A59"/>
    <w:rsid w:val="00E0159A"/>
    <w:rsid w:val="00E01FE5"/>
    <w:rsid w:val="00E03D75"/>
    <w:rsid w:val="00E0602A"/>
    <w:rsid w:val="00E11410"/>
    <w:rsid w:val="00E11C32"/>
    <w:rsid w:val="00E12170"/>
    <w:rsid w:val="00E12F67"/>
    <w:rsid w:val="00E1343F"/>
    <w:rsid w:val="00E13EED"/>
    <w:rsid w:val="00E14FB7"/>
    <w:rsid w:val="00E16113"/>
    <w:rsid w:val="00E20B7D"/>
    <w:rsid w:val="00E20B89"/>
    <w:rsid w:val="00E21110"/>
    <w:rsid w:val="00E219F2"/>
    <w:rsid w:val="00E22E7F"/>
    <w:rsid w:val="00E2311D"/>
    <w:rsid w:val="00E2602F"/>
    <w:rsid w:val="00E27424"/>
    <w:rsid w:val="00E2789C"/>
    <w:rsid w:val="00E328F2"/>
    <w:rsid w:val="00E36AF8"/>
    <w:rsid w:val="00E36EA4"/>
    <w:rsid w:val="00E379B2"/>
    <w:rsid w:val="00E411E5"/>
    <w:rsid w:val="00E41288"/>
    <w:rsid w:val="00E4186D"/>
    <w:rsid w:val="00E4191A"/>
    <w:rsid w:val="00E422DA"/>
    <w:rsid w:val="00E432B3"/>
    <w:rsid w:val="00E44651"/>
    <w:rsid w:val="00E4637F"/>
    <w:rsid w:val="00E47619"/>
    <w:rsid w:val="00E47676"/>
    <w:rsid w:val="00E47C3D"/>
    <w:rsid w:val="00E5025C"/>
    <w:rsid w:val="00E5246C"/>
    <w:rsid w:val="00E52FF4"/>
    <w:rsid w:val="00E55798"/>
    <w:rsid w:val="00E557E2"/>
    <w:rsid w:val="00E559C4"/>
    <w:rsid w:val="00E56075"/>
    <w:rsid w:val="00E57CC1"/>
    <w:rsid w:val="00E57D65"/>
    <w:rsid w:val="00E57E61"/>
    <w:rsid w:val="00E622F9"/>
    <w:rsid w:val="00E623AF"/>
    <w:rsid w:val="00E62FB7"/>
    <w:rsid w:val="00E64732"/>
    <w:rsid w:val="00E64CE8"/>
    <w:rsid w:val="00E66446"/>
    <w:rsid w:val="00E67525"/>
    <w:rsid w:val="00E71E4C"/>
    <w:rsid w:val="00E723B4"/>
    <w:rsid w:val="00E728ED"/>
    <w:rsid w:val="00E72AFA"/>
    <w:rsid w:val="00E72F86"/>
    <w:rsid w:val="00E73700"/>
    <w:rsid w:val="00E740DC"/>
    <w:rsid w:val="00E75976"/>
    <w:rsid w:val="00E75EE7"/>
    <w:rsid w:val="00E82F51"/>
    <w:rsid w:val="00E910CD"/>
    <w:rsid w:val="00E922C7"/>
    <w:rsid w:val="00E92CD0"/>
    <w:rsid w:val="00E937A0"/>
    <w:rsid w:val="00E94B1D"/>
    <w:rsid w:val="00E96579"/>
    <w:rsid w:val="00E96FD1"/>
    <w:rsid w:val="00EA0901"/>
    <w:rsid w:val="00EA1DD7"/>
    <w:rsid w:val="00EA1F52"/>
    <w:rsid w:val="00EA243F"/>
    <w:rsid w:val="00EA2CA0"/>
    <w:rsid w:val="00EA3245"/>
    <w:rsid w:val="00EA6A69"/>
    <w:rsid w:val="00EA79BC"/>
    <w:rsid w:val="00EB0811"/>
    <w:rsid w:val="00EB0FE2"/>
    <w:rsid w:val="00EB137A"/>
    <w:rsid w:val="00EB13EC"/>
    <w:rsid w:val="00EB18FA"/>
    <w:rsid w:val="00EB1B60"/>
    <w:rsid w:val="00EB2F37"/>
    <w:rsid w:val="00EB3CF2"/>
    <w:rsid w:val="00EB64B3"/>
    <w:rsid w:val="00EB6ED9"/>
    <w:rsid w:val="00EC007C"/>
    <w:rsid w:val="00EC011D"/>
    <w:rsid w:val="00EC10AE"/>
    <w:rsid w:val="00EC1347"/>
    <w:rsid w:val="00EC2AAA"/>
    <w:rsid w:val="00EC34C7"/>
    <w:rsid w:val="00EC51A8"/>
    <w:rsid w:val="00EC581F"/>
    <w:rsid w:val="00EC6A56"/>
    <w:rsid w:val="00EC73EE"/>
    <w:rsid w:val="00ED208E"/>
    <w:rsid w:val="00ED3096"/>
    <w:rsid w:val="00ED6D6A"/>
    <w:rsid w:val="00ED766E"/>
    <w:rsid w:val="00EE11DF"/>
    <w:rsid w:val="00EE13D8"/>
    <w:rsid w:val="00EE3519"/>
    <w:rsid w:val="00EE61AC"/>
    <w:rsid w:val="00EE7222"/>
    <w:rsid w:val="00EF14AC"/>
    <w:rsid w:val="00EF3C98"/>
    <w:rsid w:val="00EF423B"/>
    <w:rsid w:val="00EF655F"/>
    <w:rsid w:val="00F0173C"/>
    <w:rsid w:val="00F02FEC"/>
    <w:rsid w:val="00F04CF2"/>
    <w:rsid w:val="00F05665"/>
    <w:rsid w:val="00F07EFC"/>
    <w:rsid w:val="00F10265"/>
    <w:rsid w:val="00F111BF"/>
    <w:rsid w:val="00F11C0E"/>
    <w:rsid w:val="00F16856"/>
    <w:rsid w:val="00F17436"/>
    <w:rsid w:val="00F203D1"/>
    <w:rsid w:val="00F205A8"/>
    <w:rsid w:val="00F22E59"/>
    <w:rsid w:val="00F251EB"/>
    <w:rsid w:val="00F26E91"/>
    <w:rsid w:val="00F30232"/>
    <w:rsid w:val="00F30DEE"/>
    <w:rsid w:val="00F3116E"/>
    <w:rsid w:val="00F3615A"/>
    <w:rsid w:val="00F413F8"/>
    <w:rsid w:val="00F416AC"/>
    <w:rsid w:val="00F439BE"/>
    <w:rsid w:val="00F43D8D"/>
    <w:rsid w:val="00F44554"/>
    <w:rsid w:val="00F44E6C"/>
    <w:rsid w:val="00F53236"/>
    <w:rsid w:val="00F540F5"/>
    <w:rsid w:val="00F54299"/>
    <w:rsid w:val="00F56B16"/>
    <w:rsid w:val="00F56C88"/>
    <w:rsid w:val="00F56CE7"/>
    <w:rsid w:val="00F61A0B"/>
    <w:rsid w:val="00F6277F"/>
    <w:rsid w:val="00F63552"/>
    <w:rsid w:val="00F63891"/>
    <w:rsid w:val="00F638B7"/>
    <w:rsid w:val="00F65ECC"/>
    <w:rsid w:val="00F6760E"/>
    <w:rsid w:val="00F67CCB"/>
    <w:rsid w:val="00F720CD"/>
    <w:rsid w:val="00F722EB"/>
    <w:rsid w:val="00F73EA4"/>
    <w:rsid w:val="00F73EC5"/>
    <w:rsid w:val="00F75DB8"/>
    <w:rsid w:val="00F76D08"/>
    <w:rsid w:val="00F819DD"/>
    <w:rsid w:val="00F8207E"/>
    <w:rsid w:val="00F822B1"/>
    <w:rsid w:val="00F82D1D"/>
    <w:rsid w:val="00F865F9"/>
    <w:rsid w:val="00F8793A"/>
    <w:rsid w:val="00F9037B"/>
    <w:rsid w:val="00F92318"/>
    <w:rsid w:val="00F92345"/>
    <w:rsid w:val="00F92E07"/>
    <w:rsid w:val="00F92EF9"/>
    <w:rsid w:val="00F94114"/>
    <w:rsid w:val="00F9510F"/>
    <w:rsid w:val="00F97613"/>
    <w:rsid w:val="00F97FE2"/>
    <w:rsid w:val="00FA0D09"/>
    <w:rsid w:val="00FA0FA7"/>
    <w:rsid w:val="00FA18D2"/>
    <w:rsid w:val="00FA498F"/>
    <w:rsid w:val="00FA4AA8"/>
    <w:rsid w:val="00FA5379"/>
    <w:rsid w:val="00FA5DA3"/>
    <w:rsid w:val="00FA6B9A"/>
    <w:rsid w:val="00FB0148"/>
    <w:rsid w:val="00FB210B"/>
    <w:rsid w:val="00FB259C"/>
    <w:rsid w:val="00FB3847"/>
    <w:rsid w:val="00FB7872"/>
    <w:rsid w:val="00FC5374"/>
    <w:rsid w:val="00FC581D"/>
    <w:rsid w:val="00FC6FA3"/>
    <w:rsid w:val="00FD0295"/>
    <w:rsid w:val="00FD0B3E"/>
    <w:rsid w:val="00FD4939"/>
    <w:rsid w:val="00FD5596"/>
    <w:rsid w:val="00FE020C"/>
    <w:rsid w:val="00FE055C"/>
    <w:rsid w:val="00FE0C05"/>
    <w:rsid w:val="00FE19CB"/>
    <w:rsid w:val="00FE206C"/>
    <w:rsid w:val="00FE21E2"/>
    <w:rsid w:val="00FE4715"/>
    <w:rsid w:val="00FE53A2"/>
    <w:rsid w:val="00FE5D8F"/>
    <w:rsid w:val="00FF2D11"/>
    <w:rsid w:val="00FF378D"/>
    <w:rsid w:val="00FF3DAC"/>
    <w:rsid w:val="00F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2"/>
    <w:pPr>
      <w:spacing w:after="60"/>
      <w:jc w:val="both"/>
    </w:pPr>
    <w:rPr>
      <w:rFonts w:ascii="Arial" w:hAnsi="Arial"/>
      <w:sz w:val="22"/>
      <w:lang w:eastAsia="en-US"/>
    </w:rPr>
  </w:style>
  <w:style w:type="paragraph" w:styleId="Heading1">
    <w:name w:val="heading 1"/>
    <w:basedOn w:val="Normal"/>
    <w:next w:val="Normal"/>
    <w:qFormat/>
    <w:rsid w:val="008D4F9B"/>
    <w:pPr>
      <w:keepNext/>
      <w:spacing w:before="240"/>
      <w:outlineLvl w:val="0"/>
    </w:pPr>
    <w:rPr>
      <w:b/>
      <w:caps/>
      <w:sz w:val="24"/>
    </w:rPr>
  </w:style>
  <w:style w:type="paragraph" w:styleId="Heading2">
    <w:name w:val="heading 2"/>
    <w:basedOn w:val="Heading1"/>
    <w:next w:val="Normal"/>
    <w:autoRedefine/>
    <w:qFormat/>
    <w:rsid w:val="009060F6"/>
    <w:pPr>
      <w:spacing w:before="120" w:after="120"/>
      <w:outlineLvl w:val="1"/>
    </w:pPr>
    <w:rPr>
      <w:b w:val="0"/>
      <w:caps w:val="0"/>
      <w:sz w:val="22"/>
      <w:u w:val="single"/>
    </w:rPr>
  </w:style>
  <w:style w:type="paragraph" w:styleId="Heading3">
    <w:name w:val="heading 3"/>
    <w:aliases w:val="CMI Heading 3"/>
    <w:basedOn w:val="Heading2"/>
    <w:next w:val="Normal"/>
    <w:link w:val="Heading3Char"/>
    <w:qFormat/>
    <w:rsid w:val="00DD5E42"/>
    <w:pPr>
      <w:outlineLvl w:val="2"/>
    </w:pPr>
  </w:style>
  <w:style w:type="paragraph" w:styleId="Heading4">
    <w:name w:val="heading 4"/>
    <w:basedOn w:val="Heading3"/>
    <w:next w:val="Normal"/>
    <w:qFormat/>
    <w:rsid w:val="00DD5E42"/>
    <w:pPr>
      <w:outlineLvl w:val="3"/>
    </w:pPr>
    <w:rPr>
      <w:rFonts w:cs="Arial"/>
      <w:i/>
    </w:rPr>
  </w:style>
  <w:style w:type="paragraph" w:styleId="Heading5">
    <w:name w:val="heading 5"/>
    <w:basedOn w:val="Normal"/>
    <w:next w:val="Normal"/>
    <w:qFormat/>
    <w:rsid w:val="00DD5E42"/>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DD5E42"/>
    <w:pPr>
      <w:numPr>
        <w:numId w:val="27"/>
      </w:numPr>
    </w:pPr>
  </w:style>
  <w:style w:type="paragraph" w:styleId="List">
    <w:name w:val="List"/>
    <w:basedOn w:val="Normal"/>
    <w:rsid w:val="00DD5E42"/>
    <w:pPr>
      <w:keepNext/>
      <w:numPr>
        <w:numId w:val="26"/>
      </w:numPr>
      <w:jc w:val="left"/>
    </w:pPr>
  </w:style>
  <w:style w:type="paragraph" w:styleId="ListNumber">
    <w:name w:val="List Number"/>
    <w:basedOn w:val="Normal"/>
    <w:rsid w:val="00DD5E42"/>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DD5E42"/>
    <w:pPr>
      <w:keepNext/>
      <w:keepLines/>
      <w:numPr>
        <w:numId w:val="25"/>
      </w:numPr>
    </w:pPr>
  </w:style>
  <w:style w:type="paragraph" w:styleId="Header">
    <w:name w:val="header"/>
    <w:basedOn w:val="Normal"/>
    <w:rsid w:val="00DD5E42"/>
    <w:pPr>
      <w:tabs>
        <w:tab w:val="center" w:pos="4153"/>
        <w:tab w:val="right" w:pos="8306"/>
      </w:tabs>
    </w:pPr>
  </w:style>
  <w:style w:type="paragraph" w:styleId="Footer">
    <w:name w:val="footer"/>
    <w:basedOn w:val="Normal"/>
    <w:rsid w:val="00DD5E42"/>
    <w:pPr>
      <w:tabs>
        <w:tab w:val="right" w:pos="9639"/>
      </w:tabs>
    </w:pPr>
    <w:rPr>
      <w:rFonts w:ascii="Arial Narrow" w:hAnsi="Arial Narrow"/>
    </w:rPr>
  </w:style>
  <w:style w:type="character" w:styleId="PageNumber">
    <w:name w:val="page number"/>
    <w:basedOn w:val="DefaultParagraphFont"/>
    <w:rsid w:val="00DD5E42"/>
  </w:style>
  <w:style w:type="paragraph" w:styleId="BodyTextIndent">
    <w:name w:val="Body Text Indent"/>
    <w:basedOn w:val="Normal"/>
    <w:rsid w:val="00DD5E42"/>
    <w:pPr>
      <w:ind w:left="720"/>
    </w:pPr>
    <w:rPr>
      <w:i/>
      <w:iCs/>
    </w:rPr>
  </w:style>
  <w:style w:type="paragraph" w:customStyle="1" w:styleId="CMIExplanation">
    <w:name w:val="CMI Explanation"/>
    <w:basedOn w:val="Normal"/>
    <w:rsid w:val="00DD5E42"/>
    <w:pPr>
      <w:spacing w:before="60"/>
      <w:jc w:val="left"/>
    </w:pPr>
    <w:rPr>
      <w:rFonts w:ascii="Times New Roman" w:hAnsi="Times New Roman"/>
      <w:snapToGrid w:val="0"/>
      <w:sz w:val="20"/>
    </w:rPr>
  </w:style>
  <w:style w:type="paragraph" w:styleId="BodyText">
    <w:name w:val="Body Text"/>
    <w:basedOn w:val="Normal"/>
    <w:rsid w:val="00DD5E42"/>
    <w:pPr>
      <w:jc w:val="left"/>
    </w:pPr>
  </w:style>
  <w:style w:type="paragraph" w:styleId="BalloonText">
    <w:name w:val="Balloon Text"/>
    <w:basedOn w:val="Normal"/>
    <w:link w:val="BalloonTextChar"/>
    <w:rsid w:val="004A4B9A"/>
    <w:pPr>
      <w:spacing w:after="0"/>
    </w:pPr>
    <w:rPr>
      <w:rFonts w:ascii="Tahoma" w:hAnsi="Tahoma" w:cs="Tahoma"/>
      <w:sz w:val="16"/>
      <w:szCs w:val="16"/>
    </w:rPr>
  </w:style>
  <w:style w:type="character" w:customStyle="1" w:styleId="BalloonTextChar">
    <w:name w:val="Balloon Text Char"/>
    <w:basedOn w:val="DefaultParagraphFont"/>
    <w:link w:val="BalloonText"/>
    <w:rsid w:val="004A4B9A"/>
    <w:rPr>
      <w:rFonts w:ascii="Tahoma" w:hAnsi="Tahoma" w:cs="Tahoma"/>
      <w:sz w:val="16"/>
      <w:szCs w:val="16"/>
      <w:lang w:eastAsia="en-US"/>
    </w:rPr>
  </w:style>
  <w:style w:type="character" w:styleId="Hyperlink">
    <w:name w:val="Hyperlink"/>
    <w:basedOn w:val="DefaultParagraphFont"/>
    <w:uiPriority w:val="99"/>
    <w:unhideWhenUsed/>
    <w:rsid w:val="004A4B9A"/>
    <w:rPr>
      <w:strike w:val="0"/>
      <w:dstrike w:val="0"/>
      <w:color w:val="003399"/>
      <w:u w:val="none"/>
      <w:effect w:val="none"/>
    </w:rPr>
  </w:style>
  <w:style w:type="paragraph" w:styleId="ListParagraph">
    <w:name w:val="List Paragraph"/>
    <w:basedOn w:val="Normal"/>
    <w:uiPriority w:val="34"/>
    <w:qFormat/>
    <w:rsid w:val="00B3164F"/>
    <w:pPr>
      <w:ind w:left="720"/>
      <w:contextualSpacing/>
    </w:pPr>
  </w:style>
  <w:style w:type="character" w:customStyle="1" w:styleId="hps">
    <w:name w:val="hps"/>
    <w:basedOn w:val="DefaultParagraphFont"/>
    <w:rsid w:val="00F82D1D"/>
  </w:style>
  <w:style w:type="character" w:styleId="Strong">
    <w:name w:val="Strong"/>
    <w:qFormat/>
    <w:rsid w:val="00AA0D07"/>
    <w:rPr>
      <w:b/>
      <w:bCs/>
    </w:rPr>
  </w:style>
  <w:style w:type="table" w:styleId="TableGrid">
    <w:name w:val="Table Grid"/>
    <w:basedOn w:val="TableNormal"/>
    <w:uiPriority w:val="59"/>
    <w:rsid w:val="00AC1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03171"/>
    <w:rPr>
      <w:sz w:val="16"/>
      <w:szCs w:val="16"/>
    </w:rPr>
  </w:style>
  <w:style w:type="paragraph" w:styleId="CommentText">
    <w:name w:val="annotation text"/>
    <w:basedOn w:val="Normal"/>
    <w:link w:val="CommentTextChar"/>
    <w:uiPriority w:val="99"/>
    <w:rsid w:val="00903171"/>
    <w:rPr>
      <w:sz w:val="20"/>
    </w:rPr>
  </w:style>
  <w:style w:type="character" w:customStyle="1" w:styleId="CommentTextChar">
    <w:name w:val="Comment Text Char"/>
    <w:basedOn w:val="DefaultParagraphFont"/>
    <w:link w:val="CommentText"/>
    <w:uiPriority w:val="99"/>
    <w:rsid w:val="00903171"/>
    <w:rPr>
      <w:rFonts w:ascii="Arial" w:hAnsi="Arial"/>
      <w:lang w:eastAsia="en-US"/>
    </w:rPr>
  </w:style>
  <w:style w:type="paragraph" w:styleId="CommentSubject">
    <w:name w:val="annotation subject"/>
    <w:basedOn w:val="CommentText"/>
    <w:next w:val="CommentText"/>
    <w:link w:val="CommentSubjectChar"/>
    <w:rsid w:val="00903171"/>
    <w:rPr>
      <w:b/>
      <w:bCs/>
    </w:rPr>
  </w:style>
  <w:style w:type="character" w:customStyle="1" w:styleId="CommentSubjectChar">
    <w:name w:val="Comment Subject Char"/>
    <w:basedOn w:val="CommentTextChar"/>
    <w:link w:val="CommentSubject"/>
    <w:rsid w:val="00903171"/>
    <w:rPr>
      <w:rFonts w:ascii="Arial" w:hAnsi="Arial"/>
      <w:b/>
      <w:bCs/>
      <w:lang w:eastAsia="en-US"/>
    </w:rPr>
  </w:style>
  <w:style w:type="paragraph" w:customStyle="1" w:styleId="Default">
    <w:name w:val="Default"/>
    <w:rsid w:val="0039492C"/>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3231B3"/>
    <w:rPr>
      <w:rFonts w:ascii="Arial" w:hAnsi="Arial"/>
      <w:sz w:val="22"/>
      <w:lang w:eastAsia="en-US"/>
    </w:rPr>
  </w:style>
  <w:style w:type="paragraph" w:customStyle="1" w:styleId="TableParagraph">
    <w:name w:val="Table Paragraph"/>
    <w:basedOn w:val="Normal"/>
    <w:uiPriority w:val="1"/>
    <w:qFormat/>
    <w:rsid w:val="008B23F2"/>
    <w:pPr>
      <w:widowControl w:val="0"/>
      <w:spacing w:after="0"/>
      <w:jc w:val="left"/>
    </w:pPr>
    <w:rPr>
      <w:rFonts w:asciiTheme="minorHAnsi" w:eastAsiaTheme="minorHAnsi" w:hAnsiTheme="minorHAnsi" w:cstheme="minorBidi"/>
      <w:szCs w:val="22"/>
      <w:lang w:val="en-US"/>
    </w:rPr>
  </w:style>
  <w:style w:type="character" w:customStyle="1" w:styleId="apple-converted-space">
    <w:name w:val="apple-converted-space"/>
    <w:basedOn w:val="DefaultParagraphFont"/>
    <w:rsid w:val="007D7C42"/>
  </w:style>
  <w:style w:type="character" w:styleId="Emphasis">
    <w:name w:val="Emphasis"/>
    <w:basedOn w:val="DefaultParagraphFont"/>
    <w:uiPriority w:val="20"/>
    <w:qFormat/>
    <w:rsid w:val="007D7C42"/>
    <w:rPr>
      <w:i/>
      <w:iCs/>
    </w:rPr>
  </w:style>
  <w:style w:type="paragraph" w:styleId="Date">
    <w:name w:val="Date"/>
    <w:basedOn w:val="Normal"/>
    <w:next w:val="Normal"/>
    <w:link w:val="DateChar"/>
    <w:uiPriority w:val="99"/>
    <w:rsid w:val="001900B7"/>
    <w:pPr>
      <w:spacing w:after="0"/>
      <w:jc w:val="left"/>
    </w:pPr>
    <w:rPr>
      <w:rFonts w:ascii="Times New Roman" w:hAnsi="Times New Roman"/>
      <w:lang w:val="en-GB"/>
    </w:rPr>
  </w:style>
  <w:style w:type="character" w:customStyle="1" w:styleId="DateChar">
    <w:name w:val="Date Char"/>
    <w:basedOn w:val="DefaultParagraphFont"/>
    <w:link w:val="Date"/>
    <w:uiPriority w:val="99"/>
    <w:rsid w:val="001900B7"/>
    <w:rPr>
      <w:sz w:val="22"/>
      <w:lang w:val="en-GB" w:eastAsia="en-US"/>
    </w:rPr>
  </w:style>
  <w:style w:type="paragraph" w:styleId="EndnoteText">
    <w:name w:val="endnote text"/>
    <w:basedOn w:val="Normal"/>
    <w:next w:val="Normal"/>
    <w:link w:val="EndnoteTextChar"/>
    <w:semiHidden/>
    <w:rsid w:val="001046D7"/>
    <w:pPr>
      <w:tabs>
        <w:tab w:val="left" w:pos="567"/>
      </w:tabs>
      <w:spacing w:after="0"/>
      <w:jc w:val="left"/>
    </w:pPr>
    <w:rPr>
      <w:rFonts w:ascii="Times New Roman" w:hAnsi="Times New Roman"/>
      <w:lang w:val="en-GB"/>
    </w:rPr>
  </w:style>
  <w:style w:type="character" w:customStyle="1" w:styleId="EndnoteTextChar">
    <w:name w:val="Endnote Text Char"/>
    <w:basedOn w:val="DefaultParagraphFont"/>
    <w:link w:val="EndnoteText"/>
    <w:semiHidden/>
    <w:rsid w:val="001046D7"/>
    <w:rPr>
      <w:sz w:val="22"/>
      <w:lang w:val="en-GB" w:eastAsia="en-US"/>
    </w:rPr>
  </w:style>
  <w:style w:type="paragraph" w:customStyle="1" w:styleId="Paragraph">
    <w:name w:val="Paragraph"/>
    <w:basedOn w:val="Normal"/>
    <w:rsid w:val="00497FCD"/>
    <w:pPr>
      <w:spacing w:after="300" w:line="360" w:lineRule="exact"/>
      <w:jc w:val="left"/>
    </w:pPr>
    <w:rPr>
      <w:rFonts w:ascii="Times New Roman" w:hAnsi="Times New Roman"/>
      <w:sz w:val="24"/>
      <w:szCs w:val="24"/>
      <w:lang w:val="en-US"/>
    </w:rPr>
  </w:style>
  <w:style w:type="character" w:customStyle="1" w:styleId="st1">
    <w:name w:val="st1"/>
    <w:basedOn w:val="DefaultParagraphFont"/>
    <w:rsid w:val="00CD2BC8"/>
  </w:style>
  <w:style w:type="paragraph" w:styleId="Caption">
    <w:name w:val="caption"/>
    <w:basedOn w:val="Normal"/>
    <w:next w:val="Normal"/>
    <w:unhideWhenUsed/>
    <w:qFormat/>
    <w:rsid w:val="00266BF3"/>
    <w:pPr>
      <w:spacing w:after="200"/>
    </w:pPr>
    <w:rPr>
      <w:b/>
      <w:bCs/>
      <w:color w:val="4F81BD" w:themeColor="accent1"/>
      <w:sz w:val="18"/>
      <w:szCs w:val="18"/>
    </w:rPr>
  </w:style>
  <w:style w:type="paragraph" w:customStyle="1" w:styleId="Table-Footer">
    <w:name w:val="Table-Footer"/>
    <w:basedOn w:val="Normal"/>
    <w:rsid w:val="003C6950"/>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jc w:val="left"/>
    </w:pPr>
    <w:rPr>
      <w:rFonts w:ascii="Times New Roman" w:hAnsi="Times New Roman"/>
      <w:sz w:val="18"/>
      <w:lang w:val="en-US"/>
    </w:rPr>
  </w:style>
  <w:style w:type="paragraph" w:styleId="PlainText">
    <w:name w:val="Plain Text"/>
    <w:basedOn w:val="Normal"/>
    <w:link w:val="PlainTextChar"/>
    <w:rsid w:val="003C6950"/>
    <w:pPr>
      <w:autoSpaceDE w:val="0"/>
      <w:autoSpaceDN w:val="0"/>
      <w:spacing w:after="0"/>
      <w:jc w:val="left"/>
    </w:pPr>
    <w:rPr>
      <w:rFonts w:ascii="Courier New" w:hAnsi="Courier New" w:cs="Courier New"/>
      <w:sz w:val="20"/>
      <w:lang w:val="en-US"/>
    </w:rPr>
  </w:style>
  <w:style w:type="character" w:customStyle="1" w:styleId="PlainTextChar">
    <w:name w:val="Plain Text Char"/>
    <w:basedOn w:val="DefaultParagraphFont"/>
    <w:link w:val="PlainText"/>
    <w:rsid w:val="003C6950"/>
    <w:rPr>
      <w:rFonts w:ascii="Courier New" w:hAnsi="Courier New" w:cs="Courier New"/>
      <w:lang w:val="en-US" w:eastAsia="en-US"/>
    </w:rPr>
  </w:style>
  <w:style w:type="paragraph" w:customStyle="1" w:styleId="Table-Heading">
    <w:name w:val="Table-Heading"/>
    <w:basedOn w:val="Normal"/>
    <w:next w:val="Normal"/>
    <w:link w:val="Table-HeadingChar"/>
    <w:rsid w:val="001D2C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jc w:val="center"/>
    </w:pPr>
    <w:rPr>
      <w:rFonts w:ascii="Times New Roman" w:hAnsi="Times New Roman"/>
      <w:b/>
      <w:sz w:val="20"/>
    </w:rPr>
  </w:style>
  <w:style w:type="paragraph" w:customStyle="1" w:styleId="TableCenter">
    <w:name w:val="Table Center"/>
    <w:rsid w:val="001D2CBD"/>
    <w:pPr>
      <w:spacing w:before="60" w:after="60"/>
      <w:jc w:val="center"/>
    </w:pPr>
    <w:rPr>
      <w:rFonts w:eastAsia="Arial Unicode MS"/>
      <w:szCs w:val="24"/>
      <w:lang w:val="en-US" w:eastAsia="en-US"/>
    </w:rPr>
  </w:style>
  <w:style w:type="paragraph" w:customStyle="1" w:styleId="TableLeft">
    <w:name w:val="Table Left"/>
    <w:basedOn w:val="Normal"/>
    <w:rsid w:val="001D2CBD"/>
    <w:pPr>
      <w:spacing w:before="60"/>
      <w:jc w:val="left"/>
    </w:pPr>
    <w:rPr>
      <w:rFonts w:ascii="Times New Roman" w:eastAsia="Arial Unicode MS" w:hAnsi="Times New Roman"/>
      <w:sz w:val="20"/>
      <w:szCs w:val="24"/>
      <w:lang w:val="en-US"/>
    </w:rPr>
  </w:style>
  <w:style w:type="character" w:customStyle="1" w:styleId="Table-HeadingChar">
    <w:name w:val="Table-Heading Char"/>
    <w:link w:val="Table-Heading"/>
    <w:rsid w:val="001D2CBD"/>
    <w:rPr>
      <w:b/>
      <w:lang w:eastAsia="en-US"/>
    </w:rPr>
  </w:style>
  <w:style w:type="paragraph" w:styleId="DocumentMap">
    <w:name w:val="Document Map"/>
    <w:basedOn w:val="Normal"/>
    <w:link w:val="DocumentMapChar"/>
    <w:semiHidden/>
    <w:unhideWhenUsed/>
    <w:rsid w:val="0019497F"/>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19497F"/>
    <w:rPr>
      <w:rFonts w:ascii="Tahoma" w:hAnsi="Tahoma" w:cs="Tahoma"/>
      <w:sz w:val="16"/>
      <w:szCs w:val="16"/>
      <w:lang w:eastAsia="en-US"/>
    </w:rPr>
  </w:style>
  <w:style w:type="character" w:customStyle="1" w:styleId="Heading3Char">
    <w:name w:val="Heading 3 Char"/>
    <w:aliases w:val="CMI Heading 3 Char"/>
    <w:basedOn w:val="DefaultParagraphFont"/>
    <w:link w:val="Heading3"/>
    <w:rsid w:val="00255175"/>
    <w:rPr>
      <w:rFonts w:ascii="Arial" w:hAnsi="Arial"/>
      <w:sz w:val="22"/>
      <w:u w:val="single"/>
      <w:lang w:eastAsia="en-US"/>
    </w:rPr>
  </w:style>
  <w:style w:type="character" w:customStyle="1" w:styleId="msoins0">
    <w:name w:val="msoins"/>
    <w:basedOn w:val="DefaultParagraphFont"/>
    <w:rsid w:val="009E4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E42"/>
    <w:pPr>
      <w:spacing w:after="60"/>
      <w:jc w:val="both"/>
    </w:pPr>
    <w:rPr>
      <w:rFonts w:ascii="Arial" w:hAnsi="Arial"/>
      <w:sz w:val="22"/>
      <w:lang w:eastAsia="en-US"/>
    </w:rPr>
  </w:style>
  <w:style w:type="paragraph" w:styleId="Heading1">
    <w:name w:val="heading 1"/>
    <w:basedOn w:val="Normal"/>
    <w:next w:val="Normal"/>
    <w:qFormat/>
    <w:rsid w:val="008D4F9B"/>
    <w:pPr>
      <w:keepNext/>
      <w:spacing w:before="240"/>
      <w:outlineLvl w:val="0"/>
    </w:pPr>
    <w:rPr>
      <w:b/>
      <w:caps/>
      <w:sz w:val="24"/>
    </w:rPr>
  </w:style>
  <w:style w:type="paragraph" w:styleId="Heading2">
    <w:name w:val="heading 2"/>
    <w:basedOn w:val="Heading1"/>
    <w:next w:val="Normal"/>
    <w:autoRedefine/>
    <w:qFormat/>
    <w:rsid w:val="009060F6"/>
    <w:pPr>
      <w:spacing w:before="120" w:after="120"/>
      <w:outlineLvl w:val="1"/>
    </w:pPr>
    <w:rPr>
      <w:b w:val="0"/>
      <w:caps w:val="0"/>
      <w:sz w:val="22"/>
      <w:u w:val="single"/>
    </w:rPr>
  </w:style>
  <w:style w:type="paragraph" w:styleId="Heading3">
    <w:name w:val="heading 3"/>
    <w:aliases w:val="CMI Heading 3"/>
    <w:basedOn w:val="Heading2"/>
    <w:next w:val="Normal"/>
    <w:link w:val="Heading3Char"/>
    <w:qFormat/>
    <w:rsid w:val="00DD5E42"/>
    <w:pPr>
      <w:outlineLvl w:val="2"/>
    </w:pPr>
  </w:style>
  <w:style w:type="paragraph" w:styleId="Heading4">
    <w:name w:val="heading 4"/>
    <w:basedOn w:val="Heading3"/>
    <w:next w:val="Normal"/>
    <w:qFormat/>
    <w:rsid w:val="00DD5E42"/>
    <w:pPr>
      <w:outlineLvl w:val="3"/>
    </w:pPr>
    <w:rPr>
      <w:rFonts w:cs="Arial"/>
      <w:i/>
    </w:rPr>
  </w:style>
  <w:style w:type="paragraph" w:styleId="Heading5">
    <w:name w:val="heading 5"/>
    <w:basedOn w:val="Normal"/>
    <w:next w:val="Normal"/>
    <w:qFormat/>
    <w:rsid w:val="00DD5E42"/>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46CD"/>
    <w:pPr>
      <w:spacing w:before="240"/>
      <w:jc w:val="center"/>
      <w:outlineLvl w:val="0"/>
    </w:pPr>
    <w:rPr>
      <w:rFonts w:cs="Arial"/>
      <w:b/>
      <w:bCs/>
      <w:caps/>
      <w:kern w:val="28"/>
      <w:sz w:val="28"/>
      <w:szCs w:val="32"/>
    </w:rPr>
  </w:style>
  <w:style w:type="paragraph" w:styleId="ListBullet">
    <w:name w:val="List Bullet"/>
    <w:basedOn w:val="Normal"/>
    <w:autoRedefine/>
    <w:rsid w:val="00DD5E42"/>
    <w:pPr>
      <w:numPr>
        <w:numId w:val="27"/>
      </w:numPr>
    </w:pPr>
  </w:style>
  <w:style w:type="paragraph" w:styleId="List">
    <w:name w:val="List"/>
    <w:basedOn w:val="Normal"/>
    <w:rsid w:val="00DD5E42"/>
    <w:pPr>
      <w:keepNext/>
      <w:numPr>
        <w:numId w:val="26"/>
      </w:numPr>
      <w:jc w:val="left"/>
    </w:pPr>
  </w:style>
  <w:style w:type="paragraph" w:styleId="ListNumber">
    <w:name w:val="List Number"/>
    <w:basedOn w:val="Normal"/>
    <w:rsid w:val="00DD5E42"/>
    <w:pPr>
      <w:keepNext/>
      <w:keepLines/>
      <w:numPr>
        <w:numId w:val="15"/>
      </w:numPr>
      <w:spacing w:after="120"/>
    </w:pPr>
  </w:style>
  <w:style w:type="paragraph" w:styleId="Subtitle">
    <w:name w:val="Subtitle"/>
    <w:basedOn w:val="Normal"/>
    <w:qFormat/>
    <w:rsid w:val="008D4F9B"/>
    <w:pPr>
      <w:jc w:val="center"/>
      <w:outlineLvl w:val="1"/>
    </w:pPr>
    <w:rPr>
      <w:rFonts w:cs="Arial"/>
      <w:b/>
      <w:caps/>
      <w:sz w:val="24"/>
      <w:szCs w:val="24"/>
    </w:rPr>
  </w:style>
  <w:style w:type="paragraph" w:styleId="List2">
    <w:name w:val="List 2"/>
    <w:basedOn w:val="Normal"/>
    <w:rsid w:val="00DD5E42"/>
    <w:pPr>
      <w:keepNext/>
      <w:keepLines/>
      <w:numPr>
        <w:numId w:val="25"/>
      </w:numPr>
    </w:pPr>
  </w:style>
  <w:style w:type="paragraph" w:styleId="Header">
    <w:name w:val="header"/>
    <w:basedOn w:val="Normal"/>
    <w:rsid w:val="00DD5E42"/>
    <w:pPr>
      <w:tabs>
        <w:tab w:val="center" w:pos="4153"/>
        <w:tab w:val="right" w:pos="8306"/>
      </w:tabs>
    </w:pPr>
  </w:style>
  <w:style w:type="paragraph" w:styleId="Footer">
    <w:name w:val="footer"/>
    <w:basedOn w:val="Normal"/>
    <w:rsid w:val="00DD5E42"/>
    <w:pPr>
      <w:tabs>
        <w:tab w:val="right" w:pos="9639"/>
      </w:tabs>
    </w:pPr>
    <w:rPr>
      <w:rFonts w:ascii="Arial Narrow" w:hAnsi="Arial Narrow"/>
    </w:rPr>
  </w:style>
  <w:style w:type="character" w:styleId="PageNumber">
    <w:name w:val="page number"/>
    <w:basedOn w:val="DefaultParagraphFont"/>
    <w:rsid w:val="00DD5E42"/>
  </w:style>
  <w:style w:type="paragraph" w:styleId="BodyTextIndent">
    <w:name w:val="Body Text Indent"/>
    <w:basedOn w:val="Normal"/>
    <w:rsid w:val="00DD5E42"/>
    <w:pPr>
      <w:ind w:left="720"/>
    </w:pPr>
    <w:rPr>
      <w:i/>
      <w:iCs/>
    </w:rPr>
  </w:style>
  <w:style w:type="paragraph" w:customStyle="1" w:styleId="CMIExplanation">
    <w:name w:val="CMI Explanation"/>
    <w:basedOn w:val="Normal"/>
    <w:rsid w:val="00DD5E42"/>
    <w:pPr>
      <w:spacing w:before="60"/>
      <w:jc w:val="left"/>
    </w:pPr>
    <w:rPr>
      <w:rFonts w:ascii="Times New Roman" w:hAnsi="Times New Roman"/>
      <w:snapToGrid w:val="0"/>
      <w:sz w:val="20"/>
    </w:rPr>
  </w:style>
  <w:style w:type="paragraph" w:styleId="BodyText">
    <w:name w:val="Body Text"/>
    <w:basedOn w:val="Normal"/>
    <w:rsid w:val="00DD5E42"/>
    <w:pPr>
      <w:jc w:val="left"/>
    </w:pPr>
  </w:style>
  <w:style w:type="paragraph" w:styleId="BalloonText">
    <w:name w:val="Balloon Text"/>
    <w:basedOn w:val="Normal"/>
    <w:link w:val="BalloonTextChar"/>
    <w:rsid w:val="004A4B9A"/>
    <w:pPr>
      <w:spacing w:after="0"/>
    </w:pPr>
    <w:rPr>
      <w:rFonts w:ascii="Tahoma" w:hAnsi="Tahoma" w:cs="Tahoma"/>
      <w:sz w:val="16"/>
      <w:szCs w:val="16"/>
    </w:rPr>
  </w:style>
  <w:style w:type="character" w:customStyle="1" w:styleId="BalloonTextChar">
    <w:name w:val="Balloon Text Char"/>
    <w:basedOn w:val="DefaultParagraphFont"/>
    <w:link w:val="BalloonText"/>
    <w:rsid w:val="004A4B9A"/>
    <w:rPr>
      <w:rFonts w:ascii="Tahoma" w:hAnsi="Tahoma" w:cs="Tahoma"/>
      <w:sz w:val="16"/>
      <w:szCs w:val="16"/>
      <w:lang w:eastAsia="en-US"/>
    </w:rPr>
  </w:style>
  <w:style w:type="character" w:styleId="Hyperlink">
    <w:name w:val="Hyperlink"/>
    <w:basedOn w:val="DefaultParagraphFont"/>
    <w:uiPriority w:val="99"/>
    <w:unhideWhenUsed/>
    <w:rsid w:val="004A4B9A"/>
    <w:rPr>
      <w:strike w:val="0"/>
      <w:dstrike w:val="0"/>
      <w:color w:val="003399"/>
      <w:u w:val="none"/>
      <w:effect w:val="none"/>
    </w:rPr>
  </w:style>
  <w:style w:type="paragraph" w:styleId="ListParagraph">
    <w:name w:val="List Paragraph"/>
    <w:basedOn w:val="Normal"/>
    <w:uiPriority w:val="34"/>
    <w:qFormat/>
    <w:rsid w:val="00B3164F"/>
    <w:pPr>
      <w:ind w:left="720"/>
      <w:contextualSpacing/>
    </w:pPr>
  </w:style>
  <w:style w:type="character" w:customStyle="1" w:styleId="hps">
    <w:name w:val="hps"/>
    <w:basedOn w:val="DefaultParagraphFont"/>
    <w:rsid w:val="00F82D1D"/>
  </w:style>
  <w:style w:type="character" w:styleId="Strong">
    <w:name w:val="Strong"/>
    <w:qFormat/>
    <w:rsid w:val="00AA0D07"/>
    <w:rPr>
      <w:b/>
      <w:bCs/>
    </w:rPr>
  </w:style>
  <w:style w:type="table" w:styleId="TableGrid">
    <w:name w:val="Table Grid"/>
    <w:basedOn w:val="TableNormal"/>
    <w:uiPriority w:val="59"/>
    <w:rsid w:val="00AC1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03171"/>
    <w:rPr>
      <w:sz w:val="16"/>
      <w:szCs w:val="16"/>
    </w:rPr>
  </w:style>
  <w:style w:type="paragraph" w:styleId="CommentText">
    <w:name w:val="annotation text"/>
    <w:basedOn w:val="Normal"/>
    <w:link w:val="CommentTextChar"/>
    <w:uiPriority w:val="99"/>
    <w:rsid w:val="00903171"/>
    <w:rPr>
      <w:sz w:val="20"/>
    </w:rPr>
  </w:style>
  <w:style w:type="character" w:customStyle="1" w:styleId="CommentTextChar">
    <w:name w:val="Comment Text Char"/>
    <w:basedOn w:val="DefaultParagraphFont"/>
    <w:link w:val="CommentText"/>
    <w:uiPriority w:val="99"/>
    <w:rsid w:val="00903171"/>
    <w:rPr>
      <w:rFonts w:ascii="Arial" w:hAnsi="Arial"/>
      <w:lang w:eastAsia="en-US"/>
    </w:rPr>
  </w:style>
  <w:style w:type="paragraph" w:styleId="CommentSubject">
    <w:name w:val="annotation subject"/>
    <w:basedOn w:val="CommentText"/>
    <w:next w:val="CommentText"/>
    <w:link w:val="CommentSubjectChar"/>
    <w:rsid w:val="00903171"/>
    <w:rPr>
      <w:b/>
      <w:bCs/>
    </w:rPr>
  </w:style>
  <w:style w:type="character" w:customStyle="1" w:styleId="CommentSubjectChar">
    <w:name w:val="Comment Subject Char"/>
    <w:basedOn w:val="CommentTextChar"/>
    <w:link w:val="CommentSubject"/>
    <w:rsid w:val="00903171"/>
    <w:rPr>
      <w:rFonts w:ascii="Arial" w:hAnsi="Arial"/>
      <w:b/>
      <w:bCs/>
      <w:lang w:eastAsia="en-US"/>
    </w:rPr>
  </w:style>
  <w:style w:type="paragraph" w:customStyle="1" w:styleId="Default">
    <w:name w:val="Default"/>
    <w:rsid w:val="0039492C"/>
    <w:pPr>
      <w:autoSpaceDE w:val="0"/>
      <w:autoSpaceDN w:val="0"/>
      <w:adjustRightInd w:val="0"/>
    </w:pPr>
    <w:rPr>
      <w:rFonts w:ascii="Tahoma" w:hAnsi="Tahoma" w:cs="Tahoma"/>
      <w:color w:val="000000"/>
      <w:sz w:val="24"/>
      <w:szCs w:val="24"/>
    </w:rPr>
  </w:style>
  <w:style w:type="paragraph" w:styleId="Revision">
    <w:name w:val="Revision"/>
    <w:hidden/>
    <w:uiPriority w:val="99"/>
    <w:semiHidden/>
    <w:rsid w:val="003231B3"/>
    <w:rPr>
      <w:rFonts w:ascii="Arial" w:hAnsi="Arial"/>
      <w:sz w:val="22"/>
      <w:lang w:eastAsia="en-US"/>
    </w:rPr>
  </w:style>
  <w:style w:type="paragraph" w:customStyle="1" w:styleId="TableParagraph">
    <w:name w:val="Table Paragraph"/>
    <w:basedOn w:val="Normal"/>
    <w:uiPriority w:val="1"/>
    <w:qFormat/>
    <w:rsid w:val="008B23F2"/>
    <w:pPr>
      <w:widowControl w:val="0"/>
      <w:spacing w:after="0"/>
      <w:jc w:val="left"/>
    </w:pPr>
    <w:rPr>
      <w:rFonts w:asciiTheme="minorHAnsi" w:eastAsiaTheme="minorHAnsi" w:hAnsiTheme="minorHAnsi" w:cstheme="minorBidi"/>
      <w:szCs w:val="22"/>
      <w:lang w:val="en-US"/>
    </w:rPr>
  </w:style>
  <w:style w:type="character" w:customStyle="1" w:styleId="apple-converted-space">
    <w:name w:val="apple-converted-space"/>
    <w:basedOn w:val="DefaultParagraphFont"/>
    <w:rsid w:val="007D7C42"/>
  </w:style>
  <w:style w:type="character" w:styleId="Emphasis">
    <w:name w:val="Emphasis"/>
    <w:basedOn w:val="DefaultParagraphFont"/>
    <w:uiPriority w:val="20"/>
    <w:qFormat/>
    <w:rsid w:val="007D7C42"/>
    <w:rPr>
      <w:i/>
      <w:iCs/>
    </w:rPr>
  </w:style>
  <w:style w:type="paragraph" w:styleId="Date">
    <w:name w:val="Date"/>
    <w:basedOn w:val="Normal"/>
    <w:next w:val="Normal"/>
    <w:link w:val="DateChar"/>
    <w:uiPriority w:val="99"/>
    <w:rsid w:val="001900B7"/>
    <w:pPr>
      <w:spacing w:after="0"/>
      <w:jc w:val="left"/>
    </w:pPr>
    <w:rPr>
      <w:rFonts w:ascii="Times New Roman" w:hAnsi="Times New Roman"/>
      <w:lang w:val="en-GB"/>
    </w:rPr>
  </w:style>
  <w:style w:type="character" w:customStyle="1" w:styleId="DateChar">
    <w:name w:val="Date Char"/>
    <w:basedOn w:val="DefaultParagraphFont"/>
    <w:link w:val="Date"/>
    <w:uiPriority w:val="99"/>
    <w:rsid w:val="001900B7"/>
    <w:rPr>
      <w:sz w:val="22"/>
      <w:lang w:val="en-GB" w:eastAsia="en-US"/>
    </w:rPr>
  </w:style>
  <w:style w:type="paragraph" w:styleId="EndnoteText">
    <w:name w:val="endnote text"/>
    <w:basedOn w:val="Normal"/>
    <w:next w:val="Normal"/>
    <w:link w:val="EndnoteTextChar"/>
    <w:semiHidden/>
    <w:rsid w:val="001046D7"/>
    <w:pPr>
      <w:tabs>
        <w:tab w:val="left" w:pos="567"/>
      </w:tabs>
      <w:spacing w:after="0"/>
      <w:jc w:val="left"/>
    </w:pPr>
    <w:rPr>
      <w:rFonts w:ascii="Times New Roman" w:hAnsi="Times New Roman"/>
      <w:lang w:val="en-GB"/>
    </w:rPr>
  </w:style>
  <w:style w:type="character" w:customStyle="1" w:styleId="EndnoteTextChar">
    <w:name w:val="Endnote Text Char"/>
    <w:basedOn w:val="DefaultParagraphFont"/>
    <w:link w:val="EndnoteText"/>
    <w:semiHidden/>
    <w:rsid w:val="001046D7"/>
    <w:rPr>
      <w:sz w:val="22"/>
      <w:lang w:val="en-GB" w:eastAsia="en-US"/>
    </w:rPr>
  </w:style>
  <w:style w:type="paragraph" w:customStyle="1" w:styleId="Paragraph">
    <w:name w:val="Paragraph"/>
    <w:basedOn w:val="Normal"/>
    <w:rsid w:val="00497FCD"/>
    <w:pPr>
      <w:spacing w:after="300" w:line="360" w:lineRule="exact"/>
      <w:jc w:val="left"/>
    </w:pPr>
    <w:rPr>
      <w:rFonts w:ascii="Times New Roman" w:hAnsi="Times New Roman"/>
      <w:sz w:val="24"/>
      <w:szCs w:val="24"/>
      <w:lang w:val="en-US"/>
    </w:rPr>
  </w:style>
  <w:style w:type="character" w:customStyle="1" w:styleId="st1">
    <w:name w:val="st1"/>
    <w:basedOn w:val="DefaultParagraphFont"/>
    <w:rsid w:val="00CD2BC8"/>
  </w:style>
  <w:style w:type="paragraph" w:styleId="Caption">
    <w:name w:val="caption"/>
    <w:basedOn w:val="Normal"/>
    <w:next w:val="Normal"/>
    <w:unhideWhenUsed/>
    <w:qFormat/>
    <w:rsid w:val="00266BF3"/>
    <w:pPr>
      <w:spacing w:after="200"/>
    </w:pPr>
    <w:rPr>
      <w:b/>
      <w:bCs/>
      <w:color w:val="4F81BD" w:themeColor="accent1"/>
      <w:sz w:val="18"/>
      <w:szCs w:val="18"/>
    </w:rPr>
  </w:style>
  <w:style w:type="paragraph" w:customStyle="1" w:styleId="Table-Footer">
    <w:name w:val="Table-Footer"/>
    <w:basedOn w:val="Normal"/>
    <w:rsid w:val="003C6950"/>
    <w:pPr>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jc w:val="left"/>
    </w:pPr>
    <w:rPr>
      <w:rFonts w:ascii="Times New Roman" w:hAnsi="Times New Roman"/>
      <w:sz w:val="18"/>
      <w:lang w:val="en-US"/>
    </w:rPr>
  </w:style>
  <w:style w:type="paragraph" w:styleId="PlainText">
    <w:name w:val="Plain Text"/>
    <w:basedOn w:val="Normal"/>
    <w:link w:val="PlainTextChar"/>
    <w:rsid w:val="003C6950"/>
    <w:pPr>
      <w:autoSpaceDE w:val="0"/>
      <w:autoSpaceDN w:val="0"/>
      <w:spacing w:after="0"/>
      <w:jc w:val="left"/>
    </w:pPr>
    <w:rPr>
      <w:rFonts w:ascii="Courier New" w:hAnsi="Courier New" w:cs="Courier New"/>
      <w:sz w:val="20"/>
      <w:lang w:val="en-US"/>
    </w:rPr>
  </w:style>
  <w:style w:type="character" w:customStyle="1" w:styleId="PlainTextChar">
    <w:name w:val="Plain Text Char"/>
    <w:basedOn w:val="DefaultParagraphFont"/>
    <w:link w:val="PlainText"/>
    <w:rsid w:val="003C6950"/>
    <w:rPr>
      <w:rFonts w:ascii="Courier New" w:hAnsi="Courier New" w:cs="Courier New"/>
      <w:lang w:val="en-US" w:eastAsia="en-US"/>
    </w:rPr>
  </w:style>
  <w:style w:type="paragraph" w:customStyle="1" w:styleId="Table-Heading">
    <w:name w:val="Table-Heading"/>
    <w:basedOn w:val="Normal"/>
    <w:next w:val="Normal"/>
    <w:link w:val="Table-HeadingChar"/>
    <w:rsid w:val="001D2C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jc w:val="center"/>
    </w:pPr>
    <w:rPr>
      <w:rFonts w:ascii="Times New Roman" w:hAnsi="Times New Roman"/>
      <w:b/>
      <w:sz w:val="20"/>
    </w:rPr>
  </w:style>
  <w:style w:type="paragraph" w:customStyle="1" w:styleId="TableCenter">
    <w:name w:val="Table Center"/>
    <w:rsid w:val="001D2CBD"/>
    <w:pPr>
      <w:spacing w:before="60" w:after="60"/>
      <w:jc w:val="center"/>
    </w:pPr>
    <w:rPr>
      <w:rFonts w:eastAsia="Arial Unicode MS"/>
      <w:szCs w:val="24"/>
      <w:lang w:val="en-US" w:eastAsia="en-US"/>
    </w:rPr>
  </w:style>
  <w:style w:type="paragraph" w:customStyle="1" w:styleId="TableLeft">
    <w:name w:val="Table Left"/>
    <w:basedOn w:val="Normal"/>
    <w:rsid w:val="001D2CBD"/>
    <w:pPr>
      <w:spacing w:before="60"/>
      <w:jc w:val="left"/>
    </w:pPr>
    <w:rPr>
      <w:rFonts w:ascii="Times New Roman" w:eastAsia="Arial Unicode MS" w:hAnsi="Times New Roman"/>
      <w:sz w:val="20"/>
      <w:szCs w:val="24"/>
      <w:lang w:val="en-US"/>
    </w:rPr>
  </w:style>
  <w:style w:type="character" w:customStyle="1" w:styleId="Table-HeadingChar">
    <w:name w:val="Table-Heading Char"/>
    <w:link w:val="Table-Heading"/>
    <w:rsid w:val="001D2CBD"/>
    <w:rPr>
      <w:b/>
      <w:lang w:eastAsia="en-US"/>
    </w:rPr>
  </w:style>
  <w:style w:type="paragraph" w:styleId="DocumentMap">
    <w:name w:val="Document Map"/>
    <w:basedOn w:val="Normal"/>
    <w:link w:val="DocumentMapChar"/>
    <w:semiHidden/>
    <w:unhideWhenUsed/>
    <w:rsid w:val="0019497F"/>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19497F"/>
    <w:rPr>
      <w:rFonts w:ascii="Tahoma" w:hAnsi="Tahoma" w:cs="Tahoma"/>
      <w:sz w:val="16"/>
      <w:szCs w:val="16"/>
      <w:lang w:eastAsia="en-US"/>
    </w:rPr>
  </w:style>
  <w:style w:type="character" w:customStyle="1" w:styleId="Heading3Char">
    <w:name w:val="Heading 3 Char"/>
    <w:aliases w:val="CMI Heading 3 Char"/>
    <w:basedOn w:val="DefaultParagraphFont"/>
    <w:link w:val="Heading3"/>
    <w:rsid w:val="00255175"/>
    <w:rPr>
      <w:rFonts w:ascii="Arial" w:hAnsi="Arial"/>
      <w:sz w:val="22"/>
      <w:u w:val="single"/>
      <w:lang w:eastAsia="en-US"/>
    </w:rPr>
  </w:style>
  <w:style w:type="character" w:customStyle="1" w:styleId="msoins0">
    <w:name w:val="msoins"/>
    <w:basedOn w:val="DefaultParagraphFont"/>
    <w:rsid w:val="009E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76640">
      <w:bodyDiv w:val="1"/>
      <w:marLeft w:val="0"/>
      <w:marRight w:val="0"/>
      <w:marTop w:val="0"/>
      <w:marBottom w:val="0"/>
      <w:divBdr>
        <w:top w:val="none" w:sz="0" w:space="0" w:color="auto"/>
        <w:left w:val="none" w:sz="0" w:space="0" w:color="auto"/>
        <w:bottom w:val="none" w:sz="0" w:space="0" w:color="auto"/>
        <w:right w:val="none" w:sz="0" w:space="0" w:color="auto"/>
      </w:divBdr>
    </w:div>
    <w:div w:id="557739295">
      <w:bodyDiv w:val="1"/>
      <w:marLeft w:val="0"/>
      <w:marRight w:val="0"/>
      <w:marTop w:val="0"/>
      <w:marBottom w:val="0"/>
      <w:divBdr>
        <w:top w:val="none" w:sz="0" w:space="0" w:color="auto"/>
        <w:left w:val="none" w:sz="0" w:space="0" w:color="auto"/>
        <w:bottom w:val="none" w:sz="0" w:space="0" w:color="auto"/>
        <w:right w:val="none" w:sz="0" w:space="0" w:color="auto"/>
      </w:divBdr>
      <w:divsChild>
        <w:div w:id="845558518">
          <w:marLeft w:val="0"/>
          <w:marRight w:val="0"/>
          <w:marTop w:val="0"/>
          <w:marBottom w:val="0"/>
          <w:divBdr>
            <w:top w:val="none" w:sz="0" w:space="0" w:color="auto"/>
            <w:left w:val="none" w:sz="0" w:space="0" w:color="auto"/>
            <w:bottom w:val="none" w:sz="0" w:space="0" w:color="auto"/>
            <w:right w:val="none" w:sz="0" w:space="0" w:color="auto"/>
          </w:divBdr>
          <w:divsChild>
            <w:div w:id="4009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3108">
      <w:bodyDiv w:val="1"/>
      <w:marLeft w:val="0"/>
      <w:marRight w:val="0"/>
      <w:marTop w:val="0"/>
      <w:marBottom w:val="0"/>
      <w:divBdr>
        <w:top w:val="none" w:sz="0" w:space="0" w:color="auto"/>
        <w:left w:val="none" w:sz="0" w:space="0" w:color="auto"/>
        <w:bottom w:val="none" w:sz="0" w:space="0" w:color="auto"/>
        <w:right w:val="none" w:sz="0" w:space="0" w:color="auto"/>
      </w:divBdr>
    </w:div>
    <w:div w:id="919942859">
      <w:bodyDiv w:val="1"/>
      <w:marLeft w:val="0"/>
      <w:marRight w:val="0"/>
      <w:marTop w:val="0"/>
      <w:marBottom w:val="0"/>
      <w:divBdr>
        <w:top w:val="none" w:sz="0" w:space="0" w:color="auto"/>
        <w:left w:val="none" w:sz="0" w:space="0" w:color="auto"/>
        <w:bottom w:val="none" w:sz="0" w:space="0" w:color="auto"/>
        <w:right w:val="none" w:sz="0" w:space="0" w:color="auto"/>
      </w:divBdr>
    </w:div>
    <w:div w:id="1057586579">
      <w:bodyDiv w:val="1"/>
      <w:marLeft w:val="0"/>
      <w:marRight w:val="0"/>
      <w:marTop w:val="0"/>
      <w:marBottom w:val="0"/>
      <w:divBdr>
        <w:top w:val="none" w:sz="0" w:space="0" w:color="auto"/>
        <w:left w:val="none" w:sz="0" w:space="0" w:color="auto"/>
        <w:bottom w:val="none" w:sz="0" w:space="0" w:color="auto"/>
        <w:right w:val="none" w:sz="0" w:space="0" w:color="auto"/>
      </w:divBdr>
      <w:divsChild>
        <w:div w:id="1193037344">
          <w:marLeft w:val="0"/>
          <w:marRight w:val="0"/>
          <w:marTop w:val="0"/>
          <w:marBottom w:val="0"/>
          <w:divBdr>
            <w:top w:val="none" w:sz="0" w:space="0" w:color="auto"/>
            <w:left w:val="none" w:sz="0" w:space="0" w:color="auto"/>
            <w:bottom w:val="none" w:sz="0" w:space="0" w:color="auto"/>
            <w:right w:val="none" w:sz="0" w:space="0" w:color="auto"/>
          </w:divBdr>
          <w:divsChild>
            <w:div w:id="14340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9202">
      <w:bodyDiv w:val="1"/>
      <w:marLeft w:val="0"/>
      <w:marRight w:val="0"/>
      <w:marTop w:val="0"/>
      <w:marBottom w:val="0"/>
      <w:divBdr>
        <w:top w:val="none" w:sz="0" w:space="0" w:color="auto"/>
        <w:left w:val="none" w:sz="0" w:space="0" w:color="auto"/>
        <w:bottom w:val="none" w:sz="0" w:space="0" w:color="auto"/>
        <w:right w:val="none" w:sz="0" w:space="0" w:color="auto"/>
      </w:divBdr>
      <w:divsChild>
        <w:div w:id="1396276769">
          <w:marLeft w:val="0"/>
          <w:marRight w:val="0"/>
          <w:marTop w:val="0"/>
          <w:marBottom w:val="0"/>
          <w:divBdr>
            <w:top w:val="none" w:sz="0" w:space="0" w:color="auto"/>
            <w:left w:val="none" w:sz="0" w:space="0" w:color="auto"/>
            <w:bottom w:val="none" w:sz="0" w:space="0" w:color="auto"/>
            <w:right w:val="none" w:sz="0" w:space="0" w:color="auto"/>
          </w:divBdr>
          <w:divsChild>
            <w:div w:id="8314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079">
      <w:bodyDiv w:val="1"/>
      <w:marLeft w:val="0"/>
      <w:marRight w:val="0"/>
      <w:marTop w:val="0"/>
      <w:marBottom w:val="0"/>
      <w:divBdr>
        <w:top w:val="none" w:sz="0" w:space="0" w:color="auto"/>
        <w:left w:val="none" w:sz="0" w:space="0" w:color="auto"/>
        <w:bottom w:val="none" w:sz="0" w:space="0" w:color="auto"/>
        <w:right w:val="none" w:sz="0" w:space="0" w:color="auto"/>
      </w:divBdr>
    </w:div>
    <w:div w:id="1542131772">
      <w:bodyDiv w:val="1"/>
      <w:marLeft w:val="0"/>
      <w:marRight w:val="0"/>
      <w:marTop w:val="0"/>
      <w:marBottom w:val="0"/>
      <w:divBdr>
        <w:top w:val="none" w:sz="0" w:space="0" w:color="auto"/>
        <w:left w:val="none" w:sz="0" w:space="0" w:color="auto"/>
        <w:bottom w:val="none" w:sz="0" w:space="0" w:color="auto"/>
        <w:right w:val="none" w:sz="0" w:space="0" w:color="auto"/>
      </w:divBdr>
      <w:divsChild>
        <w:div w:id="638268579">
          <w:marLeft w:val="0"/>
          <w:marRight w:val="0"/>
          <w:marTop w:val="0"/>
          <w:marBottom w:val="0"/>
          <w:divBdr>
            <w:top w:val="none" w:sz="0" w:space="0" w:color="auto"/>
            <w:left w:val="none" w:sz="0" w:space="0" w:color="auto"/>
            <w:bottom w:val="none" w:sz="0" w:space="0" w:color="auto"/>
            <w:right w:val="none" w:sz="0" w:space="0" w:color="auto"/>
          </w:divBdr>
          <w:divsChild>
            <w:div w:id="20058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2452">
      <w:bodyDiv w:val="1"/>
      <w:marLeft w:val="0"/>
      <w:marRight w:val="0"/>
      <w:marTop w:val="0"/>
      <w:marBottom w:val="0"/>
      <w:divBdr>
        <w:top w:val="none" w:sz="0" w:space="0" w:color="auto"/>
        <w:left w:val="none" w:sz="0" w:space="0" w:color="auto"/>
        <w:bottom w:val="none" w:sz="0" w:space="0" w:color="auto"/>
        <w:right w:val="none" w:sz="0" w:space="0" w:color="auto"/>
      </w:divBdr>
      <w:divsChild>
        <w:div w:id="1459761191">
          <w:marLeft w:val="0"/>
          <w:marRight w:val="0"/>
          <w:marTop w:val="0"/>
          <w:marBottom w:val="0"/>
          <w:divBdr>
            <w:top w:val="none" w:sz="0" w:space="0" w:color="auto"/>
            <w:left w:val="none" w:sz="0" w:space="0" w:color="auto"/>
            <w:bottom w:val="none" w:sz="0" w:space="0" w:color="auto"/>
            <w:right w:val="none" w:sz="0" w:space="0" w:color="auto"/>
          </w:divBdr>
          <w:divsChild>
            <w:div w:id="21327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2024">
      <w:bodyDiv w:val="1"/>
      <w:marLeft w:val="0"/>
      <w:marRight w:val="0"/>
      <w:marTop w:val="0"/>
      <w:marBottom w:val="0"/>
      <w:divBdr>
        <w:top w:val="none" w:sz="0" w:space="0" w:color="auto"/>
        <w:left w:val="none" w:sz="0" w:space="0" w:color="auto"/>
        <w:bottom w:val="none" w:sz="0" w:space="0" w:color="auto"/>
        <w:right w:val="none" w:sz="0" w:space="0" w:color="auto"/>
      </w:divBdr>
      <w:divsChild>
        <w:div w:id="1091043851">
          <w:marLeft w:val="0"/>
          <w:marRight w:val="0"/>
          <w:marTop w:val="0"/>
          <w:marBottom w:val="0"/>
          <w:divBdr>
            <w:top w:val="none" w:sz="0" w:space="0" w:color="auto"/>
            <w:left w:val="none" w:sz="0" w:space="0" w:color="auto"/>
            <w:bottom w:val="none" w:sz="0" w:space="0" w:color="auto"/>
            <w:right w:val="none" w:sz="0" w:space="0" w:color="auto"/>
          </w:divBdr>
          <w:divsChild>
            <w:div w:id="156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1158">
      <w:bodyDiv w:val="1"/>
      <w:marLeft w:val="0"/>
      <w:marRight w:val="0"/>
      <w:marTop w:val="0"/>
      <w:marBottom w:val="0"/>
      <w:divBdr>
        <w:top w:val="none" w:sz="0" w:space="0" w:color="auto"/>
        <w:left w:val="none" w:sz="0" w:space="0" w:color="auto"/>
        <w:bottom w:val="none" w:sz="0" w:space="0" w:color="auto"/>
        <w:right w:val="none" w:sz="0" w:space="0" w:color="auto"/>
      </w:divBdr>
      <w:divsChild>
        <w:div w:id="82208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micalbook.com/CASEN_330784-47-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emicalbook.com/CASEN_330784-47-9.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D2E49-6B9A-4B95-9003-9E3A4C79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6009</Words>
  <Characters>36001</Characters>
  <Application>Microsoft Office Word</Application>
  <DocSecurity>0</DocSecurity>
  <Lines>300</Lines>
  <Paragraphs>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Product Information</vt:lpstr>
      <vt:lpstr>Product Information</vt:lpstr>
    </vt:vector>
  </TitlesOfParts>
  <Company>Invida Pty Ltd</Company>
  <LinksUpToDate>false</LinksUpToDate>
  <CharactersWithSpaces>41927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Ranolazine </dc:title>
  <dc:subject>prescription medicines</dc:subject>
  <dc:creator>Vlatka.Bojanic</dc:creator>
  <cp:keywords>AusPARs</cp:keywords>
  <cp:lastModifiedBy>LACK, Janet</cp:lastModifiedBy>
  <cp:revision>3</cp:revision>
  <cp:lastPrinted>2016-05-06T00:40:00Z</cp:lastPrinted>
  <dcterms:created xsi:type="dcterms:W3CDTF">2018-04-16T00:22:00Z</dcterms:created>
  <dcterms:modified xsi:type="dcterms:W3CDTF">2018-04-16T00:27:00Z</dcterms:modified>
</cp:coreProperties>
</file>