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44BDF" w14:textId="77777777" w:rsidR="00375DF3" w:rsidRPr="00D82CA2" w:rsidRDefault="001B5F64" w:rsidP="006018AE">
      <w:pPr>
        <w:tabs>
          <w:tab w:val="left" w:pos="284"/>
        </w:tabs>
        <w:spacing w:after="480" w:line="240" w:lineRule="auto"/>
      </w:pPr>
      <w:r>
        <w:rPr>
          <w:noProof/>
          <w:color w:val="2B579A"/>
          <w:shd w:val="clear" w:color="auto" w:fill="E6E6E6"/>
          <w:lang w:eastAsia="en-AU"/>
        </w:rPr>
        <mc:AlternateContent>
          <mc:Choice Requires="wps">
            <w:drawing>
              <wp:inline distT="0" distB="0" distL="0" distR="0" wp14:anchorId="324A3D6B" wp14:editId="6522F471">
                <wp:extent cx="252095" cy="252095"/>
                <wp:effectExtent l="0" t="0" r="0" b="0"/>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A3627" w14:textId="77777777" w:rsidR="00707339" w:rsidRPr="00BE2A26" w:rsidRDefault="00707339" w:rsidP="00375DF3">
                            <w:pPr>
                              <w:spacing w:after="0"/>
                              <w:rPr>
                                <w:rFonts w:ascii="Wingdings 3" w:hAnsi="Wingdings 3"/>
                                <w:sz w:val="24"/>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324A3D6B"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" stroked="f">
                <v:textbox inset="0,0,0,0">
                  <w:txbxContent>
                    <w:p w14:paraId="40CA3627" w14:textId="77777777" w:rsidR="00707339" w:rsidRPr="00BE2A26" w:rsidRDefault="00707339" w:rsidP="00375DF3">
                      <w:pPr>
                        <w:spacing w:after="0"/>
                        <w:rPr>
                          <w:rFonts w:ascii="Wingdings 3" w:hAnsi="Wingdings 3"/>
                          <w:sz w:val="24"/>
                        </w:rPr>
                      </w:pPr>
                      <w:r w:rsidRPr="00BE2A26">
                        <w:rPr>
                          <w:rFonts w:ascii="SimSun" w:eastAsia="SimSun" w:hAnsi="SimSun" w:cs="Arial" w:hint="eastAsia"/>
                          <w:sz w:val="40"/>
                        </w:rPr>
                        <w:t>▼</w:t>
                      </w:r>
                    </w:p>
                  </w:txbxContent>
                </v:textbox>
                <w10:anchorlock/>
              </v:shape>
            </w:pict>
          </mc:Fallback>
        </mc:AlternateContent>
      </w:r>
      <w:r w:rsidR="001A3992" w:rsidRPr="00D82CA2">
        <w:t xml:space="preserve">This medicinal product is subject to additional monitoring </w:t>
      </w:r>
      <w:r w:rsidR="001A3992" w:rsidRPr="00123DFA">
        <w:t>in Australia</w:t>
      </w:r>
      <w:r w:rsidR="001A3992" w:rsidRPr="00D82CA2">
        <w:t xml:space="preserve">. This will allow quick identification of new safety information. Healthcare professionals are asked to report any suspected adverse events at </w:t>
      </w:r>
      <w:hyperlink r:id="rId11" w:history="1">
        <w:r w:rsidR="00375DF3" w:rsidRPr="00D82CA2">
          <w:rPr>
            <w:rStyle w:val="Hyperlink"/>
          </w:rPr>
          <w:t>www.tga.gov.au/reporting-problems</w:t>
        </w:r>
      </w:hyperlink>
      <w:r w:rsidR="00375DF3" w:rsidRPr="00D82CA2">
        <w:t>.</w:t>
      </w:r>
    </w:p>
    <w:p w14:paraId="31BF8FB1" w14:textId="58A19DD6" w:rsidR="006018AE" w:rsidRPr="009C210F" w:rsidRDefault="001B5F64" w:rsidP="00285173">
      <w:pPr>
        <w:pStyle w:val="Heading1"/>
        <w:numPr>
          <w:ilvl w:val="0"/>
          <w:numId w:val="0"/>
        </w:numPr>
        <w:spacing w:after="240"/>
        <w:rPr>
          <w:rFonts w:eastAsia="SimSun"/>
        </w:rPr>
      </w:pPr>
      <w:r>
        <w:rPr>
          <w:noProof/>
          <w:color w:val="2B579A"/>
          <w:shd w:val="clear" w:color="auto" w:fill="E6E6E6"/>
          <w:lang w:eastAsia="en-AU"/>
        </w:rPr>
        <mc:AlternateContent>
          <mc:Choice Requires="wps">
            <w:drawing>
              <wp:anchor distT="0" distB="0" distL="114300" distR="114300" simplePos="0" relativeHeight="251658240" behindDoc="0" locked="0" layoutInCell="1" allowOverlap="1" wp14:anchorId="09088EF3" wp14:editId="0AA902BC">
                <wp:simplePos x="0" y="0"/>
                <wp:positionH relativeFrom="column">
                  <wp:posOffset>-80350</wp:posOffset>
                </wp:positionH>
                <wp:positionV relativeFrom="paragraph">
                  <wp:posOffset>496671</wp:posOffset>
                </wp:positionV>
                <wp:extent cx="6031230" cy="3173239"/>
                <wp:effectExtent l="0" t="0" r="26670" b="273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1230" cy="3173239"/>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A310A6A" id="Rectangle 1" o:spid="_x0000_s1026" style="position:absolute;margin-left:-6.35pt;margin-top:39.1pt;width:474.9pt;height:24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" filled="f" strokeweight="1.5pt"/>
            </w:pict>
          </mc:Fallback>
        </mc:AlternateContent>
      </w:r>
      <w:r w:rsidR="006018AE" w:rsidRPr="009C210F">
        <w:rPr>
          <w:rFonts w:eastAsia="SimSun"/>
        </w:rPr>
        <w:t>Australian P</w:t>
      </w:r>
      <w:r w:rsidR="0021200F" w:rsidRPr="009C210F">
        <w:rPr>
          <w:rFonts w:eastAsia="SimSun"/>
        </w:rPr>
        <w:t xml:space="preserve">roduct </w:t>
      </w:r>
      <w:r w:rsidR="006018AE" w:rsidRPr="009C210F">
        <w:rPr>
          <w:rFonts w:eastAsia="SimSun"/>
        </w:rPr>
        <w:t>I</w:t>
      </w:r>
      <w:r w:rsidR="0021200F" w:rsidRPr="009C210F">
        <w:rPr>
          <w:rFonts w:eastAsia="SimSun"/>
        </w:rPr>
        <w:t>nformation</w:t>
      </w:r>
      <w:r w:rsidR="006018AE" w:rsidRPr="009C210F">
        <w:rPr>
          <w:rFonts w:eastAsia="SimSun"/>
        </w:rPr>
        <w:t xml:space="preserve"> – </w:t>
      </w:r>
      <w:r w:rsidR="00856C6B" w:rsidRPr="009C210F">
        <w:rPr>
          <w:rFonts w:eastAsia="SimSun"/>
        </w:rPr>
        <w:t>ULTOMIRIS</w:t>
      </w:r>
      <w:r w:rsidR="007B3D88">
        <w:rPr>
          <w:rFonts w:eastAsia="SimSun"/>
          <w:vertAlign w:val="superscript"/>
        </w:rPr>
        <w:t>®</w:t>
      </w:r>
      <w:r w:rsidR="00255DF9" w:rsidRPr="009C210F">
        <w:rPr>
          <w:rFonts w:eastAsia="SimSun"/>
        </w:rPr>
        <w:t xml:space="preserve"> </w:t>
      </w:r>
      <w:r w:rsidR="006018AE" w:rsidRPr="009C210F">
        <w:rPr>
          <w:rFonts w:eastAsia="SimSun"/>
        </w:rPr>
        <w:t>(</w:t>
      </w:r>
      <w:r w:rsidR="00856C6B" w:rsidRPr="009C210F">
        <w:rPr>
          <w:rFonts w:eastAsia="SimSun"/>
        </w:rPr>
        <w:t>RAVULIZUMAB RCH</w:t>
      </w:r>
      <w:r w:rsidR="006018AE" w:rsidRPr="009C210F">
        <w:rPr>
          <w:rFonts w:eastAsia="SimSun"/>
        </w:rPr>
        <w:t>)</w:t>
      </w:r>
      <w:r w:rsidR="00A64655" w:rsidRPr="009C210F">
        <w:rPr>
          <w:rFonts w:eastAsia="SimSun"/>
        </w:rPr>
        <w:t xml:space="preserve"> </w:t>
      </w:r>
      <w:r w:rsidR="00856C6B" w:rsidRPr="009C210F">
        <w:rPr>
          <w:rFonts w:eastAsia="SimSun"/>
        </w:rPr>
        <w:t>CONCENTRATED SOLUTION FOR INTRAVENOUS INFUSION</w:t>
      </w:r>
    </w:p>
    <w:p w14:paraId="1CF83F70" w14:textId="77777777" w:rsidR="005B0DAD" w:rsidRDefault="00856C6B" w:rsidP="00856C6B">
      <w:pPr>
        <w:pStyle w:val="C-PLR-TableText"/>
        <w:tabs>
          <w:tab w:val="left" w:pos="450"/>
        </w:tabs>
        <w:spacing w:before="60"/>
        <w:rPr>
          <w:rFonts w:ascii="Cambria" w:eastAsia="Batang" w:hAnsi="Cambria"/>
          <w:b/>
          <w:sz w:val="24"/>
          <w:szCs w:val="24"/>
        </w:rPr>
      </w:pPr>
      <w:bookmarkStart w:id="0" w:name="_Hlk10620764"/>
      <w:r w:rsidRPr="009C210F">
        <w:rPr>
          <w:rFonts w:ascii="Cambria" w:eastAsia="Batang" w:hAnsi="Cambria"/>
          <w:b/>
          <w:sz w:val="24"/>
          <w:szCs w:val="24"/>
        </w:rPr>
        <w:t>WARNING: SERIOUS MENINGOCOCCAL INFECTION</w:t>
      </w:r>
      <w:r w:rsidR="005B0DAD">
        <w:rPr>
          <w:rFonts w:ascii="Cambria" w:eastAsia="Batang" w:hAnsi="Cambria"/>
          <w:b/>
          <w:sz w:val="24"/>
          <w:szCs w:val="24"/>
        </w:rPr>
        <w:t>S</w:t>
      </w:r>
    </w:p>
    <w:p w14:paraId="7AA65FC2" w14:textId="7AA00DAC" w:rsidR="00910865" w:rsidRPr="002672D9" w:rsidRDefault="00B77A5B" w:rsidP="00910865">
      <w:pPr>
        <w:pStyle w:val="C-PLR-Bullet"/>
        <w:numPr>
          <w:ilvl w:val="0"/>
          <w:numId w:val="0"/>
        </w:numPr>
        <w:spacing w:before="120" w:after="120"/>
        <w:rPr>
          <w:rFonts w:ascii="Cambria" w:hAnsi="Cambria"/>
          <w:strike/>
          <w:sz w:val="24"/>
          <w:szCs w:val="24"/>
        </w:rPr>
      </w:pPr>
      <w:r w:rsidRPr="002672D9">
        <w:rPr>
          <w:rFonts w:ascii="Cambria" w:hAnsi="Cambria"/>
          <w:b/>
          <w:bCs/>
          <w:sz w:val="24"/>
          <w:szCs w:val="24"/>
        </w:rPr>
        <w:t xml:space="preserve">Life-threatening meningococcal infections/sepsis have occurred in patients treated with </w:t>
      </w:r>
      <w:proofErr w:type="spellStart"/>
      <w:r w:rsidRPr="002672D9">
        <w:rPr>
          <w:rFonts w:ascii="Cambria" w:hAnsi="Cambria"/>
          <w:b/>
          <w:bCs/>
          <w:sz w:val="24"/>
          <w:szCs w:val="24"/>
        </w:rPr>
        <w:t>Ultomiris</w:t>
      </w:r>
      <w:proofErr w:type="spellEnd"/>
      <w:r w:rsidRPr="002672D9">
        <w:rPr>
          <w:rFonts w:ascii="Cambria" w:hAnsi="Cambria"/>
          <w:b/>
          <w:bCs/>
          <w:sz w:val="24"/>
          <w:szCs w:val="24"/>
        </w:rPr>
        <w:t xml:space="preserve">. </w:t>
      </w:r>
      <w:r w:rsidR="005B0DAD" w:rsidRPr="002672D9">
        <w:rPr>
          <w:rFonts w:ascii="Cambria" w:hAnsi="Cambria"/>
          <w:b/>
          <w:bCs/>
          <w:sz w:val="24"/>
          <w:szCs w:val="24"/>
        </w:rPr>
        <w:t>Meningococcal infection</w:t>
      </w:r>
      <w:r w:rsidR="00856C6B" w:rsidRPr="002672D9">
        <w:rPr>
          <w:rFonts w:ascii="Cambria" w:hAnsi="Cambria"/>
          <w:b/>
          <w:bCs/>
          <w:sz w:val="24"/>
          <w:szCs w:val="24"/>
        </w:rPr>
        <w:t xml:space="preserve"> may become rapidly life-threatening or fatal if not </w:t>
      </w:r>
      <w:proofErr w:type="spellStart"/>
      <w:r w:rsidR="00856C6B" w:rsidRPr="002672D9">
        <w:rPr>
          <w:rFonts w:ascii="Cambria" w:hAnsi="Cambria"/>
          <w:b/>
          <w:bCs/>
          <w:sz w:val="24"/>
          <w:szCs w:val="24"/>
        </w:rPr>
        <w:t>re</w:t>
      </w:r>
      <w:r w:rsidR="005B0DAD" w:rsidRPr="002672D9">
        <w:rPr>
          <w:rFonts w:ascii="Cambria" w:hAnsi="Cambria"/>
          <w:b/>
          <w:bCs/>
          <w:sz w:val="24"/>
          <w:szCs w:val="24"/>
        </w:rPr>
        <w:t>cognis</w:t>
      </w:r>
      <w:r w:rsidR="006C50FA" w:rsidRPr="002672D9">
        <w:rPr>
          <w:rFonts w:ascii="Cambria" w:hAnsi="Cambria"/>
          <w:b/>
          <w:bCs/>
          <w:sz w:val="24"/>
          <w:szCs w:val="24"/>
        </w:rPr>
        <w:t>ed</w:t>
      </w:r>
      <w:proofErr w:type="spellEnd"/>
      <w:r w:rsidR="006C50FA" w:rsidRPr="002672D9">
        <w:rPr>
          <w:rFonts w:ascii="Cambria" w:hAnsi="Cambria"/>
          <w:b/>
          <w:bCs/>
          <w:sz w:val="24"/>
          <w:szCs w:val="24"/>
        </w:rPr>
        <w:t xml:space="preserve"> and treated early</w:t>
      </w:r>
      <w:r w:rsidR="00910865" w:rsidRPr="002672D9">
        <w:rPr>
          <w:rFonts w:ascii="Cambria" w:hAnsi="Cambria"/>
          <w:b/>
          <w:bCs/>
          <w:sz w:val="24"/>
          <w:szCs w:val="24"/>
        </w:rPr>
        <w:t xml:space="preserve"> </w:t>
      </w:r>
      <w:r w:rsidR="00910865" w:rsidRPr="002672D9">
        <w:rPr>
          <w:rFonts w:ascii="Cambria" w:hAnsi="Cambria"/>
          <w:b/>
          <w:sz w:val="24"/>
          <w:szCs w:val="24"/>
        </w:rPr>
        <w:t>(</w:t>
      </w:r>
      <w:r w:rsidR="006A7CEB" w:rsidRPr="002672D9">
        <w:rPr>
          <w:rFonts w:ascii="Cambria" w:hAnsi="Cambria"/>
          <w:b/>
          <w:sz w:val="24"/>
          <w:szCs w:val="24"/>
        </w:rPr>
        <w:t>s</w:t>
      </w:r>
      <w:r w:rsidR="00910865" w:rsidRPr="002672D9">
        <w:rPr>
          <w:rFonts w:ascii="Cambria" w:hAnsi="Cambria"/>
          <w:b/>
          <w:sz w:val="24"/>
          <w:szCs w:val="24"/>
        </w:rPr>
        <w:t xml:space="preserve">ee </w:t>
      </w:r>
      <w:r w:rsidR="00E22BF5" w:rsidRPr="002672D9">
        <w:rPr>
          <w:rFonts w:ascii="Cambria" w:hAnsi="Cambria"/>
          <w:b/>
          <w:i/>
          <w:sz w:val="24"/>
          <w:szCs w:val="24"/>
        </w:rPr>
        <w:t>s</w:t>
      </w:r>
      <w:r w:rsidR="00910865" w:rsidRPr="002672D9">
        <w:rPr>
          <w:rFonts w:ascii="Cambria" w:hAnsi="Cambria"/>
          <w:b/>
          <w:i/>
          <w:sz w:val="24"/>
          <w:szCs w:val="24"/>
        </w:rPr>
        <w:t>ection 4.4 Special Warnings and Precautions for Use</w:t>
      </w:r>
      <w:r w:rsidR="00910865" w:rsidRPr="002672D9">
        <w:rPr>
          <w:rFonts w:ascii="Cambria" w:hAnsi="Cambria"/>
          <w:b/>
          <w:sz w:val="24"/>
          <w:szCs w:val="24"/>
        </w:rPr>
        <w:t>).</w:t>
      </w:r>
    </w:p>
    <w:p w14:paraId="48E03A08" w14:textId="5520B2DC" w:rsidR="00B77A5B" w:rsidRPr="002672D9" w:rsidRDefault="00BE7DF6" w:rsidP="00B77A5B">
      <w:pPr>
        <w:pStyle w:val="C-PLR-Bullet"/>
        <w:numPr>
          <w:ilvl w:val="0"/>
          <w:numId w:val="13"/>
        </w:numPr>
        <w:spacing w:before="120"/>
        <w:ind w:left="144" w:hanging="144"/>
        <w:rPr>
          <w:rFonts w:ascii="Cambria" w:hAnsi="Cambria"/>
          <w:b/>
          <w:sz w:val="24"/>
          <w:szCs w:val="24"/>
        </w:rPr>
      </w:pPr>
      <w:r>
        <w:rPr>
          <w:rFonts w:ascii="Cambria" w:hAnsi="Cambria"/>
          <w:b/>
          <w:sz w:val="24"/>
          <w:szCs w:val="24"/>
        </w:rPr>
        <w:t>Refer to</w:t>
      </w:r>
      <w:r w:rsidR="00B77A5B" w:rsidRPr="002672D9">
        <w:rPr>
          <w:rFonts w:ascii="Cambria" w:hAnsi="Cambria"/>
          <w:b/>
          <w:sz w:val="24"/>
          <w:szCs w:val="24"/>
        </w:rPr>
        <w:t xml:space="preserve"> the most current </w:t>
      </w:r>
      <w:r w:rsidR="00F271BE">
        <w:rPr>
          <w:rFonts w:ascii="Cambria" w:hAnsi="Cambria"/>
          <w:b/>
          <w:sz w:val="24"/>
          <w:szCs w:val="24"/>
        </w:rPr>
        <w:t xml:space="preserve">edition of the </w:t>
      </w:r>
      <w:r w:rsidR="00B77A5B" w:rsidRPr="002672D9">
        <w:rPr>
          <w:rFonts w:ascii="Cambria" w:hAnsi="Cambria"/>
          <w:b/>
          <w:sz w:val="24"/>
          <w:szCs w:val="24"/>
        </w:rPr>
        <w:t xml:space="preserve">Australian </w:t>
      </w:r>
      <w:proofErr w:type="spellStart"/>
      <w:r w:rsidR="00B77A5B" w:rsidRPr="002672D9">
        <w:rPr>
          <w:rFonts w:ascii="Cambria" w:hAnsi="Cambria"/>
          <w:b/>
          <w:sz w:val="24"/>
          <w:szCs w:val="24"/>
        </w:rPr>
        <w:t>Immunisation</w:t>
      </w:r>
      <w:proofErr w:type="spellEnd"/>
      <w:r w:rsidR="00B77A5B" w:rsidRPr="002672D9">
        <w:rPr>
          <w:rFonts w:ascii="Cambria" w:hAnsi="Cambria"/>
          <w:b/>
          <w:sz w:val="24"/>
          <w:szCs w:val="24"/>
        </w:rPr>
        <w:t xml:space="preserve"> Handbook for meningococcal vaccination </w:t>
      </w:r>
      <w:r w:rsidR="00F271BE">
        <w:rPr>
          <w:rFonts w:ascii="Cambria" w:hAnsi="Cambria"/>
          <w:b/>
          <w:sz w:val="24"/>
          <w:szCs w:val="24"/>
        </w:rPr>
        <w:t>guidelines</w:t>
      </w:r>
      <w:r w:rsidR="00B77A5B" w:rsidRPr="002672D9">
        <w:rPr>
          <w:rFonts w:ascii="Cambria" w:hAnsi="Cambria"/>
          <w:b/>
          <w:sz w:val="24"/>
          <w:szCs w:val="24"/>
        </w:rPr>
        <w:t>.</w:t>
      </w:r>
    </w:p>
    <w:p w14:paraId="5BB49EE5" w14:textId="0C3974BA" w:rsidR="00910865" w:rsidRPr="00F271BE" w:rsidRDefault="00B77A5B" w:rsidP="005B0DAD">
      <w:pPr>
        <w:pStyle w:val="C-PLR-Bullet"/>
        <w:numPr>
          <w:ilvl w:val="0"/>
          <w:numId w:val="13"/>
        </w:numPr>
        <w:spacing w:before="120"/>
        <w:ind w:left="144" w:hanging="144"/>
        <w:rPr>
          <w:rFonts w:ascii="Cambria" w:hAnsi="Cambria"/>
          <w:b/>
          <w:sz w:val="24"/>
          <w:szCs w:val="24"/>
        </w:rPr>
      </w:pPr>
      <w:proofErr w:type="spellStart"/>
      <w:r w:rsidRPr="002672D9">
        <w:rPr>
          <w:rFonts w:ascii="Cambria" w:hAnsi="Cambria"/>
          <w:b/>
          <w:sz w:val="24"/>
          <w:szCs w:val="24"/>
        </w:rPr>
        <w:t>Immunise</w:t>
      </w:r>
      <w:proofErr w:type="spellEnd"/>
      <w:r w:rsidR="00856C6B" w:rsidRPr="002672D9">
        <w:rPr>
          <w:rFonts w:ascii="Cambria" w:hAnsi="Cambria"/>
          <w:b/>
          <w:sz w:val="24"/>
          <w:szCs w:val="24"/>
        </w:rPr>
        <w:t xml:space="preserve"> patients </w:t>
      </w:r>
      <w:r w:rsidRPr="002672D9">
        <w:rPr>
          <w:rFonts w:ascii="Cambria" w:hAnsi="Cambria"/>
          <w:b/>
          <w:sz w:val="24"/>
          <w:szCs w:val="24"/>
        </w:rPr>
        <w:t>with</w:t>
      </w:r>
      <w:r w:rsidR="00856C6B" w:rsidRPr="002672D9">
        <w:rPr>
          <w:rFonts w:ascii="Cambria" w:hAnsi="Cambria"/>
          <w:b/>
          <w:sz w:val="24"/>
          <w:szCs w:val="24"/>
        </w:rPr>
        <w:t xml:space="preserve"> meningococcal </w:t>
      </w:r>
      <w:r w:rsidRPr="002672D9">
        <w:rPr>
          <w:rFonts w:ascii="Cambria" w:hAnsi="Cambria"/>
          <w:b/>
          <w:sz w:val="24"/>
          <w:szCs w:val="24"/>
        </w:rPr>
        <w:t>vaccines at least 2 weeks</w:t>
      </w:r>
      <w:r w:rsidR="006C50FA" w:rsidRPr="002672D9">
        <w:rPr>
          <w:rFonts w:ascii="Cambria" w:hAnsi="Cambria"/>
          <w:b/>
          <w:sz w:val="24"/>
          <w:szCs w:val="24"/>
        </w:rPr>
        <w:t xml:space="preserve"> </w:t>
      </w:r>
      <w:r w:rsidR="00856C6B" w:rsidRPr="002672D9">
        <w:rPr>
          <w:rFonts w:ascii="Cambria" w:hAnsi="Cambria"/>
          <w:b/>
          <w:sz w:val="24"/>
          <w:szCs w:val="24"/>
        </w:rPr>
        <w:t>prior to</w:t>
      </w:r>
      <w:r w:rsidR="001C21F8" w:rsidRPr="002672D9">
        <w:rPr>
          <w:rFonts w:ascii="Cambria" w:hAnsi="Cambria"/>
          <w:b/>
          <w:sz w:val="24"/>
          <w:szCs w:val="24"/>
        </w:rPr>
        <w:t xml:space="preserve"> </w:t>
      </w:r>
      <w:r w:rsidRPr="002672D9">
        <w:rPr>
          <w:rFonts w:ascii="Cambria" w:hAnsi="Cambria"/>
          <w:b/>
          <w:sz w:val="24"/>
          <w:szCs w:val="24"/>
        </w:rPr>
        <w:t>administer</w:t>
      </w:r>
      <w:r w:rsidR="00616E26" w:rsidRPr="002672D9">
        <w:rPr>
          <w:rFonts w:ascii="Cambria" w:hAnsi="Cambria"/>
          <w:b/>
          <w:sz w:val="24"/>
          <w:szCs w:val="24"/>
        </w:rPr>
        <w:t xml:space="preserve">ing </w:t>
      </w:r>
      <w:r w:rsidR="00401D70" w:rsidRPr="002672D9">
        <w:rPr>
          <w:rFonts w:ascii="Cambria" w:hAnsi="Cambria"/>
          <w:b/>
          <w:sz w:val="24"/>
          <w:szCs w:val="24"/>
        </w:rPr>
        <w:t xml:space="preserve">the first dose of </w:t>
      </w:r>
      <w:proofErr w:type="spellStart"/>
      <w:r w:rsidR="00856C6B" w:rsidRPr="002672D9">
        <w:rPr>
          <w:rFonts w:ascii="Cambria" w:hAnsi="Cambria"/>
          <w:b/>
          <w:sz w:val="24"/>
          <w:szCs w:val="24"/>
        </w:rPr>
        <w:t>Ultomiris</w:t>
      </w:r>
      <w:proofErr w:type="spellEnd"/>
      <w:r w:rsidR="00E03BE3" w:rsidRPr="002672D9">
        <w:rPr>
          <w:rFonts w:ascii="Cambria" w:hAnsi="Cambria"/>
          <w:b/>
          <w:sz w:val="24"/>
          <w:szCs w:val="24"/>
        </w:rPr>
        <w:t>,</w:t>
      </w:r>
      <w:r w:rsidRPr="002672D9">
        <w:rPr>
          <w:rFonts w:ascii="Cambria" w:hAnsi="Cambria"/>
          <w:b/>
          <w:sz w:val="24"/>
          <w:szCs w:val="24"/>
        </w:rPr>
        <w:t xml:space="preserve"> unless the risks of delaying </w:t>
      </w:r>
      <w:proofErr w:type="spellStart"/>
      <w:r w:rsidRPr="002672D9">
        <w:rPr>
          <w:rFonts w:ascii="Cambria" w:hAnsi="Cambria"/>
          <w:b/>
          <w:sz w:val="24"/>
          <w:szCs w:val="24"/>
        </w:rPr>
        <w:t>Ultomiris</w:t>
      </w:r>
      <w:proofErr w:type="spellEnd"/>
      <w:r w:rsidRPr="002672D9">
        <w:rPr>
          <w:rFonts w:ascii="Cambria" w:hAnsi="Cambria"/>
          <w:b/>
          <w:sz w:val="24"/>
          <w:szCs w:val="24"/>
        </w:rPr>
        <w:t xml:space="preserve"> therapy outweigh the risk of developing a meningococcal infection (see </w:t>
      </w:r>
      <w:r w:rsidRPr="002672D9">
        <w:rPr>
          <w:rFonts w:ascii="Cambria" w:hAnsi="Cambria"/>
          <w:b/>
          <w:i/>
          <w:sz w:val="24"/>
          <w:szCs w:val="24"/>
        </w:rPr>
        <w:t>section 4.4 Special Warnings and Precautions for Use</w:t>
      </w:r>
      <w:r w:rsidRPr="002672D9">
        <w:rPr>
          <w:rFonts w:ascii="Cambria" w:hAnsi="Cambria"/>
          <w:b/>
          <w:sz w:val="24"/>
          <w:szCs w:val="24"/>
        </w:rPr>
        <w:t xml:space="preserve"> for additional guidance on the management of </w:t>
      </w:r>
      <w:r w:rsidR="004E1756" w:rsidRPr="002672D9">
        <w:rPr>
          <w:rFonts w:ascii="Cambria" w:hAnsi="Cambria"/>
          <w:b/>
          <w:sz w:val="24"/>
          <w:szCs w:val="24"/>
        </w:rPr>
        <w:t xml:space="preserve">the </w:t>
      </w:r>
      <w:r w:rsidRPr="002672D9">
        <w:rPr>
          <w:rFonts w:ascii="Cambria" w:hAnsi="Cambria"/>
          <w:b/>
          <w:sz w:val="24"/>
          <w:szCs w:val="24"/>
        </w:rPr>
        <w:t>risk of meningococcal infection)</w:t>
      </w:r>
      <w:r w:rsidR="00856C6B" w:rsidRPr="002672D9">
        <w:rPr>
          <w:rFonts w:ascii="Cambria" w:hAnsi="Cambria"/>
          <w:b/>
          <w:sz w:val="24"/>
          <w:szCs w:val="24"/>
        </w:rPr>
        <w:t>.</w:t>
      </w:r>
    </w:p>
    <w:p w14:paraId="37CC28C9" w14:textId="38FB50F9" w:rsidR="00856C6B" w:rsidRPr="002672D9" w:rsidRDefault="00B77A5B" w:rsidP="00B77A5B">
      <w:pPr>
        <w:pStyle w:val="C-PLR-Bullet"/>
        <w:numPr>
          <w:ilvl w:val="0"/>
          <w:numId w:val="13"/>
        </w:numPr>
        <w:spacing w:before="120"/>
        <w:ind w:left="144" w:hanging="144"/>
        <w:rPr>
          <w:rFonts w:ascii="Cambria" w:hAnsi="Cambria"/>
          <w:b/>
          <w:sz w:val="24"/>
          <w:szCs w:val="24"/>
        </w:rPr>
      </w:pPr>
      <w:r w:rsidRPr="002672D9">
        <w:rPr>
          <w:rFonts w:ascii="Cambria" w:hAnsi="Cambria"/>
          <w:b/>
          <w:sz w:val="24"/>
          <w:szCs w:val="24"/>
        </w:rPr>
        <w:t xml:space="preserve">Vaccination reduces, but does not eliminate, the risk of meningococcal infections. </w:t>
      </w:r>
      <w:r w:rsidR="00856C6B" w:rsidRPr="002672D9">
        <w:rPr>
          <w:rFonts w:ascii="Cambria" w:hAnsi="Cambria"/>
          <w:b/>
          <w:sz w:val="24"/>
          <w:szCs w:val="24"/>
        </w:rPr>
        <w:t>Monitor patients for early signs of meningococcal infections</w:t>
      </w:r>
      <w:r w:rsidRPr="002672D9">
        <w:rPr>
          <w:rFonts w:ascii="Cambria" w:hAnsi="Cambria"/>
          <w:b/>
          <w:sz w:val="24"/>
          <w:szCs w:val="24"/>
        </w:rPr>
        <w:t xml:space="preserve"> and</w:t>
      </w:r>
      <w:r w:rsidR="00856C6B" w:rsidRPr="002672D9">
        <w:rPr>
          <w:rFonts w:ascii="Cambria" w:hAnsi="Cambria"/>
          <w:b/>
          <w:sz w:val="24"/>
          <w:szCs w:val="24"/>
        </w:rPr>
        <w:t xml:space="preserve"> evaluate immediately if infection is suspected</w:t>
      </w:r>
      <w:r w:rsidR="006C50FA" w:rsidRPr="002672D9">
        <w:rPr>
          <w:rFonts w:ascii="Cambria" w:hAnsi="Cambria"/>
          <w:b/>
          <w:sz w:val="24"/>
          <w:szCs w:val="24"/>
        </w:rPr>
        <w:t>.</w:t>
      </w:r>
    </w:p>
    <w:bookmarkEnd w:id="0"/>
    <w:p w14:paraId="2E4574B9" w14:textId="77777777" w:rsidR="001A3992" w:rsidRPr="00E62FB8" w:rsidRDefault="001A3992" w:rsidP="00D773E2">
      <w:pPr>
        <w:pStyle w:val="Heading1"/>
        <w:spacing w:before="480"/>
      </w:pPr>
      <w:r w:rsidRPr="00E62FB8">
        <w:t>Name of the medicine</w:t>
      </w:r>
    </w:p>
    <w:p w14:paraId="399B9E8C" w14:textId="77777777" w:rsidR="00856C6B" w:rsidRPr="009C210F" w:rsidRDefault="00856C6B" w:rsidP="00D773E2">
      <w:proofErr w:type="spellStart"/>
      <w:r w:rsidRPr="009C210F">
        <w:t>Ravulizumab</w:t>
      </w:r>
      <w:proofErr w:type="spellEnd"/>
      <w:r w:rsidRPr="009C210F">
        <w:t xml:space="preserve"> </w:t>
      </w:r>
      <w:proofErr w:type="spellStart"/>
      <w:r w:rsidRPr="009C210F">
        <w:rPr>
          <w:i/>
        </w:rPr>
        <w:t>rch</w:t>
      </w:r>
      <w:proofErr w:type="spellEnd"/>
    </w:p>
    <w:p w14:paraId="221E2353" w14:textId="77777777" w:rsidR="001A3992" w:rsidRPr="00E62FB8" w:rsidRDefault="001A3992" w:rsidP="00E62FB8">
      <w:pPr>
        <w:pStyle w:val="Heading1"/>
      </w:pPr>
      <w:r w:rsidRPr="00E62FB8">
        <w:t>Qualitative and quantitative composition</w:t>
      </w:r>
    </w:p>
    <w:p w14:paraId="793DDF0C" w14:textId="77777777" w:rsidR="004542C4" w:rsidRDefault="000A1919" w:rsidP="00D773E2">
      <w:pPr>
        <w:rPr>
          <w:lang w:val="en-US"/>
        </w:rPr>
      </w:pPr>
      <w:proofErr w:type="spellStart"/>
      <w:r w:rsidRPr="000A1919">
        <w:rPr>
          <w:lang w:val="en-US"/>
        </w:rPr>
        <w:t>Ultomiris</w:t>
      </w:r>
      <w:proofErr w:type="spellEnd"/>
      <w:r w:rsidRPr="000A1919">
        <w:rPr>
          <w:lang w:val="en-US"/>
        </w:rPr>
        <w:t xml:space="preserve"> is a formulation of </w:t>
      </w:r>
      <w:proofErr w:type="spellStart"/>
      <w:r w:rsidRPr="000A1919">
        <w:rPr>
          <w:lang w:val="en-US"/>
        </w:rPr>
        <w:t>ravulizuma</w:t>
      </w:r>
      <w:r w:rsidR="00317EE4">
        <w:rPr>
          <w:lang w:val="en-US"/>
        </w:rPr>
        <w:t>b</w:t>
      </w:r>
      <w:proofErr w:type="spellEnd"/>
      <w:r w:rsidR="00900CCD">
        <w:rPr>
          <w:lang w:val="en-US"/>
        </w:rPr>
        <w:t xml:space="preserve"> </w:t>
      </w:r>
      <w:proofErr w:type="spellStart"/>
      <w:r w:rsidR="00900CCD" w:rsidRPr="009C210F">
        <w:rPr>
          <w:i/>
        </w:rPr>
        <w:t>rch</w:t>
      </w:r>
      <w:proofErr w:type="spellEnd"/>
      <w:r w:rsidR="00317EE4">
        <w:rPr>
          <w:lang w:val="en-US"/>
        </w:rPr>
        <w:t xml:space="preserve"> which is a long-acting </w:t>
      </w:r>
      <w:proofErr w:type="spellStart"/>
      <w:r w:rsidR="00317EE4">
        <w:rPr>
          <w:lang w:val="en-US"/>
        </w:rPr>
        <w:t>humanis</w:t>
      </w:r>
      <w:r w:rsidRPr="000A1919">
        <w:rPr>
          <w:lang w:val="en-US"/>
        </w:rPr>
        <w:t>ed</w:t>
      </w:r>
      <w:proofErr w:type="spellEnd"/>
      <w:r w:rsidRPr="000A1919">
        <w:rPr>
          <w:lang w:val="en-US"/>
        </w:rPr>
        <w:t xml:space="preserve"> monoclonal IgG2/4K antibody produced in Chinese hamster ovary (CHO) cell culture by recombinant DNA technology.</w:t>
      </w:r>
    </w:p>
    <w:p w14:paraId="55A2BC87" w14:textId="68508014" w:rsidR="000A1919" w:rsidRPr="009C607D" w:rsidRDefault="000A1919" w:rsidP="00D773E2">
      <w:pPr>
        <w:rPr>
          <w:rFonts w:cs="Calibri"/>
          <w:lang w:val="en"/>
        </w:rPr>
      </w:pPr>
      <w:r w:rsidRPr="009C607D">
        <w:rPr>
          <w:rFonts w:cs="Calibri"/>
          <w:lang w:val="en"/>
        </w:rPr>
        <w:t xml:space="preserve">One vial contains </w:t>
      </w:r>
      <w:r w:rsidR="003238FF">
        <w:rPr>
          <w:rFonts w:cs="Calibri"/>
          <w:lang w:val="en"/>
        </w:rPr>
        <w:t>30</w:t>
      </w:r>
      <w:r w:rsidR="009D2613">
        <w:rPr>
          <w:rFonts w:cs="Calibri"/>
          <w:lang w:val="en"/>
        </w:rPr>
        <w:t xml:space="preserve"> </w:t>
      </w:r>
      <w:r w:rsidR="003238FF">
        <w:rPr>
          <w:rFonts w:cs="Calibri"/>
          <w:lang w:val="en"/>
        </w:rPr>
        <w:t>mL</w:t>
      </w:r>
      <w:r w:rsidR="001A1D6B">
        <w:rPr>
          <w:rFonts w:cs="Calibri"/>
          <w:lang w:val="en"/>
        </w:rPr>
        <w:t xml:space="preserve"> (</w:t>
      </w:r>
      <w:r w:rsidRPr="009C607D">
        <w:rPr>
          <w:rFonts w:cs="Calibri"/>
          <w:lang w:val="en"/>
        </w:rPr>
        <w:t>300 mg</w:t>
      </w:r>
      <w:r w:rsidR="001A1D6B">
        <w:rPr>
          <w:rFonts w:cs="Calibri"/>
          <w:lang w:val="en"/>
        </w:rPr>
        <w:t>)</w:t>
      </w:r>
      <w:r w:rsidRPr="009C607D">
        <w:rPr>
          <w:rFonts w:cs="Calibri"/>
          <w:lang w:val="en"/>
        </w:rPr>
        <w:t xml:space="preserve"> of </w:t>
      </w:r>
      <w:proofErr w:type="spellStart"/>
      <w:r w:rsidRPr="009C607D">
        <w:rPr>
          <w:rFonts w:cs="Calibri"/>
          <w:lang w:val="en"/>
        </w:rPr>
        <w:t>ravulizumab</w:t>
      </w:r>
      <w:proofErr w:type="spellEnd"/>
      <w:r w:rsidR="00900CCD">
        <w:rPr>
          <w:rFonts w:cs="Calibri"/>
          <w:lang w:val="en"/>
        </w:rPr>
        <w:t xml:space="preserve"> </w:t>
      </w:r>
      <w:proofErr w:type="spellStart"/>
      <w:r w:rsidR="00900CCD" w:rsidRPr="009C210F">
        <w:rPr>
          <w:i/>
        </w:rPr>
        <w:t>rch</w:t>
      </w:r>
      <w:proofErr w:type="spellEnd"/>
      <w:r w:rsidRPr="009C607D">
        <w:rPr>
          <w:rFonts w:cs="Calibri"/>
          <w:lang w:val="en"/>
        </w:rPr>
        <w:t xml:space="preserve"> (10 mg/mL).</w:t>
      </w:r>
    </w:p>
    <w:p w14:paraId="5F2779E8" w14:textId="77777777" w:rsidR="005B2812" w:rsidRPr="00D82CA2" w:rsidRDefault="005B2812" w:rsidP="00D773E2">
      <w:pPr>
        <w:rPr>
          <w:rFonts w:cs="Calibri"/>
        </w:rPr>
      </w:pPr>
      <w:r w:rsidRPr="00EB475B">
        <w:rPr>
          <w:rFonts w:cs="Calibri"/>
          <w:i/>
          <w:lang w:val="en"/>
        </w:rPr>
        <w:t xml:space="preserve">For the full list of excipients, see </w:t>
      </w:r>
      <w:r w:rsidR="00E22BF5">
        <w:rPr>
          <w:rFonts w:cs="Calibri"/>
          <w:i/>
          <w:lang w:val="en"/>
        </w:rPr>
        <w:t>s</w:t>
      </w:r>
      <w:r w:rsidRPr="00EB475B">
        <w:rPr>
          <w:rFonts w:cs="Calibri"/>
          <w:i/>
          <w:lang w:val="en"/>
        </w:rPr>
        <w:t>ectio</w:t>
      </w:r>
      <w:r w:rsidR="00900CCD">
        <w:rPr>
          <w:rFonts w:cs="Calibri"/>
          <w:i/>
          <w:lang w:val="en"/>
        </w:rPr>
        <w:t>n 6.1 List of E</w:t>
      </w:r>
      <w:r w:rsidR="009C607D" w:rsidRPr="00EB475B">
        <w:rPr>
          <w:rFonts w:cs="Calibri"/>
          <w:i/>
          <w:lang w:val="en"/>
        </w:rPr>
        <w:t>xcipients</w:t>
      </w:r>
      <w:r w:rsidR="009C607D">
        <w:rPr>
          <w:rFonts w:cs="Calibri"/>
          <w:lang w:val="en"/>
        </w:rPr>
        <w:t>.</w:t>
      </w:r>
    </w:p>
    <w:p w14:paraId="087CA495" w14:textId="77777777" w:rsidR="001A3992" w:rsidRPr="00E62FB8" w:rsidRDefault="001A3992" w:rsidP="00E62FB8">
      <w:pPr>
        <w:pStyle w:val="Heading1"/>
      </w:pPr>
      <w:r w:rsidRPr="00E62FB8">
        <w:t>Pharmaceutical form</w:t>
      </w:r>
    </w:p>
    <w:p w14:paraId="30C29FCD" w14:textId="77777777" w:rsidR="00E62FB8" w:rsidRPr="00317EE4" w:rsidRDefault="00E62FB8" w:rsidP="00D773E2">
      <w:pPr>
        <w:rPr>
          <w:lang w:eastAsia="en-AU"/>
        </w:rPr>
      </w:pPr>
      <w:r w:rsidRPr="00317EE4">
        <w:rPr>
          <w:lang w:eastAsia="en-AU"/>
        </w:rPr>
        <w:t>C</w:t>
      </w:r>
      <w:r w:rsidR="000A1919" w:rsidRPr="00317EE4">
        <w:rPr>
          <w:lang w:eastAsia="en-AU"/>
        </w:rPr>
        <w:t>oncentrated solution for intravenous infusion</w:t>
      </w:r>
      <w:r w:rsidRPr="00317EE4">
        <w:rPr>
          <w:lang w:eastAsia="en-AU"/>
        </w:rPr>
        <w:t>.</w:t>
      </w:r>
    </w:p>
    <w:p w14:paraId="357953BD" w14:textId="2EF54809" w:rsidR="00181398" w:rsidRDefault="00E62FB8" w:rsidP="00D773E2">
      <w:pPr>
        <w:rPr>
          <w:lang w:eastAsia="en-AU"/>
        </w:rPr>
      </w:pPr>
      <w:r w:rsidRPr="00317EE4">
        <w:rPr>
          <w:lang w:eastAsia="en-AU"/>
        </w:rPr>
        <w:t>C</w:t>
      </w:r>
      <w:r w:rsidR="000A1919" w:rsidRPr="00317EE4">
        <w:rPr>
          <w:lang w:eastAsia="en-AU"/>
        </w:rPr>
        <w:t>lear to translucent, slight whitish colour</w:t>
      </w:r>
      <w:r w:rsidR="009B3BED">
        <w:rPr>
          <w:lang w:eastAsia="en-AU"/>
        </w:rPr>
        <w:t>, pH 7.0</w:t>
      </w:r>
      <w:r w:rsidR="000A1919" w:rsidRPr="00317EE4">
        <w:rPr>
          <w:lang w:eastAsia="en-AU"/>
        </w:rPr>
        <w:t xml:space="preserve"> solution.</w:t>
      </w:r>
    </w:p>
    <w:p w14:paraId="0A8E5274" w14:textId="77777777" w:rsidR="001A3992" w:rsidRPr="00E62FB8" w:rsidRDefault="001A3992" w:rsidP="00E62FB8">
      <w:pPr>
        <w:pStyle w:val="Heading1"/>
      </w:pPr>
      <w:r w:rsidRPr="00E62FB8">
        <w:lastRenderedPageBreak/>
        <w:t>Clinical particulars</w:t>
      </w:r>
    </w:p>
    <w:p w14:paraId="10FDE8FC" w14:textId="77777777" w:rsidR="001A3992" w:rsidRDefault="00E62FB8" w:rsidP="00E62FB8">
      <w:pPr>
        <w:pStyle w:val="Heading2"/>
      </w:pPr>
      <w:r>
        <w:t>Therapeutic indications</w:t>
      </w:r>
    </w:p>
    <w:p w14:paraId="77DFD1E7" w14:textId="77777777" w:rsidR="00E62FB8" w:rsidRPr="009C210F" w:rsidRDefault="005B0DAD" w:rsidP="00D773E2">
      <w:proofErr w:type="spellStart"/>
      <w:r>
        <w:t>Ultomiris</w:t>
      </w:r>
      <w:proofErr w:type="spellEnd"/>
      <w:r>
        <w:t xml:space="preserve"> is indicated for</w:t>
      </w:r>
      <w:r w:rsidR="00E62FB8" w:rsidRPr="009C210F">
        <w:t xml:space="preserve"> the treatment of adult patients with paroxysmal nocturnal haemoglobinuria (PNH).</w:t>
      </w:r>
    </w:p>
    <w:p w14:paraId="60847A42" w14:textId="77777777" w:rsidR="001A3992" w:rsidRDefault="001A3992" w:rsidP="00E62FB8">
      <w:pPr>
        <w:pStyle w:val="Heading2"/>
      </w:pPr>
      <w:r w:rsidRPr="00E62FB8">
        <w:t>Dose and method of administrati</w:t>
      </w:r>
      <w:r w:rsidR="00E62FB8">
        <w:t>on</w:t>
      </w:r>
    </w:p>
    <w:p w14:paraId="5553332E" w14:textId="77777777" w:rsidR="00E62FB8" w:rsidRPr="000A29F3" w:rsidRDefault="00E62FB8" w:rsidP="000A29F3">
      <w:pPr>
        <w:pStyle w:val="Heading3"/>
      </w:pPr>
      <w:r w:rsidRPr="000A29F3">
        <w:t>Dosage</w:t>
      </w:r>
    </w:p>
    <w:p w14:paraId="73DF598E" w14:textId="77777777" w:rsidR="00E62FB8" w:rsidRPr="00D773E2" w:rsidRDefault="00E62FB8" w:rsidP="00D773E2">
      <w:pPr>
        <w:rPr>
          <w:i/>
        </w:rPr>
      </w:pPr>
      <w:r w:rsidRPr="00D773E2">
        <w:rPr>
          <w:i/>
        </w:rPr>
        <w:t xml:space="preserve">Adult </w:t>
      </w:r>
      <w:r w:rsidR="00A7709E">
        <w:rPr>
          <w:i/>
        </w:rPr>
        <w:t>p</w:t>
      </w:r>
      <w:r w:rsidRPr="00D773E2">
        <w:rPr>
          <w:i/>
        </w:rPr>
        <w:t>atients with PNH</w:t>
      </w:r>
    </w:p>
    <w:p w14:paraId="5A7B815D" w14:textId="77777777" w:rsidR="00E62FB8" w:rsidRPr="009C210F" w:rsidRDefault="00E62FB8" w:rsidP="00D773E2">
      <w:r w:rsidRPr="009C210F">
        <w:t>The recommended dosing regimen for adult patients (≥ 18 years of age) with PNH consists of a loading dose followed by maintenance dosing, administered by intravenous infusion. The doses to be administered are based on the patient’s bo</w:t>
      </w:r>
      <w:r w:rsidR="000A29F3" w:rsidRPr="009C210F">
        <w:t xml:space="preserve">dy weight, as shown in Table 1. </w:t>
      </w:r>
      <w:r w:rsidRPr="009C210F">
        <w:t xml:space="preserve">Maintenance doses should be administered at a once every 8-week interval, starting 2 weeks after loading dose administration.  Dosing schedule is allowed to vary by ± 7 days of the scheduled infusion day (except for the first maintenance dose of </w:t>
      </w:r>
      <w:proofErr w:type="spellStart"/>
      <w:r w:rsidRPr="009C210F">
        <w:t>Ultomiris</w:t>
      </w:r>
      <w:proofErr w:type="spellEnd"/>
      <w:r w:rsidRPr="009C210F">
        <w:t>) but the subsequent dose should be administered according to the original schedule.</w:t>
      </w:r>
    </w:p>
    <w:p w14:paraId="4F1EB276" w14:textId="7829D17B" w:rsidR="00E62FB8" w:rsidRPr="009C210F" w:rsidRDefault="00E62FB8" w:rsidP="00D773E2">
      <w:r w:rsidRPr="009C210F">
        <w:t xml:space="preserve">For patients switching from </w:t>
      </w:r>
      <w:proofErr w:type="spellStart"/>
      <w:r w:rsidRPr="009C210F">
        <w:t>Soliris</w:t>
      </w:r>
      <w:proofErr w:type="spellEnd"/>
      <w:r w:rsidRPr="009C210F">
        <w:rPr>
          <w:vertAlign w:val="superscript"/>
        </w:rPr>
        <w:t>®</w:t>
      </w:r>
      <w:r w:rsidRPr="009C210F">
        <w:t xml:space="preserve"> </w:t>
      </w:r>
      <w:r w:rsidR="00A7709E">
        <w:t>(</w:t>
      </w:r>
      <w:proofErr w:type="spellStart"/>
      <w:r w:rsidR="00A7709E">
        <w:t>eculizumab</w:t>
      </w:r>
      <w:proofErr w:type="spellEnd"/>
      <w:r w:rsidR="00FE39CE">
        <w:t xml:space="preserve"> </w:t>
      </w:r>
      <w:proofErr w:type="spellStart"/>
      <w:r w:rsidR="00FE39CE" w:rsidRPr="00FE39CE">
        <w:rPr>
          <w:i/>
        </w:rPr>
        <w:t>rmc</w:t>
      </w:r>
      <w:proofErr w:type="spellEnd"/>
      <w:r w:rsidR="00A7709E">
        <w:t xml:space="preserve">) </w:t>
      </w:r>
      <w:r w:rsidRPr="009C210F">
        <w:t xml:space="preserve">to </w:t>
      </w:r>
      <w:proofErr w:type="spellStart"/>
      <w:r w:rsidRPr="009C210F">
        <w:t>Ultomiris</w:t>
      </w:r>
      <w:proofErr w:type="spellEnd"/>
      <w:r w:rsidRPr="009C210F">
        <w:t xml:space="preserve">, the loading dose of </w:t>
      </w:r>
      <w:proofErr w:type="spellStart"/>
      <w:r w:rsidRPr="009C210F">
        <w:t>Ultomiris</w:t>
      </w:r>
      <w:proofErr w:type="spellEnd"/>
      <w:r w:rsidRPr="009C210F">
        <w:t xml:space="preserve"> should be administered 2 weeks after the last </w:t>
      </w:r>
      <w:proofErr w:type="spellStart"/>
      <w:r w:rsidRPr="009C210F">
        <w:t>Soliris</w:t>
      </w:r>
      <w:proofErr w:type="spellEnd"/>
      <w:r w:rsidRPr="009C210F">
        <w:t xml:space="preserve"> infusion, and then maintenance doses are administered once every 8 weeks, starting 2 weeks after loading dose administration, as shown in </w:t>
      </w:r>
      <w:r w:rsidR="006C5DE0">
        <w:fldChar w:fldCharType="begin"/>
      </w:r>
      <w:r w:rsidR="006C5DE0">
        <w:instrText xml:space="preserve"> REF _Ref20464534 \h </w:instrText>
      </w:r>
      <w:r w:rsidR="006C5DE0">
        <w:fldChar w:fldCharType="separate"/>
      </w:r>
      <w:r w:rsidR="006C5DE0">
        <w:t xml:space="preserve">Table </w:t>
      </w:r>
      <w:r w:rsidR="006C5DE0">
        <w:rPr>
          <w:noProof/>
        </w:rPr>
        <w:t>1</w:t>
      </w:r>
      <w:r w:rsidR="006C5DE0">
        <w:fldChar w:fldCharType="end"/>
      </w:r>
      <w:r w:rsidRPr="009C210F">
        <w:t>.</w:t>
      </w:r>
    </w:p>
    <w:p w14:paraId="67B1455C" w14:textId="13E0BB74" w:rsidR="00E62FB8" w:rsidRPr="001E66B9" w:rsidRDefault="006C5DE0" w:rsidP="006C5DE0">
      <w:pPr>
        <w:pStyle w:val="Caption"/>
        <w:rPr>
          <w:rFonts w:eastAsia="Calibri"/>
        </w:rPr>
      </w:pPr>
      <w:bookmarkStart w:id="1" w:name="_Ref20464534"/>
      <w:bookmarkStart w:id="2" w:name="_Ref20464451"/>
      <w:r>
        <w:t xml:space="preserve">Table </w:t>
      </w:r>
      <w:r>
        <w:fldChar w:fldCharType="begin"/>
      </w:r>
      <w:r>
        <w:instrText xml:space="preserve"> SEQ Table \* ARABIC </w:instrText>
      </w:r>
      <w:r>
        <w:fldChar w:fldCharType="separate"/>
      </w:r>
      <w:r w:rsidR="00FC35C3">
        <w:rPr>
          <w:noProof/>
        </w:rPr>
        <w:t>1</w:t>
      </w:r>
      <w:r>
        <w:fldChar w:fldCharType="end"/>
      </w:r>
      <w:bookmarkEnd w:id="1"/>
      <w:r>
        <w:t xml:space="preserve"> </w:t>
      </w:r>
      <w:proofErr w:type="spellStart"/>
      <w:r w:rsidR="00E62FB8" w:rsidRPr="001E66B9">
        <w:t>Ultomiris</w:t>
      </w:r>
      <w:proofErr w:type="spellEnd"/>
      <w:r w:rsidR="00E62FB8" w:rsidRPr="001E66B9">
        <w:rPr>
          <w:rFonts w:eastAsia="Calibri"/>
        </w:rPr>
        <w:t xml:space="preserve"> Weight-Based</w:t>
      </w:r>
      <w:r w:rsidR="00E62FB8" w:rsidRPr="001E66B9">
        <w:t xml:space="preserve"> </w:t>
      </w:r>
      <w:r w:rsidR="000A29F3" w:rsidRPr="001E66B9">
        <w:rPr>
          <w:rFonts w:eastAsia="Calibri"/>
        </w:rPr>
        <w:t>Dosing Regimen</w:t>
      </w:r>
      <w:bookmarkEnd w:id="2"/>
    </w:p>
    <w:tbl>
      <w:tblPr>
        <w:tblW w:w="8807"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7"/>
        <w:gridCol w:w="2700"/>
        <w:gridCol w:w="3420"/>
      </w:tblGrid>
      <w:tr w:rsidR="00E62FB8" w:rsidRPr="009C210F" w14:paraId="2EF70259" w14:textId="77777777" w:rsidTr="00D07782">
        <w:trPr>
          <w:trHeight w:val="359"/>
        </w:trPr>
        <w:tc>
          <w:tcPr>
            <w:tcW w:w="2687" w:type="dxa"/>
            <w:shd w:val="clear" w:color="auto" w:fill="auto"/>
          </w:tcPr>
          <w:p w14:paraId="16BEDB3A" w14:textId="77777777" w:rsidR="00E62FB8" w:rsidRPr="009C210F" w:rsidRDefault="00E62FB8" w:rsidP="00E62FB8">
            <w:pPr>
              <w:keepNext/>
              <w:spacing w:after="0" w:line="240" w:lineRule="auto"/>
              <w:jc w:val="center"/>
              <w:rPr>
                <w:b/>
                <w:szCs w:val="18"/>
              </w:rPr>
            </w:pPr>
            <w:r w:rsidRPr="009C210F">
              <w:rPr>
                <w:b/>
                <w:szCs w:val="18"/>
              </w:rPr>
              <w:t>Body Weight Range (kg)</w:t>
            </w:r>
          </w:p>
        </w:tc>
        <w:tc>
          <w:tcPr>
            <w:tcW w:w="2700" w:type="dxa"/>
            <w:shd w:val="clear" w:color="auto" w:fill="auto"/>
          </w:tcPr>
          <w:p w14:paraId="32ECFCC3" w14:textId="77777777" w:rsidR="00D07782" w:rsidRPr="009C210F" w:rsidRDefault="00E62FB8" w:rsidP="00181398">
            <w:pPr>
              <w:keepNext/>
              <w:spacing w:after="0" w:line="240" w:lineRule="auto"/>
              <w:jc w:val="center"/>
              <w:rPr>
                <w:b/>
                <w:szCs w:val="18"/>
              </w:rPr>
            </w:pPr>
            <w:r w:rsidRPr="009C210F">
              <w:rPr>
                <w:b/>
                <w:szCs w:val="18"/>
              </w:rPr>
              <w:t>Loading Dose (mg)</w:t>
            </w:r>
          </w:p>
        </w:tc>
        <w:tc>
          <w:tcPr>
            <w:tcW w:w="3420" w:type="dxa"/>
            <w:shd w:val="clear" w:color="auto" w:fill="auto"/>
          </w:tcPr>
          <w:p w14:paraId="48A9A3A0" w14:textId="77777777" w:rsidR="00E62FB8" w:rsidRPr="009C210F" w:rsidRDefault="00E62FB8" w:rsidP="00B7014F">
            <w:pPr>
              <w:keepNext/>
              <w:spacing w:after="0" w:line="240" w:lineRule="auto"/>
              <w:jc w:val="center"/>
              <w:rPr>
                <w:b/>
                <w:szCs w:val="18"/>
              </w:rPr>
            </w:pPr>
            <w:r w:rsidRPr="009C210F">
              <w:rPr>
                <w:b/>
                <w:szCs w:val="18"/>
              </w:rPr>
              <w:t>Maintenance Dose</w:t>
            </w:r>
            <w:r w:rsidRPr="009C210F">
              <w:rPr>
                <w:szCs w:val="18"/>
                <w:vertAlign w:val="superscript"/>
              </w:rPr>
              <w:t xml:space="preserve"> </w:t>
            </w:r>
            <w:r w:rsidRPr="009C210F">
              <w:rPr>
                <w:b/>
                <w:szCs w:val="18"/>
              </w:rPr>
              <w:t>(mg)</w:t>
            </w:r>
          </w:p>
        </w:tc>
      </w:tr>
      <w:tr w:rsidR="00E62FB8" w:rsidRPr="009C210F" w14:paraId="658CE3EA" w14:textId="77777777" w:rsidTr="00D07782">
        <w:trPr>
          <w:trHeight w:val="352"/>
        </w:trPr>
        <w:tc>
          <w:tcPr>
            <w:tcW w:w="2687" w:type="dxa"/>
            <w:shd w:val="clear" w:color="auto" w:fill="auto"/>
          </w:tcPr>
          <w:p w14:paraId="5521E646" w14:textId="77777777" w:rsidR="00E62FB8" w:rsidRPr="009C210F" w:rsidRDefault="00E62FB8" w:rsidP="00E62FB8">
            <w:pPr>
              <w:keepNext/>
              <w:spacing w:after="0" w:line="240" w:lineRule="auto"/>
              <w:jc w:val="center"/>
              <w:rPr>
                <w:b/>
                <w:szCs w:val="18"/>
              </w:rPr>
            </w:pPr>
            <w:r w:rsidRPr="009C210F">
              <w:rPr>
                <w:szCs w:val="18"/>
              </w:rPr>
              <w:t>≥ 40 to &lt; 60</w:t>
            </w:r>
          </w:p>
        </w:tc>
        <w:tc>
          <w:tcPr>
            <w:tcW w:w="2700" w:type="dxa"/>
            <w:shd w:val="clear" w:color="auto" w:fill="auto"/>
          </w:tcPr>
          <w:p w14:paraId="108BF262" w14:textId="77777777" w:rsidR="00E62FB8" w:rsidRPr="009C210F" w:rsidRDefault="00E62FB8" w:rsidP="00D07782">
            <w:pPr>
              <w:keepNext/>
              <w:spacing w:after="0" w:line="240" w:lineRule="auto"/>
              <w:jc w:val="center"/>
              <w:rPr>
                <w:b/>
                <w:szCs w:val="18"/>
              </w:rPr>
            </w:pPr>
            <w:r w:rsidRPr="009C210F">
              <w:rPr>
                <w:szCs w:val="18"/>
              </w:rPr>
              <w:t>2400</w:t>
            </w:r>
          </w:p>
        </w:tc>
        <w:tc>
          <w:tcPr>
            <w:tcW w:w="3420" w:type="dxa"/>
            <w:shd w:val="clear" w:color="auto" w:fill="auto"/>
          </w:tcPr>
          <w:p w14:paraId="63DE631B" w14:textId="77777777" w:rsidR="00E62FB8" w:rsidRPr="009C210F" w:rsidRDefault="00D07782" w:rsidP="00D07782">
            <w:pPr>
              <w:keepNext/>
              <w:spacing w:after="0" w:line="240" w:lineRule="auto"/>
              <w:jc w:val="center"/>
              <w:rPr>
                <w:b/>
                <w:szCs w:val="18"/>
              </w:rPr>
            </w:pPr>
            <w:r>
              <w:rPr>
                <w:szCs w:val="18"/>
              </w:rPr>
              <w:t>3000</w:t>
            </w:r>
          </w:p>
        </w:tc>
      </w:tr>
      <w:tr w:rsidR="00E62FB8" w:rsidRPr="009C210F" w14:paraId="2FCCD704" w14:textId="77777777" w:rsidTr="00D07782">
        <w:trPr>
          <w:trHeight w:val="359"/>
        </w:trPr>
        <w:tc>
          <w:tcPr>
            <w:tcW w:w="2687" w:type="dxa"/>
            <w:shd w:val="clear" w:color="auto" w:fill="auto"/>
          </w:tcPr>
          <w:p w14:paraId="6910716E" w14:textId="77777777" w:rsidR="00E62FB8" w:rsidRPr="009C210F" w:rsidRDefault="00E62FB8" w:rsidP="00E62FB8">
            <w:pPr>
              <w:keepNext/>
              <w:spacing w:after="0" w:line="240" w:lineRule="auto"/>
              <w:jc w:val="center"/>
              <w:rPr>
                <w:b/>
                <w:szCs w:val="18"/>
              </w:rPr>
            </w:pPr>
            <w:r w:rsidRPr="009C210F">
              <w:rPr>
                <w:szCs w:val="18"/>
              </w:rPr>
              <w:t>≥ 60 to &lt; 100</w:t>
            </w:r>
          </w:p>
        </w:tc>
        <w:tc>
          <w:tcPr>
            <w:tcW w:w="2700" w:type="dxa"/>
            <w:shd w:val="clear" w:color="auto" w:fill="auto"/>
          </w:tcPr>
          <w:p w14:paraId="36DC789B" w14:textId="77777777" w:rsidR="00E62FB8" w:rsidRPr="009C210F" w:rsidRDefault="00E62FB8" w:rsidP="00D07782">
            <w:pPr>
              <w:keepNext/>
              <w:spacing w:after="0" w:line="240" w:lineRule="auto"/>
              <w:jc w:val="center"/>
              <w:rPr>
                <w:b/>
                <w:szCs w:val="18"/>
              </w:rPr>
            </w:pPr>
            <w:r w:rsidRPr="009C210F">
              <w:rPr>
                <w:szCs w:val="18"/>
              </w:rPr>
              <w:t>2700</w:t>
            </w:r>
          </w:p>
        </w:tc>
        <w:tc>
          <w:tcPr>
            <w:tcW w:w="3420" w:type="dxa"/>
            <w:shd w:val="clear" w:color="auto" w:fill="auto"/>
          </w:tcPr>
          <w:p w14:paraId="430B9E83" w14:textId="77777777" w:rsidR="00E62FB8" w:rsidRPr="009C210F" w:rsidRDefault="00E62FB8" w:rsidP="00E62FB8">
            <w:pPr>
              <w:keepNext/>
              <w:spacing w:after="0" w:line="240" w:lineRule="auto"/>
              <w:jc w:val="center"/>
              <w:rPr>
                <w:b/>
                <w:szCs w:val="18"/>
              </w:rPr>
            </w:pPr>
            <w:r w:rsidRPr="009C210F">
              <w:rPr>
                <w:szCs w:val="18"/>
              </w:rPr>
              <w:t>3300</w:t>
            </w:r>
          </w:p>
        </w:tc>
      </w:tr>
      <w:tr w:rsidR="00E62FB8" w:rsidRPr="009C210F" w14:paraId="30B6AB37" w14:textId="77777777" w:rsidTr="00D07782">
        <w:trPr>
          <w:trHeight w:val="359"/>
        </w:trPr>
        <w:tc>
          <w:tcPr>
            <w:tcW w:w="2687" w:type="dxa"/>
            <w:shd w:val="clear" w:color="auto" w:fill="auto"/>
          </w:tcPr>
          <w:p w14:paraId="60617C9B" w14:textId="77777777" w:rsidR="00E62FB8" w:rsidRPr="009C210F" w:rsidRDefault="00E62FB8" w:rsidP="00E62FB8">
            <w:pPr>
              <w:keepNext/>
              <w:spacing w:after="0" w:line="240" w:lineRule="auto"/>
              <w:jc w:val="center"/>
              <w:rPr>
                <w:b/>
                <w:szCs w:val="18"/>
              </w:rPr>
            </w:pPr>
            <w:r w:rsidRPr="009C210F">
              <w:rPr>
                <w:szCs w:val="18"/>
              </w:rPr>
              <w:t>≥ 100</w:t>
            </w:r>
          </w:p>
        </w:tc>
        <w:tc>
          <w:tcPr>
            <w:tcW w:w="2700" w:type="dxa"/>
            <w:shd w:val="clear" w:color="auto" w:fill="auto"/>
          </w:tcPr>
          <w:p w14:paraId="16F64371" w14:textId="77777777" w:rsidR="00E62FB8" w:rsidRPr="009C210F" w:rsidRDefault="00E62FB8" w:rsidP="00E62FB8">
            <w:pPr>
              <w:keepNext/>
              <w:spacing w:after="0" w:line="240" w:lineRule="auto"/>
              <w:jc w:val="center"/>
              <w:rPr>
                <w:b/>
                <w:szCs w:val="18"/>
              </w:rPr>
            </w:pPr>
            <w:r w:rsidRPr="009C210F">
              <w:rPr>
                <w:szCs w:val="18"/>
              </w:rPr>
              <w:t>3000</w:t>
            </w:r>
          </w:p>
        </w:tc>
        <w:tc>
          <w:tcPr>
            <w:tcW w:w="3420" w:type="dxa"/>
            <w:shd w:val="clear" w:color="auto" w:fill="auto"/>
          </w:tcPr>
          <w:p w14:paraId="00860691" w14:textId="77777777" w:rsidR="00E62FB8" w:rsidRPr="009C210F" w:rsidRDefault="00E62FB8" w:rsidP="00E62FB8">
            <w:pPr>
              <w:keepNext/>
              <w:spacing w:after="0" w:line="240" w:lineRule="auto"/>
              <w:jc w:val="center"/>
              <w:rPr>
                <w:b/>
                <w:szCs w:val="18"/>
              </w:rPr>
            </w:pPr>
            <w:r w:rsidRPr="009C210F">
              <w:rPr>
                <w:szCs w:val="18"/>
              </w:rPr>
              <w:t>3600</w:t>
            </w:r>
          </w:p>
        </w:tc>
      </w:tr>
    </w:tbl>
    <w:p w14:paraId="6AD31BD8" w14:textId="77777777" w:rsidR="00E62FB8" w:rsidRPr="009C210F" w:rsidRDefault="00E62FB8" w:rsidP="00E62FB8">
      <w:pPr>
        <w:spacing w:after="0" w:line="240" w:lineRule="auto"/>
      </w:pPr>
    </w:p>
    <w:p w14:paraId="3FE02205" w14:textId="77777777" w:rsidR="000A29F3" w:rsidRDefault="00E62FB8" w:rsidP="00D773E2">
      <w:r w:rsidRPr="00E62FB8">
        <w:t xml:space="preserve">PNH is a chronic disease and treatment with </w:t>
      </w:r>
      <w:proofErr w:type="spellStart"/>
      <w:r w:rsidRPr="00E62FB8">
        <w:t>Ultomiris</w:t>
      </w:r>
      <w:proofErr w:type="spellEnd"/>
      <w:r w:rsidRPr="00E62FB8">
        <w:rPr>
          <w:bCs/>
        </w:rPr>
        <w:t xml:space="preserve"> </w:t>
      </w:r>
      <w:r w:rsidRPr="00E62FB8">
        <w:t>is recommended to continue f</w:t>
      </w:r>
      <w:r w:rsidR="00E22BF5">
        <w:t xml:space="preserve">or the patient’s lifetime, see </w:t>
      </w:r>
      <w:r w:rsidR="00E22BF5" w:rsidRPr="002672D9">
        <w:rPr>
          <w:i/>
        </w:rPr>
        <w:t>s</w:t>
      </w:r>
      <w:r w:rsidR="000A29F3" w:rsidRPr="002672D9">
        <w:rPr>
          <w:i/>
        </w:rPr>
        <w:t>ection 4.4 Special Warnings and Precautions for Use</w:t>
      </w:r>
      <w:r w:rsidR="00415F5D" w:rsidRPr="002672D9">
        <w:rPr>
          <w:i/>
        </w:rPr>
        <w:t xml:space="preserve">; Monitoring Disease Manifestations after </w:t>
      </w:r>
      <w:proofErr w:type="spellStart"/>
      <w:r w:rsidR="00415F5D" w:rsidRPr="002672D9">
        <w:rPr>
          <w:i/>
        </w:rPr>
        <w:t>Ultomiris</w:t>
      </w:r>
      <w:proofErr w:type="spellEnd"/>
      <w:r w:rsidR="00415F5D" w:rsidRPr="002672D9">
        <w:rPr>
          <w:i/>
        </w:rPr>
        <w:t xml:space="preserve"> Discontinuation</w:t>
      </w:r>
      <w:r w:rsidR="000A29F3">
        <w:t>.</w:t>
      </w:r>
    </w:p>
    <w:p w14:paraId="1485F54F" w14:textId="77777777" w:rsidR="00FD5E30" w:rsidRDefault="00FD5E30" w:rsidP="000A29F3">
      <w:pPr>
        <w:pStyle w:val="Heading3"/>
        <w:rPr>
          <w:lang w:val="en-US"/>
        </w:rPr>
      </w:pPr>
      <w:r>
        <w:rPr>
          <w:lang w:val="en-US"/>
        </w:rPr>
        <w:t>Preparation for Administration</w:t>
      </w:r>
    </w:p>
    <w:p w14:paraId="722082DB" w14:textId="77777777" w:rsidR="00FD5E30" w:rsidRPr="00FD5E30" w:rsidRDefault="00FD5E30" w:rsidP="000C625C">
      <w:proofErr w:type="spellStart"/>
      <w:r w:rsidRPr="000A29F3">
        <w:t>Ultomiris</w:t>
      </w:r>
      <w:proofErr w:type="spellEnd"/>
      <w:r w:rsidRPr="000A29F3">
        <w:t xml:space="preserve"> must be diluted to a </w:t>
      </w:r>
      <w:r>
        <w:t>final concentration of 5 mg/</w:t>
      </w:r>
      <w:proofErr w:type="spellStart"/>
      <w:r>
        <w:t>mL.</w:t>
      </w:r>
      <w:proofErr w:type="spellEnd"/>
      <w:r w:rsidRPr="000A29F3">
        <w:t xml:space="preserve"> </w:t>
      </w:r>
      <w:r w:rsidRPr="00FD5E30">
        <w:t>Aseptic technique must be used.</w:t>
      </w:r>
    </w:p>
    <w:p w14:paraId="6448FD5F" w14:textId="77777777" w:rsidR="00FD5E30" w:rsidRPr="00FD5E30" w:rsidRDefault="00FD5E30" w:rsidP="000C625C">
      <w:r w:rsidRPr="00FD5E30">
        <w:t xml:space="preserve">Prepare </w:t>
      </w:r>
      <w:proofErr w:type="spellStart"/>
      <w:r w:rsidRPr="00FD5E30">
        <w:t>Ultomiris</w:t>
      </w:r>
      <w:proofErr w:type="spellEnd"/>
      <w:r w:rsidRPr="00FD5E30">
        <w:t xml:space="preserve"> as follows:</w:t>
      </w:r>
    </w:p>
    <w:p w14:paraId="5F2D226A" w14:textId="77777777" w:rsidR="00FD5E30" w:rsidRPr="004E03F0" w:rsidRDefault="00FD5E30" w:rsidP="00304A5F">
      <w:pPr>
        <w:numPr>
          <w:ilvl w:val="0"/>
          <w:numId w:val="18"/>
        </w:numPr>
      </w:pPr>
      <w:r w:rsidRPr="004E03F0">
        <w:t>The number of vials to be diluted is determined based on the individual patient’s weight and the presc</w:t>
      </w:r>
      <w:r>
        <w:t>ribed dose.</w:t>
      </w:r>
    </w:p>
    <w:p w14:paraId="618E34D7" w14:textId="77777777" w:rsidR="00FD5E30" w:rsidRPr="004E03F0" w:rsidRDefault="00FD5E30" w:rsidP="00304A5F">
      <w:pPr>
        <w:numPr>
          <w:ilvl w:val="0"/>
          <w:numId w:val="18"/>
        </w:numPr>
      </w:pPr>
      <w:r w:rsidRPr="004E03F0">
        <w:rPr>
          <w:bCs/>
        </w:rPr>
        <w:t>Prior to dilution, the solution in the vials should be visually inspected; the solution should be free of any particulate matter or precipitation. Do not use if there is evidence of particulate matter or precipitation.</w:t>
      </w:r>
    </w:p>
    <w:p w14:paraId="278E115F" w14:textId="5C3A0E41" w:rsidR="00415F5D" w:rsidRDefault="00FD5E30" w:rsidP="00304A5F">
      <w:pPr>
        <w:numPr>
          <w:ilvl w:val="0"/>
          <w:numId w:val="18"/>
        </w:numPr>
      </w:pPr>
      <w:r w:rsidRPr="004E03F0">
        <w:lastRenderedPageBreak/>
        <w:t xml:space="preserve">The calculated volume of medicinal product is withdrawn from the appropriate number of vials and diluted in an infusion bag using </w:t>
      </w:r>
      <w:r>
        <w:t xml:space="preserve">0.9% </w:t>
      </w:r>
      <w:r w:rsidRPr="004E03F0">
        <w:t>sodium chloride injection</w:t>
      </w:r>
      <w:r>
        <w:t xml:space="preserve"> USP</w:t>
      </w:r>
      <w:r w:rsidRPr="004E03F0">
        <w:t xml:space="preserve"> as diluent. Refer to the</w:t>
      </w:r>
      <w:r w:rsidR="00047E64">
        <w:t xml:space="preserve"> administration reference table</w:t>
      </w:r>
      <w:r w:rsidR="008E5163">
        <w:t>s</w:t>
      </w:r>
      <w:r w:rsidR="00707339">
        <w:t xml:space="preserve"> below.</w:t>
      </w:r>
    </w:p>
    <w:p w14:paraId="103D2742" w14:textId="77777777" w:rsidR="00FD5E30" w:rsidRPr="004E03F0" w:rsidRDefault="00FD5E30" w:rsidP="00304A5F">
      <w:pPr>
        <w:numPr>
          <w:ilvl w:val="0"/>
          <w:numId w:val="18"/>
        </w:numPr>
      </w:pPr>
      <w:r w:rsidRPr="004E03F0">
        <w:t>The product should be mixed gently. It should not be shaken.</w:t>
      </w:r>
    </w:p>
    <w:p w14:paraId="1517B5DE" w14:textId="77777777" w:rsidR="00FD5E30" w:rsidRDefault="00FD5E30" w:rsidP="00304A5F">
      <w:pPr>
        <w:numPr>
          <w:ilvl w:val="0"/>
          <w:numId w:val="18"/>
        </w:numPr>
      </w:pPr>
      <w:r w:rsidRPr="004E03F0">
        <w:t>After dilution, the final concentration of the solution to be infused is 5 mg/</w:t>
      </w:r>
      <w:proofErr w:type="spellStart"/>
      <w:r w:rsidRPr="004E03F0">
        <w:t>mL</w:t>
      </w:r>
      <w:r>
        <w:t>.</w:t>
      </w:r>
      <w:proofErr w:type="spellEnd"/>
    </w:p>
    <w:p w14:paraId="49A8C38A" w14:textId="77777777" w:rsidR="00ED66AA" w:rsidRPr="00FD5E30" w:rsidRDefault="00ED66AA" w:rsidP="006C5DE0">
      <w:pPr>
        <w:spacing w:after="0"/>
      </w:pPr>
      <w:r w:rsidRPr="00FD5E30">
        <w:t xml:space="preserve">Each vial of </w:t>
      </w:r>
      <w:proofErr w:type="spellStart"/>
      <w:r w:rsidRPr="00FD5E30">
        <w:t>Ultomiris</w:t>
      </w:r>
      <w:proofErr w:type="spellEnd"/>
      <w:r w:rsidRPr="00FD5E30">
        <w:t xml:space="preserve"> is intended for single use only.</w:t>
      </w:r>
    </w:p>
    <w:p w14:paraId="6A626051" w14:textId="75D7C7A9" w:rsidR="00FD5E30" w:rsidRPr="001E66B9" w:rsidRDefault="006C5DE0" w:rsidP="006C5DE0">
      <w:pPr>
        <w:pStyle w:val="Caption"/>
      </w:pPr>
      <w:r>
        <w:t xml:space="preserve">Table </w:t>
      </w:r>
      <w:r>
        <w:fldChar w:fldCharType="begin"/>
      </w:r>
      <w:r>
        <w:instrText xml:space="preserve"> SEQ Table \* ARABIC </w:instrText>
      </w:r>
      <w:r>
        <w:fldChar w:fldCharType="separate"/>
      </w:r>
      <w:r w:rsidR="00FC35C3">
        <w:rPr>
          <w:noProof/>
        </w:rPr>
        <w:t>2</w:t>
      </w:r>
      <w:r>
        <w:fldChar w:fldCharType="end"/>
      </w:r>
      <w:r>
        <w:t xml:space="preserve"> </w:t>
      </w:r>
      <w:r w:rsidR="00492340">
        <w:t xml:space="preserve">Loading </w:t>
      </w:r>
      <w:r w:rsidR="00FD5E30" w:rsidRPr="001E66B9">
        <w:t>Dose Administration Reference Table</w:t>
      </w:r>
    </w:p>
    <w:tbl>
      <w:tblPr>
        <w:tblW w:w="93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800"/>
        <w:gridCol w:w="1258"/>
        <w:gridCol w:w="1559"/>
        <w:gridCol w:w="1053"/>
        <w:gridCol w:w="2015"/>
      </w:tblGrid>
      <w:tr w:rsidR="00492340" w:rsidRPr="004E03F0" w14:paraId="48BF3FB2" w14:textId="77777777" w:rsidTr="00A7174D">
        <w:trPr>
          <w:trHeight w:val="906"/>
        </w:trPr>
        <w:tc>
          <w:tcPr>
            <w:tcW w:w="1620" w:type="dxa"/>
            <w:shd w:val="clear" w:color="auto" w:fill="auto"/>
            <w:vAlign w:val="center"/>
          </w:tcPr>
          <w:p w14:paraId="5B1605CD" w14:textId="77777777" w:rsidR="00AC158B" w:rsidRDefault="00492340" w:rsidP="00415F5D">
            <w:pPr>
              <w:spacing w:after="0" w:line="240" w:lineRule="atLeast"/>
              <w:jc w:val="center"/>
              <w:rPr>
                <w:b/>
              </w:rPr>
            </w:pPr>
            <w:r w:rsidRPr="004E03F0">
              <w:rPr>
                <w:b/>
              </w:rPr>
              <w:t xml:space="preserve">Body Weight Range </w:t>
            </w:r>
          </w:p>
          <w:p w14:paraId="76E96568" w14:textId="77777777" w:rsidR="00492340" w:rsidRPr="004E03F0" w:rsidRDefault="00492340" w:rsidP="00AC158B">
            <w:pPr>
              <w:spacing w:line="240" w:lineRule="atLeast"/>
              <w:jc w:val="center"/>
              <w:rPr>
                <w:b/>
              </w:rPr>
            </w:pPr>
            <w:r w:rsidRPr="004E03F0">
              <w:rPr>
                <w:b/>
              </w:rPr>
              <w:t>(kg)</w:t>
            </w:r>
            <w:r w:rsidRPr="004E03F0">
              <w:rPr>
                <w:b/>
                <w:vertAlign w:val="superscript"/>
              </w:rPr>
              <w:t>a</w:t>
            </w:r>
          </w:p>
        </w:tc>
        <w:tc>
          <w:tcPr>
            <w:tcW w:w="1800" w:type="dxa"/>
            <w:shd w:val="clear" w:color="auto" w:fill="auto"/>
            <w:vAlign w:val="center"/>
          </w:tcPr>
          <w:p w14:paraId="72E4421C" w14:textId="77777777" w:rsidR="00AC158B" w:rsidRDefault="00492340" w:rsidP="00415F5D">
            <w:pPr>
              <w:spacing w:after="0" w:line="240" w:lineRule="atLeast"/>
              <w:jc w:val="center"/>
              <w:rPr>
                <w:b/>
              </w:rPr>
            </w:pPr>
            <w:r w:rsidRPr="004E03F0">
              <w:rPr>
                <w:b/>
              </w:rPr>
              <w:t xml:space="preserve">Loading Dose </w:t>
            </w:r>
          </w:p>
          <w:p w14:paraId="39C92BC7" w14:textId="77777777" w:rsidR="00492340" w:rsidRPr="004E03F0" w:rsidRDefault="00492340" w:rsidP="00AC158B">
            <w:pPr>
              <w:spacing w:line="240" w:lineRule="atLeast"/>
              <w:jc w:val="center"/>
              <w:rPr>
                <w:b/>
              </w:rPr>
            </w:pPr>
            <w:r w:rsidRPr="004E03F0">
              <w:rPr>
                <w:b/>
              </w:rPr>
              <w:t>(mg)</w:t>
            </w:r>
          </w:p>
        </w:tc>
        <w:tc>
          <w:tcPr>
            <w:tcW w:w="1258" w:type="dxa"/>
            <w:vAlign w:val="center"/>
          </w:tcPr>
          <w:p w14:paraId="75A131A7" w14:textId="77777777" w:rsidR="00492340" w:rsidRPr="004E03F0" w:rsidRDefault="00492340" w:rsidP="009170DF">
            <w:pPr>
              <w:spacing w:line="240" w:lineRule="atLeast"/>
              <w:jc w:val="center"/>
              <w:rPr>
                <w:b/>
                <w:bCs/>
              </w:rPr>
            </w:pPr>
            <w:proofErr w:type="spellStart"/>
            <w:r w:rsidRPr="004E03F0">
              <w:rPr>
                <w:b/>
                <w:bCs/>
              </w:rPr>
              <w:t>Ultomiris</w:t>
            </w:r>
            <w:proofErr w:type="spellEnd"/>
            <w:r w:rsidRPr="004E03F0">
              <w:rPr>
                <w:b/>
                <w:bCs/>
              </w:rPr>
              <w:t xml:space="preserve"> Volume (mL)</w:t>
            </w:r>
            <w:r w:rsidR="00415F5D" w:rsidRPr="00415F5D">
              <w:rPr>
                <w:b/>
                <w:bCs/>
                <w:vertAlign w:val="superscript"/>
              </w:rPr>
              <w:t>b</w:t>
            </w:r>
          </w:p>
        </w:tc>
        <w:tc>
          <w:tcPr>
            <w:tcW w:w="1559" w:type="dxa"/>
            <w:vAlign w:val="center"/>
          </w:tcPr>
          <w:p w14:paraId="43FAD4FF" w14:textId="77777777" w:rsidR="00492340" w:rsidRPr="004E03F0" w:rsidRDefault="00492340" w:rsidP="009170DF">
            <w:pPr>
              <w:spacing w:line="240" w:lineRule="atLeast"/>
              <w:jc w:val="center"/>
              <w:rPr>
                <w:b/>
              </w:rPr>
            </w:pPr>
            <w:r w:rsidRPr="004E03F0">
              <w:rPr>
                <w:b/>
                <w:bCs/>
              </w:rPr>
              <w:t xml:space="preserve">Volume of </w:t>
            </w:r>
            <w:proofErr w:type="spellStart"/>
            <w:r w:rsidRPr="004E03F0">
              <w:rPr>
                <w:b/>
                <w:bCs/>
              </w:rPr>
              <w:t>NaCl</w:t>
            </w:r>
            <w:proofErr w:type="spellEnd"/>
            <w:r w:rsidRPr="004E03F0">
              <w:rPr>
                <w:b/>
                <w:bCs/>
              </w:rPr>
              <w:t xml:space="preserve"> </w:t>
            </w:r>
            <w:proofErr w:type="spellStart"/>
            <w:r w:rsidRPr="004E03F0">
              <w:rPr>
                <w:b/>
                <w:bCs/>
              </w:rPr>
              <w:t>Diluent</w:t>
            </w:r>
            <w:r w:rsidR="00415F5D">
              <w:rPr>
                <w:b/>
                <w:bCs/>
                <w:vertAlign w:val="superscript"/>
              </w:rPr>
              <w:t>c</w:t>
            </w:r>
            <w:proofErr w:type="spellEnd"/>
            <w:r w:rsidRPr="004E03F0">
              <w:rPr>
                <w:b/>
                <w:bCs/>
              </w:rPr>
              <w:t xml:space="preserve"> (mL)</w:t>
            </w:r>
          </w:p>
        </w:tc>
        <w:tc>
          <w:tcPr>
            <w:tcW w:w="1053" w:type="dxa"/>
            <w:shd w:val="clear" w:color="auto" w:fill="auto"/>
            <w:vAlign w:val="center"/>
          </w:tcPr>
          <w:p w14:paraId="08CA01E6" w14:textId="77777777" w:rsidR="00492340" w:rsidRPr="004E03F0" w:rsidRDefault="00492340" w:rsidP="009170DF">
            <w:pPr>
              <w:spacing w:line="240" w:lineRule="atLeast"/>
              <w:jc w:val="center"/>
              <w:rPr>
                <w:b/>
              </w:rPr>
            </w:pPr>
            <w:r w:rsidRPr="004E03F0">
              <w:rPr>
                <w:b/>
              </w:rPr>
              <w:t>Total Volume (mL)</w:t>
            </w:r>
          </w:p>
        </w:tc>
        <w:tc>
          <w:tcPr>
            <w:tcW w:w="2015" w:type="dxa"/>
            <w:shd w:val="clear" w:color="auto" w:fill="auto"/>
            <w:vAlign w:val="center"/>
          </w:tcPr>
          <w:p w14:paraId="48B77E11" w14:textId="77777777" w:rsidR="00492340" w:rsidRPr="004E03F0" w:rsidRDefault="00492340" w:rsidP="00415F5D">
            <w:pPr>
              <w:keepNext/>
              <w:spacing w:after="0" w:line="240" w:lineRule="atLeast"/>
              <w:jc w:val="center"/>
              <w:rPr>
                <w:b/>
              </w:rPr>
            </w:pPr>
            <w:r w:rsidRPr="004E03F0">
              <w:rPr>
                <w:b/>
              </w:rPr>
              <w:t>Minimum Infusion Duration</w:t>
            </w:r>
          </w:p>
          <w:p w14:paraId="426C1DC7" w14:textId="77777777" w:rsidR="00492340" w:rsidRPr="004E03F0" w:rsidRDefault="00492340" w:rsidP="00AC158B">
            <w:pPr>
              <w:spacing w:line="240" w:lineRule="atLeast"/>
              <w:jc w:val="center"/>
              <w:rPr>
                <w:b/>
              </w:rPr>
            </w:pPr>
            <w:r w:rsidRPr="004E03F0">
              <w:rPr>
                <w:b/>
              </w:rPr>
              <w:t>Minutes (hours)</w:t>
            </w:r>
          </w:p>
        </w:tc>
      </w:tr>
      <w:tr w:rsidR="00492340" w:rsidRPr="004E03F0" w14:paraId="3AEBD3F6" w14:textId="77777777" w:rsidTr="00A7174D">
        <w:trPr>
          <w:trHeight w:val="411"/>
        </w:trPr>
        <w:tc>
          <w:tcPr>
            <w:tcW w:w="1620" w:type="dxa"/>
            <w:shd w:val="clear" w:color="auto" w:fill="auto"/>
          </w:tcPr>
          <w:p w14:paraId="6BFB78C9" w14:textId="77777777" w:rsidR="00492340" w:rsidRPr="004E03F0" w:rsidRDefault="00492340" w:rsidP="00415F5D">
            <w:pPr>
              <w:spacing w:line="240" w:lineRule="atLeast"/>
              <w:jc w:val="center"/>
            </w:pPr>
            <w:r w:rsidRPr="004E03F0">
              <w:t>≥ 40 to &lt; 60</w:t>
            </w:r>
          </w:p>
        </w:tc>
        <w:tc>
          <w:tcPr>
            <w:tcW w:w="1800" w:type="dxa"/>
            <w:shd w:val="clear" w:color="auto" w:fill="auto"/>
          </w:tcPr>
          <w:p w14:paraId="2955B128" w14:textId="77777777" w:rsidR="00492340" w:rsidRPr="004E03F0" w:rsidRDefault="00492340" w:rsidP="0013150D">
            <w:pPr>
              <w:spacing w:line="240" w:lineRule="atLeast"/>
              <w:jc w:val="center"/>
            </w:pPr>
            <w:r w:rsidRPr="004E03F0">
              <w:t>2400</w:t>
            </w:r>
          </w:p>
        </w:tc>
        <w:tc>
          <w:tcPr>
            <w:tcW w:w="1258" w:type="dxa"/>
          </w:tcPr>
          <w:p w14:paraId="577A0201" w14:textId="77777777" w:rsidR="00492340" w:rsidRPr="004E03F0" w:rsidRDefault="00492340" w:rsidP="0013150D">
            <w:pPr>
              <w:jc w:val="center"/>
            </w:pPr>
            <w:r w:rsidRPr="004E03F0">
              <w:t>240</w:t>
            </w:r>
          </w:p>
        </w:tc>
        <w:tc>
          <w:tcPr>
            <w:tcW w:w="1559" w:type="dxa"/>
          </w:tcPr>
          <w:p w14:paraId="7EABBC39" w14:textId="77777777" w:rsidR="00492340" w:rsidRPr="004E03F0" w:rsidRDefault="00492340" w:rsidP="0013150D">
            <w:pPr>
              <w:jc w:val="center"/>
            </w:pPr>
            <w:r w:rsidRPr="004E03F0">
              <w:t>240</w:t>
            </w:r>
          </w:p>
        </w:tc>
        <w:tc>
          <w:tcPr>
            <w:tcW w:w="1053" w:type="dxa"/>
            <w:shd w:val="clear" w:color="auto" w:fill="auto"/>
          </w:tcPr>
          <w:p w14:paraId="1D60CB13" w14:textId="77777777" w:rsidR="00492340" w:rsidRPr="004E03F0" w:rsidRDefault="00492340" w:rsidP="0013150D">
            <w:pPr>
              <w:spacing w:line="240" w:lineRule="atLeast"/>
              <w:jc w:val="center"/>
            </w:pPr>
            <w:r w:rsidRPr="004E03F0">
              <w:t>480</w:t>
            </w:r>
          </w:p>
        </w:tc>
        <w:tc>
          <w:tcPr>
            <w:tcW w:w="2015" w:type="dxa"/>
            <w:shd w:val="clear" w:color="auto" w:fill="auto"/>
          </w:tcPr>
          <w:p w14:paraId="255B4ED4" w14:textId="77777777" w:rsidR="00492340" w:rsidRPr="004E03F0" w:rsidRDefault="00492340" w:rsidP="0013150D">
            <w:pPr>
              <w:spacing w:line="240" w:lineRule="atLeast"/>
              <w:jc w:val="center"/>
            </w:pPr>
            <w:r w:rsidRPr="004E03F0">
              <w:t>114 (1.9)</w:t>
            </w:r>
          </w:p>
        </w:tc>
      </w:tr>
      <w:tr w:rsidR="00492340" w:rsidRPr="004E03F0" w14:paraId="48794F21" w14:textId="77777777" w:rsidTr="00A7174D">
        <w:trPr>
          <w:trHeight w:val="411"/>
        </w:trPr>
        <w:tc>
          <w:tcPr>
            <w:tcW w:w="1620" w:type="dxa"/>
            <w:shd w:val="clear" w:color="auto" w:fill="auto"/>
          </w:tcPr>
          <w:p w14:paraId="042F6002" w14:textId="77777777" w:rsidR="00492340" w:rsidRPr="004E03F0" w:rsidRDefault="00492340" w:rsidP="00415F5D">
            <w:pPr>
              <w:spacing w:line="240" w:lineRule="atLeast"/>
              <w:jc w:val="center"/>
            </w:pPr>
            <w:r w:rsidRPr="004E03F0">
              <w:t>≥ 60 to &lt; 100</w:t>
            </w:r>
          </w:p>
        </w:tc>
        <w:tc>
          <w:tcPr>
            <w:tcW w:w="1800" w:type="dxa"/>
            <w:shd w:val="clear" w:color="auto" w:fill="auto"/>
          </w:tcPr>
          <w:p w14:paraId="2882E5D3" w14:textId="77777777" w:rsidR="00492340" w:rsidRPr="004E03F0" w:rsidRDefault="00492340" w:rsidP="0013150D">
            <w:pPr>
              <w:spacing w:line="240" w:lineRule="atLeast"/>
              <w:jc w:val="center"/>
            </w:pPr>
            <w:r w:rsidRPr="004E03F0">
              <w:t>2700</w:t>
            </w:r>
          </w:p>
        </w:tc>
        <w:tc>
          <w:tcPr>
            <w:tcW w:w="1258" w:type="dxa"/>
          </w:tcPr>
          <w:p w14:paraId="40B792DD" w14:textId="77777777" w:rsidR="00492340" w:rsidRPr="004E03F0" w:rsidRDefault="00492340" w:rsidP="0013150D">
            <w:pPr>
              <w:jc w:val="center"/>
            </w:pPr>
            <w:r w:rsidRPr="004E03F0">
              <w:t>270</w:t>
            </w:r>
          </w:p>
        </w:tc>
        <w:tc>
          <w:tcPr>
            <w:tcW w:w="1559" w:type="dxa"/>
          </w:tcPr>
          <w:p w14:paraId="5D89FF80" w14:textId="77777777" w:rsidR="00492340" w:rsidRPr="004E03F0" w:rsidRDefault="00492340" w:rsidP="0013150D">
            <w:pPr>
              <w:jc w:val="center"/>
            </w:pPr>
            <w:r w:rsidRPr="004E03F0">
              <w:t>270</w:t>
            </w:r>
          </w:p>
        </w:tc>
        <w:tc>
          <w:tcPr>
            <w:tcW w:w="1053" w:type="dxa"/>
            <w:shd w:val="clear" w:color="auto" w:fill="auto"/>
          </w:tcPr>
          <w:p w14:paraId="121BBBD4" w14:textId="77777777" w:rsidR="00492340" w:rsidRPr="004E03F0" w:rsidRDefault="00492340" w:rsidP="0013150D">
            <w:pPr>
              <w:spacing w:line="240" w:lineRule="atLeast"/>
              <w:jc w:val="center"/>
            </w:pPr>
            <w:r w:rsidRPr="004E03F0">
              <w:t>540</w:t>
            </w:r>
          </w:p>
        </w:tc>
        <w:tc>
          <w:tcPr>
            <w:tcW w:w="2015" w:type="dxa"/>
            <w:shd w:val="clear" w:color="auto" w:fill="auto"/>
          </w:tcPr>
          <w:p w14:paraId="4D015DD3" w14:textId="77777777" w:rsidR="00492340" w:rsidRPr="004E03F0" w:rsidRDefault="00492340" w:rsidP="0013150D">
            <w:pPr>
              <w:spacing w:line="240" w:lineRule="atLeast"/>
              <w:jc w:val="center"/>
            </w:pPr>
            <w:r w:rsidRPr="004E03F0">
              <w:t>102 (1.7)</w:t>
            </w:r>
          </w:p>
        </w:tc>
      </w:tr>
      <w:tr w:rsidR="00492340" w:rsidRPr="004E03F0" w14:paraId="0B2A8652" w14:textId="77777777" w:rsidTr="00A7174D">
        <w:trPr>
          <w:trHeight w:val="425"/>
        </w:trPr>
        <w:tc>
          <w:tcPr>
            <w:tcW w:w="1620" w:type="dxa"/>
            <w:shd w:val="clear" w:color="auto" w:fill="auto"/>
          </w:tcPr>
          <w:p w14:paraId="70DD78E8" w14:textId="77777777" w:rsidR="00492340" w:rsidRPr="004E03F0" w:rsidRDefault="00492340" w:rsidP="00415F5D">
            <w:pPr>
              <w:spacing w:line="240" w:lineRule="atLeast"/>
              <w:jc w:val="center"/>
            </w:pPr>
            <w:r w:rsidRPr="004E03F0">
              <w:t>≥ 100</w:t>
            </w:r>
          </w:p>
        </w:tc>
        <w:tc>
          <w:tcPr>
            <w:tcW w:w="1800" w:type="dxa"/>
            <w:shd w:val="clear" w:color="auto" w:fill="auto"/>
          </w:tcPr>
          <w:p w14:paraId="7B7446E7" w14:textId="77777777" w:rsidR="00492340" w:rsidRPr="004E03F0" w:rsidRDefault="00492340" w:rsidP="0013150D">
            <w:pPr>
              <w:spacing w:line="240" w:lineRule="atLeast"/>
              <w:jc w:val="center"/>
            </w:pPr>
            <w:r w:rsidRPr="004E03F0">
              <w:t>3000</w:t>
            </w:r>
          </w:p>
        </w:tc>
        <w:tc>
          <w:tcPr>
            <w:tcW w:w="1258" w:type="dxa"/>
          </w:tcPr>
          <w:p w14:paraId="36D0F80A" w14:textId="77777777" w:rsidR="00492340" w:rsidRPr="004E03F0" w:rsidRDefault="00492340" w:rsidP="0013150D">
            <w:pPr>
              <w:jc w:val="center"/>
            </w:pPr>
            <w:r w:rsidRPr="004E03F0">
              <w:t>300</w:t>
            </w:r>
          </w:p>
        </w:tc>
        <w:tc>
          <w:tcPr>
            <w:tcW w:w="1559" w:type="dxa"/>
          </w:tcPr>
          <w:p w14:paraId="09C875AC" w14:textId="77777777" w:rsidR="00492340" w:rsidRPr="004E03F0" w:rsidRDefault="00492340" w:rsidP="0013150D">
            <w:pPr>
              <w:jc w:val="center"/>
            </w:pPr>
            <w:r w:rsidRPr="004E03F0">
              <w:t>300</w:t>
            </w:r>
          </w:p>
        </w:tc>
        <w:tc>
          <w:tcPr>
            <w:tcW w:w="1053" w:type="dxa"/>
            <w:shd w:val="clear" w:color="auto" w:fill="auto"/>
          </w:tcPr>
          <w:p w14:paraId="6A56F962" w14:textId="77777777" w:rsidR="00492340" w:rsidRPr="004E03F0" w:rsidRDefault="00492340" w:rsidP="0013150D">
            <w:pPr>
              <w:spacing w:line="240" w:lineRule="atLeast"/>
              <w:jc w:val="center"/>
            </w:pPr>
            <w:r w:rsidRPr="004E03F0">
              <w:t>600</w:t>
            </w:r>
          </w:p>
        </w:tc>
        <w:tc>
          <w:tcPr>
            <w:tcW w:w="2015" w:type="dxa"/>
            <w:shd w:val="clear" w:color="auto" w:fill="auto"/>
          </w:tcPr>
          <w:p w14:paraId="25AA23C2" w14:textId="77777777" w:rsidR="00492340" w:rsidRPr="004E03F0" w:rsidRDefault="00492340" w:rsidP="0013150D">
            <w:pPr>
              <w:spacing w:line="240" w:lineRule="atLeast"/>
              <w:jc w:val="center"/>
            </w:pPr>
            <w:r w:rsidRPr="004E03F0">
              <w:t>108 (1.8)</w:t>
            </w:r>
          </w:p>
        </w:tc>
      </w:tr>
    </w:tbl>
    <w:p w14:paraId="796FBE25" w14:textId="50D2C1D9" w:rsidR="00FD5E30" w:rsidRPr="009C210F" w:rsidRDefault="00FD5E30" w:rsidP="006C5DE0">
      <w:pPr>
        <w:spacing w:after="0" w:line="240" w:lineRule="auto"/>
        <w:ind w:left="142"/>
        <w:rPr>
          <w:sz w:val="18"/>
          <w:szCs w:val="18"/>
        </w:rPr>
      </w:pPr>
      <w:proofErr w:type="spellStart"/>
      <w:r w:rsidRPr="009C210F">
        <w:rPr>
          <w:sz w:val="18"/>
          <w:szCs w:val="18"/>
          <w:vertAlign w:val="superscript"/>
        </w:rPr>
        <w:t>a</w:t>
      </w:r>
      <w:r w:rsidRPr="009C210F">
        <w:rPr>
          <w:sz w:val="18"/>
          <w:szCs w:val="18"/>
        </w:rPr>
        <w:t>B</w:t>
      </w:r>
      <w:r w:rsidR="00707339">
        <w:rPr>
          <w:sz w:val="18"/>
          <w:szCs w:val="18"/>
        </w:rPr>
        <w:t>ody</w:t>
      </w:r>
      <w:proofErr w:type="spellEnd"/>
      <w:r w:rsidR="00707339">
        <w:rPr>
          <w:sz w:val="18"/>
          <w:szCs w:val="18"/>
        </w:rPr>
        <w:t xml:space="preserve"> weight at time of treatment</w:t>
      </w:r>
    </w:p>
    <w:p w14:paraId="4EDE80C9" w14:textId="201829A7" w:rsidR="00FD5E30" w:rsidRDefault="00FD5E30" w:rsidP="006C5DE0">
      <w:pPr>
        <w:spacing w:after="0" w:line="240" w:lineRule="auto"/>
        <w:ind w:left="142"/>
        <w:rPr>
          <w:sz w:val="18"/>
          <w:szCs w:val="18"/>
        </w:rPr>
      </w:pPr>
      <w:proofErr w:type="spellStart"/>
      <w:r w:rsidRPr="009C210F">
        <w:rPr>
          <w:sz w:val="18"/>
          <w:szCs w:val="18"/>
          <w:vertAlign w:val="superscript"/>
        </w:rPr>
        <w:t>b</w:t>
      </w:r>
      <w:r w:rsidR="00415F5D">
        <w:rPr>
          <w:sz w:val="18"/>
          <w:szCs w:val="18"/>
        </w:rPr>
        <w:t>The</w:t>
      </w:r>
      <w:proofErr w:type="spellEnd"/>
      <w:r w:rsidR="00415F5D">
        <w:rPr>
          <w:sz w:val="18"/>
          <w:szCs w:val="18"/>
        </w:rPr>
        <w:t xml:space="preserve"> volume in each </w:t>
      </w:r>
      <w:proofErr w:type="spellStart"/>
      <w:r w:rsidR="00415F5D">
        <w:rPr>
          <w:sz w:val="18"/>
          <w:szCs w:val="18"/>
        </w:rPr>
        <w:t>Ultomiris</w:t>
      </w:r>
      <w:proofErr w:type="spellEnd"/>
      <w:r w:rsidR="00415F5D">
        <w:rPr>
          <w:sz w:val="18"/>
          <w:szCs w:val="18"/>
        </w:rPr>
        <w:t xml:space="preserve"> vial is 30</w:t>
      </w:r>
      <w:r w:rsidR="009D2613">
        <w:rPr>
          <w:sz w:val="18"/>
          <w:szCs w:val="18"/>
        </w:rPr>
        <w:t xml:space="preserve"> </w:t>
      </w:r>
      <w:r w:rsidR="00415F5D">
        <w:rPr>
          <w:sz w:val="18"/>
          <w:szCs w:val="18"/>
        </w:rPr>
        <w:t>mL</w:t>
      </w:r>
    </w:p>
    <w:p w14:paraId="48FF75DC" w14:textId="4C146BA8" w:rsidR="00415F5D" w:rsidRDefault="00415F5D" w:rsidP="006C5DE0">
      <w:pPr>
        <w:spacing w:after="0" w:line="240" w:lineRule="auto"/>
        <w:ind w:left="142"/>
        <w:rPr>
          <w:sz w:val="18"/>
          <w:szCs w:val="18"/>
        </w:rPr>
      </w:pPr>
      <w:proofErr w:type="spellStart"/>
      <w:r>
        <w:rPr>
          <w:sz w:val="18"/>
          <w:szCs w:val="18"/>
          <w:vertAlign w:val="superscript"/>
        </w:rPr>
        <w:t>c</w:t>
      </w:r>
      <w:r w:rsidRPr="009C210F">
        <w:rPr>
          <w:sz w:val="18"/>
          <w:szCs w:val="18"/>
        </w:rPr>
        <w:t>Ultomiris</w:t>
      </w:r>
      <w:proofErr w:type="spellEnd"/>
      <w:r w:rsidRPr="009C210F">
        <w:rPr>
          <w:sz w:val="18"/>
          <w:szCs w:val="18"/>
        </w:rPr>
        <w:t xml:space="preserve"> should only be diluted using 0.9% sodium chloride injection USP</w:t>
      </w:r>
    </w:p>
    <w:p w14:paraId="7FC851FA" w14:textId="5A86CB77" w:rsidR="008E5163" w:rsidRPr="004E03F0" w:rsidRDefault="006C5DE0" w:rsidP="006C5DE0">
      <w:pPr>
        <w:pStyle w:val="Caption"/>
      </w:pPr>
      <w:r>
        <w:t xml:space="preserve">Table </w:t>
      </w:r>
      <w:r>
        <w:fldChar w:fldCharType="begin"/>
      </w:r>
      <w:r>
        <w:instrText xml:space="preserve"> SEQ Table \* ARABIC </w:instrText>
      </w:r>
      <w:r>
        <w:fldChar w:fldCharType="separate"/>
      </w:r>
      <w:r w:rsidR="00FC35C3">
        <w:rPr>
          <w:noProof/>
        </w:rPr>
        <w:t>3</w:t>
      </w:r>
      <w:r>
        <w:fldChar w:fldCharType="end"/>
      </w:r>
      <w:r>
        <w:t xml:space="preserve"> </w:t>
      </w:r>
      <w:r w:rsidR="008E5163" w:rsidRPr="004E03F0">
        <w:t>Maintenance Dose Administration Reference Table</w:t>
      </w:r>
    </w:p>
    <w:tbl>
      <w:tblPr>
        <w:tblW w:w="93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82"/>
        <w:gridCol w:w="1188"/>
        <w:gridCol w:w="1620"/>
        <w:gridCol w:w="1020"/>
        <w:gridCol w:w="2091"/>
      </w:tblGrid>
      <w:tr w:rsidR="008E5163" w:rsidRPr="004E03F0" w14:paraId="4808A23F" w14:textId="77777777" w:rsidTr="00415F5D">
        <w:trPr>
          <w:trHeight w:val="874"/>
        </w:trPr>
        <w:tc>
          <w:tcPr>
            <w:tcW w:w="1620" w:type="dxa"/>
            <w:shd w:val="clear" w:color="auto" w:fill="auto"/>
            <w:vAlign w:val="center"/>
          </w:tcPr>
          <w:p w14:paraId="42FDEFC9" w14:textId="77777777" w:rsidR="00AC158B" w:rsidRDefault="008E5163" w:rsidP="00415F5D">
            <w:pPr>
              <w:tabs>
                <w:tab w:val="left" w:pos="567"/>
              </w:tabs>
              <w:spacing w:after="0" w:line="240" w:lineRule="atLeast"/>
              <w:jc w:val="center"/>
              <w:rPr>
                <w:b/>
              </w:rPr>
            </w:pPr>
            <w:r w:rsidRPr="004E03F0">
              <w:rPr>
                <w:b/>
              </w:rPr>
              <w:t xml:space="preserve">Body Weight Range </w:t>
            </w:r>
          </w:p>
          <w:p w14:paraId="22E4D78D" w14:textId="77777777" w:rsidR="008E5163" w:rsidRPr="004E03F0" w:rsidRDefault="008E5163" w:rsidP="00AC158B">
            <w:pPr>
              <w:tabs>
                <w:tab w:val="left" w:pos="567"/>
              </w:tabs>
              <w:spacing w:line="240" w:lineRule="atLeast"/>
              <w:jc w:val="center"/>
              <w:rPr>
                <w:rFonts w:eastAsia="Times New Roman"/>
                <w:b/>
              </w:rPr>
            </w:pPr>
            <w:r w:rsidRPr="004E03F0">
              <w:rPr>
                <w:b/>
              </w:rPr>
              <w:t>(kg)</w:t>
            </w:r>
            <w:r w:rsidRPr="004E03F0">
              <w:rPr>
                <w:b/>
                <w:vertAlign w:val="superscript"/>
              </w:rPr>
              <w:t>a</w:t>
            </w:r>
          </w:p>
        </w:tc>
        <w:tc>
          <w:tcPr>
            <w:tcW w:w="1782" w:type="dxa"/>
            <w:shd w:val="clear" w:color="auto" w:fill="auto"/>
            <w:vAlign w:val="center"/>
          </w:tcPr>
          <w:p w14:paraId="402DF46B" w14:textId="77777777" w:rsidR="00AC158B" w:rsidRDefault="008E5163" w:rsidP="00415F5D">
            <w:pPr>
              <w:tabs>
                <w:tab w:val="left" w:pos="567"/>
              </w:tabs>
              <w:spacing w:after="0" w:line="240" w:lineRule="atLeast"/>
              <w:jc w:val="center"/>
              <w:rPr>
                <w:rFonts w:eastAsia="Times New Roman"/>
                <w:b/>
              </w:rPr>
            </w:pPr>
            <w:r w:rsidRPr="004E03F0">
              <w:rPr>
                <w:rFonts w:eastAsia="Times New Roman"/>
                <w:b/>
              </w:rPr>
              <w:t xml:space="preserve">Maintenance Dose </w:t>
            </w:r>
          </w:p>
          <w:p w14:paraId="3E068F8D" w14:textId="77777777" w:rsidR="008E5163" w:rsidRPr="004E03F0" w:rsidRDefault="008E5163" w:rsidP="00AC158B">
            <w:pPr>
              <w:tabs>
                <w:tab w:val="left" w:pos="567"/>
              </w:tabs>
              <w:spacing w:line="240" w:lineRule="atLeast"/>
              <w:jc w:val="center"/>
              <w:rPr>
                <w:rFonts w:eastAsia="Times New Roman"/>
                <w:b/>
              </w:rPr>
            </w:pPr>
            <w:r w:rsidRPr="004E03F0">
              <w:rPr>
                <w:rFonts w:eastAsia="Times New Roman"/>
                <w:b/>
              </w:rPr>
              <w:t>(mg)</w:t>
            </w:r>
          </w:p>
        </w:tc>
        <w:tc>
          <w:tcPr>
            <w:tcW w:w="1188" w:type="dxa"/>
            <w:vAlign w:val="center"/>
          </w:tcPr>
          <w:p w14:paraId="1CBDF688" w14:textId="77777777" w:rsidR="008E5163" w:rsidRPr="004E03F0" w:rsidRDefault="008E5163" w:rsidP="009170DF">
            <w:pPr>
              <w:spacing w:line="240" w:lineRule="atLeast"/>
              <w:jc w:val="center"/>
              <w:rPr>
                <w:b/>
                <w:bCs/>
              </w:rPr>
            </w:pPr>
            <w:proofErr w:type="spellStart"/>
            <w:r w:rsidRPr="004E03F0">
              <w:rPr>
                <w:b/>
                <w:bCs/>
              </w:rPr>
              <w:t>Ultomiris</w:t>
            </w:r>
            <w:proofErr w:type="spellEnd"/>
            <w:r w:rsidRPr="004E03F0">
              <w:rPr>
                <w:b/>
                <w:bCs/>
              </w:rPr>
              <w:t xml:space="preserve"> Volume (mL)</w:t>
            </w:r>
            <w:r w:rsidR="004578FE" w:rsidRPr="00415F5D">
              <w:rPr>
                <w:b/>
                <w:bCs/>
                <w:vertAlign w:val="superscript"/>
              </w:rPr>
              <w:t>b</w:t>
            </w:r>
          </w:p>
        </w:tc>
        <w:tc>
          <w:tcPr>
            <w:tcW w:w="1620" w:type="dxa"/>
            <w:vAlign w:val="center"/>
          </w:tcPr>
          <w:p w14:paraId="3EA77EDF" w14:textId="77777777" w:rsidR="008E5163" w:rsidRPr="004E03F0" w:rsidRDefault="008E5163" w:rsidP="004578FE">
            <w:pPr>
              <w:spacing w:line="240" w:lineRule="atLeast"/>
              <w:jc w:val="center"/>
              <w:rPr>
                <w:b/>
              </w:rPr>
            </w:pPr>
            <w:r w:rsidRPr="004E03F0">
              <w:rPr>
                <w:b/>
                <w:bCs/>
              </w:rPr>
              <w:t xml:space="preserve">Volume of </w:t>
            </w:r>
            <w:proofErr w:type="spellStart"/>
            <w:r w:rsidRPr="004E03F0">
              <w:rPr>
                <w:b/>
                <w:bCs/>
              </w:rPr>
              <w:t>NaCl</w:t>
            </w:r>
            <w:proofErr w:type="spellEnd"/>
            <w:r w:rsidRPr="004E03F0">
              <w:rPr>
                <w:b/>
                <w:bCs/>
              </w:rPr>
              <w:t xml:space="preserve"> </w:t>
            </w:r>
            <w:proofErr w:type="spellStart"/>
            <w:r w:rsidRPr="004E03F0">
              <w:rPr>
                <w:b/>
                <w:bCs/>
              </w:rPr>
              <w:t>Diluent</w:t>
            </w:r>
            <w:r w:rsidR="004578FE">
              <w:rPr>
                <w:b/>
                <w:bCs/>
                <w:vertAlign w:val="superscript"/>
              </w:rPr>
              <w:t>c</w:t>
            </w:r>
            <w:proofErr w:type="spellEnd"/>
            <w:r w:rsidRPr="004E03F0">
              <w:rPr>
                <w:b/>
                <w:bCs/>
              </w:rPr>
              <w:t xml:space="preserve"> (mL)</w:t>
            </w:r>
          </w:p>
        </w:tc>
        <w:tc>
          <w:tcPr>
            <w:tcW w:w="1020" w:type="dxa"/>
            <w:shd w:val="clear" w:color="auto" w:fill="auto"/>
            <w:vAlign w:val="center"/>
          </w:tcPr>
          <w:p w14:paraId="3ABB0515" w14:textId="77777777" w:rsidR="008E5163" w:rsidRPr="004E03F0" w:rsidRDefault="008E5163" w:rsidP="009170DF">
            <w:pPr>
              <w:tabs>
                <w:tab w:val="left" w:pos="567"/>
              </w:tabs>
              <w:spacing w:line="240" w:lineRule="atLeast"/>
              <w:jc w:val="center"/>
              <w:rPr>
                <w:rFonts w:eastAsia="Times New Roman"/>
                <w:b/>
              </w:rPr>
            </w:pPr>
            <w:r w:rsidRPr="004E03F0">
              <w:rPr>
                <w:rFonts w:eastAsia="Times New Roman"/>
                <w:b/>
              </w:rPr>
              <w:t>Total Volume (mL)</w:t>
            </w:r>
          </w:p>
        </w:tc>
        <w:tc>
          <w:tcPr>
            <w:tcW w:w="2091" w:type="dxa"/>
            <w:shd w:val="clear" w:color="auto" w:fill="auto"/>
            <w:vAlign w:val="center"/>
          </w:tcPr>
          <w:p w14:paraId="33BEC8D4" w14:textId="77777777" w:rsidR="008E5163" w:rsidRPr="004E03F0" w:rsidRDefault="008E5163" w:rsidP="00415F5D">
            <w:pPr>
              <w:keepNext/>
              <w:spacing w:after="0" w:line="240" w:lineRule="atLeast"/>
              <w:jc w:val="center"/>
              <w:rPr>
                <w:rFonts w:eastAsia="Times New Roman"/>
                <w:b/>
              </w:rPr>
            </w:pPr>
            <w:r w:rsidRPr="004E03F0">
              <w:rPr>
                <w:rFonts w:eastAsia="Times New Roman"/>
                <w:b/>
              </w:rPr>
              <w:t>Minimum Infusion Duration</w:t>
            </w:r>
          </w:p>
          <w:p w14:paraId="392B2A75" w14:textId="77777777" w:rsidR="008E5163" w:rsidRPr="00415F5D" w:rsidRDefault="008E5163" w:rsidP="00AC158B">
            <w:pPr>
              <w:tabs>
                <w:tab w:val="left" w:pos="567"/>
              </w:tabs>
              <w:spacing w:line="240" w:lineRule="atLeast"/>
              <w:jc w:val="center"/>
              <w:rPr>
                <w:rFonts w:eastAsia="Times New Roman"/>
                <w:b/>
              </w:rPr>
            </w:pPr>
            <w:r w:rsidRPr="00415F5D">
              <w:rPr>
                <w:b/>
              </w:rPr>
              <w:t>Minutes (hours)</w:t>
            </w:r>
          </w:p>
        </w:tc>
      </w:tr>
      <w:tr w:rsidR="008E5163" w:rsidRPr="004E03F0" w14:paraId="7BA5E6C6" w14:textId="77777777" w:rsidTr="00415F5D">
        <w:trPr>
          <w:trHeight w:val="438"/>
        </w:trPr>
        <w:tc>
          <w:tcPr>
            <w:tcW w:w="1620" w:type="dxa"/>
            <w:shd w:val="clear" w:color="auto" w:fill="auto"/>
          </w:tcPr>
          <w:p w14:paraId="0E451944" w14:textId="77777777" w:rsidR="008E5163" w:rsidRPr="004E03F0" w:rsidRDefault="008E5163" w:rsidP="00415F5D">
            <w:pPr>
              <w:tabs>
                <w:tab w:val="left" w:pos="567"/>
              </w:tabs>
              <w:spacing w:line="240" w:lineRule="atLeast"/>
              <w:jc w:val="center"/>
              <w:rPr>
                <w:rFonts w:eastAsia="Times New Roman"/>
              </w:rPr>
            </w:pPr>
            <w:r w:rsidRPr="004E03F0">
              <w:t>≥ 40 to &lt; 60</w:t>
            </w:r>
          </w:p>
        </w:tc>
        <w:tc>
          <w:tcPr>
            <w:tcW w:w="1782" w:type="dxa"/>
            <w:shd w:val="clear" w:color="auto" w:fill="auto"/>
          </w:tcPr>
          <w:p w14:paraId="0BE6F908" w14:textId="77777777" w:rsidR="008E5163" w:rsidRPr="004E03F0" w:rsidRDefault="008E5163" w:rsidP="0013150D">
            <w:pPr>
              <w:tabs>
                <w:tab w:val="left" w:pos="567"/>
              </w:tabs>
              <w:spacing w:line="240" w:lineRule="atLeast"/>
              <w:jc w:val="center"/>
              <w:rPr>
                <w:rFonts w:eastAsia="Times New Roman"/>
              </w:rPr>
            </w:pPr>
            <w:r w:rsidRPr="004E03F0">
              <w:rPr>
                <w:rFonts w:eastAsia="Times New Roman"/>
              </w:rPr>
              <w:t>3000</w:t>
            </w:r>
          </w:p>
        </w:tc>
        <w:tc>
          <w:tcPr>
            <w:tcW w:w="1188" w:type="dxa"/>
          </w:tcPr>
          <w:p w14:paraId="36EC6BA4" w14:textId="77777777" w:rsidR="008E5163" w:rsidRPr="004E03F0" w:rsidRDefault="008E5163" w:rsidP="0013150D">
            <w:pPr>
              <w:tabs>
                <w:tab w:val="left" w:pos="567"/>
              </w:tabs>
              <w:spacing w:line="240" w:lineRule="atLeast"/>
              <w:jc w:val="center"/>
              <w:rPr>
                <w:rFonts w:eastAsia="Times New Roman"/>
              </w:rPr>
            </w:pPr>
            <w:r w:rsidRPr="004E03F0">
              <w:rPr>
                <w:rFonts w:eastAsia="Times New Roman"/>
              </w:rPr>
              <w:t>300</w:t>
            </w:r>
          </w:p>
        </w:tc>
        <w:tc>
          <w:tcPr>
            <w:tcW w:w="1620" w:type="dxa"/>
          </w:tcPr>
          <w:p w14:paraId="26EA5436" w14:textId="77777777" w:rsidR="008E5163" w:rsidRPr="004E03F0" w:rsidRDefault="008E5163" w:rsidP="0013150D">
            <w:pPr>
              <w:tabs>
                <w:tab w:val="left" w:pos="567"/>
              </w:tabs>
              <w:spacing w:line="240" w:lineRule="atLeast"/>
              <w:jc w:val="center"/>
              <w:rPr>
                <w:rFonts w:eastAsia="Times New Roman"/>
              </w:rPr>
            </w:pPr>
            <w:r w:rsidRPr="004E03F0">
              <w:rPr>
                <w:rFonts w:eastAsia="Times New Roman"/>
              </w:rPr>
              <w:t>300</w:t>
            </w:r>
          </w:p>
        </w:tc>
        <w:tc>
          <w:tcPr>
            <w:tcW w:w="1020" w:type="dxa"/>
            <w:shd w:val="clear" w:color="auto" w:fill="auto"/>
          </w:tcPr>
          <w:p w14:paraId="06AD6919" w14:textId="77777777" w:rsidR="008E5163" w:rsidRPr="004E03F0" w:rsidRDefault="008E5163" w:rsidP="0013150D">
            <w:pPr>
              <w:tabs>
                <w:tab w:val="left" w:pos="567"/>
              </w:tabs>
              <w:spacing w:line="240" w:lineRule="atLeast"/>
              <w:jc w:val="center"/>
              <w:rPr>
                <w:rFonts w:eastAsia="Times New Roman"/>
              </w:rPr>
            </w:pPr>
            <w:r w:rsidRPr="004E03F0">
              <w:rPr>
                <w:rFonts w:eastAsia="Times New Roman"/>
              </w:rPr>
              <w:t>600</w:t>
            </w:r>
          </w:p>
        </w:tc>
        <w:tc>
          <w:tcPr>
            <w:tcW w:w="2091" w:type="dxa"/>
            <w:shd w:val="clear" w:color="auto" w:fill="auto"/>
          </w:tcPr>
          <w:p w14:paraId="45A59084" w14:textId="77777777" w:rsidR="008E5163" w:rsidRPr="004E03F0" w:rsidRDefault="008E5163" w:rsidP="0013150D">
            <w:pPr>
              <w:tabs>
                <w:tab w:val="left" w:pos="567"/>
              </w:tabs>
              <w:spacing w:line="240" w:lineRule="atLeast"/>
              <w:jc w:val="center"/>
              <w:rPr>
                <w:rFonts w:eastAsia="Times New Roman"/>
              </w:rPr>
            </w:pPr>
            <w:r w:rsidRPr="004E03F0">
              <w:rPr>
                <w:rFonts w:eastAsia="Times New Roman"/>
              </w:rPr>
              <w:t>140 (2.</w:t>
            </w:r>
            <w:r w:rsidR="00617DDF">
              <w:rPr>
                <w:rFonts w:eastAsia="Times New Roman"/>
              </w:rPr>
              <w:t>33</w:t>
            </w:r>
            <w:r w:rsidRPr="004E03F0">
              <w:rPr>
                <w:rFonts w:eastAsia="Times New Roman"/>
              </w:rPr>
              <w:t>)</w:t>
            </w:r>
          </w:p>
        </w:tc>
      </w:tr>
      <w:tr w:rsidR="008E5163" w:rsidRPr="004E03F0" w14:paraId="51A93FAC" w14:textId="77777777" w:rsidTr="00415F5D">
        <w:trPr>
          <w:trHeight w:val="438"/>
        </w:trPr>
        <w:tc>
          <w:tcPr>
            <w:tcW w:w="1620" w:type="dxa"/>
            <w:shd w:val="clear" w:color="auto" w:fill="auto"/>
          </w:tcPr>
          <w:p w14:paraId="26933D6E" w14:textId="77777777" w:rsidR="008E5163" w:rsidRPr="004E03F0" w:rsidRDefault="008E5163" w:rsidP="00415F5D">
            <w:pPr>
              <w:tabs>
                <w:tab w:val="left" w:pos="567"/>
              </w:tabs>
              <w:spacing w:line="240" w:lineRule="atLeast"/>
              <w:jc w:val="center"/>
              <w:rPr>
                <w:rFonts w:eastAsia="Times New Roman"/>
              </w:rPr>
            </w:pPr>
            <w:r w:rsidRPr="004E03F0">
              <w:t>≥ 60 to &lt; 100</w:t>
            </w:r>
          </w:p>
        </w:tc>
        <w:tc>
          <w:tcPr>
            <w:tcW w:w="1782" w:type="dxa"/>
            <w:shd w:val="clear" w:color="auto" w:fill="auto"/>
          </w:tcPr>
          <w:p w14:paraId="79A87668" w14:textId="77777777" w:rsidR="008E5163" w:rsidRPr="004E03F0" w:rsidRDefault="008E5163" w:rsidP="0013150D">
            <w:pPr>
              <w:tabs>
                <w:tab w:val="left" w:pos="567"/>
              </w:tabs>
              <w:spacing w:line="240" w:lineRule="atLeast"/>
              <w:jc w:val="center"/>
              <w:rPr>
                <w:rFonts w:eastAsia="Times New Roman"/>
              </w:rPr>
            </w:pPr>
            <w:r w:rsidRPr="004E03F0">
              <w:rPr>
                <w:rFonts w:eastAsia="Times New Roman"/>
              </w:rPr>
              <w:t>3300</w:t>
            </w:r>
          </w:p>
        </w:tc>
        <w:tc>
          <w:tcPr>
            <w:tcW w:w="1188" w:type="dxa"/>
          </w:tcPr>
          <w:p w14:paraId="4ED35EA1" w14:textId="77777777" w:rsidR="008E5163" w:rsidRPr="004E03F0" w:rsidRDefault="008E5163" w:rsidP="0013150D">
            <w:pPr>
              <w:tabs>
                <w:tab w:val="left" w:pos="567"/>
              </w:tabs>
              <w:spacing w:line="240" w:lineRule="atLeast"/>
              <w:jc w:val="center"/>
              <w:rPr>
                <w:rFonts w:eastAsia="Times New Roman"/>
              </w:rPr>
            </w:pPr>
            <w:r w:rsidRPr="004E03F0">
              <w:rPr>
                <w:rFonts w:eastAsia="Times New Roman"/>
              </w:rPr>
              <w:t>330</w:t>
            </w:r>
          </w:p>
        </w:tc>
        <w:tc>
          <w:tcPr>
            <w:tcW w:w="1620" w:type="dxa"/>
          </w:tcPr>
          <w:p w14:paraId="1DE2213B" w14:textId="77777777" w:rsidR="008E5163" w:rsidRPr="004E03F0" w:rsidRDefault="008E5163" w:rsidP="0013150D">
            <w:pPr>
              <w:tabs>
                <w:tab w:val="left" w:pos="567"/>
              </w:tabs>
              <w:spacing w:line="240" w:lineRule="atLeast"/>
              <w:jc w:val="center"/>
              <w:rPr>
                <w:rFonts w:eastAsia="Times New Roman"/>
              </w:rPr>
            </w:pPr>
            <w:r w:rsidRPr="004E03F0">
              <w:rPr>
                <w:rFonts w:eastAsia="Times New Roman"/>
              </w:rPr>
              <w:t>330</w:t>
            </w:r>
          </w:p>
        </w:tc>
        <w:tc>
          <w:tcPr>
            <w:tcW w:w="1020" w:type="dxa"/>
            <w:shd w:val="clear" w:color="auto" w:fill="auto"/>
          </w:tcPr>
          <w:p w14:paraId="072186A4" w14:textId="77777777" w:rsidR="008E5163" w:rsidRPr="004E03F0" w:rsidRDefault="008E5163" w:rsidP="0013150D">
            <w:pPr>
              <w:tabs>
                <w:tab w:val="left" w:pos="567"/>
              </w:tabs>
              <w:spacing w:line="240" w:lineRule="atLeast"/>
              <w:jc w:val="center"/>
              <w:rPr>
                <w:rFonts w:eastAsia="Times New Roman"/>
              </w:rPr>
            </w:pPr>
            <w:r w:rsidRPr="004E03F0">
              <w:rPr>
                <w:rFonts w:eastAsia="Times New Roman"/>
              </w:rPr>
              <w:t>660</w:t>
            </w:r>
          </w:p>
        </w:tc>
        <w:tc>
          <w:tcPr>
            <w:tcW w:w="2091" w:type="dxa"/>
            <w:shd w:val="clear" w:color="auto" w:fill="auto"/>
          </w:tcPr>
          <w:p w14:paraId="2C36E984" w14:textId="77777777" w:rsidR="008E5163" w:rsidRPr="004E03F0" w:rsidRDefault="008E5163" w:rsidP="0013150D">
            <w:pPr>
              <w:tabs>
                <w:tab w:val="left" w:pos="567"/>
              </w:tabs>
              <w:spacing w:line="240" w:lineRule="atLeast"/>
              <w:jc w:val="center"/>
              <w:rPr>
                <w:rFonts w:eastAsia="Times New Roman"/>
              </w:rPr>
            </w:pPr>
            <w:r w:rsidRPr="004E03F0">
              <w:rPr>
                <w:rFonts w:eastAsia="Times New Roman"/>
              </w:rPr>
              <w:t>120 (2.0)</w:t>
            </w:r>
          </w:p>
        </w:tc>
      </w:tr>
      <w:tr w:rsidR="008E5163" w:rsidRPr="004E03F0" w14:paraId="575A755D" w14:textId="77777777" w:rsidTr="00415F5D">
        <w:trPr>
          <w:trHeight w:val="456"/>
        </w:trPr>
        <w:tc>
          <w:tcPr>
            <w:tcW w:w="1620" w:type="dxa"/>
            <w:shd w:val="clear" w:color="auto" w:fill="auto"/>
          </w:tcPr>
          <w:p w14:paraId="64FC97B4" w14:textId="77777777" w:rsidR="008E5163" w:rsidRPr="004E03F0" w:rsidRDefault="008E5163" w:rsidP="00415F5D">
            <w:pPr>
              <w:tabs>
                <w:tab w:val="left" w:pos="567"/>
              </w:tabs>
              <w:spacing w:line="240" w:lineRule="atLeast"/>
              <w:jc w:val="center"/>
              <w:rPr>
                <w:rFonts w:eastAsia="Times New Roman"/>
              </w:rPr>
            </w:pPr>
            <w:r w:rsidRPr="004E03F0">
              <w:t>≥ 100</w:t>
            </w:r>
          </w:p>
        </w:tc>
        <w:tc>
          <w:tcPr>
            <w:tcW w:w="1782" w:type="dxa"/>
            <w:shd w:val="clear" w:color="auto" w:fill="auto"/>
          </w:tcPr>
          <w:p w14:paraId="4954B5A6" w14:textId="77777777" w:rsidR="008E5163" w:rsidRPr="004E03F0" w:rsidRDefault="008E5163" w:rsidP="0013150D">
            <w:pPr>
              <w:tabs>
                <w:tab w:val="left" w:pos="567"/>
              </w:tabs>
              <w:spacing w:line="240" w:lineRule="atLeast"/>
              <w:jc w:val="center"/>
              <w:rPr>
                <w:rFonts w:eastAsia="Times New Roman"/>
              </w:rPr>
            </w:pPr>
            <w:r w:rsidRPr="004E03F0">
              <w:rPr>
                <w:rFonts w:eastAsia="Times New Roman"/>
              </w:rPr>
              <w:t>3600</w:t>
            </w:r>
          </w:p>
        </w:tc>
        <w:tc>
          <w:tcPr>
            <w:tcW w:w="1188" w:type="dxa"/>
          </w:tcPr>
          <w:p w14:paraId="51C9724D" w14:textId="77777777" w:rsidR="008E5163" w:rsidRPr="004E03F0" w:rsidRDefault="008E5163" w:rsidP="0013150D">
            <w:pPr>
              <w:tabs>
                <w:tab w:val="left" w:pos="567"/>
              </w:tabs>
              <w:spacing w:line="240" w:lineRule="atLeast"/>
              <w:jc w:val="center"/>
              <w:rPr>
                <w:rFonts w:eastAsia="Times New Roman"/>
              </w:rPr>
            </w:pPr>
            <w:r w:rsidRPr="004E03F0">
              <w:rPr>
                <w:rFonts w:eastAsia="Times New Roman"/>
              </w:rPr>
              <w:t>360</w:t>
            </w:r>
          </w:p>
        </w:tc>
        <w:tc>
          <w:tcPr>
            <w:tcW w:w="1620" w:type="dxa"/>
          </w:tcPr>
          <w:p w14:paraId="3832DB60" w14:textId="77777777" w:rsidR="008E5163" w:rsidRPr="004E03F0" w:rsidRDefault="008E5163" w:rsidP="0013150D">
            <w:pPr>
              <w:tabs>
                <w:tab w:val="left" w:pos="567"/>
              </w:tabs>
              <w:spacing w:line="240" w:lineRule="atLeast"/>
              <w:jc w:val="center"/>
              <w:rPr>
                <w:rFonts w:eastAsia="Times New Roman"/>
              </w:rPr>
            </w:pPr>
            <w:r w:rsidRPr="004E03F0">
              <w:rPr>
                <w:rFonts w:eastAsia="Times New Roman"/>
              </w:rPr>
              <w:t>360</w:t>
            </w:r>
          </w:p>
        </w:tc>
        <w:tc>
          <w:tcPr>
            <w:tcW w:w="1020" w:type="dxa"/>
            <w:shd w:val="clear" w:color="auto" w:fill="auto"/>
          </w:tcPr>
          <w:p w14:paraId="1216BED4" w14:textId="77777777" w:rsidR="008E5163" w:rsidRPr="004E03F0" w:rsidRDefault="008E5163" w:rsidP="0013150D">
            <w:pPr>
              <w:tabs>
                <w:tab w:val="left" w:pos="567"/>
              </w:tabs>
              <w:spacing w:line="240" w:lineRule="atLeast"/>
              <w:jc w:val="center"/>
              <w:rPr>
                <w:rFonts w:eastAsia="Times New Roman"/>
              </w:rPr>
            </w:pPr>
            <w:r w:rsidRPr="004E03F0">
              <w:rPr>
                <w:rFonts w:eastAsia="Times New Roman"/>
              </w:rPr>
              <w:t>720</w:t>
            </w:r>
          </w:p>
        </w:tc>
        <w:tc>
          <w:tcPr>
            <w:tcW w:w="2091" w:type="dxa"/>
            <w:shd w:val="clear" w:color="auto" w:fill="auto"/>
          </w:tcPr>
          <w:p w14:paraId="0DA39366" w14:textId="77777777" w:rsidR="008E5163" w:rsidRPr="004E03F0" w:rsidRDefault="008E5163" w:rsidP="0013150D">
            <w:pPr>
              <w:tabs>
                <w:tab w:val="left" w:pos="567"/>
              </w:tabs>
              <w:spacing w:line="240" w:lineRule="atLeast"/>
              <w:jc w:val="center"/>
              <w:rPr>
                <w:rFonts w:eastAsia="Times New Roman"/>
              </w:rPr>
            </w:pPr>
            <w:r w:rsidRPr="004E03F0">
              <w:rPr>
                <w:rFonts w:eastAsia="Times New Roman"/>
              </w:rPr>
              <w:t>132 (2.2)</w:t>
            </w:r>
          </w:p>
        </w:tc>
      </w:tr>
    </w:tbl>
    <w:p w14:paraId="44554B4C" w14:textId="61AD7A2F" w:rsidR="008E5163" w:rsidRDefault="008E5163" w:rsidP="006C5DE0">
      <w:pPr>
        <w:spacing w:after="0" w:line="240" w:lineRule="atLeast"/>
        <w:ind w:left="142"/>
        <w:rPr>
          <w:sz w:val="18"/>
          <w:szCs w:val="18"/>
        </w:rPr>
      </w:pPr>
      <w:proofErr w:type="spellStart"/>
      <w:r w:rsidRPr="00E04F99">
        <w:rPr>
          <w:sz w:val="18"/>
          <w:szCs w:val="18"/>
          <w:vertAlign w:val="superscript"/>
        </w:rPr>
        <w:t>a</w:t>
      </w:r>
      <w:r>
        <w:rPr>
          <w:sz w:val="18"/>
          <w:szCs w:val="18"/>
        </w:rPr>
        <w:t>Body</w:t>
      </w:r>
      <w:proofErr w:type="spellEnd"/>
      <w:r>
        <w:rPr>
          <w:sz w:val="18"/>
          <w:szCs w:val="18"/>
        </w:rPr>
        <w:t xml:space="preserve"> </w:t>
      </w:r>
      <w:r w:rsidR="00707339">
        <w:rPr>
          <w:sz w:val="18"/>
          <w:szCs w:val="18"/>
        </w:rPr>
        <w:t>weight at time of treatment</w:t>
      </w:r>
    </w:p>
    <w:p w14:paraId="17368CA3" w14:textId="1D72EF44" w:rsidR="00415F5D" w:rsidRDefault="008E5163" w:rsidP="006C5DE0">
      <w:pPr>
        <w:spacing w:after="0" w:line="240" w:lineRule="auto"/>
        <w:ind w:left="142"/>
        <w:rPr>
          <w:sz w:val="18"/>
          <w:szCs w:val="18"/>
        </w:rPr>
      </w:pPr>
      <w:proofErr w:type="spellStart"/>
      <w:r w:rsidRPr="00E04F99">
        <w:rPr>
          <w:sz w:val="18"/>
          <w:szCs w:val="18"/>
          <w:vertAlign w:val="superscript"/>
        </w:rPr>
        <w:t>b</w:t>
      </w:r>
      <w:r w:rsidR="00415F5D">
        <w:rPr>
          <w:sz w:val="18"/>
          <w:szCs w:val="18"/>
        </w:rPr>
        <w:t>The</w:t>
      </w:r>
      <w:proofErr w:type="spellEnd"/>
      <w:r w:rsidR="00415F5D">
        <w:rPr>
          <w:sz w:val="18"/>
          <w:szCs w:val="18"/>
        </w:rPr>
        <w:t xml:space="preserve"> volume in each </w:t>
      </w:r>
      <w:proofErr w:type="spellStart"/>
      <w:r w:rsidR="00415F5D">
        <w:rPr>
          <w:sz w:val="18"/>
          <w:szCs w:val="18"/>
        </w:rPr>
        <w:t>Ultomiris</w:t>
      </w:r>
      <w:proofErr w:type="spellEnd"/>
      <w:r w:rsidR="00415F5D">
        <w:rPr>
          <w:sz w:val="18"/>
          <w:szCs w:val="18"/>
        </w:rPr>
        <w:t xml:space="preserve"> vial is 30</w:t>
      </w:r>
      <w:r w:rsidR="009D2613">
        <w:rPr>
          <w:sz w:val="18"/>
          <w:szCs w:val="18"/>
        </w:rPr>
        <w:t xml:space="preserve"> </w:t>
      </w:r>
      <w:r w:rsidR="00415F5D">
        <w:rPr>
          <w:sz w:val="18"/>
          <w:szCs w:val="18"/>
        </w:rPr>
        <w:t>mL</w:t>
      </w:r>
    </w:p>
    <w:p w14:paraId="22BDFD84" w14:textId="2ECA21E1" w:rsidR="00415F5D" w:rsidRDefault="00415F5D" w:rsidP="006C5DE0">
      <w:pPr>
        <w:spacing w:after="0" w:line="240" w:lineRule="auto"/>
        <w:ind w:left="142"/>
        <w:rPr>
          <w:sz w:val="18"/>
          <w:szCs w:val="18"/>
        </w:rPr>
      </w:pPr>
      <w:proofErr w:type="spellStart"/>
      <w:r>
        <w:rPr>
          <w:sz w:val="18"/>
          <w:szCs w:val="18"/>
          <w:vertAlign w:val="superscript"/>
        </w:rPr>
        <w:t>c</w:t>
      </w:r>
      <w:r w:rsidRPr="009C210F">
        <w:rPr>
          <w:sz w:val="18"/>
          <w:szCs w:val="18"/>
        </w:rPr>
        <w:t>Ultomiris</w:t>
      </w:r>
      <w:proofErr w:type="spellEnd"/>
      <w:r w:rsidRPr="009C210F">
        <w:rPr>
          <w:sz w:val="18"/>
          <w:szCs w:val="18"/>
        </w:rPr>
        <w:t xml:space="preserve"> should only be diluted using 0.9% sodium chloride injection USP</w:t>
      </w:r>
    </w:p>
    <w:p w14:paraId="6DB3828C" w14:textId="77777777" w:rsidR="00415F5D" w:rsidRPr="004E03F0" w:rsidRDefault="00415F5D" w:rsidP="00415F5D">
      <w:pPr>
        <w:pStyle w:val="Heading3"/>
      </w:pPr>
      <w:r>
        <w:rPr>
          <w:lang w:val="en-US"/>
        </w:rPr>
        <w:t>A</w:t>
      </w:r>
      <w:r w:rsidRPr="000A29F3">
        <w:rPr>
          <w:lang w:val="en-US"/>
        </w:rPr>
        <w:t>dministration</w:t>
      </w:r>
    </w:p>
    <w:p w14:paraId="1AA42DA5" w14:textId="77777777" w:rsidR="00415F5D" w:rsidRPr="00304A5F" w:rsidRDefault="00415F5D" w:rsidP="00415F5D">
      <w:pPr>
        <w:rPr>
          <w:i/>
        </w:rPr>
      </w:pPr>
      <w:r w:rsidRPr="00304A5F">
        <w:rPr>
          <w:i/>
        </w:rPr>
        <w:t>Do not administer as an intravenous push or bolus injection.</w:t>
      </w:r>
    </w:p>
    <w:p w14:paraId="2777E54A" w14:textId="72AC6250" w:rsidR="00415F5D" w:rsidRPr="00ED66AA" w:rsidRDefault="00415F5D" w:rsidP="00415F5D">
      <w:r w:rsidRPr="00ED66AA">
        <w:t>The prepared solution should be administered immediately following preparation. Refer to the</w:t>
      </w:r>
      <w:r>
        <w:t xml:space="preserve"> administration reference tables</w:t>
      </w:r>
      <w:r w:rsidRPr="00ED66AA">
        <w:t xml:space="preserve"> </w:t>
      </w:r>
      <w:r w:rsidR="006B4C76">
        <w:t>above</w:t>
      </w:r>
      <w:r w:rsidRPr="00ED66AA">
        <w:t xml:space="preserve"> for minimum infusion duration. If the medicinal product is not used immediately after reconstitution, storage times </w:t>
      </w:r>
      <w:r w:rsidR="007B3D88">
        <w:t xml:space="preserve">must not exceed 24 hours </w:t>
      </w:r>
      <w:r w:rsidRPr="00ED66AA">
        <w:t>at 2°C – 8°</w:t>
      </w:r>
      <w:proofErr w:type="gramStart"/>
      <w:r w:rsidRPr="00ED66AA">
        <w:t xml:space="preserve">C </w:t>
      </w:r>
      <w:r w:rsidR="007B3D88">
        <w:t xml:space="preserve"> or</w:t>
      </w:r>
      <w:proofErr w:type="gramEnd"/>
      <w:r w:rsidR="007B3D88">
        <w:t xml:space="preserve"> 6 hours at room temperature</w:t>
      </w:r>
      <w:r w:rsidRPr="00ED66AA">
        <w:t xml:space="preserve"> taking into account the expected infusion time.</w:t>
      </w:r>
      <w:r>
        <w:t xml:space="preserve"> </w:t>
      </w:r>
      <w:r w:rsidRPr="00ED66AA">
        <w:t>Infusion must be administered through a 0.2 µm filter.</w:t>
      </w:r>
    </w:p>
    <w:p w14:paraId="3DA41343" w14:textId="77777777" w:rsidR="00E62FB8" w:rsidRPr="000A29F3" w:rsidRDefault="00E62FB8" w:rsidP="00ED66AA">
      <w:pPr>
        <w:pStyle w:val="Heading3"/>
      </w:pPr>
      <w:r w:rsidRPr="00E62FB8">
        <w:rPr>
          <w:lang w:val="en-US"/>
        </w:rPr>
        <w:lastRenderedPageBreak/>
        <w:t>Special Populations</w:t>
      </w:r>
    </w:p>
    <w:p w14:paraId="5A83C0D6" w14:textId="77777777" w:rsidR="00E62FB8" w:rsidRPr="00D773E2" w:rsidRDefault="00E62FB8" w:rsidP="00D773E2">
      <w:r w:rsidRPr="000A29F3">
        <w:rPr>
          <w:i/>
          <w:u w:val="single"/>
        </w:rPr>
        <w:t>P</w:t>
      </w:r>
      <w:r w:rsidR="000C625C">
        <w:rPr>
          <w:i/>
          <w:u w:val="single"/>
        </w:rPr>
        <w:t>a</w:t>
      </w:r>
      <w:r w:rsidRPr="000A29F3">
        <w:rPr>
          <w:i/>
          <w:u w:val="single"/>
        </w:rPr>
        <w:t>ediatric population</w:t>
      </w:r>
      <w:r w:rsidR="000A29F3" w:rsidRPr="000A29F3">
        <w:rPr>
          <w:i/>
          <w:u w:val="single"/>
        </w:rPr>
        <w:t>:</w:t>
      </w:r>
      <w:r w:rsidR="000A29F3">
        <w:rPr>
          <w:u w:val="single"/>
        </w:rPr>
        <w:t xml:space="preserve"> </w:t>
      </w:r>
      <w:r w:rsidRPr="00D773E2">
        <w:t xml:space="preserve">The safety and efficacy of </w:t>
      </w:r>
      <w:proofErr w:type="spellStart"/>
      <w:r w:rsidRPr="00D773E2">
        <w:t>Ultomiris</w:t>
      </w:r>
      <w:proofErr w:type="spellEnd"/>
      <w:r w:rsidRPr="00D773E2">
        <w:t xml:space="preserve"> in children with PNH </w:t>
      </w:r>
      <w:r w:rsidR="001D7362">
        <w:t>(</w:t>
      </w:r>
      <w:r w:rsidRPr="00D773E2">
        <w:t>&lt;18 y</w:t>
      </w:r>
      <w:r w:rsidR="000A29F3" w:rsidRPr="00D773E2">
        <w:t>ears</w:t>
      </w:r>
      <w:r w:rsidR="00526737">
        <w:t>)</w:t>
      </w:r>
      <w:r w:rsidR="000A29F3" w:rsidRPr="00D773E2">
        <w:t xml:space="preserve"> have not been established.</w:t>
      </w:r>
    </w:p>
    <w:p w14:paraId="0B89C73C" w14:textId="77777777" w:rsidR="00E62FB8" w:rsidRPr="000C625C" w:rsidRDefault="000A29F3" w:rsidP="00D773E2">
      <w:r w:rsidRPr="000A29F3">
        <w:rPr>
          <w:i/>
          <w:u w:val="single"/>
        </w:rPr>
        <w:t>Elderly</w:t>
      </w:r>
      <w:r>
        <w:rPr>
          <w:i/>
          <w:u w:val="single"/>
        </w:rPr>
        <w:t xml:space="preserve"> (&gt; 65 years old</w:t>
      </w:r>
      <w:r w:rsidR="00304A5F">
        <w:rPr>
          <w:i/>
          <w:u w:val="single"/>
        </w:rPr>
        <w:t>)</w:t>
      </w:r>
      <w:r>
        <w:rPr>
          <w:i/>
          <w:u w:val="single"/>
        </w:rPr>
        <w:t xml:space="preserve">: </w:t>
      </w:r>
      <w:proofErr w:type="spellStart"/>
      <w:r w:rsidR="00E62FB8" w:rsidRPr="000C625C">
        <w:t>Ultomiris</w:t>
      </w:r>
      <w:proofErr w:type="spellEnd"/>
      <w:r w:rsidR="00E62FB8" w:rsidRPr="000C625C">
        <w:t xml:space="preserve"> may be administered to patients with PNH aged 65 years and over. There is no evidence indicating any special precautions are required for treating a</w:t>
      </w:r>
      <w:r w:rsidR="00304A5F">
        <w:t>n elderly</w:t>
      </w:r>
      <w:r w:rsidR="00E62FB8" w:rsidRPr="000C625C">
        <w:t xml:space="preserve"> population.</w:t>
      </w:r>
    </w:p>
    <w:p w14:paraId="3FACF514" w14:textId="77777777" w:rsidR="00E62FB8" w:rsidRPr="000C625C" w:rsidRDefault="00E62FB8" w:rsidP="00D773E2">
      <w:r w:rsidRPr="000A29F3">
        <w:rPr>
          <w:i/>
          <w:u w:val="single"/>
        </w:rPr>
        <w:t xml:space="preserve">Aplastic </w:t>
      </w:r>
      <w:r w:rsidR="00A7709E">
        <w:rPr>
          <w:i/>
          <w:u w:val="single"/>
        </w:rPr>
        <w:t>a</w:t>
      </w:r>
      <w:r w:rsidRPr="000A29F3">
        <w:rPr>
          <w:i/>
          <w:u w:val="single"/>
        </w:rPr>
        <w:t>n</w:t>
      </w:r>
      <w:r w:rsidR="000C625C">
        <w:rPr>
          <w:i/>
          <w:u w:val="single"/>
        </w:rPr>
        <w:t>a</w:t>
      </w:r>
      <w:r w:rsidRPr="000A29F3">
        <w:rPr>
          <w:i/>
          <w:u w:val="single"/>
        </w:rPr>
        <w:t xml:space="preserve">emia </w:t>
      </w:r>
      <w:r w:rsidR="00A7709E">
        <w:rPr>
          <w:i/>
          <w:u w:val="single"/>
        </w:rPr>
        <w:t>p</w:t>
      </w:r>
      <w:r w:rsidRPr="000A29F3">
        <w:rPr>
          <w:i/>
          <w:u w:val="single"/>
        </w:rPr>
        <w:t>atients</w:t>
      </w:r>
      <w:r w:rsidR="000A29F3">
        <w:rPr>
          <w:u w:val="single"/>
        </w:rPr>
        <w:t xml:space="preserve">: </w:t>
      </w:r>
      <w:proofErr w:type="spellStart"/>
      <w:r w:rsidRPr="000C625C">
        <w:t>Ultomiris</w:t>
      </w:r>
      <w:proofErr w:type="spellEnd"/>
      <w:r w:rsidRPr="000C625C">
        <w:t xml:space="preserve"> may be administered to patients with PNH treated with concomitant medications for aplastic </w:t>
      </w:r>
      <w:r w:rsidR="000C625C" w:rsidRPr="000C625C">
        <w:t>anaemia</w:t>
      </w:r>
      <w:r w:rsidRPr="000C625C">
        <w:t xml:space="preserve"> (including immunosuppressive therapies). There is no evidence indicating any special precautions are required for treating patients with aplastic an</w:t>
      </w:r>
      <w:r w:rsidR="000C625C" w:rsidRPr="000C625C">
        <w:t>a</w:t>
      </w:r>
      <w:r w:rsidRPr="000C625C">
        <w:t>emia.</w:t>
      </w:r>
    </w:p>
    <w:p w14:paraId="6942E784" w14:textId="77777777" w:rsidR="00E62FB8" w:rsidRPr="000A29F3" w:rsidRDefault="00E62FB8" w:rsidP="00D773E2">
      <w:r w:rsidRPr="000A29F3">
        <w:rPr>
          <w:i/>
          <w:u w:val="single"/>
        </w:rPr>
        <w:t>Renal and Hepatic Impairment</w:t>
      </w:r>
      <w:r w:rsidR="000A29F3">
        <w:rPr>
          <w:u w:val="single"/>
        </w:rPr>
        <w:t xml:space="preserve">: </w:t>
      </w:r>
      <w:r w:rsidRPr="00D773E2">
        <w:t xml:space="preserve">Studies have not been conducted to examine the effects of renal or hepatic impairment.  There is no evidence that dose adjustments are required in patients with renal or hepatic impairment, see </w:t>
      </w:r>
      <w:r w:rsidRPr="002672D9">
        <w:rPr>
          <w:i/>
        </w:rPr>
        <w:t>section 5.1</w:t>
      </w:r>
      <w:r w:rsidR="000A29F3" w:rsidRPr="002672D9">
        <w:rPr>
          <w:i/>
        </w:rPr>
        <w:t xml:space="preserve"> </w:t>
      </w:r>
      <w:proofErr w:type="spellStart"/>
      <w:r w:rsidR="000A29F3" w:rsidRPr="002672D9">
        <w:rPr>
          <w:i/>
        </w:rPr>
        <w:t>Pharmacodynamic</w:t>
      </w:r>
      <w:proofErr w:type="spellEnd"/>
      <w:r w:rsidR="000A29F3" w:rsidRPr="002672D9">
        <w:rPr>
          <w:i/>
        </w:rPr>
        <w:t xml:space="preserve"> Properties</w:t>
      </w:r>
      <w:r w:rsidRPr="00E62FB8">
        <w:t>.</w:t>
      </w:r>
    </w:p>
    <w:p w14:paraId="46B89855" w14:textId="77777777" w:rsidR="001A3992" w:rsidRDefault="001A3992" w:rsidP="000A29F3">
      <w:pPr>
        <w:pStyle w:val="Heading2"/>
      </w:pPr>
      <w:r w:rsidRPr="000A29F3">
        <w:t>Contraindications</w:t>
      </w:r>
    </w:p>
    <w:p w14:paraId="32B8C581" w14:textId="77777777" w:rsidR="00A3376D" w:rsidRDefault="006B4C76" w:rsidP="00D773E2">
      <w:r>
        <w:t>Known h</w:t>
      </w:r>
      <w:r w:rsidR="00A3376D">
        <w:t xml:space="preserve">ypersensitivity to </w:t>
      </w:r>
      <w:proofErr w:type="spellStart"/>
      <w:r w:rsidR="00A3376D">
        <w:t>ravulizumab</w:t>
      </w:r>
      <w:proofErr w:type="spellEnd"/>
      <w:r w:rsidR="002D766F">
        <w:t xml:space="preserve"> </w:t>
      </w:r>
      <w:proofErr w:type="spellStart"/>
      <w:r w:rsidR="002D766F" w:rsidRPr="002D766F">
        <w:rPr>
          <w:i/>
        </w:rPr>
        <w:t>rch</w:t>
      </w:r>
      <w:proofErr w:type="spellEnd"/>
      <w:r w:rsidR="00A3376D">
        <w:t xml:space="preserve"> or to any of the excipients listed in </w:t>
      </w:r>
      <w:r w:rsidR="00A3376D" w:rsidRPr="0095702A">
        <w:rPr>
          <w:i/>
        </w:rPr>
        <w:t>section 6.1 List of Excipients</w:t>
      </w:r>
      <w:r w:rsidR="00A3376D">
        <w:t>.</w:t>
      </w:r>
    </w:p>
    <w:p w14:paraId="757DAA6B" w14:textId="77777777" w:rsidR="000C625C" w:rsidRDefault="000C625C" w:rsidP="00D773E2">
      <w:r w:rsidRPr="000C625C">
        <w:t xml:space="preserve">Do not initiate </w:t>
      </w:r>
      <w:proofErr w:type="spellStart"/>
      <w:r w:rsidRPr="004E03F0">
        <w:t>Ultomiris</w:t>
      </w:r>
      <w:proofErr w:type="spellEnd"/>
      <w:r w:rsidRPr="000C625C">
        <w:t xml:space="preserve"> therapy in patients with unresolved </w:t>
      </w:r>
      <w:r w:rsidRPr="000C625C">
        <w:rPr>
          <w:i/>
        </w:rPr>
        <w:t xml:space="preserve">Neisseria </w:t>
      </w:r>
      <w:proofErr w:type="spellStart"/>
      <w:r w:rsidRPr="000C625C">
        <w:rPr>
          <w:i/>
        </w:rPr>
        <w:t>meningitidis</w:t>
      </w:r>
      <w:proofErr w:type="spellEnd"/>
      <w:r w:rsidRPr="000C625C">
        <w:t xml:space="preserve"> infection, see </w:t>
      </w:r>
      <w:r w:rsidR="00E22BF5" w:rsidRPr="002672D9">
        <w:rPr>
          <w:i/>
        </w:rPr>
        <w:t>s</w:t>
      </w:r>
      <w:r w:rsidRPr="002672D9">
        <w:rPr>
          <w:i/>
        </w:rPr>
        <w:t>ection 4.4. Special Warnings and Precautions for Use</w:t>
      </w:r>
      <w:r w:rsidR="00B85811" w:rsidRPr="002672D9">
        <w:rPr>
          <w:i/>
        </w:rPr>
        <w:t>; Serious Meningococcal Infectio</w:t>
      </w:r>
      <w:r w:rsidR="00B85811">
        <w:t>n</w:t>
      </w:r>
      <w:r>
        <w:t>.</w:t>
      </w:r>
    </w:p>
    <w:p w14:paraId="70FFD2CA" w14:textId="77777777" w:rsidR="001A3992" w:rsidRDefault="00E74A56" w:rsidP="000A29F3">
      <w:pPr>
        <w:pStyle w:val="Heading2"/>
      </w:pPr>
      <w:r w:rsidRPr="000A29F3">
        <w:t>Special warnings and p</w:t>
      </w:r>
      <w:r w:rsidR="001A3992" w:rsidRPr="000A29F3">
        <w:t xml:space="preserve">recautions </w:t>
      </w:r>
      <w:r w:rsidRPr="000A29F3">
        <w:t>for use</w:t>
      </w:r>
    </w:p>
    <w:p w14:paraId="21467C68" w14:textId="77777777" w:rsidR="00B00D5F" w:rsidRPr="004E03F0" w:rsidRDefault="00B00D5F" w:rsidP="00B00D5F">
      <w:pPr>
        <w:pStyle w:val="Heading3"/>
      </w:pPr>
      <w:r w:rsidRPr="004E03F0">
        <w:t xml:space="preserve">Serious Meningococcal </w:t>
      </w:r>
      <w:r w:rsidR="00B85811">
        <w:t>I</w:t>
      </w:r>
      <w:r w:rsidRPr="004E03F0">
        <w:t>nfection</w:t>
      </w:r>
    </w:p>
    <w:p w14:paraId="281F6059" w14:textId="14EA57C3" w:rsidR="00B85811" w:rsidRPr="004E03F0" w:rsidRDefault="00B00D5F" w:rsidP="00B85811">
      <w:pPr>
        <w:rPr>
          <w:u w:val="single"/>
        </w:rPr>
      </w:pPr>
      <w:r w:rsidRPr="004E03F0">
        <w:t xml:space="preserve">Due to its mechanism of action, the use of </w:t>
      </w:r>
      <w:proofErr w:type="spellStart"/>
      <w:r w:rsidRPr="004E03F0">
        <w:t>Ultomiris</w:t>
      </w:r>
      <w:proofErr w:type="spellEnd"/>
      <w:r w:rsidRPr="004E03F0">
        <w:t xml:space="preserve"> increases the patient's susceptibility to meningococcal infection/sepsis </w:t>
      </w:r>
      <w:r w:rsidRPr="004E03F0">
        <w:rPr>
          <w:i/>
        </w:rPr>
        <w:t>(</w:t>
      </w:r>
      <w:r>
        <w:rPr>
          <w:i/>
        </w:rPr>
        <w:t xml:space="preserve">Neisseria </w:t>
      </w:r>
      <w:proofErr w:type="spellStart"/>
      <w:r>
        <w:rPr>
          <w:i/>
        </w:rPr>
        <w:t>meningitid</w:t>
      </w:r>
      <w:r w:rsidR="00B85811">
        <w:rPr>
          <w:i/>
        </w:rPr>
        <w:t>i</w:t>
      </w:r>
      <w:r w:rsidRPr="00E04F99">
        <w:rPr>
          <w:i/>
        </w:rPr>
        <w:t>s</w:t>
      </w:r>
      <w:proofErr w:type="spellEnd"/>
      <w:r w:rsidRPr="004E03F0">
        <w:rPr>
          <w:i/>
        </w:rPr>
        <w:t>)</w:t>
      </w:r>
      <w:r w:rsidRPr="004E03F0">
        <w:t xml:space="preserve">. Meningococcal </w:t>
      </w:r>
      <w:r>
        <w:t>infection</w:t>
      </w:r>
      <w:r w:rsidRPr="004E03F0">
        <w:t xml:space="preserve"> due to any </w:t>
      </w:r>
      <w:proofErr w:type="spellStart"/>
      <w:r w:rsidRPr="004E03F0">
        <w:t>serogroup</w:t>
      </w:r>
      <w:proofErr w:type="spellEnd"/>
      <w:r w:rsidRPr="004E03F0">
        <w:t xml:space="preserve"> may occur. To reduce this risk of infection, all patients must be vaccinated </w:t>
      </w:r>
      <w:r w:rsidR="001C21F8">
        <w:t xml:space="preserve">against meningococcal infections </w:t>
      </w:r>
      <w:r w:rsidR="00BF2130">
        <w:t xml:space="preserve">at least 2 weeks </w:t>
      </w:r>
      <w:r w:rsidRPr="004E03F0">
        <w:t xml:space="preserve">prior to </w:t>
      </w:r>
      <w:r w:rsidR="00123DFA">
        <w:t>administer</w:t>
      </w:r>
      <w:r w:rsidR="00AD02D1">
        <w:t>ing</w:t>
      </w:r>
      <w:r w:rsidRPr="004E03F0">
        <w:t xml:space="preserve"> </w:t>
      </w:r>
      <w:r w:rsidR="00250AB4">
        <w:t xml:space="preserve">the first dose of </w:t>
      </w:r>
      <w:proofErr w:type="spellStart"/>
      <w:r w:rsidRPr="004E03F0">
        <w:t>Ultomiris</w:t>
      </w:r>
      <w:proofErr w:type="spellEnd"/>
      <w:r w:rsidRPr="004E03F0">
        <w:t xml:space="preserve">. Patients who initiate </w:t>
      </w:r>
      <w:proofErr w:type="spellStart"/>
      <w:r w:rsidRPr="004E03F0">
        <w:t>Ultomiris</w:t>
      </w:r>
      <w:proofErr w:type="spellEnd"/>
      <w:r w:rsidRPr="004E03F0">
        <w:t xml:space="preserve"> treatment less than 2 weeks after receiving a meningococcal vaccine must receive treatment with appropriate prophylactic antibiotics until 2 weeks after vaccination. </w:t>
      </w:r>
      <w:r w:rsidR="00FB4A50">
        <w:t xml:space="preserve"> </w:t>
      </w:r>
      <w:r w:rsidR="00B85811">
        <w:t>V</w:t>
      </w:r>
      <w:r w:rsidR="00B85811" w:rsidRPr="004E03F0">
        <w:t xml:space="preserve">accines against </w:t>
      </w:r>
      <w:proofErr w:type="spellStart"/>
      <w:r w:rsidR="00B85811" w:rsidRPr="004E03F0">
        <w:t>serogroups</w:t>
      </w:r>
      <w:proofErr w:type="spellEnd"/>
      <w:r w:rsidR="00B85811" w:rsidRPr="004E03F0">
        <w:t xml:space="preserve"> A, C, Y, W135 and B where available, are recommended </w:t>
      </w:r>
      <w:r w:rsidR="00B85811">
        <w:t>to reduce the risk of infection with</w:t>
      </w:r>
      <w:r w:rsidR="00B85811" w:rsidRPr="004E03F0">
        <w:t xml:space="preserve"> the commonly pathogenic meningococcal </w:t>
      </w:r>
      <w:proofErr w:type="spellStart"/>
      <w:r w:rsidR="00B85811" w:rsidRPr="004E03F0">
        <w:t>serogroups</w:t>
      </w:r>
      <w:proofErr w:type="spellEnd"/>
      <w:r w:rsidR="00B85811" w:rsidRPr="004E03F0">
        <w:t xml:space="preserve">. Patients must be vaccinated or revaccinated according to current </w:t>
      </w:r>
      <w:r w:rsidR="00A655A4">
        <w:t>medic</w:t>
      </w:r>
      <w:r w:rsidR="00A655A4" w:rsidRPr="004E03F0">
        <w:t xml:space="preserve">al </w:t>
      </w:r>
      <w:r w:rsidR="00B85811" w:rsidRPr="004E03F0">
        <w:t>guidelines for vaccination use.</w:t>
      </w:r>
    </w:p>
    <w:p w14:paraId="56C00382" w14:textId="0C2182BF" w:rsidR="00B00D5F" w:rsidRPr="004E03F0" w:rsidRDefault="00FB4A50" w:rsidP="00D773E2">
      <w:r w:rsidRPr="004E03F0">
        <w:t>Vaccination may not be sufficient to prevent meningococcal infection. Consideration should be given to official guidance on the appropria</w:t>
      </w:r>
      <w:r>
        <w:t xml:space="preserve">te use of antibacterial agents. </w:t>
      </w:r>
      <w:r w:rsidR="00B00D5F" w:rsidRPr="004E03F0">
        <w:t xml:space="preserve">Cases of </w:t>
      </w:r>
      <w:r w:rsidR="005148CC">
        <w:t xml:space="preserve">life-threatening </w:t>
      </w:r>
      <w:r w:rsidR="00B00D5F" w:rsidRPr="004E03F0">
        <w:t xml:space="preserve">meningococcal infections/sepsis have been reported in patients treated with terminal complement inhibitors. All patients should be monitored for early signs of meningococcal infection and sepsis, evaluated immediately if infection is suspected, and treated with appropriate antibiotics. Patients should be informed of these signs and symptoms and steps should be taken to seek medical care immediately. Physicians should provide patients with a </w:t>
      </w:r>
      <w:r w:rsidR="003C1C2B">
        <w:t>P</w:t>
      </w:r>
      <w:r w:rsidR="00B00D5F" w:rsidRPr="004E03F0">
        <w:t>atient</w:t>
      </w:r>
      <w:r w:rsidR="00F66B3C">
        <w:t xml:space="preserve"> Information</w:t>
      </w:r>
      <w:r w:rsidR="003C1C2B">
        <w:t xml:space="preserve"> </w:t>
      </w:r>
      <w:r w:rsidR="00B85811">
        <w:t>Brochure</w:t>
      </w:r>
      <w:r w:rsidR="00B00D5F" w:rsidRPr="004E03F0">
        <w:t xml:space="preserve"> and a </w:t>
      </w:r>
      <w:r w:rsidR="003C1C2B">
        <w:t>Patient S</w:t>
      </w:r>
      <w:r w:rsidR="00B00D5F" w:rsidRPr="004E03F0">
        <w:t xml:space="preserve">afety </w:t>
      </w:r>
      <w:r w:rsidR="003C1C2B">
        <w:t>C</w:t>
      </w:r>
      <w:r w:rsidR="00B00D5F" w:rsidRPr="004E03F0">
        <w:t>ard</w:t>
      </w:r>
      <w:r w:rsidR="00F66B3C">
        <w:t>.</w:t>
      </w:r>
    </w:p>
    <w:p w14:paraId="1F536F84" w14:textId="77777777" w:rsidR="00B85811" w:rsidRPr="004E03F0" w:rsidRDefault="00B85811" w:rsidP="00B85811">
      <w:pPr>
        <w:pStyle w:val="Heading3"/>
      </w:pPr>
      <w:r w:rsidRPr="004E03F0">
        <w:lastRenderedPageBreak/>
        <w:t>Immuni</w:t>
      </w:r>
      <w:r>
        <w:t>s</w:t>
      </w:r>
      <w:r w:rsidRPr="004E03F0">
        <w:t>ation</w:t>
      </w:r>
    </w:p>
    <w:p w14:paraId="5EE9D3E6" w14:textId="77777777" w:rsidR="00B85811" w:rsidRPr="004E03F0" w:rsidRDefault="00B85811" w:rsidP="00B85811">
      <w:pPr>
        <w:rPr>
          <w:u w:val="single"/>
        </w:rPr>
      </w:pPr>
      <w:r w:rsidRPr="004E03F0">
        <w:t>Vaccination may further activate complement. As a result, patients with complement-mediated diseases, including PNH, may experience increased signs and symptoms of their underlying disease, such as h</w:t>
      </w:r>
      <w:r>
        <w:t>a</w:t>
      </w:r>
      <w:r w:rsidRPr="004E03F0">
        <w:t>emolysis. Therefore, patients should be closely monitored for disease symptoms after recommended vaccination.</w:t>
      </w:r>
    </w:p>
    <w:p w14:paraId="4B72FA31" w14:textId="77777777" w:rsidR="0012762A" w:rsidRPr="004E03F0" w:rsidRDefault="0012762A" w:rsidP="0012762A">
      <w:pPr>
        <w:pStyle w:val="Heading3"/>
      </w:pPr>
      <w:r w:rsidRPr="004E03F0">
        <w:t xml:space="preserve">Other </w:t>
      </w:r>
      <w:r w:rsidR="00216692">
        <w:t>S</w:t>
      </w:r>
      <w:r w:rsidRPr="004E03F0">
        <w:t xml:space="preserve">ystemic </w:t>
      </w:r>
      <w:r w:rsidR="00216692">
        <w:t>I</w:t>
      </w:r>
      <w:r w:rsidRPr="004E03F0">
        <w:t>nfections</w:t>
      </w:r>
    </w:p>
    <w:p w14:paraId="14F50943" w14:textId="77B108DE" w:rsidR="0012762A" w:rsidRPr="004E03F0" w:rsidRDefault="0012762A" w:rsidP="0012762A">
      <w:proofErr w:type="spellStart"/>
      <w:r w:rsidRPr="00F66B3C">
        <w:t>Ultomiris</w:t>
      </w:r>
      <w:proofErr w:type="spellEnd"/>
      <w:r w:rsidRPr="004E03F0">
        <w:t xml:space="preserve"> therapy should be administered with caution to patients with active systemic infections. </w:t>
      </w:r>
      <w:proofErr w:type="spellStart"/>
      <w:r w:rsidRPr="00F66B3C">
        <w:t>Ultomiris</w:t>
      </w:r>
      <w:proofErr w:type="spellEnd"/>
      <w:r w:rsidRPr="004E03F0">
        <w:t xml:space="preserve"> blocks terminal complement activation; therefore</w:t>
      </w:r>
      <w:r w:rsidR="00BB04A1">
        <w:t>,</w:t>
      </w:r>
      <w:r w:rsidRPr="004E03F0">
        <w:t xml:space="preserve"> patients may have increased susceptibility to infections, especially infections caused by </w:t>
      </w:r>
      <w:r w:rsidRPr="004E03F0">
        <w:rPr>
          <w:i/>
        </w:rPr>
        <w:t>Neisseria</w:t>
      </w:r>
      <w:r w:rsidRPr="004E03F0">
        <w:t xml:space="preserve"> species.</w:t>
      </w:r>
    </w:p>
    <w:p w14:paraId="1771128E" w14:textId="5BFEC17A" w:rsidR="0012762A" w:rsidRPr="004E03F0" w:rsidRDefault="0012762A" w:rsidP="0012762A">
      <w:r w:rsidRPr="004E03F0">
        <w:t>Patients should be provided wi</w:t>
      </w:r>
      <w:r>
        <w:t xml:space="preserve">th </w:t>
      </w:r>
      <w:r w:rsidR="00B25CB9">
        <w:t>a</w:t>
      </w:r>
      <w:r>
        <w:t xml:space="preserve"> Patient Information </w:t>
      </w:r>
      <w:r w:rsidR="00B85811">
        <w:t>Brochure</w:t>
      </w:r>
      <w:r w:rsidRPr="004E03F0">
        <w:t xml:space="preserve"> to increase their awareness of potential serious infections and their signs and symptoms.</w:t>
      </w:r>
    </w:p>
    <w:p w14:paraId="67E18270" w14:textId="77777777" w:rsidR="00B00D5F" w:rsidRPr="004E03F0" w:rsidRDefault="00B00D5F" w:rsidP="00F66B3C">
      <w:pPr>
        <w:pStyle w:val="Heading3"/>
      </w:pPr>
      <w:r w:rsidRPr="004E03F0">
        <w:t>Infusion Reactions</w:t>
      </w:r>
    </w:p>
    <w:p w14:paraId="5155ED03" w14:textId="2FC64D86" w:rsidR="00B00D5F" w:rsidRPr="004E03F0" w:rsidRDefault="00B00D5F" w:rsidP="00D773E2">
      <w:r w:rsidRPr="004E03F0">
        <w:t xml:space="preserve">Administration of </w:t>
      </w:r>
      <w:proofErr w:type="spellStart"/>
      <w:r w:rsidRPr="004E03F0">
        <w:t>Ultomiris</w:t>
      </w:r>
      <w:proofErr w:type="spellEnd"/>
      <w:r w:rsidRPr="004E03F0">
        <w:t xml:space="preserve"> may result in infusion reactions. In clinical trials, some patients with PNH experienced infusion reactions which were mild in severity and </w:t>
      </w:r>
      <w:r>
        <w:t>transient (e.g. lower back pain</w:t>
      </w:r>
      <w:r w:rsidRPr="004E03F0">
        <w:t xml:space="preserve"> and </w:t>
      </w:r>
      <w:r w:rsidR="006758BD">
        <w:t>drop in blood pressure</w:t>
      </w:r>
      <w:r w:rsidRPr="004E03F0">
        <w:t>). These reactions did not requir</w:t>
      </w:r>
      <w:r w:rsidR="00707339">
        <w:t xml:space="preserve">e discontinuation of </w:t>
      </w:r>
      <w:proofErr w:type="spellStart"/>
      <w:r w:rsidR="00707339">
        <w:t>Ultomiris</w:t>
      </w:r>
      <w:proofErr w:type="spellEnd"/>
      <w:r w:rsidR="00707339">
        <w:t>.</w:t>
      </w:r>
    </w:p>
    <w:p w14:paraId="68725C43" w14:textId="77777777" w:rsidR="00B00D5F" w:rsidRPr="004E03F0" w:rsidRDefault="00B00D5F" w:rsidP="00F66B3C">
      <w:pPr>
        <w:pStyle w:val="Heading3"/>
      </w:pPr>
      <w:r w:rsidRPr="004E03F0">
        <w:t>Immunogenicity</w:t>
      </w:r>
    </w:p>
    <w:p w14:paraId="064A5DD2" w14:textId="77777777" w:rsidR="00C70054" w:rsidRDefault="00B00D5F" w:rsidP="00C70054">
      <w:pPr>
        <w:rPr>
          <w:bCs/>
        </w:rPr>
      </w:pPr>
      <w:r w:rsidRPr="00D773E2">
        <w:t>Treatment with any therapeutic protein may induce an immune response.  In PNH patient studies (N = 261), only 1 (0.38%) treatment-emergent anti-drug antibody has been reported with</w:t>
      </w:r>
      <w:r w:rsidR="00C70054">
        <w:rPr>
          <w:bCs/>
        </w:rPr>
        <w:t xml:space="preserve"> </w:t>
      </w:r>
      <w:proofErr w:type="spellStart"/>
      <w:r w:rsidR="00F66B3C" w:rsidRPr="00D773E2">
        <w:t>Ultomiris</w:t>
      </w:r>
      <w:proofErr w:type="spellEnd"/>
      <w:r w:rsidR="00F66B3C" w:rsidRPr="00D773E2">
        <w:t>. This anti-drug antibody was transient in nature with low titr</w:t>
      </w:r>
      <w:r w:rsidR="00990AA8">
        <w:t>e</w:t>
      </w:r>
      <w:r w:rsidR="00F66B3C" w:rsidRPr="00D773E2">
        <w:t xml:space="preserve"> and did not correlate with clinical response or adverse events.</w:t>
      </w:r>
    </w:p>
    <w:p w14:paraId="6DFDEED8" w14:textId="77777777" w:rsidR="00F66B3C" w:rsidRPr="00C70054" w:rsidRDefault="00FE39CE" w:rsidP="00A3376D">
      <w:pPr>
        <w:pStyle w:val="Heading3"/>
      </w:pPr>
      <w:r>
        <w:t xml:space="preserve">Monitoring Disease Manifestations After </w:t>
      </w:r>
      <w:proofErr w:type="spellStart"/>
      <w:r>
        <w:t>Ultomiris</w:t>
      </w:r>
      <w:proofErr w:type="spellEnd"/>
      <w:r w:rsidR="00F66B3C" w:rsidRPr="00C70054">
        <w:t xml:space="preserve"> Discontinuation</w:t>
      </w:r>
    </w:p>
    <w:p w14:paraId="41C0BF18" w14:textId="411EA3E7" w:rsidR="007603D9" w:rsidRPr="00951417" w:rsidRDefault="007603D9" w:rsidP="007603D9">
      <w:r w:rsidRPr="00E62FB8">
        <w:t xml:space="preserve">PNH is a chronic disease and treatment with </w:t>
      </w:r>
      <w:proofErr w:type="spellStart"/>
      <w:r w:rsidRPr="00E62FB8">
        <w:t>Ultomiris</w:t>
      </w:r>
      <w:proofErr w:type="spellEnd"/>
      <w:r w:rsidRPr="00E62FB8">
        <w:rPr>
          <w:bCs/>
        </w:rPr>
        <w:t xml:space="preserve"> </w:t>
      </w:r>
      <w:r w:rsidRPr="00E62FB8">
        <w:t>is recommended to continue for the patient’s lifetime</w:t>
      </w:r>
      <w:r w:rsidR="00707339">
        <w:t>.</w:t>
      </w:r>
    </w:p>
    <w:p w14:paraId="1A6FC17B" w14:textId="77777777" w:rsidR="00F66B3C" w:rsidRPr="004E03F0" w:rsidRDefault="00F66B3C" w:rsidP="00D773E2">
      <w:r w:rsidRPr="004E03F0">
        <w:t xml:space="preserve">If patients with PNH discontinue treatment with </w:t>
      </w:r>
      <w:proofErr w:type="spellStart"/>
      <w:r w:rsidRPr="004E03F0">
        <w:t>Ultomiris</w:t>
      </w:r>
      <w:proofErr w:type="spellEnd"/>
      <w:r w:rsidRPr="004E03F0">
        <w:t>, they should be closely monitored for signs and symptoms of h</w:t>
      </w:r>
      <w:r w:rsidR="00C70054">
        <w:t>a</w:t>
      </w:r>
      <w:r w:rsidRPr="004E03F0">
        <w:t xml:space="preserve">emolysis, identified by elevated </w:t>
      </w:r>
      <w:r w:rsidR="00A7709E">
        <w:t>lactate dehydrogenase (</w:t>
      </w:r>
      <w:r w:rsidRPr="004E03F0">
        <w:t>LDH</w:t>
      </w:r>
      <w:r w:rsidR="00A7709E">
        <w:t>)</w:t>
      </w:r>
      <w:r w:rsidRPr="004E03F0">
        <w:t xml:space="preserve"> along with sudden decrease in PNH clone size or h</w:t>
      </w:r>
      <w:r w:rsidR="00C70054">
        <w:t>a</w:t>
      </w:r>
      <w:r w:rsidRPr="004E03F0">
        <w:t>emoglobin, or re-appearance of symptoms such as fatigue, h</w:t>
      </w:r>
      <w:r w:rsidR="00C70054">
        <w:t>a</w:t>
      </w:r>
      <w:r w:rsidRPr="004E03F0">
        <w:t>emoglobinuria, abdominal pain, shortness of breath (dyspn</w:t>
      </w:r>
      <w:r w:rsidR="00C70054">
        <w:t>o</w:t>
      </w:r>
      <w:r w:rsidRPr="004E03F0">
        <w:t xml:space="preserve">ea), major adverse vascular event (including thrombosis), dysphagia, or erectile dysfunction. </w:t>
      </w:r>
      <w:r>
        <w:t>A</w:t>
      </w:r>
      <w:r w:rsidRPr="004E03F0">
        <w:t xml:space="preserve">ny patient who discontinues </w:t>
      </w:r>
      <w:proofErr w:type="spellStart"/>
      <w:r w:rsidRPr="004E03F0">
        <w:t>Ultomiris</w:t>
      </w:r>
      <w:proofErr w:type="spellEnd"/>
      <w:r w:rsidRPr="004E03F0">
        <w:t xml:space="preserve"> </w:t>
      </w:r>
      <w:r>
        <w:t xml:space="preserve">should be monitored </w:t>
      </w:r>
      <w:r w:rsidRPr="004E03F0">
        <w:t>for at least 16 weeks to detect h</w:t>
      </w:r>
      <w:r w:rsidR="00C70054">
        <w:t>a</w:t>
      </w:r>
      <w:r w:rsidRPr="004E03F0">
        <w:t>emolysis and other reactions. If signs and symptoms of h</w:t>
      </w:r>
      <w:r w:rsidR="00C70054">
        <w:t>a</w:t>
      </w:r>
      <w:r w:rsidRPr="004E03F0">
        <w:t xml:space="preserve">emolysis occur after discontinuation, including elevated LDH, consider restarting treatment with </w:t>
      </w:r>
      <w:proofErr w:type="spellStart"/>
      <w:r w:rsidRPr="004E03F0">
        <w:t>Ultomiris</w:t>
      </w:r>
      <w:proofErr w:type="spellEnd"/>
      <w:r w:rsidRPr="004E03F0">
        <w:t>.</w:t>
      </w:r>
    </w:p>
    <w:p w14:paraId="4C5E4348" w14:textId="77777777" w:rsidR="001A3992" w:rsidRPr="00461EC6" w:rsidRDefault="001A3992" w:rsidP="00C70054">
      <w:pPr>
        <w:pStyle w:val="Heading3"/>
        <w:rPr>
          <w:rFonts w:asciiTheme="majorHAnsi" w:hAnsiTheme="majorHAnsi"/>
        </w:rPr>
      </w:pPr>
      <w:r w:rsidRPr="00461EC6">
        <w:rPr>
          <w:rFonts w:asciiTheme="majorHAnsi" w:hAnsiTheme="majorHAnsi"/>
        </w:rPr>
        <w:t xml:space="preserve">Use in the </w:t>
      </w:r>
      <w:r w:rsidR="00181398" w:rsidRPr="00461EC6">
        <w:rPr>
          <w:rFonts w:asciiTheme="majorHAnsi" w:hAnsiTheme="majorHAnsi"/>
        </w:rPr>
        <w:t>Elderly</w:t>
      </w:r>
    </w:p>
    <w:p w14:paraId="5747F274" w14:textId="756921DD" w:rsidR="00C70054" w:rsidRPr="00461EC6" w:rsidRDefault="00EB475B" w:rsidP="00EB475B">
      <w:pPr>
        <w:pStyle w:val="C-BodyText"/>
        <w:rPr>
          <w:rFonts w:asciiTheme="majorHAnsi" w:hAnsiTheme="majorHAnsi"/>
          <w:sz w:val="22"/>
          <w:szCs w:val="22"/>
        </w:rPr>
      </w:pPr>
      <w:proofErr w:type="spellStart"/>
      <w:r w:rsidRPr="00461EC6">
        <w:rPr>
          <w:rFonts w:asciiTheme="majorHAnsi" w:hAnsiTheme="majorHAnsi"/>
          <w:sz w:val="22"/>
          <w:szCs w:val="22"/>
        </w:rPr>
        <w:t>Ultomiris</w:t>
      </w:r>
      <w:proofErr w:type="spellEnd"/>
      <w:r w:rsidRPr="00461EC6">
        <w:rPr>
          <w:rFonts w:asciiTheme="majorHAnsi" w:hAnsiTheme="majorHAnsi"/>
          <w:sz w:val="22"/>
          <w:szCs w:val="22"/>
        </w:rPr>
        <w:t xml:space="preserve"> may be administered to patients with PNH aged 65 years and over. There is no evidence indicating any special precautions are required for treating an elderly population.</w:t>
      </w:r>
    </w:p>
    <w:p w14:paraId="7E2D290C" w14:textId="77777777" w:rsidR="001A3992" w:rsidRPr="00461EC6" w:rsidRDefault="001A3992" w:rsidP="00C70054">
      <w:pPr>
        <w:pStyle w:val="Heading3"/>
        <w:rPr>
          <w:rFonts w:asciiTheme="majorHAnsi" w:hAnsiTheme="majorHAnsi"/>
        </w:rPr>
      </w:pPr>
      <w:r w:rsidRPr="00461EC6">
        <w:rPr>
          <w:rFonts w:asciiTheme="majorHAnsi" w:hAnsiTheme="majorHAnsi"/>
        </w:rPr>
        <w:lastRenderedPageBreak/>
        <w:t xml:space="preserve">Paediatric </w:t>
      </w:r>
      <w:r w:rsidR="00181398" w:rsidRPr="00461EC6">
        <w:rPr>
          <w:rFonts w:asciiTheme="majorHAnsi" w:hAnsiTheme="majorHAnsi"/>
        </w:rPr>
        <w:t>Use</w:t>
      </w:r>
    </w:p>
    <w:p w14:paraId="258CBA8E" w14:textId="77777777" w:rsidR="00EB475B" w:rsidRPr="00461EC6" w:rsidRDefault="00EB475B" w:rsidP="00EB475B">
      <w:pPr>
        <w:pStyle w:val="C-BodyText"/>
        <w:rPr>
          <w:rFonts w:asciiTheme="majorHAnsi" w:hAnsiTheme="majorHAnsi"/>
          <w:sz w:val="22"/>
          <w:szCs w:val="22"/>
        </w:rPr>
      </w:pPr>
      <w:r w:rsidRPr="00461EC6">
        <w:rPr>
          <w:rFonts w:asciiTheme="majorHAnsi" w:hAnsiTheme="majorHAnsi"/>
          <w:sz w:val="22"/>
          <w:szCs w:val="22"/>
        </w:rPr>
        <w:t xml:space="preserve">The safety and efficacy of </w:t>
      </w:r>
      <w:proofErr w:type="spellStart"/>
      <w:r w:rsidRPr="00461EC6">
        <w:rPr>
          <w:rFonts w:asciiTheme="majorHAnsi" w:hAnsiTheme="majorHAnsi"/>
          <w:sz w:val="22"/>
          <w:szCs w:val="22"/>
        </w:rPr>
        <w:t>Ultomiris</w:t>
      </w:r>
      <w:proofErr w:type="spellEnd"/>
      <w:r w:rsidRPr="00461EC6">
        <w:rPr>
          <w:rFonts w:asciiTheme="majorHAnsi" w:hAnsiTheme="majorHAnsi"/>
          <w:sz w:val="22"/>
          <w:szCs w:val="22"/>
        </w:rPr>
        <w:t xml:space="preserve"> in </w:t>
      </w:r>
      <w:r w:rsidR="00AB44A8" w:rsidRPr="00461EC6">
        <w:rPr>
          <w:rFonts w:asciiTheme="majorHAnsi" w:hAnsiTheme="majorHAnsi"/>
          <w:sz w:val="22"/>
          <w:szCs w:val="22"/>
        </w:rPr>
        <w:t xml:space="preserve">children with </w:t>
      </w:r>
      <w:r w:rsidRPr="00461EC6">
        <w:rPr>
          <w:rFonts w:asciiTheme="majorHAnsi" w:hAnsiTheme="majorHAnsi"/>
          <w:sz w:val="22"/>
          <w:szCs w:val="22"/>
        </w:rPr>
        <w:t xml:space="preserve">PNH </w:t>
      </w:r>
      <w:r w:rsidR="001D7362" w:rsidRPr="00461EC6">
        <w:rPr>
          <w:rFonts w:asciiTheme="majorHAnsi" w:hAnsiTheme="majorHAnsi"/>
          <w:sz w:val="22"/>
          <w:szCs w:val="22"/>
        </w:rPr>
        <w:t>(</w:t>
      </w:r>
      <w:r w:rsidRPr="00461EC6">
        <w:rPr>
          <w:rFonts w:asciiTheme="majorHAnsi" w:hAnsiTheme="majorHAnsi"/>
          <w:sz w:val="22"/>
          <w:szCs w:val="22"/>
        </w:rPr>
        <w:t>&lt;18 y</w:t>
      </w:r>
      <w:r w:rsidR="00A3376D" w:rsidRPr="00461EC6">
        <w:rPr>
          <w:rFonts w:asciiTheme="majorHAnsi" w:hAnsiTheme="majorHAnsi"/>
          <w:sz w:val="22"/>
          <w:szCs w:val="22"/>
        </w:rPr>
        <w:t>ears</w:t>
      </w:r>
      <w:r w:rsidR="001D7362" w:rsidRPr="00461EC6">
        <w:rPr>
          <w:rFonts w:asciiTheme="majorHAnsi" w:hAnsiTheme="majorHAnsi"/>
          <w:sz w:val="22"/>
          <w:szCs w:val="22"/>
        </w:rPr>
        <w:t>)</w:t>
      </w:r>
      <w:r w:rsidR="00A3376D" w:rsidRPr="00461EC6">
        <w:rPr>
          <w:rFonts w:asciiTheme="majorHAnsi" w:hAnsiTheme="majorHAnsi"/>
          <w:sz w:val="22"/>
          <w:szCs w:val="22"/>
        </w:rPr>
        <w:t xml:space="preserve"> have not been established.</w:t>
      </w:r>
    </w:p>
    <w:p w14:paraId="22DDA38B" w14:textId="77777777" w:rsidR="001A3992" w:rsidRPr="00461EC6" w:rsidRDefault="001A3992" w:rsidP="00C70054">
      <w:pPr>
        <w:pStyle w:val="Heading3"/>
      </w:pPr>
      <w:r w:rsidRPr="00461EC6">
        <w:t>Effects on laboratory tests</w:t>
      </w:r>
    </w:p>
    <w:p w14:paraId="2BD7C9B0" w14:textId="77777777" w:rsidR="00C70054" w:rsidRPr="00461EC6" w:rsidRDefault="00EB475B" w:rsidP="00C70054">
      <w:pPr>
        <w:rPr>
          <w:i/>
        </w:rPr>
      </w:pPr>
      <w:r w:rsidRPr="00461EC6">
        <w:rPr>
          <w:i/>
        </w:rPr>
        <w:t>No data available.</w:t>
      </w:r>
    </w:p>
    <w:p w14:paraId="106135A3" w14:textId="77777777" w:rsidR="001A3992" w:rsidRPr="00A3376D" w:rsidRDefault="001A3992" w:rsidP="00A3376D">
      <w:pPr>
        <w:pStyle w:val="Heading2"/>
      </w:pPr>
      <w:r w:rsidRPr="00A3376D">
        <w:t>Interactions with other medicines and other forms of interactions</w:t>
      </w:r>
    </w:p>
    <w:p w14:paraId="7C5379BD" w14:textId="77777777" w:rsidR="00A3376D" w:rsidRPr="00A3376D" w:rsidRDefault="00A3376D" w:rsidP="00A3376D">
      <w:r>
        <w:t>No interaction studies have been performed.</w:t>
      </w:r>
    </w:p>
    <w:p w14:paraId="29724B76" w14:textId="4A8D631B" w:rsidR="001A3992" w:rsidRDefault="001A3992" w:rsidP="001A3992">
      <w:pPr>
        <w:pStyle w:val="Heading2"/>
        <w:spacing w:before="0"/>
      </w:pPr>
      <w:r>
        <w:t>Fer</w:t>
      </w:r>
      <w:r w:rsidR="00707339">
        <w:t>tility, pregnancy and lactation</w:t>
      </w:r>
    </w:p>
    <w:p w14:paraId="20C5B4D4" w14:textId="77777777" w:rsidR="001A3992" w:rsidRDefault="001A3992" w:rsidP="001A3992">
      <w:pPr>
        <w:pStyle w:val="Heading3"/>
        <w:spacing w:before="0"/>
      </w:pPr>
      <w:r w:rsidRPr="00B878CC">
        <w:t>Effects on fertility</w:t>
      </w:r>
    </w:p>
    <w:p w14:paraId="5BB6DD04" w14:textId="21068041" w:rsidR="00E75878" w:rsidRPr="004E03F0" w:rsidRDefault="00E75878" w:rsidP="00E75878">
      <w:r w:rsidRPr="004E03F0">
        <w:t>No stud</w:t>
      </w:r>
      <w:r w:rsidR="007B3D88">
        <w:t>ies</w:t>
      </w:r>
      <w:r w:rsidRPr="004E03F0">
        <w:t xml:space="preserve"> on fertility ha</w:t>
      </w:r>
      <w:r w:rsidR="007B3D88">
        <w:t>ve</w:t>
      </w:r>
      <w:r w:rsidRPr="004E03F0">
        <w:t xml:space="preserve"> been conducted </w:t>
      </w:r>
      <w:r w:rsidR="007B3D88">
        <w:t xml:space="preserve">specifically </w:t>
      </w:r>
      <w:r w:rsidRPr="004E03F0">
        <w:t xml:space="preserve">with </w:t>
      </w:r>
      <w:proofErr w:type="spellStart"/>
      <w:r w:rsidRPr="004E03F0">
        <w:t>ravulizumab</w:t>
      </w:r>
      <w:proofErr w:type="spellEnd"/>
      <w:r w:rsidR="002D766F">
        <w:t xml:space="preserve"> </w:t>
      </w:r>
      <w:proofErr w:type="spellStart"/>
      <w:r w:rsidR="002D766F" w:rsidRPr="002D766F">
        <w:rPr>
          <w:i/>
        </w:rPr>
        <w:t>rch</w:t>
      </w:r>
      <w:proofErr w:type="spellEnd"/>
      <w:r w:rsidRPr="004E03F0">
        <w:t>.</w:t>
      </w:r>
    </w:p>
    <w:p w14:paraId="1149BE8B" w14:textId="6AAC31EF" w:rsidR="006D5C45" w:rsidRPr="006D5C45" w:rsidRDefault="007B3D88" w:rsidP="00E75878">
      <w:r>
        <w:t>A</w:t>
      </w:r>
      <w:r w:rsidR="00E75878" w:rsidRPr="004E03F0">
        <w:t xml:space="preserve"> stud</w:t>
      </w:r>
      <w:r>
        <w:t>y</w:t>
      </w:r>
      <w:r w:rsidR="00E75878" w:rsidRPr="004E03F0">
        <w:t xml:space="preserve"> in mice with a surrogate </w:t>
      </w:r>
      <w:r>
        <w:t>terminal complement inhibitor</w:t>
      </w:r>
      <w:r w:rsidR="00E75878" w:rsidRPr="004E03F0">
        <w:t xml:space="preserve"> (</w:t>
      </w:r>
      <w:r w:rsidR="00A2253F">
        <w:t>murine anti-C5</w:t>
      </w:r>
      <w:r w:rsidR="00E75878" w:rsidRPr="004E03F0">
        <w:t>)</w:t>
      </w:r>
      <w:r w:rsidR="00A2253F">
        <w:t xml:space="preserve"> antibody</w:t>
      </w:r>
      <w:r w:rsidR="00E75878" w:rsidRPr="004E03F0">
        <w:t xml:space="preserve"> identified no adverse effect on fertility of the treated females or males</w:t>
      </w:r>
      <w:r w:rsidR="00A2253F">
        <w:t xml:space="preserve">. Use of a surrogate molecule was required as </w:t>
      </w:r>
      <w:proofErr w:type="spellStart"/>
      <w:r w:rsidR="00A2253F">
        <w:t>ravulizumab</w:t>
      </w:r>
      <w:proofErr w:type="spellEnd"/>
      <w:r w:rsidR="00A2253F">
        <w:t xml:space="preserve"> </w:t>
      </w:r>
      <w:proofErr w:type="spellStart"/>
      <w:r w:rsidR="00A2253F" w:rsidRPr="00A2253F">
        <w:rPr>
          <w:i/>
        </w:rPr>
        <w:t>rch</w:t>
      </w:r>
      <w:proofErr w:type="spellEnd"/>
      <w:r w:rsidR="00A2253F">
        <w:t xml:space="preserve"> does not recognise the form of the pharmacological target present in laboratory animal species.</w:t>
      </w:r>
    </w:p>
    <w:p w14:paraId="551F970A" w14:textId="6B048047" w:rsidR="001A3992" w:rsidRDefault="00304A5F" w:rsidP="005B2812">
      <w:pPr>
        <w:pStyle w:val="Heading3"/>
        <w:spacing w:before="0"/>
        <w:rPr>
          <w:rFonts w:cs="Calibri"/>
        </w:rPr>
      </w:pPr>
      <w:r>
        <w:t>Use in P</w:t>
      </w:r>
      <w:r w:rsidR="001A3992" w:rsidRPr="00B878CC">
        <w:t xml:space="preserve">regnancy </w:t>
      </w:r>
      <w:r w:rsidR="005B2812" w:rsidRPr="00D82CA2">
        <w:rPr>
          <w:rFonts w:cs="Calibri"/>
        </w:rPr>
        <w:t>– Category B2</w:t>
      </w:r>
    </w:p>
    <w:p w14:paraId="37F22B7B" w14:textId="70DADD20" w:rsidR="00E75878" w:rsidRPr="004E03F0" w:rsidRDefault="00E75878" w:rsidP="00E75878">
      <w:r w:rsidRPr="004E03F0">
        <w:t>No clinical data on exp</w:t>
      </w:r>
      <w:r w:rsidR="00707339">
        <w:t>osed pregnancies are available.</w:t>
      </w:r>
    </w:p>
    <w:p w14:paraId="607AE725" w14:textId="47D84C6D" w:rsidR="00477F12" w:rsidRDefault="00E75878" w:rsidP="008E5163">
      <w:r w:rsidRPr="008E5163">
        <w:t xml:space="preserve">No studies </w:t>
      </w:r>
      <w:r w:rsidR="00A2253F">
        <w:t xml:space="preserve">on </w:t>
      </w:r>
      <w:proofErr w:type="spellStart"/>
      <w:r w:rsidR="00A2253F">
        <w:t>embryofetal</w:t>
      </w:r>
      <w:proofErr w:type="spellEnd"/>
      <w:r w:rsidR="00A2253F">
        <w:t xml:space="preserve"> development have been</w:t>
      </w:r>
      <w:r w:rsidRPr="008E5163">
        <w:t xml:space="preserve"> conducted</w:t>
      </w:r>
      <w:r w:rsidR="00A2253F">
        <w:t xml:space="preserve"> specifically</w:t>
      </w:r>
      <w:r w:rsidRPr="008E5163">
        <w:t xml:space="preserve"> with </w:t>
      </w:r>
      <w:proofErr w:type="spellStart"/>
      <w:r w:rsidRPr="008E5163">
        <w:t>ravulizumab</w:t>
      </w:r>
      <w:proofErr w:type="spellEnd"/>
      <w:r w:rsidR="002D766F">
        <w:t xml:space="preserve"> </w:t>
      </w:r>
      <w:proofErr w:type="spellStart"/>
      <w:r w:rsidR="002D766F" w:rsidRPr="00F90052">
        <w:rPr>
          <w:i/>
        </w:rPr>
        <w:t>rch</w:t>
      </w:r>
      <w:proofErr w:type="spellEnd"/>
      <w:r w:rsidRPr="008E5163">
        <w:t xml:space="preserve">. </w:t>
      </w:r>
      <w:r w:rsidR="00A2253F">
        <w:t>A</w:t>
      </w:r>
      <w:r w:rsidRPr="008E5163">
        <w:t xml:space="preserve"> stud</w:t>
      </w:r>
      <w:r w:rsidR="00A2253F">
        <w:t>y</w:t>
      </w:r>
      <w:r w:rsidRPr="008E5163">
        <w:t xml:space="preserve"> in mice </w:t>
      </w:r>
      <w:r w:rsidR="00A2253F">
        <w:t>with a</w:t>
      </w:r>
      <w:r w:rsidRPr="008E5163">
        <w:t xml:space="preserve"> murine surrogate </w:t>
      </w:r>
      <w:r w:rsidR="00A2253F">
        <w:t xml:space="preserve">terminal complement inhibitory (anti-C5) antibody given during the period of organogenesis identified no clear treatment-related findings in </w:t>
      </w:r>
      <w:proofErr w:type="spellStart"/>
      <w:r w:rsidR="00A2253F">
        <w:t>fetuses</w:t>
      </w:r>
      <w:proofErr w:type="spellEnd"/>
      <w:r w:rsidR="00A2253F">
        <w:t xml:space="preserve"> of mice exposed to 60 mg/kg/week, but is of limited predictive value. When exposure to the murine antibody occurred from the time of implantation to the end of lactation, a slightly higher number of male offspring became moribund or died in the group given 60 mg/kg/week. The relevance to use of </w:t>
      </w:r>
      <w:proofErr w:type="spellStart"/>
      <w:r w:rsidR="00A2253F">
        <w:t>Ultomiris</w:t>
      </w:r>
      <w:proofErr w:type="spellEnd"/>
      <w:r w:rsidR="00A2253F">
        <w:t xml:space="preserve"> is unclear.</w:t>
      </w:r>
      <w:r w:rsidRPr="008E5163">
        <w:t xml:space="preserve"> Human IgG are known to cross the human placental barrier, and thus </w:t>
      </w:r>
      <w:proofErr w:type="spellStart"/>
      <w:r w:rsidRPr="008E5163">
        <w:t>ravulizumab</w:t>
      </w:r>
      <w:proofErr w:type="spellEnd"/>
      <w:r w:rsidR="002D766F">
        <w:t xml:space="preserve"> </w:t>
      </w:r>
      <w:proofErr w:type="spellStart"/>
      <w:r w:rsidR="002D766F" w:rsidRPr="00F90052">
        <w:rPr>
          <w:i/>
        </w:rPr>
        <w:t>rch</w:t>
      </w:r>
      <w:proofErr w:type="spellEnd"/>
      <w:r w:rsidRPr="008E5163">
        <w:t xml:space="preserve"> may potentially cause terminal complement inhibition in the </w:t>
      </w:r>
      <w:proofErr w:type="spellStart"/>
      <w:r w:rsidR="00BE02B9" w:rsidRPr="008E5163">
        <w:t>fetal</w:t>
      </w:r>
      <w:proofErr w:type="spellEnd"/>
      <w:r w:rsidRPr="008E5163">
        <w:t xml:space="preserve"> circulation.</w:t>
      </w:r>
    </w:p>
    <w:p w14:paraId="660271FF" w14:textId="77777777" w:rsidR="00E75878" w:rsidRPr="004E03F0" w:rsidRDefault="00F419EB" w:rsidP="008E5163">
      <w:r>
        <w:t>Women of childbearing potential should use effective contraception methods during treatment and up to 8 months after treatment.</w:t>
      </w:r>
    </w:p>
    <w:p w14:paraId="06DC31A3" w14:textId="77777777" w:rsidR="001A3992" w:rsidRDefault="001A3992" w:rsidP="001A3992">
      <w:pPr>
        <w:pStyle w:val="Heading3"/>
        <w:spacing w:before="0"/>
      </w:pPr>
      <w:r w:rsidRPr="00B878CC">
        <w:t>Use in</w:t>
      </w:r>
      <w:r w:rsidR="006D5C45">
        <w:t xml:space="preserve"> </w:t>
      </w:r>
      <w:r w:rsidR="00304A5F">
        <w:t>L</w:t>
      </w:r>
      <w:r w:rsidR="006D5C45">
        <w:t>actation</w:t>
      </w:r>
    </w:p>
    <w:p w14:paraId="4868E034" w14:textId="77777777" w:rsidR="00E75878" w:rsidRPr="004E03F0" w:rsidRDefault="00E75878" w:rsidP="00E75878">
      <w:r w:rsidRPr="004E03F0">
        <w:t xml:space="preserve">It is unknown whether </w:t>
      </w:r>
      <w:proofErr w:type="spellStart"/>
      <w:r w:rsidRPr="004E03F0">
        <w:t>ravulizumab</w:t>
      </w:r>
      <w:proofErr w:type="spellEnd"/>
      <w:r w:rsidR="002D766F">
        <w:t xml:space="preserve"> </w:t>
      </w:r>
      <w:proofErr w:type="spellStart"/>
      <w:r w:rsidR="002D766F" w:rsidRPr="002D766F">
        <w:rPr>
          <w:i/>
        </w:rPr>
        <w:t>rch</w:t>
      </w:r>
      <w:proofErr w:type="spellEnd"/>
      <w:r w:rsidRPr="004E03F0">
        <w:t xml:space="preserve"> is excreted into human milk. Since many medicinal products and immunoglobulins are secreted into human milk, and because of the potential for serious adverse reactions in nursing infants, breast-feeding should be discontinued during treatment and up to 8 months after treatment.</w:t>
      </w:r>
    </w:p>
    <w:p w14:paraId="6A3F6586" w14:textId="77777777" w:rsidR="001A3992" w:rsidRDefault="001A3992" w:rsidP="001A3992">
      <w:pPr>
        <w:pStyle w:val="Heading2"/>
        <w:spacing w:before="0"/>
      </w:pPr>
      <w:r w:rsidRPr="00EC3C40">
        <w:t>Effects</w:t>
      </w:r>
      <w:r>
        <w:t xml:space="preserve"> on ability to drive and use machines </w:t>
      </w:r>
    </w:p>
    <w:p w14:paraId="1D26C3A3" w14:textId="77777777" w:rsidR="006D5C45" w:rsidRPr="004E03F0" w:rsidRDefault="006D5C45" w:rsidP="006D5C45">
      <w:r w:rsidRPr="004E03F0">
        <w:t>No studies on the effects on the ability to drive and use machines have been performed.</w:t>
      </w:r>
    </w:p>
    <w:p w14:paraId="732C04A6" w14:textId="77777777" w:rsidR="001A3992" w:rsidRDefault="001A3992" w:rsidP="00707339">
      <w:pPr>
        <w:pStyle w:val="Heading2"/>
        <w:keepNext/>
        <w:keepLines/>
        <w:spacing w:before="0"/>
      </w:pPr>
      <w:r>
        <w:lastRenderedPageBreak/>
        <w:t>Adverse effects (Undesirable effects)</w:t>
      </w:r>
    </w:p>
    <w:p w14:paraId="7ABB5C99" w14:textId="77777777" w:rsidR="000D503A" w:rsidRPr="00762844" w:rsidRDefault="000D503A" w:rsidP="00707339">
      <w:pPr>
        <w:keepNext/>
        <w:rPr>
          <w:u w:val="single"/>
        </w:rPr>
      </w:pPr>
      <w:r w:rsidRPr="00762844">
        <w:rPr>
          <w:u w:val="single"/>
        </w:rPr>
        <w:t>Clinical Trial Experience</w:t>
      </w:r>
    </w:p>
    <w:p w14:paraId="70F23C46" w14:textId="5496981C" w:rsidR="008E5163" w:rsidRPr="00F90052" w:rsidRDefault="008E5163" w:rsidP="00B65D69">
      <w:r w:rsidRPr="00FC35C3">
        <w:t xml:space="preserve">The data described below reflect exposure of </w:t>
      </w:r>
      <w:r w:rsidR="00F90052" w:rsidRPr="00FC35C3">
        <w:t>441</w:t>
      </w:r>
      <w:r w:rsidR="006E4E2E" w:rsidRPr="00FC35C3">
        <w:t xml:space="preserve"> </w:t>
      </w:r>
      <w:r w:rsidR="001B13B8" w:rsidRPr="00FC35C3">
        <w:t xml:space="preserve">adult </w:t>
      </w:r>
      <w:r w:rsidRPr="00FC35C3">
        <w:t xml:space="preserve">patients with PNH </w:t>
      </w:r>
      <w:r w:rsidR="00F90052" w:rsidRPr="00FC35C3">
        <w:t xml:space="preserve">in Phase 3 studies </w:t>
      </w:r>
      <w:r w:rsidRPr="00FC35C3">
        <w:t xml:space="preserve">who received </w:t>
      </w:r>
      <w:proofErr w:type="spellStart"/>
      <w:r w:rsidRPr="00F90052">
        <w:t>Ultomiris</w:t>
      </w:r>
      <w:proofErr w:type="spellEnd"/>
      <w:r w:rsidR="00F90052">
        <w:t xml:space="preserve"> </w:t>
      </w:r>
      <w:r w:rsidR="00F90052" w:rsidRPr="000D503A">
        <w:t xml:space="preserve">(n = 222) or </w:t>
      </w:r>
      <w:proofErr w:type="spellStart"/>
      <w:r w:rsidR="00B25CB9">
        <w:t>Soliris</w:t>
      </w:r>
      <w:proofErr w:type="spellEnd"/>
      <w:r w:rsidR="00F90052" w:rsidRPr="000D503A">
        <w:t xml:space="preserve"> (n = 219) at the recommended dosing regimens </w:t>
      </w:r>
      <w:r w:rsidR="00F90052">
        <w:t>w</w:t>
      </w:r>
      <w:r w:rsidR="00F90052" w:rsidRPr="000D503A">
        <w:t>ith</w:t>
      </w:r>
      <w:r w:rsidR="00F90052">
        <w:t xml:space="preserve"> </w:t>
      </w:r>
      <w:r w:rsidR="00F90052" w:rsidRPr="000D503A">
        <w:t xml:space="preserve">median treatment duration of 6 months for </w:t>
      </w:r>
      <w:proofErr w:type="spellStart"/>
      <w:r w:rsidR="00F90052" w:rsidRPr="000D503A">
        <w:t>U</w:t>
      </w:r>
      <w:r w:rsidR="00F90052">
        <w:t>ltomiris</w:t>
      </w:r>
      <w:proofErr w:type="spellEnd"/>
      <w:r w:rsidR="00F90052" w:rsidRPr="000D503A">
        <w:t xml:space="preserve"> and 6 months for </w:t>
      </w:r>
      <w:proofErr w:type="spellStart"/>
      <w:r w:rsidR="00B25CB9">
        <w:t>Soliris</w:t>
      </w:r>
      <w:proofErr w:type="spellEnd"/>
      <w:r w:rsidR="00F90052" w:rsidRPr="000D503A">
        <w:t>.</w:t>
      </w:r>
    </w:p>
    <w:p w14:paraId="17FF46FA" w14:textId="6220178D" w:rsidR="006A2255" w:rsidRDefault="008E5163" w:rsidP="00B65D69">
      <w:r w:rsidRPr="00F90052">
        <w:t>T</w:t>
      </w:r>
      <w:r w:rsidR="006A2255" w:rsidRPr="00F90052">
        <w:t xml:space="preserve">he most </w:t>
      </w:r>
      <w:r w:rsidR="008848BA">
        <w:t>frequent</w:t>
      </w:r>
      <w:r w:rsidR="006A2255" w:rsidRPr="00F90052">
        <w:t xml:space="preserve"> adverse </w:t>
      </w:r>
      <w:r w:rsidR="00357FF6">
        <w:t>events</w:t>
      </w:r>
      <w:r w:rsidR="003069ED">
        <w:t xml:space="preserve"> (&gt;10%)</w:t>
      </w:r>
      <w:r w:rsidR="006A2255" w:rsidRPr="00F90052">
        <w:t xml:space="preserve"> w</w:t>
      </w:r>
      <w:r w:rsidR="00A40482">
        <w:t xml:space="preserve">ith </w:t>
      </w:r>
      <w:proofErr w:type="spellStart"/>
      <w:r w:rsidR="00A40482">
        <w:t>Ultomiris</w:t>
      </w:r>
      <w:proofErr w:type="spellEnd"/>
      <w:r w:rsidR="00A40482">
        <w:t xml:space="preserve"> w</w:t>
      </w:r>
      <w:r w:rsidR="003069ED">
        <w:t>ere</w:t>
      </w:r>
      <w:r w:rsidR="006A2255" w:rsidRPr="00F90052">
        <w:t xml:space="preserve"> </w:t>
      </w:r>
      <w:r w:rsidR="003069ED">
        <w:t xml:space="preserve">upper respiratory tract infection and </w:t>
      </w:r>
      <w:r w:rsidR="006A2255" w:rsidRPr="00F90052">
        <w:t>headache. The most serious adverse reactions in patients in clinical trials were meningococcal infection and meningococcal sepsis.</w:t>
      </w:r>
    </w:p>
    <w:p w14:paraId="54A90E8A" w14:textId="52F9109C" w:rsidR="00B37D53" w:rsidRDefault="006C5DE0" w:rsidP="00B65D69">
      <w:pPr>
        <w:autoSpaceDE w:val="0"/>
        <w:autoSpaceDN w:val="0"/>
        <w:adjustRightInd w:val="0"/>
      </w:pPr>
      <w:r w:rsidRPr="00FC35C3">
        <w:fldChar w:fldCharType="begin"/>
      </w:r>
      <w:r>
        <w:instrText xml:space="preserve"> REF _Ref20464739 \h </w:instrText>
      </w:r>
      <w:r w:rsidRPr="00FC35C3">
        <w:fldChar w:fldCharType="separate"/>
      </w:r>
      <w:r>
        <w:t>Table 4</w:t>
      </w:r>
      <w:r w:rsidRPr="00FC35C3">
        <w:fldChar w:fldCharType="end"/>
      </w:r>
      <w:r w:rsidR="00492340" w:rsidRPr="00107034">
        <w:t xml:space="preserve"> </w:t>
      </w:r>
      <w:r w:rsidR="00BD3E32" w:rsidRPr="000D503A">
        <w:t xml:space="preserve">describes </w:t>
      </w:r>
      <w:r w:rsidR="00BD3E32">
        <w:t xml:space="preserve">adverse </w:t>
      </w:r>
      <w:r w:rsidR="006758BD">
        <w:t>events</w:t>
      </w:r>
      <w:r w:rsidR="00BD3E32">
        <w:t xml:space="preserve"> </w:t>
      </w:r>
      <w:r w:rsidR="00BD3E32" w:rsidRPr="000D503A">
        <w:t>that occurred at a rate of 5% or more among patients treated</w:t>
      </w:r>
      <w:r w:rsidR="00B37D53">
        <w:t xml:space="preserve"> </w:t>
      </w:r>
      <w:r w:rsidR="00BD3E32" w:rsidRPr="000D503A">
        <w:t>with</w:t>
      </w:r>
      <w:r w:rsidR="00BD3E32">
        <w:t xml:space="preserve"> </w:t>
      </w:r>
      <w:proofErr w:type="spellStart"/>
      <w:r w:rsidR="00BD3E32" w:rsidRPr="000D503A">
        <w:t>U</w:t>
      </w:r>
      <w:r w:rsidR="00BD3E32">
        <w:t>ltomiris</w:t>
      </w:r>
      <w:proofErr w:type="spellEnd"/>
      <w:r w:rsidR="001B13B8">
        <w:t xml:space="preserve"> in PNH studies</w:t>
      </w:r>
      <w:r w:rsidR="00BD3E32" w:rsidRPr="000D503A">
        <w:t>.</w:t>
      </w:r>
    </w:p>
    <w:p w14:paraId="251AE822" w14:textId="01ADA565" w:rsidR="00B65D69" w:rsidRDefault="006D3360" w:rsidP="00B65D69">
      <w:pPr>
        <w:autoSpaceDE w:val="0"/>
        <w:autoSpaceDN w:val="0"/>
        <w:adjustRightInd w:val="0"/>
      </w:pPr>
      <w:r w:rsidRPr="006D3360">
        <w:t xml:space="preserve">Serious adverse </w:t>
      </w:r>
      <w:r w:rsidR="00357FF6">
        <w:t>events</w:t>
      </w:r>
      <w:r w:rsidRPr="006D3360">
        <w:t xml:space="preserve"> were reported in 15 (6.8%) patients </w:t>
      </w:r>
      <w:r w:rsidR="001B13B8">
        <w:t xml:space="preserve">with PNH </w:t>
      </w:r>
      <w:r w:rsidRPr="006D3360">
        <w:t xml:space="preserve">receiving </w:t>
      </w:r>
      <w:proofErr w:type="spellStart"/>
      <w:r w:rsidRPr="006D3360">
        <w:t>U</w:t>
      </w:r>
      <w:r>
        <w:t>ltomiris</w:t>
      </w:r>
      <w:proofErr w:type="spellEnd"/>
      <w:r w:rsidRPr="006D3360">
        <w:t>. The serious</w:t>
      </w:r>
      <w:r w:rsidR="001B13B8">
        <w:t xml:space="preserve"> </w:t>
      </w:r>
      <w:r w:rsidRPr="006D3360">
        <w:t xml:space="preserve">adverse </w:t>
      </w:r>
      <w:r w:rsidR="00357FF6">
        <w:t>events</w:t>
      </w:r>
      <w:r w:rsidRPr="006D3360">
        <w:t xml:space="preserve"> in patients treated with </w:t>
      </w:r>
      <w:proofErr w:type="spellStart"/>
      <w:r w:rsidRPr="003D2996">
        <w:t>U</w:t>
      </w:r>
      <w:r>
        <w:t>ltomiris</w:t>
      </w:r>
      <w:proofErr w:type="spellEnd"/>
      <w:r w:rsidRPr="006D3360">
        <w:t xml:space="preserve"> included hyperthermia and pyrexia. No </w:t>
      </w:r>
      <w:r>
        <w:t>s</w:t>
      </w:r>
      <w:r w:rsidRPr="006D3360">
        <w:t>erious</w:t>
      </w:r>
      <w:r>
        <w:t xml:space="preserve"> </w:t>
      </w:r>
      <w:r w:rsidRPr="006D3360">
        <w:t xml:space="preserve">adverse </w:t>
      </w:r>
      <w:r w:rsidR="00357FF6">
        <w:t>events</w:t>
      </w:r>
      <w:r w:rsidRPr="006D3360">
        <w:t xml:space="preserve"> w</w:t>
      </w:r>
      <w:r w:rsidR="00863ADF">
        <w:t>ere</w:t>
      </w:r>
      <w:r w:rsidRPr="006D3360">
        <w:t xml:space="preserve"> reported in more than 1 patient treated with </w:t>
      </w:r>
      <w:proofErr w:type="spellStart"/>
      <w:r w:rsidRPr="003D2996">
        <w:t>U</w:t>
      </w:r>
      <w:r>
        <w:t>ltomiris</w:t>
      </w:r>
      <w:proofErr w:type="spellEnd"/>
      <w:r w:rsidRPr="006D3360">
        <w:t>.</w:t>
      </w:r>
    </w:p>
    <w:p w14:paraId="0A445184" w14:textId="00578746" w:rsidR="00250A19" w:rsidRPr="00250A19" w:rsidRDefault="006C5DE0" w:rsidP="006C5DE0">
      <w:pPr>
        <w:pStyle w:val="Caption"/>
        <w:ind w:left="709" w:hanging="709"/>
        <w:rPr>
          <w:b w:val="0"/>
        </w:rPr>
      </w:pPr>
      <w:bookmarkStart w:id="3" w:name="_Ref20464739"/>
      <w:r>
        <w:t xml:space="preserve">Table </w:t>
      </w:r>
      <w:r>
        <w:fldChar w:fldCharType="begin"/>
      </w:r>
      <w:r>
        <w:instrText xml:space="preserve"> SEQ Table \* ARABIC </w:instrText>
      </w:r>
      <w:r>
        <w:fldChar w:fldCharType="separate"/>
      </w:r>
      <w:r w:rsidR="00FC35C3">
        <w:rPr>
          <w:noProof/>
        </w:rPr>
        <w:t>4</w:t>
      </w:r>
      <w:r>
        <w:fldChar w:fldCharType="end"/>
      </w:r>
      <w:bookmarkEnd w:id="3"/>
      <w:r>
        <w:t xml:space="preserve"> </w:t>
      </w:r>
      <w:r w:rsidR="0016469F">
        <w:t xml:space="preserve">Adverse </w:t>
      </w:r>
      <w:r w:rsidR="006758BD">
        <w:t>Event</w:t>
      </w:r>
      <w:r w:rsidR="0016469F">
        <w:t>s</w:t>
      </w:r>
      <w:r w:rsidR="00250A19" w:rsidRPr="00F90052">
        <w:t xml:space="preserve"> Reported In 5% or More of </w:t>
      </w:r>
      <w:proofErr w:type="spellStart"/>
      <w:r w:rsidR="00250A19" w:rsidRPr="00F90052">
        <w:t>U</w:t>
      </w:r>
      <w:r w:rsidR="009D769A" w:rsidRPr="00F90052">
        <w:t>ltomiris</w:t>
      </w:r>
      <w:proofErr w:type="spellEnd"/>
      <w:r w:rsidR="00250A19" w:rsidRPr="00F90052">
        <w:t xml:space="preserve"> Treated Patients in </w:t>
      </w:r>
      <w:r w:rsidR="001B13B8">
        <w:t>C</w:t>
      </w:r>
      <w:r w:rsidR="00250A19" w:rsidRPr="00F90052">
        <w:t xml:space="preserve">omplement Inhibitor Naïve and </w:t>
      </w:r>
      <w:proofErr w:type="spellStart"/>
      <w:r w:rsidR="00B25CB9">
        <w:t>Soliris</w:t>
      </w:r>
      <w:proofErr w:type="spellEnd"/>
      <w:r w:rsidR="00250A19" w:rsidRPr="00F90052">
        <w:t>-Experienced Patients with PNH</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985"/>
        <w:gridCol w:w="1843"/>
      </w:tblGrid>
      <w:tr w:rsidR="006B1206" w:rsidRPr="00F20D0B" w14:paraId="7815A190" w14:textId="77777777" w:rsidTr="00881E75">
        <w:trPr>
          <w:trHeight w:val="315"/>
        </w:trPr>
        <w:tc>
          <w:tcPr>
            <w:tcW w:w="3397" w:type="dxa"/>
            <w:vMerge w:val="restart"/>
          </w:tcPr>
          <w:p w14:paraId="79F7E488" w14:textId="476A5FC8" w:rsidR="006B1206" w:rsidRPr="007F4E11" w:rsidRDefault="006B1206" w:rsidP="006B1206">
            <w:pPr>
              <w:autoSpaceDE w:val="0"/>
              <w:autoSpaceDN w:val="0"/>
              <w:adjustRightInd w:val="0"/>
              <w:spacing w:before="240" w:after="0" w:line="240" w:lineRule="auto"/>
              <w:rPr>
                <w:b/>
              </w:rPr>
            </w:pPr>
            <w:r>
              <w:rPr>
                <w:b/>
              </w:rPr>
              <w:t xml:space="preserve">Body </w:t>
            </w:r>
            <w:r w:rsidRPr="007F4E11">
              <w:rPr>
                <w:b/>
              </w:rPr>
              <w:t xml:space="preserve">System  </w:t>
            </w:r>
          </w:p>
          <w:p w14:paraId="36071C5C" w14:textId="18DE9461" w:rsidR="006B1206" w:rsidRPr="00DD29BE" w:rsidRDefault="006B1206" w:rsidP="00DD29BE">
            <w:pPr>
              <w:autoSpaceDE w:val="0"/>
              <w:autoSpaceDN w:val="0"/>
              <w:adjustRightInd w:val="0"/>
              <w:spacing w:after="0" w:line="240" w:lineRule="auto"/>
            </w:pPr>
            <w:r w:rsidRPr="00DD29BE">
              <w:t xml:space="preserve">Adverse Reaction </w:t>
            </w:r>
          </w:p>
        </w:tc>
        <w:tc>
          <w:tcPr>
            <w:tcW w:w="3828" w:type="dxa"/>
            <w:gridSpan w:val="2"/>
          </w:tcPr>
          <w:p w14:paraId="1125F430" w14:textId="2822FC0E" w:rsidR="006B1206" w:rsidRPr="006B1206" w:rsidRDefault="006B1206" w:rsidP="003E463C">
            <w:pPr>
              <w:autoSpaceDE w:val="0"/>
              <w:autoSpaceDN w:val="0"/>
              <w:adjustRightInd w:val="0"/>
              <w:spacing w:after="0" w:line="240" w:lineRule="auto"/>
              <w:jc w:val="center"/>
              <w:rPr>
                <w:rFonts w:cs="Calibri"/>
                <w:b/>
                <w:color w:val="000000"/>
                <w:lang w:eastAsia="en-AU"/>
              </w:rPr>
            </w:pPr>
            <w:r w:rsidRPr="006B1206">
              <w:rPr>
                <w:rFonts w:cs="Calibri"/>
                <w:b/>
                <w:color w:val="000000"/>
                <w:lang w:eastAsia="en-AU"/>
              </w:rPr>
              <w:t>Number of Patients</w:t>
            </w:r>
          </w:p>
        </w:tc>
      </w:tr>
      <w:tr w:rsidR="006B1206" w:rsidRPr="00F20D0B" w14:paraId="493D4DF9" w14:textId="77777777" w:rsidTr="00E21E88">
        <w:trPr>
          <w:trHeight w:val="901"/>
        </w:trPr>
        <w:tc>
          <w:tcPr>
            <w:tcW w:w="3397" w:type="dxa"/>
            <w:vMerge/>
          </w:tcPr>
          <w:p w14:paraId="70E40021" w14:textId="77777777" w:rsidR="006B1206" w:rsidRPr="007F4E11" w:rsidRDefault="006B1206" w:rsidP="003E463C">
            <w:pPr>
              <w:autoSpaceDE w:val="0"/>
              <w:autoSpaceDN w:val="0"/>
              <w:adjustRightInd w:val="0"/>
              <w:spacing w:after="0" w:line="240" w:lineRule="auto"/>
            </w:pPr>
          </w:p>
        </w:tc>
        <w:tc>
          <w:tcPr>
            <w:tcW w:w="1985" w:type="dxa"/>
          </w:tcPr>
          <w:p w14:paraId="3F3A1152" w14:textId="77777777" w:rsidR="006B1206" w:rsidRPr="00F20D0B" w:rsidRDefault="006B1206" w:rsidP="001B13B8">
            <w:pPr>
              <w:autoSpaceDE w:val="0"/>
              <w:autoSpaceDN w:val="0"/>
              <w:adjustRightInd w:val="0"/>
              <w:spacing w:after="0" w:line="240" w:lineRule="auto"/>
              <w:jc w:val="center"/>
              <w:rPr>
                <w:rFonts w:cs="Calibri"/>
                <w:color w:val="000000"/>
                <w:lang w:eastAsia="en-AU"/>
              </w:rPr>
            </w:pPr>
            <w:proofErr w:type="spellStart"/>
            <w:r>
              <w:rPr>
                <w:rFonts w:cs="Calibri"/>
                <w:b/>
                <w:bCs/>
                <w:color w:val="000000"/>
                <w:lang w:eastAsia="en-AU"/>
              </w:rPr>
              <w:t>Ultomiris</w:t>
            </w:r>
            <w:proofErr w:type="spellEnd"/>
          </w:p>
          <w:p w14:paraId="75D27022" w14:textId="77777777" w:rsidR="006B1206" w:rsidRDefault="006B1206" w:rsidP="001B13B8">
            <w:pPr>
              <w:autoSpaceDE w:val="0"/>
              <w:autoSpaceDN w:val="0"/>
              <w:adjustRightInd w:val="0"/>
              <w:spacing w:after="0" w:line="240" w:lineRule="auto"/>
              <w:jc w:val="center"/>
              <w:rPr>
                <w:rFonts w:cs="Calibri"/>
                <w:b/>
                <w:bCs/>
                <w:color w:val="000000"/>
                <w:lang w:eastAsia="en-AU"/>
              </w:rPr>
            </w:pPr>
            <w:r w:rsidRPr="00F20D0B">
              <w:rPr>
                <w:rFonts w:cs="Calibri"/>
                <w:b/>
                <w:bCs/>
                <w:color w:val="000000"/>
                <w:lang w:eastAsia="en-AU"/>
              </w:rPr>
              <w:t>(N = 222)</w:t>
            </w:r>
          </w:p>
          <w:p w14:paraId="75E5E4B3" w14:textId="75270AB3" w:rsidR="006B1206" w:rsidRPr="00F20D0B" w:rsidRDefault="006B1206" w:rsidP="001B13B8">
            <w:pPr>
              <w:autoSpaceDE w:val="0"/>
              <w:autoSpaceDN w:val="0"/>
              <w:adjustRightInd w:val="0"/>
              <w:spacing w:after="0" w:line="240" w:lineRule="auto"/>
              <w:jc w:val="center"/>
              <w:rPr>
                <w:rFonts w:cs="Calibri"/>
                <w:b/>
                <w:bCs/>
                <w:color w:val="000000"/>
                <w:lang w:eastAsia="en-AU"/>
              </w:rPr>
            </w:pPr>
            <w:r>
              <w:rPr>
                <w:rFonts w:cs="Calibri"/>
                <w:b/>
                <w:bCs/>
                <w:color w:val="000000"/>
                <w:lang w:eastAsia="en-AU"/>
              </w:rPr>
              <w:t>n (%)</w:t>
            </w:r>
          </w:p>
        </w:tc>
        <w:tc>
          <w:tcPr>
            <w:tcW w:w="1843" w:type="dxa"/>
          </w:tcPr>
          <w:p w14:paraId="778E0153" w14:textId="01AE627B" w:rsidR="006B1206" w:rsidRPr="00F20D0B" w:rsidRDefault="00B25CB9" w:rsidP="001B13B8">
            <w:pPr>
              <w:autoSpaceDE w:val="0"/>
              <w:autoSpaceDN w:val="0"/>
              <w:adjustRightInd w:val="0"/>
              <w:spacing w:after="0" w:line="240" w:lineRule="auto"/>
              <w:jc w:val="center"/>
              <w:rPr>
                <w:rFonts w:cs="Calibri"/>
                <w:color w:val="000000"/>
                <w:lang w:eastAsia="en-AU"/>
              </w:rPr>
            </w:pPr>
            <w:proofErr w:type="spellStart"/>
            <w:r>
              <w:rPr>
                <w:rFonts w:cs="Calibri"/>
                <w:b/>
                <w:bCs/>
                <w:color w:val="000000"/>
                <w:lang w:eastAsia="en-AU"/>
              </w:rPr>
              <w:t>Soliris</w:t>
            </w:r>
            <w:proofErr w:type="spellEnd"/>
          </w:p>
          <w:p w14:paraId="2369AD4D" w14:textId="77777777" w:rsidR="006B1206" w:rsidRDefault="006B1206" w:rsidP="001B13B8">
            <w:pPr>
              <w:autoSpaceDE w:val="0"/>
              <w:autoSpaceDN w:val="0"/>
              <w:adjustRightInd w:val="0"/>
              <w:spacing w:after="0" w:line="240" w:lineRule="auto"/>
              <w:jc w:val="center"/>
              <w:rPr>
                <w:rFonts w:cs="Calibri"/>
                <w:b/>
                <w:bCs/>
                <w:color w:val="000000"/>
                <w:lang w:eastAsia="en-AU"/>
              </w:rPr>
            </w:pPr>
            <w:r w:rsidRPr="00F20D0B">
              <w:rPr>
                <w:rFonts w:cs="Calibri"/>
                <w:b/>
                <w:bCs/>
                <w:color w:val="000000"/>
                <w:lang w:eastAsia="en-AU"/>
              </w:rPr>
              <w:t>(N = 219)</w:t>
            </w:r>
          </w:p>
          <w:p w14:paraId="0F83AAD4" w14:textId="179AA99D" w:rsidR="006B1206" w:rsidRPr="00F20D0B" w:rsidRDefault="006B1206" w:rsidP="001B13B8">
            <w:pPr>
              <w:autoSpaceDE w:val="0"/>
              <w:autoSpaceDN w:val="0"/>
              <w:adjustRightInd w:val="0"/>
              <w:spacing w:after="0" w:line="240" w:lineRule="auto"/>
              <w:jc w:val="center"/>
              <w:rPr>
                <w:rFonts w:cs="Calibri"/>
                <w:b/>
                <w:bCs/>
                <w:color w:val="000000"/>
                <w:lang w:eastAsia="en-AU"/>
              </w:rPr>
            </w:pPr>
            <w:r>
              <w:rPr>
                <w:rFonts w:cs="Calibri"/>
                <w:b/>
                <w:bCs/>
                <w:color w:val="000000"/>
                <w:lang w:eastAsia="en-AU"/>
              </w:rPr>
              <w:t>n (%)</w:t>
            </w:r>
          </w:p>
        </w:tc>
      </w:tr>
      <w:tr w:rsidR="00250A19" w:rsidRPr="00F20D0B" w14:paraId="249C0B61" w14:textId="77777777" w:rsidTr="003E463C">
        <w:trPr>
          <w:trHeight w:val="128"/>
        </w:trPr>
        <w:tc>
          <w:tcPr>
            <w:tcW w:w="7225" w:type="dxa"/>
            <w:gridSpan w:val="3"/>
          </w:tcPr>
          <w:p w14:paraId="4FE523D2" w14:textId="77777777" w:rsidR="00250A19" w:rsidRPr="00F20D0B" w:rsidRDefault="00250A19" w:rsidP="003E463C">
            <w:pPr>
              <w:autoSpaceDE w:val="0"/>
              <w:autoSpaceDN w:val="0"/>
              <w:adjustRightInd w:val="0"/>
              <w:spacing w:after="0" w:line="240" w:lineRule="auto"/>
              <w:rPr>
                <w:rFonts w:cs="Calibri"/>
                <w:b/>
                <w:color w:val="000000"/>
                <w:lang w:eastAsia="en-AU"/>
              </w:rPr>
            </w:pPr>
            <w:r w:rsidRPr="00F20D0B">
              <w:rPr>
                <w:rFonts w:cs="Calibri"/>
                <w:b/>
                <w:color w:val="000000"/>
                <w:lang w:eastAsia="en-AU"/>
              </w:rPr>
              <w:t xml:space="preserve">Gastrointestinal disorders </w:t>
            </w:r>
          </w:p>
        </w:tc>
      </w:tr>
      <w:tr w:rsidR="00250A19" w:rsidRPr="00F20D0B" w14:paraId="5EDD46B5" w14:textId="77777777" w:rsidTr="003E463C">
        <w:trPr>
          <w:trHeight w:val="128"/>
        </w:trPr>
        <w:tc>
          <w:tcPr>
            <w:tcW w:w="3397" w:type="dxa"/>
          </w:tcPr>
          <w:p w14:paraId="116D44C9" w14:textId="77777777" w:rsidR="00250A19" w:rsidRPr="00F20D0B" w:rsidRDefault="00250A19" w:rsidP="003E463C">
            <w:pPr>
              <w:autoSpaceDE w:val="0"/>
              <w:autoSpaceDN w:val="0"/>
              <w:adjustRightInd w:val="0"/>
              <w:spacing w:after="0" w:line="240" w:lineRule="auto"/>
              <w:rPr>
                <w:rFonts w:cs="Calibri"/>
                <w:color w:val="000000"/>
                <w:lang w:eastAsia="en-AU"/>
              </w:rPr>
            </w:pPr>
            <w:r w:rsidRPr="00F20D0B">
              <w:rPr>
                <w:rFonts w:cs="Calibri"/>
                <w:color w:val="000000"/>
                <w:lang w:eastAsia="en-AU"/>
              </w:rPr>
              <w:t xml:space="preserve">Diarrhoea </w:t>
            </w:r>
          </w:p>
        </w:tc>
        <w:tc>
          <w:tcPr>
            <w:tcW w:w="1985" w:type="dxa"/>
          </w:tcPr>
          <w:p w14:paraId="27F47D81" w14:textId="6FD5F0C3" w:rsidR="00250A19" w:rsidRPr="00F20D0B" w:rsidRDefault="00250A19" w:rsidP="003E463C">
            <w:pPr>
              <w:autoSpaceDE w:val="0"/>
              <w:autoSpaceDN w:val="0"/>
              <w:adjustRightInd w:val="0"/>
              <w:spacing w:after="0" w:line="240" w:lineRule="auto"/>
              <w:jc w:val="center"/>
              <w:rPr>
                <w:rFonts w:cs="Calibri"/>
                <w:color w:val="000000"/>
                <w:lang w:eastAsia="en-AU"/>
              </w:rPr>
            </w:pPr>
            <w:r w:rsidRPr="00F20D0B">
              <w:rPr>
                <w:rFonts w:cs="Calibri"/>
                <w:color w:val="000000"/>
                <w:lang w:eastAsia="en-AU"/>
              </w:rPr>
              <w:t>19 (</w:t>
            </w:r>
            <w:r w:rsidR="0016469F">
              <w:rPr>
                <w:rFonts w:cs="Calibri"/>
                <w:color w:val="000000"/>
                <w:lang w:eastAsia="en-AU"/>
              </w:rPr>
              <w:t>9)</w:t>
            </w:r>
          </w:p>
        </w:tc>
        <w:tc>
          <w:tcPr>
            <w:tcW w:w="1843" w:type="dxa"/>
          </w:tcPr>
          <w:p w14:paraId="697F9753" w14:textId="49EBD22A" w:rsidR="00250A19" w:rsidRPr="00F20D0B" w:rsidRDefault="00250A19" w:rsidP="003E463C">
            <w:pPr>
              <w:autoSpaceDE w:val="0"/>
              <w:autoSpaceDN w:val="0"/>
              <w:adjustRightInd w:val="0"/>
              <w:spacing w:after="0" w:line="240" w:lineRule="auto"/>
              <w:jc w:val="center"/>
              <w:rPr>
                <w:rFonts w:cs="Calibri"/>
                <w:color w:val="000000"/>
                <w:lang w:eastAsia="en-AU"/>
              </w:rPr>
            </w:pPr>
            <w:r>
              <w:rPr>
                <w:rFonts w:cs="Calibri"/>
                <w:color w:val="000000"/>
                <w:lang w:eastAsia="en-AU"/>
              </w:rPr>
              <w:t>12 (</w:t>
            </w:r>
            <w:r w:rsidR="0016469F">
              <w:rPr>
                <w:rFonts w:cs="Calibri"/>
                <w:color w:val="000000"/>
                <w:lang w:eastAsia="en-AU"/>
              </w:rPr>
              <w:t>5</w:t>
            </w:r>
            <w:r>
              <w:rPr>
                <w:rFonts w:cs="Calibri"/>
                <w:color w:val="000000"/>
                <w:lang w:eastAsia="en-AU"/>
              </w:rPr>
              <w:t>)</w:t>
            </w:r>
          </w:p>
        </w:tc>
      </w:tr>
      <w:tr w:rsidR="00250A19" w:rsidRPr="00F20D0B" w14:paraId="223C4844" w14:textId="77777777" w:rsidTr="003E463C">
        <w:trPr>
          <w:trHeight w:val="128"/>
        </w:trPr>
        <w:tc>
          <w:tcPr>
            <w:tcW w:w="3397" w:type="dxa"/>
          </w:tcPr>
          <w:p w14:paraId="69EE7BBF" w14:textId="77777777" w:rsidR="00250A19" w:rsidRPr="00F20D0B" w:rsidRDefault="00250A19" w:rsidP="003E463C">
            <w:pPr>
              <w:autoSpaceDE w:val="0"/>
              <w:autoSpaceDN w:val="0"/>
              <w:adjustRightInd w:val="0"/>
              <w:spacing w:after="0" w:line="240" w:lineRule="auto"/>
              <w:rPr>
                <w:rFonts w:cs="Calibri"/>
                <w:color w:val="000000"/>
                <w:lang w:eastAsia="en-AU"/>
              </w:rPr>
            </w:pPr>
            <w:r w:rsidRPr="00F20D0B">
              <w:rPr>
                <w:rFonts w:cs="Calibri"/>
                <w:color w:val="000000"/>
                <w:lang w:eastAsia="en-AU"/>
              </w:rPr>
              <w:t xml:space="preserve">Nausea </w:t>
            </w:r>
          </w:p>
        </w:tc>
        <w:tc>
          <w:tcPr>
            <w:tcW w:w="1985" w:type="dxa"/>
          </w:tcPr>
          <w:p w14:paraId="7D0E4119" w14:textId="57F7D7C9" w:rsidR="00250A19" w:rsidRPr="00F20D0B" w:rsidRDefault="00250A19" w:rsidP="003E463C">
            <w:pPr>
              <w:autoSpaceDE w:val="0"/>
              <w:autoSpaceDN w:val="0"/>
              <w:adjustRightInd w:val="0"/>
              <w:spacing w:after="0" w:line="240" w:lineRule="auto"/>
              <w:jc w:val="center"/>
              <w:rPr>
                <w:rFonts w:cs="Calibri"/>
                <w:color w:val="000000"/>
                <w:lang w:eastAsia="en-AU"/>
              </w:rPr>
            </w:pPr>
            <w:r w:rsidRPr="00F20D0B">
              <w:rPr>
                <w:rFonts w:cs="Calibri"/>
                <w:color w:val="000000"/>
                <w:lang w:eastAsia="en-AU"/>
              </w:rPr>
              <w:t>19 (</w:t>
            </w:r>
            <w:r w:rsidR="0016469F">
              <w:rPr>
                <w:rFonts w:cs="Calibri"/>
                <w:color w:val="000000"/>
                <w:lang w:eastAsia="en-AU"/>
              </w:rPr>
              <w:t>9</w:t>
            </w:r>
            <w:r w:rsidRPr="00F20D0B">
              <w:rPr>
                <w:rFonts w:cs="Calibri"/>
                <w:color w:val="000000"/>
                <w:lang w:eastAsia="en-AU"/>
              </w:rPr>
              <w:t>)</w:t>
            </w:r>
          </w:p>
        </w:tc>
        <w:tc>
          <w:tcPr>
            <w:tcW w:w="1843" w:type="dxa"/>
          </w:tcPr>
          <w:p w14:paraId="26E45FCF" w14:textId="022F9006" w:rsidR="00250A19" w:rsidRPr="00F20D0B" w:rsidRDefault="0016469F" w:rsidP="003E463C">
            <w:pPr>
              <w:autoSpaceDE w:val="0"/>
              <w:autoSpaceDN w:val="0"/>
              <w:adjustRightInd w:val="0"/>
              <w:spacing w:after="0" w:line="240" w:lineRule="auto"/>
              <w:jc w:val="center"/>
              <w:rPr>
                <w:rFonts w:cs="Calibri"/>
                <w:color w:val="000000"/>
                <w:lang w:eastAsia="en-AU"/>
              </w:rPr>
            </w:pPr>
            <w:r>
              <w:rPr>
                <w:rFonts w:cs="Calibri"/>
                <w:color w:val="000000"/>
                <w:lang w:eastAsia="en-AU"/>
              </w:rPr>
              <w:t>19 (9</w:t>
            </w:r>
            <w:r w:rsidR="00250A19">
              <w:rPr>
                <w:rFonts w:cs="Calibri"/>
                <w:color w:val="000000"/>
                <w:lang w:eastAsia="en-AU"/>
              </w:rPr>
              <w:t>)</w:t>
            </w:r>
          </w:p>
        </w:tc>
      </w:tr>
      <w:tr w:rsidR="00250A19" w:rsidRPr="00F20D0B" w14:paraId="2D33D7E0" w14:textId="77777777" w:rsidTr="003E463C">
        <w:trPr>
          <w:trHeight w:val="128"/>
        </w:trPr>
        <w:tc>
          <w:tcPr>
            <w:tcW w:w="3397" w:type="dxa"/>
          </w:tcPr>
          <w:p w14:paraId="7DAD17CA" w14:textId="77777777" w:rsidR="00250A19" w:rsidRPr="00F20D0B" w:rsidRDefault="00250A19" w:rsidP="003E463C">
            <w:pPr>
              <w:autoSpaceDE w:val="0"/>
              <w:autoSpaceDN w:val="0"/>
              <w:adjustRightInd w:val="0"/>
              <w:spacing w:after="0" w:line="240" w:lineRule="auto"/>
              <w:rPr>
                <w:rFonts w:cs="Calibri"/>
                <w:color w:val="000000"/>
                <w:lang w:eastAsia="en-AU"/>
              </w:rPr>
            </w:pPr>
            <w:r w:rsidRPr="00F20D0B">
              <w:rPr>
                <w:rFonts w:cs="Calibri"/>
                <w:color w:val="000000"/>
                <w:lang w:eastAsia="en-AU"/>
              </w:rPr>
              <w:t xml:space="preserve">Abdominal pain </w:t>
            </w:r>
          </w:p>
        </w:tc>
        <w:tc>
          <w:tcPr>
            <w:tcW w:w="1985" w:type="dxa"/>
          </w:tcPr>
          <w:p w14:paraId="74769E56" w14:textId="7027EC9C" w:rsidR="00250A19" w:rsidRPr="00F20D0B" w:rsidRDefault="00250A19" w:rsidP="003E463C">
            <w:pPr>
              <w:autoSpaceDE w:val="0"/>
              <w:autoSpaceDN w:val="0"/>
              <w:adjustRightInd w:val="0"/>
              <w:spacing w:after="0" w:line="240" w:lineRule="auto"/>
              <w:jc w:val="center"/>
              <w:rPr>
                <w:rFonts w:cs="Calibri"/>
                <w:color w:val="000000"/>
                <w:lang w:eastAsia="en-AU"/>
              </w:rPr>
            </w:pPr>
            <w:r w:rsidRPr="00F20D0B">
              <w:rPr>
                <w:rFonts w:cs="Calibri"/>
                <w:color w:val="000000"/>
                <w:lang w:eastAsia="en-AU"/>
              </w:rPr>
              <w:t>13 (</w:t>
            </w:r>
            <w:r w:rsidR="0016469F">
              <w:rPr>
                <w:rFonts w:cs="Calibri"/>
                <w:color w:val="000000"/>
                <w:lang w:eastAsia="en-AU"/>
              </w:rPr>
              <w:t>6</w:t>
            </w:r>
            <w:r w:rsidRPr="00F20D0B">
              <w:rPr>
                <w:rFonts w:cs="Calibri"/>
                <w:color w:val="000000"/>
                <w:lang w:eastAsia="en-AU"/>
              </w:rPr>
              <w:t>)</w:t>
            </w:r>
          </w:p>
        </w:tc>
        <w:tc>
          <w:tcPr>
            <w:tcW w:w="1843" w:type="dxa"/>
          </w:tcPr>
          <w:p w14:paraId="05A5301F" w14:textId="414B9D68" w:rsidR="00250A19" w:rsidRPr="00F20D0B" w:rsidRDefault="00250A19" w:rsidP="003E463C">
            <w:pPr>
              <w:autoSpaceDE w:val="0"/>
              <w:autoSpaceDN w:val="0"/>
              <w:adjustRightInd w:val="0"/>
              <w:spacing w:after="0" w:line="240" w:lineRule="auto"/>
              <w:jc w:val="center"/>
              <w:rPr>
                <w:rFonts w:cs="Calibri"/>
                <w:color w:val="000000"/>
                <w:lang w:eastAsia="en-AU"/>
              </w:rPr>
            </w:pPr>
            <w:r>
              <w:rPr>
                <w:rFonts w:cs="Calibri"/>
                <w:color w:val="000000"/>
                <w:lang w:eastAsia="en-AU"/>
              </w:rPr>
              <w:t>16 (</w:t>
            </w:r>
            <w:r w:rsidR="0016469F">
              <w:rPr>
                <w:rFonts w:cs="Calibri"/>
                <w:color w:val="000000"/>
                <w:lang w:eastAsia="en-AU"/>
              </w:rPr>
              <w:t>7</w:t>
            </w:r>
            <w:r>
              <w:rPr>
                <w:rFonts w:cs="Calibri"/>
                <w:color w:val="000000"/>
                <w:lang w:eastAsia="en-AU"/>
              </w:rPr>
              <w:t>)</w:t>
            </w:r>
          </w:p>
        </w:tc>
      </w:tr>
      <w:tr w:rsidR="00250A19" w:rsidRPr="00F20D0B" w14:paraId="08434030" w14:textId="77777777" w:rsidTr="003E463C">
        <w:trPr>
          <w:trHeight w:val="128"/>
        </w:trPr>
        <w:tc>
          <w:tcPr>
            <w:tcW w:w="7225" w:type="dxa"/>
            <w:gridSpan w:val="3"/>
          </w:tcPr>
          <w:p w14:paraId="38ED7235" w14:textId="77777777" w:rsidR="00250A19" w:rsidRPr="00F20D0B" w:rsidRDefault="00250A19" w:rsidP="003E463C">
            <w:pPr>
              <w:autoSpaceDE w:val="0"/>
              <w:autoSpaceDN w:val="0"/>
              <w:adjustRightInd w:val="0"/>
              <w:spacing w:after="0" w:line="240" w:lineRule="auto"/>
              <w:rPr>
                <w:rFonts w:cs="Calibri"/>
                <w:b/>
                <w:color w:val="000000"/>
                <w:lang w:eastAsia="en-AU"/>
              </w:rPr>
            </w:pPr>
            <w:r w:rsidRPr="00F20D0B">
              <w:rPr>
                <w:rFonts w:cs="Calibri"/>
                <w:b/>
                <w:color w:val="000000"/>
                <w:lang w:eastAsia="en-AU"/>
              </w:rPr>
              <w:t xml:space="preserve">General disorders and administration site conditions </w:t>
            </w:r>
          </w:p>
        </w:tc>
      </w:tr>
      <w:tr w:rsidR="00250A19" w:rsidRPr="00F20D0B" w14:paraId="2D8BD1E8" w14:textId="77777777" w:rsidTr="003E463C">
        <w:trPr>
          <w:trHeight w:val="135"/>
        </w:trPr>
        <w:tc>
          <w:tcPr>
            <w:tcW w:w="3397" w:type="dxa"/>
          </w:tcPr>
          <w:p w14:paraId="17021841" w14:textId="77777777" w:rsidR="00250A19" w:rsidRPr="00F20D0B" w:rsidRDefault="00250A19" w:rsidP="003E463C">
            <w:pPr>
              <w:autoSpaceDE w:val="0"/>
              <w:autoSpaceDN w:val="0"/>
              <w:adjustRightInd w:val="0"/>
              <w:spacing w:after="0" w:line="240" w:lineRule="auto"/>
              <w:rPr>
                <w:rFonts w:cs="Calibri"/>
                <w:color w:val="000000"/>
                <w:lang w:eastAsia="en-AU"/>
              </w:rPr>
            </w:pPr>
            <w:r w:rsidRPr="00F20D0B">
              <w:rPr>
                <w:rFonts w:cs="Calibri"/>
                <w:color w:val="000000"/>
                <w:lang w:eastAsia="en-AU"/>
              </w:rPr>
              <w:t xml:space="preserve">Pyrexia </w:t>
            </w:r>
          </w:p>
        </w:tc>
        <w:tc>
          <w:tcPr>
            <w:tcW w:w="1985" w:type="dxa"/>
          </w:tcPr>
          <w:p w14:paraId="46692C89" w14:textId="01E4A0B2" w:rsidR="00250A19" w:rsidRPr="00F20D0B" w:rsidRDefault="00250A19" w:rsidP="003E463C">
            <w:pPr>
              <w:autoSpaceDE w:val="0"/>
              <w:autoSpaceDN w:val="0"/>
              <w:adjustRightInd w:val="0"/>
              <w:spacing w:after="0" w:line="240" w:lineRule="auto"/>
              <w:jc w:val="center"/>
              <w:rPr>
                <w:rFonts w:cs="Calibri"/>
                <w:color w:val="000000"/>
                <w:lang w:eastAsia="en-AU"/>
              </w:rPr>
            </w:pPr>
            <w:r w:rsidRPr="00F20D0B">
              <w:rPr>
                <w:rFonts w:cs="Calibri"/>
                <w:color w:val="000000"/>
                <w:lang w:eastAsia="en-AU"/>
              </w:rPr>
              <w:t>15 (</w:t>
            </w:r>
            <w:r w:rsidR="0016469F">
              <w:rPr>
                <w:rFonts w:cs="Calibri"/>
                <w:color w:val="000000"/>
                <w:lang w:eastAsia="en-AU"/>
              </w:rPr>
              <w:t>7</w:t>
            </w:r>
            <w:r w:rsidRPr="00F20D0B">
              <w:rPr>
                <w:rFonts w:cs="Calibri"/>
                <w:color w:val="000000"/>
                <w:lang w:eastAsia="en-AU"/>
              </w:rPr>
              <w:t>)</w:t>
            </w:r>
          </w:p>
        </w:tc>
        <w:tc>
          <w:tcPr>
            <w:tcW w:w="1843" w:type="dxa"/>
          </w:tcPr>
          <w:p w14:paraId="4BDE6314" w14:textId="7933C7A3" w:rsidR="00250A19" w:rsidRPr="007F4E11" w:rsidRDefault="00250A19" w:rsidP="003E463C">
            <w:pPr>
              <w:autoSpaceDE w:val="0"/>
              <w:autoSpaceDN w:val="0"/>
              <w:adjustRightInd w:val="0"/>
              <w:spacing w:after="0" w:line="240" w:lineRule="auto"/>
              <w:jc w:val="center"/>
              <w:rPr>
                <w:rFonts w:cs="Calibri"/>
                <w:color w:val="000000"/>
                <w:lang w:eastAsia="en-AU"/>
              </w:rPr>
            </w:pPr>
            <w:r w:rsidRPr="007F4E11">
              <w:rPr>
                <w:rFonts w:cs="Calibri"/>
                <w:color w:val="000000"/>
                <w:lang w:eastAsia="en-AU"/>
              </w:rPr>
              <w:t xml:space="preserve">18 (8) </w:t>
            </w:r>
          </w:p>
        </w:tc>
      </w:tr>
      <w:tr w:rsidR="00250A19" w:rsidRPr="00F20D0B" w14:paraId="72FDCE72" w14:textId="77777777" w:rsidTr="003E463C">
        <w:trPr>
          <w:trHeight w:val="128"/>
        </w:trPr>
        <w:tc>
          <w:tcPr>
            <w:tcW w:w="7225" w:type="dxa"/>
            <w:gridSpan w:val="3"/>
          </w:tcPr>
          <w:p w14:paraId="68006A60" w14:textId="77777777" w:rsidR="00250A19" w:rsidRPr="00F20D0B" w:rsidRDefault="00250A19" w:rsidP="003E463C">
            <w:pPr>
              <w:autoSpaceDE w:val="0"/>
              <w:autoSpaceDN w:val="0"/>
              <w:adjustRightInd w:val="0"/>
              <w:spacing w:after="0" w:line="240" w:lineRule="auto"/>
              <w:rPr>
                <w:rFonts w:cs="Calibri"/>
                <w:b/>
                <w:color w:val="000000"/>
                <w:lang w:eastAsia="en-AU"/>
              </w:rPr>
            </w:pPr>
            <w:r w:rsidRPr="00F20D0B">
              <w:rPr>
                <w:rFonts w:cs="Calibri"/>
                <w:b/>
                <w:color w:val="000000"/>
                <w:lang w:eastAsia="en-AU"/>
              </w:rPr>
              <w:t xml:space="preserve">Infections and infestations </w:t>
            </w:r>
          </w:p>
        </w:tc>
      </w:tr>
      <w:tr w:rsidR="00250A19" w:rsidRPr="00F20D0B" w14:paraId="63894E96" w14:textId="77777777" w:rsidTr="003E463C">
        <w:trPr>
          <w:trHeight w:val="135"/>
        </w:trPr>
        <w:tc>
          <w:tcPr>
            <w:tcW w:w="3397" w:type="dxa"/>
          </w:tcPr>
          <w:p w14:paraId="0DE5E8FF" w14:textId="77777777" w:rsidR="00250A19" w:rsidRPr="00F20D0B" w:rsidRDefault="00250A19" w:rsidP="003E463C">
            <w:pPr>
              <w:autoSpaceDE w:val="0"/>
              <w:autoSpaceDN w:val="0"/>
              <w:adjustRightInd w:val="0"/>
              <w:spacing w:after="0" w:line="240" w:lineRule="auto"/>
              <w:rPr>
                <w:rFonts w:cs="Calibri"/>
                <w:color w:val="000000"/>
                <w:lang w:eastAsia="en-AU"/>
              </w:rPr>
            </w:pPr>
            <w:r w:rsidRPr="00F20D0B">
              <w:rPr>
                <w:rFonts w:cs="Calibri"/>
                <w:color w:val="000000"/>
                <w:lang w:eastAsia="en-AU"/>
              </w:rPr>
              <w:t xml:space="preserve">Upper respiratory tract </w:t>
            </w:r>
            <w:proofErr w:type="spellStart"/>
            <w:r w:rsidRPr="00F20D0B">
              <w:rPr>
                <w:rFonts w:cs="Calibri"/>
                <w:color w:val="000000"/>
                <w:lang w:eastAsia="en-AU"/>
              </w:rPr>
              <w:t>infection</w:t>
            </w:r>
            <w:r w:rsidRPr="001E6923">
              <w:rPr>
                <w:rFonts w:asciiTheme="majorHAnsi" w:hAnsiTheme="majorHAnsi" w:cs="LiberationSerif"/>
                <w:szCs w:val="18"/>
                <w:vertAlign w:val="superscript"/>
                <w:lang w:eastAsia="en-AU"/>
              </w:rPr>
              <w:t>a</w:t>
            </w:r>
            <w:proofErr w:type="spellEnd"/>
            <w:r w:rsidRPr="00F20D0B">
              <w:rPr>
                <w:rFonts w:cs="Calibri"/>
                <w:color w:val="000000"/>
                <w:lang w:eastAsia="en-AU"/>
              </w:rPr>
              <w:t xml:space="preserve"> </w:t>
            </w:r>
          </w:p>
        </w:tc>
        <w:tc>
          <w:tcPr>
            <w:tcW w:w="1985" w:type="dxa"/>
          </w:tcPr>
          <w:p w14:paraId="48284299" w14:textId="245A5BB5" w:rsidR="00250A19" w:rsidRPr="00F20D0B" w:rsidRDefault="00250A19" w:rsidP="003E463C">
            <w:pPr>
              <w:autoSpaceDE w:val="0"/>
              <w:autoSpaceDN w:val="0"/>
              <w:adjustRightInd w:val="0"/>
              <w:spacing w:after="0" w:line="240" w:lineRule="auto"/>
              <w:jc w:val="center"/>
              <w:rPr>
                <w:rFonts w:cs="Calibri"/>
                <w:color w:val="000000"/>
                <w:lang w:eastAsia="en-AU"/>
              </w:rPr>
            </w:pPr>
            <w:r>
              <w:rPr>
                <w:rFonts w:cs="Calibri"/>
                <w:color w:val="000000"/>
                <w:lang w:eastAsia="en-AU"/>
              </w:rPr>
              <w:t>86</w:t>
            </w:r>
            <w:r w:rsidRPr="00F20D0B">
              <w:rPr>
                <w:rFonts w:cs="Calibri"/>
                <w:color w:val="000000"/>
                <w:lang w:eastAsia="en-AU"/>
              </w:rPr>
              <w:t xml:space="preserve"> (</w:t>
            </w:r>
            <w:r>
              <w:rPr>
                <w:rFonts w:cs="Calibri"/>
                <w:color w:val="000000"/>
                <w:lang w:eastAsia="en-AU"/>
              </w:rPr>
              <w:t>39</w:t>
            </w:r>
            <w:r w:rsidRPr="00F20D0B">
              <w:rPr>
                <w:rFonts w:cs="Calibri"/>
                <w:color w:val="000000"/>
                <w:lang w:eastAsia="en-AU"/>
              </w:rPr>
              <w:t>)</w:t>
            </w:r>
          </w:p>
        </w:tc>
        <w:tc>
          <w:tcPr>
            <w:tcW w:w="1843" w:type="dxa"/>
          </w:tcPr>
          <w:p w14:paraId="4B8FB7C1" w14:textId="75BD833B" w:rsidR="00250A19" w:rsidRPr="007F4E11" w:rsidRDefault="00250A19" w:rsidP="003E463C">
            <w:pPr>
              <w:autoSpaceDE w:val="0"/>
              <w:autoSpaceDN w:val="0"/>
              <w:adjustRightInd w:val="0"/>
              <w:spacing w:after="0" w:line="240" w:lineRule="auto"/>
              <w:jc w:val="center"/>
              <w:rPr>
                <w:rFonts w:cs="Calibri"/>
                <w:color w:val="000000"/>
                <w:lang w:eastAsia="en-AU"/>
              </w:rPr>
            </w:pPr>
            <w:r>
              <w:rPr>
                <w:rFonts w:cs="Calibri"/>
                <w:color w:val="000000"/>
                <w:lang w:eastAsia="en-AU"/>
              </w:rPr>
              <w:t>86</w:t>
            </w:r>
            <w:r w:rsidRPr="007F4E11">
              <w:rPr>
                <w:rFonts w:cs="Calibri"/>
                <w:color w:val="000000"/>
                <w:lang w:eastAsia="en-AU"/>
              </w:rPr>
              <w:t xml:space="preserve"> (</w:t>
            </w:r>
            <w:r>
              <w:rPr>
                <w:rFonts w:cs="Calibri"/>
                <w:color w:val="000000"/>
                <w:lang w:eastAsia="en-AU"/>
              </w:rPr>
              <w:t>39</w:t>
            </w:r>
            <w:r w:rsidRPr="007F4E11">
              <w:rPr>
                <w:rFonts w:cs="Calibri"/>
                <w:color w:val="000000"/>
                <w:lang w:eastAsia="en-AU"/>
              </w:rPr>
              <w:t xml:space="preserve">) </w:t>
            </w:r>
          </w:p>
        </w:tc>
      </w:tr>
      <w:tr w:rsidR="00250A19" w:rsidRPr="00F20D0B" w14:paraId="71A7F88D" w14:textId="77777777" w:rsidTr="003E463C">
        <w:trPr>
          <w:trHeight w:val="128"/>
        </w:trPr>
        <w:tc>
          <w:tcPr>
            <w:tcW w:w="7225" w:type="dxa"/>
            <w:gridSpan w:val="3"/>
          </w:tcPr>
          <w:p w14:paraId="2598CAC7" w14:textId="77777777" w:rsidR="00250A19" w:rsidRPr="00F20D0B" w:rsidRDefault="00250A19" w:rsidP="003E463C">
            <w:pPr>
              <w:autoSpaceDE w:val="0"/>
              <w:autoSpaceDN w:val="0"/>
              <w:adjustRightInd w:val="0"/>
              <w:spacing w:after="0" w:line="240" w:lineRule="auto"/>
              <w:rPr>
                <w:rFonts w:cs="Calibri"/>
                <w:b/>
                <w:color w:val="000000"/>
                <w:lang w:eastAsia="en-AU"/>
              </w:rPr>
            </w:pPr>
            <w:r w:rsidRPr="00F20D0B">
              <w:rPr>
                <w:rFonts w:cs="Calibri"/>
                <w:b/>
                <w:color w:val="000000"/>
                <w:lang w:eastAsia="en-AU"/>
              </w:rPr>
              <w:t xml:space="preserve">Musculoskeletal and connective tissue disorders </w:t>
            </w:r>
          </w:p>
        </w:tc>
      </w:tr>
      <w:tr w:rsidR="00250A19" w:rsidRPr="00F20D0B" w14:paraId="75120FF7" w14:textId="77777777" w:rsidTr="003E463C">
        <w:trPr>
          <w:trHeight w:val="135"/>
        </w:trPr>
        <w:tc>
          <w:tcPr>
            <w:tcW w:w="3397" w:type="dxa"/>
          </w:tcPr>
          <w:p w14:paraId="53F72545" w14:textId="77777777" w:rsidR="00250A19" w:rsidRPr="00F20D0B" w:rsidRDefault="00250A19" w:rsidP="003E463C">
            <w:pPr>
              <w:autoSpaceDE w:val="0"/>
              <w:autoSpaceDN w:val="0"/>
              <w:adjustRightInd w:val="0"/>
              <w:spacing w:after="0" w:line="240" w:lineRule="auto"/>
              <w:rPr>
                <w:rFonts w:cs="Calibri"/>
                <w:color w:val="000000"/>
                <w:lang w:eastAsia="en-AU"/>
              </w:rPr>
            </w:pPr>
            <w:r w:rsidRPr="00F20D0B">
              <w:rPr>
                <w:rFonts w:cs="Calibri"/>
                <w:color w:val="000000"/>
                <w:lang w:eastAsia="en-AU"/>
              </w:rPr>
              <w:t xml:space="preserve">Pain in extremity </w:t>
            </w:r>
          </w:p>
        </w:tc>
        <w:tc>
          <w:tcPr>
            <w:tcW w:w="1985" w:type="dxa"/>
          </w:tcPr>
          <w:p w14:paraId="4B5D9F35" w14:textId="27FA1416" w:rsidR="00250A19" w:rsidRPr="00F20D0B" w:rsidRDefault="0016469F" w:rsidP="003E463C">
            <w:pPr>
              <w:autoSpaceDE w:val="0"/>
              <w:autoSpaceDN w:val="0"/>
              <w:adjustRightInd w:val="0"/>
              <w:spacing w:after="0" w:line="240" w:lineRule="auto"/>
              <w:jc w:val="center"/>
              <w:rPr>
                <w:rFonts w:cs="Calibri"/>
                <w:color w:val="000000"/>
                <w:lang w:eastAsia="en-AU"/>
              </w:rPr>
            </w:pPr>
            <w:r>
              <w:rPr>
                <w:rFonts w:cs="Calibri"/>
                <w:color w:val="000000"/>
                <w:lang w:eastAsia="en-AU"/>
              </w:rPr>
              <w:t>14 (6</w:t>
            </w:r>
            <w:r w:rsidR="00250A19" w:rsidRPr="00F20D0B">
              <w:rPr>
                <w:rFonts w:cs="Calibri"/>
                <w:color w:val="000000"/>
                <w:lang w:eastAsia="en-AU"/>
              </w:rPr>
              <w:t>)</w:t>
            </w:r>
          </w:p>
        </w:tc>
        <w:tc>
          <w:tcPr>
            <w:tcW w:w="1843" w:type="dxa"/>
          </w:tcPr>
          <w:p w14:paraId="61B1979B" w14:textId="6D5B984C" w:rsidR="00250A19" w:rsidRPr="007F4E11" w:rsidRDefault="0016469F" w:rsidP="003E463C">
            <w:pPr>
              <w:autoSpaceDE w:val="0"/>
              <w:autoSpaceDN w:val="0"/>
              <w:adjustRightInd w:val="0"/>
              <w:spacing w:after="0" w:line="240" w:lineRule="auto"/>
              <w:jc w:val="center"/>
              <w:rPr>
                <w:rFonts w:cs="Calibri"/>
                <w:color w:val="000000"/>
                <w:lang w:eastAsia="en-AU"/>
              </w:rPr>
            </w:pPr>
            <w:r>
              <w:rPr>
                <w:rFonts w:cs="Calibri"/>
                <w:color w:val="000000"/>
                <w:lang w:eastAsia="en-AU"/>
              </w:rPr>
              <w:t>11 (5</w:t>
            </w:r>
            <w:r w:rsidR="00250A19" w:rsidRPr="007F4E11">
              <w:rPr>
                <w:rFonts w:cs="Calibri"/>
                <w:color w:val="000000"/>
                <w:lang w:eastAsia="en-AU"/>
              </w:rPr>
              <w:t xml:space="preserve">) </w:t>
            </w:r>
          </w:p>
        </w:tc>
      </w:tr>
      <w:tr w:rsidR="00250A19" w:rsidRPr="00F20D0B" w14:paraId="4A215257" w14:textId="77777777" w:rsidTr="003E463C">
        <w:trPr>
          <w:trHeight w:val="135"/>
        </w:trPr>
        <w:tc>
          <w:tcPr>
            <w:tcW w:w="3397" w:type="dxa"/>
          </w:tcPr>
          <w:p w14:paraId="50FB5DD5" w14:textId="77777777" w:rsidR="00250A19" w:rsidRPr="00F20D0B" w:rsidRDefault="00250A19" w:rsidP="003E463C">
            <w:pPr>
              <w:autoSpaceDE w:val="0"/>
              <w:autoSpaceDN w:val="0"/>
              <w:adjustRightInd w:val="0"/>
              <w:spacing w:after="0" w:line="240" w:lineRule="auto"/>
              <w:rPr>
                <w:rFonts w:cs="Calibri"/>
                <w:color w:val="000000"/>
                <w:lang w:eastAsia="en-AU"/>
              </w:rPr>
            </w:pPr>
            <w:r w:rsidRPr="00F20D0B">
              <w:rPr>
                <w:rFonts w:cs="Calibri"/>
                <w:color w:val="000000"/>
                <w:lang w:eastAsia="en-AU"/>
              </w:rPr>
              <w:t xml:space="preserve">Arthralgia </w:t>
            </w:r>
          </w:p>
        </w:tc>
        <w:tc>
          <w:tcPr>
            <w:tcW w:w="1985" w:type="dxa"/>
          </w:tcPr>
          <w:p w14:paraId="564B8BD2" w14:textId="7A2A4926" w:rsidR="00250A19" w:rsidRPr="00F20D0B" w:rsidRDefault="0016469F" w:rsidP="003E463C">
            <w:pPr>
              <w:autoSpaceDE w:val="0"/>
              <w:autoSpaceDN w:val="0"/>
              <w:adjustRightInd w:val="0"/>
              <w:spacing w:after="0" w:line="240" w:lineRule="auto"/>
              <w:jc w:val="center"/>
              <w:rPr>
                <w:rFonts w:cs="Calibri"/>
                <w:color w:val="000000"/>
                <w:lang w:eastAsia="en-AU"/>
              </w:rPr>
            </w:pPr>
            <w:r>
              <w:rPr>
                <w:rFonts w:cs="Calibri"/>
                <w:color w:val="000000"/>
                <w:lang w:eastAsia="en-AU"/>
              </w:rPr>
              <w:t>11 (5</w:t>
            </w:r>
            <w:r w:rsidR="00250A19" w:rsidRPr="00F20D0B">
              <w:rPr>
                <w:rFonts w:cs="Calibri"/>
                <w:color w:val="000000"/>
                <w:lang w:eastAsia="en-AU"/>
              </w:rPr>
              <w:t>)</w:t>
            </w:r>
          </w:p>
        </w:tc>
        <w:tc>
          <w:tcPr>
            <w:tcW w:w="1843" w:type="dxa"/>
          </w:tcPr>
          <w:p w14:paraId="2B3FD028" w14:textId="2964D89B" w:rsidR="00250A19" w:rsidRPr="007F4E11" w:rsidRDefault="00250A19" w:rsidP="003E463C">
            <w:pPr>
              <w:autoSpaceDE w:val="0"/>
              <w:autoSpaceDN w:val="0"/>
              <w:adjustRightInd w:val="0"/>
              <w:spacing w:after="0" w:line="240" w:lineRule="auto"/>
              <w:jc w:val="center"/>
              <w:rPr>
                <w:rFonts w:cs="Calibri"/>
                <w:color w:val="000000"/>
                <w:lang w:eastAsia="en-AU"/>
              </w:rPr>
            </w:pPr>
            <w:r w:rsidRPr="007F4E11">
              <w:rPr>
                <w:rFonts w:cs="Calibri"/>
                <w:color w:val="000000"/>
                <w:lang w:eastAsia="en-AU"/>
              </w:rPr>
              <w:t xml:space="preserve">12 (5) </w:t>
            </w:r>
          </w:p>
        </w:tc>
      </w:tr>
      <w:tr w:rsidR="00250A19" w:rsidRPr="00F20D0B" w14:paraId="4921069C" w14:textId="77777777" w:rsidTr="003E463C">
        <w:trPr>
          <w:trHeight w:val="128"/>
        </w:trPr>
        <w:tc>
          <w:tcPr>
            <w:tcW w:w="7225" w:type="dxa"/>
            <w:gridSpan w:val="3"/>
          </w:tcPr>
          <w:p w14:paraId="7B60BC34" w14:textId="77777777" w:rsidR="00250A19" w:rsidRPr="00F20D0B" w:rsidRDefault="00250A19" w:rsidP="003E463C">
            <w:pPr>
              <w:autoSpaceDE w:val="0"/>
              <w:autoSpaceDN w:val="0"/>
              <w:adjustRightInd w:val="0"/>
              <w:spacing w:after="0" w:line="240" w:lineRule="auto"/>
              <w:rPr>
                <w:rFonts w:cs="Calibri"/>
                <w:b/>
                <w:color w:val="000000"/>
                <w:lang w:eastAsia="en-AU"/>
              </w:rPr>
            </w:pPr>
            <w:r w:rsidRPr="00F20D0B">
              <w:rPr>
                <w:rFonts w:cs="Calibri"/>
                <w:b/>
                <w:color w:val="000000"/>
                <w:lang w:eastAsia="en-AU"/>
              </w:rPr>
              <w:t xml:space="preserve">Nervous system disorders </w:t>
            </w:r>
          </w:p>
        </w:tc>
      </w:tr>
      <w:tr w:rsidR="00250A19" w:rsidRPr="00F20D0B" w14:paraId="24B60C51" w14:textId="77777777" w:rsidTr="003E463C">
        <w:trPr>
          <w:trHeight w:val="135"/>
        </w:trPr>
        <w:tc>
          <w:tcPr>
            <w:tcW w:w="3397" w:type="dxa"/>
          </w:tcPr>
          <w:p w14:paraId="130761EC" w14:textId="77777777" w:rsidR="00250A19" w:rsidRPr="00F20D0B" w:rsidRDefault="00250A19" w:rsidP="003E463C">
            <w:pPr>
              <w:autoSpaceDE w:val="0"/>
              <w:autoSpaceDN w:val="0"/>
              <w:adjustRightInd w:val="0"/>
              <w:spacing w:after="0" w:line="240" w:lineRule="auto"/>
              <w:rPr>
                <w:rFonts w:cs="Calibri"/>
                <w:color w:val="000000"/>
                <w:lang w:eastAsia="en-AU"/>
              </w:rPr>
            </w:pPr>
            <w:r w:rsidRPr="00F20D0B">
              <w:rPr>
                <w:rFonts w:cs="Calibri"/>
                <w:color w:val="000000"/>
                <w:lang w:eastAsia="en-AU"/>
              </w:rPr>
              <w:t xml:space="preserve">Headache </w:t>
            </w:r>
          </w:p>
        </w:tc>
        <w:tc>
          <w:tcPr>
            <w:tcW w:w="1985" w:type="dxa"/>
          </w:tcPr>
          <w:p w14:paraId="1D4446A5" w14:textId="5D3CDA7E" w:rsidR="00250A19" w:rsidRPr="00F20D0B" w:rsidRDefault="0016469F" w:rsidP="003E463C">
            <w:pPr>
              <w:autoSpaceDE w:val="0"/>
              <w:autoSpaceDN w:val="0"/>
              <w:adjustRightInd w:val="0"/>
              <w:spacing w:after="0" w:line="240" w:lineRule="auto"/>
              <w:jc w:val="center"/>
              <w:rPr>
                <w:rFonts w:cs="Calibri"/>
                <w:color w:val="000000"/>
                <w:lang w:eastAsia="en-AU"/>
              </w:rPr>
            </w:pPr>
            <w:r>
              <w:rPr>
                <w:rFonts w:cs="Calibri"/>
                <w:color w:val="000000"/>
                <w:lang w:eastAsia="en-AU"/>
              </w:rPr>
              <w:t>71 (32</w:t>
            </w:r>
            <w:r w:rsidR="00250A19" w:rsidRPr="00F20D0B">
              <w:rPr>
                <w:rFonts w:cs="Calibri"/>
                <w:color w:val="000000"/>
                <w:lang w:eastAsia="en-AU"/>
              </w:rPr>
              <w:t>)</w:t>
            </w:r>
          </w:p>
        </w:tc>
        <w:tc>
          <w:tcPr>
            <w:tcW w:w="1843" w:type="dxa"/>
          </w:tcPr>
          <w:p w14:paraId="5F56EC59" w14:textId="0AB11D7E" w:rsidR="00250A19" w:rsidRPr="007F4E11" w:rsidRDefault="0016469F" w:rsidP="003E463C">
            <w:pPr>
              <w:autoSpaceDE w:val="0"/>
              <w:autoSpaceDN w:val="0"/>
              <w:adjustRightInd w:val="0"/>
              <w:spacing w:after="0" w:line="240" w:lineRule="auto"/>
              <w:jc w:val="center"/>
              <w:rPr>
                <w:rFonts w:cs="Calibri"/>
                <w:color w:val="000000"/>
                <w:lang w:eastAsia="en-AU"/>
              </w:rPr>
            </w:pPr>
            <w:r>
              <w:rPr>
                <w:rFonts w:cs="Calibri"/>
                <w:color w:val="000000"/>
                <w:lang w:eastAsia="en-AU"/>
              </w:rPr>
              <w:t>57 (26</w:t>
            </w:r>
            <w:r w:rsidR="00250A19" w:rsidRPr="007F4E11">
              <w:rPr>
                <w:rFonts w:cs="Calibri"/>
                <w:color w:val="000000"/>
                <w:lang w:eastAsia="en-AU"/>
              </w:rPr>
              <w:t xml:space="preserve">) </w:t>
            </w:r>
          </w:p>
        </w:tc>
      </w:tr>
      <w:tr w:rsidR="00250A19" w:rsidRPr="00F20D0B" w14:paraId="21EE7BAA" w14:textId="77777777" w:rsidTr="003E463C">
        <w:trPr>
          <w:trHeight w:val="135"/>
        </w:trPr>
        <w:tc>
          <w:tcPr>
            <w:tcW w:w="3397" w:type="dxa"/>
          </w:tcPr>
          <w:p w14:paraId="77034E2C" w14:textId="77777777" w:rsidR="00250A19" w:rsidRPr="00F20D0B" w:rsidRDefault="00250A19" w:rsidP="003E463C">
            <w:pPr>
              <w:autoSpaceDE w:val="0"/>
              <w:autoSpaceDN w:val="0"/>
              <w:adjustRightInd w:val="0"/>
              <w:spacing w:after="0" w:line="240" w:lineRule="auto"/>
              <w:rPr>
                <w:rFonts w:cs="Calibri"/>
                <w:color w:val="000000"/>
                <w:lang w:eastAsia="en-AU"/>
              </w:rPr>
            </w:pPr>
            <w:r w:rsidRPr="00F20D0B">
              <w:rPr>
                <w:rFonts w:cs="Calibri"/>
                <w:color w:val="000000"/>
                <w:lang w:eastAsia="en-AU"/>
              </w:rPr>
              <w:t xml:space="preserve">Dizziness </w:t>
            </w:r>
          </w:p>
        </w:tc>
        <w:tc>
          <w:tcPr>
            <w:tcW w:w="1985" w:type="dxa"/>
          </w:tcPr>
          <w:p w14:paraId="54DAEA84" w14:textId="22622D04" w:rsidR="00250A19" w:rsidRPr="00F20D0B" w:rsidRDefault="0016469F" w:rsidP="003E463C">
            <w:pPr>
              <w:autoSpaceDE w:val="0"/>
              <w:autoSpaceDN w:val="0"/>
              <w:adjustRightInd w:val="0"/>
              <w:spacing w:after="0" w:line="240" w:lineRule="auto"/>
              <w:jc w:val="center"/>
              <w:rPr>
                <w:rFonts w:cs="Calibri"/>
                <w:color w:val="000000"/>
                <w:lang w:eastAsia="en-AU"/>
              </w:rPr>
            </w:pPr>
            <w:r>
              <w:rPr>
                <w:rFonts w:cs="Calibri"/>
                <w:color w:val="000000"/>
                <w:lang w:eastAsia="en-AU"/>
              </w:rPr>
              <w:t>12 (5</w:t>
            </w:r>
            <w:r w:rsidR="00250A19" w:rsidRPr="00F20D0B">
              <w:rPr>
                <w:rFonts w:cs="Calibri"/>
                <w:color w:val="000000"/>
                <w:lang w:eastAsia="en-AU"/>
              </w:rPr>
              <w:t>)</w:t>
            </w:r>
          </w:p>
        </w:tc>
        <w:tc>
          <w:tcPr>
            <w:tcW w:w="1843" w:type="dxa"/>
          </w:tcPr>
          <w:p w14:paraId="6D639F98" w14:textId="4237F7DC" w:rsidR="00250A19" w:rsidRPr="007F4E11" w:rsidRDefault="0016469F" w:rsidP="003E463C">
            <w:pPr>
              <w:autoSpaceDE w:val="0"/>
              <w:autoSpaceDN w:val="0"/>
              <w:adjustRightInd w:val="0"/>
              <w:spacing w:after="0" w:line="240" w:lineRule="auto"/>
              <w:jc w:val="center"/>
              <w:rPr>
                <w:rFonts w:cs="Calibri"/>
                <w:color w:val="000000"/>
                <w:lang w:eastAsia="en-AU"/>
              </w:rPr>
            </w:pPr>
            <w:r>
              <w:rPr>
                <w:rFonts w:cs="Calibri"/>
                <w:color w:val="000000"/>
                <w:lang w:eastAsia="en-AU"/>
              </w:rPr>
              <w:t>14 (6</w:t>
            </w:r>
            <w:r w:rsidR="00250A19" w:rsidRPr="007F4E11">
              <w:rPr>
                <w:rFonts w:cs="Calibri"/>
                <w:color w:val="000000"/>
                <w:lang w:eastAsia="en-AU"/>
              </w:rPr>
              <w:t xml:space="preserve">) </w:t>
            </w:r>
          </w:p>
        </w:tc>
      </w:tr>
    </w:tbl>
    <w:p w14:paraId="550ADC88" w14:textId="77777777" w:rsidR="00250A19" w:rsidRPr="004B0868" w:rsidRDefault="00250A19" w:rsidP="006C5DE0">
      <w:pPr>
        <w:autoSpaceDE w:val="0"/>
        <w:autoSpaceDN w:val="0"/>
        <w:adjustRightInd w:val="0"/>
        <w:spacing w:after="0" w:line="240" w:lineRule="auto"/>
        <w:ind w:left="709"/>
        <w:rPr>
          <w:rFonts w:asciiTheme="majorHAnsi" w:hAnsiTheme="majorHAnsi"/>
          <w:sz w:val="18"/>
          <w:szCs w:val="18"/>
        </w:rPr>
      </w:pPr>
      <w:proofErr w:type="spellStart"/>
      <w:r w:rsidRPr="001E6923">
        <w:rPr>
          <w:rFonts w:asciiTheme="majorHAnsi" w:hAnsiTheme="majorHAnsi" w:cs="LiberationSerif"/>
          <w:sz w:val="18"/>
          <w:szCs w:val="18"/>
          <w:vertAlign w:val="superscript"/>
          <w:lang w:eastAsia="en-AU"/>
        </w:rPr>
        <w:t>a</w:t>
      </w:r>
      <w:r w:rsidRPr="004B0868">
        <w:rPr>
          <w:rFonts w:asciiTheme="majorHAnsi" w:hAnsiTheme="majorHAnsi" w:cs="LiberationSerif"/>
          <w:sz w:val="18"/>
          <w:szCs w:val="18"/>
          <w:lang w:eastAsia="en-AU"/>
        </w:rPr>
        <w:t>Grouped</w:t>
      </w:r>
      <w:proofErr w:type="spellEnd"/>
      <w:r w:rsidRPr="004B0868">
        <w:rPr>
          <w:rFonts w:asciiTheme="majorHAnsi" w:hAnsiTheme="majorHAnsi" w:cs="LiberationSerif"/>
          <w:sz w:val="18"/>
          <w:szCs w:val="18"/>
          <w:lang w:eastAsia="en-AU"/>
        </w:rPr>
        <w:t xml:space="preserve"> term includes: </w:t>
      </w:r>
      <w:proofErr w:type="spellStart"/>
      <w:r w:rsidRPr="004B0868">
        <w:rPr>
          <w:rFonts w:asciiTheme="majorHAnsi" w:hAnsiTheme="majorHAnsi" w:cs="LiberationSerif"/>
          <w:sz w:val="18"/>
          <w:szCs w:val="18"/>
          <w:lang w:eastAsia="en-AU"/>
        </w:rPr>
        <w:t>Nasopharyngitis</w:t>
      </w:r>
      <w:proofErr w:type="spellEnd"/>
      <w:r w:rsidRPr="004B0868">
        <w:rPr>
          <w:rFonts w:asciiTheme="majorHAnsi" w:hAnsiTheme="majorHAnsi" w:cs="LiberationSerif"/>
          <w:sz w:val="18"/>
          <w:szCs w:val="18"/>
          <w:lang w:eastAsia="en-AU"/>
        </w:rPr>
        <w:t>, Upper respiratory tract infection,</w:t>
      </w:r>
      <w:r>
        <w:rPr>
          <w:rFonts w:asciiTheme="majorHAnsi" w:hAnsiTheme="majorHAnsi" w:cs="LiberationSerif"/>
          <w:sz w:val="18"/>
          <w:szCs w:val="18"/>
          <w:lang w:eastAsia="en-AU"/>
        </w:rPr>
        <w:t xml:space="preserve"> </w:t>
      </w:r>
      <w:r w:rsidRPr="004B0868">
        <w:rPr>
          <w:rFonts w:asciiTheme="majorHAnsi" w:hAnsiTheme="majorHAnsi" w:cs="LiberationSerif"/>
          <w:sz w:val="18"/>
          <w:szCs w:val="18"/>
          <w:lang w:eastAsia="en-AU"/>
        </w:rPr>
        <w:t xml:space="preserve">Oropharyngeal pain, Viral upper </w:t>
      </w:r>
      <w:r>
        <w:rPr>
          <w:rFonts w:asciiTheme="majorHAnsi" w:hAnsiTheme="majorHAnsi" w:cs="LiberationSerif"/>
          <w:sz w:val="18"/>
          <w:szCs w:val="18"/>
          <w:lang w:eastAsia="en-AU"/>
        </w:rPr>
        <w:t>r</w:t>
      </w:r>
      <w:r w:rsidRPr="004B0868">
        <w:rPr>
          <w:rFonts w:asciiTheme="majorHAnsi" w:hAnsiTheme="majorHAnsi" w:cs="LiberationSerif"/>
          <w:sz w:val="18"/>
          <w:szCs w:val="18"/>
          <w:lang w:eastAsia="en-AU"/>
        </w:rPr>
        <w:t>espiratory tract infection, Rhinitis, Respiratory</w:t>
      </w:r>
      <w:r>
        <w:rPr>
          <w:rFonts w:asciiTheme="majorHAnsi" w:hAnsiTheme="majorHAnsi" w:cs="LiberationSerif"/>
          <w:sz w:val="18"/>
          <w:szCs w:val="18"/>
          <w:lang w:eastAsia="en-AU"/>
        </w:rPr>
        <w:t xml:space="preserve"> </w:t>
      </w:r>
      <w:r w:rsidRPr="004B0868">
        <w:rPr>
          <w:rFonts w:asciiTheme="majorHAnsi" w:hAnsiTheme="majorHAnsi" w:cs="LiberationSerif"/>
          <w:sz w:val="18"/>
          <w:szCs w:val="18"/>
          <w:lang w:eastAsia="en-AU"/>
        </w:rPr>
        <w:t>tract infection, Rhinorrhoea, Pharyngitis, and Upper respiratory tract inflammation</w:t>
      </w:r>
    </w:p>
    <w:p w14:paraId="756E2DDC" w14:textId="77777777" w:rsidR="00712E12" w:rsidRPr="00384377" w:rsidRDefault="00712E12" w:rsidP="00F90052">
      <w:pPr>
        <w:pStyle w:val="Heading3"/>
        <w:spacing w:before="120"/>
        <w:rPr>
          <w:b w:val="0"/>
          <w:u w:val="single"/>
        </w:rPr>
      </w:pPr>
      <w:r w:rsidRPr="00384377">
        <w:rPr>
          <w:b w:val="0"/>
          <w:u w:val="single"/>
        </w:rPr>
        <w:t>Description of selected adverse reactions</w:t>
      </w:r>
    </w:p>
    <w:p w14:paraId="1EE24A15" w14:textId="77777777" w:rsidR="00712E12" w:rsidRPr="006F2C9D" w:rsidRDefault="00712E12" w:rsidP="00A33171">
      <w:r w:rsidRPr="006F2C9D">
        <w:t xml:space="preserve">In all clinical studies, including PNH clinical trials, the most serious adverse reaction from </w:t>
      </w:r>
      <w:proofErr w:type="spellStart"/>
      <w:r w:rsidRPr="006F2C9D">
        <w:t>Ultomiris</w:t>
      </w:r>
      <w:proofErr w:type="spellEnd"/>
      <w:r w:rsidRPr="006F2C9D">
        <w:t xml:space="preserve"> was meningococcal infection/sepsis (see </w:t>
      </w:r>
      <w:r w:rsidRPr="0095702A">
        <w:rPr>
          <w:i/>
        </w:rPr>
        <w:t>section 4.4 Special Warnings and Precautions for Use</w:t>
      </w:r>
      <w:r w:rsidRPr="006F2C9D">
        <w:t xml:space="preserve">). Meningococcal infections in patients treated with </w:t>
      </w:r>
      <w:proofErr w:type="spellStart"/>
      <w:r w:rsidRPr="006F2C9D">
        <w:t>Ultomiris</w:t>
      </w:r>
      <w:proofErr w:type="spellEnd"/>
      <w:r w:rsidRPr="006F2C9D">
        <w:t xml:space="preserve"> presented as meningococcal </w:t>
      </w:r>
      <w:r w:rsidRPr="006F2C9D">
        <w:lastRenderedPageBreak/>
        <w:t>sepsis. Patients should be informed of the signs and symptoms of meningococcal septic</w:t>
      </w:r>
      <w:r w:rsidR="002D766F">
        <w:t>a</w:t>
      </w:r>
      <w:r w:rsidRPr="006F2C9D">
        <w:t>emia and advised to seek medical care immediately.</w:t>
      </w:r>
    </w:p>
    <w:p w14:paraId="6A40D687" w14:textId="77777777" w:rsidR="0021200F" w:rsidRPr="00384377" w:rsidRDefault="0021200F" w:rsidP="0021200F">
      <w:pPr>
        <w:pStyle w:val="Heading3"/>
      </w:pPr>
      <w:r w:rsidRPr="00384377">
        <w:t>Reporting suspected adverse effects</w:t>
      </w:r>
    </w:p>
    <w:p w14:paraId="5472DD25" w14:textId="77777777" w:rsidR="005B2812" w:rsidRPr="004578FE" w:rsidRDefault="005B2812" w:rsidP="00A33171">
      <w:pPr>
        <w:rPr>
          <w:i/>
        </w:rPr>
      </w:pPr>
      <w:r w:rsidRPr="004578FE">
        <w:rPr>
          <w:i/>
          <w:lang w:val="e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2" w:history="1">
        <w:r w:rsidRPr="004578FE">
          <w:rPr>
            <w:rStyle w:val="Hyperlink"/>
            <w:rFonts w:cs="Calibri"/>
            <w:i/>
            <w:lang w:val="en"/>
          </w:rPr>
          <w:t>www.tga.gov.au/reporting-problems</w:t>
        </w:r>
      </w:hyperlink>
      <w:r w:rsidRPr="004578FE">
        <w:rPr>
          <w:i/>
          <w:lang w:val="en"/>
        </w:rPr>
        <w:t>.</w:t>
      </w:r>
    </w:p>
    <w:p w14:paraId="559AC80E" w14:textId="77777777" w:rsidR="001A3992" w:rsidRPr="00384377" w:rsidRDefault="001A3992" w:rsidP="001A3992">
      <w:pPr>
        <w:pStyle w:val="Heading2"/>
        <w:keepNext/>
        <w:keepLines/>
        <w:spacing w:before="0"/>
      </w:pPr>
      <w:r w:rsidRPr="00384377">
        <w:t>Overdose</w:t>
      </w:r>
    </w:p>
    <w:p w14:paraId="2DF9A557" w14:textId="77777777" w:rsidR="004578FE" w:rsidRPr="004578FE" w:rsidRDefault="004578FE" w:rsidP="00A33171">
      <w:r w:rsidRPr="004E03F0">
        <w:t>No case of overdose has been reported to date</w:t>
      </w:r>
      <w:r w:rsidRPr="004578FE">
        <w:t>.</w:t>
      </w:r>
    </w:p>
    <w:p w14:paraId="5D48D5CB" w14:textId="77777777" w:rsidR="005B2812" w:rsidRPr="006F2C9D" w:rsidRDefault="005B2812" w:rsidP="00A33171">
      <w:r w:rsidRPr="004578FE">
        <w:rPr>
          <w:i/>
          <w:lang w:val="en"/>
        </w:rPr>
        <w:t>For information on the management of overdose, contact the P</w:t>
      </w:r>
      <w:r w:rsidR="00A3376D" w:rsidRPr="004578FE">
        <w:rPr>
          <w:i/>
          <w:lang w:val="en"/>
        </w:rPr>
        <w:t xml:space="preserve">oisons Information Centre on 13 </w:t>
      </w:r>
      <w:r w:rsidRPr="004578FE">
        <w:rPr>
          <w:i/>
          <w:lang w:val="en"/>
        </w:rPr>
        <w:t>11</w:t>
      </w:r>
      <w:r w:rsidR="00A3376D" w:rsidRPr="004578FE">
        <w:rPr>
          <w:i/>
          <w:lang w:val="en"/>
        </w:rPr>
        <w:t xml:space="preserve"> </w:t>
      </w:r>
      <w:r w:rsidRPr="004578FE">
        <w:rPr>
          <w:i/>
          <w:lang w:val="en"/>
        </w:rPr>
        <w:t>26 (Australia)</w:t>
      </w:r>
      <w:r w:rsidRPr="006F2C9D">
        <w:rPr>
          <w:lang w:val="en"/>
        </w:rPr>
        <w:t>.</w:t>
      </w:r>
    </w:p>
    <w:p w14:paraId="4E3EA8C2" w14:textId="77777777" w:rsidR="001A3992" w:rsidRPr="00384377" w:rsidRDefault="001A3992" w:rsidP="008E5163">
      <w:pPr>
        <w:pStyle w:val="Heading1"/>
        <w:rPr>
          <w:lang w:val="en-US"/>
        </w:rPr>
      </w:pPr>
      <w:r w:rsidRPr="00384377">
        <w:rPr>
          <w:lang w:val="en-US"/>
        </w:rPr>
        <w:t>Pharmacological properties</w:t>
      </w:r>
    </w:p>
    <w:p w14:paraId="54DCF66A" w14:textId="26D31FE2" w:rsidR="00120A04" w:rsidRPr="00384377" w:rsidRDefault="00707339" w:rsidP="00120A04">
      <w:pPr>
        <w:pStyle w:val="Heading2"/>
      </w:pPr>
      <w:proofErr w:type="spellStart"/>
      <w:r>
        <w:rPr>
          <w:lang w:val="en-US"/>
        </w:rPr>
        <w:t>Pharmacodynamic</w:t>
      </w:r>
      <w:proofErr w:type="spellEnd"/>
      <w:r>
        <w:rPr>
          <w:lang w:val="en-US"/>
        </w:rPr>
        <w:t xml:space="preserve"> properties</w:t>
      </w:r>
    </w:p>
    <w:p w14:paraId="3BE6157A" w14:textId="20B0EB21" w:rsidR="00120A04" w:rsidRPr="006F2C9D" w:rsidRDefault="00047E64" w:rsidP="00A33171">
      <w:proofErr w:type="spellStart"/>
      <w:r>
        <w:t>Ravulizumab</w:t>
      </w:r>
      <w:proofErr w:type="spellEnd"/>
      <w:r w:rsidR="002D766F">
        <w:t xml:space="preserve"> </w:t>
      </w:r>
      <w:proofErr w:type="spellStart"/>
      <w:r w:rsidR="002D766F" w:rsidRPr="002D766F">
        <w:rPr>
          <w:i/>
        </w:rPr>
        <w:t>rch</w:t>
      </w:r>
      <w:proofErr w:type="spellEnd"/>
      <w:r>
        <w:t xml:space="preserve"> is a humanis</w:t>
      </w:r>
      <w:r w:rsidR="00120A04" w:rsidRPr="006F2C9D">
        <w:t>ed monoclonal antibody (</w:t>
      </w:r>
      <w:proofErr w:type="spellStart"/>
      <w:r w:rsidR="00120A04" w:rsidRPr="006F2C9D">
        <w:t>mAb</w:t>
      </w:r>
      <w:proofErr w:type="spellEnd"/>
      <w:r w:rsidR="00120A04" w:rsidRPr="006F2C9D">
        <w:t xml:space="preserve">) consisting of 2 identical 448 amino acid heavy chains and 2 identical 214 amino acid light chains and has a molecular weight of approximately 148kDa. The constant regions of </w:t>
      </w:r>
      <w:proofErr w:type="spellStart"/>
      <w:r w:rsidR="00120A04" w:rsidRPr="006F2C9D">
        <w:t>ravulizumab</w:t>
      </w:r>
      <w:proofErr w:type="spellEnd"/>
      <w:r w:rsidR="002D766F">
        <w:t xml:space="preserve"> </w:t>
      </w:r>
      <w:proofErr w:type="spellStart"/>
      <w:r w:rsidR="002D766F" w:rsidRPr="002D766F">
        <w:rPr>
          <w:i/>
        </w:rPr>
        <w:t>rch</w:t>
      </w:r>
      <w:proofErr w:type="spellEnd"/>
      <w:r w:rsidR="00120A04" w:rsidRPr="006F2C9D">
        <w:t xml:space="preserve"> include the human kappa light chain constant region, and the protein engineered "IgG2/</w:t>
      </w:r>
      <w:r w:rsidR="00707339">
        <w:t>4" heavy chain constant region.</w:t>
      </w:r>
    </w:p>
    <w:p w14:paraId="04D2C26A" w14:textId="1D295302" w:rsidR="00120A04" w:rsidRPr="006F2C9D" w:rsidRDefault="00120A04" w:rsidP="00A33171">
      <w:r w:rsidRPr="006F2C9D">
        <w:t>The heavy chain CH1 domain, hinge region, and the first 5 amino acids of the CH2 domain match the human IgG2 amino acid sequence, residues 6 to 36 in the CH2 region (common to both human IgG2 and IgG4 amino acid sequences), while the remainder of the CH2 domain and the CH3 domain match the human IgG4 amino acid sequence. The heavy and light chain variable regions that form the human C5 binding site consist of human framework regions grafted to murine complementarity-determining regions.</w:t>
      </w:r>
    </w:p>
    <w:p w14:paraId="24790EDD" w14:textId="77777777" w:rsidR="001A3992" w:rsidRPr="00384377" w:rsidRDefault="001A3992" w:rsidP="00120A04">
      <w:pPr>
        <w:pStyle w:val="Heading3"/>
      </w:pPr>
      <w:r w:rsidRPr="00384377">
        <w:t xml:space="preserve">Mechanism of </w:t>
      </w:r>
      <w:r w:rsidR="00377BF0">
        <w:t>A</w:t>
      </w:r>
      <w:r w:rsidRPr="00384377">
        <w:t>ction</w:t>
      </w:r>
    </w:p>
    <w:p w14:paraId="533BEA28" w14:textId="1E0F79BE" w:rsidR="00120A04" w:rsidRPr="006F2C9D" w:rsidRDefault="00120A04" w:rsidP="00A33171">
      <w:proofErr w:type="spellStart"/>
      <w:r w:rsidRPr="006F2C9D">
        <w:t>Ravulizumab</w:t>
      </w:r>
      <w:proofErr w:type="spellEnd"/>
      <w:r w:rsidR="002D766F">
        <w:t xml:space="preserve"> </w:t>
      </w:r>
      <w:proofErr w:type="spellStart"/>
      <w:r w:rsidR="002D766F" w:rsidRPr="002D766F">
        <w:rPr>
          <w:i/>
        </w:rPr>
        <w:t>rch</w:t>
      </w:r>
      <w:proofErr w:type="spellEnd"/>
      <w:r w:rsidRPr="006F2C9D">
        <w:t xml:space="preserve"> is a terminal complement inhibitor that specifically binds to the complement protein C5 with high affinity, thereby inhibiting its cleavage to C5a (the pro</w:t>
      </w:r>
      <w:r w:rsidR="00377BF0">
        <w:t>-</w:t>
      </w:r>
      <w:r w:rsidRPr="006F2C9D">
        <w:t xml:space="preserve">inflammatory </w:t>
      </w:r>
      <w:proofErr w:type="spellStart"/>
      <w:r w:rsidRPr="006F2C9D">
        <w:t>anaphylatoxin</w:t>
      </w:r>
      <w:proofErr w:type="spellEnd"/>
      <w:r w:rsidRPr="006F2C9D">
        <w:t>) and C5b (the initiating subunit of the terminal complement complex [C5b-9</w:t>
      </w:r>
      <w:r w:rsidR="00D32A07">
        <w:t>, also known as the membrane attack complex (MAC)</w:t>
      </w:r>
      <w:r w:rsidRPr="006F2C9D">
        <w:t>]) and preventing the generation of the C5b-9</w:t>
      </w:r>
      <w:r w:rsidR="00D32A07">
        <w:t xml:space="preserve"> or MAC</w:t>
      </w:r>
      <w:r w:rsidRPr="006F2C9D">
        <w:t>. By binding specifica</w:t>
      </w:r>
      <w:r w:rsidR="00047E64">
        <w:t xml:space="preserve">lly to C5, </w:t>
      </w:r>
      <w:proofErr w:type="spellStart"/>
      <w:r w:rsidR="00047E64">
        <w:t>ravulizumab</w:t>
      </w:r>
      <w:proofErr w:type="spellEnd"/>
      <w:r w:rsidR="002D766F">
        <w:t xml:space="preserve"> </w:t>
      </w:r>
      <w:proofErr w:type="spellStart"/>
      <w:r w:rsidR="002D766F" w:rsidRPr="002D766F">
        <w:rPr>
          <w:i/>
        </w:rPr>
        <w:t>rch</w:t>
      </w:r>
      <w:proofErr w:type="spellEnd"/>
      <w:r w:rsidR="00047E64">
        <w:t xml:space="preserve"> antagonis</w:t>
      </w:r>
      <w:r w:rsidRPr="006F2C9D">
        <w:t>es terminal complement-mediated inflammation, cell activation, and cell lysis while preserving the early components of complement activation that are essential for opsonisation of microorganisms and</w:t>
      </w:r>
      <w:r w:rsidR="00707339">
        <w:t xml:space="preserve"> clearance of immune complexes.</w:t>
      </w:r>
    </w:p>
    <w:p w14:paraId="3C92F160" w14:textId="386A989B" w:rsidR="00120A04" w:rsidRPr="006F2C9D" w:rsidRDefault="00120A04" w:rsidP="00A33171">
      <w:r w:rsidRPr="006F2C9D">
        <w:t xml:space="preserve">This mechanism of action provides the therapeutic rationale for the use of </w:t>
      </w:r>
      <w:proofErr w:type="spellStart"/>
      <w:r w:rsidRPr="006F2C9D">
        <w:t>Ultomiris</w:t>
      </w:r>
      <w:proofErr w:type="spellEnd"/>
      <w:r w:rsidRPr="006F2C9D">
        <w:t xml:space="preserve"> in PNH, in which uncontrolled complement activation is involved. In patients with PNH, complement-mediated intravascular h</w:t>
      </w:r>
      <w:r w:rsidR="00047E64">
        <w:t>a</w:t>
      </w:r>
      <w:r w:rsidRPr="006F2C9D">
        <w:t>emolysis is bl</w:t>
      </w:r>
      <w:r w:rsidR="00707339">
        <w:t xml:space="preserve">ocked with </w:t>
      </w:r>
      <w:proofErr w:type="spellStart"/>
      <w:r w:rsidR="00707339">
        <w:t>Ultomiris</w:t>
      </w:r>
      <w:proofErr w:type="spellEnd"/>
      <w:r w:rsidR="00707339">
        <w:t xml:space="preserve"> treatment.</w:t>
      </w:r>
    </w:p>
    <w:p w14:paraId="6C42B87A" w14:textId="7E42DA6B" w:rsidR="00120A04" w:rsidRPr="006F2C9D" w:rsidRDefault="00120A04" w:rsidP="00A33171">
      <w:proofErr w:type="spellStart"/>
      <w:r w:rsidRPr="006F2C9D">
        <w:lastRenderedPageBreak/>
        <w:t>Ravulizumab</w:t>
      </w:r>
      <w:proofErr w:type="spellEnd"/>
      <w:r w:rsidR="002D766F">
        <w:t xml:space="preserve"> </w:t>
      </w:r>
      <w:proofErr w:type="spellStart"/>
      <w:r w:rsidR="002D766F" w:rsidRPr="002D766F">
        <w:rPr>
          <w:i/>
        </w:rPr>
        <w:t>rch</w:t>
      </w:r>
      <w:proofErr w:type="spellEnd"/>
      <w:r w:rsidRPr="006F2C9D">
        <w:t xml:space="preserve"> was specifically engineered to dissociate from C5 and associate with human neonatal Fc receptor (</w:t>
      </w:r>
      <w:proofErr w:type="spellStart"/>
      <w:r w:rsidRPr="006F2C9D">
        <w:t>FcRn</w:t>
      </w:r>
      <w:proofErr w:type="spellEnd"/>
      <w:r w:rsidRPr="006F2C9D">
        <w:t>) at pH 6.0 (</w:t>
      </w:r>
      <w:r w:rsidR="00A2253F">
        <w:t>while</w:t>
      </w:r>
      <w:r w:rsidRPr="006F2C9D">
        <w:t xml:space="preserve"> minim</w:t>
      </w:r>
      <w:r w:rsidR="00A2253F">
        <w:t>ising the</w:t>
      </w:r>
      <w:r w:rsidRPr="006F2C9D">
        <w:t xml:space="preserve"> impact in binding to C5 in intravascular space where the normal pH is 7.4). As a result, dissociation of antibody:C5 complexes in the acidified environment of the early endosome after pinocytosis is increased. Therefore, free antibody is recycled from the early endosome back into the vascular compartment by </w:t>
      </w:r>
      <w:proofErr w:type="spellStart"/>
      <w:r w:rsidRPr="006F2C9D">
        <w:t>FcRn</w:t>
      </w:r>
      <w:proofErr w:type="spellEnd"/>
      <w:r w:rsidRPr="006F2C9D">
        <w:t xml:space="preserve">, resulting in an extended </w:t>
      </w:r>
      <w:proofErr w:type="spellStart"/>
      <w:r w:rsidRPr="006F2C9D">
        <w:t>ravulizumab</w:t>
      </w:r>
      <w:proofErr w:type="spellEnd"/>
      <w:r w:rsidR="002D766F">
        <w:t xml:space="preserve"> </w:t>
      </w:r>
      <w:proofErr w:type="spellStart"/>
      <w:r w:rsidR="002D766F" w:rsidRPr="002D766F">
        <w:rPr>
          <w:i/>
        </w:rPr>
        <w:t>rch</w:t>
      </w:r>
      <w:proofErr w:type="spellEnd"/>
      <w:r w:rsidRPr="006F2C9D">
        <w:t xml:space="preserve"> terminal elimination half-life (see </w:t>
      </w:r>
      <w:r w:rsidRPr="0095702A">
        <w:rPr>
          <w:i/>
        </w:rPr>
        <w:t>section 5.2 Pharmacokinetic Properties</w:t>
      </w:r>
      <w:r w:rsidRPr="006F2C9D">
        <w:t>).</w:t>
      </w:r>
    </w:p>
    <w:p w14:paraId="56AC20E5" w14:textId="77777777" w:rsidR="00A33171" w:rsidRDefault="00120A04" w:rsidP="00A33171">
      <w:proofErr w:type="spellStart"/>
      <w:r w:rsidRPr="006F2C9D">
        <w:t>Ultomiris</w:t>
      </w:r>
      <w:proofErr w:type="spellEnd"/>
      <w:r w:rsidRPr="006F2C9D">
        <w:t xml:space="preserve"> dosing has been optimi</w:t>
      </w:r>
      <w:r w:rsidR="00047E64">
        <w:t>s</w:t>
      </w:r>
      <w:r w:rsidRPr="006F2C9D">
        <w:t xml:space="preserve">ed to achieve therapeutic steady state concentrations following the first dose, resulting in immediate onset of action and complete terminal complement inhibition by the end of infusion; </w:t>
      </w:r>
      <w:proofErr w:type="spellStart"/>
      <w:r w:rsidRPr="006F2C9D">
        <w:t>ravulizumab</w:t>
      </w:r>
      <w:proofErr w:type="spellEnd"/>
      <w:r w:rsidR="002D766F">
        <w:t xml:space="preserve"> </w:t>
      </w:r>
      <w:proofErr w:type="spellStart"/>
      <w:r w:rsidR="002D766F" w:rsidRPr="002D766F">
        <w:rPr>
          <w:i/>
        </w:rPr>
        <w:t>rch</w:t>
      </w:r>
      <w:proofErr w:type="spellEnd"/>
      <w:r w:rsidRPr="006F2C9D">
        <w:t xml:space="preserve"> half-life in serum yields prolonged pharmacologic activity, allowing dosing once every 8 weeks.</w:t>
      </w:r>
    </w:p>
    <w:p w14:paraId="2476E5B5" w14:textId="77777777" w:rsidR="00A33171" w:rsidRDefault="006F2C9D" w:rsidP="00A33171">
      <w:pPr>
        <w:pStyle w:val="Heading3"/>
      </w:pPr>
      <w:proofErr w:type="spellStart"/>
      <w:r w:rsidRPr="006F2C9D">
        <w:t>Pharmacodynamic</w:t>
      </w:r>
      <w:proofErr w:type="spellEnd"/>
      <w:r w:rsidRPr="006F2C9D">
        <w:t xml:space="preserve"> </w:t>
      </w:r>
      <w:r w:rsidR="00377BF0">
        <w:t>E</w:t>
      </w:r>
      <w:r w:rsidR="00377BF0" w:rsidRPr="006F2C9D">
        <w:t>ffects</w:t>
      </w:r>
    </w:p>
    <w:p w14:paraId="0057158B" w14:textId="31BFC1B0" w:rsidR="006F2C9D" w:rsidRDefault="006F2C9D" w:rsidP="00A33171">
      <w:r w:rsidRPr="006F2C9D">
        <w:t xml:space="preserve">Following </w:t>
      </w:r>
      <w:proofErr w:type="spellStart"/>
      <w:r w:rsidRPr="006F2C9D">
        <w:t>Ultomiris</w:t>
      </w:r>
      <w:proofErr w:type="spellEnd"/>
      <w:r w:rsidRPr="006F2C9D">
        <w:t xml:space="preserve"> treatment in both complement-inhibitor naïve patients and </w:t>
      </w:r>
      <w:proofErr w:type="spellStart"/>
      <w:r w:rsidRPr="006F2C9D">
        <w:t>Soliris</w:t>
      </w:r>
      <w:proofErr w:type="spellEnd"/>
      <w:r w:rsidRPr="006F2C9D">
        <w:t>-experienced patients with PNH in Phase 3 studies, immediate and complete inhibition of serum free C5 (concentration of &lt; 0.5 µg/mL) was observed by the end of the first infusion and sustained throughout the entire 26-week treatment period (</w:t>
      </w:r>
      <w:r w:rsidR="006C5DE0">
        <w:fldChar w:fldCharType="begin"/>
      </w:r>
      <w:r w:rsidR="006C5DE0">
        <w:instrText xml:space="preserve"> REF _Ref20464824 \h </w:instrText>
      </w:r>
      <w:r w:rsidR="006C5DE0">
        <w:fldChar w:fldCharType="end"/>
      </w:r>
      <w:r w:rsidR="006C5DE0">
        <w:fldChar w:fldCharType="begin"/>
      </w:r>
      <w:r w:rsidR="006C5DE0">
        <w:instrText xml:space="preserve"> REF _Ref20464842 \h </w:instrText>
      </w:r>
      <w:r w:rsidR="006C5DE0">
        <w:fldChar w:fldCharType="separate"/>
      </w:r>
      <w:r w:rsidR="006C5DE0">
        <w:t xml:space="preserve">Figure </w:t>
      </w:r>
      <w:r w:rsidR="006C5DE0">
        <w:rPr>
          <w:noProof/>
        </w:rPr>
        <w:t>1</w:t>
      </w:r>
      <w:r w:rsidR="006C5DE0">
        <w:fldChar w:fldCharType="end"/>
      </w:r>
      <w:r w:rsidRPr="006F2C9D">
        <w:t xml:space="preserve"> and </w:t>
      </w:r>
      <w:r w:rsidR="006C5DE0">
        <w:fldChar w:fldCharType="begin"/>
      </w:r>
      <w:r w:rsidR="006C5DE0">
        <w:instrText xml:space="preserve"> REF _Ref20464883 \h </w:instrText>
      </w:r>
      <w:r w:rsidR="006C5DE0">
        <w:fldChar w:fldCharType="separate"/>
      </w:r>
      <w:r w:rsidR="006C5DE0">
        <w:t xml:space="preserve">Figure </w:t>
      </w:r>
      <w:r w:rsidR="006C5DE0">
        <w:rPr>
          <w:noProof/>
        </w:rPr>
        <w:t>2</w:t>
      </w:r>
      <w:r w:rsidR="006C5DE0">
        <w:fldChar w:fldCharType="end"/>
      </w:r>
      <w:r w:rsidRPr="006F2C9D">
        <w:t xml:space="preserve">). In contrast, serum free C5 concentrations did not consistently remain &lt; 0.5 µg/mL following </w:t>
      </w:r>
      <w:proofErr w:type="spellStart"/>
      <w:r w:rsidRPr="006F2C9D">
        <w:t>Soliris</w:t>
      </w:r>
      <w:proofErr w:type="spellEnd"/>
      <w:r w:rsidRPr="006F2C9D">
        <w:t xml:space="preserve"> treatment (</w:t>
      </w:r>
      <w:r w:rsidR="006C5DE0">
        <w:fldChar w:fldCharType="begin"/>
      </w:r>
      <w:r w:rsidR="006C5DE0">
        <w:instrText xml:space="preserve"> REF _Ref20464842 \h </w:instrText>
      </w:r>
      <w:r w:rsidR="006C5DE0">
        <w:fldChar w:fldCharType="separate"/>
      </w:r>
      <w:r w:rsidR="006C5DE0">
        <w:t xml:space="preserve">Figure </w:t>
      </w:r>
      <w:r w:rsidR="006C5DE0">
        <w:rPr>
          <w:noProof/>
        </w:rPr>
        <w:t>1</w:t>
      </w:r>
      <w:r w:rsidR="006C5DE0">
        <w:fldChar w:fldCharType="end"/>
      </w:r>
      <w:r w:rsidR="006C5DE0">
        <w:t xml:space="preserve"> </w:t>
      </w:r>
      <w:r w:rsidRPr="006F2C9D">
        <w:t xml:space="preserve">and </w:t>
      </w:r>
      <w:r w:rsidR="006C5DE0">
        <w:fldChar w:fldCharType="begin"/>
      </w:r>
      <w:r w:rsidR="006C5DE0">
        <w:instrText xml:space="preserve"> REF _Ref20464883 \h </w:instrText>
      </w:r>
      <w:r w:rsidR="006C5DE0">
        <w:fldChar w:fldCharType="separate"/>
      </w:r>
      <w:r w:rsidR="006C5DE0">
        <w:t xml:space="preserve">Figure </w:t>
      </w:r>
      <w:r w:rsidR="006C5DE0">
        <w:rPr>
          <w:noProof/>
        </w:rPr>
        <w:t>2</w:t>
      </w:r>
      <w:r w:rsidR="006C5DE0">
        <w:fldChar w:fldCharType="end"/>
      </w:r>
      <w:r w:rsidRPr="006F2C9D">
        <w:t>).</w:t>
      </w:r>
    </w:p>
    <w:p w14:paraId="27E21F3C" w14:textId="573A682B" w:rsidR="006F2C9D" w:rsidRPr="006F2C9D" w:rsidRDefault="006C5DE0" w:rsidP="006C5DE0">
      <w:pPr>
        <w:pStyle w:val="Caption"/>
      </w:pPr>
      <w:bookmarkStart w:id="4" w:name="_Ref20464842"/>
      <w:bookmarkStart w:id="5" w:name="_Ref20464824"/>
      <w:r>
        <w:t xml:space="preserve">Figure </w:t>
      </w:r>
      <w:r>
        <w:fldChar w:fldCharType="begin"/>
      </w:r>
      <w:r>
        <w:instrText xml:space="preserve"> SEQ Figure \* ARABIC </w:instrText>
      </w:r>
      <w:r>
        <w:fldChar w:fldCharType="separate"/>
      </w:r>
      <w:r w:rsidR="00FC35C3">
        <w:rPr>
          <w:noProof/>
        </w:rPr>
        <w:t>1</w:t>
      </w:r>
      <w:r>
        <w:fldChar w:fldCharType="end"/>
      </w:r>
      <w:bookmarkEnd w:id="4"/>
      <w:r>
        <w:t xml:space="preserve">: </w:t>
      </w:r>
      <w:r w:rsidR="006F2C9D" w:rsidRPr="006F2C9D">
        <w:t>Free C5 vs Time Profiles in Complement-Inhibitor Naïve Patients with PNH</w:t>
      </w:r>
      <w:bookmarkEnd w:id="5"/>
    </w:p>
    <w:p w14:paraId="28D4FAF2" w14:textId="77777777" w:rsidR="006F2C9D" w:rsidRPr="00384377" w:rsidRDefault="001B5F64" w:rsidP="00707339">
      <w:pPr>
        <w:autoSpaceDE w:val="0"/>
        <w:autoSpaceDN w:val="0"/>
        <w:adjustRightInd w:val="0"/>
        <w:spacing w:line="240" w:lineRule="atLeast"/>
        <w:rPr>
          <w:b/>
        </w:rPr>
      </w:pPr>
      <w:r>
        <w:rPr>
          <w:noProof/>
          <w:color w:val="2B579A"/>
          <w:shd w:val="clear" w:color="auto" w:fill="E6E6E6"/>
          <w:lang w:eastAsia="en-AU"/>
        </w:rPr>
        <w:drawing>
          <wp:inline distT="0" distB="0" distL="0" distR="0" wp14:anchorId="1FF3EF43" wp14:editId="6C2EAB43">
            <wp:extent cx="5486400" cy="22313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231390"/>
                    </a:xfrm>
                    <a:prstGeom prst="rect">
                      <a:avLst/>
                    </a:prstGeom>
                    <a:noFill/>
                    <a:ln>
                      <a:noFill/>
                    </a:ln>
                  </pic:spPr>
                </pic:pic>
              </a:graphicData>
            </a:graphic>
          </wp:inline>
        </w:drawing>
      </w:r>
    </w:p>
    <w:p w14:paraId="0DABD5FB" w14:textId="6874AE29" w:rsidR="006F2C9D" w:rsidRPr="006F2C9D" w:rsidRDefault="006C5DE0" w:rsidP="006C5DE0">
      <w:pPr>
        <w:pStyle w:val="Caption"/>
      </w:pPr>
      <w:bookmarkStart w:id="6" w:name="_Ref20464883"/>
      <w:r>
        <w:lastRenderedPageBreak/>
        <w:t xml:space="preserve">Figure </w:t>
      </w:r>
      <w:r>
        <w:fldChar w:fldCharType="begin"/>
      </w:r>
      <w:r>
        <w:instrText xml:space="preserve"> SEQ Figure \* ARABIC </w:instrText>
      </w:r>
      <w:r>
        <w:fldChar w:fldCharType="separate"/>
      </w:r>
      <w:r w:rsidR="00FC35C3">
        <w:rPr>
          <w:noProof/>
        </w:rPr>
        <w:t>2</w:t>
      </w:r>
      <w:r>
        <w:fldChar w:fldCharType="end"/>
      </w:r>
      <w:bookmarkEnd w:id="6"/>
      <w:r>
        <w:t xml:space="preserve">: </w:t>
      </w:r>
      <w:r w:rsidR="006F2C9D" w:rsidRPr="006F2C9D">
        <w:t xml:space="preserve">Free C5 vs Time Profiles in </w:t>
      </w:r>
      <w:proofErr w:type="spellStart"/>
      <w:r w:rsidR="006F2C9D" w:rsidRPr="006F2C9D">
        <w:t>Soliris</w:t>
      </w:r>
      <w:proofErr w:type="spellEnd"/>
      <w:r w:rsidR="006F2C9D" w:rsidRPr="006F2C9D">
        <w:t>-Experienced Patients with PNH</w:t>
      </w:r>
    </w:p>
    <w:p w14:paraId="143CBD47" w14:textId="77777777" w:rsidR="006F2C9D" w:rsidRPr="00384377" w:rsidRDefault="001B5F64" w:rsidP="006F2C9D">
      <w:pPr>
        <w:autoSpaceDE w:val="0"/>
        <w:autoSpaceDN w:val="0"/>
        <w:adjustRightInd w:val="0"/>
        <w:spacing w:line="240" w:lineRule="atLeast"/>
        <w:rPr>
          <w:b/>
          <w:bCs/>
        </w:rPr>
      </w:pPr>
      <w:r>
        <w:rPr>
          <w:noProof/>
          <w:color w:val="2B579A"/>
          <w:shd w:val="clear" w:color="auto" w:fill="E6E6E6"/>
          <w:lang w:eastAsia="en-AU"/>
        </w:rPr>
        <w:drawing>
          <wp:inline distT="0" distB="0" distL="0" distR="0" wp14:anchorId="556D25F2" wp14:editId="57559173">
            <wp:extent cx="5486400" cy="22606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2260600"/>
                    </a:xfrm>
                    <a:prstGeom prst="rect">
                      <a:avLst/>
                    </a:prstGeom>
                    <a:noFill/>
                    <a:ln>
                      <a:noFill/>
                    </a:ln>
                  </pic:spPr>
                </pic:pic>
              </a:graphicData>
            </a:graphic>
          </wp:inline>
        </w:drawing>
      </w:r>
    </w:p>
    <w:p w14:paraId="7935FE05" w14:textId="77777777" w:rsidR="006F2C9D" w:rsidRPr="006F2C9D" w:rsidRDefault="006F2C9D" w:rsidP="00A33171">
      <w:r w:rsidRPr="006F2C9D">
        <w:t xml:space="preserve">The extent and duration of the </w:t>
      </w:r>
      <w:proofErr w:type="spellStart"/>
      <w:r w:rsidRPr="006F2C9D">
        <w:t>pharmacodynamic</w:t>
      </w:r>
      <w:proofErr w:type="spellEnd"/>
      <w:r w:rsidRPr="006F2C9D">
        <w:t xml:space="preserve"> response in patients with PNH were exposure-dependent for </w:t>
      </w:r>
      <w:proofErr w:type="spellStart"/>
      <w:r w:rsidRPr="006F2C9D">
        <w:t>Ultomiris</w:t>
      </w:r>
      <w:proofErr w:type="spellEnd"/>
      <w:r w:rsidRPr="006F2C9D">
        <w:t>. Free C5 levels of &lt;0.5 µg/mL were correlated with maximal intravascular h</w:t>
      </w:r>
      <w:r w:rsidR="00047E64">
        <w:t>a</w:t>
      </w:r>
      <w:r w:rsidRPr="006F2C9D">
        <w:t>emolysis control and complete terminal complement inhibition.</w:t>
      </w:r>
    </w:p>
    <w:p w14:paraId="275EEC9F" w14:textId="77777777" w:rsidR="001A3992" w:rsidRPr="00D773E2" w:rsidRDefault="001A3992" w:rsidP="00D773E2">
      <w:pPr>
        <w:pStyle w:val="Heading3"/>
        <w:rPr>
          <w:sz w:val="24"/>
          <w:lang w:val="en-US"/>
        </w:rPr>
      </w:pPr>
      <w:r w:rsidRPr="00D773E2">
        <w:rPr>
          <w:sz w:val="24"/>
        </w:rPr>
        <w:t>Clinical</w:t>
      </w:r>
      <w:r w:rsidRPr="00D773E2">
        <w:rPr>
          <w:sz w:val="24"/>
          <w:lang w:val="en-US"/>
        </w:rPr>
        <w:t xml:space="preserve"> trials</w:t>
      </w:r>
    </w:p>
    <w:p w14:paraId="7FA84B53" w14:textId="68808CB7" w:rsidR="006F2C9D" w:rsidRPr="00107034" w:rsidRDefault="006F2C9D" w:rsidP="00107034">
      <w:pPr>
        <w:autoSpaceDE w:val="0"/>
        <w:autoSpaceDN w:val="0"/>
        <w:adjustRightInd w:val="0"/>
        <w:spacing w:line="240" w:lineRule="atLeast"/>
        <w:rPr>
          <w:b/>
        </w:rPr>
      </w:pPr>
      <w:r w:rsidRPr="00107034">
        <w:rPr>
          <w:b/>
        </w:rPr>
        <w:t>Clinical efficacy</w:t>
      </w:r>
    </w:p>
    <w:p w14:paraId="765EBEDD" w14:textId="7D30DBE4" w:rsidR="00A33171" w:rsidRDefault="006F2C9D" w:rsidP="00A33171">
      <w:pPr>
        <w:rPr>
          <w:szCs w:val="24"/>
        </w:rPr>
      </w:pPr>
      <w:r w:rsidRPr="006F2C9D">
        <w:rPr>
          <w:color w:val="000000"/>
        </w:rPr>
        <w:t xml:space="preserve">The </w:t>
      </w:r>
      <w:r w:rsidRPr="006F2C9D">
        <w:t xml:space="preserve">clinical development program was designed to determine whether </w:t>
      </w:r>
      <w:proofErr w:type="spellStart"/>
      <w:r w:rsidRPr="006F2C9D">
        <w:t>Ultomiris</w:t>
      </w:r>
      <w:proofErr w:type="spellEnd"/>
      <w:r w:rsidRPr="006F2C9D">
        <w:t xml:space="preserve"> is non</w:t>
      </w:r>
      <w:r w:rsidR="003A7858">
        <w:t>-</w:t>
      </w:r>
      <w:r w:rsidRPr="006F2C9D">
        <w:t>inferior to</w:t>
      </w:r>
      <w:r w:rsidR="00175364">
        <w:t xml:space="preserve"> the current standard of care therapy,</w:t>
      </w:r>
      <w:r w:rsidRPr="006F2C9D">
        <w:t xml:space="preserve"> </w:t>
      </w:r>
      <w:proofErr w:type="spellStart"/>
      <w:r w:rsidRPr="006F2C9D">
        <w:t>Soliris</w:t>
      </w:r>
      <w:proofErr w:type="spellEnd"/>
      <w:r w:rsidRPr="006F2C9D">
        <w:t xml:space="preserve"> in adult patients with PNH regardless of previous treatment status while assessing potential beneficial effects of a longer dosing interval. The safety and efficacy of </w:t>
      </w:r>
      <w:proofErr w:type="spellStart"/>
      <w:r w:rsidRPr="006F2C9D">
        <w:t>Ultomiris</w:t>
      </w:r>
      <w:proofErr w:type="spellEnd"/>
      <w:r w:rsidRPr="006F2C9D">
        <w:t xml:space="preserve"> in patients with PNH were assessed in two distinct and complementary populations: </w:t>
      </w:r>
      <w:r w:rsidRPr="006F2C9D">
        <w:rPr>
          <w:szCs w:val="24"/>
        </w:rPr>
        <w:t>a complement-inhibitor-naïve population of patients with active h</w:t>
      </w:r>
      <w:r w:rsidR="00047E64">
        <w:rPr>
          <w:szCs w:val="24"/>
        </w:rPr>
        <w:t>a</w:t>
      </w:r>
      <w:r w:rsidRPr="006F2C9D">
        <w:rPr>
          <w:szCs w:val="24"/>
        </w:rPr>
        <w:t xml:space="preserve">emolysis to establish the magnitude of the efficacy response, and a population of patients stable on </w:t>
      </w:r>
      <w:proofErr w:type="spellStart"/>
      <w:r w:rsidRPr="006F2C9D">
        <w:t>Soliris</w:t>
      </w:r>
      <w:proofErr w:type="spellEnd"/>
      <w:r w:rsidRPr="006F2C9D">
        <w:rPr>
          <w:szCs w:val="24"/>
        </w:rPr>
        <w:t xml:space="preserve"> therapy that allowed the assessment of the maintenance of efficacy and safety in a pop</w:t>
      </w:r>
      <w:r w:rsidR="00707339">
        <w:rPr>
          <w:szCs w:val="24"/>
        </w:rPr>
        <w:t xml:space="preserve">ulation switching to </w:t>
      </w:r>
      <w:proofErr w:type="spellStart"/>
      <w:r w:rsidR="00707339">
        <w:rPr>
          <w:szCs w:val="24"/>
        </w:rPr>
        <w:t>Ultomiris</w:t>
      </w:r>
      <w:proofErr w:type="spellEnd"/>
      <w:r w:rsidR="00707339">
        <w:rPr>
          <w:szCs w:val="24"/>
        </w:rPr>
        <w:t>.</w:t>
      </w:r>
    </w:p>
    <w:p w14:paraId="2BCD0D1D" w14:textId="5DE6F6E6" w:rsidR="006F2C9D" w:rsidRPr="006F2C9D" w:rsidRDefault="006F2C9D" w:rsidP="00A33171">
      <w:r w:rsidRPr="006F2C9D">
        <w:t>Accordingly, two adequate and well controlled Phase 3 trials were cond</w:t>
      </w:r>
      <w:r w:rsidR="00707339">
        <w:t>ucted to cover each population:</w:t>
      </w:r>
    </w:p>
    <w:p w14:paraId="747CC981" w14:textId="77777777" w:rsidR="006F2C9D" w:rsidRPr="006F2C9D" w:rsidRDefault="006F2C9D" w:rsidP="00A33171">
      <w:pPr>
        <w:numPr>
          <w:ilvl w:val="0"/>
          <w:numId w:val="19"/>
        </w:numPr>
      </w:pPr>
      <w:r w:rsidRPr="006F2C9D">
        <w:t>a Complement-Inhibitor Naïve Study in adult patients with PNH who were naïve to complement inhibitor treatment (ALXN1210-PNH-301),</w:t>
      </w:r>
    </w:p>
    <w:p w14:paraId="724B4E00" w14:textId="54E07DE6" w:rsidR="006F2C9D" w:rsidRPr="006F2C9D" w:rsidRDefault="006F2C9D" w:rsidP="00A33171">
      <w:pPr>
        <w:numPr>
          <w:ilvl w:val="0"/>
          <w:numId w:val="19"/>
        </w:numPr>
        <w:rPr>
          <w:iCs/>
        </w:rPr>
      </w:pPr>
      <w:r w:rsidRPr="006F2C9D">
        <w:t xml:space="preserve">a </w:t>
      </w:r>
      <w:proofErr w:type="spellStart"/>
      <w:r w:rsidRPr="006F2C9D">
        <w:t>Soliris</w:t>
      </w:r>
      <w:proofErr w:type="spellEnd"/>
      <w:r w:rsidRPr="006F2C9D">
        <w:t xml:space="preserve">-Experienced Study in patients with PNH who were clinically stable after having been treated with </w:t>
      </w:r>
      <w:proofErr w:type="spellStart"/>
      <w:r w:rsidRPr="006F2C9D">
        <w:t>Soliris</w:t>
      </w:r>
      <w:proofErr w:type="spellEnd"/>
      <w:r w:rsidRPr="006F2C9D">
        <w:t xml:space="preserve"> (</w:t>
      </w:r>
      <w:proofErr w:type="spellStart"/>
      <w:r w:rsidRPr="006F2C9D">
        <w:t>eculizumab</w:t>
      </w:r>
      <w:proofErr w:type="spellEnd"/>
      <w:r w:rsidR="004578FE">
        <w:t xml:space="preserve"> </w:t>
      </w:r>
      <w:proofErr w:type="spellStart"/>
      <w:r w:rsidR="004578FE" w:rsidRPr="004578FE">
        <w:rPr>
          <w:i/>
        </w:rPr>
        <w:t>rmc</w:t>
      </w:r>
      <w:proofErr w:type="spellEnd"/>
      <w:r w:rsidRPr="006F2C9D">
        <w:t>) for at least the previou</w:t>
      </w:r>
      <w:r w:rsidR="00707339">
        <w:t>s 6 months (ALXN1210-PNH-302).</w:t>
      </w:r>
    </w:p>
    <w:p w14:paraId="4DFC44D2" w14:textId="196EF86D" w:rsidR="006F2C9D" w:rsidRPr="006F2C9D" w:rsidRDefault="006F2C9D" w:rsidP="00A33171">
      <w:pPr>
        <w:rPr>
          <w:iCs/>
        </w:rPr>
      </w:pPr>
      <w:proofErr w:type="spellStart"/>
      <w:r w:rsidRPr="006F2C9D">
        <w:t>Ultomiris</w:t>
      </w:r>
      <w:proofErr w:type="spellEnd"/>
      <w:r w:rsidRPr="006F2C9D">
        <w:t xml:space="preserve"> was dosed in accordance with the recommended dosing described in </w:t>
      </w:r>
      <w:r w:rsidRPr="0095702A">
        <w:rPr>
          <w:i/>
        </w:rPr>
        <w:t xml:space="preserve">section 4.2 </w:t>
      </w:r>
      <w:r w:rsidR="0095702A" w:rsidRPr="0095702A">
        <w:rPr>
          <w:i/>
        </w:rPr>
        <w:t>Dose and Method of Administration</w:t>
      </w:r>
      <w:r w:rsidR="0095702A">
        <w:t xml:space="preserve"> </w:t>
      </w:r>
      <w:r w:rsidRPr="006F2C9D">
        <w:t xml:space="preserve">(4 infusions of </w:t>
      </w:r>
      <w:proofErr w:type="spellStart"/>
      <w:r w:rsidRPr="006F2C9D">
        <w:t>Ultomiris</w:t>
      </w:r>
      <w:proofErr w:type="spellEnd"/>
      <w:r w:rsidRPr="006F2C9D">
        <w:t xml:space="preserve"> over 26 weeks) while </w:t>
      </w:r>
      <w:proofErr w:type="spellStart"/>
      <w:r w:rsidRPr="006F2C9D">
        <w:t>Soliris</w:t>
      </w:r>
      <w:proofErr w:type="spellEnd"/>
      <w:r w:rsidRPr="006F2C9D">
        <w:t xml:space="preserve"> was administered according to the approved dosing regimen of </w:t>
      </w:r>
      <w:proofErr w:type="spellStart"/>
      <w:r w:rsidRPr="006F2C9D">
        <w:t>Soliris</w:t>
      </w:r>
      <w:proofErr w:type="spellEnd"/>
      <w:r w:rsidRPr="006F2C9D">
        <w:t xml:space="preserve"> (15 infusions over 26 weeks) which was the standard-of-care </w:t>
      </w:r>
      <w:r w:rsidR="00707339">
        <w:t>for PNH at the time of studies.</w:t>
      </w:r>
    </w:p>
    <w:p w14:paraId="61E8F8A4" w14:textId="083EAB6E" w:rsidR="006F2C9D" w:rsidRPr="006F2C9D" w:rsidRDefault="006F2C9D" w:rsidP="00A33171">
      <w:r w:rsidRPr="006F2C9D">
        <w:lastRenderedPageBreak/>
        <w:t>Patients were vaccinated against meningococcal infection prior to</w:t>
      </w:r>
      <w:r w:rsidR="00A05114">
        <w:t>,</w:t>
      </w:r>
      <w:r w:rsidRPr="006F2C9D">
        <w:t xml:space="preserve"> or at the time of initiating treatment with </w:t>
      </w:r>
      <w:proofErr w:type="spellStart"/>
      <w:r w:rsidRPr="006F2C9D">
        <w:t>Ultomiris</w:t>
      </w:r>
      <w:proofErr w:type="spellEnd"/>
      <w:r w:rsidRPr="006F2C9D">
        <w:t xml:space="preserve"> or </w:t>
      </w:r>
      <w:proofErr w:type="spellStart"/>
      <w:r w:rsidRPr="006F2C9D">
        <w:t>Soliris</w:t>
      </w:r>
      <w:proofErr w:type="spellEnd"/>
      <w:r w:rsidRPr="006F2C9D">
        <w:t>, or received prophylactic treatment with appropriate antibiotics until 2 weeks a</w:t>
      </w:r>
      <w:r w:rsidR="00707339">
        <w:t>fter vaccination.</w:t>
      </w:r>
    </w:p>
    <w:p w14:paraId="419788F0" w14:textId="77777777" w:rsidR="00D773E2" w:rsidRPr="006F2C9D" w:rsidRDefault="006F2C9D" w:rsidP="00A33171">
      <w:r w:rsidRPr="006F2C9D">
        <w:t xml:space="preserve">There were no noteworthy differences in the demographic or baseline characteristics between the </w:t>
      </w:r>
      <w:proofErr w:type="spellStart"/>
      <w:r w:rsidRPr="006F2C9D">
        <w:t>Ultomiris</w:t>
      </w:r>
      <w:proofErr w:type="spellEnd"/>
      <w:r w:rsidRPr="006F2C9D">
        <w:t xml:space="preserve"> and </w:t>
      </w:r>
      <w:proofErr w:type="spellStart"/>
      <w:r w:rsidRPr="006F2C9D">
        <w:t>Soliris</w:t>
      </w:r>
      <w:proofErr w:type="spellEnd"/>
      <w:r w:rsidRPr="006F2C9D">
        <w:t xml:space="preserve"> treatment groups in either of the Phase 3 studies. Twelve-month transfusion history was similar between </w:t>
      </w:r>
      <w:proofErr w:type="spellStart"/>
      <w:r w:rsidRPr="006F2C9D">
        <w:t>Ultomiris</w:t>
      </w:r>
      <w:proofErr w:type="spellEnd"/>
      <w:r w:rsidRPr="006F2C9D">
        <w:t xml:space="preserve"> and </w:t>
      </w:r>
      <w:proofErr w:type="spellStart"/>
      <w:r w:rsidRPr="006F2C9D">
        <w:t>Soliris</w:t>
      </w:r>
      <w:proofErr w:type="spellEnd"/>
      <w:r w:rsidRPr="006F2C9D">
        <w:t xml:space="preserve"> treatment groups within each of the Phase 3 studies.</w:t>
      </w:r>
    </w:p>
    <w:p w14:paraId="6D6D4576" w14:textId="77777777" w:rsidR="006F2C9D" w:rsidRPr="00A33171" w:rsidRDefault="000B1342" w:rsidP="00A33171">
      <w:pPr>
        <w:pStyle w:val="Heading3"/>
        <w:rPr>
          <w:b w:val="0"/>
          <w:i/>
          <w:u w:val="single"/>
        </w:rPr>
      </w:pPr>
      <w:r>
        <w:rPr>
          <w:b w:val="0"/>
          <w:i/>
          <w:u w:val="single"/>
        </w:rPr>
        <w:t xml:space="preserve">ALXN1210-PNH-301 </w:t>
      </w:r>
      <w:r w:rsidR="006F2C9D" w:rsidRPr="00A33171">
        <w:rPr>
          <w:b w:val="0"/>
          <w:i/>
          <w:u w:val="single"/>
        </w:rPr>
        <w:t>Study in complement-inhibitor naïve patients with PNH.</w:t>
      </w:r>
    </w:p>
    <w:p w14:paraId="140EBDC0" w14:textId="6F2AEB4E" w:rsidR="006F2C9D" w:rsidRPr="006F2C9D" w:rsidRDefault="006F2C9D" w:rsidP="00A33171">
      <w:pPr>
        <w:rPr>
          <w:iCs/>
        </w:rPr>
      </w:pPr>
      <w:r w:rsidRPr="006F2C9D">
        <w:t>The Complement-Inhibitor Naïve Study was a 26-week, m</w:t>
      </w:r>
      <w:r w:rsidR="00047E64">
        <w:t>ulticentr</w:t>
      </w:r>
      <w:r w:rsidR="004B1A6D">
        <w:t>e</w:t>
      </w:r>
      <w:r w:rsidR="00047E64">
        <w:t>, open-label, randomis</w:t>
      </w:r>
      <w:r w:rsidRPr="006F2C9D">
        <w:t xml:space="preserve">ed, active-controlled, Phase 3 study conducted in 246 patients who were naïve to complement inhibitor </w:t>
      </w:r>
      <w:r w:rsidR="00707339">
        <w:t>treatment prior to study entry.</w:t>
      </w:r>
    </w:p>
    <w:p w14:paraId="14922839" w14:textId="77777777" w:rsidR="006F2C9D" w:rsidRPr="006F2C9D" w:rsidRDefault="006F2C9D" w:rsidP="00A33171">
      <w:pPr>
        <w:rPr>
          <w:iCs/>
        </w:rPr>
      </w:pPr>
      <w:r w:rsidRPr="006F2C9D">
        <w:t xml:space="preserve">PNH medical history was similar between </w:t>
      </w:r>
      <w:proofErr w:type="spellStart"/>
      <w:r w:rsidRPr="006F2C9D">
        <w:t>Ultomiris</w:t>
      </w:r>
      <w:proofErr w:type="spellEnd"/>
      <w:r w:rsidRPr="006F2C9D">
        <w:t xml:space="preserve"> and </w:t>
      </w:r>
      <w:proofErr w:type="spellStart"/>
      <w:r w:rsidRPr="006F2C9D">
        <w:t>Soliris</w:t>
      </w:r>
      <w:proofErr w:type="spellEnd"/>
      <w:r w:rsidRPr="006F2C9D">
        <w:t xml:space="preserve"> treatment groups. The twelve-month transfusion history was similar between </w:t>
      </w:r>
      <w:proofErr w:type="spellStart"/>
      <w:r w:rsidRPr="006F2C9D">
        <w:t>Ultomiris</w:t>
      </w:r>
      <w:proofErr w:type="spellEnd"/>
      <w:r w:rsidRPr="006F2C9D">
        <w:t xml:space="preserve"> and </w:t>
      </w:r>
      <w:proofErr w:type="spellStart"/>
      <w:r w:rsidRPr="006F2C9D">
        <w:t>Soliris</w:t>
      </w:r>
      <w:proofErr w:type="spellEnd"/>
      <w:r w:rsidRPr="006F2C9D">
        <w:t xml:space="preserve"> treatment groups. More than 80% of patients in both treatment groups had a history of transfusion within 12 months of study entry. The majority of the Complement-Inhibitor Naïve Study population was highly h</w:t>
      </w:r>
      <w:r w:rsidR="00047E64">
        <w:t>a</w:t>
      </w:r>
      <w:r w:rsidRPr="006F2C9D">
        <w:t>emolytic at baseline; 86.2% of enrolled patients presented with elevated LDH ≥ 3 x ULN, which is a direct measurement of intravascular h</w:t>
      </w:r>
      <w:r w:rsidR="00047E64">
        <w:t>a</w:t>
      </w:r>
      <w:r w:rsidRPr="006F2C9D">
        <w:t>emolysis, in the setting of PNH. The median total RBC clone size was 33.75%, consistent with ongoing active h</w:t>
      </w:r>
      <w:r w:rsidR="00047E64">
        <w:t>a</w:t>
      </w:r>
      <w:r w:rsidRPr="006F2C9D">
        <w:t>emolysis of PNH erythrocytes in a patient population with a large median granulocyte clone size (92.55%).</w:t>
      </w:r>
    </w:p>
    <w:p w14:paraId="461DD265" w14:textId="2FD0DD41" w:rsidR="006F2C9D" w:rsidRPr="006F2C9D" w:rsidRDefault="00400639" w:rsidP="00A33171">
      <w:pPr>
        <w:rPr>
          <w:iCs/>
        </w:rPr>
      </w:pPr>
      <w:r>
        <w:rPr>
          <w:iCs/>
        </w:rPr>
        <w:fldChar w:fldCharType="begin"/>
      </w:r>
      <w:r>
        <w:rPr>
          <w:iCs/>
        </w:rPr>
        <w:instrText xml:space="preserve"> REF _Ref22138041 \h </w:instrText>
      </w:r>
      <w:r>
        <w:rPr>
          <w:iCs/>
        </w:rPr>
      </w:r>
      <w:r>
        <w:rPr>
          <w:iCs/>
        </w:rPr>
        <w:fldChar w:fldCharType="separate"/>
      </w:r>
      <w:r>
        <w:t xml:space="preserve">Table </w:t>
      </w:r>
      <w:r>
        <w:rPr>
          <w:noProof/>
        </w:rPr>
        <w:t>5</w:t>
      </w:r>
      <w:r>
        <w:rPr>
          <w:iCs/>
        </w:rPr>
        <w:fldChar w:fldCharType="end"/>
      </w:r>
      <w:r w:rsidR="006F2C9D" w:rsidRPr="006F2C9D">
        <w:rPr>
          <w:iCs/>
        </w:rPr>
        <w:t xml:space="preserve"> presents the baseline characteristics of the PNH patients enrolled in the Complement-Inhibitor Naïve Study.</w:t>
      </w:r>
    </w:p>
    <w:p w14:paraId="011D55AC" w14:textId="37DDD604" w:rsidR="004965AB" w:rsidRPr="00A33171" w:rsidRDefault="00FC35C3" w:rsidP="00FC35C3">
      <w:pPr>
        <w:pStyle w:val="Caption"/>
      </w:pPr>
      <w:bookmarkStart w:id="7" w:name="_Ref22138041"/>
      <w:bookmarkStart w:id="8" w:name="_Ref20464988"/>
      <w:r>
        <w:lastRenderedPageBreak/>
        <w:t xml:space="preserve">Table </w:t>
      </w:r>
      <w:r>
        <w:fldChar w:fldCharType="begin"/>
      </w:r>
      <w:r>
        <w:instrText xml:space="preserve"> SEQ Table \* ARABIC </w:instrText>
      </w:r>
      <w:r>
        <w:fldChar w:fldCharType="separate"/>
      </w:r>
      <w:r>
        <w:rPr>
          <w:noProof/>
        </w:rPr>
        <w:t>5</w:t>
      </w:r>
      <w:r>
        <w:fldChar w:fldCharType="end"/>
      </w:r>
      <w:bookmarkEnd w:id="7"/>
      <w:r>
        <w:t xml:space="preserve"> </w:t>
      </w:r>
      <w:r w:rsidR="004965AB" w:rsidRPr="00A33171">
        <w:t>Baseline characteristics in the Complement-Inhibitor Naïve Study</w:t>
      </w:r>
      <w:bookmarkEnd w:id="8"/>
    </w:p>
    <w:tbl>
      <w:tblPr>
        <w:tblW w:w="90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62"/>
        <w:gridCol w:w="1440"/>
        <w:gridCol w:w="1800"/>
        <w:gridCol w:w="1747"/>
      </w:tblGrid>
      <w:tr w:rsidR="004965AB" w:rsidRPr="0013150D" w14:paraId="66783548" w14:textId="77777777" w:rsidTr="00A33171">
        <w:trPr>
          <w:cantSplit/>
          <w:trHeight w:val="533"/>
          <w:jc w:val="center"/>
        </w:trPr>
        <w:tc>
          <w:tcPr>
            <w:tcW w:w="4062" w:type="dxa"/>
            <w:tcBorders>
              <w:top w:val="single" w:sz="6" w:space="0" w:color="auto"/>
              <w:left w:val="single" w:sz="6" w:space="0" w:color="auto"/>
              <w:bottom w:val="single" w:sz="6" w:space="0" w:color="auto"/>
              <w:right w:val="single" w:sz="6" w:space="0" w:color="auto"/>
            </w:tcBorders>
            <w:vAlign w:val="center"/>
            <w:hideMark/>
          </w:tcPr>
          <w:p w14:paraId="5D6C46F4" w14:textId="77777777" w:rsidR="004965AB" w:rsidRPr="0013150D" w:rsidRDefault="004965AB" w:rsidP="00A67D4B">
            <w:pPr>
              <w:keepNext/>
              <w:keepLines/>
              <w:spacing w:after="0" w:line="240" w:lineRule="auto"/>
              <w:rPr>
                <w:b/>
              </w:rPr>
            </w:pPr>
            <w:r w:rsidRPr="0013150D">
              <w:rPr>
                <w:b/>
              </w:rPr>
              <w:t>Parameter</w:t>
            </w:r>
          </w:p>
        </w:tc>
        <w:tc>
          <w:tcPr>
            <w:tcW w:w="1440" w:type="dxa"/>
            <w:tcBorders>
              <w:top w:val="single" w:sz="6" w:space="0" w:color="auto"/>
              <w:left w:val="single" w:sz="6" w:space="0" w:color="auto"/>
              <w:bottom w:val="single" w:sz="6" w:space="0" w:color="auto"/>
              <w:right w:val="single" w:sz="6" w:space="0" w:color="auto"/>
            </w:tcBorders>
            <w:vAlign w:val="center"/>
            <w:hideMark/>
          </w:tcPr>
          <w:p w14:paraId="1DEAE393" w14:textId="77777777" w:rsidR="004965AB" w:rsidRPr="0013150D" w:rsidRDefault="004965AB" w:rsidP="00A67D4B">
            <w:pPr>
              <w:keepNext/>
              <w:keepLines/>
              <w:spacing w:after="0" w:line="240" w:lineRule="auto"/>
              <w:rPr>
                <w:b/>
              </w:rPr>
            </w:pPr>
            <w:r w:rsidRPr="0013150D">
              <w:rPr>
                <w:b/>
              </w:rPr>
              <w:t>Statistics</w:t>
            </w:r>
          </w:p>
        </w:tc>
        <w:tc>
          <w:tcPr>
            <w:tcW w:w="1800" w:type="dxa"/>
            <w:tcBorders>
              <w:top w:val="single" w:sz="6" w:space="0" w:color="auto"/>
              <w:left w:val="single" w:sz="6" w:space="0" w:color="auto"/>
              <w:bottom w:val="single" w:sz="6" w:space="0" w:color="auto"/>
              <w:right w:val="single" w:sz="6" w:space="0" w:color="auto"/>
            </w:tcBorders>
            <w:hideMark/>
          </w:tcPr>
          <w:p w14:paraId="572930AE" w14:textId="77777777" w:rsidR="004965AB" w:rsidRPr="0013150D" w:rsidRDefault="004965AB" w:rsidP="00A67D4B">
            <w:pPr>
              <w:pStyle w:val="C-TableText"/>
              <w:keepNext/>
              <w:keepLines/>
              <w:jc w:val="center"/>
              <w:rPr>
                <w:rFonts w:ascii="Cambria" w:hAnsi="Cambria"/>
                <w:b/>
                <w:sz w:val="22"/>
                <w:szCs w:val="22"/>
              </w:rPr>
            </w:pPr>
            <w:proofErr w:type="spellStart"/>
            <w:r w:rsidRPr="0013150D">
              <w:rPr>
                <w:rFonts w:ascii="Cambria" w:hAnsi="Cambria"/>
                <w:b/>
                <w:sz w:val="22"/>
                <w:szCs w:val="22"/>
              </w:rPr>
              <w:t>Ultomiris</w:t>
            </w:r>
            <w:proofErr w:type="spellEnd"/>
            <w:r w:rsidRPr="0013150D">
              <w:rPr>
                <w:rFonts w:ascii="Cambria" w:hAnsi="Cambria"/>
                <w:b/>
                <w:sz w:val="22"/>
                <w:szCs w:val="22"/>
              </w:rPr>
              <w:br/>
              <w:t>(N = 125)</w:t>
            </w:r>
          </w:p>
        </w:tc>
        <w:tc>
          <w:tcPr>
            <w:tcW w:w="1747" w:type="dxa"/>
            <w:tcBorders>
              <w:top w:val="single" w:sz="6" w:space="0" w:color="auto"/>
              <w:left w:val="single" w:sz="6" w:space="0" w:color="auto"/>
              <w:bottom w:val="single" w:sz="6" w:space="0" w:color="auto"/>
              <w:right w:val="single" w:sz="6" w:space="0" w:color="auto"/>
            </w:tcBorders>
            <w:hideMark/>
          </w:tcPr>
          <w:p w14:paraId="623D587A" w14:textId="77777777" w:rsidR="004965AB" w:rsidRPr="0013150D" w:rsidRDefault="004965AB" w:rsidP="00A67D4B">
            <w:pPr>
              <w:pStyle w:val="C-TableText"/>
              <w:keepNext/>
              <w:keepLines/>
              <w:jc w:val="center"/>
              <w:rPr>
                <w:rFonts w:ascii="Cambria" w:hAnsi="Cambria"/>
                <w:b/>
                <w:sz w:val="22"/>
                <w:szCs w:val="22"/>
              </w:rPr>
            </w:pPr>
            <w:proofErr w:type="spellStart"/>
            <w:r w:rsidRPr="0013150D">
              <w:rPr>
                <w:rFonts w:ascii="Cambria" w:hAnsi="Cambria"/>
                <w:b/>
                <w:sz w:val="22"/>
                <w:szCs w:val="22"/>
              </w:rPr>
              <w:t>Soliris</w:t>
            </w:r>
            <w:proofErr w:type="spellEnd"/>
            <w:r w:rsidRPr="0013150D">
              <w:rPr>
                <w:rFonts w:ascii="Cambria" w:hAnsi="Cambria"/>
                <w:b/>
                <w:sz w:val="22"/>
                <w:szCs w:val="22"/>
              </w:rPr>
              <w:br/>
              <w:t>(N = 121)</w:t>
            </w:r>
          </w:p>
        </w:tc>
      </w:tr>
      <w:tr w:rsidR="004965AB" w:rsidRPr="0013150D" w14:paraId="15976A80" w14:textId="77777777" w:rsidTr="00A33171">
        <w:trPr>
          <w:cantSplit/>
          <w:trHeight w:val="781"/>
          <w:jc w:val="center"/>
        </w:trPr>
        <w:tc>
          <w:tcPr>
            <w:tcW w:w="4062" w:type="dxa"/>
            <w:tcBorders>
              <w:top w:val="single" w:sz="6" w:space="0" w:color="auto"/>
              <w:left w:val="single" w:sz="6" w:space="0" w:color="auto"/>
              <w:bottom w:val="single" w:sz="6" w:space="0" w:color="auto"/>
              <w:right w:val="single" w:sz="6" w:space="0" w:color="auto"/>
            </w:tcBorders>
          </w:tcPr>
          <w:p w14:paraId="2CA0F9C0" w14:textId="77777777" w:rsidR="004965AB" w:rsidRPr="0013150D" w:rsidRDefault="004965AB" w:rsidP="00A67D4B">
            <w:pPr>
              <w:keepNext/>
              <w:keepLines/>
              <w:spacing w:after="0" w:line="240" w:lineRule="auto"/>
            </w:pPr>
            <w:r w:rsidRPr="0013150D">
              <w:t>Age (years) at PNH diagnosis</w:t>
            </w:r>
          </w:p>
        </w:tc>
        <w:tc>
          <w:tcPr>
            <w:tcW w:w="1440" w:type="dxa"/>
            <w:tcBorders>
              <w:top w:val="single" w:sz="6" w:space="0" w:color="auto"/>
              <w:left w:val="single" w:sz="6" w:space="0" w:color="auto"/>
              <w:bottom w:val="single" w:sz="6" w:space="0" w:color="auto"/>
              <w:right w:val="single" w:sz="6" w:space="0" w:color="auto"/>
            </w:tcBorders>
          </w:tcPr>
          <w:p w14:paraId="369A187C" w14:textId="77777777" w:rsidR="004965AB" w:rsidRPr="0013150D" w:rsidRDefault="004965AB" w:rsidP="00A67D4B">
            <w:pPr>
              <w:keepNext/>
              <w:keepLines/>
              <w:spacing w:after="0" w:line="240" w:lineRule="auto"/>
            </w:pPr>
            <w:r w:rsidRPr="0013150D">
              <w:t>Mean (SD)</w:t>
            </w:r>
          </w:p>
          <w:p w14:paraId="50AA2FCD" w14:textId="77777777" w:rsidR="004965AB" w:rsidRPr="0013150D" w:rsidRDefault="004965AB" w:rsidP="00A67D4B">
            <w:pPr>
              <w:keepNext/>
              <w:keepLines/>
              <w:spacing w:after="0" w:line="240" w:lineRule="auto"/>
            </w:pPr>
            <w:r w:rsidRPr="0013150D">
              <w:t>Median</w:t>
            </w:r>
          </w:p>
          <w:p w14:paraId="2BF8B4C0" w14:textId="77777777" w:rsidR="004965AB" w:rsidRPr="0013150D" w:rsidRDefault="004965AB" w:rsidP="00A67D4B">
            <w:pPr>
              <w:keepNext/>
              <w:keepLines/>
              <w:spacing w:after="0" w:line="240" w:lineRule="auto"/>
            </w:pPr>
            <w:r w:rsidRPr="0013150D">
              <w:t>Min, max</w:t>
            </w:r>
          </w:p>
        </w:tc>
        <w:tc>
          <w:tcPr>
            <w:tcW w:w="1800" w:type="dxa"/>
            <w:tcBorders>
              <w:top w:val="single" w:sz="6" w:space="0" w:color="auto"/>
              <w:left w:val="single" w:sz="6" w:space="0" w:color="auto"/>
              <w:bottom w:val="single" w:sz="6" w:space="0" w:color="auto"/>
              <w:right w:val="single" w:sz="6" w:space="0" w:color="auto"/>
            </w:tcBorders>
          </w:tcPr>
          <w:p w14:paraId="7F3AE517" w14:textId="77777777" w:rsidR="004965AB" w:rsidRPr="0013150D" w:rsidRDefault="004965AB" w:rsidP="00DD29BE">
            <w:pPr>
              <w:keepNext/>
              <w:keepLines/>
              <w:spacing w:after="0" w:line="240" w:lineRule="auto"/>
              <w:jc w:val="center"/>
            </w:pPr>
            <w:r w:rsidRPr="0013150D">
              <w:t>37.9 (14.90)</w:t>
            </w:r>
          </w:p>
          <w:p w14:paraId="11739E2B" w14:textId="77777777" w:rsidR="004965AB" w:rsidRPr="0013150D" w:rsidRDefault="004965AB" w:rsidP="00B133C4">
            <w:pPr>
              <w:keepNext/>
              <w:keepLines/>
              <w:spacing w:after="0" w:line="240" w:lineRule="auto"/>
              <w:jc w:val="center"/>
            </w:pPr>
            <w:r w:rsidRPr="0013150D">
              <w:t>34.0</w:t>
            </w:r>
          </w:p>
          <w:p w14:paraId="1B878003" w14:textId="77777777" w:rsidR="004965AB" w:rsidRPr="0013150D" w:rsidRDefault="004965AB">
            <w:pPr>
              <w:keepNext/>
              <w:keepLines/>
              <w:spacing w:after="0" w:line="240" w:lineRule="auto"/>
              <w:jc w:val="center"/>
            </w:pPr>
            <w:r w:rsidRPr="0013150D">
              <w:t>15, 81</w:t>
            </w:r>
          </w:p>
        </w:tc>
        <w:tc>
          <w:tcPr>
            <w:tcW w:w="1747" w:type="dxa"/>
            <w:tcBorders>
              <w:top w:val="single" w:sz="6" w:space="0" w:color="auto"/>
              <w:left w:val="single" w:sz="6" w:space="0" w:color="auto"/>
              <w:bottom w:val="single" w:sz="6" w:space="0" w:color="auto"/>
              <w:right w:val="single" w:sz="6" w:space="0" w:color="auto"/>
            </w:tcBorders>
          </w:tcPr>
          <w:p w14:paraId="3846A2E5" w14:textId="77777777" w:rsidR="004965AB" w:rsidRPr="0013150D" w:rsidRDefault="004965AB">
            <w:pPr>
              <w:keepNext/>
              <w:keepLines/>
              <w:spacing w:after="0" w:line="240" w:lineRule="auto"/>
              <w:jc w:val="center"/>
            </w:pPr>
            <w:r w:rsidRPr="0013150D">
              <w:t>39.6 (16.65)</w:t>
            </w:r>
          </w:p>
          <w:p w14:paraId="08E400B0" w14:textId="77777777" w:rsidR="004965AB" w:rsidRPr="0013150D" w:rsidRDefault="004965AB">
            <w:pPr>
              <w:keepNext/>
              <w:keepLines/>
              <w:spacing w:after="0" w:line="240" w:lineRule="auto"/>
              <w:jc w:val="center"/>
            </w:pPr>
            <w:r w:rsidRPr="0013150D">
              <w:t>36.5</w:t>
            </w:r>
          </w:p>
          <w:p w14:paraId="2DFB1D15" w14:textId="77777777" w:rsidR="004965AB" w:rsidRPr="0013150D" w:rsidRDefault="004965AB">
            <w:pPr>
              <w:keepNext/>
              <w:keepLines/>
              <w:spacing w:after="0" w:line="240" w:lineRule="auto"/>
              <w:jc w:val="center"/>
            </w:pPr>
            <w:r w:rsidRPr="0013150D">
              <w:t>13, 82</w:t>
            </w:r>
          </w:p>
        </w:tc>
      </w:tr>
      <w:tr w:rsidR="004965AB" w:rsidRPr="0013150D" w14:paraId="1694CB96" w14:textId="77777777" w:rsidTr="00A33171">
        <w:trPr>
          <w:cantSplit/>
          <w:trHeight w:val="781"/>
          <w:jc w:val="center"/>
        </w:trPr>
        <w:tc>
          <w:tcPr>
            <w:tcW w:w="4062" w:type="dxa"/>
            <w:tcBorders>
              <w:top w:val="single" w:sz="6" w:space="0" w:color="auto"/>
              <w:left w:val="single" w:sz="6" w:space="0" w:color="auto"/>
              <w:bottom w:val="single" w:sz="6" w:space="0" w:color="auto"/>
              <w:right w:val="single" w:sz="6" w:space="0" w:color="auto"/>
            </w:tcBorders>
          </w:tcPr>
          <w:p w14:paraId="6CDD68FE" w14:textId="77777777" w:rsidR="004965AB" w:rsidRPr="0013150D" w:rsidRDefault="004965AB" w:rsidP="00A67D4B">
            <w:pPr>
              <w:keepNext/>
              <w:keepLines/>
              <w:spacing w:after="0" w:line="240" w:lineRule="auto"/>
            </w:pPr>
            <w:r w:rsidRPr="0013150D">
              <w:t>Age (years) at first infusion in study</w:t>
            </w:r>
          </w:p>
        </w:tc>
        <w:tc>
          <w:tcPr>
            <w:tcW w:w="1440" w:type="dxa"/>
            <w:tcBorders>
              <w:top w:val="single" w:sz="6" w:space="0" w:color="auto"/>
              <w:left w:val="single" w:sz="6" w:space="0" w:color="auto"/>
              <w:bottom w:val="single" w:sz="6" w:space="0" w:color="auto"/>
              <w:right w:val="single" w:sz="6" w:space="0" w:color="auto"/>
            </w:tcBorders>
          </w:tcPr>
          <w:p w14:paraId="0511D6D5" w14:textId="77777777" w:rsidR="004965AB" w:rsidRPr="0013150D" w:rsidRDefault="004965AB" w:rsidP="00A67D4B">
            <w:pPr>
              <w:keepNext/>
              <w:keepLines/>
              <w:spacing w:after="0" w:line="240" w:lineRule="auto"/>
            </w:pPr>
            <w:r w:rsidRPr="0013150D">
              <w:t>Mean (SD)</w:t>
            </w:r>
          </w:p>
          <w:p w14:paraId="186B54EA" w14:textId="77777777" w:rsidR="004965AB" w:rsidRPr="0013150D" w:rsidRDefault="004965AB" w:rsidP="00A67D4B">
            <w:pPr>
              <w:keepNext/>
              <w:keepLines/>
              <w:spacing w:after="0" w:line="240" w:lineRule="auto"/>
            </w:pPr>
            <w:r w:rsidRPr="0013150D">
              <w:t>Median</w:t>
            </w:r>
          </w:p>
          <w:p w14:paraId="68A55CF0" w14:textId="77777777" w:rsidR="004965AB" w:rsidRPr="0013150D" w:rsidRDefault="004965AB" w:rsidP="00A67D4B">
            <w:pPr>
              <w:keepNext/>
              <w:keepLines/>
              <w:spacing w:after="0" w:line="240" w:lineRule="auto"/>
            </w:pPr>
            <w:r w:rsidRPr="0013150D">
              <w:t>Min, max</w:t>
            </w:r>
          </w:p>
        </w:tc>
        <w:tc>
          <w:tcPr>
            <w:tcW w:w="1800" w:type="dxa"/>
            <w:tcBorders>
              <w:top w:val="single" w:sz="6" w:space="0" w:color="auto"/>
              <w:left w:val="single" w:sz="6" w:space="0" w:color="auto"/>
              <w:bottom w:val="single" w:sz="6" w:space="0" w:color="auto"/>
              <w:right w:val="single" w:sz="6" w:space="0" w:color="auto"/>
            </w:tcBorders>
          </w:tcPr>
          <w:p w14:paraId="2AEB4B6A" w14:textId="77777777" w:rsidR="004965AB" w:rsidRPr="0013150D" w:rsidRDefault="004965AB" w:rsidP="00DD29BE">
            <w:pPr>
              <w:keepNext/>
              <w:keepLines/>
              <w:spacing w:after="0" w:line="240" w:lineRule="auto"/>
              <w:jc w:val="center"/>
            </w:pPr>
            <w:r w:rsidRPr="0013150D">
              <w:t>44.8 (15.16)</w:t>
            </w:r>
          </w:p>
          <w:p w14:paraId="1FB8EE63" w14:textId="77777777" w:rsidR="004965AB" w:rsidRPr="0013150D" w:rsidRDefault="004965AB" w:rsidP="00B133C4">
            <w:pPr>
              <w:keepNext/>
              <w:keepLines/>
              <w:spacing w:after="0" w:line="240" w:lineRule="auto"/>
              <w:jc w:val="center"/>
            </w:pPr>
            <w:r w:rsidRPr="0013150D">
              <w:t>43.0</w:t>
            </w:r>
          </w:p>
          <w:p w14:paraId="149E0D61" w14:textId="77777777" w:rsidR="004965AB" w:rsidRPr="0013150D" w:rsidRDefault="004965AB">
            <w:pPr>
              <w:keepNext/>
              <w:keepLines/>
              <w:spacing w:after="0" w:line="240" w:lineRule="auto"/>
              <w:jc w:val="center"/>
            </w:pPr>
            <w:r w:rsidRPr="0013150D">
              <w:t>18, 83</w:t>
            </w:r>
          </w:p>
        </w:tc>
        <w:tc>
          <w:tcPr>
            <w:tcW w:w="1747" w:type="dxa"/>
            <w:tcBorders>
              <w:top w:val="single" w:sz="6" w:space="0" w:color="auto"/>
              <w:left w:val="single" w:sz="6" w:space="0" w:color="auto"/>
              <w:bottom w:val="single" w:sz="6" w:space="0" w:color="auto"/>
              <w:right w:val="single" w:sz="6" w:space="0" w:color="auto"/>
            </w:tcBorders>
          </w:tcPr>
          <w:p w14:paraId="0E740BAC" w14:textId="77777777" w:rsidR="004965AB" w:rsidRPr="0013150D" w:rsidRDefault="004965AB">
            <w:pPr>
              <w:keepNext/>
              <w:keepLines/>
              <w:spacing w:after="0" w:line="240" w:lineRule="auto"/>
              <w:jc w:val="center"/>
            </w:pPr>
            <w:r w:rsidRPr="0013150D">
              <w:t>46.2 (16.24)</w:t>
            </w:r>
          </w:p>
          <w:p w14:paraId="14F07943" w14:textId="77777777" w:rsidR="004965AB" w:rsidRPr="0013150D" w:rsidRDefault="004965AB">
            <w:pPr>
              <w:keepNext/>
              <w:keepLines/>
              <w:spacing w:after="0" w:line="240" w:lineRule="auto"/>
              <w:jc w:val="center"/>
            </w:pPr>
            <w:r w:rsidRPr="0013150D">
              <w:t>45.0</w:t>
            </w:r>
          </w:p>
          <w:p w14:paraId="6868C685" w14:textId="77777777" w:rsidR="004965AB" w:rsidRPr="0013150D" w:rsidRDefault="004965AB">
            <w:pPr>
              <w:keepNext/>
              <w:keepLines/>
              <w:spacing w:after="0" w:line="240" w:lineRule="auto"/>
              <w:jc w:val="center"/>
            </w:pPr>
            <w:r w:rsidRPr="0013150D">
              <w:t>18, 86</w:t>
            </w:r>
          </w:p>
        </w:tc>
      </w:tr>
      <w:tr w:rsidR="004965AB" w:rsidRPr="0013150D" w14:paraId="7EF3CDC2" w14:textId="77777777" w:rsidTr="00A33171">
        <w:trPr>
          <w:cantSplit/>
          <w:trHeight w:val="570"/>
          <w:jc w:val="center"/>
        </w:trPr>
        <w:tc>
          <w:tcPr>
            <w:tcW w:w="4062" w:type="dxa"/>
            <w:tcBorders>
              <w:top w:val="single" w:sz="6" w:space="0" w:color="auto"/>
              <w:left w:val="single" w:sz="6" w:space="0" w:color="auto"/>
              <w:bottom w:val="single" w:sz="6" w:space="0" w:color="auto"/>
              <w:right w:val="single" w:sz="6" w:space="0" w:color="auto"/>
            </w:tcBorders>
          </w:tcPr>
          <w:p w14:paraId="65530937" w14:textId="77777777" w:rsidR="004965AB" w:rsidRPr="0013150D" w:rsidRDefault="004965AB" w:rsidP="00A67D4B">
            <w:pPr>
              <w:keepNext/>
              <w:spacing w:after="0" w:line="240" w:lineRule="auto"/>
            </w:pPr>
            <w:r w:rsidRPr="0013150D">
              <w:t>Sex (n, %)</w:t>
            </w:r>
          </w:p>
        </w:tc>
        <w:tc>
          <w:tcPr>
            <w:tcW w:w="1440" w:type="dxa"/>
            <w:tcBorders>
              <w:top w:val="single" w:sz="6" w:space="0" w:color="auto"/>
              <w:left w:val="single" w:sz="6" w:space="0" w:color="auto"/>
              <w:bottom w:val="single" w:sz="6" w:space="0" w:color="auto"/>
              <w:right w:val="single" w:sz="6" w:space="0" w:color="auto"/>
            </w:tcBorders>
          </w:tcPr>
          <w:p w14:paraId="3D956703" w14:textId="77777777" w:rsidR="004965AB" w:rsidRPr="0013150D" w:rsidRDefault="004965AB" w:rsidP="00A67D4B">
            <w:pPr>
              <w:keepNext/>
              <w:spacing w:after="0" w:line="240" w:lineRule="auto"/>
            </w:pPr>
            <w:r w:rsidRPr="0013150D">
              <w:t>Male</w:t>
            </w:r>
          </w:p>
          <w:p w14:paraId="279DA460" w14:textId="77777777" w:rsidR="004965AB" w:rsidRPr="0013150D" w:rsidRDefault="004965AB" w:rsidP="00A67D4B">
            <w:pPr>
              <w:keepNext/>
              <w:spacing w:after="0" w:line="240" w:lineRule="auto"/>
            </w:pPr>
            <w:r w:rsidRPr="0013150D">
              <w:t>Female</w:t>
            </w:r>
          </w:p>
        </w:tc>
        <w:tc>
          <w:tcPr>
            <w:tcW w:w="1800" w:type="dxa"/>
            <w:tcBorders>
              <w:top w:val="single" w:sz="6" w:space="0" w:color="auto"/>
              <w:left w:val="single" w:sz="6" w:space="0" w:color="auto"/>
              <w:bottom w:val="single" w:sz="6" w:space="0" w:color="auto"/>
              <w:right w:val="single" w:sz="6" w:space="0" w:color="auto"/>
            </w:tcBorders>
          </w:tcPr>
          <w:p w14:paraId="65B7B8E3" w14:textId="77777777" w:rsidR="004965AB" w:rsidRPr="0013150D" w:rsidRDefault="004965AB" w:rsidP="00DD29BE">
            <w:pPr>
              <w:keepNext/>
              <w:keepLines/>
              <w:spacing w:after="0" w:line="240" w:lineRule="auto"/>
              <w:jc w:val="center"/>
            </w:pPr>
            <w:r w:rsidRPr="0013150D">
              <w:t>65 (52.0)</w:t>
            </w:r>
          </w:p>
          <w:p w14:paraId="543CB747" w14:textId="77777777" w:rsidR="004965AB" w:rsidRPr="0013150D" w:rsidRDefault="004965AB" w:rsidP="00B133C4">
            <w:pPr>
              <w:keepNext/>
              <w:keepLines/>
              <w:spacing w:after="0" w:line="240" w:lineRule="auto"/>
              <w:jc w:val="center"/>
            </w:pPr>
            <w:r w:rsidRPr="0013150D">
              <w:t>60 (48.0)</w:t>
            </w:r>
          </w:p>
        </w:tc>
        <w:tc>
          <w:tcPr>
            <w:tcW w:w="1747" w:type="dxa"/>
            <w:tcBorders>
              <w:top w:val="single" w:sz="6" w:space="0" w:color="auto"/>
              <w:left w:val="single" w:sz="6" w:space="0" w:color="auto"/>
              <w:bottom w:val="single" w:sz="6" w:space="0" w:color="auto"/>
              <w:right w:val="single" w:sz="6" w:space="0" w:color="auto"/>
            </w:tcBorders>
          </w:tcPr>
          <w:p w14:paraId="384FFE54" w14:textId="77777777" w:rsidR="004965AB" w:rsidRPr="0013150D" w:rsidRDefault="004965AB">
            <w:pPr>
              <w:keepNext/>
              <w:keepLines/>
              <w:spacing w:after="0" w:line="240" w:lineRule="auto"/>
              <w:jc w:val="center"/>
            </w:pPr>
            <w:r w:rsidRPr="0013150D">
              <w:t>69 (57.0)</w:t>
            </w:r>
          </w:p>
          <w:p w14:paraId="6FDCA6B1" w14:textId="77777777" w:rsidR="004965AB" w:rsidRPr="0013150D" w:rsidRDefault="004965AB">
            <w:pPr>
              <w:keepNext/>
              <w:keepLines/>
              <w:spacing w:after="0" w:line="240" w:lineRule="auto"/>
              <w:jc w:val="center"/>
            </w:pPr>
            <w:r w:rsidRPr="0013150D">
              <w:t>52 (43.0)</w:t>
            </w:r>
          </w:p>
        </w:tc>
      </w:tr>
      <w:tr w:rsidR="004965AB" w:rsidRPr="0013150D" w14:paraId="3BCE0E6C" w14:textId="77777777" w:rsidTr="00A33171">
        <w:trPr>
          <w:cantSplit/>
          <w:trHeight w:val="51"/>
          <w:jc w:val="center"/>
        </w:trPr>
        <w:tc>
          <w:tcPr>
            <w:tcW w:w="4062" w:type="dxa"/>
            <w:vMerge w:val="restart"/>
            <w:tcBorders>
              <w:left w:val="single" w:sz="6" w:space="0" w:color="auto"/>
              <w:right w:val="single" w:sz="6" w:space="0" w:color="auto"/>
            </w:tcBorders>
            <w:vAlign w:val="center"/>
          </w:tcPr>
          <w:p w14:paraId="6A29763F" w14:textId="77777777" w:rsidR="004965AB" w:rsidRPr="0013150D" w:rsidRDefault="004965AB" w:rsidP="00A67D4B">
            <w:pPr>
              <w:keepNext/>
              <w:spacing w:after="0" w:line="240" w:lineRule="auto"/>
            </w:pPr>
            <w:r w:rsidRPr="0013150D">
              <w:t>Pre-treatment LDH levels</w:t>
            </w:r>
          </w:p>
        </w:tc>
        <w:tc>
          <w:tcPr>
            <w:tcW w:w="1440" w:type="dxa"/>
            <w:tcBorders>
              <w:top w:val="nil"/>
              <w:left w:val="single" w:sz="6" w:space="0" w:color="auto"/>
              <w:bottom w:val="nil"/>
              <w:right w:val="single" w:sz="6" w:space="0" w:color="auto"/>
            </w:tcBorders>
          </w:tcPr>
          <w:p w14:paraId="53AA48F2" w14:textId="77777777" w:rsidR="004965AB" w:rsidRPr="0013150D" w:rsidRDefault="004965AB" w:rsidP="00A67D4B">
            <w:pPr>
              <w:pStyle w:val="C-TableText"/>
              <w:keepNext/>
              <w:keepLines/>
              <w:tabs>
                <w:tab w:val="left" w:pos="220"/>
              </w:tabs>
              <w:rPr>
                <w:rFonts w:ascii="Cambria" w:eastAsia="Calibri" w:hAnsi="Cambria"/>
                <w:sz w:val="22"/>
                <w:szCs w:val="22"/>
              </w:rPr>
            </w:pPr>
            <w:r w:rsidRPr="0013150D">
              <w:rPr>
                <w:rFonts w:ascii="Cambria" w:eastAsia="Calibri" w:hAnsi="Cambria"/>
                <w:sz w:val="22"/>
                <w:szCs w:val="22"/>
              </w:rPr>
              <w:t>Mean (SD)</w:t>
            </w:r>
          </w:p>
        </w:tc>
        <w:tc>
          <w:tcPr>
            <w:tcW w:w="1800" w:type="dxa"/>
            <w:tcBorders>
              <w:top w:val="nil"/>
              <w:left w:val="single" w:sz="6" w:space="0" w:color="auto"/>
              <w:bottom w:val="nil"/>
              <w:right w:val="single" w:sz="6" w:space="0" w:color="auto"/>
            </w:tcBorders>
          </w:tcPr>
          <w:p w14:paraId="46BD41A2" w14:textId="77777777" w:rsidR="004965AB" w:rsidRPr="0013150D" w:rsidRDefault="004965AB" w:rsidP="00DD29BE">
            <w:pPr>
              <w:pStyle w:val="C-TableText"/>
              <w:keepNext/>
              <w:keepLines/>
              <w:jc w:val="center"/>
              <w:rPr>
                <w:rFonts w:ascii="Cambria" w:eastAsia="Calibri" w:hAnsi="Cambria"/>
                <w:sz w:val="22"/>
                <w:szCs w:val="22"/>
              </w:rPr>
            </w:pPr>
            <w:r w:rsidRPr="0013150D">
              <w:rPr>
                <w:rFonts w:ascii="Cambria" w:hAnsi="Cambria"/>
                <w:bCs/>
                <w:sz w:val="22"/>
                <w:szCs w:val="22"/>
              </w:rPr>
              <w:t>1633.5 (778.75)</w:t>
            </w:r>
          </w:p>
        </w:tc>
        <w:tc>
          <w:tcPr>
            <w:tcW w:w="1747" w:type="dxa"/>
            <w:tcBorders>
              <w:top w:val="nil"/>
              <w:left w:val="single" w:sz="6" w:space="0" w:color="auto"/>
              <w:bottom w:val="nil"/>
              <w:right w:val="single" w:sz="6" w:space="0" w:color="auto"/>
            </w:tcBorders>
          </w:tcPr>
          <w:p w14:paraId="658BB5E5" w14:textId="77777777" w:rsidR="004965AB" w:rsidRPr="0013150D" w:rsidRDefault="004965AB" w:rsidP="00B133C4">
            <w:pPr>
              <w:pStyle w:val="C-TableText"/>
              <w:keepNext/>
              <w:keepLines/>
              <w:jc w:val="center"/>
              <w:rPr>
                <w:rFonts w:ascii="Cambria" w:eastAsia="Calibri" w:hAnsi="Cambria"/>
                <w:sz w:val="22"/>
                <w:szCs w:val="22"/>
              </w:rPr>
            </w:pPr>
            <w:r w:rsidRPr="0013150D">
              <w:rPr>
                <w:rFonts w:ascii="Cambria" w:hAnsi="Cambria"/>
                <w:bCs/>
                <w:sz w:val="22"/>
                <w:szCs w:val="22"/>
              </w:rPr>
              <w:t>1578.3 (727.06)</w:t>
            </w:r>
          </w:p>
        </w:tc>
      </w:tr>
      <w:tr w:rsidR="004965AB" w:rsidRPr="0013150D" w14:paraId="391F4E78" w14:textId="77777777" w:rsidTr="00A33171">
        <w:trPr>
          <w:cantSplit/>
          <w:trHeight w:val="147"/>
          <w:jc w:val="center"/>
        </w:trPr>
        <w:tc>
          <w:tcPr>
            <w:tcW w:w="4062" w:type="dxa"/>
            <w:vMerge/>
            <w:tcBorders>
              <w:left w:val="single" w:sz="6" w:space="0" w:color="auto"/>
              <w:right w:val="single" w:sz="6" w:space="0" w:color="auto"/>
            </w:tcBorders>
            <w:vAlign w:val="center"/>
          </w:tcPr>
          <w:p w14:paraId="6B0C2537" w14:textId="77777777" w:rsidR="004965AB" w:rsidRPr="0013150D" w:rsidRDefault="004965AB" w:rsidP="00E21E88">
            <w:pPr>
              <w:keepNext/>
              <w:spacing w:after="0" w:line="240" w:lineRule="auto"/>
            </w:pPr>
          </w:p>
        </w:tc>
        <w:tc>
          <w:tcPr>
            <w:tcW w:w="1440" w:type="dxa"/>
            <w:tcBorders>
              <w:top w:val="nil"/>
              <w:left w:val="single" w:sz="6" w:space="0" w:color="auto"/>
              <w:bottom w:val="single" w:sz="4" w:space="0" w:color="auto"/>
              <w:right w:val="single" w:sz="6" w:space="0" w:color="auto"/>
            </w:tcBorders>
          </w:tcPr>
          <w:p w14:paraId="4BFCA2F8" w14:textId="77777777" w:rsidR="004965AB" w:rsidRPr="0013150D" w:rsidRDefault="004965AB" w:rsidP="00A67D4B">
            <w:pPr>
              <w:pStyle w:val="C-TableText"/>
              <w:keepNext/>
              <w:keepLines/>
              <w:tabs>
                <w:tab w:val="left" w:pos="220"/>
              </w:tabs>
              <w:rPr>
                <w:rFonts w:ascii="Cambria" w:eastAsia="Calibri" w:hAnsi="Cambria"/>
                <w:sz w:val="22"/>
                <w:szCs w:val="22"/>
              </w:rPr>
            </w:pPr>
            <w:r w:rsidRPr="0013150D">
              <w:rPr>
                <w:rFonts w:ascii="Cambria" w:eastAsia="Calibri" w:hAnsi="Cambria"/>
                <w:sz w:val="22"/>
                <w:szCs w:val="22"/>
              </w:rPr>
              <w:t>Median</w:t>
            </w:r>
          </w:p>
        </w:tc>
        <w:tc>
          <w:tcPr>
            <w:tcW w:w="1800" w:type="dxa"/>
            <w:tcBorders>
              <w:top w:val="nil"/>
              <w:left w:val="single" w:sz="6" w:space="0" w:color="auto"/>
              <w:bottom w:val="single" w:sz="4" w:space="0" w:color="auto"/>
              <w:right w:val="single" w:sz="6" w:space="0" w:color="auto"/>
            </w:tcBorders>
          </w:tcPr>
          <w:p w14:paraId="3604E4D4" w14:textId="77777777" w:rsidR="004965AB" w:rsidRPr="0013150D" w:rsidRDefault="004965AB" w:rsidP="00DD29BE">
            <w:pPr>
              <w:pStyle w:val="C-TableText"/>
              <w:keepNext/>
              <w:keepLines/>
              <w:jc w:val="center"/>
              <w:rPr>
                <w:rFonts w:ascii="Cambria" w:eastAsia="Calibri" w:hAnsi="Cambria"/>
                <w:sz w:val="22"/>
                <w:szCs w:val="22"/>
              </w:rPr>
            </w:pPr>
            <w:r w:rsidRPr="0013150D">
              <w:rPr>
                <w:rFonts w:ascii="Cambria" w:eastAsia="Calibri" w:hAnsi="Cambria"/>
                <w:sz w:val="22"/>
                <w:szCs w:val="22"/>
              </w:rPr>
              <w:t>1513.5</w:t>
            </w:r>
          </w:p>
        </w:tc>
        <w:tc>
          <w:tcPr>
            <w:tcW w:w="1747" w:type="dxa"/>
            <w:tcBorders>
              <w:top w:val="nil"/>
              <w:left w:val="single" w:sz="6" w:space="0" w:color="auto"/>
              <w:bottom w:val="single" w:sz="4" w:space="0" w:color="auto"/>
              <w:right w:val="single" w:sz="6" w:space="0" w:color="auto"/>
            </w:tcBorders>
          </w:tcPr>
          <w:p w14:paraId="74CB5F98" w14:textId="77777777" w:rsidR="004965AB" w:rsidRPr="0013150D" w:rsidRDefault="004965AB" w:rsidP="00B133C4">
            <w:pPr>
              <w:pStyle w:val="C-TableText"/>
              <w:keepNext/>
              <w:keepLines/>
              <w:jc w:val="center"/>
              <w:rPr>
                <w:rFonts w:ascii="Cambria" w:eastAsia="Calibri" w:hAnsi="Cambria"/>
                <w:sz w:val="22"/>
                <w:szCs w:val="22"/>
              </w:rPr>
            </w:pPr>
            <w:r w:rsidRPr="0013150D">
              <w:rPr>
                <w:rFonts w:ascii="Cambria" w:eastAsia="Calibri" w:hAnsi="Cambria"/>
                <w:sz w:val="22"/>
                <w:szCs w:val="22"/>
              </w:rPr>
              <w:t>1445.0</w:t>
            </w:r>
          </w:p>
        </w:tc>
      </w:tr>
      <w:tr w:rsidR="004965AB" w:rsidRPr="0013150D" w14:paraId="094F5B7F" w14:textId="77777777" w:rsidTr="00F64C55">
        <w:trPr>
          <w:cantSplit/>
          <w:trHeight w:val="795"/>
          <w:jc w:val="center"/>
        </w:trPr>
        <w:tc>
          <w:tcPr>
            <w:tcW w:w="4062" w:type="dxa"/>
            <w:tcBorders>
              <w:left w:val="single" w:sz="6" w:space="0" w:color="auto"/>
              <w:right w:val="single" w:sz="6" w:space="0" w:color="auto"/>
            </w:tcBorders>
            <w:vAlign w:val="center"/>
          </w:tcPr>
          <w:p w14:paraId="01121C00" w14:textId="77777777" w:rsidR="004965AB" w:rsidRPr="0013150D" w:rsidRDefault="004965AB" w:rsidP="00A67D4B">
            <w:pPr>
              <w:keepNext/>
              <w:spacing w:after="0" w:line="240" w:lineRule="auto"/>
            </w:pPr>
            <w:r w:rsidRPr="0013150D">
              <w:t xml:space="preserve">Number of patients with </w:t>
            </w:r>
            <w:r w:rsidR="00D773E2" w:rsidRPr="0013150D">
              <w:t>packed red blood cells (</w:t>
            </w:r>
            <w:proofErr w:type="spellStart"/>
            <w:r w:rsidRPr="0013150D">
              <w:t>pRBC</w:t>
            </w:r>
            <w:proofErr w:type="spellEnd"/>
            <w:r w:rsidR="00D773E2" w:rsidRPr="0013150D">
              <w:t>)</w:t>
            </w:r>
            <w:r w:rsidRPr="0013150D">
              <w:t xml:space="preserve">/whole blood </w:t>
            </w:r>
            <w:r w:rsidR="004B1A6D">
              <w:t>t</w:t>
            </w:r>
            <w:r w:rsidRPr="0013150D">
              <w:t>ransfusions within 12 months prior to first dose</w:t>
            </w:r>
          </w:p>
        </w:tc>
        <w:tc>
          <w:tcPr>
            <w:tcW w:w="1440" w:type="dxa"/>
            <w:tcBorders>
              <w:top w:val="single" w:sz="4" w:space="0" w:color="auto"/>
              <w:left w:val="single" w:sz="6" w:space="0" w:color="auto"/>
              <w:bottom w:val="single" w:sz="6" w:space="0" w:color="auto"/>
              <w:right w:val="single" w:sz="6" w:space="0" w:color="auto"/>
            </w:tcBorders>
            <w:vAlign w:val="center"/>
          </w:tcPr>
          <w:p w14:paraId="2EC8EDA3" w14:textId="77777777" w:rsidR="004965AB" w:rsidRPr="0013150D" w:rsidRDefault="004965AB" w:rsidP="00104DF9">
            <w:pPr>
              <w:pStyle w:val="C-TableText"/>
              <w:keepNext/>
              <w:keepLines/>
              <w:tabs>
                <w:tab w:val="left" w:pos="220"/>
              </w:tabs>
              <w:rPr>
                <w:rFonts w:ascii="Cambria" w:eastAsia="Calibri" w:hAnsi="Cambria"/>
                <w:sz w:val="22"/>
                <w:szCs w:val="22"/>
              </w:rPr>
            </w:pPr>
            <w:r w:rsidRPr="0013150D">
              <w:rPr>
                <w:rFonts w:ascii="Cambria" w:eastAsia="Calibri" w:hAnsi="Cambria"/>
                <w:sz w:val="22"/>
                <w:szCs w:val="22"/>
              </w:rPr>
              <w:t>n (%)</w:t>
            </w:r>
          </w:p>
        </w:tc>
        <w:tc>
          <w:tcPr>
            <w:tcW w:w="1800" w:type="dxa"/>
            <w:tcBorders>
              <w:top w:val="single" w:sz="4" w:space="0" w:color="auto"/>
              <w:left w:val="single" w:sz="6" w:space="0" w:color="auto"/>
              <w:bottom w:val="single" w:sz="6" w:space="0" w:color="auto"/>
              <w:right w:val="single" w:sz="6" w:space="0" w:color="auto"/>
            </w:tcBorders>
            <w:vAlign w:val="center"/>
          </w:tcPr>
          <w:p w14:paraId="6D51648C" w14:textId="77777777" w:rsidR="004965AB" w:rsidRPr="0013150D" w:rsidRDefault="004965AB" w:rsidP="00DD29BE">
            <w:pPr>
              <w:pStyle w:val="C-TableText"/>
              <w:keepNext/>
              <w:keepLines/>
              <w:jc w:val="center"/>
              <w:rPr>
                <w:rFonts w:ascii="Cambria" w:eastAsia="Calibri" w:hAnsi="Cambria"/>
                <w:sz w:val="22"/>
                <w:szCs w:val="22"/>
              </w:rPr>
            </w:pPr>
            <w:r w:rsidRPr="0013150D">
              <w:rPr>
                <w:rFonts w:ascii="Cambria" w:eastAsia="Calibri" w:hAnsi="Cambria"/>
                <w:sz w:val="22"/>
                <w:szCs w:val="22"/>
              </w:rPr>
              <w:t>103 (82.4)</w:t>
            </w:r>
          </w:p>
        </w:tc>
        <w:tc>
          <w:tcPr>
            <w:tcW w:w="1747" w:type="dxa"/>
            <w:tcBorders>
              <w:top w:val="single" w:sz="4" w:space="0" w:color="auto"/>
              <w:left w:val="single" w:sz="6" w:space="0" w:color="auto"/>
              <w:bottom w:val="single" w:sz="6" w:space="0" w:color="auto"/>
              <w:right w:val="single" w:sz="6" w:space="0" w:color="auto"/>
            </w:tcBorders>
            <w:vAlign w:val="center"/>
          </w:tcPr>
          <w:p w14:paraId="668B4E7F" w14:textId="77777777" w:rsidR="004965AB" w:rsidRPr="0013150D" w:rsidRDefault="004965AB" w:rsidP="00DD29BE">
            <w:pPr>
              <w:pStyle w:val="C-TableText"/>
              <w:keepNext/>
              <w:keepLines/>
              <w:jc w:val="center"/>
              <w:rPr>
                <w:rFonts w:ascii="Cambria" w:eastAsia="Calibri" w:hAnsi="Cambria"/>
                <w:sz w:val="22"/>
                <w:szCs w:val="22"/>
              </w:rPr>
            </w:pPr>
            <w:r w:rsidRPr="0013150D">
              <w:rPr>
                <w:rFonts w:ascii="Cambria" w:eastAsia="Calibri" w:hAnsi="Cambria"/>
                <w:sz w:val="22"/>
                <w:szCs w:val="22"/>
              </w:rPr>
              <w:t>100 (82.6)</w:t>
            </w:r>
          </w:p>
        </w:tc>
      </w:tr>
      <w:tr w:rsidR="004965AB" w:rsidRPr="0013150D" w14:paraId="3C1800D8" w14:textId="77777777" w:rsidTr="00A33171">
        <w:trPr>
          <w:cantSplit/>
          <w:trHeight w:val="145"/>
          <w:jc w:val="center"/>
        </w:trPr>
        <w:tc>
          <w:tcPr>
            <w:tcW w:w="4062" w:type="dxa"/>
            <w:vMerge w:val="restart"/>
            <w:tcBorders>
              <w:left w:val="single" w:sz="6" w:space="0" w:color="auto"/>
              <w:right w:val="single" w:sz="6" w:space="0" w:color="auto"/>
            </w:tcBorders>
            <w:vAlign w:val="center"/>
          </w:tcPr>
          <w:p w14:paraId="4475C631" w14:textId="77777777" w:rsidR="004965AB" w:rsidRPr="0013150D" w:rsidRDefault="004965AB" w:rsidP="00A67D4B">
            <w:pPr>
              <w:keepNext/>
              <w:spacing w:after="0" w:line="240" w:lineRule="auto"/>
            </w:pPr>
            <w:proofErr w:type="spellStart"/>
            <w:r w:rsidRPr="0013150D">
              <w:t>pRBC</w:t>
            </w:r>
            <w:proofErr w:type="spellEnd"/>
            <w:r w:rsidRPr="0013150D">
              <w:t xml:space="preserve">/whole blood </w:t>
            </w:r>
            <w:r w:rsidR="004B1A6D">
              <w:t>t</w:t>
            </w:r>
            <w:r w:rsidRPr="0013150D">
              <w:t>ransfusions within 12 months prior to first dose</w:t>
            </w:r>
          </w:p>
        </w:tc>
        <w:tc>
          <w:tcPr>
            <w:tcW w:w="1440" w:type="dxa"/>
            <w:tcBorders>
              <w:top w:val="single" w:sz="6" w:space="0" w:color="auto"/>
              <w:left w:val="single" w:sz="6" w:space="0" w:color="auto"/>
              <w:bottom w:val="nil"/>
              <w:right w:val="single" w:sz="6" w:space="0" w:color="auto"/>
            </w:tcBorders>
          </w:tcPr>
          <w:p w14:paraId="75412256" w14:textId="77777777" w:rsidR="004965AB" w:rsidRPr="0013150D" w:rsidRDefault="004965AB" w:rsidP="00104DF9">
            <w:pPr>
              <w:pStyle w:val="C-TableText"/>
              <w:keepNext/>
              <w:keepLines/>
              <w:tabs>
                <w:tab w:val="left" w:pos="220"/>
              </w:tabs>
              <w:rPr>
                <w:rFonts w:ascii="Cambria" w:eastAsia="Calibri" w:hAnsi="Cambria"/>
                <w:sz w:val="22"/>
                <w:szCs w:val="22"/>
              </w:rPr>
            </w:pPr>
            <w:r w:rsidRPr="0013150D">
              <w:rPr>
                <w:rFonts w:ascii="Cambria" w:eastAsia="Calibri" w:hAnsi="Cambria"/>
                <w:sz w:val="22"/>
                <w:szCs w:val="22"/>
              </w:rPr>
              <w:t>Total</w:t>
            </w:r>
          </w:p>
        </w:tc>
        <w:tc>
          <w:tcPr>
            <w:tcW w:w="1800" w:type="dxa"/>
            <w:tcBorders>
              <w:top w:val="single" w:sz="6" w:space="0" w:color="auto"/>
              <w:left w:val="single" w:sz="6" w:space="0" w:color="auto"/>
              <w:bottom w:val="nil"/>
              <w:right w:val="single" w:sz="6" w:space="0" w:color="auto"/>
            </w:tcBorders>
          </w:tcPr>
          <w:p w14:paraId="5ECF2398" w14:textId="77777777" w:rsidR="004965AB" w:rsidRPr="0013150D" w:rsidRDefault="004965AB" w:rsidP="00DD29BE">
            <w:pPr>
              <w:pStyle w:val="C-TableText"/>
              <w:keepNext/>
              <w:keepLines/>
              <w:jc w:val="center"/>
              <w:rPr>
                <w:rFonts w:ascii="Cambria" w:eastAsia="Calibri" w:hAnsi="Cambria"/>
                <w:sz w:val="22"/>
                <w:szCs w:val="22"/>
              </w:rPr>
            </w:pPr>
            <w:r w:rsidRPr="0013150D">
              <w:rPr>
                <w:rFonts w:ascii="Cambria" w:eastAsia="Calibri" w:hAnsi="Cambria"/>
                <w:sz w:val="22"/>
                <w:szCs w:val="22"/>
              </w:rPr>
              <w:t>677</w:t>
            </w:r>
          </w:p>
        </w:tc>
        <w:tc>
          <w:tcPr>
            <w:tcW w:w="1747" w:type="dxa"/>
            <w:tcBorders>
              <w:top w:val="single" w:sz="6" w:space="0" w:color="auto"/>
              <w:left w:val="single" w:sz="6" w:space="0" w:color="auto"/>
              <w:bottom w:val="nil"/>
              <w:right w:val="single" w:sz="6" w:space="0" w:color="auto"/>
            </w:tcBorders>
          </w:tcPr>
          <w:p w14:paraId="4B955CDA" w14:textId="77777777" w:rsidR="004965AB" w:rsidRPr="0013150D" w:rsidRDefault="004965AB" w:rsidP="00B133C4">
            <w:pPr>
              <w:pStyle w:val="C-TableText"/>
              <w:keepNext/>
              <w:keepLines/>
              <w:jc w:val="center"/>
              <w:rPr>
                <w:rFonts w:ascii="Cambria" w:eastAsia="Calibri" w:hAnsi="Cambria"/>
                <w:sz w:val="22"/>
                <w:szCs w:val="22"/>
              </w:rPr>
            </w:pPr>
            <w:r w:rsidRPr="0013150D">
              <w:rPr>
                <w:rFonts w:ascii="Cambria" w:eastAsia="Calibri" w:hAnsi="Cambria"/>
                <w:sz w:val="22"/>
                <w:szCs w:val="22"/>
              </w:rPr>
              <w:t>572</w:t>
            </w:r>
          </w:p>
        </w:tc>
      </w:tr>
      <w:tr w:rsidR="004965AB" w:rsidRPr="0013150D" w14:paraId="5DEFDB98" w14:textId="77777777" w:rsidTr="00A33171">
        <w:trPr>
          <w:cantSplit/>
          <w:trHeight w:val="145"/>
          <w:jc w:val="center"/>
        </w:trPr>
        <w:tc>
          <w:tcPr>
            <w:tcW w:w="4062" w:type="dxa"/>
            <w:vMerge/>
            <w:tcBorders>
              <w:left w:val="single" w:sz="6" w:space="0" w:color="auto"/>
              <w:right w:val="single" w:sz="6" w:space="0" w:color="auto"/>
            </w:tcBorders>
          </w:tcPr>
          <w:p w14:paraId="7FE53CA6" w14:textId="77777777" w:rsidR="004965AB" w:rsidRPr="0013150D" w:rsidRDefault="004965AB">
            <w:pPr>
              <w:keepNext/>
              <w:spacing w:after="0" w:line="240" w:lineRule="auto"/>
            </w:pPr>
          </w:p>
        </w:tc>
        <w:tc>
          <w:tcPr>
            <w:tcW w:w="1440" w:type="dxa"/>
            <w:tcBorders>
              <w:top w:val="nil"/>
              <w:left w:val="single" w:sz="6" w:space="0" w:color="auto"/>
              <w:bottom w:val="nil"/>
              <w:right w:val="single" w:sz="6" w:space="0" w:color="auto"/>
            </w:tcBorders>
          </w:tcPr>
          <w:p w14:paraId="1854B8DF" w14:textId="77777777" w:rsidR="004965AB" w:rsidRPr="0013150D" w:rsidRDefault="004965AB">
            <w:pPr>
              <w:pStyle w:val="C-TableText"/>
              <w:keepNext/>
              <w:keepLines/>
              <w:tabs>
                <w:tab w:val="left" w:pos="220"/>
              </w:tabs>
              <w:rPr>
                <w:rFonts w:ascii="Cambria" w:eastAsia="Calibri" w:hAnsi="Cambria"/>
                <w:sz w:val="22"/>
                <w:szCs w:val="22"/>
              </w:rPr>
            </w:pPr>
            <w:r w:rsidRPr="0013150D">
              <w:rPr>
                <w:rFonts w:ascii="Cambria" w:eastAsia="Calibri" w:hAnsi="Cambria"/>
                <w:sz w:val="22"/>
                <w:szCs w:val="22"/>
              </w:rPr>
              <w:t>Mean (SD)</w:t>
            </w:r>
          </w:p>
        </w:tc>
        <w:tc>
          <w:tcPr>
            <w:tcW w:w="1800" w:type="dxa"/>
            <w:tcBorders>
              <w:top w:val="nil"/>
              <w:left w:val="single" w:sz="6" w:space="0" w:color="auto"/>
              <w:bottom w:val="nil"/>
              <w:right w:val="single" w:sz="6" w:space="0" w:color="auto"/>
            </w:tcBorders>
          </w:tcPr>
          <w:p w14:paraId="05451390" w14:textId="77777777" w:rsidR="004965AB" w:rsidRPr="0013150D" w:rsidRDefault="004965AB" w:rsidP="00DD29BE">
            <w:pPr>
              <w:pStyle w:val="C-TableText"/>
              <w:keepNext/>
              <w:keepLines/>
              <w:jc w:val="center"/>
              <w:rPr>
                <w:rFonts w:ascii="Cambria" w:eastAsia="Calibri" w:hAnsi="Cambria"/>
                <w:sz w:val="22"/>
                <w:szCs w:val="22"/>
              </w:rPr>
            </w:pPr>
            <w:r w:rsidRPr="0013150D">
              <w:rPr>
                <w:rFonts w:ascii="Cambria" w:eastAsia="Calibri" w:hAnsi="Cambria"/>
                <w:sz w:val="22"/>
                <w:szCs w:val="22"/>
              </w:rPr>
              <w:t>6.6 (6.04)</w:t>
            </w:r>
          </w:p>
        </w:tc>
        <w:tc>
          <w:tcPr>
            <w:tcW w:w="1747" w:type="dxa"/>
            <w:tcBorders>
              <w:top w:val="nil"/>
              <w:left w:val="single" w:sz="6" w:space="0" w:color="auto"/>
              <w:bottom w:val="nil"/>
              <w:right w:val="single" w:sz="6" w:space="0" w:color="auto"/>
            </w:tcBorders>
          </w:tcPr>
          <w:p w14:paraId="460C38E7" w14:textId="77777777" w:rsidR="004965AB" w:rsidRPr="0013150D" w:rsidRDefault="004965AB" w:rsidP="00B133C4">
            <w:pPr>
              <w:pStyle w:val="C-TableText"/>
              <w:keepNext/>
              <w:keepLines/>
              <w:jc w:val="center"/>
              <w:rPr>
                <w:rFonts w:ascii="Cambria" w:eastAsia="Calibri" w:hAnsi="Cambria"/>
                <w:sz w:val="22"/>
                <w:szCs w:val="22"/>
              </w:rPr>
            </w:pPr>
            <w:r w:rsidRPr="0013150D">
              <w:rPr>
                <w:rFonts w:ascii="Cambria" w:eastAsia="Calibri" w:hAnsi="Cambria"/>
                <w:sz w:val="22"/>
                <w:szCs w:val="22"/>
              </w:rPr>
              <w:t>5.7 (5.53)</w:t>
            </w:r>
          </w:p>
        </w:tc>
      </w:tr>
      <w:tr w:rsidR="004965AB" w:rsidRPr="0013150D" w14:paraId="17F0CE91" w14:textId="77777777" w:rsidTr="00A33171">
        <w:trPr>
          <w:cantSplit/>
          <w:trHeight w:val="145"/>
          <w:jc w:val="center"/>
        </w:trPr>
        <w:tc>
          <w:tcPr>
            <w:tcW w:w="4062" w:type="dxa"/>
            <w:vMerge/>
            <w:tcBorders>
              <w:left w:val="single" w:sz="6" w:space="0" w:color="auto"/>
              <w:right w:val="single" w:sz="6" w:space="0" w:color="auto"/>
            </w:tcBorders>
          </w:tcPr>
          <w:p w14:paraId="55C842B7" w14:textId="77777777" w:rsidR="004965AB" w:rsidRPr="0013150D" w:rsidRDefault="004965AB">
            <w:pPr>
              <w:keepNext/>
              <w:spacing w:after="0" w:line="240" w:lineRule="auto"/>
            </w:pPr>
          </w:p>
        </w:tc>
        <w:tc>
          <w:tcPr>
            <w:tcW w:w="1440" w:type="dxa"/>
            <w:tcBorders>
              <w:top w:val="nil"/>
              <w:left w:val="single" w:sz="6" w:space="0" w:color="auto"/>
              <w:bottom w:val="nil"/>
              <w:right w:val="single" w:sz="6" w:space="0" w:color="auto"/>
            </w:tcBorders>
          </w:tcPr>
          <w:p w14:paraId="7EB440EA" w14:textId="77777777" w:rsidR="004965AB" w:rsidRPr="0013150D" w:rsidRDefault="004965AB">
            <w:pPr>
              <w:pStyle w:val="C-TableText"/>
              <w:keepNext/>
              <w:keepLines/>
              <w:tabs>
                <w:tab w:val="left" w:pos="220"/>
              </w:tabs>
              <w:rPr>
                <w:rFonts w:ascii="Cambria" w:eastAsia="Calibri" w:hAnsi="Cambria"/>
                <w:sz w:val="22"/>
                <w:szCs w:val="22"/>
              </w:rPr>
            </w:pPr>
            <w:r w:rsidRPr="0013150D">
              <w:rPr>
                <w:rFonts w:ascii="Cambria" w:eastAsia="Calibri" w:hAnsi="Cambria"/>
                <w:sz w:val="22"/>
                <w:szCs w:val="22"/>
              </w:rPr>
              <w:t>Median</w:t>
            </w:r>
          </w:p>
        </w:tc>
        <w:tc>
          <w:tcPr>
            <w:tcW w:w="1800" w:type="dxa"/>
            <w:tcBorders>
              <w:top w:val="nil"/>
              <w:left w:val="single" w:sz="6" w:space="0" w:color="auto"/>
              <w:bottom w:val="nil"/>
              <w:right w:val="single" w:sz="6" w:space="0" w:color="auto"/>
            </w:tcBorders>
          </w:tcPr>
          <w:p w14:paraId="642B5A6D" w14:textId="77777777" w:rsidR="004965AB" w:rsidRPr="0013150D" w:rsidRDefault="004965AB" w:rsidP="00DD29BE">
            <w:pPr>
              <w:pStyle w:val="C-TableText"/>
              <w:keepNext/>
              <w:keepLines/>
              <w:jc w:val="center"/>
              <w:rPr>
                <w:rFonts w:ascii="Cambria" w:eastAsia="Calibri" w:hAnsi="Cambria"/>
                <w:sz w:val="22"/>
                <w:szCs w:val="22"/>
              </w:rPr>
            </w:pPr>
            <w:r w:rsidRPr="0013150D">
              <w:rPr>
                <w:rFonts w:ascii="Cambria" w:eastAsia="Calibri" w:hAnsi="Cambria"/>
                <w:sz w:val="22"/>
                <w:szCs w:val="22"/>
              </w:rPr>
              <w:t>4.0</w:t>
            </w:r>
          </w:p>
        </w:tc>
        <w:tc>
          <w:tcPr>
            <w:tcW w:w="1747" w:type="dxa"/>
            <w:tcBorders>
              <w:top w:val="nil"/>
              <w:left w:val="single" w:sz="6" w:space="0" w:color="auto"/>
              <w:bottom w:val="nil"/>
              <w:right w:val="single" w:sz="6" w:space="0" w:color="auto"/>
            </w:tcBorders>
          </w:tcPr>
          <w:p w14:paraId="6E38E688" w14:textId="77777777" w:rsidR="004965AB" w:rsidRPr="0013150D" w:rsidRDefault="004965AB" w:rsidP="00B133C4">
            <w:pPr>
              <w:pStyle w:val="C-TableText"/>
              <w:keepNext/>
              <w:keepLines/>
              <w:jc w:val="center"/>
              <w:rPr>
                <w:rFonts w:ascii="Cambria" w:eastAsia="Calibri" w:hAnsi="Cambria"/>
                <w:sz w:val="22"/>
                <w:szCs w:val="22"/>
              </w:rPr>
            </w:pPr>
            <w:r w:rsidRPr="0013150D">
              <w:rPr>
                <w:rFonts w:ascii="Cambria" w:eastAsia="Calibri" w:hAnsi="Cambria"/>
                <w:sz w:val="22"/>
                <w:szCs w:val="22"/>
              </w:rPr>
              <w:t>3.0</w:t>
            </w:r>
          </w:p>
        </w:tc>
      </w:tr>
      <w:tr w:rsidR="004965AB" w:rsidRPr="0013150D" w14:paraId="4480C56D" w14:textId="77777777" w:rsidTr="00A33171">
        <w:trPr>
          <w:cantSplit/>
          <w:trHeight w:val="145"/>
          <w:jc w:val="center"/>
        </w:trPr>
        <w:tc>
          <w:tcPr>
            <w:tcW w:w="4062" w:type="dxa"/>
            <w:vMerge w:val="restart"/>
            <w:tcBorders>
              <w:left w:val="single" w:sz="6" w:space="0" w:color="auto"/>
              <w:right w:val="single" w:sz="6" w:space="0" w:color="auto"/>
            </w:tcBorders>
          </w:tcPr>
          <w:p w14:paraId="0C315E88" w14:textId="77777777" w:rsidR="004965AB" w:rsidRPr="0013150D" w:rsidRDefault="004965AB" w:rsidP="00A67D4B">
            <w:pPr>
              <w:keepNext/>
              <w:spacing w:after="0" w:line="240" w:lineRule="auto"/>
            </w:pPr>
            <w:r w:rsidRPr="0013150D">
              <w:t xml:space="preserve">Units of </w:t>
            </w:r>
            <w:proofErr w:type="spellStart"/>
            <w:r w:rsidRPr="0013150D">
              <w:t>pRBC</w:t>
            </w:r>
            <w:proofErr w:type="spellEnd"/>
            <w:r w:rsidRPr="0013150D">
              <w:t>/whole blood transfused within 12 months prior to first dose</w:t>
            </w:r>
          </w:p>
        </w:tc>
        <w:tc>
          <w:tcPr>
            <w:tcW w:w="1440" w:type="dxa"/>
            <w:tcBorders>
              <w:top w:val="single" w:sz="6" w:space="0" w:color="auto"/>
              <w:left w:val="single" w:sz="6" w:space="0" w:color="auto"/>
              <w:bottom w:val="nil"/>
              <w:right w:val="single" w:sz="6" w:space="0" w:color="auto"/>
            </w:tcBorders>
          </w:tcPr>
          <w:p w14:paraId="5D043051" w14:textId="77777777" w:rsidR="004965AB" w:rsidRPr="0013150D" w:rsidRDefault="004965AB" w:rsidP="00104DF9">
            <w:pPr>
              <w:pStyle w:val="C-TableText"/>
              <w:keepNext/>
              <w:keepLines/>
              <w:tabs>
                <w:tab w:val="left" w:pos="220"/>
              </w:tabs>
              <w:rPr>
                <w:rFonts w:ascii="Cambria" w:eastAsia="Calibri" w:hAnsi="Cambria"/>
                <w:sz w:val="22"/>
                <w:szCs w:val="22"/>
              </w:rPr>
            </w:pPr>
            <w:r w:rsidRPr="0013150D">
              <w:rPr>
                <w:rFonts w:ascii="Cambria" w:eastAsia="Calibri" w:hAnsi="Cambria"/>
                <w:sz w:val="22"/>
                <w:szCs w:val="22"/>
              </w:rPr>
              <w:t>Total</w:t>
            </w:r>
          </w:p>
        </w:tc>
        <w:tc>
          <w:tcPr>
            <w:tcW w:w="1800" w:type="dxa"/>
            <w:tcBorders>
              <w:top w:val="single" w:sz="6" w:space="0" w:color="auto"/>
              <w:left w:val="single" w:sz="6" w:space="0" w:color="auto"/>
              <w:bottom w:val="nil"/>
              <w:right w:val="single" w:sz="6" w:space="0" w:color="auto"/>
            </w:tcBorders>
          </w:tcPr>
          <w:p w14:paraId="04BE7403" w14:textId="77777777" w:rsidR="004965AB" w:rsidRPr="0013150D" w:rsidRDefault="004965AB" w:rsidP="00DD29BE">
            <w:pPr>
              <w:pStyle w:val="C-TableText"/>
              <w:keepNext/>
              <w:keepLines/>
              <w:jc w:val="center"/>
              <w:rPr>
                <w:rFonts w:ascii="Cambria" w:eastAsia="Calibri" w:hAnsi="Cambria"/>
                <w:sz w:val="22"/>
                <w:szCs w:val="22"/>
              </w:rPr>
            </w:pPr>
            <w:r w:rsidRPr="0013150D">
              <w:rPr>
                <w:rFonts w:ascii="Cambria" w:eastAsia="Calibri" w:hAnsi="Cambria"/>
                <w:sz w:val="22"/>
                <w:szCs w:val="22"/>
              </w:rPr>
              <w:t>925</w:t>
            </w:r>
          </w:p>
        </w:tc>
        <w:tc>
          <w:tcPr>
            <w:tcW w:w="1747" w:type="dxa"/>
            <w:tcBorders>
              <w:top w:val="single" w:sz="6" w:space="0" w:color="auto"/>
              <w:left w:val="single" w:sz="6" w:space="0" w:color="auto"/>
              <w:bottom w:val="nil"/>
              <w:right w:val="single" w:sz="6" w:space="0" w:color="auto"/>
            </w:tcBorders>
          </w:tcPr>
          <w:p w14:paraId="19754FBD" w14:textId="77777777" w:rsidR="004965AB" w:rsidRPr="0013150D" w:rsidRDefault="004965AB" w:rsidP="00B133C4">
            <w:pPr>
              <w:pStyle w:val="C-TableText"/>
              <w:keepNext/>
              <w:keepLines/>
              <w:jc w:val="center"/>
              <w:rPr>
                <w:rFonts w:ascii="Cambria" w:eastAsia="Calibri" w:hAnsi="Cambria"/>
                <w:sz w:val="22"/>
                <w:szCs w:val="22"/>
              </w:rPr>
            </w:pPr>
            <w:r w:rsidRPr="0013150D">
              <w:rPr>
                <w:rFonts w:ascii="Cambria" w:eastAsia="Calibri" w:hAnsi="Cambria"/>
                <w:sz w:val="22"/>
                <w:szCs w:val="22"/>
              </w:rPr>
              <w:t>861</w:t>
            </w:r>
          </w:p>
        </w:tc>
      </w:tr>
      <w:tr w:rsidR="004965AB" w:rsidRPr="0013150D" w14:paraId="6AC9EB10" w14:textId="77777777" w:rsidTr="00A33171">
        <w:trPr>
          <w:cantSplit/>
          <w:trHeight w:val="145"/>
          <w:jc w:val="center"/>
        </w:trPr>
        <w:tc>
          <w:tcPr>
            <w:tcW w:w="4062" w:type="dxa"/>
            <w:vMerge/>
            <w:tcBorders>
              <w:left w:val="single" w:sz="6" w:space="0" w:color="auto"/>
              <w:right w:val="single" w:sz="6" w:space="0" w:color="auto"/>
            </w:tcBorders>
          </w:tcPr>
          <w:p w14:paraId="1B22B02E" w14:textId="77777777" w:rsidR="004965AB" w:rsidRPr="0013150D" w:rsidRDefault="004965AB" w:rsidP="00E21E88">
            <w:pPr>
              <w:keepNext/>
              <w:spacing w:after="0" w:line="240" w:lineRule="auto"/>
            </w:pPr>
          </w:p>
        </w:tc>
        <w:tc>
          <w:tcPr>
            <w:tcW w:w="1440" w:type="dxa"/>
            <w:tcBorders>
              <w:top w:val="nil"/>
              <w:left w:val="single" w:sz="6" w:space="0" w:color="auto"/>
              <w:bottom w:val="nil"/>
              <w:right w:val="single" w:sz="6" w:space="0" w:color="auto"/>
            </w:tcBorders>
          </w:tcPr>
          <w:p w14:paraId="1CCD966D" w14:textId="77777777" w:rsidR="004965AB" w:rsidRPr="0013150D" w:rsidRDefault="004965AB" w:rsidP="00A67D4B">
            <w:pPr>
              <w:pStyle w:val="C-TableText"/>
              <w:keepNext/>
              <w:keepLines/>
              <w:tabs>
                <w:tab w:val="left" w:pos="220"/>
              </w:tabs>
              <w:rPr>
                <w:rFonts w:ascii="Cambria" w:eastAsia="Calibri" w:hAnsi="Cambria"/>
                <w:sz w:val="22"/>
                <w:szCs w:val="22"/>
              </w:rPr>
            </w:pPr>
            <w:r w:rsidRPr="0013150D">
              <w:rPr>
                <w:rFonts w:ascii="Cambria" w:eastAsia="Calibri" w:hAnsi="Cambria"/>
                <w:sz w:val="22"/>
                <w:szCs w:val="22"/>
              </w:rPr>
              <w:t>Mean (SD)</w:t>
            </w:r>
          </w:p>
        </w:tc>
        <w:tc>
          <w:tcPr>
            <w:tcW w:w="1800" w:type="dxa"/>
            <w:tcBorders>
              <w:top w:val="nil"/>
              <w:left w:val="single" w:sz="6" w:space="0" w:color="auto"/>
              <w:bottom w:val="nil"/>
              <w:right w:val="single" w:sz="6" w:space="0" w:color="auto"/>
            </w:tcBorders>
          </w:tcPr>
          <w:p w14:paraId="1610928A" w14:textId="77777777" w:rsidR="004965AB" w:rsidRPr="0013150D" w:rsidRDefault="004965AB" w:rsidP="00DD29BE">
            <w:pPr>
              <w:pStyle w:val="C-TableText"/>
              <w:keepNext/>
              <w:keepLines/>
              <w:jc w:val="center"/>
              <w:rPr>
                <w:rFonts w:ascii="Cambria" w:eastAsia="Calibri" w:hAnsi="Cambria"/>
                <w:sz w:val="22"/>
                <w:szCs w:val="22"/>
              </w:rPr>
            </w:pPr>
            <w:r w:rsidRPr="0013150D">
              <w:rPr>
                <w:rFonts w:ascii="Cambria" w:eastAsia="Calibri" w:hAnsi="Cambria"/>
                <w:sz w:val="22"/>
                <w:szCs w:val="22"/>
              </w:rPr>
              <w:t>9.0 (7.74)</w:t>
            </w:r>
          </w:p>
        </w:tc>
        <w:tc>
          <w:tcPr>
            <w:tcW w:w="1747" w:type="dxa"/>
            <w:tcBorders>
              <w:top w:val="nil"/>
              <w:left w:val="single" w:sz="6" w:space="0" w:color="auto"/>
              <w:bottom w:val="nil"/>
              <w:right w:val="single" w:sz="6" w:space="0" w:color="auto"/>
            </w:tcBorders>
          </w:tcPr>
          <w:p w14:paraId="14D281CA" w14:textId="77777777" w:rsidR="004965AB" w:rsidRPr="0013150D" w:rsidRDefault="004965AB" w:rsidP="00B133C4">
            <w:pPr>
              <w:pStyle w:val="C-TableText"/>
              <w:keepNext/>
              <w:keepLines/>
              <w:jc w:val="center"/>
              <w:rPr>
                <w:rFonts w:ascii="Cambria" w:eastAsia="Calibri" w:hAnsi="Cambria"/>
                <w:sz w:val="22"/>
                <w:szCs w:val="22"/>
              </w:rPr>
            </w:pPr>
            <w:r w:rsidRPr="0013150D">
              <w:rPr>
                <w:rFonts w:ascii="Cambria" w:eastAsia="Calibri" w:hAnsi="Cambria"/>
                <w:sz w:val="22"/>
                <w:szCs w:val="22"/>
              </w:rPr>
              <w:t>8.6 (7.90)</w:t>
            </w:r>
          </w:p>
        </w:tc>
      </w:tr>
      <w:tr w:rsidR="004965AB" w:rsidRPr="0013150D" w14:paraId="3724C867" w14:textId="77777777" w:rsidTr="00A33171">
        <w:trPr>
          <w:cantSplit/>
          <w:trHeight w:val="145"/>
          <w:jc w:val="center"/>
        </w:trPr>
        <w:tc>
          <w:tcPr>
            <w:tcW w:w="4062" w:type="dxa"/>
            <w:vMerge/>
            <w:tcBorders>
              <w:left w:val="single" w:sz="6" w:space="0" w:color="auto"/>
              <w:right w:val="single" w:sz="6" w:space="0" w:color="auto"/>
            </w:tcBorders>
          </w:tcPr>
          <w:p w14:paraId="5F4BA5FE" w14:textId="77777777" w:rsidR="004965AB" w:rsidRPr="0013150D" w:rsidRDefault="004965AB" w:rsidP="00E21E88">
            <w:pPr>
              <w:keepNext/>
              <w:spacing w:after="0" w:line="240" w:lineRule="auto"/>
            </w:pPr>
          </w:p>
        </w:tc>
        <w:tc>
          <w:tcPr>
            <w:tcW w:w="1440" w:type="dxa"/>
            <w:tcBorders>
              <w:top w:val="nil"/>
              <w:left w:val="single" w:sz="6" w:space="0" w:color="auto"/>
              <w:bottom w:val="single" w:sz="4" w:space="0" w:color="auto"/>
              <w:right w:val="single" w:sz="6" w:space="0" w:color="auto"/>
            </w:tcBorders>
          </w:tcPr>
          <w:p w14:paraId="742BF1BD" w14:textId="77777777" w:rsidR="004965AB" w:rsidRPr="0013150D" w:rsidRDefault="004965AB" w:rsidP="00A67D4B">
            <w:pPr>
              <w:pStyle w:val="C-TableText"/>
              <w:keepNext/>
              <w:keepLines/>
              <w:tabs>
                <w:tab w:val="left" w:pos="220"/>
              </w:tabs>
              <w:rPr>
                <w:rFonts w:ascii="Cambria" w:eastAsia="Calibri" w:hAnsi="Cambria"/>
                <w:sz w:val="22"/>
                <w:szCs w:val="22"/>
              </w:rPr>
            </w:pPr>
            <w:r w:rsidRPr="0013150D">
              <w:rPr>
                <w:rFonts w:ascii="Cambria" w:eastAsia="Calibri" w:hAnsi="Cambria"/>
                <w:sz w:val="22"/>
                <w:szCs w:val="22"/>
              </w:rPr>
              <w:t>Median</w:t>
            </w:r>
          </w:p>
        </w:tc>
        <w:tc>
          <w:tcPr>
            <w:tcW w:w="1800" w:type="dxa"/>
            <w:tcBorders>
              <w:top w:val="nil"/>
              <w:left w:val="single" w:sz="6" w:space="0" w:color="auto"/>
              <w:bottom w:val="single" w:sz="4" w:space="0" w:color="auto"/>
              <w:right w:val="single" w:sz="6" w:space="0" w:color="auto"/>
            </w:tcBorders>
          </w:tcPr>
          <w:p w14:paraId="54E5D226" w14:textId="77777777" w:rsidR="004965AB" w:rsidRPr="0013150D" w:rsidRDefault="004965AB" w:rsidP="00DD29BE">
            <w:pPr>
              <w:pStyle w:val="C-TableText"/>
              <w:keepNext/>
              <w:keepLines/>
              <w:jc w:val="center"/>
              <w:rPr>
                <w:rFonts w:ascii="Cambria" w:eastAsia="Calibri" w:hAnsi="Cambria"/>
                <w:sz w:val="22"/>
                <w:szCs w:val="22"/>
              </w:rPr>
            </w:pPr>
            <w:r w:rsidRPr="0013150D">
              <w:rPr>
                <w:rFonts w:ascii="Cambria" w:eastAsia="Calibri" w:hAnsi="Cambria"/>
                <w:sz w:val="22"/>
                <w:szCs w:val="22"/>
              </w:rPr>
              <w:t>6.0</w:t>
            </w:r>
          </w:p>
        </w:tc>
        <w:tc>
          <w:tcPr>
            <w:tcW w:w="1747" w:type="dxa"/>
            <w:tcBorders>
              <w:top w:val="nil"/>
              <w:left w:val="single" w:sz="6" w:space="0" w:color="auto"/>
              <w:bottom w:val="single" w:sz="4" w:space="0" w:color="auto"/>
              <w:right w:val="single" w:sz="6" w:space="0" w:color="auto"/>
            </w:tcBorders>
          </w:tcPr>
          <w:p w14:paraId="0FBBEAA0" w14:textId="77777777" w:rsidR="004965AB" w:rsidRPr="0013150D" w:rsidRDefault="004965AB" w:rsidP="00B133C4">
            <w:pPr>
              <w:pStyle w:val="C-TableText"/>
              <w:keepNext/>
              <w:keepLines/>
              <w:jc w:val="center"/>
              <w:rPr>
                <w:rFonts w:ascii="Cambria" w:eastAsia="Calibri" w:hAnsi="Cambria"/>
                <w:sz w:val="22"/>
                <w:szCs w:val="22"/>
              </w:rPr>
            </w:pPr>
            <w:r w:rsidRPr="0013150D">
              <w:rPr>
                <w:rFonts w:ascii="Cambria" w:eastAsia="Calibri" w:hAnsi="Cambria"/>
                <w:sz w:val="22"/>
                <w:szCs w:val="22"/>
              </w:rPr>
              <w:t>6.0</w:t>
            </w:r>
          </w:p>
        </w:tc>
      </w:tr>
      <w:tr w:rsidR="004965AB" w:rsidRPr="0013150D" w14:paraId="6C2C209B" w14:textId="77777777" w:rsidTr="00A33171">
        <w:trPr>
          <w:cantSplit/>
          <w:trHeight w:val="145"/>
          <w:jc w:val="center"/>
        </w:trPr>
        <w:tc>
          <w:tcPr>
            <w:tcW w:w="4062" w:type="dxa"/>
            <w:tcBorders>
              <w:left w:val="single" w:sz="6" w:space="0" w:color="auto"/>
              <w:bottom w:val="nil"/>
              <w:right w:val="single" w:sz="4" w:space="0" w:color="auto"/>
            </w:tcBorders>
          </w:tcPr>
          <w:p w14:paraId="1928EDD0" w14:textId="77777777" w:rsidR="004965AB" w:rsidRPr="0013150D" w:rsidRDefault="004965AB" w:rsidP="00A67D4B">
            <w:pPr>
              <w:pStyle w:val="Caption"/>
              <w:keepLines/>
              <w:tabs>
                <w:tab w:val="left" w:pos="49"/>
              </w:tabs>
              <w:spacing w:before="0" w:after="0" w:line="240" w:lineRule="auto"/>
              <w:ind w:left="0" w:firstLine="0"/>
              <w:rPr>
                <w:rFonts w:ascii="Cambria" w:hAnsi="Cambria"/>
                <w:b w:val="0"/>
                <w:sz w:val="22"/>
                <w:szCs w:val="22"/>
              </w:rPr>
            </w:pPr>
            <w:r w:rsidRPr="0013150D">
              <w:rPr>
                <w:rFonts w:ascii="Cambria" w:hAnsi="Cambria"/>
                <w:b w:val="0"/>
                <w:color w:val="000000"/>
                <w:sz w:val="22"/>
                <w:szCs w:val="22"/>
              </w:rPr>
              <w:t>Patients with any PNH conditions prior to informed consent</w:t>
            </w:r>
          </w:p>
        </w:tc>
        <w:tc>
          <w:tcPr>
            <w:tcW w:w="1440" w:type="dxa"/>
            <w:tcBorders>
              <w:top w:val="single" w:sz="4" w:space="0" w:color="auto"/>
              <w:left w:val="single" w:sz="4" w:space="0" w:color="auto"/>
              <w:bottom w:val="nil"/>
              <w:right w:val="single" w:sz="4" w:space="0" w:color="auto"/>
            </w:tcBorders>
          </w:tcPr>
          <w:p w14:paraId="52380899" w14:textId="77777777" w:rsidR="004965AB" w:rsidRPr="0013150D" w:rsidRDefault="004965AB" w:rsidP="00104DF9">
            <w:pPr>
              <w:pStyle w:val="C-TableText"/>
              <w:keepNext/>
              <w:keepLines/>
              <w:tabs>
                <w:tab w:val="left" w:pos="220"/>
              </w:tabs>
              <w:rPr>
                <w:rFonts w:ascii="Cambria" w:eastAsia="Calibri" w:hAnsi="Cambria"/>
                <w:sz w:val="22"/>
                <w:szCs w:val="22"/>
              </w:rPr>
            </w:pPr>
            <w:r w:rsidRPr="0013150D">
              <w:rPr>
                <w:rFonts w:ascii="Cambria" w:eastAsia="Calibri" w:hAnsi="Cambria"/>
                <w:sz w:val="22"/>
                <w:szCs w:val="22"/>
              </w:rPr>
              <w:t>n (%)</w:t>
            </w:r>
          </w:p>
        </w:tc>
        <w:tc>
          <w:tcPr>
            <w:tcW w:w="1800" w:type="dxa"/>
            <w:tcBorders>
              <w:top w:val="single" w:sz="4" w:space="0" w:color="auto"/>
              <w:left w:val="single" w:sz="4" w:space="0" w:color="auto"/>
              <w:bottom w:val="nil"/>
              <w:right w:val="single" w:sz="4" w:space="0" w:color="auto"/>
            </w:tcBorders>
          </w:tcPr>
          <w:p w14:paraId="4AAEACB9" w14:textId="77777777" w:rsidR="004965AB" w:rsidRPr="0013150D" w:rsidRDefault="004965AB" w:rsidP="00DD29BE">
            <w:pPr>
              <w:pStyle w:val="Caption"/>
              <w:keepLines/>
              <w:spacing w:before="0" w:after="0" w:line="240" w:lineRule="auto"/>
              <w:ind w:left="0" w:firstLine="0"/>
              <w:jc w:val="center"/>
              <w:rPr>
                <w:rFonts w:ascii="Cambria" w:hAnsi="Cambria"/>
                <w:b w:val="0"/>
                <w:sz w:val="22"/>
                <w:szCs w:val="22"/>
              </w:rPr>
            </w:pPr>
            <w:r w:rsidRPr="0013150D">
              <w:rPr>
                <w:rFonts w:ascii="Cambria" w:hAnsi="Cambria"/>
                <w:b w:val="0"/>
                <w:color w:val="000000"/>
                <w:sz w:val="22"/>
                <w:szCs w:val="22"/>
              </w:rPr>
              <w:t>121 (96.8)</w:t>
            </w:r>
          </w:p>
        </w:tc>
        <w:tc>
          <w:tcPr>
            <w:tcW w:w="1747" w:type="dxa"/>
            <w:tcBorders>
              <w:top w:val="single" w:sz="4" w:space="0" w:color="auto"/>
              <w:left w:val="single" w:sz="4" w:space="0" w:color="auto"/>
              <w:bottom w:val="nil"/>
              <w:right w:val="single" w:sz="4" w:space="0" w:color="auto"/>
            </w:tcBorders>
          </w:tcPr>
          <w:p w14:paraId="2A251890"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color w:val="000000"/>
                <w:sz w:val="22"/>
                <w:szCs w:val="22"/>
              </w:rPr>
              <w:t>120 (99.2)</w:t>
            </w:r>
          </w:p>
        </w:tc>
      </w:tr>
      <w:tr w:rsidR="004965AB" w:rsidRPr="0013150D" w14:paraId="4478FDED" w14:textId="77777777" w:rsidTr="00A33171">
        <w:trPr>
          <w:cantSplit/>
          <w:trHeight w:val="145"/>
          <w:jc w:val="center"/>
        </w:trPr>
        <w:tc>
          <w:tcPr>
            <w:tcW w:w="4062" w:type="dxa"/>
            <w:tcBorders>
              <w:top w:val="nil"/>
              <w:left w:val="single" w:sz="4" w:space="0" w:color="auto"/>
              <w:bottom w:val="nil"/>
              <w:right w:val="single" w:sz="4" w:space="0" w:color="auto"/>
            </w:tcBorders>
          </w:tcPr>
          <w:p w14:paraId="73EBC168" w14:textId="77777777" w:rsidR="004965AB" w:rsidRPr="0013150D" w:rsidRDefault="004965AB" w:rsidP="00A67D4B">
            <w:pPr>
              <w:pStyle w:val="Caption"/>
              <w:keepLines/>
              <w:tabs>
                <w:tab w:val="left" w:pos="220"/>
              </w:tabs>
              <w:spacing w:before="0" w:after="0" w:line="240" w:lineRule="auto"/>
              <w:ind w:left="0" w:firstLine="0"/>
              <w:rPr>
                <w:rFonts w:ascii="Cambria" w:hAnsi="Cambria"/>
                <w:b w:val="0"/>
                <w:sz w:val="22"/>
                <w:szCs w:val="22"/>
              </w:rPr>
            </w:pPr>
            <w:r w:rsidRPr="0013150D">
              <w:rPr>
                <w:rFonts w:ascii="Cambria" w:hAnsi="Cambria"/>
                <w:b w:val="0"/>
                <w:color w:val="000000"/>
                <w:sz w:val="22"/>
                <w:szCs w:val="22"/>
              </w:rPr>
              <w:t xml:space="preserve">   </w:t>
            </w:r>
            <w:proofErr w:type="spellStart"/>
            <w:r w:rsidRPr="0013150D">
              <w:rPr>
                <w:rFonts w:ascii="Cambria" w:hAnsi="Cambria"/>
                <w:b w:val="0"/>
                <w:color w:val="000000"/>
                <w:sz w:val="22"/>
                <w:szCs w:val="22"/>
              </w:rPr>
              <w:t>An</w:t>
            </w:r>
            <w:r w:rsidR="00047E64" w:rsidRPr="0013150D">
              <w:rPr>
                <w:rFonts w:ascii="Cambria" w:hAnsi="Cambria"/>
                <w:b w:val="0"/>
                <w:color w:val="000000"/>
                <w:sz w:val="22"/>
                <w:szCs w:val="22"/>
              </w:rPr>
              <w:t>a</w:t>
            </w:r>
            <w:r w:rsidRPr="0013150D">
              <w:rPr>
                <w:rFonts w:ascii="Cambria" w:hAnsi="Cambria"/>
                <w:b w:val="0"/>
                <w:color w:val="000000"/>
                <w:sz w:val="22"/>
                <w:szCs w:val="22"/>
              </w:rPr>
              <w:t>emia</w:t>
            </w:r>
            <w:proofErr w:type="spellEnd"/>
          </w:p>
        </w:tc>
        <w:tc>
          <w:tcPr>
            <w:tcW w:w="1440" w:type="dxa"/>
            <w:tcBorders>
              <w:top w:val="nil"/>
              <w:left w:val="single" w:sz="4" w:space="0" w:color="auto"/>
              <w:bottom w:val="nil"/>
              <w:right w:val="single" w:sz="4" w:space="0" w:color="auto"/>
            </w:tcBorders>
          </w:tcPr>
          <w:p w14:paraId="3667B096" w14:textId="77777777" w:rsidR="004965AB" w:rsidRPr="0013150D" w:rsidRDefault="004965AB" w:rsidP="00104DF9">
            <w:pPr>
              <w:pStyle w:val="C-TableText"/>
              <w:keepNext/>
              <w:keepLines/>
              <w:tabs>
                <w:tab w:val="left" w:pos="220"/>
              </w:tabs>
              <w:rPr>
                <w:rFonts w:ascii="Cambria" w:eastAsia="Calibri" w:hAnsi="Cambria"/>
                <w:sz w:val="22"/>
                <w:szCs w:val="22"/>
              </w:rPr>
            </w:pPr>
          </w:p>
        </w:tc>
        <w:tc>
          <w:tcPr>
            <w:tcW w:w="1800" w:type="dxa"/>
            <w:tcBorders>
              <w:top w:val="nil"/>
              <w:left w:val="single" w:sz="4" w:space="0" w:color="auto"/>
              <w:bottom w:val="nil"/>
              <w:right w:val="single" w:sz="4" w:space="0" w:color="auto"/>
            </w:tcBorders>
          </w:tcPr>
          <w:p w14:paraId="42EE436F" w14:textId="77777777" w:rsidR="004965AB" w:rsidRPr="0013150D" w:rsidRDefault="004965AB" w:rsidP="00DD29BE">
            <w:pPr>
              <w:pStyle w:val="Caption"/>
              <w:keepLines/>
              <w:spacing w:before="0" w:after="0" w:line="240" w:lineRule="auto"/>
              <w:ind w:left="0" w:firstLine="0"/>
              <w:jc w:val="center"/>
              <w:rPr>
                <w:rFonts w:ascii="Cambria" w:hAnsi="Cambria"/>
                <w:b w:val="0"/>
                <w:sz w:val="22"/>
                <w:szCs w:val="22"/>
              </w:rPr>
            </w:pPr>
            <w:r w:rsidRPr="0013150D">
              <w:rPr>
                <w:rFonts w:ascii="Cambria" w:hAnsi="Cambria"/>
                <w:b w:val="0"/>
                <w:color w:val="000000"/>
                <w:sz w:val="22"/>
                <w:szCs w:val="22"/>
              </w:rPr>
              <w:t>103 (82.4)</w:t>
            </w:r>
          </w:p>
        </w:tc>
        <w:tc>
          <w:tcPr>
            <w:tcW w:w="1747" w:type="dxa"/>
            <w:tcBorders>
              <w:top w:val="nil"/>
              <w:left w:val="single" w:sz="4" w:space="0" w:color="auto"/>
              <w:bottom w:val="nil"/>
              <w:right w:val="single" w:sz="4" w:space="0" w:color="auto"/>
            </w:tcBorders>
          </w:tcPr>
          <w:p w14:paraId="499DC41A"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color w:val="000000"/>
                <w:sz w:val="22"/>
                <w:szCs w:val="22"/>
              </w:rPr>
              <w:t>105 (86.8)</w:t>
            </w:r>
          </w:p>
        </w:tc>
      </w:tr>
      <w:tr w:rsidR="004965AB" w:rsidRPr="0013150D" w14:paraId="0F9F3224" w14:textId="77777777" w:rsidTr="00A33171">
        <w:trPr>
          <w:cantSplit/>
          <w:trHeight w:val="145"/>
          <w:jc w:val="center"/>
        </w:trPr>
        <w:tc>
          <w:tcPr>
            <w:tcW w:w="4062" w:type="dxa"/>
            <w:tcBorders>
              <w:top w:val="nil"/>
              <w:left w:val="single" w:sz="4" w:space="0" w:color="auto"/>
              <w:bottom w:val="nil"/>
              <w:right w:val="single" w:sz="4" w:space="0" w:color="auto"/>
            </w:tcBorders>
          </w:tcPr>
          <w:p w14:paraId="70B236D3" w14:textId="77777777" w:rsidR="004965AB" w:rsidRPr="0013150D" w:rsidRDefault="004965AB" w:rsidP="00A67D4B">
            <w:pPr>
              <w:pStyle w:val="Caption"/>
              <w:keepLines/>
              <w:tabs>
                <w:tab w:val="left" w:pos="220"/>
              </w:tabs>
              <w:spacing w:before="0" w:after="0" w:line="240" w:lineRule="auto"/>
              <w:ind w:left="0" w:firstLine="0"/>
              <w:rPr>
                <w:rFonts w:ascii="Cambria" w:hAnsi="Cambria"/>
                <w:b w:val="0"/>
                <w:sz w:val="22"/>
                <w:szCs w:val="22"/>
              </w:rPr>
            </w:pPr>
            <w:r w:rsidRPr="0013150D">
              <w:rPr>
                <w:rFonts w:ascii="Cambria" w:hAnsi="Cambria"/>
                <w:b w:val="0"/>
                <w:color w:val="000000"/>
                <w:sz w:val="22"/>
                <w:szCs w:val="22"/>
              </w:rPr>
              <w:t xml:space="preserve">   </w:t>
            </w:r>
            <w:proofErr w:type="spellStart"/>
            <w:r w:rsidRPr="0013150D">
              <w:rPr>
                <w:rFonts w:ascii="Cambria" w:hAnsi="Cambria"/>
                <w:b w:val="0"/>
                <w:color w:val="000000"/>
                <w:sz w:val="22"/>
                <w:szCs w:val="22"/>
              </w:rPr>
              <w:t>H</w:t>
            </w:r>
            <w:r w:rsidR="00047E64" w:rsidRPr="0013150D">
              <w:rPr>
                <w:rFonts w:ascii="Cambria" w:hAnsi="Cambria"/>
                <w:b w:val="0"/>
                <w:color w:val="000000"/>
                <w:sz w:val="22"/>
                <w:szCs w:val="22"/>
              </w:rPr>
              <w:t>a</w:t>
            </w:r>
            <w:r w:rsidRPr="0013150D">
              <w:rPr>
                <w:rFonts w:ascii="Cambria" w:hAnsi="Cambria"/>
                <w:b w:val="0"/>
                <w:color w:val="000000"/>
                <w:sz w:val="22"/>
                <w:szCs w:val="22"/>
              </w:rPr>
              <w:t>ematuria</w:t>
            </w:r>
            <w:proofErr w:type="spellEnd"/>
            <w:r w:rsidRPr="0013150D">
              <w:rPr>
                <w:rFonts w:ascii="Cambria" w:hAnsi="Cambria"/>
                <w:b w:val="0"/>
                <w:color w:val="000000"/>
                <w:sz w:val="22"/>
                <w:szCs w:val="22"/>
              </w:rPr>
              <w:t xml:space="preserve"> or </w:t>
            </w:r>
            <w:proofErr w:type="spellStart"/>
            <w:r w:rsidRPr="0013150D">
              <w:rPr>
                <w:rFonts w:ascii="Cambria" w:hAnsi="Cambria"/>
                <w:b w:val="0"/>
                <w:color w:val="000000"/>
                <w:sz w:val="22"/>
                <w:szCs w:val="22"/>
              </w:rPr>
              <w:t>h</w:t>
            </w:r>
            <w:r w:rsidR="00047E64" w:rsidRPr="0013150D">
              <w:rPr>
                <w:rFonts w:ascii="Cambria" w:hAnsi="Cambria"/>
                <w:b w:val="0"/>
                <w:color w:val="000000"/>
                <w:sz w:val="22"/>
                <w:szCs w:val="22"/>
              </w:rPr>
              <w:t>a</w:t>
            </w:r>
            <w:r w:rsidRPr="0013150D">
              <w:rPr>
                <w:rFonts w:ascii="Cambria" w:hAnsi="Cambria"/>
                <w:b w:val="0"/>
                <w:color w:val="000000"/>
                <w:sz w:val="22"/>
                <w:szCs w:val="22"/>
              </w:rPr>
              <w:t>emoglobinuria</w:t>
            </w:r>
            <w:proofErr w:type="spellEnd"/>
          </w:p>
        </w:tc>
        <w:tc>
          <w:tcPr>
            <w:tcW w:w="1440" w:type="dxa"/>
            <w:tcBorders>
              <w:top w:val="nil"/>
              <w:left w:val="single" w:sz="4" w:space="0" w:color="auto"/>
              <w:bottom w:val="nil"/>
              <w:right w:val="single" w:sz="4" w:space="0" w:color="auto"/>
            </w:tcBorders>
          </w:tcPr>
          <w:p w14:paraId="7FEE32A9" w14:textId="77777777" w:rsidR="004965AB" w:rsidRPr="0013150D" w:rsidRDefault="004965AB" w:rsidP="00104DF9">
            <w:pPr>
              <w:pStyle w:val="C-TableText"/>
              <w:keepNext/>
              <w:keepLines/>
              <w:tabs>
                <w:tab w:val="left" w:pos="220"/>
              </w:tabs>
              <w:rPr>
                <w:rFonts w:ascii="Cambria" w:eastAsia="Calibri" w:hAnsi="Cambria"/>
                <w:sz w:val="22"/>
                <w:szCs w:val="22"/>
              </w:rPr>
            </w:pPr>
          </w:p>
        </w:tc>
        <w:tc>
          <w:tcPr>
            <w:tcW w:w="1800" w:type="dxa"/>
            <w:tcBorders>
              <w:top w:val="nil"/>
              <w:left w:val="single" w:sz="4" w:space="0" w:color="auto"/>
              <w:bottom w:val="nil"/>
              <w:right w:val="single" w:sz="4" w:space="0" w:color="auto"/>
            </w:tcBorders>
          </w:tcPr>
          <w:p w14:paraId="701A80E4" w14:textId="77777777" w:rsidR="004965AB" w:rsidRPr="0013150D" w:rsidRDefault="004965AB" w:rsidP="00DD29BE">
            <w:pPr>
              <w:pStyle w:val="Caption"/>
              <w:keepLines/>
              <w:spacing w:before="0" w:after="0" w:line="240" w:lineRule="auto"/>
              <w:ind w:left="0" w:firstLine="0"/>
              <w:jc w:val="center"/>
              <w:rPr>
                <w:rFonts w:ascii="Cambria" w:hAnsi="Cambria"/>
                <w:b w:val="0"/>
                <w:sz w:val="22"/>
                <w:szCs w:val="22"/>
              </w:rPr>
            </w:pPr>
            <w:r w:rsidRPr="0013150D">
              <w:rPr>
                <w:rFonts w:ascii="Cambria" w:hAnsi="Cambria"/>
                <w:b w:val="0"/>
                <w:color w:val="000000"/>
                <w:sz w:val="22"/>
                <w:szCs w:val="22"/>
              </w:rPr>
              <w:t>81 (64.8)</w:t>
            </w:r>
          </w:p>
        </w:tc>
        <w:tc>
          <w:tcPr>
            <w:tcW w:w="1747" w:type="dxa"/>
            <w:tcBorders>
              <w:top w:val="nil"/>
              <w:left w:val="single" w:sz="4" w:space="0" w:color="auto"/>
              <w:bottom w:val="nil"/>
              <w:right w:val="single" w:sz="4" w:space="0" w:color="auto"/>
            </w:tcBorders>
          </w:tcPr>
          <w:p w14:paraId="43CFA2A3"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color w:val="000000"/>
                <w:sz w:val="22"/>
                <w:szCs w:val="22"/>
              </w:rPr>
              <w:t>75 (62.0)</w:t>
            </w:r>
          </w:p>
        </w:tc>
      </w:tr>
      <w:tr w:rsidR="004965AB" w:rsidRPr="0013150D" w14:paraId="308B6DA3" w14:textId="77777777" w:rsidTr="00A33171">
        <w:trPr>
          <w:cantSplit/>
          <w:trHeight w:val="145"/>
          <w:jc w:val="center"/>
        </w:trPr>
        <w:tc>
          <w:tcPr>
            <w:tcW w:w="4062" w:type="dxa"/>
            <w:tcBorders>
              <w:top w:val="nil"/>
              <w:left w:val="single" w:sz="4" w:space="0" w:color="auto"/>
              <w:bottom w:val="nil"/>
              <w:right w:val="single" w:sz="4" w:space="0" w:color="auto"/>
            </w:tcBorders>
          </w:tcPr>
          <w:p w14:paraId="69534A45" w14:textId="77777777" w:rsidR="004965AB" w:rsidRPr="0013150D" w:rsidRDefault="004965AB" w:rsidP="00A67D4B">
            <w:pPr>
              <w:pStyle w:val="Caption"/>
              <w:keepLines/>
              <w:tabs>
                <w:tab w:val="left" w:pos="220"/>
              </w:tabs>
              <w:spacing w:before="0" w:after="0" w:line="240" w:lineRule="auto"/>
              <w:ind w:left="0" w:firstLine="0"/>
              <w:rPr>
                <w:rFonts w:ascii="Cambria" w:hAnsi="Cambria"/>
                <w:b w:val="0"/>
                <w:sz w:val="22"/>
                <w:szCs w:val="22"/>
              </w:rPr>
            </w:pPr>
            <w:r w:rsidRPr="0013150D">
              <w:rPr>
                <w:rFonts w:ascii="Cambria" w:hAnsi="Cambria"/>
                <w:b w:val="0"/>
                <w:color w:val="000000"/>
                <w:sz w:val="22"/>
                <w:szCs w:val="22"/>
              </w:rPr>
              <w:t xml:space="preserve">   Aplastic </w:t>
            </w:r>
            <w:proofErr w:type="spellStart"/>
            <w:r w:rsidRPr="0013150D">
              <w:rPr>
                <w:rFonts w:ascii="Cambria" w:hAnsi="Cambria"/>
                <w:b w:val="0"/>
                <w:color w:val="000000"/>
                <w:sz w:val="22"/>
                <w:szCs w:val="22"/>
              </w:rPr>
              <w:t>an</w:t>
            </w:r>
            <w:r w:rsidR="00047E64" w:rsidRPr="0013150D">
              <w:rPr>
                <w:rFonts w:ascii="Cambria" w:hAnsi="Cambria"/>
                <w:b w:val="0"/>
                <w:color w:val="000000"/>
                <w:sz w:val="22"/>
                <w:szCs w:val="22"/>
              </w:rPr>
              <w:t>a</w:t>
            </w:r>
            <w:r w:rsidRPr="0013150D">
              <w:rPr>
                <w:rFonts w:ascii="Cambria" w:hAnsi="Cambria"/>
                <w:b w:val="0"/>
                <w:color w:val="000000"/>
                <w:sz w:val="22"/>
                <w:szCs w:val="22"/>
              </w:rPr>
              <w:t>emia</w:t>
            </w:r>
            <w:proofErr w:type="spellEnd"/>
          </w:p>
        </w:tc>
        <w:tc>
          <w:tcPr>
            <w:tcW w:w="1440" w:type="dxa"/>
            <w:tcBorders>
              <w:top w:val="nil"/>
              <w:left w:val="single" w:sz="4" w:space="0" w:color="auto"/>
              <w:bottom w:val="nil"/>
              <w:right w:val="single" w:sz="4" w:space="0" w:color="auto"/>
            </w:tcBorders>
          </w:tcPr>
          <w:p w14:paraId="3B5525F0" w14:textId="77777777" w:rsidR="004965AB" w:rsidRPr="0013150D" w:rsidRDefault="004965AB" w:rsidP="00104DF9">
            <w:pPr>
              <w:pStyle w:val="C-TableText"/>
              <w:keepNext/>
              <w:keepLines/>
              <w:tabs>
                <w:tab w:val="left" w:pos="220"/>
              </w:tabs>
              <w:rPr>
                <w:rFonts w:ascii="Cambria" w:eastAsia="Calibri" w:hAnsi="Cambria"/>
                <w:sz w:val="22"/>
                <w:szCs w:val="22"/>
              </w:rPr>
            </w:pPr>
          </w:p>
        </w:tc>
        <w:tc>
          <w:tcPr>
            <w:tcW w:w="1800" w:type="dxa"/>
            <w:tcBorders>
              <w:top w:val="nil"/>
              <w:left w:val="single" w:sz="4" w:space="0" w:color="auto"/>
              <w:bottom w:val="nil"/>
              <w:right w:val="single" w:sz="4" w:space="0" w:color="auto"/>
            </w:tcBorders>
          </w:tcPr>
          <w:p w14:paraId="4C9D3F1B" w14:textId="77777777" w:rsidR="004965AB" w:rsidRPr="0013150D" w:rsidRDefault="004965AB" w:rsidP="00DD29BE">
            <w:pPr>
              <w:pStyle w:val="Caption"/>
              <w:keepLines/>
              <w:spacing w:before="0" w:after="0" w:line="240" w:lineRule="auto"/>
              <w:ind w:left="0" w:firstLine="0"/>
              <w:jc w:val="center"/>
              <w:rPr>
                <w:rFonts w:ascii="Cambria" w:hAnsi="Cambria"/>
                <w:b w:val="0"/>
                <w:sz w:val="22"/>
                <w:szCs w:val="22"/>
              </w:rPr>
            </w:pPr>
            <w:r w:rsidRPr="0013150D">
              <w:rPr>
                <w:rFonts w:ascii="Cambria" w:hAnsi="Cambria"/>
                <w:b w:val="0"/>
                <w:color w:val="000000"/>
                <w:sz w:val="22"/>
                <w:szCs w:val="22"/>
              </w:rPr>
              <w:t>41 (32.8)</w:t>
            </w:r>
          </w:p>
        </w:tc>
        <w:tc>
          <w:tcPr>
            <w:tcW w:w="1747" w:type="dxa"/>
            <w:tcBorders>
              <w:top w:val="nil"/>
              <w:left w:val="single" w:sz="4" w:space="0" w:color="auto"/>
              <w:bottom w:val="nil"/>
              <w:right w:val="single" w:sz="4" w:space="0" w:color="auto"/>
            </w:tcBorders>
          </w:tcPr>
          <w:p w14:paraId="478ABD42"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color w:val="000000"/>
                <w:sz w:val="22"/>
                <w:szCs w:val="22"/>
              </w:rPr>
              <w:t>38 (31.4)</w:t>
            </w:r>
          </w:p>
        </w:tc>
      </w:tr>
      <w:tr w:rsidR="004965AB" w:rsidRPr="0013150D" w14:paraId="5D5368FA" w14:textId="77777777" w:rsidTr="00A33171">
        <w:trPr>
          <w:cantSplit/>
          <w:trHeight w:val="145"/>
          <w:jc w:val="center"/>
        </w:trPr>
        <w:tc>
          <w:tcPr>
            <w:tcW w:w="4062" w:type="dxa"/>
            <w:tcBorders>
              <w:top w:val="nil"/>
              <w:left w:val="single" w:sz="4" w:space="0" w:color="auto"/>
              <w:bottom w:val="nil"/>
              <w:right w:val="single" w:sz="4" w:space="0" w:color="auto"/>
            </w:tcBorders>
          </w:tcPr>
          <w:p w14:paraId="6FF9C5D4" w14:textId="77777777" w:rsidR="004965AB" w:rsidRPr="0013150D" w:rsidRDefault="004965AB" w:rsidP="00A67D4B">
            <w:pPr>
              <w:pStyle w:val="Caption"/>
              <w:keepLines/>
              <w:tabs>
                <w:tab w:val="left" w:pos="220"/>
              </w:tabs>
              <w:spacing w:before="0" w:after="0" w:line="240" w:lineRule="auto"/>
              <w:ind w:left="0" w:firstLine="0"/>
              <w:rPr>
                <w:rFonts w:ascii="Cambria" w:hAnsi="Cambria"/>
                <w:b w:val="0"/>
                <w:sz w:val="22"/>
                <w:szCs w:val="22"/>
              </w:rPr>
            </w:pPr>
            <w:r w:rsidRPr="0013150D">
              <w:rPr>
                <w:rFonts w:ascii="Cambria" w:hAnsi="Cambria"/>
                <w:b w:val="0"/>
                <w:color w:val="000000"/>
                <w:sz w:val="22"/>
                <w:szCs w:val="22"/>
              </w:rPr>
              <w:t xml:space="preserve">   Renal failure</w:t>
            </w:r>
          </w:p>
        </w:tc>
        <w:tc>
          <w:tcPr>
            <w:tcW w:w="1440" w:type="dxa"/>
            <w:tcBorders>
              <w:top w:val="nil"/>
              <w:left w:val="single" w:sz="4" w:space="0" w:color="auto"/>
              <w:bottom w:val="nil"/>
              <w:right w:val="single" w:sz="4" w:space="0" w:color="auto"/>
            </w:tcBorders>
          </w:tcPr>
          <w:p w14:paraId="5C273805" w14:textId="77777777" w:rsidR="004965AB" w:rsidRPr="0013150D" w:rsidRDefault="004965AB" w:rsidP="00104DF9">
            <w:pPr>
              <w:pStyle w:val="C-TableText"/>
              <w:keepNext/>
              <w:keepLines/>
              <w:tabs>
                <w:tab w:val="left" w:pos="220"/>
              </w:tabs>
              <w:rPr>
                <w:rFonts w:ascii="Cambria" w:eastAsia="Calibri" w:hAnsi="Cambria"/>
                <w:sz w:val="22"/>
                <w:szCs w:val="22"/>
              </w:rPr>
            </w:pPr>
          </w:p>
        </w:tc>
        <w:tc>
          <w:tcPr>
            <w:tcW w:w="1800" w:type="dxa"/>
            <w:tcBorders>
              <w:top w:val="nil"/>
              <w:left w:val="single" w:sz="4" w:space="0" w:color="auto"/>
              <w:bottom w:val="nil"/>
              <w:right w:val="single" w:sz="4" w:space="0" w:color="auto"/>
            </w:tcBorders>
          </w:tcPr>
          <w:p w14:paraId="679D0822" w14:textId="77777777" w:rsidR="004965AB" w:rsidRPr="0013150D" w:rsidRDefault="004965AB" w:rsidP="00DD29BE">
            <w:pPr>
              <w:pStyle w:val="Caption"/>
              <w:keepLines/>
              <w:spacing w:before="0" w:after="0" w:line="240" w:lineRule="auto"/>
              <w:ind w:left="0" w:firstLine="0"/>
              <w:jc w:val="center"/>
              <w:rPr>
                <w:rFonts w:ascii="Cambria" w:hAnsi="Cambria"/>
                <w:b w:val="0"/>
                <w:sz w:val="22"/>
                <w:szCs w:val="22"/>
              </w:rPr>
            </w:pPr>
            <w:r w:rsidRPr="0013150D">
              <w:rPr>
                <w:rFonts w:ascii="Cambria" w:hAnsi="Cambria"/>
                <w:b w:val="0"/>
                <w:color w:val="000000"/>
                <w:sz w:val="22"/>
                <w:szCs w:val="22"/>
              </w:rPr>
              <w:t>19 (15.2)</w:t>
            </w:r>
          </w:p>
        </w:tc>
        <w:tc>
          <w:tcPr>
            <w:tcW w:w="1747" w:type="dxa"/>
            <w:tcBorders>
              <w:top w:val="nil"/>
              <w:left w:val="single" w:sz="4" w:space="0" w:color="auto"/>
              <w:bottom w:val="nil"/>
              <w:right w:val="single" w:sz="4" w:space="0" w:color="auto"/>
            </w:tcBorders>
          </w:tcPr>
          <w:p w14:paraId="0E4DE4E9"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color w:val="000000"/>
                <w:sz w:val="22"/>
                <w:szCs w:val="22"/>
              </w:rPr>
              <w:t>11 (9.1)</w:t>
            </w:r>
          </w:p>
        </w:tc>
      </w:tr>
      <w:tr w:rsidR="004965AB" w:rsidRPr="0013150D" w14:paraId="7AC17D1D" w14:textId="77777777" w:rsidTr="00A33171">
        <w:trPr>
          <w:cantSplit/>
          <w:trHeight w:val="145"/>
          <w:jc w:val="center"/>
        </w:trPr>
        <w:tc>
          <w:tcPr>
            <w:tcW w:w="4062" w:type="dxa"/>
            <w:tcBorders>
              <w:top w:val="nil"/>
              <w:left w:val="single" w:sz="4" w:space="0" w:color="auto"/>
              <w:bottom w:val="nil"/>
              <w:right w:val="single" w:sz="4" w:space="0" w:color="auto"/>
            </w:tcBorders>
          </w:tcPr>
          <w:p w14:paraId="63EF30B6" w14:textId="77777777" w:rsidR="004965AB" w:rsidRPr="0013150D" w:rsidRDefault="004965AB" w:rsidP="00A67D4B">
            <w:pPr>
              <w:pStyle w:val="Caption"/>
              <w:keepLines/>
              <w:tabs>
                <w:tab w:val="left" w:pos="220"/>
              </w:tabs>
              <w:spacing w:before="0" w:after="0" w:line="240" w:lineRule="auto"/>
              <w:ind w:left="0" w:firstLine="0"/>
              <w:rPr>
                <w:rFonts w:ascii="Cambria" w:hAnsi="Cambria"/>
                <w:b w:val="0"/>
                <w:sz w:val="22"/>
                <w:szCs w:val="22"/>
              </w:rPr>
            </w:pPr>
            <w:r w:rsidRPr="0013150D">
              <w:rPr>
                <w:rFonts w:ascii="Cambria" w:hAnsi="Cambria"/>
                <w:b w:val="0"/>
                <w:color w:val="000000"/>
                <w:sz w:val="22"/>
                <w:szCs w:val="22"/>
              </w:rPr>
              <w:t xml:space="preserve">   Myelodysplastic syndrome</w:t>
            </w:r>
          </w:p>
        </w:tc>
        <w:tc>
          <w:tcPr>
            <w:tcW w:w="1440" w:type="dxa"/>
            <w:tcBorders>
              <w:top w:val="nil"/>
              <w:left w:val="single" w:sz="4" w:space="0" w:color="auto"/>
              <w:bottom w:val="nil"/>
              <w:right w:val="single" w:sz="4" w:space="0" w:color="auto"/>
            </w:tcBorders>
          </w:tcPr>
          <w:p w14:paraId="6A2C938D" w14:textId="77777777" w:rsidR="004965AB" w:rsidRPr="0013150D" w:rsidRDefault="004965AB" w:rsidP="00104DF9">
            <w:pPr>
              <w:pStyle w:val="C-TableText"/>
              <w:keepNext/>
              <w:keepLines/>
              <w:tabs>
                <w:tab w:val="left" w:pos="220"/>
              </w:tabs>
              <w:rPr>
                <w:rFonts w:ascii="Cambria" w:eastAsia="Calibri" w:hAnsi="Cambria"/>
                <w:sz w:val="22"/>
                <w:szCs w:val="22"/>
              </w:rPr>
            </w:pPr>
          </w:p>
        </w:tc>
        <w:tc>
          <w:tcPr>
            <w:tcW w:w="1800" w:type="dxa"/>
            <w:tcBorders>
              <w:top w:val="nil"/>
              <w:left w:val="single" w:sz="4" w:space="0" w:color="auto"/>
              <w:bottom w:val="nil"/>
              <w:right w:val="single" w:sz="4" w:space="0" w:color="auto"/>
            </w:tcBorders>
          </w:tcPr>
          <w:p w14:paraId="4B257578" w14:textId="77777777" w:rsidR="004965AB" w:rsidRPr="0013150D" w:rsidRDefault="004965AB" w:rsidP="00DD29BE">
            <w:pPr>
              <w:pStyle w:val="Caption"/>
              <w:keepLines/>
              <w:spacing w:before="0" w:after="0" w:line="240" w:lineRule="auto"/>
              <w:ind w:left="0" w:firstLine="0"/>
              <w:jc w:val="center"/>
              <w:rPr>
                <w:rFonts w:ascii="Cambria" w:hAnsi="Cambria"/>
                <w:b w:val="0"/>
                <w:sz w:val="22"/>
                <w:szCs w:val="22"/>
              </w:rPr>
            </w:pPr>
            <w:r w:rsidRPr="0013150D">
              <w:rPr>
                <w:rFonts w:ascii="Cambria" w:hAnsi="Cambria"/>
                <w:b w:val="0"/>
                <w:color w:val="000000"/>
                <w:sz w:val="22"/>
                <w:szCs w:val="22"/>
              </w:rPr>
              <w:t>7 (5.6)</w:t>
            </w:r>
          </w:p>
        </w:tc>
        <w:tc>
          <w:tcPr>
            <w:tcW w:w="1747" w:type="dxa"/>
            <w:tcBorders>
              <w:top w:val="nil"/>
              <w:left w:val="single" w:sz="4" w:space="0" w:color="auto"/>
              <w:bottom w:val="nil"/>
              <w:right w:val="single" w:sz="4" w:space="0" w:color="auto"/>
            </w:tcBorders>
          </w:tcPr>
          <w:p w14:paraId="77184FFC"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color w:val="000000"/>
                <w:sz w:val="22"/>
                <w:szCs w:val="22"/>
              </w:rPr>
              <w:t>6 (5.0)</w:t>
            </w:r>
          </w:p>
        </w:tc>
      </w:tr>
      <w:tr w:rsidR="004965AB" w:rsidRPr="0013150D" w14:paraId="07B2ECE7" w14:textId="77777777" w:rsidTr="00A33171">
        <w:trPr>
          <w:cantSplit/>
          <w:trHeight w:val="145"/>
          <w:jc w:val="center"/>
        </w:trPr>
        <w:tc>
          <w:tcPr>
            <w:tcW w:w="4062" w:type="dxa"/>
            <w:tcBorders>
              <w:top w:val="nil"/>
              <w:left w:val="single" w:sz="4" w:space="0" w:color="auto"/>
              <w:bottom w:val="nil"/>
              <w:right w:val="single" w:sz="4" w:space="0" w:color="auto"/>
            </w:tcBorders>
          </w:tcPr>
          <w:p w14:paraId="6BE9CA6D" w14:textId="77777777" w:rsidR="004965AB" w:rsidRPr="0013150D" w:rsidRDefault="004965AB" w:rsidP="00A67D4B">
            <w:pPr>
              <w:pStyle w:val="Caption"/>
              <w:keepLines/>
              <w:tabs>
                <w:tab w:val="left" w:pos="220"/>
              </w:tabs>
              <w:spacing w:before="0" w:after="0" w:line="240" w:lineRule="auto"/>
              <w:ind w:left="0" w:firstLine="0"/>
              <w:rPr>
                <w:rFonts w:ascii="Cambria" w:hAnsi="Cambria"/>
                <w:b w:val="0"/>
                <w:sz w:val="22"/>
                <w:szCs w:val="22"/>
              </w:rPr>
            </w:pPr>
            <w:r w:rsidRPr="0013150D">
              <w:rPr>
                <w:rFonts w:ascii="Cambria" w:hAnsi="Cambria"/>
                <w:b w:val="0"/>
                <w:color w:val="000000"/>
                <w:sz w:val="22"/>
                <w:szCs w:val="22"/>
              </w:rPr>
              <w:t xml:space="preserve">   Pregnancy complication</w:t>
            </w:r>
          </w:p>
        </w:tc>
        <w:tc>
          <w:tcPr>
            <w:tcW w:w="1440" w:type="dxa"/>
            <w:tcBorders>
              <w:top w:val="nil"/>
              <w:left w:val="single" w:sz="4" w:space="0" w:color="auto"/>
              <w:bottom w:val="nil"/>
              <w:right w:val="single" w:sz="4" w:space="0" w:color="auto"/>
            </w:tcBorders>
          </w:tcPr>
          <w:p w14:paraId="0307B269" w14:textId="77777777" w:rsidR="004965AB" w:rsidRPr="0013150D" w:rsidRDefault="004965AB" w:rsidP="00104DF9">
            <w:pPr>
              <w:pStyle w:val="C-TableText"/>
              <w:keepNext/>
              <w:keepLines/>
              <w:tabs>
                <w:tab w:val="left" w:pos="220"/>
              </w:tabs>
              <w:rPr>
                <w:rFonts w:ascii="Cambria" w:eastAsia="Calibri" w:hAnsi="Cambria"/>
                <w:sz w:val="22"/>
                <w:szCs w:val="22"/>
              </w:rPr>
            </w:pPr>
          </w:p>
        </w:tc>
        <w:tc>
          <w:tcPr>
            <w:tcW w:w="1800" w:type="dxa"/>
            <w:tcBorders>
              <w:top w:val="nil"/>
              <w:left w:val="single" w:sz="4" w:space="0" w:color="auto"/>
              <w:bottom w:val="nil"/>
              <w:right w:val="single" w:sz="4" w:space="0" w:color="auto"/>
            </w:tcBorders>
          </w:tcPr>
          <w:p w14:paraId="59540E88" w14:textId="77777777" w:rsidR="004965AB" w:rsidRPr="0013150D" w:rsidRDefault="004965AB" w:rsidP="00DD29BE">
            <w:pPr>
              <w:pStyle w:val="Caption"/>
              <w:keepLines/>
              <w:spacing w:before="0" w:after="0" w:line="240" w:lineRule="auto"/>
              <w:ind w:left="0" w:firstLine="0"/>
              <w:jc w:val="center"/>
              <w:rPr>
                <w:rFonts w:ascii="Cambria" w:hAnsi="Cambria"/>
                <w:b w:val="0"/>
                <w:sz w:val="22"/>
                <w:szCs w:val="22"/>
              </w:rPr>
            </w:pPr>
            <w:r w:rsidRPr="0013150D">
              <w:rPr>
                <w:rFonts w:ascii="Cambria" w:hAnsi="Cambria"/>
                <w:b w:val="0"/>
                <w:color w:val="000000"/>
                <w:sz w:val="22"/>
                <w:szCs w:val="22"/>
              </w:rPr>
              <w:t>3 (2.4)</w:t>
            </w:r>
          </w:p>
        </w:tc>
        <w:tc>
          <w:tcPr>
            <w:tcW w:w="1747" w:type="dxa"/>
            <w:tcBorders>
              <w:top w:val="nil"/>
              <w:left w:val="single" w:sz="4" w:space="0" w:color="auto"/>
              <w:bottom w:val="nil"/>
              <w:right w:val="single" w:sz="4" w:space="0" w:color="auto"/>
            </w:tcBorders>
          </w:tcPr>
          <w:p w14:paraId="08BE4D94"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color w:val="000000"/>
                <w:sz w:val="22"/>
                <w:szCs w:val="22"/>
              </w:rPr>
              <w:t>4 (3.3)</w:t>
            </w:r>
          </w:p>
        </w:tc>
      </w:tr>
      <w:tr w:rsidR="004965AB" w:rsidRPr="0013150D" w14:paraId="325D6FE4" w14:textId="77777777" w:rsidTr="00A33171">
        <w:trPr>
          <w:cantSplit/>
          <w:trHeight w:val="145"/>
          <w:jc w:val="center"/>
        </w:trPr>
        <w:tc>
          <w:tcPr>
            <w:tcW w:w="4062" w:type="dxa"/>
            <w:tcBorders>
              <w:top w:val="nil"/>
              <w:left w:val="single" w:sz="6" w:space="0" w:color="auto"/>
              <w:bottom w:val="single" w:sz="4" w:space="0" w:color="auto"/>
              <w:right w:val="single" w:sz="4" w:space="0" w:color="auto"/>
            </w:tcBorders>
          </w:tcPr>
          <w:p w14:paraId="76370DFD" w14:textId="77777777" w:rsidR="004965AB" w:rsidRPr="0013150D" w:rsidRDefault="004965AB" w:rsidP="00A67D4B">
            <w:pPr>
              <w:pStyle w:val="Caption"/>
              <w:keepLines/>
              <w:tabs>
                <w:tab w:val="left" w:pos="220"/>
              </w:tabs>
              <w:spacing w:before="0" w:after="0" w:line="240" w:lineRule="auto"/>
              <w:ind w:left="0" w:firstLine="0"/>
              <w:rPr>
                <w:rFonts w:ascii="Cambria" w:hAnsi="Cambria"/>
                <w:b w:val="0"/>
                <w:sz w:val="22"/>
                <w:szCs w:val="22"/>
              </w:rPr>
            </w:pPr>
            <w:r w:rsidRPr="0013150D">
              <w:rPr>
                <w:rFonts w:ascii="Cambria" w:hAnsi="Cambria"/>
                <w:b w:val="0"/>
                <w:color w:val="000000"/>
                <w:sz w:val="22"/>
                <w:szCs w:val="22"/>
              </w:rPr>
              <w:t xml:space="preserve">   </w:t>
            </w:r>
            <w:proofErr w:type="spellStart"/>
            <w:r w:rsidRPr="0013150D">
              <w:rPr>
                <w:rFonts w:ascii="Cambria" w:hAnsi="Cambria"/>
                <w:b w:val="0"/>
                <w:color w:val="000000"/>
                <w:sz w:val="22"/>
                <w:szCs w:val="22"/>
              </w:rPr>
              <w:t>Other</w:t>
            </w:r>
            <w:r w:rsidRPr="0013150D">
              <w:rPr>
                <w:rFonts w:ascii="Cambria" w:hAnsi="Cambria"/>
                <w:b w:val="0"/>
                <w:color w:val="000000"/>
                <w:sz w:val="22"/>
                <w:szCs w:val="22"/>
                <w:vertAlign w:val="superscript"/>
              </w:rPr>
              <w:t>a</w:t>
            </w:r>
            <w:proofErr w:type="spellEnd"/>
          </w:p>
        </w:tc>
        <w:tc>
          <w:tcPr>
            <w:tcW w:w="1440" w:type="dxa"/>
            <w:tcBorders>
              <w:top w:val="nil"/>
              <w:left w:val="single" w:sz="4" w:space="0" w:color="auto"/>
              <w:bottom w:val="single" w:sz="4" w:space="0" w:color="auto"/>
              <w:right w:val="single" w:sz="4" w:space="0" w:color="auto"/>
            </w:tcBorders>
          </w:tcPr>
          <w:p w14:paraId="3920AC54" w14:textId="77777777" w:rsidR="004965AB" w:rsidRPr="0013150D" w:rsidRDefault="004965AB" w:rsidP="00104DF9">
            <w:pPr>
              <w:pStyle w:val="C-TableText"/>
              <w:keepNext/>
              <w:keepLines/>
              <w:tabs>
                <w:tab w:val="left" w:pos="220"/>
              </w:tabs>
              <w:rPr>
                <w:rFonts w:ascii="Cambria" w:eastAsia="Calibri" w:hAnsi="Cambria"/>
                <w:sz w:val="22"/>
                <w:szCs w:val="22"/>
              </w:rPr>
            </w:pPr>
          </w:p>
        </w:tc>
        <w:tc>
          <w:tcPr>
            <w:tcW w:w="1800" w:type="dxa"/>
            <w:tcBorders>
              <w:top w:val="nil"/>
              <w:left w:val="single" w:sz="4" w:space="0" w:color="auto"/>
              <w:bottom w:val="single" w:sz="4" w:space="0" w:color="auto"/>
              <w:right w:val="single" w:sz="4" w:space="0" w:color="auto"/>
            </w:tcBorders>
          </w:tcPr>
          <w:p w14:paraId="357FF173" w14:textId="77777777" w:rsidR="004965AB" w:rsidRPr="0013150D" w:rsidRDefault="004965AB" w:rsidP="00DD29BE">
            <w:pPr>
              <w:pStyle w:val="Caption"/>
              <w:keepLines/>
              <w:spacing w:before="0" w:after="0" w:line="240" w:lineRule="auto"/>
              <w:ind w:left="0" w:firstLine="0"/>
              <w:jc w:val="center"/>
              <w:rPr>
                <w:rFonts w:ascii="Cambria" w:hAnsi="Cambria"/>
                <w:b w:val="0"/>
                <w:sz w:val="22"/>
                <w:szCs w:val="22"/>
              </w:rPr>
            </w:pPr>
            <w:r w:rsidRPr="0013150D">
              <w:rPr>
                <w:rFonts w:ascii="Cambria" w:hAnsi="Cambria"/>
                <w:b w:val="0"/>
                <w:color w:val="000000"/>
                <w:sz w:val="22"/>
                <w:szCs w:val="22"/>
              </w:rPr>
              <w:t>27 (21.6)</w:t>
            </w:r>
          </w:p>
        </w:tc>
        <w:tc>
          <w:tcPr>
            <w:tcW w:w="1747" w:type="dxa"/>
            <w:tcBorders>
              <w:top w:val="nil"/>
              <w:left w:val="single" w:sz="4" w:space="0" w:color="auto"/>
              <w:bottom w:val="single" w:sz="4" w:space="0" w:color="auto"/>
              <w:right w:val="single" w:sz="4" w:space="0" w:color="auto"/>
            </w:tcBorders>
          </w:tcPr>
          <w:p w14:paraId="085EA7F1"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color w:val="000000"/>
                <w:sz w:val="22"/>
                <w:szCs w:val="22"/>
              </w:rPr>
              <w:t>13 (10.7)</w:t>
            </w:r>
          </w:p>
        </w:tc>
      </w:tr>
    </w:tbl>
    <w:p w14:paraId="459A3F2A" w14:textId="660400A0" w:rsidR="004965AB" w:rsidRPr="004E03F0" w:rsidRDefault="004965AB" w:rsidP="004965AB">
      <w:pPr>
        <w:rPr>
          <w:bCs/>
          <w:iCs/>
          <w:sz w:val="16"/>
          <w:szCs w:val="16"/>
        </w:rPr>
      </w:pPr>
      <w:proofErr w:type="spellStart"/>
      <w:proofErr w:type="gramStart"/>
      <w:r w:rsidRPr="004E03F0">
        <w:rPr>
          <w:bCs/>
          <w:iCs/>
          <w:sz w:val="16"/>
          <w:szCs w:val="16"/>
          <w:vertAlign w:val="superscript"/>
        </w:rPr>
        <w:t>a</w:t>
      </w:r>
      <w:r w:rsidRPr="004E03F0">
        <w:rPr>
          <w:bCs/>
          <w:iCs/>
          <w:sz w:val="16"/>
          <w:szCs w:val="16"/>
        </w:rPr>
        <w:t>“</w:t>
      </w:r>
      <w:proofErr w:type="gramEnd"/>
      <w:r w:rsidRPr="004E03F0">
        <w:rPr>
          <w:bCs/>
          <w:iCs/>
          <w:sz w:val="16"/>
          <w:szCs w:val="16"/>
        </w:rPr>
        <w:t>Other</w:t>
      </w:r>
      <w:proofErr w:type="spellEnd"/>
      <w:r w:rsidRPr="004E03F0">
        <w:rPr>
          <w:bCs/>
          <w:iCs/>
          <w:sz w:val="16"/>
          <w:szCs w:val="16"/>
        </w:rPr>
        <w:t>” as specified on case report form included thrombocytopenia, chronic kidney disease, and pancytopenia, as well as a number of other conditions.</w:t>
      </w:r>
    </w:p>
    <w:p w14:paraId="49761715" w14:textId="37D7ED22" w:rsidR="004965AB" w:rsidRPr="004E03F0" w:rsidRDefault="004965AB" w:rsidP="00A33171">
      <w:pPr>
        <w:rPr>
          <w:iCs/>
        </w:rPr>
      </w:pPr>
      <w:r w:rsidRPr="004E03F0">
        <w:t>The co</w:t>
      </w:r>
      <w:r w:rsidR="004B1A6D">
        <w:t>-</w:t>
      </w:r>
      <w:r w:rsidRPr="004E03F0">
        <w:t>primary endpoints were transfusion avoidance and h</w:t>
      </w:r>
      <w:r w:rsidR="00047E64">
        <w:t>a</w:t>
      </w:r>
      <w:r w:rsidRPr="004E03F0">
        <w:t xml:space="preserve">emolysis </w:t>
      </w:r>
      <w:r w:rsidR="00047E64">
        <w:t>as directly measured by normalis</w:t>
      </w:r>
      <w:r w:rsidRPr="004E03F0">
        <w:t>ation of LDH levels. Transfusion avoidance was considered as achieved only by the patients who did not receive a transfusion and did not meet the protocol specified guidelines</w:t>
      </w:r>
      <w:r>
        <w:t xml:space="preserve"> for transfusion from baseline</w:t>
      </w:r>
      <w:r w:rsidRPr="004E03F0">
        <w:t xml:space="preserve"> to Day 183. Key secondary endpoints included the percent change from baseline in LDH levels, change in quality of life (FACIT-Fatigue), the proportion of patients with breakthrough h</w:t>
      </w:r>
      <w:r w:rsidR="00047E64">
        <w:t>a</w:t>
      </w:r>
      <w:r w:rsidRPr="004E03F0">
        <w:t>emolysis and prop</w:t>
      </w:r>
      <w:r w:rsidR="00047E64">
        <w:t>ortion of patients with stabilis</w:t>
      </w:r>
      <w:r w:rsidRPr="004E03F0">
        <w:t>ed h</w:t>
      </w:r>
      <w:r w:rsidR="00047E64">
        <w:t>a</w:t>
      </w:r>
      <w:r w:rsidR="00707339">
        <w:t>emoglobin.</w:t>
      </w:r>
    </w:p>
    <w:p w14:paraId="52605EE3" w14:textId="3F43DCEA" w:rsidR="004965AB" w:rsidRPr="004E03F0" w:rsidRDefault="004965AB" w:rsidP="00A33171">
      <w:pPr>
        <w:rPr>
          <w:iCs/>
        </w:rPr>
      </w:pPr>
      <w:bookmarkStart w:id="9" w:name="_Ref507347154"/>
      <w:bookmarkStart w:id="10" w:name="_Toc511657734"/>
      <w:r w:rsidRPr="004E03F0">
        <w:t>In the Complement-Inhibitor Naïve Study, both co</w:t>
      </w:r>
      <w:r w:rsidR="004B1A6D">
        <w:t>-</w:t>
      </w:r>
      <w:r w:rsidRPr="004E03F0">
        <w:t xml:space="preserve">primary endpoints, avoidance of </w:t>
      </w:r>
      <w:proofErr w:type="spellStart"/>
      <w:r w:rsidRPr="004E03F0">
        <w:t>pRBC</w:t>
      </w:r>
      <w:proofErr w:type="spellEnd"/>
      <w:r w:rsidRPr="004E03F0">
        <w:t xml:space="preserve"> transfusion per protocol-speci</w:t>
      </w:r>
      <w:r w:rsidR="00047E64">
        <w:t>fied guidelines</w:t>
      </w:r>
      <w:r w:rsidR="004B1A6D">
        <w:t>,</w:t>
      </w:r>
      <w:r w:rsidR="00047E64">
        <w:t xml:space="preserve"> and LDH normalis</w:t>
      </w:r>
      <w:r w:rsidRPr="004E03F0">
        <w:t xml:space="preserve">ation from Day 29 to Day 183, met the primary objective and showed </w:t>
      </w:r>
      <w:proofErr w:type="spellStart"/>
      <w:r w:rsidRPr="004E03F0">
        <w:t>Ultomiris</w:t>
      </w:r>
      <w:proofErr w:type="spellEnd"/>
      <w:r w:rsidRPr="004E03F0">
        <w:t xml:space="preserve"> was statistically significant for non</w:t>
      </w:r>
      <w:r w:rsidR="004B1A6D">
        <w:t>-</w:t>
      </w:r>
      <w:r w:rsidRPr="004E03F0">
        <w:t xml:space="preserve">inferiority compared to </w:t>
      </w:r>
      <w:proofErr w:type="spellStart"/>
      <w:r w:rsidRPr="004E03F0">
        <w:t>Soliris</w:t>
      </w:r>
      <w:proofErr w:type="spellEnd"/>
      <w:r w:rsidRPr="004E03F0">
        <w:t xml:space="preserve">. </w:t>
      </w:r>
      <w:proofErr w:type="spellStart"/>
      <w:r w:rsidRPr="004E03F0">
        <w:t>Ultomiris</w:t>
      </w:r>
      <w:proofErr w:type="spellEnd"/>
      <w:r w:rsidRPr="004E03F0">
        <w:t xml:space="preserve"> also achieved statistically significant non</w:t>
      </w:r>
      <w:r w:rsidR="004B1A6D">
        <w:t>-</w:t>
      </w:r>
      <w:r w:rsidRPr="004E03F0">
        <w:t xml:space="preserve">inferiority compared to </w:t>
      </w:r>
      <w:proofErr w:type="spellStart"/>
      <w:r w:rsidRPr="004E03F0">
        <w:lastRenderedPageBreak/>
        <w:t>Soliris</w:t>
      </w:r>
      <w:proofErr w:type="spellEnd"/>
      <w:r w:rsidRPr="004E03F0">
        <w:t xml:space="preserve"> for all 4 key secondary endpoints. Both co</w:t>
      </w:r>
      <w:r w:rsidR="004B1A6D">
        <w:t>-</w:t>
      </w:r>
      <w:r w:rsidRPr="004E03F0">
        <w:t xml:space="preserve">primary endpoints and all key secondary endpoints </w:t>
      </w:r>
      <w:r w:rsidR="00A33171" w:rsidRPr="004E03F0">
        <w:t>favoured</w:t>
      </w:r>
      <w:r w:rsidRPr="004E03F0">
        <w:t xml:space="preserve"> </w:t>
      </w:r>
      <w:bookmarkEnd w:id="9"/>
      <w:bookmarkEnd w:id="10"/>
      <w:proofErr w:type="spellStart"/>
      <w:r w:rsidRPr="004E03F0">
        <w:t>Ultomiris</w:t>
      </w:r>
      <w:proofErr w:type="spellEnd"/>
      <w:r>
        <w:t xml:space="preserve"> (</w:t>
      </w:r>
      <w:r w:rsidR="00FC35C3">
        <w:fldChar w:fldCharType="begin"/>
      </w:r>
      <w:r w:rsidR="00FC35C3">
        <w:instrText xml:space="preserve"> REF _Ref20465047 \h </w:instrText>
      </w:r>
      <w:r w:rsidR="00FC35C3">
        <w:fldChar w:fldCharType="separate"/>
      </w:r>
      <w:r w:rsidR="00FC35C3">
        <w:t xml:space="preserve">Figure </w:t>
      </w:r>
      <w:r w:rsidR="00FC35C3">
        <w:rPr>
          <w:noProof/>
        </w:rPr>
        <w:t>3</w:t>
      </w:r>
      <w:r w:rsidR="00FC35C3">
        <w:fldChar w:fldCharType="end"/>
      </w:r>
      <w:r w:rsidRPr="004E03F0">
        <w:t>).</w:t>
      </w:r>
    </w:p>
    <w:p w14:paraId="562517A2" w14:textId="3B2ACF12" w:rsidR="004965AB" w:rsidRPr="006F2C9D" w:rsidRDefault="00FC35C3" w:rsidP="00FC35C3">
      <w:pPr>
        <w:pStyle w:val="Caption"/>
      </w:pPr>
      <w:bookmarkStart w:id="11" w:name="_Ref20465047"/>
      <w:bookmarkStart w:id="12" w:name="_Toc511924357"/>
      <w:bookmarkStart w:id="13" w:name="_Ref20465026"/>
      <w:r>
        <w:t xml:space="preserve">Figure </w:t>
      </w:r>
      <w:r>
        <w:fldChar w:fldCharType="begin"/>
      </w:r>
      <w:r>
        <w:instrText xml:space="preserve"> SEQ Figure \* ARABIC </w:instrText>
      </w:r>
      <w:r>
        <w:fldChar w:fldCharType="separate"/>
      </w:r>
      <w:r>
        <w:rPr>
          <w:noProof/>
        </w:rPr>
        <w:t>3</w:t>
      </w:r>
      <w:r>
        <w:fldChar w:fldCharType="end"/>
      </w:r>
      <w:bookmarkEnd w:id="11"/>
      <w:r>
        <w:t xml:space="preserve">: </w:t>
      </w:r>
      <w:r w:rsidR="004965AB" w:rsidRPr="006F2C9D">
        <w:t>Analysis of Co</w:t>
      </w:r>
      <w:r w:rsidR="004B1A6D">
        <w:t>-</w:t>
      </w:r>
      <w:r w:rsidR="004965AB" w:rsidRPr="006F2C9D">
        <w:t>primary and Secondary Endpoints – Full Analysis Set (Complement-Inhibitor Naïve Study)</w:t>
      </w:r>
      <w:bookmarkEnd w:id="12"/>
      <w:bookmarkEnd w:id="13"/>
    </w:p>
    <w:p w14:paraId="680894A4" w14:textId="3756C195" w:rsidR="004965AB" w:rsidRPr="006F2C9D" w:rsidRDefault="002B76BB" w:rsidP="004965AB">
      <w:pPr>
        <w:pStyle w:val="C-BodyText"/>
        <w:rPr>
          <w:rFonts w:ascii="Cambria" w:hAnsi="Cambria"/>
          <w:b/>
          <w:color w:val="FF0000"/>
          <w:sz w:val="22"/>
          <w:szCs w:val="22"/>
          <w:u w:val="single"/>
        </w:rPr>
      </w:pPr>
      <w:r>
        <w:rPr>
          <w:noProof/>
          <w:color w:val="2B579A"/>
          <w:shd w:val="clear" w:color="auto" w:fill="E6E6E6"/>
          <w:lang w:val="en-AU" w:eastAsia="en-AU"/>
        </w:rPr>
        <w:drawing>
          <wp:inline distT="0" distB="0" distL="0" distR="0" wp14:anchorId="08B9CF22" wp14:editId="0F8A3FC7">
            <wp:extent cx="5845810" cy="299419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5810" cy="2994195"/>
                    </a:xfrm>
                    <a:prstGeom prst="rect">
                      <a:avLst/>
                    </a:prstGeom>
                    <a:noFill/>
                    <a:ln>
                      <a:noFill/>
                    </a:ln>
                  </pic:spPr>
                </pic:pic>
              </a:graphicData>
            </a:graphic>
          </wp:inline>
        </w:drawing>
      </w:r>
    </w:p>
    <w:p w14:paraId="2C3B3BE9" w14:textId="77777777" w:rsidR="004965AB" w:rsidRPr="004965AB" w:rsidRDefault="004965AB" w:rsidP="004965AB">
      <w:pPr>
        <w:spacing w:after="0" w:line="240" w:lineRule="auto"/>
        <w:rPr>
          <w:sz w:val="18"/>
          <w:szCs w:val="18"/>
        </w:rPr>
      </w:pPr>
      <w:r w:rsidRPr="004965AB">
        <w:rPr>
          <w:sz w:val="18"/>
          <w:szCs w:val="18"/>
        </w:rPr>
        <w:t>Note: The black triangle indicates the non</w:t>
      </w:r>
      <w:r w:rsidR="004B1A6D">
        <w:rPr>
          <w:sz w:val="18"/>
          <w:szCs w:val="18"/>
        </w:rPr>
        <w:t>-</w:t>
      </w:r>
      <w:r w:rsidRPr="004965AB">
        <w:rPr>
          <w:sz w:val="18"/>
          <w:szCs w:val="18"/>
        </w:rPr>
        <w:t>inferiority margins, and grey dots indicates point estimates</w:t>
      </w:r>
    </w:p>
    <w:p w14:paraId="7776156F" w14:textId="77777777" w:rsidR="004965AB" w:rsidRPr="004965AB" w:rsidRDefault="004965AB" w:rsidP="004965AB">
      <w:pPr>
        <w:spacing w:after="0" w:line="240" w:lineRule="auto"/>
        <w:rPr>
          <w:bCs/>
          <w:sz w:val="18"/>
          <w:szCs w:val="18"/>
        </w:rPr>
      </w:pPr>
      <w:r w:rsidRPr="004965AB">
        <w:rPr>
          <w:bCs/>
          <w:sz w:val="18"/>
          <w:szCs w:val="18"/>
        </w:rPr>
        <w:t>Note: TA = Transfusion</w:t>
      </w:r>
      <w:r w:rsidR="00047E64">
        <w:rPr>
          <w:bCs/>
          <w:sz w:val="18"/>
          <w:szCs w:val="18"/>
        </w:rPr>
        <w:t xml:space="preserve"> Avoidance; LDH-N = LDH Normalis</w:t>
      </w:r>
      <w:r w:rsidRPr="004965AB">
        <w:rPr>
          <w:bCs/>
          <w:sz w:val="18"/>
          <w:szCs w:val="18"/>
        </w:rPr>
        <w:t xml:space="preserve">ation; OR = Odds Ratio, LDH-PCHG = LDH Percent Change; </w:t>
      </w:r>
      <w:r w:rsidR="00E214A4">
        <w:rPr>
          <w:bCs/>
          <w:sz w:val="18"/>
          <w:szCs w:val="18"/>
        </w:rPr>
        <w:t xml:space="preserve">FACIT = Functional Assessment of Chronic Illness Therapy; </w:t>
      </w:r>
      <w:r w:rsidRPr="004965AB">
        <w:rPr>
          <w:bCs/>
          <w:sz w:val="18"/>
          <w:szCs w:val="18"/>
        </w:rPr>
        <w:t>BTH = Breakthrough H</w:t>
      </w:r>
      <w:r>
        <w:rPr>
          <w:bCs/>
          <w:sz w:val="18"/>
          <w:szCs w:val="18"/>
        </w:rPr>
        <w:t>a</w:t>
      </w:r>
      <w:r w:rsidRPr="004965AB">
        <w:rPr>
          <w:bCs/>
          <w:sz w:val="18"/>
          <w:szCs w:val="18"/>
        </w:rPr>
        <w:t>emolysis; HGB-S = H</w:t>
      </w:r>
      <w:r>
        <w:rPr>
          <w:bCs/>
          <w:sz w:val="18"/>
          <w:szCs w:val="18"/>
        </w:rPr>
        <w:t>a</w:t>
      </w:r>
      <w:r w:rsidRPr="004965AB">
        <w:rPr>
          <w:bCs/>
          <w:sz w:val="18"/>
          <w:szCs w:val="18"/>
        </w:rPr>
        <w:t>emoglobin Stabili</w:t>
      </w:r>
      <w:r w:rsidR="00047E64">
        <w:rPr>
          <w:bCs/>
          <w:sz w:val="18"/>
          <w:szCs w:val="18"/>
        </w:rPr>
        <w:t>s</w:t>
      </w:r>
      <w:r w:rsidRPr="004965AB">
        <w:rPr>
          <w:bCs/>
          <w:sz w:val="18"/>
          <w:szCs w:val="18"/>
        </w:rPr>
        <w:t>ation.</w:t>
      </w:r>
    </w:p>
    <w:p w14:paraId="7EDDA726" w14:textId="77777777" w:rsidR="006F2C9D" w:rsidRPr="006F2C9D" w:rsidRDefault="006F2C9D" w:rsidP="00707339">
      <w:pPr>
        <w:spacing w:before="240"/>
      </w:pPr>
      <w:r w:rsidRPr="006F2C9D">
        <w:t xml:space="preserve">Transfusion avoidance through Day 183 was achieved by 73.6% of patients in the </w:t>
      </w:r>
      <w:proofErr w:type="spellStart"/>
      <w:r w:rsidRPr="006F2C9D">
        <w:t>Ultomiris</w:t>
      </w:r>
      <w:proofErr w:type="spellEnd"/>
      <w:r w:rsidRPr="006F2C9D">
        <w:t xml:space="preserve"> group compared to 66.1% in the </w:t>
      </w:r>
      <w:proofErr w:type="spellStart"/>
      <w:r w:rsidRPr="006F2C9D">
        <w:t>Soliris</w:t>
      </w:r>
      <w:proofErr w:type="spellEnd"/>
      <w:r w:rsidRPr="006F2C9D">
        <w:t xml:space="preserve"> group. The difference between the </w:t>
      </w:r>
      <w:proofErr w:type="spellStart"/>
      <w:r w:rsidRPr="006F2C9D">
        <w:t>Ultomiris</w:t>
      </w:r>
      <w:proofErr w:type="spellEnd"/>
      <w:r w:rsidRPr="006F2C9D">
        <w:t xml:space="preserve"> and </w:t>
      </w:r>
      <w:proofErr w:type="spellStart"/>
      <w:r w:rsidRPr="006F2C9D">
        <w:t>Soliris</w:t>
      </w:r>
      <w:proofErr w:type="spellEnd"/>
      <w:r w:rsidRPr="006F2C9D">
        <w:t xml:space="preserve"> treatment groups in the percentage of patients who avoided transfusion was 6.8% (95% CI: </w:t>
      </w:r>
      <w:r w:rsidR="00BD20DD">
        <w:t xml:space="preserve">          </w:t>
      </w:r>
      <w:r w:rsidRPr="006F2C9D">
        <w:t xml:space="preserve"> -4.66%, 18.14%). Total number of units transfused was also lower for the </w:t>
      </w:r>
      <w:proofErr w:type="spellStart"/>
      <w:r w:rsidRPr="006F2C9D">
        <w:t>Ultomiris</w:t>
      </w:r>
      <w:proofErr w:type="spellEnd"/>
      <w:r w:rsidRPr="006F2C9D">
        <w:t xml:space="preserve"> group (222 for </w:t>
      </w:r>
      <w:proofErr w:type="spellStart"/>
      <w:r w:rsidRPr="006F2C9D">
        <w:t>Soliris</w:t>
      </w:r>
      <w:proofErr w:type="spellEnd"/>
      <w:r w:rsidRPr="006F2C9D">
        <w:t xml:space="preserve"> vs 155 for </w:t>
      </w:r>
      <w:proofErr w:type="spellStart"/>
      <w:r w:rsidRPr="006F2C9D">
        <w:t>Ultomiris</w:t>
      </w:r>
      <w:proofErr w:type="spellEnd"/>
      <w:r w:rsidRPr="006F2C9D">
        <w:t>). The adjusted prevalence of LDH normali</w:t>
      </w:r>
      <w:r w:rsidR="00047E64">
        <w:t>s</w:t>
      </w:r>
      <w:r w:rsidRPr="006F2C9D">
        <w:t>ation (LDH levels ≤ 1 × ULN from Day 29 through Day 183) was 53</w:t>
      </w:r>
      <w:r w:rsidR="00BD20DD">
        <w:t>.</w:t>
      </w:r>
      <w:r w:rsidRPr="006F2C9D">
        <w:t xml:space="preserve">6% for the </w:t>
      </w:r>
      <w:proofErr w:type="spellStart"/>
      <w:r w:rsidRPr="006F2C9D">
        <w:t>Ultomiris</w:t>
      </w:r>
      <w:proofErr w:type="spellEnd"/>
      <w:r w:rsidRPr="006F2C9D">
        <w:t xml:space="preserve"> group and 49</w:t>
      </w:r>
      <w:r w:rsidR="00E214A4">
        <w:t>.</w:t>
      </w:r>
      <w:r w:rsidRPr="006F2C9D">
        <w:t xml:space="preserve">4% for the </w:t>
      </w:r>
      <w:proofErr w:type="spellStart"/>
      <w:r w:rsidRPr="006F2C9D">
        <w:t>Soliris</w:t>
      </w:r>
      <w:proofErr w:type="spellEnd"/>
      <w:r w:rsidRPr="006F2C9D">
        <w:t xml:space="preserve"> group. The adjusted odds ratio </w:t>
      </w:r>
      <w:r w:rsidR="00E214A4">
        <w:t xml:space="preserve">for LDH normalisation </w:t>
      </w:r>
      <w:r w:rsidRPr="006F2C9D">
        <w:t xml:space="preserve">for the comparison of </w:t>
      </w:r>
      <w:proofErr w:type="spellStart"/>
      <w:r w:rsidRPr="006F2C9D">
        <w:t>Ultomiris</w:t>
      </w:r>
      <w:proofErr w:type="spellEnd"/>
      <w:r w:rsidRPr="006F2C9D">
        <w:t xml:space="preserve"> to </w:t>
      </w:r>
      <w:proofErr w:type="spellStart"/>
      <w:r w:rsidRPr="006F2C9D">
        <w:t>Soliris</w:t>
      </w:r>
      <w:proofErr w:type="spellEnd"/>
      <w:r w:rsidRPr="006F2C9D">
        <w:t xml:space="preserve"> was 1.187 (95%</w:t>
      </w:r>
      <w:r w:rsidR="00E214A4">
        <w:t xml:space="preserve"> </w:t>
      </w:r>
      <w:r w:rsidRPr="006F2C9D">
        <w:t>CI: 0.796, 1.769). The m</w:t>
      </w:r>
      <w:r w:rsidR="00047E64">
        <w:t>edian time to first LDH normalis</w:t>
      </w:r>
      <w:r w:rsidRPr="006F2C9D">
        <w:t xml:space="preserve">ation was 24 days for </w:t>
      </w:r>
      <w:proofErr w:type="spellStart"/>
      <w:r w:rsidRPr="006F2C9D">
        <w:t>Ultomiris</w:t>
      </w:r>
      <w:proofErr w:type="spellEnd"/>
      <w:r w:rsidRPr="006F2C9D">
        <w:t xml:space="preserve"> and 29 days for </w:t>
      </w:r>
      <w:proofErr w:type="spellStart"/>
      <w:r w:rsidRPr="006F2C9D">
        <w:t>Soliris</w:t>
      </w:r>
      <w:proofErr w:type="spellEnd"/>
      <w:r w:rsidRPr="006F2C9D">
        <w:t>.</w:t>
      </w:r>
    </w:p>
    <w:p w14:paraId="18625B96" w14:textId="77777777" w:rsidR="006F2C9D" w:rsidRDefault="006F2C9D" w:rsidP="00A33171">
      <w:r w:rsidRPr="006F2C9D">
        <w:t xml:space="preserve">Mean percent change in LDH from baseline to Day 183 was -76.84% for the </w:t>
      </w:r>
      <w:proofErr w:type="spellStart"/>
      <w:r w:rsidRPr="006F2C9D">
        <w:t>Ultomiris</w:t>
      </w:r>
      <w:proofErr w:type="spellEnd"/>
      <w:r w:rsidRPr="006F2C9D">
        <w:t xml:space="preserve"> group and -76.02% for the </w:t>
      </w:r>
      <w:proofErr w:type="spellStart"/>
      <w:r w:rsidRPr="006F2C9D">
        <w:t>Soliris</w:t>
      </w:r>
      <w:proofErr w:type="spellEnd"/>
      <w:r w:rsidRPr="006F2C9D">
        <w:t xml:space="preserve"> group. The mean difference between treatment groups was </w:t>
      </w:r>
      <w:r w:rsidR="00D773E2">
        <w:t>-0.83% (95% CI: -5.21%, 3.56%).</w:t>
      </w:r>
    </w:p>
    <w:p w14:paraId="106049DC" w14:textId="77777777" w:rsidR="006F2C9D" w:rsidRPr="004965AB" w:rsidRDefault="006F2C9D" w:rsidP="00A33171">
      <w:r w:rsidRPr="004965AB">
        <w:t xml:space="preserve">Mean change in FACIT-Fatigue total score from baseline to Day 183 was 7.07 for the </w:t>
      </w:r>
      <w:proofErr w:type="spellStart"/>
      <w:r w:rsidRPr="004965AB">
        <w:t>Ultomiris</w:t>
      </w:r>
      <w:proofErr w:type="spellEnd"/>
      <w:r w:rsidRPr="004965AB">
        <w:t xml:space="preserve"> group and 6.40 for the </w:t>
      </w:r>
      <w:proofErr w:type="spellStart"/>
      <w:r w:rsidRPr="004965AB">
        <w:t>Soliris</w:t>
      </w:r>
      <w:proofErr w:type="spellEnd"/>
      <w:r w:rsidRPr="004965AB">
        <w:t xml:space="preserve"> group, with a 3-point improvement from baseline on this scale considered a clinically meaningful improvement. The mean difference between treatment groups was 0.67 (95% CI: -1.21, 2.55). Both treatment groups showed improvement in fatigue as measured by FACIT-Fatigue overtime</w:t>
      </w:r>
      <w:r w:rsidR="00E214A4">
        <w:t>. Improvement was numerically greater</w:t>
      </w:r>
      <w:r w:rsidRPr="004965AB">
        <w:t xml:space="preserve"> with </w:t>
      </w:r>
      <w:proofErr w:type="spellStart"/>
      <w:r w:rsidRPr="004965AB">
        <w:t>Ultomiris</w:t>
      </w:r>
      <w:proofErr w:type="spellEnd"/>
      <w:r w:rsidRPr="004965AB">
        <w:t xml:space="preserve"> than </w:t>
      </w:r>
      <w:proofErr w:type="spellStart"/>
      <w:r w:rsidRPr="004965AB">
        <w:t>Soliris</w:t>
      </w:r>
      <w:proofErr w:type="spellEnd"/>
      <w:r w:rsidRPr="004965AB">
        <w:t xml:space="preserve"> at </w:t>
      </w:r>
      <w:proofErr w:type="spellStart"/>
      <w:r w:rsidRPr="004965AB">
        <w:t>all time</w:t>
      </w:r>
      <w:proofErr w:type="spellEnd"/>
      <w:r w:rsidRPr="004965AB">
        <w:t xml:space="preserve"> points for FACIT-Fatigue.</w:t>
      </w:r>
    </w:p>
    <w:p w14:paraId="58FE3185" w14:textId="77777777" w:rsidR="006F2C9D" w:rsidRPr="004965AB" w:rsidRDefault="006F2C9D" w:rsidP="00A33171">
      <w:r w:rsidRPr="004965AB">
        <w:lastRenderedPageBreak/>
        <w:t>Breakthrough h</w:t>
      </w:r>
      <w:r w:rsidR="004965AB">
        <w:t>a</w:t>
      </w:r>
      <w:r w:rsidRPr="004965AB">
        <w:t>emolysis defined as at least one new or worsening symptom or sign of intravascular h</w:t>
      </w:r>
      <w:r w:rsidR="004965AB">
        <w:t>a</w:t>
      </w:r>
      <w:r w:rsidRPr="004965AB">
        <w:t xml:space="preserve">emolysis in the presence of elevated LDH ≥ 2 × ULN, after prior LDH reduction to &lt; 1.5 × ULN on therapy, was experienced by 4.0% of patients in the </w:t>
      </w:r>
      <w:proofErr w:type="spellStart"/>
      <w:r w:rsidRPr="004965AB">
        <w:t>Ultomiris</w:t>
      </w:r>
      <w:proofErr w:type="spellEnd"/>
      <w:r w:rsidRPr="004965AB">
        <w:t xml:space="preserve"> group and 10.7% of patients in the </w:t>
      </w:r>
      <w:proofErr w:type="spellStart"/>
      <w:r w:rsidRPr="004965AB">
        <w:t>Soliris</w:t>
      </w:r>
      <w:proofErr w:type="spellEnd"/>
      <w:r w:rsidRPr="004965AB">
        <w:t xml:space="preserve"> group. The difference between treatment groups was -6.7</w:t>
      </w:r>
      <w:r w:rsidR="00D773E2">
        <w:t xml:space="preserve">% (95% CI: </w:t>
      </w:r>
      <w:r w:rsidR="00E214A4">
        <w:t xml:space="preserve">             </w:t>
      </w:r>
      <w:r w:rsidR="00D773E2">
        <w:t>-14.21%, 0.18%).</w:t>
      </w:r>
    </w:p>
    <w:p w14:paraId="2ABEA8CA" w14:textId="77777777" w:rsidR="006F2C9D" w:rsidRPr="004965AB" w:rsidRDefault="006F2C9D" w:rsidP="00A33171">
      <w:r w:rsidRPr="004965AB">
        <w:t>H</w:t>
      </w:r>
      <w:r w:rsidR="004965AB">
        <w:t>a</w:t>
      </w:r>
      <w:r w:rsidR="00047E64">
        <w:t>emoglobin stabilis</w:t>
      </w:r>
      <w:r w:rsidRPr="004965AB">
        <w:t xml:space="preserve">ation </w:t>
      </w:r>
      <w:r w:rsidR="00E214A4">
        <w:t xml:space="preserve">defined as an avoidance of a </w:t>
      </w:r>
      <w:r w:rsidR="00E214A4" w:rsidRPr="00E31044">
        <w:t>≥2 g/</w:t>
      </w:r>
      <w:proofErr w:type="spellStart"/>
      <w:r w:rsidR="00E214A4" w:rsidRPr="00E31044">
        <w:t>dL</w:t>
      </w:r>
      <w:proofErr w:type="spellEnd"/>
      <w:r w:rsidR="00E214A4" w:rsidRPr="00E31044">
        <w:t xml:space="preserve"> decrease in haemoglobin level from baseline in the absence of transfusion</w:t>
      </w:r>
      <w:r w:rsidR="00E214A4" w:rsidRPr="004965AB">
        <w:t xml:space="preserve"> </w:t>
      </w:r>
      <w:r w:rsidRPr="004965AB">
        <w:t xml:space="preserve">through Day 183 was achieved by 68.0% of patients in the </w:t>
      </w:r>
      <w:proofErr w:type="spellStart"/>
      <w:r w:rsidRPr="004965AB">
        <w:t>Ultomiris</w:t>
      </w:r>
      <w:proofErr w:type="spellEnd"/>
      <w:r w:rsidRPr="004965AB">
        <w:t xml:space="preserve"> group and 64.5% of patients in the </w:t>
      </w:r>
      <w:proofErr w:type="spellStart"/>
      <w:r w:rsidRPr="004965AB">
        <w:t>Soliris</w:t>
      </w:r>
      <w:proofErr w:type="spellEnd"/>
      <w:r w:rsidRPr="004965AB">
        <w:t xml:space="preserve"> group. The difference between treatment groups was 2.9% (95% CI: -8.80%, 14.64%).</w:t>
      </w:r>
    </w:p>
    <w:p w14:paraId="6F5E0F51" w14:textId="77777777" w:rsidR="006F2C9D" w:rsidRPr="004965AB" w:rsidRDefault="006F2C9D" w:rsidP="00A33171">
      <w:r w:rsidRPr="004965AB">
        <w:t>Because statistically significant non</w:t>
      </w:r>
      <w:r w:rsidR="00021256">
        <w:t>-</w:t>
      </w:r>
      <w:r w:rsidRPr="004965AB">
        <w:t>inferiority was achieved for both co</w:t>
      </w:r>
      <w:r w:rsidR="00021256">
        <w:t>-</w:t>
      </w:r>
      <w:r w:rsidRPr="004965AB">
        <w:t>primary and all 4 key secondary endpoints, superiority was assessed following the pre</w:t>
      </w:r>
      <w:r w:rsidR="00021256">
        <w:t>-</w:t>
      </w:r>
      <w:r w:rsidRPr="004965AB">
        <w:t xml:space="preserve">specified hierarchical testing order that began with </w:t>
      </w:r>
      <w:r w:rsidR="00E214A4">
        <w:t xml:space="preserve">the </w:t>
      </w:r>
      <w:r w:rsidRPr="004965AB">
        <w:t>breakthrough h</w:t>
      </w:r>
      <w:r w:rsidR="00047E64">
        <w:t>a</w:t>
      </w:r>
      <w:r w:rsidRPr="004965AB">
        <w:t>emolysis endpoint. The treatment difference for breakthrough h</w:t>
      </w:r>
      <w:r w:rsidR="00047E64">
        <w:t>a</w:t>
      </w:r>
      <w:r w:rsidRPr="004965AB">
        <w:t>emolysis (p = 0.0558) did not reach the pre</w:t>
      </w:r>
      <w:r w:rsidR="00021256">
        <w:t>-</w:t>
      </w:r>
      <w:r w:rsidRPr="004965AB">
        <w:t>specified threshold for superiority (p &lt; 0.05), and no further testing was conducted. The incidence of breakthrough h</w:t>
      </w:r>
      <w:r w:rsidR="00047E64">
        <w:t>a</w:t>
      </w:r>
      <w:r w:rsidRPr="004965AB">
        <w:t xml:space="preserve">emolysis was more than 2-fold higher in the </w:t>
      </w:r>
      <w:proofErr w:type="spellStart"/>
      <w:r w:rsidRPr="004965AB">
        <w:t>Soliris</w:t>
      </w:r>
      <w:proofErr w:type="spellEnd"/>
      <w:r w:rsidRPr="004965AB">
        <w:t xml:space="preserve"> group (13 patients with 15 events) than in the </w:t>
      </w:r>
      <w:proofErr w:type="spellStart"/>
      <w:r w:rsidRPr="004965AB">
        <w:t>Ultomiris</w:t>
      </w:r>
      <w:proofErr w:type="spellEnd"/>
      <w:r w:rsidRPr="004965AB">
        <w:t xml:space="preserve"> group (5 patients with 5 events). Of the 15 breakthrough h</w:t>
      </w:r>
      <w:r w:rsidR="00047E64">
        <w:t>a</w:t>
      </w:r>
      <w:r w:rsidRPr="004965AB">
        <w:t xml:space="preserve">emolysis events seen in the </w:t>
      </w:r>
      <w:proofErr w:type="spellStart"/>
      <w:r w:rsidRPr="004965AB">
        <w:t>Soliris</w:t>
      </w:r>
      <w:proofErr w:type="spellEnd"/>
      <w:r w:rsidRPr="004965AB">
        <w:t xml:space="preserve"> group, 7 were associated with elevated free C5 above 0.5 µg/</w:t>
      </w:r>
      <w:proofErr w:type="spellStart"/>
      <w:r w:rsidRPr="004965AB">
        <w:t>mL.</w:t>
      </w:r>
      <w:proofErr w:type="spellEnd"/>
      <w:r w:rsidRPr="004965AB">
        <w:t xml:space="preserve"> No patients in the </w:t>
      </w:r>
      <w:proofErr w:type="spellStart"/>
      <w:r w:rsidRPr="004965AB">
        <w:t>Ultomiris</w:t>
      </w:r>
      <w:proofErr w:type="spellEnd"/>
      <w:r w:rsidRPr="004965AB">
        <w:t xml:space="preserve"> group had elevations of free C5 levels above 0.5 µg/</w:t>
      </w:r>
      <w:proofErr w:type="spellStart"/>
      <w:r w:rsidRPr="004965AB">
        <w:t>mL.</w:t>
      </w:r>
      <w:proofErr w:type="spellEnd"/>
    </w:p>
    <w:p w14:paraId="067E90A3" w14:textId="77777777" w:rsidR="004965AB" w:rsidRPr="00A33171" w:rsidRDefault="000B1342" w:rsidP="00A33171">
      <w:pPr>
        <w:pStyle w:val="Heading3"/>
        <w:rPr>
          <w:b w:val="0"/>
          <w:i/>
          <w:iCs/>
          <w:u w:val="single"/>
        </w:rPr>
      </w:pPr>
      <w:r>
        <w:rPr>
          <w:b w:val="0"/>
          <w:i/>
          <w:u w:val="single"/>
        </w:rPr>
        <w:t xml:space="preserve">ALXN1210-PNH-302 </w:t>
      </w:r>
      <w:r w:rsidR="004965AB" w:rsidRPr="00A33171">
        <w:rPr>
          <w:b w:val="0"/>
          <w:i/>
          <w:u w:val="single"/>
        </w:rPr>
        <w:t xml:space="preserve">Study in PNH patients previously treated with </w:t>
      </w:r>
      <w:proofErr w:type="spellStart"/>
      <w:r w:rsidR="004965AB" w:rsidRPr="00A33171">
        <w:rPr>
          <w:b w:val="0"/>
          <w:i/>
          <w:u w:val="single"/>
        </w:rPr>
        <w:t>Soliris</w:t>
      </w:r>
      <w:proofErr w:type="spellEnd"/>
    </w:p>
    <w:p w14:paraId="407F7A95" w14:textId="58384B01" w:rsidR="004965AB" w:rsidRPr="004E03F0" w:rsidRDefault="004965AB" w:rsidP="00A33171">
      <w:r w:rsidRPr="004E03F0">
        <w:t xml:space="preserve">The </w:t>
      </w:r>
      <w:proofErr w:type="spellStart"/>
      <w:r w:rsidRPr="004E03F0">
        <w:t>Soliris</w:t>
      </w:r>
      <w:proofErr w:type="spellEnd"/>
      <w:r w:rsidRPr="004E03F0">
        <w:t>-Experienced Study was a 26-week, m</w:t>
      </w:r>
      <w:r w:rsidR="00047E64">
        <w:t>ulticentr</w:t>
      </w:r>
      <w:r w:rsidR="00021256">
        <w:t>e</w:t>
      </w:r>
      <w:r w:rsidR="00047E64">
        <w:t>, open-label, randomis</w:t>
      </w:r>
      <w:r w:rsidRPr="004E03F0">
        <w:t xml:space="preserve">ed, active-controlled Phase 3 study conducted in 195 patients with PNH who were clinically stable after having been treated with </w:t>
      </w:r>
      <w:proofErr w:type="spellStart"/>
      <w:r w:rsidRPr="004E03F0">
        <w:t>Soliris</w:t>
      </w:r>
      <w:proofErr w:type="spellEnd"/>
      <w:r w:rsidRPr="004E03F0">
        <w:t xml:space="preserve"> </w:t>
      </w:r>
      <w:r w:rsidR="00707339">
        <w:t>for at least the past 6 months.</w:t>
      </w:r>
    </w:p>
    <w:p w14:paraId="758E76E6" w14:textId="77777777" w:rsidR="004965AB" w:rsidRPr="004E03F0" w:rsidRDefault="004965AB" w:rsidP="00A33171">
      <w:r w:rsidRPr="004E03F0">
        <w:t xml:space="preserve">PNH medical history was similar between </w:t>
      </w:r>
      <w:proofErr w:type="spellStart"/>
      <w:r w:rsidRPr="004E03F0">
        <w:t>Ultomiris</w:t>
      </w:r>
      <w:proofErr w:type="spellEnd"/>
      <w:r w:rsidRPr="004E03F0">
        <w:t xml:space="preserve"> and </w:t>
      </w:r>
      <w:proofErr w:type="spellStart"/>
      <w:r w:rsidRPr="004E03F0">
        <w:t>Soliris</w:t>
      </w:r>
      <w:proofErr w:type="spellEnd"/>
      <w:r w:rsidRPr="004E03F0">
        <w:t xml:space="preserve"> treatment groups. The twelve-month transfusion history was similar between </w:t>
      </w:r>
      <w:proofErr w:type="spellStart"/>
      <w:r w:rsidRPr="004E03F0">
        <w:t>Ultomiris</w:t>
      </w:r>
      <w:proofErr w:type="spellEnd"/>
      <w:r w:rsidRPr="004E03F0">
        <w:t xml:space="preserve"> and </w:t>
      </w:r>
      <w:proofErr w:type="spellStart"/>
      <w:r w:rsidRPr="004E03F0">
        <w:t>Soliris</w:t>
      </w:r>
      <w:proofErr w:type="spellEnd"/>
      <w:r w:rsidRPr="004E03F0">
        <w:t xml:space="preserve"> tr</w:t>
      </w:r>
      <w:r>
        <w:t>eatment groups and more than 87</w:t>
      </w:r>
      <w:r w:rsidRPr="004E03F0">
        <w:t>% of patients in both treatment groups had not received a transfusion within 12 months of study entry. Per study</w:t>
      </w:r>
      <w:r>
        <w:t xml:space="preserve"> entry</w:t>
      </w:r>
      <w:r w:rsidRPr="004E03F0">
        <w:t xml:space="preserve"> criteria, all patients presented with controlled h</w:t>
      </w:r>
      <w:r w:rsidR="00047E64">
        <w:t>a</w:t>
      </w:r>
      <w:r w:rsidRPr="004E03F0">
        <w:t>emolysis at baseline</w:t>
      </w:r>
      <w:r w:rsidR="00021256">
        <w:t>,</w:t>
      </w:r>
      <w:r w:rsidRPr="004E03F0">
        <w:t xml:space="preserve"> consistent with a population under continuous treatment with </w:t>
      </w:r>
      <w:proofErr w:type="spellStart"/>
      <w:r w:rsidRPr="004E03F0">
        <w:t>Soliris</w:t>
      </w:r>
      <w:proofErr w:type="spellEnd"/>
      <w:r w:rsidRPr="004E03F0">
        <w:t>. The mean total PNH RBC clone size was 60.05%, mean total PNH granulocyte clone size was 83.30%, and the mean total PNH monocyte clone size was 85.86%.</w:t>
      </w:r>
    </w:p>
    <w:p w14:paraId="75744E69" w14:textId="0E6FDBC8" w:rsidR="004965AB" w:rsidRDefault="00FC35C3" w:rsidP="00A33171">
      <w:r>
        <w:fldChar w:fldCharType="begin"/>
      </w:r>
      <w:r>
        <w:instrText xml:space="preserve"> REF _Ref20465254 \h </w:instrText>
      </w:r>
      <w:r>
        <w:fldChar w:fldCharType="separate"/>
      </w:r>
      <w:r>
        <w:t xml:space="preserve">Table </w:t>
      </w:r>
      <w:r>
        <w:rPr>
          <w:noProof/>
        </w:rPr>
        <w:t>6</w:t>
      </w:r>
      <w:r>
        <w:fldChar w:fldCharType="end"/>
      </w:r>
      <w:r w:rsidR="004965AB" w:rsidRPr="004E03F0">
        <w:t xml:space="preserve"> presents the baseline characteristics of the PNH patients enrolled in the </w:t>
      </w:r>
      <w:proofErr w:type="spellStart"/>
      <w:r w:rsidR="004965AB" w:rsidRPr="004E03F0">
        <w:t>Soliris</w:t>
      </w:r>
      <w:proofErr w:type="spellEnd"/>
      <w:r w:rsidR="004965AB" w:rsidRPr="004E03F0">
        <w:t>-Experienced Study.</w:t>
      </w:r>
    </w:p>
    <w:p w14:paraId="09F111E7" w14:textId="14346F7D" w:rsidR="004965AB" w:rsidRPr="004E03F0" w:rsidRDefault="00FC35C3" w:rsidP="00FC35C3">
      <w:pPr>
        <w:pStyle w:val="Caption"/>
        <w:rPr>
          <w:b w:val="0"/>
          <w:bCs w:val="0"/>
          <w:iCs/>
        </w:rPr>
      </w:pPr>
      <w:bookmarkStart w:id="14" w:name="_Ref20465254"/>
      <w:bookmarkStart w:id="15" w:name="_Ref20465238"/>
      <w:r>
        <w:lastRenderedPageBreak/>
        <w:t xml:space="preserve">Table </w:t>
      </w:r>
      <w:r>
        <w:fldChar w:fldCharType="begin"/>
      </w:r>
      <w:r>
        <w:instrText xml:space="preserve"> SEQ Table \* ARABIC </w:instrText>
      </w:r>
      <w:r>
        <w:fldChar w:fldCharType="separate"/>
      </w:r>
      <w:r>
        <w:rPr>
          <w:noProof/>
        </w:rPr>
        <w:t>6</w:t>
      </w:r>
      <w:r>
        <w:fldChar w:fldCharType="end"/>
      </w:r>
      <w:bookmarkEnd w:id="14"/>
      <w:r>
        <w:t xml:space="preserve"> </w:t>
      </w:r>
      <w:r w:rsidR="004965AB" w:rsidRPr="00FC35C3">
        <w:rPr>
          <w:bCs w:val="0"/>
          <w:iCs/>
        </w:rPr>
        <w:t xml:space="preserve">Baseline characteristics in the </w:t>
      </w:r>
      <w:proofErr w:type="spellStart"/>
      <w:r w:rsidR="004965AB" w:rsidRPr="00FC35C3">
        <w:rPr>
          <w:bCs w:val="0"/>
          <w:iCs/>
        </w:rPr>
        <w:t>Soliris</w:t>
      </w:r>
      <w:proofErr w:type="spellEnd"/>
      <w:r w:rsidR="004965AB" w:rsidRPr="00FC35C3">
        <w:rPr>
          <w:bCs w:val="0"/>
          <w:iCs/>
        </w:rPr>
        <w:t>-Experienced Study</w:t>
      </w:r>
      <w:bookmarkEnd w:id="15"/>
    </w:p>
    <w:tbl>
      <w:tblPr>
        <w:tblW w:w="93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04"/>
        <w:gridCol w:w="1530"/>
        <w:gridCol w:w="1890"/>
        <w:gridCol w:w="1790"/>
      </w:tblGrid>
      <w:tr w:rsidR="004965AB" w:rsidRPr="0013150D" w14:paraId="02E75A60" w14:textId="77777777" w:rsidTr="00A33171">
        <w:trPr>
          <w:cantSplit/>
          <w:trHeight w:val="525"/>
          <w:jc w:val="center"/>
        </w:trPr>
        <w:tc>
          <w:tcPr>
            <w:tcW w:w="4104" w:type="dxa"/>
            <w:tcBorders>
              <w:top w:val="single" w:sz="6" w:space="0" w:color="auto"/>
              <w:left w:val="single" w:sz="6" w:space="0" w:color="auto"/>
              <w:bottom w:val="single" w:sz="6" w:space="0" w:color="auto"/>
              <w:right w:val="single" w:sz="6" w:space="0" w:color="auto"/>
            </w:tcBorders>
            <w:vAlign w:val="center"/>
            <w:hideMark/>
          </w:tcPr>
          <w:p w14:paraId="004872DC" w14:textId="77777777" w:rsidR="004965AB" w:rsidRPr="0013150D" w:rsidRDefault="004965AB" w:rsidP="00A67D4B">
            <w:pPr>
              <w:keepNext/>
              <w:keepLines/>
              <w:spacing w:after="0" w:line="240" w:lineRule="auto"/>
              <w:rPr>
                <w:b/>
              </w:rPr>
            </w:pPr>
            <w:r w:rsidRPr="0013150D">
              <w:rPr>
                <w:b/>
              </w:rPr>
              <w:t>Parameter</w:t>
            </w:r>
          </w:p>
        </w:tc>
        <w:tc>
          <w:tcPr>
            <w:tcW w:w="1530" w:type="dxa"/>
            <w:tcBorders>
              <w:top w:val="single" w:sz="6" w:space="0" w:color="auto"/>
              <w:left w:val="single" w:sz="6" w:space="0" w:color="auto"/>
              <w:bottom w:val="single" w:sz="6" w:space="0" w:color="auto"/>
              <w:right w:val="single" w:sz="6" w:space="0" w:color="auto"/>
            </w:tcBorders>
            <w:vAlign w:val="center"/>
            <w:hideMark/>
          </w:tcPr>
          <w:p w14:paraId="766B0E47" w14:textId="77777777" w:rsidR="004965AB" w:rsidRPr="0013150D" w:rsidRDefault="004965AB" w:rsidP="00A67D4B">
            <w:pPr>
              <w:keepNext/>
              <w:keepLines/>
              <w:spacing w:after="0" w:line="240" w:lineRule="auto"/>
              <w:rPr>
                <w:b/>
              </w:rPr>
            </w:pPr>
            <w:r w:rsidRPr="0013150D">
              <w:rPr>
                <w:b/>
              </w:rPr>
              <w:t>Statistics</w:t>
            </w:r>
          </w:p>
        </w:tc>
        <w:tc>
          <w:tcPr>
            <w:tcW w:w="1890" w:type="dxa"/>
            <w:tcBorders>
              <w:top w:val="single" w:sz="6" w:space="0" w:color="auto"/>
              <w:left w:val="single" w:sz="6" w:space="0" w:color="auto"/>
              <w:bottom w:val="single" w:sz="6" w:space="0" w:color="auto"/>
              <w:right w:val="single" w:sz="6" w:space="0" w:color="auto"/>
            </w:tcBorders>
            <w:hideMark/>
          </w:tcPr>
          <w:p w14:paraId="040FA805" w14:textId="77777777" w:rsidR="004965AB" w:rsidRPr="0013150D" w:rsidRDefault="004965AB" w:rsidP="00A67D4B">
            <w:pPr>
              <w:pStyle w:val="C-TableText"/>
              <w:keepNext/>
              <w:keepLines/>
              <w:jc w:val="center"/>
              <w:rPr>
                <w:rFonts w:ascii="Cambria" w:hAnsi="Cambria"/>
                <w:b/>
                <w:sz w:val="22"/>
                <w:szCs w:val="22"/>
              </w:rPr>
            </w:pPr>
            <w:proofErr w:type="spellStart"/>
            <w:r w:rsidRPr="0013150D">
              <w:rPr>
                <w:rFonts w:ascii="Cambria" w:hAnsi="Cambria"/>
                <w:b/>
                <w:sz w:val="22"/>
                <w:szCs w:val="22"/>
              </w:rPr>
              <w:t>Ultomiris</w:t>
            </w:r>
            <w:proofErr w:type="spellEnd"/>
            <w:r w:rsidRPr="0013150D">
              <w:rPr>
                <w:rFonts w:ascii="Cambria" w:hAnsi="Cambria"/>
                <w:b/>
                <w:sz w:val="22"/>
                <w:szCs w:val="22"/>
              </w:rPr>
              <w:br/>
              <w:t>(N = 97)</w:t>
            </w:r>
          </w:p>
        </w:tc>
        <w:tc>
          <w:tcPr>
            <w:tcW w:w="1790" w:type="dxa"/>
            <w:tcBorders>
              <w:top w:val="single" w:sz="6" w:space="0" w:color="auto"/>
              <w:left w:val="single" w:sz="6" w:space="0" w:color="auto"/>
              <w:bottom w:val="single" w:sz="6" w:space="0" w:color="auto"/>
              <w:right w:val="single" w:sz="6" w:space="0" w:color="auto"/>
            </w:tcBorders>
            <w:hideMark/>
          </w:tcPr>
          <w:p w14:paraId="67AD6ACE" w14:textId="77777777" w:rsidR="004965AB" w:rsidRPr="0013150D" w:rsidRDefault="004965AB" w:rsidP="00A67D4B">
            <w:pPr>
              <w:pStyle w:val="C-TableText"/>
              <w:keepNext/>
              <w:keepLines/>
              <w:jc w:val="center"/>
              <w:rPr>
                <w:rFonts w:ascii="Cambria" w:hAnsi="Cambria"/>
                <w:b/>
                <w:sz w:val="22"/>
                <w:szCs w:val="22"/>
              </w:rPr>
            </w:pPr>
            <w:proofErr w:type="spellStart"/>
            <w:r w:rsidRPr="0013150D">
              <w:rPr>
                <w:rFonts w:ascii="Cambria" w:hAnsi="Cambria"/>
                <w:b/>
                <w:sz w:val="22"/>
                <w:szCs w:val="22"/>
              </w:rPr>
              <w:t>Soliris</w:t>
            </w:r>
            <w:proofErr w:type="spellEnd"/>
            <w:r w:rsidRPr="0013150D">
              <w:rPr>
                <w:rFonts w:ascii="Cambria" w:hAnsi="Cambria"/>
                <w:b/>
                <w:sz w:val="22"/>
                <w:szCs w:val="22"/>
              </w:rPr>
              <w:br/>
              <w:t>(N = 98)</w:t>
            </w:r>
          </w:p>
        </w:tc>
      </w:tr>
      <w:tr w:rsidR="004965AB" w:rsidRPr="0013150D" w14:paraId="6CF2A656" w14:textId="77777777" w:rsidTr="00A33171">
        <w:trPr>
          <w:cantSplit/>
          <w:trHeight w:val="781"/>
          <w:jc w:val="center"/>
        </w:trPr>
        <w:tc>
          <w:tcPr>
            <w:tcW w:w="4104" w:type="dxa"/>
            <w:tcBorders>
              <w:top w:val="single" w:sz="6" w:space="0" w:color="auto"/>
              <w:left w:val="single" w:sz="6" w:space="0" w:color="auto"/>
              <w:bottom w:val="single" w:sz="6" w:space="0" w:color="auto"/>
              <w:right w:val="single" w:sz="6" w:space="0" w:color="auto"/>
            </w:tcBorders>
          </w:tcPr>
          <w:p w14:paraId="0082B9D2" w14:textId="77777777" w:rsidR="004965AB" w:rsidRPr="0013150D" w:rsidRDefault="004965AB" w:rsidP="00A67D4B">
            <w:pPr>
              <w:keepNext/>
              <w:keepLines/>
              <w:spacing w:after="0" w:line="240" w:lineRule="auto"/>
            </w:pPr>
            <w:r w:rsidRPr="0013150D">
              <w:t>Age (years) at PNH diagnosis</w:t>
            </w:r>
          </w:p>
        </w:tc>
        <w:tc>
          <w:tcPr>
            <w:tcW w:w="1530" w:type="dxa"/>
            <w:tcBorders>
              <w:top w:val="single" w:sz="6" w:space="0" w:color="auto"/>
              <w:left w:val="single" w:sz="6" w:space="0" w:color="auto"/>
              <w:bottom w:val="single" w:sz="6" w:space="0" w:color="auto"/>
              <w:right w:val="single" w:sz="6" w:space="0" w:color="auto"/>
            </w:tcBorders>
          </w:tcPr>
          <w:p w14:paraId="321F4F76" w14:textId="77777777" w:rsidR="004965AB" w:rsidRPr="0013150D" w:rsidRDefault="004965AB" w:rsidP="00A67D4B">
            <w:pPr>
              <w:keepNext/>
              <w:keepLines/>
              <w:spacing w:after="0" w:line="240" w:lineRule="auto"/>
            </w:pPr>
            <w:r w:rsidRPr="0013150D">
              <w:t>Mean (SD)</w:t>
            </w:r>
          </w:p>
          <w:p w14:paraId="763825BE" w14:textId="77777777" w:rsidR="004965AB" w:rsidRPr="0013150D" w:rsidRDefault="004965AB" w:rsidP="00A67D4B">
            <w:pPr>
              <w:keepNext/>
              <w:keepLines/>
              <w:spacing w:after="0" w:line="240" w:lineRule="auto"/>
            </w:pPr>
            <w:r w:rsidRPr="0013150D">
              <w:t>Median</w:t>
            </w:r>
          </w:p>
          <w:p w14:paraId="630CECCF" w14:textId="77777777" w:rsidR="004965AB" w:rsidRPr="0013150D" w:rsidRDefault="004965AB" w:rsidP="00A67D4B">
            <w:pPr>
              <w:keepNext/>
              <w:keepLines/>
              <w:spacing w:after="0" w:line="240" w:lineRule="auto"/>
            </w:pPr>
            <w:r w:rsidRPr="0013150D">
              <w:t>Min, max</w:t>
            </w:r>
          </w:p>
        </w:tc>
        <w:tc>
          <w:tcPr>
            <w:tcW w:w="1890" w:type="dxa"/>
            <w:tcBorders>
              <w:top w:val="single" w:sz="6" w:space="0" w:color="auto"/>
              <w:left w:val="single" w:sz="6" w:space="0" w:color="auto"/>
              <w:bottom w:val="single" w:sz="6" w:space="0" w:color="auto"/>
              <w:right w:val="single" w:sz="6" w:space="0" w:color="auto"/>
            </w:tcBorders>
          </w:tcPr>
          <w:p w14:paraId="01E5B052" w14:textId="77777777" w:rsidR="004965AB" w:rsidRPr="0013150D" w:rsidRDefault="004965AB" w:rsidP="00DD29BE">
            <w:pPr>
              <w:keepNext/>
              <w:keepLines/>
              <w:spacing w:after="0" w:line="240" w:lineRule="auto"/>
              <w:jc w:val="center"/>
            </w:pPr>
            <w:r w:rsidRPr="0013150D">
              <w:t>34.1 (14.41)</w:t>
            </w:r>
          </w:p>
          <w:p w14:paraId="63A9FB93" w14:textId="77777777" w:rsidR="004965AB" w:rsidRPr="0013150D" w:rsidRDefault="004965AB" w:rsidP="00B133C4">
            <w:pPr>
              <w:keepNext/>
              <w:keepLines/>
              <w:spacing w:after="0" w:line="240" w:lineRule="auto"/>
              <w:jc w:val="center"/>
            </w:pPr>
            <w:r w:rsidRPr="0013150D">
              <w:t>32.0</w:t>
            </w:r>
          </w:p>
          <w:p w14:paraId="0B2522AE" w14:textId="77777777" w:rsidR="004965AB" w:rsidRPr="0013150D" w:rsidRDefault="004965AB">
            <w:pPr>
              <w:keepNext/>
              <w:keepLines/>
              <w:spacing w:after="0" w:line="240" w:lineRule="auto"/>
              <w:jc w:val="center"/>
            </w:pPr>
            <w:r w:rsidRPr="0013150D">
              <w:t>6, 73</w:t>
            </w:r>
          </w:p>
        </w:tc>
        <w:tc>
          <w:tcPr>
            <w:tcW w:w="1790" w:type="dxa"/>
            <w:tcBorders>
              <w:top w:val="single" w:sz="6" w:space="0" w:color="auto"/>
              <w:left w:val="single" w:sz="6" w:space="0" w:color="auto"/>
              <w:bottom w:val="single" w:sz="6" w:space="0" w:color="auto"/>
              <w:right w:val="single" w:sz="6" w:space="0" w:color="auto"/>
            </w:tcBorders>
          </w:tcPr>
          <w:p w14:paraId="2AB02363" w14:textId="77777777" w:rsidR="004965AB" w:rsidRPr="0013150D" w:rsidRDefault="004965AB">
            <w:pPr>
              <w:keepNext/>
              <w:keepLines/>
              <w:spacing w:after="0" w:line="240" w:lineRule="auto"/>
              <w:jc w:val="center"/>
            </w:pPr>
            <w:r w:rsidRPr="0013150D">
              <w:t>36.8 (14.14)</w:t>
            </w:r>
          </w:p>
          <w:p w14:paraId="424A4CF4" w14:textId="77777777" w:rsidR="004965AB" w:rsidRPr="0013150D" w:rsidRDefault="004965AB">
            <w:pPr>
              <w:keepNext/>
              <w:keepLines/>
              <w:spacing w:after="0" w:line="240" w:lineRule="auto"/>
              <w:jc w:val="center"/>
            </w:pPr>
            <w:r w:rsidRPr="0013150D">
              <w:t>35.0</w:t>
            </w:r>
          </w:p>
          <w:p w14:paraId="37770B20" w14:textId="77777777" w:rsidR="004965AB" w:rsidRPr="0013150D" w:rsidRDefault="004965AB">
            <w:pPr>
              <w:keepNext/>
              <w:keepLines/>
              <w:spacing w:after="0" w:line="240" w:lineRule="auto"/>
              <w:jc w:val="center"/>
            </w:pPr>
            <w:r w:rsidRPr="0013150D">
              <w:t>11, 74</w:t>
            </w:r>
          </w:p>
        </w:tc>
      </w:tr>
      <w:tr w:rsidR="004965AB" w:rsidRPr="0013150D" w14:paraId="0DF3A249" w14:textId="77777777" w:rsidTr="00A33171">
        <w:trPr>
          <w:cantSplit/>
          <w:trHeight w:val="781"/>
          <w:jc w:val="center"/>
        </w:trPr>
        <w:tc>
          <w:tcPr>
            <w:tcW w:w="4104" w:type="dxa"/>
            <w:tcBorders>
              <w:top w:val="single" w:sz="6" w:space="0" w:color="auto"/>
              <w:left w:val="single" w:sz="6" w:space="0" w:color="auto"/>
              <w:bottom w:val="single" w:sz="6" w:space="0" w:color="auto"/>
              <w:right w:val="single" w:sz="6" w:space="0" w:color="auto"/>
            </w:tcBorders>
          </w:tcPr>
          <w:p w14:paraId="33E417AC" w14:textId="77777777" w:rsidR="004965AB" w:rsidRPr="0013150D" w:rsidRDefault="004965AB" w:rsidP="00A67D4B">
            <w:pPr>
              <w:keepNext/>
              <w:keepLines/>
              <w:spacing w:after="0" w:line="240" w:lineRule="auto"/>
            </w:pPr>
            <w:r w:rsidRPr="0013150D">
              <w:t>Age (years) at first infusion in study</w:t>
            </w:r>
          </w:p>
        </w:tc>
        <w:tc>
          <w:tcPr>
            <w:tcW w:w="1530" w:type="dxa"/>
            <w:tcBorders>
              <w:top w:val="single" w:sz="6" w:space="0" w:color="auto"/>
              <w:left w:val="single" w:sz="6" w:space="0" w:color="auto"/>
              <w:bottom w:val="single" w:sz="6" w:space="0" w:color="auto"/>
              <w:right w:val="single" w:sz="6" w:space="0" w:color="auto"/>
            </w:tcBorders>
          </w:tcPr>
          <w:p w14:paraId="506CE0A6" w14:textId="77777777" w:rsidR="004965AB" w:rsidRPr="0013150D" w:rsidRDefault="004965AB" w:rsidP="00A67D4B">
            <w:pPr>
              <w:keepNext/>
              <w:keepLines/>
              <w:spacing w:after="0" w:line="240" w:lineRule="auto"/>
            </w:pPr>
            <w:r w:rsidRPr="0013150D">
              <w:t>Mean (SD)</w:t>
            </w:r>
          </w:p>
          <w:p w14:paraId="7BF31EDC" w14:textId="77777777" w:rsidR="004965AB" w:rsidRPr="0013150D" w:rsidRDefault="004965AB" w:rsidP="00A67D4B">
            <w:pPr>
              <w:keepNext/>
              <w:keepLines/>
              <w:spacing w:after="0" w:line="240" w:lineRule="auto"/>
            </w:pPr>
            <w:r w:rsidRPr="0013150D">
              <w:t>Median</w:t>
            </w:r>
          </w:p>
          <w:p w14:paraId="38F3E6F7" w14:textId="77777777" w:rsidR="004965AB" w:rsidRPr="0013150D" w:rsidRDefault="004965AB" w:rsidP="00A67D4B">
            <w:pPr>
              <w:keepNext/>
              <w:keepLines/>
              <w:spacing w:after="0" w:line="240" w:lineRule="auto"/>
            </w:pPr>
            <w:r w:rsidRPr="0013150D">
              <w:t>Min, max</w:t>
            </w:r>
          </w:p>
        </w:tc>
        <w:tc>
          <w:tcPr>
            <w:tcW w:w="1890" w:type="dxa"/>
            <w:tcBorders>
              <w:top w:val="single" w:sz="6" w:space="0" w:color="auto"/>
              <w:left w:val="single" w:sz="6" w:space="0" w:color="auto"/>
              <w:bottom w:val="single" w:sz="6" w:space="0" w:color="auto"/>
              <w:right w:val="single" w:sz="6" w:space="0" w:color="auto"/>
            </w:tcBorders>
          </w:tcPr>
          <w:p w14:paraId="7FF0741C" w14:textId="77777777" w:rsidR="004965AB" w:rsidRPr="0013150D" w:rsidRDefault="004965AB" w:rsidP="00DD29BE">
            <w:pPr>
              <w:keepNext/>
              <w:keepLines/>
              <w:spacing w:after="0" w:line="240" w:lineRule="auto"/>
              <w:jc w:val="center"/>
            </w:pPr>
            <w:r w:rsidRPr="0013150D">
              <w:t>46.6 (14.41)</w:t>
            </w:r>
          </w:p>
          <w:p w14:paraId="46A342F8" w14:textId="77777777" w:rsidR="004965AB" w:rsidRPr="0013150D" w:rsidRDefault="004965AB" w:rsidP="00B133C4">
            <w:pPr>
              <w:keepNext/>
              <w:keepLines/>
              <w:spacing w:after="0" w:line="240" w:lineRule="auto"/>
              <w:jc w:val="center"/>
            </w:pPr>
            <w:r w:rsidRPr="0013150D">
              <w:t>45.0</w:t>
            </w:r>
          </w:p>
          <w:p w14:paraId="004CF40C" w14:textId="77777777" w:rsidR="004965AB" w:rsidRPr="0013150D" w:rsidRDefault="004965AB">
            <w:pPr>
              <w:keepNext/>
              <w:keepLines/>
              <w:spacing w:after="0" w:line="240" w:lineRule="auto"/>
              <w:jc w:val="center"/>
            </w:pPr>
            <w:r w:rsidRPr="0013150D">
              <w:t>18, 79</w:t>
            </w:r>
          </w:p>
        </w:tc>
        <w:tc>
          <w:tcPr>
            <w:tcW w:w="1790" w:type="dxa"/>
            <w:tcBorders>
              <w:top w:val="single" w:sz="6" w:space="0" w:color="auto"/>
              <w:left w:val="single" w:sz="6" w:space="0" w:color="auto"/>
              <w:bottom w:val="single" w:sz="6" w:space="0" w:color="auto"/>
              <w:right w:val="single" w:sz="6" w:space="0" w:color="auto"/>
            </w:tcBorders>
          </w:tcPr>
          <w:p w14:paraId="233B1C92" w14:textId="77777777" w:rsidR="004965AB" w:rsidRPr="0013150D" w:rsidRDefault="004965AB">
            <w:pPr>
              <w:keepNext/>
              <w:keepLines/>
              <w:spacing w:after="0" w:line="240" w:lineRule="auto"/>
              <w:jc w:val="center"/>
            </w:pPr>
            <w:r w:rsidRPr="0013150D">
              <w:t>48.8 (13.97)</w:t>
            </w:r>
          </w:p>
          <w:p w14:paraId="2DC3C6F6" w14:textId="77777777" w:rsidR="004965AB" w:rsidRPr="0013150D" w:rsidRDefault="004965AB">
            <w:pPr>
              <w:keepNext/>
              <w:keepLines/>
              <w:spacing w:after="0" w:line="240" w:lineRule="auto"/>
              <w:jc w:val="center"/>
            </w:pPr>
            <w:r w:rsidRPr="0013150D">
              <w:t>49.0</w:t>
            </w:r>
          </w:p>
          <w:p w14:paraId="4AB49CE4" w14:textId="77777777" w:rsidR="004965AB" w:rsidRPr="0013150D" w:rsidRDefault="004965AB">
            <w:pPr>
              <w:keepNext/>
              <w:keepLines/>
              <w:spacing w:after="0" w:line="240" w:lineRule="auto"/>
              <w:jc w:val="center"/>
            </w:pPr>
            <w:r w:rsidRPr="0013150D">
              <w:t>23, 77</w:t>
            </w:r>
          </w:p>
        </w:tc>
      </w:tr>
      <w:tr w:rsidR="004965AB" w:rsidRPr="0013150D" w14:paraId="2C26AEA8" w14:textId="77777777" w:rsidTr="00A33171">
        <w:trPr>
          <w:cantSplit/>
          <w:trHeight w:val="570"/>
          <w:jc w:val="center"/>
        </w:trPr>
        <w:tc>
          <w:tcPr>
            <w:tcW w:w="4104" w:type="dxa"/>
            <w:tcBorders>
              <w:top w:val="single" w:sz="6" w:space="0" w:color="auto"/>
              <w:left w:val="single" w:sz="6" w:space="0" w:color="auto"/>
              <w:bottom w:val="single" w:sz="6" w:space="0" w:color="auto"/>
              <w:right w:val="single" w:sz="6" w:space="0" w:color="auto"/>
            </w:tcBorders>
          </w:tcPr>
          <w:p w14:paraId="56A57A9F" w14:textId="77777777" w:rsidR="004965AB" w:rsidRPr="0013150D" w:rsidRDefault="004965AB" w:rsidP="00A67D4B">
            <w:pPr>
              <w:keepNext/>
              <w:keepLines/>
              <w:spacing w:after="0" w:line="240" w:lineRule="auto"/>
            </w:pPr>
            <w:r w:rsidRPr="0013150D">
              <w:t>Sex (n, %)</w:t>
            </w:r>
          </w:p>
        </w:tc>
        <w:tc>
          <w:tcPr>
            <w:tcW w:w="1530" w:type="dxa"/>
            <w:tcBorders>
              <w:top w:val="single" w:sz="6" w:space="0" w:color="auto"/>
              <w:left w:val="single" w:sz="6" w:space="0" w:color="auto"/>
              <w:bottom w:val="single" w:sz="6" w:space="0" w:color="auto"/>
              <w:right w:val="single" w:sz="6" w:space="0" w:color="auto"/>
            </w:tcBorders>
          </w:tcPr>
          <w:p w14:paraId="255E1721" w14:textId="77777777" w:rsidR="004965AB" w:rsidRPr="0013150D" w:rsidRDefault="004965AB" w:rsidP="00A67D4B">
            <w:pPr>
              <w:keepNext/>
              <w:keepLines/>
              <w:spacing w:after="0" w:line="240" w:lineRule="auto"/>
            </w:pPr>
            <w:r w:rsidRPr="0013150D">
              <w:t>Male</w:t>
            </w:r>
          </w:p>
          <w:p w14:paraId="25AA2003" w14:textId="77777777" w:rsidR="004965AB" w:rsidRPr="0013150D" w:rsidRDefault="004965AB" w:rsidP="00A67D4B">
            <w:pPr>
              <w:keepNext/>
              <w:keepLines/>
              <w:spacing w:after="0" w:line="240" w:lineRule="auto"/>
            </w:pPr>
            <w:r w:rsidRPr="0013150D">
              <w:t>Female</w:t>
            </w:r>
          </w:p>
        </w:tc>
        <w:tc>
          <w:tcPr>
            <w:tcW w:w="1890" w:type="dxa"/>
            <w:tcBorders>
              <w:top w:val="single" w:sz="6" w:space="0" w:color="auto"/>
              <w:left w:val="single" w:sz="6" w:space="0" w:color="auto"/>
              <w:bottom w:val="single" w:sz="6" w:space="0" w:color="auto"/>
              <w:right w:val="single" w:sz="6" w:space="0" w:color="auto"/>
            </w:tcBorders>
          </w:tcPr>
          <w:p w14:paraId="0A9AD076" w14:textId="77777777" w:rsidR="004965AB" w:rsidRPr="0013150D" w:rsidRDefault="004965AB" w:rsidP="00DD29BE">
            <w:pPr>
              <w:keepNext/>
              <w:keepLines/>
              <w:spacing w:after="0" w:line="240" w:lineRule="auto"/>
              <w:jc w:val="center"/>
            </w:pPr>
            <w:r w:rsidRPr="0013150D">
              <w:t>50 (51.5)</w:t>
            </w:r>
          </w:p>
          <w:p w14:paraId="703BE946" w14:textId="77777777" w:rsidR="004965AB" w:rsidRPr="0013150D" w:rsidRDefault="004965AB" w:rsidP="00B133C4">
            <w:pPr>
              <w:keepNext/>
              <w:keepLines/>
              <w:spacing w:after="0" w:line="240" w:lineRule="auto"/>
              <w:jc w:val="center"/>
            </w:pPr>
            <w:r w:rsidRPr="0013150D">
              <w:t>47 (48.5)</w:t>
            </w:r>
          </w:p>
        </w:tc>
        <w:tc>
          <w:tcPr>
            <w:tcW w:w="1790" w:type="dxa"/>
            <w:tcBorders>
              <w:top w:val="single" w:sz="6" w:space="0" w:color="auto"/>
              <w:left w:val="single" w:sz="6" w:space="0" w:color="auto"/>
              <w:bottom w:val="single" w:sz="6" w:space="0" w:color="auto"/>
              <w:right w:val="single" w:sz="6" w:space="0" w:color="auto"/>
            </w:tcBorders>
          </w:tcPr>
          <w:p w14:paraId="45711B4A" w14:textId="77777777" w:rsidR="004965AB" w:rsidRPr="0013150D" w:rsidRDefault="004965AB">
            <w:pPr>
              <w:keepNext/>
              <w:keepLines/>
              <w:spacing w:after="0" w:line="240" w:lineRule="auto"/>
              <w:jc w:val="center"/>
            </w:pPr>
            <w:r w:rsidRPr="0013150D">
              <w:t>48 (49.0)</w:t>
            </w:r>
          </w:p>
          <w:p w14:paraId="1F30BF46" w14:textId="77777777" w:rsidR="004965AB" w:rsidRPr="0013150D" w:rsidRDefault="004965AB">
            <w:pPr>
              <w:keepNext/>
              <w:keepLines/>
              <w:spacing w:after="0" w:line="240" w:lineRule="auto"/>
              <w:jc w:val="center"/>
            </w:pPr>
            <w:r w:rsidRPr="0013150D">
              <w:t>50 (51.0)</w:t>
            </w:r>
          </w:p>
        </w:tc>
      </w:tr>
      <w:tr w:rsidR="004965AB" w:rsidRPr="0013150D" w14:paraId="77FC9062" w14:textId="77777777" w:rsidTr="00A33171">
        <w:trPr>
          <w:cantSplit/>
          <w:trHeight w:val="147"/>
          <w:jc w:val="center"/>
        </w:trPr>
        <w:tc>
          <w:tcPr>
            <w:tcW w:w="4104" w:type="dxa"/>
            <w:vMerge w:val="restart"/>
            <w:tcBorders>
              <w:left w:val="single" w:sz="6" w:space="0" w:color="auto"/>
              <w:right w:val="single" w:sz="6" w:space="0" w:color="auto"/>
            </w:tcBorders>
            <w:vAlign w:val="center"/>
          </w:tcPr>
          <w:p w14:paraId="63072EC8" w14:textId="77777777" w:rsidR="004965AB" w:rsidRPr="0013150D" w:rsidRDefault="004965AB" w:rsidP="00A67D4B">
            <w:pPr>
              <w:keepNext/>
              <w:keepLines/>
              <w:spacing w:after="0" w:line="240" w:lineRule="auto"/>
            </w:pPr>
            <w:r w:rsidRPr="0013150D">
              <w:t>Pre-treatment LDH levels</w:t>
            </w:r>
          </w:p>
        </w:tc>
        <w:tc>
          <w:tcPr>
            <w:tcW w:w="1530" w:type="dxa"/>
            <w:tcBorders>
              <w:top w:val="nil"/>
              <w:left w:val="single" w:sz="6" w:space="0" w:color="auto"/>
              <w:bottom w:val="nil"/>
              <w:right w:val="single" w:sz="6" w:space="0" w:color="auto"/>
            </w:tcBorders>
          </w:tcPr>
          <w:p w14:paraId="259AA100" w14:textId="77777777" w:rsidR="004965AB" w:rsidRPr="0013150D" w:rsidRDefault="004965AB" w:rsidP="00A67D4B">
            <w:pPr>
              <w:pStyle w:val="C-TableText"/>
              <w:keepNext/>
              <w:keepLines/>
              <w:tabs>
                <w:tab w:val="left" w:pos="220"/>
              </w:tabs>
              <w:rPr>
                <w:rFonts w:ascii="Cambria" w:eastAsia="Calibri" w:hAnsi="Cambria"/>
                <w:sz w:val="22"/>
                <w:szCs w:val="22"/>
              </w:rPr>
            </w:pPr>
            <w:r w:rsidRPr="0013150D">
              <w:rPr>
                <w:rFonts w:ascii="Cambria" w:eastAsia="Calibri" w:hAnsi="Cambria"/>
                <w:sz w:val="22"/>
                <w:szCs w:val="22"/>
              </w:rPr>
              <w:t>Mean (SD)</w:t>
            </w:r>
          </w:p>
        </w:tc>
        <w:tc>
          <w:tcPr>
            <w:tcW w:w="1890" w:type="dxa"/>
            <w:tcBorders>
              <w:top w:val="nil"/>
              <w:left w:val="single" w:sz="6" w:space="0" w:color="auto"/>
              <w:bottom w:val="nil"/>
              <w:right w:val="single" w:sz="6" w:space="0" w:color="auto"/>
            </w:tcBorders>
          </w:tcPr>
          <w:p w14:paraId="381F3785" w14:textId="77777777" w:rsidR="004965AB" w:rsidRPr="0013150D" w:rsidRDefault="004965AB" w:rsidP="00DD29BE">
            <w:pPr>
              <w:pStyle w:val="C-TableText"/>
              <w:keepNext/>
              <w:keepLines/>
              <w:jc w:val="center"/>
              <w:rPr>
                <w:rFonts w:ascii="Cambria" w:eastAsia="Calibri" w:hAnsi="Cambria"/>
                <w:sz w:val="22"/>
                <w:szCs w:val="22"/>
              </w:rPr>
            </w:pPr>
            <w:r w:rsidRPr="0013150D">
              <w:rPr>
                <w:rFonts w:ascii="Cambria" w:hAnsi="Cambria"/>
                <w:bCs/>
                <w:sz w:val="22"/>
                <w:szCs w:val="22"/>
              </w:rPr>
              <w:t>228.0 (48.71)</w:t>
            </w:r>
          </w:p>
        </w:tc>
        <w:tc>
          <w:tcPr>
            <w:tcW w:w="1790" w:type="dxa"/>
            <w:tcBorders>
              <w:top w:val="nil"/>
              <w:left w:val="single" w:sz="6" w:space="0" w:color="auto"/>
              <w:bottom w:val="nil"/>
              <w:right w:val="single" w:sz="6" w:space="0" w:color="auto"/>
            </w:tcBorders>
          </w:tcPr>
          <w:p w14:paraId="20A1BDD6" w14:textId="77777777" w:rsidR="004965AB" w:rsidRPr="0013150D" w:rsidRDefault="004965AB" w:rsidP="00B133C4">
            <w:pPr>
              <w:pStyle w:val="C-TableText"/>
              <w:keepNext/>
              <w:keepLines/>
              <w:jc w:val="center"/>
              <w:rPr>
                <w:rFonts w:ascii="Cambria" w:eastAsia="Calibri" w:hAnsi="Cambria"/>
                <w:sz w:val="22"/>
                <w:szCs w:val="22"/>
              </w:rPr>
            </w:pPr>
            <w:r w:rsidRPr="0013150D">
              <w:rPr>
                <w:rFonts w:ascii="Cambria" w:hAnsi="Cambria"/>
                <w:bCs/>
                <w:sz w:val="22"/>
                <w:szCs w:val="22"/>
              </w:rPr>
              <w:t>235.2 (49.71)</w:t>
            </w:r>
          </w:p>
        </w:tc>
      </w:tr>
      <w:tr w:rsidR="004965AB" w:rsidRPr="0013150D" w14:paraId="71CEEC97" w14:textId="77777777" w:rsidTr="00A33171">
        <w:trPr>
          <w:cantSplit/>
          <w:trHeight w:val="147"/>
          <w:jc w:val="center"/>
        </w:trPr>
        <w:tc>
          <w:tcPr>
            <w:tcW w:w="4104" w:type="dxa"/>
            <w:vMerge/>
            <w:tcBorders>
              <w:left w:val="single" w:sz="6" w:space="0" w:color="auto"/>
              <w:right w:val="single" w:sz="6" w:space="0" w:color="auto"/>
            </w:tcBorders>
            <w:vAlign w:val="center"/>
          </w:tcPr>
          <w:p w14:paraId="2F3BF10B" w14:textId="77777777" w:rsidR="004965AB" w:rsidRPr="0013150D" w:rsidRDefault="004965AB" w:rsidP="00E21E88">
            <w:pPr>
              <w:keepNext/>
              <w:keepLines/>
              <w:spacing w:after="0" w:line="240" w:lineRule="auto"/>
            </w:pPr>
          </w:p>
        </w:tc>
        <w:tc>
          <w:tcPr>
            <w:tcW w:w="1530" w:type="dxa"/>
            <w:tcBorders>
              <w:top w:val="nil"/>
              <w:left w:val="single" w:sz="6" w:space="0" w:color="auto"/>
              <w:bottom w:val="single" w:sz="4" w:space="0" w:color="auto"/>
              <w:right w:val="single" w:sz="6" w:space="0" w:color="auto"/>
            </w:tcBorders>
          </w:tcPr>
          <w:p w14:paraId="299B0D23" w14:textId="77777777" w:rsidR="004965AB" w:rsidRPr="0013150D" w:rsidRDefault="004965AB" w:rsidP="00A67D4B">
            <w:pPr>
              <w:pStyle w:val="C-TableText"/>
              <w:keepNext/>
              <w:keepLines/>
              <w:tabs>
                <w:tab w:val="left" w:pos="220"/>
              </w:tabs>
              <w:rPr>
                <w:rFonts w:ascii="Cambria" w:eastAsia="Calibri" w:hAnsi="Cambria"/>
                <w:sz w:val="22"/>
                <w:szCs w:val="22"/>
              </w:rPr>
            </w:pPr>
            <w:r w:rsidRPr="0013150D">
              <w:rPr>
                <w:rFonts w:ascii="Cambria" w:eastAsia="Calibri" w:hAnsi="Cambria"/>
                <w:sz w:val="22"/>
                <w:szCs w:val="22"/>
              </w:rPr>
              <w:t>Median</w:t>
            </w:r>
          </w:p>
        </w:tc>
        <w:tc>
          <w:tcPr>
            <w:tcW w:w="1890" w:type="dxa"/>
            <w:tcBorders>
              <w:top w:val="nil"/>
              <w:left w:val="single" w:sz="6" w:space="0" w:color="auto"/>
              <w:bottom w:val="single" w:sz="4" w:space="0" w:color="auto"/>
              <w:right w:val="single" w:sz="6" w:space="0" w:color="auto"/>
            </w:tcBorders>
          </w:tcPr>
          <w:p w14:paraId="3C53BEE6" w14:textId="77777777" w:rsidR="004965AB" w:rsidRPr="0013150D" w:rsidRDefault="004965AB" w:rsidP="00DD29BE">
            <w:pPr>
              <w:pStyle w:val="C-TableText"/>
              <w:keepNext/>
              <w:keepLines/>
              <w:jc w:val="center"/>
              <w:rPr>
                <w:rFonts w:ascii="Cambria" w:eastAsia="Calibri" w:hAnsi="Cambria"/>
                <w:sz w:val="22"/>
                <w:szCs w:val="22"/>
              </w:rPr>
            </w:pPr>
            <w:r w:rsidRPr="0013150D">
              <w:rPr>
                <w:rFonts w:ascii="Cambria" w:eastAsia="Calibri" w:hAnsi="Cambria"/>
                <w:sz w:val="22"/>
                <w:szCs w:val="22"/>
              </w:rPr>
              <w:t>224.0</w:t>
            </w:r>
          </w:p>
        </w:tc>
        <w:tc>
          <w:tcPr>
            <w:tcW w:w="1790" w:type="dxa"/>
            <w:tcBorders>
              <w:top w:val="nil"/>
              <w:left w:val="single" w:sz="6" w:space="0" w:color="auto"/>
              <w:bottom w:val="single" w:sz="4" w:space="0" w:color="auto"/>
              <w:right w:val="single" w:sz="6" w:space="0" w:color="auto"/>
            </w:tcBorders>
          </w:tcPr>
          <w:p w14:paraId="73CF4675" w14:textId="77777777" w:rsidR="004965AB" w:rsidRPr="0013150D" w:rsidRDefault="004965AB" w:rsidP="00B133C4">
            <w:pPr>
              <w:pStyle w:val="C-TableText"/>
              <w:keepNext/>
              <w:keepLines/>
              <w:jc w:val="center"/>
              <w:rPr>
                <w:rFonts w:ascii="Cambria" w:eastAsia="Calibri" w:hAnsi="Cambria"/>
                <w:sz w:val="22"/>
                <w:szCs w:val="22"/>
              </w:rPr>
            </w:pPr>
            <w:r w:rsidRPr="0013150D">
              <w:rPr>
                <w:rFonts w:ascii="Cambria" w:eastAsia="Calibri" w:hAnsi="Cambria"/>
                <w:sz w:val="22"/>
                <w:szCs w:val="22"/>
              </w:rPr>
              <w:t>234.0</w:t>
            </w:r>
          </w:p>
        </w:tc>
      </w:tr>
      <w:tr w:rsidR="004965AB" w:rsidRPr="0013150D" w14:paraId="308E0E26" w14:textId="77777777" w:rsidTr="00F64C55">
        <w:trPr>
          <w:cantSplit/>
          <w:trHeight w:val="813"/>
          <w:jc w:val="center"/>
        </w:trPr>
        <w:tc>
          <w:tcPr>
            <w:tcW w:w="4104" w:type="dxa"/>
            <w:tcBorders>
              <w:left w:val="single" w:sz="6" w:space="0" w:color="auto"/>
              <w:right w:val="single" w:sz="6" w:space="0" w:color="auto"/>
            </w:tcBorders>
          </w:tcPr>
          <w:p w14:paraId="2A5740E3" w14:textId="77777777" w:rsidR="004965AB" w:rsidRPr="0013150D" w:rsidRDefault="004965AB" w:rsidP="00A67D4B">
            <w:pPr>
              <w:keepNext/>
              <w:keepLines/>
              <w:spacing w:after="0" w:line="240" w:lineRule="auto"/>
            </w:pPr>
            <w:r w:rsidRPr="0013150D">
              <w:t xml:space="preserve">Number of patients with </w:t>
            </w:r>
            <w:proofErr w:type="spellStart"/>
            <w:r w:rsidRPr="0013150D">
              <w:t>pRBC</w:t>
            </w:r>
            <w:proofErr w:type="spellEnd"/>
            <w:r w:rsidRPr="0013150D">
              <w:t xml:space="preserve">/whole blood </w:t>
            </w:r>
            <w:r w:rsidR="00021256">
              <w:t>t</w:t>
            </w:r>
            <w:r w:rsidRPr="0013150D">
              <w:t>ransfusions within 12 months prior to first dose</w:t>
            </w:r>
          </w:p>
        </w:tc>
        <w:tc>
          <w:tcPr>
            <w:tcW w:w="1530" w:type="dxa"/>
            <w:tcBorders>
              <w:top w:val="single" w:sz="4" w:space="0" w:color="auto"/>
              <w:left w:val="single" w:sz="6" w:space="0" w:color="auto"/>
              <w:bottom w:val="single" w:sz="6" w:space="0" w:color="auto"/>
              <w:right w:val="single" w:sz="6" w:space="0" w:color="auto"/>
            </w:tcBorders>
            <w:vAlign w:val="center"/>
          </w:tcPr>
          <w:p w14:paraId="70610AD2" w14:textId="77777777" w:rsidR="004965AB" w:rsidRPr="0013150D" w:rsidRDefault="004965AB" w:rsidP="00A67D4B">
            <w:pPr>
              <w:pStyle w:val="C-TableText"/>
              <w:keepNext/>
              <w:keepLines/>
              <w:tabs>
                <w:tab w:val="left" w:pos="220"/>
              </w:tabs>
              <w:rPr>
                <w:rFonts w:ascii="Cambria" w:eastAsia="Calibri" w:hAnsi="Cambria"/>
                <w:sz w:val="22"/>
                <w:szCs w:val="22"/>
              </w:rPr>
            </w:pPr>
            <w:r w:rsidRPr="0013150D">
              <w:rPr>
                <w:rFonts w:ascii="Cambria" w:eastAsia="Calibri" w:hAnsi="Cambria"/>
                <w:sz w:val="22"/>
                <w:szCs w:val="22"/>
              </w:rPr>
              <w:t>n (%)</w:t>
            </w:r>
          </w:p>
        </w:tc>
        <w:tc>
          <w:tcPr>
            <w:tcW w:w="1890" w:type="dxa"/>
            <w:tcBorders>
              <w:top w:val="single" w:sz="4" w:space="0" w:color="auto"/>
              <w:left w:val="single" w:sz="6" w:space="0" w:color="auto"/>
              <w:bottom w:val="single" w:sz="6" w:space="0" w:color="auto"/>
              <w:right w:val="single" w:sz="6" w:space="0" w:color="auto"/>
            </w:tcBorders>
            <w:vAlign w:val="center"/>
          </w:tcPr>
          <w:p w14:paraId="55E909A2" w14:textId="77777777" w:rsidR="004965AB" w:rsidRPr="0013150D" w:rsidRDefault="004965AB" w:rsidP="00DD29BE">
            <w:pPr>
              <w:pStyle w:val="C-TableText"/>
              <w:keepNext/>
              <w:keepLines/>
              <w:jc w:val="center"/>
              <w:rPr>
                <w:rFonts w:ascii="Cambria" w:eastAsia="Calibri" w:hAnsi="Cambria"/>
                <w:sz w:val="22"/>
                <w:szCs w:val="22"/>
              </w:rPr>
            </w:pPr>
            <w:r w:rsidRPr="0013150D">
              <w:rPr>
                <w:rFonts w:ascii="Cambria" w:eastAsia="Calibri" w:hAnsi="Cambria"/>
                <w:sz w:val="22"/>
                <w:szCs w:val="22"/>
              </w:rPr>
              <w:t>13 (13.4)</w:t>
            </w:r>
          </w:p>
        </w:tc>
        <w:tc>
          <w:tcPr>
            <w:tcW w:w="1790" w:type="dxa"/>
            <w:tcBorders>
              <w:top w:val="single" w:sz="4" w:space="0" w:color="auto"/>
              <w:left w:val="single" w:sz="6" w:space="0" w:color="auto"/>
              <w:bottom w:val="single" w:sz="6" w:space="0" w:color="auto"/>
              <w:right w:val="single" w:sz="6" w:space="0" w:color="auto"/>
            </w:tcBorders>
            <w:vAlign w:val="center"/>
          </w:tcPr>
          <w:p w14:paraId="682362B1" w14:textId="77777777" w:rsidR="004965AB" w:rsidRPr="0013150D" w:rsidRDefault="004965AB" w:rsidP="00DD29BE">
            <w:pPr>
              <w:pStyle w:val="C-TableText"/>
              <w:keepNext/>
              <w:keepLines/>
              <w:jc w:val="center"/>
              <w:rPr>
                <w:rFonts w:ascii="Cambria" w:eastAsia="Calibri" w:hAnsi="Cambria"/>
                <w:sz w:val="22"/>
                <w:szCs w:val="22"/>
              </w:rPr>
            </w:pPr>
            <w:r w:rsidRPr="0013150D">
              <w:rPr>
                <w:rFonts w:ascii="Cambria" w:eastAsia="Calibri" w:hAnsi="Cambria"/>
                <w:sz w:val="22"/>
                <w:szCs w:val="22"/>
              </w:rPr>
              <w:t>12 (12.2)</w:t>
            </w:r>
          </w:p>
        </w:tc>
      </w:tr>
      <w:tr w:rsidR="004965AB" w:rsidRPr="0013150D" w14:paraId="3F9EC05B" w14:textId="77777777" w:rsidTr="00A33171">
        <w:trPr>
          <w:cantSplit/>
          <w:trHeight w:val="228"/>
          <w:jc w:val="center"/>
        </w:trPr>
        <w:tc>
          <w:tcPr>
            <w:tcW w:w="4104" w:type="dxa"/>
            <w:vMerge w:val="restart"/>
            <w:tcBorders>
              <w:left w:val="single" w:sz="6" w:space="0" w:color="auto"/>
              <w:right w:val="single" w:sz="6" w:space="0" w:color="auto"/>
            </w:tcBorders>
          </w:tcPr>
          <w:p w14:paraId="54C18638" w14:textId="77777777" w:rsidR="004965AB" w:rsidRPr="0013150D" w:rsidRDefault="004965AB" w:rsidP="00A67D4B">
            <w:pPr>
              <w:keepNext/>
              <w:keepLines/>
              <w:spacing w:after="0" w:line="240" w:lineRule="auto"/>
            </w:pPr>
            <w:proofErr w:type="spellStart"/>
            <w:r w:rsidRPr="0013150D">
              <w:t>pRBC</w:t>
            </w:r>
            <w:proofErr w:type="spellEnd"/>
            <w:r w:rsidRPr="0013150D">
              <w:t xml:space="preserve">/whole blood </w:t>
            </w:r>
            <w:r w:rsidR="00021256">
              <w:t>t</w:t>
            </w:r>
            <w:r w:rsidRPr="0013150D">
              <w:t>ransfusions within 12 months prior to first dose</w:t>
            </w:r>
          </w:p>
        </w:tc>
        <w:tc>
          <w:tcPr>
            <w:tcW w:w="1530" w:type="dxa"/>
            <w:tcBorders>
              <w:top w:val="single" w:sz="4" w:space="0" w:color="auto"/>
              <w:left w:val="single" w:sz="6" w:space="0" w:color="auto"/>
              <w:bottom w:val="nil"/>
              <w:right w:val="single" w:sz="6" w:space="0" w:color="auto"/>
            </w:tcBorders>
          </w:tcPr>
          <w:p w14:paraId="1F46F7F3" w14:textId="77777777" w:rsidR="004965AB" w:rsidRPr="0013150D" w:rsidRDefault="004965AB" w:rsidP="00A67D4B">
            <w:pPr>
              <w:pStyle w:val="C-TableText"/>
              <w:keepNext/>
              <w:keepLines/>
              <w:tabs>
                <w:tab w:val="left" w:pos="220"/>
              </w:tabs>
              <w:rPr>
                <w:rFonts w:ascii="Cambria" w:eastAsia="Calibri" w:hAnsi="Cambria"/>
                <w:sz w:val="22"/>
                <w:szCs w:val="22"/>
              </w:rPr>
            </w:pPr>
            <w:r w:rsidRPr="0013150D">
              <w:rPr>
                <w:rFonts w:ascii="Cambria" w:eastAsia="Calibri" w:hAnsi="Cambria"/>
                <w:sz w:val="22"/>
                <w:szCs w:val="22"/>
              </w:rPr>
              <w:t>Total</w:t>
            </w:r>
          </w:p>
        </w:tc>
        <w:tc>
          <w:tcPr>
            <w:tcW w:w="1890" w:type="dxa"/>
            <w:tcBorders>
              <w:top w:val="single" w:sz="4" w:space="0" w:color="auto"/>
              <w:left w:val="single" w:sz="6" w:space="0" w:color="auto"/>
              <w:bottom w:val="nil"/>
              <w:right w:val="single" w:sz="6" w:space="0" w:color="auto"/>
            </w:tcBorders>
          </w:tcPr>
          <w:p w14:paraId="00A2E472" w14:textId="77777777" w:rsidR="004965AB" w:rsidRPr="0013150D" w:rsidRDefault="004965AB" w:rsidP="00DD29BE">
            <w:pPr>
              <w:pStyle w:val="C-TableText"/>
              <w:keepNext/>
              <w:keepLines/>
              <w:jc w:val="center"/>
              <w:rPr>
                <w:rFonts w:ascii="Cambria" w:hAnsi="Cambria"/>
                <w:sz w:val="22"/>
                <w:szCs w:val="22"/>
              </w:rPr>
            </w:pPr>
            <w:r w:rsidRPr="0013150D">
              <w:rPr>
                <w:rFonts w:ascii="Cambria" w:hAnsi="Cambria"/>
                <w:sz w:val="22"/>
                <w:szCs w:val="22"/>
              </w:rPr>
              <w:t>64</w:t>
            </w:r>
          </w:p>
        </w:tc>
        <w:tc>
          <w:tcPr>
            <w:tcW w:w="1790" w:type="dxa"/>
            <w:tcBorders>
              <w:top w:val="single" w:sz="4" w:space="0" w:color="auto"/>
              <w:left w:val="single" w:sz="6" w:space="0" w:color="auto"/>
              <w:bottom w:val="nil"/>
              <w:right w:val="single" w:sz="6" w:space="0" w:color="auto"/>
            </w:tcBorders>
          </w:tcPr>
          <w:p w14:paraId="0422A19D"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sz w:val="22"/>
                <w:szCs w:val="22"/>
              </w:rPr>
              <w:t>30</w:t>
            </w:r>
          </w:p>
        </w:tc>
      </w:tr>
      <w:tr w:rsidR="004965AB" w:rsidRPr="0013150D" w14:paraId="014BD2FD" w14:textId="77777777" w:rsidTr="00A33171">
        <w:trPr>
          <w:cantSplit/>
          <w:trHeight w:val="237"/>
          <w:jc w:val="center"/>
        </w:trPr>
        <w:tc>
          <w:tcPr>
            <w:tcW w:w="4104" w:type="dxa"/>
            <w:vMerge/>
            <w:tcBorders>
              <w:left w:val="single" w:sz="6" w:space="0" w:color="auto"/>
              <w:right w:val="single" w:sz="6" w:space="0" w:color="auto"/>
            </w:tcBorders>
          </w:tcPr>
          <w:p w14:paraId="48462A7F" w14:textId="77777777" w:rsidR="004965AB" w:rsidRPr="0013150D" w:rsidRDefault="004965AB" w:rsidP="00E21E88">
            <w:pPr>
              <w:keepNext/>
              <w:keepLines/>
              <w:spacing w:after="0" w:line="240" w:lineRule="auto"/>
            </w:pPr>
          </w:p>
        </w:tc>
        <w:tc>
          <w:tcPr>
            <w:tcW w:w="1530" w:type="dxa"/>
            <w:tcBorders>
              <w:top w:val="nil"/>
              <w:left w:val="single" w:sz="6" w:space="0" w:color="auto"/>
              <w:bottom w:val="nil"/>
              <w:right w:val="single" w:sz="6" w:space="0" w:color="auto"/>
            </w:tcBorders>
          </w:tcPr>
          <w:p w14:paraId="46D93702" w14:textId="77777777" w:rsidR="004965AB" w:rsidRPr="0013150D" w:rsidRDefault="004965AB" w:rsidP="00A67D4B">
            <w:pPr>
              <w:pStyle w:val="C-TableText"/>
              <w:keepNext/>
              <w:keepLines/>
              <w:tabs>
                <w:tab w:val="left" w:pos="220"/>
              </w:tabs>
              <w:rPr>
                <w:rFonts w:ascii="Cambria" w:eastAsia="Calibri" w:hAnsi="Cambria"/>
                <w:sz w:val="22"/>
                <w:szCs w:val="22"/>
              </w:rPr>
            </w:pPr>
            <w:r w:rsidRPr="0013150D">
              <w:rPr>
                <w:rFonts w:ascii="Cambria" w:eastAsia="Calibri" w:hAnsi="Cambria"/>
                <w:sz w:val="22"/>
                <w:szCs w:val="22"/>
              </w:rPr>
              <w:t>Mean (SD)</w:t>
            </w:r>
          </w:p>
        </w:tc>
        <w:tc>
          <w:tcPr>
            <w:tcW w:w="1890" w:type="dxa"/>
            <w:tcBorders>
              <w:top w:val="nil"/>
              <w:left w:val="single" w:sz="6" w:space="0" w:color="auto"/>
              <w:bottom w:val="nil"/>
              <w:right w:val="single" w:sz="6" w:space="0" w:color="auto"/>
            </w:tcBorders>
          </w:tcPr>
          <w:p w14:paraId="16201EA5" w14:textId="77777777" w:rsidR="004965AB" w:rsidRPr="0013150D" w:rsidRDefault="004965AB" w:rsidP="00DD29BE">
            <w:pPr>
              <w:pStyle w:val="C-TableText"/>
              <w:keepNext/>
              <w:keepLines/>
              <w:jc w:val="center"/>
              <w:rPr>
                <w:rFonts w:ascii="Cambria" w:hAnsi="Cambria"/>
                <w:sz w:val="22"/>
                <w:szCs w:val="22"/>
              </w:rPr>
            </w:pPr>
            <w:r w:rsidRPr="0013150D">
              <w:rPr>
                <w:rFonts w:ascii="Cambria" w:hAnsi="Cambria"/>
                <w:sz w:val="22"/>
                <w:szCs w:val="22"/>
              </w:rPr>
              <w:t>4.9 (5.51)</w:t>
            </w:r>
          </w:p>
        </w:tc>
        <w:tc>
          <w:tcPr>
            <w:tcW w:w="1790" w:type="dxa"/>
            <w:tcBorders>
              <w:top w:val="nil"/>
              <w:left w:val="single" w:sz="6" w:space="0" w:color="auto"/>
              <w:bottom w:val="nil"/>
              <w:right w:val="single" w:sz="6" w:space="0" w:color="auto"/>
            </w:tcBorders>
          </w:tcPr>
          <w:p w14:paraId="69446E64"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sz w:val="22"/>
                <w:szCs w:val="22"/>
              </w:rPr>
              <w:t>2.5 (2.32)</w:t>
            </w:r>
          </w:p>
        </w:tc>
      </w:tr>
      <w:tr w:rsidR="004965AB" w:rsidRPr="0013150D" w14:paraId="0F209E93" w14:textId="77777777" w:rsidTr="00A33171">
        <w:trPr>
          <w:cantSplit/>
          <w:trHeight w:val="237"/>
          <w:jc w:val="center"/>
        </w:trPr>
        <w:tc>
          <w:tcPr>
            <w:tcW w:w="4104" w:type="dxa"/>
            <w:vMerge/>
            <w:tcBorders>
              <w:left w:val="single" w:sz="6" w:space="0" w:color="auto"/>
              <w:right w:val="single" w:sz="6" w:space="0" w:color="auto"/>
            </w:tcBorders>
          </w:tcPr>
          <w:p w14:paraId="54E9F386" w14:textId="77777777" w:rsidR="004965AB" w:rsidRPr="0013150D" w:rsidRDefault="004965AB" w:rsidP="00E21E88">
            <w:pPr>
              <w:keepNext/>
              <w:keepLines/>
              <w:spacing w:after="0" w:line="240" w:lineRule="auto"/>
            </w:pPr>
          </w:p>
        </w:tc>
        <w:tc>
          <w:tcPr>
            <w:tcW w:w="1530" w:type="dxa"/>
            <w:tcBorders>
              <w:top w:val="nil"/>
              <w:left w:val="single" w:sz="6" w:space="0" w:color="auto"/>
              <w:bottom w:val="single" w:sz="6" w:space="0" w:color="auto"/>
              <w:right w:val="single" w:sz="6" w:space="0" w:color="auto"/>
            </w:tcBorders>
          </w:tcPr>
          <w:p w14:paraId="2E303DB0" w14:textId="77777777" w:rsidR="004965AB" w:rsidRPr="0013150D" w:rsidRDefault="004965AB" w:rsidP="00A67D4B">
            <w:pPr>
              <w:pStyle w:val="C-TableText"/>
              <w:keepNext/>
              <w:keepLines/>
              <w:tabs>
                <w:tab w:val="left" w:pos="220"/>
              </w:tabs>
              <w:rPr>
                <w:rFonts w:ascii="Cambria" w:eastAsia="Calibri" w:hAnsi="Cambria"/>
                <w:sz w:val="22"/>
                <w:szCs w:val="22"/>
              </w:rPr>
            </w:pPr>
            <w:r w:rsidRPr="0013150D">
              <w:rPr>
                <w:rFonts w:ascii="Cambria" w:eastAsia="Calibri" w:hAnsi="Cambria"/>
                <w:sz w:val="22"/>
                <w:szCs w:val="22"/>
              </w:rPr>
              <w:t>Median</w:t>
            </w:r>
          </w:p>
        </w:tc>
        <w:tc>
          <w:tcPr>
            <w:tcW w:w="1890" w:type="dxa"/>
            <w:tcBorders>
              <w:top w:val="nil"/>
              <w:left w:val="single" w:sz="6" w:space="0" w:color="auto"/>
              <w:bottom w:val="single" w:sz="6" w:space="0" w:color="auto"/>
              <w:right w:val="single" w:sz="6" w:space="0" w:color="auto"/>
            </w:tcBorders>
          </w:tcPr>
          <w:p w14:paraId="0BBB5E5C" w14:textId="77777777" w:rsidR="004965AB" w:rsidRPr="0013150D" w:rsidRDefault="004965AB" w:rsidP="00DD29BE">
            <w:pPr>
              <w:pStyle w:val="C-TableText"/>
              <w:keepNext/>
              <w:keepLines/>
              <w:jc w:val="center"/>
              <w:rPr>
                <w:rFonts w:ascii="Cambria" w:hAnsi="Cambria"/>
                <w:sz w:val="22"/>
                <w:szCs w:val="22"/>
              </w:rPr>
            </w:pPr>
            <w:r w:rsidRPr="0013150D">
              <w:rPr>
                <w:rFonts w:ascii="Cambria" w:hAnsi="Cambria"/>
                <w:sz w:val="22"/>
                <w:szCs w:val="22"/>
              </w:rPr>
              <w:t>3.0</w:t>
            </w:r>
          </w:p>
        </w:tc>
        <w:tc>
          <w:tcPr>
            <w:tcW w:w="1790" w:type="dxa"/>
            <w:tcBorders>
              <w:top w:val="nil"/>
              <w:left w:val="single" w:sz="6" w:space="0" w:color="auto"/>
              <w:bottom w:val="single" w:sz="6" w:space="0" w:color="auto"/>
              <w:right w:val="single" w:sz="6" w:space="0" w:color="auto"/>
            </w:tcBorders>
          </w:tcPr>
          <w:p w14:paraId="2E1FA599"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sz w:val="22"/>
                <w:szCs w:val="22"/>
              </w:rPr>
              <w:t>1.5</w:t>
            </w:r>
          </w:p>
        </w:tc>
      </w:tr>
      <w:tr w:rsidR="004965AB" w:rsidRPr="0013150D" w14:paraId="19B0B624" w14:textId="77777777" w:rsidTr="00A33171">
        <w:trPr>
          <w:cantSplit/>
          <w:trHeight w:val="246"/>
          <w:jc w:val="center"/>
        </w:trPr>
        <w:tc>
          <w:tcPr>
            <w:tcW w:w="4104" w:type="dxa"/>
            <w:vMerge w:val="restart"/>
            <w:tcBorders>
              <w:left w:val="single" w:sz="6" w:space="0" w:color="auto"/>
              <w:right w:val="single" w:sz="6" w:space="0" w:color="auto"/>
            </w:tcBorders>
          </w:tcPr>
          <w:p w14:paraId="71702585" w14:textId="77777777" w:rsidR="004965AB" w:rsidRPr="0013150D" w:rsidRDefault="004965AB" w:rsidP="00A67D4B">
            <w:pPr>
              <w:keepNext/>
              <w:keepLines/>
              <w:spacing w:after="0" w:line="240" w:lineRule="auto"/>
            </w:pPr>
            <w:r w:rsidRPr="0013150D">
              <w:t xml:space="preserve">Units of </w:t>
            </w:r>
            <w:proofErr w:type="spellStart"/>
            <w:r w:rsidRPr="0013150D">
              <w:t>pRBC</w:t>
            </w:r>
            <w:proofErr w:type="spellEnd"/>
            <w:r w:rsidRPr="0013150D">
              <w:t>/whole blood transfused within 12 months prior to first dose</w:t>
            </w:r>
          </w:p>
        </w:tc>
        <w:tc>
          <w:tcPr>
            <w:tcW w:w="1530" w:type="dxa"/>
            <w:tcBorders>
              <w:top w:val="single" w:sz="4" w:space="0" w:color="auto"/>
              <w:left w:val="single" w:sz="6" w:space="0" w:color="auto"/>
              <w:bottom w:val="nil"/>
              <w:right w:val="single" w:sz="6" w:space="0" w:color="auto"/>
            </w:tcBorders>
          </w:tcPr>
          <w:p w14:paraId="765C6164" w14:textId="77777777" w:rsidR="004965AB" w:rsidRPr="0013150D" w:rsidRDefault="004965AB" w:rsidP="00A67D4B">
            <w:pPr>
              <w:pStyle w:val="C-TableText"/>
              <w:keepNext/>
              <w:keepLines/>
              <w:tabs>
                <w:tab w:val="left" w:pos="220"/>
              </w:tabs>
              <w:rPr>
                <w:rFonts w:ascii="Cambria" w:eastAsia="Calibri" w:hAnsi="Cambria"/>
                <w:sz w:val="22"/>
                <w:szCs w:val="22"/>
              </w:rPr>
            </w:pPr>
            <w:r w:rsidRPr="0013150D">
              <w:rPr>
                <w:rFonts w:ascii="Cambria" w:eastAsia="Calibri" w:hAnsi="Cambria"/>
                <w:sz w:val="22"/>
                <w:szCs w:val="22"/>
              </w:rPr>
              <w:t>Total</w:t>
            </w:r>
          </w:p>
        </w:tc>
        <w:tc>
          <w:tcPr>
            <w:tcW w:w="1890" w:type="dxa"/>
            <w:tcBorders>
              <w:top w:val="single" w:sz="4" w:space="0" w:color="auto"/>
              <w:left w:val="single" w:sz="6" w:space="0" w:color="auto"/>
              <w:bottom w:val="nil"/>
              <w:right w:val="single" w:sz="6" w:space="0" w:color="auto"/>
            </w:tcBorders>
          </w:tcPr>
          <w:p w14:paraId="51111FC1" w14:textId="77777777" w:rsidR="004965AB" w:rsidRPr="0013150D" w:rsidRDefault="004965AB" w:rsidP="00DD29BE">
            <w:pPr>
              <w:pStyle w:val="C-TableText"/>
              <w:keepNext/>
              <w:keepLines/>
              <w:jc w:val="center"/>
              <w:rPr>
                <w:rFonts w:ascii="Cambria" w:hAnsi="Cambria"/>
                <w:sz w:val="22"/>
                <w:szCs w:val="22"/>
              </w:rPr>
            </w:pPr>
            <w:r w:rsidRPr="0013150D">
              <w:rPr>
                <w:rFonts w:ascii="Cambria" w:hAnsi="Cambria"/>
                <w:sz w:val="22"/>
                <w:szCs w:val="22"/>
              </w:rPr>
              <w:t>103</w:t>
            </w:r>
          </w:p>
        </w:tc>
        <w:tc>
          <w:tcPr>
            <w:tcW w:w="1790" w:type="dxa"/>
            <w:tcBorders>
              <w:top w:val="single" w:sz="4" w:space="0" w:color="auto"/>
              <w:left w:val="single" w:sz="6" w:space="0" w:color="auto"/>
              <w:bottom w:val="nil"/>
              <w:right w:val="single" w:sz="6" w:space="0" w:color="auto"/>
            </w:tcBorders>
          </w:tcPr>
          <w:p w14:paraId="18FC14A5"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sz w:val="22"/>
                <w:szCs w:val="22"/>
              </w:rPr>
              <w:t>50</w:t>
            </w:r>
          </w:p>
        </w:tc>
      </w:tr>
      <w:tr w:rsidR="004965AB" w:rsidRPr="0013150D" w14:paraId="7B1F4051" w14:textId="77777777" w:rsidTr="00A33171">
        <w:trPr>
          <w:cantSplit/>
          <w:trHeight w:val="246"/>
          <w:jc w:val="center"/>
        </w:trPr>
        <w:tc>
          <w:tcPr>
            <w:tcW w:w="4104" w:type="dxa"/>
            <w:vMerge/>
            <w:tcBorders>
              <w:left w:val="single" w:sz="6" w:space="0" w:color="auto"/>
              <w:right w:val="single" w:sz="6" w:space="0" w:color="auto"/>
            </w:tcBorders>
          </w:tcPr>
          <w:p w14:paraId="2B483F66" w14:textId="77777777" w:rsidR="004965AB" w:rsidRPr="0013150D" w:rsidRDefault="004965AB" w:rsidP="00E21E88">
            <w:pPr>
              <w:keepNext/>
              <w:keepLines/>
              <w:spacing w:after="0" w:line="240" w:lineRule="auto"/>
            </w:pPr>
          </w:p>
        </w:tc>
        <w:tc>
          <w:tcPr>
            <w:tcW w:w="1530" w:type="dxa"/>
            <w:tcBorders>
              <w:top w:val="nil"/>
              <w:left w:val="single" w:sz="6" w:space="0" w:color="auto"/>
              <w:bottom w:val="nil"/>
              <w:right w:val="single" w:sz="6" w:space="0" w:color="auto"/>
            </w:tcBorders>
          </w:tcPr>
          <w:p w14:paraId="0DB4E800" w14:textId="77777777" w:rsidR="004965AB" w:rsidRPr="0013150D" w:rsidRDefault="004965AB" w:rsidP="00A67D4B">
            <w:pPr>
              <w:pStyle w:val="C-TableText"/>
              <w:keepNext/>
              <w:keepLines/>
              <w:tabs>
                <w:tab w:val="left" w:pos="220"/>
              </w:tabs>
              <w:rPr>
                <w:rFonts w:ascii="Cambria" w:eastAsia="Calibri" w:hAnsi="Cambria"/>
                <w:sz w:val="22"/>
                <w:szCs w:val="22"/>
              </w:rPr>
            </w:pPr>
            <w:r w:rsidRPr="0013150D">
              <w:rPr>
                <w:rFonts w:ascii="Cambria" w:eastAsia="Calibri" w:hAnsi="Cambria"/>
                <w:sz w:val="22"/>
                <w:szCs w:val="22"/>
              </w:rPr>
              <w:t>Mean (SD)</w:t>
            </w:r>
          </w:p>
        </w:tc>
        <w:tc>
          <w:tcPr>
            <w:tcW w:w="1890" w:type="dxa"/>
            <w:tcBorders>
              <w:top w:val="nil"/>
              <w:left w:val="single" w:sz="6" w:space="0" w:color="auto"/>
              <w:bottom w:val="nil"/>
              <w:right w:val="single" w:sz="6" w:space="0" w:color="auto"/>
            </w:tcBorders>
          </w:tcPr>
          <w:p w14:paraId="70350776" w14:textId="77777777" w:rsidR="004965AB" w:rsidRPr="0013150D" w:rsidRDefault="004965AB" w:rsidP="00DD29BE">
            <w:pPr>
              <w:pStyle w:val="C-TableText"/>
              <w:keepNext/>
              <w:keepLines/>
              <w:jc w:val="center"/>
              <w:rPr>
                <w:rFonts w:ascii="Cambria" w:hAnsi="Cambria"/>
                <w:sz w:val="22"/>
                <w:szCs w:val="22"/>
              </w:rPr>
            </w:pPr>
            <w:r w:rsidRPr="0013150D">
              <w:rPr>
                <w:rFonts w:ascii="Cambria" w:hAnsi="Cambria"/>
                <w:sz w:val="22"/>
                <w:szCs w:val="22"/>
              </w:rPr>
              <w:t>7.9 (8.78)</w:t>
            </w:r>
          </w:p>
        </w:tc>
        <w:tc>
          <w:tcPr>
            <w:tcW w:w="1790" w:type="dxa"/>
            <w:tcBorders>
              <w:top w:val="nil"/>
              <w:left w:val="single" w:sz="6" w:space="0" w:color="auto"/>
              <w:bottom w:val="nil"/>
              <w:right w:val="single" w:sz="6" w:space="0" w:color="auto"/>
            </w:tcBorders>
          </w:tcPr>
          <w:p w14:paraId="3D6C344D"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sz w:val="22"/>
                <w:szCs w:val="22"/>
              </w:rPr>
              <w:t>4.2 (3.83)</w:t>
            </w:r>
          </w:p>
        </w:tc>
      </w:tr>
      <w:tr w:rsidR="004965AB" w:rsidRPr="0013150D" w14:paraId="1E5B1839" w14:textId="77777777" w:rsidTr="00A33171">
        <w:trPr>
          <w:cantSplit/>
          <w:trHeight w:val="264"/>
          <w:jc w:val="center"/>
        </w:trPr>
        <w:tc>
          <w:tcPr>
            <w:tcW w:w="4104" w:type="dxa"/>
            <w:vMerge/>
            <w:tcBorders>
              <w:left w:val="single" w:sz="6" w:space="0" w:color="auto"/>
              <w:right w:val="single" w:sz="6" w:space="0" w:color="auto"/>
            </w:tcBorders>
          </w:tcPr>
          <w:p w14:paraId="78F3552A" w14:textId="77777777" w:rsidR="004965AB" w:rsidRPr="0013150D" w:rsidRDefault="004965AB" w:rsidP="00E21E88">
            <w:pPr>
              <w:keepNext/>
              <w:keepLines/>
              <w:spacing w:after="0" w:line="240" w:lineRule="auto"/>
            </w:pPr>
          </w:p>
        </w:tc>
        <w:tc>
          <w:tcPr>
            <w:tcW w:w="1530" w:type="dxa"/>
            <w:tcBorders>
              <w:top w:val="nil"/>
              <w:left w:val="single" w:sz="6" w:space="0" w:color="auto"/>
              <w:bottom w:val="single" w:sz="6" w:space="0" w:color="auto"/>
              <w:right w:val="single" w:sz="6" w:space="0" w:color="auto"/>
            </w:tcBorders>
          </w:tcPr>
          <w:p w14:paraId="2A172246" w14:textId="77777777" w:rsidR="004965AB" w:rsidRPr="0013150D" w:rsidRDefault="004965AB" w:rsidP="00A67D4B">
            <w:pPr>
              <w:pStyle w:val="C-TableText"/>
              <w:keepNext/>
              <w:keepLines/>
              <w:tabs>
                <w:tab w:val="left" w:pos="220"/>
              </w:tabs>
              <w:rPr>
                <w:rFonts w:ascii="Cambria" w:eastAsia="Calibri" w:hAnsi="Cambria"/>
                <w:sz w:val="22"/>
                <w:szCs w:val="22"/>
              </w:rPr>
            </w:pPr>
            <w:r w:rsidRPr="0013150D">
              <w:rPr>
                <w:rFonts w:ascii="Cambria" w:eastAsia="Calibri" w:hAnsi="Cambria"/>
                <w:sz w:val="22"/>
                <w:szCs w:val="22"/>
              </w:rPr>
              <w:t>Median</w:t>
            </w:r>
          </w:p>
        </w:tc>
        <w:tc>
          <w:tcPr>
            <w:tcW w:w="1890" w:type="dxa"/>
            <w:tcBorders>
              <w:top w:val="nil"/>
              <w:left w:val="single" w:sz="6" w:space="0" w:color="auto"/>
              <w:bottom w:val="single" w:sz="6" w:space="0" w:color="auto"/>
              <w:right w:val="single" w:sz="6" w:space="0" w:color="auto"/>
            </w:tcBorders>
          </w:tcPr>
          <w:p w14:paraId="548A8E34" w14:textId="77777777" w:rsidR="004965AB" w:rsidRPr="0013150D" w:rsidRDefault="004965AB" w:rsidP="00DD29BE">
            <w:pPr>
              <w:pStyle w:val="C-TableText"/>
              <w:keepNext/>
              <w:keepLines/>
              <w:jc w:val="center"/>
              <w:rPr>
                <w:rFonts w:ascii="Cambria" w:hAnsi="Cambria"/>
                <w:sz w:val="22"/>
                <w:szCs w:val="22"/>
              </w:rPr>
            </w:pPr>
            <w:r w:rsidRPr="0013150D">
              <w:rPr>
                <w:rFonts w:ascii="Cambria" w:hAnsi="Cambria"/>
                <w:sz w:val="22"/>
                <w:szCs w:val="22"/>
              </w:rPr>
              <w:t>4.0</w:t>
            </w:r>
          </w:p>
        </w:tc>
        <w:tc>
          <w:tcPr>
            <w:tcW w:w="1790" w:type="dxa"/>
            <w:tcBorders>
              <w:top w:val="nil"/>
              <w:left w:val="single" w:sz="6" w:space="0" w:color="auto"/>
              <w:bottom w:val="single" w:sz="6" w:space="0" w:color="auto"/>
              <w:right w:val="single" w:sz="6" w:space="0" w:color="auto"/>
            </w:tcBorders>
          </w:tcPr>
          <w:p w14:paraId="627E3243"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sz w:val="22"/>
                <w:szCs w:val="22"/>
              </w:rPr>
              <w:t>2.5</w:t>
            </w:r>
          </w:p>
        </w:tc>
      </w:tr>
      <w:tr w:rsidR="004965AB" w:rsidRPr="0013150D" w14:paraId="0CDCE30F" w14:textId="77777777" w:rsidTr="00A33171">
        <w:trPr>
          <w:cantSplit/>
          <w:trHeight w:val="145"/>
          <w:jc w:val="center"/>
        </w:trPr>
        <w:tc>
          <w:tcPr>
            <w:tcW w:w="4104" w:type="dxa"/>
            <w:tcBorders>
              <w:left w:val="single" w:sz="6" w:space="0" w:color="auto"/>
              <w:bottom w:val="nil"/>
              <w:right w:val="single" w:sz="4" w:space="0" w:color="auto"/>
            </w:tcBorders>
          </w:tcPr>
          <w:p w14:paraId="27BCFB0E" w14:textId="77777777" w:rsidR="004965AB" w:rsidRPr="0013150D" w:rsidRDefault="004965AB" w:rsidP="00A67D4B">
            <w:pPr>
              <w:pStyle w:val="Caption"/>
              <w:keepLines/>
              <w:tabs>
                <w:tab w:val="left" w:pos="49"/>
              </w:tabs>
              <w:spacing w:before="0" w:after="0" w:line="240" w:lineRule="auto"/>
              <w:ind w:left="0" w:firstLine="0"/>
              <w:rPr>
                <w:rFonts w:ascii="Cambria" w:hAnsi="Cambria"/>
                <w:b w:val="0"/>
                <w:sz w:val="22"/>
                <w:szCs w:val="22"/>
              </w:rPr>
            </w:pPr>
            <w:r w:rsidRPr="0013150D">
              <w:rPr>
                <w:rFonts w:ascii="Cambria" w:hAnsi="Cambria"/>
                <w:b w:val="0"/>
                <w:sz w:val="22"/>
                <w:szCs w:val="22"/>
              </w:rPr>
              <w:t>Patients with any PNH conditions prior to informed consent</w:t>
            </w:r>
          </w:p>
        </w:tc>
        <w:tc>
          <w:tcPr>
            <w:tcW w:w="1530" w:type="dxa"/>
            <w:tcBorders>
              <w:top w:val="single" w:sz="4" w:space="0" w:color="auto"/>
              <w:left w:val="single" w:sz="4" w:space="0" w:color="auto"/>
              <w:bottom w:val="nil"/>
              <w:right w:val="single" w:sz="4" w:space="0" w:color="auto"/>
            </w:tcBorders>
          </w:tcPr>
          <w:p w14:paraId="17F81258" w14:textId="77777777" w:rsidR="004965AB" w:rsidRPr="0013150D" w:rsidRDefault="004965AB" w:rsidP="00104DF9">
            <w:pPr>
              <w:pStyle w:val="C-TableText"/>
              <w:keepNext/>
              <w:keepLines/>
              <w:tabs>
                <w:tab w:val="left" w:pos="220"/>
              </w:tabs>
              <w:rPr>
                <w:rFonts w:ascii="Cambria" w:eastAsia="Calibri" w:hAnsi="Cambria"/>
                <w:sz w:val="22"/>
                <w:szCs w:val="22"/>
              </w:rPr>
            </w:pPr>
            <w:r w:rsidRPr="0013150D">
              <w:rPr>
                <w:rFonts w:ascii="Cambria" w:eastAsia="Calibri" w:hAnsi="Cambria"/>
                <w:sz w:val="22"/>
                <w:szCs w:val="22"/>
              </w:rPr>
              <w:t>n (%)</w:t>
            </w:r>
          </w:p>
        </w:tc>
        <w:tc>
          <w:tcPr>
            <w:tcW w:w="1890" w:type="dxa"/>
            <w:tcBorders>
              <w:top w:val="single" w:sz="4" w:space="0" w:color="auto"/>
              <w:left w:val="single" w:sz="4" w:space="0" w:color="auto"/>
              <w:bottom w:val="nil"/>
              <w:right w:val="single" w:sz="4" w:space="0" w:color="auto"/>
            </w:tcBorders>
          </w:tcPr>
          <w:p w14:paraId="22E46DAC" w14:textId="77777777" w:rsidR="004965AB" w:rsidRPr="0013150D" w:rsidRDefault="004965AB" w:rsidP="00DD29BE">
            <w:pPr>
              <w:pStyle w:val="C-TableText"/>
              <w:keepNext/>
              <w:keepLines/>
              <w:jc w:val="center"/>
              <w:rPr>
                <w:rFonts w:ascii="Cambria" w:hAnsi="Cambria"/>
                <w:sz w:val="22"/>
                <w:szCs w:val="22"/>
              </w:rPr>
            </w:pPr>
            <w:r w:rsidRPr="0013150D">
              <w:rPr>
                <w:rFonts w:ascii="Cambria" w:hAnsi="Cambria"/>
                <w:sz w:val="22"/>
                <w:szCs w:val="22"/>
              </w:rPr>
              <w:t>90 (92.8)</w:t>
            </w:r>
          </w:p>
        </w:tc>
        <w:tc>
          <w:tcPr>
            <w:tcW w:w="1790" w:type="dxa"/>
            <w:tcBorders>
              <w:top w:val="single" w:sz="4" w:space="0" w:color="auto"/>
              <w:left w:val="single" w:sz="4" w:space="0" w:color="auto"/>
              <w:bottom w:val="nil"/>
              <w:right w:val="single" w:sz="4" w:space="0" w:color="auto"/>
            </w:tcBorders>
          </w:tcPr>
          <w:p w14:paraId="30501FB3"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sz w:val="22"/>
                <w:szCs w:val="22"/>
              </w:rPr>
              <w:t>96 (98.0)</w:t>
            </w:r>
          </w:p>
        </w:tc>
      </w:tr>
      <w:tr w:rsidR="004965AB" w:rsidRPr="0013150D" w14:paraId="10A25C88" w14:textId="77777777" w:rsidTr="00A33171">
        <w:trPr>
          <w:cantSplit/>
          <w:trHeight w:val="145"/>
          <w:jc w:val="center"/>
        </w:trPr>
        <w:tc>
          <w:tcPr>
            <w:tcW w:w="4104" w:type="dxa"/>
            <w:tcBorders>
              <w:top w:val="nil"/>
              <w:left w:val="single" w:sz="4" w:space="0" w:color="auto"/>
              <w:bottom w:val="nil"/>
              <w:right w:val="single" w:sz="4" w:space="0" w:color="auto"/>
            </w:tcBorders>
          </w:tcPr>
          <w:p w14:paraId="10FF5F70" w14:textId="77777777" w:rsidR="004965AB" w:rsidRPr="0013150D" w:rsidRDefault="004965AB" w:rsidP="00A67D4B">
            <w:pPr>
              <w:pStyle w:val="Caption"/>
              <w:keepLines/>
              <w:tabs>
                <w:tab w:val="left" w:pos="220"/>
              </w:tabs>
              <w:spacing w:before="0" w:after="0" w:line="240" w:lineRule="auto"/>
              <w:ind w:left="0" w:firstLine="0"/>
              <w:rPr>
                <w:rFonts w:ascii="Cambria" w:hAnsi="Cambria"/>
                <w:b w:val="0"/>
                <w:sz w:val="22"/>
                <w:szCs w:val="22"/>
              </w:rPr>
            </w:pPr>
            <w:r w:rsidRPr="0013150D">
              <w:rPr>
                <w:rFonts w:ascii="Cambria" w:hAnsi="Cambria"/>
                <w:b w:val="0"/>
                <w:sz w:val="22"/>
                <w:szCs w:val="22"/>
              </w:rPr>
              <w:t xml:space="preserve">   </w:t>
            </w:r>
            <w:proofErr w:type="spellStart"/>
            <w:r w:rsidRPr="0013150D">
              <w:rPr>
                <w:rFonts w:ascii="Cambria" w:hAnsi="Cambria"/>
                <w:b w:val="0"/>
                <w:sz w:val="22"/>
                <w:szCs w:val="22"/>
              </w:rPr>
              <w:t>Anaemia</w:t>
            </w:r>
            <w:proofErr w:type="spellEnd"/>
          </w:p>
        </w:tc>
        <w:tc>
          <w:tcPr>
            <w:tcW w:w="1530" w:type="dxa"/>
            <w:tcBorders>
              <w:top w:val="nil"/>
              <w:left w:val="single" w:sz="4" w:space="0" w:color="auto"/>
              <w:bottom w:val="nil"/>
              <w:right w:val="single" w:sz="4" w:space="0" w:color="auto"/>
            </w:tcBorders>
          </w:tcPr>
          <w:p w14:paraId="2FFD0CE0" w14:textId="77777777" w:rsidR="004965AB" w:rsidRPr="0013150D" w:rsidRDefault="004965AB" w:rsidP="00104DF9">
            <w:pPr>
              <w:pStyle w:val="C-TableText"/>
              <w:keepNext/>
              <w:keepLines/>
              <w:tabs>
                <w:tab w:val="left" w:pos="220"/>
              </w:tabs>
              <w:rPr>
                <w:rFonts w:ascii="Cambria" w:eastAsia="Calibri" w:hAnsi="Cambria"/>
                <w:sz w:val="22"/>
                <w:szCs w:val="22"/>
              </w:rPr>
            </w:pPr>
          </w:p>
        </w:tc>
        <w:tc>
          <w:tcPr>
            <w:tcW w:w="1890" w:type="dxa"/>
            <w:tcBorders>
              <w:top w:val="nil"/>
              <w:left w:val="single" w:sz="4" w:space="0" w:color="auto"/>
              <w:bottom w:val="nil"/>
              <w:right w:val="single" w:sz="4" w:space="0" w:color="auto"/>
            </w:tcBorders>
          </w:tcPr>
          <w:p w14:paraId="19E3C844" w14:textId="77777777" w:rsidR="004965AB" w:rsidRPr="0013150D" w:rsidRDefault="004965AB" w:rsidP="00DD29BE">
            <w:pPr>
              <w:pStyle w:val="C-TableText"/>
              <w:keepNext/>
              <w:keepLines/>
              <w:jc w:val="center"/>
              <w:rPr>
                <w:rFonts w:ascii="Cambria" w:hAnsi="Cambria"/>
                <w:sz w:val="22"/>
                <w:szCs w:val="22"/>
              </w:rPr>
            </w:pPr>
            <w:r w:rsidRPr="0013150D">
              <w:rPr>
                <w:rFonts w:ascii="Cambria" w:hAnsi="Cambria"/>
                <w:sz w:val="22"/>
                <w:szCs w:val="22"/>
              </w:rPr>
              <w:t>64 (66.0)</w:t>
            </w:r>
          </w:p>
        </w:tc>
        <w:tc>
          <w:tcPr>
            <w:tcW w:w="1790" w:type="dxa"/>
            <w:tcBorders>
              <w:top w:val="nil"/>
              <w:left w:val="single" w:sz="4" w:space="0" w:color="auto"/>
              <w:bottom w:val="nil"/>
              <w:right w:val="single" w:sz="4" w:space="0" w:color="auto"/>
            </w:tcBorders>
          </w:tcPr>
          <w:p w14:paraId="528698D7"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sz w:val="22"/>
                <w:szCs w:val="22"/>
              </w:rPr>
              <w:t>67 (68.4)</w:t>
            </w:r>
          </w:p>
        </w:tc>
      </w:tr>
      <w:tr w:rsidR="004965AB" w:rsidRPr="0013150D" w14:paraId="4974F2EA" w14:textId="77777777" w:rsidTr="00A33171">
        <w:trPr>
          <w:cantSplit/>
          <w:trHeight w:val="145"/>
          <w:jc w:val="center"/>
        </w:trPr>
        <w:tc>
          <w:tcPr>
            <w:tcW w:w="4104" w:type="dxa"/>
            <w:tcBorders>
              <w:top w:val="nil"/>
              <w:left w:val="single" w:sz="4" w:space="0" w:color="auto"/>
              <w:bottom w:val="nil"/>
              <w:right w:val="single" w:sz="4" w:space="0" w:color="auto"/>
            </w:tcBorders>
          </w:tcPr>
          <w:p w14:paraId="3FC47A83" w14:textId="77777777" w:rsidR="004965AB" w:rsidRPr="0013150D" w:rsidRDefault="004965AB" w:rsidP="00A67D4B">
            <w:pPr>
              <w:pStyle w:val="Caption"/>
              <w:keepLines/>
              <w:tabs>
                <w:tab w:val="left" w:pos="220"/>
              </w:tabs>
              <w:spacing w:before="0" w:after="0" w:line="240" w:lineRule="auto"/>
              <w:ind w:left="0" w:firstLine="0"/>
              <w:rPr>
                <w:rFonts w:ascii="Cambria" w:hAnsi="Cambria"/>
                <w:b w:val="0"/>
                <w:sz w:val="22"/>
                <w:szCs w:val="22"/>
              </w:rPr>
            </w:pPr>
            <w:r w:rsidRPr="0013150D">
              <w:rPr>
                <w:rFonts w:ascii="Cambria" w:hAnsi="Cambria"/>
                <w:b w:val="0"/>
                <w:sz w:val="22"/>
                <w:szCs w:val="22"/>
              </w:rPr>
              <w:t xml:space="preserve">   </w:t>
            </w:r>
            <w:proofErr w:type="spellStart"/>
            <w:r w:rsidRPr="0013150D">
              <w:rPr>
                <w:rFonts w:ascii="Cambria" w:hAnsi="Cambria"/>
                <w:b w:val="0"/>
                <w:sz w:val="22"/>
                <w:szCs w:val="22"/>
              </w:rPr>
              <w:t>Haematuria</w:t>
            </w:r>
            <w:proofErr w:type="spellEnd"/>
            <w:r w:rsidRPr="0013150D">
              <w:rPr>
                <w:rFonts w:ascii="Cambria" w:hAnsi="Cambria"/>
                <w:b w:val="0"/>
                <w:sz w:val="22"/>
                <w:szCs w:val="22"/>
              </w:rPr>
              <w:t xml:space="preserve"> or </w:t>
            </w:r>
            <w:proofErr w:type="spellStart"/>
            <w:r w:rsidRPr="0013150D">
              <w:rPr>
                <w:rFonts w:ascii="Cambria" w:hAnsi="Cambria"/>
                <w:b w:val="0"/>
                <w:sz w:val="22"/>
                <w:szCs w:val="22"/>
              </w:rPr>
              <w:t>haemoglobinuria</w:t>
            </w:r>
            <w:proofErr w:type="spellEnd"/>
          </w:p>
        </w:tc>
        <w:tc>
          <w:tcPr>
            <w:tcW w:w="1530" w:type="dxa"/>
            <w:tcBorders>
              <w:top w:val="nil"/>
              <w:left w:val="single" w:sz="4" w:space="0" w:color="auto"/>
              <w:bottom w:val="nil"/>
              <w:right w:val="single" w:sz="4" w:space="0" w:color="auto"/>
            </w:tcBorders>
          </w:tcPr>
          <w:p w14:paraId="6F9CDAC3" w14:textId="77777777" w:rsidR="004965AB" w:rsidRPr="0013150D" w:rsidRDefault="004965AB" w:rsidP="00104DF9">
            <w:pPr>
              <w:pStyle w:val="C-TableText"/>
              <w:keepNext/>
              <w:keepLines/>
              <w:tabs>
                <w:tab w:val="left" w:pos="220"/>
              </w:tabs>
              <w:rPr>
                <w:rFonts w:ascii="Cambria" w:eastAsia="Calibri" w:hAnsi="Cambria"/>
                <w:sz w:val="22"/>
                <w:szCs w:val="22"/>
              </w:rPr>
            </w:pPr>
          </w:p>
        </w:tc>
        <w:tc>
          <w:tcPr>
            <w:tcW w:w="1890" w:type="dxa"/>
            <w:tcBorders>
              <w:top w:val="nil"/>
              <w:left w:val="single" w:sz="4" w:space="0" w:color="auto"/>
              <w:bottom w:val="nil"/>
              <w:right w:val="single" w:sz="4" w:space="0" w:color="auto"/>
            </w:tcBorders>
          </w:tcPr>
          <w:p w14:paraId="6F816F9C" w14:textId="77777777" w:rsidR="004965AB" w:rsidRPr="0013150D" w:rsidRDefault="004965AB" w:rsidP="00DD29BE">
            <w:pPr>
              <w:pStyle w:val="C-TableText"/>
              <w:keepNext/>
              <w:keepLines/>
              <w:jc w:val="center"/>
              <w:rPr>
                <w:rFonts w:ascii="Cambria" w:hAnsi="Cambria"/>
                <w:sz w:val="22"/>
                <w:szCs w:val="22"/>
              </w:rPr>
            </w:pPr>
            <w:r w:rsidRPr="0013150D">
              <w:rPr>
                <w:rFonts w:ascii="Cambria" w:hAnsi="Cambria"/>
                <w:sz w:val="22"/>
                <w:szCs w:val="22"/>
              </w:rPr>
              <w:t>47 (48.5)</w:t>
            </w:r>
          </w:p>
        </w:tc>
        <w:tc>
          <w:tcPr>
            <w:tcW w:w="1790" w:type="dxa"/>
            <w:tcBorders>
              <w:top w:val="nil"/>
              <w:left w:val="single" w:sz="4" w:space="0" w:color="auto"/>
              <w:bottom w:val="nil"/>
              <w:right w:val="single" w:sz="4" w:space="0" w:color="auto"/>
            </w:tcBorders>
          </w:tcPr>
          <w:p w14:paraId="53A3AEC7"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sz w:val="22"/>
                <w:szCs w:val="22"/>
              </w:rPr>
              <w:t>48 (49.0)</w:t>
            </w:r>
          </w:p>
        </w:tc>
      </w:tr>
      <w:tr w:rsidR="004965AB" w:rsidRPr="0013150D" w14:paraId="6338D199" w14:textId="77777777" w:rsidTr="00A33171">
        <w:trPr>
          <w:cantSplit/>
          <w:trHeight w:val="145"/>
          <w:jc w:val="center"/>
        </w:trPr>
        <w:tc>
          <w:tcPr>
            <w:tcW w:w="4104" w:type="dxa"/>
            <w:tcBorders>
              <w:top w:val="nil"/>
              <w:left w:val="single" w:sz="4" w:space="0" w:color="auto"/>
              <w:bottom w:val="nil"/>
              <w:right w:val="single" w:sz="4" w:space="0" w:color="auto"/>
            </w:tcBorders>
          </w:tcPr>
          <w:p w14:paraId="2697E70E" w14:textId="77777777" w:rsidR="004965AB" w:rsidRPr="0013150D" w:rsidRDefault="004965AB" w:rsidP="00A67D4B">
            <w:pPr>
              <w:pStyle w:val="Caption"/>
              <w:keepLines/>
              <w:tabs>
                <w:tab w:val="left" w:pos="220"/>
              </w:tabs>
              <w:spacing w:before="0" w:after="0" w:line="240" w:lineRule="auto"/>
              <w:ind w:left="0" w:firstLine="0"/>
              <w:rPr>
                <w:rFonts w:ascii="Cambria" w:hAnsi="Cambria"/>
                <w:b w:val="0"/>
                <w:sz w:val="22"/>
                <w:szCs w:val="22"/>
              </w:rPr>
            </w:pPr>
            <w:r w:rsidRPr="0013150D">
              <w:rPr>
                <w:rFonts w:ascii="Cambria" w:hAnsi="Cambria"/>
                <w:b w:val="0"/>
                <w:sz w:val="22"/>
                <w:szCs w:val="22"/>
              </w:rPr>
              <w:t xml:space="preserve">   Aplastic </w:t>
            </w:r>
            <w:proofErr w:type="spellStart"/>
            <w:r w:rsidRPr="0013150D">
              <w:rPr>
                <w:rFonts w:ascii="Cambria" w:hAnsi="Cambria"/>
                <w:b w:val="0"/>
                <w:sz w:val="22"/>
                <w:szCs w:val="22"/>
              </w:rPr>
              <w:t>anaemia</w:t>
            </w:r>
            <w:proofErr w:type="spellEnd"/>
          </w:p>
        </w:tc>
        <w:tc>
          <w:tcPr>
            <w:tcW w:w="1530" w:type="dxa"/>
            <w:tcBorders>
              <w:top w:val="nil"/>
              <w:left w:val="single" w:sz="4" w:space="0" w:color="auto"/>
              <w:bottom w:val="nil"/>
              <w:right w:val="single" w:sz="4" w:space="0" w:color="auto"/>
            </w:tcBorders>
          </w:tcPr>
          <w:p w14:paraId="2C87DB14" w14:textId="77777777" w:rsidR="004965AB" w:rsidRPr="0013150D" w:rsidRDefault="004965AB" w:rsidP="00104DF9">
            <w:pPr>
              <w:pStyle w:val="C-TableText"/>
              <w:keepNext/>
              <w:keepLines/>
              <w:tabs>
                <w:tab w:val="left" w:pos="220"/>
              </w:tabs>
              <w:rPr>
                <w:rFonts w:ascii="Cambria" w:eastAsia="Calibri" w:hAnsi="Cambria"/>
                <w:sz w:val="22"/>
                <w:szCs w:val="22"/>
              </w:rPr>
            </w:pPr>
          </w:p>
        </w:tc>
        <w:tc>
          <w:tcPr>
            <w:tcW w:w="1890" w:type="dxa"/>
            <w:tcBorders>
              <w:top w:val="nil"/>
              <w:left w:val="single" w:sz="4" w:space="0" w:color="auto"/>
              <w:bottom w:val="nil"/>
              <w:right w:val="single" w:sz="4" w:space="0" w:color="auto"/>
            </w:tcBorders>
          </w:tcPr>
          <w:p w14:paraId="72EC63AE" w14:textId="77777777" w:rsidR="004965AB" w:rsidRPr="0013150D" w:rsidRDefault="004965AB" w:rsidP="00DD29BE">
            <w:pPr>
              <w:pStyle w:val="C-TableText"/>
              <w:keepNext/>
              <w:keepLines/>
              <w:jc w:val="center"/>
              <w:rPr>
                <w:rFonts w:ascii="Cambria" w:hAnsi="Cambria"/>
                <w:sz w:val="22"/>
                <w:szCs w:val="22"/>
              </w:rPr>
            </w:pPr>
            <w:r w:rsidRPr="0013150D">
              <w:rPr>
                <w:rFonts w:ascii="Cambria" w:hAnsi="Cambria"/>
                <w:sz w:val="22"/>
                <w:szCs w:val="22"/>
              </w:rPr>
              <w:t>34 (35.1)</w:t>
            </w:r>
          </w:p>
        </w:tc>
        <w:tc>
          <w:tcPr>
            <w:tcW w:w="1790" w:type="dxa"/>
            <w:tcBorders>
              <w:top w:val="nil"/>
              <w:left w:val="single" w:sz="4" w:space="0" w:color="auto"/>
              <w:bottom w:val="nil"/>
              <w:right w:val="single" w:sz="4" w:space="0" w:color="auto"/>
            </w:tcBorders>
          </w:tcPr>
          <w:p w14:paraId="71B90D1C"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sz w:val="22"/>
                <w:szCs w:val="22"/>
              </w:rPr>
              <w:t>39 (39.8)</w:t>
            </w:r>
          </w:p>
        </w:tc>
      </w:tr>
      <w:tr w:rsidR="004965AB" w:rsidRPr="0013150D" w14:paraId="1E5F4C6F" w14:textId="77777777" w:rsidTr="00A33171">
        <w:trPr>
          <w:cantSplit/>
          <w:trHeight w:val="145"/>
          <w:jc w:val="center"/>
        </w:trPr>
        <w:tc>
          <w:tcPr>
            <w:tcW w:w="4104" w:type="dxa"/>
            <w:tcBorders>
              <w:top w:val="nil"/>
              <w:left w:val="single" w:sz="4" w:space="0" w:color="auto"/>
              <w:bottom w:val="nil"/>
              <w:right w:val="single" w:sz="4" w:space="0" w:color="auto"/>
            </w:tcBorders>
          </w:tcPr>
          <w:p w14:paraId="15CDC01D" w14:textId="77777777" w:rsidR="004965AB" w:rsidRPr="0013150D" w:rsidRDefault="004965AB" w:rsidP="00A67D4B">
            <w:pPr>
              <w:pStyle w:val="Caption"/>
              <w:keepLines/>
              <w:tabs>
                <w:tab w:val="left" w:pos="220"/>
              </w:tabs>
              <w:spacing w:before="0" w:after="0" w:line="240" w:lineRule="auto"/>
              <w:ind w:left="0" w:firstLine="0"/>
              <w:rPr>
                <w:rFonts w:ascii="Cambria" w:hAnsi="Cambria"/>
                <w:b w:val="0"/>
                <w:sz w:val="22"/>
                <w:szCs w:val="22"/>
              </w:rPr>
            </w:pPr>
            <w:r w:rsidRPr="0013150D">
              <w:rPr>
                <w:rFonts w:ascii="Cambria" w:hAnsi="Cambria"/>
                <w:b w:val="0"/>
                <w:sz w:val="22"/>
                <w:szCs w:val="22"/>
              </w:rPr>
              <w:t xml:space="preserve">   Renal failure</w:t>
            </w:r>
          </w:p>
        </w:tc>
        <w:tc>
          <w:tcPr>
            <w:tcW w:w="1530" w:type="dxa"/>
            <w:tcBorders>
              <w:top w:val="nil"/>
              <w:left w:val="single" w:sz="4" w:space="0" w:color="auto"/>
              <w:bottom w:val="nil"/>
              <w:right w:val="single" w:sz="4" w:space="0" w:color="auto"/>
            </w:tcBorders>
          </w:tcPr>
          <w:p w14:paraId="114FD0BC" w14:textId="77777777" w:rsidR="004965AB" w:rsidRPr="0013150D" w:rsidRDefault="004965AB" w:rsidP="00104DF9">
            <w:pPr>
              <w:pStyle w:val="C-TableText"/>
              <w:keepNext/>
              <w:keepLines/>
              <w:tabs>
                <w:tab w:val="left" w:pos="220"/>
              </w:tabs>
              <w:rPr>
                <w:rFonts w:ascii="Cambria" w:eastAsia="Calibri" w:hAnsi="Cambria"/>
                <w:sz w:val="22"/>
                <w:szCs w:val="22"/>
              </w:rPr>
            </w:pPr>
          </w:p>
        </w:tc>
        <w:tc>
          <w:tcPr>
            <w:tcW w:w="1890" w:type="dxa"/>
            <w:tcBorders>
              <w:top w:val="nil"/>
              <w:left w:val="single" w:sz="4" w:space="0" w:color="auto"/>
              <w:bottom w:val="nil"/>
              <w:right w:val="single" w:sz="4" w:space="0" w:color="auto"/>
            </w:tcBorders>
          </w:tcPr>
          <w:p w14:paraId="3E07789D" w14:textId="77777777" w:rsidR="004965AB" w:rsidRPr="0013150D" w:rsidRDefault="004965AB" w:rsidP="00DD29BE">
            <w:pPr>
              <w:pStyle w:val="C-TableText"/>
              <w:keepNext/>
              <w:keepLines/>
              <w:jc w:val="center"/>
              <w:rPr>
                <w:rFonts w:ascii="Cambria" w:hAnsi="Cambria"/>
                <w:sz w:val="22"/>
                <w:szCs w:val="22"/>
              </w:rPr>
            </w:pPr>
            <w:r w:rsidRPr="0013150D">
              <w:rPr>
                <w:rFonts w:ascii="Cambria" w:hAnsi="Cambria"/>
                <w:sz w:val="22"/>
                <w:szCs w:val="22"/>
              </w:rPr>
              <w:t>11 (11.3)</w:t>
            </w:r>
          </w:p>
        </w:tc>
        <w:tc>
          <w:tcPr>
            <w:tcW w:w="1790" w:type="dxa"/>
            <w:tcBorders>
              <w:top w:val="nil"/>
              <w:left w:val="single" w:sz="4" w:space="0" w:color="auto"/>
              <w:bottom w:val="nil"/>
              <w:right w:val="single" w:sz="4" w:space="0" w:color="auto"/>
            </w:tcBorders>
          </w:tcPr>
          <w:p w14:paraId="3FAB0157"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sz w:val="22"/>
                <w:szCs w:val="22"/>
              </w:rPr>
              <w:t>7 (7.1)</w:t>
            </w:r>
          </w:p>
        </w:tc>
      </w:tr>
      <w:tr w:rsidR="004965AB" w:rsidRPr="0013150D" w14:paraId="6E442792" w14:textId="77777777" w:rsidTr="00A33171">
        <w:trPr>
          <w:cantSplit/>
          <w:trHeight w:val="145"/>
          <w:jc w:val="center"/>
        </w:trPr>
        <w:tc>
          <w:tcPr>
            <w:tcW w:w="4104" w:type="dxa"/>
            <w:tcBorders>
              <w:top w:val="nil"/>
              <w:left w:val="single" w:sz="4" w:space="0" w:color="auto"/>
              <w:bottom w:val="nil"/>
              <w:right w:val="single" w:sz="4" w:space="0" w:color="auto"/>
            </w:tcBorders>
          </w:tcPr>
          <w:p w14:paraId="49041265" w14:textId="77777777" w:rsidR="004965AB" w:rsidRPr="0013150D" w:rsidRDefault="004965AB" w:rsidP="00A67D4B">
            <w:pPr>
              <w:pStyle w:val="Caption"/>
              <w:keepLines/>
              <w:tabs>
                <w:tab w:val="left" w:pos="220"/>
              </w:tabs>
              <w:spacing w:before="0" w:after="0" w:line="240" w:lineRule="auto"/>
              <w:ind w:left="0" w:firstLine="0"/>
              <w:rPr>
                <w:rFonts w:ascii="Cambria" w:hAnsi="Cambria"/>
                <w:b w:val="0"/>
                <w:sz w:val="22"/>
                <w:szCs w:val="22"/>
              </w:rPr>
            </w:pPr>
            <w:r w:rsidRPr="0013150D">
              <w:rPr>
                <w:rFonts w:ascii="Cambria" w:hAnsi="Cambria"/>
                <w:b w:val="0"/>
                <w:sz w:val="22"/>
                <w:szCs w:val="22"/>
              </w:rPr>
              <w:t xml:space="preserve">   Myelodysplastic syndrome</w:t>
            </w:r>
          </w:p>
        </w:tc>
        <w:tc>
          <w:tcPr>
            <w:tcW w:w="1530" w:type="dxa"/>
            <w:tcBorders>
              <w:top w:val="nil"/>
              <w:left w:val="single" w:sz="4" w:space="0" w:color="auto"/>
              <w:bottom w:val="nil"/>
              <w:right w:val="single" w:sz="4" w:space="0" w:color="auto"/>
            </w:tcBorders>
          </w:tcPr>
          <w:p w14:paraId="3C427EE3" w14:textId="77777777" w:rsidR="004965AB" w:rsidRPr="0013150D" w:rsidRDefault="004965AB" w:rsidP="00104DF9">
            <w:pPr>
              <w:pStyle w:val="C-TableText"/>
              <w:keepNext/>
              <w:keepLines/>
              <w:tabs>
                <w:tab w:val="left" w:pos="220"/>
              </w:tabs>
              <w:rPr>
                <w:rFonts w:ascii="Cambria" w:eastAsia="Calibri" w:hAnsi="Cambria"/>
                <w:sz w:val="22"/>
                <w:szCs w:val="22"/>
              </w:rPr>
            </w:pPr>
          </w:p>
        </w:tc>
        <w:tc>
          <w:tcPr>
            <w:tcW w:w="1890" w:type="dxa"/>
            <w:tcBorders>
              <w:top w:val="nil"/>
              <w:left w:val="single" w:sz="4" w:space="0" w:color="auto"/>
              <w:bottom w:val="nil"/>
              <w:right w:val="single" w:sz="4" w:space="0" w:color="auto"/>
            </w:tcBorders>
          </w:tcPr>
          <w:p w14:paraId="5E0AAE45" w14:textId="77777777" w:rsidR="004965AB" w:rsidRPr="0013150D" w:rsidRDefault="004965AB" w:rsidP="00DD29BE">
            <w:pPr>
              <w:pStyle w:val="C-TableText"/>
              <w:keepNext/>
              <w:keepLines/>
              <w:jc w:val="center"/>
              <w:rPr>
                <w:rFonts w:ascii="Cambria" w:hAnsi="Cambria"/>
                <w:sz w:val="22"/>
                <w:szCs w:val="22"/>
              </w:rPr>
            </w:pPr>
            <w:r w:rsidRPr="0013150D">
              <w:rPr>
                <w:rFonts w:ascii="Cambria" w:hAnsi="Cambria"/>
                <w:sz w:val="22"/>
                <w:szCs w:val="22"/>
              </w:rPr>
              <w:t>3 (3.1)</w:t>
            </w:r>
          </w:p>
        </w:tc>
        <w:tc>
          <w:tcPr>
            <w:tcW w:w="1790" w:type="dxa"/>
            <w:tcBorders>
              <w:top w:val="nil"/>
              <w:left w:val="single" w:sz="4" w:space="0" w:color="auto"/>
              <w:bottom w:val="nil"/>
              <w:right w:val="single" w:sz="4" w:space="0" w:color="auto"/>
            </w:tcBorders>
          </w:tcPr>
          <w:p w14:paraId="5ACC64CE"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sz w:val="22"/>
                <w:szCs w:val="22"/>
              </w:rPr>
              <w:t>6 (6.1)</w:t>
            </w:r>
          </w:p>
        </w:tc>
      </w:tr>
      <w:tr w:rsidR="004965AB" w:rsidRPr="0013150D" w14:paraId="00F4E0C9" w14:textId="77777777" w:rsidTr="00A33171">
        <w:trPr>
          <w:cantSplit/>
          <w:trHeight w:val="145"/>
          <w:jc w:val="center"/>
        </w:trPr>
        <w:tc>
          <w:tcPr>
            <w:tcW w:w="4104" w:type="dxa"/>
            <w:tcBorders>
              <w:top w:val="nil"/>
              <w:left w:val="single" w:sz="4" w:space="0" w:color="auto"/>
              <w:bottom w:val="nil"/>
              <w:right w:val="single" w:sz="4" w:space="0" w:color="auto"/>
            </w:tcBorders>
          </w:tcPr>
          <w:p w14:paraId="47AF0C17" w14:textId="77777777" w:rsidR="004965AB" w:rsidRPr="0013150D" w:rsidRDefault="004965AB" w:rsidP="00A67D4B">
            <w:pPr>
              <w:pStyle w:val="Caption"/>
              <w:keepLines/>
              <w:tabs>
                <w:tab w:val="left" w:pos="220"/>
              </w:tabs>
              <w:spacing w:before="0" w:after="0" w:line="240" w:lineRule="auto"/>
              <w:ind w:left="0" w:firstLine="0"/>
              <w:rPr>
                <w:rFonts w:ascii="Cambria" w:hAnsi="Cambria"/>
                <w:b w:val="0"/>
                <w:sz w:val="22"/>
                <w:szCs w:val="22"/>
              </w:rPr>
            </w:pPr>
            <w:r w:rsidRPr="0013150D">
              <w:rPr>
                <w:rFonts w:ascii="Cambria" w:hAnsi="Cambria"/>
                <w:b w:val="0"/>
                <w:sz w:val="22"/>
                <w:szCs w:val="22"/>
              </w:rPr>
              <w:t xml:space="preserve">   Pregnancy complication</w:t>
            </w:r>
          </w:p>
        </w:tc>
        <w:tc>
          <w:tcPr>
            <w:tcW w:w="1530" w:type="dxa"/>
            <w:tcBorders>
              <w:top w:val="nil"/>
              <w:left w:val="single" w:sz="4" w:space="0" w:color="auto"/>
              <w:bottom w:val="nil"/>
              <w:right w:val="single" w:sz="4" w:space="0" w:color="auto"/>
            </w:tcBorders>
          </w:tcPr>
          <w:p w14:paraId="216FB888" w14:textId="77777777" w:rsidR="004965AB" w:rsidRPr="0013150D" w:rsidRDefault="004965AB" w:rsidP="00104DF9">
            <w:pPr>
              <w:pStyle w:val="C-TableText"/>
              <w:keepNext/>
              <w:keepLines/>
              <w:tabs>
                <w:tab w:val="left" w:pos="220"/>
              </w:tabs>
              <w:rPr>
                <w:rFonts w:ascii="Cambria" w:eastAsia="Calibri" w:hAnsi="Cambria"/>
                <w:sz w:val="22"/>
                <w:szCs w:val="22"/>
              </w:rPr>
            </w:pPr>
          </w:p>
        </w:tc>
        <w:tc>
          <w:tcPr>
            <w:tcW w:w="1890" w:type="dxa"/>
            <w:tcBorders>
              <w:top w:val="nil"/>
              <w:left w:val="single" w:sz="4" w:space="0" w:color="auto"/>
              <w:bottom w:val="nil"/>
              <w:right w:val="single" w:sz="4" w:space="0" w:color="auto"/>
            </w:tcBorders>
          </w:tcPr>
          <w:p w14:paraId="5606FBA4" w14:textId="77777777" w:rsidR="004965AB" w:rsidRPr="0013150D" w:rsidRDefault="004965AB" w:rsidP="00DD29BE">
            <w:pPr>
              <w:pStyle w:val="C-TableText"/>
              <w:keepNext/>
              <w:keepLines/>
              <w:jc w:val="center"/>
              <w:rPr>
                <w:rFonts w:ascii="Cambria" w:hAnsi="Cambria"/>
                <w:sz w:val="22"/>
                <w:szCs w:val="22"/>
              </w:rPr>
            </w:pPr>
            <w:r w:rsidRPr="0013150D">
              <w:rPr>
                <w:rFonts w:ascii="Cambria" w:hAnsi="Cambria"/>
                <w:sz w:val="22"/>
                <w:szCs w:val="22"/>
              </w:rPr>
              <w:t>4 (4.1)</w:t>
            </w:r>
          </w:p>
        </w:tc>
        <w:tc>
          <w:tcPr>
            <w:tcW w:w="1790" w:type="dxa"/>
            <w:tcBorders>
              <w:top w:val="nil"/>
              <w:left w:val="single" w:sz="4" w:space="0" w:color="auto"/>
              <w:bottom w:val="nil"/>
              <w:right w:val="single" w:sz="4" w:space="0" w:color="auto"/>
            </w:tcBorders>
          </w:tcPr>
          <w:p w14:paraId="64F0B24B"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sz w:val="22"/>
                <w:szCs w:val="22"/>
              </w:rPr>
              <w:t>9 (9.2)</w:t>
            </w:r>
          </w:p>
        </w:tc>
      </w:tr>
      <w:tr w:rsidR="004965AB" w:rsidRPr="0013150D" w14:paraId="59C0B511" w14:textId="77777777" w:rsidTr="00A33171">
        <w:trPr>
          <w:cantSplit/>
          <w:trHeight w:val="145"/>
          <w:jc w:val="center"/>
        </w:trPr>
        <w:tc>
          <w:tcPr>
            <w:tcW w:w="4104" w:type="dxa"/>
            <w:tcBorders>
              <w:top w:val="nil"/>
              <w:left w:val="single" w:sz="6" w:space="0" w:color="auto"/>
              <w:bottom w:val="single" w:sz="4" w:space="0" w:color="auto"/>
              <w:right w:val="single" w:sz="4" w:space="0" w:color="auto"/>
            </w:tcBorders>
          </w:tcPr>
          <w:p w14:paraId="4D6023F5" w14:textId="77777777" w:rsidR="004965AB" w:rsidRPr="0013150D" w:rsidRDefault="004965AB" w:rsidP="00A67D4B">
            <w:pPr>
              <w:pStyle w:val="Caption"/>
              <w:keepLines/>
              <w:tabs>
                <w:tab w:val="left" w:pos="220"/>
              </w:tabs>
              <w:spacing w:before="0" w:after="0" w:line="240" w:lineRule="auto"/>
              <w:ind w:left="0" w:firstLine="0"/>
              <w:rPr>
                <w:rFonts w:ascii="Cambria" w:hAnsi="Cambria"/>
                <w:b w:val="0"/>
                <w:sz w:val="22"/>
                <w:szCs w:val="22"/>
              </w:rPr>
            </w:pPr>
            <w:r w:rsidRPr="0013150D">
              <w:rPr>
                <w:rFonts w:ascii="Cambria" w:hAnsi="Cambria"/>
                <w:b w:val="0"/>
                <w:sz w:val="22"/>
                <w:szCs w:val="22"/>
              </w:rPr>
              <w:t xml:space="preserve">   </w:t>
            </w:r>
            <w:proofErr w:type="spellStart"/>
            <w:r w:rsidRPr="0013150D">
              <w:rPr>
                <w:rFonts w:ascii="Cambria" w:hAnsi="Cambria"/>
                <w:b w:val="0"/>
                <w:sz w:val="22"/>
                <w:szCs w:val="22"/>
              </w:rPr>
              <w:t>Other</w:t>
            </w:r>
            <w:r w:rsidRPr="0013150D">
              <w:rPr>
                <w:rFonts w:ascii="Cambria" w:hAnsi="Cambria"/>
                <w:b w:val="0"/>
                <w:sz w:val="22"/>
                <w:szCs w:val="22"/>
                <w:vertAlign w:val="superscript"/>
              </w:rPr>
              <w:t>a</w:t>
            </w:r>
            <w:proofErr w:type="spellEnd"/>
          </w:p>
        </w:tc>
        <w:tc>
          <w:tcPr>
            <w:tcW w:w="1530" w:type="dxa"/>
            <w:tcBorders>
              <w:top w:val="nil"/>
              <w:left w:val="single" w:sz="4" w:space="0" w:color="auto"/>
              <w:bottom w:val="single" w:sz="4" w:space="0" w:color="auto"/>
              <w:right w:val="single" w:sz="4" w:space="0" w:color="auto"/>
            </w:tcBorders>
          </w:tcPr>
          <w:p w14:paraId="7C505CE5" w14:textId="77777777" w:rsidR="004965AB" w:rsidRPr="0013150D" w:rsidRDefault="004965AB" w:rsidP="00104DF9">
            <w:pPr>
              <w:pStyle w:val="C-TableText"/>
              <w:keepNext/>
              <w:keepLines/>
              <w:tabs>
                <w:tab w:val="left" w:pos="220"/>
              </w:tabs>
              <w:rPr>
                <w:rFonts w:ascii="Cambria" w:eastAsia="Calibri" w:hAnsi="Cambria"/>
                <w:sz w:val="22"/>
                <w:szCs w:val="22"/>
              </w:rPr>
            </w:pPr>
          </w:p>
        </w:tc>
        <w:tc>
          <w:tcPr>
            <w:tcW w:w="1890" w:type="dxa"/>
            <w:tcBorders>
              <w:top w:val="nil"/>
              <w:left w:val="single" w:sz="4" w:space="0" w:color="auto"/>
              <w:bottom w:val="single" w:sz="4" w:space="0" w:color="auto"/>
              <w:right w:val="single" w:sz="4" w:space="0" w:color="auto"/>
            </w:tcBorders>
          </w:tcPr>
          <w:p w14:paraId="3208C244" w14:textId="77777777" w:rsidR="004965AB" w:rsidRPr="0013150D" w:rsidRDefault="004965AB" w:rsidP="00DD29BE">
            <w:pPr>
              <w:pStyle w:val="C-TableText"/>
              <w:keepNext/>
              <w:keepLines/>
              <w:jc w:val="center"/>
              <w:rPr>
                <w:rFonts w:ascii="Cambria" w:hAnsi="Cambria"/>
                <w:sz w:val="22"/>
                <w:szCs w:val="22"/>
              </w:rPr>
            </w:pPr>
            <w:r w:rsidRPr="0013150D">
              <w:rPr>
                <w:rFonts w:ascii="Cambria" w:hAnsi="Cambria"/>
                <w:sz w:val="22"/>
                <w:szCs w:val="22"/>
              </w:rPr>
              <w:t>14 (14.4)</w:t>
            </w:r>
          </w:p>
        </w:tc>
        <w:tc>
          <w:tcPr>
            <w:tcW w:w="1790" w:type="dxa"/>
            <w:tcBorders>
              <w:top w:val="nil"/>
              <w:left w:val="single" w:sz="4" w:space="0" w:color="auto"/>
              <w:bottom w:val="single" w:sz="4" w:space="0" w:color="auto"/>
              <w:right w:val="single" w:sz="4" w:space="0" w:color="auto"/>
            </w:tcBorders>
          </w:tcPr>
          <w:p w14:paraId="151174F6" w14:textId="77777777" w:rsidR="004965AB" w:rsidRPr="0013150D" w:rsidRDefault="004965AB" w:rsidP="00B133C4">
            <w:pPr>
              <w:pStyle w:val="C-TableText"/>
              <w:keepNext/>
              <w:keepLines/>
              <w:jc w:val="center"/>
              <w:rPr>
                <w:rFonts w:ascii="Cambria" w:hAnsi="Cambria"/>
                <w:sz w:val="22"/>
                <w:szCs w:val="22"/>
              </w:rPr>
            </w:pPr>
            <w:r w:rsidRPr="0013150D">
              <w:rPr>
                <w:rFonts w:ascii="Cambria" w:hAnsi="Cambria"/>
                <w:sz w:val="22"/>
                <w:szCs w:val="22"/>
              </w:rPr>
              <w:t>14 (14.3)</w:t>
            </w:r>
          </w:p>
        </w:tc>
      </w:tr>
    </w:tbl>
    <w:p w14:paraId="50EF33C0" w14:textId="4036B996" w:rsidR="004965AB" w:rsidRDefault="004965AB" w:rsidP="004965AB">
      <w:pPr>
        <w:ind w:left="144" w:hanging="144"/>
        <w:rPr>
          <w:bCs/>
          <w:iCs/>
          <w:sz w:val="18"/>
        </w:rPr>
      </w:pPr>
      <w:proofErr w:type="spellStart"/>
      <w:proofErr w:type="gramStart"/>
      <w:r>
        <w:rPr>
          <w:bCs/>
          <w:iCs/>
          <w:sz w:val="18"/>
          <w:vertAlign w:val="superscript"/>
        </w:rPr>
        <w:t>a</w:t>
      </w:r>
      <w:r>
        <w:rPr>
          <w:bCs/>
          <w:iCs/>
          <w:sz w:val="18"/>
        </w:rPr>
        <w:t>“</w:t>
      </w:r>
      <w:proofErr w:type="gramEnd"/>
      <w:r>
        <w:rPr>
          <w:bCs/>
          <w:iCs/>
          <w:sz w:val="18"/>
        </w:rPr>
        <w:t>Other</w:t>
      </w:r>
      <w:proofErr w:type="spellEnd"/>
      <w:r>
        <w:rPr>
          <w:bCs/>
          <w:iCs/>
          <w:sz w:val="18"/>
        </w:rPr>
        <w:t>”</w:t>
      </w:r>
      <w:r w:rsidRPr="00BD6058">
        <w:t xml:space="preserve"> </w:t>
      </w:r>
      <w:r w:rsidRPr="00BD6058">
        <w:rPr>
          <w:bCs/>
          <w:iCs/>
          <w:sz w:val="18"/>
        </w:rPr>
        <w:t>category included neutropenia, renal dysfunction, and thrombo</w:t>
      </w:r>
      <w:r w:rsidR="00E214A4">
        <w:rPr>
          <w:bCs/>
          <w:iCs/>
          <w:sz w:val="18"/>
        </w:rPr>
        <w:t>cyto</w:t>
      </w:r>
      <w:r w:rsidRPr="00BD6058">
        <w:rPr>
          <w:bCs/>
          <w:iCs/>
          <w:sz w:val="18"/>
        </w:rPr>
        <w:t>penia, as well as a number of other conditions.</w:t>
      </w:r>
    </w:p>
    <w:p w14:paraId="03A14025" w14:textId="77777777" w:rsidR="004965AB" w:rsidRPr="004E03F0" w:rsidRDefault="004965AB" w:rsidP="00A33171">
      <w:pPr>
        <w:rPr>
          <w:iCs/>
        </w:rPr>
      </w:pPr>
      <w:r w:rsidRPr="004E03F0">
        <w:t xml:space="preserve">The primary </w:t>
      </w:r>
      <w:r>
        <w:t>endpoint</w:t>
      </w:r>
      <w:r w:rsidRPr="004E03F0">
        <w:t xml:space="preserve"> was h</w:t>
      </w:r>
      <w:r>
        <w:t>a</w:t>
      </w:r>
      <w:r w:rsidRPr="004E03F0">
        <w:t xml:space="preserve">emolysis as measured by LDH percent change from baseline. Secondary </w:t>
      </w:r>
      <w:r>
        <w:t>endpoint</w:t>
      </w:r>
      <w:r w:rsidR="001B784C">
        <w:t>s</w:t>
      </w:r>
      <w:r w:rsidRPr="004E03F0">
        <w:t xml:space="preserve"> included the proportion of patients with breakthrough h</w:t>
      </w:r>
      <w:r>
        <w:t>a</w:t>
      </w:r>
      <w:r w:rsidRPr="004E03F0">
        <w:t>emolysis, quality-of-life (FACIT-Fatigue), transfusion avoidance (TA), and prop</w:t>
      </w:r>
      <w:r w:rsidR="00047E64">
        <w:t>ortion of patients with stabilis</w:t>
      </w:r>
      <w:r w:rsidRPr="004E03F0">
        <w:t>ed h</w:t>
      </w:r>
      <w:r w:rsidR="00047E64">
        <w:t>a</w:t>
      </w:r>
      <w:r w:rsidRPr="004E03F0">
        <w:t>emoglobin.</w:t>
      </w:r>
    </w:p>
    <w:p w14:paraId="5C26746D" w14:textId="4A4D780E" w:rsidR="004965AB" w:rsidRPr="004E03F0" w:rsidRDefault="004965AB" w:rsidP="00A33171">
      <w:pPr>
        <w:rPr>
          <w:iCs/>
        </w:rPr>
      </w:pPr>
      <w:r w:rsidRPr="004E03F0">
        <w:t xml:space="preserve">In the </w:t>
      </w:r>
      <w:proofErr w:type="spellStart"/>
      <w:r w:rsidRPr="004E03F0">
        <w:t>Soliris</w:t>
      </w:r>
      <w:proofErr w:type="spellEnd"/>
      <w:r w:rsidRPr="004E03F0">
        <w:t xml:space="preserve">-Experienced Study, the primary endpoint, Percent Change in LDH from baseline to Day 183, met the primary objective and showed </w:t>
      </w:r>
      <w:proofErr w:type="spellStart"/>
      <w:r w:rsidRPr="004E03F0">
        <w:t>Ultomiris</w:t>
      </w:r>
      <w:proofErr w:type="spellEnd"/>
      <w:r w:rsidRPr="004E03F0">
        <w:t xml:space="preserve"> was statistically significant for non</w:t>
      </w:r>
      <w:r w:rsidR="00021256">
        <w:t>-</w:t>
      </w:r>
      <w:r w:rsidRPr="004E03F0">
        <w:t xml:space="preserve">inferiority compared to </w:t>
      </w:r>
      <w:proofErr w:type="spellStart"/>
      <w:r w:rsidRPr="004E03F0">
        <w:t>Soliris</w:t>
      </w:r>
      <w:proofErr w:type="spellEnd"/>
      <w:r w:rsidRPr="004E03F0">
        <w:t xml:space="preserve">. </w:t>
      </w:r>
      <w:proofErr w:type="spellStart"/>
      <w:r w:rsidRPr="004E03F0">
        <w:t>Ultomiris</w:t>
      </w:r>
      <w:proofErr w:type="spellEnd"/>
      <w:r w:rsidRPr="004E03F0">
        <w:t xml:space="preserve"> also achieved statistically significant non</w:t>
      </w:r>
      <w:r w:rsidR="00021256">
        <w:t>-</w:t>
      </w:r>
      <w:r w:rsidRPr="004E03F0">
        <w:t xml:space="preserve">inferiority compared to </w:t>
      </w:r>
      <w:proofErr w:type="spellStart"/>
      <w:r w:rsidRPr="004E03F0">
        <w:t>Soliris</w:t>
      </w:r>
      <w:proofErr w:type="spellEnd"/>
      <w:r w:rsidRPr="004E03F0">
        <w:t xml:space="preserve"> for all 4 key secondary endpoints. Both primary endpoints and all key secondary endpoints favo</w:t>
      </w:r>
      <w:r w:rsidR="001B784C">
        <w:t>u</w:t>
      </w:r>
      <w:r w:rsidRPr="004E03F0">
        <w:t xml:space="preserve">red </w:t>
      </w:r>
      <w:proofErr w:type="spellStart"/>
      <w:r w:rsidRPr="004E03F0">
        <w:t>Ultomiris</w:t>
      </w:r>
      <w:proofErr w:type="spellEnd"/>
      <w:r>
        <w:t xml:space="preserve"> (</w:t>
      </w:r>
      <w:r w:rsidR="00FC35C3">
        <w:fldChar w:fldCharType="begin"/>
      </w:r>
      <w:r w:rsidR="00FC35C3">
        <w:instrText xml:space="preserve"> REF _Ref20465328 \h </w:instrText>
      </w:r>
      <w:r w:rsidR="00FC35C3">
        <w:fldChar w:fldCharType="separate"/>
      </w:r>
      <w:r w:rsidR="00FC35C3">
        <w:t xml:space="preserve">Figure </w:t>
      </w:r>
      <w:r w:rsidR="00FC35C3">
        <w:rPr>
          <w:noProof/>
        </w:rPr>
        <w:t>4</w:t>
      </w:r>
      <w:r w:rsidR="00FC35C3">
        <w:fldChar w:fldCharType="end"/>
      </w:r>
      <w:r w:rsidRPr="004E03F0">
        <w:t>).</w:t>
      </w:r>
    </w:p>
    <w:p w14:paraId="4A4D6126" w14:textId="5DF1B5F1" w:rsidR="004965AB" w:rsidRPr="004E03F0" w:rsidRDefault="00FC35C3" w:rsidP="00FC35C3">
      <w:pPr>
        <w:pStyle w:val="Caption"/>
        <w:ind w:left="993" w:hanging="993"/>
      </w:pPr>
      <w:bookmarkStart w:id="16" w:name="_Ref20465328"/>
      <w:r>
        <w:lastRenderedPageBreak/>
        <w:t xml:space="preserve">Figure </w:t>
      </w:r>
      <w:r>
        <w:fldChar w:fldCharType="begin"/>
      </w:r>
      <w:r>
        <w:instrText xml:space="preserve"> SEQ Figure \* ARABIC </w:instrText>
      </w:r>
      <w:r>
        <w:fldChar w:fldCharType="separate"/>
      </w:r>
      <w:r>
        <w:rPr>
          <w:noProof/>
        </w:rPr>
        <w:t>4</w:t>
      </w:r>
      <w:r>
        <w:fldChar w:fldCharType="end"/>
      </w:r>
      <w:bookmarkEnd w:id="16"/>
      <w:r>
        <w:t xml:space="preserve">: </w:t>
      </w:r>
      <w:r w:rsidR="004965AB" w:rsidRPr="004E03F0">
        <w:t>Analysis of Primary and Secondary Endpoints</w:t>
      </w:r>
      <w:r w:rsidR="004965AB">
        <w:t xml:space="preserve"> </w:t>
      </w:r>
      <w:r w:rsidR="004965AB" w:rsidRPr="004E03F0">
        <w:t>–</w:t>
      </w:r>
      <w:r w:rsidR="004965AB">
        <w:t xml:space="preserve"> </w:t>
      </w:r>
      <w:r>
        <w:t>Full Analysis Set (</w:t>
      </w:r>
      <w:proofErr w:type="spellStart"/>
      <w:r>
        <w:t>Soliris</w:t>
      </w:r>
      <w:proofErr w:type="spellEnd"/>
      <w:r>
        <w:t xml:space="preserve"> </w:t>
      </w:r>
      <w:r w:rsidR="004965AB" w:rsidRPr="004E03F0">
        <w:t>Experienced Study)</w:t>
      </w:r>
    </w:p>
    <w:p w14:paraId="1594C9B2" w14:textId="5958FF2B" w:rsidR="004965AB" w:rsidRPr="004E03F0" w:rsidRDefault="002B76BB" w:rsidP="00CC11BB">
      <w:pPr>
        <w:pStyle w:val="C-BodyText"/>
        <w:ind w:left="-142" w:firstLine="142"/>
      </w:pPr>
      <w:r>
        <w:rPr>
          <w:noProof/>
          <w:color w:val="2B579A"/>
          <w:shd w:val="clear" w:color="auto" w:fill="E6E6E6"/>
          <w:lang w:val="en-AU" w:eastAsia="en-AU"/>
        </w:rPr>
        <w:drawing>
          <wp:inline distT="0" distB="0" distL="0" distR="0" wp14:anchorId="0E2E14AC" wp14:editId="5ED7EE85">
            <wp:extent cx="5958722" cy="2772461"/>
            <wp:effectExtent l="0" t="0" r="444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8722" cy="2772461"/>
                    </a:xfrm>
                    <a:prstGeom prst="rect">
                      <a:avLst/>
                    </a:prstGeom>
                    <a:noFill/>
                    <a:ln>
                      <a:noFill/>
                    </a:ln>
                  </pic:spPr>
                </pic:pic>
              </a:graphicData>
            </a:graphic>
          </wp:inline>
        </w:drawing>
      </w:r>
    </w:p>
    <w:p w14:paraId="080A71CE" w14:textId="77777777" w:rsidR="004965AB" w:rsidRPr="004E03F0" w:rsidRDefault="004965AB" w:rsidP="00DD29BE">
      <w:pPr>
        <w:spacing w:after="0" w:line="240" w:lineRule="auto"/>
        <w:rPr>
          <w:sz w:val="18"/>
          <w:szCs w:val="18"/>
        </w:rPr>
      </w:pPr>
      <w:r w:rsidRPr="004E03F0">
        <w:rPr>
          <w:sz w:val="18"/>
          <w:szCs w:val="18"/>
        </w:rPr>
        <w:t>Note: The black triangle indicates the non</w:t>
      </w:r>
      <w:r w:rsidR="00021256">
        <w:rPr>
          <w:sz w:val="18"/>
          <w:szCs w:val="18"/>
        </w:rPr>
        <w:t>-</w:t>
      </w:r>
      <w:r w:rsidRPr="004E03F0">
        <w:rPr>
          <w:sz w:val="18"/>
          <w:szCs w:val="18"/>
        </w:rPr>
        <w:t>inferiority margins, and grey dot indicates point estimates.</w:t>
      </w:r>
    </w:p>
    <w:p w14:paraId="13BCB1E6" w14:textId="097762BF" w:rsidR="004965AB" w:rsidRPr="004E03F0" w:rsidRDefault="004965AB" w:rsidP="00DD29BE">
      <w:pPr>
        <w:spacing w:after="0" w:line="240" w:lineRule="auto"/>
        <w:rPr>
          <w:bCs/>
          <w:iCs/>
        </w:rPr>
      </w:pPr>
      <w:r w:rsidRPr="004E03F0">
        <w:rPr>
          <w:sz w:val="18"/>
          <w:szCs w:val="18"/>
        </w:rPr>
        <w:t>Note: LDH-PCHG = L</w:t>
      </w:r>
      <w:r w:rsidR="00B133C4">
        <w:rPr>
          <w:sz w:val="18"/>
          <w:szCs w:val="18"/>
        </w:rPr>
        <w:t xml:space="preserve">actate </w:t>
      </w:r>
      <w:r w:rsidRPr="004E03F0">
        <w:rPr>
          <w:sz w:val="18"/>
          <w:szCs w:val="18"/>
        </w:rPr>
        <w:t>D</w:t>
      </w:r>
      <w:r w:rsidR="00B133C4">
        <w:rPr>
          <w:sz w:val="18"/>
          <w:szCs w:val="18"/>
        </w:rPr>
        <w:t>ehydrogenase (LD</w:t>
      </w:r>
      <w:r w:rsidRPr="004E03F0">
        <w:rPr>
          <w:sz w:val="18"/>
          <w:szCs w:val="18"/>
        </w:rPr>
        <w:t>H</w:t>
      </w:r>
      <w:r w:rsidR="00B133C4">
        <w:rPr>
          <w:sz w:val="18"/>
          <w:szCs w:val="18"/>
        </w:rPr>
        <w:t>)</w:t>
      </w:r>
      <w:r w:rsidRPr="004E03F0">
        <w:rPr>
          <w:sz w:val="18"/>
          <w:szCs w:val="18"/>
        </w:rPr>
        <w:t xml:space="preserve"> Percent Change;</w:t>
      </w:r>
      <w:r>
        <w:rPr>
          <w:sz w:val="18"/>
          <w:szCs w:val="18"/>
        </w:rPr>
        <w:t xml:space="preserve"> BTH = Brea</w:t>
      </w:r>
      <w:r w:rsidRPr="004E03F0">
        <w:rPr>
          <w:sz w:val="18"/>
          <w:szCs w:val="18"/>
        </w:rPr>
        <w:t>kthrough H</w:t>
      </w:r>
      <w:r>
        <w:rPr>
          <w:sz w:val="18"/>
          <w:szCs w:val="18"/>
        </w:rPr>
        <w:t>a</w:t>
      </w:r>
      <w:r w:rsidRPr="004E03F0">
        <w:rPr>
          <w:sz w:val="18"/>
          <w:szCs w:val="18"/>
        </w:rPr>
        <w:t xml:space="preserve">emolysis; TA = Transfusion Avoidance; </w:t>
      </w:r>
      <w:r>
        <w:rPr>
          <w:sz w:val="18"/>
          <w:szCs w:val="18"/>
        </w:rPr>
        <w:t>HGB</w:t>
      </w:r>
      <w:r>
        <w:rPr>
          <w:sz w:val="18"/>
          <w:szCs w:val="18"/>
        </w:rPr>
        <w:noBreakHyphen/>
        <w:t>S = Haemoglobin Stabilisation.</w:t>
      </w:r>
    </w:p>
    <w:p w14:paraId="57724792" w14:textId="2D0DC4AB" w:rsidR="004965AB" w:rsidRPr="004E03F0" w:rsidRDefault="004965AB" w:rsidP="00707339">
      <w:pPr>
        <w:spacing w:before="240"/>
        <w:rPr>
          <w:color w:val="FF0000"/>
        </w:rPr>
      </w:pPr>
      <w:r w:rsidRPr="004E03F0">
        <w:t xml:space="preserve">Mean percent change in LDH from baseline to Day 183 showed a decrease of less than 1% </w:t>
      </w:r>
      <w:r w:rsidR="001B784C">
        <w:t xml:space="preserve">          </w:t>
      </w:r>
      <w:proofErr w:type="gramStart"/>
      <w:r w:rsidR="001B784C">
        <w:t xml:space="preserve">   </w:t>
      </w:r>
      <w:r w:rsidRPr="004E03F0">
        <w:t>(</w:t>
      </w:r>
      <w:proofErr w:type="gramEnd"/>
      <w:r w:rsidRPr="004E03F0">
        <w:t xml:space="preserve">-0.82%) for the </w:t>
      </w:r>
      <w:proofErr w:type="spellStart"/>
      <w:r w:rsidRPr="004E03F0">
        <w:t>Ultomiris</w:t>
      </w:r>
      <w:proofErr w:type="spellEnd"/>
      <w:r w:rsidRPr="004E03F0">
        <w:t xml:space="preserve"> group and an increase of greater than 8% (+8.39%) for the </w:t>
      </w:r>
      <w:proofErr w:type="spellStart"/>
      <w:r w:rsidRPr="004E03F0">
        <w:t>Soliris</w:t>
      </w:r>
      <w:proofErr w:type="spellEnd"/>
      <w:r w:rsidRPr="004E03F0">
        <w:t xml:space="preserve"> group with a treatment difference (</w:t>
      </w:r>
      <w:proofErr w:type="spellStart"/>
      <w:r w:rsidRPr="004E03F0">
        <w:t>Ultomiris-Soliris</w:t>
      </w:r>
      <w:proofErr w:type="spellEnd"/>
      <w:r w:rsidRPr="004E03F0">
        <w:t xml:space="preserve">) of -9.21% (95% CI: -18.84%, 0.42%). </w:t>
      </w:r>
    </w:p>
    <w:p w14:paraId="56308A73" w14:textId="3DB2483A" w:rsidR="004965AB" w:rsidRPr="004E03F0" w:rsidRDefault="004965AB" w:rsidP="00A33171">
      <w:r w:rsidRPr="004E03F0">
        <w:t>Breakthrough h</w:t>
      </w:r>
      <w:r>
        <w:t>a</w:t>
      </w:r>
      <w:r w:rsidRPr="004E03F0">
        <w:t xml:space="preserve">emolysis, using </w:t>
      </w:r>
      <w:r>
        <w:t>the same definition a</w:t>
      </w:r>
      <w:r w:rsidR="00E214A4">
        <w:t>s</w:t>
      </w:r>
      <w:r>
        <w:t xml:space="preserve"> the</w:t>
      </w:r>
      <w:r w:rsidRPr="004E03F0">
        <w:t xml:space="preserve"> Complement-Inhibitor Naïve Study, was experienced by none of the patients in the </w:t>
      </w:r>
      <w:proofErr w:type="spellStart"/>
      <w:r w:rsidRPr="004E03F0">
        <w:t>Ultomiris</w:t>
      </w:r>
      <w:proofErr w:type="spellEnd"/>
      <w:r w:rsidRPr="004E03F0">
        <w:t xml:space="preserve"> group and 5 (5.1%) of the patients in the </w:t>
      </w:r>
      <w:proofErr w:type="spellStart"/>
      <w:r w:rsidRPr="004E03F0">
        <w:t>Soliris</w:t>
      </w:r>
      <w:proofErr w:type="spellEnd"/>
      <w:r w:rsidRPr="004E03F0">
        <w:t xml:space="preserve"> group. The difference between treatment groups was -5.1% (95% CI: -18.99%, 8.89%). The incidence of breakthrough h</w:t>
      </w:r>
      <w:r>
        <w:t>a</w:t>
      </w:r>
      <w:r w:rsidRPr="004E03F0">
        <w:t xml:space="preserve">emolysis was higher in the </w:t>
      </w:r>
      <w:proofErr w:type="spellStart"/>
      <w:r w:rsidRPr="004E03F0">
        <w:t>Soliris</w:t>
      </w:r>
      <w:proofErr w:type="spellEnd"/>
      <w:r w:rsidRPr="004E03F0">
        <w:t xml:space="preserve"> group (7 events) than in the </w:t>
      </w:r>
      <w:proofErr w:type="spellStart"/>
      <w:r w:rsidRPr="004E03F0">
        <w:t>Ultomiris</w:t>
      </w:r>
      <w:proofErr w:type="spellEnd"/>
      <w:r w:rsidRPr="004E03F0">
        <w:t xml:space="preserve"> group (0 events). </w:t>
      </w:r>
      <w:r w:rsidRPr="004E03F0">
        <w:rPr>
          <w:iCs/>
        </w:rPr>
        <w:t>Of the 7 breakthrough h</w:t>
      </w:r>
      <w:r>
        <w:rPr>
          <w:iCs/>
        </w:rPr>
        <w:t>a</w:t>
      </w:r>
      <w:r w:rsidRPr="004E03F0">
        <w:rPr>
          <w:iCs/>
        </w:rPr>
        <w:t xml:space="preserve">emolysis events seen in the </w:t>
      </w:r>
      <w:proofErr w:type="spellStart"/>
      <w:r w:rsidRPr="004E03F0">
        <w:t>Soliris</w:t>
      </w:r>
      <w:proofErr w:type="spellEnd"/>
      <w:r w:rsidRPr="004E03F0">
        <w:rPr>
          <w:iCs/>
        </w:rPr>
        <w:t xml:space="preserve"> group, 4 were associated with elevated free C5 above 0.5 µg/</w:t>
      </w:r>
      <w:proofErr w:type="spellStart"/>
      <w:r w:rsidRPr="004E03F0">
        <w:rPr>
          <w:iCs/>
        </w:rPr>
        <w:t>mL.</w:t>
      </w:r>
      <w:proofErr w:type="spellEnd"/>
      <w:r w:rsidRPr="004E03F0">
        <w:t xml:space="preserve"> There were no breakthrough h</w:t>
      </w:r>
      <w:r>
        <w:t>a</w:t>
      </w:r>
      <w:r w:rsidRPr="004E03F0">
        <w:t xml:space="preserve">emolysis events in the </w:t>
      </w:r>
      <w:proofErr w:type="spellStart"/>
      <w:r w:rsidRPr="004E03F0">
        <w:t>Ultomiris</w:t>
      </w:r>
      <w:proofErr w:type="spellEnd"/>
      <w:r w:rsidRPr="004E03F0">
        <w:t xml:space="preserve"> group and no patients in the </w:t>
      </w:r>
      <w:proofErr w:type="spellStart"/>
      <w:r w:rsidRPr="004E03F0">
        <w:t>Ultomiris</w:t>
      </w:r>
      <w:proofErr w:type="spellEnd"/>
      <w:r w:rsidRPr="004E03F0">
        <w:t xml:space="preserve"> group had elevations of </w:t>
      </w:r>
      <w:r w:rsidR="00707339">
        <w:t>free C5 levels above 0.5 µg/</w:t>
      </w:r>
      <w:proofErr w:type="spellStart"/>
      <w:r w:rsidR="00707339">
        <w:t>mL.</w:t>
      </w:r>
      <w:proofErr w:type="spellEnd"/>
    </w:p>
    <w:p w14:paraId="1F3C3286" w14:textId="65AD6A4C" w:rsidR="004965AB" w:rsidRPr="004E03F0" w:rsidRDefault="004965AB" w:rsidP="00A33171">
      <w:r w:rsidRPr="004E03F0">
        <w:t xml:space="preserve">Mean change in FACIT-Fatigue total score from baseline to Day 183 was 2.01 for the </w:t>
      </w:r>
      <w:proofErr w:type="spellStart"/>
      <w:r w:rsidRPr="004E03F0">
        <w:t>Ultomiris</w:t>
      </w:r>
      <w:proofErr w:type="spellEnd"/>
      <w:r w:rsidRPr="004E03F0">
        <w:t xml:space="preserve"> group and 0.54 for the </w:t>
      </w:r>
      <w:proofErr w:type="spellStart"/>
      <w:r w:rsidRPr="004E03F0">
        <w:t>Soliris</w:t>
      </w:r>
      <w:proofErr w:type="spellEnd"/>
      <w:r w:rsidRPr="004E03F0">
        <w:t xml:space="preserve"> group. The LS mean difference between treatment groups was 1.5 (95% CI: -0.2, 3.2). Both treatment groups showed improvement in fatigue as measured by FACIT-Fatigue over time</w:t>
      </w:r>
      <w:r w:rsidR="00B133C4">
        <w:t>;</w:t>
      </w:r>
      <w:r w:rsidRPr="004E03F0">
        <w:t xml:space="preserve"> </w:t>
      </w:r>
      <w:r w:rsidR="00B133C4">
        <w:t>i</w:t>
      </w:r>
      <w:r w:rsidR="001B784C">
        <w:t xml:space="preserve">mprovement was numerically greater </w:t>
      </w:r>
      <w:r w:rsidRPr="004E03F0">
        <w:t xml:space="preserve">with </w:t>
      </w:r>
      <w:proofErr w:type="spellStart"/>
      <w:r w:rsidRPr="004E03F0">
        <w:t>Ultomiris</w:t>
      </w:r>
      <w:proofErr w:type="spellEnd"/>
      <w:r w:rsidRPr="004E03F0">
        <w:t xml:space="preserve"> than </w:t>
      </w:r>
      <w:proofErr w:type="spellStart"/>
      <w:r w:rsidRPr="004E03F0">
        <w:t>Soliris</w:t>
      </w:r>
      <w:proofErr w:type="spellEnd"/>
      <w:r w:rsidRPr="004E03F0">
        <w:t xml:space="preserve"> at </w:t>
      </w:r>
      <w:proofErr w:type="spellStart"/>
      <w:r w:rsidRPr="004E03F0">
        <w:t>all time</w:t>
      </w:r>
      <w:proofErr w:type="spellEnd"/>
      <w:r w:rsidRPr="004E03F0">
        <w:t xml:space="preserve"> points</w:t>
      </w:r>
      <w:r w:rsidR="001B784C">
        <w:t xml:space="preserve"> for the FACIT-fatigue</w:t>
      </w:r>
      <w:r w:rsidR="00707339">
        <w:t xml:space="preserve"> following Day 8.</w:t>
      </w:r>
    </w:p>
    <w:p w14:paraId="636B02DD" w14:textId="77777777" w:rsidR="004965AB" w:rsidRPr="004965AB" w:rsidRDefault="004965AB" w:rsidP="00A33171">
      <w:r w:rsidRPr="004965AB">
        <w:t xml:space="preserve">Transfusion avoidance was achieved by 87.6% of patients on </w:t>
      </w:r>
      <w:proofErr w:type="spellStart"/>
      <w:r w:rsidRPr="004965AB">
        <w:t>Ultomiris</w:t>
      </w:r>
      <w:proofErr w:type="spellEnd"/>
      <w:r w:rsidRPr="004965AB">
        <w:t xml:space="preserve"> compared to 82.7% of patients on </w:t>
      </w:r>
      <w:proofErr w:type="spellStart"/>
      <w:r w:rsidRPr="004965AB">
        <w:t>Soliris</w:t>
      </w:r>
      <w:proofErr w:type="spellEnd"/>
      <w:r w:rsidRPr="004965AB">
        <w:t xml:space="preserve"> by week 26. The difference between the </w:t>
      </w:r>
      <w:proofErr w:type="spellStart"/>
      <w:r w:rsidRPr="004965AB">
        <w:t>Ultomiris</w:t>
      </w:r>
      <w:proofErr w:type="spellEnd"/>
      <w:r w:rsidRPr="004965AB">
        <w:t xml:space="preserve"> and </w:t>
      </w:r>
      <w:proofErr w:type="spellStart"/>
      <w:r w:rsidRPr="004965AB">
        <w:t>Soliris</w:t>
      </w:r>
      <w:proofErr w:type="spellEnd"/>
      <w:r w:rsidRPr="004965AB">
        <w:t xml:space="preserve"> treatment groups in the percentage of patients who avoided transfusion was 5.5% (95% CI:  -4.27%, 15.68%).</w:t>
      </w:r>
    </w:p>
    <w:p w14:paraId="1B59BD5E" w14:textId="77777777" w:rsidR="004965AB" w:rsidRPr="004965AB" w:rsidRDefault="004965AB" w:rsidP="00A33171">
      <w:r w:rsidRPr="004965AB">
        <w:lastRenderedPageBreak/>
        <w:t>H</w:t>
      </w:r>
      <w:r>
        <w:t>a</w:t>
      </w:r>
      <w:r w:rsidR="00047E64">
        <w:t>emoglobin stabilis</w:t>
      </w:r>
      <w:r w:rsidRPr="004965AB">
        <w:t xml:space="preserve">ation through Day 183 was achieved by 76.3% of patients in the </w:t>
      </w:r>
      <w:proofErr w:type="spellStart"/>
      <w:r w:rsidRPr="004965AB">
        <w:t>Ultomiris</w:t>
      </w:r>
      <w:proofErr w:type="spellEnd"/>
      <w:r w:rsidRPr="004965AB">
        <w:t xml:space="preserve"> group and 75.5% of patients in the </w:t>
      </w:r>
      <w:proofErr w:type="spellStart"/>
      <w:r w:rsidRPr="004965AB">
        <w:rPr>
          <w:bCs/>
        </w:rPr>
        <w:t>Soliris</w:t>
      </w:r>
      <w:proofErr w:type="spellEnd"/>
      <w:r w:rsidRPr="004965AB">
        <w:t xml:space="preserve"> group. The difference between treatment groups was 1.4% (95% CI: -10.41%, 13.31%).</w:t>
      </w:r>
    </w:p>
    <w:p w14:paraId="5CC273E6" w14:textId="27AB9F50" w:rsidR="004965AB" w:rsidRPr="004965AB" w:rsidRDefault="001B784C" w:rsidP="00A33171">
      <w:pPr>
        <w:rPr>
          <w:color w:val="000000"/>
        </w:rPr>
      </w:pPr>
      <w:r>
        <w:t>As</w:t>
      </w:r>
      <w:r w:rsidR="004965AB" w:rsidRPr="00A33171">
        <w:t xml:space="preserve"> statistically significant non</w:t>
      </w:r>
      <w:r>
        <w:t>-</w:t>
      </w:r>
      <w:r w:rsidR="004965AB" w:rsidRPr="00A33171">
        <w:t>inferiority was achieved for the primary endpoint and all 4 key secondary endpoints, the pre</w:t>
      </w:r>
      <w:r w:rsidR="00021256">
        <w:t>-</w:t>
      </w:r>
      <w:r w:rsidR="004965AB" w:rsidRPr="00A33171">
        <w:t>specified hierarchical order continued with superiority testing of percent change from baseline in LDH. The assessment of the treatment difference for superiority</w:t>
      </w:r>
      <w:r w:rsidR="004965AB" w:rsidRPr="004965AB">
        <w:t xml:space="preserve"> resulted in </w:t>
      </w:r>
      <w:r>
        <w:t xml:space="preserve">a </w:t>
      </w:r>
      <w:r w:rsidR="004965AB" w:rsidRPr="004965AB">
        <w:t xml:space="preserve">p-value </w:t>
      </w:r>
      <w:r w:rsidR="00B133C4">
        <w:t>of</w:t>
      </w:r>
      <w:r w:rsidR="004965AB" w:rsidRPr="004965AB">
        <w:t xml:space="preserve"> 0.0583 which did not reach the pre</w:t>
      </w:r>
      <w:r w:rsidR="00021256">
        <w:t>-</w:t>
      </w:r>
      <w:r w:rsidR="004965AB" w:rsidRPr="004965AB">
        <w:t>specified significance threshold for superiority (p &lt; 0.05) and therefore no additional testing in the hierarchy was conducted.</w:t>
      </w:r>
    </w:p>
    <w:p w14:paraId="2AE5139A" w14:textId="77777777" w:rsidR="004965AB" w:rsidRPr="004965AB" w:rsidRDefault="004965AB" w:rsidP="00A33171">
      <w:pPr>
        <w:rPr>
          <w:iCs/>
        </w:rPr>
      </w:pPr>
      <w:r w:rsidRPr="004965AB">
        <w:t xml:space="preserve">Overall, treatment with </w:t>
      </w:r>
      <w:proofErr w:type="spellStart"/>
      <w:r w:rsidRPr="004965AB">
        <w:t>Ultomiris</w:t>
      </w:r>
      <w:proofErr w:type="spellEnd"/>
      <w:r w:rsidRPr="004965AB">
        <w:t xml:space="preserve"> in both complement-inhibitor naïve and </w:t>
      </w:r>
      <w:proofErr w:type="spellStart"/>
      <w:r w:rsidRPr="004965AB">
        <w:t>Soliris</w:t>
      </w:r>
      <w:proofErr w:type="spellEnd"/>
      <w:r w:rsidRPr="004965AB">
        <w:t>-experienced patients was associated with clinically meaningful benefits across disease-relevant endpoints and reduction of the overall risk of breakthrough h</w:t>
      </w:r>
      <w:r>
        <w:t>a</w:t>
      </w:r>
      <w:r w:rsidRPr="004965AB">
        <w:t xml:space="preserve">emolysis through better C5 control and elimination of the risk of </w:t>
      </w:r>
      <w:proofErr w:type="spellStart"/>
      <w:r w:rsidRPr="004965AB">
        <w:t>pharmacodynamic</w:t>
      </w:r>
      <w:proofErr w:type="spellEnd"/>
      <w:r w:rsidRPr="004965AB">
        <w:t>-associated breakthrough h</w:t>
      </w:r>
      <w:r>
        <w:t>a</w:t>
      </w:r>
      <w:r w:rsidRPr="004965AB">
        <w:t>emolysis.</w:t>
      </w:r>
    </w:p>
    <w:p w14:paraId="2BE09099" w14:textId="7A31D163" w:rsidR="001A3992" w:rsidRPr="00A33171" w:rsidRDefault="00707339" w:rsidP="00A33171">
      <w:pPr>
        <w:pStyle w:val="Heading2"/>
      </w:pPr>
      <w:r>
        <w:t>Pharmacokinetic properties</w:t>
      </w:r>
    </w:p>
    <w:p w14:paraId="6118048A" w14:textId="77777777" w:rsidR="00BB05C3" w:rsidRPr="00BB05C3" w:rsidRDefault="00BB05C3" w:rsidP="00BB05C3">
      <w:pPr>
        <w:autoSpaceDE w:val="0"/>
        <w:autoSpaceDN w:val="0"/>
        <w:adjustRightInd w:val="0"/>
      </w:pPr>
      <w:r w:rsidRPr="00BB05C3">
        <w:t>A linear, 2</w:t>
      </w:r>
      <w:r w:rsidRPr="004E03F0">
        <w:noBreakHyphen/>
      </w:r>
      <w:r w:rsidRPr="00BB05C3">
        <w:t xml:space="preserve">compartment PK model was developed that adequately described the observed </w:t>
      </w:r>
      <w:proofErr w:type="spellStart"/>
      <w:r w:rsidRPr="00BB05C3">
        <w:t>ravulizumab</w:t>
      </w:r>
      <w:proofErr w:type="spellEnd"/>
      <w:r w:rsidRPr="00BB05C3">
        <w:t xml:space="preserve"> </w:t>
      </w:r>
      <w:proofErr w:type="spellStart"/>
      <w:r w:rsidRPr="00BB05C3">
        <w:rPr>
          <w:i/>
        </w:rPr>
        <w:t>rch</w:t>
      </w:r>
      <w:proofErr w:type="spellEnd"/>
      <w:r>
        <w:t xml:space="preserve"> </w:t>
      </w:r>
      <w:r w:rsidRPr="00BB05C3">
        <w:t xml:space="preserve">PK following IV administration. The estimated mean (SD) clearance, central volume and terminal elimination half-life following multiple dosing of </w:t>
      </w:r>
      <w:proofErr w:type="spellStart"/>
      <w:r w:rsidRPr="00BB05C3">
        <w:t>ravulizumab</w:t>
      </w:r>
      <w:proofErr w:type="spellEnd"/>
      <w:r>
        <w:t xml:space="preserve"> </w:t>
      </w:r>
      <w:proofErr w:type="spellStart"/>
      <w:r w:rsidRPr="00BB05C3">
        <w:rPr>
          <w:i/>
        </w:rPr>
        <w:t>rch</w:t>
      </w:r>
      <w:proofErr w:type="spellEnd"/>
      <w:r w:rsidRPr="00BB05C3">
        <w:t xml:space="preserve"> in all Phase 3 patients with PNH were 3.32 (0.94) mL/hr, 3.45 (0.65) L, and 49.7 (8.9) days, respectively. Steady state therapeutic concentrations are achieved immediately following the first dose of </w:t>
      </w:r>
      <w:proofErr w:type="spellStart"/>
      <w:r w:rsidRPr="00BB05C3">
        <w:t>Ultomiris</w:t>
      </w:r>
      <w:proofErr w:type="spellEnd"/>
      <w:r w:rsidRPr="00BB05C3">
        <w:t xml:space="preserve">. In PNH patients, </w:t>
      </w:r>
      <w:proofErr w:type="spellStart"/>
      <w:r w:rsidRPr="00BB05C3">
        <w:t>pharmacodynamic</w:t>
      </w:r>
      <w:proofErr w:type="spellEnd"/>
      <w:r w:rsidRPr="00BB05C3">
        <w:t xml:space="preserve"> activity correlates directly with </w:t>
      </w:r>
      <w:proofErr w:type="spellStart"/>
      <w:r w:rsidRPr="00BB05C3">
        <w:t>ravulizumab</w:t>
      </w:r>
      <w:proofErr w:type="spellEnd"/>
      <w:r w:rsidRPr="00BB05C3">
        <w:t xml:space="preserve"> </w:t>
      </w:r>
      <w:proofErr w:type="spellStart"/>
      <w:r w:rsidRPr="00BB05C3">
        <w:rPr>
          <w:i/>
        </w:rPr>
        <w:t>rch</w:t>
      </w:r>
      <w:proofErr w:type="spellEnd"/>
      <w:r>
        <w:t xml:space="preserve"> </w:t>
      </w:r>
      <w:r w:rsidRPr="00BB05C3">
        <w:t>serum concentrations above the target exposure level results in free C5 levels &lt; 0.5 µg/mL, achieving immediate, complete and sustained blockade of h</w:t>
      </w:r>
      <w:r>
        <w:t>a</w:t>
      </w:r>
      <w:r w:rsidRPr="00BB05C3">
        <w:t>emolytic activity in all PNH patients.</w:t>
      </w:r>
    </w:p>
    <w:p w14:paraId="7172FC7E" w14:textId="77777777" w:rsidR="0021200F" w:rsidRDefault="004965AB" w:rsidP="0021200F">
      <w:pPr>
        <w:pStyle w:val="Heading3"/>
        <w:spacing w:before="0"/>
        <w:rPr>
          <w:rFonts w:cs="Calibri"/>
        </w:rPr>
      </w:pPr>
      <w:r>
        <w:rPr>
          <w:rFonts w:cs="Calibri"/>
        </w:rPr>
        <w:t>Absorption</w:t>
      </w:r>
    </w:p>
    <w:p w14:paraId="634D7039" w14:textId="77777777" w:rsidR="004965AB" w:rsidRPr="004E03F0" w:rsidRDefault="004965AB" w:rsidP="00A33171">
      <w:r w:rsidRPr="004E03F0">
        <w:t xml:space="preserve">Because </w:t>
      </w:r>
      <w:proofErr w:type="spellStart"/>
      <w:r>
        <w:t>Ultomiris</w:t>
      </w:r>
      <w:proofErr w:type="spellEnd"/>
      <w:r>
        <w:t xml:space="preserve"> </w:t>
      </w:r>
      <w:r w:rsidRPr="004E03F0">
        <w:t xml:space="preserve">administration is </w:t>
      </w:r>
      <w:r w:rsidR="001B784C">
        <w:t xml:space="preserve">via </w:t>
      </w:r>
      <w:r w:rsidRPr="004E03F0">
        <w:t>an IV infusion and the dosage form is a solution, 100% of the administered dose is considered bioavailable. The time to maximum observed concentration (</w:t>
      </w:r>
      <w:proofErr w:type="spellStart"/>
      <w:r w:rsidRPr="004E03F0">
        <w:t>t</w:t>
      </w:r>
      <w:r w:rsidRPr="004E03F0">
        <w:rPr>
          <w:vertAlign w:val="subscript"/>
        </w:rPr>
        <w:t>max</w:t>
      </w:r>
      <w:proofErr w:type="spellEnd"/>
      <w:r w:rsidRPr="004E03F0">
        <w:t xml:space="preserve">) is expected </w:t>
      </w:r>
      <w:r w:rsidR="001B784C">
        <w:t xml:space="preserve">to be </w:t>
      </w:r>
      <w:r w:rsidRPr="004E03F0">
        <w:t xml:space="preserve">at the end of infusion </w:t>
      </w:r>
      <w:r>
        <w:t xml:space="preserve">(EOI) </w:t>
      </w:r>
      <w:r w:rsidRPr="004E03F0">
        <w:t xml:space="preserve">or soon after EOI. Over the studied dose and regimen range, </w:t>
      </w:r>
      <w:proofErr w:type="spellStart"/>
      <w:r w:rsidRPr="004E03F0">
        <w:t>ravulizumab</w:t>
      </w:r>
      <w:proofErr w:type="spellEnd"/>
      <w:r w:rsidR="002D766F">
        <w:t xml:space="preserve"> </w:t>
      </w:r>
      <w:proofErr w:type="spellStart"/>
      <w:r w:rsidR="002D766F" w:rsidRPr="002D766F">
        <w:rPr>
          <w:i/>
        </w:rPr>
        <w:t>rch</w:t>
      </w:r>
      <w:proofErr w:type="spellEnd"/>
      <w:r w:rsidRPr="004E03F0">
        <w:t xml:space="preserve"> exhibited dose proportional and time linear pharmacokinetics</w:t>
      </w:r>
      <w:r>
        <w:t xml:space="preserve"> (PK)</w:t>
      </w:r>
      <w:r w:rsidRPr="004E03F0">
        <w:t>.</w:t>
      </w:r>
    </w:p>
    <w:p w14:paraId="2CD71DB0" w14:textId="77777777" w:rsidR="0021200F" w:rsidRDefault="0021200F" w:rsidP="0021200F">
      <w:pPr>
        <w:pStyle w:val="Heading3"/>
        <w:spacing w:before="0"/>
        <w:rPr>
          <w:rFonts w:cs="Calibri"/>
        </w:rPr>
      </w:pPr>
      <w:r w:rsidRPr="00964868">
        <w:t>Distribution</w:t>
      </w:r>
    </w:p>
    <w:p w14:paraId="539AC0C1" w14:textId="50C88F85" w:rsidR="00964868" w:rsidRPr="00964868" w:rsidRDefault="00964868" w:rsidP="00964868">
      <w:r w:rsidRPr="004E03F0">
        <w:t xml:space="preserve">The </w:t>
      </w:r>
      <w:r>
        <w:t xml:space="preserve">mean (standard deviation [SD]) </w:t>
      </w:r>
      <w:r w:rsidRPr="004E03F0">
        <w:t>volume of distribution at steady state for patients with PNH on the studied weight-based dose regimen was 5.3</w:t>
      </w:r>
      <w:r w:rsidR="00C519B9">
        <w:t>5</w:t>
      </w:r>
      <w:r w:rsidRPr="004E03F0">
        <w:t xml:space="preserve"> (0.92) L</w:t>
      </w:r>
      <w:r>
        <w:t>.</w:t>
      </w:r>
    </w:p>
    <w:p w14:paraId="72E18174" w14:textId="3936B90F" w:rsidR="00964868" w:rsidRDefault="00851C93" w:rsidP="00964868">
      <w:pPr>
        <w:pStyle w:val="Heading3"/>
      </w:pPr>
      <w:r>
        <w:t>Metabolism and Excretion</w:t>
      </w:r>
    </w:p>
    <w:p w14:paraId="50303B12" w14:textId="500E1B17" w:rsidR="00964868" w:rsidRDefault="00964868" w:rsidP="149ACE8A">
      <w:r>
        <w:t xml:space="preserve">As an immunoglobulin gamma (IgG) monoclonal antibody, </w:t>
      </w:r>
      <w:proofErr w:type="spellStart"/>
      <w:r>
        <w:t>ravulizumab</w:t>
      </w:r>
      <w:proofErr w:type="spellEnd"/>
      <w:r w:rsidR="002D766F" w:rsidRPr="149ACE8A">
        <w:t xml:space="preserve"> </w:t>
      </w:r>
      <w:proofErr w:type="spellStart"/>
      <w:r w:rsidR="00BB04A1" w:rsidRPr="002D766F">
        <w:rPr>
          <w:i/>
        </w:rPr>
        <w:t>rch</w:t>
      </w:r>
      <w:proofErr w:type="spellEnd"/>
      <w:r>
        <w:t xml:space="preserve"> is expected to be metaboli</w:t>
      </w:r>
      <w:r w:rsidR="00047E64">
        <w:t>s</w:t>
      </w:r>
      <w:r>
        <w:t xml:space="preserve">ed in the same manner as any endogenous IgG (degraded into small peptides and amino acids via catabolic pathways), and is subject to similar elimination. </w:t>
      </w:r>
      <w:proofErr w:type="spellStart"/>
      <w:r>
        <w:t>Ravulizumab</w:t>
      </w:r>
      <w:proofErr w:type="spellEnd"/>
      <w:r w:rsidR="002D766F" w:rsidRPr="149ACE8A">
        <w:t xml:space="preserve"> </w:t>
      </w:r>
      <w:proofErr w:type="spellStart"/>
      <w:r w:rsidR="00BB04A1" w:rsidRPr="002D766F">
        <w:rPr>
          <w:i/>
        </w:rPr>
        <w:t>rch</w:t>
      </w:r>
      <w:proofErr w:type="spellEnd"/>
      <w:r>
        <w:t xml:space="preserve"> contains only natural occurring amino acids and has no known active metabolites. The mean (SD) values for terminal elimination half-life and clearance of </w:t>
      </w:r>
      <w:proofErr w:type="spellStart"/>
      <w:r>
        <w:t>ravulizumab</w:t>
      </w:r>
      <w:proofErr w:type="spellEnd"/>
      <w:r w:rsidR="002D766F" w:rsidRPr="149ACE8A">
        <w:t xml:space="preserve"> </w:t>
      </w:r>
      <w:proofErr w:type="spellStart"/>
      <w:r w:rsidR="00BB04A1" w:rsidRPr="002D766F">
        <w:rPr>
          <w:i/>
        </w:rPr>
        <w:t>rch</w:t>
      </w:r>
      <w:proofErr w:type="spellEnd"/>
      <w:r w:rsidR="00BB04A1" w:rsidRPr="00BB04A1">
        <w:rPr>
          <w:i/>
          <w:iCs/>
          <w:color w:val="2B579A"/>
        </w:rPr>
        <w:t xml:space="preserve"> </w:t>
      </w:r>
      <w:r w:rsidR="00BB04A1" w:rsidRPr="00BB04A1">
        <w:t>in</w:t>
      </w:r>
      <w:r>
        <w:t xml:space="preserve"> patients with PNH are 49.7 (8.9) days and 0.00332 (0.000941) L/h, respectively.</w:t>
      </w:r>
    </w:p>
    <w:p w14:paraId="1344F6FF" w14:textId="6E8F3207" w:rsidR="0009636A" w:rsidRPr="00B133C4" w:rsidRDefault="0009636A" w:rsidP="00047E64">
      <w:r w:rsidRPr="00B133C4">
        <w:lastRenderedPageBreak/>
        <w:t xml:space="preserve">Body weight was a significant covariate on the pharmacokinetics of </w:t>
      </w:r>
      <w:proofErr w:type="spellStart"/>
      <w:r w:rsidRPr="00B133C4">
        <w:t>ravulizumab</w:t>
      </w:r>
      <w:proofErr w:type="spellEnd"/>
      <w:r w:rsidRPr="00B133C4">
        <w:t xml:space="preserve"> </w:t>
      </w:r>
      <w:proofErr w:type="spellStart"/>
      <w:r w:rsidRPr="00B133C4">
        <w:rPr>
          <w:i/>
        </w:rPr>
        <w:t>rch</w:t>
      </w:r>
      <w:proofErr w:type="spellEnd"/>
      <w:r w:rsidRPr="00B133C4">
        <w:t>.</w:t>
      </w:r>
    </w:p>
    <w:p w14:paraId="65570C29" w14:textId="77777777" w:rsidR="00964868" w:rsidRDefault="00964868" w:rsidP="00964868">
      <w:pPr>
        <w:pStyle w:val="Heading3"/>
      </w:pPr>
      <w:r>
        <w:t>Special Populations</w:t>
      </w:r>
    </w:p>
    <w:p w14:paraId="2694C8CE" w14:textId="036642D4" w:rsidR="009A735C" w:rsidRDefault="00964868" w:rsidP="00047E64">
      <w:r>
        <w:t>No formal trial of the eff</w:t>
      </w:r>
      <w:r w:rsidR="00047E64">
        <w:t>ect of sex, race, age (elderly</w:t>
      </w:r>
      <w:r>
        <w:t xml:space="preserve">), hepatic or renal impairment on the pharmacokinetics of </w:t>
      </w:r>
      <w:proofErr w:type="spellStart"/>
      <w:r>
        <w:t>ravulizumab</w:t>
      </w:r>
      <w:proofErr w:type="spellEnd"/>
      <w:r w:rsidR="002D766F">
        <w:t xml:space="preserve"> </w:t>
      </w:r>
      <w:proofErr w:type="spellStart"/>
      <w:r w:rsidR="002D766F" w:rsidRPr="002D766F">
        <w:rPr>
          <w:i/>
        </w:rPr>
        <w:t>rch</w:t>
      </w:r>
      <w:proofErr w:type="spellEnd"/>
      <w:r>
        <w:t xml:space="preserve"> was conducted. However, based on population-PK assessment no impact of sex, age, race and hepatic or renal function on </w:t>
      </w:r>
      <w:proofErr w:type="spellStart"/>
      <w:r>
        <w:t>ravulizumab</w:t>
      </w:r>
      <w:proofErr w:type="spellEnd"/>
      <w:r w:rsidR="002D766F">
        <w:t xml:space="preserve"> </w:t>
      </w:r>
      <w:proofErr w:type="spellStart"/>
      <w:r w:rsidR="002D766F" w:rsidRPr="002D766F">
        <w:rPr>
          <w:i/>
        </w:rPr>
        <w:t>rch</w:t>
      </w:r>
      <w:proofErr w:type="spellEnd"/>
      <w:r>
        <w:t xml:space="preserve"> PK was identified in the studied healthy volunteer subjects and patients with PNH, and as a result, no dosing adjustment is considered necessary.</w:t>
      </w:r>
    </w:p>
    <w:p w14:paraId="0EB2308C" w14:textId="77777777" w:rsidR="001A3992" w:rsidRPr="00964868" w:rsidRDefault="001A3992" w:rsidP="00F64C55">
      <w:pPr>
        <w:pStyle w:val="Heading2"/>
        <w:spacing w:before="360"/>
      </w:pPr>
      <w:r w:rsidRPr="00964868">
        <w:t>Preclinical safety data</w:t>
      </w:r>
    </w:p>
    <w:p w14:paraId="68DD0A23" w14:textId="77777777" w:rsidR="001A3992" w:rsidRDefault="001A3992" w:rsidP="001A3992">
      <w:pPr>
        <w:pStyle w:val="Heading3"/>
        <w:spacing w:before="0"/>
      </w:pPr>
      <w:proofErr w:type="spellStart"/>
      <w:r w:rsidRPr="00B878CC">
        <w:t>Genotoxicity</w:t>
      </w:r>
      <w:proofErr w:type="spellEnd"/>
    </w:p>
    <w:p w14:paraId="02DAC725" w14:textId="77777777" w:rsidR="000A7B9B" w:rsidRPr="006A7CEB" w:rsidRDefault="000A7B9B" w:rsidP="000A7B9B">
      <w:pPr>
        <w:rPr>
          <w:sz w:val="20"/>
        </w:rPr>
      </w:pPr>
      <w:r w:rsidRPr="006A7CEB">
        <w:rPr>
          <w:rFonts w:cs="Cambria"/>
          <w:szCs w:val="24"/>
          <w:lang w:eastAsia="en-AU"/>
        </w:rPr>
        <w:t xml:space="preserve">No studies have been conducted to assess the genotoxic potential of </w:t>
      </w:r>
      <w:proofErr w:type="spellStart"/>
      <w:r w:rsidRPr="006A7CEB">
        <w:rPr>
          <w:rFonts w:cs="Cambria"/>
          <w:szCs w:val="24"/>
          <w:lang w:eastAsia="en-AU"/>
        </w:rPr>
        <w:t>ravulizumab</w:t>
      </w:r>
      <w:proofErr w:type="spellEnd"/>
      <w:r w:rsidRPr="006A7CEB">
        <w:rPr>
          <w:rFonts w:cs="Cambria"/>
          <w:szCs w:val="24"/>
          <w:lang w:eastAsia="en-AU"/>
        </w:rPr>
        <w:t xml:space="preserve"> </w:t>
      </w:r>
      <w:proofErr w:type="spellStart"/>
      <w:r w:rsidRPr="006A7CEB">
        <w:rPr>
          <w:rFonts w:cs="Cambria"/>
          <w:i/>
          <w:szCs w:val="24"/>
          <w:lang w:eastAsia="en-AU"/>
        </w:rPr>
        <w:t>rch</w:t>
      </w:r>
      <w:proofErr w:type="spellEnd"/>
      <w:r w:rsidR="00964868" w:rsidRPr="006A7CEB">
        <w:rPr>
          <w:rFonts w:cs="Cambria"/>
          <w:i/>
          <w:szCs w:val="24"/>
          <w:lang w:eastAsia="en-AU"/>
        </w:rPr>
        <w:t>.</w:t>
      </w:r>
    </w:p>
    <w:p w14:paraId="1E169589" w14:textId="77777777" w:rsidR="001A3992" w:rsidRDefault="001A3992" w:rsidP="001A3992">
      <w:pPr>
        <w:pStyle w:val="Heading3"/>
        <w:spacing w:before="0"/>
        <w:rPr>
          <w:lang w:val="en-US"/>
        </w:rPr>
      </w:pPr>
      <w:proofErr w:type="spellStart"/>
      <w:r w:rsidRPr="00B878CC">
        <w:t>Carcin</w:t>
      </w:r>
      <w:r w:rsidRPr="00B878CC">
        <w:rPr>
          <w:lang w:val="en-US"/>
        </w:rPr>
        <w:t>ogenicity</w:t>
      </w:r>
      <w:proofErr w:type="spellEnd"/>
    </w:p>
    <w:p w14:paraId="637359FF" w14:textId="77777777" w:rsidR="000A7B9B" w:rsidRPr="006A7CEB" w:rsidRDefault="000A7B9B" w:rsidP="000A7B9B">
      <w:pPr>
        <w:rPr>
          <w:sz w:val="20"/>
          <w:lang w:val="en-US"/>
        </w:rPr>
      </w:pPr>
      <w:r w:rsidRPr="006A7CEB">
        <w:rPr>
          <w:rFonts w:cs="Cambria"/>
          <w:szCs w:val="24"/>
          <w:lang w:eastAsia="en-AU"/>
        </w:rPr>
        <w:t xml:space="preserve">No studies have been conducted to assess the carcinogenic potential of </w:t>
      </w:r>
      <w:proofErr w:type="spellStart"/>
      <w:r w:rsidRPr="006A7CEB">
        <w:rPr>
          <w:rFonts w:cs="Cambria"/>
          <w:szCs w:val="24"/>
          <w:lang w:eastAsia="en-AU"/>
        </w:rPr>
        <w:t>ravulizumab</w:t>
      </w:r>
      <w:proofErr w:type="spellEnd"/>
      <w:r w:rsidRPr="006A7CEB">
        <w:rPr>
          <w:rFonts w:cs="Cambria"/>
          <w:szCs w:val="24"/>
          <w:lang w:eastAsia="en-AU"/>
        </w:rPr>
        <w:t xml:space="preserve"> </w:t>
      </w:r>
      <w:proofErr w:type="spellStart"/>
      <w:r w:rsidRPr="006A7CEB">
        <w:rPr>
          <w:rFonts w:cs="Cambria"/>
          <w:i/>
          <w:szCs w:val="24"/>
          <w:lang w:eastAsia="en-AU"/>
        </w:rPr>
        <w:t>rch</w:t>
      </w:r>
      <w:proofErr w:type="spellEnd"/>
      <w:r w:rsidR="00964868" w:rsidRPr="006A7CEB">
        <w:rPr>
          <w:rFonts w:cs="Cambria"/>
          <w:i/>
          <w:szCs w:val="24"/>
          <w:lang w:eastAsia="en-AU"/>
        </w:rPr>
        <w:t>.</w:t>
      </w:r>
    </w:p>
    <w:p w14:paraId="5B508971" w14:textId="77777777" w:rsidR="001A3992" w:rsidRPr="00A33171" w:rsidRDefault="001A3992" w:rsidP="00A33171">
      <w:pPr>
        <w:pStyle w:val="Heading1"/>
      </w:pPr>
      <w:r w:rsidRPr="00A33171">
        <w:t>Pharmaceutical particulars</w:t>
      </w:r>
    </w:p>
    <w:p w14:paraId="3BB58CEB" w14:textId="77777777" w:rsidR="005B2812" w:rsidRPr="00A33171" w:rsidRDefault="000A7B9B" w:rsidP="00A33171">
      <w:pPr>
        <w:pStyle w:val="Heading2"/>
      </w:pPr>
      <w:r w:rsidRPr="00A33171">
        <w:t>List of excipients</w:t>
      </w:r>
    </w:p>
    <w:p w14:paraId="3EEBD72E" w14:textId="77777777" w:rsidR="000A7B9B" w:rsidRDefault="00F64C55" w:rsidP="000A7B9B">
      <w:pPr>
        <w:autoSpaceDE w:val="0"/>
        <w:autoSpaceDN w:val="0"/>
        <w:adjustRightInd w:val="0"/>
        <w:spacing w:after="0" w:line="240" w:lineRule="auto"/>
        <w:rPr>
          <w:rFonts w:cs="Cambria"/>
          <w:lang w:eastAsia="en-AU"/>
        </w:rPr>
      </w:pPr>
      <w:r>
        <w:rPr>
          <w:rFonts w:cs="Cambria"/>
          <w:lang w:eastAsia="en-AU"/>
        </w:rPr>
        <w:t>m</w:t>
      </w:r>
      <w:r w:rsidR="00964868">
        <w:rPr>
          <w:rFonts w:cs="Cambria"/>
          <w:lang w:eastAsia="en-AU"/>
        </w:rPr>
        <w:t>onobasic sodium phosphate</w:t>
      </w:r>
    </w:p>
    <w:p w14:paraId="78AAE84F" w14:textId="77777777" w:rsidR="005B2812" w:rsidRDefault="00F64C55" w:rsidP="000A7B9B">
      <w:pPr>
        <w:autoSpaceDE w:val="0"/>
        <w:autoSpaceDN w:val="0"/>
        <w:adjustRightInd w:val="0"/>
        <w:spacing w:after="0" w:line="240" w:lineRule="auto"/>
        <w:rPr>
          <w:rFonts w:cs="Cambria"/>
          <w:lang w:eastAsia="en-AU"/>
        </w:rPr>
      </w:pPr>
      <w:r>
        <w:rPr>
          <w:rFonts w:cs="Cambria"/>
          <w:lang w:eastAsia="en-AU"/>
        </w:rPr>
        <w:t>d</w:t>
      </w:r>
      <w:r w:rsidR="000A7B9B">
        <w:rPr>
          <w:rFonts w:cs="Cambria"/>
          <w:lang w:eastAsia="en-AU"/>
        </w:rPr>
        <w:t>ibasic sodium phosphate</w:t>
      </w:r>
    </w:p>
    <w:p w14:paraId="4F9F0E6B" w14:textId="77777777" w:rsidR="000A7B9B" w:rsidRPr="000A7B9B" w:rsidRDefault="00F64C55" w:rsidP="000A7B9B">
      <w:pPr>
        <w:autoSpaceDE w:val="0"/>
        <w:autoSpaceDN w:val="0"/>
        <w:adjustRightInd w:val="0"/>
        <w:spacing w:after="0" w:line="240" w:lineRule="auto"/>
        <w:rPr>
          <w:rFonts w:cs="Cambria"/>
          <w:lang w:eastAsia="en-AU"/>
        </w:rPr>
      </w:pPr>
      <w:r>
        <w:rPr>
          <w:rFonts w:cs="Cambria"/>
          <w:lang w:eastAsia="en-AU"/>
        </w:rPr>
        <w:t>s</w:t>
      </w:r>
      <w:r w:rsidR="000A7B9B" w:rsidRPr="000A7B9B">
        <w:rPr>
          <w:rFonts w:cs="Cambria"/>
          <w:lang w:eastAsia="en-AU"/>
        </w:rPr>
        <w:t>odium chloride</w:t>
      </w:r>
    </w:p>
    <w:p w14:paraId="23F8F21E" w14:textId="77777777" w:rsidR="000A7B9B" w:rsidRPr="000A7B9B" w:rsidRDefault="00F64C55" w:rsidP="000A7B9B">
      <w:pPr>
        <w:autoSpaceDE w:val="0"/>
        <w:autoSpaceDN w:val="0"/>
        <w:adjustRightInd w:val="0"/>
        <w:spacing w:after="0" w:line="240" w:lineRule="auto"/>
        <w:rPr>
          <w:rFonts w:cs="Cambria"/>
          <w:lang w:eastAsia="en-AU"/>
        </w:rPr>
      </w:pPr>
      <w:proofErr w:type="spellStart"/>
      <w:r>
        <w:rPr>
          <w:rFonts w:cs="Cambria"/>
          <w:lang w:eastAsia="en-AU"/>
        </w:rPr>
        <w:t>p</w:t>
      </w:r>
      <w:r w:rsidR="000A7B9B" w:rsidRPr="000A7B9B">
        <w:rPr>
          <w:rFonts w:cs="Cambria"/>
          <w:lang w:eastAsia="en-AU"/>
        </w:rPr>
        <w:t>olysorbate</w:t>
      </w:r>
      <w:proofErr w:type="spellEnd"/>
      <w:r w:rsidR="000A7B9B" w:rsidRPr="000A7B9B">
        <w:rPr>
          <w:rFonts w:cs="Cambria"/>
          <w:lang w:eastAsia="en-AU"/>
        </w:rPr>
        <w:t xml:space="preserve"> 80</w:t>
      </w:r>
    </w:p>
    <w:p w14:paraId="206D3B2C" w14:textId="77777777" w:rsidR="000A7B9B" w:rsidRDefault="000A7B9B" w:rsidP="000A7B9B">
      <w:pPr>
        <w:autoSpaceDE w:val="0"/>
        <w:autoSpaceDN w:val="0"/>
        <w:adjustRightInd w:val="0"/>
        <w:spacing w:after="0" w:line="240" w:lineRule="auto"/>
        <w:rPr>
          <w:rFonts w:cs="Cambria"/>
          <w:lang w:eastAsia="en-AU"/>
        </w:rPr>
      </w:pPr>
      <w:r w:rsidRPr="000A7B9B">
        <w:rPr>
          <w:rFonts w:cs="Cambria"/>
          <w:lang w:eastAsia="en-AU"/>
        </w:rPr>
        <w:t>Water for injections</w:t>
      </w:r>
    </w:p>
    <w:p w14:paraId="701EB54F" w14:textId="77777777" w:rsidR="0048765C" w:rsidRDefault="0048765C" w:rsidP="00707339">
      <w:pPr>
        <w:spacing w:before="240" w:line="240" w:lineRule="atLeast"/>
        <w:rPr>
          <w:bCs/>
        </w:rPr>
      </w:pPr>
      <w:r>
        <w:rPr>
          <w:bCs/>
        </w:rPr>
        <w:t>T</w:t>
      </w:r>
      <w:r w:rsidRPr="004E03F0">
        <w:rPr>
          <w:bCs/>
        </w:rPr>
        <w:t xml:space="preserve">his medicinal product contains 5 </w:t>
      </w:r>
      <w:proofErr w:type="spellStart"/>
      <w:r w:rsidRPr="004E03F0">
        <w:rPr>
          <w:bCs/>
        </w:rPr>
        <w:t>mmol</w:t>
      </w:r>
      <w:proofErr w:type="spellEnd"/>
      <w:r w:rsidRPr="004E03F0">
        <w:rPr>
          <w:bCs/>
        </w:rPr>
        <w:t xml:space="preserve"> sodium per vial. This should be taken into consideration by patients on a controlled sodium diet.</w:t>
      </w:r>
    </w:p>
    <w:p w14:paraId="68A6044C" w14:textId="77777777" w:rsidR="005B2812" w:rsidRPr="00D82CA2" w:rsidRDefault="004542C4" w:rsidP="004542C4">
      <w:pPr>
        <w:pStyle w:val="Heading2"/>
        <w:rPr>
          <w:lang w:val="en-US"/>
        </w:rPr>
      </w:pPr>
      <w:r>
        <w:rPr>
          <w:lang w:val="en-US"/>
        </w:rPr>
        <w:t>Incompatibilities</w:t>
      </w:r>
    </w:p>
    <w:p w14:paraId="43FFB6FE" w14:textId="77777777" w:rsidR="004542C4" w:rsidRPr="004542C4" w:rsidRDefault="004542C4" w:rsidP="00A33171">
      <w:pPr>
        <w:rPr>
          <w:lang w:eastAsia="en-AU"/>
        </w:rPr>
      </w:pPr>
      <w:r w:rsidRPr="004542C4">
        <w:rPr>
          <w:lang w:eastAsia="en-AU"/>
        </w:rPr>
        <w:t xml:space="preserve">In the absence of compatibility studies, this medicinal product must not be mixed with other medicinal products. Reconstitution and dilution should only use </w:t>
      </w:r>
      <w:r>
        <w:rPr>
          <w:lang w:eastAsia="en-AU"/>
        </w:rPr>
        <w:t xml:space="preserve">0.9% </w:t>
      </w:r>
      <w:r w:rsidRPr="004542C4">
        <w:rPr>
          <w:lang w:eastAsia="en-AU"/>
        </w:rPr>
        <w:t>sodium chloride</w:t>
      </w:r>
      <w:r>
        <w:rPr>
          <w:lang w:eastAsia="en-AU"/>
        </w:rPr>
        <w:t>,</w:t>
      </w:r>
      <w:r w:rsidRPr="004542C4">
        <w:rPr>
          <w:lang w:eastAsia="en-AU"/>
        </w:rPr>
        <w:t xml:space="preserve"> solution for injection as diluent.</w:t>
      </w:r>
    </w:p>
    <w:p w14:paraId="441C10E1" w14:textId="2D668FAD" w:rsidR="005B2812" w:rsidRPr="004542C4" w:rsidRDefault="00157349" w:rsidP="004542C4">
      <w:pPr>
        <w:pStyle w:val="Heading2"/>
      </w:pPr>
      <w:r>
        <w:t>Shelf life</w:t>
      </w:r>
      <w:bookmarkStart w:id="17" w:name="_GoBack"/>
      <w:bookmarkEnd w:id="17"/>
    </w:p>
    <w:p w14:paraId="03C06314" w14:textId="77777777" w:rsidR="00964868" w:rsidRPr="004E03F0" w:rsidRDefault="00964868" w:rsidP="00A33171">
      <w:r w:rsidRPr="004E03F0">
        <w:t>30 months.</w:t>
      </w:r>
    </w:p>
    <w:p w14:paraId="06A5B9DB" w14:textId="1443C1C2" w:rsidR="005B2812" w:rsidRPr="00A33171" w:rsidRDefault="00157349" w:rsidP="00A33171">
      <w:pPr>
        <w:pStyle w:val="Heading2"/>
      </w:pPr>
      <w:r>
        <w:t>Special precautions for storage</w:t>
      </w:r>
    </w:p>
    <w:p w14:paraId="1ED7B3E4" w14:textId="77777777" w:rsidR="00E75878" w:rsidRDefault="00E75878" w:rsidP="00A33171">
      <w:proofErr w:type="spellStart"/>
      <w:r w:rsidRPr="004E03F0">
        <w:t>Ultomiris</w:t>
      </w:r>
      <w:proofErr w:type="spellEnd"/>
      <w:r w:rsidRPr="004E03F0">
        <w:t xml:space="preserve"> vials must be stored under refrigerated conditions at 2°C – 8°C.</w:t>
      </w:r>
    </w:p>
    <w:p w14:paraId="541D078C" w14:textId="77777777" w:rsidR="00C8527B" w:rsidRPr="004E03F0" w:rsidRDefault="00C8527B" w:rsidP="00C8527B">
      <w:r w:rsidRPr="004E03F0">
        <w:rPr>
          <w:bCs/>
        </w:rPr>
        <w:t xml:space="preserve">After dilution, the medicinal product should be used immediately. However, chemical and physical stability of the diluted product have been demonstrated for up to 24 hours at 2°C-8°C and up </w:t>
      </w:r>
      <w:r>
        <w:rPr>
          <w:bCs/>
        </w:rPr>
        <w:t>to 6 hours at room temperature.</w:t>
      </w:r>
    </w:p>
    <w:p w14:paraId="78B757E7" w14:textId="24DE6FB4" w:rsidR="00E75878" w:rsidRPr="004E03F0" w:rsidRDefault="00E75878" w:rsidP="00A33171">
      <w:r w:rsidRPr="004E03F0">
        <w:lastRenderedPageBreak/>
        <w:t>Vial</w:t>
      </w:r>
      <w:r w:rsidR="00707339">
        <w:t>s must not be frozen or shaken.</w:t>
      </w:r>
    </w:p>
    <w:p w14:paraId="2CB43527" w14:textId="77777777" w:rsidR="00E75878" w:rsidRPr="004E03F0" w:rsidRDefault="00E75878" w:rsidP="00A33171">
      <w:r w:rsidRPr="004E03F0">
        <w:t>Keep the vial in the outer carton to protect from light.</w:t>
      </w:r>
    </w:p>
    <w:p w14:paraId="1867D2F1" w14:textId="6DAB8DAC" w:rsidR="005B2812" w:rsidRDefault="005B2812" w:rsidP="00E75878">
      <w:pPr>
        <w:pStyle w:val="Heading2"/>
      </w:pPr>
      <w:r w:rsidRPr="00E75878">
        <w:t>N</w:t>
      </w:r>
      <w:r w:rsidR="00707339">
        <w:t>ature and contents of container</w:t>
      </w:r>
    </w:p>
    <w:p w14:paraId="62141CC0" w14:textId="77777777" w:rsidR="00E75878" w:rsidRPr="004E03F0" w:rsidRDefault="00E75878" w:rsidP="00E75878">
      <w:pPr>
        <w:spacing w:line="240" w:lineRule="atLeast"/>
      </w:pPr>
      <w:r w:rsidRPr="004E03F0">
        <w:rPr>
          <w:bCs/>
        </w:rPr>
        <w:t>Type I glass</w:t>
      </w:r>
      <w:r w:rsidR="00C8527B">
        <w:rPr>
          <w:bCs/>
        </w:rPr>
        <w:t xml:space="preserve"> vial</w:t>
      </w:r>
      <w:r w:rsidRPr="004E03F0">
        <w:rPr>
          <w:bCs/>
        </w:rPr>
        <w:t xml:space="preserve"> with a stopper and a seal.</w:t>
      </w:r>
    </w:p>
    <w:p w14:paraId="389FCA3E" w14:textId="77777777" w:rsidR="00E75878" w:rsidRPr="00E75878" w:rsidRDefault="00E75878" w:rsidP="00E75878">
      <w:pPr>
        <w:spacing w:line="240" w:lineRule="atLeast"/>
      </w:pPr>
      <w:r w:rsidRPr="004E03F0">
        <w:t>Pack size of one vial.</w:t>
      </w:r>
    </w:p>
    <w:p w14:paraId="651E73DA" w14:textId="279F992A" w:rsidR="005B2812" w:rsidRPr="00A33171" w:rsidRDefault="005B2812" w:rsidP="00A33171">
      <w:pPr>
        <w:pStyle w:val="Heading2"/>
      </w:pPr>
      <w:r w:rsidRPr="00A33171">
        <w:t>S</w:t>
      </w:r>
      <w:r w:rsidR="007E7CA3">
        <w:t>pecial precautions for disposal</w:t>
      </w:r>
    </w:p>
    <w:p w14:paraId="3B6BC8D1" w14:textId="77777777" w:rsidR="00531338" w:rsidRPr="00531338" w:rsidRDefault="00054F0A" w:rsidP="0021200F">
      <w:pPr>
        <w:rPr>
          <w:rFonts w:cs="Calibri"/>
          <w:lang w:val="en"/>
        </w:rPr>
      </w:pPr>
      <w:r w:rsidRPr="00531338">
        <w:rPr>
          <w:rFonts w:cs="Cambria"/>
          <w:lang w:eastAsia="en-AU"/>
        </w:rPr>
        <w:t>Product is for single use in one patient only.</w:t>
      </w:r>
      <w:r w:rsidRPr="00531338">
        <w:rPr>
          <w:rFonts w:cs="Calibri"/>
          <w:lang w:val="en"/>
        </w:rPr>
        <w:t xml:space="preserve"> </w:t>
      </w:r>
      <w:r w:rsidR="00531338" w:rsidRPr="00531338">
        <w:rPr>
          <w:rFonts w:cs="Calibri"/>
          <w:lang w:val="en"/>
        </w:rPr>
        <w:t>Discard any residue.</w:t>
      </w:r>
    </w:p>
    <w:p w14:paraId="5C4F6F66" w14:textId="6AF45B9F" w:rsidR="005B2812" w:rsidRPr="004542C4" w:rsidRDefault="0021200F" w:rsidP="0021200F">
      <w:pPr>
        <w:rPr>
          <w:rFonts w:cs="Calibri"/>
          <w:i/>
          <w:lang w:val="en-US"/>
        </w:rPr>
      </w:pPr>
      <w:r w:rsidRPr="004542C4">
        <w:rPr>
          <w:rFonts w:cs="Calibri"/>
          <w:i/>
          <w:lang w:val="en"/>
        </w:rPr>
        <w:t>In Australia, any unused medicine or waste material should be disposed of in acco</w:t>
      </w:r>
      <w:r w:rsidR="000A7B9B" w:rsidRPr="004542C4">
        <w:rPr>
          <w:rFonts w:cs="Calibri"/>
          <w:i/>
          <w:lang w:val="en"/>
        </w:rPr>
        <w:t>rdance with local requirements.</w:t>
      </w:r>
    </w:p>
    <w:p w14:paraId="6E7189E6" w14:textId="77777777" w:rsidR="001A3992" w:rsidRPr="00A33171" w:rsidRDefault="001A3992" w:rsidP="00A33171">
      <w:pPr>
        <w:pStyle w:val="Heading2"/>
      </w:pPr>
      <w:r w:rsidRPr="00A33171">
        <w:t>Physicochemical properties</w:t>
      </w:r>
    </w:p>
    <w:p w14:paraId="14C42156" w14:textId="77777777" w:rsidR="001A3992" w:rsidRDefault="001A3992" w:rsidP="00A33171">
      <w:pPr>
        <w:pStyle w:val="Heading3"/>
      </w:pPr>
      <w:r w:rsidRPr="00A33171">
        <w:t>Chemical structure</w:t>
      </w:r>
    </w:p>
    <w:p w14:paraId="433F9F8F" w14:textId="77777777" w:rsidR="00261BFE" w:rsidRPr="00261BFE" w:rsidRDefault="001B5F64" w:rsidP="00261BFE">
      <w:r>
        <w:rPr>
          <w:noProof/>
          <w:color w:val="2B579A"/>
          <w:shd w:val="clear" w:color="auto" w:fill="E6E6E6"/>
          <w:lang w:eastAsia="en-AU"/>
        </w:rPr>
        <w:drawing>
          <wp:inline distT="0" distB="0" distL="0" distR="0" wp14:anchorId="42F64250" wp14:editId="7C5ACEA6">
            <wp:extent cx="3957320" cy="2355215"/>
            <wp:effectExtent l="0" t="0" r="5080" b="698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57320" cy="2355215"/>
                    </a:xfrm>
                    <a:prstGeom prst="rect">
                      <a:avLst/>
                    </a:prstGeom>
                    <a:noFill/>
                    <a:ln>
                      <a:noFill/>
                    </a:ln>
                  </pic:spPr>
                </pic:pic>
              </a:graphicData>
            </a:graphic>
          </wp:inline>
        </w:drawing>
      </w:r>
    </w:p>
    <w:p w14:paraId="7AD8F714" w14:textId="77777777" w:rsidR="001A3992" w:rsidRPr="00A33171" w:rsidRDefault="001A3992" w:rsidP="00A33171">
      <w:pPr>
        <w:pStyle w:val="Heading3"/>
      </w:pPr>
      <w:r w:rsidRPr="00A33171">
        <w:t>CAS number</w:t>
      </w:r>
    </w:p>
    <w:p w14:paraId="708BBB11" w14:textId="41EFF194" w:rsidR="001B1B72" w:rsidRPr="001B1B72" w:rsidRDefault="001B1B72" w:rsidP="00A33171">
      <w:pPr>
        <w:rPr>
          <w:rFonts w:ascii="Arial" w:hAnsi="Arial" w:cs="Arial"/>
          <w:lang w:eastAsia="en-AU"/>
        </w:rPr>
      </w:pPr>
      <w:r w:rsidRPr="001B1B72">
        <w:t>CAS registry number: 1803171-55-2</w:t>
      </w:r>
    </w:p>
    <w:p w14:paraId="3B945E4E" w14:textId="77777777" w:rsidR="001A3992" w:rsidRPr="00A33171" w:rsidRDefault="001A3992" w:rsidP="00A33171">
      <w:pPr>
        <w:pStyle w:val="Heading1"/>
      </w:pPr>
      <w:r w:rsidRPr="00A33171">
        <w:t>Medicine schedule (Poisons Standard)</w:t>
      </w:r>
    </w:p>
    <w:p w14:paraId="45F2BC2A" w14:textId="77777777" w:rsidR="001B1B72" w:rsidRPr="009C210F" w:rsidRDefault="001B1B72" w:rsidP="00A33171">
      <w:pPr>
        <w:rPr>
          <w:lang w:val="en-US"/>
        </w:rPr>
      </w:pPr>
      <w:r w:rsidRPr="009C210F">
        <w:rPr>
          <w:lang w:val="en-US"/>
        </w:rPr>
        <w:t>Schedule 4 – Prescription Only Medicine</w:t>
      </w:r>
    </w:p>
    <w:p w14:paraId="0C296B55" w14:textId="77777777" w:rsidR="00285173" w:rsidRDefault="001A3992" w:rsidP="00285173">
      <w:pPr>
        <w:pStyle w:val="Heading1"/>
        <w:spacing w:before="0"/>
        <w:rPr>
          <w:lang w:val="en-US"/>
        </w:rPr>
      </w:pPr>
      <w:r w:rsidRPr="007D497E">
        <w:rPr>
          <w:lang w:val="en-US"/>
        </w:rPr>
        <w:t>Sponsor</w:t>
      </w:r>
    </w:p>
    <w:p w14:paraId="2C0747B7" w14:textId="77777777" w:rsidR="000A7B9B" w:rsidRDefault="000A7B9B" w:rsidP="00A33171">
      <w:pPr>
        <w:spacing w:after="0" w:line="240" w:lineRule="auto"/>
        <w:rPr>
          <w:lang w:eastAsia="en-AU"/>
        </w:rPr>
      </w:pPr>
      <w:r>
        <w:rPr>
          <w:lang w:eastAsia="en-AU"/>
        </w:rPr>
        <w:t>Alexion Pharmaceuticals Australasia Pty Ltd</w:t>
      </w:r>
    </w:p>
    <w:p w14:paraId="2E56F4EC" w14:textId="77777777" w:rsidR="000A7B9B" w:rsidRDefault="000A7B9B" w:rsidP="00A33171">
      <w:pPr>
        <w:spacing w:after="0" w:line="240" w:lineRule="auto"/>
        <w:rPr>
          <w:lang w:eastAsia="en-AU"/>
        </w:rPr>
      </w:pPr>
      <w:r>
        <w:rPr>
          <w:lang w:eastAsia="en-AU"/>
        </w:rPr>
        <w:t>Suite 401, Level 4, Building A</w:t>
      </w:r>
    </w:p>
    <w:p w14:paraId="58FED979" w14:textId="77777777" w:rsidR="000A7B9B" w:rsidRDefault="000A7B9B" w:rsidP="00A33171">
      <w:pPr>
        <w:spacing w:after="0" w:line="240" w:lineRule="auto"/>
        <w:rPr>
          <w:lang w:eastAsia="en-AU"/>
        </w:rPr>
      </w:pPr>
      <w:r>
        <w:rPr>
          <w:lang w:eastAsia="en-AU"/>
        </w:rPr>
        <w:t>20 Rodborough Road</w:t>
      </w:r>
    </w:p>
    <w:p w14:paraId="43E9EBB2" w14:textId="77777777" w:rsidR="000A7B9B" w:rsidRDefault="000A7B9B" w:rsidP="00A33171">
      <w:pPr>
        <w:spacing w:after="0" w:line="240" w:lineRule="auto"/>
        <w:rPr>
          <w:lang w:eastAsia="en-AU"/>
        </w:rPr>
      </w:pPr>
      <w:r>
        <w:rPr>
          <w:lang w:eastAsia="en-AU"/>
        </w:rPr>
        <w:t>Frenchs Forest NSW 2086</w:t>
      </w:r>
    </w:p>
    <w:p w14:paraId="0003E55C" w14:textId="77777777" w:rsidR="00A33171" w:rsidRPr="00A33171" w:rsidRDefault="00A33171" w:rsidP="00A33171">
      <w:pPr>
        <w:spacing w:after="0" w:line="240" w:lineRule="auto"/>
        <w:rPr>
          <w:sz w:val="12"/>
          <w:lang w:eastAsia="en-AU"/>
        </w:rPr>
      </w:pPr>
    </w:p>
    <w:p w14:paraId="308297CC" w14:textId="77777777" w:rsidR="000A7B9B" w:rsidRDefault="000A7B9B" w:rsidP="00A33171">
      <w:pPr>
        <w:spacing w:after="0" w:line="240" w:lineRule="auto"/>
        <w:rPr>
          <w:lang w:eastAsia="en-AU"/>
        </w:rPr>
      </w:pPr>
      <w:r>
        <w:rPr>
          <w:lang w:eastAsia="en-AU"/>
        </w:rPr>
        <w:t>Medical enquiries: 1800 788 189</w:t>
      </w:r>
    </w:p>
    <w:p w14:paraId="1D062862" w14:textId="77777777" w:rsidR="00285173" w:rsidRPr="00A33171" w:rsidRDefault="00285173" w:rsidP="00A33171">
      <w:pPr>
        <w:pStyle w:val="Heading1"/>
      </w:pPr>
      <w:r w:rsidRPr="00A33171">
        <w:lastRenderedPageBreak/>
        <w:t xml:space="preserve">Date of first </w:t>
      </w:r>
      <w:r w:rsidR="000A7B9B" w:rsidRPr="00A33171">
        <w:t>approval</w:t>
      </w:r>
    </w:p>
    <w:p w14:paraId="1047EC8B" w14:textId="5100440F" w:rsidR="000A7B9B" w:rsidRPr="000A7B9B" w:rsidRDefault="00710052" w:rsidP="00A33171">
      <w:pPr>
        <w:rPr>
          <w:lang w:eastAsia="en-AU"/>
        </w:rPr>
      </w:pPr>
      <w:r>
        <w:rPr>
          <w:lang w:eastAsia="en-AU"/>
        </w:rPr>
        <w:t>17</w:t>
      </w:r>
      <w:r w:rsidRPr="000A7B9B">
        <w:rPr>
          <w:lang w:eastAsia="en-AU"/>
        </w:rPr>
        <w:t xml:space="preserve"> </w:t>
      </w:r>
      <w:r w:rsidR="00400639">
        <w:rPr>
          <w:lang w:eastAsia="en-AU"/>
        </w:rPr>
        <w:t>OCT</w:t>
      </w:r>
      <w:r w:rsidR="000A7B9B" w:rsidRPr="000A7B9B">
        <w:rPr>
          <w:lang w:eastAsia="en-AU"/>
        </w:rPr>
        <w:t xml:space="preserve"> </w:t>
      </w:r>
      <w:r w:rsidR="00400639">
        <w:rPr>
          <w:lang w:eastAsia="en-AU"/>
        </w:rPr>
        <w:t>2019</w:t>
      </w:r>
    </w:p>
    <w:sectPr w:rsidR="000A7B9B" w:rsidRPr="000A7B9B" w:rsidSect="00107034">
      <w:headerReference w:type="default" r:id="rId18"/>
      <w:footerReference w:type="default" r:id="rId19"/>
      <w:pgSz w:w="11906" w:h="16838"/>
      <w:pgMar w:top="1440" w:right="1440"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B21A1" w14:textId="77777777" w:rsidR="00707339" w:rsidRDefault="00707339" w:rsidP="001A3992">
      <w:pPr>
        <w:spacing w:after="0" w:line="240" w:lineRule="auto"/>
      </w:pPr>
      <w:r>
        <w:separator/>
      </w:r>
    </w:p>
    <w:p w14:paraId="6EB5D30F" w14:textId="77777777" w:rsidR="00707339" w:rsidRDefault="00707339"/>
  </w:endnote>
  <w:endnote w:type="continuationSeparator" w:id="0">
    <w:p w14:paraId="48D89A49" w14:textId="77777777" w:rsidR="00707339" w:rsidRDefault="00707339" w:rsidP="001A3992">
      <w:pPr>
        <w:spacing w:after="0" w:line="240" w:lineRule="auto"/>
      </w:pPr>
      <w:r>
        <w:continuationSeparator/>
      </w:r>
    </w:p>
    <w:p w14:paraId="38A3BA30" w14:textId="77777777" w:rsidR="00707339" w:rsidRDefault="00707339"/>
  </w:endnote>
  <w:endnote w:type="continuationNotice" w:id="1">
    <w:p w14:paraId="071D5E48" w14:textId="77777777" w:rsidR="00707339" w:rsidRDefault="007073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T A 20 F 6 BE 8o 0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LiberationSerif">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11B81" w14:textId="78AAC361" w:rsidR="00707339" w:rsidRPr="00F067CA" w:rsidRDefault="00707339" w:rsidP="00F067CA">
    <w:pPr>
      <w:pStyle w:val="Footer"/>
      <w:jc w:val="right"/>
    </w:pPr>
    <w:r w:rsidRPr="00F067CA">
      <w:rPr>
        <w:color w:val="2B579A"/>
        <w:shd w:val="clear" w:color="auto" w:fill="E6E6E6"/>
      </w:rPr>
      <w:fldChar w:fldCharType="begin"/>
    </w:r>
    <w:r w:rsidRPr="00F067CA">
      <w:instrText xml:space="preserve"> PAGE   \* MERGEFORMAT </w:instrText>
    </w:r>
    <w:r w:rsidRPr="00F067CA">
      <w:rPr>
        <w:color w:val="2B579A"/>
        <w:shd w:val="clear" w:color="auto" w:fill="E6E6E6"/>
      </w:rPr>
      <w:fldChar w:fldCharType="separate"/>
    </w:r>
    <w:r w:rsidR="00157349">
      <w:rPr>
        <w:noProof/>
      </w:rPr>
      <w:t>18</w:t>
    </w:r>
    <w:r w:rsidRPr="00F067CA">
      <w:rPr>
        <w:noProof/>
        <w:color w:val="2B579A"/>
        <w:shd w:val="clear" w:color="auto" w:fill="E6E6E6"/>
      </w:rPr>
      <w:fldChar w:fldCharType="end"/>
    </w:r>
  </w:p>
  <w:p w14:paraId="0DB8D83E" w14:textId="66EA7FA6" w:rsidR="00707339" w:rsidRPr="00F067CA" w:rsidRDefault="00707339" w:rsidP="00F067CA">
    <w:pPr>
      <w:spacing w:after="0" w:line="240" w:lineRule="auto"/>
    </w:pPr>
    <w:r w:rsidRPr="00F067CA">
      <w:t>1</w:t>
    </w:r>
    <w:r>
      <w:t>90926</w:t>
    </w:r>
    <w:r w:rsidRPr="00F067CA">
      <w:t>_ULTOMIRIS PI</w:t>
    </w:r>
  </w:p>
  <w:p w14:paraId="074C74BB" w14:textId="34ED897E" w:rsidR="00707339" w:rsidRPr="00F067CA" w:rsidRDefault="00707339" w:rsidP="00F067CA">
    <w:pPr>
      <w:spacing w:after="0" w:line="240" w:lineRule="auto"/>
    </w:pPr>
    <w:r>
      <w:t>CCDSv1.2 and 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2BC8C" w14:textId="77777777" w:rsidR="00707339" w:rsidRDefault="00707339" w:rsidP="001A3992">
      <w:pPr>
        <w:spacing w:after="0" w:line="240" w:lineRule="auto"/>
      </w:pPr>
      <w:r>
        <w:separator/>
      </w:r>
    </w:p>
    <w:p w14:paraId="79582F88" w14:textId="77777777" w:rsidR="00707339" w:rsidRDefault="00707339"/>
  </w:footnote>
  <w:footnote w:type="continuationSeparator" w:id="0">
    <w:p w14:paraId="5B2D46C4" w14:textId="77777777" w:rsidR="00707339" w:rsidRDefault="00707339" w:rsidP="001A3992">
      <w:pPr>
        <w:spacing w:after="0" w:line="240" w:lineRule="auto"/>
      </w:pPr>
      <w:r>
        <w:continuationSeparator/>
      </w:r>
    </w:p>
    <w:p w14:paraId="7300BF3E" w14:textId="77777777" w:rsidR="00707339" w:rsidRDefault="00707339"/>
  </w:footnote>
  <w:footnote w:type="continuationNotice" w:id="1">
    <w:p w14:paraId="17B76E46" w14:textId="77777777" w:rsidR="00707339" w:rsidRDefault="007073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shd w:val="clear" w:color="auto" w:fill="E4F2E0"/>
      <w:tblLook w:val="04A0" w:firstRow="1" w:lastRow="0" w:firstColumn="1" w:lastColumn="0" w:noHBand="0" w:noVBand="1"/>
    </w:tblPr>
    <w:tblGrid>
      <w:gridCol w:w="8720"/>
    </w:tblGrid>
    <w:tr w:rsidR="00707339" w:rsidRPr="00707339" w14:paraId="66A40BAC" w14:textId="77777777" w:rsidTr="00707339">
      <w:tc>
        <w:tcPr>
          <w:tcW w:w="8720" w:type="dxa"/>
          <w:shd w:val="clear" w:color="auto" w:fill="E4F2E0"/>
        </w:tcPr>
        <w:p w14:paraId="23AE0935" w14:textId="3044E20C" w:rsidR="00707339" w:rsidRPr="00707339" w:rsidRDefault="00707339" w:rsidP="00707339">
          <w:pPr>
            <w:spacing w:before="180" w:after="180" w:line="240" w:lineRule="atLeast"/>
          </w:pPr>
          <w:r w:rsidRPr="00707339">
            <w:rPr>
              <w:b/>
              <w:sz w:val="18"/>
              <w:szCs w:val="18"/>
            </w:rPr>
            <w:t xml:space="preserve">Attachment 1: Product information for </w:t>
          </w:r>
          <w:proofErr w:type="spellStart"/>
          <w:r w:rsidRPr="00707339">
            <w:rPr>
              <w:b/>
              <w:sz w:val="18"/>
              <w:szCs w:val="18"/>
            </w:rPr>
            <w:t>AusPAR</w:t>
          </w:r>
          <w:proofErr w:type="spellEnd"/>
          <w:r w:rsidRPr="00707339">
            <w:rPr>
              <w:b/>
              <w:sz w:val="18"/>
              <w:szCs w:val="18"/>
            </w:rPr>
            <w:t xml:space="preserve"> </w:t>
          </w:r>
          <w:proofErr w:type="spellStart"/>
          <w:r w:rsidRPr="00707339">
            <w:rPr>
              <w:b/>
              <w:sz w:val="18"/>
              <w:szCs w:val="18"/>
            </w:rPr>
            <w:t>Ultomiris</w:t>
          </w:r>
          <w:proofErr w:type="spellEnd"/>
          <w:r w:rsidRPr="00707339">
            <w:rPr>
              <w:b/>
              <w:sz w:val="18"/>
              <w:szCs w:val="18"/>
            </w:rPr>
            <w:t xml:space="preserve"> </w:t>
          </w:r>
          <w:proofErr w:type="spellStart"/>
          <w:r w:rsidRPr="00707339">
            <w:rPr>
              <w:b/>
              <w:sz w:val="18"/>
              <w:szCs w:val="18"/>
            </w:rPr>
            <w:t>Ravulizumab</w:t>
          </w:r>
          <w:proofErr w:type="spellEnd"/>
          <w:r w:rsidRPr="00707339">
            <w:rPr>
              <w:b/>
              <w:sz w:val="18"/>
              <w:szCs w:val="18"/>
            </w:rPr>
            <w:t xml:space="preserve"> Alexion Pharmaceuticals Australasia Pty Ltd PM-2018-05023-1-6 Final 13 November 2019. This is the Product Information that was approved with the submission described in this </w:t>
          </w:r>
          <w:proofErr w:type="spellStart"/>
          <w:r w:rsidRPr="00707339">
            <w:rPr>
              <w:b/>
              <w:sz w:val="18"/>
              <w:szCs w:val="18"/>
            </w:rPr>
            <w:t>AusPAR</w:t>
          </w:r>
          <w:proofErr w:type="spellEnd"/>
          <w:r w:rsidRPr="00707339">
            <w:rPr>
              <w:b/>
              <w:sz w:val="18"/>
              <w:szCs w:val="18"/>
            </w:rPr>
            <w:t>. It may have been superseded. For the most recent PI, please refer to the TGA website at &lt;</w:t>
          </w:r>
          <w:hyperlink r:id="rId1" w:history="1">
            <w:r w:rsidRPr="00707339">
              <w:rPr>
                <w:color w:val="0000FF"/>
                <w:sz w:val="18"/>
                <w:szCs w:val="18"/>
                <w:u w:val="single"/>
              </w:rPr>
              <w:t>https://www.tga.gov.au/product-information-pi</w:t>
            </w:r>
          </w:hyperlink>
          <w:r w:rsidRPr="00707339">
            <w:rPr>
              <w:color w:val="0000FF"/>
              <w:sz w:val="18"/>
              <w:szCs w:val="18"/>
              <w:u w:val="single"/>
            </w:rPr>
            <w:t>&gt;</w:t>
          </w:r>
        </w:p>
      </w:tc>
    </w:tr>
  </w:tbl>
  <w:p w14:paraId="3E13DA7E" w14:textId="77777777" w:rsidR="00707339" w:rsidRDefault="00707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85857"/>
    <w:multiLevelType w:val="hybridMultilevel"/>
    <w:tmpl w:val="C33C4C6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EB5F1D"/>
    <w:multiLevelType w:val="hybridMultilevel"/>
    <w:tmpl w:val="2A94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912AFA"/>
    <w:multiLevelType w:val="hybridMultilevel"/>
    <w:tmpl w:val="F1283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169A4"/>
    <w:multiLevelType w:val="hybridMultilevel"/>
    <w:tmpl w:val="29982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9F28EC"/>
    <w:multiLevelType w:val="hybridMultilevel"/>
    <w:tmpl w:val="70CE152A"/>
    <w:lvl w:ilvl="0" w:tplc="294478FA">
      <w:start w:val="1"/>
      <w:numFmt w:val="bullet"/>
      <w:lvlText w:val=""/>
      <w:lvlJc w:val="left"/>
      <w:pPr>
        <w:ind w:left="927" w:hanging="360"/>
      </w:pPr>
      <w:rPr>
        <w:rFonts w:ascii="Wingdings" w:eastAsia="Calibri"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760714F"/>
    <w:multiLevelType w:val="hybridMultilevel"/>
    <w:tmpl w:val="E6B41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E42151"/>
    <w:multiLevelType w:val="hybridMultilevel"/>
    <w:tmpl w:val="935CB0C6"/>
    <w:lvl w:ilvl="0" w:tplc="62D29A18">
      <w:start w:val="1"/>
      <w:numFmt w:val="bullet"/>
      <w:pStyle w:val="C-PL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FC0855"/>
    <w:multiLevelType w:val="hybridMultilevel"/>
    <w:tmpl w:val="FA287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890F3E"/>
    <w:multiLevelType w:val="hybridMultilevel"/>
    <w:tmpl w:val="72AE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0"/>
  </w:num>
  <w:num w:numId="4">
    <w:abstractNumId w:val="9"/>
  </w:num>
  <w:num w:numId="5">
    <w:abstractNumId w:val="18"/>
  </w:num>
  <w:num w:numId="6">
    <w:abstractNumId w:val="15"/>
  </w:num>
  <w:num w:numId="7">
    <w:abstractNumId w:val="11"/>
  </w:num>
  <w:num w:numId="8">
    <w:abstractNumId w:val="16"/>
  </w:num>
  <w:num w:numId="9">
    <w:abstractNumId w:val="4"/>
  </w:num>
  <w:num w:numId="10">
    <w:abstractNumId w:val="10"/>
  </w:num>
  <w:num w:numId="11">
    <w:abstractNumId w:val="8"/>
  </w:num>
  <w:num w:numId="12">
    <w:abstractNumId w:val="12"/>
  </w:num>
  <w:num w:numId="13">
    <w:abstractNumId w:val="17"/>
  </w:num>
  <w:num w:numId="14">
    <w:abstractNumId w:val="1"/>
  </w:num>
  <w:num w:numId="15">
    <w:abstractNumId w:val="13"/>
  </w:num>
  <w:num w:numId="16">
    <w:abstractNumId w:val="7"/>
  </w:num>
  <w:num w:numId="17">
    <w:abstractNumId w:val="5"/>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CA2"/>
    <w:rsid w:val="00002A17"/>
    <w:rsid w:val="00014C62"/>
    <w:rsid w:val="00021256"/>
    <w:rsid w:val="0002269C"/>
    <w:rsid w:val="00023CAA"/>
    <w:rsid w:val="00035A85"/>
    <w:rsid w:val="00042302"/>
    <w:rsid w:val="00046775"/>
    <w:rsid w:val="00046A22"/>
    <w:rsid w:val="00047E64"/>
    <w:rsid w:val="00054F0A"/>
    <w:rsid w:val="00065B0C"/>
    <w:rsid w:val="00072A52"/>
    <w:rsid w:val="00082362"/>
    <w:rsid w:val="00093236"/>
    <w:rsid w:val="0009636A"/>
    <w:rsid w:val="000A1919"/>
    <w:rsid w:val="000A29F3"/>
    <w:rsid w:val="000A2A44"/>
    <w:rsid w:val="000A36E0"/>
    <w:rsid w:val="000A54CF"/>
    <w:rsid w:val="000A7B9B"/>
    <w:rsid w:val="000B1342"/>
    <w:rsid w:val="000C2753"/>
    <w:rsid w:val="000C528B"/>
    <w:rsid w:val="000C625C"/>
    <w:rsid w:val="000D503A"/>
    <w:rsid w:val="000D7C7E"/>
    <w:rsid w:val="000E4B86"/>
    <w:rsid w:val="000F22D2"/>
    <w:rsid w:val="00104DF9"/>
    <w:rsid w:val="00107034"/>
    <w:rsid w:val="00114239"/>
    <w:rsid w:val="00114506"/>
    <w:rsid w:val="00120A04"/>
    <w:rsid w:val="00123DFA"/>
    <w:rsid w:val="00124B6B"/>
    <w:rsid w:val="0012762A"/>
    <w:rsid w:val="0013150D"/>
    <w:rsid w:val="00131C07"/>
    <w:rsid w:val="0013241B"/>
    <w:rsid w:val="00151541"/>
    <w:rsid w:val="00157349"/>
    <w:rsid w:val="0016469F"/>
    <w:rsid w:val="00174F1E"/>
    <w:rsid w:val="0017505E"/>
    <w:rsid w:val="00175364"/>
    <w:rsid w:val="00181398"/>
    <w:rsid w:val="001818A2"/>
    <w:rsid w:val="00181E9F"/>
    <w:rsid w:val="00196457"/>
    <w:rsid w:val="001A0F9E"/>
    <w:rsid w:val="001A1D6B"/>
    <w:rsid w:val="001A3992"/>
    <w:rsid w:val="001A65D3"/>
    <w:rsid w:val="001B13B8"/>
    <w:rsid w:val="001B1B72"/>
    <w:rsid w:val="001B5F64"/>
    <w:rsid w:val="001B784C"/>
    <w:rsid w:val="001C21F8"/>
    <w:rsid w:val="001C6E71"/>
    <w:rsid w:val="001D3DDE"/>
    <w:rsid w:val="001D7362"/>
    <w:rsid w:val="001E10F1"/>
    <w:rsid w:val="001E66B9"/>
    <w:rsid w:val="001E6923"/>
    <w:rsid w:val="001E6C7B"/>
    <w:rsid w:val="002018AD"/>
    <w:rsid w:val="00210C5A"/>
    <w:rsid w:val="0021200F"/>
    <w:rsid w:val="00216692"/>
    <w:rsid w:val="00224A6D"/>
    <w:rsid w:val="0022742C"/>
    <w:rsid w:val="00250A19"/>
    <w:rsid w:val="00250AB4"/>
    <w:rsid w:val="00255DF9"/>
    <w:rsid w:val="00261BFE"/>
    <w:rsid w:val="00264A27"/>
    <w:rsid w:val="002672D9"/>
    <w:rsid w:val="00272388"/>
    <w:rsid w:val="00282849"/>
    <w:rsid w:val="00285173"/>
    <w:rsid w:val="00287D18"/>
    <w:rsid w:val="00292BEB"/>
    <w:rsid w:val="002B76BB"/>
    <w:rsid w:val="002D766F"/>
    <w:rsid w:val="002E277D"/>
    <w:rsid w:val="00301B8E"/>
    <w:rsid w:val="00302153"/>
    <w:rsid w:val="00304A5F"/>
    <w:rsid w:val="003069ED"/>
    <w:rsid w:val="00312C44"/>
    <w:rsid w:val="00317EE4"/>
    <w:rsid w:val="00321764"/>
    <w:rsid w:val="003238FF"/>
    <w:rsid w:val="003277C2"/>
    <w:rsid w:val="003576C8"/>
    <w:rsid w:val="00357FF6"/>
    <w:rsid w:val="00363E96"/>
    <w:rsid w:val="0037346D"/>
    <w:rsid w:val="00375DF3"/>
    <w:rsid w:val="00377BF0"/>
    <w:rsid w:val="00384377"/>
    <w:rsid w:val="00395475"/>
    <w:rsid w:val="003A7858"/>
    <w:rsid w:val="003C1C2B"/>
    <w:rsid w:val="003C55D1"/>
    <w:rsid w:val="003E4571"/>
    <w:rsid w:val="003E463C"/>
    <w:rsid w:val="003F35AD"/>
    <w:rsid w:val="00400639"/>
    <w:rsid w:val="00400B9B"/>
    <w:rsid w:val="00401D70"/>
    <w:rsid w:val="00404BA0"/>
    <w:rsid w:val="00415F5D"/>
    <w:rsid w:val="004233D6"/>
    <w:rsid w:val="00431ACD"/>
    <w:rsid w:val="00432A76"/>
    <w:rsid w:val="00450EA2"/>
    <w:rsid w:val="004542C4"/>
    <w:rsid w:val="004578FE"/>
    <w:rsid w:val="00461EC6"/>
    <w:rsid w:val="004754FE"/>
    <w:rsid w:val="00477F12"/>
    <w:rsid w:val="0048120F"/>
    <w:rsid w:val="0048765C"/>
    <w:rsid w:val="00492340"/>
    <w:rsid w:val="00495574"/>
    <w:rsid w:val="004965AB"/>
    <w:rsid w:val="004A404C"/>
    <w:rsid w:val="004B0868"/>
    <w:rsid w:val="004B1A6D"/>
    <w:rsid w:val="004B287E"/>
    <w:rsid w:val="004B6B19"/>
    <w:rsid w:val="004C6727"/>
    <w:rsid w:val="004E0612"/>
    <w:rsid w:val="004E1756"/>
    <w:rsid w:val="004E37A7"/>
    <w:rsid w:val="004E3D75"/>
    <w:rsid w:val="004E4BC2"/>
    <w:rsid w:val="004E4EE1"/>
    <w:rsid w:val="004F49D3"/>
    <w:rsid w:val="00506685"/>
    <w:rsid w:val="005123FD"/>
    <w:rsid w:val="00512E49"/>
    <w:rsid w:val="005148CC"/>
    <w:rsid w:val="00526737"/>
    <w:rsid w:val="00531338"/>
    <w:rsid w:val="005437D7"/>
    <w:rsid w:val="0055272A"/>
    <w:rsid w:val="00554F72"/>
    <w:rsid w:val="00555EFF"/>
    <w:rsid w:val="005746BE"/>
    <w:rsid w:val="0058215F"/>
    <w:rsid w:val="005B0DAD"/>
    <w:rsid w:val="005B2812"/>
    <w:rsid w:val="005B6EE4"/>
    <w:rsid w:val="005C5BA4"/>
    <w:rsid w:val="005C6787"/>
    <w:rsid w:val="005E01F6"/>
    <w:rsid w:val="005E27C7"/>
    <w:rsid w:val="006018AE"/>
    <w:rsid w:val="00607FE5"/>
    <w:rsid w:val="00616E26"/>
    <w:rsid w:val="00617DDF"/>
    <w:rsid w:val="00631A82"/>
    <w:rsid w:val="00640A75"/>
    <w:rsid w:val="00642703"/>
    <w:rsid w:val="006458EF"/>
    <w:rsid w:val="00665C0E"/>
    <w:rsid w:val="006758BD"/>
    <w:rsid w:val="0067751A"/>
    <w:rsid w:val="006A2255"/>
    <w:rsid w:val="006A51CB"/>
    <w:rsid w:val="006A7CEB"/>
    <w:rsid w:val="006B1206"/>
    <w:rsid w:val="006B3AC7"/>
    <w:rsid w:val="006B4C76"/>
    <w:rsid w:val="006C50FA"/>
    <w:rsid w:val="006C5DE0"/>
    <w:rsid w:val="006D0FEB"/>
    <w:rsid w:val="006D3360"/>
    <w:rsid w:val="006D5C45"/>
    <w:rsid w:val="006E4E2E"/>
    <w:rsid w:val="006F1A96"/>
    <w:rsid w:val="006F2C9D"/>
    <w:rsid w:val="006F384C"/>
    <w:rsid w:val="00701BC6"/>
    <w:rsid w:val="00707339"/>
    <w:rsid w:val="00710052"/>
    <w:rsid w:val="00712E12"/>
    <w:rsid w:val="00735034"/>
    <w:rsid w:val="007407AC"/>
    <w:rsid w:val="00747177"/>
    <w:rsid w:val="007603D9"/>
    <w:rsid w:val="007612E8"/>
    <w:rsid w:val="00762844"/>
    <w:rsid w:val="00772FA8"/>
    <w:rsid w:val="00783D9F"/>
    <w:rsid w:val="0078405A"/>
    <w:rsid w:val="007A27B6"/>
    <w:rsid w:val="007B3D88"/>
    <w:rsid w:val="007C30A6"/>
    <w:rsid w:val="007C3C46"/>
    <w:rsid w:val="007C66C8"/>
    <w:rsid w:val="007D1619"/>
    <w:rsid w:val="007D22F5"/>
    <w:rsid w:val="007E55DF"/>
    <w:rsid w:val="007E7CA3"/>
    <w:rsid w:val="0080565F"/>
    <w:rsid w:val="0081394B"/>
    <w:rsid w:val="00817360"/>
    <w:rsid w:val="008179C8"/>
    <w:rsid w:val="00830857"/>
    <w:rsid w:val="00834EA8"/>
    <w:rsid w:val="00836AAD"/>
    <w:rsid w:val="00837947"/>
    <w:rsid w:val="0084138A"/>
    <w:rsid w:val="008413DE"/>
    <w:rsid w:val="00850E6A"/>
    <w:rsid w:val="00851C93"/>
    <w:rsid w:val="00856C6B"/>
    <w:rsid w:val="00863ADF"/>
    <w:rsid w:val="00866040"/>
    <w:rsid w:val="0086702D"/>
    <w:rsid w:val="00875F4D"/>
    <w:rsid w:val="0088197B"/>
    <w:rsid w:val="00881E75"/>
    <w:rsid w:val="008848BA"/>
    <w:rsid w:val="00885372"/>
    <w:rsid w:val="008A6917"/>
    <w:rsid w:val="008B46A7"/>
    <w:rsid w:val="008B4FCE"/>
    <w:rsid w:val="008B6D8B"/>
    <w:rsid w:val="008B71C2"/>
    <w:rsid w:val="008D31E2"/>
    <w:rsid w:val="008E5163"/>
    <w:rsid w:val="008F26A9"/>
    <w:rsid w:val="008F4592"/>
    <w:rsid w:val="00900285"/>
    <w:rsid w:val="00900CCD"/>
    <w:rsid w:val="00904161"/>
    <w:rsid w:val="00905FE6"/>
    <w:rsid w:val="00906748"/>
    <w:rsid w:val="00910865"/>
    <w:rsid w:val="009170DF"/>
    <w:rsid w:val="009214A6"/>
    <w:rsid w:val="00925291"/>
    <w:rsid w:val="00943238"/>
    <w:rsid w:val="00947C1A"/>
    <w:rsid w:val="0095702A"/>
    <w:rsid w:val="00960CD5"/>
    <w:rsid w:val="00964868"/>
    <w:rsid w:val="00983B1E"/>
    <w:rsid w:val="009868F1"/>
    <w:rsid w:val="00990806"/>
    <w:rsid w:val="00990AA8"/>
    <w:rsid w:val="009A1AF2"/>
    <w:rsid w:val="009A43B0"/>
    <w:rsid w:val="009A735C"/>
    <w:rsid w:val="009B3BED"/>
    <w:rsid w:val="009C210F"/>
    <w:rsid w:val="009C607D"/>
    <w:rsid w:val="009C6201"/>
    <w:rsid w:val="009D2613"/>
    <w:rsid w:val="009D769A"/>
    <w:rsid w:val="00A012FD"/>
    <w:rsid w:val="00A05114"/>
    <w:rsid w:val="00A1446B"/>
    <w:rsid w:val="00A2253F"/>
    <w:rsid w:val="00A26A8D"/>
    <w:rsid w:val="00A33171"/>
    <w:rsid w:val="00A3376D"/>
    <w:rsid w:val="00A33A8B"/>
    <w:rsid w:val="00A40482"/>
    <w:rsid w:val="00A52737"/>
    <w:rsid w:val="00A61228"/>
    <w:rsid w:val="00A6317D"/>
    <w:rsid w:val="00A64655"/>
    <w:rsid w:val="00A655A4"/>
    <w:rsid w:val="00A67D4B"/>
    <w:rsid w:val="00A7174D"/>
    <w:rsid w:val="00A76936"/>
    <w:rsid w:val="00A7709E"/>
    <w:rsid w:val="00AA6A84"/>
    <w:rsid w:val="00AB44A8"/>
    <w:rsid w:val="00AC158B"/>
    <w:rsid w:val="00AD02D1"/>
    <w:rsid w:val="00AD4405"/>
    <w:rsid w:val="00AE1AF6"/>
    <w:rsid w:val="00AF238D"/>
    <w:rsid w:val="00AF2DF6"/>
    <w:rsid w:val="00AF6337"/>
    <w:rsid w:val="00B00D5F"/>
    <w:rsid w:val="00B02A97"/>
    <w:rsid w:val="00B133C4"/>
    <w:rsid w:val="00B151A7"/>
    <w:rsid w:val="00B25CB9"/>
    <w:rsid w:val="00B326FF"/>
    <w:rsid w:val="00B34A5C"/>
    <w:rsid w:val="00B37D53"/>
    <w:rsid w:val="00B636E6"/>
    <w:rsid w:val="00B65D69"/>
    <w:rsid w:val="00B7014F"/>
    <w:rsid w:val="00B77A5B"/>
    <w:rsid w:val="00B85811"/>
    <w:rsid w:val="00B91CF8"/>
    <w:rsid w:val="00BB04A1"/>
    <w:rsid w:val="00BB05C3"/>
    <w:rsid w:val="00BC5596"/>
    <w:rsid w:val="00BD1239"/>
    <w:rsid w:val="00BD20DD"/>
    <w:rsid w:val="00BD3E32"/>
    <w:rsid w:val="00BE02B9"/>
    <w:rsid w:val="00BE2A26"/>
    <w:rsid w:val="00BE7DF6"/>
    <w:rsid w:val="00BF2130"/>
    <w:rsid w:val="00BF7904"/>
    <w:rsid w:val="00C004F3"/>
    <w:rsid w:val="00C20FFA"/>
    <w:rsid w:val="00C24A78"/>
    <w:rsid w:val="00C26F7E"/>
    <w:rsid w:val="00C35C8D"/>
    <w:rsid w:val="00C4172C"/>
    <w:rsid w:val="00C519B9"/>
    <w:rsid w:val="00C51C31"/>
    <w:rsid w:val="00C52E9A"/>
    <w:rsid w:val="00C55859"/>
    <w:rsid w:val="00C605AF"/>
    <w:rsid w:val="00C65A32"/>
    <w:rsid w:val="00C70054"/>
    <w:rsid w:val="00C71DE0"/>
    <w:rsid w:val="00C75CC2"/>
    <w:rsid w:val="00C8527B"/>
    <w:rsid w:val="00C86A82"/>
    <w:rsid w:val="00C92ABD"/>
    <w:rsid w:val="00CA4219"/>
    <w:rsid w:val="00CA758D"/>
    <w:rsid w:val="00CB1499"/>
    <w:rsid w:val="00CB4766"/>
    <w:rsid w:val="00CC11BB"/>
    <w:rsid w:val="00CD0122"/>
    <w:rsid w:val="00CD45FD"/>
    <w:rsid w:val="00CF1B17"/>
    <w:rsid w:val="00D00C4A"/>
    <w:rsid w:val="00D07782"/>
    <w:rsid w:val="00D112C4"/>
    <w:rsid w:val="00D229A9"/>
    <w:rsid w:val="00D24842"/>
    <w:rsid w:val="00D24B21"/>
    <w:rsid w:val="00D2583F"/>
    <w:rsid w:val="00D32A07"/>
    <w:rsid w:val="00D34F74"/>
    <w:rsid w:val="00D436D4"/>
    <w:rsid w:val="00D552E4"/>
    <w:rsid w:val="00D7666B"/>
    <w:rsid w:val="00D773E2"/>
    <w:rsid w:val="00D82CA2"/>
    <w:rsid w:val="00D957DD"/>
    <w:rsid w:val="00DA6E0B"/>
    <w:rsid w:val="00DC312C"/>
    <w:rsid w:val="00DD29BE"/>
    <w:rsid w:val="00DD4627"/>
    <w:rsid w:val="00DD6AE0"/>
    <w:rsid w:val="00DD75B6"/>
    <w:rsid w:val="00DE32C6"/>
    <w:rsid w:val="00DE5024"/>
    <w:rsid w:val="00DE6C81"/>
    <w:rsid w:val="00DF6A2A"/>
    <w:rsid w:val="00E03BE3"/>
    <w:rsid w:val="00E0584C"/>
    <w:rsid w:val="00E06AD6"/>
    <w:rsid w:val="00E214A4"/>
    <w:rsid w:val="00E21E88"/>
    <w:rsid w:val="00E22BF5"/>
    <w:rsid w:val="00E34F4F"/>
    <w:rsid w:val="00E516FE"/>
    <w:rsid w:val="00E5347D"/>
    <w:rsid w:val="00E61ED5"/>
    <w:rsid w:val="00E62FB8"/>
    <w:rsid w:val="00E6614C"/>
    <w:rsid w:val="00E67AE3"/>
    <w:rsid w:val="00E74A56"/>
    <w:rsid w:val="00E75878"/>
    <w:rsid w:val="00E7608A"/>
    <w:rsid w:val="00E851F8"/>
    <w:rsid w:val="00E951C8"/>
    <w:rsid w:val="00EB441A"/>
    <w:rsid w:val="00EB475B"/>
    <w:rsid w:val="00EC084E"/>
    <w:rsid w:val="00ED66AA"/>
    <w:rsid w:val="00F067CA"/>
    <w:rsid w:val="00F06E45"/>
    <w:rsid w:val="00F07C44"/>
    <w:rsid w:val="00F11DEE"/>
    <w:rsid w:val="00F16F43"/>
    <w:rsid w:val="00F20CF7"/>
    <w:rsid w:val="00F20D0B"/>
    <w:rsid w:val="00F23AA3"/>
    <w:rsid w:val="00F25255"/>
    <w:rsid w:val="00F271BE"/>
    <w:rsid w:val="00F319AD"/>
    <w:rsid w:val="00F419EB"/>
    <w:rsid w:val="00F42D9E"/>
    <w:rsid w:val="00F50727"/>
    <w:rsid w:val="00F534D8"/>
    <w:rsid w:val="00F55BF6"/>
    <w:rsid w:val="00F602FF"/>
    <w:rsid w:val="00F64C55"/>
    <w:rsid w:val="00F66B3C"/>
    <w:rsid w:val="00F90052"/>
    <w:rsid w:val="00FA6EA6"/>
    <w:rsid w:val="00FB4A50"/>
    <w:rsid w:val="00FB6FFB"/>
    <w:rsid w:val="00FC35C3"/>
    <w:rsid w:val="00FC424B"/>
    <w:rsid w:val="00FC5A5B"/>
    <w:rsid w:val="00FC5F4A"/>
    <w:rsid w:val="00FC6182"/>
    <w:rsid w:val="00FD5E30"/>
    <w:rsid w:val="00FE39CE"/>
    <w:rsid w:val="00FF1BEE"/>
    <w:rsid w:val="00FF406E"/>
    <w:rsid w:val="149ACE8A"/>
    <w:rsid w:val="30021947"/>
    <w:rsid w:val="304AD7F8"/>
    <w:rsid w:val="3187B2B0"/>
    <w:rsid w:val="3A8F66EC"/>
    <w:rsid w:val="453E425A"/>
    <w:rsid w:val="4A8CCEE3"/>
    <w:rsid w:val="561A8C26"/>
    <w:rsid w:val="736788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696417"/>
  <w15:docId w15:val="{A9FC8481-4653-4F92-AE60-514FE3FB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25C"/>
    <w:pPr>
      <w:spacing w:after="120" w:line="276" w:lineRule="auto"/>
    </w:pPr>
    <w:rPr>
      <w:rFonts w:ascii="Cambria" w:hAnsi="Cambria"/>
      <w:sz w:val="22"/>
      <w:szCs w:val="22"/>
      <w:lang w:eastAsia="en-US"/>
    </w:rPr>
  </w:style>
  <w:style w:type="paragraph" w:styleId="Heading1">
    <w:name w:val="heading 1"/>
    <w:basedOn w:val="Normal"/>
    <w:next w:val="Normal"/>
    <w:link w:val="Heading1Char"/>
    <w:uiPriority w:val="9"/>
    <w:qFormat/>
    <w:rsid w:val="00E62FB8"/>
    <w:pPr>
      <w:keepNext/>
      <w:keepLines/>
      <w:numPr>
        <w:numId w:val="1"/>
      </w:numPr>
      <w:spacing w:before="240" w:line="240" w:lineRule="auto"/>
      <w:outlineLvl w:val="0"/>
    </w:pPr>
    <w:rPr>
      <w:rFonts w:eastAsia="Times New Roman"/>
      <w:b/>
      <w:bCs/>
      <w:caps/>
      <w:sz w:val="28"/>
      <w:szCs w:val="28"/>
    </w:rPr>
  </w:style>
  <w:style w:type="paragraph" w:styleId="Heading2">
    <w:name w:val="heading 2"/>
    <w:basedOn w:val="Normal"/>
    <w:next w:val="Normal"/>
    <w:link w:val="Heading2Char"/>
    <w:uiPriority w:val="9"/>
    <w:unhideWhenUsed/>
    <w:qFormat/>
    <w:rsid w:val="000A7B9B"/>
    <w:pPr>
      <w:numPr>
        <w:ilvl w:val="1"/>
        <w:numId w:val="1"/>
      </w:numPr>
      <w:spacing w:before="240"/>
      <w:outlineLvl w:val="1"/>
    </w:pPr>
    <w:rPr>
      <w:b/>
      <w:smallCaps/>
      <w:sz w:val="24"/>
    </w:rPr>
  </w:style>
  <w:style w:type="paragraph" w:styleId="Heading3">
    <w:name w:val="heading 3"/>
    <w:basedOn w:val="Normal"/>
    <w:next w:val="Normal"/>
    <w:link w:val="Heading3Char"/>
    <w:uiPriority w:val="9"/>
    <w:unhideWhenUsed/>
    <w:qFormat/>
    <w:rsid w:val="00B00D5F"/>
    <w:pPr>
      <w:keepNext/>
      <w:keepLines/>
      <w:spacing w:before="240"/>
      <w:outlineLvl w:val="2"/>
    </w:pPr>
    <w:rPr>
      <w:rFonts w:eastAsia="Times New Roman"/>
      <w:b/>
      <w:bCs/>
    </w:rPr>
  </w:style>
  <w:style w:type="paragraph" w:styleId="Heading4">
    <w:name w:val="heading 4"/>
    <w:aliases w:val="Heading - Table/Figure"/>
    <w:basedOn w:val="Normal"/>
    <w:next w:val="Normal"/>
    <w:link w:val="Heading4Char"/>
    <w:uiPriority w:val="9"/>
    <w:unhideWhenUsed/>
    <w:qFormat/>
    <w:rsid w:val="000A29F3"/>
    <w:pPr>
      <w:keepNext/>
      <w:keepLines/>
      <w:spacing w:before="120" w:line="240" w:lineRule="auto"/>
      <w:outlineLvl w:val="3"/>
    </w:pPr>
    <w:rPr>
      <w:rFonts w:eastAsia="Times New Roman"/>
      <w:b/>
      <w:bCs/>
      <w:iCs/>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eastAsia="Times New Roman"/>
      <w:color w:val="243F60"/>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eastAsia="Times New Roman"/>
      <w:i/>
      <w:iCs/>
      <w:color w:val="243F60"/>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eastAsia="Times New Roman"/>
      <w:i/>
      <w:iCs/>
      <w:color w:val="404040"/>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eastAsia="Times New Roman"/>
      <w:color w:val="404040"/>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eastAsia="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2FB8"/>
    <w:rPr>
      <w:rFonts w:ascii="Cambria" w:eastAsia="Times New Roman" w:hAnsi="Cambria"/>
      <w:b/>
      <w:bCs/>
      <w:caps/>
      <w:sz w:val="28"/>
      <w:szCs w:val="28"/>
      <w:lang w:eastAsia="en-US"/>
    </w:rPr>
  </w:style>
  <w:style w:type="character" w:customStyle="1" w:styleId="Heading2Char">
    <w:name w:val="Heading 2 Char"/>
    <w:link w:val="Heading2"/>
    <w:uiPriority w:val="9"/>
    <w:rsid w:val="000A7B9B"/>
    <w:rPr>
      <w:rFonts w:ascii="Cambria" w:hAnsi="Cambria"/>
      <w:b/>
      <w:smallCaps/>
      <w:sz w:val="24"/>
      <w:szCs w:val="22"/>
      <w:lang w:eastAsia="en-US"/>
    </w:rPr>
  </w:style>
  <w:style w:type="character" w:customStyle="1" w:styleId="Heading3Char">
    <w:name w:val="Heading 3 Char"/>
    <w:link w:val="Heading3"/>
    <w:uiPriority w:val="9"/>
    <w:rsid w:val="00B00D5F"/>
    <w:rPr>
      <w:rFonts w:ascii="Cambria" w:eastAsia="Times New Roman" w:hAnsi="Cambria"/>
      <w:b/>
      <w:bCs/>
      <w:sz w:val="22"/>
      <w:szCs w:val="22"/>
      <w:lang w:eastAsia="en-US"/>
    </w:rPr>
  </w:style>
  <w:style w:type="character" w:customStyle="1" w:styleId="Heading4Char">
    <w:name w:val="Heading 4 Char"/>
    <w:aliases w:val="Heading - Table/Figure Char"/>
    <w:link w:val="Heading4"/>
    <w:uiPriority w:val="9"/>
    <w:rsid w:val="000A29F3"/>
    <w:rPr>
      <w:rFonts w:ascii="Cambria" w:eastAsia="Times New Roman" w:hAnsi="Cambria"/>
      <w:b/>
      <w:bCs/>
      <w:iCs/>
      <w:sz w:val="22"/>
      <w:szCs w:val="22"/>
      <w:lang w:eastAsia="en-US"/>
    </w:rPr>
  </w:style>
  <w:style w:type="character" w:customStyle="1" w:styleId="Heading5Char">
    <w:name w:val="Heading 5 Char"/>
    <w:link w:val="Heading5"/>
    <w:uiPriority w:val="9"/>
    <w:semiHidden/>
    <w:rsid w:val="001A3992"/>
    <w:rPr>
      <w:rFonts w:ascii="Cambria" w:eastAsia="Times New Roman" w:hAnsi="Cambria" w:cs="Times New Roman"/>
      <w:color w:val="243F60"/>
    </w:rPr>
  </w:style>
  <w:style w:type="character" w:customStyle="1" w:styleId="Heading6Char">
    <w:name w:val="Heading 6 Char"/>
    <w:link w:val="Heading6"/>
    <w:uiPriority w:val="9"/>
    <w:semiHidden/>
    <w:rsid w:val="001A3992"/>
    <w:rPr>
      <w:rFonts w:ascii="Cambria" w:eastAsia="Times New Roman" w:hAnsi="Cambria" w:cs="Times New Roman"/>
      <w:i/>
      <w:iCs/>
      <w:color w:val="243F60"/>
    </w:rPr>
  </w:style>
  <w:style w:type="character" w:customStyle="1" w:styleId="Heading7Char">
    <w:name w:val="Heading 7 Char"/>
    <w:link w:val="Heading7"/>
    <w:uiPriority w:val="9"/>
    <w:semiHidden/>
    <w:rsid w:val="001A3992"/>
    <w:rPr>
      <w:rFonts w:ascii="Cambria" w:eastAsia="Times New Roman" w:hAnsi="Cambria" w:cs="Times New Roman"/>
      <w:i/>
      <w:iCs/>
      <w:color w:val="404040"/>
    </w:rPr>
  </w:style>
  <w:style w:type="character" w:customStyle="1" w:styleId="Heading8Char">
    <w:name w:val="Heading 8 Char"/>
    <w:link w:val="Heading8"/>
    <w:uiPriority w:val="9"/>
    <w:semiHidden/>
    <w:rsid w:val="001A3992"/>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1A3992"/>
    <w:rPr>
      <w:rFonts w:ascii="Cambria" w:eastAsia="Times New Roman" w:hAnsi="Cambria" w:cs="Times New Roman"/>
      <w:i/>
      <w:iCs/>
      <w:color w:val="404040"/>
      <w:sz w:val="20"/>
      <w:szCs w:val="20"/>
    </w:rPr>
  </w:style>
  <w:style w:type="paragraph" w:styleId="ListParagraph">
    <w:name w:val="List Paragraph"/>
    <w:basedOn w:val="Normal"/>
    <w:uiPriority w:val="34"/>
    <w:qFormat/>
    <w:rsid w:val="001E66B9"/>
    <w:pPr>
      <w:spacing w:before="120" w:line="240" w:lineRule="auto"/>
      <w:ind w:left="720"/>
      <w:contextualSpacing/>
    </w:pPr>
  </w:style>
  <w:style w:type="character" w:styleId="CommentReference">
    <w:name w:val="annotation reference"/>
    <w:uiPriority w:val="99"/>
    <w:unhideWhenUsed/>
    <w:rsid w:val="001A3992"/>
    <w:rPr>
      <w:sz w:val="16"/>
      <w:szCs w:val="16"/>
    </w:rPr>
  </w:style>
  <w:style w:type="paragraph" w:styleId="CommentText">
    <w:name w:val="annotation text"/>
    <w:aliases w:val="Annotationtext,Comment Text Char Char,Comment Text Char1 Char Char,Comment Text Char Char Char Char,Comment Text Char Char1"/>
    <w:basedOn w:val="Normal"/>
    <w:link w:val="CommentTextChar"/>
    <w:unhideWhenUsed/>
    <w:qFormat/>
    <w:rsid w:val="001A3992"/>
    <w:pPr>
      <w:spacing w:line="240" w:lineRule="auto"/>
    </w:pPr>
    <w:rPr>
      <w:sz w:val="20"/>
      <w:szCs w:val="20"/>
    </w:rPr>
  </w:style>
  <w:style w:type="character" w:customStyle="1" w:styleId="CommentTextChar">
    <w:name w:val="Comment Text Char"/>
    <w:aliases w:val="Annotationtext Char,Comment Text Char Char Char,Comment Text Char1 Char Char Char,Comment Text Char Char Char Char Char,Comment Text Char Char1 Char"/>
    <w:link w:val="CommentText"/>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hAnsi="Calibri"/>
      <w:sz w:val="20"/>
    </w:rPr>
  </w:style>
  <w:style w:type="character" w:customStyle="1" w:styleId="FootnoteTextChar">
    <w:name w:val="Footnote Text Char"/>
    <w:link w:val="FootnoteText"/>
    <w:uiPriority w:val="99"/>
    <w:rsid w:val="001A3992"/>
    <w:rPr>
      <w:rFonts w:ascii="Calibri" w:eastAsia="Calibri" w:hAnsi="Calibri" w:cs="Times New Roman"/>
      <w:sz w:val="20"/>
    </w:rPr>
  </w:style>
  <w:style w:type="character" w:styleId="FootnoteReference">
    <w:name w:val="footnote reference"/>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style>
  <w:style w:type="character" w:styleId="Hyperlink">
    <w:name w:val="Hyperlink"/>
    <w:uiPriority w:val="99"/>
    <w:unhideWhenUsed/>
    <w:rsid w:val="001A3992"/>
    <w:rPr>
      <w:color w:val="0000FF"/>
      <w:u w:val="single"/>
    </w:rPr>
  </w:style>
  <w:style w:type="table" w:styleId="LightGrid">
    <w:name w:val="Light Grid"/>
    <w:basedOn w:val="TableNormal"/>
    <w:uiPriority w:val="62"/>
    <w:rsid w:val="001A399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Footer">
    <w:name w:val="footer"/>
    <w:basedOn w:val="Normal"/>
    <w:link w:val="FooterChar"/>
    <w:uiPriority w:val="99"/>
    <w:unhideWhenUsed/>
    <w:rsid w:val="001A3992"/>
    <w:pPr>
      <w:tabs>
        <w:tab w:val="center" w:pos="4513"/>
        <w:tab w:val="right" w:pos="9026"/>
      </w:tabs>
      <w:spacing w:after="0" w:line="240" w:lineRule="auto"/>
    </w:pPr>
  </w:style>
  <w:style w:type="character" w:customStyle="1" w:styleId="FooterChar">
    <w:name w:val="Footer Char"/>
    <w:link w:val="Footer"/>
    <w:uiPriority w:val="99"/>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3992"/>
    <w:rPr>
      <w:rFonts w:ascii="Tahoma" w:hAnsi="Tahoma" w:cs="Tahoma"/>
      <w:sz w:val="16"/>
      <w:szCs w:val="16"/>
    </w:rPr>
  </w:style>
  <w:style w:type="paragraph" w:customStyle="1" w:styleId="Default">
    <w:name w:val="Default"/>
    <w:rsid w:val="00856C6B"/>
    <w:pPr>
      <w:widowControl w:val="0"/>
      <w:autoSpaceDE w:val="0"/>
      <w:autoSpaceDN w:val="0"/>
      <w:adjustRightInd w:val="0"/>
    </w:pPr>
    <w:rPr>
      <w:rFonts w:ascii="TT A 20 F 6 BE 8o 00" w:eastAsia="Times New Roman" w:hAnsi="TT A 20 F 6 BE 8o 00" w:cs="TT A 20 F 6 BE 8o 00"/>
      <w:color w:val="000000"/>
      <w:sz w:val="24"/>
      <w:szCs w:val="24"/>
      <w:lang w:val="en-US" w:eastAsia="en-US"/>
    </w:rPr>
  </w:style>
  <w:style w:type="paragraph" w:customStyle="1" w:styleId="C-PLR-Bullet">
    <w:name w:val="C-PLR-Bullet"/>
    <w:rsid w:val="00856C6B"/>
    <w:pPr>
      <w:numPr>
        <w:numId w:val="12"/>
      </w:numPr>
    </w:pPr>
    <w:rPr>
      <w:rFonts w:ascii="Times New Roman" w:eastAsia="Times New Roman" w:hAnsi="Times New Roman"/>
      <w:sz w:val="16"/>
      <w:lang w:val="en-US" w:eastAsia="en-US"/>
    </w:rPr>
  </w:style>
  <w:style w:type="paragraph" w:customStyle="1" w:styleId="C-PLR-TableText">
    <w:name w:val="C-PLR-Table Text"/>
    <w:rsid w:val="00856C6B"/>
    <w:rPr>
      <w:rFonts w:ascii="Times New Roman" w:eastAsia="Times New Roman" w:hAnsi="Times New Roman"/>
      <w:sz w:val="16"/>
      <w:lang w:val="en-US" w:eastAsia="en-US"/>
    </w:rPr>
  </w:style>
  <w:style w:type="paragraph" w:customStyle="1" w:styleId="EMEAEnBodyText">
    <w:name w:val="EMEA En Body Text"/>
    <w:basedOn w:val="Normal"/>
    <w:rsid w:val="000A1919"/>
    <w:pPr>
      <w:spacing w:before="120" w:line="240" w:lineRule="auto"/>
      <w:jc w:val="both"/>
    </w:pPr>
    <w:rPr>
      <w:rFonts w:ascii="Times New Roman" w:eastAsia="Times New Roman" w:hAnsi="Times New Roman"/>
      <w:szCs w:val="20"/>
      <w:lang w:val="en-US"/>
    </w:rPr>
  </w:style>
  <w:style w:type="paragraph" w:customStyle="1" w:styleId="TableTitle">
    <w:name w:val="Table Title"/>
    <w:basedOn w:val="Normal"/>
    <w:next w:val="Normal"/>
    <w:rsid w:val="000A1919"/>
    <w:pPr>
      <w:overflowPunct w:val="0"/>
      <w:autoSpaceDE w:val="0"/>
      <w:autoSpaceDN w:val="0"/>
      <w:adjustRightInd w:val="0"/>
      <w:spacing w:before="200" w:after="240"/>
      <w:jc w:val="center"/>
      <w:textAlignment w:val="baseline"/>
    </w:pPr>
    <w:rPr>
      <w:rFonts w:ascii="Calibri" w:hAnsi="Calibri"/>
      <w:b/>
      <w:lang w:val="en-US"/>
    </w:rPr>
  </w:style>
  <w:style w:type="paragraph" w:styleId="CommentSubject">
    <w:name w:val="annotation subject"/>
    <w:basedOn w:val="CommentText"/>
    <w:next w:val="CommentText"/>
    <w:link w:val="CommentSubjectChar"/>
    <w:uiPriority w:val="99"/>
    <w:semiHidden/>
    <w:unhideWhenUsed/>
    <w:rsid w:val="001B1B72"/>
    <w:pPr>
      <w:spacing w:line="276" w:lineRule="auto"/>
    </w:pPr>
    <w:rPr>
      <w:rFonts w:ascii="Calibri" w:hAnsi="Calibri"/>
      <w:b/>
      <w:bCs/>
    </w:rPr>
  </w:style>
  <w:style w:type="character" w:customStyle="1" w:styleId="CommentSubjectChar">
    <w:name w:val="Comment Subject Char"/>
    <w:link w:val="CommentSubject"/>
    <w:uiPriority w:val="99"/>
    <w:semiHidden/>
    <w:rsid w:val="001B1B72"/>
    <w:rPr>
      <w:rFonts w:ascii="Cambria" w:hAnsi="Cambria"/>
      <w:b/>
      <w:bCs/>
      <w:sz w:val="20"/>
      <w:szCs w:val="20"/>
      <w:lang w:eastAsia="en-US"/>
    </w:rPr>
  </w:style>
  <w:style w:type="paragraph" w:styleId="Caption">
    <w:name w:val="caption"/>
    <w:aliases w:val="Caption-FUSA,Bayer Caption,Caption Char2,Caption Char1 Char,Caption Char Char Char,Caption Char Char1,c,Alexion Caption,wcp_Caption,Légende_Legend,Table Caption,Char Char Char Char Char,Caption Char1,Caption Char Char, Char Char Char Char Char"/>
    <w:next w:val="Normal"/>
    <w:link w:val="CaptionChar"/>
    <w:qFormat/>
    <w:rsid w:val="00FD5E30"/>
    <w:pPr>
      <w:keepNext/>
      <w:spacing w:before="120" w:after="120" w:line="280" w:lineRule="atLeast"/>
      <w:ind w:left="1440" w:hanging="1440"/>
    </w:pPr>
    <w:rPr>
      <w:rFonts w:ascii="Times New Roman" w:eastAsia="Times New Roman" w:hAnsi="Times New Roman"/>
      <w:b/>
      <w:bCs/>
      <w:sz w:val="24"/>
      <w:szCs w:val="24"/>
      <w:lang w:val="en-US" w:eastAsia="en-US"/>
    </w:rPr>
  </w:style>
  <w:style w:type="character" w:customStyle="1" w:styleId="CaptionChar">
    <w:name w:val="Caption Char"/>
    <w:aliases w:val="Caption-FUSA Char,Bayer Caption Char,Caption Char2 Char,Caption Char1 Char Char,Caption Char Char Char Char,Caption Char Char1 Char,c Char,Alexion Caption Char,wcp_Caption Char,Légende_Legend Char,Table Caption Char,Caption Char1 Char1"/>
    <w:link w:val="Caption"/>
    <w:rsid w:val="00FD5E30"/>
    <w:rPr>
      <w:rFonts w:ascii="Times New Roman" w:eastAsia="Times New Roman" w:hAnsi="Times New Roman"/>
      <w:b/>
      <w:bCs/>
      <w:sz w:val="24"/>
      <w:szCs w:val="24"/>
      <w:lang w:val="en-US" w:eastAsia="en-US"/>
    </w:rPr>
  </w:style>
  <w:style w:type="paragraph" w:styleId="Revision">
    <w:name w:val="Revision"/>
    <w:hidden/>
    <w:uiPriority w:val="99"/>
    <w:semiHidden/>
    <w:rsid w:val="00B00D5F"/>
    <w:rPr>
      <w:rFonts w:ascii="Cambria" w:hAnsi="Cambria"/>
      <w:sz w:val="22"/>
      <w:szCs w:val="22"/>
      <w:lang w:eastAsia="en-US"/>
    </w:rPr>
  </w:style>
  <w:style w:type="paragraph" w:customStyle="1" w:styleId="C-BodyText">
    <w:name w:val="C-Body Text"/>
    <w:link w:val="C-BodyTextChar"/>
    <w:rsid w:val="00EB475B"/>
    <w:pPr>
      <w:spacing w:before="120" w:after="120" w:line="280" w:lineRule="atLeast"/>
    </w:pPr>
    <w:rPr>
      <w:rFonts w:ascii="Times New Roman" w:eastAsia="Times New Roman" w:hAnsi="Times New Roman"/>
      <w:sz w:val="24"/>
      <w:lang w:val="en-US" w:eastAsia="en-US"/>
    </w:rPr>
  </w:style>
  <w:style w:type="character" w:customStyle="1" w:styleId="C-BodyTextChar">
    <w:name w:val="C-Body Text Char"/>
    <w:link w:val="C-BodyText"/>
    <w:locked/>
    <w:rsid w:val="00EB475B"/>
    <w:rPr>
      <w:rFonts w:ascii="Times New Roman" w:eastAsia="Times New Roman" w:hAnsi="Times New Roman"/>
      <w:sz w:val="24"/>
      <w:lang w:val="en-US" w:eastAsia="en-US"/>
    </w:rPr>
  </w:style>
  <w:style w:type="paragraph" w:customStyle="1" w:styleId="C-TableHeader">
    <w:name w:val="C-Table Header"/>
    <w:next w:val="C-TableText"/>
    <w:rsid w:val="006A2255"/>
    <w:pPr>
      <w:keepNext/>
    </w:pPr>
    <w:rPr>
      <w:rFonts w:ascii="Times New Roman" w:eastAsia="Times New Roman" w:hAnsi="Times New Roman"/>
      <w:b/>
      <w:lang w:val="en-US" w:eastAsia="en-US"/>
    </w:rPr>
  </w:style>
  <w:style w:type="paragraph" w:customStyle="1" w:styleId="C-TableText">
    <w:name w:val="C-Table Text"/>
    <w:link w:val="C-TableTextChar"/>
    <w:rsid w:val="006A2255"/>
    <w:rPr>
      <w:rFonts w:ascii="Times New Roman" w:eastAsia="Times New Roman" w:hAnsi="Times New Roman"/>
      <w:lang w:val="en-US" w:eastAsia="en-US"/>
    </w:rPr>
  </w:style>
  <w:style w:type="paragraph" w:customStyle="1" w:styleId="C-TableFootnote">
    <w:name w:val="C-Table Footnote"/>
    <w:next w:val="C-BodyText"/>
    <w:link w:val="C-TableFootnoteChar"/>
    <w:rsid w:val="006A2255"/>
    <w:pPr>
      <w:tabs>
        <w:tab w:val="left" w:pos="144"/>
      </w:tabs>
      <w:ind w:left="144" w:hanging="144"/>
    </w:pPr>
    <w:rPr>
      <w:rFonts w:ascii="Times New Roman" w:eastAsia="Times New Roman" w:hAnsi="Times New Roman" w:cs="Arial"/>
      <w:lang w:val="en-US" w:eastAsia="en-US"/>
    </w:rPr>
  </w:style>
  <w:style w:type="character" w:customStyle="1" w:styleId="C-TableTextChar">
    <w:name w:val="C-Table Text Char"/>
    <w:link w:val="C-TableText"/>
    <w:locked/>
    <w:rsid w:val="006A2255"/>
    <w:rPr>
      <w:rFonts w:ascii="Times New Roman" w:eastAsia="Times New Roman" w:hAnsi="Times New Roman"/>
      <w:lang w:val="en-US" w:eastAsia="en-US"/>
    </w:rPr>
  </w:style>
  <w:style w:type="paragraph" w:styleId="Header">
    <w:name w:val="header"/>
    <w:basedOn w:val="Normal"/>
    <w:link w:val="HeaderChar"/>
    <w:uiPriority w:val="99"/>
    <w:unhideWhenUsed/>
    <w:rsid w:val="00F067CA"/>
    <w:pPr>
      <w:tabs>
        <w:tab w:val="center" w:pos="4513"/>
        <w:tab w:val="right" w:pos="9026"/>
      </w:tabs>
    </w:pPr>
  </w:style>
  <w:style w:type="character" w:customStyle="1" w:styleId="HeaderChar">
    <w:name w:val="Header Char"/>
    <w:link w:val="Header"/>
    <w:uiPriority w:val="99"/>
    <w:rsid w:val="00F067CA"/>
    <w:rPr>
      <w:rFonts w:ascii="Cambria" w:hAnsi="Cambria"/>
      <w:sz w:val="22"/>
      <w:szCs w:val="22"/>
      <w:lang w:eastAsia="en-US"/>
    </w:rPr>
  </w:style>
  <w:style w:type="character" w:customStyle="1" w:styleId="C-TableFootnoteChar">
    <w:name w:val="C-Table Footnote Char"/>
    <w:link w:val="C-TableFootnote"/>
    <w:locked/>
    <w:rsid w:val="00492340"/>
    <w:rPr>
      <w:rFonts w:ascii="Times New Roman" w:eastAsia="Times New Roman" w:hAnsi="Times New Roman" w:cs="Arial"/>
      <w:lang w:val="en-US" w:eastAsia="en-US"/>
    </w:rPr>
  </w:style>
  <w:style w:type="character" w:customStyle="1"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58215F"/>
    <w:pPr>
      <w:spacing w:after="0" w:line="240" w:lineRule="auto"/>
    </w:pPr>
    <w:rPr>
      <w:rFonts w:ascii="Times New Roman" w:eastAsia="Times New Roman" w:hAnsi="Times New Roman"/>
      <w:sz w:val="24"/>
      <w:szCs w:val="24"/>
      <w:lang w:val="en-US"/>
    </w:rPr>
  </w:style>
  <w:style w:type="table" w:customStyle="1" w:styleId="TableGrid1">
    <w:name w:val="Table Grid1"/>
    <w:basedOn w:val="TableNormal"/>
    <w:next w:val="TableGrid"/>
    <w:uiPriority w:val="59"/>
    <w:rsid w:val="00707339"/>
    <w:rPr>
      <w:rFonts w:ascii="Cambria" w:eastAsia="Cambria" w:hAnsi="Cambria"/>
      <w:sz w:val="22"/>
      <w:szCs w:val="22"/>
      <w:lang w:eastAsia="en-US"/>
    </w:rPr>
    <w:tblPr>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 w:type="table" w:styleId="TableGrid">
    <w:name w:val="Table Grid"/>
    <w:basedOn w:val="TableNormal"/>
    <w:uiPriority w:val="59"/>
    <w:rsid w:val="00707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5130">
      <w:bodyDiv w:val="1"/>
      <w:marLeft w:val="0"/>
      <w:marRight w:val="0"/>
      <w:marTop w:val="0"/>
      <w:marBottom w:val="0"/>
      <w:divBdr>
        <w:top w:val="none" w:sz="0" w:space="0" w:color="auto"/>
        <w:left w:val="none" w:sz="0" w:space="0" w:color="auto"/>
        <w:bottom w:val="none" w:sz="0" w:space="0" w:color="auto"/>
        <w:right w:val="none" w:sz="0" w:space="0" w:color="auto"/>
      </w:divBdr>
      <w:divsChild>
        <w:div w:id="243346655">
          <w:marLeft w:val="0"/>
          <w:marRight w:val="0"/>
          <w:marTop w:val="0"/>
          <w:marBottom w:val="0"/>
          <w:divBdr>
            <w:top w:val="none" w:sz="0" w:space="0" w:color="auto"/>
            <w:left w:val="none" w:sz="0" w:space="0" w:color="auto"/>
            <w:bottom w:val="none" w:sz="0" w:space="0" w:color="auto"/>
            <w:right w:val="none" w:sz="0" w:space="0" w:color="auto"/>
          </w:divBdr>
        </w:div>
        <w:div w:id="293490490">
          <w:marLeft w:val="0"/>
          <w:marRight w:val="0"/>
          <w:marTop w:val="0"/>
          <w:marBottom w:val="0"/>
          <w:divBdr>
            <w:top w:val="none" w:sz="0" w:space="0" w:color="auto"/>
            <w:left w:val="none" w:sz="0" w:space="0" w:color="auto"/>
            <w:bottom w:val="none" w:sz="0" w:space="0" w:color="auto"/>
            <w:right w:val="none" w:sz="0" w:space="0" w:color="auto"/>
          </w:divBdr>
        </w:div>
        <w:div w:id="1839038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ga.gov.au/reporting-problems"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ak0453\Downloads\pi-template-new-format-with-black-triang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E2175726EFB40B33620C158DE5F19" ma:contentTypeVersion="42" ma:contentTypeDescription="Create a new document." ma:contentTypeScope="" ma:versionID="bbf2ee203ff6963e710ca52aa70add1b">
  <xsd:schema xmlns:xsd="http://www.w3.org/2001/XMLSchema" xmlns:xs="http://www.w3.org/2001/XMLSchema" xmlns:p="http://schemas.microsoft.com/office/2006/metadata/properties" xmlns:ns1="http://schemas.microsoft.com/sharepoint/v3" xmlns:ns2="2f4241c5-5150-4067-8b50-5e0eb527d265" targetNamespace="http://schemas.microsoft.com/office/2006/metadata/properties" ma:root="true" ma:fieldsID="c354d99eacbf443b1b96a9902d84f525" ns1:_="" ns2:_="">
    <xsd:import namespace="http://schemas.microsoft.com/sharepoint/v3"/>
    <xsd:import namespace="2f4241c5-5150-4067-8b50-5e0eb527d26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4241c5-5150-4067-8b50-5e0eb527d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4241c5-5150-4067-8b50-5e0eb527d265"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AFC41-961D-4FF7-8DF6-D4517F8C2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4241c5-5150-4067-8b50-5e0eb527d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E4362F-3CF2-4D17-9C95-7C6C5AC1D3B1}">
  <ds:schemaRefs>
    <ds:schemaRef ds:uri="http://schemas.microsoft.com/sharepoint/v3/contenttype/forms"/>
  </ds:schemaRefs>
</ds:datastoreItem>
</file>

<file path=customXml/itemProps3.xml><?xml version="1.0" encoding="utf-8"?>
<ds:datastoreItem xmlns:ds="http://schemas.openxmlformats.org/officeDocument/2006/customXml" ds:itemID="{6EABD41F-CC79-4D89-89BE-BFCD91A65A7D}">
  <ds:schemaRefs>
    <ds:schemaRef ds:uri="http://schemas.microsoft.com/office/2006/metadata/properties"/>
    <ds:schemaRef ds:uri="http://schemas.microsoft.com/office/infopath/2007/PartnerControls"/>
    <ds:schemaRef ds:uri="2f4241c5-5150-4067-8b50-5e0eb527d265"/>
    <ds:schemaRef ds:uri="http://schemas.microsoft.com/sharepoint/v3"/>
  </ds:schemaRefs>
</ds:datastoreItem>
</file>

<file path=customXml/itemProps4.xml><?xml version="1.0" encoding="utf-8"?>
<ds:datastoreItem xmlns:ds="http://schemas.openxmlformats.org/officeDocument/2006/customXml" ds:itemID="{329FA819-09C4-4206-ACC6-E3ED31194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pi-template-new-format-with-black-triangle.dotx</Template>
  <TotalTime>22</TotalTime>
  <Pages>20</Pages>
  <Words>5987</Words>
  <Characters>34126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AusPAR Attachment 1: Product Information for </vt:lpstr>
    </vt:vector>
  </TitlesOfParts>
  <Company>Therapeutic Goods Administration</Company>
  <LinksUpToDate>false</LinksUpToDate>
  <CharactersWithSpaces>40033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Ravulizumab</dc:title>
  <dc:subject>Prescription medicines</dc:subject>
  <dc:creator>Therapeutic Goods Administration</dc:creator>
  <cp:keywords>AusPARs</cp:keywords>
  <cp:lastPrinted>2019-06-25T05:02:00Z</cp:lastPrinted>
  <dcterms:created xsi:type="dcterms:W3CDTF">2019-11-13T05:30:00Z</dcterms:created>
  <dcterms:modified xsi:type="dcterms:W3CDTF">2019-12-13T00:25:00Z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0x010100D94E2175726EFB40B33620C158DE5F19</vt:lpwstr>
  </property>
</Properties>
</file>