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3"/>
      </w:tblGrid>
      <w:tr w:rsidR="008E7846" w:rsidRPr="00487162" w:rsidTr="00221B8B">
        <w:trPr>
          <w:trHeight w:val="1942"/>
        </w:trPr>
        <w:tc>
          <w:tcPr>
            <w:tcW w:w="8103" w:type="dxa"/>
            <w:tcBorders>
              <w:top w:val="nil"/>
              <w:left w:val="nil"/>
              <w:bottom w:val="nil"/>
              <w:right w:val="nil"/>
            </w:tcBorders>
          </w:tcPr>
          <w:p w:rsidR="00221B8B" w:rsidRDefault="00221B8B" w:rsidP="0017078F">
            <w:pPr>
              <w:rPr>
                <w:rFonts w:ascii="Arial" w:hAnsi="Arial" w:cs="Arial"/>
                <w:b/>
                <w:color w:val="002C47"/>
                <w:sz w:val="36"/>
                <w:szCs w:val="36"/>
              </w:rPr>
            </w:pPr>
            <w:r>
              <w:rPr>
                <w:rFonts w:ascii="Arial" w:hAnsi="Arial" w:cs="Arial"/>
                <w:b/>
                <w:color w:val="002C47"/>
                <w:sz w:val="36"/>
                <w:szCs w:val="36"/>
              </w:rPr>
              <w:t>First round evaluation: 22 July 2014</w:t>
            </w:r>
          </w:p>
          <w:p w:rsidR="008E7846" w:rsidRPr="0017078F" w:rsidRDefault="00221B8B" w:rsidP="00221B8B">
            <w:pPr>
              <w:rPr>
                <w:rFonts w:ascii="Arial" w:hAnsi="Arial" w:cs="Arial"/>
                <w:b/>
                <w:color w:val="002C47"/>
                <w:sz w:val="36"/>
                <w:szCs w:val="36"/>
              </w:rPr>
            </w:pPr>
            <w:r>
              <w:rPr>
                <w:rFonts w:ascii="Arial" w:hAnsi="Arial" w:cs="Arial"/>
                <w:b/>
                <w:color w:val="002C47"/>
                <w:sz w:val="36"/>
                <w:szCs w:val="36"/>
              </w:rPr>
              <w:t>Second round evaluation: 22 October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221B8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221B8B" w:rsidRPr="00221B8B">
              <w:rPr>
                <w:rFonts w:cs="Arial"/>
                <w:color w:val="FFFFFF" w:themeColor="background1"/>
              </w:rPr>
              <w:t>Regorafenib</w:t>
            </w:r>
            <w:proofErr w:type="spellEnd"/>
          </w:p>
        </w:tc>
      </w:tr>
      <w:tr w:rsidR="00E07F15" w:rsidRPr="00B64760" w:rsidTr="00E07F15">
        <w:tc>
          <w:tcPr>
            <w:tcW w:w="9079" w:type="dxa"/>
          </w:tcPr>
          <w:p w:rsidR="00E07F15" w:rsidRPr="00221B8B" w:rsidRDefault="00E07F15" w:rsidP="00221B8B">
            <w:pPr>
              <w:pStyle w:val="Subtitle"/>
              <w:rPr>
                <w:color w:val="FFFFFF" w:themeColor="background1"/>
                <w:szCs w:val="40"/>
              </w:rPr>
            </w:pPr>
            <w:r w:rsidRPr="00221B8B">
              <w:rPr>
                <w:color w:val="FFFFFF" w:themeColor="background1"/>
                <w:szCs w:val="40"/>
              </w:rPr>
              <w:t>Proprietary Product Name:</w:t>
            </w:r>
            <w:r w:rsidR="00221B8B" w:rsidRPr="00221B8B">
              <w:rPr>
                <w:rFonts w:cs="Arial"/>
                <w:color w:val="FFFFFF" w:themeColor="background1"/>
                <w:szCs w:val="40"/>
              </w:rPr>
              <w:t xml:space="preserve"> </w:t>
            </w:r>
            <w:proofErr w:type="spellStart"/>
            <w:r w:rsidR="00221B8B" w:rsidRPr="00221B8B">
              <w:rPr>
                <w:rFonts w:cs="Arial"/>
                <w:color w:val="FFFFFF" w:themeColor="background1"/>
                <w:szCs w:val="40"/>
              </w:rPr>
              <w:t>Stivarga</w:t>
            </w:r>
            <w:proofErr w:type="spellEnd"/>
          </w:p>
        </w:tc>
      </w:tr>
      <w:tr w:rsidR="00E07F15" w:rsidRPr="00B64760" w:rsidTr="00E07F15">
        <w:trPr>
          <w:trHeight w:val="486"/>
        </w:trPr>
        <w:tc>
          <w:tcPr>
            <w:tcW w:w="9079" w:type="dxa"/>
          </w:tcPr>
          <w:p w:rsidR="00E07F15" w:rsidRPr="00221B8B" w:rsidRDefault="00E07F15" w:rsidP="00221B8B">
            <w:pPr>
              <w:pStyle w:val="Subtitle"/>
              <w:rPr>
                <w:color w:val="FFFFFF" w:themeColor="background1"/>
                <w:szCs w:val="40"/>
              </w:rPr>
            </w:pPr>
            <w:r w:rsidRPr="00221B8B">
              <w:rPr>
                <w:color w:val="FFFFFF" w:themeColor="background1"/>
                <w:szCs w:val="40"/>
              </w:rPr>
              <w:t xml:space="preserve">Sponsor: </w:t>
            </w:r>
            <w:r w:rsidR="00221B8B" w:rsidRPr="00221B8B">
              <w:rPr>
                <w:rFonts w:cs="Arial"/>
                <w:color w:val="FFFFFF" w:themeColor="background1"/>
                <w:szCs w:val="40"/>
              </w:rPr>
              <w:t>Bayer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C5D6A"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6128321" w:history="1">
            <w:r w:rsidR="00FC5D6A" w:rsidRPr="00DF1F26">
              <w:rPr>
                <w:rStyle w:val="Hyperlink"/>
                <w:noProof/>
              </w:rPr>
              <w:t>List of abbreviations</w:t>
            </w:r>
            <w:r w:rsidR="00FC5D6A">
              <w:rPr>
                <w:noProof/>
                <w:webHidden/>
              </w:rPr>
              <w:tab/>
            </w:r>
            <w:r w:rsidR="00FC5D6A">
              <w:rPr>
                <w:noProof/>
                <w:webHidden/>
              </w:rPr>
              <w:fldChar w:fldCharType="begin"/>
            </w:r>
            <w:r w:rsidR="00FC5D6A">
              <w:rPr>
                <w:noProof/>
                <w:webHidden/>
              </w:rPr>
              <w:instrText xml:space="preserve"> PAGEREF _Toc436128321 \h </w:instrText>
            </w:r>
            <w:r w:rsidR="00FC5D6A">
              <w:rPr>
                <w:noProof/>
                <w:webHidden/>
              </w:rPr>
            </w:r>
            <w:r w:rsidR="00FC5D6A">
              <w:rPr>
                <w:noProof/>
                <w:webHidden/>
              </w:rPr>
              <w:fldChar w:fldCharType="separate"/>
            </w:r>
            <w:r w:rsidR="00FC5D6A">
              <w:rPr>
                <w:noProof/>
                <w:webHidden/>
              </w:rPr>
              <w:t>5</w:t>
            </w:r>
            <w:r w:rsidR="00FC5D6A">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22" w:history="1">
            <w:r w:rsidRPr="00DF1F26">
              <w:rPr>
                <w:rStyle w:val="Hyperlink"/>
                <w:noProof/>
                <w:lang w:eastAsia="en-AU"/>
              </w:rPr>
              <w:t>1.</w:t>
            </w:r>
            <w:r>
              <w:rPr>
                <w:rFonts w:asciiTheme="minorHAnsi" w:eastAsiaTheme="minorEastAsia" w:hAnsiTheme="minorHAnsi" w:cstheme="minorBidi"/>
                <w:b w:val="0"/>
                <w:noProof/>
                <w:sz w:val="22"/>
                <w:lang w:eastAsia="en-AU"/>
              </w:rPr>
              <w:tab/>
            </w:r>
            <w:r w:rsidRPr="00DF1F26">
              <w:rPr>
                <w:rStyle w:val="Hyperlink"/>
                <w:noProof/>
              </w:rPr>
              <w:t>Introduction</w:t>
            </w:r>
            <w:r>
              <w:rPr>
                <w:noProof/>
                <w:webHidden/>
              </w:rPr>
              <w:tab/>
            </w:r>
            <w:r>
              <w:rPr>
                <w:noProof/>
                <w:webHidden/>
              </w:rPr>
              <w:fldChar w:fldCharType="begin"/>
            </w:r>
            <w:r>
              <w:rPr>
                <w:noProof/>
                <w:webHidden/>
              </w:rPr>
              <w:instrText xml:space="preserve"> PAGEREF _Toc436128322 \h </w:instrText>
            </w:r>
            <w:r>
              <w:rPr>
                <w:noProof/>
                <w:webHidden/>
              </w:rPr>
            </w:r>
            <w:r>
              <w:rPr>
                <w:noProof/>
                <w:webHidden/>
              </w:rPr>
              <w:fldChar w:fldCharType="separate"/>
            </w:r>
            <w:r>
              <w:rPr>
                <w:noProof/>
                <w:webHidden/>
              </w:rPr>
              <w:t>8</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23" w:history="1">
            <w:r w:rsidRPr="00DF1F26">
              <w:rPr>
                <w:rStyle w:val="Hyperlink"/>
                <w:noProof/>
                <w:lang w:eastAsia="en-AU"/>
              </w:rPr>
              <w:t>2.</w:t>
            </w:r>
            <w:r>
              <w:rPr>
                <w:rFonts w:asciiTheme="minorHAnsi" w:eastAsiaTheme="minorEastAsia" w:hAnsiTheme="minorHAnsi" w:cstheme="minorBidi"/>
                <w:b w:val="0"/>
                <w:noProof/>
                <w:sz w:val="22"/>
                <w:lang w:eastAsia="en-AU"/>
              </w:rPr>
              <w:tab/>
            </w:r>
            <w:r w:rsidRPr="00DF1F26">
              <w:rPr>
                <w:rStyle w:val="Hyperlink"/>
                <w:noProof/>
                <w:lang w:eastAsia="en-AU"/>
              </w:rPr>
              <w:t xml:space="preserve">Clinical </w:t>
            </w:r>
            <w:r w:rsidRPr="00DF1F26">
              <w:rPr>
                <w:rStyle w:val="Hyperlink"/>
                <w:noProof/>
              </w:rPr>
              <w:t>rationale</w:t>
            </w:r>
            <w:r>
              <w:rPr>
                <w:noProof/>
                <w:webHidden/>
              </w:rPr>
              <w:tab/>
            </w:r>
            <w:r>
              <w:rPr>
                <w:noProof/>
                <w:webHidden/>
              </w:rPr>
              <w:fldChar w:fldCharType="begin"/>
            </w:r>
            <w:r>
              <w:rPr>
                <w:noProof/>
                <w:webHidden/>
              </w:rPr>
              <w:instrText xml:space="preserve"> PAGEREF _Toc436128323 \h </w:instrText>
            </w:r>
            <w:r>
              <w:rPr>
                <w:noProof/>
                <w:webHidden/>
              </w:rPr>
            </w:r>
            <w:r>
              <w:rPr>
                <w:noProof/>
                <w:webHidden/>
              </w:rPr>
              <w:fldChar w:fldCharType="separate"/>
            </w:r>
            <w:r>
              <w:rPr>
                <w:noProof/>
                <w:webHidden/>
              </w:rPr>
              <w:t>8</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24" w:history="1">
            <w:r w:rsidRPr="00DF1F26">
              <w:rPr>
                <w:rStyle w:val="Hyperlink"/>
                <w:noProof/>
              </w:rPr>
              <w:t>2.1.</w:t>
            </w:r>
            <w:r>
              <w:rPr>
                <w:rFonts w:asciiTheme="minorHAnsi" w:eastAsiaTheme="minorEastAsia" w:hAnsiTheme="minorHAnsi" w:cstheme="minorBidi"/>
                <w:noProof/>
                <w:lang w:eastAsia="en-AU"/>
              </w:rPr>
              <w:tab/>
            </w:r>
            <w:r w:rsidRPr="00DF1F26">
              <w:rPr>
                <w:rStyle w:val="Hyperlink"/>
                <w:noProof/>
              </w:rPr>
              <w:t>Guidance</w:t>
            </w:r>
            <w:r>
              <w:rPr>
                <w:noProof/>
                <w:webHidden/>
              </w:rPr>
              <w:tab/>
            </w:r>
            <w:r>
              <w:rPr>
                <w:noProof/>
                <w:webHidden/>
              </w:rPr>
              <w:fldChar w:fldCharType="begin"/>
            </w:r>
            <w:r>
              <w:rPr>
                <w:noProof/>
                <w:webHidden/>
              </w:rPr>
              <w:instrText xml:space="preserve"> PAGEREF _Toc436128324 \h </w:instrText>
            </w:r>
            <w:r>
              <w:rPr>
                <w:noProof/>
                <w:webHidden/>
              </w:rPr>
            </w:r>
            <w:r>
              <w:rPr>
                <w:noProof/>
                <w:webHidden/>
              </w:rPr>
              <w:fldChar w:fldCharType="separate"/>
            </w:r>
            <w:r>
              <w:rPr>
                <w:noProof/>
                <w:webHidden/>
              </w:rPr>
              <w:t>9</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25" w:history="1">
            <w:r w:rsidRPr="00DF1F26">
              <w:rPr>
                <w:rStyle w:val="Hyperlink"/>
                <w:noProof/>
                <w:lang w:eastAsia="en-AU"/>
              </w:rPr>
              <w:t>3.</w:t>
            </w:r>
            <w:r>
              <w:rPr>
                <w:rFonts w:asciiTheme="minorHAnsi" w:eastAsiaTheme="minorEastAsia" w:hAnsiTheme="minorHAnsi" w:cstheme="minorBidi"/>
                <w:b w:val="0"/>
                <w:noProof/>
                <w:sz w:val="22"/>
                <w:lang w:eastAsia="en-AU"/>
              </w:rPr>
              <w:tab/>
            </w:r>
            <w:r w:rsidRPr="00DF1F26">
              <w:rPr>
                <w:rStyle w:val="Hyperlink"/>
                <w:noProof/>
              </w:rPr>
              <w:t>Contents</w:t>
            </w:r>
            <w:r w:rsidRPr="00DF1F26">
              <w:rPr>
                <w:rStyle w:val="Hyperlink"/>
                <w:noProof/>
                <w:lang w:eastAsia="en-AU"/>
              </w:rPr>
              <w:t xml:space="preserve"> of the </w:t>
            </w:r>
            <w:r w:rsidRPr="00DF1F26">
              <w:rPr>
                <w:rStyle w:val="Hyperlink"/>
                <w:noProof/>
              </w:rPr>
              <w:t>clinical</w:t>
            </w:r>
            <w:r w:rsidRPr="00DF1F26">
              <w:rPr>
                <w:rStyle w:val="Hyperlink"/>
                <w:noProof/>
                <w:lang w:eastAsia="en-AU"/>
              </w:rPr>
              <w:t xml:space="preserve"> dossier</w:t>
            </w:r>
            <w:r>
              <w:rPr>
                <w:noProof/>
                <w:webHidden/>
              </w:rPr>
              <w:tab/>
            </w:r>
            <w:r>
              <w:rPr>
                <w:noProof/>
                <w:webHidden/>
              </w:rPr>
              <w:fldChar w:fldCharType="begin"/>
            </w:r>
            <w:r>
              <w:rPr>
                <w:noProof/>
                <w:webHidden/>
              </w:rPr>
              <w:instrText xml:space="preserve"> PAGEREF _Toc436128325 \h </w:instrText>
            </w:r>
            <w:r>
              <w:rPr>
                <w:noProof/>
                <w:webHidden/>
              </w:rPr>
            </w:r>
            <w:r>
              <w:rPr>
                <w:noProof/>
                <w:webHidden/>
              </w:rPr>
              <w:fldChar w:fldCharType="separate"/>
            </w:r>
            <w:r>
              <w:rPr>
                <w:noProof/>
                <w:webHidden/>
              </w:rPr>
              <w:t>10</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26" w:history="1">
            <w:r w:rsidRPr="00DF1F26">
              <w:rPr>
                <w:rStyle w:val="Hyperlink"/>
                <w:noProof/>
              </w:rPr>
              <w:t>3.1.</w:t>
            </w:r>
            <w:r>
              <w:rPr>
                <w:rFonts w:asciiTheme="minorHAnsi" w:eastAsiaTheme="minorEastAsia" w:hAnsiTheme="minorHAnsi" w:cstheme="minorBidi"/>
                <w:noProof/>
                <w:lang w:eastAsia="en-AU"/>
              </w:rPr>
              <w:tab/>
            </w:r>
            <w:r w:rsidRPr="00DF1F26">
              <w:rPr>
                <w:rStyle w:val="Hyperlink"/>
                <w:noProof/>
              </w:rPr>
              <w:t>Scope of the clinical dossier</w:t>
            </w:r>
            <w:r>
              <w:rPr>
                <w:noProof/>
                <w:webHidden/>
              </w:rPr>
              <w:tab/>
            </w:r>
            <w:r>
              <w:rPr>
                <w:noProof/>
                <w:webHidden/>
              </w:rPr>
              <w:fldChar w:fldCharType="begin"/>
            </w:r>
            <w:r>
              <w:rPr>
                <w:noProof/>
                <w:webHidden/>
              </w:rPr>
              <w:instrText xml:space="preserve"> PAGEREF _Toc436128326 \h </w:instrText>
            </w:r>
            <w:r>
              <w:rPr>
                <w:noProof/>
                <w:webHidden/>
              </w:rPr>
            </w:r>
            <w:r>
              <w:rPr>
                <w:noProof/>
                <w:webHidden/>
              </w:rPr>
              <w:fldChar w:fldCharType="separate"/>
            </w:r>
            <w:r>
              <w:rPr>
                <w:noProof/>
                <w:webHidden/>
              </w:rPr>
              <w:t>10</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27" w:history="1">
            <w:r w:rsidRPr="00DF1F26">
              <w:rPr>
                <w:rStyle w:val="Hyperlink"/>
                <w:noProof/>
              </w:rPr>
              <w:t>3.2.</w:t>
            </w:r>
            <w:r>
              <w:rPr>
                <w:rFonts w:asciiTheme="minorHAnsi" w:eastAsiaTheme="minorEastAsia" w:hAnsiTheme="minorHAnsi" w:cstheme="minorBidi"/>
                <w:noProof/>
                <w:lang w:eastAsia="en-AU"/>
              </w:rPr>
              <w:tab/>
            </w:r>
            <w:r w:rsidRPr="00DF1F26">
              <w:rPr>
                <w:rStyle w:val="Hyperlink"/>
                <w:noProof/>
              </w:rPr>
              <w:t>Paediatric data</w:t>
            </w:r>
            <w:r>
              <w:rPr>
                <w:noProof/>
                <w:webHidden/>
              </w:rPr>
              <w:tab/>
            </w:r>
            <w:r>
              <w:rPr>
                <w:noProof/>
                <w:webHidden/>
              </w:rPr>
              <w:fldChar w:fldCharType="begin"/>
            </w:r>
            <w:r>
              <w:rPr>
                <w:noProof/>
                <w:webHidden/>
              </w:rPr>
              <w:instrText xml:space="preserve"> PAGEREF _Toc436128327 \h </w:instrText>
            </w:r>
            <w:r>
              <w:rPr>
                <w:noProof/>
                <w:webHidden/>
              </w:rPr>
            </w:r>
            <w:r>
              <w:rPr>
                <w:noProof/>
                <w:webHidden/>
              </w:rPr>
              <w:fldChar w:fldCharType="separate"/>
            </w:r>
            <w:r>
              <w:rPr>
                <w:noProof/>
                <w:webHidden/>
              </w:rPr>
              <w:t>12</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28" w:history="1">
            <w:r w:rsidRPr="00DF1F26">
              <w:rPr>
                <w:rStyle w:val="Hyperlink"/>
                <w:noProof/>
              </w:rPr>
              <w:t>3.3.</w:t>
            </w:r>
            <w:r>
              <w:rPr>
                <w:rFonts w:asciiTheme="minorHAnsi" w:eastAsiaTheme="minorEastAsia" w:hAnsiTheme="minorHAnsi" w:cstheme="minorBidi"/>
                <w:noProof/>
                <w:lang w:eastAsia="en-AU"/>
              </w:rPr>
              <w:tab/>
            </w:r>
            <w:r w:rsidRPr="00DF1F26">
              <w:rPr>
                <w:rStyle w:val="Hyperlink"/>
                <w:noProof/>
              </w:rPr>
              <w:t>Good clinical practice</w:t>
            </w:r>
            <w:r>
              <w:rPr>
                <w:noProof/>
                <w:webHidden/>
              </w:rPr>
              <w:tab/>
            </w:r>
            <w:r>
              <w:rPr>
                <w:noProof/>
                <w:webHidden/>
              </w:rPr>
              <w:fldChar w:fldCharType="begin"/>
            </w:r>
            <w:r>
              <w:rPr>
                <w:noProof/>
                <w:webHidden/>
              </w:rPr>
              <w:instrText xml:space="preserve"> PAGEREF _Toc436128328 \h </w:instrText>
            </w:r>
            <w:r>
              <w:rPr>
                <w:noProof/>
                <w:webHidden/>
              </w:rPr>
            </w:r>
            <w:r>
              <w:rPr>
                <w:noProof/>
                <w:webHidden/>
              </w:rPr>
              <w:fldChar w:fldCharType="separate"/>
            </w:r>
            <w:r>
              <w:rPr>
                <w:noProof/>
                <w:webHidden/>
              </w:rPr>
              <w:t>12</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29" w:history="1">
            <w:r w:rsidRPr="00DF1F26">
              <w:rPr>
                <w:rStyle w:val="Hyperlink"/>
                <w:noProof/>
              </w:rPr>
              <w:t>4.</w:t>
            </w:r>
            <w:r>
              <w:rPr>
                <w:rFonts w:asciiTheme="minorHAnsi" w:eastAsiaTheme="minorEastAsia" w:hAnsiTheme="minorHAnsi" w:cstheme="minorBidi"/>
                <w:b w:val="0"/>
                <w:noProof/>
                <w:sz w:val="22"/>
                <w:lang w:eastAsia="en-AU"/>
              </w:rPr>
              <w:tab/>
            </w:r>
            <w:r w:rsidRPr="00DF1F26">
              <w:rPr>
                <w:rStyle w:val="Hyperlink"/>
                <w:noProof/>
              </w:rPr>
              <w:t>Pharmacokinetics</w:t>
            </w:r>
            <w:r>
              <w:rPr>
                <w:noProof/>
                <w:webHidden/>
              </w:rPr>
              <w:tab/>
            </w:r>
            <w:r>
              <w:rPr>
                <w:noProof/>
                <w:webHidden/>
              </w:rPr>
              <w:fldChar w:fldCharType="begin"/>
            </w:r>
            <w:r>
              <w:rPr>
                <w:noProof/>
                <w:webHidden/>
              </w:rPr>
              <w:instrText xml:space="preserve"> PAGEREF _Toc436128329 \h </w:instrText>
            </w:r>
            <w:r>
              <w:rPr>
                <w:noProof/>
                <w:webHidden/>
              </w:rPr>
            </w:r>
            <w:r>
              <w:rPr>
                <w:noProof/>
                <w:webHidden/>
              </w:rPr>
              <w:fldChar w:fldCharType="separate"/>
            </w:r>
            <w:r>
              <w:rPr>
                <w:noProof/>
                <w:webHidden/>
              </w:rPr>
              <w:t>12</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0" w:history="1">
            <w:r w:rsidRPr="00DF1F26">
              <w:rPr>
                <w:rStyle w:val="Hyperlink"/>
                <w:noProof/>
              </w:rPr>
              <w:t>4.1.</w:t>
            </w:r>
            <w:r>
              <w:rPr>
                <w:rFonts w:asciiTheme="minorHAnsi" w:eastAsiaTheme="minorEastAsia" w:hAnsiTheme="minorHAnsi" w:cstheme="minorBidi"/>
                <w:noProof/>
                <w:lang w:eastAsia="en-AU"/>
              </w:rPr>
              <w:tab/>
            </w:r>
            <w:r w:rsidRPr="00DF1F26">
              <w:rPr>
                <w:rStyle w:val="Hyperlink"/>
                <w:noProof/>
              </w:rPr>
              <w:t>Studies providing pharmacokinetic data</w:t>
            </w:r>
            <w:r>
              <w:rPr>
                <w:noProof/>
                <w:webHidden/>
              </w:rPr>
              <w:tab/>
            </w:r>
            <w:r>
              <w:rPr>
                <w:noProof/>
                <w:webHidden/>
              </w:rPr>
              <w:fldChar w:fldCharType="begin"/>
            </w:r>
            <w:r>
              <w:rPr>
                <w:noProof/>
                <w:webHidden/>
              </w:rPr>
              <w:instrText xml:space="preserve"> PAGEREF _Toc436128330 \h </w:instrText>
            </w:r>
            <w:r>
              <w:rPr>
                <w:noProof/>
                <w:webHidden/>
              </w:rPr>
            </w:r>
            <w:r>
              <w:rPr>
                <w:noProof/>
                <w:webHidden/>
              </w:rPr>
              <w:fldChar w:fldCharType="separate"/>
            </w:r>
            <w:r>
              <w:rPr>
                <w:noProof/>
                <w:webHidden/>
              </w:rPr>
              <w:t>12</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31" w:history="1">
            <w:r w:rsidRPr="00DF1F26">
              <w:rPr>
                <w:rStyle w:val="Hyperlink"/>
                <w:noProof/>
              </w:rPr>
              <w:t>5.</w:t>
            </w:r>
            <w:r>
              <w:rPr>
                <w:rFonts w:asciiTheme="minorHAnsi" w:eastAsiaTheme="minorEastAsia" w:hAnsiTheme="minorHAnsi" w:cstheme="minorBidi"/>
                <w:b w:val="0"/>
                <w:noProof/>
                <w:sz w:val="22"/>
                <w:lang w:eastAsia="en-AU"/>
              </w:rPr>
              <w:tab/>
            </w:r>
            <w:r w:rsidRPr="00DF1F26">
              <w:rPr>
                <w:rStyle w:val="Hyperlink"/>
                <w:noProof/>
              </w:rPr>
              <w:t>Summary of pharmacokinetics</w:t>
            </w:r>
            <w:r>
              <w:rPr>
                <w:noProof/>
                <w:webHidden/>
              </w:rPr>
              <w:tab/>
            </w:r>
            <w:r>
              <w:rPr>
                <w:noProof/>
                <w:webHidden/>
              </w:rPr>
              <w:fldChar w:fldCharType="begin"/>
            </w:r>
            <w:r>
              <w:rPr>
                <w:noProof/>
                <w:webHidden/>
              </w:rPr>
              <w:instrText xml:space="preserve"> PAGEREF _Toc436128331 \h </w:instrText>
            </w:r>
            <w:r>
              <w:rPr>
                <w:noProof/>
                <w:webHidden/>
              </w:rPr>
            </w:r>
            <w:r>
              <w:rPr>
                <w:noProof/>
                <w:webHidden/>
              </w:rPr>
              <w:fldChar w:fldCharType="separate"/>
            </w:r>
            <w:r>
              <w:rPr>
                <w:noProof/>
                <w:webHidden/>
              </w:rPr>
              <w:t>14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2" w:history="1">
            <w:r w:rsidRPr="00DF1F26">
              <w:rPr>
                <w:rStyle w:val="Hyperlink"/>
                <w:noProof/>
              </w:rPr>
              <w:t>5.1.</w:t>
            </w:r>
            <w:r>
              <w:rPr>
                <w:rFonts w:asciiTheme="minorHAnsi" w:eastAsiaTheme="minorEastAsia" w:hAnsiTheme="minorHAnsi" w:cstheme="minorBidi"/>
                <w:noProof/>
                <w:lang w:eastAsia="en-AU"/>
              </w:rPr>
              <w:tab/>
            </w:r>
            <w:r w:rsidRPr="00DF1F26">
              <w:rPr>
                <w:rStyle w:val="Hyperlink"/>
                <w:noProof/>
              </w:rPr>
              <w:t>Physicochemical characteristics of the active substance</w:t>
            </w:r>
            <w:r>
              <w:rPr>
                <w:noProof/>
                <w:webHidden/>
              </w:rPr>
              <w:tab/>
            </w:r>
            <w:r>
              <w:rPr>
                <w:noProof/>
                <w:webHidden/>
              </w:rPr>
              <w:fldChar w:fldCharType="begin"/>
            </w:r>
            <w:r>
              <w:rPr>
                <w:noProof/>
                <w:webHidden/>
              </w:rPr>
              <w:instrText xml:space="preserve"> PAGEREF _Toc436128332 \h </w:instrText>
            </w:r>
            <w:r>
              <w:rPr>
                <w:noProof/>
                <w:webHidden/>
              </w:rPr>
            </w:r>
            <w:r>
              <w:rPr>
                <w:noProof/>
                <w:webHidden/>
              </w:rPr>
              <w:fldChar w:fldCharType="separate"/>
            </w:r>
            <w:r>
              <w:rPr>
                <w:noProof/>
                <w:webHidden/>
              </w:rPr>
              <w:t>14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3" w:history="1">
            <w:r w:rsidRPr="00DF1F26">
              <w:rPr>
                <w:rStyle w:val="Hyperlink"/>
                <w:noProof/>
              </w:rPr>
              <w:t>5.2.</w:t>
            </w:r>
            <w:r>
              <w:rPr>
                <w:rFonts w:asciiTheme="minorHAnsi" w:eastAsiaTheme="minorEastAsia" w:hAnsiTheme="minorHAnsi" w:cstheme="minorBidi"/>
                <w:noProof/>
                <w:lang w:eastAsia="en-AU"/>
              </w:rPr>
              <w:tab/>
            </w:r>
            <w:r w:rsidRPr="00DF1F26">
              <w:rPr>
                <w:rStyle w:val="Hyperlink"/>
                <w:noProof/>
              </w:rPr>
              <w:t>Pharmacokinetics in healthy subjects</w:t>
            </w:r>
            <w:r>
              <w:rPr>
                <w:noProof/>
                <w:webHidden/>
              </w:rPr>
              <w:tab/>
            </w:r>
            <w:r>
              <w:rPr>
                <w:noProof/>
                <w:webHidden/>
              </w:rPr>
              <w:fldChar w:fldCharType="begin"/>
            </w:r>
            <w:r>
              <w:rPr>
                <w:noProof/>
                <w:webHidden/>
              </w:rPr>
              <w:instrText xml:space="preserve"> PAGEREF _Toc436128333 \h </w:instrText>
            </w:r>
            <w:r>
              <w:rPr>
                <w:noProof/>
                <w:webHidden/>
              </w:rPr>
            </w:r>
            <w:r>
              <w:rPr>
                <w:noProof/>
                <w:webHidden/>
              </w:rPr>
              <w:fldChar w:fldCharType="separate"/>
            </w:r>
            <w:r>
              <w:rPr>
                <w:noProof/>
                <w:webHidden/>
              </w:rPr>
              <w:t>14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4" w:history="1">
            <w:r w:rsidRPr="00DF1F26">
              <w:rPr>
                <w:rStyle w:val="Hyperlink"/>
                <w:noProof/>
              </w:rPr>
              <w:t>5.3.</w:t>
            </w:r>
            <w:r>
              <w:rPr>
                <w:rFonts w:asciiTheme="minorHAnsi" w:eastAsiaTheme="minorEastAsia" w:hAnsiTheme="minorHAnsi" w:cstheme="minorBidi"/>
                <w:noProof/>
                <w:lang w:eastAsia="en-AU"/>
              </w:rPr>
              <w:tab/>
            </w:r>
            <w:r w:rsidRPr="00DF1F26">
              <w:rPr>
                <w:rStyle w:val="Hyperlink"/>
                <w:noProof/>
              </w:rPr>
              <w:t>Pharmacokinetics in the target population/patients with advanced malignancies</w:t>
            </w:r>
            <w:r>
              <w:rPr>
                <w:noProof/>
                <w:webHidden/>
              </w:rPr>
              <w:tab/>
            </w:r>
            <w:r>
              <w:rPr>
                <w:noProof/>
                <w:webHidden/>
              </w:rPr>
              <w:fldChar w:fldCharType="begin"/>
            </w:r>
            <w:r>
              <w:rPr>
                <w:noProof/>
                <w:webHidden/>
              </w:rPr>
              <w:instrText xml:space="preserve"> PAGEREF _Toc436128334 \h </w:instrText>
            </w:r>
            <w:r>
              <w:rPr>
                <w:noProof/>
                <w:webHidden/>
              </w:rPr>
            </w:r>
            <w:r>
              <w:rPr>
                <w:noProof/>
                <w:webHidden/>
              </w:rPr>
              <w:fldChar w:fldCharType="separate"/>
            </w:r>
            <w:r>
              <w:rPr>
                <w:noProof/>
                <w:webHidden/>
              </w:rPr>
              <w:t>14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5" w:history="1">
            <w:r w:rsidRPr="00DF1F26">
              <w:rPr>
                <w:rStyle w:val="Hyperlink"/>
                <w:noProof/>
              </w:rPr>
              <w:t>5.4.</w:t>
            </w:r>
            <w:r>
              <w:rPr>
                <w:rFonts w:asciiTheme="minorHAnsi" w:eastAsiaTheme="minorEastAsia" w:hAnsiTheme="minorHAnsi" w:cstheme="minorBidi"/>
                <w:noProof/>
                <w:lang w:eastAsia="en-AU"/>
              </w:rPr>
              <w:tab/>
            </w:r>
            <w:r w:rsidRPr="00DF1F26">
              <w:rPr>
                <w:rStyle w:val="Hyperlink"/>
                <w:noProof/>
              </w:rPr>
              <w:t>Pharmacokinetics in other special populations</w:t>
            </w:r>
            <w:r>
              <w:rPr>
                <w:noProof/>
                <w:webHidden/>
              </w:rPr>
              <w:tab/>
            </w:r>
            <w:r>
              <w:rPr>
                <w:noProof/>
                <w:webHidden/>
              </w:rPr>
              <w:fldChar w:fldCharType="begin"/>
            </w:r>
            <w:r>
              <w:rPr>
                <w:noProof/>
                <w:webHidden/>
              </w:rPr>
              <w:instrText xml:space="preserve"> PAGEREF _Toc436128335 \h </w:instrText>
            </w:r>
            <w:r>
              <w:rPr>
                <w:noProof/>
                <w:webHidden/>
              </w:rPr>
            </w:r>
            <w:r>
              <w:rPr>
                <w:noProof/>
                <w:webHidden/>
              </w:rPr>
              <w:fldChar w:fldCharType="separate"/>
            </w:r>
            <w:r>
              <w:rPr>
                <w:noProof/>
                <w:webHidden/>
              </w:rPr>
              <w:t>15</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6" w:history="1">
            <w:r w:rsidRPr="00DF1F26">
              <w:rPr>
                <w:rStyle w:val="Hyperlink"/>
                <w:noProof/>
              </w:rPr>
              <w:t>5.5.</w:t>
            </w:r>
            <w:r>
              <w:rPr>
                <w:rFonts w:asciiTheme="minorHAnsi" w:eastAsiaTheme="minorEastAsia" w:hAnsiTheme="minorHAnsi" w:cstheme="minorBidi"/>
                <w:noProof/>
                <w:lang w:eastAsia="en-AU"/>
              </w:rPr>
              <w:tab/>
            </w:r>
            <w:r w:rsidRPr="00DF1F26">
              <w:rPr>
                <w:rStyle w:val="Hyperlink"/>
                <w:noProof/>
              </w:rPr>
              <w:t>Pharmacokinetic interactions</w:t>
            </w:r>
            <w:r>
              <w:rPr>
                <w:noProof/>
                <w:webHidden/>
              </w:rPr>
              <w:tab/>
            </w:r>
            <w:r>
              <w:rPr>
                <w:noProof/>
                <w:webHidden/>
              </w:rPr>
              <w:fldChar w:fldCharType="begin"/>
            </w:r>
            <w:r>
              <w:rPr>
                <w:noProof/>
                <w:webHidden/>
              </w:rPr>
              <w:instrText xml:space="preserve"> PAGEREF _Toc436128336 \h </w:instrText>
            </w:r>
            <w:r>
              <w:rPr>
                <w:noProof/>
                <w:webHidden/>
              </w:rPr>
            </w:r>
            <w:r>
              <w:rPr>
                <w:noProof/>
                <w:webHidden/>
              </w:rPr>
              <w:fldChar w:fldCharType="separate"/>
            </w:r>
            <w:r>
              <w:rPr>
                <w:noProof/>
                <w:webHidden/>
              </w:rPr>
              <w:t>16</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7" w:history="1">
            <w:r w:rsidRPr="00DF1F26">
              <w:rPr>
                <w:rStyle w:val="Hyperlink"/>
                <w:noProof/>
              </w:rPr>
              <w:t>5.6.</w:t>
            </w:r>
            <w:r>
              <w:rPr>
                <w:rFonts w:asciiTheme="minorHAnsi" w:eastAsiaTheme="minorEastAsia" w:hAnsiTheme="minorHAnsi" w:cstheme="minorBidi"/>
                <w:noProof/>
                <w:lang w:eastAsia="en-AU"/>
              </w:rPr>
              <w:tab/>
            </w:r>
            <w:r w:rsidRPr="00DF1F26">
              <w:rPr>
                <w:rStyle w:val="Hyperlink"/>
                <w:noProof/>
              </w:rPr>
              <w:t>Evaluator’s overall conclusions on pharmacokinetics</w:t>
            </w:r>
            <w:r>
              <w:rPr>
                <w:noProof/>
                <w:webHidden/>
              </w:rPr>
              <w:tab/>
            </w:r>
            <w:r>
              <w:rPr>
                <w:noProof/>
                <w:webHidden/>
              </w:rPr>
              <w:fldChar w:fldCharType="begin"/>
            </w:r>
            <w:r>
              <w:rPr>
                <w:noProof/>
                <w:webHidden/>
              </w:rPr>
              <w:instrText xml:space="preserve"> PAGEREF _Toc436128337 \h </w:instrText>
            </w:r>
            <w:r>
              <w:rPr>
                <w:noProof/>
                <w:webHidden/>
              </w:rPr>
            </w:r>
            <w:r>
              <w:rPr>
                <w:noProof/>
                <w:webHidden/>
              </w:rPr>
              <w:fldChar w:fldCharType="separate"/>
            </w:r>
            <w:r>
              <w:rPr>
                <w:noProof/>
                <w:webHidden/>
              </w:rPr>
              <w:t>17</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38" w:history="1">
            <w:r w:rsidRPr="00DF1F26">
              <w:rPr>
                <w:rStyle w:val="Hyperlink"/>
                <w:noProof/>
              </w:rPr>
              <w:t>6.</w:t>
            </w:r>
            <w:r>
              <w:rPr>
                <w:rFonts w:asciiTheme="minorHAnsi" w:eastAsiaTheme="minorEastAsia" w:hAnsiTheme="minorHAnsi" w:cstheme="minorBidi"/>
                <w:b w:val="0"/>
                <w:noProof/>
                <w:sz w:val="22"/>
                <w:lang w:eastAsia="en-AU"/>
              </w:rPr>
              <w:tab/>
            </w:r>
            <w:r w:rsidRPr="00DF1F26">
              <w:rPr>
                <w:rStyle w:val="Hyperlink"/>
                <w:noProof/>
              </w:rPr>
              <w:t>Pharmacodynamics</w:t>
            </w:r>
            <w:r>
              <w:rPr>
                <w:noProof/>
                <w:webHidden/>
              </w:rPr>
              <w:tab/>
            </w:r>
            <w:r>
              <w:rPr>
                <w:noProof/>
                <w:webHidden/>
              </w:rPr>
              <w:fldChar w:fldCharType="begin"/>
            </w:r>
            <w:r>
              <w:rPr>
                <w:noProof/>
                <w:webHidden/>
              </w:rPr>
              <w:instrText xml:space="preserve"> PAGEREF _Toc436128338 \h </w:instrText>
            </w:r>
            <w:r>
              <w:rPr>
                <w:noProof/>
                <w:webHidden/>
              </w:rPr>
            </w:r>
            <w:r>
              <w:rPr>
                <w:noProof/>
                <w:webHidden/>
              </w:rPr>
              <w:fldChar w:fldCharType="separate"/>
            </w:r>
            <w:r>
              <w:rPr>
                <w:noProof/>
                <w:webHidden/>
              </w:rPr>
              <w:t>18</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39" w:history="1">
            <w:r w:rsidRPr="00DF1F26">
              <w:rPr>
                <w:rStyle w:val="Hyperlink"/>
                <w:noProof/>
              </w:rPr>
              <w:t>6.1.</w:t>
            </w:r>
            <w:r>
              <w:rPr>
                <w:rFonts w:asciiTheme="minorHAnsi" w:eastAsiaTheme="minorEastAsia" w:hAnsiTheme="minorHAnsi" w:cstheme="minorBidi"/>
                <w:noProof/>
                <w:lang w:eastAsia="en-AU"/>
              </w:rPr>
              <w:tab/>
            </w:r>
            <w:r w:rsidRPr="00DF1F26">
              <w:rPr>
                <w:rStyle w:val="Hyperlink"/>
                <w:noProof/>
              </w:rPr>
              <w:t>Studies providing pharmacodynamic data</w:t>
            </w:r>
            <w:r>
              <w:rPr>
                <w:noProof/>
                <w:webHidden/>
              </w:rPr>
              <w:tab/>
            </w:r>
            <w:r>
              <w:rPr>
                <w:noProof/>
                <w:webHidden/>
              </w:rPr>
              <w:fldChar w:fldCharType="begin"/>
            </w:r>
            <w:r>
              <w:rPr>
                <w:noProof/>
                <w:webHidden/>
              </w:rPr>
              <w:instrText xml:space="preserve"> PAGEREF _Toc436128339 \h </w:instrText>
            </w:r>
            <w:r>
              <w:rPr>
                <w:noProof/>
                <w:webHidden/>
              </w:rPr>
            </w:r>
            <w:r>
              <w:rPr>
                <w:noProof/>
                <w:webHidden/>
              </w:rPr>
              <w:fldChar w:fldCharType="separate"/>
            </w:r>
            <w:r>
              <w:rPr>
                <w:noProof/>
                <w:webHidden/>
              </w:rPr>
              <w:t>18</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0" w:history="1">
            <w:r w:rsidRPr="00DF1F26">
              <w:rPr>
                <w:rStyle w:val="Hyperlink"/>
                <w:noProof/>
              </w:rPr>
              <w:t>6.2.</w:t>
            </w:r>
            <w:r>
              <w:rPr>
                <w:rFonts w:asciiTheme="minorHAnsi" w:eastAsiaTheme="minorEastAsia" w:hAnsiTheme="minorHAnsi" w:cstheme="minorBidi"/>
                <w:noProof/>
                <w:lang w:eastAsia="en-AU"/>
              </w:rPr>
              <w:tab/>
            </w:r>
            <w:r w:rsidRPr="00DF1F26">
              <w:rPr>
                <w:rStyle w:val="Hyperlink"/>
                <w:noProof/>
              </w:rPr>
              <w:t>Summary of pharmacodynamics</w:t>
            </w:r>
            <w:r>
              <w:rPr>
                <w:noProof/>
                <w:webHidden/>
              </w:rPr>
              <w:tab/>
            </w:r>
            <w:r>
              <w:rPr>
                <w:noProof/>
                <w:webHidden/>
              </w:rPr>
              <w:fldChar w:fldCharType="begin"/>
            </w:r>
            <w:r>
              <w:rPr>
                <w:noProof/>
                <w:webHidden/>
              </w:rPr>
              <w:instrText xml:space="preserve"> PAGEREF _Toc436128340 \h </w:instrText>
            </w:r>
            <w:r>
              <w:rPr>
                <w:noProof/>
                <w:webHidden/>
              </w:rPr>
            </w:r>
            <w:r>
              <w:rPr>
                <w:noProof/>
                <w:webHidden/>
              </w:rPr>
              <w:fldChar w:fldCharType="separate"/>
            </w:r>
            <w:r>
              <w:rPr>
                <w:noProof/>
                <w:webHidden/>
              </w:rPr>
              <w:t>18</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1" w:history="1">
            <w:r w:rsidRPr="00DF1F26">
              <w:rPr>
                <w:rStyle w:val="Hyperlink"/>
                <w:noProof/>
              </w:rPr>
              <w:t>6.3.</w:t>
            </w:r>
            <w:r>
              <w:rPr>
                <w:rFonts w:asciiTheme="minorHAnsi" w:eastAsiaTheme="minorEastAsia" w:hAnsiTheme="minorHAnsi" w:cstheme="minorBidi"/>
                <w:noProof/>
                <w:lang w:eastAsia="en-AU"/>
              </w:rPr>
              <w:tab/>
            </w:r>
            <w:r w:rsidRPr="00DF1F26">
              <w:rPr>
                <w:rStyle w:val="Hyperlink"/>
                <w:noProof/>
              </w:rPr>
              <w:t>Evaluator’s overall conclusions on pharmacodynamics</w:t>
            </w:r>
            <w:r>
              <w:rPr>
                <w:noProof/>
                <w:webHidden/>
              </w:rPr>
              <w:tab/>
            </w:r>
            <w:r>
              <w:rPr>
                <w:noProof/>
                <w:webHidden/>
              </w:rPr>
              <w:fldChar w:fldCharType="begin"/>
            </w:r>
            <w:r>
              <w:rPr>
                <w:noProof/>
                <w:webHidden/>
              </w:rPr>
              <w:instrText xml:space="preserve"> PAGEREF _Toc436128341 \h </w:instrText>
            </w:r>
            <w:r>
              <w:rPr>
                <w:noProof/>
                <w:webHidden/>
              </w:rPr>
            </w:r>
            <w:r>
              <w:rPr>
                <w:noProof/>
                <w:webHidden/>
              </w:rPr>
              <w:fldChar w:fldCharType="separate"/>
            </w:r>
            <w:r>
              <w:rPr>
                <w:noProof/>
                <w:webHidden/>
              </w:rPr>
              <w:t>18</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42" w:history="1">
            <w:r w:rsidRPr="00DF1F26">
              <w:rPr>
                <w:rStyle w:val="Hyperlink"/>
                <w:noProof/>
              </w:rPr>
              <w:t>7.</w:t>
            </w:r>
            <w:r>
              <w:rPr>
                <w:rFonts w:asciiTheme="minorHAnsi" w:eastAsiaTheme="minorEastAsia" w:hAnsiTheme="minorHAnsi" w:cstheme="minorBidi"/>
                <w:b w:val="0"/>
                <w:noProof/>
                <w:sz w:val="22"/>
                <w:lang w:eastAsia="en-AU"/>
              </w:rPr>
              <w:tab/>
            </w:r>
            <w:r w:rsidRPr="00DF1F26">
              <w:rPr>
                <w:rStyle w:val="Hyperlink"/>
                <w:noProof/>
              </w:rPr>
              <w:t>Dosage selection for the pivotal studies</w:t>
            </w:r>
            <w:r>
              <w:rPr>
                <w:noProof/>
                <w:webHidden/>
              </w:rPr>
              <w:tab/>
            </w:r>
            <w:r>
              <w:rPr>
                <w:noProof/>
                <w:webHidden/>
              </w:rPr>
              <w:fldChar w:fldCharType="begin"/>
            </w:r>
            <w:r>
              <w:rPr>
                <w:noProof/>
                <w:webHidden/>
              </w:rPr>
              <w:instrText xml:space="preserve"> PAGEREF _Toc436128342 \h </w:instrText>
            </w:r>
            <w:r>
              <w:rPr>
                <w:noProof/>
                <w:webHidden/>
              </w:rPr>
            </w:r>
            <w:r>
              <w:rPr>
                <w:noProof/>
                <w:webHidden/>
              </w:rPr>
              <w:fldChar w:fldCharType="separate"/>
            </w:r>
            <w:r>
              <w:rPr>
                <w:noProof/>
                <w:webHidden/>
              </w:rPr>
              <w:t>19</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43" w:history="1">
            <w:r w:rsidRPr="00DF1F26">
              <w:rPr>
                <w:rStyle w:val="Hyperlink"/>
                <w:noProof/>
              </w:rPr>
              <w:t>8.</w:t>
            </w:r>
            <w:r>
              <w:rPr>
                <w:rFonts w:asciiTheme="minorHAnsi" w:eastAsiaTheme="minorEastAsia" w:hAnsiTheme="minorHAnsi" w:cstheme="minorBidi"/>
                <w:b w:val="0"/>
                <w:noProof/>
                <w:sz w:val="22"/>
                <w:lang w:eastAsia="en-AU"/>
              </w:rPr>
              <w:tab/>
            </w:r>
            <w:r w:rsidRPr="00DF1F26">
              <w:rPr>
                <w:rStyle w:val="Hyperlink"/>
                <w:noProof/>
              </w:rPr>
              <w:t>Clinical efficacy</w:t>
            </w:r>
            <w:r>
              <w:rPr>
                <w:noProof/>
                <w:webHidden/>
              </w:rPr>
              <w:tab/>
            </w:r>
            <w:r>
              <w:rPr>
                <w:noProof/>
                <w:webHidden/>
              </w:rPr>
              <w:fldChar w:fldCharType="begin"/>
            </w:r>
            <w:r>
              <w:rPr>
                <w:noProof/>
                <w:webHidden/>
              </w:rPr>
              <w:instrText xml:space="preserve"> PAGEREF _Toc436128343 \h </w:instrText>
            </w:r>
            <w:r>
              <w:rPr>
                <w:noProof/>
                <w:webHidden/>
              </w:rPr>
            </w:r>
            <w:r>
              <w:rPr>
                <w:noProof/>
                <w:webHidden/>
              </w:rPr>
              <w:fldChar w:fldCharType="separate"/>
            </w:r>
            <w:r>
              <w:rPr>
                <w:noProof/>
                <w:webHidden/>
              </w:rPr>
              <w:t>19</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4" w:history="1">
            <w:r w:rsidRPr="00DF1F26">
              <w:rPr>
                <w:rStyle w:val="Hyperlink"/>
                <w:noProof/>
              </w:rPr>
              <w:t>8.1.</w:t>
            </w:r>
            <w:r>
              <w:rPr>
                <w:rFonts w:asciiTheme="minorHAnsi" w:eastAsiaTheme="minorEastAsia" w:hAnsiTheme="minorHAnsi" w:cstheme="minorBidi"/>
                <w:noProof/>
                <w:lang w:eastAsia="en-AU"/>
              </w:rPr>
              <w:tab/>
            </w:r>
            <w:r w:rsidRPr="00DF1F26">
              <w:rPr>
                <w:rStyle w:val="Hyperlink"/>
                <w:noProof/>
              </w:rPr>
              <w:t>Pivotal efficacy studies</w:t>
            </w:r>
            <w:r>
              <w:rPr>
                <w:noProof/>
                <w:webHidden/>
              </w:rPr>
              <w:tab/>
            </w:r>
            <w:r>
              <w:rPr>
                <w:noProof/>
                <w:webHidden/>
              </w:rPr>
              <w:fldChar w:fldCharType="begin"/>
            </w:r>
            <w:r>
              <w:rPr>
                <w:noProof/>
                <w:webHidden/>
              </w:rPr>
              <w:instrText xml:space="preserve"> PAGEREF _Toc436128344 \h </w:instrText>
            </w:r>
            <w:r>
              <w:rPr>
                <w:noProof/>
                <w:webHidden/>
              </w:rPr>
            </w:r>
            <w:r>
              <w:rPr>
                <w:noProof/>
                <w:webHidden/>
              </w:rPr>
              <w:fldChar w:fldCharType="separate"/>
            </w:r>
            <w:r>
              <w:rPr>
                <w:noProof/>
                <w:webHidden/>
              </w:rPr>
              <w:t>20</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5" w:history="1">
            <w:r w:rsidRPr="00DF1F26">
              <w:rPr>
                <w:rStyle w:val="Hyperlink"/>
                <w:noProof/>
              </w:rPr>
              <w:t>8.2.</w:t>
            </w:r>
            <w:r>
              <w:rPr>
                <w:rFonts w:asciiTheme="minorHAnsi" w:eastAsiaTheme="minorEastAsia" w:hAnsiTheme="minorHAnsi" w:cstheme="minorBidi"/>
                <w:noProof/>
                <w:lang w:eastAsia="en-AU"/>
              </w:rPr>
              <w:tab/>
            </w:r>
            <w:r w:rsidRPr="00DF1F26">
              <w:rPr>
                <w:rStyle w:val="Hyperlink"/>
                <w:noProof/>
              </w:rPr>
              <w:t>Other efficacy studies</w:t>
            </w:r>
            <w:r>
              <w:rPr>
                <w:noProof/>
                <w:webHidden/>
              </w:rPr>
              <w:tab/>
            </w:r>
            <w:r>
              <w:rPr>
                <w:noProof/>
                <w:webHidden/>
              </w:rPr>
              <w:fldChar w:fldCharType="begin"/>
            </w:r>
            <w:r>
              <w:rPr>
                <w:noProof/>
                <w:webHidden/>
              </w:rPr>
              <w:instrText xml:space="preserve"> PAGEREF _Toc436128345 \h </w:instrText>
            </w:r>
            <w:r>
              <w:rPr>
                <w:noProof/>
                <w:webHidden/>
              </w:rPr>
            </w:r>
            <w:r>
              <w:rPr>
                <w:noProof/>
                <w:webHidden/>
              </w:rPr>
              <w:fldChar w:fldCharType="separate"/>
            </w:r>
            <w:r>
              <w:rPr>
                <w:noProof/>
                <w:webHidden/>
              </w:rPr>
              <w:t>37</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6" w:history="1">
            <w:r w:rsidRPr="00DF1F26">
              <w:rPr>
                <w:rStyle w:val="Hyperlink"/>
                <w:noProof/>
              </w:rPr>
              <w:t>8.3.</w:t>
            </w:r>
            <w:r>
              <w:rPr>
                <w:rFonts w:asciiTheme="minorHAnsi" w:eastAsiaTheme="minorEastAsia" w:hAnsiTheme="minorHAnsi" w:cstheme="minorBidi"/>
                <w:noProof/>
                <w:lang w:eastAsia="en-AU"/>
              </w:rPr>
              <w:tab/>
            </w:r>
            <w:r w:rsidRPr="00DF1F26">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_Toc436128346 \h </w:instrText>
            </w:r>
            <w:r>
              <w:rPr>
                <w:noProof/>
                <w:webHidden/>
              </w:rPr>
            </w:r>
            <w:r>
              <w:rPr>
                <w:noProof/>
                <w:webHidden/>
              </w:rPr>
              <w:fldChar w:fldCharType="separate"/>
            </w:r>
            <w:r>
              <w:rPr>
                <w:noProof/>
                <w:webHidden/>
              </w:rPr>
              <w:t>39</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7" w:history="1">
            <w:r w:rsidRPr="00DF1F26">
              <w:rPr>
                <w:rStyle w:val="Hyperlink"/>
                <w:noProof/>
              </w:rPr>
              <w:t>8.4.</w:t>
            </w:r>
            <w:r>
              <w:rPr>
                <w:rFonts w:asciiTheme="minorHAnsi" w:eastAsiaTheme="minorEastAsia" w:hAnsiTheme="minorHAnsi" w:cstheme="minorBidi"/>
                <w:noProof/>
                <w:lang w:eastAsia="en-AU"/>
              </w:rPr>
              <w:tab/>
            </w:r>
            <w:r w:rsidRPr="00DF1F26">
              <w:rPr>
                <w:rStyle w:val="Hyperlink"/>
                <w:noProof/>
              </w:rPr>
              <w:t>Evaluator’s conclusions on clinical efficacy</w:t>
            </w:r>
            <w:r>
              <w:rPr>
                <w:noProof/>
                <w:webHidden/>
              </w:rPr>
              <w:tab/>
            </w:r>
            <w:r>
              <w:rPr>
                <w:noProof/>
                <w:webHidden/>
              </w:rPr>
              <w:fldChar w:fldCharType="begin"/>
            </w:r>
            <w:r>
              <w:rPr>
                <w:noProof/>
                <w:webHidden/>
              </w:rPr>
              <w:instrText xml:space="preserve"> PAGEREF _Toc436128347 \h </w:instrText>
            </w:r>
            <w:r>
              <w:rPr>
                <w:noProof/>
                <w:webHidden/>
              </w:rPr>
            </w:r>
            <w:r>
              <w:rPr>
                <w:noProof/>
                <w:webHidden/>
              </w:rPr>
              <w:fldChar w:fldCharType="separate"/>
            </w:r>
            <w:r>
              <w:rPr>
                <w:noProof/>
                <w:webHidden/>
              </w:rPr>
              <w:t>40</w:t>
            </w:r>
            <w:r>
              <w:rPr>
                <w:noProof/>
                <w:webHidden/>
              </w:rPr>
              <w:fldChar w:fldCharType="end"/>
            </w:r>
          </w:hyperlink>
        </w:p>
        <w:p w:rsidR="00FC5D6A" w:rsidRDefault="00FC5D6A">
          <w:pPr>
            <w:pStyle w:val="TOC2"/>
            <w:tabs>
              <w:tab w:val="left" w:pos="1100"/>
            </w:tabs>
            <w:rPr>
              <w:rFonts w:asciiTheme="minorHAnsi" w:eastAsiaTheme="minorEastAsia" w:hAnsiTheme="minorHAnsi" w:cstheme="minorBidi"/>
              <w:b w:val="0"/>
              <w:noProof/>
              <w:sz w:val="22"/>
              <w:lang w:eastAsia="en-AU"/>
            </w:rPr>
          </w:pPr>
          <w:hyperlink w:anchor="_Toc436128348" w:history="1">
            <w:r w:rsidRPr="00DF1F26">
              <w:rPr>
                <w:rStyle w:val="Hyperlink"/>
                <w:noProof/>
              </w:rPr>
              <w:t>9.</w:t>
            </w:r>
            <w:r>
              <w:rPr>
                <w:rFonts w:asciiTheme="minorHAnsi" w:eastAsiaTheme="minorEastAsia" w:hAnsiTheme="minorHAnsi" w:cstheme="minorBidi"/>
                <w:b w:val="0"/>
                <w:noProof/>
                <w:sz w:val="22"/>
                <w:lang w:eastAsia="en-AU"/>
              </w:rPr>
              <w:tab/>
            </w:r>
            <w:r w:rsidRPr="00DF1F26">
              <w:rPr>
                <w:rStyle w:val="Hyperlink"/>
                <w:noProof/>
              </w:rPr>
              <w:t>Clinical safety</w:t>
            </w:r>
            <w:r>
              <w:rPr>
                <w:noProof/>
                <w:webHidden/>
              </w:rPr>
              <w:tab/>
            </w:r>
            <w:r>
              <w:rPr>
                <w:noProof/>
                <w:webHidden/>
              </w:rPr>
              <w:fldChar w:fldCharType="begin"/>
            </w:r>
            <w:r>
              <w:rPr>
                <w:noProof/>
                <w:webHidden/>
              </w:rPr>
              <w:instrText xml:space="preserve"> PAGEREF _Toc436128348 \h </w:instrText>
            </w:r>
            <w:r>
              <w:rPr>
                <w:noProof/>
                <w:webHidden/>
              </w:rPr>
            </w:r>
            <w:r>
              <w:rPr>
                <w:noProof/>
                <w:webHidden/>
              </w:rPr>
              <w:fldChar w:fldCharType="separate"/>
            </w:r>
            <w:r>
              <w:rPr>
                <w:noProof/>
                <w:webHidden/>
              </w:rPr>
              <w:t>41</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49" w:history="1">
            <w:r w:rsidRPr="00DF1F26">
              <w:rPr>
                <w:rStyle w:val="Hyperlink"/>
                <w:noProof/>
              </w:rPr>
              <w:t>9.1.</w:t>
            </w:r>
            <w:r>
              <w:rPr>
                <w:rFonts w:asciiTheme="minorHAnsi" w:eastAsiaTheme="minorEastAsia" w:hAnsiTheme="minorHAnsi" w:cstheme="minorBidi"/>
                <w:noProof/>
                <w:lang w:eastAsia="en-AU"/>
              </w:rPr>
              <w:tab/>
            </w:r>
            <w:r w:rsidRPr="00DF1F26">
              <w:rPr>
                <w:rStyle w:val="Hyperlink"/>
                <w:noProof/>
              </w:rPr>
              <w:t>Studies providing evaluable safety data</w:t>
            </w:r>
            <w:r>
              <w:rPr>
                <w:noProof/>
                <w:webHidden/>
              </w:rPr>
              <w:tab/>
            </w:r>
            <w:r>
              <w:rPr>
                <w:noProof/>
                <w:webHidden/>
              </w:rPr>
              <w:fldChar w:fldCharType="begin"/>
            </w:r>
            <w:r>
              <w:rPr>
                <w:noProof/>
                <w:webHidden/>
              </w:rPr>
              <w:instrText xml:space="preserve"> PAGEREF _Toc436128349 \h </w:instrText>
            </w:r>
            <w:r>
              <w:rPr>
                <w:noProof/>
                <w:webHidden/>
              </w:rPr>
            </w:r>
            <w:r>
              <w:rPr>
                <w:noProof/>
                <w:webHidden/>
              </w:rPr>
              <w:fldChar w:fldCharType="separate"/>
            </w:r>
            <w:r>
              <w:rPr>
                <w:noProof/>
                <w:webHidden/>
              </w:rPr>
              <w:t>41</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0" w:history="1">
            <w:r w:rsidRPr="00DF1F26">
              <w:rPr>
                <w:rStyle w:val="Hyperlink"/>
                <w:noProof/>
              </w:rPr>
              <w:t>9.2.</w:t>
            </w:r>
            <w:r>
              <w:rPr>
                <w:rFonts w:asciiTheme="minorHAnsi" w:eastAsiaTheme="minorEastAsia" w:hAnsiTheme="minorHAnsi" w:cstheme="minorBidi"/>
                <w:noProof/>
                <w:lang w:eastAsia="en-AU"/>
              </w:rPr>
              <w:tab/>
            </w:r>
            <w:r w:rsidRPr="00DF1F26">
              <w:rPr>
                <w:rStyle w:val="Hyperlink"/>
                <w:noProof/>
              </w:rPr>
              <w:t>Patient exposure</w:t>
            </w:r>
            <w:r>
              <w:rPr>
                <w:noProof/>
                <w:webHidden/>
              </w:rPr>
              <w:tab/>
            </w:r>
            <w:r>
              <w:rPr>
                <w:noProof/>
                <w:webHidden/>
              </w:rPr>
              <w:fldChar w:fldCharType="begin"/>
            </w:r>
            <w:r>
              <w:rPr>
                <w:noProof/>
                <w:webHidden/>
              </w:rPr>
              <w:instrText xml:space="preserve"> PAGEREF _Toc436128350 \h </w:instrText>
            </w:r>
            <w:r>
              <w:rPr>
                <w:noProof/>
                <w:webHidden/>
              </w:rPr>
            </w:r>
            <w:r>
              <w:rPr>
                <w:noProof/>
                <w:webHidden/>
              </w:rPr>
              <w:fldChar w:fldCharType="separate"/>
            </w:r>
            <w:r>
              <w:rPr>
                <w:noProof/>
                <w:webHidden/>
              </w:rPr>
              <w:t>43</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1" w:history="1">
            <w:r w:rsidRPr="00DF1F26">
              <w:rPr>
                <w:rStyle w:val="Hyperlink"/>
                <w:noProof/>
              </w:rPr>
              <w:t>9.3.</w:t>
            </w:r>
            <w:r>
              <w:rPr>
                <w:rFonts w:asciiTheme="minorHAnsi" w:eastAsiaTheme="minorEastAsia" w:hAnsiTheme="minorHAnsi" w:cstheme="minorBidi"/>
                <w:noProof/>
                <w:lang w:eastAsia="en-AU"/>
              </w:rPr>
              <w:tab/>
            </w:r>
            <w:r w:rsidRPr="00DF1F26">
              <w:rPr>
                <w:rStyle w:val="Hyperlink"/>
                <w:noProof/>
              </w:rPr>
              <w:t>Adverse events</w:t>
            </w:r>
            <w:r>
              <w:rPr>
                <w:noProof/>
                <w:webHidden/>
              </w:rPr>
              <w:tab/>
            </w:r>
            <w:r>
              <w:rPr>
                <w:noProof/>
                <w:webHidden/>
              </w:rPr>
              <w:fldChar w:fldCharType="begin"/>
            </w:r>
            <w:r>
              <w:rPr>
                <w:noProof/>
                <w:webHidden/>
              </w:rPr>
              <w:instrText xml:space="preserve"> PAGEREF _Toc436128351 \h </w:instrText>
            </w:r>
            <w:r>
              <w:rPr>
                <w:noProof/>
                <w:webHidden/>
              </w:rPr>
            </w:r>
            <w:r>
              <w:rPr>
                <w:noProof/>
                <w:webHidden/>
              </w:rPr>
              <w:fldChar w:fldCharType="separate"/>
            </w:r>
            <w:r>
              <w:rPr>
                <w:noProof/>
                <w:webHidden/>
              </w:rPr>
              <w:t>45</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2" w:history="1">
            <w:r w:rsidRPr="00DF1F26">
              <w:rPr>
                <w:rStyle w:val="Hyperlink"/>
                <w:noProof/>
              </w:rPr>
              <w:t>9.4.</w:t>
            </w:r>
            <w:r>
              <w:rPr>
                <w:rFonts w:asciiTheme="minorHAnsi" w:eastAsiaTheme="minorEastAsia" w:hAnsiTheme="minorHAnsi" w:cstheme="minorBidi"/>
                <w:noProof/>
                <w:lang w:eastAsia="en-AU"/>
              </w:rPr>
              <w:tab/>
            </w:r>
            <w:r w:rsidRPr="00DF1F26">
              <w:rPr>
                <w:rStyle w:val="Hyperlink"/>
                <w:noProof/>
              </w:rPr>
              <w:t>Laboratory tests</w:t>
            </w:r>
            <w:r>
              <w:rPr>
                <w:noProof/>
                <w:webHidden/>
              </w:rPr>
              <w:tab/>
            </w:r>
            <w:r>
              <w:rPr>
                <w:noProof/>
                <w:webHidden/>
              </w:rPr>
              <w:fldChar w:fldCharType="begin"/>
            </w:r>
            <w:r>
              <w:rPr>
                <w:noProof/>
                <w:webHidden/>
              </w:rPr>
              <w:instrText xml:space="preserve"> PAGEREF _Toc436128352 \h </w:instrText>
            </w:r>
            <w:r>
              <w:rPr>
                <w:noProof/>
                <w:webHidden/>
              </w:rPr>
            </w:r>
            <w:r>
              <w:rPr>
                <w:noProof/>
                <w:webHidden/>
              </w:rPr>
              <w:fldChar w:fldCharType="separate"/>
            </w:r>
            <w:r>
              <w:rPr>
                <w:noProof/>
                <w:webHidden/>
              </w:rPr>
              <w:t>52</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3" w:history="1">
            <w:r w:rsidRPr="00DF1F26">
              <w:rPr>
                <w:rStyle w:val="Hyperlink"/>
                <w:noProof/>
              </w:rPr>
              <w:t>9.5.</w:t>
            </w:r>
            <w:r>
              <w:rPr>
                <w:rFonts w:asciiTheme="minorHAnsi" w:eastAsiaTheme="minorEastAsia" w:hAnsiTheme="minorHAnsi" w:cstheme="minorBidi"/>
                <w:noProof/>
                <w:lang w:eastAsia="en-AU"/>
              </w:rPr>
              <w:tab/>
            </w:r>
            <w:r w:rsidRPr="00DF1F26">
              <w:rPr>
                <w:rStyle w:val="Hyperlink"/>
                <w:noProof/>
              </w:rPr>
              <w:t>Post-marketing experience</w:t>
            </w:r>
            <w:r>
              <w:rPr>
                <w:noProof/>
                <w:webHidden/>
              </w:rPr>
              <w:tab/>
            </w:r>
            <w:r>
              <w:rPr>
                <w:noProof/>
                <w:webHidden/>
              </w:rPr>
              <w:fldChar w:fldCharType="begin"/>
            </w:r>
            <w:r>
              <w:rPr>
                <w:noProof/>
                <w:webHidden/>
              </w:rPr>
              <w:instrText xml:space="preserve"> PAGEREF _Toc436128353 \h </w:instrText>
            </w:r>
            <w:r>
              <w:rPr>
                <w:noProof/>
                <w:webHidden/>
              </w:rPr>
            </w:r>
            <w:r>
              <w:rPr>
                <w:noProof/>
                <w:webHidden/>
              </w:rPr>
              <w:fldChar w:fldCharType="separate"/>
            </w:r>
            <w:r>
              <w:rPr>
                <w:noProof/>
                <w:webHidden/>
              </w:rPr>
              <w:t>56</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4" w:history="1">
            <w:r w:rsidRPr="00DF1F26">
              <w:rPr>
                <w:rStyle w:val="Hyperlink"/>
                <w:noProof/>
              </w:rPr>
              <w:t>9.6.</w:t>
            </w:r>
            <w:r>
              <w:rPr>
                <w:rFonts w:asciiTheme="minorHAnsi" w:eastAsiaTheme="minorEastAsia" w:hAnsiTheme="minorHAnsi" w:cstheme="minorBidi"/>
                <w:noProof/>
                <w:lang w:eastAsia="en-AU"/>
              </w:rPr>
              <w:tab/>
            </w:r>
            <w:r w:rsidRPr="00DF1F26">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_Toc436128354 \h </w:instrText>
            </w:r>
            <w:r>
              <w:rPr>
                <w:noProof/>
                <w:webHidden/>
              </w:rPr>
            </w:r>
            <w:r>
              <w:rPr>
                <w:noProof/>
                <w:webHidden/>
              </w:rPr>
              <w:fldChar w:fldCharType="separate"/>
            </w:r>
            <w:r>
              <w:rPr>
                <w:noProof/>
                <w:webHidden/>
              </w:rPr>
              <w:t>58</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5" w:history="1">
            <w:r w:rsidRPr="00DF1F26">
              <w:rPr>
                <w:rStyle w:val="Hyperlink"/>
                <w:noProof/>
              </w:rPr>
              <w:t>9.7.</w:t>
            </w:r>
            <w:r>
              <w:rPr>
                <w:rFonts w:asciiTheme="minorHAnsi" w:eastAsiaTheme="minorEastAsia" w:hAnsiTheme="minorHAnsi" w:cstheme="minorBidi"/>
                <w:noProof/>
                <w:lang w:eastAsia="en-AU"/>
              </w:rPr>
              <w:tab/>
            </w:r>
            <w:r w:rsidRPr="00DF1F26">
              <w:rPr>
                <w:rStyle w:val="Hyperlink"/>
                <w:noProof/>
              </w:rPr>
              <w:t>Other safety issues</w:t>
            </w:r>
            <w:r>
              <w:rPr>
                <w:noProof/>
                <w:webHidden/>
              </w:rPr>
              <w:tab/>
            </w:r>
            <w:r>
              <w:rPr>
                <w:noProof/>
                <w:webHidden/>
              </w:rPr>
              <w:fldChar w:fldCharType="begin"/>
            </w:r>
            <w:r>
              <w:rPr>
                <w:noProof/>
                <w:webHidden/>
              </w:rPr>
              <w:instrText xml:space="preserve"> PAGEREF _Toc436128355 \h </w:instrText>
            </w:r>
            <w:r>
              <w:rPr>
                <w:noProof/>
                <w:webHidden/>
              </w:rPr>
            </w:r>
            <w:r>
              <w:rPr>
                <w:noProof/>
                <w:webHidden/>
              </w:rPr>
              <w:fldChar w:fldCharType="separate"/>
            </w:r>
            <w:r>
              <w:rPr>
                <w:noProof/>
                <w:webHidden/>
              </w:rPr>
              <w:t>61</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6" w:history="1">
            <w:r w:rsidRPr="00DF1F26">
              <w:rPr>
                <w:rStyle w:val="Hyperlink"/>
                <w:noProof/>
              </w:rPr>
              <w:t>9.8.</w:t>
            </w:r>
            <w:r>
              <w:rPr>
                <w:rFonts w:asciiTheme="minorHAnsi" w:eastAsiaTheme="minorEastAsia" w:hAnsiTheme="minorHAnsi" w:cstheme="minorBidi"/>
                <w:noProof/>
                <w:lang w:eastAsia="en-AU"/>
              </w:rPr>
              <w:tab/>
            </w:r>
            <w:r w:rsidRPr="00DF1F26">
              <w:rPr>
                <w:rStyle w:val="Hyperlink"/>
                <w:noProof/>
              </w:rPr>
              <w:t>Evaluator’s overall conclusions on clinical safety</w:t>
            </w:r>
            <w:r>
              <w:rPr>
                <w:noProof/>
                <w:webHidden/>
              </w:rPr>
              <w:tab/>
            </w:r>
            <w:r>
              <w:rPr>
                <w:noProof/>
                <w:webHidden/>
              </w:rPr>
              <w:fldChar w:fldCharType="begin"/>
            </w:r>
            <w:r>
              <w:rPr>
                <w:noProof/>
                <w:webHidden/>
              </w:rPr>
              <w:instrText xml:space="preserve"> PAGEREF _Toc436128356 \h </w:instrText>
            </w:r>
            <w:r>
              <w:rPr>
                <w:noProof/>
                <w:webHidden/>
              </w:rPr>
            </w:r>
            <w:r>
              <w:rPr>
                <w:noProof/>
                <w:webHidden/>
              </w:rPr>
              <w:fldChar w:fldCharType="separate"/>
            </w:r>
            <w:r>
              <w:rPr>
                <w:noProof/>
                <w:webHidden/>
              </w:rPr>
              <w:t>63</w:t>
            </w:r>
            <w:r>
              <w:rPr>
                <w:noProof/>
                <w:webHidden/>
              </w:rPr>
              <w:fldChar w:fldCharType="end"/>
            </w:r>
          </w:hyperlink>
        </w:p>
        <w:p w:rsidR="00FC5D6A" w:rsidRDefault="00FC5D6A">
          <w:pPr>
            <w:pStyle w:val="TOC2"/>
            <w:tabs>
              <w:tab w:val="left" w:pos="1320"/>
            </w:tabs>
            <w:rPr>
              <w:rFonts w:asciiTheme="minorHAnsi" w:eastAsiaTheme="minorEastAsia" w:hAnsiTheme="minorHAnsi" w:cstheme="minorBidi"/>
              <w:b w:val="0"/>
              <w:noProof/>
              <w:sz w:val="22"/>
              <w:lang w:eastAsia="en-AU"/>
            </w:rPr>
          </w:pPr>
          <w:hyperlink w:anchor="_Toc436128357" w:history="1">
            <w:r w:rsidRPr="00DF1F26">
              <w:rPr>
                <w:rStyle w:val="Hyperlink"/>
                <w:noProof/>
              </w:rPr>
              <w:t>10.</w:t>
            </w:r>
            <w:r>
              <w:rPr>
                <w:rFonts w:asciiTheme="minorHAnsi" w:eastAsiaTheme="minorEastAsia" w:hAnsiTheme="minorHAnsi" w:cstheme="minorBidi"/>
                <w:b w:val="0"/>
                <w:noProof/>
                <w:sz w:val="22"/>
                <w:lang w:eastAsia="en-AU"/>
              </w:rPr>
              <w:tab/>
            </w:r>
            <w:r w:rsidRPr="00DF1F26">
              <w:rPr>
                <w:rStyle w:val="Hyperlink"/>
                <w:noProof/>
              </w:rPr>
              <w:t>First round benefit-risk assessment</w:t>
            </w:r>
            <w:r>
              <w:rPr>
                <w:noProof/>
                <w:webHidden/>
              </w:rPr>
              <w:tab/>
            </w:r>
            <w:r>
              <w:rPr>
                <w:noProof/>
                <w:webHidden/>
              </w:rPr>
              <w:fldChar w:fldCharType="begin"/>
            </w:r>
            <w:r>
              <w:rPr>
                <w:noProof/>
                <w:webHidden/>
              </w:rPr>
              <w:instrText xml:space="preserve"> PAGEREF _Toc436128357 \h </w:instrText>
            </w:r>
            <w:r>
              <w:rPr>
                <w:noProof/>
                <w:webHidden/>
              </w:rPr>
            </w:r>
            <w:r>
              <w:rPr>
                <w:noProof/>
                <w:webHidden/>
              </w:rPr>
              <w:fldChar w:fldCharType="separate"/>
            </w:r>
            <w:r>
              <w:rPr>
                <w:noProof/>
                <w:webHidden/>
              </w:rPr>
              <w:t>64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8" w:history="1">
            <w:r w:rsidRPr="00DF1F26">
              <w:rPr>
                <w:rStyle w:val="Hyperlink"/>
                <w:noProof/>
              </w:rPr>
              <w:t>10.1.</w:t>
            </w:r>
            <w:r>
              <w:rPr>
                <w:rFonts w:asciiTheme="minorHAnsi" w:eastAsiaTheme="minorEastAsia" w:hAnsiTheme="minorHAnsi" w:cstheme="minorBidi"/>
                <w:noProof/>
                <w:lang w:eastAsia="en-AU"/>
              </w:rPr>
              <w:tab/>
            </w:r>
            <w:r w:rsidRPr="00DF1F26">
              <w:rPr>
                <w:rStyle w:val="Hyperlink"/>
                <w:noProof/>
              </w:rPr>
              <w:t>First round assessment of benefits</w:t>
            </w:r>
            <w:r>
              <w:rPr>
                <w:noProof/>
                <w:webHidden/>
              </w:rPr>
              <w:tab/>
            </w:r>
            <w:r>
              <w:rPr>
                <w:noProof/>
                <w:webHidden/>
              </w:rPr>
              <w:fldChar w:fldCharType="begin"/>
            </w:r>
            <w:r>
              <w:rPr>
                <w:noProof/>
                <w:webHidden/>
              </w:rPr>
              <w:instrText xml:space="preserve"> PAGEREF _Toc436128358 \h </w:instrText>
            </w:r>
            <w:r>
              <w:rPr>
                <w:noProof/>
                <w:webHidden/>
              </w:rPr>
            </w:r>
            <w:r>
              <w:rPr>
                <w:noProof/>
                <w:webHidden/>
              </w:rPr>
              <w:fldChar w:fldCharType="separate"/>
            </w:r>
            <w:r>
              <w:rPr>
                <w:noProof/>
                <w:webHidden/>
              </w:rPr>
              <w:t>64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59" w:history="1">
            <w:r w:rsidRPr="00DF1F26">
              <w:rPr>
                <w:rStyle w:val="Hyperlink"/>
                <w:noProof/>
              </w:rPr>
              <w:t>10.2.</w:t>
            </w:r>
            <w:r>
              <w:rPr>
                <w:rFonts w:asciiTheme="minorHAnsi" w:eastAsiaTheme="minorEastAsia" w:hAnsiTheme="minorHAnsi" w:cstheme="minorBidi"/>
                <w:noProof/>
                <w:lang w:eastAsia="en-AU"/>
              </w:rPr>
              <w:tab/>
            </w:r>
            <w:r w:rsidRPr="00DF1F26">
              <w:rPr>
                <w:rStyle w:val="Hyperlink"/>
                <w:noProof/>
              </w:rPr>
              <w:t>First round assessment of risks</w:t>
            </w:r>
            <w:r>
              <w:rPr>
                <w:noProof/>
                <w:webHidden/>
              </w:rPr>
              <w:tab/>
            </w:r>
            <w:r>
              <w:rPr>
                <w:noProof/>
                <w:webHidden/>
              </w:rPr>
              <w:fldChar w:fldCharType="begin"/>
            </w:r>
            <w:r>
              <w:rPr>
                <w:noProof/>
                <w:webHidden/>
              </w:rPr>
              <w:instrText xml:space="preserve"> PAGEREF _Toc436128359 \h </w:instrText>
            </w:r>
            <w:r>
              <w:rPr>
                <w:noProof/>
                <w:webHidden/>
              </w:rPr>
            </w:r>
            <w:r>
              <w:rPr>
                <w:noProof/>
                <w:webHidden/>
              </w:rPr>
              <w:fldChar w:fldCharType="separate"/>
            </w:r>
            <w:r>
              <w:rPr>
                <w:noProof/>
                <w:webHidden/>
              </w:rPr>
              <w:t>64</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0" w:history="1">
            <w:r w:rsidRPr="00DF1F26">
              <w:rPr>
                <w:rStyle w:val="Hyperlink"/>
                <w:noProof/>
              </w:rPr>
              <w:t>10.3.</w:t>
            </w:r>
            <w:r>
              <w:rPr>
                <w:rFonts w:asciiTheme="minorHAnsi" w:eastAsiaTheme="minorEastAsia" w:hAnsiTheme="minorHAnsi" w:cstheme="minorBidi"/>
                <w:noProof/>
                <w:lang w:eastAsia="en-AU"/>
              </w:rPr>
              <w:tab/>
            </w:r>
            <w:r w:rsidRPr="00DF1F26">
              <w:rPr>
                <w:rStyle w:val="Hyperlink"/>
                <w:noProof/>
              </w:rPr>
              <w:t>First round assessment of benefit-risk balance</w:t>
            </w:r>
            <w:r>
              <w:rPr>
                <w:noProof/>
                <w:webHidden/>
              </w:rPr>
              <w:tab/>
            </w:r>
            <w:r>
              <w:rPr>
                <w:noProof/>
                <w:webHidden/>
              </w:rPr>
              <w:fldChar w:fldCharType="begin"/>
            </w:r>
            <w:r>
              <w:rPr>
                <w:noProof/>
                <w:webHidden/>
              </w:rPr>
              <w:instrText xml:space="preserve"> PAGEREF _Toc436128360 \h </w:instrText>
            </w:r>
            <w:r>
              <w:rPr>
                <w:noProof/>
                <w:webHidden/>
              </w:rPr>
            </w:r>
            <w:r>
              <w:rPr>
                <w:noProof/>
                <w:webHidden/>
              </w:rPr>
              <w:fldChar w:fldCharType="separate"/>
            </w:r>
            <w:r>
              <w:rPr>
                <w:noProof/>
                <w:webHidden/>
              </w:rPr>
              <w:t>65</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1" w:history="1">
            <w:r w:rsidRPr="00DF1F26">
              <w:rPr>
                <w:rStyle w:val="Hyperlink"/>
                <w:noProof/>
              </w:rPr>
              <w:t>10.4.</w:t>
            </w:r>
            <w:r>
              <w:rPr>
                <w:rFonts w:asciiTheme="minorHAnsi" w:eastAsiaTheme="minorEastAsia" w:hAnsiTheme="minorHAnsi" w:cstheme="minorBidi"/>
                <w:noProof/>
                <w:lang w:eastAsia="en-AU"/>
              </w:rPr>
              <w:tab/>
            </w:r>
            <w:r w:rsidRPr="00DF1F2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_Toc436128361 \h </w:instrText>
            </w:r>
            <w:r>
              <w:rPr>
                <w:noProof/>
                <w:webHidden/>
              </w:rPr>
            </w:r>
            <w:r>
              <w:rPr>
                <w:noProof/>
                <w:webHidden/>
              </w:rPr>
              <w:fldChar w:fldCharType="separate"/>
            </w:r>
            <w:r>
              <w:rPr>
                <w:noProof/>
                <w:webHidden/>
              </w:rPr>
              <w:t>65</w:t>
            </w:r>
            <w:r>
              <w:rPr>
                <w:noProof/>
                <w:webHidden/>
              </w:rPr>
              <w:fldChar w:fldCharType="end"/>
            </w:r>
          </w:hyperlink>
        </w:p>
        <w:p w:rsidR="00FC5D6A" w:rsidRDefault="00FC5D6A">
          <w:pPr>
            <w:pStyle w:val="TOC2"/>
            <w:tabs>
              <w:tab w:val="left" w:pos="1320"/>
            </w:tabs>
            <w:rPr>
              <w:rFonts w:asciiTheme="minorHAnsi" w:eastAsiaTheme="minorEastAsia" w:hAnsiTheme="minorHAnsi" w:cstheme="minorBidi"/>
              <w:b w:val="0"/>
              <w:noProof/>
              <w:sz w:val="22"/>
              <w:lang w:eastAsia="en-AU"/>
            </w:rPr>
          </w:pPr>
          <w:hyperlink w:anchor="_Toc436128362" w:history="1">
            <w:r w:rsidRPr="00DF1F26">
              <w:rPr>
                <w:rStyle w:val="Hyperlink"/>
                <w:noProof/>
              </w:rPr>
              <w:t>11.</w:t>
            </w:r>
            <w:r>
              <w:rPr>
                <w:rFonts w:asciiTheme="minorHAnsi" w:eastAsiaTheme="minorEastAsia" w:hAnsiTheme="minorHAnsi" w:cstheme="minorBidi"/>
                <w:b w:val="0"/>
                <w:noProof/>
                <w:sz w:val="22"/>
                <w:lang w:eastAsia="en-AU"/>
              </w:rPr>
              <w:tab/>
            </w:r>
            <w:r w:rsidRPr="00DF1F26">
              <w:rPr>
                <w:rStyle w:val="Hyperlink"/>
                <w:noProof/>
              </w:rPr>
              <w:t>Clinical questions</w:t>
            </w:r>
            <w:r>
              <w:rPr>
                <w:noProof/>
                <w:webHidden/>
              </w:rPr>
              <w:tab/>
            </w:r>
            <w:r>
              <w:rPr>
                <w:noProof/>
                <w:webHidden/>
              </w:rPr>
              <w:fldChar w:fldCharType="begin"/>
            </w:r>
            <w:r>
              <w:rPr>
                <w:noProof/>
                <w:webHidden/>
              </w:rPr>
              <w:instrText xml:space="preserve"> PAGEREF _Toc436128362 \h </w:instrText>
            </w:r>
            <w:r>
              <w:rPr>
                <w:noProof/>
                <w:webHidden/>
              </w:rPr>
            </w:r>
            <w:r>
              <w:rPr>
                <w:noProof/>
                <w:webHidden/>
              </w:rPr>
              <w:fldChar w:fldCharType="separate"/>
            </w:r>
            <w:r>
              <w:rPr>
                <w:noProof/>
                <w:webHidden/>
              </w:rPr>
              <w:t>65</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3" w:history="1">
            <w:r w:rsidRPr="00DF1F26">
              <w:rPr>
                <w:rStyle w:val="Hyperlink"/>
                <w:noProof/>
              </w:rPr>
              <w:t>11.1.</w:t>
            </w:r>
            <w:r>
              <w:rPr>
                <w:rFonts w:asciiTheme="minorHAnsi" w:eastAsiaTheme="minorEastAsia" w:hAnsiTheme="minorHAnsi" w:cstheme="minorBidi"/>
                <w:noProof/>
                <w:lang w:eastAsia="en-AU"/>
              </w:rPr>
              <w:tab/>
            </w:r>
            <w:r w:rsidRPr="00DF1F26">
              <w:rPr>
                <w:rStyle w:val="Hyperlink"/>
                <w:noProof/>
              </w:rPr>
              <w:t>Additional expert input</w:t>
            </w:r>
            <w:r>
              <w:rPr>
                <w:noProof/>
                <w:webHidden/>
              </w:rPr>
              <w:tab/>
            </w:r>
            <w:r>
              <w:rPr>
                <w:noProof/>
                <w:webHidden/>
              </w:rPr>
              <w:fldChar w:fldCharType="begin"/>
            </w:r>
            <w:r>
              <w:rPr>
                <w:noProof/>
                <w:webHidden/>
              </w:rPr>
              <w:instrText xml:space="preserve"> PAGEREF _Toc436128363 \h </w:instrText>
            </w:r>
            <w:r>
              <w:rPr>
                <w:noProof/>
                <w:webHidden/>
              </w:rPr>
            </w:r>
            <w:r>
              <w:rPr>
                <w:noProof/>
                <w:webHidden/>
              </w:rPr>
              <w:fldChar w:fldCharType="separate"/>
            </w:r>
            <w:r>
              <w:rPr>
                <w:noProof/>
                <w:webHidden/>
              </w:rPr>
              <w:t>65</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4" w:history="1">
            <w:r w:rsidRPr="00DF1F26">
              <w:rPr>
                <w:rStyle w:val="Hyperlink"/>
                <w:noProof/>
              </w:rPr>
              <w:t>11.2.</w:t>
            </w:r>
            <w:r>
              <w:rPr>
                <w:rFonts w:asciiTheme="minorHAnsi" w:eastAsiaTheme="minorEastAsia" w:hAnsiTheme="minorHAnsi" w:cstheme="minorBidi"/>
                <w:noProof/>
                <w:lang w:eastAsia="en-AU"/>
              </w:rPr>
              <w:tab/>
            </w:r>
            <w:r w:rsidRPr="00DF1F26">
              <w:rPr>
                <w:rStyle w:val="Hyperlink"/>
                <w:noProof/>
              </w:rPr>
              <w:t>Clinical questions</w:t>
            </w:r>
            <w:r>
              <w:rPr>
                <w:noProof/>
                <w:webHidden/>
              </w:rPr>
              <w:tab/>
            </w:r>
            <w:r>
              <w:rPr>
                <w:noProof/>
                <w:webHidden/>
              </w:rPr>
              <w:fldChar w:fldCharType="begin"/>
            </w:r>
            <w:r>
              <w:rPr>
                <w:noProof/>
                <w:webHidden/>
              </w:rPr>
              <w:instrText xml:space="preserve"> PAGEREF _Toc436128364 \h </w:instrText>
            </w:r>
            <w:r>
              <w:rPr>
                <w:noProof/>
                <w:webHidden/>
              </w:rPr>
            </w:r>
            <w:r>
              <w:rPr>
                <w:noProof/>
                <w:webHidden/>
              </w:rPr>
              <w:fldChar w:fldCharType="separate"/>
            </w:r>
            <w:r>
              <w:rPr>
                <w:noProof/>
                <w:webHidden/>
              </w:rPr>
              <w:t>65</w:t>
            </w:r>
            <w:r>
              <w:rPr>
                <w:noProof/>
                <w:webHidden/>
              </w:rPr>
              <w:fldChar w:fldCharType="end"/>
            </w:r>
          </w:hyperlink>
        </w:p>
        <w:p w:rsidR="00FC5D6A" w:rsidRDefault="00FC5D6A">
          <w:pPr>
            <w:pStyle w:val="TOC2"/>
            <w:tabs>
              <w:tab w:val="left" w:pos="1320"/>
            </w:tabs>
            <w:rPr>
              <w:rFonts w:asciiTheme="minorHAnsi" w:eastAsiaTheme="minorEastAsia" w:hAnsiTheme="minorHAnsi" w:cstheme="minorBidi"/>
              <w:b w:val="0"/>
              <w:noProof/>
              <w:sz w:val="22"/>
              <w:lang w:eastAsia="en-AU"/>
            </w:rPr>
          </w:pPr>
          <w:hyperlink w:anchor="_Toc436128365" w:history="1">
            <w:r w:rsidRPr="00DF1F26">
              <w:rPr>
                <w:rStyle w:val="Hyperlink"/>
                <w:noProof/>
              </w:rPr>
              <w:t>12.</w:t>
            </w:r>
            <w:r>
              <w:rPr>
                <w:rFonts w:asciiTheme="minorHAnsi" w:eastAsiaTheme="minorEastAsia" w:hAnsiTheme="minorHAnsi" w:cstheme="minorBidi"/>
                <w:b w:val="0"/>
                <w:noProof/>
                <w:sz w:val="22"/>
                <w:lang w:eastAsia="en-AU"/>
              </w:rPr>
              <w:tab/>
            </w:r>
            <w:r w:rsidRPr="00DF1F2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_Toc436128365 \h </w:instrText>
            </w:r>
            <w:r>
              <w:rPr>
                <w:noProof/>
                <w:webHidden/>
              </w:rPr>
            </w:r>
            <w:r>
              <w:rPr>
                <w:noProof/>
                <w:webHidden/>
              </w:rPr>
              <w:fldChar w:fldCharType="separate"/>
            </w:r>
            <w:r>
              <w:rPr>
                <w:noProof/>
                <w:webHidden/>
              </w:rPr>
              <w:t>67</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6" w:history="1">
            <w:r w:rsidRPr="00DF1F26">
              <w:rPr>
                <w:rStyle w:val="Hyperlink"/>
                <w:noProof/>
              </w:rPr>
              <w:t>12.1.</w:t>
            </w:r>
            <w:r>
              <w:rPr>
                <w:rFonts w:asciiTheme="minorHAnsi" w:eastAsiaTheme="minorEastAsia" w:hAnsiTheme="minorHAnsi" w:cstheme="minorBidi"/>
                <w:noProof/>
                <w:lang w:eastAsia="en-AU"/>
              </w:rPr>
              <w:tab/>
            </w:r>
            <w:r w:rsidRPr="00DF1F26">
              <w:rPr>
                <w:rStyle w:val="Hyperlink"/>
                <w:noProof/>
              </w:rPr>
              <w:t>Pharmacokinetics</w:t>
            </w:r>
            <w:r>
              <w:rPr>
                <w:noProof/>
                <w:webHidden/>
              </w:rPr>
              <w:tab/>
            </w:r>
            <w:r>
              <w:rPr>
                <w:noProof/>
                <w:webHidden/>
              </w:rPr>
              <w:fldChar w:fldCharType="begin"/>
            </w:r>
            <w:r>
              <w:rPr>
                <w:noProof/>
                <w:webHidden/>
              </w:rPr>
              <w:instrText xml:space="preserve"> PAGEREF _Toc436128366 \h </w:instrText>
            </w:r>
            <w:r>
              <w:rPr>
                <w:noProof/>
                <w:webHidden/>
              </w:rPr>
            </w:r>
            <w:r>
              <w:rPr>
                <w:noProof/>
                <w:webHidden/>
              </w:rPr>
              <w:fldChar w:fldCharType="separate"/>
            </w:r>
            <w:r>
              <w:rPr>
                <w:noProof/>
                <w:webHidden/>
              </w:rPr>
              <w:t>67</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7" w:history="1">
            <w:r w:rsidRPr="00DF1F26">
              <w:rPr>
                <w:rStyle w:val="Hyperlink"/>
                <w:noProof/>
              </w:rPr>
              <w:t>12.2.</w:t>
            </w:r>
            <w:r>
              <w:rPr>
                <w:rFonts w:asciiTheme="minorHAnsi" w:eastAsiaTheme="minorEastAsia" w:hAnsiTheme="minorHAnsi" w:cstheme="minorBidi"/>
                <w:noProof/>
                <w:lang w:eastAsia="en-AU"/>
              </w:rPr>
              <w:tab/>
            </w:r>
            <w:r w:rsidRPr="00DF1F26">
              <w:rPr>
                <w:rStyle w:val="Hyperlink"/>
                <w:noProof/>
              </w:rPr>
              <w:t>Pharmacodynamics</w:t>
            </w:r>
            <w:r>
              <w:rPr>
                <w:noProof/>
                <w:webHidden/>
              </w:rPr>
              <w:tab/>
            </w:r>
            <w:r>
              <w:rPr>
                <w:noProof/>
                <w:webHidden/>
              </w:rPr>
              <w:fldChar w:fldCharType="begin"/>
            </w:r>
            <w:r>
              <w:rPr>
                <w:noProof/>
                <w:webHidden/>
              </w:rPr>
              <w:instrText xml:space="preserve"> PAGEREF _Toc436128367 \h </w:instrText>
            </w:r>
            <w:r>
              <w:rPr>
                <w:noProof/>
                <w:webHidden/>
              </w:rPr>
            </w:r>
            <w:r>
              <w:rPr>
                <w:noProof/>
                <w:webHidden/>
              </w:rPr>
              <w:fldChar w:fldCharType="separate"/>
            </w:r>
            <w:r>
              <w:rPr>
                <w:noProof/>
                <w:webHidden/>
              </w:rPr>
              <w:t>68</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68" w:history="1">
            <w:r w:rsidRPr="00DF1F26">
              <w:rPr>
                <w:rStyle w:val="Hyperlink"/>
                <w:noProof/>
              </w:rPr>
              <w:t>12.3.</w:t>
            </w:r>
            <w:r>
              <w:rPr>
                <w:rFonts w:asciiTheme="minorHAnsi" w:eastAsiaTheme="minorEastAsia" w:hAnsiTheme="minorHAnsi" w:cstheme="minorBidi"/>
                <w:noProof/>
                <w:lang w:eastAsia="en-AU"/>
              </w:rPr>
              <w:tab/>
            </w:r>
            <w:r w:rsidRPr="00DF1F26">
              <w:rPr>
                <w:rStyle w:val="Hyperlink"/>
                <w:noProof/>
              </w:rPr>
              <w:t>Efficacy</w:t>
            </w:r>
            <w:r>
              <w:rPr>
                <w:noProof/>
                <w:webHidden/>
              </w:rPr>
              <w:tab/>
            </w:r>
            <w:r>
              <w:rPr>
                <w:noProof/>
                <w:webHidden/>
              </w:rPr>
              <w:fldChar w:fldCharType="begin"/>
            </w:r>
            <w:r>
              <w:rPr>
                <w:noProof/>
                <w:webHidden/>
              </w:rPr>
              <w:instrText xml:space="preserve"> PAGEREF _Toc436128368 \h </w:instrText>
            </w:r>
            <w:r>
              <w:rPr>
                <w:noProof/>
                <w:webHidden/>
              </w:rPr>
            </w:r>
            <w:r>
              <w:rPr>
                <w:noProof/>
                <w:webHidden/>
              </w:rPr>
              <w:fldChar w:fldCharType="separate"/>
            </w:r>
            <w:r>
              <w:rPr>
                <w:noProof/>
                <w:webHidden/>
              </w:rPr>
              <w:t>68</w:t>
            </w:r>
            <w:r>
              <w:rPr>
                <w:noProof/>
                <w:webHidden/>
              </w:rPr>
              <w:fldChar w:fldCharType="end"/>
            </w:r>
          </w:hyperlink>
        </w:p>
        <w:p w:rsidR="00FC5D6A" w:rsidRDefault="00FC5D6A">
          <w:pPr>
            <w:pStyle w:val="TOC3"/>
            <w:rPr>
              <w:rFonts w:asciiTheme="minorHAnsi" w:eastAsiaTheme="minorEastAsia" w:hAnsiTheme="minorHAnsi" w:cstheme="minorBidi"/>
              <w:noProof/>
              <w:lang w:eastAsia="en-AU"/>
            </w:rPr>
          </w:pPr>
          <w:hyperlink w:anchor="_Toc436128369" w:history="1">
            <w:r w:rsidRPr="00DF1F26">
              <w:rPr>
                <w:rStyle w:val="Hyperlink"/>
                <w:noProof/>
              </w:rPr>
              <w:t>Study 14935</w:t>
            </w:r>
            <w:r>
              <w:rPr>
                <w:noProof/>
                <w:webHidden/>
              </w:rPr>
              <w:tab/>
            </w:r>
            <w:r>
              <w:rPr>
                <w:noProof/>
                <w:webHidden/>
              </w:rPr>
              <w:fldChar w:fldCharType="begin"/>
            </w:r>
            <w:r>
              <w:rPr>
                <w:noProof/>
                <w:webHidden/>
              </w:rPr>
              <w:instrText xml:space="preserve"> PAGEREF _Toc436128369 \h </w:instrText>
            </w:r>
            <w:r>
              <w:rPr>
                <w:noProof/>
                <w:webHidden/>
              </w:rPr>
            </w:r>
            <w:r>
              <w:rPr>
                <w:noProof/>
                <w:webHidden/>
              </w:rPr>
              <w:fldChar w:fldCharType="separate"/>
            </w:r>
            <w:r>
              <w:rPr>
                <w:noProof/>
                <w:webHidden/>
              </w:rPr>
              <w:t>71</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70" w:history="1">
            <w:r w:rsidRPr="00DF1F26">
              <w:rPr>
                <w:rStyle w:val="Hyperlink"/>
                <w:noProof/>
              </w:rPr>
              <w:t>12.4.</w:t>
            </w:r>
            <w:r>
              <w:rPr>
                <w:rFonts w:asciiTheme="minorHAnsi" w:eastAsiaTheme="minorEastAsia" w:hAnsiTheme="minorHAnsi" w:cstheme="minorBidi"/>
                <w:noProof/>
                <w:lang w:eastAsia="en-AU"/>
              </w:rPr>
              <w:tab/>
            </w:r>
            <w:r w:rsidRPr="00DF1F26">
              <w:rPr>
                <w:rStyle w:val="Hyperlink"/>
                <w:noProof/>
              </w:rPr>
              <w:t>Safety</w:t>
            </w:r>
            <w:r>
              <w:rPr>
                <w:noProof/>
                <w:webHidden/>
              </w:rPr>
              <w:tab/>
            </w:r>
            <w:r>
              <w:rPr>
                <w:noProof/>
                <w:webHidden/>
              </w:rPr>
              <w:fldChar w:fldCharType="begin"/>
            </w:r>
            <w:r>
              <w:rPr>
                <w:noProof/>
                <w:webHidden/>
              </w:rPr>
              <w:instrText xml:space="preserve"> PAGEREF _Toc436128370 \h </w:instrText>
            </w:r>
            <w:r>
              <w:rPr>
                <w:noProof/>
                <w:webHidden/>
              </w:rPr>
            </w:r>
            <w:r>
              <w:rPr>
                <w:noProof/>
                <w:webHidden/>
              </w:rPr>
              <w:fldChar w:fldCharType="separate"/>
            </w:r>
            <w:r>
              <w:rPr>
                <w:noProof/>
                <w:webHidden/>
              </w:rPr>
              <w:t>71</w:t>
            </w:r>
            <w:r>
              <w:rPr>
                <w:noProof/>
                <w:webHidden/>
              </w:rPr>
              <w:fldChar w:fldCharType="end"/>
            </w:r>
          </w:hyperlink>
        </w:p>
        <w:p w:rsidR="00FC5D6A" w:rsidRDefault="00FC5D6A">
          <w:pPr>
            <w:pStyle w:val="TOC2"/>
            <w:tabs>
              <w:tab w:val="left" w:pos="1320"/>
            </w:tabs>
            <w:rPr>
              <w:rFonts w:asciiTheme="minorHAnsi" w:eastAsiaTheme="minorEastAsia" w:hAnsiTheme="minorHAnsi" w:cstheme="minorBidi"/>
              <w:b w:val="0"/>
              <w:noProof/>
              <w:sz w:val="22"/>
              <w:lang w:eastAsia="en-AU"/>
            </w:rPr>
          </w:pPr>
          <w:hyperlink w:anchor="_Toc436128371" w:history="1">
            <w:r w:rsidRPr="00DF1F26">
              <w:rPr>
                <w:rStyle w:val="Hyperlink"/>
                <w:noProof/>
              </w:rPr>
              <w:t>13.</w:t>
            </w:r>
            <w:r>
              <w:rPr>
                <w:rFonts w:asciiTheme="minorHAnsi" w:eastAsiaTheme="minorEastAsia" w:hAnsiTheme="minorHAnsi" w:cstheme="minorBidi"/>
                <w:b w:val="0"/>
                <w:noProof/>
                <w:sz w:val="22"/>
                <w:lang w:eastAsia="en-AU"/>
              </w:rPr>
              <w:tab/>
            </w:r>
            <w:r w:rsidRPr="00DF1F26">
              <w:rPr>
                <w:rStyle w:val="Hyperlink"/>
                <w:noProof/>
              </w:rPr>
              <w:t>Second round benefit-risk assessment</w:t>
            </w:r>
            <w:r>
              <w:rPr>
                <w:noProof/>
                <w:webHidden/>
              </w:rPr>
              <w:tab/>
            </w:r>
            <w:r>
              <w:rPr>
                <w:noProof/>
                <w:webHidden/>
              </w:rPr>
              <w:fldChar w:fldCharType="begin"/>
            </w:r>
            <w:r>
              <w:rPr>
                <w:noProof/>
                <w:webHidden/>
              </w:rPr>
              <w:instrText xml:space="preserve"> PAGEREF _Toc436128371 \h </w:instrText>
            </w:r>
            <w:r>
              <w:rPr>
                <w:noProof/>
                <w:webHidden/>
              </w:rPr>
            </w:r>
            <w:r>
              <w:rPr>
                <w:noProof/>
                <w:webHidden/>
              </w:rPr>
              <w:fldChar w:fldCharType="separate"/>
            </w:r>
            <w:r>
              <w:rPr>
                <w:noProof/>
                <w:webHidden/>
              </w:rPr>
              <w:t>72</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72" w:history="1">
            <w:r w:rsidRPr="00DF1F26">
              <w:rPr>
                <w:rStyle w:val="Hyperlink"/>
                <w:noProof/>
              </w:rPr>
              <w:t>13.1.</w:t>
            </w:r>
            <w:r>
              <w:rPr>
                <w:rFonts w:asciiTheme="minorHAnsi" w:eastAsiaTheme="minorEastAsia" w:hAnsiTheme="minorHAnsi" w:cstheme="minorBidi"/>
                <w:noProof/>
                <w:lang w:eastAsia="en-AU"/>
              </w:rPr>
              <w:tab/>
            </w:r>
            <w:r w:rsidRPr="00DF1F26">
              <w:rPr>
                <w:rStyle w:val="Hyperlink"/>
                <w:noProof/>
              </w:rPr>
              <w:t>Second round assessment of benefits</w:t>
            </w:r>
            <w:r>
              <w:rPr>
                <w:noProof/>
                <w:webHidden/>
              </w:rPr>
              <w:tab/>
            </w:r>
            <w:r>
              <w:rPr>
                <w:noProof/>
                <w:webHidden/>
              </w:rPr>
              <w:fldChar w:fldCharType="begin"/>
            </w:r>
            <w:r>
              <w:rPr>
                <w:noProof/>
                <w:webHidden/>
              </w:rPr>
              <w:instrText xml:space="preserve"> PAGEREF _Toc436128372 \h </w:instrText>
            </w:r>
            <w:r>
              <w:rPr>
                <w:noProof/>
                <w:webHidden/>
              </w:rPr>
            </w:r>
            <w:r>
              <w:rPr>
                <w:noProof/>
                <w:webHidden/>
              </w:rPr>
              <w:fldChar w:fldCharType="separate"/>
            </w:r>
            <w:r>
              <w:rPr>
                <w:noProof/>
                <w:webHidden/>
              </w:rPr>
              <w:t>72</w:t>
            </w:r>
            <w:r>
              <w:rPr>
                <w:noProof/>
                <w:webHidden/>
              </w:rPr>
              <w:fldChar w:fldCharType="end"/>
            </w:r>
          </w:hyperlink>
        </w:p>
        <w:p w:rsidR="00FC5D6A" w:rsidRDefault="00FC5D6A">
          <w:pPr>
            <w:pStyle w:val="TOC2"/>
            <w:tabs>
              <w:tab w:val="left" w:pos="1320"/>
            </w:tabs>
            <w:rPr>
              <w:rFonts w:asciiTheme="minorHAnsi" w:eastAsiaTheme="minorEastAsia" w:hAnsiTheme="minorHAnsi" w:cstheme="minorBidi"/>
              <w:b w:val="0"/>
              <w:noProof/>
              <w:sz w:val="22"/>
              <w:lang w:eastAsia="en-AU"/>
            </w:rPr>
          </w:pPr>
          <w:hyperlink w:anchor="_Toc436128373" w:history="1">
            <w:r w:rsidRPr="00DF1F26">
              <w:rPr>
                <w:rStyle w:val="Hyperlink"/>
                <w:noProof/>
              </w:rPr>
              <w:t>14.</w:t>
            </w:r>
            <w:r>
              <w:rPr>
                <w:rFonts w:asciiTheme="minorHAnsi" w:eastAsiaTheme="minorEastAsia" w:hAnsiTheme="minorHAnsi" w:cstheme="minorBidi"/>
                <w:b w:val="0"/>
                <w:noProof/>
                <w:sz w:val="22"/>
                <w:lang w:eastAsia="en-AU"/>
              </w:rPr>
              <w:tab/>
            </w:r>
            <w:r w:rsidRPr="00DF1F26">
              <w:rPr>
                <w:rStyle w:val="Hyperlink"/>
                <w:noProof/>
              </w:rPr>
              <w:t>Second round assessment of risks</w:t>
            </w:r>
            <w:r>
              <w:rPr>
                <w:noProof/>
                <w:webHidden/>
              </w:rPr>
              <w:tab/>
            </w:r>
            <w:r>
              <w:rPr>
                <w:noProof/>
                <w:webHidden/>
              </w:rPr>
              <w:fldChar w:fldCharType="begin"/>
            </w:r>
            <w:r>
              <w:rPr>
                <w:noProof/>
                <w:webHidden/>
              </w:rPr>
              <w:instrText xml:space="preserve"> PAGEREF _Toc436128373 \h </w:instrText>
            </w:r>
            <w:r>
              <w:rPr>
                <w:noProof/>
                <w:webHidden/>
              </w:rPr>
            </w:r>
            <w:r>
              <w:rPr>
                <w:noProof/>
                <w:webHidden/>
              </w:rPr>
              <w:fldChar w:fldCharType="separate"/>
            </w:r>
            <w:r>
              <w:rPr>
                <w:noProof/>
                <w:webHidden/>
              </w:rPr>
              <w:t>72</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74" w:history="1">
            <w:r w:rsidRPr="00DF1F26">
              <w:rPr>
                <w:rStyle w:val="Hyperlink"/>
                <w:noProof/>
              </w:rPr>
              <w:t>14.1.</w:t>
            </w:r>
            <w:r>
              <w:rPr>
                <w:rFonts w:asciiTheme="minorHAnsi" w:eastAsiaTheme="minorEastAsia" w:hAnsiTheme="minorHAnsi" w:cstheme="minorBidi"/>
                <w:noProof/>
                <w:lang w:eastAsia="en-AU"/>
              </w:rPr>
              <w:tab/>
            </w:r>
            <w:r w:rsidRPr="00DF1F26">
              <w:rPr>
                <w:rStyle w:val="Hyperlink"/>
                <w:noProof/>
              </w:rPr>
              <w:t>Second round assessment of benefit-risk balance</w:t>
            </w:r>
            <w:r>
              <w:rPr>
                <w:noProof/>
                <w:webHidden/>
              </w:rPr>
              <w:tab/>
            </w:r>
            <w:r>
              <w:rPr>
                <w:noProof/>
                <w:webHidden/>
              </w:rPr>
              <w:fldChar w:fldCharType="begin"/>
            </w:r>
            <w:r>
              <w:rPr>
                <w:noProof/>
                <w:webHidden/>
              </w:rPr>
              <w:instrText xml:space="preserve"> PAGEREF _Toc436128374 \h </w:instrText>
            </w:r>
            <w:r>
              <w:rPr>
                <w:noProof/>
                <w:webHidden/>
              </w:rPr>
            </w:r>
            <w:r>
              <w:rPr>
                <w:noProof/>
                <w:webHidden/>
              </w:rPr>
              <w:fldChar w:fldCharType="separate"/>
            </w:r>
            <w:r>
              <w:rPr>
                <w:noProof/>
                <w:webHidden/>
              </w:rPr>
              <w:t>72</w:t>
            </w:r>
            <w:r>
              <w:rPr>
                <w:noProof/>
                <w:webHidden/>
              </w:rPr>
              <w:fldChar w:fldCharType="end"/>
            </w:r>
          </w:hyperlink>
        </w:p>
        <w:p w:rsidR="00FC5D6A" w:rsidRDefault="00FC5D6A">
          <w:pPr>
            <w:pStyle w:val="TOC3"/>
            <w:tabs>
              <w:tab w:val="left" w:pos="1760"/>
            </w:tabs>
            <w:rPr>
              <w:rFonts w:asciiTheme="minorHAnsi" w:eastAsiaTheme="minorEastAsia" w:hAnsiTheme="minorHAnsi" w:cstheme="minorBidi"/>
              <w:noProof/>
              <w:lang w:eastAsia="en-AU"/>
            </w:rPr>
          </w:pPr>
          <w:hyperlink w:anchor="_Toc436128375" w:history="1">
            <w:r w:rsidRPr="00DF1F26">
              <w:rPr>
                <w:rStyle w:val="Hyperlink"/>
                <w:noProof/>
              </w:rPr>
              <w:t>14.2.</w:t>
            </w:r>
            <w:r>
              <w:rPr>
                <w:rFonts w:asciiTheme="minorHAnsi" w:eastAsiaTheme="minorEastAsia" w:hAnsiTheme="minorHAnsi" w:cstheme="minorBidi"/>
                <w:noProof/>
                <w:lang w:eastAsia="en-AU"/>
              </w:rPr>
              <w:tab/>
            </w:r>
            <w:r w:rsidRPr="00DF1F2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_Toc436128375 \h </w:instrText>
            </w:r>
            <w:r>
              <w:rPr>
                <w:noProof/>
                <w:webHidden/>
              </w:rPr>
            </w:r>
            <w:r>
              <w:rPr>
                <w:noProof/>
                <w:webHidden/>
              </w:rPr>
              <w:fldChar w:fldCharType="separate"/>
            </w:r>
            <w:r>
              <w:rPr>
                <w:noProof/>
                <w:webHidden/>
              </w:rPr>
              <w:t>73</w:t>
            </w:r>
            <w:r>
              <w:rPr>
                <w:noProof/>
                <w:webHidden/>
              </w:rPr>
              <w:fldChar w:fldCharType="end"/>
            </w:r>
          </w:hyperlink>
        </w:p>
        <w:p w:rsidR="00FC5D6A" w:rsidRDefault="00FC5D6A">
          <w:pPr>
            <w:pStyle w:val="TOC2"/>
            <w:tabs>
              <w:tab w:val="left" w:pos="1320"/>
            </w:tabs>
            <w:rPr>
              <w:rFonts w:asciiTheme="minorHAnsi" w:eastAsiaTheme="minorEastAsia" w:hAnsiTheme="minorHAnsi" w:cstheme="minorBidi"/>
              <w:b w:val="0"/>
              <w:noProof/>
              <w:sz w:val="22"/>
              <w:lang w:eastAsia="en-AU"/>
            </w:rPr>
          </w:pPr>
          <w:hyperlink w:anchor="_Toc436128376" w:history="1">
            <w:r w:rsidRPr="00DF1F26">
              <w:rPr>
                <w:rStyle w:val="Hyperlink"/>
                <w:noProof/>
              </w:rPr>
              <w:t>15.</w:t>
            </w:r>
            <w:r>
              <w:rPr>
                <w:rFonts w:asciiTheme="minorHAnsi" w:eastAsiaTheme="minorEastAsia" w:hAnsiTheme="minorHAnsi" w:cstheme="minorBidi"/>
                <w:b w:val="0"/>
                <w:noProof/>
                <w:sz w:val="22"/>
                <w:lang w:eastAsia="en-AU"/>
              </w:rPr>
              <w:tab/>
            </w:r>
            <w:r w:rsidRPr="00DF1F26">
              <w:rPr>
                <w:rStyle w:val="Hyperlink"/>
                <w:noProof/>
              </w:rPr>
              <w:t>References</w:t>
            </w:r>
            <w:r>
              <w:rPr>
                <w:noProof/>
                <w:webHidden/>
              </w:rPr>
              <w:tab/>
            </w:r>
            <w:r>
              <w:rPr>
                <w:noProof/>
                <w:webHidden/>
              </w:rPr>
              <w:fldChar w:fldCharType="begin"/>
            </w:r>
            <w:r>
              <w:rPr>
                <w:noProof/>
                <w:webHidden/>
              </w:rPr>
              <w:instrText xml:space="preserve"> PAGEREF _Toc436128376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FE27B1" w:rsidRDefault="00FE27B1" w:rsidP="00FC5D6A">
      <w:pPr>
        <w:rPr>
          <w:lang w:eastAsia="ja-JP"/>
        </w:rPr>
      </w:pPr>
      <w:bookmarkStart w:id="3" w:name="_Toc351716269"/>
      <w:bookmarkStart w:id="4" w:name="_Toc351718881"/>
      <w:bookmarkStart w:id="5" w:name="_Toc355338616"/>
      <w:r>
        <w:br w:type="page"/>
      </w:r>
    </w:p>
    <w:p w:rsidR="00586F98" w:rsidRDefault="00586F98" w:rsidP="004F4281">
      <w:pPr>
        <w:pStyle w:val="Heading2"/>
        <w:numPr>
          <w:ilvl w:val="0"/>
          <w:numId w:val="0"/>
        </w:numPr>
        <w:ind w:left="567" w:hanging="567"/>
      </w:pPr>
      <w:bookmarkStart w:id="6" w:name="_Toc436128321"/>
      <w:r>
        <w:lastRenderedPageBreak/>
        <w:t xml:space="preserve">List of </w:t>
      </w:r>
      <w:r w:rsidRPr="004F4281">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221B8B" w:rsidRPr="00FD119B" w:rsidTr="004F428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09" w:type="dxa"/>
          </w:tcPr>
          <w:p w:rsidR="00221B8B" w:rsidRPr="00FD119B" w:rsidRDefault="00221B8B" w:rsidP="004F4281">
            <w:pPr>
              <w:rPr>
                <w:lang w:eastAsia="en-US"/>
              </w:rPr>
            </w:pPr>
            <w:r w:rsidRPr="00FD119B">
              <w:rPr>
                <w:lang w:eastAsia="en-US"/>
              </w:rPr>
              <w:t>Abbreviation</w:t>
            </w:r>
          </w:p>
        </w:tc>
        <w:tc>
          <w:tcPr>
            <w:tcW w:w="6911" w:type="dxa"/>
          </w:tcPr>
          <w:p w:rsidR="00221B8B" w:rsidRPr="00FD119B" w:rsidRDefault="00221B8B" w:rsidP="004F4281">
            <w:pPr>
              <w:cnfStyle w:val="100000000000" w:firstRow="1" w:lastRow="0" w:firstColumn="0" w:lastColumn="0" w:oddVBand="0" w:evenVBand="0" w:oddHBand="0" w:evenHBand="0" w:firstRowFirstColumn="0" w:firstRowLastColumn="0" w:lastRowFirstColumn="0" w:lastRowLastColumn="0"/>
              <w:rPr>
                <w:lang w:eastAsia="en-US"/>
              </w:rPr>
            </w:pPr>
            <w:r w:rsidRPr="00FD119B">
              <w:rPr>
                <w:lang w:eastAsia="en-US"/>
              </w:rPr>
              <w:t>Meaning</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ACPM</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Advisory committee on prescription medicines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ALT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Alanine aminotransferase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ARTG</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Australian register of therapeutic goods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AST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Aspartate aminotransferase</w:t>
            </w:r>
          </w:p>
        </w:tc>
        <w:bookmarkStart w:id="7" w:name="_GoBack"/>
        <w:bookmarkEnd w:id="7"/>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roofErr w:type="spellStart"/>
            <w:r>
              <w:t>AusPAR</w:t>
            </w:r>
            <w:proofErr w:type="spellEnd"/>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Australian Public Assessment Report</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BCRR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Bl</w:t>
            </w:r>
            <w:r w:rsidR="004F4281">
              <w:rPr>
                <w:rFonts w:eastAsia="TimesNewRoman"/>
              </w:rPr>
              <w:t>inded central radiology review</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BMI</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Body mass index</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BSC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Best supportive care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vertAlign w:val="subscript"/>
              </w:rPr>
            </w:pPr>
            <w:proofErr w:type="spellStart"/>
            <w:r>
              <w:rPr>
                <w:rFonts w:eastAsia="TimesNewRoman"/>
              </w:rPr>
              <w:t>Cav</w:t>
            </w:r>
            <w:r>
              <w:rPr>
                <w:rFonts w:eastAsia="TimesNewRoman"/>
                <w:vertAlign w:val="subscript"/>
              </w:rPr>
              <w:t>md</w:t>
            </w:r>
            <w:proofErr w:type="spellEnd"/>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Average concentration in plasma after multiple dosing</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CBR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Clinical benefit rate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CCDS</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Company core data sheet</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CHMP, EU</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Committee for Medicinal Products for Human use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CL</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Clearance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Complete response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CRC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Colorectal cancer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CT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Computed tomography</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DCR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Disease control rate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ECG</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Electrocardiogram</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ECOG PS</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rPr>
                <w:rFonts w:eastAsia="TimesNewRoman"/>
              </w:rPr>
            </w:pPr>
            <w:r>
              <w:rPr>
                <w:rFonts w:eastAsia="TimesNewRoman"/>
              </w:rPr>
              <w:t>Eastern Cooperative Oncology Group performance status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rPr>
            </w:pPr>
            <w:r>
              <w:rPr>
                <w:rFonts w:eastAsia="TimesNewRoman"/>
              </w:rPr>
              <w:t>FAS</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Full analysis set</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FDA</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US Food and Drug Administration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GIST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Gastrointestinal stromal tumours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HCC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Hepatocellular carcinoma</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HFSR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Hand-foot-skin reaction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roofErr w:type="spellStart"/>
            <w:r>
              <w:lastRenderedPageBreak/>
              <w:t>HRQoL</w:t>
            </w:r>
            <w:proofErr w:type="spellEnd"/>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Health-related quality of life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IGFBP</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Insulin-like growth factor binding protein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IIV</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Inter-individual variability</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KIT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Mast/stem cell growth factor receptor (tyrosine kinase)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KM</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rPr>
                <w:rFonts w:eastAsia="TimesNewRoman"/>
              </w:rPr>
            </w:pPr>
            <w:r>
              <w:rPr>
                <w:rFonts w:eastAsia="TimesNewRoman"/>
              </w:rPr>
              <w:t>Kaplan-Meier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rPr>
            </w:pPr>
            <w:r>
              <w:rPr>
                <w:rFonts w:eastAsia="TimesNewRoman"/>
              </w:rPr>
              <w:t>LLOQ</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rPr>
                <w:rFonts w:eastAsia="TimesNewRoman"/>
              </w:rPr>
            </w:pPr>
            <w:r>
              <w:rPr>
                <w:rFonts w:eastAsia="TimesNewRoman"/>
              </w:rPr>
              <w:t>Lower limit of quantification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rPr>
            </w:pPr>
            <w:r>
              <w:rPr>
                <w:rFonts w:eastAsia="TimesNewRoman"/>
              </w:rPr>
              <w:t>LVEF</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Left ventricular ejection fraction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roofErr w:type="spellStart"/>
            <w:r>
              <w:t>mCRC</w:t>
            </w:r>
            <w:proofErr w:type="spellEnd"/>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Metastatic colorectal cancer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roofErr w:type="spellStart"/>
            <w:r>
              <w:t>MedDRA</w:t>
            </w:r>
            <w:proofErr w:type="spellEnd"/>
            <w:r>
              <w:t xml:space="preserve"> PT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Medical Dictionary for Regulatory Activities Preferred Term</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MRI</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Magnetic resonance imaging</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MTD</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Maximum tolerated dose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MUGA</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Multiple gated acquisition scan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NCE</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New chemical entity</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rPr>
            </w:pPr>
            <w:r>
              <w:rPr>
                <w:rFonts w:eastAsia="TimesNewRoman"/>
              </w:rPr>
              <w:t>NCI-CTCAE</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National Cancer Institute – Common Terminology Criteria for Adverse Events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NPC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Numerical predictive check</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NSCLC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Non-small cell lung cancer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ORR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Overall response rate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OS</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Overall survival</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PD</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Progressive disease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PDGFR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Platelet-derived growth factor receptor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PFS</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Progression free survival</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PI</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Product information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PPES</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 xml:space="preserve">Palmar-plantar </w:t>
            </w:r>
            <w:proofErr w:type="spellStart"/>
            <w:r>
              <w:t>erythrodysesthesia</w:t>
            </w:r>
            <w:proofErr w:type="spellEnd"/>
            <w:r>
              <w:t xml:space="preserve"> syndrome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Partial response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lastRenderedPageBreak/>
              <w:t>PRO</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Patient reported outcomes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PSUR</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Periodic Safety Update Report</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roofErr w:type="spellStart"/>
            <w:r>
              <w:t>QoL</w:t>
            </w:r>
            <w:proofErr w:type="spellEnd"/>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Quality of Life</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rPr>
            </w:pPr>
            <w:r>
              <w:rPr>
                <w:rFonts w:eastAsia="TimesNewRoman"/>
              </w:rPr>
              <w:t>RECIST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rPr>
                <w:rFonts w:eastAsia="TimesNewRoman"/>
              </w:rPr>
            </w:pPr>
            <w:r>
              <w:rPr>
                <w:rFonts w:eastAsia="TimesNewRoman"/>
              </w:rPr>
              <w:t>Response evaluation criteria in solid tumours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pPr>
              <w:rPr>
                <w:rFonts w:eastAsia="TimesNewRoman"/>
              </w:rPr>
            </w:pPr>
            <w:r>
              <w:rPr>
                <w:rFonts w:eastAsia="TimesNewRoman"/>
              </w:rPr>
              <w:t>SAF</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rPr>
                <w:rFonts w:eastAsia="TimesNewRoman"/>
              </w:rPr>
              <w:t>Safety analysis set</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SAP</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Statistical analysis plan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SOC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System organ class</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TKI</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Tyrosine Kinase inhibitor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TTP</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Time to progression</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ULN</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Upper limit of normal</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VEGF</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Vascular endothelial growth factor</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VPC</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Visual predictive check</w:t>
            </w:r>
          </w:p>
        </w:tc>
      </w:tr>
      <w:tr w:rsidR="00221B8B" w:rsidTr="004F4281">
        <w:trPr>
          <w:trHeight w:val="510"/>
        </w:trPr>
        <w:tc>
          <w:tcPr>
            <w:cnfStyle w:val="001000000000" w:firstRow="0" w:lastRow="0" w:firstColumn="1" w:lastColumn="0" w:oddVBand="0" w:evenVBand="0" w:oddHBand="0" w:evenHBand="0" w:firstRowFirstColumn="0" w:firstRowLastColumn="0" w:lastRowFirstColumn="0" w:lastRowLastColumn="0"/>
            <w:tcW w:w="1809" w:type="dxa"/>
            <w:hideMark/>
          </w:tcPr>
          <w:p w:rsidR="00221B8B" w:rsidRDefault="00221B8B" w:rsidP="004F4281">
            <w:r>
              <w:t>WT</w:t>
            </w:r>
          </w:p>
        </w:tc>
        <w:tc>
          <w:tcPr>
            <w:tcW w:w="6911" w:type="dxa"/>
            <w:hideMark/>
          </w:tcPr>
          <w:p w:rsidR="00221B8B" w:rsidRDefault="00221B8B" w:rsidP="004F4281">
            <w:pPr>
              <w:cnfStyle w:val="000000000000" w:firstRow="0" w:lastRow="0" w:firstColumn="0" w:lastColumn="0" w:oddVBand="0" w:evenVBand="0" w:oddHBand="0" w:evenHBand="0" w:firstRowFirstColumn="0" w:firstRowLastColumn="0" w:lastRowFirstColumn="0" w:lastRowLastColumn="0"/>
            </w:pPr>
            <w:r>
              <w:t>Wild type</w:t>
            </w:r>
          </w:p>
        </w:tc>
      </w:tr>
    </w:tbl>
    <w:p w:rsidR="00221B8B" w:rsidRDefault="00221B8B" w:rsidP="004F4281">
      <w:pPr>
        <w:rPr>
          <w:lang w:eastAsia="en-AU"/>
        </w:rPr>
      </w:pPr>
      <w:bookmarkStart w:id="8" w:name="_Toc351718900"/>
      <w:bookmarkStart w:id="9" w:name="_Toc355338635"/>
      <w:r>
        <w:rPr>
          <w:lang w:eastAsia="en-AU"/>
        </w:rPr>
        <w:br w:type="page"/>
      </w:r>
    </w:p>
    <w:p w:rsidR="00221B8B" w:rsidRDefault="00221B8B" w:rsidP="004F4281">
      <w:pPr>
        <w:pStyle w:val="Heading2"/>
        <w:rPr>
          <w:lang w:eastAsia="en-AU"/>
        </w:rPr>
      </w:pPr>
      <w:bookmarkStart w:id="10" w:name="_Toc436128322"/>
      <w:r w:rsidRPr="004F4281">
        <w:lastRenderedPageBreak/>
        <w:t>Introduction</w:t>
      </w:r>
      <w:bookmarkEnd w:id="10"/>
    </w:p>
    <w:p w:rsidR="00221B8B" w:rsidRDefault="00221B8B" w:rsidP="004F4281">
      <w:r>
        <w:t xml:space="preserve">This is a full submission to extend the indications of </w:t>
      </w:r>
      <w:proofErr w:type="spellStart"/>
      <w:r>
        <w:t>regorafenib</w:t>
      </w:r>
      <w:proofErr w:type="spellEnd"/>
      <w:r>
        <w:t>.</w:t>
      </w:r>
    </w:p>
    <w:p w:rsidR="00221B8B" w:rsidRDefault="00221B8B" w:rsidP="004F4281">
      <w:proofErr w:type="spellStart"/>
      <w:r>
        <w:t>Regorafenib</w:t>
      </w:r>
      <w:proofErr w:type="spellEnd"/>
      <w:r>
        <w:t xml:space="preserve"> is an oral anti-tumour agent that potentially blocks multiple protein kinases, including kinases involved in tumour angiogenesis (VEGFR1, -2, -3, TIE2), </w:t>
      </w:r>
      <w:proofErr w:type="spellStart"/>
      <w:r>
        <w:t>oncogenesis</w:t>
      </w:r>
      <w:proofErr w:type="spellEnd"/>
      <w:r>
        <w:t xml:space="preserve"> (KIT, RET, RAF-1, BRAF), and the tumour microenvironment (PDGFR, FGFR).</w:t>
      </w:r>
    </w:p>
    <w:p w:rsidR="00221B8B" w:rsidRDefault="00221B8B" w:rsidP="004F4281">
      <w:r>
        <w:t xml:space="preserve">The currently approved indication is: treatment of patients with metastatic colorectal cancer (CRC) who have been previously treated with </w:t>
      </w:r>
      <w:proofErr w:type="spellStart"/>
      <w:r>
        <w:t>fluoropyrimidine</w:t>
      </w:r>
      <w:proofErr w:type="spellEnd"/>
      <w:r>
        <w:t xml:space="preserve">-, </w:t>
      </w:r>
      <w:proofErr w:type="spellStart"/>
      <w:r>
        <w:t>oxaliplatin</w:t>
      </w:r>
      <w:proofErr w:type="spellEnd"/>
      <w:r>
        <w:t xml:space="preserve">- and </w:t>
      </w:r>
      <w:proofErr w:type="spellStart"/>
      <w:r>
        <w:t>irinotecan</w:t>
      </w:r>
      <w:proofErr w:type="spellEnd"/>
      <w:r>
        <w:t>-based chemotherapy, an anti-VEGF therapy, and, if KRAS wild type, an anti-EGFR therapy.</w:t>
      </w:r>
    </w:p>
    <w:p w:rsidR="00221B8B" w:rsidRDefault="00221B8B" w:rsidP="004F4281">
      <w:r>
        <w:t>The pro</w:t>
      </w:r>
      <w:r w:rsidR="004F4281">
        <w:t>posed additional indication is:</w:t>
      </w:r>
    </w:p>
    <w:p w:rsidR="00221B8B" w:rsidRPr="004F4281" w:rsidRDefault="00221B8B" w:rsidP="004F4281">
      <w:pPr>
        <w:pStyle w:val="ListBullet"/>
        <w:numPr>
          <w:ilvl w:val="0"/>
          <w:numId w:val="0"/>
        </w:numPr>
        <w:ind w:left="360"/>
        <w:rPr>
          <w:i/>
        </w:rPr>
      </w:pPr>
      <w:r w:rsidRPr="004F4281">
        <w:rPr>
          <w:i/>
        </w:rPr>
        <w:t>Treatment of patients with gastrointestinal stromal tumours (GIST) who have been previously treated with two tyrosine kinase inhibitors.</w:t>
      </w:r>
    </w:p>
    <w:p w:rsidR="00221B8B" w:rsidRDefault="00221B8B" w:rsidP="004F4281">
      <w:r>
        <w:t xml:space="preserve">The following dosage forms and strengths are currently registered: 40 mg tablet (41.49 mg </w:t>
      </w:r>
      <w:proofErr w:type="spellStart"/>
      <w:r>
        <w:t>regorafenib</w:t>
      </w:r>
      <w:proofErr w:type="spellEnd"/>
      <w:r>
        <w:t xml:space="preserve"> monohydrate).</w:t>
      </w:r>
    </w:p>
    <w:p w:rsidR="00221B8B" w:rsidRDefault="00221B8B" w:rsidP="004F4281">
      <w:r>
        <w:t>No new dosage forms or strengths are proposed.</w:t>
      </w:r>
    </w:p>
    <w:p w:rsidR="00586F98" w:rsidRDefault="00586F98" w:rsidP="004F4281">
      <w:pPr>
        <w:pStyle w:val="Heading2"/>
        <w:rPr>
          <w:lang w:eastAsia="en-AU"/>
        </w:rPr>
      </w:pPr>
      <w:bookmarkStart w:id="11" w:name="_Toc436128323"/>
      <w:r>
        <w:rPr>
          <w:lang w:eastAsia="en-AU"/>
        </w:rPr>
        <w:t xml:space="preserve">Clinical </w:t>
      </w:r>
      <w:r w:rsidRPr="004F4281">
        <w:t>rationale</w:t>
      </w:r>
      <w:bookmarkEnd w:id="11"/>
    </w:p>
    <w:p w:rsidR="00221B8B" w:rsidRDefault="00221B8B" w:rsidP="004F4281">
      <w:r>
        <w:t>As outlined in the sponsor’s in covering letter of the submission, the Module 2 Clinical overview and the introduction to pivotal trial 14874:</w:t>
      </w:r>
    </w:p>
    <w:p w:rsidR="00221B8B" w:rsidRPr="004F4281" w:rsidRDefault="00221B8B" w:rsidP="004F4281">
      <w:pPr>
        <w:pStyle w:val="ListBullet"/>
        <w:numPr>
          <w:ilvl w:val="0"/>
          <w:numId w:val="0"/>
        </w:numPr>
        <w:ind w:left="360"/>
        <w:rPr>
          <w:i/>
        </w:rPr>
      </w:pPr>
      <w:r w:rsidRPr="004F4281">
        <w:rPr>
          <w:i/>
        </w:rPr>
        <w:t xml:space="preserve">GIST is the most common form of mesenchymal tumour in the gastrointestinal tract. The estimated incidence of GIST in the total population is 11 </w:t>
      </w:r>
      <w:r w:rsidR="004F4281" w:rsidRPr="004F4281">
        <w:rPr>
          <w:i/>
        </w:rPr>
        <w:t>– 20 patients per million/year.</w:t>
      </w:r>
    </w:p>
    <w:p w:rsidR="00221B8B" w:rsidRPr="004F4281" w:rsidRDefault="00221B8B" w:rsidP="004F4281">
      <w:pPr>
        <w:pStyle w:val="ListBullet"/>
        <w:numPr>
          <w:ilvl w:val="0"/>
          <w:numId w:val="0"/>
        </w:numPr>
        <w:ind w:left="360"/>
        <w:rPr>
          <w:i/>
        </w:rPr>
      </w:pPr>
      <w:r w:rsidRPr="004F4281">
        <w:rPr>
          <w:i/>
        </w:rPr>
        <w:t>These tumours can start anywhere in the gastrointestinal tract, but they occur most often in the stomach (50% to 70%) or the small intestine (20% to 30%)… Patients tend to be middle aged or older, with a slight male predominance… Aggressive GISTs metastasise to the liver and in the abdomen, rarely to the lymph nodes.</w:t>
      </w:r>
    </w:p>
    <w:p w:rsidR="00221B8B" w:rsidRPr="004F4281" w:rsidRDefault="00221B8B" w:rsidP="004F4281">
      <w:pPr>
        <w:pStyle w:val="ListBullet"/>
        <w:numPr>
          <w:ilvl w:val="0"/>
          <w:numId w:val="0"/>
        </w:numPr>
        <w:ind w:left="360"/>
        <w:rPr>
          <w:rFonts w:eastAsia="TimesNewRoman"/>
          <w:i/>
        </w:rPr>
      </w:pPr>
      <w:r w:rsidRPr="004F4281">
        <w:rPr>
          <w:i/>
        </w:rPr>
        <w:t xml:space="preserve">The most important criteria for the assessment of the malignant potential of GISTs are tumour size and mitotic rate. Approximately 90% of GISTs express CD117, the antigen based on the KIT receptor tyrosine kinase (RTK), which can be detected by </w:t>
      </w:r>
      <w:proofErr w:type="spellStart"/>
      <w:r w:rsidRPr="004F4281">
        <w:rPr>
          <w:i/>
        </w:rPr>
        <w:t>immunohistochemical</w:t>
      </w:r>
      <w:proofErr w:type="spellEnd"/>
      <w:r w:rsidRPr="004F4281">
        <w:rPr>
          <w:i/>
        </w:rPr>
        <w:t xml:space="preserve"> KIT staining. </w:t>
      </w:r>
      <w:r w:rsidRPr="004F4281">
        <w:rPr>
          <w:rFonts w:eastAsia="TimesNewRoman"/>
          <w:i/>
        </w:rPr>
        <w:t xml:space="preserve">Primary KIT mutations are found in approximately 70 </w:t>
      </w:r>
      <w:r w:rsidRPr="004F4281">
        <w:rPr>
          <w:rFonts w:eastAsia="TimesNewRoman" w:hint="eastAsia"/>
          <w:i/>
        </w:rPr>
        <w:t>–</w:t>
      </w:r>
      <w:r w:rsidRPr="004F4281">
        <w:rPr>
          <w:rFonts w:eastAsia="TimesNewRoman"/>
          <w:i/>
        </w:rPr>
        <w:t xml:space="preserve"> 80 % of GIST and occur predominantly in exon 11, occasionally in exon 9, and only rarely in exons 13 and 17. In 4 to 7% of GISTs, mutations are found in platelet-derived growth factor receptor </w:t>
      </w:r>
      <w:r w:rsidRPr="004F4281">
        <w:rPr>
          <w:rFonts w:ascii="Symbol" w:eastAsia="TimesNewRoman" w:hAnsi="Symbol" w:cs="Symbol"/>
          <w:i/>
        </w:rPr>
        <w:t></w:t>
      </w:r>
      <w:r w:rsidRPr="004F4281">
        <w:rPr>
          <w:rFonts w:eastAsia="TimesNewRoman"/>
          <w:i/>
        </w:rPr>
        <w:t xml:space="preserve"> (PDGFR</w:t>
      </w:r>
      <w:r w:rsidRPr="004F4281">
        <w:rPr>
          <w:rFonts w:ascii="Symbol" w:eastAsia="TimesNewRoman" w:hAnsi="Symbol" w:cs="Symbol"/>
          <w:i/>
        </w:rPr>
        <w:t></w:t>
      </w:r>
      <w:r w:rsidRPr="004F4281">
        <w:rPr>
          <w:rFonts w:ascii="Symbol" w:eastAsia="TimesNewRoman" w:hAnsi="Symbol" w:cs="Symbol"/>
          <w:i/>
        </w:rPr>
        <w:t></w:t>
      </w:r>
      <w:r w:rsidRPr="004F4281">
        <w:rPr>
          <w:rFonts w:eastAsia="TimesNewRoman"/>
          <w:i/>
        </w:rPr>
        <w:t>, most frequently in exon 18.</w:t>
      </w:r>
    </w:p>
    <w:p w:rsidR="00221B8B" w:rsidRPr="004F4281" w:rsidRDefault="00221B8B" w:rsidP="004F4281">
      <w:pPr>
        <w:pStyle w:val="ListBullet"/>
        <w:numPr>
          <w:ilvl w:val="0"/>
          <w:numId w:val="0"/>
        </w:numPr>
        <w:ind w:left="360"/>
        <w:rPr>
          <w:rFonts w:eastAsia="Times New Roman"/>
          <w:i/>
        </w:rPr>
      </w:pPr>
      <w:r w:rsidRPr="004F4281">
        <w:rPr>
          <w:i/>
        </w:rPr>
        <w:t xml:space="preserve">In patients with metastatic and/or </w:t>
      </w:r>
      <w:proofErr w:type="spellStart"/>
      <w:r w:rsidRPr="004F4281">
        <w:rPr>
          <w:i/>
        </w:rPr>
        <w:t>unresectable</w:t>
      </w:r>
      <w:proofErr w:type="spellEnd"/>
      <w:r w:rsidRPr="004F4281">
        <w:rPr>
          <w:i/>
        </w:rPr>
        <w:t xml:space="preserve"> GIST, molecular targeted therapy has been the focus of the therapeutic approach over the past decade. The role of radiation therapy is generally considered limited in the management of GIST patients. Similarly, attempts to treat GISTs with systemic chemotherapy have been unsuccessful, with responses typically less than 10% at the cost of significant toxicities.</w:t>
      </w:r>
    </w:p>
    <w:p w:rsidR="00221B8B" w:rsidRPr="004F4281" w:rsidRDefault="00221B8B" w:rsidP="004F4281">
      <w:pPr>
        <w:pStyle w:val="ListBullet"/>
        <w:numPr>
          <w:ilvl w:val="0"/>
          <w:numId w:val="0"/>
        </w:numPr>
        <w:ind w:left="360"/>
        <w:rPr>
          <w:i/>
        </w:rPr>
      </w:pPr>
      <w:proofErr w:type="spellStart"/>
      <w:r w:rsidRPr="004F4281">
        <w:rPr>
          <w:i/>
        </w:rPr>
        <w:t>Imatinib</w:t>
      </w:r>
      <w:proofErr w:type="spellEnd"/>
      <w:r w:rsidRPr="004F4281">
        <w:rPr>
          <w:i/>
        </w:rPr>
        <w:t xml:space="preserve"> (</w:t>
      </w:r>
      <w:proofErr w:type="spellStart"/>
      <w:r w:rsidRPr="004F4281">
        <w:rPr>
          <w:i/>
        </w:rPr>
        <w:t>Glivec</w:t>
      </w:r>
      <w:proofErr w:type="spellEnd"/>
      <w:r w:rsidRPr="004F4281">
        <w:rPr>
          <w:i/>
        </w:rPr>
        <w:t xml:space="preserve">), and upon </w:t>
      </w:r>
      <w:proofErr w:type="spellStart"/>
      <w:r w:rsidRPr="004F4281">
        <w:rPr>
          <w:i/>
        </w:rPr>
        <w:t>imatinib</w:t>
      </w:r>
      <w:proofErr w:type="spellEnd"/>
      <w:r w:rsidRPr="004F4281">
        <w:rPr>
          <w:i/>
        </w:rPr>
        <w:t xml:space="preserve"> failure, </w:t>
      </w:r>
      <w:proofErr w:type="spellStart"/>
      <w:r w:rsidRPr="004F4281">
        <w:rPr>
          <w:i/>
        </w:rPr>
        <w:t>sunitinib</w:t>
      </w:r>
      <w:proofErr w:type="spellEnd"/>
      <w:r w:rsidRPr="004F4281">
        <w:rPr>
          <w:i/>
        </w:rPr>
        <w:t xml:space="preserve"> (</w:t>
      </w:r>
      <w:proofErr w:type="spellStart"/>
      <w:r w:rsidRPr="004F4281">
        <w:rPr>
          <w:i/>
        </w:rPr>
        <w:t>Sutent</w:t>
      </w:r>
      <w:proofErr w:type="spellEnd"/>
      <w:r w:rsidRPr="004F4281">
        <w:rPr>
          <w:i/>
        </w:rPr>
        <w:t xml:space="preserve">), both tyrosine kinase inhibitors (TKIs), are currently approved for the treatment of metastatic and/or </w:t>
      </w:r>
      <w:proofErr w:type="spellStart"/>
      <w:r w:rsidRPr="004F4281">
        <w:rPr>
          <w:i/>
        </w:rPr>
        <w:t>unresectable</w:t>
      </w:r>
      <w:proofErr w:type="spellEnd"/>
      <w:r w:rsidRPr="004F4281">
        <w:rPr>
          <w:i/>
        </w:rPr>
        <w:t xml:space="preserve"> GISTs in Australia. However despite the activity of </w:t>
      </w:r>
      <w:proofErr w:type="spellStart"/>
      <w:r w:rsidRPr="004F4281">
        <w:rPr>
          <w:i/>
        </w:rPr>
        <w:t>sunitinib</w:t>
      </w:r>
      <w:proofErr w:type="spellEnd"/>
      <w:r w:rsidRPr="004F4281">
        <w:rPr>
          <w:i/>
        </w:rPr>
        <w:t>, the majority of patients with metastatic GIST will progress within 6-9 months and there is no third line therapy with any activity against this disease approved by regulatory authorities anywhere in the world</w:t>
      </w:r>
      <w:r w:rsidRPr="004F4281">
        <w:rPr>
          <w:i/>
          <w:sz w:val="14"/>
          <w:szCs w:val="14"/>
        </w:rPr>
        <w:t xml:space="preserve"> </w:t>
      </w:r>
      <w:r w:rsidRPr="004F4281">
        <w:rPr>
          <w:i/>
        </w:rPr>
        <w:t>apart from the United States and Canada where STIVARGA is registered for this indication.</w:t>
      </w:r>
    </w:p>
    <w:p w:rsidR="00221B8B" w:rsidRPr="004F4281" w:rsidRDefault="00221B8B" w:rsidP="004F4281">
      <w:pPr>
        <w:pStyle w:val="ListBullet"/>
        <w:numPr>
          <w:ilvl w:val="0"/>
          <w:numId w:val="0"/>
        </w:numPr>
        <w:ind w:left="360"/>
        <w:rPr>
          <w:i/>
        </w:rPr>
      </w:pPr>
      <w:proofErr w:type="spellStart"/>
      <w:r w:rsidRPr="004F4281">
        <w:rPr>
          <w:rFonts w:eastAsia="TimesNewRoman"/>
          <w:i/>
        </w:rPr>
        <w:lastRenderedPageBreak/>
        <w:t>Imatinib</w:t>
      </w:r>
      <w:proofErr w:type="spellEnd"/>
      <w:r w:rsidRPr="004F4281">
        <w:rPr>
          <w:rFonts w:eastAsia="TimesNewRoman"/>
          <w:i/>
        </w:rPr>
        <w:t xml:space="preserve"> and </w:t>
      </w:r>
      <w:proofErr w:type="spellStart"/>
      <w:r w:rsidRPr="004F4281">
        <w:rPr>
          <w:rFonts w:eastAsia="TimesNewRoman"/>
          <w:i/>
        </w:rPr>
        <w:t>sunitinib</w:t>
      </w:r>
      <w:proofErr w:type="spellEnd"/>
      <w:r w:rsidRPr="004F4281">
        <w:rPr>
          <w:rFonts w:eastAsia="TimesNewRoman"/>
          <w:i/>
        </w:rPr>
        <w:t xml:space="preserve"> may fail due to the clonal emergence of secondary mutations in the tyrosine kinase receptors KIT or PDGFR</w:t>
      </w:r>
      <w:r w:rsidRPr="004F4281">
        <w:rPr>
          <w:rFonts w:ascii="Symbol" w:eastAsia="TimesNewRoman" w:hAnsi="Symbol" w:cs="Symbol"/>
          <w:i/>
        </w:rPr>
        <w:t></w:t>
      </w:r>
      <w:r w:rsidRPr="004F4281">
        <w:rPr>
          <w:rFonts w:eastAsia="TimesNewRoman"/>
          <w:i/>
        </w:rPr>
        <w:t>, or in signalling molecules such as BRAF which restores receptor signalling activi</w:t>
      </w:r>
      <w:r w:rsidR="004F4281">
        <w:rPr>
          <w:rFonts w:eastAsia="TimesNewRoman"/>
          <w:i/>
        </w:rPr>
        <w:t>ty and leads to tumour relapse.</w:t>
      </w:r>
    </w:p>
    <w:p w:rsidR="00221B8B" w:rsidRPr="004F4281" w:rsidRDefault="00221B8B" w:rsidP="004F4281">
      <w:pPr>
        <w:pStyle w:val="ListBullet"/>
        <w:numPr>
          <w:ilvl w:val="0"/>
          <w:numId w:val="0"/>
        </w:numPr>
        <w:ind w:left="360"/>
        <w:rPr>
          <w:i/>
        </w:rPr>
      </w:pPr>
      <w:r w:rsidRPr="004F4281">
        <w:rPr>
          <w:i/>
        </w:rPr>
        <w:t xml:space="preserve">Treatment options are limited for patients progressing on </w:t>
      </w:r>
      <w:proofErr w:type="spellStart"/>
      <w:r w:rsidRPr="004F4281">
        <w:rPr>
          <w:i/>
        </w:rPr>
        <w:t>imatinib</w:t>
      </w:r>
      <w:proofErr w:type="spellEnd"/>
      <w:r w:rsidRPr="004F4281">
        <w:rPr>
          <w:i/>
        </w:rPr>
        <w:t xml:space="preserve"> and </w:t>
      </w:r>
      <w:proofErr w:type="spellStart"/>
      <w:r w:rsidRPr="004F4281">
        <w:rPr>
          <w:i/>
        </w:rPr>
        <w:t>sunitinib</w:t>
      </w:r>
      <w:proofErr w:type="spellEnd"/>
      <w:r w:rsidRPr="004F4281">
        <w:rPr>
          <w:i/>
        </w:rPr>
        <w:t xml:space="preserve">. Second-generation TKIs, such as </w:t>
      </w:r>
      <w:proofErr w:type="spellStart"/>
      <w:r w:rsidRPr="004F4281">
        <w:rPr>
          <w:i/>
        </w:rPr>
        <w:t>sorafenib</w:t>
      </w:r>
      <w:proofErr w:type="spellEnd"/>
      <w:r w:rsidRPr="004F4281">
        <w:rPr>
          <w:i/>
        </w:rPr>
        <w:t xml:space="preserve">, </w:t>
      </w:r>
      <w:proofErr w:type="spellStart"/>
      <w:r w:rsidRPr="004F4281">
        <w:rPr>
          <w:i/>
        </w:rPr>
        <w:t>dasatinib</w:t>
      </w:r>
      <w:proofErr w:type="spellEnd"/>
      <w:r w:rsidRPr="004F4281">
        <w:rPr>
          <w:i/>
        </w:rPr>
        <w:t xml:space="preserve">, and </w:t>
      </w:r>
      <w:proofErr w:type="spellStart"/>
      <w:r w:rsidRPr="004F4281">
        <w:rPr>
          <w:i/>
        </w:rPr>
        <w:t>nilotinib</w:t>
      </w:r>
      <w:proofErr w:type="spellEnd"/>
      <w:r w:rsidRPr="004F4281">
        <w:rPr>
          <w:i/>
        </w:rPr>
        <w:t xml:space="preserve">, have shown activity in patients with </w:t>
      </w:r>
      <w:proofErr w:type="spellStart"/>
      <w:r w:rsidRPr="004F4281">
        <w:rPr>
          <w:i/>
        </w:rPr>
        <w:t>imatinib</w:t>
      </w:r>
      <w:proofErr w:type="spellEnd"/>
      <w:r w:rsidRPr="004F4281">
        <w:rPr>
          <w:i/>
        </w:rPr>
        <w:t xml:space="preserve">- and </w:t>
      </w:r>
      <w:proofErr w:type="spellStart"/>
      <w:r w:rsidRPr="004F4281">
        <w:rPr>
          <w:i/>
        </w:rPr>
        <w:t>sunitinib</w:t>
      </w:r>
      <w:proofErr w:type="spellEnd"/>
      <w:r w:rsidRPr="004F4281">
        <w:rPr>
          <w:i/>
        </w:rPr>
        <w:t xml:space="preserve">-resistant GIST. Although the current NCCN guidelines allow consideration of other commercially available small molecule kinase inhibitors such as </w:t>
      </w:r>
      <w:proofErr w:type="spellStart"/>
      <w:r w:rsidRPr="004F4281">
        <w:rPr>
          <w:i/>
        </w:rPr>
        <w:t>nilotinib</w:t>
      </w:r>
      <w:proofErr w:type="spellEnd"/>
      <w:r w:rsidRPr="004F4281">
        <w:rPr>
          <w:i/>
        </w:rPr>
        <w:t xml:space="preserve"> or </w:t>
      </w:r>
      <w:proofErr w:type="spellStart"/>
      <w:r w:rsidRPr="004F4281">
        <w:rPr>
          <w:i/>
        </w:rPr>
        <w:t>sorafenib</w:t>
      </w:r>
      <w:proofErr w:type="spellEnd"/>
      <w:r w:rsidRPr="004F4281">
        <w:rPr>
          <w:i/>
        </w:rPr>
        <w:t>, they cannot be regarded as a “standard” or “approved” treatment for patients who have progressed.</w:t>
      </w:r>
    </w:p>
    <w:p w:rsidR="00221B8B" w:rsidRPr="004F4281" w:rsidRDefault="00221B8B" w:rsidP="004F4281">
      <w:pPr>
        <w:pStyle w:val="ListBullet"/>
        <w:numPr>
          <w:ilvl w:val="0"/>
          <w:numId w:val="0"/>
        </w:numPr>
        <w:ind w:left="360"/>
        <w:rPr>
          <w:rFonts w:ascii="TimesNewRoman" w:eastAsia="TimesNewRoman" w:hAnsi="Times New Roman" w:cs="TimesNewRoman"/>
          <w:i/>
          <w:sz w:val="24"/>
        </w:rPr>
      </w:pPr>
      <w:proofErr w:type="spellStart"/>
      <w:r w:rsidRPr="004F4281">
        <w:rPr>
          <w:rFonts w:eastAsia="TimesNewRoman"/>
          <w:i/>
        </w:rPr>
        <w:t>Regorafenib</w:t>
      </w:r>
      <w:proofErr w:type="spellEnd"/>
      <w:r w:rsidRPr="004F4281">
        <w:rPr>
          <w:rFonts w:eastAsia="TimesNewRoman"/>
          <w:i/>
        </w:rPr>
        <w:t xml:space="preserve">, an oral tumour deactivation agent that potently blocks multiple protein kinases, including kinases involved in tumour angiogenesis (vascular endothelial growth factor receptor [VEGFR]1, -2, -3, TIE2), </w:t>
      </w:r>
      <w:proofErr w:type="spellStart"/>
      <w:r w:rsidRPr="004F4281">
        <w:rPr>
          <w:rFonts w:eastAsia="TimesNewRoman"/>
          <w:i/>
        </w:rPr>
        <w:t>oncogenesis</w:t>
      </w:r>
      <w:proofErr w:type="spellEnd"/>
      <w:r w:rsidRPr="004F4281">
        <w:rPr>
          <w:rFonts w:eastAsia="TimesNewRoman"/>
          <w:i/>
        </w:rPr>
        <w:t xml:space="preserve"> (KIT, RET, RAF-1, BRAF, BRAFV600E), and the tumour microenvironment (platelet derived growth factor receptor [PDGFR], fibroblast growth factor receptor [FGFR]), may potentially overcome the mutation induced resistance through binding to structurally different mutant kinases.</w:t>
      </w:r>
    </w:p>
    <w:p w:rsidR="00221B8B" w:rsidRPr="00221B8B" w:rsidRDefault="00221B8B" w:rsidP="004F4281">
      <w:pPr>
        <w:rPr>
          <w:rFonts w:eastAsia="Times New Roman"/>
          <w:i/>
          <w:kern w:val="16"/>
        </w:rPr>
      </w:pPr>
      <w:r>
        <w:t>Further, the sponsor</w:t>
      </w:r>
      <w:r w:rsidR="00862DCE">
        <w:t>’</w:t>
      </w:r>
      <w:r>
        <w:t xml:space="preserve">s justification for the proposed label given in the Clinical Overview of the </w:t>
      </w:r>
      <w:r w:rsidRPr="00221B8B">
        <w:rPr>
          <w:i/>
        </w:rPr>
        <w:t>submission states:</w:t>
      </w:r>
    </w:p>
    <w:p w:rsidR="00221B8B" w:rsidRPr="004F4281" w:rsidRDefault="00221B8B" w:rsidP="004F4281">
      <w:pPr>
        <w:pStyle w:val="ListBullet"/>
        <w:numPr>
          <w:ilvl w:val="0"/>
          <w:numId w:val="0"/>
        </w:numPr>
        <w:ind w:left="360"/>
        <w:rPr>
          <w:i/>
        </w:rPr>
      </w:pPr>
      <w:r w:rsidRPr="004F4281">
        <w:rPr>
          <w:i/>
        </w:rPr>
        <w:t xml:space="preserve">The proposed label considers the currently available approved treatment options for patients with GIST. The only approved treatments for patients with GIST are the two TKIs </w:t>
      </w:r>
      <w:proofErr w:type="spellStart"/>
      <w:r w:rsidRPr="004F4281">
        <w:rPr>
          <w:i/>
        </w:rPr>
        <w:t>imatinib</w:t>
      </w:r>
      <w:proofErr w:type="spellEnd"/>
      <w:r w:rsidRPr="004F4281">
        <w:rPr>
          <w:i/>
        </w:rPr>
        <w:t xml:space="preserve"> and </w:t>
      </w:r>
      <w:proofErr w:type="spellStart"/>
      <w:r w:rsidRPr="004F4281">
        <w:rPr>
          <w:i/>
        </w:rPr>
        <w:t>sunitinib</w:t>
      </w:r>
      <w:proofErr w:type="spellEnd"/>
      <w:r w:rsidRPr="004F4281">
        <w:rPr>
          <w:i/>
        </w:rPr>
        <w:t xml:space="preserve">. All patients in the pivotal trial (14874) had been treated with these TKIs. They had to present with disease progression </w:t>
      </w:r>
      <w:proofErr w:type="gramStart"/>
      <w:r w:rsidRPr="004F4281">
        <w:rPr>
          <w:i/>
        </w:rPr>
        <w:t>on,</w:t>
      </w:r>
      <w:proofErr w:type="gramEnd"/>
      <w:r w:rsidRPr="004F4281">
        <w:rPr>
          <w:i/>
        </w:rPr>
        <w:t xml:space="preserve"> or intolerance to, </w:t>
      </w:r>
      <w:proofErr w:type="spellStart"/>
      <w:r w:rsidRPr="004F4281">
        <w:rPr>
          <w:i/>
        </w:rPr>
        <w:t>imatinib</w:t>
      </w:r>
      <w:proofErr w:type="spellEnd"/>
      <w:r w:rsidRPr="004F4281">
        <w:rPr>
          <w:i/>
        </w:rPr>
        <w:t xml:space="preserve">, and disease progression on </w:t>
      </w:r>
      <w:proofErr w:type="spellStart"/>
      <w:r w:rsidRPr="004F4281">
        <w:rPr>
          <w:i/>
        </w:rPr>
        <w:t>sunitinib</w:t>
      </w:r>
      <w:proofErr w:type="spellEnd"/>
      <w:r w:rsidRPr="004F4281">
        <w:rPr>
          <w:i/>
        </w:rPr>
        <w:t xml:space="preserve"> treatment. Patients with GIST have a high unmet medical need and further effective therapies are required. This application presents data demonstrating a positive benefit/risk assessment of </w:t>
      </w:r>
      <w:proofErr w:type="spellStart"/>
      <w:r w:rsidRPr="004F4281">
        <w:rPr>
          <w:i/>
        </w:rPr>
        <w:t>regorafenib</w:t>
      </w:r>
      <w:proofErr w:type="spellEnd"/>
      <w:r w:rsidRPr="004F4281">
        <w:rPr>
          <w:i/>
        </w:rPr>
        <w:t xml:space="preserve"> for this population.</w:t>
      </w:r>
    </w:p>
    <w:p w:rsidR="00221B8B" w:rsidRDefault="00221B8B" w:rsidP="004F4281">
      <w:pPr>
        <w:ind w:left="1134" w:hanging="1134"/>
      </w:pPr>
      <w:r w:rsidRPr="00221B8B">
        <w:rPr>
          <w:b/>
        </w:rPr>
        <w:t>Comment</w:t>
      </w:r>
      <w:r>
        <w:t>:</w:t>
      </w:r>
      <w:r w:rsidR="004F4281">
        <w:tab/>
      </w:r>
      <w:r>
        <w:t>The clinical rationale for the submission as stated by the sponsor would seem valid and acceptable, for the treatment of aggressive GIST not responding to currently approved therapies, and for which there is no currently approved standard treatment.</w:t>
      </w:r>
    </w:p>
    <w:p w:rsidR="00221B8B" w:rsidRDefault="00221B8B" w:rsidP="004F4281">
      <w:pPr>
        <w:pStyle w:val="Heading3"/>
      </w:pPr>
      <w:bookmarkStart w:id="12" w:name="_Ref384722086"/>
      <w:bookmarkStart w:id="13" w:name="_Toc290846231"/>
      <w:bookmarkStart w:id="14" w:name="_Toc272414609"/>
      <w:bookmarkStart w:id="15" w:name="_Toc436128324"/>
      <w:r w:rsidRPr="004F4281">
        <w:t>Guidance</w:t>
      </w:r>
      <w:bookmarkEnd w:id="12"/>
      <w:bookmarkEnd w:id="13"/>
      <w:bookmarkEnd w:id="14"/>
      <w:bookmarkEnd w:id="15"/>
    </w:p>
    <w:p w:rsidR="00221B8B" w:rsidRDefault="00221B8B" w:rsidP="004F4281">
      <w:r>
        <w:t>The sponsor stated in the Clinical Overview that the development plan for GIST reflected consultation with the US FDA and CHMP, EU, where scientific advice was obtained for the Phase III program in October 2010. In general, agreement was reached with the regulatory agencies on the study design (including PFS as primary endpoint and OS as secondary endpoint, placebo plus BSC for control arm), the acceptability of one Phase III study to support the marketing authorisation, the safety database, and the SAP. It was recommended by the FDA that an interim OS analysis was required at the same time as the PFS evaluation, to confirm that any improvements in PFS are accompanied by a positive trend in OS.</w:t>
      </w:r>
    </w:p>
    <w:p w:rsidR="00221B8B" w:rsidRDefault="00221B8B" w:rsidP="004F4281">
      <w:r>
        <w:t>No outstanding issues were identified by the TGA during pre-submission assessment (dated January 2014). By following EU guidance requirements, the application also follows the relevant TGA-adopted guidance documents.</w:t>
      </w:r>
    </w:p>
    <w:p w:rsidR="00586F98" w:rsidRDefault="00586F98" w:rsidP="004F4281">
      <w:pPr>
        <w:pStyle w:val="Heading2"/>
        <w:rPr>
          <w:lang w:eastAsia="en-AU"/>
        </w:rPr>
      </w:pPr>
      <w:bookmarkStart w:id="16" w:name="_Toc436128325"/>
      <w:r w:rsidRPr="004F4281">
        <w:lastRenderedPageBreak/>
        <w:t>Contents</w:t>
      </w:r>
      <w:r>
        <w:rPr>
          <w:lang w:eastAsia="en-AU"/>
        </w:rPr>
        <w:t xml:space="preserve"> of the </w:t>
      </w:r>
      <w:r w:rsidRPr="004F4281">
        <w:t>clinical</w:t>
      </w:r>
      <w:r>
        <w:rPr>
          <w:lang w:eastAsia="en-AU"/>
        </w:rPr>
        <w:t xml:space="preserve"> dossier</w:t>
      </w:r>
      <w:bookmarkEnd w:id="8"/>
      <w:bookmarkEnd w:id="9"/>
      <w:bookmarkEnd w:id="16"/>
    </w:p>
    <w:p w:rsidR="00586F98" w:rsidRDefault="00586F98" w:rsidP="004F4281">
      <w:pPr>
        <w:pStyle w:val="Heading3"/>
      </w:pPr>
      <w:bookmarkStart w:id="17" w:name="_Toc436128326"/>
      <w:r>
        <w:t xml:space="preserve">Scope of the </w:t>
      </w:r>
      <w:r w:rsidRPr="004F4281">
        <w:t>clinical</w:t>
      </w:r>
      <w:r>
        <w:t xml:space="preserve"> </w:t>
      </w:r>
      <w:r w:rsidRPr="004F4281">
        <w:t>dossier</w:t>
      </w:r>
      <w:bookmarkEnd w:id="17"/>
    </w:p>
    <w:p w:rsidR="00221B8B" w:rsidRDefault="00221B8B" w:rsidP="004F4281">
      <w:r>
        <w:t>The clinical dossier documented a development program of pharmacological analyses, pivotal and other clinical trials relating to the proposed extension of indications. Updated safety data was also included.</w:t>
      </w:r>
    </w:p>
    <w:p w:rsidR="00221B8B" w:rsidRDefault="00221B8B" w:rsidP="004F4281">
      <w:r>
        <w:t>The submission contained the following clinical information which has been evaluated in this CER:</w:t>
      </w:r>
    </w:p>
    <w:p w:rsidR="00221B8B" w:rsidRPr="00753FEB" w:rsidRDefault="00221B8B" w:rsidP="00753FEB">
      <w:pPr>
        <w:pStyle w:val="Heading4"/>
        <w:numPr>
          <w:ilvl w:val="0"/>
          <w:numId w:val="0"/>
        </w:numPr>
        <w:rPr>
          <w:b w:val="0"/>
          <w:i/>
        </w:rPr>
      </w:pPr>
      <w:r w:rsidRPr="00753FEB">
        <w:rPr>
          <w:b w:val="0"/>
          <w:i/>
        </w:rPr>
        <w:t>Pharmacokinetic (PK) studies</w:t>
      </w:r>
    </w:p>
    <w:p w:rsidR="00221B8B" w:rsidRDefault="00221B8B" w:rsidP="00753FEB">
      <w:pPr>
        <w:pStyle w:val="ListBullet"/>
      </w:pPr>
      <w:r>
        <w:t xml:space="preserve">PH-36984 (11651) Open label, </w:t>
      </w:r>
      <w:r w:rsidR="00951EF6">
        <w:t>Phase I</w:t>
      </w:r>
      <w:r>
        <w:t xml:space="preserve"> study to determine the safety, tolerability, maximum </w:t>
      </w:r>
      <w:r w:rsidRPr="00753FEB">
        <w:t>tolerated</w:t>
      </w:r>
      <w:r>
        <w:t xml:space="preserve"> dose, PK, and biomarker status of BAY 73-4506 in patients with advanced malignancies</w:t>
      </w:r>
    </w:p>
    <w:p w:rsidR="00221B8B" w:rsidRDefault="00221B8B" w:rsidP="00753FEB">
      <w:pPr>
        <w:pStyle w:val="ListBullet"/>
      </w:pPr>
      <w:r>
        <w:t xml:space="preserve">PH-37053 (14996) Uncontrolled, open-label, non-randomised, </w:t>
      </w:r>
      <w:r w:rsidR="00951EF6">
        <w:t>Phase I</w:t>
      </w:r>
      <w:r>
        <w:t xml:space="preserve"> study to investigate the PK, safety, tolerability and efficacy of BAY 73-4506 in Chinese patients with advanced, refractory solid tumours</w:t>
      </w:r>
    </w:p>
    <w:p w:rsidR="00221B8B" w:rsidRDefault="00221B8B" w:rsidP="00753FEB">
      <w:pPr>
        <w:ind w:left="1134" w:hanging="1134"/>
      </w:pPr>
      <w:r w:rsidRPr="00951EF6">
        <w:rPr>
          <w:b/>
        </w:rPr>
        <w:t>Comment</w:t>
      </w:r>
      <w:r>
        <w:t>:</w:t>
      </w:r>
      <w:r>
        <w:tab/>
        <w:t xml:space="preserve">Interim reports of the above two studies (11651 and 14996) were previously evaluated in the application for the indication of previously treated metastatic CRC [Application </w:t>
      </w:r>
      <w:r>
        <w:rPr>
          <w:sz w:val="20"/>
        </w:rPr>
        <w:t>PM-2012-02342-3-4, TRIM: R13/354724</w:t>
      </w:r>
      <w:r>
        <w:t>]. The updated CSRs submitted with this application have been evaluated only with respect to the new information provided.</w:t>
      </w:r>
    </w:p>
    <w:p w:rsidR="00221B8B" w:rsidRPr="00753FEB" w:rsidRDefault="00192ED5" w:rsidP="00753FEB">
      <w:pPr>
        <w:pStyle w:val="Heading4"/>
        <w:numPr>
          <w:ilvl w:val="0"/>
          <w:numId w:val="0"/>
        </w:numPr>
        <w:rPr>
          <w:b w:val="0"/>
          <w:i/>
        </w:rPr>
      </w:pPr>
      <w:r w:rsidRPr="00753FEB">
        <w:rPr>
          <w:b w:val="0"/>
          <w:i/>
        </w:rPr>
        <w:t>One</w:t>
      </w:r>
      <w:r w:rsidR="00221B8B" w:rsidRPr="00753FEB">
        <w:rPr>
          <w:b w:val="0"/>
          <w:i/>
        </w:rPr>
        <w:t xml:space="preserve"> </w:t>
      </w:r>
      <w:proofErr w:type="spellStart"/>
      <w:r w:rsidR="00221B8B" w:rsidRPr="00753FEB">
        <w:rPr>
          <w:b w:val="0"/>
          <w:i/>
        </w:rPr>
        <w:t>pharmacodynamic</w:t>
      </w:r>
      <w:proofErr w:type="spellEnd"/>
      <w:r w:rsidR="00221B8B" w:rsidRPr="00753FEB">
        <w:rPr>
          <w:b w:val="0"/>
          <w:i/>
        </w:rPr>
        <w:t xml:space="preserve"> (PD</w:t>
      </w:r>
      <w:proofErr w:type="gramStart"/>
      <w:r w:rsidR="00221B8B" w:rsidRPr="00753FEB">
        <w:rPr>
          <w:b w:val="0"/>
          <w:i/>
        </w:rPr>
        <w:t>)study</w:t>
      </w:r>
      <w:proofErr w:type="gramEnd"/>
    </w:p>
    <w:p w:rsidR="00221B8B" w:rsidRDefault="00221B8B" w:rsidP="00753FEB">
      <w:pPr>
        <w:pStyle w:val="ListBullet"/>
      </w:pPr>
      <w:r>
        <w:t xml:space="preserve">PH-36866 (14814) An open-label, non-randomized Phase I study of </w:t>
      </w:r>
      <w:proofErr w:type="spellStart"/>
      <w:r>
        <w:t>Regorafenib</w:t>
      </w:r>
      <w:proofErr w:type="spellEnd"/>
      <w:r>
        <w:t xml:space="preserve"> (BAY 73-4506) to evaluate </w:t>
      </w:r>
      <w:r w:rsidRPr="00753FEB">
        <w:t>cardiovascular</w:t>
      </w:r>
      <w:r>
        <w:t xml:space="preserve"> safety parameters, tolerability, pharmacokinetics, and anti-tumour activity in patients with advanced solid tumours</w:t>
      </w:r>
    </w:p>
    <w:p w:rsidR="00221B8B" w:rsidRDefault="00221B8B" w:rsidP="00753FEB">
      <w:pPr>
        <w:ind w:left="1134" w:hanging="1134"/>
      </w:pPr>
      <w:r w:rsidRPr="00951EF6">
        <w:rPr>
          <w:b/>
        </w:rPr>
        <w:t>Comment</w:t>
      </w:r>
      <w:r>
        <w:t>:</w:t>
      </w:r>
      <w:r w:rsidR="00753FEB">
        <w:tab/>
      </w:r>
      <w:r>
        <w:t>The interim report of the above study (14814) was previously evaluated and this submitted final report has been evaluated with respect to changes from the interim report.</w:t>
      </w:r>
    </w:p>
    <w:p w:rsidR="00221B8B" w:rsidRPr="00753FEB" w:rsidRDefault="00221B8B" w:rsidP="00753FEB">
      <w:pPr>
        <w:pStyle w:val="Heading4"/>
        <w:numPr>
          <w:ilvl w:val="0"/>
          <w:numId w:val="0"/>
        </w:numPr>
        <w:rPr>
          <w:b w:val="0"/>
          <w:i/>
        </w:rPr>
      </w:pPr>
      <w:r w:rsidRPr="00753FEB">
        <w:rPr>
          <w:b w:val="0"/>
          <w:i/>
        </w:rPr>
        <w:t>Full population pharmacokinetic (Pop PK) analyses</w:t>
      </w:r>
    </w:p>
    <w:p w:rsidR="00221B8B" w:rsidRDefault="00221B8B" w:rsidP="00753FEB">
      <w:pPr>
        <w:pStyle w:val="ListBullet"/>
      </w:pPr>
      <w:r>
        <w:t xml:space="preserve">R-8731 (14653) Population PK analysis of </w:t>
      </w:r>
      <w:proofErr w:type="spellStart"/>
      <w:r>
        <w:t>regorafenib</w:t>
      </w:r>
      <w:proofErr w:type="spellEnd"/>
      <w:r>
        <w:t xml:space="preserve"> and metabolites M2 and M5 in </w:t>
      </w:r>
      <w:r w:rsidR="001669E0">
        <w:t>Studies 11</w:t>
      </w:r>
      <w:r>
        <w:t>650 and 14387</w:t>
      </w:r>
    </w:p>
    <w:p w:rsidR="00221B8B" w:rsidRDefault="00221B8B" w:rsidP="00753FEB">
      <w:pPr>
        <w:pStyle w:val="ListBullet"/>
      </w:pPr>
      <w:r>
        <w:t xml:space="preserve">R-8814 (16282) Population PK analysis of </w:t>
      </w:r>
      <w:proofErr w:type="spellStart"/>
      <w:r>
        <w:t>regorafenib</w:t>
      </w:r>
      <w:proofErr w:type="spellEnd"/>
      <w:r>
        <w:t xml:space="preserve"> and metabolites M2 and M5 in </w:t>
      </w:r>
      <w:r w:rsidR="00951EF6">
        <w:t>Phase I</w:t>
      </w:r>
      <w:r>
        <w:t xml:space="preserve">II studies 14387 and </w:t>
      </w:r>
      <w:r w:rsidRPr="00753FEB">
        <w:t>14874</w:t>
      </w:r>
    </w:p>
    <w:p w:rsidR="00221B8B" w:rsidRPr="00753FEB" w:rsidRDefault="00221B8B" w:rsidP="00753FEB">
      <w:pPr>
        <w:pStyle w:val="Heading4"/>
        <w:numPr>
          <w:ilvl w:val="0"/>
          <w:numId w:val="0"/>
        </w:numPr>
        <w:rPr>
          <w:b w:val="0"/>
          <w:i/>
        </w:rPr>
      </w:pPr>
      <w:r w:rsidRPr="00753FEB">
        <w:rPr>
          <w:b w:val="0"/>
          <w:i/>
        </w:rPr>
        <w:t>Other Pop PK analysis reports</w:t>
      </w:r>
    </w:p>
    <w:p w:rsidR="00221B8B" w:rsidRDefault="00221B8B" w:rsidP="00753FEB">
      <w:pPr>
        <w:pStyle w:val="ListBullet"/>
      </w:pPr>
      <w:r>
        <w:t xml:space="preserve">PH-37027 (16392) Exploratory analysis of </w:t>
      </w:r>
      <w:proofErr w:type="spellStart"/>
      <w:r>
        <w:t>regorafenib</w:t>
      </w:r>
      <w:proofErr w:type="spellEnd"/>
      <w:r>
        <w:t xml:space="preserve"> PK using physiologically-based PK modelling – effect of hepatic </w:t>
      </w:r>
      <w:r w:rsidRPr="00753FEB">
        <w:t>and</w:t>
      </w:r>
      <w:r>
        <w:t xml:space="preserve"> renal impairment</w:t>
      </w:r>
    </w:p>
    <w:p w:rsidR="00221B8B" w:rsidRDefault="00221B8B" w:rsidP="00753FEB">
      <w:pPr>
        <w:pStyle w:val="ListBullet"/>
      </w:pPr>
      <w:r w:rsidRPr="00753FEB">
        <w:t>PH</w:t>
      </w:r>
      <w:r>
        <w:t xml:space="preserve">-37386 </w:t>
      </w:r>
      <w:proofErr w:type="spellStart"/>
      <w:r>
        <w:t>Regorafenib</w:t>
      </w:r>
      <w:proofErr w:type="spellEnd"/>
      <w:r>
        <w:t xml:space="preserve"> dose selection document</w:t>
      </w:r>
    </w:p>
    <w:p w:rsidR="00221B8B" w:rsidRPr="00753FEB" w:rsidRDefault="00192ED5" w:rsidP="00753FEB">
      <w:pPr>
        <w:pStyle w:val="Heading4"/>
        <w:numPr>
          <w:ilvl w:val="0"/>
          <w:numId w:val="0"/>
        </w:numPr>
        <w:rPr>
          <w:b w:val="0"/>
          <w:i/>
        </w:rPr>
      </w:pPr>
      <w:proofErr w:type="gramStart"/>
      <w:r w:rsidRPr="00753FEB">
        <w:rPr>
          <w:b w:val="0"/>
          <w:i/>
        </w:rPr>
        <w:t>One</w:t>
      </w:r>
      <w:r w:rsidR="00221B8B" w:rsidRPr="00753FEB">
        <w:rPr>
          <w:b w:val="0"/>
          <w:i/>
        </w:rPr>
        <w:t xml:space="preserve"> pivotal efficacy/safety study in the proposed indication, and supporting analyses.</w:t>
      </w:r>
      <w:proofErr w:type="gramEnd"/>
    </w:p>
    <w:p w:rsidR="00221B8B" w:rsidRDefault="00221B8B" w:rsidP="00753FEB">
      <w:pPr>
        <w:pStyle w:val="ListBullet"/>
      </w:pPr>
      <w:r>
        <w:t xml:space="preserve">A59137 (14874) A randomised, double-blind, placebo-controlled </w:t>
      </w:r>
      <w:r w:rsidR="00951EF6">
        <w:t>Phase I</w:t>
      </w:r>
      <w:r>
        <w:t xml:space="preserve">II study of </w:t>
      </w:r>
      <w:proofErr w:type="spellStart"/>
      <w:r>
        <w:t>regorafenib</w:t>
      </w:r>
      <w:proofErr w:type="spellEnd"/>
      <w:r>
        <w:t xml:space="preserve"> plus best </w:t>
      </w:r>
      <w:r w:rsidRPr="00753FEB">
        <w:t>supportive</w:t>
      </w:r>
      <w:r>
        <w:t xml:space="preserve"> care (BSC) versus placebo plus BSC for subjects with metastatic and/or </w:t>
      </w:r>
      <w:proofErr w:type="spellStart"/>
      <w:r>
        <w:t>unresectable</w:t>
      </w:r>
      <w:proofErr w:type="spellEnd"/>
      <w:r>
        <w:t xml:space="preserve"> GIST whose disease has progressed despite prior treatments with at least </w:t>
      </w:r>
      <w:proofErr w:type="spellStart"/>
      <w:r>
        <w:t>imatinib</w:t>
      </w:r>
      <w:proofErr w:type="spellEnd"/>
      <w:r>
        <w:t xml:space="preserve"> and </w:t>
      </w:r>
      <w:proofErr w:type="spellStart"/>
      <w:r>
        <w:t>sunitinib</w:t>
      </w:r>
      <w:proofErr w:type="spellEnd"/>
      <w:r>
        <w:t xml:space="preserve"> (GRID)</w:t>
      </w:r>
    </w:p>
    <w:p w:rsidR="00221B8B" w:rsidRDefault="00221B8B" w:rsidP="00753FEB">
      <w:pPr>
        <w:pStyle w:val="ListBullet2"/>
      </w:pPr>
      <w:r>
        <w:t xml:space="preserve">PH-37123 (14874) Genetic </w:t>
      </w:r>
      <w:r w:rsidRPr="00753FEB">
        <w:t>biomarker</w:t>
      </w:r>
      <w:r>
        <w:t xml:space="preserve"> analysis of </w:t>
      </w:r>
      <w:r w:rsidR="004338FD">
        <w:t>Study 14</w:t>
      </w:r>
      <w:r>
        <w:t>874 (GRID)</w:t>
      </w:r>
    </w:p>
    <w:p w:rsidR="00221B8B" w:rsidRDefault="00221B8B" w:rsidP="00753FEB">
      <w:pPr>
        <w:pStyle w:val="ListBullet2"/>
      </w:pPr>
      <w:r>
        <w:t xml:space="preserve">PH-37168 (14874) Non-genetic biomarker analysis of </w:t>
      </w:r>
      <w:r w:rsidR="004338FD" w:rsidRPr="00753FEB">
        <w:t>Study</w:t>
      </w:r>
      <w:r w:rsidR="004338FD">
        <w:t xml:space="preserve"> 14</w:t>
      </w:r>
      <w:r>
        <w:t>874 (GRID)</w:t>
      </w:r>
    </w:p>
    <w:p w:rsidR="00221B8B" w:rsidRPr="00753FEB" w:rsidRDefault="00221B8B" w:rsidP="00753FEB">
      <w:pPr>
        <w:pStyle w:val="Heading4"/>
        <w:numPr>
          <w:ilvl w:val="0"/>
          <w:numId w:val="0"/>
        </w:numPr>
        <w:rPr>
          <w:b w:val="0"/>
          <w:i/>
        </w:rPr>
      </w:pPr>
      <w:r w:rsidRPr="00753FEB">
        <w:rPr>
          <w:b w:val="0"/>
          <w:i/>
        </w:rPr>
        <w:lastRenderedPageBreak/>
        <w:t>Supportive study in the proposed indication, and supporting document</w:t>
      </w:r>
    </w:p>
    <w:p w:rsidR="00221B8B" w:rsidRDefault="00221B8B" w:rsidP="00753FEB">
      <w:pPr>
        <w:pStyle w:val="ListBullet"/>
      </w:pPr>
      <w:r>
        <w:t xml:space="preserve">14935 Efficacy and safety of </w:t>
      </w:r>
      <w:proofErr w:type="spellStart"/>
      <w:r>
        <w:t>regorafenib</w:t>
      </w:r>
      <w:proofErr w:type="spellEnd"/>
      <w:r>
        <w:t xml:space="preserve"> in patients with metastatic and/or </w:t>
      </w:r>
      <w:proofErr w:type="spellStart"/>
      <w:r>
        <w:t>unresectable</w:t>
      </w:r>
      <w:proofErr w:type="spellEnd"/>
      <w:r>
        <w:t xml:space="preserve"> GIST after failure of </w:t>
      </w:r>
      <w:proofErr w:type="spellStart"/>
      <w:r>
        <w:t>imatinib</w:t>
      </w:r>
      <w:proofErr w:type="spellEnd"/>
      <w:r>
        <w:t xml:space="preserve"> and </w:t>
      </w:r>
      <w:proofErr w:type="spellStart"/>
      <w:r>
        <w:t>sunitinib</w:t>
      </w:r>
      <w:proofErr w:type="spellEnd"/>
      <w:r>
        <w:t>: a multicentre Phase II trial (published journal paper)</w:t>
      </w:r>
    </w:p>
    <w:p w:rsidR="00221B8B" w:rsidRPr="00753FEB" w:rsidRDefault="00192ED5" w:rsidP="00753FEB">
      <w:pPr>
        <w:pStyle w:val="Heading4"/>
        <w:numPr>
          <w:ilvl w:val="0"/>
          <w:numId w:val="0"/>
        </w:numPr>
        <w:rPr>
          <w:b w:val="0"/>
          <w:i/>
        </w:rPr>
      </w:pPr>
      <w:r w:rsidRPr="00753FEB">
        <w:rPr>
          <w:b w:val="0"/>
          <w:i/>
        </w:rPr>
        <w:t>One</w:t>
      </w:r>
      <w:r w:rsidR="00221B8B" w:rsidRPr="00753FEB">
        <w:rPr>
          <w:b w:val="0"/>
          <w:i/>
        </w:rPr>
        <w:t xml:space="preserve"> other safety study (not related to proposed indication)</w:t>
      </w:r>
    </w:p>
    <w:p w:rsidR="00221B8B" w:rsidRDefault="00221B8B" w:rsidP="00753FEB">
      <w:pPr>
        <w:pStyle w:val="ListBullet"/>
      </w:pPr>
      <w:r>
        <w:t xml:space="preserve">A62282 (14596) An uncontrolled open label multicentre </w:t>
      </w:r>
      <w:r w:rsidR="00951EF6">
        <w:t>Phase I</w:t>
      </w:r>
      <w:r>
        <w:t xml:space="preserve">I safety study of BAY 73-4506 in patients with </w:t>
      </w:r>
      <w:r w:rsidRPr="00753FEB">
        <w:t>hepatocellular</w:t>
      </w:r>
      <w:r>
        <w:t xml:space="preserve"> carcinoma</w:t>
      </w:r>
    </w:p>
    <w:p w:rsidR="00221B8B" w:rsidRPr="00753FEB" w:rsidRDefault="00192ED5" w:rsidP="00753FEB">
      <w:pPr>
        <w:pStyle w:val="Heading4"/>
        <w:numPr>
          <w:ilvl w:val="0"/>
          <w:numId w:val="0"/>
        </w:numPr>
        <w:rPr>
          <w:b w:val="0"/>
          <w:i/>
        </w:rPr>
      </w:pPr>
      <w:r w:rsidRPr="00753FEB">
        <w:rPr>
          <w:b w:val="0"/>
          <w:i/>
        </w:rPr>
        <w:t>One</w:t>
      </w:r>
      <w:r w:rsidR="00221B8B" w:rsidRPr="00753FEB">
        <w:rPr>
          <w:b w:val="0"/>
          <w:i/>
        </w:rPr>
        <w:t xml:space="preserve"> pooled safety analysis</w:t>
      </w:r>
    </w:p>
    <w:p w:rsidR="00221B8B" w:rsidRDefault="00221B8B" w:rsidP="00753FEB">
      <w:pPr>
        <w:pStyle w:val="ListBullet"/>
      </w:pPr>
      <w:r>
        <w:t xml:space="preserve">Global </w:t>
      </w:r>
      <w:r w:rsidRPr="00753FEB">
        <w:t>integrated</w:t>
      </w:r>
      <w:r>
        <w:t xml:space="preserve"> analysis of safety (included in Module 2.7.4 Summary of Clinical Safety)</w:t>
      </w:r>
    </w:p>
    <w:p w:rsidR="00221B8B" w:rsidRPr="00753FEB" w:rsidRDefault="00192ED5" w:rsidP="00753FEB">
      <w:pPr>
        <w:pStyle w:val="Heading4"/>
        <w:numPr>
          <w:ilvl w:val="0"/>
          <w:numId w:val="0"/>
        </w:numPr>
        <w:rPr>
          <w:b w:val="0"/>
          <w:i/>
        </w:rPr>
      </w:pPr>
      <w:r w:rsidRPr="00753FEB">
        <w:rPr>
          <w:b w:val="0"/>
          <w:i/>
        </w:rPr>
        <w:t>One</w:t>
      </w:r>
      <w:r w:rsidR="00221B8B" w:rsidRPr="00753FEB">
        <w:rPr>
          <w:b w:val="0"/>
          <w:i/>
        </w:rPr>
        <w:t xml:space="preserve"> protocol document related to proposed indication</w:t>
      </w:r>
    </w:p>
    <w:p w:rsidR="00221B8B" w:rsidRDefault="00221B8B" w:rsidP="00753FEB">
      <w:pPr>
        <w:pStyle w:val="ListBullet"/>
      </w:pPr>
      <w:r>
        <w:t>16339 Protocol: An open-</w:t>
      </w:r>
      <w:r w:rsidRPr="00753FEB">
        <w:t>label</w:t>
      </w:r>
      <w:r>
        <w:t xml:space="preserve"> expanded access program of  </w:t>
      </w:r>
      <w:proofErr w:type="spellStart"/>
      <w:r>
        <w:t>regorafenib</w:t>
      </w:r>
      <w:proofErr w:type="spellEnd"/>
      <w:r>
        <w:t xml:space="preserve"> in patients with GIST after disease progression on or intolerance to </w:t>
      </w:r>
      <w:proofErr w:type="spellStart"/>
      <w:r>
        <w:t>imatinib</w:t>
      </w:r>
      <w:proofErr w:type="spellEnd"/>
      <w:r>
        <w:t xml:space="preserve"> and </w:t>
      </w:r>
      <w:proofErr w:type="spellStart"/>
      <w:r>
        <w:t>sunitinib</w:t>
      </w:r>
      <w:proofErr w:type="spellEnd"/>
    </w:p>
    <w:p w:rsidR="00221B8B" w:rsidRDefault="00951EF6" w:rsidP="00753FEB">
      <w:pPr>
        <w:pStyle w:val="Heading4"/>
      </w:pPr>
      <w:r>
        <w:t>Clinical r</w:t>
      </w:r>
      <w:r w:rsidR="00221B8B">
        <w:t xml:space="preserve">eports not </w:t>
      </w:r>
      <w:r w:rsidR="00753FEB">
        <w:t>evaluated</w:t>
      </w:r>
    </w:p>
    <w:p w:rsidR="00221B8B" w:rsidRDefault="00221B8B" w:rsidP="00753FEB">
      <w:r>
        <w:t xml:space="preserve">The submission also contained the following protocols and reports that have not been fully evaluated in this CER. This is because they were either not directly relevant to the proposed indication in this submission or the safety of </w:t>
      </w:r>
      <w:proofErr w:type="spellStart"/>
      <w:r>
        <w:t>regorafenib</w:t>
      </w:r>
      <w:proofErr w:type="spellEnd"/>
      <w:r>
        <w:t xml:space="preserve"> as monotherapy, or were an exploratory analysis (generally based on the population PK analysis):</w:t>
      </w:r>
    </w:p>
    <w:p w:rsidR="00221B8B" w:rsidRPr="00951EF6" w:rsidRDefault="00221B8B" w:rsidP="00862DCE">
      <w:pPr>
        <w:pStyle w:val="ListBullet"/>
      </w:pPr>
      <w:r w:rsidRPr="00951EF6">
        <w:t xml:space="preserve">PH-37121 (11728) An uncontrolled, open-label </w:t>
      </w:r>
      <w:r w:rsidR="00951EF6" w:rsidRPr="00951EF6">
        <w:t>Phase I</w:t>
      </w:r>
      <w:r w:rsidRPr="00951EF6">
        <w:t xml:space="preserve">I study in subjects with metastatic adenocarcinoma of the colon or rectum who are receiving first line chemotherapy with mFOLFOX6 in combination with </w:t>
      </w:r>
      <w:proofErr w:type="spellStart"/>
      <w:r w:rsidRPr="00951EF6">
        <w:t>regorafenib</w:t>
      </w:r>
      <w:proofErr w:type="spellEnd"/>
    </w:p>
    <w:p w:rsidR="00221B8B" w:rsidRPr="00951EF6" w:rsidRDefault="00221B8B" w:rsidP="00753FEB">
      <w:pPr>
        <w:pStyle w:val="ListBullet"/>
      </w:pPr>
      <w:r w:rsidRPr="00951EF6">
        <w:t xml:space="preserve">15808 Protocol: A randomised, double-blind, placebo controlled </w:t>
      </w:r>
      <w:r w:rsidR="00951EF6" w:rsidRPr="00951EF6">
        <w:t>Phase I</w:t>
      </w:r>
      <w:r w:rsidRPr="00951EF6">
        <w:t xml:space="preserve">II study of </w:t>
      </w:r>
      <w:proofErr w:type="spellStart"/>
      <w:r w:rsidRPr="00951EF6">
        <w:t>regorafenib</w:t>
      </w:r>
      <w:proofErr w:type="spellEnd"/>
      <w:r w:rsidRPr="00951EF6">
        <w:t xml:space="preserve"> plus BSC </w:t>
      </w:r>
      <w:r w:rsidR="008B3958">
        <w:t>versus</w:t>
      </w:r>
      <w:r w:rsidRPr="00951EF6">
        <w:t xml:space="preserve"> </w:t>
      </w:r>
      <w:r w:rsidRPr="00753FEB">
        <w:t>placebo</w:t>
      </w:r>
      <w:r w:rsidRPr="00951EF6">
        <w:t xml:space="preserve"> plus BSC in Asian subjects with </w:t>
      </w:r>
      <w:proofErr w:type="spellStart"/>
      <w:r w:rsidRPr="00951EF6">
        <w:t>mCRC</w:t>
      </w:r>
      <w:proofErr w:type="spellEnd"/>
      <w:r w:rsidRPr="00951EF6">
        <w:t xml:space="preserve"> who have progressed after standard therapy (CONCUR)</w:t>
      </w:r>
    </w:p>
    <w:p w:rsidR="00221B8B" w:rsidRPr="00951EF6" w:rsidRDefault="00221B8B" w:rsidP="00753FEB">
      <w:pPr>
        <w:pStyle w:val="ListBullet"/>
      </w:pPr>
      <w:r w:rsidRPr="00951EF6">
        <w:t xml:space="preserve">15967 </w:t>
      </w:r>
      <w:r w:rsidRPr="00753FEB">
        <w:t>Protocol</w:t>
      </w:r>
      <w:r w:rsidRPr="00951EF6">
        <w:t xml:space="preserve">: An open-label </w:t>
      </w:r>
      <w:r w:rsidR="00951EF6" w:rsidRPr="00951EF6">
        <w:t xml:space="preserve">Phase </w:t>
      </w:r>
      <w:proofErr w:type="spellStart"/>
      <w:r w:rsidR="00951EF6" w:rsidRPr="00951EF6">
        <w:t>I</w:t>
      </w:r>
      <w:r w:rsidRPr="00951EF6">
        <w:t>IIb</w:t>
      </w:r>
      <w:proofErr w:type="spellEnd"/>
      <w:r w:rsidRPr="00951EF6">
        <w:t xml:space="preserve"> study of </w:t>
      </w:r>
      <w:proofErr w:type="spellStart"/>
      <w:r w:rsidRPr="00951EF6">
        <w:t>regorafenib</w:t>
      </w:r>
      <w:proofErr w:type="spellEnd"/>
      <w:r w:rsidRPr="00951EF6">
        <w:t xml:space="preserve"> in patients with </w:t>
      </w:r>
      <w:proofErr w:type="spellStart"/>
      <w:r w:rsidRPr="00951EF6">
        <w:t>mCRC</w:t>
      </w:r>
      <w:proofErr w:type="spellEnd"/>
      <w:r w:rsidRPr="00951EF6">
        <w:t xml:space="preserve"> who have progressed after standard therapy</w:t>
      </w:r>
    </w:p>
    <w:p w:rsidR="00221B8B" w:rsidRPr="00862DCE" w:rsidRDefault="00221B8B" w:rsidP="00862DCE">
      <w:pPr>
        <w:pStyle w:val="ListBullet"/>
        <w:numPr>
          <w:ilvl w:val="0"/>
          <w:numId w:val="0"/>
        </w:numPr>
        <w:rPr>
          <w:i/>
        </w:rPr>
      </w:pPr>
      <w:r w:rsidRPr="00862DCE">
        <w:rPr>
          <w:i/>
        </w:rPr>
        <w:t>Pop PK analysis exploratory reports</w:t>
      </w:r>
    </w:p>
    <w:p w:rsidR="00221B8B" w:rsidRPr="00951EF6" w:rsidRDefault="00221B8B" w:rsidP="00862DCE">
      <w:pPr>
        <w:pStyle w:val="ListBullet"/>
      </w:pPr>
      <w:r w:rsidRPr="00951EF6">
        <w:t xml:space="preserve">R-8737 (14653) Exposure-response analysis of </w:t>
      </w:r>
      <w:proofErr w:type="spellStart"/>
      <w:r w:rsidRPr="00951EF6">
        <w:t>regorafenib</w:t>
      </w:r>
      <w:proofErr w:type="spellEnd"/>
      <w:r w:rsidRPr="00951EF6">
        <w:t xml:space="preserve"> in </w:t>
      </w:r>
      <w:r w:rsidR="00951EF6" w:rsidRPr="00951EF6">
        <w:t>Phase I</w:t>
      </w:r>
      <w:r w:rsidRPr="00951EF6">
        <w:t xml:space="preserve">II </w:t>
      </w:r>
      <w:r w:rsidR="00951EF6" w:rsidRPr="00951EF6">
        <w:t>Study 143</w:t>
      </w:r>
      <w:r w:rsidRPr="00951EF6">
        <w:t>87.</w:t>
      </w:r>
    </w:p>
    <w:p w:rsidR="00221B8B" w:rsidRPr="00951EF6" w:rsidRDefault="00221B8B" w:rsidP="00862DCE">
      <w:pPr>
        <w:pStyle w:val="ListBullet"/>
      </w:pPr>
      <w:r w:rsidRPr="00951EF6">
        <w:t xml:space="preserve">PH-36914 (14387) –Exploratory analysis of relationship between the exposure to </w:t>
      </w:r>
      <w:proofErr w:type="spellStart"/>
      <w:r w:rsidRPr="00951EF6">
        <w:t>regorafenib</w:t>
      </w:r>
      <w:proofErr w:type="spellEnd"/>
      <w:r w:rsidRPr="00951EF6">
        <w:t xml:space="preserve"> parent compound and </w:t>
      </w:r>
      <w:proofErr w:type="spellStart"/>
      <w:r w:rsidRPr="00951EF6">
        <w:t>regorafenib</w:t>
      </w:r>
      <w:proofErr w:type="spellEnd"/>
      <w:r w:rsidRPr="00951EF6">
        <w:t xml:space="preserve"> aggregate (</w:t>
      </w:r>
      <w:proofErr w:type="spellStart"/>
      <w:r w:rsidRPr="00951EF6">
        <w:t>regorafenib</w:t>
      </w:r>
      <w:proofErr w:type="spellEnd"/>
      <w:r w:rsidRPr="00951EF6">
        <w:t xml:space="preserve"> compound and its two active metabolites M2 and M5) and relevant safety data in </w:t>
      </w:r>
      <w:r w:rsidR="00951EF6" w:rsidRPr="00951EF6">
        <w:t>Phase I</w:t>
      </w:r>
      <w:r w:rsidRPr="00951EF6">
        <w:t xml:space="preserve">II </w:t>
      </w:r>
      <w:r w:rsidR="00951EF6" w:rsidRPr="00951EF6">
        <w:t>Study 143</w:t>
      </w:r>
      <w:r w:rsidRPr="00951EF6">
        <w:t xml:space="preserve">87 </w:t>
      </w:r>
    </w:p>
    <w:p w:rsidR="00221B8B" w:rsidRPr="00951EF6" w:rsidRDefault="00221B8B" w:rsidP="00862DCE">
      <w:pPr>
        <w:pStyle w:val="ListBullet"/>
      </w:pPr>
      <w:r w:rsidRPr="00951EF6">
        <w:t xml:space="preserve">PH-37122 (14387) - Exploratory analysis of relationship between the exposure to total </w:t>
      </w:r>
      <w:proofErr w:type="spellStart"/>
      <w:r w:rsidRPr="00951EF6">
        <w:t>regorafenib</w:t>
      </w:r>
      <w:proofErr w:type="spellEnd"/>
      <w:r w:rsidRPr="00951EF6">
        <w:t xml:space="preserve"> (</w:t>
      </w:r>
      <w:proofErr w:type="spellStart"/>
      <w:r w:rsidRPr="00951EF6">
        <w:t>regorafenib</w:t>
      </w:r>
      <w:proofErr w:type="spellEnd"/>
      <w:r w:rsidRPr="00951EF6">
        <w:t xml:space="preserve"> aggregate, irrespective of plasma protein binding) and relevant safety data in </w:t>
      </w:r>
      <w:r w:rsidR="00951EF6" w:rsidRPr="00951EF6">
        <w:t>Phase I</w:t>
      </w:r>
      <w:r w:rsidRPr="00951EF6">
        <w:t xml:space="preserve">II </w:t>
      </w:r>
      <w:r w:rsidR="00951EF6" w:rsidRPr="00951EF6">
        <w:t>Study 143</w:t>
      </w:r>
      <w:r w:rsidRPr="00951EF6">
        <w:t>87</w:t>
      </w:r>
    </w:p>
    <w:p w:rsidR="00221B8B" w:rsidRPr="00951EF6" w:rsidRDefault="00221B8B" w:rsidP="00862DCE">
      <w:pPr>
        <w:pStyle w:val="ListBullet"/>
      </w:pPr>
      <w:r w:rsidRPr="00951EF6">
        <w:t xml:space="preserve">R-8813 (16282) Exposure-response analysis of </w:t>
      </w:r>
      <w:proofErr w:type="spellStart"/>
      <w:r w:rsidRPr="00951EF6">
        <w:t>regorafenib</w:t>
      </w:r>
      <w:proofErr w:type="spellEnd"/>
      <w:r w:rsidRPr="00951EF6">
        <w:t xml:space="preserve"> in </w:t>
      </w:r>
      <w:r w:rsidR="00951EF6" w:rsidRPr="00951EF6">
        <w:t>Phase I</w:t>
      </w:r>
      <w:r w:rsidRPr="00951EF6">
        <w:t xml:space="preserve">II GRID </w:t>
      </w:r>
      <w:r w:rsidR="004338FD">
        <w:t>Study 14</w:t>
      </w:r>
      <w:r w:rsidRPr="00951EF6">
        <w:t>874 [5.3.3.5.6-1]</w:t>
      </w:r>
    </w:p>
    <w:p w:rsidR="00221B8B" w:rsidRPr="00951EF6" w:rsidRDefault="00221B8B" w:rsidP="00862DCE">
      <w:pPr>
        <w:pStyle w:val="ListBullet"/>
      </w:pPr>
      <w:r w:rsidRPr="00951EF6">
        <w:t xml:space="preserve">PH-37281 (14874) Exploratory analysis of relationship between the exposure to </w:t>
      </w:r>
      <w:proofErr w:type="spellStart"/>
      <w:r w:rsidRPr="00951EF6">
        <w:t>regorafenib</w:t>
      </w:r>
      <w:proofErr w:type="spellEnd"/>
      <w:r w:rsidRPr="00951EF6">
        <w:t xml:space="preserve"> parent compound, </w:t>
      </w:r>
      <w:proofErr w:type="spellStart"/>
      <w:r w:rsidRPr="00951EF6">
        <w:t>regorafenib</w:t>
      </w:r>
      <w:proofErr w:type="spellEnd"/>
      <w:r w:rsidRPr="00951EF6">
        <w:t xml:space="preserve"> aggregate, and </w:t>
      </w:r>
      <w:proofErr w:type="spellStart"/>
      <w:r w:rsidRPr="00951EF6">
        <w:t>regorafenib</w:t>
      </w:r>
      <w:proofErr w:type="spellEnd"/>
      <w:r w:rsidRPr="00951EF6">
        <w:t xml:space="preserve"> total and relevant safety data for pooled data from GRID (Study 14874) study [5.3.3.5.7-1]</w:t>
      </w:r>
    </w:p>
    <w:p w:rsidR="00221B8B" w:rsidRPr="00951EF6" w:rsidRDefault="00221B8B" w:rsidP="00862DCE">
      <w:pPr>
        <w:pStyle w:val="ListBullet"/>
      </w:pPr>
      <w:r w:rsidRPr="00951EF6">
        <w:t xml:space="preserve">PH-37105 (14387+14874) Exploratory analysis of relationship between the exposure to </w:t>
      </w:r>
      <w:proofErr w:type="spellStart"/>
      <w:r w:rsidRPr="00951EF6">
        <w:t>regorafenib</w:t>
      </w:r>
      <w:proofErr w:type="spellEnd"/>
      <w:r w:rsidRPr="00951EF6">
        <w:t xml:space="preserve"> parent compound, </w:t>
      </w:r>
      <w:proofErr w:type="spellStart"/>
      <w:r w:rsidRPr="00951EF6">
        <w:t>regorafenib</w:t>
      </w:r>
      <w:proofErr w:type="spellEnd"/>
      <w:r w:rsidRPr="00951EF6">
        <w:t xml:space="preserve"> aggregate, and </w:t>
      </w:r>
      <w:proofErr w:type="spellStart"/>
      <w:r w:rsidRPr="00951EF6">
        <w:t>regorafenib</w:t>
      </w:r>
      <w:proofErr w:type="spellEnd"/>
      <w:r w:rsidRPr="00951EF6">
        <w:t xml:space="preserve"> total and relevant safety data for pooled data from CORRECT (Study 14387)</w:t>
      </w:r>
      <w:r w:rsidR="00951EF6" w:rsidRPr="00951EF6">
        <w:t xml:space="preserve"> and GRID (Study 14874) studies</w:t>
      </w:r>
    </w:p>
    <w:p w:rsidR="00221B8B" w:rsidRPr="00951EF6" w:rsidRDefault="00221B8B" w:rsidP="00753FEB">
      <w:pPr>
        <w:pStyle w:val="ListBullet"/>
      </w:pPr>
      <w:r w:rsidRPr="00951EF6">
        <w:t>R-</w:t>
      </w:r>
      <w:r w:rsidRPr="00753FEB">
        <w:t>8715</w:t>
      </w:r>
      <w:r w:rsidRPr="00951EF6">
        <w:t xml:space="preserve"> (14935) A non-randomised open-label, multi-</w:t>
      </w:r>
      <w:proofErr w:type="spellStart"/>
      <w:r w:rsidRPr="00951EF6">
        <w:t>center</w:t>
      </w:r>
      <w:proofErr w:type="spellEnd"/>
      <w:r w:rsidRPr="00951EF6">
        <w:t xml:space="preserve"> Phase II study evaluating the efficacy and safety of </w:t>
      </w:r>
      <w:proofErr w:type="spellStart"/>
      <w:r w:rsidRPr="00951EF6">
        <w:t>regorafenib</w:t>
      </w:r>
      <w:proofErr w:type="spellEnd"/>
      <w:r w:rsidRPr="00951EF6">
        <w:t xml:space="preserve"> in patients with metastatic and/or </w:t>
      </w:r>
      <w:proofErr w:type="spellStart"/>
      <w:r w:rsidRPr="00951EF6">
        <w:t>unresectable</w:t>
      </w:r>
      <w:proofErr w:type="spellEnd"/>
      <w:r w:rsidRPr="00951EF6">
        <w:t xml:space="preserve"> GIST, </w:t>
      </w:r>
      <w:r w:rsidRPr="00951EF6">
        <w:lastRenderedPageBreak/>
        <w:t xml:space="preserve">resistant or tolerant to at least </w:t>
      </w:r>
      <w:proofErr w:type="spellStart"/>
      <w:r w:rsidRPr="00951EF6">
        <w:t>imatinib</w:t>
      </w:r>
      <w:proofErr w:type="spellEnd"/>
      <w:r w:rsidRPr="00951EF6">
        <w:t xml:space="preserve"> and </w:t>
      </w:r>
      <w:proofErr w:type="spellStart"/>
      <w:r w:rsidRPr="00951EF6">
        <w:t>sunitinib</w:t>
      </w:r>
      <w:proofErr w:type="spellEnd"/>
      <w:r w:rsidR="00951EF6" w:rsidRPr="00951EF6">
        <w:t xml:space="preserve">. </w:t>
      </w:r>
      <w:r w:rsidRPr="00951EF6">
        <w:t>This was an analytical report of bio-analytical samples, and has not been evaluated in this CER.</w:t>
      </w:r>
    </w:p>
    <w:p w:rsidR="00586F98" w:rsidRDefault="00586F98" w:rsidP="00753FEB">
      <w:pPr>
        <w:pStyle w:val="Heading3"/>
      </w:pPr>
      <w:bookmarkStart w:id="18" w:name="_Toc436128327"/>
      <w:r w:rsidRPr="00753FEB">
        <w:t>Paediatric</w:t>
      </w:r>
      <w:r>
        <w:t xml:space="preserve"> data</w:t>
      </w:r>
      <w:bookmarkEnd w:id="18"/>
    </w:p>
    <w:p w:rsidR="00221B8B" w:rsidRDefault="00221B8B" w:rsidP="00753FEB">
      <w:r>
        <w:t xml:space="preserve">The submission did not include paediatric data. A paediatric investigation plan is in effect in the EU, while a paediatric waiver has been granted in the US due to the impracticality of </w:t>
      </w:r>
      <w:r w:rsidR="003414F3" w:rsidRPr="003414F3">
        <w:t xml:space="preserve">performing </w:t>
      </w:r>
      <w:r>
        <w:t>paediatric studies for CRC, and the drug being granted orphan drug status for GIST.</w:t>
      </w:r>
    </w:p>
    <w:p w:rsidR="00221B8B" w:rsidRDefault="00221B8B" w:rsidP="00753FEB">
      <w:pPr>
        <w:ind w:left="1134" w:hanging="1134"/>
      </w:pPr>
      <w:r w:rsidRPr="00951EF6">
        <w:rPr>
          <w:b/>
        </w:rPr>
        <w:t>Comment</w:t>
      </w:r>
      <w:r>
        <w:t>:</w:t>
      </w:r>
      <w:r>
        <w:tab/>
        <w:t>Due to the low incidence of GIST in the paediatric population, paediatric data is not necessary for this submission.</w:t>
      </w:r>
    </w:p>
    <w:p w:rsidR="00586F98" w:rsidRDefault="00586F98" w:rsidP="00753FEB">
      <w:pPr>
        <w:pStyle w:val="Heading3"/>
      </w:pPr>
      <w:bookmarkStart w:id="19" w:name="_Toc436128328"/>
      <w:r>
        <w:t>Good clinical practice</w:t>
      </w:r>
      <w:bookmarkEnd w:id="19"/>
    </w:p>
    <w:p w:rsidR="00221B8B" w:rsidRDefault="00221B8B" w:rsidP="00753FEB">
      <w:r>
        <w:t>It was stated that the conduct of all clinical studies submitted in this application met all local legal and regulatory requirements. All studies were stated to have been conducted in accordance with the ethical principles that have their origin in the Declaration of Helsinki and the International Conference on Harmonisation (ICH) guideline E6: Good Clinical Practice (GCP).</w:t>
      </w:r>
    </w:p>
    <w:p w:rsidR="00221B8B" w:rsidRDefault="00221B8B" w:rsidP="00753FEB">
      <w:pPr>
        <w:rPr>
          <w:rFonts w:eastAsia="Times New Roman"/>
        </w:rPr>
      </w:pPr>
      <w:r>
        <w:t>All population PK and exposure-response evaluations were stated to have been conducted in accordance with the recent FDA guidance on population pharmacokinetics (1999)</w:t>
      </w:r>
      <w:r>
        <w:rPr>
          <w:color w:val="0000FF"/>
        </w:rPr>
        <w:t xml:space="preserve"> </w:t>
      </w:r>
      <w:r>
        <w:t>and reported in accordance with the respective EMEA guideline (2007).</w:t>
      </w:r>
    </w:p>
    <w:p w:rsidR="00586F98" w:rsidRDefault="00586F98" w:rsidP="00753FEB">
      <w:pPr>
        <w:pStyle w:val="Heading2"/>
      </w:pPr>
      <w:bookmarkStart w:id="20" w:name="_Toc355338639"/>
      <w:bookmarkStart w:id="21" w:name="_Toc436128329"/>
      <w:r w:rsidRPr="00753FEB">
        <w:t>Pharmacokinetics</w:t>
      </w:r>
      <w:bookmarkEnd w:id="20"/>
      <w:bookmarkEnd w:id="21"/>
    </w:p>
    <w:p w:rsidR="00221B8B" w:rsidRDefault="00221B8B" w:rsidP="00753FEB">
      <w:pPr>
        <w:pStyle w:val="Heading3"/>
      </w:pPr>
      <w:bookmarkStart w:id="22" w:name="_Ref271018934"/>
      <w:bookmarkStart w:id="23" w:name="_Ref271018924"/>
      <w:bookmarkStart w:id="24" w:name="_Ref271017296"/>
      <w:bookmarkStart w:id="25" w:name="_Toc393799352"/>
      <w:bookmarkStart w:id="26" w:name="_Toc290846238"/>
      <w:bookmarkStart w:id="27" w:name="_Toc272414614"/>
      <w:bookmarkStart w:id="28" w:name="_Toc436128330"/>
      <w:r>
        <w:t>Studies</w:t>
      </w:r>
      <w:bookmarkEnd w:id="22"/>
      <w:bookmarkEnd w:id="23"/>
      <w:bookmarkEnd w:id="24"/>
      <w:r>
        <w:t xml:space="preserve"> providing </w:t>
      </w:r>
      <w:r w:rsidRPr="00753FEB">
        <w:t>pharmacokinetic</w:t>
      </w:r>
      <w:r>
        <w:t xml:space="preserve"> data</w:t>
      </w:r>
      <w:bookmarkEnd w:id="25"/>
      <w:bookmarkEnd w:id="26"/>
      <w:bookmarkEnd w:id="27"/>
      <w:bookmarkEnd w:id="28"/>
    </w:p>
    <w:p w:rsidR="00221B8B" w:rsidRDefault="00951EF6" w:rsidP="00753FEB">
      <w:r>
        <w:rPr>
          <w:b/>
        </w:rPr>
        <w:t>Table 1</w:t>
      </w:r>
      <w:r w:rsidR="00221B8B">
        <w:t xml:space="preserve"> shows the studies relating to each pharmacokinetic. The main pharmacokinetic data submitted with this submission related to population pharmacokinetic analyses.</w:t>
      </w:r>
    </w:p>
    <w:p w:rsidR="00221B8B" w:rsidRDefault="00221B8B" w:rsidP="00753FEB">
      <w:pPr>
        <w:pStyle w:val="Tabletitle"/>
      </w:pPr>
      <w:bookmarkStart w:id="29" w:name="_Ref272426277"/>
      <w:bookmarkStart w:id="30" w:name="_Toc393799480"/>
      <w:r>
        <w:t xml:space="preserve">Table </w:t>
      </w:r>
      <w:fldSimple w:instr=" SEQ Table \* ARABIC ">
        <w:r w:rsidR="00F27A19">
          <w:rPr>
            <w:noProof/>
          </w:rPr>
          <w:t>1</w:t>
        </w:r>
      </w:fldSimple>
      <w:bookmarkEnd w:id="29"/>
      <w:r w:rsidR="00951EF6">
        <w:t>:</w:t>
      </w:r>
      <w:r>
        <w:t xml:space="preserve"> Submitted </w:t>
      </w:r>
      <w:r w:rsidRPr="00753FEB">
        <w:t>pharmacokinetic</w:t>
      </w:r>
      <w:r>
        <w:t xml:space="preserve"> studies.</w:t>
      </w:r>
      <w:bookmarkEnd w:id="30"/>
    </w:p>
    <w:tbl>
      <w:tblPr>
        <w:tblStyle w:val="TableTGAblue"/>
        <w:tblW w:w="9039" w:type="dxa"/>
        <w:tblLayout w:type="fixed"/>
        <w:tblLook w:val="04A0" w:firstRow="1" w:lastRow="0" w:firstColumn="1" w:lastColumn="0" w:noHBand="0" w:noVBand="1"/>
      </w:tblPr>
      <w:tblGrid>
        <w:gridCol w:w="1669"/>
        <w:gridCol w:w="3685"/>
        <w:gridCol w:w="2834"/>
        <w:gridCol w:w="851"/>
      </w:tblGrid>
      <w:tr w:rsidR="00951EF6" w:rsidRPr="00EE6313" w:rsidTr="00EE6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hideMark/>
          </w:tcPr>
          <w:p w:rsidR="00951EF6" w:rsidRPr="00EE6313" w:rsidRDefault="00951EF6" w:rsidP="00EE6313">
            <w:pPr>
              <w:ind w:left="0" w:right="35"/>
              <w:rPr>
                <w:sz w:val="20"/>
                <w:szCs w:val="20"/>
              </w:rPr>
            </w:pPr>
            <w:r w:rsidRPr="00EE6313">
              <w:rPr>
                <w:sz w:val="20"/>
                <w:szCs w:val="20"/>
              </w:rPr>
              <w:t>PK topic</w:t>
            </w:r>
          </w:p>
        </w:tc>
        <w:tc>
          <w:tcPr>
            <w:tcW w:w="3685" w:type="dxa"/>
            <w:hideMark/>
          </w:tcPr>
          <w:p w:rsidR="00951EF6" w:rsidRPr="00EE6313" w:rsidRDefault="00951EF6" w:rsidP="00EE6313">
            <w:pPr>
              <w:ind w:left="32" w:right="35"/>
              <w:cnfStyle w:val="100000000000" w:firstRow="1" w:lastRow="0" w:firstColumn="0" w:lastColumn="0" w:oddVBand="0" w:evenVBand="0" w:oddHBand="0" w:evenHBand="0" w:firstRowFirstColumn="0" w:firstRowLastColumn="0" w:lastRowFirstColumn="0" w:lastRowLastColumn="0"/>
              <w:rPr>
                <w:sz w:val="20"/>
                <w:szCs w:val="20"/>
              </w:rPr>
            </w:pPr>
            <w:r w:rsidRPr="00EE6313">
              <w:rPr>
                <w:sz w:val="20"/>
                <w:szCs w:val="20"/>
              </w:rPr>
              <w:t>Subtopic</w:t>
            </w:r>
          </w:p>
        </w:tc>
        <w:tc>
          <w:tcPr>
            <w:tcW w:w="2834" w:type="dxa"/>
            <w:hideMark/>
          </w:tcPr>
          <w:p w:rsidR="00951EF6" w:rsidRPr="00EE6313" w:rsidRDefault="00951EF6" w:rsidP="00EE6313">
            <w:pPr>
              <w:ind w:left="33" w:right="34"/>
              <w:cnfStyle w:val="100000000000" w:firstRow="1" w:lastRow="0" w:firstColumn="0" w:lastColumn="0" w:oddVBand="0" w:evenVBand="0" w:oddHBand="0" w:evenHBand="0" w:firstRowFirstColumn="0" w:firstRowLastColumn="0" w:lastRowFirstColumn="0" w:lastRowLastColumn="0"/>
              <w:rPr>
                <w:sz w:val="20"/>
                <w:szCs w:val="20"/>
              </w:rPr>
            </w:pPr>
            <w:r w:rsidRPr="00EE6313">
              <w:rPr>
                <w:sz w:val="20"/>
                <w:szCs w:val="20"/>
              </w:rPr>
              <w:t>Study ID (report number)</w:t>
            </w:r>
          </w:p>
        </w:tc>
        <w:tc>
          <w:tcPr>
            <w:tcW w:w="851" w:type="dxa"/>
            <w:hideMark/>
          </w:tcPr>
          <w:p w:rsidR="00951EF6" w:rsidRPr="00EE6313" w:rsidRDefault="00951EF6" w:rsidP="00EE6313">
            <w:pPr>
              <w:jc w:val="center"/>
              <w:cnfStyle w:val="100000000000" w:firstRow="1" w:lastRow="0" w:firstColumn="0" w:lastColumn="0" w:oddVBand="0" w:evenVBand="0" w:oddHBand="0" w:evenHBand="0" w:firstRowFirstColumn="0" w:firstRowLastColumn="0" w:lastRowFirstColumn="0" w:lastRowLastColumn="0"/>
              <w:rPr>
                <w:sz w:val="20"/>
                <w:szCs w:val="20"/>
              </w:rPr>
            </w:pPr>
            <w:r w:rsidRPr="00EE6313">
              <w:rPr>
                <w:sz w:val="20"/>
                <w:szCs w:val="20"/>
              </w:rPr>
              <w:t>*</w:t>
            </w: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val="restart"/>
          </w:tcPr>
          <w:p w:rsidR="00951EF6" w:rsidRPr="00EE6313" w:rsidRDefault="00951EF6" w:rsidP="00EE6313">
            <w:pPr>
              <w:ind w:left="0" w:right="35"/>
              <w:rPr>
                <w:b/>
                <w:kern w:val="16"/>
                <w:sz w:val="20"/>
                <w:szCs w:val="20"/>
              </w:rPr>
            </w:pPr>
            <w:r w:rsidRPr="00EE6313">
              <w:rPr>
                <w:b/>
                <w:sz w:val="20"/>
                <w:szCs w:val="20"/>
              </w:rPr>
              <w:t>PK in special populations</w:t>
            </w:r>
          </w:p>
        </w:tc>
        <w:tc>
          <w:tcPr>
            <w:tcW w:w="3685" w:type="dxa"/>
            <w:hideMark/>
          </w:tcPr>
          <w:p w:rsidR="00951EF6" w:rsidRPr="00EE6313" w:rsidRDefault="00951EF6" w:rsidP="00EE6313">
            <w:pPr>
              <w:tabs>
                <w:tab w:val="left" w:pos="2152"/>
              </w:tabs>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Target population</w:t>
            </w:r>
            <w:r w:rsidR="00EE6313">
              <w:rPr>
                <w:sz w:val="20"/>
                <w:szCs w:val="20"/>
              </w:rPr>
              <w:tab/>
            </w:r>
            <w:r w:rsidRPr="00EE6313">
              <w:rPr>
                <w:sz w:val="20"/>
                <w:szCs w:val="20"/>
              </w:rPr>
              <w:t>- Single dose</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EE6313" w:rsidP="00EE6313">
            <w:pPr>
              <w:tabs>
                <w:tab w:val="left" w:pos="2159"/>
              </w:tabs>
              <w:ind w:left="32" w:right="3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
            </w:r>
            <w:r w:rsidR="00951EF6" w:rsidRPr="00EE6313">
              <w:rPr>
                <w:sz w:val="20"/>
                <w:szCs w:val="20"/>
              </w:rPr>
              <w:t>- Multi-dose</w:t>
            </w:r>
          </w:p>
        </w:tc>
        <w:tc>
          <w:tcPr>
            <w:tcW w:w="2834" w:type="dxa"/>
            <w:hideMark/>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14996 (PH-37053,</w:t>
            </w:r>
          </w:p>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2</w:t>
            </w:r>
            <w:r w:rsidRPr="00EE6313">
              <w:rPr>
                <w:sz w:val="20"/>
                <w:szCs w:val="20"/>
                <w:vertAlign w:val="superscript"/>
              </w:rPr>
              <w:t>nd</w:t>
            </w:r>
            <w:r w:rsidRPr="00EE6313">
              <w:rPr>
                <w:sz w:val="20"/>
                <w:szCs w:val="20"/>
              </w:rPr>
              <w:t xml:space="preserve"> Interim report)</w:t>
            </w: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Cancer patients</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Hepatic impairment</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Renal impairment</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Neonates/infants/children/adolescents</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Elderly</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val="restart"/>
            <w:hideMark/>
          </w:tcPr>
          <w:p w:rsidR="00951EF6" w:rsidRPr="00EE6313" w:rsidRDefault="00951EF6" w:rsidP="00EE6313">
            <w:pPr>
              <w:ind w:left="0" w:right="35"/>
              <w:rPr>
                <w:b/>
                <w:sz w:val="20"/>
                <w:szCs w:val="20"/>
              </w:rPr>
            </w:pPr>
            <w:r w:rsidRPr="00EE6313">
              <w:rPr>
                <w:b/>
                <w:sz w:val="20"/>
                <w:szCs w:val="20"/>
              </w:rPr>
              <w:t>Genetic/gender-related PK</w:t>
            </w: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 xml:space="preserve">Males </w:t>
            </w:r>
            <w:r w:rsidR="008B3958" w:rsidRPr="00EE6313">
              <w:rPr>
                <w:sz w:val="20"/>
                <w:szCs w:val="20"/>
              </w:rPr>
              <w:t>versus</w:t>
            </w:r>
            <w:r w:rsidRPr="00EE6313">
              <w:rPr>
                <w:sz w:val="20"/>
                <w:szCs w:val="20"/>
              </w:rPr>
              <w:t xml:space="preserve"> females</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b/>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Chinese patients</w:t>
            </w:r>
          </w:p>
        </w:tc>
        <w:tc>
          <w:tcPr>
            <w:tcW w:w="2834" w:type="dxa"/>
            <w:hideMark/>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14996 (PH-37053,</w:t>
            </w:r>
          </w:p>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2</w:t>
            </w:r>
            <w:r w:rsidRPr="00EE6313">
              <w:rPr>
                <w:sz w:val="20"/>
                <w:szCs w:val="20"/>
                <w:vertAlign w:val="superscript"/>
              </w:rPr>
              <w:t>nd</w:t>
            </w:r>
            <w:r w:rsidRPr="00EE6313">
              <w:rPr>
                <w:sz w:val="20"/>
                <w:szCs w:val="20"/>
              </w:rPr>
              <w:t xml:space="preserve"> Interim report)</w:t>
            </w:r>
          </w:p>
        </w:tc>
        <w:tc>
          <w:tcPr>
            <w:tcW w:w="851" w:type="dxa"/>
            <w:hideMark/>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w:t>
            </w: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val="restart"/>
            <w:hideMark/>
          </w:tcPr>
          <w:p w:rsidR="00951EF6" w:rsidRPr="00EE6313" w:rsidRDefault="00951EF6" w:rsidP="00EE6313">
            <w:pPr>
              <w:ind w:left="0" w:right="35"/>
              <w:rPr>
                <w:b/>
                <w:sz w:val="20"/>
                <w:szCs w:val="20"/>
              </w:rPr>
            </w:pPr>
            <w:r w:rsidRPr="00EE6313">
              <w:rPr>
                <w:b/>
                <w:sz w:val="20"/>
                <w:szCs w:val="20"/>
              </w:rPr>
              <w:lastRenderedPageBreak/>
              <w:t>Population PK analyses</w:t>
            </w: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Healthy subjects</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Target population</w:t>
            </w:r>
          </w:p>
        </w:tc>
        <w:tc>
          <w:tcPr>
            <w:tcW w:w="2834" w:type="dxa"/>
            <w:hideMark/>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14653 (R-8731)</w:t>
            </w:r>
          </w:p>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16282 (R-8814)</w:t>
            </w:r>
          </w:p>
        </w:tc>
        <w:tc>
          <w:tcPr>
            <w:tcW w:w="851" w:type="dxa"/>
            <w:hideMark/>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w:t>
            </w:r>
          </w:p>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w:t>
            </w:r>
          </w:p>
        </w:tc>
      </w:tr>
      <w:tr w:rsidR="00951EF6" w:rsidRPr="00EE6313" w:rsidTr="00EE6313">
        <w:tc>
          <w:tcPr>
            <w:cnfStyle w:val="001000000000" w:firstRow="0" w:lastRow="0" w:firstColumn="1" w:lastColumn="0" w:oddVBand="0" w:evenVBand="0" w:oddHBand="0" w:evenHBand="0" w:firstRowFirstColumn="0" w:firstRowLastColumn="0" w:lastRowFirstColumn="0" w:lastRowLastColumn="0"/>
            <w:tcW w:w="1669" w:type="dxa"/>
            <w:vMerge/>
            <w:hideMark/>
          </w:tcPr>
          <w:p w:rsidR="00951EF6" w:rsidRPr="00EE6313" w:rsidRDefault="00951EF6" w:rsidP="00EE6313">
            <w:pPr>
              <w:ind w:left="0" w:right="35"/>
              <w:rPr>
                <w:kern w:val="16"/>
                <w:sz w:val="20"/>
                <w:szCs w:val="20"/>
              </w:rPr>
            </w:pPr>
          </w:p>
        </w:tc>
        <w:tc>
          <w:tcPr>
            <w:tcW w:w="3685" w:type="dxa"/>
            <w:hideMark/>
          </w:tcPr>
          <w:p w:rsidR="00951EF6" w:rsidRPr="00EE6313" w:rsidRDefault="00951EF6" w:rsidP="00EE6313">
            <w:pPr>
              <w:ind w:left="32" w:right="35"/>
              <w:cnfStyle w:val="000000000000" w:firstRow="0" w:lastRow="0" w:firstColumn="0" w:lastColumn="0" w:oddVBand="0" w:evenVBand="0" w:oddHBand="0" w:evenHBand="0" w:firstRowFirstColumn="0" w:firstRowLastColumn="0" w:lastRowFirstColumn="0" w:lastRowLastColumn="0"/>
              <w:rPr>
                <w:sz w:val="20"/>
                <w:szCs w:val="20"/>
              </w:rPr>
            </w:pPr>
            <w:r w:rsidRPr="00EE6313">
              <w:rPr>
                <w:sz w:val="20"/>
                <w:szCs w:val="20"/>
              </w:rPr>
              <w:t>Other</w:t>
            </w:r>
          </w:p>
        </w:tc>
        <w:tc>
          <w:tcPr>
            <w:tcW w:w="2834" w:type="dxa"/>
          </w:tcPr>
          <w:p w:rsidR="00951EF6" w:rsidRPr="00EE6313" w:rsidRDefault="00951EF6" w:rsidP="00EE6313">
            <w:pPr>
              <w:ind w:left="33" w:right="34"/>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951EF6" w:rsidRPr="00EE6313" w:rsidRDefault="00951EF6" w:rsidP="00EE6313">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221B8B" w:rsidRDefault="00221B8B" w:rsidP="00EE6313">
      <w:pPr>
        <w:pStyle w:val="TableDescription"/>
      </w:pPr>
      <w:r>
        <w:t>* Indicates the primary aim of the study.</w:t>
      </w:r>
      <w:r w:rsidR="001669E0">
        <w:t xml:space="preserve"> </w:t>
      </w:r>
      <w:r>
        <w:t>† Bioequivalence of different formulations.</w:t>
      </w:r>
      <w:r w:rsidR="001669E0">
        <w:t xml:space="preserve"> </w:t>
      </w:r>
      <w:r>
        <w:t>§ Subjects who would be eligible to receive the drug if approved for the proposed indication.</w:t>
      </w:r>
    </w:p>
    <w:p w:rsidR="00221B8B" w:rsidRPr="001669E0" w:rsidRDefault="001669E0" w:rsidP="00EE6313">
      <w:r w:rsidRPr="001669E0">
        <w:t>Table 2</w:t>
      </w:r>
      <w:r w:rsidR="00221B8B" w:rsidRPr="001669E0">
        <w:t xml:space="preserve"> lists pharmacokinetic results that were excluded from consideration due to study deficiencies.</w:t>
      </w:r>
    </w:p>
    <w:p w:rsidR="00221B8B" w:rsidRDefault="00221B8B" w:rsidP="00EE6313">
      <w:pPr>
        <w:pStyle w:val="Tabletitle"/>
      </w:pPr>
      <w:bookmarkStart w:id="31" w:name="_Ref271031346"/>
      <w:bookmarkStart w:id="32" w:name="_Toc393799481"/>
      <w:r>
        <w:t xml:space="preserve">Table </w:t>
      </w:r>
      <w:fldSimple w:instr=" SEQ Table \* ARABIC ">
        <w:r w:rsidR="00F27A19">
          <w:rPr>
            <w:noProof/>
          </w:rPr>
          <w:t>2</w:t>
        </w:r>
      </w:fldSimple>
      <w:bookmarkEnd w:id="31"/>
      <w:r w:rsidR="001669E0">
        <w:t>:</w:t>
      </w:r>
      <w:r>
        <w:t xml:space="preserve"> Pharmacokinetic </w:t>
      </w:r>
      <w:r w:rsidRPr="00EE6313">
        <w:t>results</w:t>
      </w:r>
      <w:r>
        <w:t xml:space="preserve"> excluded from consideration.</w:t>
      </w:r>
      <w:bookmarkEnd w:id="32"/>
    </w:p>
    <w:tbl>
      <w:tblPr>
        <w:tblStyle w:val="TableTGAblue"/>
        <w:tblW w:w="9180" w:type="dxa"/>
        <w:tblLayout w:type="fixed"/>
        <w:tblLook w:val="04A0" w:firstRow="1" w:lastRow="0" w:firstColumn="1" w:lastColumn="0" w:noHBand="0" w:noVBand="1"/>
      </w:tblPr>
      <w:tblGrid>
        <w:gridCol w:w="1668"/>
        <w:gridCol w:w="3969"/>
        <w:gridCol w:w="3543"/>
      </w:tblGrid>
      <w:tr w:rsidR="001669E0" w:rsidRPr="00EE6313" w:rsidTr="00EE63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1669E0" w:rsidP="00EE6313">
            <w:pPr>
              <w:ind w:left="0" w:right="34"/>
              <w:rPr>
                <w:kern w:val="16"/>
                <w:sz w:val="20"/>
                <w:szCs w:val="20"/>
              </w:rPr>
            </w:pPr>
            <w:r w:rsidRPr="00EE6313">
              <w:rPr>
                <w:sz w:val="20"/>
                <w:szCs w:val="20"/>
              </w:rPr>
              <w:t>Study ID</w:t>
            </w:r>
          </w:p>
        </w:tc>
        <w:tc>
          <w:tcPr>
            <w:tcW w:w="3969" w:type="dxa"/>
            <w:hideMark/>
          </w:tcPr>
          <w:p w:rsidR="001669E0" w:rsidRPr="00EE6313" w:rsidRDefault="001669E0" w:rsidP="00EE6313">
            <w:pPr>
              <w:ind w:left="33" w:right="34"/>
              <w:cnfStyle w:val="100000000000" w:firstRow="1" w:lastRow="0" w:firstColumn="0" w:lastColumn="0" w:oddVBand="0" w:evenVBand="0" w:oddHBand="0" w:evenHBand="0" w:firstRowFirstColumn="0" w:firstRowLastColumn="0" w:lastRowFirstColumn="0" w:lastRowLastColumn="0"/>
              <w:rPr>
                <w:kern w:val="16"/>
                <w:sz w:val="20"/>
                <w:szCs w:val="20"/>
              </w:rPr>
            </w:pPr>
            <w:r w:rsidRPr="00EE6313">
              <w:rPr>
                <w:sz w:val="20"/>
                <w:szCs w:val="20"/>
              </w:rPr>
              <w:t>Subtopic(s)</w:t>
            </w:r>
          </w:p>
        </w:tc>
        <w:tc>
          <w:tcPr>
            <w:tcW w:w="3543" w:type="dxa"/>
            <w:hideMark/>
          </w:tcPr>
          <w:p w:rsidR="00192ED5" w:rsidRPr="00EE6313" w:rsidRDefault="001669E0" w:rsidP="00EE6313">
            <w:pPr>
              <w:ind w:left="33" w:right="33"/>
              <w:cnfStyle w:val="100000000000" w:firstRow="1" w:lastRow="0" w:firstColumn="0" w:lastColumn="0" w:oddVBand="0" w:evenVBand="0" w:oddHBand="0" w:evenHBand="0" w:firstRowFirstColumn="0" w:firstRowLastColumn="0" w:lastRowFirstColumn="0" w:lastRowLastColumn="0"/>
              <w:rPr>
                <w:sz w:val="20"/>
                <w:szCs w:val="20"/>
              </w:rPr>
            </w:pPr>
            <w:r w:rsidRPr="00EE6313">
              <w:rPr>
                <w:sz w:val="20"/>
                <w:szCs w:val="20"/>
              </w:rPr>
              <w:t>PK results excluded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11651</w:t>
            </w:r>
          </w:p>
          <w:p w:rsidR="001669E0" w:rsidRPr="00EE6313" w:rsidRDefault="001669E0" w:rsidP="00EE6313">
            <w:pPr>
              <w:ind w:left="0" w:right="34"/>
              <w:rPr>
                <w:kern w:val="16"/>
                <w:sz w:val="20"/>
                <w:szCs w:val="20"/>
              </w:rPr>
            </w:pPr>
            <w:r w:rsidRPr="00EE6313">
              <w:rPr>
                <w:sz w:val="20"/>
                <w:szCs w:val="20"/>
              </w:rPr>
              <w:t>(PH-36984)</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Expansion cohort analysis of patients with HCC and NSCLC</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Effect of hepatic impairment on </w:t>
            </w:r>
            <w:proofErr w:type="spellStart"/>
            <w:r w:rsidRPr="00EE6313">
              <w:rPr>
                <w:sz w:val="20"/>
                <w:szCs w:val="20"/>
              </w:rPr>
              <w:t>regorafenib</w:t>
            </w:r>
            <w:proofErr w:type="spellEnd"/>
            <w:r w:rsidRPr="00EE6313">
              <w:rPr>
                <w:sz w:val="20"/>
                <w:szCs w:val="20"/>
              </w:rPr>
              <w:t xml:space="preserve"> PK -  not based on representative sample</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14653</w:t>
            </w:r>
          </w:p>
          <w:p w:rsidR="001669E0" w:rsidRPr="00EE6313" w:rsidRDefault="001669E0" w:rsidP="00EE6313">
            <w:pPr>
              <w:ind w:left="0" w:right="34"/>
              <w:rPr>
                <w:kern w:val="16"/>
                <w:sz w:val="20"/>
                <w:szCs w:val="20"/>
              </w:rPr>
            </w:pPr>
            <w:r w:rsidRPr="00EE6313">
              <w:rPr>
                <w:sz w:val="20"/>
                <w:szCs w:val="20"/>
              </w:rPr>
              <w:t>(R-8738)</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Exposure-response analysis of </w:t>
            </w:r>
            <w:proofErr w:type="spellStart"/>
            <w:r w:rsidRPr="00EE6313">
              <w:rPr>
                <w:sz w:val="20"/>
                <w:szCs w:val="20"/>
              </w:rPr>
              <w:t>regorafenib</w:t>
            </w:r>
            <w:proofErr w:type="spellEnd"/>
            <w:r w:rsidRPr="00EE6313">
              <w:rPr>
                <w:sz w:val="20"/>
                <w:szCs w:val="20"/>
              </w:rPr>
              <w:t xml:space="preserve"> in Phase III Study 14387</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 not fully evaluated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14387</w:t>
            </w:r>
          </w:p>
          <w:p w:rsidR="001669E0" w:rsidRPr="00EE6313" w:rsidRDefault="001669E0" w:rsidP="00EE6313">
            <w:pPr>
              <w:ind w:left="0" w:right="34"/>
              <w:rPr>
                <w:kern w:val="16"/>
                <w:sz w:val="20"/>
                <w:szCs w:val="20"/>
              </w:rPr>
            </w:pPr>
            <w:r w:rsidRPr="00EE6313">
              <w:rPr>
                <w:sz w:val="20"/>
                <w:szCs w:val="20"/>
              </w:rPr>
              <w:t>(PH-36914)</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Exploratory analysis of </w:t>
            </w:r>
            <w:proofErr w:type="spellStart"/>
            <w:r w:rsidRPr="00EE6313">
              <w:rPr>
                <w:sz w:val="20"/>
                <w:szCs w:val="20"/>
              </w:rPr>
              <w:t>regorafenib</w:t>
            </w:r>
            <w:proofErr w:type="spellEnd"/>
            <w:r w:rsidRPr="00EE6313">
              <w:rPr>
                <w:sz w:val="20"/>
                <w:szCs w:val="20"/>
              </w:rPr>
              <w:t xml:space="preserve"> exposure and safety data in Study 14387</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 not fully evaluated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14387</w:t>
            </w:r>
          </w:p>
          <w:p w:rsidR="001669E0" w:rsidRPr="00EE6313" w:rsidRDefault="001669E0" w:rsidP="00EE6313">
            <w:pPr>
              <w:ind w:left="0" w:right="34"/>
              <w:rPr>
                <w:kern w:val="16"/>
                <w:sz w:val="20"/>
                <w:szCs w:val="20"/>
              </w:rPr>
            </w:pPr>
            <w:r w:rsidRPr="00EE6313">
              <w:rPr>
                <w:sz w:val="20"/>
                <w:szCs w:val="20"/>
              </w:rPr>
              <w:t>(PH-37122)</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Exploratory analysis of </w:t>
            </w:r>
            <w:proofErr w:type="spellStart"/>
            <w:r w:rsidRPr="00EE6313">
              <w:rPr>
                <w:sz w:val="20"/>
                <w:szCs w:val="20"/>
              </w:rPr>
              <w:t>regorafenib</w:t>
            </w:r>
            <w:proofErr w:type="spellEnd"/>
            <w:r w:rsidRPr="00EE6313">
              <w:rPr>
                <w:sz w:val="20"/>
                <w:szCs w:val="20"/>
              </w:rPr>
              <w:t xml:space="preserve"> exposure and safety data in Study 14387</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 not fully evaluated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16282</w:t>
            </w:r>
          </w:p>
          <w:p w:rsidR="001669E0" w:rsidRPr="00EE6313" w:rsidRDefault="001669E0" w:rsidP="00EE6313">
            <w:pPr>
              <w:ind w:left="0" w:right="34"/>
              <w:rPr>
                <w:kern w:val="16"/>
                <w:sz w:val="20"/>
                <w:szCs w:val="20"/>
              </w:rPr>
            </w:pPr>
            <w:r w:rsidRPr="00EE6313">
              <w:rPr>
                <w:sz w:val="20"/>
                <w:szCs w:val="20"/>
              </w:rPr>
              <w:t>(R-8813)</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Exposure-response analysis of </w:t>
            </w:r>
            <w:proofErr w:type="spellStart"/>
            <w:r w:rsidRPr="00EE6313">
              <w:rPr>
                <w:sz w:val="20"/>
                <w:szCs w:val="20"/>
              </w:rPr>
              <w:t>regorafenib</w:t>
            </w:r>
            <w:proofErr w:type="spellEnd"/>
            <w:r w:rsidRPr="00EE6313">
              <w:rPr>
                <w:sz w:val="20"/>
                <w:szCs w:val="20"/>
              </w:rPr>
              <w:t xml:space="preserve"> in Study 14874</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 not fully evaluated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14874</w:t>
            </w:r>
          </w:p>
          <w:p w:rsidR="001669E0" w:rsidRPr="00EE6313" w:rsidRDefault="001669E0" w:rsidP="00EE6313">
            <w:pPr>
              <w:ind w:left="0" w:right="34"/>
              <w:rPr>
                <w:kern w:val="16"/>
                <w:sz w:val="20"/>
                <w:szCs w:val="20"/>
              </w:rPr>
            </w:pPr>
            <w:r w:rsidRPr="00EE6313">
              <w:rPr>
                <w:sz w:val="20"/>
                <w:szCs w:val="20"/>
              </w:rPr>
              <w:t>(PH-37281)</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Exploratory analysis of </w:t>
            </w:r>
            <w:proofErr w:type="spellStart"/>
            <w:r w:rsidRPr="00EE6313">
              <w:rPr>
                <w:sz w:val="20"/>
                <w:szCs w:val="20"/>
              </w:rPr>
              <w:t>regorafenib</w:t>
            </w:r>
            <w:proofErr w:type="spellEnd"/>
            <w:r w:rsidRPr="00EE6313">
              <w:rPr>
                <w:sz w:val="20"/>
                <w:szCs w:val="20"/>
              </w:rPr>
              <w:t xml:space="preserve"> exposure and safety data from Study 14874</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 not fully evaluated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EE6313" w:rsidRDefault="00EE6313" w:rsidP="00EE6313">
            <w:pPr>
              <w:ind w:left="0" w:right="34"/>
              <w:rPr>
                <w:sz w:val="20"/>
                <w:szCs w:val="20"/>
              </w:rPr>
            </w:pPr>
            <w:r>
              <w:rPr>
                <w:sz w:val="20"/>
                <w:szCs w:val="20"/>
              </w:rPr>
              <w:t>14387+14874</w:t>
            </w:r>
          </w:p>
          <w:p w:rsidR="001669E0" w:rsidRPr="00EE6313" w:rsidRDefault="001669E0" w:rsidP="00EE6313">
            <w:pPr>
              <w:ind w:left="0" w:right="34"/>
              <w:rPr>
                <w:kern w:val="16"/>
                <w:sz w:val="20"/>
                <w:szCs w:val="20"/>
              </w:rPr>
            </w:pPr>
            <w:r w:rsidRPr="00EE6313">
              <w:rPr>
                <w:sz w:val="20"/>
                <w:szCs w:val="20"/>
              </w:rPr>
              <w:t>(PH-37105)</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Exploratory analysis of </w:t>
            </w:r>
            <w:proofErr w:type="spellStart"/>
            <w:r w:rsidRPr="00EE6313">
              <w:rPr>
                <w:sz w:val="20"/>
                <w:szCs w:val="20"/>
              </w:rPr>
              <w:t>regorafenib</w:t>
            </w:r>
            <w:proofErr w:type="spellEnd"/>
            <w:r w:rsidRPr="00EE6313">
              <w:rPr>
                <w:sz w:val="20"/>
                <w:szCs w:val="20"/>
              </w:rPr>
              <w:t xml:space="preserve"> exposure and pooled safety data from Studies 14387 and 14874</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 not fully evaluated</w:t>
            </w:r>
          </w:p>
        </w:tc>
      </w:tr>
      <w:tr w:rsidR="001669E0" w:rsidRPr="00EE6313" w:rsidTr="00EE6313">
        <w:tc>
          <w:tcPr>
            <w:cnfStyle w:val="001000000000" w:firstRow="0" w:lastRow="0" w:firstColumn="1" w:lastColumn="0" w:oddVBand="0" w:evenVBand="0" w:oddHBand="0" w:evenHBand="0" w:firstRowFirstColumn="0" w:firstRowLastColumn="0" w:lastRowFirstColumn="0" w:lastRowLastColumn="0"/>
            <w:tcW w:w="1668" w:type="dxa"/>
            <w:hideMark/>
          </w:tcPr>
          <w:p w:rsidR="001669E0" w:rsidRPr="00EE6313" w:rsidRDefault="00EE6313" w:rsidP="00EE6313">
            <w:pPr>
              <w:ind w:left="0" w:right="34"/>
              <w:rPr>
                <w:sz w:val="20"/>
                <w:szCs w:val="20"/>
              </w:rPr>
            </w:pPr>
            <w:r>
              <w:rPr>
                <w:sz w:val="20"/>
                <w:szCs w:val="20"/>
              </w:rPr>
              <w:t>16392</w:t>
            </w:r>
          </w:p>
          <w:p w:rsidR="001669E0" w:rsidRPr="00EE6313" w:rsidRDefault="001669E0" w:rsidP="00EE6313">
            <w:pPr>
              <w:ind w:left="0" w:right="34"/>
              <w:rPr>
                <w:kern w:val="16"/>
                <w:sz w:val="20"/>
                <w:szCs w:val="20"/>
              </w:rPr>
            </w:pPr>
            <w:r w:rsidRPr="00EE6313">
              <w:rPr>
                <w:sz w:val="20"/>
                <w:szCs w:val="20"/>
              </w:rPr>
              <w:t>(PH-37027)</w:t>
            </w:r>
          </w:p>
        </w:tc>
        <w:tc>
          <w:tcPr>
            <w:tcW w:w="3969" w:type="dxa"/>
            <w:hideMark/>
          </w:tcPr>
          <w:p w:rsidR="001669E0" w:rsidRPr="00EE6313" w:rsidRDefault="001669E0" w:rsidP="00EE6313">
            <w:pPr>
              <w:ind w:left="33" w:right="34"/>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 xml:space="preserve">Exploratory analysis of </w:t>
            </w:r>
            <w:proofErr w:type="spellStart"/>
            <w:r w:rsidRPr="00EE6313">
              <w:rPr>
                <w:sz w:val="20"/>
                <w:szCs w:val="20"/>
              </w:rPr>
              <w:t>regorafenib</w:t>
            </w:r>
            <w:proofErr w:type="spellEnd"/>
            <w:r w:rsidRPr="00EE6313">
              <w:rPr>
                <w:sz w:val="20"/>
                <w:szCs w:val="20"/>
              </w:rPr>
              <w:t xml:space="preserve"> pharmacokinetics using physiologically-based pharmacokinetic (PBPK) modelling – effect of hepatic and renal impairment</w:t>
            </w:r>
          </w:p>
        </w:tc>
        <w:tc>
          <w:tcPr>
            <w:tcW w:w="3543" w:type="dxa"/>
            <w:hideMark/>
          </w:tcPr>
          <w:p w:rsidR="001669E0" w:rsidRPr="00EE6313" w:rsidRDefault="001669E0" w:rsidP="00EE6313">
            <w:pPr>
              <w:ind w:left="33" w:right="33"/>
              <w:cnfStyle w:val="000000000000" w:firstRow="0" w:lastRow="0" w:firstColumn="0" w:lastColumn="0" w:oddVBand="0" w:evenVBand="0" w:oddHBand="0" w:evenHBand="0" w:firstRowFirstColumn="0" w:firstRowLastColumn="0" w:lastRowFirstColumn="0" w:lastRowLastColumn="0"/>
              <w:rPr>
                <w:kern w:val="16"/>
                <w:sz w:val="20"/>
                <w:szCs w:val="20"/>
              </w:rPr>
            </w:pPr>
            <w:r w:rsidRPr="00EE6313">
              <w:rPr>
                <w:sz w:val="20"/>
                <w:szCs w:val="20"/>
              </w:rPr>
              <w:t>Exploratory analysis, based on modelled parameters (no actual patients with hepatic or renal impairment) and in virtual populations, base model not submitted for evaluation.</w:t>
            </w:r>
          </w:p>
        </w:tc>
      </w:tr>
    </w:tbl>
    <w:p w:rsidR="00221B8B" w:rsidRDefault="00221B8B" w:rsidP="00EE6313">
      <w:pPr>
        <w:pStyle w:val="Heading2"/>
      </w:pPr>
      <w:bookmarkStart w:id="33" w:name="_Toc393799353"/>
      <w:bookmarkStart w:id="34" w:name="_Toc290846239"/>
      <w:bookmarkStart w:id="35" w:name="_Toc272414616"/>
      <w:bookmarkStart w:id="36" w:name="_Ref269118175"/>
      <w:bookmarkStart w:id="37" w:name="_Toc436128331"/>
      <w:r>
        <w:lastRenderedPageBreak/>
        <w:t xml:space="preserve">Summary of </w:t>
      </w:r>
      <w:r w:rsidRPr="00EE6313">
        <w:t>pharmacokinetics</w:t>
      </w:r>
      <w:bookmarkEnd w:id="33"/>
      <w:bookmarkEnd w:id="34"/>
      <w:bookmarkEnd w:id="35"/>
      <w:bookmarkEnd w:id="36"/>
      <w:bookmarkEnd w:id="37"/>
    </w:p>
    <w:p w:rsidR="00221B8B" w:rsidRDefault="00221B8B" w:rsidP="00EE6313">
      <w:r>
        <w:t>The information in the following summary is derived from conventional pharmacokinetic studies unless otherwise stated.</w:t>
      </w:r>
    </w:p>
    <w:p w:rsidR="00221B8B" w:rsidRDefault="00221B8B" w:rsidP="00EE6313">
      <w:pPr>
        <w:pStyle w:val="Heading3"/>
      </w:pPr>
      <w:bookmarkStart w:id="38" w:name="_Toc393799354"/>
      <w:bookmarkStart w:id="39" w:name="_Toc290846240"/>
      <w:bookmarkStart w:id="40" w:name="_Toc272414617"/>
      <w:bookmarkStart w:id="41" w:name="_Toc436128332"/>
      <w:r w:rsidRPr="00EE6313">
        <w:t>Physicochemical</w:t>
      </w:r>
      <w:r>
        <w:t xml:space="preserve"> characteristics of the active substance</w:t>
      </w:r>
      <w:bookmarkEnd w:id="38"/>
      <w:bookmarkEnd w:id="39"/>
      <w:bookmarkEnd w:id="40"/>
      <w:bookmarkEnd w:id="41"/>
    </w:p>
    <w:p w:rsidR="00221B8B" w:rsidRDefault="00221B8B" w:rsidP="00EE6313">
      <w:r>
        <w:t>No new data was presented with this submission.</w:t>
      </w:r>
    </w:p>
    <w:p w:rsidR="00221B8B" w:rsidRDefault="00221B8B" w:rsidP="00EE6313">
      <w:pPr>
        <w:pStyle w:val="Heading3"/>
      </w:pPr>
      <w:bookmarkStart w:id="42" w:name="_Toc393799355"/>
      <w:bookmarkStart w:id="43" w:name="_Toc290846241"/>
      <w:bookmarkStart w:id="44" w:name="_Toc272414618"/>
      <w:bookmarkStart w:id="45" w:name="_Ref271189143"/>
      <w:bookmarkStart w:id="46" w:name="_Ref271189106"/>
      <w:bookmarkStart w:id="47" w:name="_Toc436128333"/>
      <w:r w:rsidRPr="00EE6313">
        <w:t>Pharmacokinetics</w:t>
      </w:r>
      <w:r>
        <w:t xml:space="preserve"> in healthy subjects</w:t>
      </w:r>
      <w:bookmarkEnd w:id="42"/>
      <w:bookmarkEnd w:id="43"/>
      <w:bookmarkEnd w:id="44"/>
      <w:bookmarkEnd w:id="45"/>
      <w:bookmarkEnd w:id="46"/>
      <w:bookmarkEnd w:id="47"/>
    </w:p>
    <w:p w:rsidR="00221B8B" w:rsidRDefault="00221B8B" w:rsidP="00EE6313">
      <w:r>
        <w:t>No new data was presented with this submission.</w:t>
      </w:r>
    </w:p>
    <w:p w:rsidR="00221B8B" w:rsidRDefault="00221B8B" w:rsidP="00EE6313">
      <w:pPr>
        <w:pStyle w:val="Heading3"/>
      </w:pPr>
      <w:bookmarkStart w:id="48" w:name="_Toc290846248"/>
      <w:bookmarkStart w:id="49" w:name="_Toc272414625"/>
      <w:bookmarkStart w:id="50" w:name="_Ref271189136"/>
      <w:bookmarkStart w:id="51" w:name="_Ref271189131"/>
      <w:bookmarkStart w:id="52" w:name="_Toc241374292"/>
      <w:bookmarkStart w:id="53" w:name="_Toc393799356"/>
      <w:bookmarkStart w:id="54" w:name="_Toc436128334"/>
      <w:r w:rsidRPr="00EE6313">
        <w:t>Pharmacokinetics</w:t>
      </w:r>
      <w:r>
        <w:t xml:space="preserve"> in the target population</w:t>
      </w:r>
      <w:bookmarkEnd w:id="48"/>
      <w:bookmarkEnd w:id="49"/>
      <w:bookmarkEnd w:id="50"/>
      <w:bookmarkEnd w:id="51"/>
      <w:bookmarkEnd w:id="52"/>
      <w:r>
        <w:t>/patients with advanced malignancies</w:t>
      </w:r>
      <w:bookmarkEnd w:id="53"/>
      <w:bookmarkEnd w:id="54"/>
    </w:p>
    <w:p w:rsidR="00221B8B" w:rsidRDefault="00221B8B" w:rsidP="001669E0">
      <w:pPr>
        <w:pStyle w:val="Heading4"/>
      </w:pPr>
      <w:r w:rsidRPr="001669E0">
        <w:t>Absorption</w:t>
      </w:r>
    </w:p>
    <w:p w:rsidR="00221B8B" w:rsidRDefault="00221B8B" w:rsidP="00EE6313">
      <w:r>
        <w:t>No new data was presented with this submission.</w:t>
      </w:r>
    </w:p>
    <w:p w:rsidR="00221B8B" w:rsidRDefault="00221B8B" w:rsidP="00EE6313">
      <w:r>
        <w:t xml:space="preserve">As described in the PI: </w:t>
      </w:r>
      <w:proofErr w:type="spellStart"/>
      <w:r>
        <w:t>Regorafenib</w:t>
      </w:r>
      <w:proofErr w:type="spellEnd"/>
      <w:r>
        <w:t xml:space="preserve"> reaches mean peak plasma levels of approximately 2.5 mg/L at approximately three to four hours after a single oral dose of 160 mg </w:t>
      </w:r>
      <w:proofErr w:type="spellStart"/>
      <w:r>
        <w:t>regorafenib</w:t>
      </w:r>
      <w:proofErr w:type="spellEnd"/>
      <w:r>
        <w:t>.</w:t>
      </w:r>
    </w:p>
    <w:p w:rsidR="00221B8B" w:rsidRDefault="00221B8B" w:rsidP="00EE6313">
      <w:pPr>
        <w:pStyle w:val="Heading4"/>
      </w:pPr>
      <w:r w:rsidRPr="00EE6313">
        <w:t>Bioavailability</w:t>
      </w:r>
    </w:p>
    <w:p w:rsidR="00221B8B" w:rsidRDefault="00221B8B" w:rsidP="00EE6313">
      <w:r>
        <w:t>No new data was presented with this submission.</w:t>
      </w:r>
    </w:p>
    <w:p w:rsidR="00221B8B" w:rsidRDefault="00221B8B" w:rsidP="00221B8B">
      <w:r>
        <w:t>As described in the PI: The mean relative bioavailability of the tablets compared to an oral solution is 69-83%.</w:t>
      </w:r>
    </w:p>
    <w:p w:rsidR="00221B8B" w:rsidRDefault="00221B8B" w:rsidP="00EE6313">
      <w:pPr>
        <w:pStyle w:val="Heading4"/>
      </w:pPr>
      <w:r w:rsidRPr="00EE6313">
        <w:t>Distribution</w:t>
      </w:r>
    </w:p>
    <w:p w:rsidR="00221B8B" w:rsidRDefault="00221B8B" w:rsidP="00EE6313">
      <w:r>
        <w:t>No new data was presented with this submission.</w:t>
      </w:r>
    </w:p>
    <w:p w:rsidR="00221B8B" w:rsidRDefault="00221B8B" w:rsidP="00EE6313">
      <w:r>
        <w:t xml:space="preserve">The population PK analyses used the Volume of distribution at steady state (VSS) of 88.0L as a fixed parameter, as calculated from Study 11650 (previously evaluated </w:t>
      </w:r>
      <w:r w:rsidR="001669E0">
        <w:t>by the TGA</w:t>
      </w:r>
      <w:r w:rsidRPr="00FC5D6A">
        <w:t>).</w:t>
      </w:r>
    </w:p>
    <w:p w:rsidR="00221B8B" w:rsidRDefault="00221B8B" w:rsidP="00EE6313">
      <w:pPr>
        <w:pStyle w:val="Heading4"/>
      </w:pPr>
      <w:r w:rsidRPr="00EE6313">
        <w:t>Metabolism</w:t>
      </w:r>
    </w:p>
    <w:p w:rsidR="00221B8B" w:rsidRDefault="00221B8B" w:rsidP="00EE6313">
      <w:pPr>
        <w:pStyle w:val="Heading5"/>
        <w:rPr>
          <w:color w:val="auto"/>
        </w:rPr>
      </w:pPr>
      <w:r>
        <w:t>Non-</w:t>
      </w:r>
      <w:r w:rsidRPr="00EE6313">
        <w:t>renal</w:t>
      </w:r>
      <w:r>
        <w:t xml:space="preserve"> clearance</w:t>
      </w:r>
    </w:p>
    <w:p w:rsidR="00221B8B" w:rsidRDefault="00221B8B" w:rsidP="00EE6313">
      <w:r>
        <w:t xml:space="preserve">As described in the PI: </w:t>
      </w:r>
      <w:proofErr w:type="spellStart"/>
      <w:r>
        <w:t>Regorafenib</w:t>
      </w:r>
      <w:proofErr w:type="spellEnd"/>
      <w:r>
        <w:t xml:space="preserve"> has been found to be metabolised primarily in the liver</w:t>
      </w:r>
      <w:r>
        <w:rPr>
          <w:sz w:val="18"/>
          <w:szCs w:val="18"/>
        </w:rPr>
        <w:t xml:space="preserve"> </w:t>
      </w:r>
      <w:r>
        <w:t>by oxidative</w:t>
      </w:r>
      <w:r w:rsidRPr="00EE6313">
        <w:t xml:space="preserve"> </w:t>
      </w:r>
      <w:r>
        <w:t xml:space="preserve">metabolism mediated by CYP3A4, as well as by </w:t>
      </w:r>
      <w:proofErr w:type="spellStart"/>
      <w:r>
        <w:t>glucuronidation</w:t>
      </w:r>
      <w:proofErr w:type="spellEnd"/>
      <w:r>
        <w:t xml:space="preserve"> mediated by UGT1A9.</w:t>
      </w:r>
    </w:p>
    <w:p w:rsidR="00221B8B" w:rsidRDefault="00221B8B" w:rsidP="00EE6313">
      <w:r>
        <w:t xml:space="preserve">In the population PK analyses, parent </w:t>
      </w:r>
      <w:proofErr w:type="spellStart"/>
      <w:r>
        <w:t>regorafenib</w:t>
      </w:r>
      <w:proofErr w:type="spellEnd"/>
      <w:r>
        <w:t xml:space="preserve"> clearance was calculated at 1.45 L/h based on data from </w:t>
      </w:r>
      <w:r w:rsidR="001669E0">
        <w:t>Studies 11</w:t>
      </w:r>
      <w:r>
        <w:t>650, 14387 and 14784.</w:t>
      </w:r>
    </w:p>
    <w:p w:rsidR="00221B8B" w:rsidRDefault="00221B8B" w:rsidP="00EE6313">
      <w:pPr>
        <w:pStyle w:val="Heading5"/>
      </w:pPr>
      <w:r w:rsidRPr="00EE6313">
        <w:t>Pharmacokinetics</w:t>
      </w:r>
      <w:r>
        <w:t xml:space="preserve"> of metabolites</w:t>
      </w:r>
    </w:p>
    <w:p w:rsidR="00221B8B" w:rsidRDefault="00A809B2" w:rsidP="00A809B2">
      <w:r>
        <w:t xml:space="preserve">As described in the PI: </w:t>
      </w:r>
      <w:r w:rsidR="00221B8B">
        <w:t xml:space="preserve">Two major and six minor metabolites of </w:t>
      </w:r>
      <w:proofErr w:type="spellStart"/>
      <w:r w:rsidR="00221B8B">
        <w:t>regorafenib</w:t>
      </w:r>
      <w:proofErr w:type="spellEnd"/>
      <w:r w:rsidR="00221B8B">
        <w:t xml:space="preserve"> have been identified in plasma. The main circulating metabolites of </w:t>
      </w:r>
      <w:proofErr w:type="spellStart"/>
      <w:r w:rsidR="00221B8B">
        <w:t>regorafenib</w:t>
      </w:r>
      <w:proofErr w:type="spellEnd"/>
      <w:r w:rsidR="00221B8B">
        <w:t xml:space="preserve"> in human plasma are M-2 (N-oxide) and M-5 (N-oxide and N-</w:t>
      </w:r>
      <w:proofErr w:type="spellStart"/>
      <w:r w:rsidR="00221B8B">
        <w:t>desmethyl</w:t>
      </w:r>
      <w:proofErr w:type="spellEnd"/>
      <w:r w:rsidR="00221B8B">
        <w:t xml:space="preserve">), which are pharmacologically active and have similar concentrations as </w:t>
      </w:r>
      <w:proofErr w:type="spellStart"/>
      <w:r w:rsidR="00221B8B">
        <w:t>regorafenib</w:t>
      </w:r>
      <w:proofErr w:type="spellEnd"/>
      <w:r w:rsidR="00221B8B">
        <w:t xml:space="preserve"> at steady state.</w:t>
      </w:r>
    </w:p>
    <w:p w:rsidR="00221B8B" w:rsidRDefault="00221B8B" w:rsidP="00A809B2">
      <w:r>
        <w:t>In the population PK analyses a descriptive model was used to describe the data with a minimum of assumptions. Because of this, the PK parameters of the metabolite model can only be used within the context of the model, and not individually, to make statements about the formation, elimination or distribution of the active metabolites M2 and M5.</w:t>
      </w:r>
    </w:p>
    <w:p w:rsidR="00221B8B" w:rsidRDefault="00221B8B" w:rsidP="00A809B2">
      <w:pPr>
        <w:pStyle w:val="Heading4"/>
      </w:pPr>
      <w:r w:rsidRPr="00A809B2">
        <w:t>Excretion</w:t>
      </w:r>
    </w:p>
    <w:p w:rsidR="00221B8B" w:rsidRDefault="00221B8B" w:rsidP="00A809B2">
      <w:r>
        <w:t>No new data was presented with this submission.</w:t>
      </w:r>
    </w:p>
    <w:p w:rsidR="00221B8B" w:rsidRDefault="00221B8B" w:rsidP="00A809B2">
      <w:pPr>
        <w:pStyle w:val="Heading4"/>
      </w:pPr>
      <w:r>
        <w:lastRenderedPageBreak/>
        <w:t>Intra- and inter-</w:t>
      </w:r>
      <w:r w:rsidRPr="00A809B2">
        <w:t>individual</w:t>
      </w:r>
      <w:r>
        <w:t xml:space="preserve"> variability of pharmacokinetics</w:t>
      </w:r>
    </w:p>
    <w:p w:rsidR="00221B8B" w:rsidRDefault="00221B8B" w:rsidP="00A809B2">
      <w:r>
        <w:t xml:space="preserve">The population PK analysis found considerable remaining, unexplained, variability in exposure, after taking into account the effects of the significant covariates study (which included study, sex, body weight, BMI, height, age, ethnic group, GFR, total bilirubin, ALT liver enzyme, AST liver enzyme, alkaline phosphatase, hepatic function at baseline). For parent </w:t>
      </w:r>
      <w:proofErr w:type="spellStart"/>
      <w:r>
        <w:t>regorafenib</w:t>
      </w:r>
      <w:proofErr w:type="spellEnd"/>
      <w:r>
        <w:t>, there was a moderate factor of 3.5 between the 5</w:t>
      </w:r>
      <w:r>
        <w:rPr>
          <w:sz w:val="16"/>
          <w:szCs w:val="16"/>
        </w:rPr>
        <w:t xml:space="preserve">th </w:t>
      </w:r>
      <w:r>
        <w:t>and 95</w:t>
      </w:r>
      <w:r>
        <w:rPr>
          <w:sz w:val="16"/>
          <w:szCs w:val="16"/>
        </w:rPr>
        <w:t xml:space="preserve">th </w:t>
      </w:r>
      <w:r>
        <w:t xml:space="preserve">percentile </w:t>
      </w:r>
      <w:proofErr w:type="spellStart"/>
      <w:r>
        <w:t>Cav</w:t>
      </w:r>
      <w:r>
        <w:rPr>
          <w:vertAlign w:val="subscript"/>
        </w:rPr>
        <w:t>md</w:t>
      </w:r>
      <w:proofErr w:type="spellEnd"/>
      <w:r>
        <w:t xml:space="preserve"> in each of the two studies. The variability in M2 exposure was higher, and the variability in exposure was highest in M5. For parent </w:t>
      </w:r>
      <w:proofErr w:type="spellStart"/>
      <w:r>
        <w:t>regorafenib</w:t>
      </w:r>
      <w:proofErr w:type="spellEnd"/>
      <w:r>
        <w:t>, inclusion of covariate effects caused only a small decrease of the unexplained inter-individual variability (IIV) in CL from CV= 46 % to 44%. For the active metabolites, inclusion of the covariate effects caused a small reduction in the unexplained IIV of KM-M2 from CV= 54% to 50% and in the IIV of FRM5 from CV= 56% to 51%.</w:t>
      </w:r>
    </w:p>
    <w:p w:rsidR="00221B8B" w:rsidRDefault="00221B8B" w:rsidP="00A809B2">
      <w:pPr>
        <w:ind w:left="1134" w:hanging="1134"/>
      </w:pPr>
      <w:r w:rsidRPr="001669E0">
        <w:rPr>
          <w:b/>
        </w:rPr>
        <w:t>Comment</w:t>
      </w:r>
      <w:r>
        <w:t>:</w:t>
      </w:r>
      <w:r w:rsidR="00A809B2">
        <w:tab/>
      </w:r>
      <w:r>
        <w:t xml:space="preserve">It is agreed with the sponsor that there is large unexplained inter-individual variability in the PK of </w:t>
      </w:r>
      <w:proofErr w:type="spellStart"/>
      <w:r>
        <w:t>regorafenib</w:t>
      </w:r>
      <w:proofErr w:type="spellEnd"/>
      <w:r>
        <w:t xml:space="preserve"> and its main metabolites M2 and M5. However, this evaluator does not agree that the degree of unexplained IIV necessarily discounts the importance of any differences determined for the assessed covariates.</w:t>
      </w:r>
    </w:p>
    <w:p w:rsidR="00221B8B" w:rsidRDefault="00221B8B" w:rsidP="00A809B2">
      <w:pPr>
        <w:pStyle w:val="Heading3"/>
      </w:pPr>
      <w:bookmarkStart w:id="55" w:name="_Toc241374293"/>
      <w:bookmarkStart w:id="56" w:name="_Toc393799357"/>
      <w:bookmarkStart w:id="57" w:name="_Toc290846249"/>
      <w:bookmarkStart w:id="58" w:name="_Toc272414626"/>
      <w:bookmarkStart w:id="59" w:name="_Toc436128335"/>
      <w:r w:rsidRPr="00A809B2">
        <w:t>Pharmacokinetics</w:t>
      </w:r>
      <w:r>
        <w:t xml:space="preserve"> in other special populations</w:t>
      </w:r>
      <w:bookmarkEnd w:id="55"/>
      <w:bookmarkEnd w:id="56"/>
      <w:bookmarkEnd w:id="57"/>
      <w:bookmarkEnd w:id="58"/>
      <w:bookmarkEnd w:id="59"/>
    </w:p>
    <w:p w:rsidR="00221B8B" w:rsidRDefault="00221B8B" w:rsidP="00A809B2">
      <w:pPr>
        <w:pStyle w:val="Heading4"/>
      </w:pPr>
      <w:bookmarkStart w:id="60" w:name="_Ref391297703"/>
      <w:bookmarkStart w:id="61" w:name="_Ref387148561"/>
      <w:bookmarkStart w:id="62" w:name="_Toc290846250"/>
      <w:bookmarkStart w:id="63" w:name="_Toc272414627"/>
      <w:r>
        <w:t xml:space="preserve">Pharmacokinetics in </w:t>
      </w:r>
      <w:r w:rsidRPr="00A809B2">
        <w:t>subjects</w:t>
      </w:r>
      <w:r>
        <w:t xml:space="preserve"> </w:t>
      </w:r>
      <w:r w:rsidRPr="001669E0">
        <w:t>with</w:t>
      </w:r>
      <w:r>
        <w:t xml:space="preserve"> impaired hepatic function</w:t>
      </w:r>
      <w:bookmarkEnd w:id="60"/>
      <w:bookmarkEnd w:id="61"/>
      <w:bookmarkEnd w:id="62"/>
      <w:bookmarkEnd w:id="63"/>
    </w:p>
    <w:p w:rsidR="00221B8B" w:rsidRDefault="00221B8B" w:rsidP="00A809B2">
      <w:r>
        <w:t xml:space="preserve">The population PK </w:t>
      </w:r>
      <w:r w:rsidR="001669E0">
        <w:t>Study 146</w:t>
      </w:r>
      <w:r>
        <w:t xml:space="preserve">53 which was developed based on the PK results from Studies 11650 and 14387 found that clearance of </w:t>
      </w:r>
      <w:proofErr w:type="spellStart"/>
      <w:r>
        <w:t>regorafenib</w:t>
      </w:r>
      <w:proofErr w:type="spellEnd"/>
      <w:r>
        <w:t xml:space="preserve"> and active metabolite M2 (and to a lesser extent metabolite M5) were inversely proportional to bilirubin levels at baseline. It was assessed that this covariate only contributed a small proportion to the overall </w:t>
      </w:r>
      <w:proofErr w:type="spellStart"/>
      <w:r>
        <w:t>regorafenib</w:t>
      </w:r>
      <w:proofErr w:type="spellEnd"/>
      <w:r>
        <w:t xml:space="preserve"> variability and was therefore not clinically significant. In this same study, baseline hepatic function, and ALT, AST, and ALP at baseline were not found to be significant covariates on PK parameters. Similar results were found in the updated population PK analysis 16282, which included data from Study 14874.</w:t>
      </w:r>
    </w:p>
    <w:p w:rsidR="00221B8B" w:rsidRPr="00FC5D6A" w:rsidRDefault="00221B8B" w:rsidP="00A809B2">
      <w:pPr>
        <w:ind w:left="1134" w:hanging="1134"/>
      </w:pPr>
      <w:r w:rsidRPr="001669E0">
        <w:rPr>
          <w:b/>
        </w:rPr>
        <w:t>Comment</w:t>
      </w:r>
      <w:r>
        <w:t>:</w:t>
      </w:r>
      <w:r w:rsidR="00A809B2">
        <w:tab/>
      </w:r>
      <w:r w:rsidRPr="00FC5D6A">
        <w:t xml:space="preserve">The population PK model was constructed with only a small number of subjects with moderate hepatic impairment, and most subjects had bilirubin levels within the normal range at baseline. Therefore the ability of the model to predict PK in patents with hepatic impairment is considered to be limited, and no definitive conclusions can be drawn regarding the safety of </w:t>
      </w:r>
      <w:proofErr w:type="spellStart"/>
      <w:r w:rsidRPr="00FC5D6A">
        <w:t>regorafenib</w:t>
      </w:r>
      <w:proofErr w:type="spellEnd"/>
      <w:r w:rsidRPr="00FC5D6A">
        <w:t xml:space="preserve"> in patients with hepatic impartment from this population PK study.</w:t>
      </w:r>
    </w:p>
    <w:p w:rsidR="00221B8B" w:rsidRDefault="001669E0" w:rsidP="00A809B2">
      <w:pPr>
        <w:ind w:left="1134"/>
      </w:pPr>
      <w:r>
        <w:t>T</w:t>
      </w:r>
      <w:r w:rsidR="00221B8B">
        <w:t xml:space="preserve">he results of Study 11651 were not considered in this evaluation, as the PK with repeat dosing was not performed for the hepatocellular cancer (HCC) cohort, which was the group used to investigate the PK in patients with hepatic impairment. The PK after a single dose of </w:t>
      </w:r>
      <w:proofErr w:type="spellStart"/>
      <w:r w:rsidR="00221B8B">
        <w:t>regorafenib</w:t>
      </w:r>
      <w:proofErr w:type="spellEnd"/>
      <w:r w:rsidR="00221B8B">
        <w:t xml:space="preserve"> cannot be taken to represent the PK with multiple dosing. In this study it was found that repeat dosing in NSCLC patients found a very high increase in accumulation of </w:t>
      </w:r>
      <w:proofErr w:type="spellStart"/>
      <w:r w:rsidR="00221B8B">
        <w:t>regorafenib</w:t>
      </w:r>
      <w:proofErr w:type="spellEnd"/>
      <w:r w:rsidR="00221B8B">
        <w:t xml:space="preserve"> and its metabolites – of the order of 14 times increase for M-5. Therefore, the PK effect of repeat dosing could be significant in patients with hepatic impairment, and further investigation with repeat dosing in this patient group is warranted.</w:t>
      </w:r>
    </w:p>
    <w:p w:rsidR="00221B8B" w:rsidRDefault="00221B8B" w:rsidP="00A809B2">
      <w:pPr>
        <w:pStyle w:val="Heading4"/>
        <w:rPr>
          <w:bCs w:val="0"/>
        </w:rPr>
      </w:pPr>
      <w:bookmarkStart w:id="64" w:name="_Toc290846251"/>
      <w:bookmarkStart w:id="65" w:name="_Toc272414628"/>
      <w:r w:rsidRPr="00A809B2">
        <w:t>Pharmacokinetics</w:t>
      </w:r>
      <w:r>
        <w:t xml:space="preserve"> in subjects with impaired renal function</w:t>
      </w:r>
      <w:bookmarkEnd w:id="64"/>
      <w:bookmarkEnd w:id="65"/>
    </w:p>
    <w:p w:rsidR="00221B8B" w:rsidRDefault="00221B8B" w:rsidP="00A809B2">
      <w:r>
        <w:t xml:space="preserve">The population PK </w:t>
      </w:r>
      <w:r w:rsidR="001669E0">
        <w:t>Study 146</w:t>
      </w:r>
      <w:r>
        <w:t xml:space="preserve">53 and its updated </w:t>
      </w:r>
      <w:r w:rsidR="001669E0">
        <w:t>Study 16</w:t>
      </w:r>
      <w:r>
        <w:t xml:space="preserve">282 did not find any impact of baseline GFR on the PK of </w:t>
      </w:r>
      <w:proofErr w:type="spellStart"/>
      <w:r>
        <w:t>regorafenib</w:t>
      </w:r>
      <w:proofErr w:type="spellEnd"/>
      <w:r>
        <w:t xml:space="preserve"> or its metabolites.</w:t>
      </w:r>
    </w:p>
    <w:p w:rsidR="00221B8B" w:rsidRDefault="00221B8B" w:rsidP="00A809B2">
      <w:pPr>
        <w:ind w:left="1134" w:hanging="1134"/>
      </w:pPr>
      <w:r w:rsidRPr="001669E0">
        <w:rPr>
          <w:b/>
        </w:rPr>
        <w:t>Comment</w:t>
      </w:r>
      <w:r>
        <w:t>:</w:t>
      </w:r>
      <w:r w:rsidR="00A809B2">
        <w:tab/>
      </w:r>
      <w:r>
        <w:t xml:space="preserve">Again it is noted that the population PK studies were based on data from studies which had required adequate renal function as inclusion criteria. Therefore, the ability of these population PK analyses to assess the effect of renal impairment on the PK of </w:t>
      </w:r>
      <w:proofErr w:type="spellStart"/>
      <w:r>
        <w:t>regorafenib</w:t>
      </w:r>
      <w:proofErr w:type="spellEnd"/>
      <w:r>
        <w:t xml:space="preserve"> is limited.</w:t>
      </w:r>
    </w:p>
    <w:p w:rsidR="00221B8B" w:rsidRDefault="00221B8B" w:rsidP="00A809B2">
      <w:pPr>
        <w:pStyle w:val="Heading4"/>
        <w:rPr>
          <w:bCs w:val="0"/>
        </w:rPr>
      </w:pPr>
      <w:bookmarkStart w:id="66" w:name="_Toc290846252"/>
      <w:bookmarkStart w:id="67" w:name="_Toc272414629"/>
      <w:r w:rsidRPr="00A809B2">
        <w:lastRenderedPageBreak/>
        <w:t>Pharmacokinetics</w:t>
      </w:r>
      <w:r>
        <w:t xml:space="preserve"> according to age</w:t>
      </w:r>
      <w:bookmarkEnd w:id="66"/>
      <w:bookmarkEnd w:id="67"/>
    </w:p>
    <w:p w:rsidR="00221B8B" w:rsidRDefault="00221B8B" w:rsidP="00A809B2">
      <w:r>
        <w:t xml:space="preserve">The population PK </w:t>
      </w:r>
      <w:r w:rsidR="001669E0">
        <w:t>Study 146</w:t>
      </w:r>
      <w:r>
        <w:t xml:space="preserve">53 and its updated </w:t>
      </w:r>
      <w:r w:rsidR="001669E0">
        <w:t>Study 16</w:t>
      </w:r>
      <w:r>
        <w:t xml:space="preserve">282 did not find any impact of age on the PK of </w:t>
      </w:r>
      <w:proofErr w:type="spellStart"/>
      <w:r>
        <w:t>regorafenib</w:t>
      </w:r>
      <w:proofErr w:type="spellEnd"/>
      <w:r>
        <w:t xml:space="preserve"> or its metabolites.</w:t>
      </w:r>
    </w:p>
    <w:p w:rsidR="00221B8B" w:rsidRDefault="00221B8B" w:rsidP="00A809B2">
      <w:pPr>
        <w:pStyle w:val="Heading4"/>
        <w:rPr>
          <w:bCs w:val="0"/>
        </w:rPr>
      </w:pPr>
      <w:bookmarkStart w:id="68" w:name="_Toc290846253"/>
      <w:bookmarkStart w:id="69" w:name="_Toc272414630"/>
      <w:r>
        <w:t xml:space="preserve">Pharmacokinetics </w:t>
      </w:r>
      <w:r w:rsidRPr="00A809B2">
        <w:t>related</w:t>
      </w:r>
      <w:r>
        <w:t xml:space="preserve"> to genetic factors</w:t>
      </w:r>
      <w:bookmarkEnd w:id="68"/>
      <w:bookmarkEnd w:id="69"/>
    </w:p>
    <w:p w:rsidR="00221B8B" w:rsidRDefault="00221B8B" w:rsidP="00A809B2">
      <w:pPr>
        <w:rPr>
          <w:bCs/>
        </w:rPr>
      </w:pPr>
      <w:r>
        <w:rPr>
          <w:bCs/>
        </w:rPr>
        <w:t xml:space="preserve">The population PK </w:t>
      </w:r>
      <w:r w:rsidR="001669E0">
        <w:rPr>
          <w:bCs/>
        </w:rPr>
        <w:t>Study 146</w:t>
      </w:r>
      <w:r>
        <w:rPr>
          <w:bCs/>
        </w:rPr>
        <w:t>53 found t</w:t>
      </w:r>
      <w:r>
        <w:t xml:space="preserve">here was an effect of sex on the exposure of active metabolite M5, causing relatively higher concentrations in females, and was supported by the updated population PK analysis. </w:t>
      </w:r>
      <w:r>
        <w:rPr>
          <w:bCs/>
        </w:rPr>
        <w:t>However, it was assessed that this covariate only contributed a small proportion to the overall metabolite M5 variability and was therefore not clinically significant.</w:t>
      </w:r>
    </w:p>
    <w:p w:rsidR="00221B8B" w:rsidRDefault="00221B8B" w:rsidP="00A809B2">
      <w:pPr>
        <w:ind w:left="1134" w:hanging="1134"/>
      </w:pPr>
      <w:r w:rsidRPr="001669E0">
        <w:rPr>
          <w:b/>
        </w:rPr>
        <w:t>Comment</w:t>
      </w:r>
      <w:r>
        <w:t>:</w:t>
      </w:r>
      <w:r>
        <w:tab/>
        <w:t xml:space="preserve">It is agreed with the sponsor that the data do not suggest a clinically significant effect of sex on the PK of </w:t>
      </w:r>
      <w:proofErr w:type="spellStart"/>
      <w:r>
        <w:t>regorafenib</w:t>
      </w:r>
      <w:proofErr w:type="spellEnd"/>
      <w:r>
        <w:t>.</w:t>
      </w:r>
    </w:p>
    <w:p w:rsidR="00221B8B" w:rsidRDefault="00221B8B" w:rsidP="00A809B2">
      <w:pPr>
        <w:pStyle w:val="Heading4"/>
      </w:pPr>
      <w:bookmarkStart w:id="70" w:name="_Toc290846254"/>
      <w:bookmarkStart w:id="71" w:name="_Toc272414631"/>
      <w:r w:rsidRPr="00A809B2">
        <w:t>Pharmacokinetics</w:t>
      </w:r>
      <w:r>
        <w:t xml:space="preserve"> </w:t>
      </w:r>
      <w:bookmarkEnd w:id="70"/>
      <w:bookmarkEnd w:id="71"/>
      <w:r>
        <w:t>in different ethnic groups</w:t>
      </w:r>
    </w:p>
    <w:p w:rsidR="00221B8B" w:rsidRDefault="00221B8B" w:rsidP="00A809B2">
      <w:pPr>
        <w:rPr>
          <w:rFonts w:eastAsia="TimesNewRoman"/>
        </w:rPr>
      </w:pPr>
      <w:r>
        <w:rPr>
          <w:bCs/>
        </w:rPr>
        <w:t xml:space="preserve">The second interim report of Study 14996 (PH-37053) was submitted which assessed the </w:t>
      </w:r>
      <w:r>
        <w:t xml:space="preserve">PK, safety and tolerability of </w:t>
      </w:r>
      <w:proofErr w:type="spellStart"/>
      <w:r>
        <w:t>regorafenib</w:t>
      </w:r>
      <w:proofErr w:type="spellEnd"/>
      <w:r>
        <w:t xml:space="preserve"> administered orally as a single agent in Chinese patients with advanced solid tumours. As this was an interim report, no conclusions were drawn regarding the PK or </w:t>
      </w:r>
      <w:proofErr w:type="spellStart"/>
      <w:r>
        <w:t>regorafenib</w:t>
      </w:r>
      <w:proofErr w:type="spellEnd"/>
      <w:r>
        <w:t xml:space="preserve"> in this patient group, although </w:t>
      </w:r>
      <w:r>
        <w:rPr>
          <w:rFonts w:eastAsia="TimesNewRoman"/>
        </w:rPr>
        <w:t>treatment was assessed as tolerable and the safety profile for this study population with advanced underlying malignant disease manageable, suggested a sound basis for further investigation.</w:t>
      </w:r>
    </w:p>
    <w:p w:rsidR="00221B8B" w:rsidRDefault="00221B8B" w:rsidP="00A809B2">
      <w:pPr>
        <w:rPr>
          <w:rFonts w:eastAsia="Times New Roman"/>
        </w:rPr>
      </w:pPr>
      <w:r>
        <w:t xml:space="preserve">The population PK </w:t>
      </w:r>
      <w:r w:rsidR="001669E0">
        <w:t>Study 146</w:t>
      </w:r>
      <w:r>
        <w:t xml:space="preserve">53 did not find any impact of ethic group (categorised as ‘Caucasian’, ‘Asian’ or ‘Other’) on the PK of </w:t>
      </w:r>
      <w:proofErr w:type="spellStart"/>
      <w:r>
        <w:t>regorafenib</w:t>
      </w:r>
      <w:proofErr w:type="spellEnd"/>
      <w:r>
        <w:t xml:space="preserve"> or its metabolites. However, the updated population PK analysis found lower exposure to the active metabolites M2 and M5 in Asians compared to Caucasian groups, although this was not considered clinically significant.</w:t>
      </w:r>
    </w:p>
    <w:p w:rsidR="00221B8B" w:rsidRDefault="00221B8B" w:rsidP="00A809B2">
      <w:pPr>
        <w:pStyle w:val="Heading4"/>
      </w:pPr>
      <w:r>
        <w:t>Pharmacokinetics according to weight and BMI</w:t>
      </w:r>
    </w:p>
    <w:p w:rsidR="00221B8B" w:rsidRDefault="00221B8B" w:rsidP="00A809B2">
      <w:r>
        <w:t>In the base population PK analysis</w:t>
      </w:r>
      <w:r>
        <w:rPr>
          <w:bCs/>
        </w:rPr>
        <w:t xml:space="preserve">, </w:t>
      </w:r>
      <w:r>
        <w:t xml:space="preserve">body weight at baseline did not have a significant effect on the PK of parent </w:t>
      </w:r>
      <w:proofErr w:type="spellStart"/>
      <w:r>
        <w:t>regorafenib</w:t>
      </w:r>
      <w:proofErr w:type="spellEnd"/>
      <w:r>
        <w:t xml:space="preserve">, but the exposure of the metabolites M2 and M5 was found to decrease with increasing weight. In the updated population PK analysis, the effect of higher body weight was again correlated with decreasing exposure to M2 and a much larger effect on M5, however conversely, the clearance of </w:t>
      </w:r>
      <w:proofErr w:type="spellStart"/>
      <w:r>
        <w:t>regorafenib</w:t>
      </w:r>
      <w:proofErr w:type="spellEnd"/>
      <w:r>
        <w:t xml:space="preserve"> decreased with rising BMI, and thus higher BMI was correlated with increased exposure of parent </w:t>
      </w:r>
      <w:proofErr w:type="spellStart"/>
      <w:r>
        <w:t>regorafenib</w:t>
      </w:r>
      <w:proofErr w:type="spellEnd"/>
      <w:r>
        <w:t>.</w:t>
      </w:r>
    </w:p>
    <w:p w:rsidR="00221B8B" w:rsidRDefault="00221B8B" w:rsidP="00A809B2">
      <w:pPr>
        <w:pStyle w:val="Heading4"/>
      </w:pPr>
      <w:r>
        <w:t xml:space="preserve">Pharmacokinetics </w:t>
      </w:r>
      <w:r w:rsidRPr="00A809B2">
        <w:t>according</w:t>
      </w:r>
      <w:r>
        <w:t xml:space="preserve"> to pivotal study</w:t>
      </w:r>
    </w:p>
    <w:p w:rsidR="00221B8B" w:rsidRDefault="00221B8B" w:rsidP="00A809B2">
      <w:r>
        <w:rPr>
          <w:bCs/>
          <w:iCs/>
        </w:rPr>
        <w:t xml:space="preserve">In the updated population PK analysis, the </w:t>
      </w:r>
      <w:r>
        <w:t xml:space="preserve">CL of parent </w:t>
      </w:r>
      <w:proofErr w:type="spellStart"/>
      <w:r>
        <w:t>regorafenib</w:t>
      </w:r>
      <w:proofErr w:type="spellEnd"/>
      <w:r>
        <w:t xml:space="preserve"> was estimated to be 26.1% higher for the typical patient in </w:t>
      </w:r>
      <w:r w:rsidR="004338FD">
        <w:t>Study 14</w:t>
      </w:r>
      <w:r>
        <w:t xml:space="preserve">874 compared to </w:t>
      </w:r>
      <w:r w:rsidR="00951EF6">
        <w:t>Study 143</w:t>
      </w:r>
      <w:r>
        <w:t>87. It could not be determined whether the study difference is caused by the different indication (CRC or GIST) or by some other difference between the two studies, as the covariate effects that are included in the final model did not explain the observed study difference.</w:t>
      </w:r>
    </w:p>
    <w:p w:rsidR="00221B8B" w:rsidRDefault="00221B8B" w:rsidP="00A809B2">
      <w:pPr>
        <w:pStyle w:val="Heading3"/>
        <w:rPr>
          <w:bCs w:val="0"/>
        </w:rPr>
      </w:pPr>
      <w:bookmarkStart w:id="72" w:name="_Toc393799358"/>
      <w:bookmarkStart w:id="73" w:name="_Toc290846255"/>
      <w:bookmarkStart w:id="74" w:name="_Toc272414632"/>
      <w:bookmarkStart w:id="75" w:name="_Toc241374294"/>
      <w:bookmarkStart w:id="76" w:name="_Toc436128336"/>
      <w:r>
        <w:t>Pharmacokinetic interactions</w:t>
      </w:r>
      <w:bookmarkEnd w:id="72"/>
      <w:bookmarkEnd w:id="73"/>
      <w:bookmarkEnd w:id="74"/>
      <w:bookmarkEnd w:id="75"/>
      <w:bookmarkEnd w:id="76"/>
    </w:p>
    <w:p w:rsidR="00221B8B" w:rsidRDefault="00221B8B" w:rsidP="00A809B2">
      <w:r>
        <w:t>No new clinical data was presented with this submission. The following new in vitro data was provided in Module 2.7.2 Summary of Clinical Pharmacology Studies but not evaluated in this CER:</w:t>
      </w:r>
    </w:p>
    <w:p w:rsidR="00221B8B" w:rsidRPr="00A809B2" w:rsidRDefault="00221B8B" w:rsidP="00A809B2">
      <w:pPr>
        <w:pStyle w:val="ListBullet"/>
        <w:numPr>
          <w:ilvl w:val="0"/>
          <w:numId w:val="0"/>
        </w:numPr>
        <w:ind w:left="360"/>
        <w:rPr>
          <w:i/>
        </w:rPr>
      </w:pPr>
      <w:r w:rsidRPr="00A809B2">
        <w:rPr>
          <w:i/>
        </w:rPr>
        <w:t xml:space="preserve">In vitro data indicate that </w:t>
      </w:r>
      <w:proofErr w:type="spellStart"/>
      <w:r w:rsidRPr="00A809B2">
        <w:rPr>
          <w:i/>
        </w:rPr>
        <w:t>regorafenib</w:t>
      </w:r>
      <w:proofErr w:type="spellEnd"/>
      <w:r w:rsidRPr="00A809B2">
        <w:rPr>
          <w:i/>
        </w:rPr>
        <w:t xml:space="preserve"> is not a substrate for any of the transporters studied (e.g., </w:t>
      </w:r>
      <w:proofErr w:type="spellStart"/>
      <w:r w:rsidRPr="00A809B2">
        <w:rPr>
          <w:i/>
        </w:rPr>
        <w:t>Pglycoprotein</w:t>
      </w:r>
      <w:proofErr w:type="spellEnd"/>
      <w:r w:rsidRPr="00A809B2">
        <w:rPr>
          <w:i/>
        </w:rPr>
        <w:t xml:space="preserve"> [P-</w:t>
      </w:r>
      <w:proofErr w:type="spellStart"/>
      <w:r w:rsidRPr="00A809B2">
        <w:rPr>
          <w:i/>
        </w:rPr>
        <w:t>gp</w:t>
      </w:r>
      <w:proofErr w:type="spellEnd"/>
      <w:r w:rsidRPr="00A809B2">
        <w:rPr>
          <w:i/>
        </w:rPr>
        <w:t>], breast cancer resistance protein [BCRP], MRP-2, OAT1, OAT3, OCT2, OATP1B1 and OATP1B3). Metabolites M-2 and M-5 are weak substrates of P-</w:t>
      </w:r>
      <w:proofErr w:type="spellStart"/>
      <w:r w:rsidRPr="00A809B2">
        <w:rPr>
          <w:i/>
        </w:rPr>
        <w:t>gp</w:t>
      </w:r>
      <w:proofErr w:type="spellEnd"/>
      <w:r w:rsidRPr="00A809B2">
        <w:rPr>
          <w:i/>
        </w:rPr>
        <w:t xml:space="preserve">, and M-5 is in addition a weak BCRP-substrate. Neither M-2 nor M-5 </w:t>
      </w:r>
      <w:proofErr w:type="gramStart"/>
      <w:r w:rsidRPr="00A809B2">
        <w:rPr>
          <w:i/>
        </w:rPr>
        <w:t>are</w:t>
      </w:r>
      <w:proofErr w:type="gramEnd"/>
      <w:r w:rsidRPr="00A809B2">
        <w:rPr>
          <w:i/>
        </w:rPr>
        <w:t xml:space="preserve"> substrates of MRP-2.</w:t>
      </w:r>
    </w:p>
    <w:p w:rsidR="00221B8B" w:rsidRPr="00A809B2" w:rsidRDefault="00221B8B" w:rsidP="00A809B2">
      <w:pPr>
        <w:pStyle w:val="ListBullet"/>
        <w:numPr>
          <w:ilvl w:val="0"/>
          <w:numId w:val="0"/>
        </w:numPr>
        <w:ind w:left="360"/>
        <w:rPr>
          <w:i/>
        </w:rPr>
      </w:pPr>
      <w:r w:rsidRPr="00A809B2">
        <w:rPr>
          <w:i/>
        </w:rPr>
        <w:t xml:space="preserve">The inhibitory effect of </w:t>
      </w:r>
      <w:proofErr w:type="spellStart"/>
      <w:r w:rsidRPr="00A809B2">
        <w:rPr>
          <w:i/>
        </w:rPr>
        <w:t>regorafenib</w:t>
      </w:r>
      <w:proofErr w:type="spellEnd"/>
      <w:r w:rsidRPr="00A809B2">
        <w:rPr>
          <w:i/>
        </w:rPr>
        <w:t>, M-2 and M-5 on the efflux ratio of P-</w:t>
      </w:r>
      <w:proofErr w:type="spellStart"/>
      <w:r w:rsidRPr="00A809B2">
        <w:rPr>
          <w:i/>
        </w:rPr>
        <w:t>gp</w:t>
      </w:r>
      <w:proofErr w:type="spellEnd"/>
      <w:r w:rsidRPr="00A809B2">
        <w:rPr>
          <w:i/>
        </w:rPr>
        <w:t xml:space="preserve"> probe substrates was determined. Based on the IC50 value an inhibition of P-</w:t>
      </w:r>
      <w:proofErr w:type="spellStart"/>
      <w:r w:rsidRPr="00A809B2">
        <w:rPr>
          <w:i/>
        </w:rPr>
        <w:t>gp</w:t>
      </w:r>
      <w:proofErr w:type="spellEnd"/>
      <w:r w:rsidRPr="00A809B2">
        <w:rPr>
          <w:i/>
        </w:rPr>
        <w:t xml:space="preserve"> by </w:t>
      </w:r>
      <w:proofErr w:type="spellStart"/>
      <w:r w:rsidRPr="00A809B2">
        <w:rPr>
          <w:i/>
        </w:rPr>
        <w:t>regorafenib</w:t>
      </w:r>
      <w:proofErr w:type="spellEnd"/>
      <w:r w:rsidRPr="00A809B2">
        <w:rPr>
          <w:i/>
        </w:rPr>
        <w:t xml:space="preserve"> (IC50 about 2 </w:t>
      </w:r>
      <w:proofErr w:type="spellStart"/>
      <w:r w:rsidRPr="00A809B2">
        <w:rPr>
          <w:i/>
        </w:rPr>
        <w:lastRenderedPageBreak/>
        <w:t>μM</w:t>
      </w:r>
      <w:proofErr w:type="spellEnd"/>
      <w:r w:rsidRPr="00A809B2">
        <w:rPr>
          <w:i/>
        </w:rPr>
        <w:t xml:space="preserve">) and M-2 (IC50 about 1.5 </w:t>
      </w:r>
      <w:proofErr w:type="spellStart"/>
      <w:r w:rsidRPr="00A809B2">
        <w:rPr>
          <w:i/>
        </w:rPr>
        <w:t>μM</w:t>
      </w:r>
      <w:proofErr w:type="spellEnd"/>
      <w:r w:rsidRPr="00A809B2">
        <w:rPr>
          <w:i/>
        </w:rPr>
        <w:t>) resulting in an effect on absorption of co-administered P-</w:t>
      </w:r>
      <w:proofErr w:type="spellStart"/>
      <w:r w:rsidRPr="00A809B2">
        <w:rPr>
          <w:i/>
        </w:rPr>
        <w:t>gp</w:t>
      </w:r>
      <w:proofErr w:type="spellEnd"/>
      <w:r w:rsidRPr="00A809B2">
        <w:rPr>
          <w:i/>
        </w:rPr>
        <w:t xml:space="preserve"> substrates cannot be ruled out. Co-administration of </w:t>
      </w:r>
      <w:proofErr w:type="spellStart"/>
      <w:r w:rsidRPr="00A809B2">
        <w:rPr>
          <w:i/>
        </w:rPr>
        <w:t>regorafenib</w:t>
      </w:r>
      <w:proofErr w:type="spellEnd"/>
      <w:r w:rsidRPr="00A809B2">
        <w:rPr>
          <w:i/>
        </w:rPr>
        <w:t xml:space="preserve"> may increase the plasma concentrations of concomitant P-</w:t>
      </w:r>
      <w:proofErr w:type="spellStart"/>
      <w:r w:rsidRPr="00A809B2">
        <w:rPr>
          <w:i/>
        </w:rPr>
        <w:t>gp</w:t>
      </w:r>
      <w:proofErr w:type="spellEnd"/>
      <w:r w:rsidRPr="00A809B2">
        <w:rPr>
          <w:i/>
        </w:rPr>
        <w:t xml:space="preserve"> substrates, such as digoxin.</w:t>
      </w:r>
    </w:p>
    <w:p w:rsidR="00221B8B" w:rsidRPr="00A809B2" w:rsidRDefault="00221B8B" w:rsidP="00A809B2">
      <w:pPr>
        <w:pStyle w:val="ListBullet"/>
        <w:numPr>
          <w:ilvl w:val="0"/>
          <w:numId w:val="0"/>
        </w:numPr>
        <w:ind w:left="360"/>
        <w:rPr>
          <w:i/>
        </w:rPr>
      </w:pPr>
      <w:r w:rsidRPr="00A809B2">
        <w:rPr>
          <w:i/>
        </w:rPr>
        <w:t xml:space="preserve">The inhibitory effect of </w:t>
      </w:r>
      <w:proofErr w:type="spellStart"/>
      <w:r w:rsidRPr="00A809B2">
        <w:rPr>
          <w:i/>
        </w:rPr>
        <w:t>regorafenib</w:t>
      </w:r>
      <w:proofErr w:type="spellEnd"/>
      <w:r w:rsidRPr="00A809B2">
        <w:rPr>
          <w:i/>
        </w:rPr>
        <w:t xml:space="preserve">, M-2 and M-5 on the efflux ratio of BCRP probe substrates was determined. Strong inhibitory effects on BCRP were shown for </w:t>
      </w:r>
      <w:proofErr w:type="spellStart"/>
      <w:r w:rsidRPr="00A809B2">
        <w:rPr>
          <w:i/>
        </w:rPr>
        <w:t>regorafenib</w:t>
      </w:r>
      <w:proofErr w:type="spellEnd"/>
      <w:r w:rsidRPr="00A809B2">
        <w:rPr>
          <w:i/>
        </w:rPr>
        <w:t xml:space="preserve"> (IC50 about 40 to 70 </w:t>
      </w:r>
      <w:proofErr w:type="spellStart"/>
      <w:r w:rsidRPr="00A809B2">
        <w:rPr>
          <w:i/>
        </w:rPr>
        <w:t>nM</w:t>
      </w:r>
      <w:proofErr w:type="spellEnd"/>
      <w:r w:rsidRPr="00A809B2">
        <w:rPr>
          <w:i/>
        </w:rPr>
        <w:t xml:space="preserve">), M-2 (IC50 about 390nM) and M-5 (IC50 values of about 150 </w:t>
      </w:r>
      <w:proofErr w:type="spellStart"/>
      <w:r w:rsidRPr="00A809B2">
        <w:rPr>
          <w:i/>
        </w:rPr>
        <w:t>nM</w:t>
      </w:r>
      <w:proofErr w:type="spellEnd"/>
      <w:r w:rsidRPr="00A809B2">
        <w:rPr>
          <w:i/>
        </w:rPr>
        <w:t xml:space="preserve">). Therefore, co-administration of </w:t>
      </w:r>
      <w:proofErr w:type="spellStart"/>
      <w:r w:rsidRPr="00A809B2">
        <w:rPr>
          <w:i/>
        </w:rPr>
        <w:t>regorafenib</w:t>
      </w:r>
      <w:proofErr w:type="spellEnd"/>
      <w:r w:rsidRPr="00A809B2">
        <w:rPr>
          <w:i/>
        </w:rPr>
        <w:t xml:space="preserve"> may increase the plasma concentrations of concomitant BCRP substrates, such as methotrexate.</w:t>
      </w:r>
    </w:p>
    <w:p w:rsidR="00221B8B" w:rsidRPr="00A809B2" w:rsidRDefault="00221B8B" w:rsidP="00A809B2">
      <w:pPr>
        <w:pStyle w:val="ListBullet"/>
        <w:numPr>
          <w:ilvl w:val="0"/>
          <w:numId w:val="0"/>
        </w:numPr>
        <w:ind w:left="360"/>
        <w:rPr>
          <w:rFonts w:hAnsi="Times New Roman"/>
          <w:i/>
        </w:rPr>
      </w:pPr>
      <w:proofErr w:type="spellStart"/>
      <w:r w:rsidRPr="00A809B2">
        <w:rPr>
          <w:i/>
        </w:rPr>
        <w:t>Regorafenib</w:t>
      </w:r>
      <w:proofErr w:type="spellEnd"/>
      <w:r w:rsidRPr="00A809B2">
        <w:rPr>
          <w:i/>
        </w:rPr>
        <w:t xml:space="preserve">, M-2 and M-5 showed no inhibitory effect towards MRP-2, OCT-1 and OCT-3 transporters; and </w:t>
      </w:r>
      <w:proofErr w:type="spellStart"/>
      <w:r w:rsidRPr="00A809B2">
        <w:rPr>
          <w:i/>
        </w:rPr>
        <w:t>regorafenib</w:t>
      </w:r>
      <w:proofErr w:type="spellEnd"/>
      <w:r w:rsidRPr="00A809B2">
        <w:rPr>
          <w:i/>
        </w:rPr>
        <w:t xml:space="preserve"> showed in addition no inhibitory effect towards OATP1B1, OATP1B3, OAT1, OAT3, -transporters (M-2 and M-5 analysis still ongoing) at concentrations which are in the range of clinically observed </w:t>
      </w:r>
      <w:proofErr w:type="spellStart"/>
      <w:r w:rsidRPr="00A809B2">
        <w:rPr>
          <w:i/>
        </w:rPr>
        <w:t>Cmax,ss</w:t>
      </w:r>
      <w:proofErr w:type="spellEnd"/>
      <w:r w:rsidRPr="00A809B2">
        <w:rPr>
          <w:i/>
        </w:rPr>
        <w:t xml:space="preserve"> concentrations (up to 10 </w:t>
      </w:r>
      <w:proofErr w:type="spellStart"/>
      <w:r w:rsidRPr="00A809B2">
        <w:rPr>
          <w:i/>
        </w:rPr>
        <w:t>μ</w:t>
      </w:r>
      <w:r w:rsidR="001669E0" w:rsidRPr="00A809B2">
        <w:rPr>
          <w:i/>
        </w:rPr>
        <w:t>M</w:t>
      </w:r>
      <w:proofErr w:type="spellEnd"/>
      <w:r w:rsidR="001669E0" w:rsidRPr="00A809B2">
        <w:rPr>
          <w:i/>
        </w:rPr>
        <w:t>).</w:t>
      </w:r>
    </w:p>
    <w:p w:rsidR="00221B8B" w:rsidRDefault="00221B8B" w:rsidP="00A809B2">
      <w:pPr>
        <w:pStyle w:val="Heading3"/>
      </w:pPr>
      <w:bookmarkStart w:id="77" w:name="_Toc393799359"/>
      <w:bookmarkStart w:id="78" w:name="_Toc290846258"/>
      <w:bookmarkStart w:id="79" w:name="_Toc272414635"/>
      <w:bookmarkStart w:id="80" w:name="_Ref271018755"/>
      <w:bookmarkStart w:id="81" w:name="_Ref271018704"/>
      <w:bookmarkStart w:id="82" w:name="_Ref269982040"/>
      <w:bookmarkStart w:id="83" w:name="_Toc241374296"/>
      <w:bookmarkStart w:id="84" w:name="_Toc436128337"/>
      <w:r w:rsidRPr="00A809B2">
        <w:t>Evaluator’s</w:t>
      </w:r>
      <w:r>
        <w:t xml:space="preserve"> overall conclusions on pharmacokinetics</w:t>
      </w:r>
      <w:bookmarkEnd w:id="77"/>
      <w:bookmarkEnd w:id="78"/>
      <w:bookmarkEnd w:id="79"/>
      <w:bookmarkEnd w:id="80"/>
      <w:bookmarkEnd w:id="81"/>
      <w:bookmarkEnd w:id="82"/>
      <w:bookmarkEnd w:id="83"/>
      <w:bookmarkEnd w:id="84"/>
    </w:p>
    <w:p w:rsidR="00221B8B" w:rsidRDefault="00221B8B" w:rsidP="00A809B2">
      <w:r>
        <w:t xml:space="preserve">The main pharmacokinetic data submitted with this submission related to two population pharmacokinetic analyses, both based on a base population PK model derived from </w:t>
      </w:r>
      <w:r w:rsidR="004338FD">
        <w:t>Study 116</w:t>
      </w:r>
      <w:r>
        <w:t>50. The first analysis also used sparse sampling data from Study 14387 (R-8731), and the second analysis was an update on the first which also used</w:t>
      </w:r>
      <w:r w:rsidR="004338FD">
        <w:t xml:space="preserve"> data from Study 14874 (R-8814</w:t>
      </w:r>
      <w:r>
        <w:rPr>
          <w:b/>
        </w:rPr>
        <w:fldChar w:fldCharType="begin"/>
      </w:r>
      <w:r>
        <w:rPr>
          <w:b/>
        </w:rPr>
        <w:instrText xml:space="preserve"> REF _Ref387064552 \h  \* MERGEFORMAT </w:instrText>
      </w:r>
      <w:r>
        <w:rPr>
          <w:b/>
        </w:rPr>
      </w:r>
      <w:r>
        <w:rPr>
          <w:b/>
        </w:rPr>
        <w:fldChar w:fldCharType="separate"/>
      </w:r>
      <w:r w:rsidR="00F27A19">
        <w:rPr>
          <w:bCs/>
          <w:lang w:val="en-US"/>
        </w:rPr>
        <w:t>Error! Reference source not found.</w:t>
      </w:r>
      <w:r>
        <w:rPr>
          <w:b/>
        </w:rPr>
        <w:fldChar w:fldCharType="end"/>
      </w:r>
      <w:r>
        <w:t xml:space="preserve">). These population PK analyses modelled the PK of </w:t>
      </w:r>
      <w:proofErr w:type="spellStart"/>
      <w:r>
        <w:t>regorafenib</w:t>
      </w:r>
      <w:proofErr w:type="spellEnd"/>
      <w:r>
        <w:t xml:space="preserve"> and its two main active metabolites M2 and M5 after multiple dosing, and looked at the impact of various pre-specified covariates.</w:t>
      </w:r>
    </w:p>
    <w:p w:rsidR="00221B8B" w:rsidRDefault="00221B8B" w:rsidP="00A809B2">
      <w:r>
        <w:t>These population PK analyses were adequately performed, however a limitation is that there were limited subjects with hepatic and renal impairment in the datasets used to construct the model (</w:t>
      </w:r>
      <w:r w:rsidRPr="00FC5D6A">
        <w:t>31/461 patients with mild-moderate hepatic impairment)</w:t>
      </w:r>
      <w:r>
        <w:t>. Therefore, the ability of the models to predict the PK of patients with hepatic or renal impairment (particularly moderate or severe hepatic impairment) is limited.</w:t>
      </w:r>
    </w:p>
    <w:p w:rsidR="00221B8B" w:rsidRDefault="00221B8B" w:rsidP="00A809B2">
      <w:r>
        <w:t xml:space="preserve">The main findings of the population PK analyses were that the covariates found to have a significant impact on the PK of parent </w:t>
      </w:r>
      <w:proofErr w:type="spellStart"/>
      <w:r>
        <w:t>regorafenib</w:t>
      </w:r>
      <w:proofErr w:type="spellEnd"/>
      <w:r>
        <w:t xml:space="preserve"> were bilirubin level at baseline (greater exposure with higher bilirubin levels), study (greater exposure in Study 14387 compared to Study 14874), and BMI (greater exposure with higher BMI). Both metabolites M2 and M5 were also influenced by these covariates via their effect on parent </w:t>
      </w:r>
      <w:proofErr w:type="spellStart"/>
      <w:r>
        <w:t>regorafenib</w:t>
      </w:r>
      <w:proofErr w:type="spellEnd"/>
      <w:r>
        <w:t>, and in addition the metabolites were also influenced by, race (lower exposure in Asian populations) and body weight (lower exposure with increasing weight). Sex also had a significant effect on the PK of M5 (higher exposure in females).</w:t>
      </w:r>
    </w:p>
    <w:p w:rsidR="00221B8B" w:rsidRDefault="00221B8B" w:rsidP="00A809B2">
      <w:r>
        <w:t xml:space="preserve">As the contribution of these covariate effects to overall variability were small (for parent </w:t>
      </w:r>
      <w:proofErr w:type="spellStart"/>
      <w:r>
        <w:t>regorafenib</w:t>
      </w:r>
      <w:proofErr w:type="spellEnd"/>
      <w:r>
        <w:t xml:space="preserve"> a decrease in unexplained variability in CL from CV= 46 % to 44%), none of these covariate effects were assessed by the sponsor to be clinically relevant. However, as discussed, it is the opinion of this evaluator that there is insufficient data from patients with hepatic impairment to be confident in this conclusion. Therefore it is recommended that the proposed wording in the PI be amended accordingly. The conclusions that effects of race, sex and BMI/weight on the PK of </w:t>
      </w:r>
      <w:proofErr w:type="spellStart"/>
      <w:r>
        <w:t>regorafenib</w:t>
      </w:r>
      <w:proofErr w:type="spellEnd"/>
      <w:r>
        <w:t xml:space="preserve"> and its metabolites are not clinically significant are considered probable however the differences with race may have significance in light of differences in the safety profile of </w:t>
      </w:r>
      <w:proofErr w:type="spellStart"/>
      <w:r>
        <w:t>regorafenib</w:t>
      </w:r>
      <w:proofErr w:type="spellEnd"/>
      <w:r>
        <w:t xml:space="preserve"> between races (see </w:t>
      </w:r>
      <w:r w:rsidR="004338FD" w:rsidRPr="004338FD">
        <w:rPr>
          <w:i/>
        </w:rPr>
        <w:t>Safety in special populations</w:t>
      </w:r>
      <w:r>
        <w:t xml:space="preserve">). Only an interim report was provided for </w:t>
      </w:r>
      <w:r w:rsidR="004338FD">
        <w:t>Study 14</w:t>
      </w:r>
      <w:r>
        <w:rPr>
          <w:bCs/>
        </w:rPr>
        <w:t xml:space="preserve">996 (PH-37053) in Chinese patients, and no additional conclusions have been drawn regarding the PK of </w:t>
      </w:r>
      <w:proofErr w:type="spellStart"/>
      <w:r>
        <w:rPr>
          <w:bCs/>
        </w:rPr>
        <w:t>regorafenib</w:t>
      </w:r>
      <w:proofErr w:type="spellEnd"/>
      <w:r>
        <w:rPr>
          <w:bCs/>
        </w:rPr>
        <w:t xml:space="preserve"> in this patient group.</w:t>
      </w:r>
    </w:p>
    <w:p w:rsidR="00221B8B" w:rsidRDefault="00221B8B" w:rsidP="00A809B2">
      <w:r>
        <w:t xml:space="preserve">The results of Study 11651 (PH-36984) were not considered in this evaluation, as the assessment of the impact of hepatic impairment on PK in a cohort of patients with hepatocellular carcinoma were based on single dosing only, and not multiple dosing as is proposed for the clinical indication. The PK after multiple dosing has been found to be </w:t>
      </w:r>
      <w:r>
        <w:lastRenderedPageBreak/>
        <w:t xml:space="preserve">significantly different compared to single dosing, and this difference could plausibly be greater with hepatic impairment given that </w:t>
      </w:r>
      <w:proofErr w:type="spellStart"/>
      <w:r>
        <w:t>regorafenib</w:t>
      </w:r>
      <w:proofErr w:type="spellEnd"/>
      <w:r>
        <w:t xml:space="preserve"> is metabolised primarily by the liver and has the adverse effect of severe hepatic toxicity.</w:t>
      </w:r>
    </w:p>
    <w:p w:rsidR="00221B8B" w:rsidRDefault="00221B8B" w:rsidP="00A809B2">
      <w:r>
        <w:t xml:space="preserve">The results of several exploratory analyses of the effect of </w:t>
      </w:r>
      <w:proofErr w:type="spellStart"/>
      <w:r>
        <w:t>regorafenib</w:t>
      </w:r>
      <w:proofErr w:type="spellEnd"/>
      <w:r>
        <w:t xml:space="preserve"> (and metabolite) exposure levels and response and safety parameters based on the population PK analyses have not been fully evaluated, as these were exploratory in nature and not primary outcomes of the studies. These are briefly described in the Efficacy and Safety sections of this CER.</w:t>
      </w:r>
    </w:p>
    <w:p w:rsidR="00586F98" w:rsidRDefault="00586F98" w:rsidP="00EB721A">
      <w:pPr>
        <w:pStyle w:val="Heading2"/>
      </w:pPr>
      <w:bookmarkStart w:id="85" w:name="_Toc436128338"/>
      <w:r w:rsidRPr="00EB721A">
        <w:t>Pharmacodynamics</w:t>
      </w:r>
      <w:bookmarkEnd w:id="85"/>
    </w:p>
    <w:p w:rsidR="00221B8B" w:rsidRDefault="00221B8B" w:rsidP="00EB721A">
      <w:pPr>
        <w:pStyle w:val="Heading3"/>
      </w:pPr>
      <w:bookmarkStart w:id="86" w:name="_Toc393799361"/>
      <w:bookmarkStart w:id="87" w:name="_Toc290846260"/>
      <w:bookmarkStart w:id="88" w:name="_Toc272414637"/>
      <w:bookmarkStart w:id="89" w:name="_Toc436128339"/>
      <w:r>
        <w:t xml:space="preserve">Studies </w:t>
      </w:r>
      <w:r w:rsidRPr="00EB721A">
        <w:t>providing</w:t>
      </w:r>
      <w:r>
        <w:t xml:space="preserve"> </w:t>
      </w:r>
      <w:proofErr w:type="spellStart"/>
      <w:r>
        <w:t>pharmacodynamic</w:t>
      </w:r>
      <w:proofErr w:type="spellEnd"/>
      <w:r>
        <w:t xml:space="preserve"> data</w:t>
      </w:r>
      <w:bookmarkEnd w:id="86"/>
      <w:bookmarkEnd w:id="87"/>
      <w:bookmarkEnd w:id="88"/>
      <w:bookmarkEnd w:id="89"/>
    </w:p>
    <w:p w:rsidR="00221B8B" w:rsidRDefault="00221B8B" w:rsidP="00EB721A">
      <w:r>
        <w:t xml:space="preserve">One study (14814) was submitted providing </w:t>
      </w:r>
      <w:proofErr w:type="spellStart"/>
      <w:r>
        <w:t>pharmacodynamic</w:t>
      </w:r>
      <w:proofErr w:type="spellEnd"/>
      <w:r>
        <w:t xml:space="preserve"> data on the effect of </w:t>
      </w:r>
      <w:proofErr w:type="spellStart"/>
      <w:r>
        <w:t>regorafenib</w:t>
      </w:r>
      <w:proofErr w:type="spellEnd"/>
      <w:r>
        <w:t xml:space="preserve"> on cardiovascular safety parameters, specifically QT/</w:t>
      </w:r>
      <w:proofErr w:type="spellStart"/>
      <w:r>
        <w:t>QTc</w:t>
      </w:r>
      <w:proofErr w:type="spellEnd"/>
      <w:r>
        <w:t xml:space="preserve"> intervals and left ventricular ejection fraction (LVEF) in subjects with solid tumours. An interim report of this study was previously evaluated </w:t>
      </w:r>
      <w:r w:rsidR="004338FD">
        <w:t>by the TGA</w:t>
      </w:r>
      <w:r>
        <w:t>, and the updated final CSR was s</w:t>
      </w:r>
      <w:r w:rsidR="004338FD">
        <w:t>ubmitted with this application.</w:t>
      </w:r>
    </w:p>
    <w:p w:rsidR="00221B8B" w:rsidRDefault="00221B8B" w:rsidP="00221B8B">
      <w:pPr>
        <w:rPr>
          <w:szCs w:val="24"/>
        </w:rPr>
      </w:pPr>
      <w:r>
        <w:t>This PD study did not have any deficiencies that excluded its results from consideration.</w:t>
      </w:r>
    </w:p>
    <w:p w:rsidR="00221B8B" w:rsidRDefault="00221B8B" w:rsidP="00EB721A">
      <w:pPr>
        <w:pStyle w:val="Heading3"/>
      </w:pPr>
      <w:bookmarkStart w:id="90" w:name="_Toc393799362"/>
      <w:bookmarkStart w:id="91" w:name="_Toc290846261"/>
      <w:bookmarkStart w:id="92" w:name="_Toc272414639"/>
      <w:bookmarkStart w:id="93" w:name="_Ref269119989"/>
      <w:bookmarkStart w:id="94" w:name="_Toc436128340"/>
      <w:r>
        <w:t xml:space="preserve">Summary of </w:t>
      </w:r>
      <w:r w:rsidRPr="00EB721A">
        <w:t>pharmacodynamics</w:t>
      </w:r>
      <w:bookmarkEnd w:id="90"/>
      <w:bookmarkEnd w:id="91"/>
      <w:bookmarkEnd w:id="92"/>
      <w:bookmarkEnd w:id="93"/>
      <w:bookmarkEnd w:id="94"/>
    </w:p>
    <w:p w:rsidR="00221B8B" w:rsidRDefault="00221B8B" w:rsidP="00EB721A">
      <w:r>
        <w:t>Only the new results presented with Study 14814 are considered in this CER.</w:t>
      </w:r>
    </w:p>
    <w:p w:rsidR="00221B8B" w:rsidRDefault="00221B8B" w:rsidP="00EB721A">
      <w:pPr>
        <w:pStyle w:val="Heading4"/>
      </w:pPr>
      <w:bookmarkStart w:id="95" w:name="_Toc393799363"/>
      <w:bookmarkStart w:id="96" w:name="_Toc290846263"/>
      <w:bookmarkStart w:id="97" w:name="_Toc272414641"/>
      <w:bookmarkStart w:id="98" w:name="_Toc241374300"/>
      <w:proofErr w:type="spellStart"/>
      <w:r w:rsidRPr="00EB721A">
        <w:t>Pharmacodynamic</w:t>
      </w:r>
      <w:proofErr w:type="spellEnd"/>
      <w:r>
        <w:t xml:space="preserve"> effects</w:t>
      </w:r>
      <w:bookmarkEnd w:id="95"/>
      <w:bookmarkEnd w:id="96"/>
      <w:bookmarkEnd w:id="97"/>
      <w:bookmarkEnd w:id="98"/>
    </w:p>
    <w:p w:rsidR="00221B8B" w:rsidRDefault="00221B8B" w:rsidP="00EB721A">
      <w:pPr>
        <w:pStyle w:val="Heading5"/>
      </w:pPr>
      <w:bookmarkStart w:id="99" w:name="_Toc290846264"/>
      <w:bookmarkStart w:id="100" w:name="_Toc272414642"/>
      <w:r>
        <w:t xml:space="preserve">Primary </w:t>
      </w:r>
      <w:proofErr w:type="spellStart"/>
      <w:r w:rsidRPr="00EB721A">
        <w:t>pharmacodynamic</w:t>
      </w:r>
      <w:proofErr w:type="spellEnd"/>
      <w:r>
        <w:t xml:space="preserve"> effects</w:t>
      </w:r>
      <w:bookmarkEnd w:id="99"/>
      <w:bookmarkEnd w:id="100"/>
    </w:p>
    <w:p w:rsidR="00221B8B" w:rsidRDefault="00221B8B" w:rsidP="00EB721A">
      <w:r>
        <w:t>No new information presented in this submission.</w:t>
      </w:r>
    </w:p>
    <w:p w:rsidR="00221B8B" w:rsidRDefault="00221B8B" w:rsidP="00EB721A">
      <w:pPr>
        <w:pStyle w:val="Heading5"/>
      </w:pPr>
      <w:bookmarkStart w:id="101" w:name="_Toc290846265"/>
      <w:bookmarkStart w:id="102" w:name="_Toc272414643"/>
      <w:r>
        <w:t xml:space="preserve">Secondary </w:t>
      </w:r>
      <w:proofErr w:type="spellStart"/>
      <w:r w:rsidRPr="00EB721A">
        <w:t>pharmacodynamic</w:t>
      </w:r>
      <w:proofErr w:type="spellEnd"/>
      <w:r>
        <w:t xml:space="preserve"> effects</w:t>
      </w:r>
      <w:bookmarkEnd w:id="101"/>
      <w:bookmarkEnd w:id="102"/>
    </w:p>
    <w:p w:rsidR="00221B8B" w:rsidRDefault="00221B8B" w:rsidP="00EB721A">
      <w:r>
        <w:t xml:space="preserve">The results of Study 14814 did not reveal any evidence of QT prolongation with </w:t>
      </w:r>
      <w:proofErr w:type="spellStart"/>
      <w:r>
        <w:t>regorafenib</w:t>
      </w:r>
      <w:proofErr w:type="spellEnd"/>
      <w:r>
        <w:t xml:space="preserve"> use of at least 1 cycle at maximum dosing of 16</w:t>
      </w:r>
      <w:r w:rsidR="00FD00C0">
        <w:t>0 mg</w:t>
      </w:r>
      <w:r>
        <w:t xml:space="preserve"> daily. There was minimal effect on left ventricular ejection fraction (LVEF) after at least 2 cycles of </w:t>
      </w:r>
      <w:proofErr w:type="spellStart"/>
      <w:r>
        <w:t>regorafenib</w:t>
      </w:r>
      <w:proofErr w:type="spellEnd"/>
      <w:r>
        <w:t xml:space="preserve"> at maximum dosing of 16</w:t>
      </w:r>
      <w:r w:rsidR="00FD00C0">
        <w:t>0 mg</w:t>
      </w:r>
      <w:r>
        <w:t xml:space="preserve"> daily, although results with longer term follow-up in this study are pending.</w:t>
      </w:r>
    </w:p>
    <w:p w:rsidR="00221B8B" w:rsidRDefault="00221B8B" w:rsidP="00EB721A">
      <w:pPr>
        <w:ind w:left="1134" w:hanging="1134"/>
      </w:pPr>
      <w:r w:rsidRPr="004338FD">
        <w:rPr>
          <w:b/>
        </w:rPr>
        <w:t>Comment</w:t>
      </w:r>
      <w:r>
        <w:t>:</w:t>
      </w:r>
      <w:r w:rsidR="00EB721A">
        <w:tab/>
      </w:r>
      <w:r>
        <w:t xml:space="preserve">The dedicated cardiovascular safety </w:t>
      </w:r>
      <w:r w:rsidR="004338FD">
        <w:t>Study 14</w:t>
      </w:r>
      <w:r>
        <w:t xml:space="preserve">814 provides reassuring evidence that </w:t>
      </w:r>
      <w:proofErr w:type="spellStart"/>
      <w:r>
        <w:t>regorafenib</w:t>
      </w:r>
      <w:proofErr w:type="spellEnd"/>
      <w:r>
        <w:t xml:space="preserve"> does not have any significant effects on QT prolongation at the recommended dosage. Early results suggest minimal impact of </w:t>
      </w:r>
      <w:proofErr w:type="spellStart"/>
      <w:r>
        <w:t>regorafenib</w:t>
      </w:r>
      <w:proofErr w:type="spellEnd"/>
      <w:r>
        <w:t xml:space="preserve"> use on LVEF, although the results of longer-term follow up from this study would provide more definitive information. This has been posed as a question to the sponsor in </w:t>
      </w:r>
      <w:r w:rsidR="004338FD" w:rsidRPr="004338FD">
        <w:rPr>
          <w:i/>
        </w:rPr>
        <w:t>Clinical questions</w:t>
      </w:r>
      <w:r>
        <w:t>.</w:t>
      </w:r>
    </w:p>
    <w:p w:rsidR="00221B8B" w:rsidRDefault="00221B8B" w:rsidP="00EB721A">
      <w:pPr>
        <w:pStyle w:val="Heading4"/>
      </w:pPr>
      <w:bookmarkStart w:id="103" w:name="_Toc393799364"/>
      <w:bookmarkStart w:id="104" w:name="_Toc290846267"/>
      <w:bookmarkStart w:id="105" w:name="_Toc272414645"/>
      <w:r w:rsidRPr="00EB721A">
        <w:t>Relationship</w:t>
      </w:r>
      <w:r>
        <w:t xml:space="preserve"> between drug concentration and </w:t>
      </w:r>
      <w:proofErr w:type="spellStart"/>
      <w:r>
        <w:t>pharmacodynamic</w:t>
      </w:r>
      <w:proofErr w:type="spellEnd"/>
      <w:r>
        <w:t xml:space="preserve"> effects</w:t>
      </w:r>
      <w:bookmarkEnd w:id="103"/>
      <w:bookmarkEnd w:id="104"/>
      <w:bookmarkEnd w:id="105"/>
    </w:p>
    <w:p w:rsidR="00221B8B" w:rsidRPr="004338FD" w:rsidRDefault="00221B8B" w:rsidP="00EB721A">
      <w:r w:rsidRPr="004338FD">
        <w:t xml:space="preserve">Linear mixed effects modelling was used to assess the concentration-QT (exposure-response PK/PD) relationship in Study 14814. No apparent relevant positive correlation was found between plasma </w:t>
      </w:r>
      <w:proofErr w:type="spellStart"/>
      <w:r w:rsidRPr="004338FD">
        <w:t>regorafenib</w:t>
      </w:r>
      <w:proofErr w:type="spellEnd"/>
      <w:r w:rsidRPr="004338FD">
        <w:t xml:space="preserve"> concentration and changes in QT and </w:t>
      </w:r>
      <w:proofErr w:type="spellStart"/>
      <w:r w:rsidRPr="004338FD">
        <w:t>QTc</w:t>
      </w:r>
      <w:proofErr w:type="spellEnd"/>
      <w:r w:rsidRPr="004338FD">
        <w:t>.</w:t>
      </w:r>
    </w:p>
    <w:p w:rsidR="00221B8B" w:rsidRDefault="00221B8B" w:rsidP="00EB721A">
      <w:pPr>
        <w:pStyle w:val="Heading3"/>
      </w:pPr>
      <w:bookmarkStart w:id="106" w:name="_Toc393799365"/>
      <w:bookmarkStart w:id="107" w:name="_Toc290846270"/>
      <w:bookmarkStart w:id="108" w:name="_Toc272414648"/>
      <w:bookmarkStart w:id="109" w:name="_Ref269983272"/>
      <w:bookmarkStart w:id="110" w:name="_Toc436128341"/>
      <w:r>
        <w:t xml:space="preserve">Evaluator’s overall conclusions on </w:t>
      </w:r>
      <w:r w:rsidRPr="00EB721A">
        <w:t>pharmacodynamics</w:t>
      </w:r>
      <w:bookmarkEnd w:id="106"/>
      <w:bookmarkEnd w:id="107"/>
      <w:bookmarkEnd w:id="108"/>
      <w:bookmarkEnd w:id="109"/>
      <w:bookmarkEnd w:id="110"/>
    </w:p>
    <w:p w:rsidR="00221B8B" w:rsidRDefault="00221B8B" w:rsidP="00EB721A">
      <w:r>
        <w:t xml:space="preserve">The final CSR for Study 14814 did not provide any evidence of an association between </w:t>
      </w:r>
      <w:proofErr w:type="spellStart"/>
      <w:r>
        <w:t>regorafenib</w:t>
      </w:r>
      <w:proofErr w:type="spellEnd"/>
      <w:r>
        <w:t xml:space="preserve"> use and QT prolongation after 1 cycle of maximum treatment, or clinically significant worsening of LVEF after 2 cycles of maximum treatment.</w:t>
      </w:r>
    </w:p>
    <w:p w:rsidR="00586F98" w:rsidRDefault="00C22678" w:rsidP="00EB721A">
      <w:pPr>
        <w:pStyle w:val="Heading2"/>
      </w:pPr>
      <w:bookmarkStart w:id="111" w:name="_Toc436128342"/>
      <w:r>
        <w:lastRenderedPageBreak/>
        <w:t xml:space="preserve">Dosage selection for </w:t>
      </w:r>
      <w:r w:rsidRPr="004338FD">
        <w:t>the</w:t>
      </w:r>
      <w:r>
        <w:t xml:space="preserve"> pivotal studies</w:t>
      </w:r>
      <w:bookmarkEnd w:id="111"/>
    </w:p>
    <w:p w:rsidR="00221B8B" w:rsidRDefault="00221B8B" w:rsidP="00EB721A">
      <w:r>
        <w:t xml:space="preserve">With this submission, ‘PH-37386 </w:t>
      </w:r>
      <w:proofErr w:type="spellStart"/>
      <w:r>
        <w:t>Regorafenib</w:t>
      </w:r>
      <w:proofErr w:type="spellEnd"/>
      <w:r>
        <w:t xml:space="preserve"> dose selection document’ was included. This was a non-compartment PK evaluation dated 21 June 2013, and outlined the rationale for the selection of </w:t>
      </w:r>
      <w:proofErr w:type="spellStart"/>
      <w:r>
        <w:t>regorafenib</w:t>
      </w:r>
      <w:proofErr w:type="spellEnd"/>
      <w:r>
        <w:t xml:space="preserve"> dose for Phase II-III clinical development based on Phase I data from </w:t>
      </w:r>
      <w:r w:rsidR="001669E0">
        <w:t>Studies 11</w:t>
      </w:r>
      <w:r>
        <w:t xml:space="preserve">650 and </w:t>
      </w:r>
      <w:r w:rsidR="004338FD">
        <w:t>11651. In S</w:t>
      </w:r>
      <w:r>
        <w:t xml:space="preserve">tudy 11650, </w:t>
      </w:r>
      <w:proofErr w:type="spellStart"/>
      <w:r>
        <w:t>regorafenib</w:t>
      </w:r>
      <w:proofErr w:type="spellEnd"/>
      <w:r>
        <w:t xml:space="preserve"> was administered at dosages from 10 mg to 220 mg orally daily </w:t>
      </w:r>
      <w:proofErr w:type="gramStart"/>
      <w:r>
        <w:t>with a 21 days on/7 days</w:t>
      </w:r>
      <w:proofErr w:type="gramEnd"/>
      <w:r>
        <w:t xml:space="preserve"> off schedule, and at MTD was determined to be 160 mg od with intermittent dosing. In </w:t>
      </w:r>
      <w:r w:rsidR="004338FD">
        <w:t>Study 116</w:t>
      </w:r>
      <w:r>
        <w:t xml:space="preserve">51, </w:t>
      </w:r>
      <w:proofErr w:type="spellStart"/>
      <w:r>
        <w:t>regorafenib</w:t>
      </w:r>
      <w:proofErr w:type="spellEnd"/>
      <w:r>
        <w:t xml:space="preserve"> was administered orally daily in a continuous treatment regimen with a dose range from 20 mg to 140 mg, and a MTD was determined to be 100 mg od with a continuous dosing schedule.</w:t>
      </w:r>
    </w:p>
    <w:p w:rsidR="00221B8B" w:rsidRDefault="00221B8B" w:rsidP="00EB721A">
      <w:r>
        <w:t xml:space="preserve">Based on analysis of the two Phase I studies, the </w:t>
      </w:r>
      <w:proofErr w:type="spellStart"/>
      <w:r>
        <w:t>regorafenib</w:t>
      </w:r>
      <w:proofErr w:type="spellEnd"/>
      <w:r>
        <w:t xml:space="preserve"> dose selected for further clinical development was 160 mg once daily in the treatment schedule 21 days on/7 days off (over 100 mg once daily with continuous dosing), based on the following considerations:</w:t>
      </w:r>
    </w:p>
    <w:p w:rsidR="00221B8B" w:rsidRDefault="00221B8B" w:rsidP="00EB721A">
      <w:pPr>
        <w:pStyle w:val="ListBullet"/>
      </w:pPr>
      <w:r>
        <w:t xml:space="preserve">The safety/tolerability of the two MTD dosages were similar with the two dosage regimens, however for approximately the same extent of </w:t>
      </w:r>
      <w:r w:rsidRPr="00EB721A">
        <w:t>toxicity</w:t>
      </w:r>
      <w:r>
        <w:t xml:space="preserve">, a 20% higher total dose of </w:t>
      </w:r>
      <w:proofErr w:type="spellStart"/>
      <w:r>
        <w:t>regorafenib</w:t>
      </w:r>
      <w:proofErr w:type="spellEnd"/>
      <w:r>
        <w:t xml:space="preserve"> could be delivered at MTD in the intermittent schedule in a 28 day period.</w:t>
      </w:r>
    </w:p>
    <w:p w:rsidR="00221B8B" w:rsidRDefault="00221B8B" w:rsidP="00EB721A">
      <w:pPr>
        <w:pStyle w:val="ListBullet"/>
      </w:pPr>
      <w:r>
        <w:t>A break in dosing provided by the intermittent schedule may give patients a chance to at least partially recover from toxicities, and early clinical efficacy results did not suggest an increase in tumour flare during the treatment break period.</w:t>
      </w:r>
    </w:p>
    <w:p w:rsidR="00221B8B" w:rsidRDefault="00221B8B" w:rsidP="00EB721A">
      <w:pPr>
        <w:pStyle w:val="ListBullet"/>
      </w:pPr>
      <w:r>
        <w:t xml:space="preserve">The higher exposure during the dosing days in the </w:t>
      </w:r>
      <w:r w:rsidR="003414F3" w:rsidRPr="003414F3">
        <w:t>intermittent</w:t>
      </w:r>
      <w:r>
        <w:t xml:space="preserve"> schedule may prove advantageous with respect to anti-tumour activity </w:t>
      </w:r>
      <w:r w:rsidRPr="00EB721A">
        <w:t>in</w:t>
      </w:r>
      <w:r>
        <w:t xml:space="preserve"> some tumours.</w:t>
      </w:r>
    </w:p>
    <w:p w:rsidR="00221B8B" w:rsidRDefault="00221B8B" w:rsidP="00EB721A">
      <w:pPr>
        <w:pStyle w:val="ListBullet"/>
      </w:pPr>
      <w:r>
        <w:t xml:space="preserve">An intermittent dosing schedule may offer an advantage in terms of ‘combinability’ with cytotoxic agents which are dosed intermittently and decrease the </w:t>
      </w:r>
      <w:r w:rsidRPr="00EB721A">
        <w:t>chances</w:t>
      </w:r>
      <w:r>
        <w:t xml:space="preserve"> of any possible PK drug-drug interaction.</w:t>
      </w:r>
    </w:p>
    <w:p w:rsidR="00221B8B" w:rsidRDefault="00221B8B" w:rsidP="00EB721A">
      <w:pPr>
        <w:ind w:left="1134" w:hanging="1134"/>
      </w:pPr>
      <w:r w:rsidRPr="004338FD">
        <w:rPr>
          <w:b/>
        </w:rPr>
        <w:t>Comment</w:t>
      </w:r>
      <w:r>
        <w:t>:</w:t>
      </w:r>
      <w:r w:rsidR="00EB721A">
        <w:tab/>
      </w:r>
      <w:r>
        <w:t xml:space="preserve">It is noted that this dose selection document was produced at a date much later than the initiation of the Phase II and III trials which it seeks to inform. The individual Phase I </w:t>
      </w:r>
      <w:r w:rsidR="001669E0">
        <w:t>Studies 11</w:t>
      </w:r>
      <w:r>
        <w:t>650 and 11651 were previously evaluated and have not been evaluated in this CER. Nevertheless, the dosage selection for further development would seem acceptable based on the rationale outlined above, and this has been the dose and formulation used in subsequent clinical trials for a range of indications. This is also the dosage currently registered for treatment of metastatic CRC in Australia.</w:t>
      </w:r>
    </w:p>
    <w:p w:rsidR="00221B8B" w:rsidRDefault="004338FD" w:rsidP="00EB721A">
      <w:r>
        <w:t xml:space="preserve">In Pivotal study </w:t>
      </w:r>
      <w:r w:rsidR="00221B8B">
        <w:t xml:space="preserve">14874 in this submission, in line with the dose selection document, patients randomised to </w:t>
      </w:r>
      <w:proofErr w:type="spellStart"/>
      <w:r w:rsidR="00221B8B">
        <w:t>regorafenib</w:t>
      </w:r>
      <w:proofErr w:type="spellEnd"/>
      <w:r w:rsidR="00221B8B">
        <w:t xml:space="preserve"> received 160 mg orally once daily for 3 weeks of every 4 week (28 day) cycle (intermittent dosing: 3 weeks on/1 week off treatment). Each 160 mg dose consisted of four 40 mg immediate-release coated tablets, with rapid dissolution characteristics under in vitro test conditions.</w:t>
      </w:r>
      <w:r w:rsidR="00221B8B">
        <w:rPr>
          <w:sz w:val="21"/>
          <w:szCs w:val="21"/>
        </w:rPr>
        <w:t xml:space="preserve"> </w:t>
      </w:r>
      <w:proofErr w:type="spellStart"/>
      <w:r w:rsidR="00221B8B">
        <w:t>Regorafenib</w:t>
      </w:r>
      <w:proofErr w:type="spellEnd"/>
      <w:r w:rsidR="00221B8B">
        <w:t xml:space="preserve"> was to be taken in the morning with approximately 240 mL of water after a low-fat (&lt; 30% fat) breakfast.</w:t>
      </w:r>
    </w:p>
    <w:p w:rsidR="00221B8B" w:rsidRDefault="00221B8B" w:rsidP="00EB721A">
      <w:pPr>
        <w:ind w:left="1134" w:hanging="1134"/>
        <w:rPr>
          <w:rFonts w:eastAsia="TimesNewRoman"/>
        </w:rPr>
      </w:pPr>
      <w:r w:rsidRPr="004338FD">
        <w:rPr>
          <w:rFonts w:eastAsia="TimesNewRoman"/>
          <w:b/>
        </w:rPr>
        <w:t>Comment</w:t>
      </w:r>
      <w:r>
        <w:rPr>
          <w:rFonts w:eastAsia="TimesNewRoman"/>
        </w:rPr>
        <w:t>:</w:t>
      </w:r>
      <w:r w:rsidR="00EB721A">
        <w:rPr>
          <w:rFonts w:eastAsia="TimesNewRoman"/>
        </w:rPr>
        <w:tab/>
      </w:r>
      <w:r>
        <w:rPr>
          <w:rFonts w:eastAsia="TimesNewRoman"/>
        </w:rPr>
        <w:t xml:space="preserve">The dosage selection for the </w:t>
      </w:r>
      <w:r>
        <w:t>pivotal trial in this submission would seem acceptable and is in line with that determined in the dose selection document.</w:t>
      </w:r>
    </w:p>
    <w:p w:rsidR="00C22678" w:rsidRDefault="00C22678" w:rsidP="00EB721A">
      <w:pPr>
        <w:pStyle w:val="Heading2"/>
      </w:pPr>
      <w:bookmarkStart w:id="112" w:name="_Toc436128343"/>
      <w:r>
        <w:t xml:space="preserve">Clinical </w:t>
      </w:r>
      <w:r w:rsidRPr="00EB721A">
        <w:t>efficacy</w:t>
      </w:r>
      <w:bookmarkEnd w:id="112"/>
    </w:p>
    <w:p w:rsidR="00221B8B" w:rsidRPr="00EB721A" w:rsidRDefault="00221B8B" w:rsidP="00EB721A">
      <w:pPr>
        <w:pStyle w:val="ListBullet"/>
        <w:numPr>
          <w:ilvl w:val="0"/>
          <w:numId w:val="0"/>
        </w:numPr>
        <w:ind w:left="360"/>
        <w:rPr>
          <w:i/>
        </w:rPr>
      </w:pPr>
      <w:bookmarkStart w:id="113" w:name="_Toc393799368"/>
      <w:r w:rsidRPr="00EB721A">
        <w:rPr>
          <w:i/>
        </w:rPr>
        <w:t>Indication: Treatment of patients with gastrointestinal stromal tumours (GIST) who have been previously treated with two tyrosine kinase inhibitors</w:t>
      </w:r>
      <w:bookmarkEnd w:id="113"/>
    </w:p>
    <w:p w:rsidR="00221B8B" w:rsidRDefault="00221B8B" w:rsidP="00EB721A">
      <w:pPr>
        <w:pStyle w:val="Heading3"/>
      </w:pPr>
      <w:bookmarkStart w:id="114" w:name="_Toc393799369"/>
      <w:bookmarkStart w:id="115" w:name="_Toc290846274"/>
      <w:bookmarkStart w:id="116" w:name="_Toc272414652"/>
      <w:bookmarkStart w:id="117" w:name="_Ref271037274"/>
      <w:bookmarkStart w:id="118" w:name="_Toc436128344"/>
      <w:r>
        <w:lastRenderedPageBreak/>
        <w:t xml:space="preserve">Pivotal </w:t>
      </w:r>
      <w:r w:rsidRPr="004338FD">
        <w:t>efficacy</w:t>
      </w:r>
      <w:r>
        <w:t xml:space="preserve"> </w:t>
      </w:r>
      <w:r w:rsidRPr="00EB721A">
        <w:t>studies</w:t>
      </w:r>
      <w:bookmarkEnd w:id="114"/>
      <w:bookmarkEnd w:id="115"/>
      <w:bookmarkEnd w:id="116"/>
      <w:bookmarkEnd w:id="117"/>
      <w:bookmarkEnd w:id="118"/>
    </w:p>
    <w:p w:rsidR="00221B8B" w:rsidRDefault="00221B8B" w:rsidP="00EB721A">
      <w:pPr>
        <w:ind w:left="1134" w:hanging="1134"/>
      </w:pPr>
      <w:r w:rsidRPr="004338FD">
        <w:rPr>
          <w:b/>
        </w:rPr>
        <w:t>Comment</w:t>
      </w:r>
      <w:r>
        <w:t>:</w:t>
      </w:r>
      <w:r w:rsidR="00EB721A">
        <w:tab/>
      </w:r>
      <w:r>
        <w:t>Only one single pivotal trial was submitted with this application in support of the new indication in patents with previously treated GIST. This had been discussed with the TGA and approved prior to submission, and had also been discussed with international regulatory agencies (FDA and EMA) in the drug development planning process. It is the opinion of this evaluator that Study 14874 fulfils the criteria set out in the EMA points to consider on application with one pivotal study.</w:t>
      </w:r>
    </w:p>
    <w:p w:rsidR="00221B8B" w:rsidRDefault="00221B8B" w:rsidP="00EB721A">
      <w:pPr>
        <w:pStyle w:val="Heading4"/>
      </w:pPr>
      <w:bookmarkStart w:id="119" w:name="_Toc290846275"/>
      <w:bookmarkStart w:id="120" w:name="_Toc272414653"/>
      <w:bookmarkStart w:id="121" w:name="_Ref271040932"/>
      <w:bookmarkStart w:id="122" w:name="_Ref271040927"/>
      <w:bookmarkStart w:id="123" w:name="_Ref243301615"/>
      <w:bookmarkStart w:id="124" w:name="_Ref386629649"/>
      <w:r>
        <w:t xml:space="preserve">Study </w:t>
      </w:r>
      <w:bookmarkEnd w:id="119"/>
      <w:bookmarkEnd w:id="120"/>
      <w:bookmarkEnd w:id="121"/>
      <w:bookmarkEnd w:id="122"/>
      <w:bookmarkEnd w:id="123"/>
      <w:r>
        <w:t xml:space="preserve">14874 (A59137, </w:t>
      </w:r>
      <w:r w:rsidRPr="00EB721A">
        <w:t>Amendment</w:t>
      </w:r>
      <w:r>
        <w:t xml:space="preserve"> 1) GRID</w:t>
      </w:r>
      <w:bookmarkEnd w:id="124"/>
    </w:p>
    <w:p w:rsidR="00221B8B" w:rsidRDefault="00221B8B" w:rsidP="00EB721A">
      <w:pPr>
        <w:pStyle w:val="Heading5"/>
        <w:rPr>
          <w:color w:val="auto"/>
        </w:rPr>
      </w:pPr>
      <w:r>
        <w:t xml:space="preserve">Study design, objectives, locations and </w:t>
      </w:r>
      <w:r w:rsidRPr="004338FD">
        <w:t>dates</w:t>
      </w:r>
    </w:p>
    <w:p w:rsidR="00221B8B" w:rsidRDefault="00221B8B" w:rsidP="00EB721A">
      <w:r>
        <w:t xml:space="preserve">This was a Phase III, multicentre randomised, double-blind, cross-over study to assess the safety and efficacy of </w:t>
      </w:r>
      <w:proofErr w:type="spellStart"/>
      <w:r>
        <w:t>regorafenib</w:t>
      </w:r>
      <w:proofErr w:type="spellEnd"/>
      <w:r>
        <w:t xml:space="preserve"> + best supportive care (BSC) compared with placebo + BSC in patients with metastatic and/or </w:t>
      </w:r>
      <w:proofErr w:type="spellStart"/>
      <w:r>
        <w:t>unresectable</w:t>
      </w:r>
      <w:proofErr w:type="spellEnd"/>
      <w:r>
        <w:t xml:space="preserve"> GIST and prior failure of the two tyrosine kinase inhibitors </w:t>
      </w:r>
      <w:proofErr w:type="spellStart"/>
      <w:r>
        <w:t>imatinib</w:t>
      </w:r>
      <w:proofErr w:type="spellEnd"/>
      <w:r>
        <w:t xml:space="preserve"> and </w:t>
      </w:r>
      <w:proofErr w:type="spellStart"/>
      <w:r>
        <w:t>sunitinib</w:t>
      </w:r>
      <w:proofErr w:type="spellEnd"/>
      <w:r>
        <w:t>.</w:t>
      </w:r>
    </w:p>
    <w:p w:rsidR="00221B8B" w:rsidRDefault="00221B8B" w:rsidP="00EB721A">
      <w:r>
        <w:t>The study was conducted at 53 centres across 17 countries which randomised at least one patient. The participating countries were: United States (9 centres); Germany (6); Japan (6); China (4); South Korea (4); France (4); Canada (3); United Kingdom (3); Italy (3); Austria (2); Spain (2); Netherlands (2); Belgium (1); Finland (1); Israel (1); Poland (1); Singapore (1).</w:t>
      </w:r>
    </w:p>
    <w:p w:rsidR="00221B8B" w:rsidRDefault="00221B8B" w:rsidP="00EB721A">
      <w:r>
        <w:t>Enrolment for this study was completed in a short time from January to August 2011, and the data cut-off for the submitted CSR was 26 Jan</w:t>
      </w:r>
      <w:r w:rsidR="004338FD">
        <w:t>uary</w:t>
      </w:r>
      <w:r>
        <w:t xml:space="preserve"> 2012.</w:t>
      </w:r>
    </w:p>
    <w:p w:rsidR="00221B8B" w:rsidRDefault="00221B8B" w:rsidP="00EB721A">
      <w:pPr>
        <w:pStyle w:val="Heading5"/>
      </w:pPr>
      <w:r>
        <w:t xml:space="preserve">Inclusion and </w:t>
      </w:r>
      <w:r w:rsidRPr="00EB721A">
        <w:t>exclusion</w:t>
      </w:r>
      <w:r>
        <w:t xml:space="preserve"> criteria</w:t>
      </w:r>
    </w:p>
    <w:p w:rsidR="00221B8B" w:rsidRDefault="00221B8B" w:rsidP="00EB721A">
      <w:r>
        <w:t>Main inclusion criteria included:</w:t>
      </w:r>
    </w:p>
    <w:p w:rsidR="00221B8B" w:rsidRDefault="00221B8B" w:rsidP="00EB721A">
      <w:pPr>
        <w:pStyle w:val="ListBullet"/>
      </w:pPr>
      <w:r w:rsidRPr="00EB721A">
        <w:t>Histologically</w:t>
      </w:r>
      <w:r>
        <w:t xml:space="preserve">-confirmed, metastatic and/or </w:t>
      </w:r>
      <w:proofErr w:type="spellStart"/>
      <w:r>
        <w:t>unresectable</w:t>
      </w:r>
      <w:proofErr w:type="spellEnd"/>
      <w:r>
        <w:t xml:space="preserve"> GIST</w:t>
      </w:r>
    </w:p>
    <w:p w:rsidR="00221B8B" w:rsidRDefault="00221B8B" w:rsidP="00EB721A">
      <w:pPr>
        <w:pStyle w:val="ListBullet"/>
      </w:pPr>
      <w:r>
        <w:t>At least one measurable lesion according to modified RECIST, version 1.1.</w:t>
      </w:r>
    </w:p>
    <w:p w:rsidR="00221B8B" w:rsidRDefault="00221B8B" w:rsidP="00EB721A">
      <w:pPr>
        <w:pStyle w:val="ListBullet"/>
      </w:pPr>
      <w:r>
        <w:t xml:space="preserve">Failure of at least: (1) prior </w:t>
      </w:r>
      <w:proofErr w:type="spellStart"/>
      <w:r>
        <w:t>imatinib</w:t>
      </w:r>
      <w:proofErr w:type="spellEnd"/>
      <w:r>
        <w:t xml:space="preserve"> (due to either disease progression or intolerance) and (2) prior </w:t>
      </w:r>
      <w:proofErr w:type="spellStart"/>
      <w:r>
        <w:t>sunitinib</w:t>
      </w:r>
      <w:proofErr w:type="spellEnd"/>
      <w:r>
        <w:t xml:space="preserve"> (due to </w:t>
      </w:r>
      <w:r w:rsidRPr="00EB721A">
        <w:t>progression</w:t>
      </w:r>
      <w:r>
        <w:t>)</w:t>
      </w:r>
    </w:p>
    <w:p w:rsidR="00221B8B" w:rsidRDefault="00221B8B" w:rsidP="00EB721A">
      <w:pPr>
        <w:pStyle w:val="ListBullet"/>
      </w:pPr>
      <w:r>
        <w:t xml:space="preserve">Age </w:t>
      </w:r>
      <w:r w:rsidR="008B3958">
        <w:t>≥</w:t>
      </w:r>
      <w:r>
        <w:t xml:space="preserve">18 </w:t>
      </w:r>
      <w:r w:rsidRPr="00EB721A">
        <w:t>years</w:t>
      </w:r>
    </w:p>
    <w:p w:rsidR="00221B8B" w:rsidRDefault="00221B8B" w:rsidP="00EB721A">
      <w:pPr>
        <w:pStyle w:val="ListBullet"/>
      </w:pPr>
      <w:r>
        <w:t xml:space="preserve">Eastern </w:t>
      </w:r>
      <w:r w:rsidRPr="00EB721A">
        <w:t>Cooperative</w:t>
      </w:r>
      <w:r>
        <w:t xml:space="preserve"> Oncology Group performance status (ECOG PS) of 0 or 1</w:t>
      </w:r>
    </w:p>
    <w:p w:rsidR="00221B8B" w:rsidRDefault="00221B8B" w:rsidP="00EB721A">
      <w:pPr>
        <w:pStyle w:val="ListBullet"/>
      </w:pPr>
      <w:r>
        <w:t xml:space="preserve">Adequate bone marrow, liver, and renal function as assessed by laboratory measurements conducted within 7 days of </w:t>
      </w:r>
      <w:r w:rsidRPr="00EB721A">
        <w:t>starting</w:t>
      </w:r>
      <w:r>
        <w:t xml:space="preserve"> study treatment</w:t>
      </w:r>
    </w:p>
    <w:p w:rsidR="00221B8B" w:rsidRDefault="00221B8B" w:rsidP="00EB721A">
      <w:pPr>
        <w:pStyle w:val="ListBullet"/>
      </w:pPr>
      <w:r w:rsidRPr="00EB721A">
        <w:t>Life</w:t>
      </w:r>
      <w:r>
        <w:t xml:space="preserve"> expectancy of at least 3 months</w:t>
      </w:r>
    </w:p>
    <w:p w:rsidR="00221B8B" w:rsidRDefault="00221B8B" w:rsidP="00EB721A">
      <w:r>
        <w:t>Main exclusion criteria included:</w:t>
      </w:r>
    </w:p>
    <w:p w:rsidR="00221B8B" w:rsidRDefault="00221B8B" w:rsidP="00EB721A">
      <w:pPr>
        <w:pStyle w:val="ListBullet"/>
      </w:pPr>
      <w:r>
        <w:t xml:space="preserve">Patients who had received any VEGFR inhibitors other than </w:t>
      </w:r>
      <w:proofErr w:type="spellStart"/>
      <w:r>
        <w:t>sunitinib</w:t>
      </w:r>
      <w:proofErr w:type="spellEnd"/>
    </w:p>
    <w:p w:rsidR="00221B8B" w:rsidRDefault="00221B8B" w:rsidP="00EB721A">
      <w:r>
        <w:t>A full list of in</w:t>
      </w:r>
      <w:r w:rsidR="008B3958">
        <w:t>clusion and exclusion criteria wa</w:t>
      </w:r>
      <w:r>
        <w:t>s provided.</w:t>
      </w:r>
    </w:p>
    <w:p w:rsidR="00221B8B" w:rsidRDefault="00221B8B" w:rsidP="00EB721A">
      <w:pPr>
        <w:ind w:left="1134" w:hanging="1134"/>
      </w:pPr>
      <w:r w:rsidRPr="008B3958">
        <w:rPr>
          <w:b/>
        </w:rPr>
        <w:t>Comment</w:t>
      </w:r>
      <w:r>
        <w:t>:</w:t>
      </w:r>
      <w:r w:rsidR="00EB721A">
        <w:tab/>
      </w:r>
      <w:r>
        <w:t>It is noted above that adequate bone marrow, liver, and renal function as assessed by laboratory requirements was required as an inclusion criterion for the study. In particular, this therefore excludes patients with impaired hepatic and renal function from inclusion, and this limits the generalisability of the results to these patient groups. Moreover, the generalisability of the population PK analyses that are based on this data is also limited.</w:t>
      </w:r>
    </w:p>
    <w:p w:rsidR="00221B8B" w:rsidRDefault="00221B8B" w:rsidP="00EB721A">
      <w:r>
        <w:t xml:space="preserve">A full list of study medication withdrawal criteria </w:t>
      </w:r>
      <w:r w:rsidR="008B3958">
        <w:t>was</w:t>
      </w:r>
      <w:r>
        <w:t xml:space="preserve"> listed.</w:t>
      </w:r>
    </w:p>
    <w:p w:rsidR="00221B8B" w:rsidRDefault="00221B8B" w:rsidP="00EB721A">
      <w:pPr>
        <w:pStyle w:val="Heading5"/>
      </w:pPr>
      <w:r>
        <w:t xml:space="preserve">Study </w:t>
      </w:r>
      <w:r w:rsidRPr="00EB721A">
        <w:t>treatments</w:t>
      </w:r>
    </w:p>
    <w:p w:rsidR="00221B8B" w:rsidRDefault="00221B8B" w:rsidP="00EB721A">
      <w:r>
        <w:t>Patients were randomly assigned (2:1 ratio) in a blinded fashion to one of two treatment groups:</w:t>
      </w:r>
    </w:p>
    <w:p w:rsidR="00221B8B" w:rsidRDefault="00221B8B" w:rsidP="00EB721A">
      <w:pPr>
        <w:pStyle w:val="ListBullet"/>
      </w:pPr>
      <w:proofErr w:type="spellStart"/>
      <w:r w:rsidRPr="00EB721A">
        <w:lastRenderedPageBreak/>
        <w:t>Regorafenib</w:t>
      </w:r>
      <w:proofErr w:type="spellEnd"/>
      <w:r>
        <w:t xml:space="preserve"> 160 mg once daily orally 3 weeks on / 1 week off + BSC (hereinafter referred to as the </w:t>
      </w:r>
      <w:proofErr w:type="spellStart"/>
      <w:r>
        <w:t>regorafenib</w:t>
      </w:r>
      <w:proofErr w:type="spellEnd"/>
      <w:r>
        <w:t xml:space="preserve"> group)</w:t>
      </w:r>
    </w:p>
    <w:p w:rsidR="00221B8B" w:rsidRDefault="00221B8B" w:rsidP="00EB721A">
      <w:pPr>
        <w:pStyle w:val="ListBullet"/>
      </w:pPr>
      <w:r>
        <w:t>Matching placebo + BSC (hereinafter referred to as the placebo group).</w:t>
      </w:r>
    </w:p>
    <w:p w:rsidR="00221B8B" w:rsidRDefault="00221B8B" w:rsidP="00EB721A">
      <w:r>
        <w:t>The study drug was to be administered orally, in the morning with approximately 240 mL of water after a low-fat breakfast.</w:t>
      </w:r>
    </w:p>
    <w:p w:rsidR="00221B8B" w:rsidRDefault="00221B8B" w:rsidP="00EB721A">
      <w:r>
        <w:t>Randomisation was stratified by</w:t>
      </w:r>
    </w:p>
    <w:p w:rsidR="00221B8B" w:rsidRDefault="008B3958" w:rsidP="00EB721A">
      <w:pPr>
        <w:pStyle w:val="ListBullet"/>
      </w:pPr>
      <w:r>
        <w:t>third</w:t>
      </w:r>
      <w:r w:rsidR="00221B8B">
        <w:t xml:space="preserve">-line </w:t>
      </w:r>
      <w:r>
        <w:t>versus</w:t>
      </w:r>
      <w:r w:rsidR="00221B8B">
        <w:t xml:space="preserve"> </w:t>
      </w:r>
      <w:r>
        <w:t>fourth</w:t>
      </w:r>
      <w:r w:rsidR="00221B8B">
        <w:t xml:space="preserve">-line or beyond; at least 50% of patients were to be </w:t>
      </w:r>
      <w:r>
        <w:t>third</w:t>
      </w:r>
      <w:r w:rsidR="00221B8B">
        <w:t>-line</w:t>
      </w:r>
    </w:p>
    <w:p w:rsidR="00221B8B" w:rsidRDefault="00221B8B" w:rsidP="00EB721A">
      <w:pPr>
        <w:pStyle w:val="ListBullet"/>
      </w:pPr>
      <w:r>
        <w:t xml:space="preserve">Geographical </w:t>
      </w:r>
      <w:r w:rsidRPr="00EB721A">
        <w:t>region</w:t>
      </w:r>
      <w:r>
        <w:t xml:space="preserve"> (Asia </w:t>
      </w:r>
      <w:r w:rsidR="008B3958">
        <w:t>versus</w:t>
      </w:r>
      <w:r>
        <w:t xml:space="preserve"> rest of world)</w:t>
      </w:r>
    </w:p>
    <w:p w:rsidR="00221B8B" w:rsidRDefault="00221B8B" w:rsidP="00EB721A">
      <w:r>
        <w:t xml:space="preserve">As there were no evidence-based treatment options available for this patient population, placebo + BSC was chosen as a comparator. </w:t>
      </w:r>
      <w:r w:rsidR="008B3958">
        <w:t>The sponsor</w:t>
      </w:r>
      <w:r>
        <w:t xml:space="preserve"> reported that use of a placebo control arm was considered acceptable and supported by the US FDA and the CHMP (EU).</w:t>
      </w:r>
    </w:p>
    <w:p w:rsidR="00221B8B" w:rsidRDefault="00221B8B" w:rsidP="00EB721A">
      <w:r>
        <w:t xml:space="preserve">Patients were to continue on treatment until one of the pre-specified withdrawal criteria, which included disease progression. Doses of study drug could be delayed or reduced in case of clinically significant haematological and other toxicities (see </w:t>
      </w:r>
      <w:r w:rsidR="00FD00C0">
        <w:t>Tables 3 and 4</w:t>
      </w:r>
      <w:r>
        <w:t>). Dose reductions to a dose lower than 80 mg were not allowed. If the dose needed to be reduced to a dose lower than 80 mg or there was no recovery after a 4 week treatment delay, treatment was discontinued.</w:t>
      </w:r>
      <w:r>
        <w:rPr>
          <w:rFonts w:ascii="TimesNewRoman" w:hAnsi="Times New Roman" w:cs="TimesNewRoman" w:hint="eastAsia"/>
          <w:sz w:val="24"/>
        </w:rPr>
        <w:t xml:space="preserve"> </w:t>
      </w:r>
      <w:r>
        <w:t>Following dose reduction, the dose could be re-escalated at the discretion of the investigator. 16</w:t>
      </w:r>
      <w:r w:rsidR="00FD00C0">
        <w:t>0 mg</w:t>
      </w:r>
      <w:r>
        <w:t xml:space="preserve"> was the maximum daily dosage allowed.</w:t>
      </w:r>
    </w:p>
    <w:p w:rsidR="008B3958" w:rsidRDefault="008B3958" w:rsidP="00EB721A">
      <w:pPr>
        <w:pStyle w:val="Tabletitle"/>
      </w:pPr>
      <w:bookmarkStart w:id="125" w:name="_Ref387234810"/>
      <w:bookmarkStart w:id="126" w:name="_Toc393799497"/>
      <w:r>
        <w:t xml:space="preserve">Table </w:t>
      </w:r>
      <w:r w:rsidR="00FD00C0">
        <w:t>3</w:t>
      </w:r>
      <w:bookmarkEnd w:id="125"/>
      <w:r>
        <w:rPr>
          <w:noProof/>
        </w:rPr>
        <w:t>: S</w:t>
      </w:r>
      <w:r>
        <w:t xml:space="preserve">tudy 14874 </w:t>
      </w:r>
      <w:proofErr w:type="spellStart"/>
      <w:r w:rsidRPr="00EB721A">
        <w:t>Regorafenib</w:t>
      </w:r>
      <w:proofErr w:type="spellEnd"/>
      <w:r>
        <w:t xml:space="preserve"> dose levels</w:t>
      </w:r>
      <w:bookmarkEnd w:id="126"/>
    </w:p>
    <w:p w:rsidR="008B3958" w:rsidRDefault="008B3958" w:rsidP="00EB721A">
      <w:r>
        <w:rPr>
          <w:noProof/>
          <w:lang w:eastAsia="en-AU"/>
        </w:rPr>
        <w:drawing>
          <wp:inline distT="0" distB="0" distL="0" distR="0" wp14:anchorId="3F4CD2B7" wp14:editId="013C85AF">
            <wp:extent cx="4703034" cy="1129990"/>
            <wp:effectExtent l="0" t="0" r="2540" b="0"/>
            <wp:docPr id="72" name="Picture 72" descr="Table 3: Study 14874 Regorafenib dose levels" title="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2137" t="18309"/>
                    <a:stretch/>
                  </pic:blipFill>
                  <pic:spPr bwMode="auto">
                    <a:xfrm>
                      <a:off x="0" y="0"/>
                      <a:ext cx="4715545" cy="1132996"/>
                    </a:xfrm>
                    <a:prstGeom prst="rect">
                      <a:avLst/>
                    </a:prstGeom>
                    <a:noFill/>
                    <a:ln>
                      <a:noFill/>
                    </a:ln>
                    <a:extLst>
                      <a:ext uri="{53640926-AAD7-44D8-BBD7-CCE9431645EC}">
                        <a14:shadowObscured xmlns:a14="http://schemas.microsoft.com/office/drawing/2010/main"/>
                      </a:ext>
                    </a:extLst>
                  </pic:spPr>
                </pic:pic>
              </a:graphicData>
            </a:graphic>
          </wp:inline>
        </w:drawing>
      </w:r>
    </w:p>
    <w:p w:rsidR="008B3958" w:rsidRDefault="008B3958" w:rsidP="00EB721A">
      <w:pPr>
        <w:pStyle w:val="Tabletitle"/>
      </w:pPr>
      <w:bookmarkStart w:id="127" w:name="_Ref387234816"/>
      <w:bookmarkStart w:id="128" w:name="_Toc393799498"/>
      <w:r>
        <w:t xml:space="preserve">Table </w:t>
      </w:r>
      <w:r w:rsidR="00FD00C0">
        <w:t>4</w:t>
      </w:r>
      <w:bookmarkEnd w:id="127"/>
      <w:r>
        <w:rPr>
          <w:noProof/>
        </w:rPr>
        <w:t xml:space="preserve">: </w:t>
      </w:r>
      <w:r w:rsidRPr="00EB721A">
        <w:t>Study</w:t>
      </w:r>
      <w:r>
        <w:t xml:space="preserve"> 14784 Dose modification/delay criteria</w:t>
      </w:r>
      <w:bookmarkEnd w:id="128"/>
      <w:r>
        <w:t xml:space="preserve"> for toxicities related to study drug (except hand-foot skin reaction, hypertension, and ALT and/or AST and/or bilirubin increases)</w:t>
      </w:r>
    </w:p>
    <w:p w:rsidR="00FD00C0" w:rsidRDefault="008B3958" w:rsidP="00EB721A">
      <w:r>
        <w:rPr>
          <w:noProof/>
          <w:lang w:eastAsia="en-AU"/>
        </w:rPr>
        <w:drawing>
          <wp:inline distT="0" distB="0" distL="0" distR="0" wp14:anchorId="09E13DD4" wp14:editId="210DAAC9">
            <wp:extent cx="4350007" cy="2226963"/>
            <wp:effectExtent l="0" t="0" r="0" b="1905"/>
            <wp:docPr id="73" name="Picture 73" descr="Table 4: Study 14784 Dose modification/delay criteria for toxicities relatred to study drug (except hand-foot skin reaction, hypertension, and ALT and/or AST and/or bilirubin increases)"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t="16108"/>
                    <a:stretch/>
                  </pic:blipFill>
                  <pic:spPr bwMode="auto">
                    <a:xfrm>
                      <a:off x="0" y="0"/>
                      <a:ext cx="4372181" cy="2238315"/>
                    </a:xfrm>
                    <a:prstGeom prst="rect">
                      <a:avLst/>
                    </a:prstGeom>
                    <a:noFill/>
                    <a:ln>
                      <a:noFill/>
                    </a:ln>
                    <a:extLst>
                      <a:ext uri="{53640926-AAD7-44D8-BBD7-CCE9431645EC}">
                        <a14:shadowObscured xmlns:a14="http://schemas.microsoft.com/office/drawing/2010/main"/>
                      </a:ext>
                    </a:extLst>
                  </pic:spPr>
                </pic:pic>
              </a:graphicData>
            </a:graphic>
          </wp:inline>
        </w:drawing>
      </w:r>
    </w:p>
    <w:p w:rsidR="00FD00C0" w:rsidRDefault="00FD00C0" w:rsidP="00EB721A">
      <w:pPr>
        <w:pStyle w:val="Tabletitle"/>
      </w:pPr>
      <w:r>
        <w:lastRenderedPageBreak/>
        <w:t xml:space="preserve">Table 4 </w:t>
      </w:r>
      <w:r w:rsidRPr="00EB721A">
        <w:t>continued</w:t>
      </w:r>
      <w:r>
        <w:rPr>
          <w:noProof/>
        </w:rPr>
        <w:t>:</w:t>
      </w:r>
      <w:r w:rsidR="00A1714D" w:rsidRPr="00A1714D">
        <w:t xml:space="preserve"> Dose modifications for hand-foot skin reaction</w:t>
      </w:r>
    </w:p>
    <w:p w:rsidR="008B3958" w:rsidRDefault="008B3958" w:rsidP="00EB721A">
      <w:r>
        <w:rPr>
          <w:noProof/>
          <w:lang w:eastAsia="en-AU"/>
        </w:rPr>
        <w:drawing>
          <wp:inline distT="0" distB="0" distL="0" distR="0" wp14:anchorId="245DABEA" wp14:editId="3898E565">
            <wp:extent cx="3943020" cy="4129012"/>
            <wp:effectExtent l="0" t="0" r="635" b="5080"/>
            <wp:docPr id="74" name="Picture 74" descr="Table 4 continued: Study 14784 Dose modification/for hand-foot skin reaction" title="Table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t="4154"/>
                    <a:stretch/>
                  </pic:blipFill>
                  <pic:spPr bwMode="auto">
                    <a:xfrm>
                      <a:off x="0" y="0"/>
                      <a:ext cx="3946467" cy="4132621"/>
                    </a:xfrm>
                    <a:prstGeom prst="rect">
                      <a:avLst/>
                    </a:prstGeom>
                    <a:noFill/>
                    <a:ln>
                      <a:noFill/>
                    </a:ln>
                    <a:extLst>
                      <a:ext uri="{53640926-AAD7-44D8-BBD7-CCE9431645EC}">
                        <a14:shadowObscured xmlns:a14="http://schemas.microsoft.com/office/drawing/2010/main"/>
                      </a:ext>
                    </a:extLst>
                  </pic:spPr>
                </pic:pic>
              </a:graphicData>
            </a:graphic>
          </wp:inline>
        </w:drawing>
      </w:r>
    </w:p>
    <w:p w:rsidR="004D4311" w:rsidRDefault="004D4311" w:rsidP="004D4311">
      <w:pPr>
        <w:pStyle w:val="Tabletitle"/>
      </w:pPr>
      <w:r>
        <w:t>Table 4 continued</w:t>
      </w:r>
      <w:r>
        <w:rPr>
          <w:noProof/>
        </w:rPr>
        <w:t xml:space="preserve">: </w:t>
      </w:r>
      <w:r w:rsidR="00A1714D" w:rsidRPr="00A1714D">
        <w:t>Management of treatment-emergent hypertension</w:t>
      </w:r>
    </w:p>
    <w:p w:rsidR="00FD00C0" w:rsidRDefault="00FD00C0" w:rsidP="00EB721A">
      <w:r>
        <w:rPr>
          <w:noProof/>
          <w:lang w:eastAsia="en-AU"/>
        </w:rPr>
        <w:drawing>
          <wp:inline distT="0" distB="0" distL="0" distR="0" wp14:anchorId="5CA52A6B" wp14:editId="4759417C">
            <wp:extent cx="4328865" cy="3451464"/>
            <wp:effectExtent l="0" t="0" r="0" b="0"/>
            <wp:docPr id="75" name="Picture 75" descr="Table 4 continued: Study 14784 Dose modification/delay criteria for toxicities relatred to study drug (except hand-foot skin reaction, hypertension, and ALT and/or AST and/or bilirubin increases)" title="Table 4 continued"/>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18">
                      <a:lum bright="-20000" contrast="40000"/>
                      <a:extLst>
                        <a:ext uri="{28A0092B-C50C-407E-A947-70E740481C1C}">
                          <a14:useLocalDpi xmlns:a14="http://schemas.microsoft.com/office/drawing/2010/main" val="0"/>
                        </a:ext>
                      </a:extLst>
                    </a:blip>
                    <a:srcRect t="3811"/>
                    <a:stretch/>
                  </pic:blipFill>
                  <pic:spPr bwMode="auto">
                    <a:xfrm>
                      <a:off x="0" y="0"/>
                      <a:ext cx="4331298" cy="3453404"/>
                    </a:xfrm>
                    <a:prstGeom prst="rect">
                      <a:avLst/>
                    </a:prstGeom>
                    <a:noFill/>
                    <a:ln>
                      <a:noFill/>
                    </a:ln>
                    <a:extLst>
                      <a:ext uri="{53640926-AAD7-44D8-BBD7-CCE9431645EC}">
                        <a14:shadowObscured xmlns:a14="http://schemas.microsoft.com/office/drawing/2010/main"/>
                      </a:ext>
                    </a:extLst>
                  </pic:spPr>
                </pic:pic>
              </a:graphicData>
            </a:graphic>
          </wp:inline>
        </w:drawing>
      </w:r>
    </w:p>
    <w:p w:rsidR="00FD00C0" w:rsidRDefault="00FD00C0" w:rsidP="00EB721A">
      <w:pPr>
        <w:pStyle w:val="Tabletitle"/>
      </w:pPr>
      <w:r>
        <w:lastRenderedPageBreak/>
        <w:t xml:space="preserve">Table 4 </w:t>
      </w:r>
      <w:r w:rsidRPr="00EB721A">
        <w:t>continued</w:t>
      </w:r>
      <w:r>
        <w:rPr>
          <w:noProof/>
        </w:rPr>
        <w:t xml:space="preserve">: </w:t>
      </w:r>
      <w:r w:rsidR="00A1714D" w:rsidRPr="00A1714D">
        <w:t>Dose modifications/interruption for ALT and/or AST and/or bilirubin increases related to study drug</w:t>
      </w:r>
    </w:p>
    <w:p w:rsidR="00FD00C0" w:rsidRDefault="00FD00C0" w:rsidP="00EB721A">
      <w:r>
        <w:rPr>
          <w:noProof/>
          <w:lang w:eastAsia="en-AU"/>
        </w:rPr>
        <w:drawing>
          <wp:inline distT="0" distB="0" distL="0" distR="0" wp14:anchorId="4631FA21" wp14:editId="065593CA">
            <wp:extent cx="4334150" cy="3060333"/>
            <wp:effectExtent l="0" t="0" r="0" b="6985"/>
            <wp:docPr id="76" name="Picture 76" descr="Table 4 continued: Study 14784 Dose modification/delay criteria for toxicities relatred to study drug (except hand-foot skin reaction, hypertension, and ALT and/or AST and/or bilirubin increases)" title="Table 4 continued"/>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19">
                      <a:lum bright="-20000" contrast="40000"/>
                      <a:extLst>
                        <a:ext uri="{28A0092B-C50C-407E-A947-70E740481C1C}">
                          <a14:useLocalDpi xmlns:a14="http://schemas.microsoft.com/office/drawing/2010/main" val="0"/>
                        </a:ext>
                      </a:extLst>
                    </a:blip>
                    <a:srcRect t="6483"/>
                    <a:stretch/>
                  </pic:blipFill>
                  <pic:spPr bwMode="auto">
                    <a:xfrm>
                      <a:off x="0" y="0"/>
                      <a:ext cx="4340291" cy="3064669"/>
                    </a:xfrm>
                    <a:prstGeom prst="rect">
                      <a:avLst/>
                    </a:prstGeom>
                    <a:noFill/>
                    <a:ln>
                      <a:noFill/>
                    </a:ln>
                    <a:extLst>
                      <a:ext uri="{53640926-AAD7-44D8-BBD7-CCE9431645EC}">
                        <a14:shadowObscured xmlns:a14="http://schemas.microsoft.com/office/drawing/2010/main"/>
                      </a:ext>
                    </a:extLst>
                  </pic:spPr>
                </pic:pic>
              </a:graphicData>
            </a:graphic>
          </wp:inline>
        </w:drawing>
      </w:r>
    </w:p>
    <w:p w:rsidR="00221B8B" w:rsidRDefault="00221B8B" w:rsidP="00EB721A">
      <w:pPr>
        <w:rPr>
          <w:kern w:val="16"/>
        </w:rPr>
      </w:pPr>
      <w:r>
        <w:t xml:space="preserve">Crossover: After central review had assessed the patients as having progressive disease (PD), patients had the option of entering an open-label phase and receiving treatment with </w:t>
      </w:r>
      <w:proofErr w:type="spellStart"/>
      <w:r>
        <w:t>regorafenib</w:t>
      </w:r>
      <w:proofErr w:type="spellEnd"/>
      <w:r>
        <w:t xml:space="preserve"> irrespective of the randomised treatment (</w:t>
      </w:r>
      <w:proofErr w:type="spellStart"/>
      <w:r>
        <w:t>regorafenib</w:t>
      </w:r>
      <w:proofErr w:type="spellEnd"/>
      <w:r>
        <w:t xml:space="preserve"> or placebo) received. Patients were able to remain on open label </w:t>
      </w:r>
      <w:proofErr w:type="spellStart"/>
      <w:r>
        <w:t>regorafenib</w:t>
      </w:r>
      <w:proofErr w:type="spellEnd"/>
      <w:r>
        <w:t xml:space="preserve"> until second disease progression or at the discretion of the investigator.</w:t>
      </w:r>
    </w:p>
    <w:p w:rsidR="00221B8B" w:rsidRDefault="00221B8B" w:rsidP="00EB721A">
      <w:pPr>
        <w:ind w:left="1134" w:hanging="1134"/>
      </w:pPr>
      <w:r w:rsidRPr="008B3958">
        <w:rPr>
          <w:b/>
        </w:rPr>
        <w:t>Comment</w:t>
      </w:r>
      <w:r>
        <w:t>:</w:t>
      </w:r>
      <w:r w:rsidR="00EB721A">
        <w:tab/>
      </w:r>
      <w:r>
        <w:t xml:space="preserve">The design of Study 14874 is satisfactory. The implications of un-blinding and allowing cross-over treatment on disease progression are acceptable, as this will not affect the primary efficacy outcome of progression-free survival as discussed below. However, any beneficial effect of </w:t>
      </w:r>
      <w:proofErr w:type="spellStart"/>
      <w:r>
        <w:t>regorafenib</w:t>
      </w:r>
      <w:proofErr w:type="spellEnd"/>
      <w:r>
        <w:t xml:space="preserve"> on overall survival will be confounded by allowing this cross-over.</w:t>
      </w:r>
    </w:p>
    <w:p w:rsidR="00221B8B" w:rsidRDefault="00221B8B" w:rsidP="00EB721A">
      <w:pPr>
        <w:pStyle w:val="Heading5"/>
      </w:pPr>
      <w:bookmarkStart w:id="129" w:name="_Ref391474935"/>
      <w:r>
        <w:t xml:space="preserve">Efficacy </w:t>
      </w:r>
      <w:r w:rsidRPr="00EB721A">
        <w:t>variables</w:t>
      </w:r>
      <w:r>
        <w:t xml:space="preserve"> and outcomes</w:t>
      </w:r>
      <w:bookmarkEnd w:id="129"/>
    </w:p>
    <w:p w:rsidR="00221B8B" w:rsidRDefault="00221B8B" w:rsidP="00EB721A">
      <w:r>
        <w:t>Tumour response and disease progression were evaluated using modified RECIST (v. 1.1). The radiological evaluation included a computed tomography (CT) or magnetic resonance imaging (MRI) of the chest, abdomen, and pelvis. Throughout the study, the same lesions as those identified and measured at baseline were evaluated using the same technique. Radiological measurements were performed: at baseline; every 4 weeks for the first 3 months; every 6 weeks for the subsequent 3 months (through month 6);</w:t>
      </w:r>
      <w:r>
        <w:rPr>
          <w:rFonts w:ascii="Symbol" w:hAnsi="Symbol" w:cs="Symbol"/>
        </w:rPr>
        <w:t></w:t>
      </w:r>
      <w:r>
        <w:t xml:space="preserve">after month 6, every 8 weeks until the end of study drug </w:t>
      </w:r>
      <w:proofErr w:type="spellStart"/>
      <w:r>
        <w:t>administration</w:t>
      </w:r>
      <w:r>
        <w:rPr>
          <w:rFonts w:ascii="Symbol" w:hAnsi="Symbol" w:cs="Symbol"/>
        </w:rPr>
        <w:t></w:t>
      </w:r>
      <w:r>
        <w:t>at</w:t>
      </w:r>
      <w:proofErr w:type="spellEnd"/>
      <w:r>
        <w:t xml:space="preserve"> the end of treatment visit. Tumour assessments (per blinded central radiology review) were performed until objective tumour progression.</w:t>
      </w:r>
      <w:r>
        <w:rPr>
          <w:rFonts w:ascii="TimesNewRoman" w:hAnsi="Times New Roman" w:cs="TimesNewRoman" w:hint="eastAsia"/>
          <w:sz w:val="24"/>
        </w:rPr>
        <w:t xml:space="preserve"> </w:t>
      </w:r>
      <w:r>
        <w:t>Patients were considered to be ‘on study’ until an end-of-treatment safety follow up visit at 30 +/-7 days following cessation of treatment. Following this visit, patients were considered to be ‘off-study’, and were followed up for survival only. In this period, assessment of survival status was performed every 3 months.</w:t>
      </w:r>
    </w:p>
    <w:p w:rsidR="00221B8B" w:rsidRDefault="00221B8B" w:rsidP="00EB721A">
      <w:pPr>
        <w:rPr>
          <w:rFonts w:eastAsia="Times New Roman"/>
        </w:rPr>
      </w:pPr>
      <w:r>
        <w:t>The main efficacy variables were:</w:t>
      </w:r>
    </w:p>
    <w:p w:rsidR="00221B8B" w:rsidRDefault="00221B8B" w:rsidP="00EB721A">
      <w:r>
        <w:rPr>
          <w:b/>
        </w:rPr>
        <w:t>Progression free survival (PFS)</w:t>
      </w:r>
      <w:r>
        <w:t xml:space="preserve"> - defined as the time from the date of randomisation to the date of first observed radiological progression according to blinded central radiology review  (BCRR) (using modified RECIST version 1.1 criteria), or death due to any cause </w:t>
      </w:r>
      <w:proofErr w:type="spellStart"/>
      <w:r>
        <w:t>if</w:t>
      </w:r>
      <w:proofErr w:type="spellEnd"/>
      <w:r>
        <w:t xml:space="preserve"> death occurred before progression. The actual date of radiological assessment was used as the date of </w:t>
      </w:r>
      <w:r>
        <w:lastRenderedPageBreak/>
        <w:t>progression. Patients without tumour progression or death at the time of analysis were censored at their last date of radiological tumour assessment.</w:t>
      </w:r>
    </w:p>
    <w:p w:rsidR="00221B8B" w:rsidRDefault="00221B8B" w:rsidP="00EB721A">
      <w:r>
        <w:rPr>
          <w:b/>
        </w:rPr>
        <w:t>Overall survival (OS)</w:t>
      </w:r>
      <w:r>
        <w:t xml:space="preserve"> - defined as the time from the date of randomisation until the date of death due to any cause. For the OS analysis, patients alive at the database cut-off date were censored at that date.</w:t>
      </w:r>
    </w:p>
    <w:p w:rsidR="00221B8B" w:rsidRDefault="00221B8B" w:rsidP="00EB721A">
      <w:r>
        <w:rPr>
          <w:b/>
        </w:rPr>
        <w:t>Time to progression (TTP)</w:t>
      </w:r>
      <w:r>
        <w:t xml:space="preserve"> - defined as the time from the date of randomisation to the date of first radiological progression (by central assessment and investigator assessment). Patients without radiological tumour progression at the time of analysis were censored at the last date of radiological tumour assessment.</w:t>
      </w:r>
    </w:p>
    <w:p w:rsidR="00221B8B" w:rsidRDefault="00221B8B" w:rsidP="00EB721A">
      <w:r>
        <w:rPr>
          <w:b/>
        </w:rPr>
        <w:t>Overall response rate (ORR)</w:t>
      </w:r>
      <w:r>
        <w:t xml:space="preserve"> - defined as the proportion of patients with a best overall tumour response of PR or CR according to modified RECIST version 1.1.</w:t>
      </w:r>
    </w:p>
    <w:p w:rsidR="00221B8B" w:rsidRDefault="00221B8B" w:rsidP="00EB721A">
      <w:r>
        <w:rPr>
          <w:b/>
        </w:rPr>
        <w:t>Disease control rate (DCR)</w:t>
      </w:r>
      <w:r>
        <w:t xml:space="preserve"> - defined as the proportion of patients with a best overall tumour response of PR or CR according to modified RECIST version 1.1, plus patients with a best overall response of stable disease maintained for a minimum of 12 weeks, during treatment or within 30 days after termination of study medication.</w:t>
      </w:r>
    </w:p>
    <w:p w:rsidR="00221B8B" w:rsidRDefault="00221B8B" w:rsidP="00862DCE">
      <w:r>
        <w:rPr>
          <w:b/>
        </w:rPr>
        <w:t>Duration of response</w:t>
      </w:r>
      <w:r>
        <w:t xml:space="preserve"> - defined as the number of days from the date of first documented objective response of PR or CR, whichever was noted earlier, to the date of first disease progression or death if death occurred before observation of disease progression. Patients without progression or death at the time of analysis were censored at the date of the last tumour assessment.</w:t>
      </w:r>
    </w:p>
    <w:p w:rsidR="00221B8B" w:rsidRDefault="00221B8B" w:rsidP="00EB721A">
      <w:r>
        <w:t>All efficacy variables related to tumour response and disease progression during the double blind period were evaluated based on an independent, blinded (central) assessment. In addition tumour evaluations were performed by investigator assessment during the double-blind and open-label treatment periods. All tumour assessments were performed according to modified RECIST criteria version 1.1.</w:t>
      </w:r>
    </w:p>
    <w:p w:rsidR="00221B8B" w:rsidRPr="00FC745B" w:rsidRDefault="00221B8B" w:rsidP="00EB721A">
      <w:pPr>
        <w:pStyle w:val="ListBullet"/>
        <w:rPr>
          <w:rFonts w:eastAsia="Times New Roman"/>
        </w:rPr>
      </w:pPr>
      <w:r w:rsidRPr="00FC745B">
        <w:t xml:space="preserve">The primary efficacy </w:t>
      </w:r>
      <w:r w:rsidRPr="00EB721A">
        <w:t>outcome</w:t>
      </w:r>
      <w:r w:rsidRPr="00FC745B">
        <w:t xml:space="preserve"> was PFS. Secondary outcome variables included OS, TTP, ORR, DCR and duration of response.</w:t>
      </w:r>
    </w:p>
    <w:p w:rsidR="00221B8B" w:rsidRDefault="00221B8B" w:rsidP="00EB721A">
      <w:r>
        <w:t xml:space="preserve">Subgroup analysis for PFS and OS was performed for geographic region, prior lines of treatment, age, baseline BMI, duration of </w:t>
      </w:r>
      <w:proofErr w:type="spellStart"/>
      <w:r>
        <w:t>imatinib</w:t>
      </w:r>
      <w:proofErr w:type="spellEnd"/>
      <w:r>
        <w:t xml:space="preserve"> treatment, Eastern Cooperative Oncology Group performance status (ECOG PS), and mutational status.</w:t>
      </w:r>
    </w:p>
    <w:p w:rsidR="00221B8B" w:rsidRDefault="00221B8B" w:rsidP="00EB721A">
      <w:pPr>
        <w:rPr>
          <w:rFonts w:eastAsia="Times New Roman"/>
        </w:rPr>
      </w:pPr>
      <w:r w:rsidRPr="00FC745B">
        <w:t>Exploratory efficacy outcomes</w:t>
      </w:r>
      <w:r>
        <w:t xml:space="preserve"> included:</w:t>
      </w:r>
    </w:p>
    <w:p w:rsidR="00221B8B" w:rsidRDefault="00221B8B" w:rsidP="00EB721A">
      <w:r>
        <w:rPr>
          <w:b/>
        </w:rPr>
        <w:t>Secondary PFS</w:t>
      </w:r>
      <w:r>
        <w:t xml:space="preserve"> - defined as the time from first progression until second progression (per investigator assessment) or death, whichever came first, during or after open-label treatment with </w:t>
      </w:r>
      <w:proofErr w:type="spellStart"/>
      <w:r>
        <w:t>regorafenib</w:t>
      </w:r>
      <w:proofErr w:type="spellEnd"/>
      <w:r>
        <w:t>. Secondary PFS was analysed descriptively.</w:t>
      </w:r>
    </w:p>
    <w:p w:rsidR="00221B8B" w:rsidRDefault="00221B8B" w:rsidP="00EB721A">
      <w:pPr>
        <w:rPr>
          <w:rFonts w:eastAsia="Times New Roman"/>
        </w:rPr>
      </w:pPr>
      <w:r>
        <w:rPr>
          <w:b/>
        </w:rPr>
        <w:t>Health-related quality of life (</w:t>
      </w:r>
      <w:proofErr w:type="spellStart"/>
      <w:r>
        <w:rPr>
          <w:b/>
        </w:rPr>
        <w:t>HRQoL</w:t>
      </w:r>
      <w:proofErr w:type="spellEnd"/>
      <w:r>
        <w:rPr>
          <w:b/>
        </w:rPr>
        <w:t>)</w:t>
      </w:r>
      <w:r>
        <w:t xml:space="preserve"> - measured by the EORTC QLQ-C30 (European Organisation for Research and Treatment of Cancer Quality of Life questionnaire) version 3 and the EQ-5D (Euro quality of life, 5-dimensional quality of life measurement) questionnaires completed by patients.</w:t>
      </w:r>
    </w:p>
    <w:p w:rsidR="00221B8B" w:rsidRDefault="00221B8B" w:rsidP="00EB721A">
      <w:r>
        <w:rPr>
          <w:b/>
        </w:rPr>
        <w:t>Biomarker analysis</w:t>
      </w:r>
      <w:r>
        <w:t xml:space="preserve"> – Two types of biomarker data were assessed: historical data available at study entry, and data generated from prospectively collected biomarker samples. The former was the investigator-reported pre-study baseline GIST genotype (mutations in the KIT and PDGFRα tyrosine kinase receptors), and</w:t>
      </w:r>
      <w:r>
        <w:rPr>
          <w:rFonts w:ascii="TimesNewRoman" w:hAnsi="Times New Roman" w:cs="TimesNewRoman" w:hint="eastAsia"/>
          <w:sz w:val="24"/>
        </w:rPr>
        <w:t xml:space="preserve"> </w:t>
      </w:r>
      <w:r>
        <w:t xml:space="preserve">was performed on plasma and archival tumour tissue specimens that were collected from patients who granted genetic consent. The current applications include subgroup analyses using historical KIT mutation status in Exons 9 and 11 for PFS and OS, to evaluate the potential influence of specific KIT mutations on the clinical response to </w:t>
      </w:r>
      <w:proofErr w:type="spellStart"/>
      <w:r>
        <w:t>regorafenib</w:t>
      </w:r>
      <w:proofErr w:type="spellEnd"/>
      <w:r>
        <w:t>.</w:t>
      </w:r>
    </w:p>
    <w:p w:rsidR="00221B8B" w:rsidRDefault="00221B8B" w:rsidP="00EB721A">
      <w:pPr>
        <w:ind w:left="1134" w:hanging="1134"/>
      </w:pPr>
      <w:r w:rsidRPr="00FC745B">
        <w:rPr>
          <w:b/>
        </w:rPr>
        <w:lastRenderedPageBreak/>
        <w:t>Comment</w:t>
      </w:r>
      <w:r>
        <w:t>:</w:t>
      </w:r>
      <w:r w:rsidR="00EB721A">
        <w:tab/>
      </w:r>
      <w:r>
        <w:t xml:space="preserve">Choice of PFS as the primary endpoint is appropriate in this study, given that it is used routinely to assess efficacy in clinical cancer trials and considered acceptable by the relevant EMA guidelines </w:t>
      </w:r>
      <w:r w:rsidR="00192ED5">
        <w:t>(1)</w:t>
      </w:r>
      <w:r>
        <w:t xml:space="preserve">. Inclusion of OS as a secondary endpoint is also appropriate, although crossover of patients from the placebo group to </w:t>
      </w:r>
      <w:proofErr w:type="spellStart"/>
      <w:r>
        <w:t>regorafenib</w:t>
      </w:r>
      <w:proofErr w:type="spellEnd"/>
      <w:r>
        <w:t xml:space="preserve"> treatment on disease progression is likely to affect this outcome, bringing it towards the null.</w:t>
      </w:r>
    </w:p>
    <w:p w:rsidR="00221B8B" w:rsidRDefault="00221B8B" w:rsidP="00EB721A">
      <w:pPr>
        <w:ind w:left="1134"/>
      </w:pPr>
      <w:r>
        <w:t xml:space="preserve">Given the importance of quality of life as an efficacy outcome in cancer treatments, the assessment of </w:t>
      </w:r>
      <w:proofErr w:type="spellStart"/>
      <w:r>
        <w:t>HRQoL</w:t>
      </w:r>
      <w:proofErr w:type="spellEnd"/>
      <w:r>
        <w:t xml:space="preserve"> may ha</w:t>
      </w:r>
      <w:r w:rsidRPr="00EB721A">
        <w:t>v</w:t>
      </w:r>
      <w:r>
        <w:t>e been better served as a secondary rather than an exploratory outcome, in order to have more confidence in the results. This would be particularly so in order to assess benefit if an improvement in OS cannot be demonstrated.</w:t>
      </w:r>
    </w:p>
    <w:p w:rsidR="00221B8B" w:rsidRDefault="00221B8B" w:rsidP="00EB721A">
      <w:pPr>
        <w:pStyle w:val="Heading5"/>
      </w:pPr>
      <w:r>
        <w:t xml:space="preserve">Randomisation and </w:t>
      </w:r>
      <w:r w:rsidRPr="00EB721A">
        <w:t>blinding</w:t>
      </w:r>
      <w:r>
        <w:t xml:space="preserve"> methods</w:t>
      </w:r>
    </w:p>
    <w:p w:rsidR="00221B8B" w:rsidRDefault="00221B8B" w:rsidP="00EB721A">
      <w:r>
        <w:t xml:space="preserve">The double-blind randomisation was performed centrally by an interactive voice response system (IVRS) and was stratified by </w:t>
      </w:r>
      <w:r w:rsidR="008B3958">
        <w:t>third</w:t>
      </w:r>
      <w:r>
        <w:t xml:space="preserve"> </w:t>
      </w:r>
      <w:r w:rsidR="008B3958">
        <w:t>versus</w:t>
      </w:r>
      <w:r>
        <w:t xml:space="preserve"> </w:t>
      </w:r>
      <w:r w:rsidR="008B3958">
        <w:t>fourth</w:t>
      </w:r>
      <w:r>
        <w:t xml:space="preserve"> line therapy or beyond and geographical region (Asia </w:t>
      </w:r>
      <w:r w:rsidR="008B3958">
        <w:t>versus</w:t>
      </w:r>
      <w:r>
        <w:t xml:space="preserve"> rest of the world). At least 50% of patients were to be receiving </w:t>
      </w:r>
      <w:r w:rsidR="008B3958">
        <w:t>third</w:t>
      </w:r>
      <w:r>
        <w:t xml:space="preserve"> line therapy. Un-blinding occurred for emergency purposes only, and was not routinely precipitated by a SAE.</w:t>
      </w:r>
    </w:p>
    <w:p w:rsidR="00221B8B" w:rsidRDefault="00221B8B" w:rsidP="00EB721A">
      <w:proofErr w:type="spellStart"/>
      <w:r>
        <w:t>Regorafenib</w:t>
      </w:r>
      <w:proofErr w:type="spellEnd"/>
      <w:r>
        <w:t xml:space="preserve"> and placebo were identical in appearance (labelled using a unique number) in order to preserve </w:t>
      </w:r>
      <w:proofErr w:type="gramStart"/>
      <w:r>
        <w:t>blinding,</w:t>
      </w:r>
      <w:proofErr w:type="gramEnd"/>
      <w:r>
        <w:t xml:space="preserve"> and all patients took four 40 mg tablets orally once a day.</w:t>
      </w:r>
    </w:p>
    <w:p w:rsidR="00221B8B" w:rsidRDefault="00221B8B" w:rsidP="00EB721A">
      <w:pPr>
        <w:tabs>
          <w:tab w:val="left" w:pos="1134"/>
        </w:tabs>
      </w:pPr>
      <w:r w:rsidRPr="00FC745B">
        <w:rPr>
          <w:b/>
        </w:rPr>
        <w:t>Comment</w:t>
      </w:r>
      <w:r>
        <w:t>:</w:t>
      </w:r>
      <w:r>
        <w:tab/>
        <w:t>Randomisation and blinding methods appear satisfactory.</w:t>
      </w:r>
    </w:p>
    <w:p w:rsidR="00221B8B" w:rsidRDefault="00221B8B" w:rsidP="00EB721A">
      <w:pPr>
        <w:pStyle w:val="Heading5"/>
      </w:pPr>
      <w:r>
        <w:t xml:space="preserve">Analysis </w:t>
      </w:r>
      <w:r w:rsidRPr="00EB721A">
        <w:t>populations</w:t>
      </w:r>
    </w:p>
    <w:p w:rsidR="00221B8B" w:rsidRDefault="00221B8B" w:rsidP="00EB721A">
      <w:r>
        <w:t>The main analysis populations were:</w:t>
      </w:r>
    </w:p>
    <w:p w:rsidR="00221B8B" w:rsidRDefault="00221B8B" w:rsidP="00EB721A">
      <w:r>
        <w:rPr>
          <w:b/>
        </w:rPr>
        <w:t>Full analysis set (FAS)</w:t>
      </w:r>
      <w:r>
        <w:t xml:space="preserve"> – The primary population for efficacy analysis was the FAS population, which was defined as all randomised patients. Patients were analysed as randomised. The FAS is identical to the intent to treat (ITT) analysis set.</w:t>
      </w:r>
    </w:p>
    <w:p w:rsidR="00221B8B" w:rsidRDefault="00221B8B" w:rsidP="00EB721A">
      <w:r>
        <w:rPr>
          <w:b/>
        </w:rPr>
        <w:t>Safety analysis set (SAF)</w:t>
      </w:r>
      <w:r>
        <w:t xml:space="preserve"> – Patients were included in the SAF if randomised to a treatment group and had taken at least one unit of the study medication. Patients were analysed as randomised.</w:t>
      </w:r>
    </w:p>
    <w:p w:rsidR="00221B8B" w:rsidRDefault="00221B8B" w:rsidP="00EB721A">
      <w:r>
        <w:rPr>
          <w:b/>
        </w:rPr>
        <w:t>Patient reported outcomes (PRO) Analysis Set (PROAS)</w:t>
      </w:r>
      <w:r>
        <w:t xml:space="preserve"> – The population for PRO analyses was all FAS patients who had evaluable PRO assessments at baseline and at least one post-baseline assessment.</w:t>
      </w:r>
    </w:p>
    <w:p w:rsidR="00221B8B" w:rsidRDefault="00221B8B" w:rsidP="00EB721A">
      <w:r>
        <w:rPr>
          <w:b/>
        </w:rPr>
        <w:t>Pharmacokinetic Analysis Set (PKAS)</w:t>
      </w:r>
      <w:r>
        <w:t xml:space="preserve"> – The population for PK analyses were comprised of all subjects with valid PK data collected after at least 14 days of uninterrupted and unmodified dosing of </w:t>
      </w:r>
      <w:proofErr w:type="spellStart"/>
      <w:r>
        <w:t>regorafenib</w:t>
      </w:r>
      <w:proofErr w:type="spellEnd"/>
      <w:r>
        <w:t>.</w:t>
      </w:r>
    </w:p>
    <w:p w:rsidR="00221B8B" w:rsidRDefault="00221B8B" w:rsidP="00EB721A">
      <w:pPr>
        <w:ind w:left="1134" w:hanging="1134"/>
      </w:pPr>
      <w:r w:rsidRPr="00FC745B">
        <w:rPr>
          <w:b/>
        </w:rPr>
        <w:t>Comment</w:t>
      </w:r>
      <w:r>
        <w:t>:</w:t>
      </w:r>
      <w:r>
        <w:tab/>
        <w:t>The use of the FAS to analyse the primary efficacy outcome of PFS is appropriate and in line with standard clinical trial evaluation methodology.</w:t>
      </w:r>
    </w:p>
    <w:p w:rsidR="00221B8B" w:rsidRDefault="00221B8B" w:rsidP="00EB721A">
      <w:pPr>
        <w:pStyle w:val="Heading5"/>
      </w:pPr>
      <w:r w:rsidRPr="00EB721A">
        <w:t>Sample</w:t>
      </w:r>
      <w:r>
        <w:t xml:space="preserve"> size</w:t>
      </w:r>
    </w:p>
    <w:p w:rsidR="00221B8B" w:rsidRDefault="00221B8B" w:rsidP="00EB721A">
      <w:r>
        <w:t>According to the protocol, 170 patients were planned to be enrolled in the study.</w:t>
      </w:r>
    </w:p>
    <w:p w:rsidR="00221B8B" w:rsidRDefault="00221B8B" w:rsidP="00EB721A">
      <w:r>
        <w:t>This calculation assumed a one-sided alpha of 0.01, a power of 90%, a 100% increase in median time of PFS, and an allocation ratio of 2:1 between the experimental and the control arm, resulting in a requirement for approximately 122 events. Additional assumptions included an exponential distribution of the PFS event times, and a median time of PFS in the control group of 6 weeks. Based on this calculation, 170 subjects had to be enrolled to observe 122 events after approximately 12 months.</w:t>
      </w:r>
    </w:p>
    <w:p w:rsidR="00221B8B" w:rsidRDefault="00221B8B" w:rsidP="00EB721A">
      <w:pPr>
        <w:rPr>
          <w:rFonts w:eastAsia="TimesNewRoman"/>
          <w:kern w:val="16"/>
          <w:szCs w:val="24"/>
        </w:rPr>
      </w:pPr>
      <w:r>
        <w:lastRenderedPageBreak/>
        <w:t>Due to over-recruitment of 29 subjects to 199 total randomised subjects, the target number of PFS events was increased to approximately 144 to maintain the grade of maturity of the study.</w:t>
      </w:r>
      <w:r>
        <w:rPr>
          <w:rFonts w:eastAsia="TimesNewRoman"/>
        </w:rPr>
        <w:t xml:space="preserve"> The power to detect an improvement in PFS of 100% was increased from 90% to 94%.</w:t>
      </w:r>
    </w:p>
    <w:p w:rsidR="00221B8B" w:rsidRDefault="00221B8B" w:rsidP="00EB721A">
      <w:pPr>
        <w:ind w:left="1134" w:hanging="1134"/>
      </w:pPr>
      <w:r w:rsidRPr="00FC745B">
        <w:rPr>
          <w:b/>
        </w:rPr>
        <w:t>Comment</w:t>
      </w:r>
      <w:r>
        <w:t>:</w:t>
      </w:r>
      <w:r w:rsidR="00EB721A">
        <w:tab/>
      </w:r>
      <w:r>
        <w:t>The effect of the over-recruitment of patients into the study was to increase the power of the study, and thus there is no adverse impact on the strength of the efficacy results. The main impact of the over-recruitment may be to lend statistical significance to a smaller magnitude improvement in efficacy between treatment and placebo – therefore the clinical significance of any outcome needs to be scrutinised. Due to the relatively small number of patients over-recruited (29 subjects) and the fact that this treatment is already registered for the indication of metastatic CRC, there are no significant ethical safety implications.</w:t>
      </w:r>
    </w:p>
    <w:p w:rsidR="00221B8B" w:rsidRDefault="00221B8B" w:rsidP="00EB721A">
      <w:pPr>
        <w:pStyle w:val="Heading5"/>
      </w:pPr>
      <w:bookmarkStart w:id="130" w:name="_Ref384807044"/>
      <w:r>
        <w:t>Statistical methods</w:t>
      </w:r>
      <w:bookmarkEnd w:id="130"/>
    </w:p>
    <w:p w:rsidR="00221B8B" w:rsidRDefault="00221B8B" w:rsidP="00EB721A">
      <w:r>
        <w:t>The original version of the SAP (v1.0) was dated 26 Jan 2012. The SAP was revised (v1.1) on 22 Mar 2012. Key changes to the revised version included:</w:t>
      </w:r>
    </w:p>
    <w:p w:rsidR="00221B8B" w:rsidRDefault="00221B8B" w:rsidP="00EB721A">
      <w:pPr>
        <w:pStyle w:val="ListBullet"/>
      </w:pPr>
      <w:r>
        <w:t>A sensitivity analysis of PFS at 122 events (see discussion on PFS below)</w:t>
      </w:r>
    </w:p>
    <w:p w:rsidR="00221B8B" w:rsidRDefault="00221B8B" w:rsidP="00EB721A">
      <w:pPr>
        <w:pStyle w:val="ListBullet"/>
      </w:pPr>
      <w:r>
        <w:t>Simplification of missing dates of safety events.</w:t>
      </w:r>
    </w:p>
    <w:p w:rsidR="00221B8B" w:rsidRDefault="00221B8B" w:rsidP="00EB721A">
      <w:pPr>
        <w:pStyle w:val="ListBullet"/>
      </w:pPr>
      <w:r>
        <w:t xml:space="preserve">Removal of a planned sensitivity analysis for PFS addressing patients censored in the primary analysis </w:t>
      </w:r>
      <w:r w:rsidRPr="00EB721A">
        <w:t>of</w:t>
      </w:r>
      <w:r>
        <w:t xml:space="preserve"> PFS, due to data from blinded central radiology review needed for that analysis not being available.</w:t>
      </w:r>
    </w:p>
    <w:p w:rsidR="00221B8B" w:rsidRDefault="00221B8B" w:rsidP="00EB721A">
      <w:pPr>
        <w:ind w:left="1134" w:hanging="1134"/>
      </w:pPr>
      <w:r w:rsidRPr="00FC745B">
        <w:rPr>
          <w:b/>
        </w:rPr>
        <w:t>Comment</w:t>
      </w:r>
      <w:r>
        <w:t>:</w:t>
      </w:r>
      <w:r w:rsidR="00EB721A">
        <w:tab/>
      </w:r>
      <w:r>
        <w:t>It is noted that the first version of the SAP for Study 14874 was dated 26 Jan</w:t>
      </w:r>
      <w:r w:rsidR="00FC745B">
        <w:t>uary</w:t>
      </w:r>
      <w:r>
        <w:t xml:space="preserve"> 2012, which is the same date as the data cut-off for the analysis presented in the CSR.</w:t>
      </w:r>
    </w:p>
    <w:p w:rsidR="00221B8B" w:rsidRDefault="00221B8B" w:rsidP="00EB721A">
      <w:pPr>
        <w:rPr>
          <w:rFonts w:eastAsia="Times New Roman"/>
        </w:rPr>
      </w:pPr>
      <w:r>
        <w:t>With respect to the primary endpoint of PFS, the proposed statistical analysis methods were the same in the pre-specified Study protocol, and the subsequent SAP, apart from the methods for the handling of missing data, which was only described in the SAP. It was specified that the actual date of radiological assessments will be used for the calculation of PFS, and missing or incomplete scans would not be considered unless they showed progression. If progression or death occurred after 2 consecutive missed or non-evaluable assessments, PFS was censored at the date of the last evaluable scan before the 2 missing assessments.</w:t>
      </w:r>
    </w:p>
    <w:p w:rsidR="00221B8B" w:rsidRDefault="00221B8B" w:rsidP="00963F9C">
      <w:pPr>
        <w:ind w:left="1134" w:hanging="1134"/>
      </w:pPr>
      <w:r w:rsidRPr="00FC745B">
        <w:rPr>
          <w:b/>
        </w:rPr>
        <w:t>Comment</w:t>
      </w:r>
      <w:r>
        <w:t>:</w:t>
      </w:r>
      <w:r>
        <w:tab/>
        <w:t xml:space="preserve">With regards to the primary efficacy variable, PFS, all relevant statistical analysis parameters were pre-specified in the statistics section of the Study protocol, apart from the handling of missing data which was only discussed in the SAP. This may present an issue in that the handling of missing data was not pre-specified prior to data collection, and this has been posed as a question to the sponsor </w:t>
      </w:r>
      <w:r w:rsidR="00FC745B">
        <w:t xml:space="preserve">under </w:t>
      </w:r>
      <w:r w:rsidR="00FC745B" w:rsidRPr="00FC745B">
        <w:rPr>
          <w:i/>
        </w:rPr>
        <w:t xml:space="preserve">Clinical questions </w:t>
      </w:r>
      <w:r w:rsidR="00FC745B">
        <w:t>below.</w:t>
      </w:r>
    </w:p>
    <w:p w:rsidR="00221B8B" w:rsidRDefault="00221B8B" w:rsidP="00963F9C">
      <w:pPr>
        <w:ind w:left="1134"/>
      </w:pPr>
      <w:r>
        <w:t>The methods that were used for handling missing radiological assessments are likely to overestimate PFS time, by the use of the date of radiological assessment for disease progression if one assessment had been missed (thereby prolonging the disease free period), and censoring despite documented disease progression if 2 consecutive assessments were missed (thereby censoring a documented progression). However, this is not likely to be influenced by the randomised treatment, and thus is likely to impact both study arms in a similar manner.</w:t>
      </w:r>
    </w:p>
    <w:p w:rsidR="00221B8B" w:rsidRDefault="00221B8B" w:rsidP="00963F9C">
      <w:pPr>
        <w:ind w:left="1134"/>
      </w:pPr>
      <w:r>
        <w:t xml:space="preserve">It is also noted that a planned sensitivity analysis of censored patients was removed in the revised SAP, although this only related to patients that were censored due to un-blinding, and not censoring for other reasons. Sensitivity analysis was not performed to assess the impact of different methods of handling missing data as is recommended in the relevant EMA Guidelines </w:t>
      </w:r>
      <w:r w:rsidR="00192ED5">
        <w:t>(2).</w:t>
      </w:r>
      <w:r>
        <w:t xml:space="preserve"> This has also been raised as a question to the sponsor </w:t>
      </w:r>
      <w:r w:rsidR="00FC745B">
        <w:t xml:space="preserve">under </w:t>
      </w:r>
      <w:r w:rsidR="00FC745B" w:rsidRPr="00FC745B">
        <w:rPr>
          <w:i/>
        </w:rPr>
        <w:t>Clinical questions</w:t>
      </w:r>
      <w:r w:rsidR="00FC745B">
        <w:t xml:space="preserve"> below</w:t>
      </w:r>
      <w:r>
        <w:t>.</w:t>
      </w:r>
    </w:p>
    <w:p w:rsidR="00221B8B" w:rsidRDefault="00221B8B" w:rsidP="00963F9C">
      <w:pPr>
        <w:ind w:left="1134"/>
      </w:pPr>
      <w:r>
        <w:lastRenderedPageBreak/>
        <w:t xml:space="preserve">From the data presented in the CSR, the number of patients who discontinued treatment due to non-compliance was small (2 patients in the </w:t>
      </w:r>
      <w:proofErr w:type="spellStart"/>
      <w:r>
        <w:t>regorafenib</w:t>
      </w:r>
      <w:proofErr w:type="spellEnd"/>
      <w:r>
        <w:t xml:space="preserve"> arm), so it could be inferred that there was minimal impact of patients who were censored following missing 2 or more consecutive tumour assessments. However, an assessment of how many patients missed one assessment prior to disease progression was not able to be ascertained from the data and this has also been pose</w:t>
      </w:r>
      <w:r w:rsidR="00963F9C">
        <w:t>d as a question to the sponsor.</w:t>
      </w:r>
    </w:p>
    <w:p w:rsidR="00221B8B" w:rsidRDefault="00221B8B" w:rsidP="00963F9C">
      <w:r>
        <w:rPr>
          <w:b/>
        </w:rPr>
        <w:t>Progression-free survival</w:t>
      </w:r>
      <w:r>
        <w:t xml:space="preserve"> – The primary analysis for PFS was to be performed when approximately 144 patients had experienced a PFS event. This was increased from the original planned analysis which was to occur after 122 PFS events, due to study over-enrolment.</w:t>
      </w:r>
    </w:p>
    <w:p w:rsidR="00221B8B" w:rsidRDefault="00221B8B" w:rsidP="00963F9C">
      <w:r>
        <w:t>The two treatment groups (</w:t>
      </w:r>
      <w:proofErr w:type="spellStart"/>
      <w:r>
        <w:t>regorafenib</w:t>
      </w:r>
      <w:proofErr w:type="spellEnd"/>
      <w:r>
        <w:t xml:space="preserve"> and placebo) were compared using a stratified log rank test with a one-sided alpha of 0.01 stratified by the same stratification factors as used for randomisation (</w:t>
      </w:r>
      <w:r w:rsidR="008B3958">
        <w:t>third</w:t>
      </w:r>
      <w:r>
        <w:t xml:space="preserve"> line therapy </w:t>
      </w:r>
      <w:r w:rsidR="008B3958">
        <w:t>versus</w:t>
      </w:r>
      <w:r>
        <w:t xml:space="preserve"> </w:t>
      </w:r>
      <w:r w:rsidR="008B3958">
        <w:t>fourth</w:t>
      </w:r>
      <w:r>
        <w:t xml:space="preserve"> line therapy or beyond; and geographical region).</w:t>
      </w:r>
    </w:p>
    <w:p w:rsidR="00221B8B" w:rsidRDefault="00221B8B" w:rsidP="00963F9C">
      <w:r>
        <w:t>The hazard ratio (</w:t>
      </w:r>
      <w:proofErr w:type="spellStart"/>
      <w:r>
        <w:t>regorafenib</w:t>
      </w:r>
      <w:proofErr w:type="spellEnd"/>
      <w:r>
        <w:t>/placebo) for PFS and its 95% confidence interval were calculated using the Cox model, stratified by the same factors as stated above. Kaplan-Meier (KM) estimates for PFS and KM survival curves were also performed for each treatment group.</w:t>
      </w:r>
    </w:p>
    <w:p w:rsidR="00221B8B" w:rsidRDefault="00221B8B" w:rsidP="00862DCE">
      <w:r>
        <w:t xml:space="preserve">The secondary efficacy endpoints of OS, TTP, RR, and DCR were analysed descriptively and inferentially, using a one-sided significance level of </w:t>
      </w:r>
      <w:r>
        <w:rPr>
          <w:rFonts w:ascii="Symbol" w:hAnsi="Symbol" w:cs="Symbol"/>
        </w:rPr>
        <w:t></w:t>
      </w:r>
      <w:r>
        <w:rPr>
          <w:rFonts w:ascii="Symbol" w:hAnsi="Symbol" w:cs="Symbol"/>
        </w:rPr>
        <w:t></w:t>
      </w:r>
      <w:r>
        <w:t>= 0.025. Duration of response was analysed descriptively only.</w:t>
      </w:r>
    </w:p>
    <w:p w:rsidR="00221B8B" w:rsidRDefault="00221B8B" w:rsidP="00963F9C">
      <w:r>
        <w:t>Sensitivity analyses were performed to assess the times to tumour assessments for each period, different methods of PFS statistical analysis (</w:t>
      </w:r>
      <w:proofErr w:type="spellStart"/>
      <w:r>
        <w:t>unstratified</w:t>
      </w:r>
      <w:proofErr w:type="spellEnd"/>
      <w:r>
        <w:t xml:space="preserve"> log-rank test and Cox model), PFS based on local investigator assessment, and an analysis of concordance and discordance in radiological progression between investigators and BCRR assessments during the blinded study phase.</w:t>
      </w:r>
    </w:p>
    <w:p w:rsidR="00221B8B" w:rsidRDefault="00221B8B" w:rsidP="00963F9C">
      <w:r>
        <w:t xml:space="preserve">Subgroup analyses were performed according to stratification levels (line of treatment, geographical region), age, sex, ECOG performance status, BMI, duration of treatment with </w:t>
      </w:r>
      <w:proofErr w:type="spellStart"/>
      <w:r>
        <w:t>imatinib</w:t>
      </w:r>
      <w:proofErr w:type="spellEnd"/>
      <w:r>
        <w:t xml:space="preserve">, geographical region, and </w:t>
      </w:r>
      <w:proofErr w:type="spellStart"/>
      <w:r>
        <w:t>mutationally</w:t>
      </w:r>
      <w:proofErr w:type="spellEnd"/>
      <w:r>
        <w:t>-defined subgroups (KIT 11 Exon 11 or 9 mutations or Wild type GIST).</w:t>
      </w:r>
    </w:p>
    <w:p w:rsidR="00221B8B" w:rsidRDefault="00221B8B" w:rsidP="00963F9C">
      <w:r>
        <w:rPr>
          <w:b/>
        </w:rPr>
        <w:t>Overall survival</w:t>
      </w:r>
      <w:r>
        <w:t xml:space="preserve"> – The final OS analysis is to be performed when approximately 160 events have been observed. This was increased from the originally planned number of 136 following the over-enrolment of patients. 160 events provide 84% power to detect a 67% increase when a 1-sided alpha of 0.025 is used.</w:t>
      </w:r>
    </w:p>
    <w:p w:rsidR="00221B8B" w:rsidRDefault="00221B8B" w:rsidP="00963F9C">
      <w:r>
        <w:t xml:space="preserve">For both the interim and the updated analyses of OS a secondary analysis of OS will be performed. This analysis applies methods to correct for the effect of crossover from the placebo to the </w:t>
      </w:r>
      <w:proofErr w:type="spellStart"/>
      <w:r>
        <w:t>regorafenib</w:t>
      </w:r>
      <w:proofErr w:type="spellEnd"/>
      <w:r>
        <w:t xml:space="preserve"> arm on the OS endpoint. The data were analysed for OS using two different correction methods: a correction using rank preserving structural failure time (RPSFT), and an iterative parameter estimation (IPE) method.</w:t>
      </w:r>
    </w:p>
    <w:p w:rsidR="00221B8B" w:rsidRDefault="00221B8B" w:rsidP="00963F9C">
      <w:proofErr w:type="gramStart"/>
      <w:r>
        <w:rPr>
          <w:b/>
        </w:rPr>
        <w:t>Time to progression</w:t>
      </w:r>
      <w:r>
        <w:t xml:space="preserve"> – </w:t>
      </w:r>
      <w:r w:rsidR="00BF336F">
        <w:t>T</w:t>
      </w:r>
      <w:r>
        <w:t>o be analysed with the same methods as PFS.</w:t>
      </w:r>
      <w:proofErr w:type="gramEnd"/>
    </w:p>
    <w:p w:rsidR="00221B8B" w:rsidRDefault="00221B8B" w:rsidP="00963F9C">
      <w:r>
        <w:rPr>
          <w:b/>
        </w:rPr>
        <w:t>Response rate and disease control rate</w:t>
      </w:r>
      <w:r>
        <w:t xml:space="preserve"> – These are to be compared between treatment groups using the Cochran-Mantel-</w:t>
      </w:r>
      <w:proofErr w:type="spellStart"/>
      <w:r>
        <w:t>Haenszel</w:t>
      </w:r>
      <w:proofErr w:type="spellEnd"/>
      <w:r>
        <w:t>(CMH) test adjusting for the same stratification factors as for PFS, and including 95% confidence intervals.</w:t>
      </w:r>
    </w:p>
    <w:p w:rsidR="00221B8B" w:rsidRDefault="00221B8B" w:rsidP="00963F9C">
      <w:r>
        <w:rPr>
          <w:b/>
        </w:rPr>
        <w:t>Duration of response</w:t>
      </w:r>
      <w:r>
        <w:t xml:space="preserve"> – Analysis will be descriptive only.</w:t>
      </w:r>
    </w:p>
    <w:p w:rsidR="00221B8B" w:rsidRDefault="00221B8B" w:rsidP="00963F9C">
      <w:pPr>
        <w:ind w:left="1134" w:hanging="1134"/>
      </w:pPr>
      <w:r w:rsidRPr="00FC745B">
        <w:rPr>
          <w:b/>
        </w:rPr>
        <w:t>Comment</w:t>
      </w:r>
      <w:r>
        <w:t>:</w:t>
      </w:r>
      <w:r w:rsidR="00963F9C">
        <w:tab/>
      </w:r>
      <w:r>
        <w:t>The planned statistical methods for the primary and main secondary outcomes in Study 14874 would seem appropriate, including the adjustment in required events to account for the over-enrolment of patients into the study. It is noted that at the time of this CSR, insufficient OS events had occurred to perform a final analysis, and thus the results for OS are not yet mature.</w:t>
      </w:r>
    </w:p>
    <w:p w:rsidR="00221B8B" w:rsidRDefault="00221B8B" w:rsidP="00963F9C">
      <w:pPr>
        <w:pStyle w:val="Heading5"/>
      </w:pPr>
      <w:r w:rsidRPr="00963F9C">
        <w:lastRenderedPageBreak/>
        <w:t>Participant</w:t>
      </w:r>
      <w:r>
        <w:t xml:space="preserve"> flow</w:t>
      </w:r>
    </w:p>
    <w:p w:rsidR="00221B8B" w:rsidRDefault="00221B8B" w:rsidP="00963F9C">
      <w:r>
        <w:t xml:space="preserve">A total of 240 patients with metastatic and/or </w:t>
      </w:r>
      <w:proofErr w:type="spellStart"/>
      <w:r>
        <w:t>unresectable</w:t>
      </w:r>
      <w:proofErr w:type="spellEnd"/>
      <w:r>
        <w:t xml:space="preserve"> GIST were screened, of whom 199 (82.9%) were randomised (in a 2:1 ratio) to receive either </w:t>
      </w:r>
      <w:proofErr w:type="spellStart"/>
      <w:r>
        <w:t>regorafenib</w:t>
      </w:r>
      <w:proofErr w:type="spellEnd"/>
      <w:r>
        <w:t xml:space="preserve"> (N=133) or matching placebo (N=66) in the double-blind period of the study. These patients comprised the full analysis set (FAS). 198 patients in the FAS received at least 1 dose of study medication, and were included in the safety analysis set.</w:t>
      </w:r>
    </w:p>
    <w:p w:rsidR="00221B8B" w:rsidRDefault="00221B8B" w:rsidP="00963F9C">
      <w:r>
        <w:t>At the data cut-off date of 26 Jan</w:t>
      </w:r>
      <w:r w:rsidR="00FC745B">
        <w:t>uary</w:t>
      </w:r>
      <w:r>
        <w:t xml:space="preserve"> 2012, treatment was ongoing in 77/133 (57.8%) patients in the </w:t>
      </w:r>
      <w:proofErr w:type="spellStart"/>
      <w:r>
        <w:t>regorafenib</w:t>
      </w:r>
      <w:proofErr w:type="spellEnd"/>
      <w:r>
        <w:t xml:space="preserve"> group. Of these, 53/133 (39.8%) patients were still on double-blind treatment and 24/133 (18.0%) had crossed over to open-label treatment. Overall, 41/133 (30.8%) of patients with disease progression in the </w:t>
      </w:r>
      <w:proofErr w:type="spellStart"/>
      <w:r>
        <w:t>regorafenib</w:t>
      </w:r>
      <w:proofErr w:type="spellEnd"/>
      <w:r>
        <w:t xml:space="preserve"> group entered the open-label phase. Of the patients initially randomised to receive placebo, 3/66 (4.5%) were still on double-blind treatment and 56/66 (84.8%) had crossed over to open-label </w:t>
      </w:r>
      <w:proofErr w:type="spellStart"/>
      <w:r>
        <w:t>regorafenib</w:t>
      </w:r>
      <w:proofErr w:type="spellEnd"/>
      <w:r>
        <w:t xml:space="preserve"> treatment. Of these, 33/66 (50.0%) remained on open-label </w:t>
      </w:r>
      <w:proofErr w:type="spellStart"/>
      <w:r>
        <w:t>regorafenib</w:t>
      </w:r>
      <w:proofErr w:type="spellEnd"/>
      <w:r>
        <w:t xml:space="preserve"> treatment at the data cut-off date.</w:t>
      </w:r>
    </w:p>
    <w:p w:rsidR="00221B8B" w:rsidRDefault="00221B8B" w:rsidP="00963F9C">
      <w:r>
        <w:t>All randomised patients were included in the full analysis set (</w:t>
      </w:r>
      <w:r w:rsidR="00FC745B">
        <w:t>Table 5</w:t>
      </w:r>
      <w:r>
        <w:t xml:space="preserve">). One patient, randomised to the </w:t>
      </w:r>
      <w:proofErr w:type="spellStart"/>
      <w:r>
        <w:t>regorafenib</w:t>
      </w:r>
      <w:proofErr w:type="spellEnd"/>
      <w:r>
        <w:t xml:space="preserve"> group, was excluded from the safety analysis set, as this patient did not receive any dose of study drug.</w:t>
      </w:r>
    </w:p>
    <w:p w:rsidR="00221B8B" w:rsidRDefault="00221B8B" w:rsidP="00963F9C">
      <w:pPr>
        <w:pStyle w:val="Tabletitle"/>
        <w:rPr>
          <w:rFonts w:eastAsia="Times New Roman"/>
        </w:rPr>
      </w:pPr>
      <w:bookmarkStart w:id="131" w:name="_Ref390701435"/>
      <w:bookmarkStart w:id="132" w:name="_Toc393799482"/>
      <w:r>
        <w:t xml:space="preserve">Table </w:t>
      </w:r>
      <w:r w:rsidR="00FC745B">
        <w:t>5:</w:t>
      </w:r>
      <w:bookmarkEnd w:id="131"/>
      <w:r w:rsidR="00FC745B">
        <w:t xml:space="preserve"> </w:t>
      </w:r>
      <w:r>
        <w:t>Analysis sets in Study 14874</w:t>
      </w:r>
      <w:bookmarkEnd w:id="132"/>
    </w:p>
    <w:p w:rsidR="00221B8B" w:rsidRDefault="00221B8B" w:rsidP="00963F9C">
      <w:r>
        <w:rPr>
          <w:noProof/>
          <w:lang w:eastAsia="en-AU"/>
        </w:rPr>
        <w:drawing>
          <wp:inline distT="0" distB="0" distL="0" distR="0" wp14:anchorId="1C137105" wp14:editId="30E38EFB">
            <wp:extent cx="5055220" cy="1129085"/>
            <wp:effectExtent l="0" t="0" r="0" b="0"/>
            <wp:docPr id="6" name="Picture 6" descr="Table 5: Analysis sets in Study 1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058958" cy="1129920"/>
                    </a:xfrm>
                    <a:prstGeom prst="rect">
                      <a:avLst/>
                    </a:prstGeom>
                    <a:noFill/>
                    <a:ln>
                      <a:noFill/>
                    </a:ln>
                  </pic:spPr>
                </pic:pic>
              </a:graphicData>
            </a:graphic>
          </wp:inline>
        </w:drawing>
      </w:r>
    </w:p>
    <w:p w:rsidR="00221B8B" w:rsidRDefault="00221B8B" w:rsidP="00963F9C">
      <w:pPr>
        <w:pStyle w:val="Heading5"/>
      </w:pPr>
      <w:bookmarkStart w:id="133" w:name="_Ref384809991"/>
      <w:r>
        <w:t xml:space="preserve">Major protocol </w:t>
      </w:r>
      <w:r w:rsidRPr="00963F9C">
        <w:t>violations</w:t>
      </w:r>
      <w:r>
        <w:t>/deviations</w:t>
      </w:r>
      <w:bookmarkEnd w:id="133"/>
    </w:p>
    <w:p w:rsidR="00221B8B" w:rsidRDefault="00221B8B" w:rsidP="00963F9C">
      <w:r>
        <w:t xml:space="preserve">4/66 (6.1%) of subjects randomised to the placebo group had a major protocol deviation, and 10/133 (7.5%) in the </w:t>
      </w:r>
      <w:proofErr w:type="spellStart"/>
      <w:r>
        <w:t>regorafenib</w:t>
      </w:r>
      <w:proofErr w:type="spellEnd"/>
      <w:r>
        <w:t xml:space="preserve"> group. All except one of these deviations were procedural deviations, relating to failure to complete the Quality of Life questionnaires. There was 1 major treatment deviation which was a patient who was randomised to the </w:t>
      </w:r>
      <w:proofErr w:type="spellStart"/>
      <w:r>
        <w:t>regorafenib</w:t>
      </w:r>
      <w:proofErr w:type="spellEnd"/>
      <w:r>
        <w:t xml:space="preserve"> group but did not receive any dose of study drug.</w:t>
      </w:r>
    </w:p>
    <w:p w:rsidR="00221B8B" w:rsidRDefault="00221B8B" w:rsidP="00963F9C">
      <w:pPr>
        <w:ind w:left="1134" w:hanging="1134"/>
      </w:pPr>
      <w:r w:rsidRPr="00FC745B">
        <w:rPr>
          <w:b/>
        </w:rPr>
        <w:t>Comment</w:t>
      </w:r>
      <w:r>
        <w:t>:</w:t>
      </w:r>
      <w:r w:rsidR="00963F9C">
        <w:tab/>
      </w:r>
      <w:r>
        <w:t>None of the major protocol deviations are likely to impact on the analysis of the primary outcome of PFS.</w:t>
      </w:r>
    </w:p>
    <w:p w:rsidR="00221B8B" w:rsidRDefault="00221B8B" w:rsidP="00963F9C">
      <w:r>
        <w:rPr>
          <w:b/>
        </w:rPr>
        <w:t>Protocol amendments</w:t>
      </w:r>
      <w:r>
        <w:t xml:space="preserve"> – over the course of the study, several protocol amendments were made. Of note:</w:t>
      </w:r>
    </w:p>
    <w:p w:rsidR="00221B8B" w:rsidRDefault="00221B8B" w:rsidP="00963F9C">
      <w:pPr>
        <w:pStyle w:val="ListBullet"/>
      </w:pPr>
      <w:r>
        <w:t xml:space="preserve">A data monitoring committee meeting in July 2011 found a safety concern associated with hepatic toxicities ≥ </w:t>
      </w:r>
      <w:r w:rsidR="00FC745B">
        <w:t>Grade 3</w:t>
      </w:r>
      <w:r>
        <w:t>. Risk minimisation measures implemented included closer liver monitoring (from fortnightly to weekly in the first 2 months of treatment) and a revised dose modification scheme (specific to elevations in ALT, AST or bilirubin) which were implemented via protocol Amendment 2 (26 Jul</w:t>
      </w:r>
      <w:r w:rsidR="000A3D48">
        <w:t>y</w:t>
      </w:r>
      <w:r>
        <w:t xml:space="preserve"> </w:t>
      </w:r>
      <w:r w:rsidRPr="00963F9C">
        <w:t>2011</w:t>
      </w:r>
      <w:r>
        <w:t>). In addition, specific monitoring of liver function was mentioned in the protocol rather than referring to general chemistry testing.</w:t>
      </w:r>
    </w:p>
    <w:p w:rsidR="00221B8B" w:rsidRDefault="00221B8B" w:rsidP="00963F9C">
      <w:pPr>
        <w:pStyle w:val="ListBullet"/>
      </w:pPr>
      <w:r>
        <w:t xml:space="preserve">Amendment 2 also included a clarification for reporting Hand-foot-skin reaction (HFSR) as an AE. It was noted, that CTCAE v4, used in this study, did not have a classification for HFSR. Amendment 2 instructed the sites </w:t>
      </w:r>
      <w:r w:rsidRPr="00963F9C">
        <w:t>must</w:t>
      </w:r>
      <w:r>
        <w:t xml:space="preserve"> to select 'Palmar-plantar </w:t>
      </w:r>
      <w:proofErr w:type="spellStart"/>
      <w:r>
        <w:t>erythrodysesthesia</w:t>
      </w:r>
      <w:proofErr w:type="spellEnd"/>
      <w:r>
        <w:t xml:space="preserve"> syndrome' for investigator HFSR verbatim terms, as this is comparable to the old HFSR </w:t>
      </w:r>
      <w:r w:rsidR="00963F9C">
        <w:t>definitions in CTCAE version 3.</w:t>
      </w:r>
    </w:p>
    <w:p w:rsidR="00221B8B" w:rsidRDefault="00221B8B" w:rsidP="00963F9C">
      <w:pPr>
        <w:pStyle w:val="ListBullet"/>
      </w:pPr>
      <w:r>
        <w:lastRenderedPageBreak/>
        <w:t>As per Amendment 3 (27 Sep</w:t>
      </w:r>
      <w:r w:rsidR="000A3D48">
        <w:t>tember</w:t>
      </w:r>
      <w:r>
        <w:t xml:space="preserve"> 2011), the number of PFS events required for analysis of the primary efficacy </w:t>
      </w:r>
      <w:r w:rsidRPr="00963F9C">
        <w:t>endpoint</w:t>
      </w:r>
      <w:r>
        <w:t xml:space="preserve"> was increased from 122 to 144 PFS events, to account for the increased number of subjects enrolled. In addition, a supportive primary PFS analysis was performed that included data from all patients randomised (199), but only up to the time point when the first 122 PFS events had occurred, as was originally intended in the first version of the protocol.</w:t>
      </w:r>
    </w:p>
    <w:p w:rsidR="00221B8B" w:rsidRDefault="00221B8B" w:rsidP="00963F9C">
      <w:pPr>
        <w:pStyle w:val="ListBullet"/>
        <w:rPr>
          <w:rFonts w:eastAsia="Times New Roman"/>
        </w:rPr>
      </w:pPr>
      <w:r>
        <w:t xml:space="preserve">Amendment 3 also made the following change: ‘After the primary endpoint of the study is reached, if the study results support a positive benefit/risk assessment for </w:t>
      </w:r>
      <w:proofErr w:type="spellStart"/>
      <w:r>
        <w:t>regorafenib</w:t>
      </w:r>
      <w:proofErr w:type="spellEnd"/>
      <w:r>
        <w:t xml:space="preserve"> in the trial … those subjects who </w:t>
      </w:r>
      <w:r w:rsidRPr="00963F9C">
        <w:t>are</w:t>
      </w:r>
      <w:r>
        <w:t xml:space="preserve"> currently on placebo at that time may be offered the opportunity to receive </w:t>
      </w:r>
      <w:proofErr w:type="spellStart"/>
      <w:r>
        <w:t>regorafenib</w:t>
      </w:r>
      <w:proofErr w:type="spellEnd"/>
      <w:r>
        <w:t xml:space="preserve"> through open label treatment on this study.’</w:t>
      </w:r>
    </w:p>
    <w:p w:rsidR="00221B8B" w:rsidRDefault="00221B8B" w:rsidP="00963F9C">
      <w:pPr>
        <w:pStyle w:val="Heading5"/>
      </w:pPr>
      <w:bookmarkStart w:id="134" w:name="_Ref384810930"/>
      <w:r w:rsidRPr="00963F9C">
        <w:t>Baseline</w:t>
      </w:r>
      <w:r>
        <w:t xml:space="preserve"> data</w:t>
      </w:r>
      <w:bookmarkEnd w:id="134"/>
    </w:p>
    <w:p w:rsidR="00221B8B" w:rsidRDefault="00221B8B" w:rsidP="00963F9C">
      <w:r>
        <w:t xml:space="preserve">The </w:t>
      </w:r>
      <w:proofErr w:type="spellStart"/>
      <w:r>
        <w:t>regorafenib</w:t>
      </w:r>
      <w:proofErr w:type="spellEnd"/>
      <w:r>
        <w:t xml:space="preserve"> and placebo groups were comparable with respect to gender (total 63.8% male), age (mean 58.2 years), race/ethnic group (67.8% white, 25.1% Asian), geographic region (23.6% Asia, 76.4% Rest of world), ECOG performance (55.3% 0, 44.7% 1), BMI (65.3% &lt;25 kg/m</w:t>
      </w:r>
      <w:r w:rsidRPr="000A3D48">
        <w:rPr>
          <w:vertAlign w:val="superscript"/>
        </w:rPr>
        <w:t>2</w:t>
      </w:r>
      <w:r>
        <w:t xml:space="preserve">), histology (48.2% spindle cells, 8.0% epithelioid, 14.1% mixed), and Prior anti-cancer drug group (56.8% </w:t>
      </w:r>
      <w:r w:rsidR="008B3958">
        <w:t>third</w:t>
      </w:r>
      <w:r>
        <w:t xml:space="preserve"> line, 43.2% </w:t>
      </w:r>
      <w:r w:rsidR="008B3958">
        <w:t>fourth</w:t>
      </w:r>
      <w:r>
        <w:t xml:space="preserve"> line and beyond). The location of primary tumour site at initial diagnosis was similar between the two groups, with </w:t>
      </w:r>
      <w:r>
        <w:rPr>
          <w:rFonts w:eastAsia="TimesNewRoman"/>
        </w:rPr>
        <w:t>the most common location being the stomach (36.7%), followed by the jejunum (16.1%) and the ileum (11.6%).</w:t>
      </w:r>
    </w:p>
    <w:p w:rsidR="00221B8B" w:rsidRDefault="00221B8B" w:rsidP="00963F9C">
      <w:r>
        <w:t>However, there were some differences between the treatment groups with respect to:</w:t>
      </w:r>
    </w:p>
    <w:p w:rsidR="00221B8B" w:rsidRDefault="00221B8B" w:rsidP="00963F9C">
      <w:pPr>
        <w:pStyle w:val="ListBullet"/>
      </w:pPr>
      <w:r>
        <w:t xml:space="preserve">Time since initial diagnosis to randomisation (mean 310.6 weeks for placebo group </w:t>
      </w:r>
      <w:r w:rsidR="008B3958">
        <w:t>versus</w:t>
      </w:r>
      <w:r>
        <w:t xml:space="preserve"> 296.4 </w:t>
      </w:r>
      <w:r w:rsidRPr="00963F9C">
        <w:t>weeks</w:t>
      </w:r>
      <w:r>
        <w:t xml:space="preserve"> for </w:t>
      </w:r>
      <w:proofErr w:type="spellStart"/>
      <w:r>
        <w:t>regorafenib</w:t>
      </w:r>
      <w:proofErr w:type="spellEnd"/>
      <w:r>
        <w:t xml:space="preserve"> group)</w:t>
      </w:r>
    </w:p>
    <w:p w:rsidR="00221B8B" w:rsidRDefault="00221B8B" w:rsidP="00963F9C">
      <w:pPr>
        <w:pStyle w:val="ListBullet"/>
      </w:pPr>
      <w:r>
        <w:t xml:space="preserve">Time since recent </w:t>
      </w:r>
      <w:r w:rsidRPr="00963F9C">
        <w:t>progression</w:t>
      </w:r>
      <w:r>
        <w:t xml:space="preserve">/relapse to randomisation (mean 16.71 weeks for placebo group </w:t>
      </w:r>
      <w:r w:rsidR="008B3958">
        <w:t>versus</w:t>
      </w:r>
      <w:r>
        <w:t xml:space="preserve"> 13.29 weeks for </w:t>
      </w:r>
      <w:proofErr w:type="spellStart"/>
      <w:r>
        <w:t>regorafenib</w:t>
      </w:r>
      <w:proofErr w:type="spellEnd"/>
      <w:r>
        <w:t xml:space="preserve"> group, however median 4.27 weeks in placebo group </w:t>
      </w:r>
      <w:r w:rsidR="008B3958">
        <w:t>versus</w:t>
      </w:r>
      <w:r>
        <w:t xml:space="preserve"> 6.34 weeks in </w:t>
      </w:r>
      <w:proofErr w:type="spellStart"/>
      <w:r>
        <w:t>regorafenib</w:t>
      </w:r>
      <w:proofErr w:type="spellEnd"/>
      <w:r>
        <w:t xml:space="preserve"> group)</w:t>
      </w:r>
    </w:p>
    <w:p w:rsidR="00221B8B" w:rsidRDefault="00221B8B" w:rsidP="00963F9C">
      <w:pPr>
        <w:pStyle w:val="ListBullet"/>
      </w:pPr>
      <w:r>
        <w:t xml:space="preserve">Mutation biomarkers – Historical tumour samples were available for 96 patients (48.2%). Of these, 53.1% (51/96) had GIST with an initial pre-study baseline mutation in KIT exon 11, 16% (15/96) had GIST harbouring an initial pre-study baseline mutation in KIT exon 9, and 8.3% (8/96) were wild type (WT) (no KIT and no PDGFRα mutation). </w:t>
      </w:r>
      <w:r w:rsidRPr="00963F9C">
        <w:t>There</w:t>
      </w:r>
      <w:r>
        <w:t xml:space="preserve"> were some differences in the distribution of these biomarkers between the two groups, with a KIT Exon 11 mutation found in 17/36 (47.2%) of patients tested in the placebo group compared to 34/60 (56.7%) patients tested in the </w:t>
      </w:r>
      <w:proofErr w:type="spellStart"/>
      <w:r>
        <w:t>regorafenib</w:t>
      </w:r>
      <w:proofErr w:type="spellEnd"/>
      <w:r>
        <w:t xml:space="preserve"> group.</w:t>
      </w:r>
    </w:p>
    <w:p w:rsidR="00221B8B" w:rsidRDefault="00221B8B" w:rsidP="00963F9C">
      <w:pPr>
        <w:pStyle w:val="ListBullet"/>
      </w:pPr>
      <w:r>
        <w:t xml:space="preserve">Extent of disease at baseline (Metastatic disease in 57.6% of placebo group and 67.7% of </w:t>
      </w:r>
      <w:proofErr w:type="spellStart"/>
      <w:r>
        <w:t>regorafenib</w:t>
      </w:r>
      <w:proofErr w:type="spellEnd"/>
      <w:r>
        <w:t xml:space="preserve"> group, and </w:t>
      </w:r>
      <w:proofErr w:type="spellStart"/>
      <w:r>
        <w:t>Unresectable</w:t>
      </w:r>
      <w:proofErr w:type="spellEnd"/>
      <w:r>
        <w:t xml:space="preserve"> disease in </w:t>
      </w:r>
      <w:r w:rsidRPr="00963F9C">
        <w:t>15</w:t>
      </w:r>
      <w:r>
        <w:t xml:space="preserve">.2% of placebo group and 3.8% of </w:t>
      </w:r>
      <w:proofErr w:type="spellStart"/>
      <w:r>
        <w:t>regorafenib</w:t>
      </w:r>
      <w:proofErr w:type="spellEnd"/>
      <w:r>
        <w:t xml:space="preserve"> group)</w:t>
      </w:r>
    </w:p>
    <w:p w:rsidR="00221B8B" w:rsidRDefault="00221B8B" w:rsidP="00963F9C">
      <w:pPr>
        <w:pStyle w:val="ListBullet"/>
      </w:pPr>
      <w:r>
        <w:t xml:space="preserve">Number of </w:t>
      </w:r>
      <w:r w:rsidRPr="00963F9C">
        <w:t>tumour</w:t>
      </w:r>
      <w:r>
        <w:t xml:space="preserve"> sites (&gt;2 sites in 56% in placebo group and 65% in </w:t>
      </w:r>
      <w:proofErr w:type="spellStart"/>
      <w:r>
        <w:t>regorafenib</w:t>
      </w:r>
      <w:proofErr w:type="spellEnd"/>
      <w:r>
        <w:t xml:space="preserve"> group)</w:t>
      </w:r>
    </w:p>
    <w:p w:rsidR="00221B8B" w:rsidRDefault="00221B8B" w:rsidP="00963F9C">
      <w:pPr>
        <w:pStyle w:val="ListBullet"/>
      </w:pPr>
      <w:r>
        <w:t xml:space="preserve">Duration of </w:t>
      </w:r>
      <w:r w:rsidRPr="00963F9C">
        <w:t>treatment</w:t>
      </w:r>
      <w:r>
        <w:t xml:space="preserve"> with </w:t>
      </w:r>
      <w:proofErr w:type="spellStart"/>
      <w:r>
        <w:t>imatinib</w:t>
      </w:r>
      <w:proofErr w:type="spellEnd"/>
      <w:r>
        <w:t xml:space="preserve"> (≥18 months in 83.3% of the placebo group and 66.9% of the </w:t>
      </w:r>
      <w:proofErr w:type="spellStart"/>
      <w:r>
        <w:t>regorafenib</w:t>
      </w:r>
      <w:proofErr w:type="spellEnd"/>
      <w:r>
        <w:t xml:space="preserve"> group)</w:t>
      </w:r>
    </w:p>
    <w:p w:rsidR="00221B8B" w:rsidRDefault="00221B8B" w:rsidP="00963F9C">
      <w:pPr>
        <w:ind w:left="1134" w:hanging="1134"/>
      </w:pPr>
      <w:r w:rsidRPr="000A3D48">
        <w:rPr>
          <w:b/>
        </w:rPr>
        <w:t>Comment</w:t>
      </w:r>
      <w:r>
        <w:t>:</w:t>
      </w:r>
      <w:r>
        <w:tab/>
        <w:t xml:space="preserve">Although the baseline demographic characteristics are comparable between the placebo and </w:t>
      </w:r>
      <w:proofErr w:type="spellStart"/>
      <w:r>
        <w:t>regorafenib</w:t>
      </w:r>
      <w:proofErr w:type="spellEnd"/>
      <w:r>
        <w:t xml:space="preserve"> groups in Study 14874, there are some differences between the groups with respect to disease characteristics. These relate to the placebo group having experienced a longer mean duration of disease and progression than the </w:t>
      </w:r>
      <w:proofErr w:type="spellStart"/>
      <w:r>
        <w:t>regorafenib</w:t>
      </w:r>
      <w:proofErr w:type="spellEnd"/>
      <w:r>
        <w:t xml:space="preserve"> group (by approximately 14 weeks and 3 weeks respectively), and there being a higher proportion of metastatic disease with a greater number of tumour sites in the </w:t>
      </w:r>
      <w:proofErr w:type="spellStart"/>
      <w:r>
        <w:t>regorafenib</w:t>
      </w:r>
      <w:proofErr w:type="spellEnd"/>
      <w:r>
        <w:t xml:space="preserve"> group. Conversely there was a higher proportion of </w:t>
      </w:r>
      <w:proofErr w:type="spellStart"/>
      <w:r>
        <w:t>unresectable</w:t>
      </w:r>
      <w:proofErr w:type="spellEnd"/>
      <w:r>
        <w:t xml:space="preserve"> disease in the placebo group. The placebo group had also had a longer duration of treatment with </w:t>
      </w:r>
      <w:proofErr w:type="spellStart"/>
      <w:r>
        <w:t>imatinib</w:t>
      </w:r>
      <w:proofErr w:type="spellEnd"/>
      <w:r>
        <w:t xml:space="preserve"> compared to the </w:t>
      </w:r>
      <w:proofErr w:type="spellStart"/>
      <w:r>
        <w:t>regorafenib</w:t>
      </w:r>
      <w:proofErr w:type="spellEnd"/>
      <w:r>
        <w:t xml:space="preserve"> group. The impact of these differences in underlying disease </w:t>
      </w:r>
      <w:r>
        <w:lastRenderedPageBreak/>
        <w:t>characteristics between the two groups may need to be considered in the interpretation of study results.</w:t>
      </w:r>
    </w:p>
    <w:p w:rsidR="00221B8B" w:rsidRDefault="00221B8B" w:rsidP="00963F9C">
      <w:pPr>
        <w:ind w:left="1134"/>
      </w:pPr>
      <w:r>
        <w:t xml:space="preserve">It is noted that in terms of time since recent progression/relapse to progression, the upper bound of the range in both groups is quite high (421 weeks or more than 8 years for the placebo group, and 145 weeks or 2.8 years for the </w:t>
      </w:r>
      <w:proofErr w:type="spellStart"/>
      <w:r>
        <w:t>regorafenib</w:t>
      </w:r>
      <w:proofErr w:type="spellEnd"/>
      <w:r>
        <w:t xml:space="preserve"> group). It is questioned whether a patient who has not experienced disease progression for more than 8 years can be considered to have advanced GIST that is representative of the target population. It is noted that the median times for time since disease progression to randomisation are considerably lower, and a request for further discussion of this issue has been posed as a question to the </w:t>
      </w:r>
      <w:r w:rsidR="000A3D48">
        <w:t xml:space="preserve">under </w:t>
      </w:r>
      <w:r w:rsidR="000A3D48" w:rsidRPr="000A3D48">
        <w:rPr>
          <w:i/>
        </w:rPr>
        <w:t>Clinical questions</w:t>
      </w:r>
      <w:r w:rsidR="000A3D48">
        <w:t xml:space="preserve"> below</w:t>
      </w:r>
      <w:r>
        <w:t>.</w:t>
      </w:r>
    </w:p>
    <w:p w:rsidR="00221B8B" w:rsidRDefault="00221B8B" w:rsidP="00963F9C">
      <w:pPr>
        <w:ind w:left="1134"/>
      </w:pPr>
      <w:r>
        <w:t xml:space="preserve">The higher proportion of patients with KIT Exon 11 mutations seen in the </w:t>
      </w:r>
      <w:proofErr w:type="spellStart"/>
      <w:r>
        <w:t>regorafenib</w:t>
      </w:r>
      <w:proofErr w:type="spellEnd"/>
      <w:r>
        <w:t xml:space="preserve"> group compared to the placebo group may have implications for the interpretation of results, while acknowledging that the overall proportion of patients who had baseline mutational status tested was relatively low at 51.8%.</w:t>
      </w:r>
    </w:p>
    <w:p w:rsidR="00221B8B" w:rsidRDefault="00221B8B" w:rsidP="00963F9C">
      <w:pPr>
        <w:ind w:left="1134"/>
      </w:pPr>
      <w:r>
        <w:t xml:space="preserve">The demographic and disease characteristics of the study participants would seem generally representative of the patient group for whom approval is being sought in this application (metastatic and/or </w:t>
      </w:r>
      <w:proofErr w:type="spellStart"/>
      <w:r>
        <w:t>unresectable</w:t>
      </w:r>
      <w:proofErr w:type="spellEnd"/>
      <w:r>
        <w:t xml:space="preserve"> GIST).</w:t>
      </w:r>
    </w:p>
    <w:p w:rsidR="00221B8B" w:rsidRDefault="00221B8B" w:rsidP="00963F9C">
      <w:r>
        <w:t xml:space="preserve">All patients took at least one concomitant medication, and agents were similar across the two groups. There was slightly higher use of natural opium alkaloids in the placebo group (47.0%) compared to the </w:t>
      </w:r>
      <w:proofErr w:type="spellStart"/>
      <w:r>
        <w:t>regorafenib</w:t>
      </w:r>
      <w:proofErr w:type="spellEnd"/>
      <w:r>
        <w:t xml:space="preserve"> group (30.8%).</w:t>
      </w:r>
    </w:p>
    <w:p w:rsidR="00221B8B" w:rsidRDefault="00221B8B" w:rsidP="00963F9C">
      <w:r>
        <w:t xml:space="preserve">Prior anti-cancer therapy at baseline with respect to surgery and other systemic therapies </w:t>
      </w:r>
      <w:proofErr w:type="gramStart"/>
      <w:r>
        <w:t>was</w:t>
      </w:r>
      <w:proofErr w:type="gramEnd"/>
      <w:r>
        <w:t xml:space="preserve"> similar between th</w:t>
      </w:r>
      <w:r w:rsidR="000A3D48">
        <w:t xml:space="preserve">e placebo and </w:t>
      </w:r>
      <w:proofErr w:type="spellStart"/>
      <w:r w:rsidR="000A3D48">
        <w:t>regorafenib</w:t>
      </w:r>
      <w:proofErr w:type="spellEnd"/>
      <w:r w:rsidR="000A3D48">
        <w:t xml:space="preserve"> group</w:t>
      </w:r>
      <w:r>
        <w:t xml:space="preserve"> although there was slightly higher prior use of </w:t>
      </w:r>
      <w:proofErr w:type="spellStart"/>
      <w:r>
        <w:t>nilotinib</w:t>
      </w:r>
      <w:proofErr w:type="spellEnd"/>
      <w:r>
        <w:t xml:space="preserve"> in the placebo group (30.3%) compared to the </w:t>
      </w:r>
      <w:proofErr w:type="spellStart"/>
      <w:r>
        <w:t>regorafenib</w:t>
      </w:r>
      <w:proofErr w:type="spellEnd"/>
      <w:r>
        <w:t xml:space="preserve"> group (21.8%), and higher prior use of cytotoxic chemotherapy in the </w:t>
      </w:r>
      <w:proofErr w:type="spellStart"/>
      <w:r>
        <w:t>regorafenib</w:t>
      </w:r>
      <w:proofErr w:type="spellEnd"/>
      <w:r>
        <w:t xml:space="preserve"> group (9.8%) compared to the placebo group (3.0%).</w:t>
      </w:r>
    </w:p>
    <w:p w:rsidR="00221B8B" w:rsidRDefault="00221B8B" w:rsidP="00963F9C">
      <w:pPr>
        <w:pStyle w:val="Heading5"/>
      </w:pPr>
      <w:r>
        <w:t xml:space="preserve">Results for the </w:t>
      </w:r>
      <w:r w:rsidRPr="00963F9C">
        <w:t>primary</w:t>
      </w:r>
      <w:r>
        <w:t xml:space="preserve"> efficacy outcome</w:t>
      </w:r>
    </w:p>
    <w:p w:rsidR="00221B8B" w:rsidRDefault="00221B8B" w:rsidP="00963F9C">
      <w:r>
        <w:t xml:space="preserve">The primary population for the efficacy analysis was the FAS population, which was defined as all 199 randomised patients, including 66 patients randomised to placebo + BSC and 133 patients randomised to </w:t>
      </w:r>
      <w:proofErr w:type="spellStart"/>
      <w:r>
        <w:t>regorafenib</w:t>
      </w:r>
      <w:proofErr w:type="spellEnd"/>
      <w:r>
        <w:t xml:space="preserve"> + BSC. During the double-blind period, the mean treatment duration (</w:t>
      </w:r>
      <w:r>
        <w:rPr>
          <w:rFonts w:ascii="Symbol" w:hAnsi="Symbol" w:cs="Symbol"/>
        </w:rPr>
        <w:t></w:t>
      </w:r>
      <w:r>
        <w:t xml:space="preserve">SD) for </w:t>
      </w:r>
      <w:proofErr w:type="spellStart"/>
      <w:r>
        <w:t>regorafenib</w:t>
      </w:r>
      <w:proofErr w:type="spellEnd"/>
      <w:r>
        <w:t xml:space="preserve"> was 20.22 (</w:t>
      </w:r>
      <w:r>
        <w:rPr>
          <w:rFonts w:ascii="Symbol" w:hAnsi="Symbol" w:cs="Symbol"/>
        </w:rPr>
        <w:t></w:t>
      </w:r>
      <w:r>
        <w:t>11.63) weeks and for placebo was 9.08 (</w:t>
      </w:r>
      <w:r>
        <w:rPr>
          <w:rFonts w:ascii="Symbol" w:hAnsi="Symbol" w:cs="Symbol"/>
        </w:rPr>
        <w:t></w:t>
      </w:r>
      <w:r>
        <w:t>5.89) weeks.</w:t>
      </w:r>
    </w:p>
    <w:p w:rsidR="00221B8B" w:rsidRDefault="00221B8B" w:rsidP="00963F9C">
      <w:r>
        <w:t>As of the database cut-off date (26 Jan</w:t>
      </w:r>
      <w:r w:rsidR="000A3D48">
        <w:t>uary</w:t>
      </w:r>
      <w:r>
        <w:t xml:space="preserve"> 2012), PFS events (PD or death due to any cause) had been experienced by 63/66 (95.5%) patients in the placebo group and 81/133 (60.9%) patients in the </w:t>
      </w:r>
      <w:proofErr w:type="spellStart"/>
      <w:r>
        <w:t>regorafenib</w:t>
      </w:r>
      <w:proofErr w:type="spellEnd"/>
      <w:r>
        <w:t xml:space="preserve"> group (144/199 in total), thereby satisfying the 144 protocol pre-specified PFS events required for the primary analysis. Results for the primary analysis after the first 144 events are shown in </w:t>
      </w:r>
      <w:r w:rsidR="000A3D48">
        <w:t>Table 6</w:t>
      </w:r>
      <w:r>
        <w:t>.</w:t>
      </w:r>
    </w:p>
    <w:p w:rsidR="00221B8B" w:rsidRDefault="00221B8B" w:rsidP="00963F9C">
      <w:pPr>
        <w:pStyle w:val="Tabletitle"/>
        <w:rPr>
          <w:rFonts w:eastAsia="Times New Roman"/>
        </w:rPr>
      </w:pPr>
      <w:bookmarkStart w:id="135" w:name="_Ref384807433"/>
      <w:bookmarkStart w:id="136" w:name="_Toc393799483"/>
      <w:r>
        <w:t xml:space="preserve">Table </w:t>
      </w:r>
      <w:r w:rsidR="000A3D48">
        <w:t>6</w:t>
      </w:r>
      <w:bookmarkEnd w:id="135"/>
      <w:r w:rsidR="000A3D48">
        <w:t xml:space="preserve">: </w:t>
      </w:r>
      <w:r>
        <w:t xml:space="preserve">PFS results for double-blind period </w:t>
      </w:r>
      <w:r w:rsidRPr="00963F9C">
        <w:t>in</w:t>
      </w:r>
      <w:r>
        <w:t xml:space="preserve"> Study 14874</w:t>
      </w:r>
      <w:bookmarkEnd w:id="136"/>
    </w:p>
    <w:p w:rsidR="00221B8B" w:rsidRDefault="00221B8B" w:rsidP="00963F9C">
      <w:r>
        <w:rPr>
          <w:noProof/>
          <w:lang w:eastAsia="en-AU"/>
        </w:rPr>
        <w:drawing>
          <wp:inline distT="0" distB="0" distL="0" distR="0" wp14:anchorId="24F0F592" wp14:editId="4B09B955">
            <wp:extent cx="4817327" cy="1671803"/>
            <wp:effectExtent l="0" t="0" r="2540" b="5080"/>
            <wp:docPr id="5" name="Picture 5" descr="Table 6: PFS results for double-blind period in Study 14874"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823461" cy="1673932"/>
                    </a:xfrm>
                    <a:prstGeom prst="rect">
                      <a:avLst/>
                    </a:prstGeom>
                    <a:noFill/>
                    <a:ln>
                      <a:noFill/>
                    </a:ln>
                  </pic:spPr>
                </pic:pic>
              </a:graphicData>
            </a:graphic>
          </wp:inline>
        </w:drawing>
      </w:r>
    </w:p>
    <w:p w:rsidR="00221B8B" w:rsidRDefault="00221B8B" w:rsidP="00963F9C">
      <w:pPr>
        <w:ind w:left="1134" w:hanging="1134"/>
      </w:pPr>
      <w:r w:rsidRPr="000A3D48">
        <w:rPr>
          <w:b/>
        </w:rPr>
        <w:lastRenderedPageBreak/>
        <w:t>Comment</w:t>
      </w:r>
      <w:r>
        <w:t>:</w:t>
      </w:r>
      <w:r w:rsidR="00963F9C">
        <w:tab/>
      </w:r>
      <w:r>
        <w:t>The lower CI for the median PFS in the placebo group is at 28 days (the same as the median value), presumably because the first tumour assessment occurred following 4 weeks of treatment, and thus earlier progressions were not detected. This has the potential effect of increasing the mean PFS, and therefore it is acceptable that median values are presented for the analysis.</w:t>
      </w:r>
    </w:p>
    <w:p w:rsidR="00221B8B" w:rsidRDefault="00221B8B" w:rsidP="00963F9C">
      <w:r>
        <w:t xml:space="preserve">Median PFS time was longer in the </w:t>
      </w:r>
      <w:proofErr w:type="spellStart"/>
      <w:r>
        <w:t>regorafenib</w:t>
      </w:r>
      <w:proofErr w:type="spellEnd"/>
      <w:r>
        <w:t xml:space="preserve"> group at 147 days (4.8 months), compared to 28 days (0.9 months) in the placebo group. The risk of progression (or death) was lower in the </w:t>
      </w:r>
      <w:proofErr w:type="spellStart"/>
      <w:r>
        <w:t>regorafenib</w:t>
      </w:r>
      <w:proofErr w:type="spellEnd"/>
      <w:r>
        <w:t xml:space="preserve"> group than in the placebo group (HR: 0.268, 95%CI 0.185-0.388, p&lt;0.000001).</w:t>
      </w:r>
    </w:p>
    <w:p w:rsidR="00221B8B" w:rsidRDefault="00221B8B" w:rsidP="00963F9C">
      <w:r>
        <w:t xml:space="preserve">Kaplan-Meier curves for PFS (144 PFS events) by treatment group are shown in </w:t>
      </w:r>
      <w:r w:rsidR="000A3D48">
        <w:t>Figure 1</w:t>
      </w:r>
      <w:r>
        <w:t xml:space="preserve">, which shows the estimated Kaplan-Meier PFS rate was consistently higher in the </w:t>
      </w:r>
      <w:proofErr w:type="spellStart"/>
      <w:r>
        <w:t>regorafenib</w:t>
      </w:r>
      <w:proofErr w:type="spellEnd"/>
      <w:r>
        <w:t xml:space="preserve"> group than in the placebo group at all time-points.</w:t>
      </w:r>
    </w:p>
    <w:p w:rsidR="00221B8B" w:rsidRDefault="000A3D48" w:rsidP="00963F9C">
      <w:pPr>
        <w:pStyle w:val="FigureTitle"/>
        <w:rPr>
          <w:rFonts w:eastAsia="Times New Roman"/>
        </w:rPr>
      </w:pPr>
      <w:bookmarkStart w:id="137" w:name="_Ref384809474"/>
      <w:bookmarkStart w:id="138" w:name="_Toc393799524"/>
      <w:r>
        <w:t>Figure 1</w:t>
      </w:r>
      <w:bookmarkEnd w:id="137"/>
      <w:r>
        <w:t xml:space="preserve">: </w:t>
      </w:r>
      <w:r w:rsidR="00221B8B">
        <w:t>Kaplan-Meier curve of PFS, central assessment, 144 events in Study 14874</w:t>
      </w:r>
      <w:bookmarkEnd w:id="138"/>
    </w:p>
    <w:p w:rsidR="00221B8B" w:rsidRDefault="00221B8B" w:rsidP="00963F9C">
      <w:r>
        <w:rPr>
          <w:noProof/>
          <w:lang w:eastAsia="en-AU"/>
        </w:rPr>
        <w:drawing>
          <wp:inline distT="0" distB="0" distL="0" distR="0" wp14:anchorId="4F17BCCE" wp14:editId="5CB31D40">
            <wp:extent cx="4029307" cy="2957609"/>
            <wp:effectExtent l="0" t="0" r="0" b="0"/>
            <wp:docPr id="4" name="Picture 4" descr="Figure 1: Kaplan-Meier curve of PFS, central assessment, 144 events in Study 14874"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028458" cy="2956986"/>
                    </a:xfrm>
                    <a:prstGeom prst="rect">
                      <a:avLst/>
                    </a:prstGeom>
                    <a:noFill/>
                    <a:ln>
                      <a:noFill/>
                    </a:ln>
                  </pic:spPr>
                </pic:pic>
              </a:graphicData>
            </a:graphic>
          </wp:inline>
        </w:drawing>
      </w:r>
    </w:p>
    <w:p w:rsidR="00221B8B" w:rsidRDefault="00221B8B" w:rsidP="00963F9C">
      <w:pPr>
        <w:rPr>
          <w:szCs w:val="24"/>
        </w:rPr>
      </w:pPr>
      <w:r>
        <w:t xml:space="preserve">These results were consistent with the supportive PFS analysis performed after the first 122 PFS events had occurred which found the percentage of patients who experienced disease progression or death to be 65 (47.4%) in the </w:t>
      </w:r>
      <w:proofErr w:type="spellStart"/>
      <w:r>
        <w:t>regorafenib</w:t>
      </w:r>
      <w:proofErr w:type="spellEnd"/>
      <w:r>
        <w:t xml:space="preserve"> group and 59 (89.4%) in the placebo group. A median PFS time of 129 days was seen in the </w:t>
      </w:r>
      <w:proofErr w:type="spellStart"/>
      <w:r>
        <w:t>regorafenib</w:t>
      </w:r>
      <w:proofErr w:type="spellEnd"/>
      <w:r>
        <w:t xml:space="preserve"> group compared to 28 days in the placebo group, giving a HR of 0.272 (95%CI: 0.185, 0.401).</w:t>
      </w:r>
    </w:p>
    <w:p w:rsidR="00221B8B" w:rsidRDefault="00221B8B" w:rsidP="00963F9C">
      <w:r>
        <w:t xml:space="preserve">A sensitivity analysis of PFS at 144 events using the investigator’s assessment were also supportive of the primary analysis, with median PFS time being 224 days in the </w:t>
      </w:r>
      <w:proofErr w:type="spellStart"/>
      <w:r>
        <w:t>regorafenib</w:t>
      </w:r>
      <w:proofErr w:type="spellEnd"/>
      <w:r>
        <w:t xml:space="preserve"> group compared to 52 days in the placebo group, with a hazard ratio of 0.221 (95% CI: 0.141, 0.345). It was noted that median PFS times were longer in both treatment arms with investigator assessment compared to central assessment (</w:t>
      </w:r>
      <w:r w:rsidR="000A3D48">
        <w:t>Table 7</w:t>
      </w:r>
      <w:r>
        <w:t xml:space="preserve">). The discordance in the placebo arm was 18.2%, caused by 12 progressions seen in central reading and not in investigator reading. The discordance in the </w:t>
      </w:r>
      <w:proofErr w:type="spellStart"/>
      <w:r>
        <w:t>regorafenib</w:t>
      </w:r>
      <w:proofErr w:type="spellEnd"/>
      <w:r>
        <w:t xml:space="preserve"> arm was 31.6%; caused by 37 progressions seen in central reading and not in investigator reading (27.8%) and 5 progressions seen in investigator reading and not in central reading (3.8%). The difference in discordance rate between treatment groups was 13.4%, and this was assessed by the sponsor to suggest no meaningful difference in discordance rate between the treatment groups.</w:t>
      </w:r>
      <w:r>
        <w:rPr>
          <w:rFonts w:ascii="TimesNewRoman" w:hAnsi="Times New Roman" w:cs="TimesNewRoman" w:hint="eastAsia"/>
          <w:sz w:val="24"/>
        </w:rPr>
        <w:t xml:space="preserve"> </w:t>
      </w:r>
      <w:r>
        <w:t>No explanation was given for the reasons discordance in the CSR.</w:t>
      </w:r>
    </w:p>
    <w:p w:rsidR="000A3D48" w:rsidRDefault="000A3D48" w:rsidP="00963F9C">
      <w:pPr>
        <w:pStyle w:val="Tabletitle"/>
      </w:pPr>
      <w:bookmarkStart w:id="139" w:name="_Ref387760941"/>
      <w:bookmarkStart w:id="140" w:name="_Toc393799504"/>
      <w:r>
        <w:lastRenderedPageBreak/>
        <w:t>Table 7</w:t>
      </w:r>
      <w:proofErr w:type="gramStart"/>
      <w:r>
        <w:t>:</w:t>
      </w:r>
      <w:bookmarkEnd w:id="139"/>
      <w:r>
        <w:t>Sensitivity</w:t>
      </w:r>
      <w:proofErr w:type="gramEnd"/>
      <w:r>
        <w:t xml:space="preserve"> analysis of radiological progressions: Central – Local Concordance – Discordance (FAS) in Study 14874</w:t>
      </w:r>
      <w:bookmarkEnd w:id="140"/>
    </w:p>
    <w:p w:rsidR="000A3D48" w:rsidRDefault="000A3D48" w:rsidP="00963F9C">
      <w:r>
        <w:rPr>
          <w:noProof/>
          <w:lang w:eastAsia="en-AU"/>
        </w:rPr>
        <w:drawing>
          <wp:inline distT="0" distB="0" distL="0" distR="0" wp14:anchorId="5E760819" wp14:editId="71219DD7">
            <wp:extent cx="5092390" cy="1127287"/>
            <wp:effectExtent l="0" t="0" r="0" b="0"/>
            <wp:docPr id="79" name="Picture 79" descr="Table 7: Sensitivity analysis of radiological progressions: Central – Local Concordance – Discordance (FAS) in Study 14874"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3082" cy="1127440"/>
                    </a:xfrm>
                    <a:prstGeom prst="rect">
                      <a:avLst/>
                    </a:prstGeom>
                    <a:noFill/>
                    <a:ln>
                      <a:noFill/>
                    </a:ln>
                  </pic:spPr>
                </pic:pic>
              </a:graphicData>
            </a:graphic>
          </wp:inline>
        </w:drawing>
      </w:r>
    </w:p>
    <w:p w:rsidR="00221B8B" w:rsidRDefault="00221B8B" w:rsidP="00963F9C">
      <w:pPr>
        <w:rPr>
          <w:kern w:val="16"/>
        </w:rPr>
      </w:pPr>
      <w:r>
        <w:t xml:space="preserve">Another sensitivity analysis of PFS on </w:t>
      </w:r>
      <w:proofErr w:type="spellStart"/>
      <w:r>
        <w:t>unstratified</w:t>
      </w:r>
      <w:proofErr w:type="spellEnd"/>
      <w:r>
        <w:t xml:space="preserve"> data also supported the primary analysis, with a hazard ratio of 0.255 (95%CI: 0.177, 0.368).</w:t>
      </w:r>
    </w:p>
    <w:p w:rsidR="00221B8B" w:rsidRDefault="00221B8B" w:rsidP="00963F9C">
      <w:pPr>
        <w:ind w:left="1134" w:hanging="1134"/>
      </w:pPr>
      <w:r w:rsidRPr="000A3D48">
        <w:rPr>
          <w:b/>
        </w:rPr>
        <w:t>Comment</w:t>
      </w:r>
      <w:r>
        <w:t>:</w:t>
      </w:r>
      <w:r>
        <w:tab/>
        <w:t xml:space="preserve">It is agreed with the sponsor’s assessment, that the results of the primary analysis show a statistically significant and clinically meaningful advantage for </w:t>
      </w:r>
      <w:proofErr w:type="spellStart"/>
      <w:r>
        <w:t>regorafenib</w:t>
      </w:r>
      <w:proofErr w:type="spellEnd"/>
      <w:r>
        <w:t xml:space="preserve"> over placebo for PFS of 119 days or 3.9 months. The effect of </w:t>
      </w:r>
      <w:proofErr w:type="spellStart"/>
      <w:r>
        <w:t>regorafenib</w:t>
      </w:r>
      <w:proofErr w:type="spellEnd"/>
      <w:r>
        <w:t xml:space="preserve"> in this study was an extension of PFS by a factor of 425% over placebo.</w:t>
      </w:r>
    </w:p>
    <w:p w:rsidR="00221B8B" w:rsidRDefault="00221B8B" w:rsidP="00963F9C">
      <w:pPr>
        <w:ind w:left="1134"/>
      </w:pPr>
      <w:r>
        <w:t>Given the strength of these results, it is not expected that the differences in baseline disease characteristics will significantly impact on the PFS analysis.</w:t>
      </w:r>
    </w:p>
    <w:p w:rsidR="00221B8B" w:rsidRDefault="00221B8B" w:rsidP="00963F9C">
      <w:pPr>
        <w:ind w:left="1134"/>
      </w:pPr>
      <w:r>
        <w:t xml:space="preserve">The discordance between Central and Investigator assessments does not suggest any biases in favour of </w:t>
      </w:r>
      <w:proofErr w:type="spellStart"/>
      <w:r>
        <w:t>regorafenib</w:t>
      </w:r>
      <w:proofErr w:type="spellEnd"/>
      <w:r>
        <w:t xml:space="preserve"> for the primary PFS outcome using Central assessment, although the Investigator’s assessment did favour the </w:t>
      </w:r>
      <w:proofErr w:type="spellStart"/>
      <w:r>
        <w:t>regorafenib</w:t>
      </w:r>
      <w:proofErr w:type="spellEnd"/>
      <w:r>
        <w:t xml:space="preserve"> over the placebo arms.</w:t>
      </w:r>
    </w:p>
    <w:p w:rsidR="00221B8B" w:rsidRDefault="00221B8B" w:rsidP="00963F9C">
      <w:pPr>
        <w:pStyle w:val="Heading5"/>
      </w:pPr>
      <w:r w:rsidRPr="000A3D48">
        <w:t>Results</w:t>
      </w:r>
      <w:r>
        <w:t xml:space="preserve"> for other efficacy </w:t>
      </w:r>
      <w:r w:rsidRPr="00963F9C">
        <w:t>outcomes</w:t>
      </w:r>
    </w:p>
    <w:p w:rsidR="00221B8B" w:rsidRDefault="00221B8B" w:rsidP="00963F9C">
      <w:r w:rsidRPr="00FC5D6A">
        <w:t>Overall survival –</w:t>
      </w:r>
      <w:r>
        <w:t xml:space="preserve"> At the time of data cut-off (26 Jan</w:t>
      </w:r>
      <w:r w:rsidR="000A3D48">
        <w:t>uary</w:t>
      </w:r>
      <w:r>
        <w:t xml:space="preserve"> 2012), a total of 46 events had occurred, 29 events (21.8% of patients) in the </w:t>
      </w:r>
      <w:proofErr w:type="spellStart"/>
      <w:r>
        <w:t>regorafenib</w:t>
      </w:r>
      <w:proofErr w:type="spellEnd"/>
      <w:r>
        <w:t xml:space="preserve"> group and 17 events (25.8%) in the placebo group. Median OS time could not be estimated due to the censored data. The estimated OS HR of </w:t>
      </w:r>
      <w:proofErr w:type="spellStart"/>
      <w:r>
        <w:t>regorafenib</w:t>
      </w:r>
      <w:proofErr w:type="spellEnd"/>
      <w:r>
        <w:t xml:space="preserve"> to placebo was 0.772 (95% CI: 0.423, 1.408) (</w:t>
      </w:r>
      <w:r w:rsidR="000A3D48">
        <w:t>Table 8</w:t>
      </w:r>
      <w:r>
        <w:t xml:space="preserve">). The log-rank test based p-value was 0.198896. Using the pre-specified O’Brien-Fleming-type alpha spending function approach the resulting alpha for an OS interim analysis with 46 OS events, assuming a final analysis with 160 OS events, was 0.0000291. Therefore, the observed difference between treatment groups was not statistically significant at this interim analysis. Kaplan-Meier curves for OS by treatment group are shown in </w:t>
      </w:r>
      <w:r w:rsidR="000A3D48">
        <w:t>Figure 2</w:t>
      </w:r>
      <w:r>
        <w:t>.</w:t>
      </w:r>
    </w:p>
    <w:p w:rsidR="00221B8B" w:rsidRDefault="00221B8B" w:rsidP="00963F9C">
      <w:r>
        <w:t xml:space="preserve">56/66 (85%) of placebo patients </w:t>
      </w:r>
      <w:r w:rsidR="002F1F6E">
        <w:t xml:space="preserve">were </w:t>
      </w:r>
      <w:r>
        <w:t xml:space="preserve">crossed over to the open-label </w:t>
      </w:r>
      <w:proofErr w:type="spellStart"/>
      <w:r>
        <w:t>regorafenib</w:t>
      </w:r>
      <w:proofErr w:type="spellEnd"/>
      <w:r>
        <w:t xml:space="preserve"> treatment after progression. To correct for the effect of crossover from the placebo to the </w:t>
      </w:r>
      <w:proofErr w:type="spellStart"/>
      <w:r>
        <w:t>regorafenib</w:t>
      </w:r>
      <w:proofErr w:type="spellEnd"/>
      <w:r>
        <w:t xml:space="preserve"> group on the OS endpoint, the data were analysed using two different correction methods: a correction using the rank preserving structural failure time (RPSFT) method, and </w:t>
      </w:r>
      <w:proofErr w:type="gramStart"/>
      <w:r>
        <w:t>an iterative</w:t>
      </w:r>
      <w:proofErr w:type="gramEnd"/>
      <w:r>
        <w:t xml:space="preserve"> parameter estimation (IPE) method. The estimated corrected HR of </w:t>
      </w:r>
      <w:proofErr w:type="spellStart"/>
      <w:r>
        <w:t>regorafenib</w:t>
      </w:r>
      <w:proofErr w:type="spellEnd"/>
      <w:r>
        <w:t xml:space="preserve"> to placebo using the RPSFT and IPE correction methods were 0.537 and 0.565, respectively.</w:t>
      </w:r>
    </w:p>
    <w:p w:rsidR="00221B8B" w:rsidRDefault="00221B8B" w:rsidP="00963F9C">
      <w:pPr>
        <w:pStyle w:val="Tabletitle"/>
        <w:rPr>
          <w:rFonts w:eastAsia="Times New Roman"/>
        </w:rPr>
      </w:pPr>
      <w:bookmarkStart w:id="141" w:name="_Ref384814062"/>
      <w:bookmarkStart w:id="142" w:name="_Toc393799484"/>
      <w:r>
        <w:t xml:space="preserve">Table </w:t>
      </w:r>
      <w:fldSimple w:instr=" SEQ Table \* ARABIC ">
        <w:r w:rsidR="00F27A19">
          <w:rPr>
            <w:noProof/>
          </w:rPr>
          <w:t>3</w:t>
        </w:r>
      </w:fldSimple>
      <w:bookmarkEnd w:id="141"/>
      <w:r w:rsidR="000A3D48">
        <w:t xml:space="preserve">: </w:t>
      </w:r>
      <w:r>
        <w:t xml:space="preserve">OS, uncorrected and corrected for </w:t>
      </w:r>
      <w:r w:rsidRPr="00963F9C">
        <w:t>crossover</w:t>
      </w:r>
      <w:r>
        <w:t xml:space="preserve"> in Study 14874</w:t>
      </w:r>
      <w:bookmarkEnd w:id="142"/>
    </w:p>
    <w:p w:rsidR="00221B8B" w:rsidRDefault="00221B8B" w:rsidP="00963F9C">
      <w:r>
        <w:rPr>
          <w:noProof/>
          <w:lang w:eastAsia="en-AU"/>
        </w:rPr>
        <w:drawing>
          <wp:inline distT="0" distB="0" distL="0" distR="0" wp14:anchorId="31B13D7D" wp14:editId="7790ABF7">
            <wp:extent cx="4653776" cy="1466463"/>
            <wp:effectExtent l="0" t="0" r="0" b="635"/>
            <wp:docPr id="3" name="Picture 3" descr="Table 5: OS, uncorrected and corrected for crossover in Study 14874"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6095" cy="1467194"/>
                    </a:xfrm>
                    <a:prstGeom prst="rect">
                      <a:avLst/>
                    </a:prstGeom>
                    <a:noFill/>
                    <a:ln>
                      <a:noFill/>
                    </a:ln>
                  </pic:spPr>
                </pic:pic>
              </a:graphicData>
            </a:graphic>
          </wp:inline>
        </w:drawing>
      </w:r>
    </w:p>
    <w:p w:rsidR="00221B8B" w:rsidRDefault="00221B8B" w:rsidP="00963F9C">
      <w:pPr>
        <w:pStyle w:val="FigureTitle"/>
        <w:keepNext/>
        <w:rPr>
          <w:rFonts w:eastAsia="Times New Roman"/>
        </w:rPr>
      </w:pPr>
      <w:bookmarkStart w:id="143" w:name="_Ref384814214"/>
      <w:bookmarkStart w:id="144" w:name="_Toc393799525"/>
      <w:r>
        <w:lastRenderedPageBreak/>
        <w:t xml:space="preserve">Figure </w:t>
      </w:r>
      <w:bookmarkEnd w:id="143"/>
      <w:r w:rsidR="000A3D48">
        <w:t xml:space="preserve">2: </w:t>
      </w:r>
      <w:r>
        <w:t>Kaplan-</w:t>
      </w:r>
      <w:r w:rsidRPr="00963F9C">
        <w:t>Meier</w:t>
      </w:r>
      <w:r>
        <w:t xml:space="preserve"> curve of OS, Study 14874</w:t>
      </w:r>
      <w:bookmarkEnd w:id="144"/>
    </w:p>
    <w:p w:rsidR="00221B8B" w:rsidRDefault="00221B8B" w:rsidP="00963F9C">
      <w:r>
        <w:rPr>
          <w:noProof/>
          <w:lang w:eastAsia="en-AU"/>
        </w:rPr>
        <w:drawing>
          <wp:inline distT="0" distB="0" distL="0" distR="0" wp14:anchorId="04220E7B" wp14:editId="29923FCE">
            <wp:extent cx="4334540" cy="3062868"/>
            <wp:effectExtent l="0" t="0" r="8890" b="4445"/>
            <wp:docPr id="1" name="Picture 1" descr="Figure 2: Kaplan-Meier curve of OS, Study 14874"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335864" cy="3063804"/>
                    </a:xfrm>
                    <a:prstGeom prst="rect">
                      <a:avLst/>
                    </a:prstGeom>
                    <a:noFill/>
                    <a:ln>
                      <a:noFill/>
                    </a:ln>
                  </pic:spPr>
                </pic:pic>
              </a:graphicData>
            </a:graphic>
          </wp:inline>
        </w:drawing>
      </w:r>
    </w:p>
    <w:p w:rsidR="00221B8B" w:rsidRPr="00707094" w:rsidRDefault="00221B8B" w:rsidP="00FC5D6A">
      <w:pPr>
        <w:tabs>
          <w:tab w:val="left" w:pos="1134"/>
        </w:tabs>
        <w:ind w:left="1134" w:hanging="1134"/>
      </w:pPr>
      <w:r w:rsidRPr="00FC5D6A">
        <w:rPr>
          <w:b/>
        </w:rPr>
        <w:t>Comment:</w:t>
      </w:r>
      <w:r w:rsidRPr="00707094">
        <w:tab/>
        <w:t xml:space="preserve">This interim data does not suggest a significant survival advantage for those subjects randomised to </w:t>
      </w:r>
      <w:proofErr w:type="spellStart"/>
      <w:r w:rsidRPr="00707094">
        <w:t>regorafenib</w:t>
      </w:r>
      <w:proofErr w:type="spellEnd"/>
      <w:r w:rsidRPr="00707094">
        <w:t xml:space="preserve"> compared to those randomised to placebo. It is acknowledged that this secondary endpoint of OS is difficult to interpret due to data immaturity and the median OS time not being reached. In addition, the allowance for crossover onto </w:t>
      </w:r>
      <w:proofErr w:type="spellStart"/>
      <w:r w:rsidRPr="00707094">
        <w:t>regorafenib</w:t>
      </w:r>
      <w:proofErr w:type="spellEnd"/>
      <w:r w:rsidRPr="00707094">
        <w:t xml:space="preserve"> treatment upon disease progression in this case makes interpretation of OS results problematic in the face of a non-statistically significant result.</w:t>
      </w:r>
    </w:p>
    <w:p w:rsidR="00221B8B" w:rsidRPr="00707094" w:rsidRDefault="00221B8B" w:rsidP="00FC5D6A">
      <w:pPr>
        <w:ind w:left="1134"/>
      </w:pPr>
      <w:r w:rsidRPr="00707094">
        <w:t xml:space="preserve">Further OS follow-up data and analysis would be of benefit in assessing the impact of </w:t>
      </w:r>
      <w:proofErr w:type="spellStart"/>
      <w:r w:rsidRPr="00707094">
        <w:t>regorafenib</w:t>
      </w:r>
      <w:proofErr w:type="spellEnd"/>
      <w:r w:rsidRPr="00707094">
        <w:t xml:space="preserve"> on this important endpoint, and for ensuring consistency with the PFS results. This issue has been posed as a Clinical question to the sponsor (</w:t>
      </w:r>
      <w:r w:rsidR="00707094">
        <w:t xml:space="preserve">see </w:t>
      </w:r>
      <w:r w:rsidR="00FC5D6A">
        <w:t>below</w:t>
      </w:r>
      <w:r w:rsidRPr="00707094">
        <w:t>).</w:t>
      </w:r>
    </w:p>
    <w:p w:rsidR="00221B8B" w:rsidRDefault="00221B8B" w:rsidP="00963F9C">
      <w:r>
        <w:rPr>
          <w:b/>
        </w:rPr>
        <w:t>Subgroup analyses of PFS and OS</w:t>
      </w:r>
      <w:r>
        <w:t xml:space="preserve"> - PFS and OS were evaluated in subgroups of geographic region, prior line of treatment, age, sex, baseline BMI, </w:t>
      </w:r>
      <w:r w:rsidR="002F1F6E">
        <w:t xml:space="preserve">the </w:t>
      </w:r>
      <w:r>
        <w:t xml:space="preserve">duration of </w:t>
      </w:r>
      <w:proofErr w:type="spellStart"/>
      <w:r>
        <w:t>imatinib</w:t>
      </w:r>
      <w:proofErr w:type="spellEnd"/>
      <w:r>
        <w:t xml:space="preserve"> treatment, ECOG performance status, mutational status, and duration of </w:t>
      </w:r>
      <w:proofErr w:type="spellStart"/>
      <w:r>
        <w:t>sunitinib</w:t>
      </w:r>
      <w:proofErr w:type="spellEnd"/>
      <w:r>
        <w:t xml:space="preserve"> treatment (see </w:t>
      </w:r>
      <w:r w:rsidR="00707094">
        <w:t>Table 6</w:t>
      </w:r>
      <w:r>
        <w:t>).</w:t>
      </w:r>
    </w:p>
    <w:p w:rsidR="00221B8B" w:rsidRDefault="00221B8B" w:rsidP="00963F9C">
      <w:r>
        <w:t xml:space="preserve">Median PFS was longer in the </w:t>
      </w:r>
      <w:proofErr w:type="spellStart"/>
      <w:r>
        <w:t>regorafenib</w:t>
      </w:r>
      <w:proofErr w:type="spellEnd"/>
      <w:r>
        <w:t xml:space="preserve"> group compared to the placebo group across all subgroups, consistent with the primary analysis, and was statistically significant for all subgroups except for the group treated with &lt;6 months of </w:t>
      </w:r>
      <w:proofErr w:type="spellStart"/>
      <w:r>
        <w:t>imatinib</w:t>
      </w:r>
      <w:proofErr w:type="spellEnd"/>
      <w:r>
        <w:t>.</w:t>
      </w:r>
    </w:p>
    <w:p w:rsidR="00221B8B" w:rsidRDefault="00221B8B" w:rsidP="00963F9C">
      <w:r>
        <w:t xml:space="preserve">The subgroup analysis for OS was less conclusive, due to the immaturity of OS data, and the crossover of placebo patients to </w:t>
      </w:r>
      <w:proofErr w:type="spellStart"/>
      <w:r>
        <w:t>regorafenib</w:t>
      </w:r>
      <w:proofErr w:type="spellEnd"/>
      <w:r>
        <w:t xml:space="preserve"> treatment on disease progression. Consistent with the primary OS analysis, most subgroups had a HR &lt;1 which was not statistically significant. However, there were some subgroups for whom the OS HR was &gt;1 with </w:t>
      </w:r>
      <w:proofErr w:type="spellStart"/>
      <w:r>
        <w:t>regorafenib</w:t>
      </w:r>
      <w:proofErr w:type="spellEnd"/>
      <w:r>
        <w:t xml:space="preserve"> treatment compared to placebo, and these included being from the Asian region; baseline BMI 25 to &lt;30 kg/m2; ECOG PS of 0 at baseline, and duration of treatment with </w:t>
      </w:r>
      <w:proofErr w:type="spellStart"/>
      <w:r>
        <w:t>sunitinib</w:t>
      </w:r>
      <w:proofErr w:type="spellEnd"/>
      <w:r>
        <w:t xml:space="preserve"> &lt;6 months.</w:t>
      </w:r>
    </w:p>
    <w:p w:rsidR="00221B8B" w:rsidRDefault="00221B8B" w:rsidP="00963F9C">
      <w:pPr>
        <w:ind w:left="1134" w:hanging="1134"/>
      </w:pPr>
      <w:r w:rsidRPr="00707094">
        <w:rPr>
          <w:b/>
        </w:rPr>
        <w:t>Comment</w:t>
      </w:r>
      <w:r>
        <w:t>:</w:t>
      </w:r>
      <w:r w:rsidR="00963F9C">
        <w:tab/>
      </w:r>
      <w:r>
        <w:t xml:space="preserve">The subgroup analysis for PFS strongly supports the primary analysis, and suggests that </w:t>
      </w:r>
      <w:proofErr w:type="spellStart"/>
      <w:r>
        <w:t>regorafenib</w:t>
      </w:r>
      <w:proofErr w:type="spellEnd"/>
      <w:r>
        <w:t xml:space="preserve"> has a positive impact on prolonging PFS across a wide range of patient types with metastatic and/or </w:t>
      </w:r>
      <w:proofErr w:type="spellStart"/>
      <w:r>
        <w:t>unresectable</w:t>
      </w:r>
      <w:proofErr w:type="spellEnd"/>
      <w:r>
        <w:t xml:space="preserve"> GIST. The subgroup analysis for OS is again inconclusive due to data immaturity and the crossover of placebo subjects to </w:t>
      </w:r>
      <w:proofErr w:type="spellStart"/>
      <w:r>
        <w:t>regorafenib</w:t>
      </w:r>
      <w:proofErr w:type="spellEnd"/>
      <w:r>
        <w:t xml:space="preserve"> treatment on disease progression, and further data on OS as it becomes available would be beneficial.</w:t>
      </w:r>
    </w:p>
    <w:p w:rsidR="00707094" w:rsidRDefault="00707094" w:rsidP="00963F9C">
      <w:pPr>
        <w:pStyle w:val="Tabletitle"/>
      </w:pPr>
      <w:bookmarkStart w:id="145" w:name="_Ref384816900"/>
      <w:bookmarkStart w:id="146" w:name="_Toc393799505"/>
      <w:r>
        <w:lastRenderedPageBreak/>
        <w:t>Table 6:</w:t>
      </w:r>
      <w:bookmarkEnd w:id="145"/>
      <w:r>
        <w:t xml:space="preserve"> Summary of PFS and OS results overall and for pre-specified subgroups in Study 14874</w:t>
      </w:r>
      <w:bookmarkEnd w:id="146"/>
    </w:p>
    <w:p w:rsidR="00707094" w:rsidRDefault="00707094" w:rsidP="00963F9C">
      <w:r>
        <w:rPr>
          <w:noProof/>
          <w:lang w:eastAsia="en-AU"/>
        </w:rPr>
        <w:drawing>
          <wp:inline distT="0" distB="0" distL="0" distR="0" wp14:anchorId="6AA6815F" wp14:editId="10BE1AEB">
            <wp:extent cx="4022888" cy="5159298"/>
            <wp:effectExtent l="0" t="0" r="0" b="3810"/>
            <wp:docPr id="54" name="Picture 54" descr="Table 6: Summary of PFS and OS results overall and for pre-specified subgroups in Study 14874"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020728" cy="5156528"/>
                    </a:xfrm>
                    <a:prstGeom prst="rect">
                      <a:avLst/>
                    </a:prstGeom>
                    <a:noFill/>
                    <a:ln>
                      <a:noFill/>
                    </a:ln>
                  </pic:spPr>
                </pic:pic>
              </a:graphicData>
            </a:graphic>
          </wp:inline>
        </w:drawing>
      </w:r>
    </w:p>
    <w:p w:rsidR="00221B8B" w:rsidRDefault="00221B8B" w:rsidP="00963F9C">
      <w:pPr>
        <w:pStyle w:val="ListBullet"/>
      </w:pPr>
      <w:r>
        <w:rPr>
          <w:b/>
        </w:rPr>
        <w:t>Secondary PFS</w:t>
      </w:r>
      <w:r>
        <w:t xml:space="preserve"> – was analysed descriptively only. Median secondary PFS for the </w:t>
      </w:r>
      <w:proofErr w:type="spellStart"/>
      <w:r>
        <w:t>regorafenib</w:t>
      </w:r>
      <w:proofErr w:type="spellEnd"/>
      <w:r>
        <w:t xml:space="preserve"> group (41 patients who continued on </w:t>
      </w:r>
      <w:proofErr w:type="spellStart"/>
      <w:r>
        <w:t>regorafenib</w:t>
      </w:r>
      <w:proofErr w:type="spellEnd"/>
      <w:r>
        <w:t xml:space="preserve">) and the placebo group (56 patients who crossed over to </w:t>
      </w:r>
      <w:proofErr w:type="spellStart"/>
      <w:r>
        <w:t>regorafenib</w:t>
      </w:r>
      <w:proofErr w:type="spellEnd"/>
      <w:r>
        <w:t xml:space="preserve">) was </w:t>
      </w:r>
      <w:r w:rsidRPr="00963F9C">
        <w:t>137</w:t>
      </w:r>
      <w:r>
        <w:t xml:space="preserve"> days (4.5 months) and 151 days (5.0 months), respectively (based on investigator assessment).</w:t>
      </w:r>
    </w:p>
    <w:p w:rsidR="00221B8B" w:rsidRDefault="00221B8B" w:rsidP="00963F9C">
      <w:pPr>
        <w:ind w:left="1134" w:hanging="1134"/>
      </w:pPr>
      <w:r w:rsidRPr="00707094">
        <w:rPr>
          <w:b/>
        </w:rPr>
        <w:t>Comment</w:t>
      </w:r>
      <w:r>
        <w:t>:</w:t>
      </w:r>
      <w:r w:rsidR="00963F9C">
        <w:tab/>
      </w:r>
      <w:r>
        <w:t xml:space="preserve">It is agreed with the sponsor’s statement that continuing treatment with </w:t>
      </w:r>
      <w:proofErr w:type="spellStart"/>
      <w:r>
        <w:t>regorafenib</w:t>
      </w:r>
      <w:proofErr w:type="spellEnd"/>
      <w:r>
        <w:t xml:space="preserve"> may be clinically beneficial by delaying further disease progression. However, as secondary PFS was measured using investigator assessment only, which for the primary PFS analysis produced longer results than the centrally blinded assessments, a similar lengthening effect may have been observed here and results need to be interpreted with caution.</w:t>
      </w:r>
    </w:p>
    <w:p w:rsidR="00221B8B" w:rsidRDefault="00221B8B" w:rsidP="00963F9C">
      <w:r>
        <w:rPr>
          <w:b/>
        </w:rPr>
        <w:t>Time to progression</w:t>
      </w:r>
      <w:r>
        <w:t xml:space="preserve"> - The percentage of patients with disease progression was higher in the placebo group (93.9%) compared with the </w:t>
      </w:r>
      <w:proofErr w:type="spellStart"/>
      <w:r>
        <w:t>regorafenib</w:t>
      </w:r>
      <w:proofErr w:type="spellEnd"/>
      <w:r>
        <w:t xml:space="preserve"> group (57.1%). Centrally assessed median TTP was longer in the </w:t>
      </w:r>
      <w:proofErr w:type="spellStart"/>
      <w:r>
        <w:t>regorafenib</w:t>
      </w:r>
      <w:proofErr w:type="spellEnd"/>
      <w:r>
        <w:t xml:space="preserve"> group (165 days, 5.4 months) compared to the placebo group (28 days, 0.9 months). The risk of progression in the </w:t>
      </w:r>
      <w:proofErr w:type="spellStart"/>
      <w:r>
        <w:t>regorafenib</w:t>
      </w:r>
      <w:proofErr w:type="spellEnd"/>
      <w:r>
        <w:t xml:space="preserve"> group was lower than in the placebo group with a HR of 0.248 (95% CI 0.170, 0.364, p &lt;0.000001).</w:t>
      </w:r>
    </w:p>
    <w:p w:rsidR="00221B8B" w:rsidRDefault="00221B8B" w:rsidP="00963F9C">
      <w:r>
        <w:rPr>
          <w:b/>
        </w:rPr>
        <w:t>Secondary TTP –</w:t>
      </w:r>
      <w:r>
        <w:t xml:space="preserve"> This was defined as the time from cross-over to open-label treatment until second radiological progression during open-label treatment with </w:t>
      </w:r>
      <w:proofErr w:type="spellStart"/>
      <w:r>
        <w:t>regorafenib</w:t>
      </w:r>
      <w:proofErr w:type="spellEnd"/>
      <w:r>
        <w:t xml:space="preserve">. Median </w:t>
      </w:r>
      <w:r>
        <w:lastRenderedPageBreak/>
        <w:t xml:space="preserve">secondary TTP for the placebo group (56 patients who crossed over to </w:t>
      </w:r>
      <w:proofErr w:type="spellStart"/>
      <w:r>
        <w:t>regorafenib</w:t>
      </w:r>
      <w:proofErr w:type="spellEnd"/>
      <w:r>
        <w:t xml:space="preserve">) and the </w:t>
      </w:r>
      <w:proofErr w:type="spellStart"/>
      <w:r>
        <w:t>regorafenib</w:t>
      </w:r>
      <w:proofErr w:type="spellEnd"/>
      <w:r>
        <w:t xml:space="preserve"> group (41 patients who continued on </w:t>
      </w:r>
      <w:proofErr w:type="spellStart"/>
      <w:r>
        <w:t>regorafenib</w:t>
      </w:r>
      <w:proofErr w:type="spellEnd"/>
      <w:r>
        <w:t>) was 151 days (5.0 months) and 150 days (4.9 months), respectively.</w:t>
      </w:r>
    </w:p>
    <w:p w:rsidR="00221B8B" w:rsidRDefault="00221B8B" w:rsidP="00963F9C">
      <w:r>
        <w:rPr>
          <w:b/>
        </w:rPr>
        <w:t>Overall response rate -</w:t>
      </w:r>
      <w:r>
        <w:t xml:space="preserve"> There were no CRs in either treatment group by central assessment (</w:t>
      </w:r>
      <w:r w:rsidR="00707094">
        <w:t>Table 7</w:t>
      </w:r>
      <w:r>
        <w:t xml:space="preserve">). A higher percentage of </w:t>
      </w:r>
      <w:proofErr w:type="spellStart"/>
      <w:r>
        <w:t>regorafenib</w:t>
      </w:r>
      <w:proofErr w:type="spellEnd"/>
      <w:r>
        <w:t>-treated patients (4.5%) compared with placebo-treated patients (1.5%) had a PR. Since no patients had a CR, the ORR was the same as the rate of PR. The difference between the groups (</w:t>
      </w:r>
      <w:r>
        <w:rPr>
          <w:rFonts w:hint="eastAsia"/>
        </w:rPr>
        <w:t>–</w:t>
      </w:r>
      <w:r>
        <w:t xml:space="preserve">2.99%; 95% CI: </w:t>
      </w:r>
      <w:r>
        <w:rPr>
          <w:rFonts w:hint="eastAsia"/>
        </w:rPr>
        <w:t>–</w:t>
      </w:r>
      <w:r>
        <w:t>7.70%, 1.72%) was not statistically significant (p=0.142097) using the central assessment.</w:t>
      </w:r>
    </w:p>
    <w:p w:rsidR="00707094" w:rsidRDefault="00707094" w:rsidP="00963F9C">
      <w:pPr>
        <w:pStyle w:val="Tabletitle"/>
      </w:pPr>
      <w:bookmarkStart w:id="147" w:name="_Ref387757674"/>
      <w:bookmarkStart w:id="148" w:name="_Toc393799506"/>
      <w:r>
        <w:t>Table 7</w:t>
      </w:r>
      <w:bookmarkEnd w:id="147"/>
      <w:r>
        <w:rPr>
          <w:noProof/>
        </w:rPr>
        <w:t xml:space="preserve">: </w:t>
      </w:r>
      <w:r>
        <w:t>Overall response double-blind period, - central assessment (FAS) Study 14874</w:t>
      </w:r>
      <w:bookmarkEnd w:id="148"/>
    </w:p>
    <w:p w:rsidR="00707094" w:rsidRDefault="00707094" w:rsidP="00963F9C">
      <w:r>
        <w:rPr>
          <w:noProof/>
          <w:lang w:eastAsia="en-AU"/>
        </w:rPr>
        <w:drawing>
          <wp:inline distT="0" distB="0" distL="0" distR="0" wp14:anchorId="681B5115" wp14:editId="7B0276CE">
            <wp:extent cx="4356409" cy="2908568"/>
            <wp:effectExtent l="0" t="0" r="6350" b="6350"/>
            <wp:docPr id="78" name="Picture 78" descr="Table 7: Overall response double-blind period, - central assessment (FAS) Study 14874"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357976" cy="2909615"/>
                    </a:xfrm>
                    <a:prstGeom prst="rect">
                      <a:avLst/>
                    </a:prstGeom>
                    <a:noFill/>
                    <a:ln>
                      <a:noFill/>
                    </a:ln>
                  </pic:spPr>
                </pic:pic>
              </a:graphicData>
            </a:graphic>
          </wp:inline>
        </w:drawing>
      </w:r>
    </w:p>
    <w:p w:rsidR="00221B8B" w:rsidRDefault="00221B8B" w:rsidP="00963F9C">
      <w:r>
        <w:rPr>
          <w:b/>
        </w:rPr>
        <w:t>Disease control rate -</w:t>
      </w:r>
      <w:r>
        <w:t xml:space="preserve"> According to the central assessment, the DCR was 52.6%in the </w:t>
      </w:r>
      <w:proofErr w:type="spellStart"/>
      <w:r>
        <w:t>regorafenib</w:t>
      </w:r>
      <w:proofErr w:type="spellEnd"/>
      <w:r>
        <w:t xml:space="preserve"> group (95% CI: 43.8, 61.3) and 9.1% in the placebo group (95% CI: 3.4, 18.7) (</w:t>
      </w:r>
      <w:r w:rsidR="00707094">
        <w:t>Table 7</w:t>
      </w:r>
      <w:r>
        <w:t>). This difference was statistically significant (p&lt;0.000001).</w:t>
      </w:r>
    </w:p>
    <w:p w:rsidR="00221B8B" w:rsidRDefault="00221B8B" w:rsidP="00963F9C">
      <w:r>
        <w:rPr>
          <w:b/>
        </w:rPr>
        <w:t>Duration of response –</w:t>
      </w:r>
      <w:r>
        <w:t xml:space="preserve"> the median duration of response (central assessment) for </w:t>
      </w:r>
      <w:proofErr w:type="spellStart"/>
      <w:r>
        <w:t>regorafenib</w:t>
      </w:r>
      <w:proofErr w:type="spellEnd"/>
      <w:r>
        <w:t xml:space="preserve"> treated patients (n=6) was 99 days (range 43-99), and for the one placebo treated patient (n=1) was 30 days.</w:t>
      </w:r>
    </w:p>
    <w:p w:rsidR="00221B8B" w:rsidRDefault="00221B8B" w:rsidP="00963F9C">
      <w:r>
        <w:rPr>
          <w:b/>
        </w:rPr>
        <w:t>Patient reported outcomes</w:t>
      </w:r>
      <w:r>
        <w:t xml:space="preserve"> - The mean change from baseline in EORTC QLQ-C30 global health status/</w:t>
      </w:r>
      <w:proofErr w:type="spellStart"/>
      <w:r>
        <w:t>QoL</w:t>
      </w:r>
      <w:proofErr w:type="spellEnd"/>
      <w:r>
        <w:t xml:space="preserve"> and functional scales at cycles 2</w:t>
      </w:r>
      <w:r>
        <w:rPr>
          <w:rFonts w:hint="eastAsia"/>
        </w:rPr>
        <w:t>–</w:t>
      </w:r>
      <w:r>
        <w:t>4 were generally similar (&lt;10 points, not clinically meaningful) between the two treatment groups, except for the role functioning scale (</w:t>
      </w:r>
      <w:r w:rsidR="002E6A45">
        <w:t>Table 8</w:t>
      </w:r>
      <w:r>
        <w:t>). Mean changes in scores from baseline for global health status and the 5 functional dimensions demonstrated a slight deterioration in patients</w:t>
      </w:r>
      <w:r>
        <w:rPr>
          <w:rFonts w:asciiTheme="majorHAnsi" w:hAnsiTheme="majorHAnsi"/>
        </w:rPr>
        <w:t xml:space="preserve">’ </w:t>
      </w:r>
      <w:proofErr w:type="spellStart"/>
      <w:r>
        <w:t>QoL</w:t>
      </w:r>
      <w:proofErr w:type="spellEnd"/>
      <w:r>
        <w:t xml:space="preserve"> of similar magnitude both in the </w:t>
      </w:r>
      <w:proofErr w:type="spellStart"/>
      <w:r>
        <w:t>regorafenib</w:t>
      </w:r>
      <w:proofErr w:type="spellEnd"/>
      <w:r>
        <w:t xml:space="preserve"> + BSC and placebo + BSC groups. There was a small but clinically meaningful change (</w:t>
      </w:r>
      <w:r>
        <w:rPr>
          <w:rFonts w:hint="eastAsia"/>
        </w:rPr>
        <w:t>≥</w:t>
      </w:r>
      <w:r>
        <w:t xml:space="preserve">10 points) from baseline (towards reduction in role functioning) observed in the </w:t>
      </w:r>
      <w:proofErr w:type="spellStart"/>
      <w:r>
        <w:t>regorafenib</w:t>
      </w:r>
      <w:proofErr w:type="spellEnd"/>
      <w:r>
        <w:t xml:space="preserve"> group but not in the placebo group based on descriptive analysis only.</w:t>
      </w:r>
    </w:p>
    <w:p w:rsidR="00221B8B" w:rsidRDefault="00221B8B" w:rsidP="00963F9C">
      <w:pPr>
        <w:ind w:left="1134" w:hanging="1134"/>
      </w:pPr>
      <w:r w:rsidRPr="002E6A45">
        <w:rPr>
          <w:b/>
        </w:rPr>
        <w:t>Comment</w:t>
      </w:r>
      <w:r>
        <w:t>:</w:t>
      </w:r>
      <w:r w:rsidR="00963F9C">
        <w:tab/>
      </w:r>
      <w:r>
        <w:t xml:space="preserve">Although an exploratory analysis, the analysis of patient reported outcomes did not suggest any benefit of </w:t>
      </w:r>
      <w:proofErr w:type="spellStart"/>
      <w:r>
        <w:t>regorafenib</w:t>
      </w:r>
      <w:proofErr w:type="spellEnd"/>
      <w:r>
        <w:t xml:space="preserve"> in terms of improvement in health-related quality of life, but rather a clinically meaningful decrease in role functioning. Overall, global health status and all 5 functional dimensions were found to deteriorate slightly for patients in both the placebo and </w:t>
      </w:r>
      <w:proofErr w:type="spellStart"/>
      <w:r>
        <w:t>regorafenib</w:t>
      </w:r>
      <w:proofErr w:type="spellEnd"/>
      <w:r>
        <w:t xml:space="preserve"> arm during the study period.</w:t>
      </w:r>
    </w:p>
    <w:p w:rsidR="002E6A45" w:rsidRDefault="002E6A45" w:rsidP="00963F9C">
      <w:pPr>
        <w:pStyle w:val="Tabletitle"/>
      </w:pPr>
      <w:bookmarkStart w:id="149" w:name="_Ref387762561"/>
      <w:bookmarkStart w:id="150" w:name="_Toc393799507"/>
      <w:r>
        <w:lastRenderedPageBreak/>
        <w:t>Table</w:t>
      </w:r>
      <w:bookmarkEnd w:id="149"/>
      <w:r>
        <w:t xml:space="preserve"> 8: EORTC QLQ-C30 change from baseline at Cycles 2</w:t>
      </w:r>
      <w:proofErr w:type="gramStart"/>
      <w:r>
        <w:t>,3,4</w:t>
      </w:r>
      <w:proofErr w:type="gramEnd"/>
      <w:r>
        <w:t xml:space="preserve"> and EOT (double-blind treatment period ) (RRO)</w:t>
      </w:r>
      <w:bookmarkEnd w:id="150"/>
    </w:p>
    <w:p w:rsidR="002E6A45" w:rsidRDefault="002E6A45" w:rsidP="00963F9C">
      <w:r>
        <w:rPr>
          <w:noProof/>
          <w:lang w:eastAsia="en-AU"/>
        </w:rPr>
        <w:drawing>
          <wp:inline distT="0" distB="0" distL="0" distR="0" wp14:anchorId="2894B76C" wp14:editId="6C4D6400">
            <wp:extent cx="4386146" cy="4487460"/>
            <wp:effectExtent l="0" t="0" r="0" b="8890"/>
            <wp:docPr id="80" name="Picture 80" descr="Table 8: EORTC QLQ-C30 change from baseline at Cycles 2,3,4 and EOT (double-blind treatment period ) (RRO)"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778" cy="4489130"/>
                    </a:xfrm>
                    <a:prstGeom prst="rect">
                      <a:avLst/>
                    </a:prstGeom>
                    <a:noFill/>
                    <a:ln>
                      <a:noFill/>
                    </a:ln>
                  </pic:spPr>
                </pic:pic>
              </a:graphicData>
            </a:graphic>
          </wp:inline>
        </w:drawing>
      </w:r>
      <w:r w:rsidRPr="003705FF">
        <w:t xml:space="preserve"> </w:t>
      </w:r>
    </w:p>
    <w:p w:rsidR="00342BDC" w:rsidRPr="00591420" w:rsidRDefault="00342BDC" w:rsidP="00963F9C">
      <w:r w:rsidRPr="00F153E0">
        <w:rPr>
          <w:b/>
        </w:rPr>
        <w:t>Genetic biomarker analyses</w:t>
      </w:r>
      <w:r w:rsidRPr="00F153E0">
        <w:t xml:space="preserve"> - Historical mutation data was available from 48% of all randomised patients in the Phase III GIST Study 14874, of which 53% had a tumour with a mutation in KIT Exon 11, 16% had a tumour with a mutation in KIT Exon 9, and 8% had no KIT and no PDGFR</w:t>
      </w:r>
      <w:r w:rsidR="00591420">
        <w:rPr>
          <w:rFonts w:ascii="Symbol" w:hAnsi="Symbol" w:cs="Symbol"/>
        </w:rPr>
        <w:t></w:t>
      </w:r>
      <w:r w:rsidR="00591420">
        <w:rPr>
          <w:rFonts w:ascii="Symbol" w:hAnsi="Symbol" w:cs="Symbol"/>
        </w:rPr>
        <w:t></w:t>
      </w:r>
      <w:r w:rsidRPr="00591420">
        <w:t xml:space="preserve">mutation (WT GIST). Mutational analyses indicated that both exon 11 mutant and exon 9 mutant subgroups fare better on </w:t>
      </w:r>
      <w:proofErr w:type="spellStart"/>
      <w:r w:rsidRPr="00591420">
        <w:t>regorafenib</w:t>
      </w:r>
      <w:proofErr w:type="spellEnd"/>
      <w:r w:rsidRPr="00591420">
        <w:t xml:space="preserve"> compared to placebo with respect to PFS, with a HR of 0.212 (95% CI: 0.098, 0.458) and 0.239 (95% CI: 0.065, 0.876) respectively.</w:t>
      </w:r>
    </w:p>
    <w:p w:rsidR="00342BDC" w:rsidRPr="00591420" w:rsidRDefault="00342BDC" w:rsidP="00963F9C">
      <w:r w:rsidRPr="00591420">
        <w:t>A further exploratory genetic biomarker analysis of Study 14874 was performed using biomarker specimens collected during the study period, and was presented as a separate report (</w:t>
      </w:r>
      <w:r w:rsidRPr="00591420">
        <w:rPr>
          <w:b/>
        </w:rPr>
        <w:t>PH-37123</w:t>
      </w:r>
      <w:r w:rsidRPr="00591420">
        <w:t xml:space="preserve">). This aimed to collect data for a higher proportion of study participants than provided historical mutational data, and to assess for concordance with the historical specimens to assess for the influence of secondary mutations (that may represent ‘resistance’ mutations to treatment with </w:t>
      </w:r>
      <w:proofErr w:type="spellStart"/>
      <w:r w:rsidRPr="00591420">
        <w:t>imatinib</w:t>
      </w:r>
      <w:proofErr w:type="spellEnd"/>
      <w:r w:rsidRPr="00591420">
        <w:t xml:space="preserve"> or </w:t>
      </w:r>
      <w:proofErr w:type="spellStart"/>
      <w:r w:rsidRPr="00591420">
        <w:t>sunitinib</w:t>
      </w:r>
      <w:proofErr w:type="spellEnd"/>
      <w:r w:rsidRPr="00591420">
        <w:t>). Plasma samples were obtained from 163/</w:t>
      </w:r>
      <w:r>
        <w:t>1</w:t>
      </w:r>
      <w:r w:rsidRPr="00591420">
        <w:t>99 (82%) of the total randomised subjects, and were tested for KIT, PDGFRA, BRAF, and KRAS mutations.</w:t>
      </w:r>
    </w:p>
    <w:p w:rsidR="00342BDC" w:rsidRPr="00591420" w:rsidRDefault="00342BDC" w:rsidP="00963F9C">
      <w:r w:rsidRPr="00591420">
        <w:t xml:space="preserve">KIT mutations were detected in 94/163 (58%) of samples analysed, with presumptive primary mutations in KIT-Exon 9 in 24/163 (15%) and KIT-Exon 11 in 19/163 (12%). Presumptive secondary KIT mutations were detected in 77/163 (47%) of the samples. It was noted that not all KIT-Exon 11 mutations were tested for, and thus the proportion of subject with KIT mutations is likely to be higher. PDGFRα alterations were detected in 2/163 (1%) of samples, and there were no BRAF mutations detected in the sample. KRAS mutations were only assessed in 2 subjects who had had these mutations identified in tumour tissue, and only one of these was found to have the same mutation in plasma. Combined, subject-matched plasma and </w:t>
      </w:r>
      <w:r w:rsidRPr="00591420">
        <w:lastRenderedPageBreak/>
        <w:t>tumour tissue mutation data from primary KIT-Exons 9 and 11 alterations showed concordance in 84% (27/32) of the samples examined.</w:t>
      </w:r>
    </w:p>
    <w:p w:rsidR="00342BDC" w:rsidRPr="00591420" w:rsidRDefault="00342BDC" w:rsidP="00963F9C">
      <w:r w:rsidRPr="00591420">
        <w:t xml:space="preserve">Analyses were conducted to evaluate potential associations between KIT mutational status and clinical response to </w:t>
      </w:r>
      <w:proofErr w:type="spellStart"/>
      <w:r w:rsidRPr="00591420">
        <w:t>regorafenib</w:t>
      </w:r>
      <w:proofErr w:type="spellEnd"/>
      <w:r w:rsidRPr="00591420">
        <w:t xml:space="preserve">. This found a benefit for </w:t>
      </w:r>
      <w:proofErr w:type="spellStart"/>
      <w:r w:rsidRPr="00591420">
        <w:t>regorafenib</w:t>
      </w:r>
      <w:proofErr w:type="spellEnd"/>
      <w:r w:rsidRPr="00591420">
        <w:t xml:space="preserve"> </w:t>
      </w:r>
      <w:r w:rsidRPr="00591420">
        <w:rPr>
          <w:i/>
        </w:rPr>
        <w:t>versus</w:t>
      </w:r>
      <w:r w:rsidRPr="00591420">
        <w:rPr>
          <w:rFonts w:cs="TimesNewRoman,Italic"/>
          <w:i/>
          <w:iCs/>
        </w:rPr>
        <w:t xml:space="preserve"> </w:t>
      </w:r>
      <w:r w:rsidRPr="00591420">
        <w:t xml:space="preserve">placebo in all biomarker subgroups examined. The frequency of PDGFRA, BRAF, and KRAS mutations was too low for meaningful correlative analyses, however it was noted that the single patient with the KRAS mutation progressed relatively quickly on </w:t>
      </w:r>
      <w:proofErr w:type="spellStart"/>
      <w:r w:rsidRPr="00591420">
        <w:t>regorafenib</w:t>
      </w:r>
      <w:proofErr w:type="spellEnd"/>
      <w:r w:rsidRPr="00591420">
        <w:t xml:space="preserve"> (PFS central assessment 30 days). In conjunction with the results from a patient with BRAF mutation in Study 14935 (see </w:t>
      </w:r>
      <w:r w:rsidRPr="00591420">
        <w:rPr>
          <w:i/>
        </w:rPr>
        <w:t>Other efficacy studies</w:t>
      </w:r>
      <w:r w:rsidRPr="00591420">
        <w:t xml:space="preserve"> below), it was concluded by the sponsor that GIST patients harbouring driver mutations in components of the ERK signalling pathway (</w:t>
      </w:r>
      <w:proofErr w:type="spellStart"/>
      <w:r w:rsidRPr="00591420">
        <w:t>ie</w:t>
      </w:r>
      <w:proofErr w:type="spellEnd"/>
      <w:r w:rsidRPr="00591420">
        <w:t xml:space="preserve">, KRAS or BRAF) do not appear to respond favourably to kinase inhibitors such as </w:t>
      </w:r>
      <w:proofErr w:type="spellStart"/>
      <w:r w:rsidRPr="00591420">
        <w:t>imatinib</w:t>
      </w:r>
      <w:proofErr w:type="spellEnd"/>
      <w:r w:rsidRPr="00591420">
        <w:t xml:space="preserve">, </w:t>
      </w:r>
      <w:proofErr w:type="spellStart"/>
      <w:r w:rsidRPr="00591420">
        <w:t>sunitinib</w:t>
      </w:r>
      <w:proofErr w:type="spellEnd"/>
      <w:r w:rsidRPr="00591420">
        <w:t xml:space="preserve"> or </w:t>
      </w:r>
      <w:proofErr w:type="spellStart"/>
      <w:r w:rsidRPr="00591420">
        <w:t>regorafenib</w:t>
      </w:r>
      <w:proofErr w:type="spellEnd"/>
      <w:r w:rsidRPr="00591420">
        <w:t>.</w:t>
      </w:r>
    </w:p>
    <w:p w:rsidR="00221B8B" w:rsidRDefault="00221B8B" w:rsidP="00963F9C">
      <w:pPr>
        <w:ind w:left="1134" w:hanging="1134"/>
      </w:pPr>
      <w:r w:rsidRPr="002E6A45">
        <w:rPr>
          <w:b/>
        </w:rPr>
        <w:t>Comment</w:t>
      </w:r>
      <w:r>
        <w:t>:</w:t>
      </w:r>
      <w:r>
        <w:tab/>
        <w:t xml:space="preserve">It is agreed with the sponsor that although the exploratory evidence does not suggest a differential effect of </w:t>
      </w:r>
      <w:proofErr w:type="spellStart"/>
      <w:r>
        <w:t>regorafenib</w:t>
      </w:r>
      <w:proofErr w:type="spellEnd"/>
      <w:r>
        <w:t xml:space="preserve"> according to KIT mutations status, there may be a reduced effect in patients with KRAS or BRAF mutational status. This has implications for the cost-benefit equation for using </w:t>
      </w:r>
      <w:proofErr w:type="spellStart"/>
      <w:r>
        <w:t>regorafenib</w:t>
      </w:r>
      <w:proofErr w:type="spellEnd"/>
      <w:r>
        <w:t xml:space="preserve"> in these patient subgroups, and should be considered accordingly. This has been posed as a question to the sponsor </w:t>
      </w:r>
      <w:r w:rsidR="002E6A45">
        <w:t xml:space="preserve">under </w:t>
      </w:r>
      <w:r w:rsidR="002E6A45" w:rsidRPr="002E6A45">
        <w:rPr>
          <w:i/>
        </w:rPr>
        <w:t>Clinical questions</w:t>
      </w:r>
      <w:r w:rsidR="002E6A45">
        <w:t xml:space="preserve"> below</w:t>
      </w:r>
      <w:r>
        <w:t>.</w:t>
      </w:r>
    </w:p>
    <w:p w:rsidR="00221B8B" w:rsidRDefault="00221B8B" w:rsidP="00963F9C">
      <w:r>
        <w:rPr>
          <w:b/>
        </w:rPr>
        <w:t>Non-genetic biomarker analysis</w:t>
      </w:r>
      <w:r>
        <w:t xml:space="preserve"> – This exploratory analysis of subjects in Study 14784 was presented as a separate report (PH-37168), which has not been fully evaluated. The levels of 11 different proteins were quantified at baseline and Day 15 of cycle 2, and were assessed for correlation with clinical outcome (PFS). Reported key findings of this analysis included the association of VEGF-A levels with more aggressive tumour but that is particularly responsive to </w:t>
      </w:r>
      <w:proofErr w:type="spellStart"/>
      <w:r>
        <w:t>regorafenib</w:t>
      </w:r>
      <w:proofErr w:type="spellEnd"/>
      <w:r>
        <w:t xml:space="preserve"> (a VEGFR signalling inhibitor), and a baseline to Cycle 2-Day 15 decrease in IGFBP-2 associated with </w:t>
      </w:r>
      <w:proofErr w:type="spellStart"/>
      <w:r>
        <w:t>regorafenib</w:t>
      </w:r>
      <w:proofErr w:type="spellEnd"/>
      <w:r>
        <w:t xml:space="preserve"> treatment.</w:t>
      </w:r>
    </w:p>
    <w:p w:rsidR="00221B8B" w:rsidRDefault="00221B8B" w:rsidP="00963F9C">
      <w:pPr>
        <w:pStyle w:val="Heading3"/>
      </w:pPr>
      <w:bookmarkStart w:id="151" w:name="_Toc393799370"/>
      <w:bookmarkStart w:id="152" w:name="_Toc290846277"/>
      <w:bookmarkStart w:id="153" w:name="_Toc272414655"/>
      <w:bookmarkStart w:id="154" w:name="_Ref271037210"/>
      <w:bookmarkStart w:id="155" w:name="_Ref271037188"/>
      <w:bookmarkStart w:id="156" w:name="_Ref243294291"/>
      <w:bookmarkStart w:id="157" w:name="_Toc241374311"/>
      <w:bookmarkStart w:id="158" w:name="_Toc436128345"/>
      <w:r>
        <w:t xml:space="preserve">Other </w:t>
      </w:r>
      <w:r w:rsidRPr="00963F9C">
        <w:t>efficacy</w:t>
      </w:r>
      <w:r>
        <w:t xml:space="preserve"> studies</w:t>
      </w:r>
      <w:bookmarkEnd w:id="151"/>
      <w:bookmarkEnd w:id="152"/>
      <w:bookmarkEnd w:id="153"/>
      <w:bookmarkEnd w:id="154"/>
      <w:bookmarkEnd w:id="155"/>
      <w:bookmarkEnd w:id="158"/>
    </w:p>
    <w:p w:rsidR="00221B8B" w:rsidRDefault="00221B8B" w:rsidP="00963F9C">
      <w:pPr>
        <w:pStyle w:val="Heading4"/>
      </w:pPr>
      <w:bookmarkStart w:id="159" w:name="_Toc290846278"/>
      <w:bookmarkStart w:id="160" w:name="_Ref388881580"/>
      <w:bookmarkEnd w:id="156"/>
      <w:bookmarkEnd w:id="157"/>
      <w:r>
        <w:t xml:space="preserve">Study </w:t>
      </w:r>
      <w:bookmarkEnd w:id="159"/>
      <w:r>
        <w:t>14935</w:t>
      </w:r>
      <w:bookmarkEnd w:id="160"/>
    </w:p>
    <w:p w:rsidR="00221B8B" w:rsidRDefault="008B3958" w:rsidP="00963F9C">
      <w:r>
        <w:t>The sponsor</w:t>
      </w:r>
      <w:r w:rsidR="00221B8B">
        <w:t xml:space="preserve"> stated in the clinical overview that this was an investigator-sponsored, open-label, multicentre, single-group study in patients with metastatic and/or </w:t>
      </w:r>
      <w:proofErr w:type="spellStart"/>
      <w:r w:rsidR="00221B8B">
        <w:t>unresectable</w:t>
      </w:r>
      <w:proofErr w:type="spellEnd"/>
      <w:r w:rsidR="00221B8B">
        <w:t xml:space="preserve"> GIST after failure of </w:t>
      </w:r>
      <w:proofErr w:type="spellStart"/>
      <w:r w:rsidR="00221B8B">
        <w:t>imatinib</w:t>
      </w:r>
      <w:proofErr w:type="spellEnd"/>
      <w:r w:rsidR="00221B8B">
        <w:t xml:space="preserve"> and </w:t>
      </w:r>
      <w:proofErr w:type="spellStart"/>
      <w:r w:rsidR="00221B8B">
        <w:t>sunitinib</w:t>
      </w:r>
      <w:proofErr w:type="spellEnd"/>
      <w:r w:rsidR="00221B8B">
        <w:t>, based in the US. A published journal paper</w:t>
      </w:r>
      <w:r w:rsidR="00192ED5">
        <w:t xml:space="preserve"> (3)</w:t>
      </w:r>
      <w:r w:rsidR="00221B8B">
        <w:t xml:space="preserve"> was provided with the submission, but not the CSR.</w:t>
      </w:r>
    </w:p>
    <w:p w:rsidR="00221B8B" w:rsidRDefault="00221B8B" w:rsidP="00963F9C">
      <w:pPr>
        <w:ind w:left="1134" w:hanging="1134"/>
      </w:pPr>
      <w:r w:rsidRPr="002E6A45">
        <w:rPr>
          <w:b/>
        </w:rPr>
        <w:t>Comment</w:t>
      </w:r>
      <w:r>
        <w:t>:</w:t>
      </w:r>
      <w:r w:rsidR="00963F9C">
        <w:tab/>
      </w:r>
      <w:r>
        <w:t xml:space="preserve">Although the sponsor stated that this study was an investigator-sponsored study, the paper states that it was ‘Supported in part by Bayer HealthCare Pharmaceuticals, which provided funding and study drug.’ Clarification of the role of the sponsor in this study has been posed as a question </w:t>
      </w:r>
      <w:r w:rsidR="002E6A45">
        <w:t xml:space="preserve">under </w:t>
      </w:r>
      <w:r w:rsidR="002E6A45" w:rsidRPr="002E6A45">
        <w:rPr>
          <w:i/>
        </w:rPr>
        <w:t>Clinical questions</w:t>
      </w:r>
      <w:r w:rsidR="002E6A45">
        <w:t xml:space="preserve"> below</w:t>
      </w:r>
      <w:r>
        <w:t>.</w:t>
      </w:r>
    </w:p>
    <w:p w:rsidR="00221B8B" w:rsidRDefault="00221B8B" w:rsidP="00963F9C">
      <w:r>
        <w:t xml:space="preserve">This was a Phase II trial across 4 centres in the US. Recruitment was from February to December 2010, with a data cut-off 28 July 2011. Patients received </w:t>
      </w:r>
      <w:proofErr w:type="spellStart"/>
      <w:r>
        <w:t>regorafenib</w:t>
      </w:r>
      <w:proofErr w:type="spellEnd"/>
      <w:r>
        <w:t xml:space="preserve"> at 160 mg per day for 3 weeks on, 1 week off per treatment cycle.</w:t>
      </w:r>
    </w:p>
    <w:p w:rsidR="00221B8B" w:rsidRDefault="00221B8B" w:rsidP="00963F9C">
      <w:r>
        <w:t xml:space="preserve">Eligible patients had histologically-confirmed metastatic and/or </w:t>
      </w:r>
      <w:proofErr w:type="spellStart"/>
      <w:r>
        <w:t>unresectable</w:t>
      </w:r>
      <w:proofErr w:type="spellEnd"/>
      <w:r>
        <w:t xml:space="preserve"> GIST with progression while receiving </w:t>
      </w:r>
      <w:proofErr w:type="spellStart"/>
      <w:r>
        <w:t>imatinib</w:t>
      </w:r>
      <w:proofErr w:type="spellEnd"/>
      <w:r>
        <w:t xml:space="preserve">, or intolerance to </w:t>
      </w:r>
      <w:proofErr w:type="spellStart"/>
      <w:r>
        <w:t>imatinib</w:t>
      </w:r>
      <w:proofErr w:type="spellEnd"/>
      <w:r>
        <w:t xml:space="preserve">, and prior failure of </w:t>
      </w:r>
      <w:proofErr w:type="spellStart"/>
      <w:r>
        <w:t>sunitinib</w:t>
      </w:r>
      <w:proofErr w:type="spellEnd"/>
      <w:r>
        <w:t xml:space="preserve"> due to disease progression. Patients included were</w:t>
      </w:r>
      <w:r w:rsidR="002E6A45">
        <w:t xml:space="preserve"> ≥ </w:t>
      </w:r>
      <w:r>
        <w:t xml:space="preserve">18 years of age, had adequate organ and bone marrow function, and had an ECOG PS of 0 or 1. Exclusion criteria included (amongst others) previous treatment with </w:t>
      </w:r>
      <w:proofErr w:type="spellStart"/>
      <w:r>
        <w:t>sorafenib</w:t>
      </w:r>
      <w:proofErr w:type="spellEnd"/>
      <w:r>
        <w:t xml:space="preserve"> and clinically significant cardiac disease.</w:t>
      </w:r>
    </w:p>
    <w:p w:rsidR="00221B8B" w:rsidRDefault="00221B8B" w:rsidP="00963F9C">
      <w:r>
        <w:t xml:space="preserve">Of 34 patients enrolled in this study, 33 were eligible for participation, received at least one dose of </w:t>
      </w:r>
      <w:proofErr w:type="spellStart"/>
      <w:r>
        <w:t>regorafenib</w:t>
      </w:r>
      <w:proofErr w:type="spellEnd"/>
      <w:r>
        <w:t xml:space="preserve">, and were evaluable for efficacy and safety. Patients remained on treatment until documentation of PD, development of unacceptable toxicity or decision to withdraw from the study. Tumour assessments were performed at the end of </w:t>
      </w:r>
      <w:proofErr w:type="spellStart"/>
      <w:r>
        <w:t>regorafenib</w:t>
      </w:r>
      <w:proofErr w:type="spellEnd"/>
      <w:r>
        <w:t xml:space="preserve"> dosing (day 21) after every two cycles, </w:t>
      </w:r>
      <w:r w:rsidR="002E6A45">
        <w:t>that is,</w:t>
      </w:r>
      <w:r>
        <w:t xml:space="preserve"> every 8 weeks.</w:t>
      </w:r>
    </w:p>
    <w:p w:rsidR="00221B8B" w:rsidRDefault="00221B8B" w:rsidP="00963F9C">
      <w:pPr>
        <w:ind w:left="1134" w:hanging="1134"/>
      </w:pPr>
      <w:r w:rsidRPr="002E6A45">
        <w:rPr>
          <w:b/>
        </w:rPr>
        <w:lastRenderedPageBreak/>
        <w:t>Comment</w:t>
      </w:r>
      <w:r>
        <w:t>:</w:t>
      </w:r>
      <w:r w:rsidR="00963F9C">
        <w:tab/>
      </w:r>
      <w:r>
        <w:t>The timing of tumour assessments at 8 weekly intervals in this study (compared to 4 weekly in the pivotal Study 14874) will have the effect of prolonging the apparent time to progression if the progression time is taken as the time of tumour assessment imaging, although this was not specified in the published paper. In addition, the method of assessment (central or investigator) was not specified, but is assumed to be the latter. In this case, the effect of investigator assessments could be to prolong the time to progression, as was seen in the pivotal trial, where the investigators assessments of PFS were consistently longer than that of central assessment.</w:t>
      </w:r>
    </w:p>
    <w:p w:rsidR="00221B8B" w:rsidRDefault="00221B8B" w:rsidP="00963F9C">
      <w:r>
        <w:t xml:space="preserve">The primary endpoint was Clinical benefit rate (CBR), defined as the proportion of patients with a best overall tumour response of PR or CR according to RECIST version 1.1 plus patients with a best overall response of stable disease maintained for a minimum of 16 weeks. A one-stage design with 34 patients was used to distinguish a favourable true CBR of 28% from a null rate of 10% with 90% power and 8% type I error. Secondary endpoints were ORR, PFS, OS, PK, biomarkers, and safety and tolerability of </w:t>
      </w:r>
      <w:proofErr w:type="spellStart"/>
      <w:r>
        <w:t>regorafenib</w:t>
      </w:r>
      <w:proofErr w:type="spellEnd"/>
      <w:r>
        <w:t>.</w:t>
      </w:r>
    </w:p>
    <w:p w:rsidR="00221B8B" w:rsidRDefault="00221B8B" w:rsidP="00963F9C">
      <w:r>
        <w:t xml:space="preserve">As the sponsor stated in the Clinical Overview, due to different study designs, no direct comparison of this study with pivotal </w:t>
      </w:r>
      <w:r w:rsidR="004338FD">
        <w:t>Study 14</w:t>
      </w:r>
      <w:r>
        <w:t>935 was possible.</w:t>
      </w:r>
    </w:p>
    <w:p w:rsidR="00221B8B" w:rsidRDefault="00221B8B" w:rsidP="00963F9C">
      <w:pPr>
        <w:ind w:left="1134" w:hanging="1134"/>
      </w:pPr>
      <w:r w:rsidRPr="002E6A45">
        <w:rPr>
          <w:b/>
        </w:rPr>
        <w:t>Comment</w:t>
      </w:r>
      <w:r>
        <w:t>:</w:t>
      </w:r>
      <w:r w:rsidR="00963F9C">
        <w:tab/>
      </w:r>
      <w:r>
        <w:t xml:space="preserve">The definition CBR as used in this study differs from disease control rate (DCR) as defined in the pivotal </w:t>
      </w:r>
      <w:r w:rsidR="004338FD">
        <w:t>Study 14</w:t>
      </w:r>
      <w:r>
        <w:t>874, in that for CBR stable disease had to be maintained for 16 weeks compared to 12 weeks for DCR. This difference in definitions means that, as stated by the sponsor, the outcomes of the two studies cannot directly be compared.</w:t>
      </w:r>
    </w:p>
    <w:p w:rsidR="00221B8B" w:rsidRDefault="00221B8B" w:rsidP="00963F9C">
      <w:r>
        <w:t xml:space="preserve">Baseline characteristics of the study group were 19/33 (58%) male, median age 56, and 23/33 (70%) had an ECOG PS of 0 and 30% of 1. The median tome receiving first-line </w:t>
      </w:r>
      <w:proofErr w:type="spellStart"/>
      <w:r>
        <w:t>imatinib</w:t>
      </w:r>
      <w:proofErr w:type="spellEnd"/>
      <w:r>
        <w:t xml:space="preserve"> was 21 months, and the median time receiving </w:t>
      </w:r>
      <w:proofErr w:type="spellStart"/>
      <w:r>
        <w:t>sunitinib</w:t>
      </w:r>
      <w:proofErr w:type="spellEnd"/>
      <w:r>
        <w:t xml:space="preserve"> was 13 months. Of the 30 patients who had mutational status available, 19 (63%) had KIT Exon 11 mutation, 3 (10%) had Exon 9 mutation, and 8 (27%) had WT for KIT and PDGFRα. One of the latter WT patients had BRAF of Exon 15.</w:t>
      </w:r>
    </w:p>
    <w:p w:rsidR="00221B8B" w:rsidRDefault="00221B8B" w:rsidP="00963F9C">
      <w:r>
        <w:t xml:space="preserve">Of 33 patients who were assigned to and received treatment with </w:t>
      </w:r>
      <w:proofErr w:type="spellStart"/>
      <w:r>
        <w:t>regorafenib</w:t>
      </w:r>
      <w:proofErr w:type="spellEnd"/>
      <w:r>
        <w:t xml:space="preserve">, after a median follow-up of 10.9 months, 21 patients continued to receive </w:t>
      </w:r>
      <w:proofErr w:type="spellStart"/>
      <w:r>
        <w:t>regorafenib</w:t>
      </w:r>
      <w:proofErr w:type="spellEnd"/>
      <w:r>
        <w:t xml:space="preserve">, of whom 16 also remained progression-free. Five further patients continued to receive </w:t>
      </w:r>
      <w:proofErr w:type="spellStart"/>
      <w:r>
        <w:t>regorafenib</w:t>
      </w:r>
      <w:proofErr w:type="spellEnd"/>
      <w:r>
        <w:t xml:space="preserve"> after assessment of disease progression because of investigator-assessed continued benefit. 12 patients discontinued study drug (6 due to disease progression, 3 due to clinical progression, and 1 each for inter-current illness, patient choice and an adverse event).</w:t>
      </w:r>
    </w:p>
    <w:p w:rsidR="00221B8B" w:rsidRDefault="00221B8B" w:rsidP="00963F9C">
      <w:r>
        <w:t>Clinical benefit (</w:t>
      </w:r>
      <w:r w:rsidR="002E6A45">
        <w:t>that is,</w:t>
      </w:r>
      <w:r>
        <w:t xml:space="preserve"> CR, PR, or stable disease maintained for at least 16 weeks) was observed in 26 of 33 patients (79%; 95% CI: 61%, 91%). Overall, no patients had a CR, 4 (12%) patients had a PR, 22 (67%) patients had stable disease for </w:t>
      </w:r>
      <w:r>
        <w:rPr>
          <w:rFonts w:hint="eastAsia"/>
        </w:rPr>
        <w:t>≥</w:t>
      </w:r>
      <w:r>
        <w:t xml:space="preserve">16 weeks, 4 (12%) patients had stable disease for </w:t>
      </w:r>
      <w:r>
        <w:rPr>
          <w:rFonts w:hint="eastAsia"/>
        </w:rPr>
        <w:t>≤</w:t>
      </w:r>
      <w:r>
        <w:t>16 weeks, 2 (6%) patients had progressive disease, and 1 (3%) patient was not evaluable due to withdrawal from the study.</w:t>
      </w:r>
    </w:p>
    <w:p w:rsidR="00221B8B" w:rsidRDefault="00221B8B" w:rsidP="00963F9C">
      <w:r>
        <w:t>Median PFS in this study was 10.0 months (95% CI: 8.3, 14.9 months). As of the data cut-off date of 28 Jul 2011, 6 of 33 patients in this study had died. As a result, median OS has not yet been determined.</w:t>
      </w:r>
    </w:p>
    <w:p w:rsidR="00221B8B" w:rsidRDefault="00221B8B" w:rsidP="00963F9C">
      <w:pPr>
        <w:ind w:left="1134" w:hanging="1134"/>
      </w:pPr>
      <w:r w:rsidRPr="002E6A45">
        <w:rPr>
          <w:b/>
        </w:rPr>
        <w:t>Comment</w:t>
      </w:r>
      <w:r>
        <w:t>:</w:t>
      </w:r>
      <w:r>
        <w:tab/>
        <w:t xml:space="preserve">The results of this </w:t>
      </w:r>
      <w:r w:rsidR="004338FD">
        <w:t>Study 14</w:t>
      </w:r>
      <w:r>
        <w:t xml:space="preserve">935 are consistent with those of pivotal </w:t>
      </w:r>
      <w:r w:rsidR="004338FD">
        <w:t>Study 14</w:t>
      </w:r>
      <w:r>
        <w:t>874. As stated by the sponsor, no direct comparison of the study results can be made due to differing study designs. However, comparisons in endpoints can be made between the two studies to assess for consistency of results.</w:t>
      </w:r>
    </w:p>
    <w:p w:rsidR="00221B8B" w:rsidRDefault="00221B8B" w:rsidP="00963F9C">
      <w:pPr>
        <w:ind w:left="1134"/>
      </w:pPr>
      <w:r>
        <w:t xml:space="preserve">The primary endpoint of CBR (best overall tumour response of PR or CR plus patients with stable disease of at least 16 weeks) of 79% (95% CI: 61%, 91%) compares with the DCR (best overall tumour response of PR or CR plus patients with stable disease of at least 12 weeks) of 52.6% (95% CI: 43.8, 61.3) in the </w:t>
      </w:r>
      <w:proofErr w:type="spellStart"/>
      <w:r>
        <w:lastRenderedPageBreak/>
        <w:t>regorafenib</w:t>
      </w:r>
      <w:proofErr w:type="spellEnd"/>
      <w:r>
        <w:t xml:space="preserve"> group of pivotal </w:t>
      </w:r>
      <w:r w:rsidR="004338FD">
        <w:t>Study 14</w:t>
      </w:r>
      <w:r>
        <w:t xml:space="preserve">874. In addition, the median PFS in this study of 10.0 months (95% CI: 8.3 - 14.9) compares with the median PFS in the </w:t>
      </w:r>
      <w:proofErr w:type="spellStart"/>
      <w:r>
        <w:t>regorafenib</w:t>
      </w:r>
      <w:proofErr w:type="spellEnd"/>
      <w:r>
        <w:t xml:space="preserve"> arm of pivotal </w:t>
      </w:r>
      <w:proofErr w:type="gramStart"/>
      <w:r w:rsidR="004338FD">
        <w:t xml:space="preserve">Study </w:t>
      </w:r>
      <w:r>
        <w:t xml:space="preserve"> </w:t>
      </w:r>
      <w:r w:rsidR="0033594E">
        <w:t>14874</w:t>
      </w:r>
      <w:proofErr w:type="gramEnd"/>
      <w:r w:rsidR="0033594E">
        <w:t xml:space="preserve"> </w:t>
      </w:r>
      <w:r>
        <w:t>of 4.8 months (95% CI: 4.0 - 5.7).</w:t>
      </w:r>
    </w:p>
    <w:p w:rsidR="00221B8B" w:rsidRDefault="00221B8B" w:rsidP="00963F9C">
      <w:pPr>
        <w:ind w:left="1134"/>
      </w:pPr>
      <w:r>
        <w:t xml:space="preserve">It is noted that the magnitude of the effect of </w:t>
      </w:r>
      <w:proofErr w:type="spellStart"/>
      <w:r>
        <w:t>regorafenib</w:t>
      </w:r>
      <w:proofErr w:type="spellEnd"/>
      <w:r>
        <w:t xml:space="preserve"> on CBR and PFS appears greater in Study 14935 compared to DCR and PFS in pivotal Study 14874. Reasons for this apparent increase in efficacy could be as discussed above, namely the longer time periods between tumour assessments in this </w:t>
      </w:r>
      <w:r w:rsidR="004338FD">
        <w:t>Study 14</w:t>
      </w:r>
      <w:r>
        <w:t>935 and the fact that investigator assessments rather than blinded central assessments were used, both of which have the effect of lengthening the calculated time to progression.</w:t>
      </w:r>
    </w:p>
    <w:p w:rsidR="00221B8B" w:rsidRDefault="00221B8B" w:rsidP="00963F9C">
      <w:pPr>
        <w:ind w:left="1134"/>
      </w:pPr>
      <w:r>
        <w:t xml:space="preserve">It is noted however, that there are similarities between this study and pivotal </w:t>
      </w:r>
      <w:r w:rsidR="004338FD">
        <w:t>Study 14</w:t>
      </w:r>
      <w:r>
        <w:t xml:space="preserve">874. These include similar underlying population demographics and past treatment regimens (failure of 2 prior TKIs), as well as a similar </w:t>
      </w:r>
      <w:proofErr w:type="spellStart"/>
      <w:r>
        <w:t>regorafenib</w:t>
      </w:r>
      <w:proofErr w:type="spellEnd"/>
      <w:r>
        <w:t xml:space="preserve"> dosing regimen.</w:t>
      </w:r>
    </w:p>
    <w:p w:rsidR="00221B8B" w:rsidRDefault="00221B8B" w:rsidP="00963F9C">
      <w:pPr>
        <w:ind w:left="1134"/>
      </w:pPr>
      <w:r>
        <w:t xml:space="preserve">Therefore, it can be concluded that although the results of Study 14935 cannot be directly compared with the results of the pivotal </w:t>
      </w:r>
      <w:r w:rsidR="004338FD">
        <w:t>Study 14</w:t>
      </w:r>
      <w:r>
        <w:t>874, there are similarities in the study designs. The clinical benefit calculated in the two studies is in the same direction and Study 14935 can therefore be considered supportive to the pivotal trial.</w:t>
      </w:r>
    </w:p>
    <w:p w:rsidR="00221B8B" w:rsidRDefault="00221B8B" w:rsidP="00963F9C">
      <w:r>
        <w:t xml:space="preserve">Subgroup analysis by tumour genotype found the KM estimate of PFS after pairwise comparisons showed a significantly longer PFS for patients with KIT Exon 11 mutations compared to KIT Exon 9 mutations, although both groups showed protocol-defined clinical benefit. However, as there were only 3 patients with KIT Exon 9 mutations, results need to be interpreted with caution. The PFS for patients with WT GIST was intermediate between the above two groups. It was noted that one patient with GIST containing BRAF exon 15 mutation exhibited rapid disease progression despite </w:t>
      </w:r>
      <w:proofErr w:type="spellStart"/>
      <w:r>
        <w:t>regorafenib</w:t>
      </w:r>
      <w:proofErr w:type="spellEnd"/>
      <w:r>
        <w:t xml:space="preserve"> administration.</w:t>
      </w:r>
    </w:p>
    <w:p w:rsidR="00221B8B" w:rsidRDefault="00221B8B" w:rsidP="00963F9C">
      <w:pPr>
        <w:ind w:left="1134" w:hanging="1134"/>
      </w:pPr>
      <w:r w:rsidRPr="002E6A45">
        <w:rPr>
          <w:b/>
        </w:rPr>
        <w:t>Comment</w:t>
      </w:r>
      <w:r>
        <w:t>:</w:t>
      </w:r>
      <w:r w:rsidR="00963F9C">
        <w:tab/>
      </w:r>
      <w:r>
        <w:t xml:space="preserve">The rapid progression of the patient with BRAF mutation again questions the efficacy of </w:t>
      </w:r>
      <w:proofErr w:type="spellStart"/>
      <w:r>
        <w:t>regorafenib</w:t>
      </w:r>
      <w:proofErr w:type="spellEnd"/>
      <w:r>
        <w:t xml:space="preserve"> in patients with these mutations. Further research is warranted to better elucidate the risk benefit equation of treatment of these patients with </w:t>
      </w:r>
      <w:proofErr w:type="spellStart"/>
      <w:r>
        <w:t>regorafenib</w:t>
      </w:r>
      <w:proofErr w:type="spellEnd"/>
      <w:r>
        <w:t>.</w:t>
      </w:r>
    </w:p>
    <w:p w:rsidR="00221B8B" w:rsidRDefault="00221B8B" w:rsidP="00963F9C">
      <w:pPr>
        <w:pStyle w:val="Heading3"/>
      </w:pPr>
      <w:bookmarkStart w:id="161" w:name="_Toc393799371"/>
      <w:bookmarkStart w:id="162" w:name="_Ref390243954"/>
      <w:bookmarkStart w:id="163" w:name="_Ref390243941"/>
      <w:bookmarkStart w:id="164" w:name="_Ref387846143"/>
      <w:bookmarkStart w:id="165" w:name="_Toc290846281"/>
      <w:bookmarkStart w:id="166" w:name="_Toc272414656"/>
      <w:bookmarkStart w:id="167" w:name="_Toc241374312"/>
      <w:bookmarkStart w:id="168" w:name="_Toc436128346"/>
      <w:r w:rsidRPr="00963F9C">
        <w:t>Analyses</w:t>
      </w:r>
      <w:r>
        <w:t xml:space="preserve"> performed across trials (pooled analyses and meta-analyses)</w:t>
      </w:r>
      <w:bookmarkEnd w:id="161"/>
      <w:bookmarkEnd w:id="162"/>
      <w:bookmarkEnd w:id="163"/>
      <w:bookmarkEnd w:id="164"/>
      <w:bookmarkEnd w:id="165"/>
      <w:bookmarkEnd w:id="166"/>
      <w:bookmarkEnd w:id="167"/>
      <w:bookmarkEnd w:id="168"/>
    </w:p>
    <w:p w:rsidR="00221B8B" w:rsidRPr="002E6A45" w:rsidRDefault="00221B8B" w:rsidP="00963F9C">
      <w:pPr>
        <w:pStyle w:val="Heading4"/>
      </w:pPr>
      <w:proofErr w:type="gramStart"/>
      <w:r w:rsidRPr="002E6A45">
        <w:t xml:space="preserve">R-8737 (14653) Exposure-response analysis of </w:t>
      </w:r>
      <w:proofErr w:type="spellStart"/>
      <w:r w:rsidRPr="002E6A45">
        <w:t>regorafenib</w:t>
      </w:r>
      <w:proofErr w:type="spellEnd"/>
      <w:r w:rsidRPr="002E6A45">
        <w:t xml:space="preserve"> in </w:t>
      </w:r>
      <w:r w:rsidR="00951EF6" w:rsidRPr="002E6A45">
        <w:t>Phase I</w:t>
      </w:r>
      <w:r w:rsidRPr="002E6A45">
        <w:t xml:space="preserve">II </w:t>
      </w:r>
      <w:r w:rsidR="00951EF6" w:rsidRPr="002E6A45">
        <w:t>Study 143</w:t>
      </w:r>
      <w:r w:rsidR="002E6A45" w:rsidRPr="002E6A45">
        <w:t>87</w:t>
      </w:r>
      <w:r w:rsidRPr="002E6A45">
        <w:t>.</w:t>
      </w:r>
      <w:proofErr w:type="gramEnd"/>
    </w:p>
    <w:p w:rsidR="00221B8B" w:rsidRDefault="00221B8B" w:rsidP="00963F9C">
      <w:r>
        <w:t xml:space="preserve">In this analysis an exposure-response analysis for Phase III </w:t>
      </w:r>
      <w:r w:rsidR="00951EF6">
        <w:t>Study 143</w:t>
      </w:r>
      <w:r>
        <w:t xml:space="preserve">87 was performed, linking individual exposure estimates to the primary and secondary efficacy endpoints and to tumour dynamics. Exposure estimates were taken from the population PK study R-8731 (14653). The planned exposure-response analysis was influenced by a bias due to increased chance of dose reduction or dose interruption for longer treatment duration, resulting in lower average concentrations over the treatment period for patients with longer treatment duration. The duration of treatment was longer in patients with complete, partial response or stable disease resulting in a lower average concentration for this group. When the analysis was corrected for this bias, no evidence was found for an exposure-response relationship with </w:t>
      </w:r>
      <w:proofErr w:type="spellStart"/>
      <w:r>
        <w:t>regorafenib</w:t>
      </w:r>
      <w:proofErr w:type="spellEnd"/>
      <w:r>
        <w:t>.</w:t>
      </w:r>
    </w:p>
    <w:p w:rsidR="00221B8B" w:rsidRDefault="00221B8B" w:rsidP="00963F9C">
      <w:pPr>
        <w:ind w:left="1134" w:hanging="1134"/>
      </w:pPr>
      <w:r w:rsidRPr="002E6A45">
        <w:rPr>
          <w:b/>
        </w:rPr>
        <w:t>Comment</w:t>
      </w:r>
      <w:r>
        <w:t>:</w:t>
      </w:r>
      <w:r w:rsidR="00963F9C">
        <w:tab/>
      </w:r>
      <w:r>
        <w:t>The above report was not fully evaluated, as the response outcome measure was treatment efficacy in patients with metastatic CRC, which is not relevant to the proposed new indication. Moreover, this was an exploratory efficacy analysis based on the pop PK modelling, and no new safety data was presented.</w:t>
      </w:r>
    </w:p>
    <w:p w:rsidR="00221B8B" w:rsidRPr="00FF00BC" w:rsidRDefault="00221B8B" w:rsidP="00963F9C">
      <w:pPr>
        <w:pStyle w:val="Heading4"/>
      </w:pPr>
      <w:r w:rsidRPr="00FF00BC">
        <w:lastRenderedPageBreak/>
        <w:t xml:space="preserve">R-8813 (16282) Exposure-response analysis of </w:t>
      </w:r>
      <w:proofErr w:type="spellStart"/>
      <w:r w:rsidRPr="00FF00BC">
        <w:t>regorafenib</w:t>
      </w:r>
      <w:proofErr w:type="spellEnd"/>
      <w:r w:rsidRPr="00FF00BC">
        <w:t xml:space="preserve"> in </w:t>
      </w:r>
      <w:r w:rsidR="00951EF6" w:rsidRPr="00FF00BC">
        <w:t>Phase I</w:t>
      </w:r>
      <w:r w:rsidRPr="00FF00BC">
        <w:t xml:space="preserve">II GRID </w:t>
      </w:r>
      <w:r w:rsidR="004338FD" w:rsidRPr="00FF00BC">
        <w:t>Study 14</w:t>
      </w:r>
      <w:r w:rsidR="00FF00BC">
        <w:t>874</w:t>
      </w:r>
    </w:p>
    <w:p w:rsidR="00221B8B" w:rsidRDefault="00221B8B" w:rsidP="00963F9C">
      <w:r>
        <w:t xml:space="preserve">The goal of the first part of this analysis was to describe the exposure-response relationships of </w:t>
      </w:r>
      <w:proofErr w:type="spellStart"/>
      <w:r>
        <w:t>regorafenib</w:t>
      </w:r>
      <w:proofErr w:type="spellEnd"/>
      <w:r>
        <w:t xml:space="preserve"> and its active metabolites in patients of </w:t>
      </w:r>
      <w:r w:rsidR="004338FD">
        <w:t>Study 14</w:t>
      </w:r>
      <w:r>
        <w:t xml:space="preserve">874 with regard to the primary efficacy parameter PFS, and the secondary efficacy parameters OS and Objective Disease Control (ODC). The primary exposure parameter was the population PK model derived average concentration over a 24 h dosing interval after 21 daily doses of 160 mg </w:t>
      </w:r>
      <w:proofErr w:type="spellStart"/>
      <w:r>
        <w:t>regorafenib</w:t>
      </w:r>
      <w:proofErr w:type="spellEnd"/>
      <w:r>
        <w:t xml:space="preserve"> (</w:t>
      </w:r>
      <w:proofErr w:type="spellStart"/>
      <w:r>
        <w:t>Cav</w:t>
      </w:r>
      <w:r>
        <w:rPr>
          <w:rFonts w:ascii="CMR7" w:hAnsi="CMR7" w:cs="CMR7"/>
          <w:sz w:val="14"/>
          <w:szCs w:val="14"/>
        </w:rPr>
        <w:t>md</w:t>
      </w:r>
      <w:proofErr w:type="spellEnd"/>
      <w:r>
        <w:t>). It was concluded that PFS was not significantly influenced by any of the exposure measures or covariates. A highly tentative conclusion was drawn that OS was longer for patients with higher average total concentration (</w:t>
      </w:r>
      <w:proofErr w:type="spellStart"/>
      <w:r>
        <w:t>Cav</w:t>
      </w:r>
      <w:r>
        <w:rPr>
          <w:rFonts w:ascii="CMR7" w:hAnsi="CMR7" w:cs="CMR7"/>
          <w:sz w:val="14"/>
          <w:szCs w:val="14"/>
        </w:rPr>
        <w:t>md</w:t>
      </w:r>
      <w:proofErr w:type="spellEnd"/>
      <w:r>
        <w:rPr>
          <w:rFonts w:ascii="CMR7" w:hAnsi="CMR7" w:cs="CMR7"/>
          <w:sz w:val="14"/>
          <w:szCs w:val="14"/>
        </w:rPr>
        <w:t xml:space="preserve"> </w:t>
      </w:r>
      <w:r>
        <w:t xml:space="preserve">of </w:t>
      </w:r>
      <w:proofErr w:type="spellStart"/>
      <w:r>
        <w:t>regorafenib</w:t>
      </w:r>
      <w:proofErr w:type="spellEnd"/>
      <w:r>
        <w:t>, M2 and M5) and smaller baseline sum of tumour diameters. None of the exposure measures or covariates had a significant influence on the proportion of subjects with ODC.</w:t>
      </w:r>
    </w:p>
    <w:p w:rsidR="00221B8B" w:rsidRDefault="00221B8B" w:rsidP="00963F9C">
      <w:r>
        <w:t xml:space="preserve">The goal of the second part of this analysis was to describe the exposure-response relationship of </w:t>
      </w:r>
      <w:proofErr w:type="spellStart"/>
      <w:r>
        <w:t>regorafenib</w:t>
      </w:r>
      <w:proofErr w:type="spellEnd"/>
      <w:r>
        <w:t xml:space="preserve"> with the tumour dynamics in patients of </w:t>
      </w:r>
      <w:r w:rsidR="004338FD">
        <w:t>Study 14</w:t>
      </w:r>
      <w:r>
        <w:t xml:space="preserve">874. It was found that the tumour shrinking effect of </w:t>
      </w:r>
      <w:proofErr w:type="spellStart"/>
      <w:r>
        <w:t>regorafenib</w:t>
      </w:r>
      <w:proofErr w:type="spellEnd"/>
      <w:r>
        <w:t xml:space="preserve"> diminished over time; </w:t>
      </w:r>
      <w:proofErr w:type="spellStart"/>
      <w:r>
        <w:t>regorafenib</w:t>
      </w:r>
      <w:proofErr w:type="spellEnd"/>
      <w:r>
        <w:t xml:space="preserve"> treatment typically caused initial tumour shrinkage; the effect of the drug was exposure-independent over the exposure range observed in these patients; and none of the tested covariate effects had a significant effect.</w:t>
      </w:r>
    </w:p>
    <w:p w:rsidR="00221B8B" w:rsidRDefault="00221B8B" w:rsidP="00963F9C">
      <w:pPr>
        <w:ind w:left="1134" w:hanging="1134"/>
      </w:pPr>
      <w:r w:rsidRPr="00FF00BC">
        <w:rPr>
          <w:b/>
        </w:rPr>
        <w:t>Comment</w:t>
      </w:r>
      <w:r>
        <w:t>:</w:t>
      </w:r>
      <w:r w:rsidR="00963F9C">
        <w:tab/>
      </w:r>
      <w:r>
        <w:t xml:space="preserve">The above exploratory analysis was not fully evaluated, as this was not a primary objective of </w:t>
      </w:r>
      <w:r w:rsidR="004338FD">
        <w:t>Study 14</w:t>
      </w:r>
      <w:r>
        <w:t>874 or the population PK analysis.</w:t>
      </w:r>
    </w:p>
    <w:p w:rsidR="00FF00BC" w:rsidRDefault="00221B8B" w:rsidP="00963F9C">
      <w:pPr>
        <w:pStyle w:val="Heading3"/>
      </w:pPr>
      <w:bookmarkStart w:id="169" w:name="_Toc290846282"/>
      <w:bookmarkStart w:id="170" w:name="_Toc272414657"/>
      <w:bookmarkStart w:id="171" w:name="_Ref271126605"/>
      <w:bookmarkStart w:id="172" w:name="_Toc393799372"/>
      <w:bookmarkStart w:id="173" w:name="_Toc436128347"/>
      <w:r>
        <w:t xml:space="preserve">Evaluator’s </w:t>
      </w:r>
      <w:r w:rsidRPr="00963F9C">
        <w:t>conclusions</w:t>
      </w:r>
      <w:r>
        <w:t xml:space="preserve"> on clinical efficacy</w:t>
      </w:r>
      <w:bookmarkEnd w:id="173"/>
    </w:p>
    <w:p w:rsidR="00221B8B" w:rsidRPr="005D583A" w:rsidRDefault="00FF00BC" w:rsidP="005D583A">
      <w:pPr>
        <w:rPr>
          <w:b/>
          <w:i/>
        </w:rPr>
      </w:pPr>
      <w:r w:rsidRPr="005D583A">
        <w:rPr>
          <w:b/>
          <w:i/>
        </w:rPr>
        <w:t>F</w:t>
      </w:r>
      <w:r w:rsidR="00221B8B" w:rsidRPr="005D583A">
        <w:rPr>
          <w:b/>
          <w:i/>
        </w:rPr>
        <w:t xml:space="preserve">or </w:t>
      </w:r>
      <w:bookmarkEnd w:id="169"/>
      <w:bookmarkEnd w:id="170"/>
      <w:bookmarkEnd w:id="171"/>
      <w:r w:rsidR="00221B8B" w:rsidRPr="005D583A">
        <w:rPr>
          <w:b/>
          <w:i/>
        </w:rPr>
        <w:t>treatment of patients with gastrointestinal stromal tumours (GIST) who have been previously treated with two tyrosine kinase inhibitors</w:t>
      </w:r>
      <w:bookmarkEnd w:id="172"/>
    </w:p>
    <w:p w:rsidR="00221B8B" w:rsidRDefault="00221B8B" w:rsidP="005D583A">
      <w:pPr>
        <w:pStyle w:val="Heading4"/>
      </w:pPr>
      <w:r>
        <w:t xml:space="preserve">Pivotal </w:t>
      </w:r>
      <w:r w:rsidR="005D583A" w:rsidRPr="005D583A">
        <w:t>s</w:t>
      </w:r>
      <w:r w:rsidRPr="005D583A">
        <w:t>tudy</w:t>
      </w:r>
      <w:r>
        <w:t xml:space="preserve"> 14874</w:t>
      </w:r>
    </w:p>
    <w:p w:rsidR="00221B8B" w:rsidRDefault="00221B8B" w:rsidP="005D583A">
      <w:r>
        <w:t>This was a generally well conducted study. The primary outcome of centrally assessed PFS is acceptable, with OS assessed as a secondary outcome. Queries related to the handling of missing data have been posed as questions to the sponsor.</w:t>
      </w:r>
    </w:p>
    <w:p w:rsidR="00221B8B" w:rsidRDefault="00221B8B" w:rsidP="005D583A">
      <w:r>
        <w:t xml:space="preserve">For the primary outcome of PFS after a pre-specified 144 events, there was a statistically and clinically significant beneficial effect of </w:t>
      </w:r>
      <w:proofErr w:type="spellStart"/>
      <w:r>
        <w:t>regorafenib</w:t>
      </w:r>
      <w:proofErr w:type="spellEnd"/>
      <w:r>
        <w:t xml:space="preserve"> treatment of </w:t>
      </w:r>
      <w:r>
        <w:rPr>
          <w:rFonts w:eastAsia="TimesNewRoman"/>
        </w:rPr>
        <w:t>4.8 months (95% CI: 4.0-5.7)</w:t>
      </w:r>
      <w:r>
        <w:t xml:space="preserve"> over placebo of 0.9 months (95% CI: 0.9, 1.1), with a HR of </w:t>
      </w:r>
      <w:r>
        <w:rPr>
          <w:rFonts w:eastAsia="TimesNewRoman"/>
        </w:rPr>
        <w:t>0.268 (95%CI 0.185, 0.388, p&lt;0.000001). This result was supported by secondary and subgroup analyses, and the magnitude of this effect is sufficient that some</w:t>
      </w:r>
      <w:r>
        <w:t xml:space="preserve"> differences in the baseline disease characteristics between the placebo and </w:t>
      </w:r>
      <w:proofErr w:type="spellStart"/>
      <w:r>
        <w:t>regorafenib</w:t>
      </w:r>
      <w:proofErr w:type="spellEnd"/>
      <w:r>
        <w:t xml:space="preserve"> patient groups are not likely to significantly impact on the results.</w:t>
      </w:r>
    </w:p>
    <w:p w:rsidR="00221B8B" w:rsidRDefault="00221B8B" w:rsidP="005D583A">
      <w:r>
        <w:t xml:space="preserve">The immaturity of OS data means that no definitive conclusions can be drawn on the effect of </w:t>
      </w:r>
      <w:proofErr w:type="spellStart"/>
      <w:r>
        <w:t>regorafenib</w:t>
      </w:r>
      <w:proofErr w:type="spellEnd"/>
      <w:r>
        <w:t xml:space="preserve"> treatment on OS compared to placebo, although a beneficial effect of </w:t>
      </w:r>
      <w:proofErr w:type="spellStart"/>
      <w:r>
        <w:t>regorafenib</w:t>
      </w:r>
      <w:proofErr w:type="spellEnd"/>
      <w:r>
        <w:t xml:space="preserve"> was suggested with a HR of 0.772 (95% CI: 0.423, 1.408). Analysis of further OS data as it becomes available would be beneficial and is recommended. However, the ability of subjects randomised to the placebo group to cross over to </w:t>
      </w:r>
      <w:proofErr w:type="spellStart"/>
      <w:r>
        <w:t>regorafenib</w:t>
      </w:r>
      <w:proofErr w:type="spellEnd"/>
      <w:r>
        <w:t xml:space="preserve"> treatment on disease progression means that the true OS benefit attributable to </w:t>
      </w:r>
      <w:proofErr w:type="spellStart"/>
      <w:r>
        <w:t>regorafenib</w:t>
      </w:r>
      <w:proofErr w:type="spellEnd"/>
      <w:r>
        <w:t xml:space="preserve"> will be difficult to estimate.</w:t>
      </w:r>
    </w:p>
    <w:p w:rsidR="00221B8B" w:rsidRDefault="00221B8B" w:rsidP="005D583A">
      <w:r>
        <w:t xml:space="preserve">Analysis of other secondary efficacy outcomes including TTP, ORR, DCR and duration of response supported the benefit shown in PFS in the primary analysis of </w:t>
      </w:r>
      <w:proofErr w:type="spellStart"/>
      <w:r>
        <w:t>regorafenib</w:t>
      </w:r>
      <w:proofErr w:type="spellEnd"/>
      <w:r>
        <w:t xml:space="preserve"> over placebo.</w:t>
      </w:r>
    </w:p>
    <w:p w:rsidR="00221B8B" w:rsidRDefault="00221B8B" w:rsidP="005D583A">
      <w:r>
        <w:t xml:space="preserve">However, there was no demonstrated benefit of </w:t>
      </w:r>
      <w:proofErr w:type="spellStart"/>
      <w:r>
        <w:t>regorafenib</w:t>
      </w:r>
      <w:proofErr w:type="spellEnd"/>
      <w:r>
        <w:t xml:space="preserve"> in terms of Quality of Life compared to placebo, but rather a clinically meaningful decrease in role functioning was observed.</w:t>
      </w:r>
    </w:p>
    <w:p w:rsidR="00221B8B" w:rsidRDefault="00221B8B" w:rsidP="005D583A">
      <w:r>
        <w:lastRenderedPageBreak/>
        <w:t>Overall, the use of one pivotal study in this submission appears acceptable. The study was satisfactorily conducted to ensure internal validity (randomisation and use of centrally blinded assessments); external validity (subjects were representative of the target group); the results were clinically relevant and statistically significant (large gains in PFS compared to placebo); data quality was good and internally consistent across subgroups and endpoints; and there were multiple centres involved across many countries representing the likely target population.</w:t>
      </w:r>
    </w:p>
    <w:p w:rsidR="00221B8B" w:rsidRDefault="00221B8B" w:rsidP="005D583A">
      <w:pPr>
        <w:pStyle w:val="Heading4"/>
      </w:pPr>
      <w:r>
        <w:t xml:space="preserve">Supportive </w:t>
      </w:r>
      <w:r w:rsidR="005D583A" w:rsidRPr="005D583A">
        <w:t>s</w:t>
      </w:r>
      <w:r w:rsidRPr="005D583A">
        <w:t>tudy</w:t>
      </w:r>
      <w:r>
        <w:t xml:space="preserve"> 14935</w:t>
      </w:r>
    </w:p>
    <w:p w:rsidR="00221B8B" w:rsidRDefault="00221B8B" w:rsidP="005D583A">
      <w:r>
        <w:t xml:space="preserve">Study 14935 was a </w:t>
      </w:r>
      <w:r w:rsidR="00951EF6">
        <w:t>Phase I</w:t>
      </w:r>
      <w:r>
        <w:t xml:space="preserve">I study assessing the clinical benefit of </w:t>
      </w:r>
      <w:proofErr w:type="spellStart"/>
      <w:r>
        <w:t>regorafenib</w:t>
      </w:r>
      <w:proofErr w:type="spellEnd"/>
      <w:r>
        <w:t xml:space="preserve"> in patents with </w:t>
      </w:r>
      <w:proofErr w:type="spellStart"/>
      <w:r>
        <w:t>unresectable</w:t>
      </w:r>
      <w:proofErr w:type="spellEnd"/>
      <w:r>
        <w:t xml:space="preserve"> or metastatic GIST who had previously been treated with </w:t>
      </w:r>
      <w:proofErr w:type="spellStart"/>
      <w:r>
        <w:t>imatinib</w:t>
      </w:r>
      <w:proofErr w:type="spellEnd"/>
      <w:r>
        <w:t xml:space="preserve"> and </w:t>
      </w:r>
      <w:proofErr w:type="spellStart"/>
      <w:r>
        <w:t>sunitinib</w:t>
      </w:r>
      <w:proofErr w:type="spellEnd"/>
      <w:r>
        <w:t>. The results found a CBR</w:t>
      </w:r>
      <w:r>
        <w:rPr>
          <w:rFonts w:eastAsia="TimesNewRoman"/>
        </w:rPr>
        <w:t xml:space="preserve"> of 79% (95% CI: 61%, 91%) </w:t>
      </w:r>
      <w:r>
        <w:t xml:space="preserve">and PFS </w:t>
      </w:r>
      <w:r>
        <w:rPr>
          <w:rFonts w:eastAsia="TimesNewRoman"/>
        </w:rPr>
        <w:t xml:space="preserve">10.0 months (95% CI: 8.3 - 14.9) </w:t>
      </w:r>
      <w:r>
        <w:t xml:space="preserve">with </w:t>
      </w:r>
      <w:proofErr w:type="spellStart"/>
      <w:r>
        <w:t>regorafenib</w:t>
      </w:r>
      <w:proofErr w:type="spellEnd"/>
      <w:r>
        <w:t xml:space="preserve"> treatment. Due to different methodologies, these results cannot be directly compared with those of the clinical trial, although it is noted that they are in a similar direction although of greater magnitude. Reasons for the different magnitude of the results may include the longer time between tumour assessments in this study, as well as the use of investigator rather than central assessments. Despite this, the results of this study are in agreement with and therefore support those of the pivotal Study 14874 in patients with metastatic or </w:t>
      </w:r>
      <w:proofErr w:type="spellStart"/>
      <w:r>
        <w:t>unresectable</w:t>
      </w:r>
      <w:proofErr w:type="spellEnd"/>
      <w:r>
        <w:t xml:space="preserve"> GIST.</w:t>
      </w:r>
    </w:p>
    <w:p w:rsidR="00221B8B" w:rsidRDefault="00221B8B" w:rsidP="005D583A">
      <w:pPr>
        <w:pStyle w:val="Heading4"/>
      </w:pPr>
      <w:r>
        <w:t xml:space="preserve">Biomarker </w:t>
      </w:r>
      <w:r w:rsidRPr="005D583A">
        <w:t>analyses</w:t>
      </w:r>
    </w:p>
    <w:p w:rsidR="00221B8B" w:rsidRDefault="00221B8B" w:rsidP="005D583A">
      <w:r>
        <w:t xml:space="preserve">Only exploratory biomarker analyses have been performed, and thus no definitive conclusions can be drawn regarding the efficacy of </w:t>
      </w:r>
      <w:proofErr w:type="spellStart"/>
      <w:r>
        <w:t>regorafenib</w:t>
      </w:r>
      <w:proofErr w:type="spellEnd"/>
      <w:r>
        <w:t xml:space="preserve"> according to biomarker status. Exploratory evidence suggests a beneficial effect of </w:t>
      </w:r>
      <w:proofErr w:type="spellStart"/>
      <w:r>
        <w:t>regorafenib</w:t>
      </w:r>
      <w:proofErr w:type="spellEnd"/>
      <w:r>
        <w:t xml:space="preserve"> over placebo with KIT mutations. However, in two patients with KRAS and BRAF mutations, clinical outcomes were poorer. Due to the importance of risk-benefit considerations in treatment decisions, further evidence regarding the efficacy of </w:t>
      </w:r>
      <w:proofErr w:type="spellStart"/>
      <w:r>
        <w:t>regorafenib</w:t>
      </w:r>
      <w:proofErr w:type="spellEnd"/>
      <w:r>
        <w:t xml:space="preserve"> in patients with KRAS and BRAF mutations would be beneficial, particularly in light of documented differences in the efficacy of </w:t>
      </w:r>
      <w:proofErr w:type="spellStart"/>
      <w:r>
        <w:t>imatinib</w:t>
      </w:r>
      <w:proofErr w:type="spellEnd"/>
      <w:r>
        <w:t xml:space="preserve"> and </w:t>
      </w:r>
      <w:proofErr w:type="spellStart"/>
      <w:r>
        <w:t>sunitinib</w:t>
      </w:r>
      <w:proofErr w:type="spellEnd"/>
      <w:r>
        <w:t xml:space="preserve"> according to biomarker status. Further comment has been sought from the sponsor as a </w:t>
      </w:r>
      <w:r w:rsidR="00FF00BC">
        <w:t>c</w:t>
      </w:r>
      <w:r>
        <w:t>linical question.</w:t>
      </w:r>
    </w:p>
    <w:p w:rsidR="00C22678" w:rsidRDefault="00C22678" w:rsidP="005D583A">
      <w:pPr>
        <w:pStyle w:val="Heading2"/>
      </w:pPr>
      <w:bookmarkStart w:id="174" w:name="_Toc436128348"/>
      <w:r>
        <w:t xml:space="preserve">Clinical </w:t>
      </w:r>
      <w:r w:rsidRPr="005D583A">
        <w:t>safety</w:t>
      </w:r>
      <w:bookmarkEnd w:id="174"/>
    </w:p>
    <w:p w:rsidR="00221B8B" w:rsidRDefault="00221B8B" w:rsidP="005D583A">
      <w:pPr>
        <w:pStyle w:val="Heading3"/>
      </w:pPr>
      <w:bookmarkStart w:id="175" w:name="_Toc393799374"/>
      <w:bookmarkStart w:id="176" w:name="_Ref390260061"/>
      <w:bookmarkStart w:id="177" w:name="_Ref387846270"/>
      <w:bookmarkStart w:id="178" w:name="_Toc290846284"/>
      <w:bookmarkStart w:id="179" w:name="_Toc272414659"/>
      <w:bookmarkStart w:id="180" w:name="_Toc436128349"/>
      <w:r>
        <w:t xml:space="preserve">Studies providing </w:t>
      </w:r>
      <w:r w:rsidRPr="005D583A">
        <w:t>evaluable</w:t>
      </w:r>
      <w:r>
        <w:t xml:space="preserve"> safety data</w:t>
      </w:r>
      <w:bookmarkEnd w:id="175"/>
      <w:bookmarkEnd w:id="176"/>
      <w:bookmarkEnd w:id="177"/>
      <w:bookmarkEnd w:id="178"/>
      <w:bookmarkEnd w:id="179"/>
      <w:bookmarkEnd w:id="180"/>
    </w:p>
    <w:p w:rsidR="00221B8B" w:rsidRDefault="00221B8B" w:rsidP="005D583A">
      <w:bookmarkStart w:id="181" w:name="_Ref268776745"/>
      <w:r>
        <w:t>The following studies provided evaluable safety data:</w:t>
      </w:r>
    </w:p>
    <w:p w:rsidR="00221B8B" w:rsidRDefault="00221B8B" w:rsidP="005D583A">
      <w:pPr>
        <w:pStyle w:val="Heading4"/>
      </w:pPr>
      <w:r>
        <w:t xml:space="preserve">Pivotal </w:t>
      </w:r>
      <w:r w:rsidRPr="005D583A">
        <w:t>efficacy</w:t>
      </w:r>
      <w:r>
        <w:t xml:space="preserve"> studies</w:t>
      </w:r>
      <w:bookmarkEnd w:id="181"/>
    </w:p>
    <w:p w:rsidR="00221B8B" w:rsidRDefault="00221B8B" w:rsidP="005D583A">
      <w:r>
        <w:t xml:space="preserve">In the pivotal Study 14874, all 198 randomised patients who had received at least one dose of study medication were included in the analysis of safety (SAF). Relevant for the analysis, this was separated into: the </w:t>
      </w:r>
      <w:r>
        <w:rPr>
          <w:b/>
        </w:rPr>
        <w:t>double-blind treatment period</w:t>
      </w:r>
      <w:r>
        <w:t xml:space="preserve"> (</w:t>
      </w:r>
      <w:proofErr w:type="spellStart"/>
      <w:r>
        <w:t>regorafenib</w:t>
      </w:r>
      <w:proofErr w:type="spellEnd"/>
      <w:r>
        <w:t xml:space="preserve"> </w:t>
      </w:r>
      <w:r w:rsidR="008B3958">
        <w:t>versus</w:t>
      </w:r>
      <w:r>
        <w:t xml:space="preserve"> placebo) that included 132 patients randomised to receive </w:t>
      </w:r>
      <w:proofErr w:type="spellStart"/>
      <w:r>
        <w:t>regorafenib</w:t>
      </w:r>
      <w:proofErr w:type="spellEnd"/>
      <w:r>
        <w:t xml:space="preserve"> + BSC and 66 patients randomised to placebo + BSC (n=198 in total), and the </w:t>
      </w:r>
      <w:r>
        <w:rPr>
          <w:b/>
        </w:rPr>
        <w:t>combined double blind and/or open-label period</w:t>
      </w:r>
      <w:r>
        <w:t xml:space="preserve"> (all </w:t>
      </w:r>
      <w:proofErr w:type="spellStart"/>
      <w:r>
        <w:t>regorafenib</w:t>
      </w:r>
      <w:proofErr w:type="spellEnd"/>
      <w:r>
        <w:t xml:space="preserve"> treated patients) which included those patients randomised to and who received </w:t>
      </w:r>
      <w:proofErr w:type="spellStart"/>
      <w:r>
        <w:t>regorafenib</w:t>
      </w:r>
      <w:proofErr w:type="spellEnd"/>
      <w:r>
        <w:t xml:space="preserve"> (n=132) and those randomised to placebo who crossed over to </w:t>
      </w:r>
      <w:proofErr w:type="spellStart"/>
      <w:r>
        <w:t>regorafenib</w:t>
      </w:r>
      <w:proofErr w:type="spellEnd"/>
      <w:r>
        <w:t xml:space="preserve"> in the open-label phase (n=56), for an overall n=188. The Safety follow-up period included a 30 (± 7) day window after last intake of study drug, after which patients entered the Survival Follow-up Period (at which time patients were followed for survival only at 3 month intervals and safety follow up was ceased).</w:t>
      </w:r>
    </w:p>
    <w:p w:rsidR="00221B8B" w:rsidRDefault="00221B8B" w:rsidP="005D583A">
      <w:pPr>
        <w:rPr>
          <w:rFonts w:ascii="TimesNewRoman" w:eastAsia="TimesNewRoman" w:hAnsi="Times New Roman" w:cs="TimesNewRoman"/>
          <w:sz w:val="24"/>
        </w:rPr>
      </w:pPr>
      <w:r>
        <w:t>During the Safety follow-up period in Study 14874, the following safety data were collected:</w:t>
      </w:r>
    </w:p>
    <w:p w:rsidR="00221B8B" w:rsidRDefault="00221B8B" w:rsidP="005D583A">
      <w:r>
        <w:rPr>
          <w:b/>
        </w:rPr>
        <w:t>General adverse events</w:t>
      </w:r>
      <w:r>
        <w:t xml:space="preserve"> (AEs) were assessed based on results of physical examinations, including ECOG performance status, review of all organ systems, examination of pertinent organ </w:t>
      </w:r>
      <w:r>
        <w:lastRenderedPageBreak/>
        <w:t>systems, vital signs (heart rate, blood pressure, and temperature), weight and height; electrocardiogram (ECG) data; echocardiographic study or multiple gated acquisition (MUGA); laboratory values as well as adverse events (AEs) up to 30 days after termination of treatment. NCI CTCAE v. 4.0 was used for assessment of toxicity and serious AE reporting.</w:t>
      </w:r>
    </w:p>
    <w:p w:rsidR="00221B8B" w:rsidRDefault="00221B8B" w:rsidP="005D583A">
      <w:pPr>
        <w:rPr>
          <w:rFonts w:eastAsia="Times New Roman"/>
        </w:rPr>
      </w:pPr>
      <w:r>
        <w:rPr>
          <w:b/>
        </w:rPr>
        <w:t>AEs of particular interest</w:t>
      </w:r>
      <w:r>
        <w:t xml:space="preserve">, including acute renal failure or severe proteinuria, interstitial lung disease, acute cardiac failure, clinically significant bleeding, Stevens-Johnson Syndrome and erythema </w:t>
      </w:r>
      <w:proofErr w:type="spellStart"/>
      <w:r>
        <w:t>multiforme</w:t>
      </w:r>
      <w:proofErr w:type="spellEnd"/>
      <w:r>
        <w:t>, and hepatic failure, were assessed during the standard safety evaluations as defined in the protocol and were required to be immediately notified to the sponsor.</w:t>
      </w:r>
    </w:p>
    <w:p w:rsidR="00221B8B" w:rsidRDefault="00221B8B" w:rsidP="005D583A">
      <w:r>
        <w:rPr>
          <w:b/>
        </w:rPr>
        <w:t>Laboratory tests</w:t>
      </w:r>
      <w:r>
        <w:t xml:space="preserve">, including haematology analysis, electrolyte panel, chemistry panel, thyroid function tests, coagulation panel, urinalysis and measurement of </w:t>
      </w:r>
      <w:r w:rsidR="0033594E">
        <w:t xml:space="preserve">GFR </w:t>
      </w:r>
      <w:r>
        <w:t>were performed at baseline and according to the schedule of study assessments (generally every 2-4 weeks). Of particular note, liver function tests were performed weekly for the first 2 cycles (8 weeks) of study treatment.</w:t>
      </w:r>
    </w:p>
    <w:p w:rsidR="00221B8B" w:rsidRDefault="00221B8B" w:rsidP="005D583A">
      <w:pPr>
        <w:pStyle w:val="Heading4"/>
      </w:pPr>
      <w:r>
        <w:t xml:space="preserve">Dose-response and </w:t>
      </w:r>
      <w:r w:rsidRPr="005D583A">
        <w:t>non</w:t>
      </w:r>
      <w:r>
        <w:t>-pivotal efficacy studies</w:t>
      </w:r>
    </w:p>
    <w:p w:rsidR="00221B8B" w:rsidRDefault="00221B8B" w:rsidP="005D583A">
      <w:r>
        <w:t>The dose-response and non-pivotal efficacy studies provided safety data, as follows:</w:t>
      </w:r>
    </w:p>
    <w:p w:rsidR="00221B8B" w:rsidRDefault="00221B8B" w:rsidP="005D583A">
      <w:pPr>
        <w:pStyle w:val="ListBullet"/>
      </w:pPr>
      <w:r>
        <w:rPr>
          <w:b/>
        </w:rPr>
        <w:t>Study 14935</w:t>
      </w:r>
      <w:r>
        <w:t xml:space="preserve"> provided data based on a published journal paper only. Only commonly occurring toxicities (</w:t>
      </w:r>
      <w:r w:rsidRPr="005D583A">
        <w:t>occurring</w:t>
      </w:r>
      <w:r>
        <w:t xml:space="preserve"> in ≥ 25% of patients) were presented in this paper, which limits the interpretation and analysis of this study from a safety perspective.</w:t>
      </w:r>
    </w:p>
    <w:p w:rsidR="00221B8B" w:rsidRDefault="00221B8B" w:rsidP="005D583A">
      <w:pPr>
        <w:pStyle w:val="ListBullet"/>
      </w:pPr>
      <w:r>
        <w:rPr>
          <w:b/>
        </w:rPr>
        <w:t>Study 14814</w:t>
      </w:r>
      <w:r w:rsidR="00805B8D">
        <w:t xml:space="preserve"> </w:t>
      </w:r>
      <w:r>
        <w:t xml:space="preserve">provided data on the effect of </w:t>
      </w:r>
      <w:proofErr w:type="spellStart"/>
      <w:r w:rsidRPr="005D583A">
        <w:t>regorafenib</w:t>
      </w:r>
      <w:proofErr w:type="spellEnd"/>
      <w:r>
        <w:t xml:space="preserve"> on cardiovascular safety parameters, specifically QT/</w:t>
      </w:r>
      <w:proofErr w:type="spellStart"/>
      <w:r>
        <w:t>QTc</w:t>
      </w:r>
      <w:proofErr w:type="spellEnd"/>
      <w:r>
        <w:t xml:space="preserve"> intervals and left ventricular ejection fraction (LVEF).</w:t>
      </w:r>
    </w:p>
    <w:p w:rsidR="00221B8B" w:rsidRDefault="00221B8B" w:rsidP="005D583A">
      <w:pPr>
        <w:pStyle w:val="Heading4"/>
      </w:pPr>
      <w:r>
        <w:t xml:space="preserve">Other </w:t>
      </w:r>
      <w:r w:rsidRPr="005D583A">
        <w:t>studies</w:t>
      </w:r>
      <w:r>
        <w:t xml:space="preserve"> evaluable for safety only</w:t>
      </w:r>
    </w:p>
    <w:p w:rsidR="00221B8B" w:rsidRDefault="00221B8B" w:rsidP="005D583A">
      <w:r>
        <w:rPr>
          <w:b/>
        </w:rPr>
        <w:t>Study 14596</w:t>
      </w:r>
      <w:r>
        <w:t xml:space="preserve"> (A62282) was an uncontrolled open label multicentre </w:t>
      </w:r>
      <w:r w:rsidR="00951EF6">
        <w:t>Phase I</w:t>
      </w:r>
      <w:r>
        <w:t xml:space="preserve">I safety study of </w:t>
      </w:r>
      <w:proofErr w:type="spellStart"/>
      <w:r>
        <w:t>regorafenib</w:t>
      </w:r>
      <w:proofErr w:type="spellEnd"/>
      <w:r>
        <w:t xml:space="preserve"> in patients with hepatocellular carcinoma (HCC), with study centres in 13 sites across Germany (5), Italy (5), South Korea (2) and Spain (1). The primary objective was to assess the safety profile of </w:t>
      </w:r>
      <w:proofErr w:type="spellStart"/>
      <w:r>
        <w:t>regorafenib</w:t>
      </w:r>
      <w:proofErr w:type="spellEnd"/>
      <w:r>
        <w:t xml:space="preserve">, with secondary endpoints to assess its efficacy in HCC patients with liver function status Child-Pugh Class A who had failed prior systemic treatment with </w:t>
      </w:r>
      <w:proofErr w:type="spellStart"/>
      <w:r>
        <w:t>sorafenib</w:t>
      </w:r>
      <w:proofErr w:type="spellEnd"/>
      <w:r>
        <w:t>. 36 subjects were recruited and given 16</w:t>
      </w:r>
      <w:r w:rsidR="00FD00C0">
        <w:t>0 mg</w:t>
      </w:r>
      <w:r>
        <w:t xml:space="preserve"> </w:t>
      </w:r>
      <w:proofErr w:type="spellStart"/>
      <w:r>
        <w:t>regorafenib</w:t>
      </w:r>
      <w:proofErr w:type="spellEnd"/>
      <w:r>
        <w:t xml:space="preserve"> orally daily for a cycle of 3 weeks on followed by 1 week off, and were included in the ITT population and the safety analysis set (SAF). AEs were recorded at baseline and generally at 2 weekly intervals during treatment, with the option to perform monthly assessments following 6 cycles of treatment. LTFs were performed at weekly intervals for the first 2 cycles of treatment.</w:t>
      </w:r>
    </w:p>
    <w:p w:rsidR="00221B8B" w:rsidRDefault="00221B8B" w:rsidP="005D583A">
      <w:pPr>
        <w:ind w:left="1134" w:hanging="1134"/>
      </w:pPr>
      <w:r w:rsidRPr="00805B8D">
        <w:rPr>
          <w:b/>
        </w:rPr>
        <w:t>Comment</w:t>
      </w:r>
      <w:r>
        <w:t>:</w:t>
      </w:r>
      <w:r w:rsidR="005D583A">
        <w:tab/>
      </w:r>
      <w:r>
        <w:t xml:space="preserve">Study 14596 was not included in the efficacy evaluation because it was an uncontrolled study for a different indication than that proposed in this application, and had a different underlying population. Furthermore, the primary endpoint was safety rather than efficacy. The report submitted was an updated addendum of an earlier report that was previously evaluated </w:t>
      </w:r>
      <w:r w:rsidR="00805B8D">
        <w:t>by the TGA</w:t>
      </w:r>
      <w:r>
        <w:t xml:space="preserve"> and included a detailed PK analysis. Only the updated safety information provided in the Addendum with this application has been evaluated in this CER.</w:t>
      </w:r>
    </w:p>
    <w:p w:rsidR="00221B8B" w:rsidRDefault="00221B8B" w:rsidP="005D583A">
      <w:pPr>
        <w:pStyle w:val="Heading4"/>
      </w:pPr>
      <w:r w:rsidRPr="005D583A">
        <w:t>Pooled</w:t>
      </w:r>
      <w:r>
        <w:t xml:space="preserve"> safety data</w:t>
      </w:r>
    </w:p>
    <w:p w:rsidR="00221B8B" w:rsidRDefault="00221B8B" w:rsidP="005D583A">
      <w:r>
        <w:rPr>
          <w:b/>
        </w:rPr>
        <w:t>Global integrated analysis</w:t>
      </w:r>
      <w:r>
        <w:t xml:space="preserve"> – This was presented in the Module 2.7.4 Summary of Clinical Safety (2.7.4) with a data cut-off 28 Feb</w:t>
      </w:r>
      <w:r w:rsidR="00805B8D">
        <w:t>ruary</w:t>
      </w:r>
      <w:r>
        <w:t xml:space="preserve"> 2013. The main analysis included only completed company-sponsored studies for which a clean clinical database was available. Three data pools ware produced from 10 clinical studies of </w:t>
      </w:r>
      <w:proofErr w:type="spellStart"/>
      <w:r>
        <w:t>regorafenib</w:t>
      </w:r>
      <w:proofErr w:type="spellEnd"/>
      <w:r>
        <w:t xml:space="preserve"> in cancer patients:</w:t>
      </w:r>
    </w:p>
    <w:p w:rsidR="00221B8B" w:rsidRDefault="00221B8B" w:rsidP="005D583A">
      <w:pPr>
        <w:pStyle w:val="ListBullet"/>
      </w:pPr>
      <w:r>
        <w:rPr>
          <w:b/>
        </w:rPr>
        <w:t>Pool 1</w:t>
      </w:r>
      <w:r>
        <w:t xml:space="preserve"> – All </w:t>
      </w:r>
      <w:proofErr w:type="spellStart"/>
      <w:r w:rsidRPr="005D583A">
        <w:t>regorafenib</w:t>
      </w:r>
      <w:proofErr w:type="spellEnd"/>
      <w:r>
        <w:t xml:space="preserve"> monotherapy-treated patients in completed </w:t>
      </w:r>
      <w:r w:rsidR="00951EF6">
        <w:t>Phase I</w:t>
      </w:r>
      <w:r>
        <w:t xml:space="preserve"> to III studies (n=1,073) including:</w:t>
      </w:r>
    </w:p>
    <w:p w:rsidR="00221B8B" w:rsidRDefault="00221B8B" w:rsidP="005D583A">
      <w:pPr>
        <w:pStyle w:val="ListBullet2"/>
      </w:pPr>
      <w:r>
        <w:t xml:space="preserve">2 </w:t>
      </w:r>
      <w:r w:rsidR="00951EF6">
        <w:t>Phase I</w:t>
      </w:r>
      <w:r>
        <w:t>II studies (14387 and 14874)</w:t>
      </w:r>
    </w:p>
    <w:p w:rsidR="00221B8B" w:rsidRDefault="00221B8B" w:rsidP="005D583A">
      <w:pPr>
        <w:pStyle w:val="ListBullet2"/>
      </w:pPr>
      <w:r>
        <w:lastRenderedPageBreak/>
        <w:t xml:space="preserve">6 </w:t>
      </w:r>
      <w:r w:rsidRPr="005D583A">
        <w:t>uncontrolled</w:t>
      </w:r>
      <w:r>
        <w:t xml:space="preserve"> </w:t>
      </w:r>
      <w:r w:rsidR="00951EF6">
        <w:t>Phase I</w:t>
      </w:r>
      <w:r>
        <w:t xml:space="preserve"> and II studies of </w:t>
      </w:r>
      <w:proofErr w:type="spellStart"/>
      <w:r>
        <w:t>regorafenib</w:t>
      </w:r>
      <w:proofErr w:type="spellEnd"/>
      <w:r>
        <w:t xml:space="preserve"> at the intended dosing regimen of 16</w:t>
      </w:r>
      <w:r w:rsidR="00FD00C0">
        <w:t>0 mg</w:t>
      </w:r>
      <w:r>
        <w:t xml:space="preserve"> daily for 3 weeks on/1 week off treatment cycles (Studies 11726, 14596, 12434, 13172, 14814 and 14996)</w:t>
      </w:r>
    </w:p>
    <w:p w:rsidR="00221B8B" w:rsidRDefault="00221B8B" w:rsidP="005D583A">
      <w:pPr>
        <w:pStyle w:val="ListBullet2"/>
      </w:pPr>
      <w:r>
        <w:t xml:space="preserve">2 </w:t>
      </w:r>
      <w:r w:rsidR="00951EF6">
        <w:t>Phase I</w:t>
      </w:r>
      <w:r>
        <w:t xml:space="preserve"> </w:t>
      </w:r>
      <w:r w:rsidRPr="005D583A">
        <w:t>dose</w:t>
      </w:r>
      <w:r>
        <w:t xml:space="preserve"> escalation studies (11650 and 11651)</w:t>
      </w:r>
    </w:p>
    <w:p w:rsidR="00221B8B" w:rsidRDefault="00221B8B" w:rsidP="005D583A">
      <w:pPr>
        <w:pStyle w:val="ListBullet"/>
      </w:pPr>
      <w:r>
        <w:rPr>
          <w:b/>
        </w:rPr>
        <w:t>Pool 2</w:t>
      </w:r>
      <w:r>
        <w:t xml:space="preserve"> – Includes placebo-controlled safety data from the double-blind period of the pivotal </w:t>
      </w:r>
      <w:r w:rsidR="00951EF6">
        <w:t>Phase I</w:t>
      </w:r>
      <w:r>
        <w:t>II study in patients with GIST (Study 14874, n=132)</w:t>
      </w:r>
    </w:p>
    <w:p w:rsidR="00221B8B" w:rsidRDefault="00221B8B" w:rsidP="005D583A">
      <w:pPr>
        <w:pStyle w:val="ListBullet"/>
      </w:pPr>
      <w:r>
        <w:rPr>
          <w:b/>
        </w:rPr>
        <w:t xml:space="preserve">Pool 3 </w:t>
      </w:r>
      <w:r>
        <w:t xml:space="preserve">- </w:t>
      </w:r>
      <w:r w:rsidRPr="005D583A">
        <w:t>Includes</w:t>
      </w:r>
      <w:r>
        <w:t xml:space="preserve"> placebo-controlled safety data from the double-blind phase of the </w:t>
      </w:r>
      <w:r w:rsidR="00951EF6">
        <w:t>Phase I</w:t>
      </w:r>
      <w:r>
        <w:t>II studies 14387 and 14874 (n=632)</w:t>
      </w:r>
    </w:p>
    <w:p w:rsidR="00221B8B" w:rsidRDefault="00221B8B" w:rsidP="005D583A">
      <w:pPr>
        <w:ind w:left="1134" w:hanging="1134"/>
      </w:pPr>
      <w:r w:rsidRPr="00805B8D">
        <w:rPr>
          <w:b/>
        </w:rPr>
        <w:t>Comment</w:t>
      </w:r>
      <w:r>
        <w:t>:</w:t>
      </w:r>
      <w:r w:rsidR="005D583A">
        <w:tab/>
      </w:r>
      <w:r>
        <w:t>Throughout this CER, reference is primarily made to Pool 1 of the global integrated analysis, as the results of Pool 2 are presented separately as that of Pivotal Study 14874. The safety results of Study 14387 that make up the rest of Pool 3 were previously evaluated.</w:t>
      </w:r>
    </w:p>
    <w:p w:rsidR="00221B8B" w:rsidRPr="00805B8D" w:rsidRDefault="00221B8B" w:rsidP="005D583A">
      <w:r w:rsidRPr="00805B8D">
        <w:rPr>
          <w:b/>
        </w:rPr>
        <w:t>Bayer HealthCare safety database</w:t>
      </w:r>
      <w:r w:rsidRPr="00805B8D">
        <w:t xml:space="preserve"> – Includes al SAEs from completed and ongoing studies (including combination studies) (more than 3,500 patients) and early access programs (more than 500 patients), SAEs reported within an ongoing patient support program and spontaneous reports (data cut-off 28 Feb</w:t>
      </w:r>
      <w:r w:rsidR="005A781A">
        <w:t>ruary</w:t>
      </w:r>
      <w:r w:rsidR="005D583A">
        <w:t xml:space="preserve"> 2013).</w:t>
      </w:r>
    </w:p>
    <w:p w:rsidR="00221B8B" w:rsidRDefault="00221B8B" w:rsidP="005D583A">
      <w:pPr>
        <w:pStyle w:val="ListBullet"/>
      </w:pPr>
      <w:r>
        <w:t xml:space="preserve">Non-pooled studies in </w:t>
      </w:r>
      <w:r w:rsidRPr="005D583A">
        <w:t>cancer</w:t>
      </w:r>
      <w:r>
        <w:t xml:space="preserve"> patients included: 15808, 15967, 11728, 11656, 14458, 14935, 15579, 15344</w:t>
      </w:r>
      <w:r w:rsidR="005A781A">
        <w:t xml:space="preserve"> and</w:t>
      </w:r>
      <w:r>
        <w:t xml:space="preserve"> 15968.</w:t>
      </w:r>
    </w:p>
    <w:p w:rsidR="00221B8B" w:rsidRDefault="00221B8B" w:rsidP="005D583A">
      <w:pPr>
        <w:pStyle w:val="ListBullet"/>
      </w:pPr>
      <w:r>
        <w:t xml:space="preserve">Non-pooled </w:t>
      </w:r>
      <w:r w:rsidRPr="005D583A">
        <w:t>studies</w:t>
      </w:r>
      <w:r>
        <w:t xml:space="preserve"> in healthy volunteers included: 12435, 12436, 12437, 14656</w:t>
      </w:r>
      <w:r w:rsidR="005A781A">
        <w:t xml:space="preserve"> and</w:t>
      </w:r>
      <w:r>
        <w:t xml:space="preserve"> 15524.</w:t>
      </w:r>
    </w:p>
    <w:p w:rsidR="00221B8B" w:rsidRDefault="00221B8B" w:rsidP="005D583A">
      <w:pPr>
        <w:ind w:left="1134" w:hanging="1134"/>
      </w:pPr>
      <w:r w:rsidRPr="005A781A">
        <w:rPr>
          <w:b/>
        </w:rPr>
        <w:t>Comment</w:t>
      </w:r>
      <w:r>
        <w:t>:</w:t>
      </w:r>
      <w:r w:rsidR="005D583A">
        <w:tab/>
      </w:r>
      <w:r>
        <w:t xml:space="preserve">The above studies were not submitted for evaluation and have thus not been evaluated. The results from the summaries of SAEs and deaths are included </w:t>
      </w:r>
      <w:r w:rsidR="005A781A">
        <w:t>below</w:t>
      </w:r>
      <w:r>
        <w:t>.</w:t>
      </w:r>
    </w:p>
    <w:p w:rsidR="00221B8B" w:rsidRDefault="00221B8B" w:rsidP="005D583A">
      <w:pPr>
        <w:pStyle w:val="Heading3"/>
      </w:pPr>
      <w:bookmarkStart w:id="182" w:name="_Toc393799376"/>
      <w:bookmarkStart w:id="183" w:name="_Toc290846300"/>
      <w:bookmarkStart w:id="184" w:name="_Toc272414662"/>
      <w:bookmarkStart w:id="185" w:name="_Ref271196630"/>
      <w:bookmarkStart w:id="186" w:name="_Toc241374318"/>
      <w:bookmarkStart w:id="187" w:name="_Toc436128350"/>
      <w:r>
        <w:t xml:space="preserve">Patient </w:t>
      </w:r>
      <w:r w:rsidRPr="005D583A">
        <w:t>exposure</w:t>
      </w:r>
      <w:bookmarkEnd w:id="182"/>
      <w:bookmarkEnd w:id="183"/>
      <w:bookmarkEnd w:id="184"/>
      <w:bookmarkEnd w:id="185"/>
      <w:bookmarkEnd w:id="186"/>
      <w:bookmarkEnd w:id="187"/>
    </w:p>
    <w:p w:rsidR="00221B8B" w:rsidRDefault="00221B8B" w:rsidP="005D583A">
      <w:r>
        <w:t xml:space="preserve">A summary of exposure to </w:t>
      </w:r>
      <w:proofErr w:type="spellStart"/>
      <w:r>
        <w:t>regorafenib</w:t>
      </w:r>
      <w:proofErr w:type="spellEnd"/>
      <w:r>
        <w:t xml:space="preserve"> and comparators in clinical studies presented in this submission is provided in </w:t>
      </w:r>
      <w:r w:rsidR="005A781A">
        <w:t>Table 9</w:t>
      </w:r>
      <w:r>
        <w:t xml:space="preserve"> and exposure to </w:t>
      </w:r>
      <w:proofErr w:type="spellStart"/>
      <w:r>
        <w:t>regorafenib</w:t>
      </w:r>
      <w:proofErr w:type="spellEnd"/>
      <w:r>
        <w:t xml:space="preserve"> according to dose and duration is provided in </w:t>
      </w:r>
      <w:r w:rsidR="005A781A">
        <w:t>Table 10</w:t>
      </w:r>
      <w:r>
        <w:t>.</w:t>
      </w:r>
    </w:p>
    <w:p w:rsidR="00221B8B" w:rsidRDefault="00221B8B" w:rsidP="005D583A">
      <w:r>
        <w:rPr>
          <w:b/>
        </w:rPr>
        <w:t>Pivotal Study 14874</w:t>
      </w:r>
      <w:r>
        <w:t xml:space="preserve"> - During the double-blind period, patients who were assigned to receive </w:t>
      </w:r>
      <w:proofErr w:type="spellStart"/>
      <w:r>
        <w:t>regorafenib</w:t>
      </w:r>
      <w:proofErr w:type="spellEnd"/>
      <w:r>
        <w:t xml:space="preserve"> + BSC underwent a median treatment duration of 22.94 weeks (mean 20.22 weeks) and patients who were assigned to receive placebo + BSC underwent a median of 6.98 weeks (mean 9.08 weeks). Among the placebo + BSC patients who crossed over to open-label treatment with </w:t>
      </w:r>
      <w:proofErr w:type="spellStart"/>
      <w:r>
        <w:t>regorafenib</w:t>
      </w:r>
      <w:proofErr w:type="spellEnd"/>
      <w:r>
        <w:t xml:space="preserve"> + BSC, the median treatment duration with </w:t>
      </w:r>
      <w:proofErr w:type="spellStart"/>
      <w:r>
        <w:t>regorafenib</w:t>
      </w:r>
      <w:proofErr w:type="spellEnd"/>
      <w:r>
        <w:t xml:space="preserve"> + BSC was 14.96 weeks (mean 15.26 weeks). The median treatment duration with </w:t>
      </w:r>
      <w:proofErr w:type="spellStart"/>
      <w:r>
        <w:t>regorafenib</w:t>
      </w:r>
      <w:proofErr w:type="spellEnd"/>
      <w:r>
        <w:t xml:space="preserve"> + BSC for all (n=188) </w:t>
      </w:r>
      <w:proofErr w:type="spellStart"/>
      <w:r>
        <w:t>regorafenib</w:t>
      </w:r>
      <w:proofErr w:type="spellEnd"/>
      <w:r>
        <w:t>-treated patients across both study periods was 22.94 weeks (mean 21.12 weeks).</w:t>
      </w:r>
    </w:p>
    <w:p w:rsidR="00221B8B" w:rsidRDefault="00221B8B" w:rsidP="005D583A">
      <w:r>
        <w:t xml:space="preserve">The median daily dose of </w:t>
      </w:r>
      <w:proofErr w:type="spellStart"/>
      <w:r>
        <w:t>regorafenib</w:t>
      </w:r>
      <w:proofErr w:type="spellEnd"/>
      <w:r>
        <w:t xml:space="preserve"> during the double-blind treatment period was 146.83 mg (mean 139.79 mg). Patients who crossed over from placebo received a median daily dose of 160.00 mg </w:t>
      </w:r>
      <w:proofErr w:type="spellStart"/>
      <w:r>
        <w:t>regorafenib</w:t>
      </w:r>
      <w:proofErr w:type="spellEnd"/>
      <w:r>
        <w:t xml:space="preserve"> (mean 146.19 mg) and the median daily dose to all </w:t>
      </w:r>
      <w:proofErr w:type="spellStart"/>
      <w:r>
        <w:t>regorafenib</w:t>
      </w:r>
      <w:proofErr w:type="spellEnd"/>
      <w:r>
        <w:t xml:space="preserve">-treated patients for both study periods was 153.06 mg </w:t>
      </w:r>
      <w:proofErr w:type="spellStart"/>
      <w:r>
        <w:t>regorafenib</w:t>
      </w:r>
      <w:proofErr w:type="spellEnd"/>
      <w:r>
        <w:t xml:space="preserve"> (mean 140.31 mg).</w:t>
      </w:r>
    </w:p>
    <w:p w:rsidR="00221B8B" w:rsidRDefault="00221B8B" w:rsidP="005D583A">
      <w:r>
        <w:t xml:space="preserve">Dose modifications were more common among patients who were assigned to receive </w:t>
      </w:r>
      <w:proofErr w:type="spellStart"/>
      <w:r>
        <w:t>regorafenib</w:t>
      </w:r>
      <w:proofErr w:type="spellEnd"/>
      <w:r>
        <w:t xml:space="preserve"> + BSC. During the double-blind period, dosing modifications were instituted for 72.0% of </w:t>
      </w:r>
      <w:proofErr w:type="spellStart"/>
      <w:r>
        <w:t>regorafenib</w:t>
      </w:r>
      <w:proofErr w:type="spellEnd"/>
      <w:r>
        <w:t xml:space="preserve">-treated patients and 25.8% of placebo-treated patients. Among the placebo + BSC patients who crossed over to open-label treatment with </w:t>
      </w:r>
      <w:proofErr w:type="spellStart"/>
      <w:r>
        <w:t>regorafenib</w:t>
      </w:r>
      <w:proofErr w:type="spellEnd"/>
      <w:r>
        <w:t xml:space="preserve"> + BSC, dose modifications were instituted for 72.7% of patients. The overall frequency of modifications for patients who received any </w:t>
      </w:r>
      <w:proofErr w:type="spellStart"/>
      <w:r>
        <w:t>regorafenib</w:t>
      </w:r>
      <w:proofErr w:type="spellEnd"/>
      <w:r>
        <w:t xml:space="preserve"> during the two study periods was 73.8%.</w:t>
      </w:r>
    </w:p>
    <w:p w:rsidR="00221B8B" w:rsidRDefault="00221B8B" w:rsidP="005D583A">
      <w:r>
        <w:rPr>
          <w:b/>
        </w:rPr>
        <w:t xml:space="preserve">Supportive </w:t>
      </w:r>
      <w:r w:rsidR="004338FD">
        <w:rPr>
          <w:b/>
        </w:rPr>
        <w:t>Study 14</w:t>
      </w:r>
      <w:r>
        <w:rPr>
          <w:b/>
        </w:rPr>
        <w:t>935</w:t>
      </w:r>
      <w:r>
        <w:t xml:space="preserve"> – Data for this study was submitted as a published journal paper only. Therefore, the toxicity data presented was limited and only included commonly occurring </w:t>
      </w:r>
      <w:r>
        <w:lastRenderedPageBreak/>
        <w:t xml:space="preserve">events. As of the reporting date (28 July 2011), 33 patients had been exposed to 280 cycles of </w:t>
      </w:r>
      <w:proofErr w:type="spellStart"/>
      <w:r>
        <w:t>regorafenib</w:t>
      </w:r>
      <w:proofErr w:type="spellEnd"/>
      <w:r>
        <w:t>, with a median of 8 cycles (range 2-17 cycles). A breakdown of duration of treatment was not available.</w:t>
      </w:r>
    </w:p>
    <w:p w:rsidR="00221B8B" w:rsidRDefault="00221B8B" w:rsidP="005D583A">
      <w:r>
        <w:rPr>
          <w:b/>
        </w:rPr>
        <w:t xml:space="preserve">Study 14596 </w:t>
      </w:r>
      <w:r>
        <w:t xml:space="preserve">– The median treatment duration was 19.5 weeks (mean 31.9 weeks, range 2-103 weeks) or 5.0 cycles. There were 9 subjects who were treated for 14 or more cycles in this study, taken to be equivalent to more than 12 months of treatment. The mean actual daily dose of </w:t>
      </w:r>
      <w:proofErr w:type="spellStart"/>
      <w:r>
        <w:t>regorafenib</w:t>
      </w:r>
      <w:proofErr w:type="spellEnd"/>
      <w:r>
        <w:t xml:space="preserve"> was 143.59 mg, with the median actual daily dose being 158.11 mg (range: 90.4 to 160.0 mg).</w:t>
      </w:r>
    </w:p>
    <w:p w:rsidR="00221B8B" w:rsidRDefault="00221B8B" w:rsidP="005D583A">
      <w:pPr>
        <w:pStyle w:val="Tabletitle"/>
        <w:rPr>
          <w:rFonts w:eastAsia="Times New Roman"/>
        </w:rPr>
      </w:pPr>
      <w:bookmarkStart w:id="188" w:name="_Ref390851089"/>
      <w:bookmarkStart w:id="189" w:name="_Toc393799485"/>
      <w:proofErr w:type="gramStart"/>
      <w:r>
        <w:t xml:space="preserve">Table </w:t>
      </w:r>
      <w:r w:rsidR="005A781A">
        <w:t>9</w:t>
      </w:r>
      <w:bookmarkEnd w:id="188"/>
      <w:r w:rsidR="005A781A">
        <w:t>:</w:t>
      </w:r>
      <w:r>
        <w:t xml:space="preserve"> Exposure to </w:t>
      </w:r>
      <w:proofErr w:type="spellStart"/>
      <w:r>
        <w:t>Regorafenib</w:t>
      </w:r>
      <w:proofErr w:type="spellEnd"/>
      <w:r>
        <w:t xml:space="preserve"> and </w:t>
      </w:r>
      <w:r w:rsidRPr="005D583A">
        <w:t>comparators</w:t>
      </w:r>
      <w:r>
        <w:t xml:space="preserve"> in clinical studies.</w:t>
      </w:r>
      <w:bookmarkEnd w:id="189"/>
      <w:proofErr w:type="gramEnd"/>
    </w:p>
    <w:tbl>
      <w:tblPr>
        <w:tblStyle w:val="TableTGAblue"/>
        <w:tblW w:w="9039" w:type="dxa"/>
        <w:tblLayout w:type="fixed"/>
        <w:tblLook w:val="04A0" w:firstRow="1" w:lastRow="0" w:firstColumn="1" w:lastColumn="0" w:noHBand="0" w:noVBand="1"/>
      </w:tblPr>
      <w:tblGrid>
        <w:gridCol w:w="2375"/>
        <w:gridCol w:w="1702"/>
        <w:gridCol w:w="1418"/>
        <w:gridCol w:w="1843"/>
        <w:gridCol w:w="1701"/>
      </w:tblGrid>
      <w:tr w:rsidR="00221B8B" w:rsidRPr="005D583A" w:rsidTr="005D58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vMerge w:val="restart"/>
            <w:hideMark/>
          </w:tcPr>
          <w:p w:rsidR="00221B8B" w:rsidRPr="005D583A" w:rsidRDefault="00221B8B" w:rsidP="005D583A">
            <w:pPr>
              <w:ind w:left="0" w:right="32"/>
              <w:rPr>
                <w:kern w:val="16"/>
                <w:sz w:val="20"/>
                <w:szCs w:val="20"/>
              </w:rPr>
            </w:pPr>
            <w:r w:rsidRPr="005D583A">
              <w:rPr>
                <w:sz w:val="20"/>
                <w:szCs w:val="20"/>
              </w:rPr>
              <w:t>Study type/</w:t>
            </w:r>
          </w:p>
          <w:p w:rsidR="00221B8B" w:rsidRPr="005D583A" w:rsidRDefault="00221B8B" w:rsidP="005D583A">
            <w:pPr>
              <w:ind w:left="0" w:right="32"/>
              <w:rPr>
                <w:kern w:val="16"/>
                <w:sz w:val="20"/>
                <w:szCs w:val="20"/>
              </w:rPr>
            </w:pPr>
            <w:r w:rsidRPr="005D583A">
              <w:rPr>
                <w:sz w:val="20"/>
                <w:szCs w:val="20"/>
              </w:rPr>
              <w:t>Indication</w:t>
            </w:r>
          </w:p>
        </w:tc>
        <w:tc>
          <w:tcPr>
            <w:tcW w:w="3120" w:type="dxa"/>
            <w:gridSpan w:val="2"/>
            <w:hideMark/>
          </w:tcPr>
          <w:p w:rsidR="00221B8B" w:rsidRPr="005D583A" w:rsidRDefault="00221B8B" w:rsidP="005D583A">
            <w:pPr>
              <w:ind w:left="35" w:right="33"/>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Controlled studies</w:t>
            </w:r>
          </w:p>
        </w:tc>
        <w:tc>
          <w:tcPr>
            <w:tcW w:w="1843" w:type="dxa"/>
            <w:hideMark/>
          </w:tcPr>
          <w:p w:rsidR="00221B8B" w:rsidRPr="005D583A" w:rsidRDefault="00221B8B" w:rsidP="005D583A">
            <w:pPr>
              <w:tabs>
                <w:tab w:val="left" w:pos="1168"/>
              </w:tabs>
              <w:ind w:left="34"/>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Uncontrolled</w:t>
            </w:r>
          </w:p>
          <w:p w:rsidR="00221B8B" w:rsidRPr="005D583A" w:rsidRDefault="00221B8B" w:rsidP="005D583A">
            <w:pPr>
              <w:tabs>
                <w:tab w:val="left" w:pos="1168"/>
              </w:tabs>
              <w:ind w:left="34"/>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studies</w:t>
            </w:r>
          </w:p>
        </w:tc>
        <w:tc>
          <w:tcPr>
            <w:tcW w:w="1701" w:type="dxa"/>
            <w:vMerge w:val="restart"/>
            <w:hideMark/>
          </w:tcPr>
          <w:p w:rsidR="00221B8B" w:rsidRPr="005D583A" w:rsidRDefault="00221B8B" w:rsidP="005D583A">
            <w:pPr>
              <w:ind w:left="34" w:right="34"/>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Total</w:t>
            </w:r>
          </w:p>
          <w:p w:rsidR="00221B8B" w:rsidRPr="005D583A" w:rsidRDefault="00221B8B" w:rsidP="005D583A">
            <w:pPr>
              <w:ind w:left="34" w:right="34"/>
              <w:jc w:val="center"/>
              <w:cnfStyle w:val="100000000000" w:firstRow="1" w:lastRow="0" w:firstColumn="0" w:lastColumn="0" w:oddVBand="0" w:evenVBand="0" w:oddHBand="0" w:evenHBand="0" w:firstRowFirstColumn="0" w:firstRowLastColumn="0" w:lastRowFirstColumn="0" w:lastRowLastColumn="0"/>
              <w:rPr>
                <w:kern w:val="16"/>
                <w:sz w:val="20"/>
                <w:szCs w:val="20"/>
              </w:rPr>
            </w:pPr>
            <w:proofErr w:type="spellStart"/>
            <w:r w:rsidRPr="005D583A">
              <w:rPr>
                <w:sz w:val="20"/>
                <w:szCs w:val="20"/>
              </w:rPr>
              <w:t>Regorafenib</w:t>
            </w:r>
            <w:proofErr w:type="spellEnd"/>
          </w:p>
        </w:tc>
      </w:tr>
      <w:tr w:rsidR="00221B8B" w:rsidRPr="005D583A" w:rsidTr="005D58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vMerge/>
            <w:hideMark/>
          </w:tcPr>
          <w:p w:rsidR="00221B8B" w:rsidRPr="005D583A" w:rsidRDefault="00221B8B" w:rsidP="005D583A">
            <w:pPr>
              <w:ind w:left="0" w:right="32"/>
              <w:rPr>
                <w:kern w:val="16"/>
                <w:sz w:val="20"/>
                <w:szCs w:val="20"/>
              </w:rPr>
            </w:pPr>
          </w:p>
        </w:tc>
        <w:tc>
          <w:tcPr>
            <w:tcW w:w="1702" w:type="dxa"/>
            <w:hideMark/>
          </w:tcPr>
          <w:p w:rsidR="00221B8B" w:rsidRPr="005D583A" w:rsidRDefault="00221B8B" w:rsidP="005D583A">
            <w:pPr>
              <w:ind w:left="35" w:right="33"/>
              <w:jc w:val="center"/>
              <w:cnfStyle w:val="100000000000" w:firstRow="1" w:lastRow="0" w:firstColumn="0" w:lastColumn="0" w:oddVBand="0" w:evenVBand="0" w:oddHBand="0" w:evenHBand="0" w:firstRowFirstColumn="0" w:firstRowLastColumn="0" w:lastRowFirstColumn="0" w:lastRowLastColumn="0"/>
              <w:rPr>
                <w:kern w:val="16"/>
                <w:sz w:val="20"/>
                <w:szCs w:val="20"/>
              </w:rPr>
            </w:pPr>
            <w:proofErr w:type="spellStart"/>
            <w:r w:rsidRPr="005D583A">
              <w:rPr>
                <w:sz w:val="20"/>
                <w:szCs w:val="20"/>
              </w:rPr>
              <w:t>Regorafenib</w:t>
            </w:r>
            <w:proofErr w:type="spellEnd"/>
          </w:p>
        </w:tc>
        <w:tc>
          <w:tcPr>
            <w:tcW w:w="1418" w:type="dxa"/>
            <w:hideMark/>
          </w:tcPr>
          <w:p w:rsidR="00221B8B" w:rsidRPr="005D583A" w:rsidRDefault="00221B8B" w:rsidP="005D583A">
            <w:pPr>
              <w:ind w:left="35" w:right="33"/>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Placebo</w:t>
            </w:r>
          </w:p>
        </w:tc>
        <w:tc>
          <w:tcPr>
            <w:tcW w:w="1843" w:type="dxa"/>
            <w:hideMark/>
          </w:tcPr>
          <w:p w:rsidR="00221B8B" w:rsidRPr="005D583A" w:rsidRDefault="00221B8B" w:rsidP="005D583A">
            <w:pPr>
              <w:tabs>
                <w:tab w:val="left" w:pos="1168"/>
              </w:tabs>
              <w:ind w:left="34"/>
              <w:jc w:val="center"/>
              <w:cnfStyle w:val="100000000000" w:firstRow="1" w:lastRow="0" w:firstColumn="0" w:lastColumn="0" w:oddVBand="0" w:evenVBand="0" w:oddHBand="0" w:evenHBand="0" w:firstRowFirstColumn="0" w:firstRowLastColumn="0" w:lastRowFirstColumn="0" w:lastRowLastColumn="0"/>
              <w:rPr>
                <w:kern w:val="16"/>
                <w:sz w:val="20"/>
                <w:szCs w:val="20"/>
              </w:rPr>
            </w:pPr>
            <w:proofErr w:type="spellStart"/>
            <w:r w:rsidRPr="005D583A">
              <w:rPr>
                <w:sz w:val="20"/>
                <w:szCs w:val="20"/>
              </w:rPr>
              <w:t>Regorafenib</w:t>
            </w:r>
            <w:proofErr w:type="spellEnd"/>
          </w:p>
        </w:tc>
        <w:tc>
          <w:tcPr>
            <w:tcW w:w="1701" w:type="dxa"/>
            <w:vMerge/>
            <w:hideMark/>
          </w:tcPr>
          <w:p w:rsidR="00221B8B" w:rsidRPr="005D583A" w:rsidRDefault="00221B8B" w:rsidP="005D583A">
            <w:pPr>
              <w:ind w:left="34" w:right="34"/>
              <w:jc w:val="center"/>
              <w:cnfStyle w:val="100000000000" w:firstRow="1"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ind w:left="0" w:right="32"/>
              <w:rPr>
                <w:b/>
                <w:kern w:val="16"/>
                <w:sz w:val="20"/>
                <w:szCs w:val="20"/>
              </w:rPr>
            </w:pPr>
            <w:r w:rsidRPr="005D583A">
              <w:rPr>
                <w:b/>
                <w:sz w:val="20"/>
                <w:szCs w:val="20"/>
              </w:rPr>
              <w:t>Clinical pharmacology</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5A781A" w:rsidP="005D583A">
            <w:pPr>
              <w:ind w:left="0" w:right="32"/>
              <w:rPr>
                <w:kern w:val="16"/>
                <w:sz w:val="20"/>
                <w:szCs w:val="20"/>
              </w:rPr>
            </w:pPr>
            <w:r w:rsidRPr="005D583A">
              <w:rPr>
                <w:b/>
                <w:sz w:val="20"/>
                <w:szCs w:val="20"/>
              </w:rPr>
              <w:t>Indication 1</w:t>
            </w:r>
            <w:r w:rsidRPr="005D583A">
              <w:rPr>
                <w:sz w:val="20"/>
                <w:szCs w:val="20"/>
              </w:rPr>
              <w:t>:</w:t>
            </w:r>
            <w:r w:rsidR="00221B8B" w:rsidRPr="005D583A">
              <w:rPr>
                <w:sz w:val="20"/>
                <w:szCs w:val="20"/>
              </w:rPr>
              <w:t xml:space="preserve">metastatic or </w:t>
            </w:r>
            <w:proofErr w:type="spellStart"/>
            <w:r w:rsidR="00221B8B" w:rsidRPr="005D583A">
              <w:rPr>
                <w:sz w:val="20"/>
                <w:szCs w:val="20"/>
              </w:rPr>
              <w:t>unresectable</w:t>
            </w:r>
            <w:proofErr w:type="spellEnd"/>
            <w:r w:rsidR="00221B8B" w:rsidRPr="005D583A">
              <w:rPr>
                <w:sz w:val="20"/>
                <w:szCs w:val="20"/>
              </w:rPr>
              <w:t xml:space="preserve"> GIST</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pStyle w:val="ListBullet"/>
              <w:rPr>
                <w:sz w:val="20"/>
                <w:szCs w:val="20"/>
              </w:rPr>
            </w:pPr>
            <w:r w:rsidRPr="005D583A">
              <w:rPr>
                <w:sz w:val="20"/>
                <w:szCs w:val="20"/>
              </w:rPr>
              <w:t>Pivotal</w:t>
            </w:r>
          </w:p>
        </w:tc>
        <w:tc>
          <w:tcPr>
            <w:tcW w:w="1702" w:type="dxa"/>
            <w:hideMark/>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188 (132+56)</w:t>
            </w:r>
          </w:p>
        </w:tc>
        <w:tc>
          <w:tcPr>
            <w:tcW w:w="1418" w:type="dxa"/>
            <w:hideMark/>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66</w:t>
            </w: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hideMark/>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188</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pStyle w:val="ListBullet"/>
              <w:rPr>
                <w:sz w:val="20"/>
                <w:szCs w:val="20"/>
              </w:rPr>
            </w:pPr>
            <w:r w:rsidRPr="005D583A">
              <w:rPr>
                <w:sz w:val="20"/>
                <w:szCs w:val="20"/>
              </w:rPr>
              <w:t>Other</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hideMark/>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33*</w:t>
            </w:r>
          </w:p>
        </w:tc>
        <w:tc>
          <w:tcPr>
            <w:tcW w:w="1701" w:type="dxa"/>
            <w:hideMark/>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33*</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pStyle w:val="ListBullet"/>
              <w:rPr>
                <w:b/>
                <w:sz w:val="20"/>
                <w:szCs w:val="20"/>
              </w:rPr>
            </w:pPr>
            <w:r w:rsidRPr="005D583A">
              <w:rPr>
                <w:b/>
                <w:sz w:val="20"/>
                <w:szCs w:val="20"/>
              </w:rPr>
              <w:t>Subtotal Indication 1</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ind w:left="0" w:right="32"/>
              <w:rPr>
                <w:b/>
                <w:kern w:val="16"/>
                <w:sz w:val="20"/>
                <w:szCs w:val="20"/>
              </w:rPr>
            </w:pPr>
            <w:r w:rsidRPr="005D583A">
              <w:rPr>
                <w:b/>
                <w:sz w:val="20"/>
                <w:szCs w:val="20"/>
              </w:rPr>
              <w:t>Indication 2</w:t>
            </w:r>
            <w:r w:rsidRPr="005D583A">
              <w:rPr>
                <w:sz w:val="20"/>
                <w:szCs w:val="20"/>
              </w:rPr>
              <w:t>: HCC</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pStyle w:val="ListBullet"/>
              <w:rPr>
                <w:sz w:val="20"/>
                <w:szCs w:val="20"/>
              </w:rPr>
            </w:pPr>
            <w:r w:rsidRPr="005D583A">
              <w:rPr>
                <w:sz w:val="20"/>
                <w:szCs w:val="20"/>
              </w:rPr>
              <w:t>Pivotal</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pStyle w:val="ListBullet"/>
              <w:rPr>
                <w:sz w:val="20"/>
                <w:szCs w:val="20"/>
              </w:rPr>
            </w:pPr>
            <w:r w:rsidRPr="005D583A">
              <w:rPr>
                <w:sz w:val="20"/>
                <w:szCs w:val="20"/>
              </w:rPr>
              <w:t>Other</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hideMark/>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36</w:t>
            </w:r>
          </w:p>
        </w:tc>
        <w:tc>
          <w:tcPr>
            <w:tcW w:w="1701" w:type="dxa"/>
            <w:hideMark/>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36</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pStyle w:val="ListBullet"/>
              <w:rPr>
                <w:b/>
                <w:sz w:val="20"/>
                <w:szCs w:val="20"/>
              </w:rPr>
            </w:pPr>
            <w:r w:rsidRPr="005D583A">
              <w:rPr>
                <w:b/>
                <w:sz w:val="20"/>
                <w:szCs w:val="20"/>
              </w:rPr>
              <w:t>Subtotal Indication 2</w:t>
            </w:r>
          </w:p>
        </w:tc>
        <w:tc>
          <w:tcPr>
            <w:tcW w:w="1702"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3" w:type="dxa"/>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701" w:type="dxa"/>
          </w:tcPr>
          <w:p w:rsidR="00221B8B" w:rsidRPr="005D583A" w:rsidRDefault="00221B8B" w:rsidP="005D583A">
            <w:pPr>
              <w:ind w:left="34" w:right="34"/>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2375" w:type="dxa"/>
            <w:hideMark/>
          </w:tcPr>
          <w:p w:rsidR="00221B8B" w:rsidRPr="005D583A" w:rsidRDefault="00221B8B" w:rsidP="005D583A">
            <w:pPr>
              <w:ind w:left="0" w:right="32"/>
              <w:rPr>
                <w:b/>
                <w:kern w:val="16"/>
                <w:sz w:val="20"/>
                <w:szCs w:val="20"/>
              </w:rPr>
            </w:pPr>
            <w:r w:rsidRPr="005D583A">
              <w:rPr>
                <w:b/>
                <w:sz w:val="20"/>
                <w:szCs w:val="20"/>
              </w:rPr>
              <w:t>TOTAL</w:t>
            </w:r>
          </w:p>
        </w:tc>
        <w:tc>
          <w:tcPr>
            <w:tcW w:w="1702" w:type="dxa"/>
            <w:hideMark/>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5D583A">
              <w:rPr>
                <w:b/>
                <w:sz w:val="20"/>
                <w:szCs w:val="20"/>
              </w:rPr>
              <w:t>188</w:t>
            </w:r>
          </w:p>
        </w:tc>
        <w:tc>
          <w:tcPr>
            <w:tcW w:w="1418" w:type="dxa"/>
            <w:hideMark/>
          </w:tcPr>
          <w:p w:rsidR="00221B8B" w:rsidRPr="005D583A" w:rsidRDefault="00221B8B" w:rsidP="005D583A">
            <w:pPr>
              <w:ind w:left="35" w:right="33"/>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5D583A">
              <w:rPr>
                <w:b/>
                <w:sz w:val="20"/>
                <w:szCs w:val="20"/>
              </w:rPr>
              <w:t>66</w:t>
            </w:r>
          </w:p>
        </w:tc>
        <w:tc>
          <w:tcPr>
            <w:tcW w:w="1843" w:type="dxa"/>
            <w:hideMark/>
          </w:tcPr>
          <w:p w:rsidR="00221B8B" w:rsidRPr="005D583A" w:rsidRDefault="00221B8B" w:rsidP="005D583A">
            <w:pPr>
              <w:tabs>
                <w:tab w:val="left" w:pos="1168"/>
              </w:tabs>
              <w:ind w:left="34"/>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5D583A">
              <w:rPr>
                <w:b/>
                <w:sz w:val="20"/>
                <w:szCs w:val="20"/>
              </w:rPr>
              <w:t>69</w:t>
            </w:r>
          </w:p>
        </w:tc>
        <w:tc>
          <w:tcPr>
            <w:tcW w:w="1701" w:type="dxa"/>
            <w:hideMark/>
          </w:tcPr>
          <w:p w:rsidR="00221B8B" w:rsidRPr="005D583A" w:rsidRDefault="00FE27B1" w:rsidP="005D583A">
            <w:pPr>
              <w:ind w:left="34" w:right="34"/>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5D583A">
              <w:rPr>
                <w:b/>
                <w:sz w:val="20"/>
                <w:szCs w:val="20"/>
              </w:rPr>
              <w:t>257</w:t>
            </w:r>
          </w:p>
        </w:tc>
      </w:tr>
    </w:tbl>
    <w:p w:rsidR="00221B8B" w:rsidRDefault="00221B8B" w:rsidP="005D583A">
      <w:pPr>
        <w:pStyle w:val="TableDescription"/>
        <w:rPr>
          <w:kern w:val="16"/>
        </w:rPr>
      </w:pPr>
      <w:r>
        <w:t>* Full safety data not provided in published paper</w:t>
      </w:r>
    </w:p>
    <w:p w:rsidR="00221B8B" w:rsidRDefault="00221B8B" w:rsidP="005D583A">
      <w:pPr>
        <w:pStyle w:val="Tabletitle"/>
      </w:pPr>
      <w:bookmarkStart w:id="190" w:name="_Ref272765193"/>
      <w:bookmarkStart w:id="191" w:name="_Toc393799486"/>
      <w:bookmarkStart w:id="192" w:name="_Toc269112508"/>
      <w:proofErr w:type="gramStart"/>
      <w:r>
        <w:t>Table</w:t>
      </w:r>
      <w:r w:rsidR="005A781A">
        <w:t xml:space="preserve"> 10</w:t>
      </w:r>
      <w:bookmarkEnd w:id="190"/>
      <w:r w:rsidR="005A781A">
        <w:t>:</w:t>
      </w:r>
      <w:r>
        <w:t xml:space="preserve"> </w:t>
      </w:r>
      <w:r w:rsidRPr="005D583A">
        <w:t>Exposure</w:t>
      </w:r>
      <w:r>
        <w:t xml:space="preserve"> to </w:t>
      </w:r>
      <w:proofErr w:type="spellStart"/>
      <w:r>
        <w:t>Regorafenib</w:t>
      </w:r>
      <w:proofErr w:type="spellEnd"/>
      <w:r>
        <w:t xml:space="preserve"> in clinical studies according to dose and duration.</w:t>
      </w:r>
      <w:bookmarkEnd w:id="191"/>
      <w:bookmarkEnd w:id="192"/>
      <w:proofErr w:type="gramEnd"/>
    </w:p>
    <w:tbl>
      <w:tblPr>
        <w:tblStyle w:val="TableTGAblue"/>
        <w:tblW w:w="9180" w:type="dxa"/>
        <w:tblLayout w:type="fixed"/>
        <w:tblLook w:val="04A0" w:firstRow="1" w:lastRow="0" w:firstColumn="1" w:lastColumn="0" w:noHBand="0" w:noVBand="1"/>
      </w:tblPr>
      <w:tblGrid>
        <w:gridCol w:w="3085"/>
        <w:gridCol w:w="1559"/>
        <w:gridCol w:w="1276"/>
        <w:gridCol w:w="1418"/>
        <w:gridCol w:w="1842"/>
      </w:tblGrid>
      <w:tr w:rsidR="00221B8B" w:rsidRPr="005D583A" w:rsidTr="005D58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vMerge w:val="restart"/>
            <w:hideMark/>
          </w:tcPr>
          <w:p w:rsidR="00221B8B" w:rsidRPr="005D583A" w:rsidRDefault="00221B8B" w:rsidP="005D583A">
            <w:pPr>
              <w:rPr>
                <w:kern w:val="16"/>
                <w:sz w:val="20"/>
                <w:szCs w:val="20"/>
              </w:rPr>
            </w:pPr>
            <w:r w:rsidRPr="005D583A">
              <w:rPr>
                <w:sz w:val="20"/>
                <w:szCs w:val="20"/>
              </w:rPr>
              <w:t>Study type/</w:t>
            </w:r>
          </w:p>
          <w:p w:rsidR="00221B8B" w:rsidRPr="005D583A" w:rsidRDefault="00221B8B" w:rsidP="005D583A">
            <w:pPr>
              <w:rPr>
                <w:kern w:val="16"/>
                <w:sz w:val="20"/>
                <w:szCs w:val="20"/>
              </w:rPr>
            </w:pPr>
            <w:r w:rsidRPr="005D583A">
              <w:rPr>
                <w:sz w:val="20"/>
                <w:szCs w:val="20"/>
              </w:rPr>
              <w:t>Indication</w:t>
            </w:r>
          </w:p>
        </w:tc>
        <w:tc>
          <w:tcPr>
            <w:tcW w:w="6095" w:type="dxa"/>
            <w:gridSpan w:val="4"/>
            <w:hideMark/>
          </w:tcPr>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Proposed dose range = Proposed maximum dose</w:t>
            </w:r>
          </w:p>
        </w:tc>
      </w:tr>
      <w:tr w:rsidR="00221B8B" w:rsidRPr="005D583A" w:rsidTr="005D58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vMerge/>
            <w:hideMark/>
          </w:tcPr>
          <w:p w:rsidR="00221B8B" w:rsidRPr="005D583A" w:rsidRDefault="00221B8B" w:rsidP="005D583A">
            <w:pPr>
              <w:rPr>
                <w:kern w:val="16"/>
                <w:sz w:val="20"/>
                <w:szCs w:val="20"/>
              </w:rPr>
            </w:pPr>
          </w:p>
        </w:tc>
        <w:tc>
          <w:tcPr>
            <w:tcW w:w="1559" w:type="dxa"/>
            <w:hideMark/>
          </w:tcPr>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 3</w:t>
            </w:r>
          </w:p>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mo</w:t>
            </w:r>
            <w:r w:rsidR="005A781A" w:rsidRPr="005D583A">
              <w:rPr>
                <w:sz w:val="20"/>
                <w:szCs w:val="20"/>
              </w:rPr>
              <w:t>nths</w:t>
            </w:r>
          </w:p>
        </w:tc>
        <w:tc>
          <w:tcPr>
            <w:tcW w:w="1276" w:type="dxa"/>
            <w:hideMark/>
          </w:tcPr>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 6</w:t>
            </w:r>
          </w:p>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mo</w:t>
            </w:r>
            <w:r w:rsidR="005A781A" w:rsidRPr="005D583A">
              <w:rPr>
                <w:sz w:val="20"/>
                <w:szCs w:val="20"/>
              </w:rPr>
              <w:t>nths</w:t>
            </w:r>
          </w:p>
        </w:tc>
        <w:tc>
          <w:tcPr>
            <w:tcW w:w="1418" w:type="dxa"/>
            <w:hideMark/>
          </w:tcPr>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 12</w:t>
            </w:r>
          </w:p>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mo</w:t>
            </w:r>
            <w:r w:rsidR="005A781A" w:rsidRPr="005D583A">
              <w:rPr>
                <w:sz w:val="20"/>
                <w:szCs w:val="20"/>
              </w:rPr>
              <w:t>nths</w:t>
            </w:r>
          </w:p>
        </w:tc>
        <w:tc>
          <w:tcPr>
            <w:tcW w:w="1842" w:type="dxa"/>
            <w:hideMark/>
          </w:tcPr>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Any</w:t>
            </w:r>
          </w:p>
          <w:p w:rsidR="00221B8B" w:rsidRPr="005D583A" w:rsidRDefault="00221B8B" w:rsidP="005D583A">
            <w:pPr>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5D583A">
              <w:rPr>
                <w:sz w:val="20"/>
                <w:szCs w:val="20"/>
              </w:rPr>
              <w:t>dur</w:t>
            </w:r>
            <w:r w:rsidR="005A781A" w:rsidRPr="005D583A">
              <w:rPr>
                <w:sz w:val="20"/>
                <w:szCs w:val="20"/>
              </w:rPr>
              <w:t>ation</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5D583A" w:rsidRDefault="00221B8B" w:rsidP="005D583A">
            <w:pPr>
              <w:rPr>
                <w:b/>
                <w:kern w:val="16"/>
                <w:sz w:val="20"/>
                <w:szCs w:val="20"/>
              </w:rPr>
            </w:pPr>
            <w:r w:rsidRPr="005D583A">
              <w:rPr>
                <w:b/>
                <w:sz w:val="20"/>
                <w:szCs w:val="20"/>
              </w:rPr>
              <w:t>Clinical pharmacology</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5D583A" w:rsidRDefault="00221B8B" w:rsidP="005D583A">
            <w:pPr>
              <w:rPr>
                <w:kern w:val="16"/>
                <w:sz w:val="20"/>
                <w:szCs w:val="20"/>
              </w:rPr>
            </w:pPr>
            <w:r w:rsidRPr="005D583A">
              <w:rPr>
                <w:b/>
                <w:sz w:val="20"/>
                <w:szCs w:val="20"/>
              </w:rPr>
              <w:t>Indication 1</w:t>
            </w:r>
            <w:r w:rsidRPr="005D583A">
              <w:rPr>
                <w:sz w:val="20"/>
                <w:szCs w:val="20"/>
              </w:rPr>
              <w:t xml:space="preserve">: metastatic or </w:t>
            </w:r>
            <w:proofErr w:type="spellStart"/>
            <w:r w:rsidRPr="005D583A">
              <w:rPr>
                <w:sz w:val="20"/>
                <w:szCs w:val="20"/>
              </w:rPr>
              <w:t>unresectable</w:t>
            </w:r>
            <w:proofErr w:type="spellEnd"/>
            <w:r w:rsidRPr="005D583A">
              <w:rPr>
                <w:sz w:val="20"/>
                <w:szCs w:val="20"/>
              </w:rPr>
              <w:t xml:space="preserve"> GIST</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sz w:val="20"/>
                <w:szCs w:val="20"/>
              </w:rPr>
            </w:pPr>
            <w:r w:rsidRPr="00B807B5">
              <w:rPr>
                <w:sz w:val="20"/>
                <w:szCs w:val="20"/>
              </w:rPr>
              <w:lastRenderedPageBreak/>
              <w:t>Placebo-controlled</w:t>
            </w:r>
          </w:p>
        </w:tc>
        <w:tc>
          <w:tcPr>
            <w:tcW w:w="1559"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133</w:t>
            </w:r>
          </w:p>
        </w:tc>
        <w:tc>
          <w:tcPr>
            <w:tcW w:w="1276"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60</w:t>
            </w:r>
          </w:p>
        </w:tc>
        <w:tc>
          <w:tcPr>
            <w:tcW w:w="1418"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0</w:t>
            </w:r>
          </w:p>
        </w:tc>
        <w:tc>
          <w:tcPr>
            <w:tcW w:w="1842"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188</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sz w:val="20"/>
                <w:szCs w:val="20"/>
              </w:rPr>
            </w:pPr>
            <w:r w:rsidRPr="00B807B5">
              <w:rPr>
                <w:sz w:val="20"/>
                <w:szCs w:val="20"/>
              </w:rPr>
              <w:t>Active-controlled</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sz w:val="20"/>
                <w:szCs w:val="20"/>
              </w:rPr>
            </w:pPr>
            <w:r w:rsidRPr="00B807B5">
              <w:rPr>
                <w:sz w:val="20"/>
                <w:szCs w:val="20"/>
              </w:rPr>
              <w:t>Uncontrolled</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33</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b/>
                <w:sz w:val="20"/>
                <w:szCs w:val="20"/>
              </w:rPr>
            </w:pPr>
            <w:r w:rsidRPr="00B807B5">
              <w:rPr>
                <w:b/>
                <w:sz w:val="20"/>
                <w:szCs w:val="20"/>
              </w:rPr>
              <w:t>Subtotal Indication 1</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5D583A" w:rsidRDefault="00221B8B" w:rsidP="005D583A">
            <w:pPr>
              <w:rPr>
                <w:kern w:val="16"/>
                <w:sz w:val="20"/>
                <w:szCs w:val="20"/>
              </w:rPr>
            </w:pPr>
            <w:r w:rsidRPr="00B807B5">
              <w:rPr>
                <w:b/>
                <w:sz w:val="20"/>
                <w:szCs w:val="20"/>
              </w:rPr>
              <w:t>Indication 2</w:t>
            </w:r>
            <w:r w:rsidRPr="005D583A">
              <w:rPr>
                <w:sz w:val="20"/>
                <w:szCs w:val="20"/>
              </w:rPr>
              <w:t>: HCC</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sz w:val="20"/>
                <w:szCs w:val="20"/>
              </w:rPr>
            </w:pPr>
            <w:r w:rsidRPr="00B807B5">
              <w:rPr>
                <w:sz w:val="20"/>
                <w:szCs w:val="20"/>
              </w:rPr>
              <w:t>Placebo-controlled</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sz w:val="20"/>
                <w:szCs w:val="20"/>
              </w:rPr>
            </w:pPr>
            <w:r w:rsidRPr="00B807B5">
              <w:rPr>
                <w:sz w:val="20"/>
                <w:szCs w:val="20"/>
              </w:rPr>
              <w:t>Active-controlled</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sz w:val="20"/>
                <w:szCs w:val="20"/>
              </w:rPr>
            </w:pPr>
            <w:r w:rsidRPr="00B807B5">
              <w:rPr>
                <w:sz w:val="20"/>
                <w:szCs w:val="20"/>
              </w:rPr>
              <w:t>Uncontrolled</w:t>
            </w:r>
          </w:p>
        </w:tc>
        <w:tc>
          <w:tcPr>
            <w:tcW w:w="1559"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24</w:t>
            </w:r>
          </w:p>
        </w:tc>
        <w:tc>
          <w:tcPr>
            <w:tcW w:w="1276"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17</w:t>
            </w:r>
          </w:p>
        </w:tc>
        <w:tc>
          <w:tcPr>
            <w:tcW w:w="1418"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9</w:t>
            </w:r>
          </w:p>
        </w:tc>
        <w:tc>
          <w:tcPr>
            <w:tcW w:w="1842" w:type="dxa"/>
            <w:hideMark/>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r w:rsidRPr="005D583A">
              <w:rPr>
                <w:sz w:val="20"/>
                <w:szCs w:val="20"/>
              </w:rPr>
              <w:t>36</w:t>
            </w:r>
          </w:p>
        </w:tc>
      </w:tr>
      <w:tr w:rsidR="00221B8B" w:rsidRPr="005D583A"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B807B5">
            <w:pPr>
              <w:pStyle w:val="ListBullet"/>
              <w:rPr>
                <w:b/>
                <w:sz w:val="20"/>
                <w:szCs w:val="20"/>
              </w:rPr>
            </w:pPr>
            <w:r w:rsidRPr="00B807B5">
              <w:rPr>
                <w:b/>
                <w:sz w:val="20"/>
                <w:szCs w:val="20"/>
              </w:rPr>
              <w:t>Subtotal Indication 2</w:t>
            </w:r>
          </w:p>
        </w:tc>
        <w:tc>
          <w:tcPr>
            <w:tcW w:w="1559"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276"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418"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842" w:type="dxa"/>
          </w:tcPr>
          <w:p w:rsidR="00221B8B" w:rsidRPr="005D583A" w:rsidRDefault="00221B8B" w:rsidP="005D583A">
            <w:pPr>
              <w:jc w:val="center"/>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221B8B" w:rsidRPr="00B807B5" w:rsidTr="005D583A">
        <w:tc>
          <w:tcPr>
            <w:cnfStyle w:val="001000000000" w:firstRow="0" w:lastRow="0" w:firstColumn="1" w:lastColumn="0" w:oddVBand="0" w:evenVBand="0" w:oddHBand="0" w:evenHBand="0" w:firstRowFirstColumn="0" w:firstRowLastColumn="0" w:lastRowFirstColumn="0" w:lastRowLastColumn="0"/>
            <w:tcW w:w="3085" w:type="dxa"/>
            <w:hideMark/>
          </w:tcPr>
          <w:p w:rsidR="00221B8B" w:rsidRPr="00B807B5" w:rsidRDefault="00221B8B" w:rsidP="005D583A">
            <w:pPr>
              <w:rPr>
                <w:b/>
                <w:kern w:val="16"/>
                <w:sz w:val="20"/>
                <w:szCs w:val="20"/>
              </w:rPr>
            </w:pPr>
            <w:r w:rsidRPr="00B807B5">
              <w:rPr>
                <w:b/>
                <w:sz w:val="20"/>
                <w:szCs w:val="20"/>
              </w:rPr>
              <w:t>TOTAL</w:t>
            </w:r>
          </w:p>
        </w:tc>
        <w:tc>
          <w:tcPr>
            <w:tcW w:w="1559" w:type="dxa"/>
            <w:hideMark/>
          </w:tcPr>
          <w:p w:rsidR="00221B8B" w:rsidRPr="00B807B5" w:rsidRDefault="00221B8B" w:rsidP="005D583A">
            <w:pPr>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B807B5">
              <w:rPr>
                <w:b/>
                <w:sz w:val="20"/>
                <w:szCs w:val="20"/>
              </w:rPr>
              <w:t>157</w:t>
            </w:r>
          </w:p>
        </w:tc>
        <w:tc>
          <w:tcPr>
            <w:tcW w:w="1276" w:type="dxa"/>
            <w:hideMark/>
          </w:tcPr>
          <w:p w:rsidR="00221B8B" w:rsidRPr="00B807B5" w:rsidRDefault="00221B8B" w:rsidP="005D583A">
            <w:pPr>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B807B5">
              <w:rPr>
                <w:b/>
                <w:sz w:val="20"/>
                <w:szCs w:val="20"/>
              </w:rPr>
              <w:t>77</w:t>
            </w:r>
          </w:p>
        </w:tc>
        <w:tc>
          <w:tcPr>
            <w:tcW w:w="1418" w:type="dxa"/>
            <w:hideMark/>
          </w:tcPr>
          <w:p w:rsidR="00221B8B" w:rsidRPr="00B807B5" w:rsidRDefault="00221B8B" w:rsidP="005D583A">
            <w:pPr>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B807B5">
              <w:rPr>
                <w:b/>
                <w:sz w:val="20"/>
                <w:szCs w:val="20"/>
              </w:rPr>
              <w:t>9</w:t>
            </w:r>
          </w:p>
        </w:tc>
        <w:tc>
          <w:tcPr>
            <w:tcW w:w="1842" w:type="dxa"/>
            <w:hideMark/>
          </w:tcPr>
          <w:p w:rsidR="00221B8B" w:rsidRPr="00B807B5" w:rsidRDefault="00FE27B1" w:rsidP="005D583A">
            <w:pPr>
              <w:jc w:val="center"/>
              <w:cnfStyle w:val="000000000000" w:firstRow="0" w:lastRow="0" w:firstColumn="0" w:lastColumn="0" w:oddVBand="0" w:evenVBand="0" w:oddHBand="0" w:evenHBand="0" w:firstRowFirstColumn="0" w:firstRowLastColumn="0" w:lastRowFirstColumn="0" w:lastRowLastColumn="0"/>
              <w:rPr>
                <w:b/>
                <w:kern w:val="16"/>
                <w:sz w:val="20"/>
                <w:szCs w:val="20"/>
              </w:rPr>
            </w:pPr>
            <w:r w:rsidRPr="00B807B5">
              <w:rPr>
                <w:b/>
                <w:sz w:val="20"/>
                <w:szCs w:val="20"/>
              </w:rPr>
              <w:t>257</w:t>
            </w:r>
          </w:p>
        </w:tc>
      </w:tr>
    </w:tbl>
    <w:p w:rsidR="00221B8B" w:rsidRDefault="00221B8B" w:rsidP="00B807B5">
      <w:r>
        <w:rPr>
          <w:b/>
        </w:rPr>
        <w:t>Global integrated analysis</w:t>
      </w:r>
      <w:r>
        <w:t xml:space="preserve"> – As of the data cut-off 28 Feb</w:t>
      </w:r>
      <w:r w:rsidR="007412F6">
        <w:t>ruary</w:t>
      </w:r>
      <w:r>
        <w:t xml:space="preserve"> 2013, in </w:t>
      </w:r>
      <w:r>
        <w:rPr>
          <w:b/>
        </w:rPr>
        <w:t>Pool 1</w:t>
      </w:r>
      <w:r>
        <w:t xml:space="preserve">, there were 1,073 patients who were exposed to </w:t>
      </w:r>
      <w:proofErr w:type="spellStart"/>
      <w:r>
        <w:t>regorafenib</w:t>
      </w:r>
      <w:proofErr w:type="spellEnd"/>
      <w:r>
        <w:t xml:space="preserve"> for a mean duration of 17.65 weeks and a median duration of 11.71 weeks (range 0.1-179.4). The mean number of cycles completed was 4.7 (median 3.0, range 1-46), and the mean daily dose of </w:t>
      </w:r>
      <w:proofErr w:type="spellStart"/>
      <w:r>
        <w:t>regorafenib</w:t>
      </w:r>
      <w:proofErr w:type="spellEnd"/>
      <w:r>
        <w:t xml:space="preserve"> was 138.88mg (median 157.14, range 10.0-220.0</w:t>
      </w:r>
      <w:r w:rsidR="007412F6">
        <w:t>)</w:t>
      </w:r>
      <w:r>
        <w:t>.</w:t>
      </w:r>
    </w:p>
    <w:p w:rsidR="00221B8B" w:rsidRDefault="00221B8B" w:rsidP="00B807B5">
      <w:pPr>
        <w:pStyle w:val="Heading3"/>
      </w:pPr>
      <w:bookmarkStart w:id="193" w:name="_Toc393799377"/>
      <w:bookmarkStart w:id="194" w:name="_Toc290846301"/>
      <w:bookmarkStart w:id="195" w:name="_Toc272414663"/>
      <w:bookmarkStart w:id="196" w:name="_Ref271044764"/>
      <w:bookmarkStart w:id="197" w:name="_Toc241374319"/>
      <w:bookmarkStart w:id="198" w:name="_Toc436128351"/>
      <w:r>
        <w:t xml:space="preserve">Adverse </w:t>
      </w:r>
      <w:r w:rsidRPr="00B807B5">
        <w:t>events</w:t>
      </w:r>
      <w:bookmarkEnd w:id="193"/>
      <w:bookmarkEnd w:id="194"/>
      <w:bookmarkEnd w:id="195"/>
      <w:bookmarkEnd w:id="196"/>
      <w:bookmarkEnd w:id="197"/>
      <w:bookmarkEnd w:id="198"/>
    </w:p>
    <w:p w:rsidR="00221B8B" w:rsidRDefault="00221B8B" w:rsidP="00B807B5">
      <w:pPr>
        <w:pStyle w:val="Heading4"/>
      </w:pPr>
      <w:bookmarkStart w:id="199" w:name="_Toc393799378"/>
      <w:bookmarkStart w:id="200" w:name="_Toc290846302"/>
      <w:bookmarkStart w:id="201" w:name="_Toc272414664"/>
      <w:bookmarkStart w:id="202" w:name="_Ref272333565"/>
      <w:bookmarkStart w:id="203" w:name="_Ref272317284"/>
      <w:r>
        <w:t>All adverse events (irrespective of relationship to study treatment)</w:t>
      </w:r>
      <w:bookmarkEnd w:id="199"/>
      <w:bookmarkEnd w:id="200"/>
      <w:bookmarkEnd w:id="201"/>
      <w:bookmarkEnd w:id="202"/>
      <w:bookmarkEnd w:id="203"/>
    </w:p>
    <w:p w:rsidR="00221B8B" w:rsidRDefault="00221B8B" w:rsidP="00B807B5">
      <w:pPr>
        <w:pStyle w:val="Heading5"/>
      </w:pPr>
      <w:bookmarkStart w:id="204" w:name="_Ref389481003"/>
      <w:r>
        <w:t xml:space="preserve">Pivotal </w:t>
      </w:r>
      <w:r w:rsidRPr="00B807B5">
        <w:t>studies</w:t>
      </w:r>
      <w:bookmarkEnd w:id="204"/>
    </w:p>
    <w:p w:rsidR="00221B8B" w:rsidRDefault="00221B8B" w:rsidP="00B807B5">
      <w:r>
        <w:rPr>
          <w:b/>
        </w:rPr>
        <w:t>Study 14874</w:t>
      </w:r>
      <w:r>
        <w:t xml:space="preserve"> – During the double-blind period, treatment-emergent adverse events (TEAEs)</w:t>
      </w:r>
      <w:r>
        <w:rPr>
          <w:rStyle w:val="FootnoteReference"/>
          <w:rFonts w:eastAsia="TimesNewRoman"/>
        </w:rPr>
        <w:footnoteReference w:id="1"/>
      </w:r>
      <w:r>
        <w:t xml:space="preserve"> were experienced by 132/132 (100%) of patients randomised to receive </w:t>
      </w:r>
      <w:proofErr w:type="spellStart"/>
      <w:r>
        <w:t>regorafenib</w:t>
      </w:r>
      <w:proofErr w:type="spellEnd"/>
      <w:r>
        <w:t xml:space="preserve"> + BSC and by 61/66 (92.4%) of patients randomised to receive placebo + BSC. TEAEs that occurred at a &gt;10% higher frequency in the </w:t>
      </w:r>
      <w:proofErr w:type="spellStart"/>
      <w:r>
        <w:t>regorafenib</w:t>
      </w:r>
      <w:proofErr w:type="spellEnd"/>
      <w:r>
        <w:t xml:space="preserve"> + BSC arm compared to the placebo + BSC arm included hypertension (59.1% </w:t>
      </w:r>
      <w:r w:rsidR="008B3958">
        <w:t>versus</w:t>
      </w:r>
      <w:r>
        <w:t xml:space="preserve"> 27.3%), HFSR (56.8% </w:t>
      </w:r>
      <w:r w:rsidR="008B3958">
        <w:t>versus</w:t>
      </w:r>
      <w:r>
        <w:t xml:space="preserve"> 13.6%), fatigue (50.0% </w:t>
      </w:r>
      <w:r w:rsidR="008B3958">
        <w:t>versus</w:t>
      </w:r>
      <w:r>
        <w:t xml:space="preserve"> 37.9%), diarrhoea (46.2% </w:t>
      </w:r>
      <w:r w:rsidR="008B3958">
        <w:t>versus</w:t>
      </w:r>
      <w:r>
        <w:t xml:space="preserve"> 9.1 %), oral </w:t>
      </w:r>
      <w:proofErr w:type="spellStart"/>
      <w:r>
        <w:t>mucositis</w:t>
      </w:r>
      <w:proofErr w:type="spellEnd"/>
      <w:r>
        <w:t xml:space="preserve"> (40.9% </w:t>
      </w:r>
      <w:r w:rsidR="008B3958">
        <w:t>versus</w:t>
      </w:r>
      <w:r>
        <w:t xml:space="preserve"> 7.6 %), infections and infestations (37.1% </w:t>
      </w:r>
      <w:r w:rsidR="008B3958">
        <w:t>versus</w:t>
      </w:r>
      <w:r>
        <w:t xml:space="preserve"> 7.6%), hypothyroidism (14.4% </w:t>
      </w:r>
      <w:r w:rsidR="008B3958">
        <w:t>versus</w:t>
      </w:r>
      <w:r>
        <w:t xml:space="preserve"> 3.0%), abdominal pain (26.5% </w:t>
      </w:r>
      <w:r w:rsidR="008B3958">
        <w:t>versus</w:t>
      </w:r>
      <w:r>
        <w:t xml:space="preserve"> 15.2%), </w:t>
      </w:r>
      <w:proofErr w:type="spellStart"/>
      <w:r>
        <w:t>maculopapular</w:t>
      </w:r>
      <w:proofErr w:type="spellEnd"/>
      <w:r>
        <w:t xml:space="preserve"> rash (18.2% </w:t>
      </w:r>
      <w:r w:rsidR="008B3958">
        <w:t>versus</w:t>
      </w:r>
      <w:r>
        <w:t xml:space="preserve"> 3.0%), alopecia (24.2% </w:t>
      </w:r>
      <w:r w:rsidR="008B3958">
        <w:t>versus</w:t>
      </w:r>
      <w:r>
        <w:t xml:space="preserve"> 1.5 %), and hoarseness (24.2% </w:t>
      </w:r>
      <w:r w:rsidR="008B3958">
        <w:t>versus</w:t>
      </w:r>
      <w:r>
        <w:t xml:space="preserve"> 6.1%). The incidence of treatment-emergent </w:t>
      </w:r>
      <w:r w:rsidR="00FC745B">
        <w:t>Grade 3</w:t>
      </w:r>
      <w:r>
        <w:t xml:space="preserve"> and 4 adverse events generally followed the same pattern as overall adverse events. During the double-blind period, </w:t>
      </w:r>
      <w:r w:rsidR="00FC745B">
        <w:t>Grade 3</w:t>
      </w:r>
      <w:r>
        <w:t xml:space="preserve"> events were </w:t>
      </w:r>
      <w:r w:rsidR="007412F6">
        <w:t>m</w:t>
      </w:r>
      <w:r>
        <w:t xml:space="preserve">ore common in the </w:t>
      </w:r>
      <w:proofErr w:type="spellStart"/>
      <w:r>
        <w:t>regorafenib</w:t>
      </w:r>
      <w:proofErr w:type="spellEnd"/>
      <w:r>
        <w:t xml:space="preserve"> group (64.4% compared to 25.8% in the placebo group), while the incidence of </w:t>
      </w:r>
      <w:r w:rsidR="00FC745B">
        <w:t>Grade 4</w:t>
      </w:r>
      <w:r>
        <w:t xml:space="preserve"> events was similar across the two arms (6.8% in the </w:t>
      </w:r>
      <w:proofErr w:type="spellStart"/>
      <w:r>
        <w:t>regorafenib</w:t>
      </w:r>
      <w:proofErr w:type="spellEnd"/>
      <w:r>
        <w:t xml:space="preserve"> group </w:t>
      </w:r>
      <w:r w:rsidR="008B3958">
        <w:t>versus</w:t>
      </w:r>
      <w:r>
        <w:t xml:space="preserve"> 6.1% in the placebo group). The incidence of </w:t>
      </w:r>
      <w:r w:rsidR="00440FE3">
        <w:t>Grade 5</w:t>
      </w:r>
      <w:r>
        <w:t xml:space="preserve"> TEAEs (events leading to death) in the double-blind treatment period was </w:t>
      </w:r>
      <w:r>
        <w:lastRenderedPageBreak/>
        <w:t xml:space="preserve">5.3% in the </w:t>
      </w:r>
      <w:proofErr w:type="spellStart"/>
      <w:r>
        <w:t>regorafenib</w:t>
      </w:r>
      <w:proofErr w:type="spellEnd"/>
      <w:r>
        <w:t xml:space="preserve"> group compared to 4.5% in the placebo group, and was 8.5% in the combined treatment period overall. The latter are discussed further </w:t>
      </w:r>
      <w:r w:rsidR="007412F6">
        <w:t>below</w:t>
      </w:r>
      <w:r>
        <w:t>.</w:t>
      </w:r>
    </w:p>
    <w:p w:rsidR="00221B8B" w:rsidRDefault="00221B8B" w:rsidP="00B807B5">
      <w:pPr>
        <w:ind w:left="1134" w:hanging="1134"/>
      </w:pPr>
      <w:r w:rsidRPr="007412F6">
        <w:rPr>
          <w:b/>
        </w:rPr>
        <w:t>Comment</w:t>
      </w:r>
      <w:r>
        <w:t>:</w:t>
      </w:r>
      <w:r w:rsidR="00B807B5">
        <w:tab/>
      </w:r>
      <w:r>
        <w:t xml:space="preserve">It is noted that </w:t>
      </w:r>
      <w:r w:rsidR="007412F6">
        <w:t xml:space="preserve">the </w:t>
      </w:r>
      <w:r>
        <w:t xml:space="preserve">incidence of AEs are higher in the </w:t>
      </w:r>
      <w:proofErr w:type="spellStart"/>
      <w:r>
        <w:t>regorafenib</w:t>
      </w:r>
      <w:proofErr w:type="spellEnd"/>
      <w:r>
        <w:t xml:space="preserve"> group compared to placebo across all SOCs, and there is a higher rate of </w:t>
      </w:r>
      <w:r w:rsidR="00FC745B">
        <w:t>Grade 3</w:t>
      </w:r>
      <w:r>
        <w:t xml:space="preserve"> TEAEs in the </w:t>
      </w:r>
      <w:proofErr w:type="spellStart"/>
      <w:r>
        <w:t>regorafenib</w:t>
      </w:r>
      <w:proofErr w:type="spellEnd"/>
      <w:r>
        <w:t xml:space="preserve"> group compared to placebo in the double-blind period.</w:t>
      </w:r>
    </w:p>
    <w:p w:rsidR="00221B8B" w:rsidRDefault="00221B8B" w:rsidP="00B807B5">
      <w:pPr>
        <w:ind w:left="1134"/>
        <w:rPr>
          <w:rFonts w:eastAsia="TimesNewRoman"/>
        </w:rPr>
      </w:pPr>
      <w:r w:rsidRPr="00A33667">
        <w:t xml:space="preserve">Inspection of all TEAEs during the double blind period (CSR Table 14.3.3/3) also revealed </w:t>
      </w:r>
      <w:r>
        <w:rPr>
          <w:rFonts w:eastAsia="TimesNewRoman"/>
        </w:rPr>
        <w:t xml:space="preserve">Ear and labyrinth disorders </w:t>
      </w:r>
      <w:r w:rsidRPr="00A33667">
        <w:t xml:space="preserve">were more commonly seen in the </w:t>
      </w:r>
      <w:proofErr w:type="spellStart"/>
      <w:r w:rsidRPr="00A33667">
        <w:t>regorafenib</w:t>
      </w:r>
      <w:proofErr w:type="spellEnd"/>
      <w:r w:rsidRPr="00A33667">
        <w:t xml:space="preserve"> arm compared to placebo</w:t>
      </w:r>
      <w:r>
        <w:rPr>
          <w:rFonts w:eastAsia="TimesNewRoman"/>
        </w:rPr>
        <w:t xml:space="preserve"> (10.6% </w:t>
      </w:r>
      <w:r w:rsidR="008B3958">
        <w:rPr>
          <w:rFonts w:eastAsia="TimesNewRoman"/>
        </w:rPr>
        <w:t>versus</w:t>
      </w:r>
      <w:r>
        <w:rPr>
          <w:rFonts w:eastAsia="TimesNewRoman"/>
        </w:rPr>
        <w:t xml:space="preserve"> 3.0%), which included Hearing impaired (3.8% </w:t>
      </w:r>
      <w:r w:rsidR="008B3958">
        <w:rPr>
          <w:rFonts w:eastAsia="TimesNewRoman"/>
        </w:rPr>
        <w:t>versus</w:t>
      </w:r>
      <w:r>
        <w:rPr>
          <w:rFonts w:eastAsia="TimesNewRoman"/>
        </w:rPr>
        <w:t>0%), Tin</w:t>
      </w:r>
      <w:r w:rsidR="0033594E">
        <w:rPr>
          <w:rFonts w:eastAsia="TimesNewRoman"/>
        </w:rPr>
        <w:t>n</w:t>
      </w:r>
      <w:r>
        <w:rPr>
          <w:rFonts w:eastAsia="TimesNewRoman"/>
        </w:rPr>
        <w:t xml:space="preserve">itus(1.5% </w:t>
      </w:r>
      <w:r w:rsidR="008B3958">
        <w:rPr>
          <w:rFonts w:eastAsia="TimesNewRoman"/>
        </w:rPr>
        <w:t>versus</w:t>
      </w:r>
      <w:r>
        <w:rPr>
          <w:rFonts w:eastAsia="TimesNewRoman"/>
        </w:rPr>
        <w:t xml:space="preserve"> 0%), Vertigo (4.5% </w:t>
      </w:r>
      <w:r w:rsidR="008B3958">
        <w:rPr>
          <w:rFonts w:eastAsia="TimesNewRoman"/>
        </w:rPr>
        <w:t>versus</w:t>
      </w:r>
      <w:r>
        <w:rPr>
          <w:rFonts w:eastAsia="TimesNewRoman"/>
        </w:rPr>
        <w:t xml:space="preserve"> 3.0%), and Other (2.3% </w:t>
      </w:r>
      <w:r w:rsidR="008B3958">
        <w:rPr>
          <w:rFonts w:eastAsia="TimesNewRoman"/>
        </w:rPr>
        <w:t>versus</w:t>
      </w:r>
      <w:r>
        <w:rPr>
          <w:rFonts w:eastAsia="TimesNewRoman"/>
        </w:rPr>
        <w:t xml:space="preserve"> 0%). This data indicates that combined ear and labyrinth disorders are an adverse effect of </w:t>
      </w:r>
      <w:proofErr w:type="spellStart"/>
      <w:r>
        <w:rPr>
          <w:rFonts w:eastAsia="TimesNewRoman"/>
        </w:rPr>
        <w:t>regorafenib</w:t>
      </w:r>
      <w:proofErr w:type="spellEnd"/>
      <w:r>
        <w:rPr>
          <w:rFonts w:eastAsia="TimesNewRoman"/>
        </w:rPr>
        <w:t xml:space="preserve"> which is experienced more frequently than with placebo treatment, and, although an overall category, is of relevance for clinical decision-making and should be included as an adverse reaction in the PI.</w:t>
      </w:r>
    </w:p>
    <w:p w:rsidR="00221B8B" w:rsidRDefault="00221B8B" w:rsidP="00B807B5">
      <w:pPr>
        <w:rPr>
          <w:rFonts w:eastAsia="Times New Roman"/>
        </w:rPr>
      </w:pPr>
      <w:r>
        <w:t xml:space="preserve">Assessments of the incidence of TEAEs by the subgroup categories of gender, age, race, ECOG PS, region, prior therapy, and BMI were performed. In general, these analyses showed similar rates of events across subgroups, with the exception of HFSR. The frequency of HFSR was observed to be higher among Asian patients who received </w:t>
      </w:r>
      <w:proofErr w:type="spellStart"/>
      <w:r>
        <w:t>regorafenib</w:t>
      </w:r>
      <w:proofErr w:type="spellEnd"/>
      <w:r>
        <w:t xml:space="preserve"> + BSC (82.4%) than among non-Asians (49.4%). In addition, </w:t>
      </w:r>
      <w:r w:rsidR="00FC745B">
        <w:t>Grade 3</w:t>
      </w:r>
      <w:r>
        <w:t xml:space="preserve"> and 4 AEs were more common in </w:t>
      </w:r>
      <w:proofErr w:type="spellStart"/>
      <w:r>
        <w:t>regorafenib</w:t>
      </w:r>
      <w:proofErr w:type="spellEnd"/>
      <w:r>
        <w:t xml:space="preserve"> treated patients who were aged ≥ 65 years (81.4%) compared to those aged &lt; 65 years (66.3%).</w:t>
      </w:r>
    </w:p>
    <w:p w:rsidR="00221B8B" w:rsidRDefault="00221B8B" w:rsidP="00B807B5">
      <w:pPr>
        <w:pStyle w:val="Heading5"/>
      </w:pPr>
      <w:r>
        <w:t xml:space="preserve">Other </w:t>
      </w:r>
      <w:r w:rsidRPr="00B807B5">
        <w:t>studies</w:t>
      </w:r>
    </w:p>
    <w:p w:rsidR="00221B8B" w:rsidRDefault="00221B8B" w:rsidP="00B807B5">
      <w:r>
        <w:rPr>
          <w:b/>
        </w:rPr>
        <w:t>Study 14935</w:t>
      </w:r>
      <w:r>
        <w:t xml:space="preserve"> – Data on all AEs was not presented, only those assessed as possibly study drug related.</w:t>
      </w:r>
    </w:p>
    <w:p w:rsidR="00221B8B" w:rsidRDefault="00221B8B" w:rsidP="00B807B5">
      <w:pPr>
        <w:rPr>
          <w:rFonts w:eastAsia="TimesNewRoman"/>
        </w:rPr>
      </w:pPr>
      <w:r>
        <w:rPr>
          <w:b/>
        </w:rPr>
        <w:t xml:space="preserve">Study 14596 </w:t>
      </w:r>
      <w:r>
        <w:t xml:space="preserve">– 36/36 (100%) of subjects experienced at least 1 TEAE , the most common being fatigue (77.8%), diarrhoea (55.6%), HFSR (52.8%), hypothyroidism (47.2%), anorexia (44.4%), nausea (41.7%), abdominal pain (41.7%), voice changes (38.9%), hypertension (36.1%), fever (36.1%), decreased haemoglobin (33.3%), constipation (33.3%), </w:t>
      </w:r>
      <w:proofErr w:type="spellStart"/>
      <w:r>
        <w:t>hyperbilirubinaemia</w:t>
      </w:r>
      <w:proofErr w:type="spellEnd"/>
      <w:r>
        <w:t xml:space="preserve"> (27.8%), weight loss (25.0%), ascites (25.0%) and headache (25.0%). </w:t>
      </w:r>
      <w:r>
        <w:rPr>
          <w:rFonts w:eastAsia="TimesNewRoman"/>
        </w:rPr>
        <w:t xml:space="preserve">18 (50.0%) subjects experienced at least 1 Grade 3 TEAE, 5 (13.9%) subjects experienced at least 1 Grade 4 TEAE, and 8 (22.2%) subjects experienced at least 1 Grade 5 TEAE. A listing </w:t>
      </w:r>
      <w:r w:rsidRPr="007412F6">
        <w:rPr>
          <w:rFonts w:eastAsia="TimesNewRoman"/>
        </w:rPr>
        <w:t xml:space="preserve">of TEAEs of worst </w:t>
      </w:r>
      <w:r w:rsidR="00FC745B" w:rsidRPr="007412F6">
        <w:rPr>
          <w:rFonts w:eastAsia="TimesNewRoman"/>
        </w:rPr>
        <w:t>Grade 3</w:t>
      </w:r>
      <w:r w:rsidRPr="007412F6">
        <w:rPr>
          <w:rFonts w:eastAsia="TimesNewRoman"/>
        </w:rPr>
        <w:t xml:space="preserve">-5 which affected at least 2 subjects in Study 14596 is listed in </w:t>
      </w:r>
      <w:r w:rsidR="007412F6" w:rsidRPr="007412F6">
        <w:rPr>
          <w:rFonts w:eastAsia="TimesNewRoman"/>
        </w:rPr>
        <w:t xml:space="preserve">Table 11. </w:t>
      </w:r>
      <w:r w:rsidRPr="007412F6">
        <w:rPr>
          <w:rFonts w:eastAsia="TimesNewRoman"/>
        </w:rPr>
        <w:t xml:space="preserve">Prolonged QTC was observed in 2 subjects (one </w:t>
      </w:r>
      <w:r w:rsidR="00FC745B" w:rsidRPr="007412F6">
        <w:rPr>
          <w:rFonts w:eastAsia="TimesNewRoman"/>
        </w:rPr>
        <w:t>Grade 2</w:t>
      </w:r>
      <w:r w:rsidRPr="007412F6">
        <w:rPr>
          <w:rFonts w:eastAsia="TimesNewRoman"/>
        </w:rPr>
        <w:t xml:space="preserve"> and one </w:t>
      </w:r>
      <w:r w:rsidR="00FC745B" w:rsidRPr="007412F6">
        <w:rPr>
          <w:rFonts w:eastAsia="TimesNewRoman"/>
        </w:rPr>
        <w:t>Grade 3</w:t>
      </w:r>
      <w:r w:rsidRPr="007412F6">
        <w:rPr>
          <w:rFonts w:eastAsia="TimesNewRoman"/>
        </w:rPr>
        <w:t>), one of which was attributed</w:t>
      </w:r>
      <w:r>
        <w:rPr>
          <w:rFonts w:eastAsia="TimesNewRoman"/>
        </w:rPr>
        <w:t xml:space="preserve"> to study treatment.</w:t>
      </w:r>
    </w:p>
    <w:p w:rsidR="007412F6" w:rsidRDefault="007412F6" w:rsidP="00B807B5">
      <w:pPr>
        <w:pStyle w:val="Tabletitle"/>
      </w:pPr>
      <w:bookmarkStart w:id="205" w:name="_Ref390164868"/>
      <w:bookmarkStart w:id="206" w:name="_Toc393799517"/>
      <w:r>
        <w:lastRenderedPageBreak/>
        <w:t>Table 11:</w:t>
      </w:r>
      <w:bookmarkEnd w:id="205"/>
      <w:r>
        <w:t xml:space="preserve"> TEAEs by worst CTCAE Grade 3 to 5 with total incidence ≥5% (SAF) in Study 14596</w:t>
      </w:r>
      <w:bookmarkEnd w:id="206"/>
    </w:p>
    <w:p w:rsidR="007412F6" w:rsidRDefault="007412F6" w:rsidP="00B807B5">
      <w:r>
        <w:rPr>
          <w:noProof/>
          <w:lang w:eastAsia="en-AU"/>
        </w:rPr>
        <w:drawing>
          <wp:inline distT="0" distB="0" distL="0" distR="0" wp14:anchorId="700255EC" wp14:editId="24A73D97">
            <wp:extent cx="4728117" cy="2977456"/>
            <wp:effectExtent l="0" t="0" r="0" b="0"/>
            <wp:docPr id="100" name="Picture 100" descr="Table 11: TEAEs by worst CTCAE Grade 3 to 5 with total incidence ≥5% (SAF) in Study 14596"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8760" cy="2977861"/>
                    </a:xfrm>
                    <a:prstGeom prst="rect">
                      <a:avLst/>
                    </a:prstGeom>
                    <a:noFill/>
                    <a:ln>
                      <a:noFill/>
                    </a:ln>
                  </pic:spPr>
                </pic:pic>
              </a:graphicData>
            </a:graphic>
          </wp:inline>
        </w:drawing>
      </w:r>
    </w:p>
    <w:p w:rsidR="00221B8B" w:rsidRDefault="00221B8B" w:rsidP="00B807B5">
      <w:pPr>
        <w:ind w:left="1134" w:hanging="1134"/>
      </w:pPr>
      <w:r w:rsidRPr="00B807B5">
        <w:rPr>
          <w:b/>
        </w:rPr>
        <w:t>Comment:</w:t>
      </w:r>
      <w:r w:rsidR="00B807B5">
        <w:tab/>
      </w:r>
      <w:r>
        <w:t xml:space="preserve">It can be seen from </w:t>
      </w:r>
      <w:r w:rsidR="007412F6">
        <w:t>Table 11</w:t>
      </w:r>
      <w:r>
        <w:t xml:space="preserve"> that in the subject population of Study</w:t>
      </w:r>
      <w:r w:rsidR="0033594E">
        <w:t>14596</w:t>
      </w:r>
      <w:r>
        <w:t xml:space="preserve">, nearly 20% of subjects experienced </w:t>
      </w:r>
      <w:r w:rsidR="00FC745B">
        <w:t>Grade 3</w:t>
      </w:r>
      <w:r>
        <w:t xml:space="preserve"> or 4 </w:t>
      </w:r>
      <w:proofErr w:type="spellStart"/>
      <w:r>
        <w:t>hyperbilirubinaemia</w:t>
      </w:r>
      <w:proofErr w:type="spellEnd"/>
      <w:r>
        <w:t xml:space="preserve">, and 2 subjects (5.6%) experienced </w:t>
      </w:r>
      <w:r w:rsidR="00440FE3">
        <w:t>Grade 5</w:t>
      </w:r>
      <w:r>
        <w:t xml:space="preserve"> liver dysfunction. This compares with 2.7% of treated subjects who experienced </w:t>
      </w:r>
      <w:r w:rsidR="00FC745B">
        <w:t>Grade 3</w:t>
      </w:r>
      <w:r>
        <w:t xml:space="preserve"> or 4 </w:t>
      </w:r>
      <w:proofErr w:type="spellStart"/>
      <w:r>
        <w:t>hyperbilirubinaemia</w:t>
      </w:r>
      <w:proofErr w:type="spellEnd"/>
      <w:r>
        <w:t xml:space="preserve"> in pivotal </w:t>
      </w:r>
      <w:r w:rsidR="004338FD">
        <w:t>Study 14</w:t>
      </w:r>
      <w:r>
        <w:t>874. Therefore, the risk of hepatic adverse events may be higher in subjects with HCC, or those with pre-existing hepatic impairment.</w:t>
      </w:r>
    </w:p>
    <w:p w:rsidR="00221B8B" w:rsidRDefault="00221B8B" w:rsidP="00B807B5">
      <w:pPr>
        <w:rPr>
          <w:rFonts w:eastAsia="Times New Roman"/>
        </w:rPr>
      </w:pPr>
      <w:r>
        <w:rPr>
          <w:b/>
        </w:rPr>
        <w:t>Global integrated analysis</w:t>
      </w:r>
      <w:r>
        <w:rPr>
          <w:rStyle w:val="FootnoteReference"/>
          <w:b/>
        </w:rPr>
        <w:footnoteReference w:id="2"/>
      </w:r>
      <w:r>
        <w:t xml:space="preserve"> – In Pool 1, overall 1067/1073 (99.4%) of subjects experienced any TEAE, of which 2.4% were of worst Grade 1, 18.7% Grade 2, 57.5% Grade 3, 9.0% Grade 4, and 11.7% were of worst Grade 5 and resulted in death. The most common AEs were HFSR (experienced by 49.7% of subjects), diarrhoea (42.8%), fatigue (42.1%), decreased appetite (40.4%), hypertension (36.1%), and dysphonia (32.1%). Other AEs of note include </w:t>
      </w:r>
      <w:proofErr w:type="spellStart"/>
      <w:r>
        <w:t>hyperbilirubinaemia</w:t>
      </w:r>
      <w:proofErr w:type="spellEnd"/>
      <w:r>
        <w:t xml:space="preserve"> in 97/1073 (9.0%) subjects, and infections and infestations in 389/1073 (36.3%) subjects.</w:t>
      </w:r>
    </w:p>
    <w:p w:rsidR="00221B8B" w:rsidRDefault="00221B8B" w:rsidP="00B807B5">
      <w:pPr>
        <w:ind w:left="1134" w:hanging="1134"/>
      </w:pPr>
      <w:r w:rsidRPr="007412F6">
        <w:rPr>
          <w:b/>
        </w:rPr>
        <w:t>Comment</w:t>
      </w:r>
      <w:r>
        <w:t>:</w:t>
      </w:r>
      <w:r w:rsidR="00B807B5">
        <w:tab/>
      </w:r>
      <w:r>
        <w:t xml:space="preserve">Overall the incidence of AEs is high in patients treated with </w:t>
      </w:r>
      <w:proofErr w:type="spellStart"/>
      <w:r>
        <w:t>regorafenib</w:t>
      </w:r>
      <w:proofErr w:type="spellEnd"/>
      <w:r>
        <w:t xml:space="preserve">, and the newly presented evidence is in keeping with that outlined in the PI. The most common AEs are consistent across the studies and pooled analyses, and include HFSR, fatigue, diarrhoea and hypertension. An increased incidence of infections and infestations was observed in the </w:t>
      </w:r>
      <w:proofErr w:type="spellStart"/>
      <w:r>
        <w:t>regorafenib</w:t>
      </w:r>
      <w:proofErr w:type="spellEnd"/>
      <w:r>
        <w:t xml:space="preserve"> arm compared to placebo in the pivotal study, and this was supported by the results of the Global integrated analysis.</w:t>
      </w:r>
    </w:p>
    <w:p w:rsidR="00221B8B" w:rsidRDefault="00221B8B" w:rsidP="00B807B5">
      <w:pPr>
        <w:pStyle w:val="Heading4"/>
      </w:pPr>
      <w:bookmarkStart w:id="207" w:name="_Toc393799379"/>
      <w:bookmarkStart w:id="208" w:name="_Toc290846303"/>
      <w:bookmarkStart w:id="209" w:name="_Toc272414665"/>
      <w:bookmarkStart w:id="210" w:name="_Ref272333567"/>
      <w:r>
        <w:t>Treatment-related adverse events (adverse drug reactions)</w:t>
      </w:r>
      <w:bookmarkEnd w:id="207"/>
      <w:bookmarkEnd w:id="208"/>
      <w:bookmarkEnd w:id="209"/>
      <w:bookmarkEnd w:id="210"/>
    </w:p>
    <w:p w:rsidR="00221B8B" w:rsidRDefault="00221B8B" w:rsidP="00B807B5">
      <w:pPr>
        <w:pStyle w:val="Heading5"/>
      </w:pPr>
      <w:bookmarkStart w:id="211" w:name="_Ref389467145"/>
      <w:r>
        <w:t xml:space="preserve">Pivotal </w:t>
      </w:r>
      <w:r w:rsidRPr="00B807B5">
        <w:t>studies</w:t>
      </w:r>
      <w:bookmarkEnd w:id="211"/>
    </w:p>
    <w:p w:rsidR="00221B8B" w:rsidRPr="00B807B5" w:rsidRDefault="00221B8B" w:rsidP="00B807B5">
      <w:r>
        <w:rPr>
          <w:b/>
        </w:rPr>
        <w:t xml:space="preserve">Study 14874 </w:t>
      </w:r>
      <w:r>
        <w:t>–</w:t>
      </w:r>
      <w:r>
        <w:rPr>
          <w:b/>
        </w:rPr>
        <w:t xml:space="preserve"> </w:t>
      </w:r>
      <w:r w:rsidRPr="00A33667">
        <w:t xml:space="preserve">Treatment-related TEAEs were reported for 130/132 (98.5%) of patients in the </w:t>
      </w:r>
      <w:proofErr w:type="spellStart"/>
      <w:r w:rsidRPr="00A33667">
        <w:t>regorafenib</w:t>
      </w:r>
      <w:proofErr w:type="spellEnd"/>
      <w:r w:rsidRPr="00A33667">
        <w:t xml:space="preserve"> + BSC arm and 45/66 (68.2%) of patients in the placebo + BSC arm. The </w:t>
      </w:r>
      <w:r>
        <w:t xml:space="preserve">most commonly occurring drug-related adverse events that occurred in the </w:t>
      </w:r>
      <w:proofErr w:type="spellStart"/>
      <w:r>
        <w:t>regorafenib</w:t>
      </w:r>
      <w:proofErr w:type="spellEnd"/>
      <w:r>
        <w:t xml:space="preserve">-treated patients were HFSR (56.1%), hypertension (48.5%), diarrhoea (40.2%), fatigue (38.6%), and oral </w:t>
      </w:r>
      <w:proofErr w:type="spellStart"/>
      <w:r>
        <w:t>mucositis</w:t>
      </w:r>
      <w:proofErr w:type="spellEnd"/>
      <w:r>
        <w:t xml:space="preserve"> (37.9%), while for the placebo arm they were</w:t>
      </w:r>
      <w:r w:rsidRPr="00A33667">
        <w:t xml:space="preserve"> fatigue, hypertension and HFSR. An </w:t>
      </w:r>
      <w:r w:rsidRPr="00B807B5">
        <w:lastRenderedPageBreak/>
        <w:t xml:space="preserve">overall higher incidence of infections was observed in the </w:t>
      </w:r>
      <w:proofErr w:type="spellStart"/>
      <w:r w:rsidRPr="00B807B5">
        <w:t>regorafenib</w:t>
      </w:r>
      <w:proofErr w:type="spellEnd"/>
      <w:r w:rsidRPr="00B807B5">
        <w:t xml:space="preserve"> + BSC arm (37.1%) as compared to placebo arm + BSC (7.6%).</w:t>
      </w:r>
    </w:p>
    <w:p w:rsidR="00221B8B" w:rsidRPr="00A33667" w:rsidRDefault="00221B8B" w:rsidP="00A33667">
      <w:r w:rsidRPr="00A33667">
        <w:t>Comment:</w:t>
      </w:r>
      <w:r w:rsidR="00B807B5" w:rsidRPr="00A33667">
        <w:tab/>
      </w:r>
      <w:r w:rsidRPr="00A33667">
        <w:t xml:space="preserve">The pattern of observed treatment-related AEs follows that of all TEAEs as described in Section </w:t>
      </w:r>
      <w:r w:rsidR="00837962" w:rsidRPr="00A33667">
        <w:t>All adverse events (irrespective of relationship to study treatment)</w:t>
      </w:r>
      <w:r w:rsidRPr="00A33667">
        <w:t>.</w:t>
      </w:r>
    </w:p>
    <w:p w:rsidR="00221B8B" w:rsidRDefault="00221B8B" w:rsidP="00B807B5">
      <w:pPr>
        <w:pStyle w:val="Heading5"/>
      </w:pPr>
      <w:r w:rsidRPr="00B807B5">
        <w:t>Other</w:t>
      </w:r>
      <w:r>
        <w:t xml:space="preserve"> studies</w:t>
      </w:r>
    </w:p>
    <w:p w:rsidR="00221B8B" w:rsidRDefault="00221B8B" w:rsidP="00B807B5">
      <w:r>
        <w:rPr>
          <w:b/>
        </w:rPr>
        <w:t>Study 14935</w:t>
      </w:r>
      <w:r>
        <w:t xml:space="preserve"> – The most commonly observed toxicities of any grade that were at least possibly study drug related included HFSR (85%), fatigue (79%), hypertension (67%), and diarrhoea (61%). Other commonly observed toxicities included hoarseness, myalgia, headache, </w:t>
      </w:r>
      <w:proofErr w:type="spellStart"/>
      <w:r>
        <w:t>hypophosphataemia</w:t>
      </w:r>
      <w:proofErr w:type="spellEnd"/>
      <w:r>
        <w:t xml:space="preserve">, nausea, anorexia, </w:t>
      </w:r>
      <w:proofErr w:type="spellStart"/>
      <w:r w:rsidR="0033594E" w:rsidRPr="0033594E">
        <w:t>mucositis</w:t>
      </w:r>
      <w:proofErr w:type="spellEnd"/>
      <w:r w:rsidR="00F153E0">
        <w:t xml:space="preserve"> </w:t>
      </w:r>
      <w:r>
        <w:t xml:space="preserve">oral and alopecia. Grade 3 toxicities occurring in ≥ 5% of patients and included hypertension (36%), HFSR (24%) and </w:t>
      </w:r>
      <w:proofErr w:type="spellStart"/>
      <w:r>
        <w:t>hypophosphataemia</w:t>
      </w:r>
      <w:proofErr w:type="spellEnd"/>
      <w:r>
        <w:t xml:space="preserve"> (15%).</w:t>
      </w:r>
      <w:r w:rsidR="00D35FA9">
        <w:rPr>
          <w:rStyle w:val="FootnoteReference"/>
        </w:rPr>
        <w:footnoteReference w:id="3"/>
      </w:r>
    </w:p>
    <w:p w:rsidR="00221B8B" w:rsidRDefault="00221B8B" w:rsidP="00B807B5">
      <w:r>
        <w:rPr>
          <w:b/>
        </w:rPr>
        <w:t xml:space="preserve">Study 14596 </w:t>
      </w:r>
      <w:r>
        <w:t>– 35/36 (97%) subjects experienced at least 1 drug-related TEAE. The most commonly observed were HFSR (97.2%)</w:t>
      </w:r>
      <w:r w:rsidR="00D35FA9">
        <w:rPr>
          <w:rStyle w:val="FootnoteReference"/>
        </w:rPr>
        <w:footnoteReference w:id="4"/>
      </w:r>
      <w:r>
        <w:t xml:space="preserve">, diarrhoea (53%), fatigue (53%), hypothyroidism (42%), anorexia (36%), hypertension (36%), nausea (33%), voice changes (28%) and constipation (25%). Of note, </w:t>
      </w:r>
      <w:r>
        <w:rPr>
          <w:rFonts w:eastAsia="TimesNewRoman"/>
        </w:rPr>
        <w:t xml:space="preserve">there was one report of </w:t>
      </w:r>
      <w:r w:rsidR="00FC745B">
        <w:rPr>
          <w:rFonts w:eastAsia="TimesNewRoman"/>
        </w:rPr>
        <w:t>Grade 3</w:t>
      </w:r>
      <w:r>
        <w:rPr>
          <w:rFonts w:eastAsia="TimesNewRoman"/>
        </w:rPr>
        <w:t xml:space="preserve"> prolonged QTC which was attributable to study treatment.</w:t>
      </w:r>
    </w:p>
    <w:p w:rsidR="00221B8B" w:rsidRDefault="00221B8B" w:rsidP="00B807B5">
      <w:r>
        <w:rPr>
          <w:b/>
        </w:rPr>
        <w:t>Global integrated analysis</w:t>
      </w:r>
      <w:r>
        <w:t xml:space="preserve"> – In Pool 1, overall 1001/1073 (93.3%) of subjects had any drug-related AE, the most common being HFSR (49.3%), diarrhoea (33.9%), fatigue (32.1%), hypertension (31.4%), dysphonia (28.6%) and decreased appetite (26.6%).</w:t>
      </w:r>
    </w:p>
    <w:p w:rsidR="00221B8B" w:rsidRDefault="00221B8B" w:rsidP="00B807B5">
      <w:pPr>
        <w:ind w:left="1134" w:hanging="1134"/>
      </w:pPr>
      <w:r w:rsidRPr="00837962">
        <w:rPr>
          <w:b/>
        </w:rPr>
        <w:t>Comment</w:t>
      </w:r>
      <w:r>
        <w:t>:</w:t>
      </w:r>
      <w:r w:rsidR="00B807B5">
        <w:tab/>
      </w:r>
      <w:r>
        <w:t xml:space="preserve">Based on the reported incidence of adverse events and treatment-related adverse events in pivotal Study 14874 and supported by Studies 14935, 14596, and the Global integrated analysis, the most commonly occurring AEs attributed to treatment with </w:t>
      </w:r>
      <w:proofErr w:type="spellStart"/>
      <w:r>
        <w:t>regorafenib</w:t>
      </w:r>
      <w:proofErr w:type="spellEnd"/>
      <w:r>
        <w:t xml:space="preserve"> include HFSR, hypertension, diarrhoea, fatigue and oral</w:t>
      </w:r>
      <w:r w:rsidR="0033594E" w:rsidRPr="0033594E">
        <w:t xml:space="preserve"> </w:t>
      </w:r>
      <w:proofErr w:type="spellStart"/>
      <w:r w:rsidR="0033594E" w:rsidRPr="0033594E">
        <w:t>mucositis</w:t>
      </w:r>
      <w:proofErr w:type="spellEnd"/>
      <w:r>
        <w:t xml:space="preserve">. Other treatment-related AEs to consider include hypothyroidism, </w:t>
      </w:r>
      <w:proofErr w:type="spellStart"/>
      <w:r>
        <w:t>maculopapular</w:t>
      </w:r>
      <w:proofErr w:type="spellEnd"/>
      <w:r>
        <w:t xml:space="preserve"> rash, alopecia, hoarseness and infections. These drug-related AEs are generally in keeping with the overall TEAEs outlined in Section </w:t>
      </w:r>
      <w:r w:rsidR="00837962" w:rsidRPr="00837962">
        <w:rPr>
          <w:i/>
        </w:rPr>
        <w:t>All adverse events (irrespective of relationship to study treatment)</w:t>
      </w:r>
      <w:r>
        <w:t>.</w:t>
      </w:r>
    </w:p>
    <w:p w:rsidR="00221B8B" w:rsidRDefault="00221B8B" w:rsidP="00B807B5">
      <w:pPr>
        <w:pStyle w:val="Heading4"/>
      </w:pPr>
      <w:bookmarkStart w:id="212" w:name="_Toc393799380"/>
      <w:bookmarkStart w:id="213" w:name="_Toc290846304"/>
      <w:bookmarkStart w:id="214" w:name="_Toc272414666"/>
      <w:bookmarkStart w:id="215" w:name="_Ref272333507"/>
      <w:bookmarkStart w:id="216" w:name="_Toc241374320"/>
      <w:r>
        <w:t xml:space="preserve">Deaths and other </w:t>
      </w:r>
      <w:r w:rsidRPr="00B807B5">
        <w:t>serious</w:t>
      </w:r>
      <w:r>
        <w:t xml:space="preserve"> adverse events</w:t>
      </w:r>
      <w:bookmarkEnd w:id="212"/>
      <w:bookmarkEnd w:id="213"/>
      <w:bookmarkEnd w:id="214"/>
      <w:bookmarkEnd w:id="215"/>
      <w:bookmarkEnd w:id="216"/>
    </w:p>
    <w:p w:rsidR="00221B8B" w:rsidRDefault="00221B8B" w:rsidP="00B807B5">
      <w:pPr>
        <w:pStyle w:val="Heading5"/>
      </w:pPr>
      <w:bookmarkStart w:id="217" w:name="_Ref389478793"/>
      <w:r>
        <w:t xml:space="preserve">Pivotal </w:t>
      </w:r>
      <w:r w:rsidRPr="00B807B5">
        <w:t>studies</w:t>
      </w:r>
      <w:bookmarkEnd w:id="217"/>
    </w:p>
    <w:p w:rsidR="00221B8B" w:rsidRPr="00837962" w:rsidRDefault="00221B8B" w:rsidP="00B807B5">
      <w:pPr>
        <w:pStyle w:val="Heading6"/>
        <w:rPr>
          <w:rFonts w:eastAsia="TimesNewRoman"/>
        </w:rPr>
      </w:pPr>
      <w:r w:rsidRPr="00837962">
        <w:t xml:space="preserve">Study </w:t>
      </w:r>
      <w:r w:rsidRPr="00B807B5">
        <w:t>14874</w:t>
      </w:r>
    </w:p>
    <w:p w:rsidR="00221B8B" w:rsidRDefault="00221B8B" w:rsidP="00B807B5">
      <w:r w:rsidRPr="00862DCE">
        <w:rPr>
          <w:b/>
        </w:rPr>
        <w:t>Deaths</w:t>
      </w:r>
      <w:r>
        <w:t xml:space="preserve">: Up to data cut-off, 46 deaths overall were reported in </w:t>
      </w:r>
      <w:r w:rsidR="004338FD">
        <w:t>Study 14</w:t>
      </w:r>
      <w:r>
        <w:t xml:space="preserve">874, 29/133 (21.8%) in the </w:t>
      </w:r>
      <w:proofErr w:type="spellStart"/>
      <w:r>
        <w:t>regorafenib</w:t>
      </w:r>
      <w:proofErr w:type="spellEnd"/>
      <w:r>
        <w:t xml:space="preserve"> + BSC group and 17/66 (25.8%) in the placebo + BSC group. During the double-blind treatment period, there were 6/133 deaths (4.6%) in the </w:t>
      </w:r>
      <w:proofErr w:type="spellStart"/>
      <w:r>
        <w:t>regorafenib</w:t>
      </w:r>
      <w:proofErr w:type="spellEnd"/>
      <w:r>
        <w:t xml:space="preserve"> arm compared to 2/66 (3.0%) in the placebo arm, while in the open-label period there were 3/41 (2.3%) deaths in those originally randomised to </w:t>
      </w:r>
      <w:proofErr w:type="spellStart"/>
      <w:r>
        <w:t>regorafenib</w:t>
      </w:r>
      <w:proofErr w:type="spellEnd"/>
      <w:r>
        <w:t xml:space="preserve"> and 5/56 (7.6%) deaths in those originally randomised to placebo, giving rise to 16/188 deaths overall while on study treatment (8.5%). Grade 5 AEs were listed as being due to 1 event each of cardiac arrest, colonic perforation, disease progression, ileus, gastric obstruction, peritoneal necrosis, multi-organ failure, hepatic failure, sepsis, acidosis, ARDS, thromboembolic event, and 2 events of acute kidney injury and 3 events of ‘other’ (one patient has no reasons given for death).</w:t>
      </w:r>
    </w:p>
    <w:p w:rsidR="00221B8B" w:rsidRDefault="00221B8B" w:rsidP="00B807B5">
      <w:pPr>
        <w:ind w:left="1134" w:hanging="1134"/>
      </w:pPr>
      <w:r w:rsidRPr="00837962">
        <w:rPr>
          <w:b/>
        </w:rPr>
        <w:t>Comment</w:t>
      </w:r>
      <w:r>
        <w:t>:</w:t>
      </w:r>
      <w:r w:rsidR="00B807B5">
        <w:tab/>
      </w:r>
      <w:r>
        <w:t xml:space="preserve">There were no significant differences in the number of deaths between treatment arms in pivotal Study 14874. It is noted that the crossover of patients from the placebo arm to </w:t>
      </w:r>
      <w:proofErr w:type="spellStart"/>
      <w:r>
        <w:t>regorafenib</w:t>
      </w:r>
      <w:proofErr w:type="spellEnd"/>
      <w:r>
        <w:t xml:space="preserve"> treatment in the open label phase of the study confounds comparison between the two groups. </w:t>
      </w:r>
      <w:r w:rsidR="00837962">
        <w:t>The data</w:t>
      </w:r>
      <w:r>
        <w:rPr>
          <w:b/>
        </w:rPr>
        <w:t xml:space="preserve"> </w:t>
      </w:r>
      <w:r>
        <w:t xml:space="preserve">indicates that there were </w:t>
      </w:r>
      <w:r>
        <w:lastRenderedPageBreak/>
        <w:t xml:space="preserve">no deaths for patients while on treatment in the placebo arm during the double-blind treatment, but this may have been due to the relatively shorter time that patients remained on placebo compared to </w:t>
      </w:r>
      <w:proofErr w:type="spellStart"/>
      <w:r>
        <w:t>regorafenib</w:t>
      </w:r>
      <w:proofErr w:type="spellEnd"/>
      <w:r>
        <w:t xml:space="preserve"> (mean 9.1 weeks compared to 20.2 weeks during the double-blind period respectively).</w:t>
      </w:r>
    </w:p>
    <w:p w:rsidR="00221B8B" w:rsidRDefault="00221B8B" w:rsidP="00B807B5">
      <w:r>
        <w:t xml:space="preserve">7 deaths were reported as related to study drug treatment by investigators; 6 with </w:t>
      </w:r>
      <w:proofErr w:type="spellStart"/>
      <w:r>
        <w:t>regorafenib</w:t>
      </w:r>
      <w:proofErr w:type="spellEnd"/>
      <w:r>
        <w:t xml:space="preserve"> + BSC (n=2 in the double-blind period: cardiac arrest, acute hepatic failure; and n=4 in the open-label period: acute kidney injury, colonic perforation, adult respiratory distress syndrome, and thromboembolic event) and 1 with placebo + BSC (fatigue). Each of these deaths occurred within 30 days of last treatment with study drug. Two of the death cases reported as related to </w:t>
      </w:r>
      <w:proofErr w:type="spellStart"/>
      <w:r>
        <w:t>regorafenib</w:t>
      </w:r>
      <w:proofErr w:type="spellEnd"/>
      <w:r>
        <w:t xml:space="preserve"> were considered to be of specific interest: one fatal GI perforation possibly due to the anti-tumour effect of </w:t>
      </w:r>
      <w:proofErr w:type="spellStart"/>
      <w:r>
        <w:t>regorafenib</w:t>
      </w:r>
      <w:proofErr w:type="spellEnd"/>
      <w:r>
        <w:t xml:space="preserve"> and one acute hepatic failure compatible with </w:t>
      </w:r>
      <w:proofErr w:type="spellStart"/>
      <w:r>
        <w:t>regorafenib</w:t>
      </w:r>
      <w:proofErr w:type="spellEnd"/>
      <w:r>
        <w:t>-induced fatal liver injury.</w:t>
      </w:r>
    </w:p>
    <w:p w:rsidR="00221B8B" w:rsidRDefault="00221B8B" w:rsidP="00B807B5">
      <w:pPr>
        <w:ind w:left="1134" w:hanging="1134"/>
      </w:pPr>
      <w:r w:rsidRPr="00837962">
        <w:rPr>
          <w:b/>
        </w:rPr>
        <w:t>Comment</w:t>
      </w:r>
      <w:r>
        <w:t>:</w:t>
      </w:r>
      <w:r>
        <w:tab/>
        <w:t>It is noted that the patient who died of</w:t>
      </w:r>
      <w:r w:rsidR="00837962">
        <w:t xml:space="preserve"> acute hepatic failure [information redacted]</w:t>
      </w:r>
      <w:r>
        <w:t xml:space="preserve"> was a 49 year old Asian male with advanced GIST who had no history of hepatic disease and underwent acute hepatic changes 9 days after beginning his second cycle of </w:t>
      </w:r>
      <w:proofErr w:type="spellStart"/>
      <w:r>
        <w:t>regorafenib</w:t>
      </w:r>
      <w:proofErr w:type="spellEnd"/>
      <w:r>
        <w:t xml:space="preserve">. Both investigator and </w:t>
      </w:r>
      <w:r w:rsidR="00837962">
        <w:t>s</w:t>
      </w:r>
      <w:r>
        <w:t xml:space="preserve">ponsor attributed the cause of death to be due to treatment with </w:t>
      </w:r>
      <w:proofErr w:type="spellStart"/>
      <w:r>
        <w:t>regorafenib</w:t>
      </w:r>
      <w:proofErr w:type="spellEnd"/>
      <w:r>
        <w:t xml:space="preserve"> and no alterative explanation was provided. Severe drug induced liver injury is a known adverse effect of </w:t>
      </w:r>
      <w:proofErr w:type="spellStart"/>
      <w:r>
        <w:t>regorafenib</w:t>
      </w:r>
      <w:proofErr w:type="spellEnd"/>
      <w:r>
        <w:t xml:space="preserve"> that is included in the PI.</w:t>
      </w:r>
    </w:p>
    <w:p w:rsidR="00221B8B" w:rsidRDefault="00221B8B" w:rsidP="00B807B5">
      <w:pPr>
        <w:ind w:left="1134"/>
      </w:pPr>
      <w:r>
        <w:t xml:space="preserve">The subject who died of cardiac arrest </w:t>
      </w:r>
      <w:r w:rsidR="00837962">
        <w:t>[information redacted]</w:t>
      </w:r>
      <w:r>
        <w:t xml:space="preserve"> was a 76 year old man with a history of atrial fibrillation and hypertension on study entry, who had a sudden cardiac arrest immediately following his second cycle of blinded </w:t>
      </w:r>
      <w:proofErr w:type="spellStart"/>
      <w:r>
        <w:t>regorafenib</w:t>
      </w:r>
      <w:proofErr w:type="spellEnd"/>
      <w:r>
        <w:t xml:space="preserve"> treatment that resulted in death. Although the Investigator assessed that this death was possibly related to study drug, this was disputed by the sponsor. This evaluator agrees with the investigator that the event could have been related to study drug.</w:t>
      </w:r>
    </w:p>
    <w:p w:rsidR="00221B8B" w:rsidRDefault="00221B8B" w:rsidP="00B807B5">
      <w:pPr>
        <w:ind w:left="1134"/>
      </w:pPr>
      <w:r>
        <w:t xml:space="preserve">There were two deaths due to fatal GI perforation </w:t>
      </w:r>
      <w:r w:rsidR="00837962">
        <w:t>[information redacted]</w:t>
      </w:r>
      <w:r>
        <w:t xml:space="preserve"> in 58 and 65 year old males, one of which was assessed as possibly due to the anti-tumour effect of </w:t>
      </w:r>
      <w:proofErr w:type="spellStart"/>
      <w:r>
        <w:t>regorafenib</w:t>
      </w:r>
      <w:proofErr w:type="spellEnd"/>
      <w:r>
        <w:t>. This is of clinical relevance to consider in the treatment of patients with large GI tumours.</w:t>
      </w:r>
    </w:p>
    <w:p w:rsidR="00221B8B" w:rsidRDefault="00221B8B" w:rsidP="00B807B5">
      <w:pPr>
        <w:ind w:left="1134"/>
      </w:pPr>
      <w:r>
        <w:t xml:space="preserve">The death due to acute kidney injury/renal failure </w:t>
      </w:r>
      <w:r w:rsidR="00837962">
        <w:t>[information redacted]</w:t>
      </w:r>
      <w:r>
        <w:t xml:space="preserve"> was in an 80 year old man with no history of renal impairment, and was associated with an infection. The renal failure was attributed to study drug treatment by both the investigator and </w:t>
      </w:r>
      <w:r w:rsidR="00837962">
        <w:t>s</w:t>
      </w:r>
      <w:r>
        <w:t>ponsor.</w:t>
      </w:r>
      <w:r>
        <w:rPr>
          <w:rStyle w:val="FootnoteReference"/>
          <w:rFonts w:eastAsia="TimesNewRoman"/>
        </w:rPr>
        <w:footnoteReference w:id="5"/>
      </w:r>
    </w:p>
    <w:p w:rsidR="00221B8B" w:rsidRDefault="008B3958" w:rsidP="00B807B5">
      <w:pPr>
        <w:ind w:left="1134"/>
      </w:pPr>
      <w:r>
        <w:t>The sponsor</w:t>
      </w:r>
      <w:r w:rsidR="00221B8B">
        <w:t xml:space="preserve">’s assessment of the other case narratives of patients who died on study treatment appeared reasonable. It is noted that there were deaths due to sepsis attributed to progressive disease which were associated with sepsis, and these may have had a contributory effect from </w:t>
      </w:r>
      <w:proofErr w:type="spellStart"/>
      <w:r w:rsidR="00221B8B">
        <w:t>regorafenib</w:t>
      </w:r>
      <w:proofErr w:type="spellEnd"/>
      <w:r w:rsidR="00221B8B">
        <w:t xml:space="preserve"> treatment.</w:t>
      </w:r>
    </w:p>
    <w:p w:rsidR="00221B8B" w:rsidRDefault="00221B8B" w:rsidP="00B807B5">
      <w:r>
        <w:rPr>
          <w:b/>
        </w:rPr>
        <w:t>SAEs</w:t>
      </w:r>
      <w:r>
        <w:t xml:space="preserve">: During the double-blind period, SAEs occurred in 38/132 (28.8%) of patients who received treatment with </w:t>
      </w:r>
      <w:proofErr w:type="spellStart"/>
      <w:r>
        <w:t>regorafenib</w:t>
      </w:r>
      <w:proofErr w:type="spellEnd"/>
      <w:r>
        <w:t xml:space="preserve"> + BSC compared to 14/66 (21.2%) of patients who received placebo + BSC. During the combined double-blind and open-label period, SAEs were reported for 63/188 (33.5%) of patients.</w:t>
      </w:r>
    </w:p>
    <w:p w:rsidR="00221B8B" w:rsidRDefault="00221B8B" w:rsidP="00B807B5">
      <w:r>
        <w:t xml:space="preserve">The most commonly affected system for SAEs was the gastrointestinal system, for which a SAE was observed in 19/132 (14.4%) of </w:t>
      </w:r>
      <w:proofErr w:type="spellStart"/>
      <w:r>
        <w:t>regorafenib</w:t>
      </w:r>
      <w:proofErr w:type="spellEnd"/>
      <w:r>
        <w:t xml:space="preserve"> treated patients in the double-blind period (compared to 3/66 or 4.5% of placebo treated patients), and 24/188 (12.8%) of all treated subjects in the double-blind and open-label periods. Other SAEs which were observed more commonly in the </w:t>
      </w:r>
      <w:proofErr w:type="spellStart"/>
      <w:r>
        <w:t>regorafenib</w:t>
      </w:r>
      <w:proofErr w:type="spellEnd"/>
      <w:r>
        <w:t xml:space="preserve"> arm compared to placebo during the double-blind period included: fever (2.3% </w:t>
      </w:r>
      <w:r w:rsidR="008B3958">
        <w:t>versus</w:t>
      </w:r>
      <w:r>
        <w:t xml:space="preserve"> 0%), infections and infestations (3.8% </w:t>
      </w:r>
      <w:r w:rsidR="008B3958">
        <w:t>versus</w:t>
      </w:r>
      <w:r>
        <w:t xml:space="preserve"> 0%), investigations </w:t>
      </w:r>
      <w:r>
        <w:lastRenderedPageBreak/>
        <w:t xml:space="preserve">(3.0% </w:t>
      </w:r>
      <w:r w:rsidR="008B3958">
        <w:t>versus</w:t>
      </w:r>
      <w:r>
        <w:t xml:space="preserve"> 0%), nervous (3.0% </w:t>
      </w:r>
      <w:r w:rsidR="008B3958">
        <w:t>versus</w:t>
      </w:r>
      <w:r>
        <w:t xml:space="preserve"> 0%), renal and urinary (2.3% </w:t>
      </w:r>
      <w:r w:rsidR="008B3958">
        <w:t>versus</w:t>
      </w:r>
      <w:r>
        <w:t xml:space="preserve"> 0%) and vascular (2.3% </w:t>
      </w:r>
      <w:r w:rsidR="008B3958">
        <w:t>versus</w:t>
      </w:r>
      <w:r>
        <w:t xml:space="preserve"> 0%). The only SAE group for which there was a higher incidence in the placebo group compared to </w:t>
      </w:r>
      <w:proofErr w:type="spellStart"/>
      <w:r>
        <w:t>regorafenib</w:t>
      </w:r>
      <w:proofErr w:type="spellEnd"/>
      <w:r>
        <w:t xml:space="preserve"> was General and administrative site conditions (6.1% for </w:t>
      </w:r>
      <w:proofErr w:type="spellStart"/>
      <w:r>
        <w:t>regorafenib</w:t>
      </w:r>
      <w:proofErr w:type="spellEnd"/>
      <w:r>
        <w:t xml:space="preserve"> </w:t>
      </w:r>
      <w:r w:rsidR="008B3958">
        <w:t>versus</w:t>
      </w:r>
      <w:r>
        <w:t xml:space="preserve"> 12.1% for placebo), which included fatigue.</w:t>
      </w:r>
    </w:p>
    <w:p w:rsidR="00221B8B" w:rsidRDefault="00221B8B" w:rsidP="00B807B5">
      <w:pPr>
        <w:ind w:left="1134" w:hanging="1134"/>
      </w:pPr>
      <w:r w:rsidRPr="00837962">
        <w:rPr>
          <w:b/>
        </w:rPr>
        <w:t>Comment</w:t>
      </w:r>
      <w:r>
        <w:t>:</w:t>
      </w:r>
      <w:r w:rsidR="00B807B5">
        <w:tab/>
      </w:r>
      <w:r>
        <w:t xml:space="preserve">Although small numbers and the longer duration of subjects on </w:t>
      </w:r>
      <w:proofErr w:type="spellStart"/>
      <w:r>
        <w:t>regorafenib</w:t>
      </w:r>
      <w:proofErr w:type="spellEnd"/>
      <w:r>
        <w:t xml:space="preserve"> double-blind treatment compared to placebo are acknowledged, there is a general trend towards an increased incidence of SAEs with </w:t>
      </w:r>
      <w:proofErr w:type="spellStart"/>
      <w:r>
        <w:t>regorafenib</w:t>
      </w:r>
      <w:proofErr w:type="spellEnd"/>
      <w:r>
        <w:t xml:space="preserve"> treatment. Of particular note, increases in the incidence of severe infections, nervous conditions, and renal impairment are potentially of clinical relevance.</w:t>
      </w:r>
    </w:p>
    <w:p w:rsidR="00221B8B" w:rsidRDefault="00221B8B" w:rsidP="00B807B5">
      <w:pPr>
        <w:rPr>
          <w:rFonts w:eastAsia="Times New Roman"/>
        </w:rPr>
      </w:pPr>
      <w:r>
        <w:t xml:space="preserve">Of all SAEs, during the double-blind period 11/132 (8.3%) of patients in the </w:t>
      </w:r>
      <w:proofErr w:type="spellStart"/>
      <w:r>
        <w:t>regorafenib</w:t>
      </w:r>
      <w:proofErr w:type="spellEnd"/>
      <w:r>
        <w:t xml:space="preserve"> arm were considered to have SAEs that were considered related to drug treatment, while for all treated patients including the open-label period, 19/188 (10.1%) of subjects had a drug-related SAE. The most commonly reported drug-related SAEs included fatigue (1.6%), diarrhoea (1.1%), dehydration (1.1%) and thromboembolic event (1.1%).</w:t>
      </w:r>
    </w:p>
    <w:p w:rsidR="00221B8B" w:rsidRDefault="00221B8B" w:rsidP="00B807B5">
      <w:r>
        <w:t xml:space="preserve">Analysis of SAEs by subgroup revealed for the </w:t>
      </w:r>
      <w:proofErr w:type="spellStart"/>
      <w:r>
        <w:t>regorafenib</w:t>
      </w:r>
      <w:proofErr w:type="spellEnd"/>
      <w:r>
        <w:t xml:space="preserve"> group during the double-blind period, a higher incidence of SAEs in: males compared to females (31.0% </w:t>
      </w:r>
      <w:r w:rsidR="008B3958">
        <w:t>versus</w:t>
      </w:r>
      <w:r>
        <w:t xml:space="preserve"> 25.0%); older age groups (≥ 65 years) compared to younger (44.2% </w:t>
      </w:r>
      <w:r w:rsidR="008B3958">
        <w:t>versus</w:t>
      </w:r>
      <w:r>
        <w:t xml:space="preserve"> 21.3%); Asian patients compared to non-Asian (35.3% </w:t>
      </w:r>
      <w:r w:rsidR="008B3958">
        <w:t>versus</w:t>
      </w:r>
      <w:r>
        <w:t xml:space="preserve"> 22.5%); ECOG score of 1 compared to 0 (36.7% </w:t>
      </w:r>
      <w:r w:rsidR="008B3958">
        <w:t>versus</w:t>
      </w:r>
      <w:r>
        <w:t xml:space="preserve"> 22.2%), and lower BMI of &lt;25 compared to 25&lt;30 and ≥30 (33.3% </w:t>
      </w:r>
      <w:r w:rsidR="008B3958">
        <w:t>versus</w:t>
      </w:r>
      <w:r>
        <w:t xml:space="preserve"> 22.2% </w:t>
      </w:r>
      <w:r w:rsidR="008B3958">
        <w:t>versus</w:t>
      </w:r>
      <w:r>
        <w:t xml:space="preserve"> 14.3%). No differences were observed according to history of prior therapy (</w:t>
      </w:r>
      <w:r w:rsidR="008B3958">
        <w:t>third</w:t>
      </w:r>
      <w:r>
        <w:t xml:space="preserve"> or </w:t>
      </w:r>
      <w:r w:rsidR="008B3958">
        <w:t>fourth</w:t>
      </w:r>
      <w:r>
        <w:t xml:space="preserve"> line).</w:t>
      </w:r>
    </w:p>
    <w:p w:rsidR="00221B8B" w:rsidRDefault="00221B8B" w:rsidP="00B807B5">
      <w:pPr>
        <w:pStyle w:val="Heading5"/>
      </w:pPr>
      <w:bookmarkStart w:id="218" w:name="_Ref390791145"/>
      <w:r>
        <w:t xml:space="preserve">Other </w:t>
      </w:r>
      <w:r w:rsidRPr="00B807B5">
        <w:t>studies</w:t>
      </w:r>
      <w:bookmarkEnd w:id="218"/>
    </w:p>
    <w:p w:rsidR="00221B8B" w:rsidRDefault="00221B8B" w:rsidP="00B807B5">
      <w:r w:rsidRPr="00862DCE">
        <w:rPr>
          <w:i/>
        </w:rPr>
        <w:t>Study 14935</w:t>
      </w:r>
      <w:r>
        <w:t xml:space="preserve"> – No subjects were reported to have died while on treatment, and SAEs were not specifically reported in the published paper.</w:t>
      </w:r>
    </w:p>
    <w:p w:rsidR="00221B8B" w:rsidRDefault="00221B8B" w:rsidP="00B807B5">
      <w:r w:rsidRPr="00862DCE">
        <w:rPr>
          <w:i/>
        </w:rPr>
        <w:t>Study 14596</w:t>
      </w:r>
      <w:r>
        <w:rPr>
          <w:b/>
        </w:rPr>
        <w:t xml:space="preserve"> </w:t>
      </w:r>
      <w:r>
        <w:t>– 25/36 (69.4%) subjects died in the study as of the database cut-off of 01 March 2012. Of these deaths, 8 (22.2%) were assessed as treatment –emergent of worst Grade 5 by CTCAE term and included: hematoma (1 subject); CNS haemorrhage (2 subjects); death not associated with CTCAE term, disease progression NOS (2 subjects); liver dysfunction (2 subjects); and metabolic / lab, other (1 subject). Of these, only the death of 1 subject due to haematoma was considered by the investigator to be related to study treatment. 21/36 (58.3%) subjects experienced at least 1 SAE, of which 5/36 (13.9%) experienced a SAE that was determined by the investigator to be drug-related.</w:t>
      </w:r>
    </w:p>
    <w:p w:rsidR="00221B8B" w:rsidRDefault="00221B8B" w:rsidP="00B807B5">
      <w:pPr>
        <w:ind w:left="1134" w:hanging="1134"/>
      </w:pPr>
      <w:r w:rsidRPr="00837962">
        <w:rPr>
          <w:b/>
        </w:rPr>
        <w:t>Comment</w:t>
      </w:r>
      <w:r>
        <w:t>:</w:t>
      </w:r>
      <w:r w:rsidR="00B807B5">
        <w:tab/>
      </w:r>
      <w:r>
        <w:t xml:space="preserve">It is noted that 2/36 (5.6%) subjects in Study 14506 died as a result of liver dysfunction. Although it is acknowledged that this patient population with HCC may be predisposed to hepatic impairment and injury, particular caution may be warranted in the administration of </w:t>
      </w:r>
      <w:proofErr w:type="spellStart"/>
      <w:r>
        <w:t>regorafenib</w:t>
      </w:r>
      <w:proofErr w:type="spellEnd"/>
      <w:r>
        <w:t xml:space="preserve"> to these patients.</w:t>
      </w:r>
    </w:p>
    <w:p w:rsidR="00221B8B" w:rsidRDefault="00221B8B" w:rsidP="00B807B5">
      <w:pPr>
        <w:rPr>
          <w:rFonts w:eastAsia="Times New Roman"/>
        </w:rPr>
      </w:pPr>
      <w:r>
        <w:rPr>
          <w:b/>
        </w:rPr>
        <w:t>Global integrated analysis</w:t>
      </w:r>
      <w:r>
        <w:t xml:space="preserve"> – in Pool 1, 126/1073 (11.7%) of subjects died during treatment and up to 30 days post permanent treatment discontinuation. The most commonly reported reason for death was progressive disease in 98/126 (77.8%). However, on inspection of the listing of Grade 5 events by </w:t>
      </w:r>
      <w:proofErr w:type="spellStart"/>
      <w:r>
        <w:t>MedDRA</w:t>
      </w:r>
      <w:proofErr w:type="spellEnd"/>
      <w:r>
        <w:t xml:space="preserve"> PT it can be seen that 16/1073 subjects died from hepatic-related causes, and 10/1073 subjects died from bleeding events.</w:t>
      </w:r>
    </w:p>
    <w:p w:rsidR="00221B8B" w:rsidRDefault="00221B8B" w:rsidP="00B807B5">
      <w:r>
        <w:t xml:space="preserve">In Pool 1 of the Global integrated analysis, 486/1073 (45.3%) of subjects were noted to have a SAE while on </w:t>
      </w:r>
      <w:proofErr w:type="spellStart"/>
      <w:r>
        <w:t>regorafenib</w:t>
      </w:r>
      <w:proofErr w:type="spellEnd"/>
      <w:r>
        <w:t xml:space="preserve"> treatment. The most common SAEs were general physical health deterioration (4.1%), abdominal pain (3.0%), pyrexia (2.5%), diarrhoea and dyspnoea (both 1.7%). The overall individual frequency of SAEs was low by </w:t>
      </w:r>
      <w:proofErr w:type="spellStart"/>
      <w:r>
        <w:t>MedDRA</w:t>
      </w:r>
      <w:proofErr w:type="spellEnd"/>
      <w:r>
        <w:t xml:space="preserve"> PT.</w:t>
      </w:r>
    </w:p>
    <w:p w:rsidR="00221B8B" w:rsidRDefault="00221B8B" w:rsidP="00B807B5">
      <w:r>
        <w:rPr>
          <w:b/>
        </w:rPr>
        <w:t>Non-pooled completed combination trials</w:t>
      </w:r>
      <w:r>
        <w:t xml:space="preserve"> – In Study 11656, 1 patient died from acute hepatic failure which was attributed by the investigator to study treatment with </w:t>
      </w:r>
      <w:proofErr w:type="spellStart"/>
      <w:r>
        <w:t>regorafenib</w:t>
      </w:r>
      <w:proofErr w:type="spellEnd"/>
      <w:r>
        <w:t xml:space="preserve"> in combination with mFOLFOX6.</w:t>
      </w:r>
    </w:p>
    <w:p w:rsidR="00221B8B" w:rsidRDefault="00221B8B" w:rsidP="00B807B5">
      <w:r>
        <w:rPr>
          <w:b/>
        </w:rPr>
        <w:lastRenderedPageBreak/>
        <w:t>Ongoing studies</w:t>
      </w:r>
      <w:r>
        <w:t xml:space="preserve"> - In the ongoing non-pooled studies including approximately 2,785 cancer patients, a total of 269 deaths were reported up to the data cut-off date of 28 </w:t>
      </w:r>
      <w:r w:rsidR="00837962">
        <w:t>February</w:t>
      </w:r>
      <w:r>
        <w:t xml:space="preserve"> 2013. A brief listing was provided of these deaths, but no case narratives were submitted. It was noted that of the 269 deaths, 17 were associated with hepatic causes, 9 associated with cardiovascular causes, and 8 were associated with renal failure.</w:t>
      </w:r>
    </w:p>
    <w:p w:rsidR="00221B8B" w:rsidRDefault="00221B8B" w:rsidP="00B807B5">
      <w:pPr>
        <w:ind w:left="1134" w:hanging="1134"/>
      </w:pPr>
      <w:r w:rsidRPr="00837962">
        <w:rPr>
          <w:b/>
        </w:rPr>
        <w:t>Comment</w:t>
      </w:r>
      <w:r>
        <w:t>:</w:t>
      </w:r>
      <w:r w:rsidR="00B807B5">
        <w:tab/>
      </w:r>
      <w:r>
        <w:t xml:space="preserve">The most common cause of death across the submitted studies was disease progression, as would be expected in cancer patient populations. However, potential </w:t>
      </w:r>
      <w:proofErr w:type="spellStart"/>
      <w:r>
        <w:t>regorafenib</w:t>
      </w:r>
      <w:proofErr w:type="spellEnd"/>
      <w:r>
        <w:t>-related deaths include those from hepatic impairment, cardiovascular and thromboembolic events, renal impairment, infections, perforations and bleeding, and these should be considered adverse events of treatment. The overall frequency of individual SAEs was low with no specific SAE predominating.</w:t>
      </w:r>
    </w:p>
    <w:p w:rsidR="00221B8B" w:rsidRDefault="00221B8B" w:rsidP="00B807B5">
      <w:pPr>
        <w:pStyle w:val="Heading4"/>
      </w:pPr>
      <w:bookmarkStart w:id="219" w:name="_Toc393799381"/>
      <w:bookmarkStart w:id="220" w:name="_Toc290846305"/>
      <w:bookmarkStart w:id="221" w:name="_Toc272414667"/>
      <w:bookmarkStart w:id="222" w:name="_Ref272333477"/>
      <w:bookmarkStart w:id="223" w:name="_Toc241374325"/>
      <w:r w:rsidRPr="00B807B5">
        <w:t>Discontinuation</w:t>
      </w:r>
      <w:r>
        <w:t xml:space="preserve"> due to adverse events</w:t>
      </w:r>
      <w:bookmarkEnd w:id="219"/>
      <w:bookmarkEnd w:id="220"/>
      <w:bookmarkEnd w:id="221"/>
      <w:bookmarkEnd w:id="222"/>
      <w:bookmarkEnd w:id="223"/>
    </w:p>
    <w:p w:rsidR="00221B8B" w:rsidRDefault="00221B8B" w:rsidP="00B807B5">
      <w:pPr>
        <w:pStyle w:val="Heading5"/>
      </w:pPr>
      <w:r>
        <w:t xml:space="preserve">Pivotal </w:t>
      </w:r>
      <w:r w:rsidRPr="00B807B5">
        <w:t>studies</w:t>
      </w:r>
    </w:p>
    <w:p w:rsidR="00221B8B" w:rsidRDefault="00221B8B" w:rsidP="00B807B5">
      <w:r>
        <w:rPr>
          <w:b/>
        </w:rPr>
        <w:t xml:space="preserve">Study 14874 </w:t>
      </w:r>
      <w:r>
        <w:t xml:space="preserve">– During the double blind period, dose modifications (interruptions, delays, reductions) or discontinuations were more common among patients who received </w:t>
      </w:r>
      <w:proofErr w:type="spellStart"/>
      <w:r>
        <w:t>regorafenib</w:t>
      </w:r>
      <w:proofErr w:type="spellEnd"/>
      <w:r>
        <w:t xml:space="preserve"> + BSC compared to placebo + BSC. The incidence of TEAEs leading to permanent treatment discontinuation was 8/132 (6.1%) in the </w:t>
      </w:r>
      <w:proofErr w:type="spellStart"/>
      <w:r>
        <w:t>regorafenib</w:t>
      </w:r>
      <w:proofErr w:type="spellEnd"/>
      <w:r>
        <w:t xml:space="preserve"> + BSC arm compared to 5/66 (7.6%) in the placebo+ BSC arm. During the combined double-blind and open-label period, AEs leading to dose modifications were reported for 132/188 (70.2%) of patients, and AEs causing discontinuations were reported for 16/188 (8.5%) of patients.</w:t>
      </w:r>
    </w:p>
    <w:p w:rsidR="00221B8B" w:rsidRDefault="00221B8B" w:rsidP="00B807B5">
      <w:r>
        <w:t xml:space="preserve">There were no predominant conditions that resulted in discontinuation of study drug. In the placebo-controlled phase, 3/132 (2.3%) of subjects in the </w:t>
      </w:r>
      <w:proofErr w:type="spellStart"/>
      <w:r>
        <w:t>regorafenib</w:t>
      </w:r>
      <w:proofErr w:type="spellEnd"/>
      <w:r>
        <w:t xml:space="preserve"> arm had a drug-related TEAE that resulted in discontinuation of study drug, and these included reversible </w:t>
      </w:r>
      <w:r w:rsidR="0033594E" w:rsidRPr="0033594E">
        <w:t>leukoencephalopathy</w:t>
      </w:r>
      <w:r w:rsidR="0033594E">
        <w:t xml:space="preserve"> </w:t>
      </w:r>
      <w:r>
        <w:t xml:space="preserve">syndrome, ALT increased, AST increased, and hepatic failure. During the open-label phase, there were an additional 5/97 (5.2%) drug-related TEAEs </w:t>
      </w:r>
      <w:proofErr w:type="gramStart"/>
      <w:r>
        <w:t xml:space="preserve">that </w:t>
      </w:r>
      <w:r w:rsidR="0033594E" w:rsidRPr="0033594E">
        <w:t xml:space="preserve"> led</w:t>
      </w:r>
      <w:proofErr w:type="gramEnd"/>
      <w:r w:rsidR="0033594E">
        <w:t xml:space="preserve"> </w:t>
      </w:r>
      <w:r>
        <w:t xml:space="preserve">to permanent discontinuation of treatment, and these included colonic perforation, </w:t>
      </w:r>
      <w:proofErr w:type="spellStart"/>
      <w:r>
        <w:t>thrombo</w:t>
      </w:r>
      <w:proofErr w:type="spellEnd"/>
      <w:r>
        <w:t>-embolism, thrombocytopenia, HFSR, and hypertension.</w:t>
      </w:r>
    </w:p>
    <w:p w:rsidR="00221B8B" w:rsidRDefault="00221B8B" w:rsidP="00B807B5">
      <w:pPr>
        <w:rPr>
          <w:rFonts w:eastAsia="Times New Roman"/>
        </w:rPr>
      </w:pPr>
      <w:r>
        <w:t xml:space="preserve">In the double-blind period, TEAEs led to dose interruption in 58.3% in the </w:t>
      </w:r>
      <w:proofErr w:type="spellStart"/>
      <w:r>
        <w:t>regorafenib</w:t>
      </w:r>
      <w:proofErr w:type="spellEnd"/>
      <w:r>
        <w:t xml:space="preserve"> arm compared to 16.7% in the placebo arm. The most common AEs resulting in dose interruption in the </w:t>
      </w:r>
      <w:proofErr w:type="spellStart"/>
      <w:r>
        <w:t>regorafenib</w:t>
      </w:r>
      <w:proofErr w:type="spellEnd"/>
      <w:r>
        <w:t xml:space="preserve"> arm during this period were: palmar-plantar </w:t>
      </w:r>
      <w:proofErr w:type="spellStart"/>
      <w:r>
        <w:t>erythrodysesthesia</w:t>
      </w:r>
      <w:proofErr w:type="spellEnd"/>
      <w:r>
        <w:t xml:space="preserve"> (PPE) syndrome (23.5% in the </w:t>
      </w:r>
      <w:proofErr w:type="spellStart"/>
      <w:r>
        <w:t>regorafenib</w:t>
      </w:r>
      <w:proofErr w:type="spellEnd"/>
      <w:r>
        <w:t xml:space="preserve"> arm </w:t>
      </w:r>
      <w:r w:rsidR="008B3958">
        <w:t>versus</w:t>
      </w:r>
      <w:r>
        <w:t xml:space="preserve"> 0% in the placebo arm); hypertension (10.6% </w:t>
      </w:r>
      <w:r w:rsidR="008B3958">
        <w:t>versus</w:t>
      </w:r>
      <w:r>
        <w:t xml:space="preserve"> 3.0%); fatigue (4.5% </w:t>
      </w:r>
      <w:r w:rsidR="008B3958">
        <w:t>versus</w:t>
      </w:r>
      <w:r>
        <w:t xml:space="preserve"> 3.0%); diarrhoea (6.1% </w:t>
      </w:r>
      <w:r w:rsidR="008B3958">
        <w:t>versus</w:t>
      </w:r>
      <w:r>
        <w:t xml:space="preserve"> 0%); increased ALT (3.0% </w:t>
      </w:r>
      <w:r w:rsidR="008B3958">
        <w:t>versus</w:t>
      </w:r>
      <w:r>
        <w:t xml:space="preserve"> 0%) and increased bilirubin (3.0% </w:t>
      </w:r>
      <w:r w:rsidR="008B3958">
        <w:t>versus</w:t>
      </w:r>
      <w:r>
        <w:t xml:space="preserve"> 1.5%).</w:t>
      </w:r>
    </w:p>
    <w:p w:rsidR="00221B8B" w:rsidRDefault="00221B8B" w:rsidP="00B807B5">
      <w:r>
        <w:t xml:space="preserve">In the double blind period, TEAEs led to dose reduction in 50.0% in the </w:t>
      </w:r>
      <w:proofErr w:type="spellStart"/>
      <w:r>
        <w:t>regorafenib</w:t>
      </w:r>
      <w:proofErr w:type="spellEnd"/>
      <w:r>
        <w:t xml:space="preserve"> arm and 3.0% in the placebo arm.  The most common AEs resulting in dose reduction in the </w:t>
      </w:r>
      <w:proofErr w:type="spellStart"/>
      <w:r>
        <w:t>regorafenib</w:t>
      </w:r>
      <w:proofErr w:type="spellEnd"/>
      <w:r>
        <w:t xml:space="preserve"> arm in the double-blind period were: PPE syndrome (31.8% in the </w:t>
      </w:r>
      <w:proofErr w:type="spellStart"/>
      <w:r>
        <w:t>regorafenib</w:t>
      </w:r>
      <w:proofErr w:type="spellEnd"/>
      <w:r>
        <w:t xml:space="preserve"> arm </w:t>
      </w:r>
      <w:r w:rsidR="008B3958">
        <w:t>versus</w:t>
      </w:r>
      <w:r>
        <w:t xml:space="preserve"> 0% in the placebo arm) and diarrhoea (4.5% </w:t>
      </w:r>
      <w:r w:rsidR="008B3958">
        <w:t>versus</w:t>
      </w:r>
      <w:r>
        <w:t xml:space="preserve"> 0%).</w:t>
      </w:r>
    </w:p>
    <w:p w:rsidR="00221B8B" w:rsidRDefault="00221B8B" w:rsidP="00B807B5">
      <w:pPr>
        <w:ind w:left="1134" w:hanging="1134"/>
      </w:pPr>
      <w:r w:rsidRPr="00D26998">
        <w:rPr>
          <w:b/>
        </w:rPr>
        <w:t>Comment</w:t>
      </w:r>
      <w:r>
        <w:t>:</w:t>
      </w:r>
      <w:r w:rsidR="00B807B5">
        <w:tab/>
      </w:r>
      <w:r>
        <w:t>Although it is agreed with the sponsor that the proportion of patients who permanently discontinued study drug is low in both treatment arms in Study 14874, indicating that most AEs are adequately managed by dose reduction, it is also noted that a relatively high proportion of patients required dose modification due to adverse events. In particular PPE syndrome is a relatively common adverse effect that results in the need for dose modification, and hypertension, diarrhoea and liver function also require monitoring.</w:t>
      </w:r>
    </w:p>
    <w:p w:rsidR="00221B8B" w:rsidRDefault="00221B8B" w:rsidP="00B807B5">
      <w:pPr>
        <w:pStyle w:val="Heading5"/>
      </w:pPr>
      <w:r w:rsidRPr="00B807B5">
        <w:t>Other</w:t>
      </w:r>
      <w:r>
        <w:t xml:space="preserve"> studies</w:t>
      </w:r>
    </w:p>
    <w:p w:rsidR="00221B8B" w:rsidRDefault="00221B8B" w:rsidP="00B807B5">
      <w:r>
        <w:rPr>
          <w:b/>
        </w:rPr>
        <w:t>Study 14935</w:t>
      </w:r>
      <w:r>
        <w:t xml:space="preserve"> – One patient discontinued treatment due to AEs in this study, with no further details provided for the reasons for discontinuation in the paper. 27/33 (82%) patients </w:t>
      </w:r>
      <w:r>
        <w:lastRenderedPageBreak/>
        <w:t>required a dose reduction at some point on study based on protocol-defined toxicity. The most common reasons for dose reduction were hypertension and HFSR.</w:t>
      </w:r>
    </w:p>
    <w:p w:rsidR="00221B8B" w:rsidRDefault="00221B8B" w:rsidP="00B807B5">
      <w:r>
        <w:rPr>
          <w:b/>
        </w:rPr>
        <w:t xml:space="preserve">Study 14596 </w:t>
      </w:r>
      <w:r>
        <w:t>– 18/36 (50%) of subjects experienced at least 1 TEAE that led to permanent discontinuation of study drug, of which 7 were assessed as drug-related. 27/36 (75.0%) of subjects experienced 1or more TEAE that led to dose modifications (interruption or reduction), the most frequent causes being HFSR and diarrhoea. Overall, 35/36 (97.2%) subjects required either a dose interruption or dose delay, and 17/36 (47.2%) subjects required at least 1 dose reduction.</w:t>
      </w:r>
    </w:p>
    <w:p w:rsidR="00221B8B" w:rsidRDefault="00221B8B" w:rsidP="00B807B5">
      <w:pPr>
        <w:ind w:left="1134" w:hanging="1134"/>
      </w:pPr>
      <w:r w:rsidRPr="00D26998">
        <w:rPr>
          <w:b/>
        </w:rPr>
        <w:t>Comment</w:t>
      </w:r>
      <w:r>
        <w:t>:</w:t>
      </w:r>
      <w:r w:rsidR="00B807B5">
        <w:tab/>
      </w:r>
      <w:r>
        <w:t xml:space="preserve">It is noted that there were a higher proportion of subjects in Study 14596 who discontinued treatment due to TEAEs, compared to pivotal </w:t>
      </w:r>
      <w:r w:rsidR="004338FD">
        <w:t>Study 14</w:t>
      </w:r>
      <w:r>
        <w:t xml:space="preserve">874 (50% </w:t>
      </w:r>
      <w:r w:rsidR="008B3958">
        <w:t>versus</w:t>
      </w:r>
      <w:r>
        <w:t xml:space="preserve"> 8.5% respectively). This indicates that the AE profile may be worse in subjects with HCC compared to patients with GIST, and this could in part be due to underlying hepatic function.</w:t>
      </w:r>
    </w:p>
    <w:p w:rsidR="00221B8B" w:rsidRDefault="00221B8B" w:rsidP="00B807B5">
      <w:r>
        <w:rPr>
          <w:b/>
        </w:rPr>
        <w:t>Global integrated analysis</w:t>
      </w:r>
      <w:r>
        <w:t xml:space="preserve"> – in Pool 1, overall 220/1073 (20.5%) of subjects experienced AEs leading to permanent discontinuation of study drug. The most common causes included General physical health deterioration (1.8% of all patients), fatigue (1.2%) and HFSR (1.2%).</w:t>
      </w:r>
    </w:p>
    <w:p w:rsidR="00221B8B" w:rsidRDefault="00221B8B" w:rsidP="00B807B5">
      <w:r>
        <w:t xml:space="preserve">697/1073 (65.0%) of subjects in Pool 1 had AEs leading to dose modification. The most common AEs leading to dose reduction were HFSR (209/1073 or 19.5% of all patients), diarrhoea (3.5%), hypertension (3.1%) and fatigue (2.1%), while the most common AEs leading to drug interruption were </w:t>
      </w:r>
      <w:r w:rsidR="003414F3" w:rsidRPr="003414F3">
        <w:t>HFSR</w:t>
      </w:r>
      <w:r>
        <w:t xml:space="preserve"> (18.0%), diarrhoea (5.0%), hypertension (4.9%), fatigue (4.7%), pyrexia (3.5%), rash (3.4%) and AST increased (2.5%).</w:t>
      </w:r>
    </w:p>
    <w:p w:rsidR="00221B8B" w:rsidRDefault="00221B8B" w:rsidP="00B807B5">
      <w:pPr>
        <w:ind w:left="1134" w:hanging="1134"/>
      </w:pPr>
      <w:r w:rsidRPr="00D26998">
        <w:rPr>
          <w:b/>
        </w:rPr>
        <w:t>Comment</w:t>
      </w:r>
      <w:r>
        <w:t>:</w:t>
      </w:r>
      <w:r w:rsidR="00B807B5">
        <w:tab/>
      </w:r>
      <w:r>
        <w:t>It is agreed with the overall statement of the sponsor that although the proportion of patients who experience TEAEs is high, most of these AEs can be managed with dose modifications, with a relatively low proportion of patients discontinuing treatment due to AEs. This is particularly true for patients with the proposed indication of GIST, where the discontinuation rate in pivotal trial 14874 (8.5% for all treated patients) was lower than that for the pooled studies (20.5%) or for patients with HCC (50%).</w:t>
      </w:r>
    </w:p>
    <w:p w:rsidR="00221B8B" w:rsidRDefault="00221B8B" w:rsidP="00B807B5">
      <w:pPr>
        <w:pStyle w:val="Heading3"/>
      </w:pPr>
      <w:bookmarkStart w:id="224" w:name="_Toc393799382"/>
      <w:bookmarkStart w:id="225" w:name="_Toc290846306"/>
      <w:bookmarkStart w:id="226" w:name="_Toc272414668"/>
      <w:bookmarkStart w:id="227" w:name="_Ref272333085"/>
      <w:bookmarkStart w:id="228" w:name="_Ref271196640"/>
      <w:bookmarkStart w:id="229" w:name="_Ref271044780"/>
      <w:bookmarkStart w:id="230" w:name="_Toc241374321"/>
      <w:bookmarkStart w:id="231" w:name="_Toc436128352"/>
      <w:r w:rsidRPr="00B807B5">
        <w:t>Laboratory</w:t>
      </w:r>
      <w:r>
        <w:t xml:space="preserve"> tests</w:t>
      </w:r>
      <w:bookmarkEnd w:id="224"/>
      <w:bookmarkEnd w:id="225"/>
      <w:bookmarkEnd w:id="226"/>
      <w:bookmarkEnd w:id="227"/>
      <w:bookmarkEnd w:id="228"/>
      <w:bookmarkEnd w:id="229"/>
      <w:bookmarkEnd w:id="230"/>
      <w:bookmarkEnd w:id="231"/>
    </w:p>
    <w:p w:rsidR="00221B8B" w:rsidRDefault="00221B8B" w:rsidP="00B807B5">
      <w:pPr>
        <w:pStyle w:val="Heading4"/>
      </w:pPr>
      <w:bookmarkStart w:id="232" w:name="_Toc393799383"/>
      <w:bookmarkStart w:id="233" w:name="_Toc290846307"/>
      <w:bookmarkStart w:id="234" w:name="_Toc272414669"/>
      <w:r>
        <w:t>Liver function</w:t>
      </w:r>
      <w:bookmarkEnd w:id="232"/>
      <w:bookmarkEnd w:id="233"/>
      <w:bookmarkEnd w:id="234"/>
    </w:p>
    <w:p w:rsidR="00221B8B" w:rsidRDefault="00221B8B" w:rsidP="00B807B5">
      <w:pPr>
        <w:pStyle w:val="Heading5"/>
      </w:pPr>
      <w:r w:rsidRPr="00B807B5">
        <w:t>Pivotal</w:t>
      </w:r>
      <w:r>
        <w:t xml:space="preserve"> studies</w:t>
      </w:r>
    </w:p>
    <w:p w:rsidR="00221B8B" w:rsidRDefault="00221B8B" w:rsidP="00B807B5">
      <w:pPr>
        <w:rPr>
          <w:rFonts w:ascii="TimesNewRoman" w:hAnsi="Times New Roman" w:cs="TimesNewRoman"/>
          <w:sz w:val="24"/>
        </w:rPr>
      </w:pPr>
      <w:r>
        <w:rPr>
          <w:b/>
        </w:rPr>
        <w:t>Study 14874</w:t>
      </w:r>
      <w:r>
        <w:t xml:space="preserve"> – In the double-blind period, AST was observed to increase in 58.3% of patients in the </w:t>
      </w:r>
      <w:proofErr w:type="spellStart"/>
      <w:r>
        <w:t>regorafenib</w:t>
      </w:r>
      <w:proofErr w:type="spellEnd"/>
      <w:r>
        <w:t xml:space="preserve"> arm compared to 47.0% of patients in the placebo arm. Similar incidences of ALT increases were reported between treatment groups (all grades: 39.4% </w:t>
      </w:r>
      <w:proofErr w:type="spellStart"/>
      <w:r>
        <w:t>regorafenib</w:t>
      </w:r>
      <w:proofErr w:type="spellEnd"/>
      <w:r>
        <w:t xml:space="preserve"> </w:t>
      </w:r>
      <w:r w:rsidR="008B3958">
        <w:t>versus</w:t>
      </w:r>
      <w:r>
        <w:t xml:space="preserve"> 39.4% placebo) with </w:t>
      </w:r>
      <w:r w:rsidR="00FC745B">
        <w:t>Grade 3</w:t>
      </w:r>
      <w:r>
        <w:t xml:space="preserve">/ 4 ALT increases in 4.6% for </w:t>
      </w:r>
      <w:proofErr w:type="spellStart"/>
      <w:r>
        <w:t>regorafenib</w:t>
      </w:r>
      <w:proofErr w:type="spellEnd"/>
      <w:r>
        <w:t xml:space="preserve"> and 1.5% for placebo.</w:t>
      </w:r>
      <w:r>
        <w:rPr>
          <w:rFonts w:ascii="TimesNewRoman" w:hAnsi="Times New Roman" w:cs="TimesNewRoman" w:hint="eastAsia"/>
          <w:sz w:val="24"/>
        </w:rPr>
        <w:t xml:space="preserve"> </w:t>
      </w:r>
      <w:r>
        <w:t xml:space="preserve">There was an incidence of </w:t>
      </w:r>
      <w:r w:rsidR="00FC745B">
        <w:t>Grade 3</w:t>
      </w:r>
      <w:r>
        <w:t xml:space="preserve"> events of increased ALT (3.8%), increased AST (3.0%), and increased bilirubin (3.0%) in the </w:t>
      </w:r>
      <w:proofErr w:type="spellStart"/>
      <w:r>
        <w:t>regorafenib</w:t>
      </w:r>
      <w:proofErr w:type="spellEnd"/>
      <w:r>
        <w:t xml:space="preserve"> arm. An increased blood bilirubin was seen in 33.3% of patients in the </w:t>
      </w:r>
      <w:proofErr w:type="spellStart"/>
      <w:r>
        <w:t>regorafenib</w:t>
      </w:r>
      <w:proofErr w:type="spellEnd"/>
      <w:r>
        <w:t xml:space="preserve"> arm compared to 12.1% of patients in the placebo arm.</w:t>
      </w:r>
    </w:p>
    <w:p w:rsidR="00221B8B" w:rsidRDefault="00221B8B" w:rsidP="00B807B5">
      <w:pPr>
        <w:rPr>
          <w:rFonts w:ascii="TimesNewRoman" w:hAnsi="Times New Roman" w:cs="TimesNewRoman"/>
          <w:sz w:val="24"/>
        </w:rPr>
      </w:pPr>
      <w:r>
        <w:t xml:space="preserve">On inspection of the source data (CSR Table 14.3.3/3), during the double blind period the </w:t>
      </w:r>
      <w:proofErr w:type="spellStart"/>
      <w:r>
        <w:t>regorafenib</w:t>
      </w:r>
      <w:proofErr w:type="spellEnd"/>
      <w:r>
        <w:t xml:space="preserve"> arm experienced a greater number of liver-related TEAEs compared to placebo including increased ALT (6.8% </w:t>
      </w:r>
      <w:r w:rsidR="008B3958">
        <w:t>versus</w:t>
      </w:r>
      <w:r>
        <w:t xml:space="preserve"> 1.5% respectively), increased AST (9.1% </w:t>
      </w:r>
      <w:r w:rsidR="008B3958">
        <w:t>versus</w:t>
      </w:r>
      <w:r>
        <w:t xml:space="preserve"> 4.5%) and bilirubin increased (9.8% </w:t>
      </w:r>
      <w:r w:rsidR="008B3958">
        <w:t>versus</w:t>
      </w:r>
      <w:r>
        <w:t xml:space="preserve"> 3.0%).</w:t>
      </w:r>
    </w:p>
    <w:p w:rsidR="00221B8B" w:rsidRDefault="00221B8B" w:rsidP="00B807B5">
      <w:pPr>
        <w:rPr>
          <w:kern w:val="16"/>
        </w:rPr>
      </w:pPr>
      <w:r>
        <w:t xml:space="preserve">One </w:t>
      </w:r>
      <w:proofErr w:type="spellStart"/>
      <w:r>
        <w:t>regorafenib</w:t>
      </w:r>
      <w:proofErr w:type="spellEnd"/>
      <w:r>
        <w:t xml:space="preserve">-treated patient met </w:t>
      </w:r>
      <w:proofErr w:type="spellStart"/>
      <w:r>
        <w:t>Hy's</w:t>
      </w:r>
      <w:proofErr w:type="spellEnd"/>
      <w:r>
        <w:t xml:space="preserve"> law criteria and died as the result of treatment-related acute hepatic failure.</w:t>
      </w:r>
    </w:p>
    <w:p w:rsidR="00221B8B" w:rsidRDefault="00221B8B" w:rsidP="00A33667">
      <w:pPr>
        <w:ind w:left="1134" w:hanging="1134"/>
      </w:pPr>
      <w:r w:rsidRPr="00D26998">
        <w:rPr>
          <w:b/>
        </w:rPr>
        <w:t>Comment</w:t>
      </w:r>
      <w:r>
        <w:t>:</w:t>
      </w:r>
      <w:r>
        <w:tab/>
        <w:t xml:space="preserve">Overall in the double-blind period of Study 14874, more subjects were observed to have raised LFTs in the </w:t>
      </w:r>
      <w:proofErr w:type="spellStart"/>
      <w:r>
        <w:t>regorafenib</w:t>
      </w:r>
      <w:proofErr w:type="spellEnd"/>
      <w:r>
        <w:t xml:space="preserve"> group compared to placebo, and there were also higher </w:t>
      </w:r>
      <w:r w:rsidR="00FC745B">
        <w:t>Grade 3</w:t>
      </w:r>
      <w:r>
        <w:t xml:space="preserve"> events and elevations classified as AEs. Apart from </w:t>
      </w:r>
      <w:proofErr w:type="spellStart"/>
      <w:r>
        <w:lastRenderedPageBreak/>
        <w:t>hyperbilirubinaemia</w:t>
      </w:r>
      <w:proofErr w:type="spellEnd"/>
      <w:r>
        <w:t xml:space="preserve">, the increases in ALT and AST are not listed in the proposed PI, and a recommendation is made regarding this </w:t>
      </w:r>
      <w:r w:rsidR="00D26998">
        <w:t>to the Delegate</w:t>
      </w:r>
      <w:r>
        <w:t>.</w:t>
      </w:r>
    </w:p>
    <w:p w:rsidR="00221B8B" w:rsidRDefault="00221B8B" w:rsidP="00A33667">
      <w:pPr>
        <w:pStyle w:val="Heading5"/>
      </w:pPr>
      <w:r>
        <w:t>Other studies</w:t>
      </w:r>
    </w:p>
    <w:p w:rsidR="00221B8B" w:rsidRDefault="00221B8B" w:rsidP="00A33667">
      <w:r>
        <w:rPr>
          <w:b/>
        </w:rPr>
        <w:t>Study 14596</w:t>
      </w:r>
      <w:r>
        <w:t xml:space="preserve"> – In these subjects with HCC, treatment-emergent toxicities were seen for AST in 33/36 (91.7%) subjects, ALP in 83.3%, ALT in 72.2% and bilirubin in 63.9%. As discussed further in Section </w:t>
      </w:r>
      <w:r w:rsidR="00D26998" w:rsidRPr="00D26998">
        <w:rPr>
          <w:i/>
        </w:rPr>
        <w:t>Liver toxicity</w:t>
      </w:r>
      <w:r>
        <w:t xml:space="preserve">, </w:t>
      </w:r>
      <w:r w:rsidR="00D26998">
        <w:t>G</w:t>
      </w:r>
      <w:r>
        <w:t xml:space="preserve">rade 5 liver dysfunction was seen in 2 subjects, and </w:t>
      </w:r>
      <w:r w:rsidR="00FC745B">
        <w:t>Grade 3</w:t>
      </w:r>
      <w:r>
        <w:t xml:space="preserve"> liver dysfunction was seen in 1 subject.</w:t>
      </w:r>
    </w:p>
    <w:p w:rsidR="00221B8B" w:rsidRDefault="00221B8B" w:rsidP="00A33667">
      <w:pPr>
        <w:ind w:left="1134" w:hanging="1134"/>
      </w:pPr>
      <w:r w:rsidRPr="00D26998">
        <w:rPr>
          <w:b/>
        </w:rPr>
        <w:t>Comment</w:t>
      </w:r>
      <w:r>
        <w:t>:</w:t>
      </w:r>
      <w:r w:rsidR="00A33667">
        <w:tab/>
      </w:r>
      <w:r>
        <w:t xml:space="preserve">Increased levels of liver abnormalities were observed in Study 14596 in subjects with HCC compared to in pivotal </w:t>
      </w:r>
      <w:r w:rsidR="004338FD">
        <w:t>Study 14</w:t>
      </w:r>
      <w:r>
        <w:t xml:space="preserve">874. It is not possible to ascertain from the data presented wither this is due solely to the underlying disease process, or whether </w:t>
      </w:r>
      <w:proofErr w:type="spellStart"/>
      <w:r>
        <w:t>regorafenib</w:t>
      </w:r>
      <w:proofErr w:type="spellEnd"/>
      <w:r>
        <w:t xml:space="preserve"> treatment has exacerbated this effect.</w:t>
      </w:r>
    </w:p>
    <w:p w:rsidR="00221B8B" w:rsidRDefault="00221B8B" w:rsidP="00A33667">
      <w:r>
        <w:rPr>
          <w:b/>
        </w:rPr>
        <w:t>Global integrated analysis</w:t>
      </w:r>
      <w:r>
        <w:t xml:space="preserve"> – In Pool 1, a total of 166/1073 (15.5%) of subjects had any AE in the SOC of hepatobiliary disorders, the most common AEs being </w:t>
      </w:r>
      <w:proofErr w:type="spellStart"/>
      <w:r>
        <w:t>hyperbilirubinaemia</w:t>
      </w:r>
      <w:proofErr w:type="spellEnd"/>
      <w:r>
        <w:t xml:space="preserve"> (97/1073 or 9.0% of all subjects), hepatic pain (1.7%), hepatic function abnormal (1.5%) and hepatic failure (14 subjects or 1.3%). Overall 13/1073 (1.2%) subjects had a Grade 5 hepatic failure or abnormal hepatic function adverse event. Overall 16 patients met </w:t>
      </w:r>
      <w:proofErr w:type="spellStart"/>
      <w:r>
        <w:t>Hy’s</w:t>
      </w:r>
      <w:proofErr w:type="spellEnd"/>
      <w:r>
        <w:t xml:space="preserve"> law laboratory criteria: 4 patients without malignant liver pathology in addition to 12 patients with underlying liver pathology.</w:t>
      </w:r>
    </w:p>
    <w:p w:rsidR="00221B8B" w:rsidRDefault="00221B8B" w:rsidP="00A33667">
      <w:pPr>
        <w:ind w:left="1134" w:hanging="1134"/>
      </w:pPr>
      <w:r w:rsidRPr="00440FE3">
        <w:rPr>
          <w:b/>
        </w:rPr>
        <w:t>Comment</w:t>
      </w:r>
      <w:r>
        <w:t>:</w:t>
      </w:r>
      <w:r>
        <w:tab/>
        <w:t xml:space="preserve">The data presented in this submission confirms that treatment with </w:t>
      </w:r>
      <w:proofErr w:type="spellStart"/>
      <w:r>
        <w:t>regorafenib</w:t>
      </w:r>
      <w:proofErr w:type="spellEnd"/>
      <w:r>
        <w:t xml:space="preserve"> can alter hepatic function, including increases in the frequency of </w:t>
      </w:r>
      <w:proofErr w:type="spellStart"/>
      <w:r>
        <w:t>hyperbilirubinaemia</w:t>
      </w:r>
      <w:proofErr w:type="spellEnd"/>
      <w:r>
        <w:t>, and an increased risk of drug-induced hepatic failure.</w:t>
      </w:r>
    </w:p>
    <w:p w:rsidR="00221B8B" w:rsidRDefault="00221B8B" w:rsidP="00A33667">
      <w:pPr>
        <w:ind w:left="1134"/>
      </w:pPr>
      <w:r>
        <w:t xml:space="preserve">The integrated safety data suggests that there may be an increased risk of hepatic failure for patients treated with </w:t>
      </w:r>
      <w:proofErr w:type="spellStart"/>
      <w:r>
        <w:t>regorafenib</w:t>
      </w:r>
      <w:proofErr w:type="spellEnd"/>
      <w:r>
        <w:t xml:space="preserve"> who have underlying liver pathology.</w:t>
      </w:r>
    </w:p>
    <w:p w:rsidR="00221B8B" w:rsidRDefault="00221B8B" w:rsidP="00A33667">
      <w:pPr>
        <w:pStyle w:val="Heading4"/>
      </w:pPr>
      <w:bookmarkStart w:id="235" w:name="_Toc393799384"/>
      <w:bookmarkStart w:id="236" w:name="_Toc290846308"/>
      <w:bookmarkStart w:id="237" w:name="_Toc272414670"/>
      <w:r>
        <w:t xml:space="preserve">Kidney </w:t>
      </w:r>
      <w:r w:rsidRPr="00A33667">
        <w:t>function</w:t>
      </w:r>
      <w:bookmarkEnd w:id="235"/>
      <w:bookmarkEnd w:id="236"/>
      <w:bookmarkEnd w:id="237"/>
    </w:p>
    <w:p w:rsidR="00221B8B" w:rsidRDefault="00221B8B" w:rsidP="00A33667">
      <w:pPr>
        <w:pStyle w:val="Heading5"/>
      </w:pPr>
      <w:r>
        <w:t xml:space="preserve">Pivotal </w:t>
      </w:r>
      <w:r w:rsidRPr="00A33667">
        <w:t>studies</w:t>
      </w:r>
    </w:p>
    <w:p w:rsidR="00221B8B" w:rsidRDefault="00221B8B" w:rsidP="00A33667">
      <w:r>
        <w:rPr>
          <w:b/>
        </w:rPr>
        <w:t>Study 14874</w:t>
      </w:r>
      <w:r>
        <w:t xml:space="preserve"> – During the double-blind period of the study, </w:t>
      </w:r>
      <w:r w:rsidR="00FC745B">
        <w:t>Grade 3</w:t>
      </w:r>
      <w:r>
        <w:t xml:space="preserve"> proteinuria was reported in 1 (0.8%) patient who received treatment with </w:t>
      </w:r>
      <w:proofErr w:type="spellStart"/>
      <w:r>
        <w:t>regorafenib</w:t>
      </w:r>
      <w:proofErr w:type="spellEnd"/>
      <w:r>
        <w:t>, which was considered related to study treatment. This was successfully managed with dose interruption.</w:t>
      </w:r>
    </w:p>
    <w:p w:rsidR="00221B8B" w:rsidRDefault="00221B8B" w:rsidP="00A33667">
      <w:r>
        <w:t xml:space="preserve">3/132 (2.3%) </w:t>
      </w:r>
      <w:proofErr w:type="spellStart"/>
      <w:r>
        <w:t>regorafenib</w:t>
      </w:r>
      <w:proofErr w:type="spellEnd"/>
      <w:r>
        <w:t xml:space="preserve">-treated patients experienced events of acute renal failure during the double-blind phase of the study (compared to 0% in the placebo arm), one each </w:t>
      </w:r>
      <w:r w:rsidR="00440FE3">
        <w:t>G</w:t>
      </w:r>
      <w:r>
        <w:t xml:space="preserve">rades 2, 3, and 5. None of these events were assessed as related to treatment with study medication. During the open-label phase, one additional </w:t>
      </w:r>
      <w:r w:rsidR="00440FE3">
        <w:t>Grade 5</w:t>
      </w:r>
      <w:r>
        <w:t xml:space="preserve"> treatment-related acute kidney injury was reported; although the investigator assessed this episode as treatment-related, the sponsor argued that the underlying advanced malignancy as well as the concurrent infection of unknown location (high CRP increase) were considered to be confounding factors or potential alternative explanations for the reported event.</w:t>
      </w:r>
    </w:p>
    <w:p w:rsidR="00221B8B" w:rsidRDefault="00221B8B" w:rsidP="00A33667">
      <w:r>
        <w:t xml:space="preserve">In Study 14596, 3/36 (8.3%) subjects experienced </w:t>
      </w:r>
      <w:r w:rsidR="00FC745B">
        <w:t>Grade 3</w:t>
      </w:r>
      <w:r>
        <w:t xml:space="preserve"> renal failure during the study period, one of which was attributable to study treatment by the investigator.</w:t>
      </w:r>
    </w:p>
    <w:p w:rsidR="00221B8B" w:rsidRDefault="00221B8B" w:rsidP="00A33667">
      <w:pPr>
        <w:ind w:left="1134" w:hanging="1134"/>
      </w:pPr>
      <w:r w:rsidRPr="00440FE3">
        <w:rPr>
          <w:b/>
        </w:rPr>
        <w:t>Comment</w:t>
      </w:r>
      <w:r>
        <w:t>:</w:t>
      </w:r>
      <w:r w:rsidR="00A33667">
        <w:tab/>
      </w:r>
      <w:r>
        <w:t xml:space="preserve">Although the episodes of renal failure during the double-blind period of Study 14874 were not considered related to study treatment, they were all noted to be in the </w:t>
      </w:r>
      <w:proofErr w:type="spellStart"/>
      <w:r>
        <w:t>regorafenib</w:t>
      </w:r>
      <w:proofErr w:type="spellEnd"/>
      <w:r>
        <w:t xml:space="preserve"> arm of the study. This combined with the drug-related AE of </w:t>
      </w:r>
      <w:r w:rsidR="00440FE3">
        <w:t>Grade 5</w:t>
      </w:r>
      <w:r>
        <w:t xml:space="preserve"> renal failure in the open-label portion of the study and 3 episodes of renal failure in Study 14596 indicates a possible safety signal that acute renal failure occurs more commonly in patients treated with </w:t>
      </w:r>
      <w:proofErr w:type="spellStart"/>
      <w:r>
        <w:t>regorafenib</w:t>
      </w:r>
      <w:proofErr w:type="spellEnd"/>
      <w:r>
        <w:t xml:space="preserve">, and this should be monitored. Renal toxicity is not listed as a recognised AE of </w:t>
      </w:r>
      <w:proofErr w:type="spellStart"/>
      <w:r>
        <w:t>regorafenib</w:t>
      </w:r>
      <w:proofErr w:type="spellEnd"/>
      <w:r>
        <w:t>, and a recommendation has been made for the inclusion of acute kidney injury in the PI.</w:t>
      </w:r>
    </w:p>
    <w:p w:rsidR="00221B8B" w:rsidRDefault="00221B8B" w:rsidP="00440FE3">
      <w:pPr>
        <w:pStyle w:val="Heading5"/>
      </w:pPr>
      <w:r>
        <w:lastRenderedPageBreak/>
        <w:t>Other studies</w:t>
      </w:r>
    </w:p>
    <w:p w:rsidR="00221B8B" w:rsidRDefault="00221B8B" w:rsidP="00A33667">
      <w:r>
        <w:rPr>
          <w:b/>
        </w:rPr>
        <w:t>Study 14596</w:t>
      </w:r>
      <w:r>
        <w:t xml:space="preserve"> – 7/36 subjects (19.4%) experienced proteinuria; in 6 (16.7%) subjects, these events were determined by the Investigator to be causally related to study medication.</w:t>
      </w:r>
    </w:p>
    <w:p w:rsidR="00221B8B" w:rsidRDefault="00221B8B" w:rsidP="00A33667">
      <w:r>
        <w:rPr>
          <w:b/>
        </w:rPr>
        <w:t>Global integrated analysis –</w:t>
      </w:r>
      <w:r>
        <w:t xml:space="preserve"> In Pool 1, a total of 178/1073 subjects had any AE in the SOC renal and urinary disorders, the most common being proteinuria (7.1% of all subjects), renal failure (34/1073 subjects or 3.3%), haematuria (1.9%), dysuria (1.6%).</w:t>
      </w:r>
    </w:p>
    <w:p w:rsidR="00221B8B" w:rsidRDefault="00221B8B" w:rsidP="00A33667">
      <w:pPr>
        <w:ind w:left="1134" w:hanging="1134"/>
      </w:pPr>
      <w:r w:rsidRPr="00440FE3">
        <w:rPr>
          <w:b/>
        </w:rPr>
        <w:t>Comment</w:t>
      </w:r>
      <w:r>
        <w:t>:</w:t>
      </w:r>
      <w:r>
        <w:tab/>
        <w:t xml:space="preserve">Although rates of renal failure observed with </w:t>
      </w:r>
      <w:proofErr w:type="spellStart"/>
      <w:r>
        <w:t>regorafenib</w:t>
      </w:r>
      <w:proofErr w:type="spellEnd"/>
      <w:r>
        <w:t xml:space="preserve"> treatment to date remain low, given the known association between treatment with </w:t>
      </w:r>
      <w:proofErr w:type="spellStart"/>
      <w:r>
        <w:t>regorafenib</w:t>
      </w:r>
      <w:proofErr w:type="spellEnd"/>
      <w:r>
        <w:t xml:space="preserve"> and proteinuria and documented cases of Grade 5 renal failure attributed to </w:t>
      </w:r>
      <w:proofErr w:type="spellStart"/>
      <w:r>
        <w:t>regorafenib</w:t>
      </w:r>
      <w:proofErr w:type="spellEnd"/>
      <w:r>
        <w:t xml:space="preserve"> treatment, further monitoring for renal failure in patients treated with </w:t>
      </w:r>
      <w:proofErr w:type="spellStart"/>
      <w:r>
        <w:t>regorafenib</w:t>
      </w:r>
      <w:proofErr w:type="spellEnd"/>
      <w:r>
        <w:t xml:space="preserve"> is warranted.</w:t>
      </w:r>
    </w:p>
    <w:p w:rsidR="00221B8B" w:rsidRDefault="00221B8B" w:rsidP="00A33667">
      <w:pPr>
        <w:pStyle w:val="Heading4"/>
      </w:pPr>
      <w:bookmarkStart w:id="238" w:name="_Toc393799385"/>
      <w:bookmarkStart w:id="239" w:name="_Toc290846309"/>
      <w:bookmarkStart w:id="240" w:name="_Toc272414671"/>
      <w:r>
        <w:t xml:space="preserve">Other </w:t>
      </w:r>
      <w:r w:rsidRPr="00A33667">
        <w:t>clinical</w:t>
      </w:r>
      <w:r>
        <w:t xml:space="preserve"> chemistry</w:t>
      </w:r>
      <w:bookmarkEnd w:id="238"/>
      <w:bookmarkEnd w:id="239"/>
      <w:bookmarkEnd w:id="240"/>
    </w:p>
    <w:p w:rsidR="00221B8B" w:rsidRDefault="00221B8B" w:rsidP="00A33667">
      <w:pPr>
        <w:pStyle w:val="Heading5"/>
      </w:pPr>
      <w:r w:rsidRPr="00A33667">
        <w:t>Pivotal</w:t>
      </w:r>
      <w:r>
        <w:t xml:space="preserve"> studies</w:t>
      </w:r>
    </w:p>
    <w:p w:rsidR="00221B8B" w:rsidRDefault="00221B8B" w:rsidP="00A33667">
      <w:r>
        <w:rPr>
          <w:b/>
        </w:rPr>
        <w:t>Study 14874</w:t>
      </w:r>
      <w:r>
        <w:t xml:space="preserve"> </w:t>
      </w:r>
      <w:r w:rsidRPr="00A33667">
        <w:t xml:space="preserve">– In the double-blind period of the study, other biochemical parameter abnormalities observed more frequently in the </w:t>
      </w:r>
      <w:proofErr w:type="spellStart"/>
      <w:r w:rsidRPr="00A33667">
        <w:t>regorafenib</w:t>
      </w:r>
      <w:proofErr w:type="spellEnd"/>
      <w:r w:rsidRPr="00A33667">
        <w:t xml:space="preserve"> arm compared to placebo included: hypophosphatemia (observed in 54.5% of patients in the </w:t>
      </w:r>
      <w:proofErr w:type="spellStart"/>
      <w:r w:rsidRPr="00A33667">
        <w:t>regorafenib</w:t>
      </w:r>
      <w:proofErr w:type="spellEnd"/>
      <w:r w:rsidRPr="00A33667">
        <w:t xml:space="preserve"> arm compared to 3.1% in the placebo arm); hypertriglyceridemia ( 64.4% </w:t>
      </w:r>
      <w:r w:rsidR="008B3958" w:rsidRPr="00A33667">
        <w:t>versus</w:t>
      </w:r>
      <w:r w:rsidRPr="00A33667">
        <w:t xml:space="preserve"> 35.4%); hyperglycaemia (90.9% </w:t>
      </w:r>
      <w:r w:rsidR="008B3958" w:rsidRPr="00A33667">
        <w:t>versus</w:t>
      </w:r>
      <w:r w:rsidRPr="00A33667">
        <w:t xml:space="preserve"> 74.2%); and </w:t>
      </w:r>
      <w:proofErr w:type="spellStart"/>
      <w:r w:rsidRPr="00A33667">
        <w:t>hypoalbuminaemia</w:t>
      </w:r>
      <w:proofErr w:type="spellEnd"/>
      <w:r w:rsidRPr="00A33667">
        <w:t xml:space="preserve"> (50% </w:t>
      </w:r>
      <w:r w:rsidR="008B3958" w:rsidRPr="00A33667">
        <w:t>versus</w:t>
      </w:r>
      <w:r w:rsidRPr="00A33667">
        <w:t xml:space="preserve"> 31.8%).</w:t>
      </w:r>
    </w:p>
    <w:p w:rsidR="00221B8B" w:rsidRDefault="00221B8B" w:rsidP="00A33667">
      <w:pPr>
        <w:pStyle w:val="Heading5"/>
      </w:pPr>
      <w:r>
        <w:t xml:space="preserve">Other </w:t>
      </w:r>
      <w:r w:rsidRPr="00A33667">
        <w:t>studies</w:t>
      </w:r>
    </w:p>
    <w:p w:rsidR="00221B8B" w:rsidRDefault="00221B8B" w:rsidP="00A33667">
      <w:r>
        <w:rPr>
          <w:b/>
        </w:rPr>
        <w:t>Study 14596</w:t>
      </w:r>
      <w:r>
        <w:t xml:space="preserve"> – Other commonly observed biochemical abnormalities included: hypophosphatemia (72.2%), hyponatraemia (61.1%), </w:t>
      </w:r>
      <w:proofErr w:type="spellStart"/>
      <w:r>
        <w:t>hypoalbuminaemia</w:t>
      </w:r>
      <w:proofErr w:type="spellEnd"/>
      <w:r>
        <w:t xml:space="preserve"> (61.1%), hypocalcaemia (58.3%) and hyperglycaemia (58.3%).</w:t>
      </w:r>
    </w:p>
    <w:p w:rsidR="00221B8B" w:rsidRDefault="00221B8B" w:rsidP="00A33667">
      <w:r>
        <w:rPr>
          <w:b/>
        </w:rPr>
        <w:t xml:space="preserve">Global integrated analysis </w:t>
      </w:r>
      <w:r>
        <w:t xml:space="preserve">– In Pool 1, other commonly observed biochemical abnormalities included: hyperglycaemia (57.8%), </w:t>
      </w:r>
      <w:proofErr w:type="spellStart"/>
      <w:proofErr w:type="gramStart"/>
      <w:r>
        <w:t>hypertriglyceridaemia</w:t>
      </w:r>
      <w:proofErr w:type="spellEnd"/>
      <w:r>
        <w:t xml:space="preserve">  (</w:t>
      </w:r>
      <w:proofErr w:type="gramEnd"/>
      <w:r>
        <w:t xml:space="preserve">54.2%), </w:t>
      </w:r>
      <w:proofErr w:type="spellStart"/>
      <w:r>
        <w:t>hyperphosphataemia</w:t>
      </w:r>
      <w:proofErr w:type="spellEnd"/>
      <w:r>
        <w:t xml:space="preserve"> (54.1%), </w:t>
      </w:r>
      <w:proofErr w:type="spellStart"/>
      <w:r>
        <w:t>hypoalbuminaemia</w:t>
      </w:r>
      <w:proofErr w:type="spellEnd"/>
      <w:r>
        <w:t xml:space="preserve"> (41.9%) and hyponatraemia (31.3%).</w:t>
      </w:r>
    </w:p>
    <w:p w:rsidR="00221B8B" w:rsidRDefault="00221B8B" w:rsidP="00A33667">
      <w:pPr>
        <w:pStyle w:val="Heading4"/>
      </w:pPr>
      <w:bookmarkStart w:id="241" w:name="_Toc393799386"/>
      <w:bookmarkStart w:id="242" w:name="_Toc290846310"/>
      <w:bookmarkStart w:id="243" w:name="_Toc272414672"/>
      <w:r w:rsidRPr="00A33667">
        <w:t>Haematology</w:t>
      </w:r>
      <w:bookmarkEnd w:id="241"/>
      <w:bookmarkEnd w:id="242"/>
      <w:bookmarkEnd w:id="243"/>
    </w:p>
    <w:p w:rsidR="00221B8B" w:rsidRDefault="00221B8B" w:rsidP="00A33667">
      <w:pPr>
        <w:pStyle w:val="Heading5"/>
      </w:pPr>
      <w:r w:rsidRPr="00A33667">
        <w:t>Pivotal</w:t>
      </w:r>
      <w:r>
        <w:t xml:space="preserve"> studies</w:t>
      </w:r>
    </w:p>
    <w:p w:rsidR="00221B8B" w:rsidRDefault="00221B8B" w:rsidP="00A33667">
      <w:r>
        <w:rPr>
          <w:b/>
        </w:rPr>
        <w:t>Study 14874</w:t>
      </w:r>
      <w:r>
        <w:t xml:space="preserve"> – In the double-blind period of the study, the incidence of anaemia was 75.0% in the </w:t>
      </w:r>
      <w:proofErr w:type="spellStart"/>
      <w:r>
        <w:t>regorafenib</w:t>
      </w:r>
      <w:proofErr w:type="spellEnd"/>
      <w:r>
        <w:t xml:space="preserve"> arm and 72.2% in the placebo arm, while the incidence of thrombocytopenia was 12.9% in the </w:t>
      </w:r>
      <w:proofErr w:type="spellStart"/>
      <w:r>
        <w:t>regorafenib</w:t>
      </w:r>
      <w:proofErr w:type="spellEnd"/>
      <w:r>
        <w:t xml:space="preserve"> arm and 1.5% in the placebo arm. Most of these were of </w:t>
      </w:r>
      <w:r w:rsidR="00440FE3">
        <w:t>G</w:t>
      </w:r>
      <w:r>
        <w:t xml:space="preserve">rades 1 and 2. Episodes of neutropenia and </w:t>
      </w:r>
      <w:proofErr w:type="spellStart"/>
      <w:r>
        <w:t>lymphopenia</w:t>
      </w:r>
      <w:proofErr w:type="spellEnd"/>
      <w:r>
        <w:t xml:space="preserve"> were similar between the two treatment arms (CSR, Table 14.3.15/1).</w:t>
      </w:r>
    </w:p>
    <w:p w:rsidR="00221B8B" w:rsidRDefault="00221B8B" w:rsidP="00A33667">
      <w:pPr>
        <w:ind w:left="1134" w:hanging="1134"/>
      </w:pPr>
      <w:r w:rsidRPr="00440FE3">
        <w:rPr>
          <w:b/>
        </w:rPr>
        <w:t>Comment</w:t>
      </w:r>
      <w:r>
        <w:t>:</w:t>
      </w:r>
      <w:r w:rsidR="00A33667">
        <w:tab/>
      </w:r>
      <w:r>
        <w:t xml:space="preserve">Apart from an increase mild thrombocytopenia, there were no significant effects of </w:t>
      </w:r>
      <w:proofErr w:type="spellStart"/>
      <w:r>
        <w:t>regorafenib</w:t>
      </w:r>
      <w:proofErr w:type="spellEnd"/>
      <w:r>
        <w:t xml:space="preserve"> on other haematological parameters during the double-blind period of the study.</w:t>
      </w:r>
    </w:p>
    <w:p w:rsidR="00221B8B" w:rsidRDefault="00221B8B" w:rsidP="00A33667">
      <w:pPr>
        <w:pStyle w:val="Heading5"/>
      </w:pPr>
      <w:r w:rsidRPr="00A33667">
        <w:t>Other</w:t>
      </w:r>
      <w:r>
        <w:t xml:space="preserve"> studies</w:t>
      </w:r>
    </w:p>
    <w:p w:rsidR="00221B8B" w:rsidRDefault="00221B8B" w:rsidP="00A33667">
      <w:r>
        <w:rPr>
          <w:b/>
        </w:rPr>
        <w:t>Study 14596</w:t>
      </w:r>
      <w:r>
        <w:t xml:space="preserve"> – The incidence of anaemia was 86.1% (31/36 patients experiencing any AE of reduced haemoglobin), while the incidence of </w:t>
      </w:r>
      <w:proofErr w:type="spellStart"/>
      <w:r>
        <w:t>thromobocytopenia</w:t>
      </w:r>
      <w:proofErr w:type="spellEnd"/>
      <w:r>
        <w:t xml:space="preserve"> was 61.1% (22/36 subjects). </w:t>
      </w:r>
      <w:proofErr w:type="spellStart"/>
      <w:r>
        <w:t>Lymphopenia</w:t>
      </w:r>
      <w:proofErr w:type="spellEnd"/>
      <w:r>
        <w:t xml:space="preserve"> was observed in 18/36 (50%) subjects.</w:t>
      </w:r>
    </w:p>
    <w:p w:rsidR="00221B8B" w:rsidRDefault="00221B8B" w:rsidP="00A33667">
      <w:r>
        <w:rPr>
          <w:b/>
        </w:rPr>
        <w:t>Global</w:t>
      </w:r>
      <w:r>
        <w:t xml:space="preserve"> </w:t>
      </w:r>
      <w:r>
        <w:rPr>
          <w:b/>
        </w:rPr>
        <w:t xml:space="preserve">integrated analysis – </w:t>
      </w:r>
      <w:r>
        <w:t>In Pool 1, the incidence of anaemia was 796/1028 (77.4%), lymphocyte count decreased (49.6%), and platelet count decreased (35.5%). There were no significant changes in coagulation variables form baseline to cycle 3 in the integrated analysis.</w:t>
      </w:r>
    </w:p>
    <w:p w:rsidR="00221B8B" w:rsidRDefault="00221B8B" w:rsidP="00A33667">
      <w:pPr>
        <w:pStyle w:val="Heading4"/>
      </w:pPr>
      <w:bookmarkStart w:id="244" w:name="_Toc393799387"/>
      <w:r w:rsidRPr="00A33667">
        <w:lastRenderedPageBreak/>
        <w:t>Bleeding</w:t>
      </w:r>
      <w:r>
        <w:t xml:space="preserve"> events</w:t>
      </w:r>
      <w:bookmarkEnd w:id="244"/>
    </w:p>
    <w:p w:rsidR="00221B8B" w:rsidRDefault="00221B8B" w:rsidP="00A33667">
      <w:pPr>
        <w:pStyle w:val="Heading5"/>
      </w:pPr>
      <w:r w:rsidRPr="00A33667">
        <w:t>Pivotal</w:t>
      </w:r>
      <w:r>
        <w:t xml:space="preserve"> studies</w:t>
      </w:r>
    </w:p>
    <w:p w:rsidR="00221B8B" w:rsidRDefault="00221B8B" w:rsidP="00A33667">
      <w:r>
        <w:rPr>
          <w:b/>
        </w:rPr>
        <w:t>Study 14874</w:t>
      </w:r>
      <w:r>
        <w:t xml:space="preserve"> – During the double-blind period of the study, bleeding events</w:t>
      </w:r>
      <w:r>
        <w:rPr>
          <w:rFonts w:ascii="TimesNewRoman,Bold" w:hAnsi="TimesNewRoman,Bold" w:cs="TimesNewRoman,Bold"/>
          <w:b/>
          <w:bCs/>
          <w:sz w:val="24"/>
        </w:rPr>
        <w:t xml:space="preserve"> </w:t>
      </w:r>
      <w:r>
        <w:t xml:space="preserve">were reported more frequently for patients who received treatment with </w:t>
      </w:r>
      <w:proofErr w:type="spellStart"/>
      <w:r>
        <w:t>regorafenib</w:t>
      </w:r>
      <w:proofErr w:type="spellEnd"/>
      <w:r>
        <w:t xml:space="preserve"> (15/132, 11.4%) compared to placebo (2/66, 3.0%). The most common bleeding event was </w:t>
      </w:r>
      <w:r w:rsidR="00440FE3">
        <w:t>G</w:t>
      </w:r>
      <w:r>
        <w:t xml:space="preserve">rade 1 epistaxis. 9/132 (6.8%) of </w:t>
      </w:r>
      <w:proofErr w:type="spellStart"/>
      <w:r>
        <w:t>regorafenib</w:t>
      </w:r>
      <w:proofErr w:type="spellEnd"/>
      <w:r>
        <w:t xml:space="preserve"> treated patients had a GI haemorrhage during the double blind period compared to 0 in the placebo group. No </w:t>
      </w:r>
      <w:r w:rsidR="00440FE3">
        <w:t>Grade 5</w:t>
      </w:r>
      <w:r>
        <w:t xml:space="preserve"> events occurred. Bleeding is known to be a class effect of VEGF inhibitors </w:t>
      </w:r>
      <w:r w:rsidR="00192ED5">
        <w:t>(4)</w:t>
      </w:r>
      <w:r>
        <w:t>.</w:t>
      </w:r>
    </w:p>
    <w:p w:rsidR="00221B8B" w:rsidRDefault="00221B8B" w:rsidP="00A33667">
      <w:pPr>
        <w:pStyle w:val="Heading5"/>
      </w:pPr>
      <w:r w:rsidRPr="00A33667">
        <w:t>Other</w:t>
      </w:r>
      <w:r>
        <w:t xml:space="preserve"> studies</w:t>
      </w:r>
    </w:p>
    <w:p w:rsidR="00221B8B" w:rsidRDefault="00221B8B" w:rsidP="00A33667">
      <w:proofErr w:type="gramStart"/>
      <w:r>
        <w:rPr>
          <w:b/>
        </w:rPr>
        <w:t>Study</w:t>
      </w:r>
      <w:proofErr w:type="gramEnd"/>
      <w:r>
        <w:rPr>
          <w:b/>
        </w:rPr>
        <w:t xml:space="preserve"> 14596</w:t>
      </w:r>
      <w:r>
        <w:t xml:space="preserve"> – 14/36 (38.9%) subjects experienced haemorrhage/bleeding; in 7 (19.4%) subjects, these events were assessed by the Investigator as study drug-related.</w:t>
      </w:r>
    </w:p>
    <w:p w:rsidR="00221B8B" w:rsidRDefault="00221B8B" w:rsidP="00A33667">
      <w:r>
        <w:rPr>
          <w:b/>
        </w:rPr>
        <w:t>Global Integrated Analysis –</w:t>
      </w:r>
      <w:r>
        <w:t xml:space="preserve"> In Pool 1, the incidence of any haemorrhage event was observed in 222/1073 subjects (20.7%). The most common sites of bleeding were epistaxis (7.6%), haematuria (1.9%), haemoptysis (1.4%), contusion (1.1%) and gingival bleeding (1.0%).</w:t>
      </w:r>
    </w:p>
    <w:p w:rsidR="00221B8B" w:rsidRDefault="00221B8B" w:rsidP="00A33667">
      <w:r>
        <w:rPr>
          <w:b/>
        </w:rPr>
        <w:t>Cumulative review across all studies –</w:t>
      </w:r>
      <w:r>
        <w:t xml:space="preserve"> From the pool of more than 3500 cancer patients with a cut</w:t>
      </w:r>
      <w:r w:rsidR="00BF336F">
        <w:t>-</w:t>
      </w:r>
      <w:r>
        <w:t>of</w:t>
      </w:r>
      <w:r w:rsidR="0033594E">
        <w:t>f</w:t>
      </w:r>
      <w:r>
        <w:t xml:space="preserve"> date 28 Feb</w:t>
      </w:r>
      <w:r w:rsidR="00440FE3">
        <w:t>ruary</w:t>
      </w:r>
      <w:r>
        <w:t xml:space="preserve"> 2013, there were 225 cases of haemorrhage associated with </w:t>
      </w:r>
      <w:proofErr w:type="spellStart"/>
      <w:r>
        <w:t>regorafenib</w:t>
      </w:r>
      <w:proofErr w:type="spellEnd"/>
      <w:r>
        <w:t xml:space="preserve"> exposure, of which fatal outcomes were reported for 19 cases (estimated fatal outcome for 0.5% of </w:t>
      </w:r>
      <w:proofErr w:type="spellStart"/>
      <w:r>
        <w:t>regorafenib</w:t>
      </w:r>
      <w:proofErr w:type="spellEnd"/>
      <w:r>
        <w:t xml:space="preserve"> treated patients).</w:t>
      </w:r>
    </w:p>
    <w:p w:rsidR="00221B8B" w:rsidRDefault="00221B8B" w:rsidP="00A33667">
      <w:pPr>
        <w:ind w:left="1134" w:hanging="1134"/>
      </w:pPr>
      <w:r w:rsidRPr="00440FE3">
        <w:rPr>
          <w:b/>
        </w:rPr>
        <w:t>Comment</w:t>
      </w:r>
      <w:r>
        <w:t>:</w:t>
      </w:r>
      <w:r>
        <w:tab/>
        <w:t xml:space="preserve">Bleeding events were observed more frequently in </w:t>
      </w:r>
      <w:proofErr w:type="spellStart"/>
      <w:r>
        <w:t>regorafenib</w:t>
      </w:r>
      <w:proofErr w:type="spellEnd"/>
      <w:r>
        <w:t xml:space="preserve"> treated patients, with the underlying condition another predisposing factor. Most episodes are of </w:t>
      </w:r>
      <w:r w:rsidR="00440FE3">
        <w:t>G</w:t>
      </w:r>
      <w:r>
        <w:t>rade 1-2 severity although fatal outcomes have been reported. This complication is listed in the current PI.</w:t>
      </w:r>
    </w:p>
    <w:p w:rsidR="00221B8B" w:rsidRDefault="00221B8B" w:rsidP="00A33667">
      <w:pPr>
        <w:pStyle w:val="Heading4"/>
      </w:pPr>
      <w:bookmarkStart w:id="245" w:name="_Toc393799388"/>
      <w:r>
        <w:t xml:space="preserve">Thyroid </w:t>
      </w:r>
      <w:r w:rsidRPr="00A33667">
        <w:t>markers</w:t>
      </w:r>
      <w:bookmarkEnd w:id="245"/>
    </w:p>
    <w:p w:rsidR="00221B8B" w:rsidRDefault="00221B8B" w:rsidP="00A33667">
      <w:pPr>
        <w:pStyle w:val="Heading5"/>
      </w:pPr>
      <w:r>
        <w:t>Pivotal studies</w:t>
      </w:r>
    </w:p>
    <w:p w:rsidR="00221B8B" w:rsidRDefault="00221B8B" w:rsidP="00A33667">
      <w:r>
        <w:rPr>
          <w:b/>
        </w:rPr>
        <w:t>Study 14874</w:t>
      </w:r>
      <w:r>
        <w:t xml:space="preserve"> - During the double-blind treatment period, a change towards a higher category (</w:t>
      </w:r>
      <w:r w:rsidR="002E6A45">
        <w:t>that is</w:t>
      </w:r>
      <w:proofErr w:type="gramStart"/>
      <w:r w:rsidR="002E6A45">
        <w:t>,</w:t>
      </w:r>
      <w:r>
        <w:t>,</w:t>
      </w:r>
      <w:proofErr w:type="gramEnd"/>
      <w:r>
        <w:t xml:space="preserve"> from below the LLN to the normal range or from the normal range to above the ULN) was observed for TSH in 24.4% of </w:t>
      </w:r>
      <w:proofErr w:type="spellStart"/>
      <w:r>
        <w:t>regorafenib</w:t>
      </w:r>
      <w:proofErr w:type="spellEnd"/>
      <w:r>
        <w:t>-treated patients and 12.5% of placebo-treated patients. No events of hypothyroidism were categorised as serious.</w:t>
      </w:r>
    </w:p>
    <w:p w:rsidR="00221B8B" w:rsidRDefault="00221B8B" w:rsidP="00A33667">
      <w:pPr>
        <w:pStyle w:val="Heading5"/>
      </w:pPr>
      <w:r>
        <w:t xml:space="preserve">Other </w:t>
      </w:r>
      <w:r w:rsidRPr="00A33667">
        <w:t>studies</w:t>
      </w:r>
    </w:p>
    <w:p w:rsidR="00221B8B" w:rsidRDefault="00221B8B" w:rsidP="00A33667">
      <w:r>
        <w:rPr>
          <w:b/>
        </w:rPr>
        <w:t>Study 14596</w:t>
      </w:r>
      <w:r>
        <w:t xml:space="preserve"> – 17/36 (47%) subjects experienced a TEAE of hypothyroidism based on TSH levels, all </w:t>
      </w:r>
      <w:r w:rsidR="00440FE3">
        <w:t>G</w:t>
      </w:r>
      <w:r>
        <w:t>rades 1 or 2.</w:t>
      </w:r>
    </w:p>
    <w:p w:rsidR="00221B8B" w:rsidRDefault="00221B8B" w:rsidP="00A33667">
      <w:r>
        <w:rPr>
          <w:b/>
        </w:rPr>
        <w:t xml:space="preserve">Global integrated analysis </w:t>
      </w:r>
      <w:r>
        <w:t>– In Pool 1, hypothyroidism was reported as an AE in 72/1073 (6.7%) subjects.</w:t>
      </w:r>
    </w:p>
    <w:p w:rsidR="00221B8B" w:rsidRDefault="00221B8B" w:rsidP="00A33667">
      <w:pPr>
        <w:pStyle w:val="Heading4"/>
      </w:pPr>
      <w:bookmarkStart w:id="246" w:name="_Toc393799389"/>
      <w:bookmarkStart w:id="247" w:name="_Toc290846313"/>
      <w:bookmarkStart w:id="248" w:name="_Toc272414675"/>
      <w:r w:rsidRPr="00A33667">
        <w:t>Electrocardiograph</w:t>
      </w:r>
      <w:bookmarkEnd w:id="246"/>
      <w:bookmarkEnd w:id="247"/>
      <w:bookmarkEnd w:id="248"/>
    </w:p>
    <w:p w:rsidR="00221B8B" w:rsidRDefault="00221B8B" w:rsidP="00A33667">
      <w:pPr>
        <w:pStyle w:val="Heading5"/>
      </w:pPr>
      <w:r>
        <w:t>Pivotal studies</w:t>
      </w:r>
    </w:p>
    <w:p w:rsidR="00221B8B" w:rsidRDefault="00221B8B" w:rsidP="00A33667">
      <w:r>
        <w:rPr>
          <w:b/>
        </w:rPr>
        <w:t xml:space="preserve">Study 14874 </w:t>
      </w:r>
      <w:r>
        <w:t>– There were no clinically relevant changes observed for any of the ECG parameters compared to baseline in either treatment arm during the double-blind period.</w:t>
      </w:r>
    </w:p>
    <w:p w:rsidR="00221B8B" w:rsidRDefault="00221B8B" w:rsidP="00A33667">
      <w:pPr>
        <w:pStyle w:val="Heading5"/>
      </w:pPr>
      <w:r>
        <w:t xml:space="preserve">Other </w:t>
      </w:r>
      <w:r w:rsidRPr="00A33667">
        <w:t>studies</w:t>
      </w:r>
    </w:p>
    <w:p w:rsidR="00221B8B" w:rsidRDefault="00221B8B" w:rsidP="00A33667">
      <w:r>
        <w:rPr>
          <w:b/>
        </w:rPr>
        <w:t>Study 14596</w:t>
      </w:r>
      <w:r>
        <w:t xml:space="preserve"> – All ECG results were reported to be within the normal range thought the study for the SAF. As noted previously, 2/36 subjects were noted to have a prolonged QTC during the study period, and 1 subject experienced cardiac ischemia.</w:t>
      </w:r>
    </w:p>
    <w:p w:rsidR="00221B8B" w:rsidRDefault="00221B8B" w:rsidP="00A33667">
      <w:r>
        <w:rPr>
          <w:b/>
        </w:rPr>
        <w:t>Study 14814</w:t>
      </w:r>
      <w:r>
        <w:t xml:space="preserve"> –</w:t>
      </w:r>
      <w:r>
        <w:rPr>
          <w:b/>
        </w:rPr>
        <w:t xml:space="preserve"> </w:t>
      </w:r>
      <w:r>
        <w:t xml:space="preserve">There was no evidence of an association between </w:t>
      </w:r>
      <w:proofErr w:type="spellStart"/>
      <w:r>
        <w:t>regorafenib</w:t>
      </w:r>
      <w:proofErr w:type="spellEnd"/>
      <w:r>
        <w:t xml:space="preserve"> use and QT prolongation after 1 cycle of maximum treatment.</w:t>
      </w:r>
    </w:p>
    <w:p w:rsidR="00221B8B" w:rsidRDefault="00221B8B" w:rsidP="00A33667">
      <w:r>
        <w:rPr>
          <w:b/>
        </w:rPr>
        <w:lastRenderedPageBreak/>
        <w:t xml:space="preserve">Global Integrated analysis – </w:t>
      </w:r>
      <w:r>
        <w:t xml:space="preserve">In Pool 1, there were 11/1073 (1.0%) patients who had QT prolongation on ECG, of which 4 subjects were Grade 1, 5 were Grade 2, and 2 were Grade 3. The QT prolongation was assessed as drug-related in 8/11 subjects. None of these subjects required dose modification, and the outcome was recovered in 9 subjects. None of the subjects had any adverse </w:t>
      </w:r>
      <w:proofErr w:type="spellStart"/>
      <w:r>
        <w:t>sequelae</w:t>
      </w:r>
      <w:proofErr w:type="spellEnd"/>
      <w:r>
        <w:t xml:space="preserve"> as a result of the QT prolongation.</w:t>
      </w:r>
    </w:p>
    <w:p w:rsidR="00221B8B" w:rsidRDefault="00221B8B" w:rsidP="00A33667">
      <w:pPr>
        <w:ind w:left="1134" w:hanging="1134"/>
      </w:pPr>
      <w:r w:rsidRPr="00440FE3">
        <w:rPr>
          <w:b/>
        </w:rPr>
        <w:t>Comment</w:t>
      </w:r>
      <w:r>
        <w:t>:</w:t>
      </w:r>
      <w:r>
        <w:tab/>
        <w:t xml:space="preserve">Overall, there is no suggestion from the clinical trials submitted that there is a clinically significant effect of </w:t>
      </w:r>
      <w:proofErr w:type="spellStart"/>
      <w:r>
        <w:t>regorafenib</w:t>
      </w:r>
      <w:proofErr w:type="spellEnd"/>
      <w:r>
        <w:t xml:space="preserve"> on electrocardiograph parameters.</w:t>
      </w:r>
    </w:p>
    <w:p w:rsidR="00221B8B" w:rsidRDefault="00221B8B" w:rsidP="00A33667">
      <w:pPr>
        <w:pStyle w:val="Heading4"/>
      </w:pPr>
      <w:bookmarkStart w:id="249" w:name="_Toc393799390"/>
      <w:bookmarkStart w:id="250" w:name="_Toc290846314"/>
      <w:bookmarkStart w:id="251" w:name="_Toc272414676"/>
      <w:r>
        <w:t xml:space="preserve">Vital </w:t>
      </w:r>
      <w:r w:rsidRPr="00A33667">
        <w:t>signs</w:t>
      </w:r>
      <w:bookmarkEnd w:id="249"/>
      <w:bookmarkEnd w:id="250"/>
      <w:bookmarkEnd w:id="251"/>
    </w:p>
    <w:p w:rsidR="00221B8B" w:rsidRDefault="00221B8B" w:rsidP="00A33667">
      <w:pPr>
        <w:pStyle w:val="Heading5"/>
      </w:pPr>
      <w:bookmarkStart w:id="252" w:name="_Ref389567563"/>
      <w:r>
        <w:t xml:space="preserve">Pivotal </w:t>
      </w:r>
      <w:r w:rsidRPr="00A33667">
        <w:t>studies</w:t>
      </w:r>
      <w:bookmarkEnd w:id="252"/>
    </w:p>
    <w:p w:rsidR="00221B8B" w:rsidRDefault="00221B8B" w:rsidP="00A33667">
      <w:r>
        <w:rPr>
          <w:b/>
        </w:rPr>
        <w:t xml:space="preserve">Study 14874 </w:t>
      </w:r>
      <w:r>
        <w:t xml:space="preserve">– Hypertension was observed in 78 (59.1%) patients in the </w:t>
      </w:r>
      <w:proofErr w:type="spellStart"/>
      <w:r>
        <w:t>regorafenib</w:t>
      </w:r>
      <w:proofErr w:type="spellEnd"/>
      <w:r>
        <w:t xml:space="preserve"> + BSC treatment arm and 18 (27.3%) patients in the placebo + BSC arm. One event of hypertension (associated with </w:t>
      </w:r>
      <w:r w:rsidR="00FC745B">
        <w:t>Grade 4</w:t>
      </w:r>
      <w:r>
        <w:t xml:space="preserve"> reversible posterior </w:t>
      </w:r>
      <w:r w:rsidR="0033594E" w:rsidRPr="0033594E">
        <w:t>leukoencephalopathy</w:t>
      </w:r>
      <w:r w:rsidR="0033594E">
        <w:t xml:space="preserve"> </w:t>
      </w:r>
      <w:r>
        <w:t>syndrome) was categorised as a SAE. This event was resolved but led to permanent discontinuation of treatment.</w:t>
      </w:r>
    </w:p>
    <w:p w:rsidR="00221B8B" w:rsidRDefault="00221B8B" w:rsidP="00A33667">
      <w:r>
        <w:t>No notable changes were seen in the mean heart rate from baseline to the end-of-treatment visit or in the mean body temperature or body weight in either treatment group.</w:t>
      </w:r>
    </w:p>
    <w:p w:rsidR="00221B8B" w:rsidRDefault="00221B8B" w:rsidP="00A33667">
      <w:pPr>
        <w:pStyle w:val="Heading5"/>
      </w:pPr>
      <w:r>
        <w:t xml:space="preserve">Other </w:t>
      </w:r>
      <w:r w:rsidRPr="00A33667">
        <w:t>studies</w:t>
      </w:r>
    </w:p>
    <w:p w:rsidR="00221B8B" w:rsidRDefault="00221B8B" w:rsidP="00A33667">
      <w:r>
        <w:rPr>
          <w:b/>
        </w:rPr>
        <w:t>Study 14596</w:t>
      </w:r>
      <w:r>
        <w:t xml:space="preserve"> – Hypertension was observed in 13/36 (36.1%) subjects. Otherwise it was reported that mean values for all vital signs were generally within the normal range throughout the study.</w:t>
      </w:r>
    </w:p>
    <w:p w:rsidR="00221B8B" w:rsidRDefault="00221B8B" w:rsidP="00A33667">
      <w:r>
        <w:rPr>
          <w:b/>
        </w:rPr>
        <w:t xml:space="preserve">Global integrated analysis </w:t>
      </w:r>
      <w:r>
        <w:t>– In Pool 1, hypertension was reported as an AE in 387/1073 (36.1%) subjects, and was reported as a SAE in 7/1073 (0.7%) subjects. There were no deaths associated with hypertension.</w:t>
      </w:r>
    </w:p>
    <w:p w:rsidR="00221B8B" w:rsidRDefault="00221B8B" w:rsidP="00A33667">
      <w:pPr>
        <w:ind w:left="1134" w:hanging="1134"/>
      </w:pPr>
      <w:r w:rsidRPr="00440FE3">
        <w:rPr>
          <w:b/>
        </w:rPr>
        <w:t>Comment</w:t>
      </w:r>
      <w:r>
        <w:t>:</w:t>
      </w:r>
      <w:r>
        <w:tab/>
        <w:t xml:space="preserve">Hypertension is a common AE in patients treated with </w:t>
      </w:r>
      <w:proofErr w:type="spellStart"/>
      <w:r>
        <w:t>regorafenib</w:t>
      </w:r>
      <w:proofErr w:type="spellEnd"/>
      <w:r>
        <w:t>, but is generally of mild-moderate severity, consistent with the known profile of this AE.</w:t>
      </w:r>
    </w:p>
    <w:p w:rsidR="00221B8B" w:rsidRDefault="00221B8B" w:rsidP="00A33667">
      <w:pPr>
        <w:pStyle w:val="Heading3"/>
      </w:pPr>
      <w:bookmarkStart w:id="253" w:name="_Toc393799391"/>
      <w:bookmarkStart w:id="254" w:name="_Toc290846317"/>
      <w:bookmarkStart w:id="255" w:name="_Toc272414679"/>
      <w:bookmarkStart w:id="256" w:name="_Ref272333048"/>
      <w:bookmarkStart w:id="257" w:name="_Toc241374326"/>
      <w:bookmarkStart w:id="258" w:name="_Toc436128353"/>
      <w:r>
        <w:t>Post-</w:t>
      </w:r>
      <w:r w:rsidRPr="00A33667">
        <w:t>marketing</w:t>
      </w:r>
      <w:r>
        <w:t xml:space="preserve"> experience</w:t>
      </w:r>
      <w:bookmarkEnd w:id="253"/>
      <w:bookmarkEnd w:id="254"/>
      <w:bookmarkEnd w:id="255"/>
      <w:bookmarkEnd w:id="256"/>
      <w:bookmarkEnd w:id="257"/>
      <w:bookmarkEnd w:id="258"/>
    </w:p>
    <w:p w:rsidR="00221B8B" w:rsidRDefault="00221B8B" w:rsidP="00A33667">
      <w:r>
        <w:t xml:space="preserve">The </w:t>
      </w:r>
      <w:r>
        <w:rPr>
          <w:b/>
        </w:rPr>
        <w:t>Periodic Safety Update Report (PSUR) No. 2</w:t>
      </w:r>
      <w:r>
        <w:t xml:space="preserve"> for </w:t>
      </w:r>
      <w:proofErr w:type="spellStart"/>
      <w:r>
        <w:t>regorafenib</w:t>
      </w:r>
      <w:proofErr w:type="spellEnd"/>
      <w:r>
        <w:t xml:space="preserve"> covered the period 27 Mar</w:t>
      </w:r>
      <w:r w:rsidR="00440FE3">
        <w:t>ch</w:t>
      </w:r>
      <w:r>
        <w:t xml:space="preserve"> 2013 until 26 Sep</w:t>
      </w:r>
      <w:r w:rsidR="00440FE3">
        <w:t>tember</w:t>
      </w:r>
      <w:r>
        <w:t xml:space="preserve"> 2013, for the indications of previously treated metastatic CRC and GIST (the latter indication being approved in the US since Feb</w:t>
      </w:r>
      <w:r w:rsidR="00440FE3">
        <w:t>ruary</w:t>
      </w:r>
      <w:r>
        <w:t xml:space="preserve"> 2013). The reporting period included 2,987 patients in ongoing company-sponsored clinical trials, and tablet sales representing an estimated exposure of 14,331 patients. Relevant findings from this PSUR included:</w:t>
      </w:r>
    </w:p>
    <w:p w:rsidR="00221B8B" w:rsidRDefault="00221B8B" w:rsidP="00A33667">
      <w:pPr>
        <w:pStyle w:val="ListBullet"/>
      </w:pPr>
      <w:r>
        <w:t xml:space="preserve">10 case reports of atrial fibrillation, which were assessed as not having convincing evidence of a causal association – Sponsor action: no </w:t>
      </w:r>
      <w:r w:rsidRPr="00A33667">
        <w:t>immediate</w:t>
      </w:r>
      <w:r>
        <w:t xml:space="preserve"> action, AF to be further monitored.</w:t>
      </w:r>
    </w:p>
    <w:p w:rsidR="00221B8B" w:rsidRDefault="00221B8B" w:rsidP="00A33667">
      <w:pPr>
        <w:pStyle w:val="ListBullet"/>
      </w:pPr>
      <w:r>
        <w:t xml:space="preserve">34 cases of renal failure related events with </w:t>
      </w:r>
      <w:proofErr w:type="spellStart"/>
      <w:r>
        <w:t>regorafenib</w:t>
      </w:r>
      <w:proofErr w:type="spellEnd"/>
      <w:r>
        <w:t xml:space="preserve"> treatment, 16 of which were spontaneous reports and 18 were from interventional studies and early access programs. Of the latter, 5 cases were considered related to </w:t>
      </w:r>
      <w:proofErr w:type="spellStart"/>
      <w:r>
        <w:t>regorafenib</w:t>
      </w:r>
      <w:proofErr w:type="spellEnd"/>
      <w:r>
        <w:t xml:space="preserve"> treatment by the investigator, however </w:t>
      </w:r>
      <w:r w:rsidR="00440FE3">
        <w:t>s</w:t>
      </w:r>
      <w:r>
        <w:t>ponsor assessments remained pending for some. Sponsor action: no immediate action, cases of renal failure to continue to be monitored.</w:t>
      </w:r>
    </w:p>
    <w:p w:rsidR="00221B8B" w:rsidRDefault="00221B8B" w:rsidP="00A33667">
      <w:pPr>
        <w:pStyle w:val="ListBullet"/>
      </w:pPr>
      <w:r>
        <w:t xml:space="preserve">256 cases of ‘hepatic disorders’, of which 137 were spontaneous reports and 128 were from studies. 75 cases were reported from interventional studies and early access programs, of which none were compatible with severe liver injury, but 5 were assigned as cases with significant transaminases increase, all possibly related to </w:t>
      </w:r>
      <w:proofErr w:type="spellStart"/>
      <w:r w:rsidRPr="00A33667">
        <w:t>regorafenib</w:t>
      </w:r>
      <w:proofErr w:type="spellEnd"/>
      <w:r>
        <w:t xml:space="preserve">. Of the remaining 190 post-marketing cases (53 from observational studies and 137 spontaneous reports), there were 2 cases compatible with </w:t>
      </w:r>
      <w:proofErr w:type="spellStart"/>
      <w:r>
        <w:t>regorafenib</w:t>
      </w:r>
      <w:proofErr w:type="spellEnd"/>
      <w:r>
        <w:t xml:space="preserve">-induced severe liver injury (one case fatal) and 7 with significant transaminases increase, all of which assessed as possibly related to </w:t>
      </w:r>
      <w:proofErr w:type="spellStart"/>
      <w:r>
        <w:t>regorafenib</w:t>
      </w:r>
      <w:proofErr w:type="spellEnd"/>
      <w:r>
        <w:t xml:space="preserve"> use. It was noted that 10 of the above 14 reported cases of hepatic injury were </w:t>
      </w:r>
      <w:r>
        <w:lastRenderedPageBreak/>
        <w:t xml:space="preserve">in Japanese patients. This was explained by the sponsor as being due to recent marketing authorisation of </w:t>
      </w:r>
      <w:proofErr w:type="spellStart"/>
      <w:r>
        <w:t>regorafenib</w:t>
      </w:r>
      <w:proofErr w:type="spellEnd"/>
      <w:r>
        <w:t xml:space="preserve"> in Japan, the early post-marketing phase vigilance system in that country, and the overall 75% of spontaneous reports newly received being from Japan, therefore indicating country-specific reporting differences most likely contributing to the increased number of cases. Sponsor action: cases in keeping with current description in CCDS – continue to monitor.</w:t>
      </w:r>
    </w:p>
    <w:p w:rsidR="00221B8B" w:rsidRDefault="00221B8B" w:rsidP="00A33667">
      <w:pPr>
        <w:ind w:left="1134" w:hanging="1134"/>
      </w:pPr>
      <w:r w:rsidRPr="00440FE3">
        <w:rPr>
          <w:b/>
        </w:rPr>
        <w:t>Comment</w:t>
      </w:r>
      <w:r>
        <w:t>:</w:t>
      </w:r>
      <w:r w:rsidR="00A33667">
        <w:tab/>
      </w:r>
      <w:r>
        <w:t xml:space="preserve">The large proportion of post-marketing cases of significant hepatic injury from Japan warrants further monitoring to exclude a race-specific susceptibility to hepatic impairment with </w:t>
      </w:r>
      <w:proofErr w:type="spellStart"/>
      <w:r>
        <w:t>regorafenib</w:t>
      </w:r>
      <w:proofErr w:type="spellEnd"/>
      <w:r>
        <w:t xml:space="preserve"> in Japanese patients. This has been posed as a question to the sponsor </w:t>
      </w:r>
      <w:r w:rsidR="00440FE3">
        <w:t xml:space="preserve">under </w:t>
      </w:r>
      <w:r w:rsidR="00440FE3" w:rsidRPr="00440FE3">
        <w:rPr>
          <w:i/>
        </w:rPr>
        <w:t>Clinical questions</w:t>
      </w:r>
      <w:r>
        <w:t>.</w:t>
      </w:r>
    </w:p>
    <w:p w:rsidR="00221B8B" w:rsidRDefault="00221B8B" w:rsidP="00A33667">
      <w:pPr>
        <w:ind w:left="1134"/>
      </w:pPr>
      <w:r>
        <w:t xml:space="preserve">Considering that spontaneous reports are an underestimation of the true number of cases, there is a relatively high number of reports of hepatic disorders with </w:t>
      </w:r>
      <w:proofErr w:type="spellStart"/>
      <w:r>
        <w:t>regorafenib</w:t>
      </w:r>
      <w:proofErr w:type="spellEnd"/>
      <w:r>
        <w:t xml:space="preserve"> in the post-marketing data, and this reaffirms the association of this adverse effect with </w:t>
      </w:r>
      <w:proofErr w:type="spellStart"/>
      <w:r>
        <w:t>regorafenib</w:t>
      </w:r>
      <w:proofErr w:type="spellEnd"/>
      <w:r>
        <w:t xml:space="preserve"> use.</w:t>
      </w:r>
    </w:p>
    <w:p w:rsidR="00221B8B" w:rsidRDefault="00221B8B" w:rsidP="00A33667">
      <w:pPr>
        <w:pStyle w:val="ListBullet"/>
      </w:pPr>
      <w:r>
        <w:t xml:space="preserve">8 cases of cardiac ischemia, of which 6 were assessed as related to </w:t>
      </w:r>
      <w:proofErr w:type="spellStart"/>
      <w:r>
        <w:t>regorafenib</w:t>
      </w:r>
      <w:proofErr w:type="spellEnd"/>
      <w:r>
        <w:t>. One was a spontaneous report, and the remaining 7 were from studies. Sponsor action: no immediate action.</w:t>
      </w:r>
    </w:p>
    <w:p w:rsidR="00221B8B" w:rsidRDefault="00221B8B" w:rsidP="00A33667">
      <w:pPr>
        <w:pStyle w:val="ListBullet"/>
      </w:pPr>
      <w:r>
        <w:t xml:space="preserve">190 cases of hypertension, 78 of which were spontaneous reports, and 112 related to studies. No cases of hypertensive </w:t>
      </w:r>
      <w:r w:rsidRPr="00A33667">
        <w:t>crisis</w:t>
      </w:r>
      <w:r>
        <w:t xml:space="preserve"> were received. 83 of the total reports were considered serious, but there were no cases with a fatal outcome. Sponsor action: cases of hypertension conform </w:t>
      </w:r>
      <w:proofErr w:type="gramStart"/>
      <w:r>
        <w:t>with</w:t>
      </w:r>
      <w:proofErr w:type="gramEnd"/>
      <w:r>
        <w:t xml:space="preserve"> its current description as a common AE, and no action warranted.</w:t>
      </w:r>
    </w:p>
    <w:p w:rsidR="00221B8B" w:rsidRDefault="00221B8B" w:rsidP="00A33667">
      <w:pPr>
        <w:pStyle w:val="ListBullet"/>
      </w:pPr>
      <w:r>
        <w:t xml:space="preserve">123 cases of haemorrhagic events, of which 33 were spontaneous reports and 90 related to studies. 8 cases </w:t>
      </w:r>
      <w:r w:rsidRPr="00A33667">
        <w:t>were</w:t>
      </w:r>
      <w:r>
        <w:t xml:space="preserve"> reported with fatal outcome, of which 5 were related to cerebral haemorrhage. The most common site for bleeding was the GI tract (37%), followed by CNS (11%), urogenital (9%) and respiratory (8%). Sponsor action: cases in keeping with current knowledge, and no action warranted.</w:t>
      </w:r>
    </w:p>
    <w:p w:rsidR="00221B8B" w:rsidRDefault="00221B8B" w:rsidP="00A33667">
      <w:pPr>
        <w:pStyle w:val="ListBullet"/>
      </w:pPr>
      <w:r>
        <w:t xml:space="preserve">394 cases of HFSR, of which 237 were spontaneous reports and </w:t>
      </w:r>
      <w:proofErr w:type="gramStart"/>
      <w:r>
        <w:t>157</w:t>
      </w:r>
      <w:proofErr w:type="gramEnd"/>
      <w:r>
        <w:t xml:space="preserve"> were from studies. Notably, 231 (59%) cases were from Japan. 184 cases were reported as non-serious, 210 were reported as </w:t>
      </w:r>
      <w:proofErr w:type="gramStart"/>
      <w:r>
        <w:t>serious,</w:t>
      </w:r>
      <w:proofErr w:type="gramEnd"/>
      <w:r>
        <w:t xml:space="preserve"> and 18 cases required </w:t>
      </w:r>
      <w:r w:rsidRPr="00A33667">
        <w:t>hospitalisation</w:t>
      </w:r>
      <w:r>
        <w:t xml:space="preserve">. There was one relevant literature publication (a meta-analysis) during the reporting </w:t>
      </w:r>
      <w:r w:rsidRPr="009F6F23">
        <w:t>period (</w:t>
      </w:r>
      <w:proofErr w:type="spellStart"/>
      <w:r w:rsidRPr="009F6F23">
        <w:t>Belum</w:t>
      </w:r>
      <w:proofErr w:type="spellEnd"/>
      <w:r w:rsidRPr="009F6F23">
        <w:t xml:space="preserve"> et al, 2013 </w:t>
      </w:r>
      <w:r w:rsidR="009F6F23" w:rsidRPr="009F6F23">
        <w:t>(5)</w:t>
      </w:r>
      <w:r w:rsidRPr="009F6F23">
        <w:t>)</w:t>
      </w:r>
      <w:r>
        <w:t xml:space="preserve"> which found that the incidence and risk of development of HFSR with </w:t>
      </w:r>
      <w:proofErr w:type="spellStart"/>
      <w:r>
        <w:t>regorafenib</w:t>
      </w:r>
      <w:proofErr w:type="spellEnd"/>
      <w:r>
        <w:t xml:space="preserve"> is high (overall incidence 60.5%, 95% CI 48.3-71.6%) and may vary significantly with tumour type (71.4% for RCC, 60.2% for GIST, 50.5% for HCC, and 46.6% for </w:t>
      </w:r>
      <w:proofErr w:type="spellStart"/>
      <w:r>
        <w:t>mCRC</w:t>
      </w:r>
      <w:proofErr w:type="spellEnd"/>
      <w:r>
        <w:t>). Sponsor action: Cases in keeping with current knowledge, no action warranted.</w:t>
      </w:r>
    </w:p>
    <w:p w:rsidR="00221B8B" w:rsidRDefault="00221B8B" w:rsidP="00A33667">
      <w:pPr>
        <w:pStyle w:val="ListBullet"/>
      </w:pPr>
      <w:r>
        <w:t xml:space="preserve">2 </w:t>
      </w:r>
      <w:r w:rsidRPr="002F64D8">
        <w:t>cases</w:t>
      </w:r>
      <w:r>
        <w:t xml:space="preserve"> of RPLS, both spontaneous reports, one of which assessed as possibly related to </w:t>
      </w:r>
      <w:proofErr w:type="spellStart"/>
      <w:r>
        <w:t>regorafenib</w:t>
      </w:r>
      <w:proofErr w:type="spellEnd"/>
      <w:r>
        <w:t xml:space="preserve"> </w:t>
      </w:r>
      <w:r w:rsidRPr="00A33667">
        <w:t>treatment</w:t>
      </w:r>
      <w:r>
        <w:t xml:space="preserve">, and </w:t>
      </w:r>
      <w:r w:rsidRPr="00A33667">
        <w:t>insufficient</w:t>
      </w:r>
      <w:r>
        <w:t xml:space="preserve"> information to make an assessment for the other. Sponsor action: RPLS already contained within reference safety information, no further action warranted, continue to monitor.</w:t>
      </w:r>
    </w:p>
    <w:p w:rsidR="00221B8B" w:rsidRDefault="00221B8B" w:rsidP="00A33667">
      <w:pPr>
        <w:pStyle w:val="ListBullet"/>
      </w:pPr>
      <w:r>
        <w:t xml:space="preserve">38 case reports of GI perforation and fistula, of which 7 were spontaneous reports and 31 were from studies or compassionate use. For 18 cases of GI preformation, 5 were fatal, and 6 were considered related to </w:t>
      </w:r>
      <w:proofErr w:type="spellStart"/>
      <w:r>
        <w:t>regorafenib</w:t>
      </w:r>
      <w:proofErr w:type="spellEnd"/>
      <w:r>
        <w:t xml:space="preserve"> </w:t>
      </w:r>
      <w:r w:rsidRPr="00A33667">
        <w:t>treatment</w:t>
      </w:r>
      <w:r>
        <w:t xml:space="preserve">. Of 14 cases of GI fistula, 1 was fatal and 3 were considered related to </w:t>
      </w:r>
      <w:proofErr w:type="spellStart"/>
      <w:r>
        <w:t>regorafenib</w:t>
      </w:r>
      <w:proofErr w:type="spellEnd"/>
      <w:r>
        <w:t xml:space="preserve">, while of 6 cases of GI abscess/peritonitis, none were fatal and one was considered related to </w:t>
      </w:r>
      <w:proofErr w:type="spellStart"/>
      <w:r>
        <w:t>regorafenib</w:t>
      </w:r>
      <w:proofErr w:type="spellEnd"/>
      <w:r>
        <w:t>. Sponsor action: no further action warranted.</w:t>
      </w:r>
    </w:p>
    <w:p w:rsidR="00221B8B" w:rsidRDefault="00221B8B" w:rsidP="00A33667">
      <w:pPr>
        <w:pStyle w:val="ListBullet"/>
      </w:pPr>
      <w:r>
        <w:t xml:space="preserve">26 cases of severe cutaneous events including 3 cases of potential </w:t>
      </w:r>
      <w:proofErr w:type="gramStart"/>
      <w:r>
        <w:t>Steven</w:t>
      </w:r>
      <w:r w:rsidR="003414F3">
        <w:t>s</w:t>
      </w:r>
      <w:r>
        <w:t>-Johnson Syndrome</w:t>
      </w:r>
      <w:proofErr w:type="gramEnd"/>
      <w:r>
        <w:t xml:space="preserve"> (2 of which considered related to study treatment) and 1 case of Toxic epidermal </w:t>
      </w:r>
      <w:proofErr w:type="spellStart"/>
      <w:r>
        <w:t>necrolysis</w:t>
      </w:r>
      <w:proofErr w:type="spellEnd"/>
      <w:r>
        <w:t xml:space="preserve">. 9 cases were from </w:t>
      </w:r>
      <w:r w:rsidRPr="00A33667">
        <w:t>spontaneous</w:t>
      </w:r>
      <w:r>
        <w:t xml:space="preserve"> reports, and 17 were from studies. Sponsor action: cases in keeping with known information, no action warranted.</w:t>
      </w:r>
    </w:p>
    <w:p w:rsidR="00221B8B" w:rsidRDefault="00221B8B" w:rsidP="00A33667">
      <w:r>
        <w:lastRenderedPageBreak/>
        <w:t xml:space="preserve">As of 17 June 2014, there were 2 ADR reports for </w:t>
      </w:r>
      <w:proofErr w:type="spellStart"/>
      <w:r>
        <w:t>regorafenib</w:t>
      </w:r>
      <w:proofErr w:type="spellEnd"/>
      <w:r>
        <w:t xml:space="preserve"> in Australia on TRIM (4 reports in total, but both replicated), both related to clinical trials. These included 1 episode of </w:t>
      </w:r>
      <w:r w:rsidR="00FC745B">
        <w:t>Grade 2</w:t>
      </w:r>
      <w:r>
        <w:t xml:space="preserve"> pericarditis, and 1 episode of </w:t>
      </w:r>
      <w:r w:rsidR="00440FE3">
        <w:t>Grade 5</w:t>
      </w:r>
      <w:r>
        <w:t xml:space="preserve"> liver failure. Both events were considered by the investigators to be related to study treatment, but were considered unrelated by the sponsor.</w:t>
      </w:r>
    </w:p>
    <w:p w:rsidR="00221B8B" w:rsidRDefault="00221B8B" w:rsidP="00A33667">
      <w:pPr>
        <w:ind w:left="1134" w:hanging="1134"/>
      </w:pPr>
      <w:r w:rsidRPr="002F64D8">
        <w:rPr>
          <w:b/>
        </w:rPr>
        <w:t>Comment</w:t>
      </w:r>
      <w:r>
        <w:t>:</w:t>
      </w:r>
      <w:r w:rsidR="00A33667">
        <w:tab/>
      </w:r>
      <w:r>
        <w:t xml:space="preserve">There are no additional safety concerns arising from the post-marketing data that have not already been identified and addressed, other than the need to further monitor for a possible increased susceptibility of Japanese patients to hepatic toxicities with </w:t>
      </w:r>
      <w:proofErr w:type="spellStart"/>
      <w:r>
        <w:t>regorafenib</w:t>
      </w:r>
      <w:proofErr w:type="spellEnd"/>
      <w:r>
        <w:t xml:space="preserve"> treatment.</w:t>
      </w:r>
    </w:p>
    <w:p w:rsidR="00221B8B" w:rsidRDefault="00221B8B" w:rsidP="00A33667">
      <w:pPr>
        <w:pStyle w:val="Heading3"/>
      </w:pPr>
      <w:bookmarkStart w:id="259" w:name="_Toc272414680"/>
      <w:bookmarkStart w:id="260" w:name="_Ref272333005"/>
      <w:bookmarkStart w:id="261" w:name="_Toc393799392"/>
      <w:bookmarkStart w:id="262" w:name="_Toc290846318"/>
      <w:bookmarkStart w:id="263" w:name="_Toc436128354"/>
      <w:r w:rsidRPr="00A33667">
        <w:t>Safety</w:t>
      </w:r>
      <w:r>
        <w:t xml:space="preserve"> issues with the potential for major regulatory imp</w:t>
      </w:r>
      <w:bookmarkEnd w:id="259"/>
      <w:bookmarkEnd w:id="260"/>
      <w:r>
        <w:t>act</w:t>
      </w:r>
      <w:bookmarkEnd w:id="261"/>
      <w:bookmarkEnd w:id="262"/>
      <w:bookmarkEnd w:id="263"/>
    </w:p>
    <w:p w:rsidR="00221B8B" w:rsidRDefault="00221B8B" w:rsidP="00A33667">
      <w:pPr>
        <w:pStyle w:val="Heading4"/>
      </w:pPr>
      <w:bookmarkStart w:id="264" w:name="_Toc393799393"/>
      <w:bookmarkStart w:id="265" w:name="_Ref390173742"/>
      <w:bookmarkStart w:id="266" w:name="_Toc290846319"/>
      <w:bookmarkStart w:id="267" w:name="_Toc272414681"/>
      <w:r>
        <w:t xml:space="preserve">Liver </w:t>
      </w:r>
      <w:r w:rsidRPr="00A33667">
        <w:t>toxicity</w:t>
      </w:r>
      <w:bookmarkEnd w:id="264"/>
      <w:bookmarkEnd w:id="265"/>
      <w:bookmarkEnd w:id="266"/>
      <w:bookmarkEnd w:id="267"/>
    </w:p>
    <w:p w:rsidR="00221B8B" w:rsidRDefault="00221B8B" w:rsidP="00A33667">
      <w:r>
        <w:t xml:space="preserve">It is noted that liver dysfunction/failure events are known to be a class effect of VEGF inhibitors </w:t>
      </w:r>
      <w:r w:rsidR="009F6F23">
        <w:t>(4).</w:t>
      </w:r>
    </w:p>
    <w:p w:rsidR="00221B8B" w:rsidRDefault="00221B8B" w:rsidP="00A33667">
      <w:r>
        <w:rPr>
          <w:b/>
        </w:rPr>
        <w:t>Study 14874</w:t>
      </w:r>
      <w:r>
        <w:t xml:space="preserve">: In pivotal </w:t>
      </w:r>
      <w:r w:rsidR="004338FD">
        <w:t>Study 14</w:t>
      </w:r>
      <w:r>
        <w:t xml:space="preserve">874, one subject died as a result of treatment-related acute hepatic failure. This subject, as described in </w:t>
      </w:r>
      <w:r w:rsidR="00B22FC2">
        <w:t>above</w:t>
      </w:r>
      <w:r>
        <w:t xml:space="preserve">, had advanced GIST and no history of liver disease, and was assessed as having a severe drug-induced hepatic injury and met </w:t>
      </w:r>
      <w:proofErr w:type="spellStart"/>
      <w:r>
        <w:t>Hy’s</w:t>
      </w:r>
      <w:proofErr w:type="spellEnd"/>
      <w:r>
        <w:t xml:space="preserve"> law laboratory criteria. Severe drug induced hepatotoxicity is a known adverse effect of </w:t>
      </w:r>
      <w:proofErr w:type="spellStart"/>
      <w:r>
        <w:t>regorafenib</w:t>
      </w:r>
      <w:proofErr w:type="spellEnd"/>
      <w:r>
        <w:t xml:space="preserve"> and is included in the Precautions section of the PI.</w:t>
      </w:r>
    </w:p>
    <w:p w:rsidR="00221B8B" w:rsidRDefault="00221B8B" w:rsidP="00A33667">
      <w:r>
        <w:t>It was noted that pivotal Study 14874 had as an inclusion criterion: ‘Adequate liver function as assessed by the following laboratory requirements conducted within 7 days of starting study treatment: Total bilirubin ≤ 1.5 x the upper limit of normal (ULN), and Alanine aminotrans</w:t>
      </w:r>
      <w:r w:rsidR="00157ACD">
        <w:t>f</w:t>
      </w:r>
      <w:r>
        <w:t>erase (ALT) and aspartate aminotransferase (AST) ≤ 3.0 x ULN (≤ 5 x ULN for patients with liver involvement of their GIST)’.</w:t>
      </w:r>
    </w:p>
    <w:p w:rsidR="00221B8B" w:rsidRDefault="00221B8B" w:rsidP="00A33667">
      <w:pPr>
        <w:ind w:left="1134" w:hanging="1134"/>
      </w:pPr>
      <w:r w:rsidRPr="00B22FC2">
        <w:rPr>
          <w:b/>
        </w:rPr>
        <w:t>Comment</w:t>
      </w:r>
      <w:r>
        <w:t>:</w:t>
      </w:r>
      <w:r>
        <w:tab/>
        <w:t xml:space="preserve">It is noted that the subject in Study 14874 who experienced treatment-related hepatic failure had no history of hepatic disease or hepatic metastases. This is in contrast to previously documented acute hepatic toxicity cases associated with </w:t>
      </w:r>
      <w:proofErr w:type="spellStart"/>
      <w:r>
        <w:t>regorafenib</w:t>
      </w:r>
      <w:proofErr w:type="spellEnd"/>
      <w:r>
        <w:t>, which had occurred on a background of hepatic metastases as documented in the PI. Therefore, the wording of the PI should be amended to reflect this new finding.</w:t>
      </w:r>
    </w:p>
    <w:p w:rsidR="00221B8B" w:rsidRDefault="00221B8B" w:rsidP="00A33667">
      <w:pPr>
        <w:ind w:left="1134"/>
      </w:pPr>
      <w:r>
        <w:t xml:space="preserve">Based on the fact that subjects were required to have adequate hepatic function for inclusion in Study 14874, no conclusions can be drawn from this study on the safety of </w:t>
      </w:r>
      <w:proofErr w:type="spellStart"/>
      <w:r>
        <w:t>regorafenib</w:t>
      </w:r>
      <w:proofErr w:type="spellEnd"/>
      <w:r>
        <w:t xml:space="preserve"> in subjects with hepatic impairment. This is an important consideration given the known potential for hepatotoxicity, and has implications for the interpretation of population PK analyses based on this data (see Section</w:t>
      </w:r>
      <w:r w:rsidR="00B22FC2">
        <w:t xml:space="preserve"> </w:t>
      </w:r>
      <w:r w:rsidR="00B22FC2" w:rsidRPr="0092578A">
        <w:t>Pharmacokinetics in subjects with impaired hepatic function</w:t>
      </w:r>
      <w:r>
        <w:t>).</w:t>
      </w:r>
    </w:p>
    <w:p w:rsidR="00221B8B" w:rsidRDefault="00221B8B" w:rsidP="00A417EF">
      <w:r>
        <w:t xml:space="preserve">As was discussed in Section </w:t>
      </w:r>
      <w:r w:rsidR="00B22FC2" w:rsidRPr="00B22FC2">
        <w:rPr>
          <w:i/>
        </w:rPr>
        <w:t>Pivotal efficacy studies</w:t>
      </w:r>
      <w:r>
        <w:t xml:space="preserve">, due to safety concerns associated with hepatic toxicities ≥ </w:t>
      </w:r>
      <w:r w:rsidR="00FC745B">
        <w:t>Grade 3</w:t>
      </w:r>
      <w:r>
        <w:t>, the study protocol for Study 14874 was amended to require closer liver monitoring (from fortnightly to weekly in the first 2 months of treatment) and a revised dose modification scheme (specific to elevations in ALT, AST or bilirubin) which were implemented via protocol Amendment 2 (26 Jul</w:t>
      </w:r>
      <w:r w:rsidR="00B22FC2">
        <w:t>y</w:t>
      </w:r>
      <w:r>
        <w:t xml:space="preserve"> 2011).</w:t>
      </w:r>
    </w:p>
    <w:p w:rsidR="00221B8B" w:rsidRDefault="00221B8B" w:rsidP="00A417EF">
      <w:pPr>
        <w:ind w:left="1134" w:hanging="1134"/>
      </w:pPr>
      <w:r w:rsidRPr="00B22FC2">
        <w:rPr>
          <w:b/>
        </w:rPr>
        <w:t>Comment</w:t>
      </w:r>
      <w:r>
        <w:t>:</w:t>
      </w:r>
      <w:r>
        <w:tab/>
        <w:t xml:space="preserve">Given the potential for severe drug-induced hepatic toxicity as an adverse effect of </w:t>
      </w:r>
      <w:proofErr w:type="spellStart"/>
      <w:r>
        <w:t>regorafenib</w:t>
      </w:r>
      <w:proofErr w:type="spellEnd"/>
      <w:r>
        <w:t>, more frequent monitoring of hepatic function and for a longer duration may be warranted than is currently recommended in the PI, which recommends LFTs be performed at least every 2 weeks for the first 2 months of treatment and then monthly thereafter. This has been posed as a question to the sponsor and included as a comment on the PI.</w:t>
      </w:r>
    </w:p>
    <w:p w:rsidR="00221B8B" w:rsidRDefault="00221B8B" w:rsidP="00A417EF">
      <w:pPr>
        <w:rPr>
          <w:rFonts w:eastAsia="Times New Roman"/>
        </w:rPr>
      </w:pPr>
      <w:r>
        <w:rPr>
          <w:b/>
        </w:rPr>
        <w:lastRenderedPageBreak/>
        <w:t>Study 14596</w:t>
      </w:r>
      <w:r>
        <w:t xml:space="preserve">: In this study in patients with HCC, it was noted that 2/36 subjects developed </w:t>
      </w:r>
      <w:r w:rsidR="00440FE3">
        <w:t>Grade 5</w:t>
      </w:r>
      <w:r>
        <w:t xml:space="preserve"> liver dysfunction, and one subject experienced </w:t>
      </w:r>
      <w:r w:rsidR="00FC745B">
        <w:t>Grade 3</w:t>
      </w:r>
      <w:r>
        <w:t xml:space="preserve"> liver dysfunction. In all subjects this was attributed to disease progression rather than to treatment with study drug.</w:t>
      </w:r>
    </w:p>
    <w:p w:rsidR="00221B8B" w:rsidRDefault="00221B8B" w:rsidP="00A417EF">
      <w:pPr>
        <w:ind w:left="1134" w:hanging="1134"/>
      </w:pPr>
      <w:r w:rsidRPr="00B22FC2">
        <w:rPr>
          <w:b/>
        </w:rPr>
        <w:t>Comment</w:t>
      </w:r>
      <w:r>
        <w:t>:</w:t>
      </w:r>
      <w:r>
        <w:tab/>
        <w:t xml:space="preserve">On review of the case narratives of the subjects who died from or experienced liver dysfunction in Study 14596, the opinion of this evaluator is that it is inconclusive as to whether the cause of fatal liver dysfunction is solely due to disease progression, or whether there is a contributory component from </w:t>
      </w:r>
      <w:proofErr w:type="spellStart"/>
      <w:r>
        <w:t>regorafenib</w:t>
      </w:r>
      <w:proofErr w:type="spellEnd"/>
      <w:r>
        <w:t xml:space="preserve"> treatment. Regardless, the rate of death due to hepatic dysfunction is higher is this group of subjects with HCC (5.6%), and thus indicates that caution is required in the treatment of patients with hepatic impairment with </w:t>
      </w:r>
      <w:proofErr w:type="spellStart"/>
      <w:r>
        <w:t>regorafenib</w:t>
      </w:r>
      <w:proofErr w:type="spellEnd"/>
      <w:r>
        <w:t>.</w:t>
      </w:r>
    </w:p>
    <w:p w:rsidR="00221B8B" w:rsidRDefault="00221B8B" w:rsidP="00A417EF">
      <w:r>
        <w:rPr>
          <w:b/>
        </w:rPr>
        <w:t>Global integrated analysis</w:t>
      </w:r>
      <w:r>
        <w:t xml:space="preserve"> – In Pool 1 of the analysis, 13/1073 (1.2%) subjects had a Grade 5 hepatic failure or abnormal hepatic function adverse event. Overall 16 patients met </w:t>
      </w:r>
      <w:proofErr w:type="spellStart"/>
      <w:r>
        <w:t>Hy’s</w:t>
      </w:r>
      <w:proofErr w:type="spellEnd"/>
      <w:r>
        <w:t xml:space="preserve"> law laboratory criteria: 4 patients without malignant liver pathology in addition to 12 patients with underlying liver pathology.</w:t>
      </w:r>
    </w:p>
    <w:p w:rsidR="00221B8B" w:rsidRDefault="00221B8B" w:rsidP="00A417EF">
      <w:r>
        <w:rPr>
          <w:b/>
        </w:rPr>
        <w:t xml:space="preserve">Cumulative review in all </w:t>
      </w:r>
      <w:proofErr w:type="spellStart"/>
      <w:r>
        <w:rPr>
          <w:b/>
        </w:rPr>
        <w:t>regorafenib</w:t>
      </w:r>
      <w:proofErr w:type="spellEnd"/>
      <w:r>
        <w:rPr>
          <w:b/>
        </w:rPr>
        <w:t xml:space="preserve"> trials </w:t>
      </w:r>
      <w:r>
        <w:t xml:space="preserve">– </w:t>
      </w:r>
      <w:r w:rsidR="008B3958">
        <w:t>The sponsor</w:t>
      </w:r>
      <w:r>
        <w:t xml:space="preserve">’s review of over 3,500 patients (as outlined in Module 2.7.4 Summary of Clinical Safety) identified 4 cases of severe drug-induced liver injury (DILI) all considered drug related, and 9 cases of significant </w:t>
      </w:r>
      <w:r w:rsidR="0033594E" w:rsidRPr="0033594E">
        <w:t xml:space="preserve">transaminase </w:t>
      </w:r>
      <w:r>
        <w:t xml:space="preserve">increases (6 considered possibly drug-related). It was assessed that these events predominantly occur in the first 2 months of treatment (although low numbers warrant caution in interpretation). It was reported that recovery was observed following drug interruption or </w:t>
      </w:r>
      <w:r>
        <w:rPr>
          <w:rFonts w:eastAsia="TimesNewRoman"/>
        </w:rPr>
        <w:t xml:space="preserve">discontinuation in most of the cases of significant transaminases elevations and in cases with mild to moderate liver dysfunction suspected to be </w:t>
      </w:r>
      <w:proofErr w:type="spellStart"/>
      <w:r>
        <w:rPr>
          <w:rFonts w:eastAsia="TimesNewRoman"/>
        </w:rPr>
        <w:t>regorafenib</w:t>
      </w:r>
      <w:proofErr w:type="spellEnd"/>
      <w:r>
        <w:rPr>
          <w:rFonts w:eastAsia="TimesNewRoman"/>
        </w:rPr>
        <w:t xml:space="preserve">-related. However, remedial treatments in 3 out of 4 cases of severe DILI did not prevent further deterioration. </w:t>
      </w:r>
      <w:r w:rsidR="008B3958">
        <w:rPr>
          <w:rFonts w:eastAsia="TimesNewRoman"/>
        </w:rPr>
        <w:t>The sponsor</w:t>
      </w:r>
      <w:r>
        <w:rPr>
          <w:rFonts w:eastAsia="TimesNewRoman"/>
        </w:rPr>
        <w:t xml:space="preserve"> concluded that this suggests that early recognition and timely drug withdrawal are the single most important strategy to prevent </w:t>
      </w:r>
      <w:proofErr w:type="spellStart"/>
      <w:r>
        <w:rPr>
          <w:rFonts w:eastAsia="TimesNewRoman"/>
        </w:rPr>
        <w:t>regorafenib</w:t>
      </w:r>
      <w:proofErr w:type="spellEnd"/>
      <w:r>
        <w:rPr>
          <w:rFonts w:eastAsia="TimesNewRoman"/>
        </w:rPr>
        <w:t>-induced liver dysfunction from progressing to severe DILI.</w:t>
      </w:r>
    </w:p>
    <w:p w:rsidR="00221B8B" w:rsidRDefault="00221B8B" w:rsidP="00A417EF">
      <w:pPr>
        <w:ind w:left="1134" w:hanging="1134"/>
      </w:pPr>
      <w:r w:rsidRPr="00B22FC2">
        <w:rPr>
          <w:b/>
        </w:rPr>
        <w:t>Comment</w:t>
      </w:r>
      <w:r>
        <w:t>:</w:t>
      </w:r>
      <w:r>
        <w:tab/>
        <w:t>This evaluator agrees with the assessment of the sponsor that early recognition and management of liver function abnormalities with drug withdrawal will help to prevent episodes of acute hepatic toxicity. However, more frequent monitoring of LFTs than 2 weekly as suggested in the PI may be warranted due to the seriousness of the condition, and initial weekly LFT monitoring as was performed in the pivotal clinical trial may be a better alternative. This has been posed as a question to the sponsor.</w:t>
      </w:r>
    </w:p>
    <w:p w:rsidR="00221B8B" w:rsidRDefault="00221B8B" w:rsidP="00A417EF">
      <w:pPr>
        <w:pStyle w:val="Heading4"/>
      </w:pPr>
      <w:bookmarkStart w:id="268" w:name="_Toc393799394"/>
      <w:bookmarkStart w:id="269" w:name="_Toc290846320"/>
      <w:bookmarkStart w:id="270" w:name="_Toc272414682"/>
      <w:r w:rsidRPr="00A417EF">
        <w:t>Haematological</w:t>
      </w:r>
      <w:r>
        <w:t xml:space="preserve"> toxicity</w:t>
      </w:r>
      <w:bookmarkEnd w:id="268"/>
      <w:bookmarkEnd w:id="269"/>
      <w:bookmarkEnd w:id="270"/>
    </w:p>
    <w:p w:rsidR="00221B8B" w:rsidRDefault="00221B8B" w:rsidP="00A417EF">
      <w:r>
        <w:t xml:space="preserve">There was no evidence of haematological toxicity due to </w:t>
      </w:r>
      <w:proofErr w:type="spellStart"/>
      <w:r>
        <w:t>regorafenib</w:t>
      </w:r>
      <w:proofErr w:type="spellEnd"/>
      <w:r>
        <w:t xml:space="preserve"> in pivotal </w:t>
      </w:r>
      <w:r w:rsidR="004338FD">
        <w:t>Study 14</w:t>
      </w:r>
      <w:r>
        <w:t>874.</w:t>
      </w:r>
    </w:p>
    <w:p w:rsidR="00221B8B" w:rsidRDefault="00221B8B" w:rsidP="00A417EF">
      <w:pPr>
        <w:pStyle w:val="Heading4"/>
      </w:pPr>
      <w:bookmarkStart w:id="271" w:name="_Toc393799395"/>
      <w:bookmarkStart w:id="272" w:name="_Toc290846321"/>
      <w:bookmarkStart w:id="273" w:name="_Toc272414683"/>
      <w:r>
        <w:t>Serious skin reactions</w:t>
      </w:r>
      <w:bookmarkEnd w:id="271"/>
      <w:bookmarkEnd w:id="272"/>
      <w:bookmarkEnd w:id="273"/>
    </w:p>
    <w:p w:rsidR="00221B8B" w:rsidRDefault="00221B8B" w:rsidP="00A417EF">
      <w:r>
        <w:rPr>
          <w:b/>
        </w:rPr>
        <w:t>Study 14874</w:t>
      </w:r>
      <w:r>
        <w:t xml:space="preserve"> - Hand-foot skin reaction (HFSR) is a known toxicity of VEGF inhibitors </w:t>
      </w:r>
      <w:r w:rsidR="009F6F23">
        <w:t>(4).</w:t>
      </w:r>
      <w:r>
        <w:t xml:space="preserve"> In Study 14874, HFSR (or PPE syndrome) </w:t>
      </w:r>
      <w:r>
        <w:rPr>
          <w:rFonts w:eastAsia="TimesNewRoman"/>
        </w:rPr>
        <w:t>was observed at a higher incidence in</w:t>
      </w:r>
      <w:r>
        <w:t xml:space="preserve"> </w:t>
      </w:r>
      <w:proofErr w:type="spellStart"/>
      <w:r>
        <w:rPr>
          <w:rFonts w:eastAsia="TimesNewRoman"/>
        </w:rPr>
        <w:t>regorafenib</w:t>
      </w:r>
      <w:proofErr w:type="spellEnd"/>
      <w:r>
        <w:rPr>
          <w:rFonts w:eastAsia="TimesNewRoman"/>
        </w:rPr>
        <w:t xml:space="preserve">-treated patients (56.8%) than the placebo-treated patients (13.6%). Grade 3 HFSR were reported in 27 (20.5%) patients in the </w:t>
      </w:r>
      <w:proofErr w:type="spellStart"/>
      <w:r>
        <w:rPr>
          <w:rFonts w:eastAsia="TimesNewRoman"/>
        </w:rPr>
        <w:t>regorafenib</w:t>
      </w:r>
      <w:proofErr w:type="spellEnd"/>
      <w:r>
        <w:rPr>
          <w:rFonts w:eastAsia="TimesNewRoman"/>
        </w:rPr>
        <w:t xml:space="preserve"> + BSC treatment arm and 1 (1.5%) patient in the placebo + BSC arm. Hand-foot skin reactions could usually be managed by dose reductions or interruptions, and was the most common cause for these modifications. Analysis of cycle-specific and cumulative event rates revealed that the majority of patients who experienced events of HFSR were affected in their first 2 cycles of treatment. </w:t>
      </w:r>
      <w:r w:rsidR="003414F3" w:rsidRPr="003414F3">
        <w:t xml:space="preserve"> </w:t>
      </w:r>
      <w:proofErr w:type="spellStart"/>
      <w:r w:rsidR="003414F3" w:rsidRPr="003414F3">
        <w:rPr>
          <w:rFonts w:eastAsia="TimesNewRoman"/>
        </w:rPr>
        <w:t>HFSR</w:t>
      </w:r>
      <w:r>
        <w:rPr>
          <w:rFonts w:eastAsia="TimesNewRoman"/>
        </w:rPr>
        <w:t>was</w:t>
      </w:r>
      <w:proofErr w:type="spellEnd"/>
      <w:r>
        <w:rPr>
          <w:rFonts w:eastAsia="TimesNewRoman"/>
        </w:rPr>
        <w:t xml:space="preserve"> also more common in Asian patients compared to non-Asian patients.</w:t>
      </w:r>
    </w:p>
    <w:p w:rsidR="00221B8B" w:rsidRDefault="00221B8B" w:rsidP="00A417EF">
      <w:r>
        <w:t xml:space="preserve">Rash is also a known toxicity of VEGF </w:t>
      </w:r>
      <w:r w:rsidRPr="009F6F23">
        <w:t xml:space="preserve">inhibitors </w:t>
      </w:r>
      <w:r w:rsidR="009F6F23" w:rsidRPr="009F6F23">
        <w:t>(4)</w:t>
      </w:r>
      <w:r w:rsidRPr="009F6F23">
        <w:t>. During</w:t>
      </w:r>
      <w:r>
        <w:t xml:space="preserve"> the double-blind period, </w:t>
      </w:r>
      <w:proofErr w:type="spellStart"/>
      <w:r>
        <w:t>maculopapular</w:t>
      </w:r>
      <w:proofErr w:type="spellEnd"/>
      <w:r>
        <w:t xml:space="preserve"> rash was reported in 18.2% of </w:t>
      </w:r>
      <w:proofErr w:type="spellStart"/>
      <w:r>
        <w:t>regorafenib</w:t>
      </w:r>
      <w:proofErr w:type="spellEnd"/>
      <w:r>
        <w:t xml:space="preserve"> patients compared to 3.0% of placebo patients. Most of these were </w:t>
      </w:r>
      <w:r w:rsidR="00B22FC2">
        <w:t>G</w:t>
      </w:r>
      <w:r>
        <w:t>rade 1 in intensity, and were adequately managed with dose interruptions.</w:t>
      </w:r>
    </w:p>
    <w:p w:rsidR="00221B8B" w:rsidRDefault="00221B8B" w:rsidP="001151A1">
      <w:r>
        <w:rPr>
          <w:b/>
        </w:rPr>
        <w:lastRenderedPageBreak/>
        <w:t>Global integrated analysis</w:t>
      </w:r>
      <w:r>
        <w:t xml:space="preserve"> – In Pool 1, although any AE in the SOC skin and subcutaneous tissues was high (73.3%, the most common being HFSR), the proportion of patients having a SAE in that SOC was low at 17/1073 (1.6%) of subjects. Only 1 subject had Grade 4 Stevens-Johnson Syndrome, and 1 subject had Grade 4 rash.</w:t>
      </w:r>
    </w:p>
    <w:p w:rsidR="00221B8B" w:rsidRDefault="00221B8B" w:rsidP="001151A1">
      <w:pPr>
        <w:ind w:left="1134" w:hanging="1134"/>
      </w:pPr>
      <w:r w:rsidRPr="00B22FC2">
        <w:rPr>
          <w:b/>
        </w:rPr>
        <w:t>Comment</w:t>
      </w:r>
      <w:r>
        <w:t>:</w:t>
      </w:r>
      <w:r w:rsidR="001151A1">
        <w:tab/>
      </w:r>
      <w:r>
        <w:t xml:space="preserve">Skin reactions were common in patients treated with </w:t>
      </w:r>
      <w:proofErr w:type="spellStart"/>
      <w:r>
        <w:t>regorafenib</w:t>
      </w:r>
      <w:proofErr w:type="spellEnd"/>
      <w:r>
        <w:t>, however were generally mild and managed with dose interruptions or reductions, without the need to cease treatment.</w:t>
      </w:r>
    </w:p>
    <w:p w:rsidR="00221B8B" w:rsidRDefault="00221B8B" w:rsidP="001151A1">
      <w:pPr>
        <w:pStyle w:val="Heading4"/>
      </w:pPr>
      <w:bookmarkStart w:id="274" w:name="_Toc393799396"/>
      <w:bookmarkStart w:id="275" w:name="_Toc290846322"/>
      <w:bookmarkStart w:id="276" w:name="_Toc272414684"/>
      <w:r w:rsidRPr="001151A1">
        <w:t>Cardiovascular</w:t>
      </w:r>
      <w:r>
        <w:t xml:space="preserve"> safety</w:t>
      </w:r>
      <w:bookmarkEnd w:id="274"/>
      <w:bookmarkEnd w:id="275"/>
      <w:bookmarkEnd w:id="276"/>
    </w:p>
    <w:p w:rsidR="00221B8B" w:rsidRPr="00A33667" w:rsidRDefault="00221B8B" w:rsidP="001151A1">
      <w:r w:rsidRPr="00A33667">
        <w:t xml:space="preserve">Cardiac </w:t>
      </w:r>
      <w:proofErr w:type="spellStart"/>
      <w:r w:rsidRPr="00A33667">
        <w:t>ischaemia</w:t>
      </w:r>
      <w:proofErr w:type="spellEnd"/>
      <w:r w:rsidRPr="00A33667">
        <w:t>/infarction events are a known class effect of VEGF inhibitors</w:t>
      </w:r>
      <w:r w:rsidR="009F6F23" w:rsidRPr="00A33667">
        <w:t xml:space="preserve"> (4).</w:t>
      </w:r>
    </w:p>
    <w:p w:rsidR="00221B8B" w:rsidRDefault="00221B8B" w:rsidP="001151A1">
      <w:r>
        <w:rPr>
          <w:b/>
        </w:rPr>
        <w:t>Study 14874</w:t>
      </w:r>
      <w:r>
        <w:t xml:space="preserve"> –In pivotal </w:t>
      </w:r>
      <w:r w:rsidR="004338FD">
        <w:t>Study 14</w:t>
      </w:r>
      <w:r>
        <w:t>874, one event each of acute coronary syndrome (</w:t>
      </w:r>
      <w:r w:rsidR="00FC745B">
        <w:t>Grade 3</w:t>
      </w:r>
      <w:r>
        <w:t>, unrelated) and cardiac arrest (</w:t>
      </w:r>
      <w:r w:rsidR="00440FE3">
        <w:t>Grade 5</w:t>
      </w:r>
      <w:r>
        <w:t xml:space="preserve">, possibly related) were reported for patients who received </w:t>
      </w:r>
      <w:proofErr w:type="spellStart"/>
      <w:r>
        <w:t>regorafenib</w:t>
      </w:r>
      <w:proofErr w:type="spellEnd"/>
      <w:r>
        <w:t xml:space="preserve"> + BSC during the double-blind treatment period.</w:t>
      </w:r>
    </w:p>
    <w:p w:rsidR="00221B8B" w:rsidRDefault="00221B8B" w:rsidP="001151A1">
      <w:r>
        <w:t xml:space="preserve">As described in Section </w:t>
      </w:r>
      <w:r w:rsidR="00B22FC2" w:rsidRPr="00B22FC2">
        <w:rPr>
          <w:i/>
        </w:rPr>
        <w:t>Laboratory assessments</w:t>
      </w:r>
      <w:r>
        <w:t xml:space="preserve">, hypertension is also noted as a class effect of VEGF inhibitors </w:t>
      </w:r>
      <w:r w:rsidR="009F6F23" w:rsidRPr="009F6F23">
        <w:t>(4)</w:t>
      </w:r>
      <w:r>
        <w:t xml:space="preserve"> and was observed as a TEAE in 78/132 (59.1%) of subjects in the </w:t>
      </w:r>
      <w:proofErr w:type="spellStart"/>
      <w:r>
        <w:t>regorafenib</w:t>
      </w:r>
      <w:proofErr w:type="spellEnd"/>
      <w:r>
        <w:t xml:space="preserve"> arm in the double-blind section of the study compared to 18/66 (27.3%) of the placebo arm. Grade 3 events were reported for 36 (27.3%) patients in the </w:t>
      </w:r>
      <w:proofErr w:type="spellStart"/>
      <w:r>
        <w:t>regorafenib</w:t>
      </w:r>
      <w:proofErr w:type="spellEnd"/>
      <w:r>
        <w:t xml:space="preserve"> arm and 3 (4.5%) patients in the placebo arm. One event of hypertension was categorized as an SAE, associated with reversible posterior </w:t>
      </w:r>
      <w:r w:rsidR="0033594E" w:rsidRPr="0033594E">
        <w:t>leukoencephalopathy</w:t>
      </w:r>
      <w:r w:rsidR="0033594E">
        <w:t xml:space="preserve"> </w:t>
      </w:r>
      <w:r>
        <w:t xml:space="preserve">syndrome. Analysis of cycle-specific and cumulative event rates revealed that the majority of TEAEs of hypertension occurred within the first two cycles of treatment with </w:t>
      </w:r>
      <w:proofErr w:type="spellStart"/>
      <w:r>
        <w:t>regorafenib</w:t>
      </w:r>
      <w:proofErr w:type="spellEnd"/>
      <w:r>
        <w:t>.</w:t>
      </w:r>
    </w:p>
    <w:p w:rsidR="00221B8B" w:rsidRDefault="00221B8B" w:rsidP="001151A1">
      <w:r>
        <w:t xml:space="preserve">Cardiac failure was noted in one patient in each treatment arm during the double-blind period and thus was not increased in the </w:t>
      </w:r>
      <w:proofErr w:type="spellStart"/>
      <w:r>
        <w:t>regorafenib</w:t>
      </w:r>
      <w:proofErr w:type="spellEnd"/>
      <w:r>
        <w:t xml:space="preserve"> arm.</w:t>
      </w:r>
    </w:p>
    <w:p w:rsidR="00221B8B" w:rsidRDefault="00221B8B" w:rsidP="001151A1">
      <w:pPr>
        <w:ind w:left="1134" w:hanging="1134"/>
      </w:pPr>
      <w:r w:rsidRPr="00B22FC2">
        <w:rPr>
          <w:b/>
        </w:rPr>
        <w:t>Comment</w:t>
      </w:r>
      <w:r>
        <w:t>:</w:t>
      </w:r>
      <w:r>
        <w:tab/>
        <w:t xml:space="preserve">From the results of Study 14874, the episode of </w:t>
      </w:r>
      <w:r w:rsidR="00440FE3">
        <w:t>Grade 5</w:t>
      </w:r>
      <w:r>
        <w:t xml:space="preserve"> sudden cardiac arrest possibly related to study drug is noted as an important cardiac related adverse event. Hypertension is also an important cardiac adverse event which can be severe, and generally occurs within the first two cycles of treatment.</w:t>
      </w:r>
    </w:p>
    <w:p w:rsidR="00221B8B" w:rsidRDefault="00221B8B" w:rsidP="001151A1">
      <w:pPr>
        <w:rPr>
          <w:rFonts w:eastAsia="Times New Roman"/>
        </w:rPr>
      </w:pPr>
      <w:r>
        <w:rPr>
          <w:b/>
        </w:rPr>
        <w:t>Study 14814</w:t>
      </w:r>
      <w:r>
        <w:t xml:space="preserve"> - As discussed in Section 5, Study 14814</w:t>
      </w:r>
      <w:r w:rsidR="00B22FC2">
        <w:t xml:space="preserve"> </w:t>
      </w:r>
      <w:r>
        <w:t xml:space="preserve">did not provide any evidence of an association between </w:t>
      </w:r>
      <w:proofErr w:type="spellStart"/>
      <w:r>
        <w:t>regorafenib</w:t>
      </w:r>
      <w:proofErr w:type="spellEnd"/>
      <w:r>
        <w:t xml:space="preserve"> use and QT prolongation after 1 cycle of maximum treatment, or clinically significant worsening of LVEF after 2 cycles of maximum treatment.</w:t>
      </w:r>
    </w:p>
    <w:p w:rsidR="00221B8B" w:rsidRDefault="00221B8B" w:rsidP="001151A1">
      <w:r>
        <w:rPr>
          <w:b/>
        </w:rPr>
        <w:t>Global integrated analysis</w:t>
      </w:r>
      <w:r>
        <w:t>- In Pool 1, 119/1073 (11.1%) subjects had any AE in the SOC cardiac disorders, the most common being tachycardia (2.2% of all subjects), palpitations (1.9%) and atrial fibrillation (1.6%). 34/1073 (3.2%) subjects had a SAE in the SOC of cardiac disorders, the most common being cardiac ischaemic events (15 subjects or 1.5%), and AF and cardiac arrest (5 subjects or 0.5% each).</w:t>
      </w:r>
    </w:p>
    <w:p w:rsidR="00221B8B" w:rsidRDefault="00221B8B" w:rsidP="001151A1">
      <w:pPr>
        <w:ind w:left="1134" w:hanging="1134"/>
      </w:pPr>
      <w:r w:rsidRPr="00B22FC2">
        <w:rPr>
          <w:b/>
        </w:rPr>
        <w:t>Comment</w:t>
      </w:r>
      <w:r>
        <w:t>:</w:t>
      </w:r>
      <w:r>
        <w:tab/>
        <w:t xml:space="preserve">There are no new changes to the cardiac safety profile of </w:t>
      </w:r>
      <w:proofErr w:type="spellStart"/>
      <w:r>
        <w:t>regorafenib</w:t>
      </w:r>
      <w:proofErr w:type="spellEnd"/>
      <w:r>
        <w:t xml:space="preserve"> following evaluation of the submitted data.</w:t>
      </w:r>
    </w:p>
    <w:p w:rsidR="00221B8B" w:rsidRDefault="00221B8B" w:rsidP="001151A1">
      <w:pPr>
        <w:pStyle w:val="Heading4"/>
      </w:pPr>
      <w:bookmarkStart w:id="277" w:name="_Toc393799397"/>
      <w:bookmarkStart w:id="278" w:name="_Ref391379671"/>
      <w:r w:rsidRPr="001151A1">
        <w:t>Gastrointestinal</w:t>
      </w:r>
      <w:r>
        <w:t xml:space="preserve"> perforation and fistulae SAEs</w:t>
      </w:r>
      <w:bookmarkEnd w:id="277"/>
      <w:bookmarkEnd w:id="278"/>
    </w:p>
    <w:p w:rsidR="00221B8B" w:rsidRDefault="00221B8B" w:rsidP="001151A1">
      <w:r>
        <w:t xml:space="preserve">GI perforation and GI fistula are known class-effects of VEGF-antagonists. Based on previous assessments, GI perforation (including cases with reported fatal outcomes) and GI fistula have been determined as ADRs for </w:t>
      </w:r>
      <w:proofErr w:type="spellStart"/>
      <w:r>
        <w:t>regorafenib</w:t>
      </w:r>
      <w:proofErr w:type="spellEnd"/>
      <w:r>
        <w:t>. Intra-abdominal malignancy is the main risk factor.</w:t>
      </w:r>
    </w:p>
    <w:p w:rsidR="00221B8B" w:rsidRDefault="00221B8B" w:rsidP="001151A1">
      <w:pPr>
        <w:rPr>
          <w:rFonts w:eastAsia="Times New Roman"/>
        </w:rPr>
      </w:pPr>
      <w:r>
        <w:rPr>
          <w:b/>
        </w:rPr>
        <w:t xml:space="preserve">Cumulative review from </w:t>
      </w:r>
      <w:proofErr w:type="spellStart"/>
      <w:r>
        <w:rPr>
          <w:b/>
        </w:rPr>
        <w:t>regorafenib</w:t>
      </w:r>
      <w:proofErr w:type="spellEnd"/>
      <w:r>
        <w:rPr>
          <w:b/>
        </w:rPr>
        <w:t xml:space="preserve"> safety database</w:t>
      </w:r>
      <w:r>
        <w:t xml:space="preserve"> – From more than 3,500 patients treated with </w:t>
      </w:r>
      <w:proofErr w:type="spellStart"/>
      <w:r>
        <w:t>regorafenib</w:t>
      </w:r>
      <w:proofErr w:type="spellEnd"/>
      <w:r>
        <w:t xml:space="preserve"> until 23 Feb</w:t>
      </w:r>
      <w:r w:rsidR="00B22FC2">
        <w:t>ruary</w:t>
      </w:r>
      <w:r>
        <w:t xml:space="preserve"> 2013, 20 perforation events were identified in </w:t>
      </w:r>
      <w:proofErr w:type="spellStart"/>
      <w:r>
        <w:t>regorafenib</w:t>
      </w:r>
      <w:proofErr w:type="spellEnd"/>
      <w:r>
        <w:t xml:space="preserve">-treated patients (estimated frequency 0.57%), of which 9 cases were fatal. This compares with an estimated frequency of 0.31% in the placebo groups of the studies. From the safety database, 13 GI fistula events were identified in </w:t>
      </w:r>
      <w:proofErr w:type="spellStart"/>
      <w:r>
        <w:t>regorafenib</w:t>
      </w:r>
      <w:proofErr w:type="spellEnd"/>
      <w:r>
        <w:t>-treated patients, of which none were fatal.</w:t>
      </w:r>
    </w:p>
    <w:p w:rsidR="00221B8B" w:rsidRDefault="00221B8B" w:rsidP="001151A1">
      <w:pPr>
        <w:ind w:left="1134" w:hanging="1134"/>
      </w:pPr>
      <w:r w:rsidRPr="00B22FC2">
        <w:rPr>
          <w:b/>
        </w:rPr>
        <w:lastRenderedPageBreak/>
        <w:t>Comment</w:t>
      </w:r>
      <w:r>
        <w:t>:</w:t>
      </w:r>
      <w:r>
        <w:tab/>
        <w:t xml:space="preserve">This evaluator agrees with the sponsor that there is a possible increased risk of GI perforation/fistula in </w:t>
      </w:r>
      <w:proofErr w:type="spellStart"/>
      <w:r>
        <w:t>regorafenib</w:t>
      </w:r>
      <w:proofErr w:type="spellEnd"/>
      <w:r>
        <w:t xml:space="preserve"> treated patients. This is in keeping with the precautions already listed within the PI, although this could be reworded to reflect</w:t>
      </w:r>
      <w:r w:rsidR="00B22FC2">
        <w:t xml:space="preserve"> this possible increase in risk</w:t>
      </w:r>
      <w:r>
        <w:t>.</w:t>
      </w:r>
    </w:p>
    <w:p w:rsidR="00221B8B" w:rsidRDefault="00221B8B" w:rsidP="001151A1">
      <w:pPr>
        <w:pStyle w:val="Heading3"/>
      </w:pPr>
      <w:bookmarkStart w:id="279" w:name="_Toc393799398"/>
      <w:bookmarkStart w:id="280" w:name="_Toc290846324"/>
      <w:bookmarkStart w:id="281" w:name="_Ref273005527"/>
      <w:bookmarkStart w:id="282" w:name="_Toc272414686"/>
      <w:bookmarkStart w:id="283" w:name="_Toc436128355"/>
      <w:r w:rsidRPr="001151A1">
        <w:t>Other</w:t>
      </w:r>
      <w:r>
        <w:t xml:space="preserve"> safety issues</w:t>
      </w:r>
      <w:bookmarkEnd w:id="279"/>
      <w:bookmarkEnd w:id="280"/>
      <w:bookmarkEnd w:id="281"/>
      <w:bookmarkEnd w:id="282"/>
      <w:bookmarkEnd w:id="283"/>
    </w:p>
    <w:p w:rsidR="00221B8B" w:rsidRDefault="00221B8B" w:rsidP="001151A1">
      <w:pPr>
        <w:pStyle w:val="Heading4"/>
      </w:pPr>
      <w:bookmarkStart w:id="284" w:name="_Toc393799399"/>
      <w:bookmarkStart w:id="285" w:name="_Ref391473434"/>
      <w:bookmarkStart w:id="286" w:name="_Toc290846325"/>
      <w:bookmarkStart w:id="287" w:name="_Toc272414687"/>
      <w:bookmarkStart w:id="288" w:name="_Ref272331212"/>
      <w:bookmarkStart w:id="289" w:name="_Toc241374322"/>
      <w:r>
        <w:t xml:space="preserve">Safety in </w:t>
      </w:r>
      <w:r w:rsidRPr="001151A1">
        <w:t>special</w:t>
      </w:r>
      <w:r>
        <w:t xml:space="preserve"> populations</w:t>
      </w:r>
      <w:bookmarkEnd w:id="284"/>
      <w:bookmarkEnd w:id="285"/>
      <w:bookmarkEnd w:id="286"/>
      <w:bookmarkEnd w:id="287"/>
      <w:bookmarkEnd w:id="288"/>
      <w:bookmarkEnd w:id="289"/>
    </w:p>
    <w:p w:rsidR="00221B8B" w:rsidRDefault="00221B8B" w:rsidP="001151A1">
      <w:r>
        <w:t>No pregnancies were reported in Study 14874.</w:t>
      </w:r>
    </w:p>
    <w:p w:rsidR="00221B8B" w:rsidRDefault="00221B8B" w:rsidP="001151A1">
      <w:r>
        <w:t xml:space="preserve">Subgroup analysis of Pool 1 of the </w:t>
      </w:r>
      <w:proofErr w:type="gramStart"/>
      <w:r>
        <w:rPr>
          <w:b/>
        </w:rPr>
        <w:t>Integrated</w:t>
      </w:r>
      <w:proofErr w:type="gramEnd"/>
      <w:r>
        <w:rPr>
          <w:b/>
        </w:rPr>
        <w:t xml:space="preserve"> global safety analysis</w:t>
      </w:r>
      <w:r>
        <w:t xml:space="preserve"> found:</w:t>
      </w:r>
    </w:p>
    <w:p w:rsidR="00221B8B" w:rsidRDefault="00221B8B" w:rsidP="001151A1">
      <w:pPr>
        <w:pStyle w:val="ListBullet"/>
      </w:pPr>
      <w:r>
        <w:t xml:space="preserve">No overall clinically relevant differences in the AE safety profile between </w:t>
      </w:r>
      <w:r>
        <w:rPr>
          <w:b/>
        </w:rPr>
        <w:t>age groups</w:t>
      </w:r>
      <w:r>
        <w:t xml:space="preserve"> (specified as &lt;65 years, 65-74 years, and 75-84 years), although HFSR was observed more frequently in patients &lt;65 years of age, </w:t>
      </w:r>
      <w:r w:rsidRPr="001151A1">
        <w:t>and</w:t>
      </w:r>
      <w:r>
        <w:t xml:space="preserve"> decreased appetite and constipation were observed more frequently in those aged 75-84 years. In addition there were no clinically relevant differences in rates of dose modification (reduction, interruption or delay) across age groups.</w:t>
      </w:r>
    </w:p>
    <w:p w:rsidR="00221B8B" w:rsidRDefault="00221B8B" w:rsidP="001151A1">
      <w:pPr>
        <w:pStyle w:val="ListBullet"/>
      </w:pPr>
      <w:r>
        <w:t xml:space="preserve">The main </w:t>
      </w:r>
      <w:r w:rsidRPr="001151A1">
        <w:t>differences</w:t>
      </w:r>
      <w:r>
        <w:t xml:space="preserve"> in AE by </w:t>
      </w:r>
      <w:r w:rsidR="00B22FC2">
        <w:rPr>
          <w:b/>
        </w:rPr>
        <w:t>gender</w:t>
      </w:r>
      <w:r>
        <w:t xml:space="preserve"> were a higher rate of dysphonia in males compared to females (37.9% </w:t>
      </w:r>
      <w:r w:rsidR="008B3958">
        <w:t>versus</w:t>
      </w:r>
      <w:r>
        <w:t xml:space="preserve"> 23.3%) and a higher rate of rash in females compared to males (27.0% </w:t>
      </w:r>
      <w:r w:rsidR="008B3958">
        <w:t>versus</w:t>
      </w:r>
      <w:r>
        <w:t xml:space="preserve"> 16.6%).</w:t>
      </w:r>
    </w:p>
    <w:p w:rsidR="00221B8B" w:rsidRDefault="00221B8B" w:rsidP="001151A1">
      <w:pPr>
        <w:pStyle w:val="ListBullet"/>
      </w:pPr>
      <w:r>
        <w:t xml:space="preserve">Analysis of AEs by </w:t>
      </w:r>
      <w:r>
        <w:rPr>
          <w:b/>
        </w:rPr>
        <w:t>race</w:t>
      </w:r>
      <w:r>
        <w:t xml:space="preserve"> found a higher incidence in Asian populations compared to White for several AEs </w:t>
      </w:r>
      <w:r w:rsidRPr="001151A1">
        <w:t>including</w:t>
      </w:r>
      <w:r>
        <w:t xml:space="preserve">: HFSR (75.1% </w:t>
      </w:r>
      <w:r w:rsidR="008B3958">
        <w:t>versus</w:t>
      </w:r>
      <w:r>
        <w:t xml:space="preserve"> 44.0%), rash (29.4% </w:t>
      </w:r>
      <w:r w:rsidR="008B3958">
        <w:t>versus</w:t>
      </w:r>
      <w:r>
        <w:t xml:space="preserve"> 19.3%), blood bilirubin increased (16.2% </w:t>
      </w:r>
      <w:r w:rsidR="008B3958">
        <w:t>versus</w:t>
      </w:r>
      <w:r>
        <w:t xml:space="preserve"> 5.8%), AST increased (30.5% </w:t>
      </w:r>
      <w:r w:rsidR="008B3958">
        <w:t>versus</w:t>
      </w:r>
      <w:r>
        <w:t xml:space="preserve"> 4.8%), lipase increased (14.7% </w:t>
      </w:r>
      <w:r w:rsidR="008B3958">
        <w:t>versus</w:t>
      </w:r>
      <w:r>
        <w:t xml:space="preserve"> 3.4%), proteinuria (25.9% </w:t>
      </w:r>
      <w:r w:rsidR="008B3958">
        <w:t>versus</w:t>
      </w:r>
      <w:r>
        <w:t xml:space="preserve"> 2.6%) and platelet count decreased (17.3% </w:t>
      </w:r>
      <w:r w:rsidR="008B3958">
        <w:t>versus</w:t>
      </w:r>
      <w:r>
        <w:t xml:space="preserve"> 2.3%)</w:t>
      </w:r>
      <w:r w:rsidR="00B22FC2">
        <w:t xml:space="preserve"> (Table 12)</w:t>
      </w:r>
      <w:r>
        <w:t>.</w:t>
      </w:r>
    </w:p>
    <w:p w:rsidR="00B22FC2" w:rsidRDefault="00B22FC2" w:rsidP="001151A1">
      <w:pPr>
        <w:pStyle w:val="Tabletitle"/>
      </w:pPr>
      <w:bookmarkStart w:id="290" w:name="_Ref391292104"/>
      <w:bookmarkStart w:id="291" w:name="_Toc393799523"/>
      <w:r>
        <w:t>Table 12</w:t>
      </w:r>
      <w:bookmarkEnd w:id="290"/>
      <w:r>
        <w:rPr>
          <w:noProof/>
        </w:rPr>
        <w:t xml:space="preserve">: </w:t>
      </w:r>
      <w:r>
        <w:t xml:space="preserve">AEs with any difference in frequency of ≥10 percentage points between any two race categories in </w:t>
      </w:r>
      <w:proofErr w:type="spellStart"/>
      <w:r>
        <w:t>regorafenib</w:t>
      </w:r>
      <w:proofErr w:type="spellEnd"/>
      <w:r>
        <w:t xml:space="preserve"> patients in </w:t>
      </w:r>
      <w:r w:rsidR="009F6F23">
        <w:t>P</w:t>
      </w:r>
      <w:r>
        <w:t xml:space="preserve">ool 1 (SAF) of the </w:t>
      </w:r>
      <w:proofErr w:type="gramStart"/>
      <w:r>
        <w:t>Integrated</w:t>
      </w:r>
      <w:proofErr w:type="gramEnd"/>
      <w:r>
        <w:t xml:space="preserve"> global analysis of safety</w:t>
      </w:r>
      <w:bookmarkEnd w:id="291"/>
    </w:p>
    <w:p w:rsidR="00B22FC2" w:rsidRDefault="00B22FC2" w:rsidP="001151A1">
      <w:r>
        <w:rPr>
          <w:noProof/>
          <w:lang w:eastAsia="en-AU"/>
        </w:rPr>
        <w:drawing>
          <wp:inline distT="0" distB="0" distL="0" distR="0" wp14:anchorId="3EF29143" wp14:editId="7ABB9526">
            <wp:extent cx="3813717" cy="3620642"/>
            <wp:effectExtent l="0" t="0" r="0" b="0"/>
            <wp:docPr id="119" name="Picture 119" descr="Table 12: AEs with any difference in frequency of ≥10 percentage points between any two race categories in regorafenib patients in pool 1 (SAF) of the Integrated global analysis of safety"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3813729" cy="3620653"/>
                    </a:xfrm>
                    <a:prstGeom prst="rect">
                      <a:avLst/>
                    </a:prstGeom>
                    <a:noFill/>
                    <a:ln>
                      <a:noFill/>
                    </a:ln>
                  </pic:spPr>
                </pic:pic>
              </a:graphicData>
            </a:graphic>
          </wp:inline>
        </w:drawing>
      </w:r>
    </w:p>
    <w:p w:rsidR="00221B8B" w:rsidRDefault="00221B8B" w:rsidP="001151A1">
      <w:pPr>
        <w:ind w:left="1134" w:hanging="1134"/>
      </w:pPr>
      <w:r w:rsidRPr="00B22FC2">
        <w:rPr>
          <w:b/>
        </w:rPr>
        <w:lastRenderedPageBreak/>
        <w:t>Comment</w:t>
      </w:r>
      <w:r>
        <w:t>:</w:t>
      </w:r>
      <w:r>
        <w:tab/>
        <w:t>This evaluator does not agree with the assessment of the sponsor that there is a similar safety profile among the race subgroups. The data indicates there may be a different safety profile in patients of Asian race compared to other races, particularly with respect to serious AEs, hepatic impairment/toxicity and skin reactions as was discussed in other sections. Therefore, it is questioned whether alternative dosing schedules or monitoring requirements may be warranted for patients of Asian descent. A recommendation has been made to include a precaution in the draft PI and a question has been posed to the sponsor.</w:t>
      </w:r>
    </w:p>
    <w:p w:rsidR="00221B8B" w:rsidRDefault="00221B8B" w:rsidP="001151A1">
      <w:pPr>
        <w:pStyle w:val="ListBullet"/>
      </w:pPr>
      <w:r>
        <w:t xml:space="preserve">Analysis of AEs by </w:t>
      </w:r>
      <w:r>
        <w:rPr>
          <w:b/>
        </w:rPr>
        <w:t>BMI</w:t>
      </w:r>
      <w:r>
        <w:t xml:space="preserve"> subgroups found a </w:t>
      </w:r>
      <w:r w:rsidRPr="001151A1">
        <w:t>similar</w:t>
      </w:r>
      <w:r>
        <w:t xml:space="preserve"> safety profile across all groups.</w:t>
      </w:r>
    </w:p>
    <w:p w:rsidR="00221B8B" w:rsidRDefault="00221B8B" w:rsidP="001151A1">
      <w:pPr>
        <w:pStyle w:val="ListBullet"/>
      </w:pPr>
      <w:r>
        <w:t xml:space="preserve">Analysis of AEs by </w:t>
      </w:r>
      <w:r>
        <w:rPr>
          <w:b/>
        </w:rPr>
        <w:t>baseline hepatic function</w:t>
      </w:r>
      <w:r>
        <w:t xml:space="preserve">, found a higher rates of </w:t>
      </w:r>
      <w:r w:rsidR="00440FE3">
        <w:t>Grade 5</w:t>
      </w:r>
      <w:r>
        <w:t xml:space="preserve"> AEs (all) in those with elevated liver enzymes at baseline compared to those with normal hepatic function (</w:t>
      </w:r>
      <w:r w:rsidR="00440FE3">
        <w:t>Grade 5</w:t>
      </w:r>
      <w:r>
        <w:t xml:space="preserve"> events 38.9% for those with ALT&gt;3*ULN or AST&gt;3* ULN [n=18] </w:t>
      </w:r>
      <w:r w:rsidR="008B3958">
        <w:t>versus</w:t>
      </w:r>
      <w:r>
        <w:t xml:space="preserve"> 20.4% for 1.5*ULN&lt;AST/ALT&lt;=3*ULN [n=98] </w:t>
      </w:r>
      <w:r w:rsidR="008B3958">
        <w:t>versus</w:t>
      </w:r>
      <w:r>
        <w:t xml:space="preserve"> 10.4% AST/ALT&lt;=1.5*ULN [n=954]). There was a higher incidence of </w:t>
      </w:r>
      <w:proofErr w:type="spellStart"/>
      <w:r>
        <w:t>hyperbilirubinaemia</w:t>
      </w:r>
      <w:proofErr w:type="spellEnd"/>
      <w:r>
        <w:t xml:space="preserve"> in patients with elevated liver enzymes at baseline compared to those with normal hepatic function (44.4% </w:t>
      </w:r>
      <w:r w:rsidR="008B3958">
        <w:t>versus</w:t>
      </w:r>
      <w:r>
        <w:t xml:space="preserve">19.4% </w:t>
      </w:r>
      <w:r w:rsidR="008B3958">
        <w:t>versus</w:t>
      </w:r>
      <w:r>
        <w:t xml:space="preserve"> 7.3% respectively).</w:t>
      </w:r>
    </w:p>
    <w:p w:rsidR="00221B8B" w:rsidRDefault="00221B8B" w:rsidP="001151A1">
      <w:pPr>
        <w:ind w:left="1134" w:hanging="1134"/>
      </w:pPr>
      <w:r w:rsidRPr="00B22FC2">
        <w:rPr>
          <w:b/>
        </w:rPr>
        <w:t>Comment</w:t>
      </w:r>
      <w:r>
        <w:t>:</w:t>
      </w:r>
      <w:r>
        <w:tab/>
        <w:t>There appears to be an increased risk of Grade 5 and hepatobiliary adverse events in patients with impaired hepatic function at baseline, despite low numbers of subjects with impaired hepatic function enrolled into the clinical trials.</w:t>
      </w:r>
    </w:p>
    <w:p w:rsidR="00221B8B" w:rsidRDefault="00221B8B" w:rsidP="001151A1">
      <w:pPr>
        <w:pStyle w:val="ListBullet"/>
      </w:pPr>
      <w:r>
        <w:t xml:space="preserve">Analysis of AEs by </w:t>
      </w:r>
      <w:r>
        <w:rPr>
          <w:b/>
        </w:rPr>
        <w:t>baseline renal function</w:t>
      </w:r>
      <w:r>
        <w:t xml:space="preserve"> (normal, n=963 </w:t>
      </w:r>
      <w:r w:rsidR="008B3958">
        <w:t>versus</w:t>
      </w:r>
      <w:r>
        <w:t xml:space="preserve"> at least moderately impaired renal function, n=109) found comparable incidences of AEs across both groups.</w:t>
      </w:r>
    </w:p>
    <w:p w:rsidR="00221B8B" w:rsidRDefault="00221B8B" w:rsidP="001151A1">
      <w:pPr>
        <w:pStyle w:val="Heading4"/>
      </w:pPr>
      <w:bookmarkStart w:id="292" w:name="_Toc393799400"/>
      <w:bookmarkStart w:id="293" w:name="_Toc290846326"/>
      <w:bookmarkStart w:id="294" w:name="_Toc272414688"/>
      <w:bookmarkStart w:id="295" w:name="_Ref272331214"/>
      <w:bookmarkStart w:id="296" w:name="_Toc241374324"/>
      <w:r>
        <w:t xml:space="preserve">Safety </w:t>
      </w:r>
      <w:r w:rsidRPr="001151A1">
        <w:t>related</w:t>
      </w:r>
      <w:r>
        <w:t xml:space="preserve"> to drug-drug interactions and other interactions</w:t>
      </w:r>
      <w:bookmarkEnd w:id="292"/>
      <w:bookmarkEnd w:id="293"/>
      <w:bookmarkEnd w:id="294"/>
      <w:bookmarkEnd w:id="295"/>
      <w:bookmarkEnd w:id="296"/>
    </w:p>
    <w:p w:rsidR="00221B8B" w:rsidRDefault="00221B8B" w:rsidP="001151A1">
      <w:r>
        <w:t>No new data was presented on drug interactions in this submission.</w:t>
      </w:r>
    </w:p>
    <w:p w:rsidR="00221B8B" w:rsidRDefault="00221B8B" w:rsidP="001151A1">
      <w:pPr>
        <w:pStyle w:val="Heading4"/>
      </w:pPr>
      <w:bookmarkStart w:id="297" w:name="_Toc393799401"/>
      <w:r>
        <w:t xml:space="preserve">Safety related to clinical indication (GIST </w:t>
      </w:r>
      <w:r w:rsidR="008B3958" w:rsidRPr="001151A1">
        <w:t>versus</w:t>
      </w:r>
      <w:r>
        <w:t xml:space="preserve"> </w:t>
      </w:r>
      <w:proofErr w:type="spellStart"/>
      <w:r>
        <w:t>mCRC</w:t>
      </w:r>
      <w:proofErr w:type="spellEnd"/>
      <w:r>
        <w:t>)</w:t>
      </w:r>
      <w:bookmarkEnd w:id="297"/>
    </w:p>
    <w:p w:rsidR="00221B8B" w:rsidRDefault="00221B8B" w:rsidP="001151A1">
      <w:r>
        <w:t>In Module 2.7.4 Summary of Clinical Safety, an analysis was presented comparing AEs between the two indications of GIST (</w:t>
      </w:r>
      <w:r w:rsidR="004338FD">
        <w:t>Study 14</w:t>
      </w:r>
      <w:r>
        <w:t xml:space="preserve">874, n=132) and </w:t>
      </w:r>
      <w:proofErr w:type="spellStart"/>
      <w:r>
        <w:t>mCRC</w:t>
      </w:r>
      <w:proofErr w:type="spellEnd"/>
      <w:r>
        <w:t xml:space="preserve"> (</w:t>
      </w:r>
      <w:r w:rsidR="00951EF6">
        <w:t>Study 143</w:t>
      </w:r>
      <w:r>
        <w:t xml:space="preserve">87, n=500). The overall safety profile was comparable between the two studies for cardiac disorders, renal and urinary disorders, </w:t>
      </w:r>
      <w:proofErr w:type="spellStart"/>
      <w:r>
        <w:t>thrombo</w:t>
      </w:r>
      <w:proofErr w:type="spellEnd"/>
      <w:r>
        <w:t>-embolic events, gastrointestinal events (including d</w:t>
      </w:r>
      <w:r w:rsidR="00B22FC2">
        <w:t xml:space="preserve">iarrhoea and nausea/vomiting), </w:t>
      </w:r>
      <w:r>
        <w:t>respiratory, thoracic and mediastinal disorders (including dysphonia), metabolism and nutrition disorders (including deceased appetite), and infections and infestations.</w:t>
      </w:r>
    </w:p>
    <w:p w:rsidR="00221B8B" w:rsidRDefault="00221B8B" w:rsidP="001151A1">
      <w:r>
        <w:t xml:space="preserve">An increased rate of adverse events was observed in </w:t>
      </w:r>
      <w:proofErr w:type="spellStart"/>
      <w:r>
        <w:t>mCRC</w:t>
      </w:r>
      <w:proofErr w:type="spellEnd"/>
      <w:r>
        <w:t xml:space="preserve"> patients compared to GIST for hepatobiliary disorders (19.8% </w:t>
      </w:r>
      <w:r w:rsidR="008B3958">
        <w:t>versus</w:t>
      </w:r>
      <w:r>
        <w:t xml:space="preserve"> 6.1% respectively), haematological and biochemical toxicities (</w:t>
      </w:r>
      <w:proofErr w:type="spellStart"/>
      <w:r>
        <w:t>hyperbilirubinaemia</w:t>
      </w:r>
      <w:proofErr w:type="spellEnd"/>
      <w:r>
        <w:t xml:space="preserve"> 13.0% </w:t>
      </w:r>
      <w:r w:rsidR="008B3958">
        <w:t>versus</w:t>
      </w:r>
      <w:r>
        <w:t xml:space="preserve"> 1.5%), and haemorrhage (21.4% </w:t>
      </w:r>
      <w:r w:rsidR="008B3958">
        <w:t>versus</w:t>
      </w:r>
      <w:r>
        <w:t xml:space="preserve"> 11.4%).</w:t>
      </w:r>
    </w:p>
    <w:p w:rsidR="00221B8B" w:rsidRDefault="00221B8B" w:rsidP="001151A1">
      <w:r>
        <w:t xml:space="preserve">An increased rate of adverse events was observed in GIST patients compared to </w:t>
      </w:r>
      <w:proofErr w:type="spellStart"/>
      <w:r>
        <w:t>mCRC</w:t>
      </w:r>
      <w:proofErr w:type="spellEnd"/>
      <w:r>
        <w:t xml:space="preserve"> for HFSR (66.7% </w:t>
      </w:r>
      <w:r w:rsidR="008B3958">
        <w:t>versus</w:t>
      </w:r>
      <w:r>
        <w:t xml:space="preserve"> 45.0% respectively), alopecia (24.2% </w:t>
      </w:r>
      <w:r w:rsidR="008B3958">
        <w:t>versus</w:t>
      </w:r>
      <w:r>
        <w:t xml:space="preserve"> 7.6%), and hypertension (59.1% </w:t>
      </w:r>
      <w:r w:rsidR="008B3958">
        <w:t>versus</w:t>
      </w:r>
      <w:r>
        <w:t xml:space="preserve"> 30.4%).</w:t>
      </w:r>
    </w:p>
    <w:p w:rsidR="00221B8B" w:rsidRDefault="00221B8B" w:rsidP="001151A1">
      <w:pPr>
        <w:ind w:left="1134" w:hanging="1134"/>
      </w:pPr>
      <w:r w:rsidRPr="00B22FC2">
        <w:rPr>
          <w:b/>
        </w:rPr>
        <w:t>Comment</w:t>
      </w:r>
      <w:r>
        <w:t>:</w:t>
      </w:r>
      <w:r>
        <w:tab/>
        <w:t xml:space="preserve">The safety profile of </w:t>
      </w:r>
      <w:proofErr w:type="spellStart"/>
      <w:r>
        <w:t>regorafenib</w:t>
      </w:r>
      <w:proofErr w:type="spellEnd"/>
      <w:r>
        <w:t xml:space="preserve"> was generally comparable across the current indication in </w:t>
      </w:r>
      <w:proofErr w:type="spellStart"/>
      <w:r>
        <w:t>mCRC</w:t>
      </w:r>
      <w:proofErr w:type="spellEnd"/>
      <w:r>
        <w:t xml:space="preserve"> and the proposed indication of GIST. Generally the evidence suggests that the safety profile may be slightly more favourable in GIST, with a reduced frequency of the potentially serious AEs of hepatobiliary disorders and haemorrhage, although a higher frequency of less serious AEs including HFSR, alopecia and hypertension. Caution is required in drawing conclusions from these comparisons across studies however.</w:t>
      </w:r>
    </w:p>
    <w:p w:rsidR="00221B8B" w:rsidRDefault="00221B8B" w:rsidP="001151A1">
      <w:pPr>
        <w:pStyle w:val="Heading3"/>
      </w:pPr>
      <w:bookmarkStart w:id="298" w:name="_Toc393799402"/>
      <w:bookmarkStart w:id="299" w:name="_Toc290846329"/>
      <w:bookmarkStart w:id="300" w:name="_Toc272414691"/>
      <w:bookmarkStart w:id="301" w:name="_Toc241374328"/>
      <w:bookmarkStart w:id="302" w:name="_Toc436128356"/>
      <w:r>
        <w:lastRenderedPageBreak/>
        <w:t xml:space="preserve">Evaluator’s </w:t>
      </w:r>
      <w:r w:rsidRPr="001151A1">
        <w:t>overall</w:t>
      </w:r>
      <w:r>
        <w:t xml:space="preserve"> conclusions on clinical safety</w:t>
      </w:r>
      <w:bookmarkEnd w:id="298"/>
      <w:bookmarkEnd w:id="299"/>
      <w:bookmarkEnd w:id="300"/>
      <w:bookmarkEnd w:id="301"/>
      <w:bookmarkEnd w:id="302"/>
    </w:p>
    <w:p w:rsidR="00221B8B" w:rsidRDefault="00221B8B" w:rsidP="001151A1">
      <w:r>
        <w:t xml:space="preserve">The new data presented with this submission is generally consistent with the known safety profile of </w:t>
      </w:r>
      <w:proofErr w:type="spellStart"/>
      <w:r>
        <w:t>regorafenib</w:t>
      </w:r>
      <w:proofErr w:type="spellEnd"/>
      <w:r>
        <w:t xml:space="preserve">. The overall rate of adverse events is high in patients treated with </w:t>
      </w:r>
      <w:proofErr w:type="spellStart"/>
      <w:r>
        <w:t>regorafenib</w:t>
      </w:r>
      <w:proofErr w:type="spellEnd"/>
      <w:r>
        <w:t xml:space="preserve">, with 100% of </w:t>
      </w:r>
      <w:proofErr w:type="spellStart"/>
      <w:r>
        <w:t>regorafenib</w:t>
      </w:r>
      <w:proofErr w:type="spellEnd"/>
      <w:r>
        <w:t xml:space="preserve"> treated patients in pivotal </w:t>
      </w:r>
      <w:r w:rsidR="004338FD">
        <w:t>Study 14</w:t>
      </w:r>
      <w:r>
        <w:t xml:space="preserve">874 and 99.4% of subjects in the pooled global analysis experiencing any AE. The most common AEs are consistent across the studies, and include HFSR, fatigue, diarrhoea and hypertension. </w:t>
      </w:r>
      <w:proofErr w:type="gramStart"/>
      <w:r>
        <w:t>A high proportion of patients (65% in pooled studies) required dose modifications in response to these AEs.</w:t>
      </w:r>
      <w:proofErr w:type="gramEnd"/>
    </w:p>
    <w:p w:rsidR="00221B8B" w:rsidRDefault="00221B8B" w:rsidP="001151A1">
      <w:r>
        <w:t xml:space="preserve">The most common cause of death across the submitted studies was disease progression, as would be expected in cancer patient populations. However, potential </w:t>
      </w:r>
      <w:proofErr w:type="spellStart"/>
      <w:r>
        <w:t>regorafenib</w:t>
      </w:r>
      <w:proofErr w:type="spellEnd"/>
      <w:r>
        <w:t>-related deaths include those from hepatic impairment, cardiovascular and thromboembolic events, renal impairment, infections, perforations and bleeding, and these should be considered adverse events of treatment.</w:t>
      </w:r>
    </w:p>
    <w:p w:rsidR="00221B8B" w:rsidRDefault="00221B8B" w:rsidP="001151A1">
      <w:r>
        <w:t>It is agreed with the overall statement of the sponsor that although the proportion of patients who experience TEAEs is high, most of these AEs can be managed with dose modifications, with a relatively low proportion of patients discontinuing treatment due to AEs.</w:t>
      </w:r>
    </w:p>
    <w:p w:rsidR="00221B8B" w:rsidRDefault="00221B8B" w:rsidP="001151A1">
      <w:r>
        <w:t xml:space="preserve">There is some indication that the safety profile for patients treated with </w:t>
      </w:r>
      <w:proofErr w:type="spellStart"/>
      <w:r>
        <w:t>regorafenib</w:t>
      </w:r>
      <w:proofErr w:type="spellEnd"/>
      <w:r>
        <w:t xml:space="preserve"> for GIST may be more favourable than for patients with metastatic CRC or other indications. In treatment of GIST, there appeared to be a reduced frequency of the potentially serious AEs of hepatobiliary disorders and haemorrhage, although a higher frequency of less serious AEs including HFSR, alopecia and hypertension. In addition the discontinuation rate in pivotal trial 14874 (8.5%) for all treated patients with GIST was lower than that for the pooled studies (20.5%) or for patients with HCC (50%). Caution is required however in drawing conclusions from cross-study comparisons.</w:t>
      </w:r>
    </w:p>
    <w:p w:rsidR="00221B8B" w:rsidRDefault="00221B8B" w:rsidP="001151A1">
      <w:r>
        <w:t>Based on the analysis of results from Study 14874 and the pooled safety results, the following safety issues were considered:</w:t>
      </w:r>
    </w:p>
    <w:p w:rsidR="00221B8B" w:rsidRDefault="00221B8B" w:rsidP="001151A1">
      <w:pPr>
        <w:pStyle w:val="ListBullet"/>
      </w:pPr>
      <w:r>
        <w:t xml:space="preserve">The study designs of all studies evaluated excluded subjects with hepatic or renal impairment from inclusion. Therefore, the ability of results to assess the safety of </w:t>
      </w:r>
      <w:proofErr w:type="spellStart"/>
      <w:r>
        <w:t>regorafenib</w:t>
      </w:r>
      <w:proofErr w:type="spellEnd"/>
      <w:r>
        <w:t xml:space="preserve"> in subjects with hepatic and renal impairment is limited. It is the opinion of this evaluator that no definitive </w:t>
      </w:r>
      <w:r w:rsidRPr="001151A1">
        <w:t>conclusions</w:t>
      </w:r>
      <w:r>
        <w:t xml:space="preserve"> or recommendations can be made about the use of </w:t>
      </w:r>
      <w:proofErr w:type="spellStart"/>
      <w:r>
        <w:t>regorafenib</w:t>
      </w:r>
      <w:proofErr w:type="spellEnd"/>
      <w:r>
        <w:t xml:space="preserve"> in subjects with moderate hepatic or renal impairment, in contrast to the sponsor’s assessment that no dosage adjustments are required in patients with moderate hepatic impairment. </w:t>
      </w:r>
    </w:p>
    <w:p w:rsidR="00221B8B" w:rsidRDefault="00221B8B" w:rsidP="001151A1">
      <w:pPr>
        <w:pStyle w:val="ListBullet"/>
      </w:pPr>
      <w:r>
        <w:t xml:space="preserve">The data confirmed the risk of liver toxicity and acute hepatic failure with </w:t>
      </w:r>
      <w:proofErr w:type="spellStart"/>
      <w:r>
        <w:t>regorafenib</w:t>
      </w:r>
      <w:proofErr w:type="spellEnd"/>
      <w:r>
        <w:t xml:space="preserve"> use. This evaluator agrees with the assessment of the sponsor that early recognition and management of liver function abnormalities with drug withdrawal will help to prevent episodes of acute hepatic toxicity. However, due to the potential seriousness of this adverse effect, there is potential scope for increasing the hepatic monitoring recommendations from fortnightly as stated in the current PI, to weekly as occurred in the pivotal trial.</w:t>
      </w:r>
    </w:p>
    <w:p w:rsidR="00221B8B" w:rsidRDefault="00221B8B" w:rsidP="001151A1">
      <w:pPr>
        <w:pStyle w:val="ListBullet"/>
      </w:pPr>
      <w:r>
        <w:t xml:space="preserve">Although rates of renal failure </w:t>
      </w:r>
      <w:r w:rsidRPr="001151A1">
        <w:t>observed</w:t>
      </w:r>
      <w:r>
        <w:t xml:space="preserve"> with </w:t>
      </w:r>
      <w:proofErr w:type="spellStart"/>
      <w:r>
        <w:t>regorafenib</w:t>
      </w:r>
      <w:proofErr w:type="spellEnd"/>
      <w:r>
        <w:t xml:space="preserve"> treatment to date remain low, given the known association between treatment with </w:t>
      </w:r>
      <w:proofErr w:type="spellStart"/>
      <w:r>
        <w:t>regorafenib</w:t>
      </w:r>
      <w:proofErr w:type="spellEnd"/>
      <w:r>
        <w:t xml:space="preserve"> and proteinuria and documented cases of Grade 5 renal failure attributed to </w:t>
      </w:r>
      <w:proofErr w:type="spellStart"/>
      <w:r>
        <w:t>regorafenib</w:t>
      </w:r>
      <w:proofErr w:type="spellEnd"/>
      <w:r>
        <w:t xml:space="preserve"> treatment, further monitoring for renal failure in patients treated with </w:t>
      </w:r>
      <w:proofErr w:type="spellStart"/>
      <w:r>
        <w:t>regorafenib</w:t>
      </w:r>
      <w:proofErr w:type="spellEnd"/>
      <w:r>
        <w:t xml:space="preserve"> is warranted.</w:t>
      </w:r>
    </w:p>
    <w:p w:rsidR="00221B8B" w:rsidRDefault="00221B8B" w:rsidP="001151A1">
      <w:pPr>
        <w:pStyle w:val="ListBullet"/>
      </w:pPr>
      <w:r>
        <w:t xml:space="preserve">It is recommended that an additional precaution be added in the PI alerting to the increased risk of </w:t>
      </w:r>
      <w:r w:rsidRPr="001151A1">
        <w:t>hypothyroidism</w:t>
      </w:r>
      <w:r>
        <w:t>.</w:t>
      </w:r>
    </w:p>
    <w:p w:rsidR="00221B8B" w:rsidRDefault="00221B8B" w:rsidP="001151A1">
      <w:pPr>
        <w:pStyle w:val="ListBullet"/>
      </w:pPr>
      <w:r>
        <w:t xml:space="preserve">Other important adverse events documented that are in keeping with the known risks of </w:t>
      </w:r>
      <w:proofErr w:type="spellStart"/>
      <w:r>
        <w:t>regorafenib</w:t>
      </w:r>
      <w:proofErr w:type="spellEnd"/>
      <w:r>
        <w:t xml:space="preserve"> use include: sudden cardiac death; GI perforation due to anti-tumour effect; bleeding risk and </w:t>
      </w:r>
      <w:proofErr w:type="spellStart"/>
      <w:r>
        <w:t>hypophosphataemia</w:t>
      </w:r>
      <w:proofErr w:type="spellEnd"/>
      <w:r>
        <w:t>.</w:t>
      </w:r>
    </w:p>
    <w:p w:rsidR="00221B8B" w:rsidRDefault="00221B8B" w:rsidP="001151A1">
      <w:pPr>
        <w:pStyle w:val="ListBullet"/>
      </w:pPr>
      <w:r>
        <w:lastRenderedPageBreak/>
        <w:t xml:space="preserve">This evaluator does not agree with the assessment of the sponsor that there is a similar safety profile among the race subgroups. The data indicates there may be a different safety profile in patients of Asian race compared to other races, particularly with respect to serious AEs, hepatic impairment/toxicity and skin reactions as was discussed in other sections. Therefore, it is questioned whether </w:t>
      </w:r>
      <w:r w:rsidRPr="001151A1">
        <w:t>alternative</w:t>
      </w:r>
      <w:r>
        <w:t xml:space="preserve"> dosing schedules or monitoring requirements may be warranted for patients of Asian descent.</w:t>
      </w:r>
    </w:p>
    <w:p w:rsidR="00221B8B" w:rsidRPr="00A33667" w:rsidRDefault="00221B8B" w:rsidP="001151A1">
      <w:r w:rsidRPr="00A33667">
        <w:t xml:space="preserve">Study 14596 in subjects with HCC generally supported the safety findings of the pivotal study however there was a suggestion of more frequent and severe incidences of hepatic dysfunction, which included 2 </w:t>
      </w:r>
      <w:r w:rsidR="00440FE3" w:rsidRPr="00A33667">
        <w:t>Grade 5</w:t>
      </w:r>
      <w:r w:rsidRPr="00A33667">
        <w:t xml:space="preserve"> events. This could be explained due to the underlying cause of disease, however, it is uncertain as to the extent that treatment with </w:t>
      </w:r>
      <w:proofErr w:type="spellStart"/>
      <w:r w:rsidRPr="00A33667">
        <w:t>regorafenib</w:t>
      </w:r>
      <w:proofErr w:type="spellEnd"/>
      <w:r w:rsidRPr="00A33667">
        <w:t xml:space="preserve"> may have increased the likelihood and severity of these events. It is noted that all subjects enrolled in this study had Child Pugh </w:t>
      </w:r>
      <w:proofErr w:type="gramStart"/>
      <w:r w:rsidRPr="00A33667">
        <w:t>A</w:t>
      </w:r>
      <w:proofErr w:type="gramEnd"/>
      <w:r w:rsidRPr="00A33667">
        <w:t xml:space="preserve"> classification, and therefore were assessed as having adequate baseline hepatic function, yet experienced an increased incidence of hepatic adverse events. Therefore, experience of </w:t>
      </w:r>
      <w:proofErr w:type="spellStart"/>
      <w:r w:rsidRPr="00A33667">
        <w:t>regorafenib</w:t>
      </w:r>
      <w:proofErr w:type="spellEnd"/>
      <w:r w:rsidRPr="00A33667">
        <w:t xml:space="preserve"> with moderate to severe hepatic impairment remains limited, and it is therefore prudent that </w:t>
      </w:r>
      <w:proofErr w:type="spellStart"/>
      <w:r w:rsidRPr="00A33667">
        <w:t>regorafenib</w:t>
      </w:r>
      <w:proofErr w:type="spellEnd"/>
      <w:r w:rsidRPr="00A33667">
        <w:t xml:space="preserve"> be used with caution in these subjects.</w:t>
      </w:r>
    </w:p>
    <w:p w:rsidR="00C22678" w:rsidRDefault="00C22678" w:rsidP="001151A1">
      <w:pPr>
        <w:pStyle w:val="Heading2"/>
      </w:pPr>
      <w:bookmarkStart w:id="303" w:name="_Toc436128357"/>
      <w:r>
        <w:t>First round benefit-risk assessment</w:t>
      </w:r>
      <w:bookmarkEnd w:id="303"/>
    </w:p>
    <w:p w:rsidR="00221B8B" w:rsidRDefault="00221B8B" w:rsidP="001151A1">
      <w:pPr>
        <w:pStyle w:val="Heading3"/>
      </w:pPr>
      <w:bookmarkStart w:id="304" w:name="_Toc393799404"/>
      <w:bookmarkStart w:id="305" w:name="_Toc290846331"/>
      <w:bookmarkStart w:id="306" w:name="_Toc272414693"/>
      <w:bookmarkStart w:id="307" w:name="_Ref272160836"/>
      <w:bookmarkStart w:id="308" w:name="_Toc241374331"/>
      <w:bookmarkStart w:id="309" w:name="_Toc236802592"/>
      <w:bookmarkStart w:id="310" w:name="_Toc436128358"/>
      <w:r>
        <w:t xml:space="preserve">First round </w:t>
      </w:r>
      <w:r w:rsidRPr="001151A1">
        <w:t>assessment</w:t>
      </w:r>
      <w:r>
        <w:t xml:space="preserve"> of benefits</w:t>
      </w:r>
      <w:bookmarkEnd w:id="304"/>
      <w:bookmarkEnd w:id="305"/>
      <w:bookmarkEnd w:id="306"/>
      <w:bookmarkEnd w:id="307"/>
      <w:bookmarkEnd w:id="308"/>
      <w:bookmarkEnd w:id="309"/>
      <w:bookmarkEnd w:id="310"/>
    </w:p>
    <w:p w:rsidR="00221B8B" w:rsidRDefault="00221B8B" w:rsidP="001151A1">
      <w:r>
        <w:t xml:space="preserve">The benefits of </w:t>
      </w:r>
      <w:proofErr w:type="spellStart"/>
      <w:r>
        <w:t>regorafenib</w:t>
      </w:r>
      <w:proofErr w:type="spellEnd"/>
      <w:r>
        <w:t xml:space="preserve"> in the proposed usage are:</w:t>
      </w:r>
    </w:p>
    <w:p w:rsidR="00221B8B" w:rsidRDefault="00221B8B" w:rsidP="001151A1">
      <w:pPr>
        <w:pStyle w:val="ListBullet"/>
      </w:pPr>
      <w:r>
        <w:t xml:space="preserve">Improvements in progression free survival: The pivotal </w:t>
      </w:r>
      <w:r w:rsidR="004338FD">
        <w:t>Study 14</w:t>
      </w:r>
      <w:r>
        <w:t xml:space="preserve">874 in patients with advanced or metastatic GIST previously treated </w:t>
      </w:r>
      <w:r w:rsidRPr="001151A1">
        <w:t>with</w:t>
      </w:r>
      <w:r>
        <w:t xml:space="preserve"> two TKIs showed statistically and clinically significant improvements of </w:t>
      </w:r>
      <w:r w:rsidRPr="001151A1">
        <w:t>median</w:t>
      </w:r>
      <w:r>
        <w:t xml:space="preserve"> progression-free survival for patients treated with </w:t>
      </w:r>
      <w:proofErr w:type="spellStart"/>
      <w:r>
        <w:t>regorafenib</w:t>
      </w:r>
      <w:proofErr w:type="spellEnd"/>
      <w:r>
        <w:t xml:space="preserve"> of </w:t>
      </w:r>
      <w:r>
        <w:rPr>
          <w:rFonts w:eastAsia="TimesNewRoman"/>
        </w:rPr>
        <w:t>4.8 months (95% CI: 4.0-5.7)</w:t>
      </w:r>
      <w:r>
        <w:t xml:space="preserve"> over placebo of 0.9 months (95% CI: 0.9, 1.1), with a HR of </w:t>
      </w:r>
      <w:r>
        <w:rPr>
          <w:rFonts w:eastAsia="TimesNewRoman"/>
        </w:rPr>
        <w:t xml:space="preserve">0.268 (95%CI 0.185, 0.388, p&lt;0.000001). </w:t>
      </w:r>
      <w:r>
        <w:t>This result was supported by Study 14935.</w:t>
      </w:r>
    </w:p>
    <w:p w:rsidR="00221B8B" w:rsidRDefault="00221B8B" w:rsidP="001151A1">
      <w:pPr>
        <w:pStyle w:val="ListBullet"/>
      </w:pPr>
      <w:r>
        <w:t xml:space="preserve">Suggested improvements in overall survival: The immaturity of OS data in Study 14874 means that no definitive conclusions can be </w:t>
      </w:r>
      <w:r w:rsidRPr="001151A1">
        <w:t>drawn</w:t>
      </w:r>
      <w:r>
        <w:t xml:space="preserve"> on the effect of </w:t>
      </w:r>
      <w:proofErr w:type="spellStart"/>
      <w:r>
        <w:t>regorafenib</w:t>
      </w:r>
      <w:proofErr w:type="spellEnd"/>
      <w:r>
        <w:t xml:space="preserve"> treatment on OS compared to placebo, although a beneficial effect of </w:t>
      </w:r>
      <w:proofErr w:type="spellStart"/>
      <w:r>
        <w:t>regorafenib</w:t>
      </w:r>
      <w:proofErr w:type="spellEnd"/>
      <w:r>
        <w:t xml:space="preserve"> was suggested with a HR o</w:t>
      </w:r>
      <w:r w:rsidR="001151A1">
        <w:t>f 0.772 (95% CI: 0.423, 1.408).</w:t>
      </w:r>
    </w:p>
    <w:p w:rsidR="00221B8B" w:rsidRDefault="00221B8B" w:rsidP="001151A1">
      <w:pPr>
        <w:pStyle w:val="ListBullet"/>
      </w:pPr>
      <w:r>
        <w:t xml:space="preserve">There is possible variation in </w:t>
      </w:r>
      <w:r w:rsidRPr="001151A1">
        <w:t>efficacy</w:t>
      </w:r>
      <w:r>
        <w:t xml:space="preserve"> according to genetic biomarkers – this may affect the overall risk-benefit balance, and </w:t>
      </w:r>
      <w:r w:rsidRPr="001151A1">
        <w:t>further</w:t>
      </w:r>
      <w:r>
        <w:t xml:space="preserve"> investigation is recommended.</w:t>
      </w:r>
    </w:p>
    <w:p w:rsidR="00221B8B" w:rsidRDefault="00221B8B" w:rsidP="001151A1">
      <w:pPr>
        <w:pStyle w:val="Heading3"/>
      </w:pPr>
      <w:bookmarkStart w:id="311" w:name="_Toc393799405"/>
      <w:bookmarkStart w:id="312" w:name="_Toc290846332"/>
      <w:bookmarkStart w:id="313" w:name="_Toc272414694"/>
      <w:bookmarkStart w:id="314" w:name="_Ref272160964"/>
      <w:bookmarkStart w:id="315" w:name="_Toc241374334"/>
      <w:bookmarkStart w:id="316" w:name="_Toc236802596"/>
      <w:bookmarkStart w:id="317" w:name="_Toc436128359"/>
      <w:r>
        <w:t xml:space="preserve">First round </w:t>
      </w:r>
      <w:r w:rsidRPr="001151A1">
        <w:t>assessment</w:t>
      </w:r>
      <w:r>
        <w:t xml:space="preserve"> of risks</w:t>
      </w:r>
      <w:bookmarkEnd w:id="311"/>
      <w:bookmarkEnd w:id="312"/>
      <w:bookmarkEnd w:id="313"/>
      <w:bookmarkEnd w:id="314"/>
      <w:bookmarkEnd w:id="315"/>
      <w:bookmarkEnd w:id="316"/>
      <w:bookmarkEnd w:id="317"/>
    </w:p>
    <w:p w:rsidR="00221B8B" w:rsidRDefault="00221B8B" w:rsidP="001151A1">
      <w:r>
        <w:t xml:space="preserve">The risks of </w:t>
      </w:r>
      <w:proofErr w:type="spellStart"/>
      <w:r>
        <w:t>regorafenib</w:t>
      </w:r>
      <w:proofErr w:type="spellEnd"/>
      <w:r>
        <w:t xml:space="preserve"> in the proposed usage are:</w:t>
      </w:r>
    </w:p>
    <w:p w:rsidR="00221B8B" w:rsidRDefault="00221B8B" w:rsidP="001151A1">
      <w:pPr>
        <w:pStyle w:val="ListBullet"/>
      </w:pPr>
      <w:r>
        <w:t xml:space="preserve">The </w:t>
      </w:r>
      <w:r w:rsidRPr="001151A1">
        <w:t>known</w:t>
      </w:r>
      <w:r>
        <w:t xml:space="preserve"> common adverse effects including HFSR, fatigue, diarrhoea, and hypertension that are already documented.</w:t>
      </w:r>
    </w:p>
    <w:p w:rsidR="00221B8B" w:rsidRDefault="00221B8B" w:rsidP="001151A1">
      <w:pPr>
        <w:pStyle w:val="ListBullet"/>
      </w:pPr>
      <w:r>
        <w:t>Known serious adverse effect of acute hepatic toxicity with fatal occurrences, GI perforation and bleeding risk, as already documented.</w:t>
      </w:r>
    </w:p>
    <w:p w:rsidR="00221B8B" w:rsidRDefault="00221B8B" w:rsidP="001151A1">
      <w:pPr>
        <w:pStyle w:val="ListBullet"/>
      </w:pPr>
      <w:r>
        <w:t>Other adverse events of uncertain significance including acute renal failure, and the impact of hepatic and renal</w:t>
      </w:r>
      <w:r w:rsidRPr="001151A1">
        <w:t xml:space="preserve"> </w:t>
      </w:r>
      <w:r>
        <w:t xml:space="preserve">impairment and racial characteristics (Asian origin) on the overall adverse effect profile which require </w:t>
      </w:r>
      <w:r w:rsidRPr="001151A1">
        <w:t>further</w:t>
      </w:r>
      <w:r>
        <w:t xml:space="preserve"> investigation and monitoring. The current data do not provide sufficient evidence to make definitive recommendations in these areas.</w:t>
      </w:r>
    </w:p>
    <w:p w:rsidR="00221B8B" w:rsidRDefault="00221B8B" w:rsidP="001151A1">
      <w:pPr>
        <w:pStyle w:val="Heading3"/>
      </w:pPr>
      <w:bookmarkStart w:id="318" w:name="_Toc393799406"/>
      <w:bookmarkStart w:id="319" w:name="_Toc290846333"/>
      <w:bookmarkStart w:id="320" w:name="_Toc272414695"/>
      <w:bookmarkStart w:id="321" w:name="_Toc241374335"/>
      <w:bookmarkStart w:id="322" w:name="_Toc236802597"/>
      <w:bookmarkStart w:id="323" w:name="_Toc436128360"/>
      <w:r>
        <w:lastRenderedPageBreak/>
        <w:t xml:space="preserve">First round </w:t>
      </w:r>
      <w:r w:rsidRPr="001151A1">
        <w:t>assessment</w:t>
      </w:r>
      <w:r>
        <w:t xml:space="preserve"> of benefit-risk balance</w:t>
      </w:r>
      <w:bookmarkEnd w:id="318"/>
      <w:bookmarkEnd w:id="319"/>
      <w:bookmarkEnd w:id="320"/>
      <w:bookmarkEnd w:id="321"/>
      <w:bookmarkEnd w:id="322"/>
      <w:bookmarkEnd w:id="323"/>
    </w:p>
    <w:p w:rsidR="00221B8B" w:rsidRDefault="00221B8B" w:rsidP="001151A1">
      <w:r>
        <w:t xml:space="preserve">The benefit-risk balance of </w:t>
      </w:r>
      <w:proofErr w:type="spellStart"/>
      <w:r>
        <w:t>regorafenib</w:t>
      </w:r>
      <w:proofErr w:type="spellEnd"/>
      <w:r>
        <w:t xml:space="preserve"> is unfavourable given the proposed usage as outlined in the proposed PI, but would become favourable if the changes recommended (particularly with regards to cautions in use with hepatic impairment) are adopted, and the clinical questions are satisfactorily addressed.</w:t>
      </w:r>
    </w:p>
    <w:p w:rsidR="00C22678" w:rsidRDefault="00C22678" w:rsidP="001151A1">
      <w:pPr>
        <w:pStyle w:val="Heading3"/>
      </w:pPr>
      <w:bookmarkStart w:id="324" w:name="_Toc436128361"/>
      <w:r>
        <w:t xml:space="preserve">First round </w:t>
      </w:r>
      <w:r w:rsidRPr="001151A1">
        <w:t>recommendation</w:t>
      </w:r>
      <w:r>
        <w:t xml:space="preserve"> regarding </w:t>
      </w:r>
      <w:r w:rsidRPr="00EF5357">
        <w:t>authorisation</w:t>
      </w:r>
      <w:bookmarkEnd w:id="324"/>
    </w:p>
    <w:p w:rsidR="00EF5357" w:rsidRDefault="00221B8B" w:rsidP="001151A1">
      <w:r>
        <w:t xml:space="preserve">The data submitted with this submission supports the use of </w:t>
      </w:r>
      <w:proofErr w:type="spellStart"/>
      <w:r>
        <w:t>regorafenib</w:t>
      </w:r>
      <w:proofErr w:type="spellEnd"/>
      <w:r>
        <w:t xml:space="preserve"> in the treatment of patients with advanced or metastatic GIST who have been previously treated with two TKIs. The median improvement in PFS in the pivotal study of 3.9 months is clinically significant in a patient population with advanced disease and no current approved treatment options. The adverse effect profile, although significant, is in keeping with that of other anticancer agents. However, there are some uncertainties with regards to the risk of acute kidney injury, and the safety in patients with hepatic impairment and between different ethnic groups that warrants caution and further investigation.</w:t>
      </w:r>
      <w:r w:rsidR="00EF5357" w:rsidRPr="00EF5357">
        <w:t xml:space="preserve"> </w:t>
      </w:r>
    </w:p>
    <w:p w:rsidR="00EF5357" w:rsidRDefault="00EF5357" w:rsidP="001151A1">
      <w:r>
        <w:t xml:space="preserve">Therefore, it is recommended that </w:t>
      </w:r>
      <w:proofErr w:type="spellStart"/>
      <w:r>
        <w:t>regorafenib</w:t>
      </w:r>
      <w:proofErr w:type="spellEnd"/>
      <w:r>
        <w:t xml:space="preserve"> be </w:t>
      </w:r>
      <w:r>
        <w:rPr>
          <w:b/>
        </w:rPr>
        <w:t>approved</w:t>
      </w:r>
      <w:r w:rsidR="001151A1">
        <w:t xml:space="preserve"> for the proposed indication:</w:t>
      </w:r>
    </w:p>
    <w:p w:rsidR="00EF5357" w:rsidRPr="001151A1" w:rsidRDefault="00EF5357" w:rsidP="001151A1">
      <w:pPr>
        <w:pStyle w:val="ListBullet"/>
        <w:numPr>
          <w:ilvl w:val="0"/>
          <w:numId w:val="0"/>
        </w:numPr>
        <w:ind w:left="360"/>
        <w:rPr>
          <w:i/>
        </w:rPr>
      </w:pPr>
      <w:r w:rsidRPr="001151A1">
        <w:rPr>
          <w:i/>
        </w:rPr>
        <w:t>treatment of patients with gastrointestinal stromal tumours (GIST) who have been previously treated with two tyrosine kinase inhibitors</w:t>
      </w:r>
      <w:r w:rsidR="001151A1" w:rsidRPr="001151A1">
        <w:rPr>
          <w:i/>
        </w:rPr>
        <w:t>,</w:t>
      </w:r>
    </w:p>
    <w:p w:rsidR="00221B8B" w:rsidRDefault="00EF5357" w:rsidP="001151A1">
      <w:proofErr w:type="gramStart"/>
      <w:r>
        <w:rPr>
          <w:b/>
        </w:rPr>
        <w:t>subject</w:t>
      </w:r>
      <w:proofErr w:type="gramEnd"/>
      <w:r>
        <w:rPr>
          <w:b/>
        </w:rPr>
        <w:t xml:space="preserve"> to</w:t>
      </w:r>
      <w:r>
        <w:t xml:space="preserve"> modification of the product documentation as recommended and satisfactorily addressing the clinical questions.</w:t>
      </w:r>
    </w:p>
    <w:p w:rsidR="00221B8B" w:rsidRDefault="00221B8B" w:rsidP="001151A1">
      <w:r>
        <w:t xml:space="preserve">As reduced efficacy was observed in the small number of patients with KRAS and BRAF mutations, consideration should be given to reassessing the benefit-risk equation of </w:t>
      </w:r>
      <w:proofErr w:type="spellStart"/>
      <w:r>
        <w:t>regorafenib</w:t>
      </w:r>
      <w:proofErr w:type="spellEnd"/>
      <w:r>
        <w:t xml:space="preserve"> for biomarker subgroups as more information becomes available.</w:t>
      </w:r>
    </w:p>
    <w:p w:rsidR="00C22678" w:rsidRDefault="00C22678" w:rsidP="001151A1">
      <w:pPr>
        <w:pStyle w:val="Heading2"/>
      </w:pPr>
      <w:bookmarkStart w:id="325" w:name="_Toc436128362"/>
      <w:r w:rsidRPr="001151A1">
        <w:t>Clinical</w:t>
      </w:r>
      <w:r>
        <w:t xml:space="preserve"> questions</w:t>
      </w:r>
      <w:bookmarkEnd w:id="325"/>
    </w:p>
    <w:p w:rsidR="00221B8B" w:rsidRDefault="00221B8B" w:rsidP="001151A1">
      <w:pPr>
        <w:pStyle w:val="Heading3"/>
      </w:pPr>
      <w:bookmarkStart w:id="326" w:name="_Toc393799413"/>
      <w:bookmarkStart w:id="327" w:name="_Toc290846340"/>
      <w:bookmarkStart w:id="328" w:name="_Toc272414700"/>
      <w:bookmarkStart w:id="329" w:name="_Ref272312341"/>
      <w:bookmarkStart w:id="330" w:name="_Toc436128363"/>
      <w:r>
        <w:t xml:space="preserve">Additional </w:t>
      </w:r>
      <w:r w:rsidRPr="001151A1">
        <w:t>expert</w:t>
      </w:r>
      <w:r>
        <w:t xml:space="preserve"> input</w:t>
      </w:r>
      <w:bookmarkEnd w:id="326"/>
      <w:bookmarkEnd w:id="327"/>
      <w:bookmarkEnd w:id="328"/>
      <w:bookmarkEnd w:id="329"/>
      <w:bookmarkEnd w:id="330"/>
    </w:p>
    <w:p w:rsidR="00221B8B" w:rsidRDefault="00221B8B" w:rsidP="001151A1">
      <w:r>
        <w:t>A separate evaluation was performed on the population PK analyses 14653 and 16282. The results of these evaluations were presented as separate reports with questions for the sponsor.</w:t>
      </w:r>
    </w:p>
    <w:p w:rsidR="00221B8B" w:rsidRDefault="00221B8B" w:rsidP="001151A1">
      <w:pPr>
        <w:pStyle w:val="Heading3"/>
      </w:pPr>
      <w:bookmarkStart w:id="331" w:name="_Toc393799414"/>
      <w:bookmarkStart w:id="332" w:name="_Toc290846341"/>
      <w:bookmarkStart w:id="333" w:name="_Toc272414701"/>
      <w:bookmarkStart w:id="334" w:name="_Ref269908779"/>
      <w:bookmarkStart w:id="335" w:name="_Toc436128364"/>
      <w:r>
        <w:t xml:space="preserve">Clinical </w:t>
      </w:r>
      <w:r w:rsidRPr="001151A1">
        <w:t>questions</w:t>
      </w:r>
      <w:bookmarkEnd w:id="331"/>
      <w:bookmarkEnd w:id="332"/>
      <w:bookmarkEnd w:id="333"/>
      <w:bookmarkEnd w:id="334"/>
      <w:bookmarkEnd w:id="335"/>
    </w:p>
    <w:p w:rsidR="00221B8B" w:rsidRDefault="00221B8B" w:rsidP="001151A1">
      <w:pPr>
        <w:pStyle w:val="Heading4"/>
      </w:pPr>
      <w:bookmarkStart w:id="336" w:name="_Toc393799415"/>
      <w:bookmarkStart w:id="337" w:name="_Ref390267144"/>
      <w:bookmarkStart w:id="338" w:name="_Ref386028422"/>
      <w:bookmarkStart w:id="339" w:name="_Toc290846342"/>
      <w:bookmarkStart w:id="340" w:name="_Toc272414702"/>
      <w:r w:rsidRPr="001151A1">
        <w:t>Pharmacokinetics</w:t>
      </w:r>
      <w:bookmarkEnd w:id="336"/>
      <w:bookmarkEnd w:id="337"/>
      <w:bookmarkEnd w:id="338"/>
      <w:bookmarkEnd w:id="339"/>
      <w:bookmarkEnd w:id="340"/>
    </w:p>
    <w:p w:rsidR="00221B8B" w:rsidRPr="001151A1" w:rsidRDefault="00221B8B" w:rsidP="001151A1">
      <w:pPr>
        <w:pStyle w:val="Numberbullet0"/>
      </w:pPr>
      <w:r w:rsidRPr="001151A1">
        <w:rPr>
          <w:b/>
        </w:rPr>
        <w:t>Study 14996 (PH-37053)</w:t>
      </w:r>
      <w:r w:rsidRPr="001151A1">
        <w:t xml:space="preserve"> – it is not clear from Tables 9-2 and 9-3 in the CSR how the Accumulation ratio (RAAUC) has been calculated. It is defined as the ratio of AUC</w:t>
      </w:r>
      <w:r w:rsidRPr="001151A1">
        <w:rPr>
          <w:rFonts w:hint="eastAsia"/>
        </w:rPr>
        <w:t>τ</w:t>
      </w:r>
      <w:r w:rsidRPr="001151A1">
        <w:t xml:space="preserve"> after multiple dosing and AUC</w:t>
      </w:r>
      <w:r w:rsidRPr="001151A1">
        <w:rPr>
          <w:rFonts w:hint="eastAsia"/>
        </w:rPr>
        <w:t>τ</w:t>
      </w:r>
      <w:r w:rsidRPr="001151A1">
        <w:t xml:space="preserve"> after single dosing; AUC</w:t>
      </w:r>
      <w:r w:rsidRPr="001151A1">
        <w:rPr>
          <w:rFonts w:hint="eastAsia"/>
        </w:rPr>
        <w:t>τ</w:t>
      </w:r>
      <w:proofErr w:type="gramStart"/>
      <w:r w:rsidRPr="001151A1">
        <w:t>,md</w:t>
      </w:r>
      <w:proofErr w:type="gramEnd"/>
      <w:r w:rsidRPr="001151A1">
        <w:t>/AUC</w:t>
      </w:r>
      <w:r w:rsidRPr="001151A1">
        <w:rPr>
          <w:rFonts w:hint="eastAsia"/>
        </w:rPr>
        <w:t>τ</w:t>
      </w:r>
      <w:r w:rsidRPr="001151A1">
        <w:t>,</w:t>
      </w:r>
      <w:proofErr w:type="spellStart"/>
      <w:r w:rsidRPr="001151A1">
        <w:t>sd</w:t>
      </w:r>
      <w:proofErr w:type="spellEnd"/>
      <w:r w:rsidRPr="001151A1">
        <w:t xml:space="preserve"> (RAAUC). However, in Table 9-2 AUC is given as 67.4 </w:t>
      </w:r>
      <w:proofErr w:type="spellStart"/>
      <w:r w:rsidRPr="001151A1">
        <w:t>mg.h</w:t>
      </w:r>
      <w:proofErr w:type="spellEnd"/>
      <w:r w:rsidRPr="001151A1">
        <w:t xml:space="preserve">/L (n=31) and in Table 9.3 AUC </w:t>
      </w:r>
      <w:r w:rsidRPr="001151A1">
        <w:rPr>
          <w:rFonts w:hint="eastAsia"/>
        </w:rPr>
        <w:t>τ</w:t>
      </w:r>
      <w:proofErr w:type="gramStart"/>
      <w:r w:rsidRPr="001151A1">
        <w:t>,</w:t>
      </w:r>
      <w:proofErr w:type="spellStart"/>
      <w:r w:rsidRPr="001151A1">
        <w:t>ss</w:t>
      </w:r>
      <w:proofErr w:type="spellEnd"/>
      <w:proofErr w:type="gramEnd"/>
      <w:r w:rsidRPr="001151A1">
        <w:t xml:space="preserve"> is given as 45.4 </w:t>
      </w:r>
      <w:proofErr w:type="spellStart"/>
      <w:r w:rsidRPr="001151A1">
        <w:t>mg.h</w:t>
      </w:r>
      <w:proofErr w:type="spellEnd"/>
      <w:r w:rsidRPr="001151A1">
        <w:t>/L (n=12), with RAAUC calculated as 2.11 which does not make sense. Presumably, RAAUC has been calculated using the single dose AUC of the 12 subjects who subsequently went on to receive the Cycle 1, Day 21 160 mg dosage for the steady state calculation, but this value has not been provided. Could the sponsor please provide the Cycle 0, Day 1 PK values for the 12 subjects who subsequently went on to have the multiple dosing PK performed in Table 9-3 for comparative purposes?</w:t>
      </w:r>
    </w:p>
    <w:p w:rsidR="00221B8B" w:rsidRDefault="00221B8B" w:rsidP="001151A1">
      <w:pPr>
        <w:pStyle w:val="Numberbullet0"/>
      </w:pPr>
      <w:r>
        <w:t xml:space="preserve">Recommendations in in </w:t>
      </w:r>
      <w:r w:rsidRPr="001151A1">
        <w:t>patients</w:t>
      </w:r>
      <w:r>
        <w:t xml:space="preserve"> with hepatic impairment – It is the opinion of this evaluator that the assessment of single dose PK in 4 patients with Child-Pugh B hepatic impairment in Study 11651 is insufficient to draw conclusions on the dosage </w:t>
      </w:r>
      <w:r>
        <w:lastRenderedPageBreak/>
        <w:t xml:space="preserve">recommendations and safety in patients with moderate hepatic impairment, considering that drug accumulation has been found to occur on repeat dosing as per the proposed dosing regimen, and </w:t>
      </w:r>
      <w:proofErr w:type="spellStart"/>
      <w:r>
        <w:t>regorafenib</w:t>
      </w:r>
      <w:proofErr w:type="spellEnd"/>
      <w:r>
        <w:t xml:space="preserve"> is primarily metabolised by the liver and has been associated with acute liver toxicity. Can the sponsor please address these reservations and indicate whether further studies in patients with moderate hepatic impairment are planned or in progress to support these claims?</w:t>
      </w:r>
    </w:p>
    <w:p w:rsidR="00221B8B" w:rsidRDefault="00221B8B" w:rsidP="001151A1">
      <w:pPr>
        <w:pStyle w:val="Numberbullet0"/>
      </w:pPr>
      <w:r>
        <w:rPr>
          <w:rFonts w:eastAsia="TimesNewRoman"/>
        </w:rPr>
        <w:t>Recommendations in patients with renal impairment – Can the sponsor please further justify use of</w:t>
      </w:r>
      <w:r>
        <w:t xml:space="preserve"> the results of the physiology-based pharmacokinetics modelling to support the statements regarding the PK of </w:t>
      </w:r>
      <w:proofErr w:type="spellStart"/>
      <w:r>
        <w:t>regorafenib</w:t>
      </w:r>
      <w:proofErr w:type="spellEnd"/>
      <w:r>
        <w:t xml:space="preserve"> in patients with renal impairment in the PI, given that this was an exploratory analysis performed on virtual populations. In addition, the PBPK </w:t>
      </w:r>
      <w:r w:rsidRPr="001151A1">
        <w:t>model</w:t>
      </w:r>
      <w:r>
        <w:t xml:space="preserve"> does not take into account renal </w:t>
      </w:r>
      <w:r w:rsidRPr="001151A1">
        <w:t>elimination</w:t>
      </w:r>
      <w:r>
        <w:t xml:space="preserve"> of </w:t>
      </w:r>
      <w:proofErr w:type="spellStart"/>
      <w:r>
        <w:t>glucuronidated</w:t>
      </w:r>
      <w:proofErr w:type="spellEnd"/>
      <w:r>
        <w:t xml:space="preserve"> forms of </w:t>
      </w:r>
      <w:proofErr w:type="spellStart"/>
      <w:r>
        <w:t>regorafenib</w:t>
      </w:r>
      <w:proofErr w:type="spellEnd"/>
      <w:r>
        <w:t xml:space="preserve"> and its metabolites, despite the PI stating that ‘approximately 19% of the dose [is] excreted in urine as glucuronides’. Particularly with regards to severe renal impairment, inclusion of this statement may be misleadingly reassuring.</w:t>
      </w:r>
    </w:p>
    <w:p w:rsidR="00221B8B" w:rsidRDefault="00221B8B" w:rsidP="001151A1">
      <w:pPr>
        <w:pStyle w:val="Heading4"/>
      </w:pPr>
      <w:bookmarkStart w:id="341" w:name="_Toc393799416"/>
      <w:bookmarkStart w:id="342" w:name="_Ref390704171"/>
      <w:bookmarkStart w:id="343" w:name="_Toc290846343"/>
      <w:bookmarkStart w:id="344" w:name="_Toc272414703"/>
      <w:r w:rsidRPr="001151A1">
        <w:t>Pharmacodynamics</w:t>
      </w:r>
      <w:bookmarkEnd w:id="341"/>
      <w:bookmarkEnd w:id="342"/>
      <w:bookmarkEnd w:id="343"/>
      <w:bookmarkEnd w:id="344"/>
    </w:p>
    <w:p w:rsidR="00221B8B" w:rsidRDefault="00221B8B" w:rsidP="001151A1">
      <w:pPr>
        <w:pStyle w:val="Numberbullet0"/>
      </w:pPr>
      <w:r>
        <w:t xml:space="preserve">Can the sponsor </w:t>
      </w:r>
      <w:r w:rsidRPr="001151A1">
        <w:t>please</w:t>
      </w:r>
      <w:r>
        <w:t xml:space="preserve"> indicate when the longer term results on LVEF outcomes will be available for Study 14814?</w:t>
      </w:r>
    </w:p>
    <w:p w:rsidR="00221B8B" w:rsidRDefault="00221B8B" w:rsidP="001151A1">
      <w:pPr>
        <w:pStyle w:val="Heading4"/>
      </w:pPr>
      <w:bookmarkStart w:id="345" w:name="_Toc393799417"/>
      <w:bookmarkStart w:id="346" w:name="_Ref391477421"/>
      <w:bookmarkStart w:id="347" w:name="_Ref388882939"/>
      <w:bookmarkStart w:id="348" w:name="_Ref387826148"/>
      <w:bookmarkStart w:id="349" w:name="_Ref387765275"/>
      <w:bookmarkStart w:id="350" w:name="_Ref387745802"/>
      <w:bookmarkStart w:id="351" w:name="_Ref387663301"/>
      <w:bookmarkStart w:id="352" w:name="_Ref387663276"/>
      <w:bookmarkStart w:id="353" w:name="_Ref384812550"/>
      <w:bookmarkStart w:id="354" w:name="_Toc290846344"/>
      <w:bookmarkStart w:id="355" w:name="_Toc272414704"/>
      <w:r w:rsidRPr="001151A1">
        <w:t>Efficacy</w:t>
      </w:r>
      <w:bookmarkEnd w:id="345"/>
      <w:bookmarkEnd w:id="346"/>
      <w:bookmarkEnd w:id="347"/>
      <w:bookmarkEnd w:id="348"/>
      <w:bookmarkEnd w:id="349"/>
      <w:bookmarkEnd w:id="350"/>
      <w:bookmarkEnd w:id="351"/>
      <w:bookmarkEnd w:id="352"/>
      <w:bookmarkEnd w:id="353"/>
      <w:bookmarkEnd w:id="354"/>
      <w:bookmarkEnd w:id="355"/>
    </w:p>
    <w:p w:rsidR="00221B8B" w:rsidRDefault="00221B8B" w:rsidP="001151A1">
      <w:pPr>
        <w:pStyle w:val="Heading5"/>
      </w:pPr>
      <w:r>
        <w:t xml:space="preserve">Pivotal </w:t>
      </w:r>
      <w:r w:rsidR="001151A1" w:rsidRPr="001151A1">
        <w:t>s</w:t>
      </w:r>
      <w:r w:rsidRPr="001151A1">
        <w:t>tudy</w:t>
      </w:r>
      <w:r>
        <w:t xml:space="preserve"> 14874:</w:t>
      </w:r>
    </w:p>
    <w:p w:rsidR="00221B8B" w:rsidRDefault="00221B8B" w:rsidP="001151A1">
      <w:pPr>
        <w:pStyle w:val="Numberbullet0"/>
      </w:pPr>
      <w:r>
        <w:t xml:space="preserve">The handling of missing data was not pre-specified in the Study protocol for Study 14874, but was only introduced in the Statistical Analysis Plan released at the time of data cut-off. Can the sponsor please </w:t>
      </w:r>
      <w:r w:rsidRPr="001151A1">
        <w:t>provide</w:t>
      </w:r>
      <w:r>
        <w:t xml:space="preserve"> a justification for this omission, and confirm that methods for handling missing data were determined prior to data analysis?</w:t>
      </w:r>
    </w:p>
    <w:p w:rsidR="00221B8B" w:rsidRDefault="00221B8B" w:rsidP="001151A1">
      <w:pPr>
        <w:pStyle w:val="Numberbullet0"/>
      </w:pPr>
      <w:r>
        <w:t xml:space="preserve">Can the sponsor please justify the methods used to handle missing data in Study 14874, including the effect </w:t>
      </w:r>
      <w:r w:rsidRPr="001151A1">
        <w:t>that</w:t>
      </w:r>
      <w:r>
        <w:t xml:space="preserve"> the selected methods have on the analysis of the results for PFS, which would seem to favour a prolonging of PFS (best-case scenario)</w:t>
      </w:r>
      <w:proofErr w:type="gramStart"/>
      <w:r>
        <w:t>.</w:t>
      </w:r>
      <w:proofErr w:type="gramEnd"/>
      <w:r>
        <w:t xml:space="preserve"> Can the sponsor also please provide data on the number of subjects who missed a tumour assessment prior to disease progression in each treatment arm?</w:t>
      </w:r>
    </w:p>
    <w:p w:rsidR="00221B8B" w:rsidRDefault="00221B8B" w:rsidP="001151A1">
      <w:pPr>
        <w:pStyle w:val="Numberbullet0"/>
      </w:pPr>
      <w:r>
        <w:t xml:space="preserve">Can the sponsor please provide an explanation as to why a sensitivity analysis was not performed on the methods </w:t>
      </w:r>
      <w:r w:rsidRPr="001151A1">
        <w:t>used</w:t>
      </w:r>
      <w:r>
        <w:t xml:space="preserve"> to handle missing data?</w:t>
      </w:r>
    </w:p>
    <w:p w:rsidR="00221B8B" w:rsidRDefault="00221B8B" w:rsidP="001151A1">
      <w:pPr>
        <w:pStyle w:val="Numberbullet0"/>
      </w:pPr>
      <w:r>
        <w:t xml:space="preserve">The upper range of time since recent progression/relapse to randomisation is listed in Table 8-10 as being 421 weeks, which is equivalent to longer than 8 years. </w:t>
      </w:r>
      <w:r w:rsidR="00E54E25">
        <w:t>(A)</w:t>
      </w:r>
      <w:r>
        <w:t xml:space="preserve">Can the sponsor please discuss the rationale for treatment in a patient who has not had disease progression for this length of time? </w:t>
      </w:r>
      <w:r w:rsidR="00E54E25">
        <w:t xml:space="preserve">(B) </w:t>
      </w:r>
      <w:r>
        <w:t xml:space="preserve">Also, can the sponsor please provide data on the distribution of time since </w:t>
      </w:r>
      <w:r w:rsidRPr="001151A1">
        <w:t>progression</w:t>
      </w:r>
      <w:r>
        <w:t>/relapse (preferably graphically) to randomisation for all patients enrolled in Study 14874 to allow for an assessment of the overall patient population?</w:t>
      </w:r>
    </w:p>
    <w:p w:rsidR="00221B8B" w:rsidRDefault="00221B8B" w:rsidP="001151A1">
      <w:pPr>
        <w:pStyle w:val="Numberbullet0"/>
      </w:pPr>
      <w:r>
        <w:t xml:space="preserve">In pivotal </w:t>
      </w:r>
      <w:r w:rsidR="004338FD">
        <w:t>Study 14</w:t>
      </w:r>
      <w:r>
        <w:t>874, what is the status of further follow up of subjects regarding OS? Is more mature data available, and if not, when is it anticipated that it will be?</w:t>
      </w:r>
    </w:p>
    <w:p w:rsidR="00221B8B" w:rsidRDefault="00221B8B" w:rsidP="001151A1">
      <w:pPr>
        <w:pStyle w:val="Numberbullet0"/>
      </w:pPr>
      <w:r>
        <w:t xml:space="preserve">What further studies or monitoring is planned to assess the impact of mutational biomarker status on the efficacy of </w:t>
      </w:r>
      <w:proofErr w:type="spellStart"/>
      <w:r w:rsidRPr="001151A1">
        <w:t>regorafenib</w:t>
      </w:r>
      <w:proofErr w:type="spellEnd"/>
      <w:r>
        <w:t>? In particular, it may be important to understand the efficacy in patients with KRAS and BRAF mutations in order to make informed decisions regarding overall risk-benefit.</w:t>
      </w:r>
    </w:p>
    <w:p w:rsidR="00221B8B" w:rsidRDefault="00221B8B" w:rsidP="001151A1">
      <w:pPr>
        <w:pStyle w:val="Heading5"/>
      </w:pPr>
      <w:r>
        <w:t>Study 14935:</w:t>
      </w:r>
    </w:p>
    <w:p w:rsidR="00221B8B" w:rsidRDefault="00221B8B" w:rsidP="001151A1">
      <w:pPr>
        <w:pStyle w:val="Numberbullet0"/>
      </w:pPr>
      <w:r>
        <w:t>Can the sponsor please clarify the nature of the support and funding that were provided for the conduct of Study 14935?</w:t>
      </w:r>
    </w:p>
    <w:p w:rsidR="00221B8B" w:rsidRDefault="00221B8B" w:rsidP="001151A1">
      <w:pPr>
        <w:pStyle w:val="Heading4"/>
      </w:pPr>
      <w:bookmarkStart w:id="356" w:name="_Toc393799418"/>
      <w:bookmarkStart w:id="357" w:name="_Ref391398768"/>
      <w:bookmarkStart w:id="358" w:name="_Ref391388240"/>
      <w:bookmarkStart w:id="359" w:name="_Ref391291873"/>
      <w:bookmarkStart w:id="360" w:name="_Ref390874692"/>
      <w:bookmarkStart w:id="361" w:name="_Ref390777463"/>
      <w:bookmarkStart w:id="362" w:name="_Ref389577771"/>
      <w:bookmarkStart w:id="363" w:name="_Ref389485360"/>
      <w:bookmarkStart w:id="364" w:name="_Ref389485341"/>
      <w:bookmarkStart w:id="365" w:name="_Toc290846345"/>
      <w:bookmarkStart w:id="366" w:name="_Toc272414705"/>
      <w:r w:rsidRPr="001151A1">
        <w:lastRenderedPageBreak/>
        <w:t>Safety</w:t>
      </w:r>
      <w:bookmarkEnd w:id="356"/>
      <w:bookmarkEnd w:id="357"/>
      <w:bookmarkEnd w:id="358"/>
      <w:bookmarkEnd w:id="359"/>
      <w:bookmarkEnd w:id="360"/>
      <w:bookmarkEnd w:id="361"/>
      <w:bookmarkEnd w:id="362"/>
      <w:bookmarkEnd w:id="363"/>
      <w:bookmarkEnd w:id="364"/>
      <w:bookmarkEnd w:id="365"/>
      <w:bookmarkEnd w:id="366"/>
    </w:p>
    <w:p w:rsidR="00221B8B" w:rsidRDefault="00221B8B" w:rsidP="001151A1">
      <w:pPr>
        <w:pStyle w:val="Numberbullet0"/>
      </w:pPr>
      <w:r>
        <w:t xml:space="preserve">Can the sponsor please discuss the rationale for recommending 2 weekly monitoring of LFTs in light of the known risk of severe drug-induced hepatic toxicity, when weekly monitoring was </w:t>
      </w:r>
      <w:r w:rsidRPr="001151A1">
        <w:t>recommended</w:t>
      </w:r>
      <w:r>
        <w:t xml:space="preserve"> in the pivotal </w:t>
      </w:r>
      <w:r w:rsidR="004338FD">
        <w:t>Study 14</w:t>
      </w:r>
      <w:r>
        <w:t>874?</w:t>
      </w:r>
    </w:p>
    <w:p w:rsidR="00221B8B" w:rsidRDefault="00221B8B" w:rsidP="001151A1">
      <w:pPr>
        <w:pStyle w:val="Numberbullet0"/>
      </w:pPr>
      <w:r>
        <w:t xml:space="preserve">Can the sponsor please discuss whether further monitoring for significant liver injury will be monitored in </w:t>
      </w:r>
      <w:r w:rsidRPr="001151A1">
        <w:t>Japanese</w:t>
      </w:r>
      <w:r>
        <w:t xml:space="preserve"> patients to assess whether there is increased susceptibility in this ethnic group, following on from the post-marketing findings in </w:t>
      </w:r>
      <w:proofErr w:type="spellStart"/>
      <w:r>
        <w:t>regorafenib</w:t>
      </w:r>
      <w:proofErr w:type="spellEnd"/>
      <w:r>
        <w:t xml:space="preserve"> PSUR No. 2?</w:t>
      </w:r>
    </w:p>
    <w:p w:rsidR="00221B8B" w:rsidRDefault="00221B8B" w:rsidP="001151A1">
      <w:pPr>
        <w:pStyle w:val="Numberbullet0"/>
      </w:pPr>
      <w:r>
        <w:t xml:space="preserve">Can the sponsor also please </w:t>
      </w:r>
      <w:r w:rsidRPr="001151A1">
        <w:t>outline</w:t>
      </w:r>
      <w:r>
        <w:t xml:space="preserve"> any risk management options for further investigating higher rates of hepatobiliary and skin adverse events in patients of Asian race, and whether further investigation is occurring, and whether differing recommendations regarding monitoring, dose adjustment or dosage may be warranted?</w:t>
      </w:r>
    </w:p>
    <w:p w:rsidR="00221B8B" w:rsidRDefault="00221B8B" w:rsidP="001151A1">
      <w:pPr>
        <w:pStyle w:val="Numberbullet0"/>
      </w:pPr>
      <w:r>
        <w:t xml:space="preserve">Can the sponsor please explain the inconsistencies in the data for HFSR presented in the CSR of Study 14874 (where the incidence of HFSR is listed as being 56.8% in the </w:t>
      </w:r>
      <w:proofErr w:type="spellStart"/>
      <w:r>
        <w:t>regorafenib</w:t>
      </w:r>
      <w:proofErr w:type="spellEnd"/>
      <w:r>
        <w:t xml:space="preserve"> group and 13.6% in the placebo group), </w:t>
      </w:r>
      <w:r w:rsidRPr="001151A1">
        <w:t>compared</w:t>
      </w:r>
      <w:r>
        <w:t xml:space="preserve"> to the figures listed in the draft PI and presented from the pooled Safety analysis (Pool 2 representing Study 14874) in the Module 2.7.4 Summary of Clinical Safety (where the incidence of HFSR is listed as being 65.9% in the </w:t>
      </w:r>
      <w:proofErr w:type="spellStart"/>
      <w:r>
        <w:t>regorafenib</w:t>
      </w:r>
      <w:proofErr w:type="spellEnd"/>
      <w:r>
        <w:t xml:space="preserve"> group and 15.2% in the placebo group)?</w:t>
      </w:r>
    </w:p>
    <w:p w:rsidR="00C618F7" w:rsidRDefault="00C618F7" w:rsidP="001151A1">
      <w:pPr>
        <w:pStyle w:val="Heading2"/>
      </w:pPr>
      <w:bookmarkStart w:id="367" w:name="_Toc436128365"/>
      <w:r>
        <w:t>Second round evaluation of clinical data submitted in response to questions</w:t>
      </w:r>
      <w:bookmarkEnd w:id="367"/>
    </w:p>
    <w:p w:rsidR="00221B8B" w:rsidRDefault="00221B8B" w:rsidP="001151A1">
      <w:pPr>
        <w:pStyle w:val="Heading3"/>
      </w:pPr>
      <w:bookmarkStart w:id="368" w:name="_Toc436128366"/>
      <w:r w:rsidRPr="001151A1">
        <w:t>P</w:t>
      </w:r>
      <w:r w:rsidR="00EF5357" w:rsidRPr="001151A1">
        <w:t>harmacokinetics</w:t>
      </w:r>
      <w:bookmarkEnd w:id="368"/>
    </w:p>
    <w:p w:rsidR="00221B8B" w:rsidRDefault="00221B8B" w:rsidP="001151A1">
      <w:pPr>
        <w:pStyle w:val="Heading4"/>
      </w:pPr>
      <w:r w:rsidRPr="001151A1">
        <w:t>Question</w:t>
      </w:r>
      <w:r>
        <w:t xml:space="preserve"> 1</w:t>
      </w:r>
    </w:p>
    <w:p w:rsidR="00221B8B" w:rsidRDefault="00221B8B" w:rsidP="001151A1">
      <w:r>
        <w:t>In response to this question, the sponsor explained the calculation of the R</w:t>
      </w:r>
      <w:r>
        <w:rPr>
          <w:vertAlign w:val="subscript"/>
        </w:rPr>
        <w:t>A</w:t>
      </w:r>
      <w:r>
        <w:t>AUC in the Study.</w:t>
      </w:r>
    </w:p>
    <w:p w:rsidR="00221B8B" w:rsidRDefault="00221B8B" w:rsidP="001151A1">
      <w:pPr>
        <w:tabs>
          <w:tab w:val="left" w:pos="1134"/>
        </w:tabs>
      </w:pPr>
      <w:r w:rsidRPr="00EF5357">
        <w:rPr>
          <w:b/>
        </w:rPr>
        <w:t>Comment</w:t>
      </w:r>
      <w:r>
        <w:t>:</w:t>
      </w:r>
      <w:r>
        <w:tab/>
        <w:t>This explanation is acceptable.</w:t>
      </w:r>
    </w:p>
    <w:p w:rsidR="00221B8B" w:rsidRDefault="00221B8B" w:rsidP="00CB282E">
      <w:pPr>
        <w:pStyle w:val="Heading4"/>
        <w:numPr>
          <w:ilvl w:val="0"/>
          <w:numId w:val="0"/>
        </w:numPr>
        <w:rPr>
          <w:rFonts w:eastAsia="Times New Roman"/>
        </w:rPr>
      </w:pPr>
      <w:r>
        <w:t>Question 2</w:t>
      </w:r>
    </w:p>
    <w:p w:rsidR="00221B8B" w:rsidRPr="00EF5357" w:rsidRDefault="00221B8B" w:rsidP="001151A1">
      <w:pPr>
        <w:rPr>
          <w:rFonts w:eastAsia="Times New Roman"/>
        </w:rPr>
      </w:pPr>
      <w:r>
        <w:rPr>
          <w:rFonts w:eastAsia="Arial,Italic"/>
        </w:rPr>
        <w:t>In response to this question, the sponsor reiterated the data originally presented in the CSR. In addition:</w:t>
      </w:r>
      <w:r w:rsidR="00EF5357">
        <w:rPr>
          <w:rFonts w:eastAsia="Arial,Italic"/>
        </w:rPr>
        <w:t xml:space="preserve"> </w:t>
      </w:r>
      <w:r>
        <w:t>‘</w:t>
      </w:r>
      <w:r w:rsidRPr="001151A1">
        <w:rPr>
          <w:i/>
        </w:rPr>
        <w:t>…to address the concerns of the clinical evaluator with respect to the limited clinical data from only 4 moderate (Child-Pugh B) hepatic impairment patients, Bayer agrees to retain the original text in the PI.</w:t>
      </w:r>
      <w:r w:rsidRPr="00EF5357">
        <w:t>’</w:t>
      </w:r>
    </w:p>
    <w:p w:rsidR="00221B8B" w:rsidRDefault="00221B8B" w:rsidP="001151A1">
      <w:pPr>
        <w:tabs>
          <w:tab w:val="left" w:pos="1134"/>
        </w:tabs>
      </w:pPr>
      <w:r w:rsidRPr="00EF5357">
        <w:rPr>
          <w:b/>
        </w:rPr>
        <w:t>Comment</w:t>
      </w:r>
      <w:r>
        <w:t>:</w:t>
      </w:r>
      <w:r w:rsidR="001151A1">
        <w:tab/>
      </w:r>
      <w:r>
        <w:t>This response is acknowledged and accepted.</w:t>
      </w:r>
    </w:p>
    <w:p w:rsidR="00221B8B" w:rsidRDefault="00221B8B" w:rsidP="00CB282E">
      <w:pPr>
        <w:pStyle w:val="Heading4"/>
        <w:numPr>
          <w:ilvl w:val="0"/>
          <w:numId w:val="0"/>
        </w:numPr>
        <w:rPr>
          <w:rFonts w:eastAsia="Times New Roman"/>
        </w:rPr>
      </w:pPr>
      <w:r>
        <w:t>Question 3</w:t>
      </w:r>
    </w:p>
    <w:p w:rsidR="00221B8B" w:rsidRDefault="00221B8B" w:rsidP="00CB282E">
      <w:r>
        <w:t xml:space="preserve">In response to this question, the sponsor referred to previously submitted data supporting the conclusions that renal impairment may only impact the renal excretion of the (not pharmacologically active) glucuronide metabolites of </w:t>
      </w:r>
      <w:proofErr w:type="spellStart"/>
      <w:r>
        <w:t>regorafenib</w:t>
      </w:r>
      <w:proofErr w:type="spellEnd"/>
      <w:r>
        <w:t xml:space="preserve">, and that renal function measured by estimated glomerular filtration rate was not found to have any relevant impact on the PK of </w:t>
      </w:r>
      <w:proofErr w:type="spellStart"/>
      <w:r>
        <w:t>regorafenib</w:t>
      </w:r>
      <w:proofErr w:type="spellEnd"/>
      <w:r>
        <w:t xml:space="preserve">. A higher incidence of serious drug-related AEs in patients with renal failure in both the placebo and treatment arms in Study 14387 was used to support the assertion that the difference in patients with renal failure was independent of treatment with </w:t>
      </w:r>
      <w:proofErr w:type="spellStart"/>
      <w:r>
        <w:t>regorafenib</w:t>
      </w:r>
      <w:proofErr w:type="spellEnd"/>
      <w:r>
        <w:t xml:space="preserve"> and may be related to the underlying renal impairment. This data was used to support the recommendation that no dose adjustment is required in patients with renal impairment.</w:t>
      </w:r>
    </w:p>
    <w:p w:rsidR="00221B8B" w:rsidRDefault="00221B8B" w:rsidP="00CB282E">
      <w:pPr>
        <w:ind w:left="1134" w:hanging="1134"/>
      </w:pPr>
      <w:r w:rsidRPr="00EF5357">
        <w:rPr>
          <w:b/>
        </w:rPr>
        <w:t>Comment</w:t>
      </w:r>
      <w:r>
        <w:t>:</w:t>
      </w:r>
      <w:r w:rsidR="00CB282E">
        <w:tab/>
      </w:r>
      <w:r>
        <w:t xml:space="preserve">This explanation by the sponsor in support of not requiring dose adjustments in patients with renal impairment is accepted, although it remains that relatively small numbers of patients with renal impairment were included in the clinical studies. </w:t>
      </w:r>
      <w:r w:rsidR="008B3958">
        <w:lastRenderedPageBreak/>
        <w:t>The sponsor</w:t>
      </w:r>
      <w:r>
        <w:t>’s response agreeing to retain the original PI wording regarding renal impairment is acknowledged.</w:t>
      </w:r>
    </w:p>
    <w:p w:rsidR="00221B8B" w:rsidRDefault="00EF5357" w:rsidP="00CB282E">
      <w:pPr>
        <w:pStyle w:val="Heading3"/>
      </w:pPr>
      <w:bookmarkStart w:id="369" w:name="_Toc436128367"/>
      <w:r w:rsidRPr="00CB282E">
        <w:t>Pharmacodynamics</w:t>
      </w:r>
      <w:bookmarkEnd w:id="369"/>
    </w:p>
    <w:p w:rsidR="00221B8B" w:rsidRDefault="00221B8B" w:rsidP="00CB282E">
      <w:pPr>
        <w:pStyle w:val="Heading4"/>
      </w:pPr>
      <w:r w:rsidRPr="00CB282E">
        <w:t>Question</w:t>
      </w:r>
      <w:r>
        <w:t xml:space="preserve"> 4</w:t>
      </w:r>
    </w:p>
    <w:p w:rsidR="00EF5357" w:rsidRDefault="00221B8B" w:rsidP="00CB282E">
      <w:r>
        <w:t>In response to this question, the sponsor provided report no. PH-36866 for Study 14814, which provided updated data as of 17 Feb</w:t>
      </w:r>
      <w:r w:rsidR="00EF5357">
        <w:t>ruary</w:t>
      </w:r>
      <w:r>
        <w:t xml:space="preserve"> 2012 up to the final release date of the clinical database 24 March 2014. This report provided updated safety data along with continuing LVEF evaluations. No new or updated QT/</w:t>
      </w:r>
      <w:proofErr w:type="spellStart"/>
      <w:r>
        <w:t>QTc</w:t>
      </w:r>
      <w:proofErr w:type="spellEnd"/>
      <w:r>
        <w:t xml:space="preserve"> data was provided with this report. </w:t>
      </w:r>
    </w:p>
    <w:p w:rsidR="00221B8B" w:rsidRDefault="00221B8B" w:rsidP="00CB282E">
      <w:r>
        <w:t>The updated results for LVEF in subjects without dose reductions are provided in the table below:</w:t>
      </w:r>
    </w:p>
    <w:p w:rsidR="00EF5357" w:rsidRDefault="00EF5357" w:rsidP="00CB282E">
      <w:pPr>
        <w:pStyle w:val="Tabletitle"/>
      </w:pPr>
      <w:r>
        <w:t xml:space="preserve">Table 13: Mean left </w:t>
      </w:r>
      <w:r w:rsidRPr="00CB282E">
        <w:t>ventricular</w:t>
      </w:r>
      <w:r>
        <w:t xml:space="preserve"> ejection fraction (LVEF) and changes from baseline by visit (subjects valid for LEVF analysis without dose reductions; N=15</w:t>
      </w:r>
      <w:r w:rsidR="00E54E25">
        <w:t>)</w:t>
      </w:r>
    </w:p>
    <w:p w:rsidR="00E54E25" w:rsidRPr="00E54E25" w:rsidRDefault="00E54E25" w:rsidP="00CB282E">
      <w:r>
        <w:rPr>
          <w:noProof/>
          <w:lang w:eastAsia="en-AU"/>
        </w:rPr>
        <w:drawing>
          <wp:inline distT="0" distB="0" distL="0" distR="0" wp14:anchorId="0955BC88" wp14:editId="392E6C46">
            <wp:extent cx="3910361" cy="2633227"/>
            <wp:effectExtent l="0" t="0" r="0" b="0"/>
            <wp:docPr id="9" name="Picture 9" descr="Table 13: Mean left ventricular ejection fraction (LVEF) and changes from baseline by visit (subjects valid for LEVF analysis without dose reductions; N=15)"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11640" cy="2634088"/>
                    </a:xfrm>
                    <a:prstGeom prst="rect">
                      <a:avLst/>
                    </a:prstGeom>
                  </pic:spPr>
                </pic:pic>
              </a:graphicData>
            </a:graphic>
          </wp:inline>
        </w:drawing>
      </w:r>
    </w:p>
    <w:p w:rsidR="00221B8B" w:rsidRDefault="00221B8B" w:rsidP="00CB282E">
      <w:pPr>
        <w:rPr>
          <w:szCs w:val="24"/>
        </w:rPr>
      </w:pPr>
      <w:r>
        <w:t>Similar results were observed for all subjects on a minimum of 8</w:t>
      </w:r>
      <w:r w:rsidR="00FD00C0">
        <w:t>0 mg</w:t>
      </w:r>
      <w:r>
        <w:t xml:space="preserve"> </w:t>
      </w:r>
      <w:proofErr w:type="spellStart"/>
      <w:r>
        <w:t>regorafenib</w:t>
      </w:r>
      <w:proofErr w:type="spellEnd"/>
      <w:r>
        <w:t xml:space="preserve"> prior to the LVEF evaluation.</w:t>
      </w:r>
    </w:p>
    <w:p w:rsidR="00221B8B" w:rsidRDefault="00221B8B" w:rsidP="00CB282E">
      <w:pPr>
        <w:ind w:left="1134" w:hanging="1134"/>
      </w:pPr>
      <w:r w:rsidRPr="00E54E25">
        <w:rPr>
          <w:b/>
        </w:rPr>
        <w:t>Comment</w:t>
      </w:r>
      <w:r>
        <w:t>:</w:t>
      </w:r>
      <w:r w:rsidR="00CB282E">
        <w:tab/>
      </w:r>
      <w:r>
        <w:t xml:space="preserve">The updated LVEF results provided in this final analysis of Study 14814 are in keeping with the previously evaluated interim analysis. Conclusions remain unchanged that minimal LVEF changes were observed in this study, and these were not of clinical relevance. It is agreed with the sponsor’s assessment that the results suggest that </w:t>
      </w:r>
      <w:proofErr w:type="spellStart"/>
      <w:r>
        <w:t>regorafenib</w:t>
      </w:r>
      <w:proofErr w:type="spellEnd"/>
      <w:r>
        <w:t xml:space="preserve"> does not have a negative impact on cardiac contractility.</w:t>
      </w:r>
    </w:p>
    <w:p w:rsidR="00221B8B" w:rsidRDefault="00221B8B" w:rsidP="00CB282E">
      <w:r>
        <w:t xml:space="preserve">Safety data in this report was updated to and overall mean (± SD) time under </w:t>
      </w:r>
      <w:proofErr w:type="spellStart"/>
      <w:r>
        <w:t>regorafenib</w:t>
      </w:r>
      <w:proofErr w:type="spellEnd"/>
      <w:r>
        <w:t xml:space="preserve"> treatment of 127 (± 125) days and a median treatment of 92 days (range: 1 to 490 days). Safety data was consistent with that presented in the earlier interim report, and there were no new safety concerns identified.</w:t>
      </w:r>
    </w:p>
    <w:p w:rsidR="00221B8B" w:rsidRDefault="00E54E25" w:rsidP="00CB282E">
      <w:pPr>
        <w:pStyle w:val="Heading3"/>
      </w:pPr>
      <w:bookmarkStart w:id="370" w:name="_Toc436128368"/>
      <w:r w:rsidRPr="00CB282E">
        <w:t>Efficacy</w:t>
      </w:r>
      <w:bookmarkEnd w:id="370"/>
    </w:p>
    <w:p w:rsidR="00221B8B" w:rsidRDefault="00221B8B" w:rsidP="00CB282E">
      <w:pPr>
        <w:pStyle w:val="Heading4"/>
      </w:pPr>
      <w:r w:rsidRPr="00CB282E">
        <w:t>Question</w:t>
      </w:r>
      <w:r>
        <w:t xml:space="preserve"> 5</w:t>
      </w:r>
    </w:p>
    <w:p w:rsidR="00221B8B" w:rsidRDefault="008B3958" w:rsidP="00CB282E">
      <w:r>
        <w:t>The sponsor</w:t>
      </w:r>
      <w:r w:rsidR="00221B8B">
        <w:t>’s response was that the SAP was finalised prior to the database un-blinding, and the handling of missing data is more relevant to the analysis stage rather than data collection.</w:t>
      </w:r>
    </w:p>
    <w:p w:rsidR="00221B8B" w:rsidRDefault="00221B8B" w:rsidP="00CB282E">
      <w:pPr>
        <w:tabs>
          <w:tab w:val="left" w:pos="1134"/>
        </w:tabs>
      </w:pPr>
      <w:r w:rsidRPr="00E54E25">
        <w:rPr>
          <w:b/>
        </w:rPr>
        <w:t>Comment</w:t>
      </w:r>
      <w:r>
        <w:t>:</w:t>
      </w:r>
      <w:r>
        <w:tab/>
        <w:t>This explanation is accepted.</w:t>
      </w:r>
    </w:p>
    <w:p w:rsidR="00221B8B" w:rsidRDefault="00221B8B" w:rsidP="00CB282E">
      <w:pPr>
        <w:pStyle w:val="Heading4"/>
        <w:rPr>
          <w:rFonts w:eastAsia="Times New Roman"/>
        </w:rPr>
      </w:pPr>
      <w:r w:rsidRPr="00CB282E">
        <w:lastRenderedPageBreak/>
        <w:t>Question</w:t>
      </w:r>
      <w:r>
        <w:t xml:space="preserve"> 6</w:t>
      </w:r>
    </w:p>
    <w:p w:rsidR="00221B8B" w:rsidRDefault="008B3958" w:rsidP="00CB282E">
      <w:r>
        <w:t>The sponsor</w:t>
      </w:r>
      <w:r w:rsidR="00E54E25">
        <w:t>’</w:t>
      </w:r>
      <w:r w:rsidR="00221B8B">
        <w:t>s response to this question was:</w:t>
      </w:r>
    </w:p>
    <w:p w:rsidR="00221B8B" w:rsidRPr="00B650FD" w:rsidRDefault="00E54E25" w:rsidP="00B650FD">
      <w:pPr>
        <w:pStyle w:val="ListBullet"/>
        <w:numPr>
          <w:ilvl w:val="0"/>
          <w:numId w:val="0"/>
        </w:numPr>
        <w:ind w:left="360"/>
        <w:rPr>
          <w:rFonts w:eastAsia="Times New Roman"/>
          <w:i/>
        </w:rPr>
      </w:pPr>
      <w:r w:rsidRPr="00B650FD">
        <w:rPr>
          <w:i/>
        </w:rPr>
        <w:t>‘</w:t>
      </w:r>
      <w:r w:rsidR="00221B8B" w:rsidRPr="00B650FD">
        <w:rPr>
          <w:i/>
        </w:rPr>
        <w:t>The primary analysis of PFS was based on the independent, blinded, central assessment of radiological scans. As these rules were applied to both treatment arms there is no obvious source of bias in the assignment of progression dates or censoring dates.</w:t>
      </w:r>
      <w:r w:rsidRPr="00B650FD">
        <w:rPr>
          <w:i/>
        </w:rPr>
        <w:t>’</w:t>
      </w:r>
    </w:p>
    <w:p w:rsidR="00221B8B" w:rsidRDefault="00221B8B" w:rsidP="00B650FD">
      <w:pPr>
        <w:ind w:left="1134" w:hanging="1134"/>
      </w:pPr>
      <w:r w:rsidRPr="00E54E25">
        <w:rPr>
          <w:b/>
        </w:rPr>
        <w:t>Comment</w:t>
      </w:r>
      <w:r>
        <w:t>:</w:t>
      </w:r>
      <w:r w:rsidR="00B650FD">
        <w:tab/>
      </w:r>
      <w:r>
        <w:t>Although it is agreed with the above statement, it is nonetheless noted that the handling of missing data will prolong the PFS assessment for both arms of the study. Therefore, although there is no differential bias in the assignment of progression dates, the overall magnitude of the effect will be longer, and this impacts on the interpretation of the clinical significance of the results.</w:t>
      </w:r>
    </w:p>
    <w:p w:rsidR="00221B8B" w:rsidRDefault="008B3958" w:rsidP="00221B8B">
      <w:pPr>
        <w:rPr>
          <w:rFonts w:eastAsia="Arial,Italic"/>
        </w:rPr>
      </w:pPr>
      <w:r>
        <w:rPr>
          <w:rFonts w:eastAsia="Arial,Italic"/>
        </w:rPr>
        <w:t>The sponsor</w:t>
      </w:r>
      <w:r w:rsidR="00221B8B">
        <w:rPr>
          <w:rFonts w:eastAsia="Arial,Italic"/>
        </w:rPr>
        <w:t xml:space="preserve"> also provided data on the numbers of patients with radiological progression and the number of subjects who missed one or more tumour radiological assessments prior to radiological disease progression. The number with one missing assessment prior to disease progression was low in both arms: 2/62 (3.2%) in the placebo arm and 4/77 (5.2%) in the </w:t>
      </w:r>
      <w:proofErr w:type="spellStart"/>
      <w:r w:rsidR="00221B8B">
        <w:rPr>
          <w:rFonts w:eastAsia="Arial,Italic"/>
        </w:rPr>
        <w:t>regorafenib</w:t>
      </w:r>
      <w:proofErr w:type="spellEnd"/>
      <w:r w:rsidR="00221B8B">
        <w:rPr>
          <w:rFonts w:eastAsia="Arial,Italic"/>
        </w:rPr>
        <w:t xml:space="preserve"> arm, with no cases with more than one missing assessment.</w:t>
      </w:r>
    </w:p>
    <w:p w:rsidR="00221B8B" w:rsidRDefault="00221B8B" w:rsidP="00B650FD">
      <w:pPr>
        <w:ind w:left="1134" w:hanging="1134"/>
      </w:pPr>
      <w:r w:rsidRPr="00E54E25">
        <w:rPr>
          <w:b/>
        </w:rPr>
        <w:t>Comment</w:t>
      </w:r>
      <w:r>
        <w:t>:</w:t>
      </w:r>
      <w:r>
        <w:tab/>
        <w:t>It is agreed with the sponsor’s assessment that the impact of missing data on the interpretation of PFS results is likely to be minimal.</w:t>
      </w:r>
    </w:p>
    <w:p w:rsidR="00221B8B" w:rsidRDefault="00221B8B" w:rsidP="00B650FD">
      <w:pPr>
        <w:pStyle w:val="Heading4"/>
        <w:rPr>
          <w:rFonts w:eastAsia="Times New Roman"/>
        </w:rPr>
      </w:pPr>
      <w:r w:rsidRPr="00B650FD">
        <w:t>Question</w:t>
      </w:r>
      <w:r>
        <w:t xml:space="preserve"> 7</w:t>
      </w:r>
    </w:p>
    <w:p w:rsidR="00221B8B" w:rsidRDefault="008B3958" w:rsidP="00B650FD">
      <w:r>
        <w:t>The sponsor</w:t>
      </w:r>
      <w:r w:rsidR="00221B8B">
        <w:t>’s response to this question was that the low number of cases with a missing scan rendered a sensitivity analysis unnecessary.</w:t>
      </w:r>
    </w:p>
    <w:p w:rsidR="00221B8B" w:rsidRDefault="00221B8B" w:rsidP="00B650FD">
      <w:pPr>
        <w:tabs>
          <w:tab w:val="left" w:pos="1134"/>
        </w:tabs>
      </w:pPr>
      <w:r w:rsidRPr="00E54E25">
        <w:rPr>
          <w:b/>
        </w:rPr>
        <w:t>Comment</w:t>
      </w:r>
      <w:r>
        <w:t>:</w:t>
      </w:r>
      <w:r>
        <w:tab/>
        <w:t>This response is accepted.</w:t>
      </w:r>
    </w:p>
    <w:p w:rsidR="00221B8B" w:rsidRDefault="00221B8B" w:rsidP="00B650FD">
      <w:pPr>
        <w:pStyle w:val="Heading4"/>
        <w:rPr>
          <w:rFonts w:eastAsia="Times New Roman"/>
        </w:rPr>
      </w:pPr>
      <w:r w:rsidRPr="00B650FD">
        <w:t>Question</w:t>
      </w:r>
      <w:r>
        <w:t xml:space="preserve"> 8a</w:t>
      </w:r>
    </w:p>
    <w:p w:rsidR="00221B8B" w:rsidRDefault="008B3958" w:rsidP="00B650FD">
      <w:r>
        <w:t>The sponsor</w:t>
      </w:r>
      <w:r w:rsidR="00221B8B">
        <w:t xml:space="preserve"> explained that this was an error (the actual time since last progression for this patient was 12 days) but that this does not impact on the interpretation of the safety and efficacy results.</w:t>
      </w:r>
    </w:p>
    <w:p w:rsidR="00221B8B" w:rsidRDefault="00221B8B" w:rsidP="00B650FD">
      <w:pPr>
        <w:tabs>
          <w:tab w:val="left" w:pos="1134"/>
        </w:tabs>
      </w:pPr>
      <w:r w:rsidRPr="00E54E25">
        <w:rPr>
          <w:b/>
        </w:rPr>
        <w:t>Comment</w:t>
      </w:r>
      <w:r>
        <w:t>:</w:t>
      </w:r>
      <w:r>
        <w:tab/>
        <w:t>This response is accepted.</w:t>
      </w:r>
    </w:p>
    <w:p w:rsidR="00221B8B" w:rsidRDefault="00221B8B" w:rsidP="00B650FD">
      <w:pPr>
        <w:pStyle w:val="Heading4"/>
        <w:rPr>
          <w:rFonts w:eastAsia="Times New Roman"/>
        </w:rPr>
      </w:pPr>
      <w:r w:rsidRPr="00B650FD">
        <w:t>Question</w:t>
      </w:r>
      <w:r>
        <w:t xml:space="preserve"> 8b</w:t>
      </w:r>
    </w:p>
    <w:p w:rsidR="00221B8B" w:rsidRDefault="008B3958" w:rsidP="00B650FD">
      <w:r>
        <w:t>The sponsor</w:t>
      </w:r>
      <w:r w:rsidR="00221B8B">
        <w:t xml:space="preserve"> provided a graph that indicated that the majority of the patients were randomised at the time of progression, and overall most had progressed within the last 26 weeks prior to randomisation.</w:t>
      </w:r>
    </w:p>
    <w:p w:rsidR="00221B8B" w:rsidRDefault="00221B8B" w:rsidP="00B650FD">
      <w:pPr>
        <w:ind w:left="1134" w:hanging="1134"/>
      </w:pPr>
      <w:r w:rsidRPr="00E54E25">
        <w:rPr>
          <w:b/>
        </w:rPr>
        <w:t>Comment</w:t>
      </w:r>
      <w:r>
        <w:t>:</w:t>
      </w:r>
      <w:r w:rsidR="00B650FD">
        <w:tab/>
      </w:r>
      <w:r>
        <w:t xml:space="preserve">It is agreed with the sponsor that this is in keeping with the proposed indication of </w:t>
      </w:r>
      <w:proofErr w:type="spellStart"/>
      <w:r>
        <w:t>regorafenib</w:t>
      </w:r>
      <w:proofErr w:type="spellEnd"/>
      <w:r>
        <w:t xml:space="preserve"> for treatment of advanced GIST following treatment with 2 TKIs.</w:t>
      </w:r>
    </w:p>
    <w:p w:rsidR="00221B8B" w:rsidRDefault="00221B8B" w:rsidP="00B650FD">
      <w:pPr>
        <w:pStyle w:val="Heading4"/>
        <w:rPr>
          <w:rFonts w:eastAsia="Times New Roman"/>
        </w:rPr>
      </w:pPr>
      <w:r w:rsidRPr="00B650FD">
        <w:t>Question</w:t>
      </w:r>
      <w:r>
        <w:t xml:space="preserve"> 9</w:t>
      </w:r>
    </w:p>
    <w:p w:rsidR="00221B8B" w:rsidRDefault="00221B8B" w:rsidP="00B650FD">
      <w:pPr>
        <w:rPr>
          <w:rFonts w:eastAsia="Times New Roman"/>
        </w:rPr>
      </w:pPr>
      <w:r>
        <w:t xml:space="preserve">In response to this question, the sponsor provided and updated analysis of OS with cut-off date 31 January 2014 (about 2 years after the first cut-off date) and showing a total of 139 death events (compared to 46 events at the previous analysis). </w:t>
      </w:r>
      <w:r w:rsidR="008B3958">
        <w:t>The sponsor</w:t>
      </w:r>
      <w:r>
        <w:t xml:space="preserve"> stated that this analysis had been prepared after a regulatory request from the European health authority, and that the final analysis of OS is planned when approximately 160 deaths have been observed (expected in </w:t>
      </w:r>
      <w:r w:rsidR="00E54E25">
        <w:t>the second quarter of</w:t>
      </w:r>
      <w:r>
        <w:t xml:space="preserve"> 2015).</w:t>
      </w:r>
    </w:p>
    <w:p w:rsidR="00221B8B" w:rsidRDefault="00221B8B" w:rsidP="00B650FD">
      <w:r>
        <w:t>The uncorrected results of this analysis found a median OS of 529 days in both arms, with a HR 0.849 (95% CI: 0.597, 1.206, log rank p value = 0.179856). The Kaplan-Meier curve is shown in the figure below.</w:t>
      </w:r>
    </w:p>
    <w:p w:rsidR="00B650FD" w:rsidRDefault="00E54E25" w:rsidP="00B650FD">
      <w:pPr>
        <w:pStyle w:val="FigureTitle"/>
        <w:keepNext/>
      </w:pPr>
      <w:r>
        <w:lastRenderedPageBreak/>
        <w:t>Figure 3: Kaplan-</w:t>
      </w:r>
      <w:r w:rsidRPr="00B650FD">
        <w:t>Meier</w:t>
      </w:r>
      <w:r>
        <w:t xml:space="preserve"> curves of Overall survival (Full Analysis Set)</w:t>
      </w:r>
    </w:p>
    <w:p w:rsidR="00221B8B" w:rsidRDefault="00221B8B" w:rsidP="00B650FD">
      <w:r>
        <w:rPr>
          <w:noProof/>
          <w:lang w:eastAsia="en-AU"/>
        </w:rPr>
        <w:drawing>
          <wp:inline distT="0" distB="0" distL="0" distR="0" wp14:anchorId="44FC7C1E" wp14:editId="253257B4">
            <wp:extent cx="3717073" cy="2777432"/>
            <wp:effectExtent l="0" t="0" r="0" b="4445"/>
            <wp:docPr id="7" name="Picture 7" descr="Figure 3: Kaplan-Meier curves of Overall survival (Full Analysis Se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12700" t="7880"/>
                    <a:stretch/>
                  </pic:blipFill>
                  <pic:spPr bwMode="auto">
                    <a:xfrm>
                      <a:off x="0" y="0"/>
                      <a:ext cx="3721517" cy="2780753"/>
                    </a:xfrm>
                    <a:prstGeom prst="rect">
                      <a:avLst/>
                    </a:prstGeom>
                    <a:noFill/>
                    <a:ln>
                      <a:noFill/>
                    </a:ln>
                    <a:extLst>
                      <a:ext uri="{53640926-AAD7-44D8-BBD7-CCE9431645EC}">
                        <a14:shadowObscured xmlns:a14="http://schemas.microsoft.com/office/drawing/2010/main"/>
                      </a:ext>
                    </a:extLst>
                  </pic:spPr>
                </pic:pic>
              </a:graphicData>
            </a:graphic>
          </wp:inline>
        </w:drawing>
      </w:r>
    </w:p>
    <w:p w:rsidR="00221B8B" w:rsidRDefault="00221B8B" w:rsidP="00B650FD">
      <w:pPr>
        <w:pStyle w:val="FigureDescription"/>
      </w:pPr>
      <w:r>
        <w:t xml:space="preserve">Study 14874 OS update cut-off </w:t>
      </w:r>
      <w:r w:rsidR="00E54E25">
        <w:t>31.01.2014, uncorrected results</w:t>
      </w:r>
    </w:p>
    <w:p w:rsidR="00221B8B" w:rsidRDefault="00221B8B" w:rsidP="00184D9F">
      <w:pPr>
        <w:rPr>
          <w:szCs w:val="24"/>
        </w:rPr>
      </w:pPr>
      <w:r>
        <w:t xml:space="preserve">The OS results with cross-over correction by RPSFT method found a median OS of 263 days in the placebo arm compared to 529 days in the </w:t>
      </w:r>
      <w:proofErr w:type="spellStart"/>
      <w:r>
        <w:t>regorafenib</w:t>
      </w:r>
      <w:proofErr w:type="spellEnd"/>
      <w:r>
        <w:t xml:space="preserve"> arm, and HR 0.388 (95% CI: 0.259, 0.580, log rank p-value = &lt;0.000001). Meanwhile, OS with cross-over correction by IPE method found a median OS of 306 days in the placebo arm compared to 529 days in the </w:t>
      </w:r>
      <w:proofErr w:type="spellStart"/>
      <w:r>
        <w:t>regorafenib</w:t>
      </w:r>
      <w:proofErr w:type="spellEnd"/>
      <w:r>
        <w:t xml:space="preserve"> arm, HR 0.508 (95% CI: 0.352, 0.734, log rank p-value = 0.000119).</w:t>
      </w:r>
    </w:p>
    <w:p w:rsidR="00221B8B" w:rsidRDefault="00221B8B" w:rsidP="00184D9F">
      <w:pPr>
        <w:ind w:left="1134" w:hanging="1134"/>
      </w:pPr>
      <w:r w:rsidRPr="00E54E25">
        <w:rPr>
          <w:b/>
        </w:rPr>
        <w:t>Comment</w:t>
      </w:r>
      <w:r>
        <w:t>:</w:t>
      </w:r>
      <w:r w:rsidR="00E54E25">
        <w:t xml:space="preserve"> </w:t>
      </w:r>
      <w:r>
        <w:t>This OS data is substantially updated from what was submitted in the original application, however</w:t>
      </w:r>
      <w:r w:rsidR="0054329F">
        <w:t>,</w:t>
      </w:r>
      <w:r>
        <w:t xml:space="preserve"> the results are not significantly different to the earlier analysis. Due to the fact that patients randomised to placebo were allowed to cross-over to </w:t>
      </w:r>
      <w:proofErr w:type="spellStart"/>
      <w:r>
        <w:t>regorafenib</w:t>
      </w:r>
      <w:proofErr w:type="spellEnd"/>
      <w:r>
        <w:t xml:space="preserve"> treatment on disease progression, the uncorrected OS results are likely to underestimate the magnitude of the beneficial effect of </w:t>
      </w:r>
      <w:proofErr w:type="spellStart"/>
      <w:r>
        <w:t>regorafenib</w:t>
      </w:r>
      <w:proofErr w:type="spellEnd"/>
      <w:r>
        <w:t xml:space="preserve"> over placebo. Therefore, the uncorrected HR of 0.849 supports the PFS efficacy results for the benefit of </w:t>
      </w:r>
      <w:proofErr w:type="spellStart"/>
      <w:r>
        <w:t>regorafenib</w:t>
      </w:r>
      <w:proofErr w:type="spellEnd"/>
      <w:r>
        <w:t xml:space="preserve"> in the proposed indication.</w:t>
      </w:r>
    </w:p>
    <w:p w:rsidR="00221B8B" w:rsidRDefault="00221B8B" w:rsidP="00184D9F">
      <w:pPr>
        <w:pStyle w:val="Heading4"/>
      </w:pPr>
      <w:r w:rsidRPr="00184D9F">
        <w:t>Question</w:t>
      </w:r>
      <w:r>
        <w:t xml:space="preserve"> 10</w:t>
      </w:r>
    </w:p>
    <w:p w:rsidR="00221B8B" w:rsidRDefault="00221B8B" w:rsidP="00184D9F">
      <w:pPr>
        <w:rPr>
          <w:rFonts w:eastAsia="Times New Roman"/>
        </w:rPr>
      </w:pPr>
      <w:r>
        <w:t xml:space="preserve">In response to this question, the sponsor provided an assessment of the genetic and non-genetic biomarker data and scientific evidence in the public domain to suggest that </w:t>
      </w:r>
      <w:proofErr w:type="gramStart"/>
      <w:r>
        <w:t>neither KRAS or</w:t>
      </w:r>
      <w:proofErr w:type="gramEnd"/>
      <w:r>
        <w:t xml:space="preserve"> BRAF are frequently mutated in GIST, and no evidence is available that both oncogenes are drivers of the disease nor are RTKs other than mutations in c-KIT or PDGFR. </w:t>
      </w:r>
      <w:r w:rsidR="008B3958">
        <w:t>The sponsor</w:t>
      </w:r>
      <w:r>
        <w:t xml:space="preserve"> stated that:</w:t>
      </w:r>
    </w:p>
    <w:p w:rsidR="00221B8B" w:rsidRPr="00FC5D6A" w:rsidRDefault="00221B8B" w:rsidP="00FC5D6A">
      <w:pPr>
        <w:pStyle w:val="ListBullet"/>
        <w:numPr>
          <w:ilvl w:val="0"/>
          <w:numId w:val="0"/>
        </w:numPr>
        <w:ind w:left="360"/>
        <w:rPr>
          <w:i/>
        </w:rPr>
      </w:pPr>
      <w:r w:rsidRPr="00FC5D6A">
        <w:rPr>
          <w:i/>
        </w:rPr>
        <w:t xml:space="preserve">‘Based on the information presented above, there are no plans to assess whether KRAS or BRAF mutations may have an impact on the efficacy of </w:t>
      </w:r>
      <w:proofErr w:type="spellStart"/>
      <w:r w:rsidRPr="00FC5D6A">
        <w:rPr>
          <w:i/>
        </w:rPr>
        <w:t>regorafenib</w:t>
      </w:r>
      <w:proofErr w:type="spellEnd"/>
      <w:r w:rsidRPr="00FC5D6A">
        <w:rPr>
          <w:i/>
        </w:rPr>
        <w:t xml:space="preserve"> treatment due to the broad activity of </w:t>
      </w:r>
      <w:proofErr w:type="spellStart"/>
      <w:r w:rsidRPr="00FC5D6A">
        <w:rPr>
          <w:i/>
        </w:rPr>
        <w:t>regorafenib</w:t>
      </w:r>
      <w:proofErr w:type="spellEnd"/>
      <w:r w:rsidRPr="00FC5D6A">
        <w:rPr>
          <w:i/>
        </w:rPr>
        <w:t xml:space="preserve"> to c-KIT primary or secondary mutations.</w:t>
      </w:r>
    </w:p>
    <w:p w:rsidR="00221B8B" w:rsidRPr="00FC5D6A" w:rsidRDefault="00221B8B" w:rsidP="00FC5D6A">
      <w:pPr>
        <w:pStyle w:val="ListBullet"/>
        <w:numPr>
          <w:ilvl w:val="0"/>
          <w:numId w:val="0"/>
        </w:numPr>
        <w:ind w:left="360"/>
        <w:rPr>
          <w:i/>
        </w:rPr>
      </w:pPr>
      <w:r w:rsidRPr="00FC5D6A">
        <w:rPr>
          <w:i/>
        </w:rPr>
        <w:t xml:space="preserve">However, additional retrospective molecular analyses are being carried out upon request by the European Medicines Agency (EMA) with specimens collected in the GRID study. Archival tumour tissue was subjected to targeted Next Generation </w:t>
      </w:r>
      <w:proofErr w:type="spellStart"/>
      <w:r w:rsidRPr="00FC5D6A">
        <w:rPr>
          <w:i/>
        </w:rPr>
        <w:t>tumor</w:t>
      </w:r>
      <w:proofErr w:type="spellEnd"/>
      <w:r w:rsidRPr="00FC5D6A">
        <w:rPr>
          <w:i/>
        </w:rPr>
        <w:t xml:space="preserve"> DNA sequencing to determine the presence of mutations in other receptor tyrosine kinases, whereas plasma samples collected at baseline were used to identify c-KIT somatic mutations in circulating free tumour DNA (</w:t>
      </w:r>
      <w:proofErr w:type="spellStart"/>
      <w:r w:rsidRPr="00FC5D6A">
        <w:rPr>
          <w:i/>
        </w:rPr>
        <w:t>ctDNA</w:t>
      </w:r>
      <w:proofErr w:type="spellEnd"/>
      <w:r w:rsidRPr="00FC5D6A">
        <w:rPr>
          <w:i/>
        </w:rPr>
        <w:t>) by Next Generation Sequencing. The analyses are on-going.’</w:t>
      </w:r>
    </w:p>
    <w:p w:rsidR="00221B8B" w:rsidRDefault="00221B8B" w:rsidP="00FC5D6A">
      <w:pPr>
        <w:ind w:left="1134" w:hanging="1134"/>
      </w:pPr>
      <w:r w:rsidRPr="00E54E25">
        <w:rPr>
          <w:b/>
        </w:rPr>
        <w:t>Comment</w:t>
      </w:r>
      <w:r>
        <w:t>:</w:t>
      </w:r>
      <w:r>
        <w:tab/>
        <w:t xml:space="preserve">The explanation by the sponsor is accepted. It is accepted that the low frequency of KRAS and BRAF mutations in GIST patients will effectively preclude further investigation. However, it would be beneficial for the TGA to receive the additional </w:t>
      </w:r>
      <w:r>
        <w:lastRenderedPageBreak/>
        <w:t>retrospective molecular analysis being carried out for the EMA when they become available for evaluation.</w:t>
      </w:r>
    </w:p>
    <w:p w:rsidR="00221B8B" w:rsidRPr="00FC5D6A" w:rsidRDefault="00221B8B" w:rsidP="00FC5D6A">
      <w:pPr>
        <w:pStyle w:val="Heading3"/>
        <w:numPr>
          <w:ilvl w:val="0"/>
          <w:numId w:val="0"/>
        </w:numPr>
        <w:ind w:left="1135" w:hanging="1022"/>
        <w:rPr>
          <w:rFonts w:ascii="Cambria" w:hAnsi="Cambria"/>
        </w:rPr>
      </w:pPr>
      <w:bookmarkStart w:id="371" w:name="_Toc436128369"/>
      <w:r w:rsidRPr="00FC5D6A">
        <w:rPr>
          <w:rFonts w:ascii="Cambria" w:hAnsi="Cambria"/>
        </w:rPr>
        <w:t>Study 14935</w:t>
      </w:r>
      <w:bookmarkEnd w:id="371"/>
    </w:p>
    <w:p w:rsidR="00221B8B" w:rsidRDefault="00221B8B" w:rsidP="00FC5D6A">
      <w:pPr>
        <w:pStyle w:val="Heading4"/>
      </w:pPr>
      <w:r>
        <w:t>Question 11</w:t>
      </w:r>
    </w:p>
    <w:p w:rsidR="00221B8B" w:rsidRDefault="008B3958" w:rsidP="00FC5D6A">
      <w:pPr>
        <w:rPr>
          <w:rFonts w:eastAsia="Times New Roman"/>
        </w:rPr>
      </w:pPr>
      <w:r>
        <w:t>The sponsor</w:t>
      </w:r>
      <w:r w:rsidR="00221B8B">
        <w:t xml:space="preserve"> declared monetary funding and provision of study drug for this study.</w:t>
      </w:r>
    </w:p>
    <w:p w:rsidR="00221B8B" w:rsidRDefault="00221B8B" w:rsidP="00FC5D6A">
      <w:pPr>
        <w:tabs>
          <w:tab w:val="left" w:pos="1134"/>
        </w:tabs>
      </w:pPr>
      <w:r w:rsidRPr="00E54E25">
        <w:rPr>
          <w:b/>
        </w:rPr>
        <w:t>Comment</w:t>
      </w:r>
      <w:r>
        <w:t>:</w:t>
      </w:r>
      <w:r>
        <w:tab/>
        <w:t>This is acknowledged.</w:t>
      </w:r>
    </w:p>
    <w:p w:rsidR="00221B8B" w:rsidRDefault="00E54E25" w:rsidP="00FC5D6A">
      <w:pPr>
        <w:pStyle w:val="Heading3"/>
      </w:pPr>
      <w:bookmarkStart w:id="372" w:name="_Toc436128370"/>
      <w:r w:rsidRPr="00FC5D6A">
        <w:t>Safety</w:t>
      </w:r>
      <w:bookmarkEnd w:id="372"/>
    </w:p>
    <w:p w:rsidR="00221B8B" w:rsidRDefault="00221B8B" w:rsidP="00FC5D6A">
      <w:pPr>
        <w:pStyle w:val="Heading4"/>
      </w:pPr>
      <w:r w:rsidRPr="00FC5D6A">
        <w:t>Question</w:t>
      </w:r>
      <w:r>
        <w:t xml:space="preserve"> 12</w:t>
      </w:r>
    </w:p>
    <w:p w:rsidR="00221B8B" w:rsidRDefault="008B3958" w:rsidP="00FC5D6A">
      <w:pPr>
        <w:rPr>
          <w:rFonts w:eastAsia="Times New Roman"/>
        </w:rPr>
      </w:pPr>
      <w:r>
        <w:t>The sponsor</w:t>
      </w:r>
      <w:r w:rsidR="00221B8B">
        <w:t xml:space="preserve"> provided justification for the current PI recommended liver function monitoring and dose modification schedules. This was based on discussions with key opinion leaders in the medical field, current post-marketing data and emerging evidence from an ongoing open-label Phase </w:t>
      </w:r>
      <w:proofErr w:type="spellStart"/>
      <w:r w:rsidR="00221B8B">
        <w:t>IIIb</w:t>
      </w:r>
      <w:proofErr w:type="spellEnd"/>
      <w:r w:rsidR="00221B8B">
        <w:t xml:space="preserve"> study in patients with metastatic CRC, all of which support the known hepatotoxicity profile and risk management recommendations.</w:t>
      </w:r>
    </w:p>
    <w:p w:rsidR="00221B8B" w:rsidRDefault="00221B8B" w:rsidP="00FC5D6A">
      <w:pPr>
        <w:tabs>
          <w:tab w:val="left" w:pos="1134"/>
        </w:tabs>
      </w:pPr>
      <w:r w:rsidRPr="00E54E25">
        <w:rPr>
          <w:b/>
        </w:rPr>
        <w:t>Comment</w:t>
      </w:r>
      <w:r>
        <w:t>:</w:t>
      </w:r>
      <w:r>
        <w:tab/>
        <w:t>This explanation by the sponsor is acceptable.</w:t>
      </w:r>
    </w:p>
    <w:p w:rsidR="00221B8B" w:rsidRDefault="00221B8B" w:rsidP="00FC5D6A">
      <w:pPr>
        <w:pStyle w:val="Heading4"/>
      </w:pPr>
      <w:r w:rsidRPr="00FC5D6A">
        <w:t>Question</w:t>
      </w:r>
      <w:r>
        <w:t xml:space="preserve"> 13</w:t>
      </w:r>
    </w:p>
    <w:p w:rsidR="00221B8B" w:rsidRDefault="00221B8B" w:rsidP="00221B8B">
      <w:pPr>
        <w:rPr>
          <w:rFonts w:eastAsia="Times New Roman"/>
        </w:rPr>
      </w:pPr>
      <w:r>
        <w:t xml:space="preserve">In response to this question, the sponsor described the specific monitoring of </w:t>
      </w:r>
      <w:proofErr w:type="spellStart"/>
      <w:r>
        <w:t>regorafenib</w:t>
      </w:r>
      <w:proofErr w:type="spellEnd"/>
      <w:r>
        <w:t xml:space="preserve">-associated hepatotoxicity in Japan, and ongoing Drug Use Investigations of </w:t>
      </w:r>
      <w:proofErr w:type="spellStart"/>
      <w:r>
        <w:t>regorafenib</w:t>
      </w:r>
      <w:proofErr w:type="spellEnd"/>
      <w:r>
        <w:t xml:space="preserve"> for CRC and GIST. </w:t>
      </w:r>
      <w:r w:rsidR="008B3958">
        <w:t>The sponsor</w:t>
      </w:r>
      <w:r>
        <w:t xml:space="preserve"> detailed that presently the data do not present any new safety signals for </w:t>
      </w:r>
      <w:proofErr w:type="spellStart"/>
      <w:r>
        <w:t>regorafenib</w:t>
      </w:r>
      <w:proofErr w:type="spellEnd"/>
      <w:r>
        <w:t>, and current guidance on hepatotoxicity monitoring and associated dose modifications given within the Japanese label is considered adequate.</w:t>
      </w:r>
    </w:p>
    <w:p w:rsidR="00221B8B" w:rsidRDefault="00221B8B" w:rsidP="00FC5D6A">
      <w:pPr>
        <w:tabs>
          <w:tab w:val="left" w:pos="1134"/>
        </w:tabs>
      </w:pPr>
      <w:r w:rsidRPr="00E54E25">
        <w:rPr>
          <w:b/>
        </w:rPr>
        <w:t>Comment</w:t>
      </w:r>
      <w:r>
        <w:t>:</w:t>
      </w:r>
      <w:r w:rsidR="00FC5D6A">
        <w:tab/>
      </w:r>
      <w:r>
        <w:t>This explanation is acceptable.</w:t>
      </w:r>
    </w:p>
    <w:p w:rsidR="00221B8B" w:rsidRDefault="00221B8B" w:rsidP="00FC5D6A">
      <w:pPr>
        <w:pStyle w:val="Heading4"/>
      </w:pPr>
      <w:r w:rsidRPr="00FC5D6A">
        <w:t>Question</w:t>
      </w:r>
      <w:r>
        <w:t xml:space="preserve"> 14</w:t>
      </w:r>
    </w:p>
    <w:p w:rsidR="00221B8B" w:rsidRDefault="00221B8B" w:rsidP="00FC5D6A">
      <w:pPr>
        <w:pStyle w:val="Heading5"/>
        <w:rPr>
          <w:rFonts w:eastAsia="Arial,Italic"/>
        </w:rPr>
      </w:pPr>
      <w:r w:rsidRPr="00FC5D6A">
        <w:rPr>
          <w:rFonts w:eastAsia="Arial,Italic"/>
        </w:rPr>
        <w:t>Hepatobiliary</w:t>
      </w:r>
      <w:r>
        <w:rPr>
          <w:rFonts w:eastAsia="Arial,Italic"/>
        </w:rPr>
        <w:t xml:space="preserve"> adverse events:</w:t>
      </w:r>
    </w:p>
    <w:p w:rsidR="00221B8B" w:rsidRDefault="00221B8B" w:rsidP="00FC5D6A">
      <w:r>
        <w:t>In response to the question of hepatobiliary adverse events, the sponsor reiterated the ongoing monitoring of Japanese subjects as discussed in the response to Question 13 above. Results are not yet available to make definitive conclusions, however it was asserted that there are no new safety signals and the current recommendations in the PI regarding LFT monitoring, dose adjustment guidance and actual dosage are considered adequate across ethnicities.</w:t>
      </w:r>
    </w:p>
    <w:p w:rsidR="00221B8B" w:rsidRDefault="00221B8B" w:rsidP="00FC5D6A">
      <w:r>
        <w:t xml:space="preserve">In addition, the sponsor provided the CSR for the recently completed Asian Phase III </w:t>
      </w:r>
      <w:r w:rsidR="00192ED5">
        <w:t>S</w:t>
      </w:r>
      <w:r>
        <w:t xml:space="preserve">tudy 15808-CONCUR, in which136 Asian patients were treated with </w:t>
      </w:r>
      <w:proofErr w:type="spellStart"/>
      <w:r>
        <w:t>regorafenib</w:t>
      </w:r>
      <w:proofErr w:type="spellEnd"/>
      <w:r>
        <w:t xml:space="preserve"> for metastatic CRC. No cases of hepatic failure or hepatic necrosis were reported in this study, and there were no deaths attributed to liver abnormalities. Higher incidences of all-grade liver function abnormality TEAEs were observed in the </w:t>
      </w:r>
      <w:proofErr w:type="spellStart"/>
      <w:r>
        <w:t>regorafenib</w:t>
      </w:r>
      <w:proofErr w:type="spellEnd"/>
      <w:r>
        <w:t xml:space="preserve"> group compared to the placebo group for blood bilirubin increased (48.5% </w:t>
      </w:r>
      <w:r w:rsidR="008B3958">
        <w:t>versus</w:t>
      </w:r>
      <w:r>
        <w:t xml:space="preserve"> 20.6% respectively); alanine aminotransferase increased (31.6% </w:t>
      </w:r>
      <w:r w:rsidR="008B3958">
        <w:t>versus</w:t>
      </w:r>
      <w:r>
        <w:t xml:space="preserve"> 17.6%); aspartate aminotransferase increased (31.6% </w:t>
      </w:r>
      <w:r w:rsidR="008B3958">
        <w:t>versus</w:t>
      </w:r>
      <w:r>
        <w:t xml:space="preserve"> 22.1%). The incidence of Grade 3-4 liver function abnormality TEAEs in the </w:t>
      </w:r>
      <w:proofErr w:type="spellStart"/>
      <w:r>
        <w:t>regorafenib</w:t>
      </w:r>
      <w:proofErr w:type="spellEnd"/>
      <w:r>
        <w:t xml:space="preserve"> group compared to the placebo group included: blood bilirubin increased (11.8% [4.4% Grade 4] </w:t>
      </w:r>
      <w:r w:rsidR="008B3958">
        <w:t>versus</w:t>
      </w:r>
      <w:r>
        <w:t xml:space="preserve"> 4.4% respectively); alanine aminotransferase increased (8.1% </w:t>
      </w:r>
      <w:r w:rsidR="008B3958">
        <w:t>versus</w:t>
      </w:r>
      <w:r>
        <w:t xml:space="preserve"> 1.5%); and aspartate aminotransferase (8.8% </w:t>
      </w:r>
      <w:r w:rsidR="008B3958">
        <w:t>versus</w:t>
      </w:r>
      <w:r>
        <w:t xml:space="preserve"> 0%).</w:t>
      </w:r>
    </w:p>
    <w:p w:rsidR="00221B8B" w:rsidRDefault="00221B8B" w:rsidP="00FC5D6A">
      <w:pPr>
        <w:ind w:left="1134" w:hanging="1134"/>
      </w:pPr>
      <w:r w:rsidRPr="00192ED5">
        <w:rPr>
          <w:b/>
        </w:rPr>
        <w:t>Comment</w:t>
      </w:r>
      <w:r>
        <w:t>:</w:t>
      </w:r>
      <w:r w:rsidR="00FC5D6A">
        <w:tab/>
      </w:r>
      <w:r>
        <w:t xml:space="preserve">The hepatic safety results presented in Study 15808 in Asian patients are higher than that observed in the pivotal Study 14874 presented in this CSR, where increased blood bilirubin was observed in 33.3% of patients in the </w:t>
      </w:r>
      <w:proofErr w:type="spellStart"/>
      <w:r>
        <w:t>regorafenib</w:t>
      </w:r>
      <w:proofErr w:type="spellEnd"/>
      <w:r>
        <w:t xml:space="preserve"> arm, and the incidence of Grade 3-4 events was 3.8% for increased ALT, 3.0% for increased AST and 3.0% for increased bilirubin. It is uncertain whether these </w:t>
      </w:r>
      <w:r>
        <w:lastRenderedPageBreak/>
        <w:t xml:space="preserve">differences can be attributed to differing patient ethnicities or due to the underlying condition (there may be more patients with metastatic liver disease in Study 15808). </w:t>
      </w:r>
      <w:r w:rsidR="008B3958">
        <w:t>The sponsor</w:t>
      </w:r>
      <w:r>
        <w:t>’s assessment that current liver monitoring and dosing recommendations are adequate across ethnicities while more data on the impact of ethnicity is being collected is acceptable. It is acknowledged that dose reductions may be required more frequently in Asian patients and this risk mitigation strategy is appropriate.</w:t>
      </w:r>
    </w:p>
    <w:p w:rsidR="00221B8B" w:rsidRDefault="00221B8B" w:rsidP="00FC5D6A">
      <w:pPr>
        <w:pStyle w:val="Heading5"/>
      </w:pPr>
      <w:r>
        <w:t>Skin adverse events:</w:t>
      </w:r>
    </w:p>
    <w:p w:rsidR="00221B8B" w:rsidRDefault="00221B8B" w:rsidP="00FC5D6A">
      <w:r>
        <w:t xml:space="preserve">In response to this question, the sponsor reiterated the observed 30% higher rate of all grade HFSR and 10% increase in all grade rash events in Asian compared to non-Asian patients treated with </w:t>
      </w:r>
      <w:proofErr w:type="spellStart"/>
      <w:r>
        <w:t>regorafenib</w:t>
      </w:r>
      <w:proofErr w:type="spellEnd"/>
      <w:r>
        <w:t xml:space="preserve">. It was stated that the majority of these events were of low grade, and rarely resulted in treatment discontinuation, but rather were well managed with dose reductions as outlined in the PI. The CSR for Study 15808 in Asian patients with metastatic CRC was again referred to, in which the incidence of HFSR was higher in the </w:t>
      </w:r>
      <w:proofErr w:type="spellStart"/>
      <w:r>
        <w:t>regorafenib</w:t>
      </w:r>
      <w:proofErr w:type="spellEnd"/>
      <w:r>
        <w:t xml:space="preserve"> treated group compared to placebo (74.3% </w:t>
      </w:r>
      <w:r w:rsidR="008B3958">
        <w:t>versus</w:t>
      </w:r>
      <w:r>
        <w:t xml:space="preserve"> 5.9%). The incidence of </w:t>
      </w:r>
      <w:r w:rsidR="00FC745B">
        <w:t>Grade 3</w:t>
      </w:r>
      <w:r>
        <w:t xml:space="preserve"> HFSR was 16.2% in the </w:t>
      </w:r>
      <w:proofErr w:type="spellStart"/>
      <w:r>
        <w:t>regorafenib</w:t>
      </w:r>
      <w:proofErr w:type="spellEnd"/>
      <w:r>
        <w:t xml:space="preserve"> group compared to 0% in the placebo group. There were no SAEs of HFSR in </w:t>
      </w:r>
      <w:proofErr w:type="gramStart"/>
      <w:r>
        <w:t>either group</w:t>
      </w:r>
      <w:r w:rsidR="0054329F">
        <w:t>,</w:t>
      </w:r>
      <w:r>
        <w:t xml:space="preserve"> and</w:t>
      </w:r>
      <w:proofErr w:type="gramEnd"/>
      <w:r>
        <w:t xml:space="preserve"> only 1/136 patients required treatment discontinuation due to HFSR as a result of </w:t>
      </w:r>
      <w:proofErr w:type="spellStart"/>
      <w:r>
        <w:t>regorafenib</w:t>
      </w:r>
      <w:proofErr w:type="spellEnd"/>
      <w:r>
        <w:t xml:space="preserve"> treatment.</w:t>
      </w:r>
    </w:p>
    <w:p w:rsidR="00221B8B" w:rsidRDefault="00221B8B" w:rsidP="00FC5D6A">
      <w:pPr>
        <w:ind w:left="1134" w:hanging="1134"/>
      </w:pPr>
      <w:r w:rsidRPr="00192ED5">
        <w:rPr>
          <w:b/>
        </w:rPr>
        <w:t>Comment</w:t>
      </w:r>
      <w:r>
        <w:t>:</w:t>
      </w:r>
      <w:r w:rsidR="00FC5D6A">
        <w:tab/>
      </w:r>
      <w:r>
        <w:t xml:space="preserve">The overall incidence of any grade HFSR in pivotal </w:t>
      </w:r>
      <w:r w:rsidR="004338FD">
        <w:t>Study 14</w:t>
      </w:r>
      <w:r>
        <w:t>874 (56.8%) was lower than in Study 15808, although the incidence of Grade 3 events was higher (20.5%). In any case, it is agreed with the sponsor that the incidence of HFSR is generally high regardless of ethnicity, and the dose reduction recommendations as outlined in the PI in response to HFSR is adequate across ethnicities. Again it is noted that dose reductions may be required more commonly in Asian patients due to skin toxicities.</w:t>
      </w:r>
    </w:p>
    <w:p w:rsidR="00221B8B" w:rsidRDefault="00221B8B" w:rsidP="00FC5D6A">
      <w:pPr>
        <w:pStyle w:val="Heading5"/>
      </w:pPr>
      <w:r w:rsidRPr="00FC5D6A">
        <w:t>Question</w:t>
      </w:r>
      <w:r>
        <w:t xml:space="preserve"> 15</w:t>
      </w:r>
    </w:p>
    <w:p w:rsidR="00221B8B" w:rsidRDefault="008B3958" w:rsidP="00FC5D6A">
      <w:r>
        <w:t>The sponsor</w:t>
      </w:r>
      <w:r w:rsidR="00221B8B">
        <w:t xml:space="preserve"> described how AEs in the CSR for Study 14874 were displayed according to NCI-CTCAE criteria, in contrast to the standard approach of the sponsor to depict </w:t>
      </w:r>
      <w:proofErr w:type="spellStart"/>
      <w:r w:rsidR="00221B8B">
        <w:t>MedDRA</w:t>
      </w:r>
      <w:proofErr w:type="spellEnd"/>
      <w:r w:rsidR="00221B8B">
        <w:t xml:space="preserve"> data in labelling documents. The CTCAE term ‘dysesthesia’ was assigned to PPES in </w:t>
      </w:r>
      <w:proofErr w:type="spellStart"/>
      <w:r w:rsidR="00221B8B">
        <w:t>MedDRA</w:t>
      </w:r>
      <w:proofErr w:type="spellEnd"/>
      <w:r w:rsidR="00221B8B">
        <w:t xml:space="preserve"> coding, accounting for the discrepancy.</w:t>
      </w:r>
    </w:p>
    <w:p w:rsidR="00221B8B" w:rsidRDefault="00221B8B" w:rsidP="00FC5D6A">
      <w:pPr>
        <w:tabs>
          <w:tab w:val="left" w:pos="1134"/>
        </w:tabs>
      </w:pPr>
      <w:r w:rsidRPr="00192ED5">
        <w:rPr>
          <w:b/>
        </w:rPr>
        <w:t>Comment</w:t>
      </w:r>
      <w:r>
        <w:t>:</w:t>
      </w:r>
      <w:r>
        <w:tab/>
        <w:t>This explanation is acceptable.</w:t>
      </w:r>
    </w:p>
    <w:p w:rsidR="00C618F7" w:rsidRDefault="00C618F7" w:rsidP="00FC5D6A">
      <w:pPr>
        <w:pStyle w:val="Heading2"/>
      </w:pPr>
      <w:bookmarkStart w:id="373" w:name="_Toc436128371"/>
      <w:r>
        <w:t>Second round benefit-risk assessment</w:t>
      </w:r>
      <w:bookmarkEnd w:id="373"/>
    </w:p>
    <w:p w:rsidR="00221B8B" w:rsidRDefault="00221B8B" w:rsidP="00FC5D6A">
      <w:pPr>
        <w:pStyle w:val="Heading3"/>
      </w:pPr>
      <w:bookmarkStart w:id="374" w:name="_Toc393799422"/>
      <w:bookmarkStart w:id="375" w:name="_Toc290846349"/>
      <w:bookmarkStart w:id="376" w:name="_Toc272414709"/>
      <w:bookmarkStart w:id="377" w:name="_Toc436128372"/>
      <w:r>
        <w:t xml:space="preserve">Second round assessment of </w:t>
      </w:r>
      <w:r w:rsidRPr="00FC5D6A">
        <w:t>benefits</w:t>
      </w:r>
      <w:bookmarkEnd w:id="374"/>
      <w:bookmarkEnd w:id="375"/>
      <w:bookmarkEnd w:id="376"/>
      <w:bookmarkEnd w:id="377"/>
    </w:p>
    <w:p w:rsidR="00221B8B" w:rsidRDefault="00221B8B" w:rsidP="00FC5D6A">
      <w:r>
        <w:t xml:space="preserve">After consideration of the responses to clinical questions, the benefits of </w:t>
      </w:r>
      <w:proofErr w:type="spellStart"/>
      <w:r>
        <w:t>regorafenib</w:t>
      </w:r>
      <w:proofErr w:type="spellEnd"/>
      <w:r>
        <w:t xml:space="preserve"> in the proposed usage are unchanged from those identified in </w:t>
      </w:r>
      <w:r w:rsidR="00192ED5">
        <w:t>the First round evaluation</w:t>
      </w:r>
      <w:r>
        <w:t>.</w:t>
      </w:r>
    </w:p>
    <w:p w:rsidR="00221B8B" w:rsidRDefault="00221B8B" w:rsidP="00FC5D6A">
      <w:pPr>
        <w:pStyle w:val="Heading2"/>
      </w:pPr>
      <w:bookmarkStart w:id="378" w:name="_Toc393799423"/>
      <w:bookmarkStart w:id="379" w:name="_Toc290846350"/>
      <w:bookmarkStart w:id="380" w:name="_Toc272414710"/>
      <w:bookmarkStart w:id="381" w:name="_Toc436128373"/>
      <w:r>
        <w:t>Second round assessment of risks</w:t>
      </w:r>
      <w:bookmarkEnd w:id="378"/>
      <w:bookmarkEnd w:id="379"/>
      <w:bookmarkEnd w:id="380"/>
      <w:bookmarkEnd w:id="381"/>
    </w:p>
    <w:p w:rsidR="00221B8B" w:rsidRDefault="00221B8B" w:rsidP="00FC5D6A">
      <w:r>
        <w:t xml:space="preserve">After consideration of the responses to clinical questions, the risks of </w:t>
      </w:r>
      <w:proofErr w:type="spellStart"/>
      <w:r>
        <w:t>regorafenib</w:t>
      </w:r>
      <w:proofErr w:type="spellEnd"/>
      <w:r>
        <w:t xml:space="preserve"> in the proposed usage are unchanged from those identified in </w:t>
      </w:r>
      <w:r w:rsidR="00192ED5">
        <w:t>the First round evaluation</w:t>
      </w:r>
      <w:r>
        <w:t>. Questions raised have been adequately addressed by the sponsor.</w:t>
      </w:r>
    </w:p>
    <w:p w:rsidR="00221B8B" w:rsidRDefault="00221B8B" w:rsidP="00FC5D6A">
      <w:pPr>
        <w:pStyle w:val="Heading3"/>
      </w:pPr>
      <w:bookmarkStart w:id="382" w:name="_Toc393799424"/>
      <w:bookmarkStart w:id="383" w:name="_Toc290846351"/>
      <w:bookmarkStart w:id="384" w:name="_Toc272414711"/>
      <w:bookmarkStart w:id="385" w:name="_Toc436128374"/>
      <w:r>
        <w:t xml:space="preserve">Second round </w:t>
      </w:r>
      <w:r w:rsidRPr="00FC5D6A">
        <w:t>assessment</w:t>
      </w:r>
      <w:r>
        <w:t xml:space="preserve"> of benefit-risk balance</w:t>
      </w:r>
      <w:bookmarkEnd w:id="382"/>
      <w:bookmarkEnd w:id="383"/>
      <w:bookmarkEnd w:id="384"/>
      <w:bookmarkEnd w:id="385"/>
    </w:p>
    <w:p w:rsidR="00C618F7" w:rsidRPr="00586F98" w:rsidRDefault="00221B8B" w:rsidP="00FC5D6A">
      <w:pPr>
        <w:rPr>
          <w:lang w:eastAsia="ja-JP"/>
        </w:rPr>
      </w:pPr>
      <w:r>
        <w:t xml:space="preserve">The benefit-risk balance of </w:t>
      </w:r>
      <w:proofErr w:type="spellStart"/>
      <w:r>
        <w:t>regorafenib</w:t>
      </w:r>
      <w:proofErr w:type="spellEnd"/>
      <w:r>
        <w:t>, given the proposed usage as described in the amended PI, is favourable.</w:t>
      </w:r>
    </w:p>
    <w:p w:rsidR="00C618F7" w:rsidRDefault="00C618F7" w:rsidP="00FC5D6A">
      <w:pPr>
        <w:pStyle w:val="Heading3"/>
      </w:pPr>
      <w:bookmarkStart w:id="386" w:name="_Toc436128375"/>
      <w:r>
        <w:lastRenderedPageBreak/>
        <w:t xml:space="preserve">Second round </w:t>
      </w:r>
      <w:r w:rsidRPr="00FC5D6A">
        <w:t>recommendation</w:t>
      </w:r>
      <w:r>
        <w:t xml:space="preserve"> regarding authorisation</w:t>
      </w:r>
      <w:bookmarkEnd w:id="386"/>
    </w:p>
    <w:p w:rsidR="00192ED5" w:rsidRDefault="00221B8B" w:rsidP="00FC5D6A">
      <w:r>
        <w:t xml:space="preserve">It is recommended that </w:t>
      </w:r>
      <w:proofErr w:type="spellStart"/>
      <w:r>
        <w:t>regorafenib</w:t>
      </w:r>
      <w:proofErr w:type="spellEnd"/>
      <w:r>
        <w:t xml:space="preserve"> be </w:t>
      </w:r>
      <w:r>
        <w:rPr>
          <w:b/>
        </w:rPr>
        <w:t>approved</w:t>
      </w:r>
      <w:r>
        <w:t xml:space="preserve"> for the proposed indic</w:t>
      </w:r>
      <w:r w:rsidR="00FC5D6A">
        <w:t>ation:</w:t>
      </w:r>
    </w:p>
    <w:p w:rsidR="00221B8B" w:rsidRPr="00FC5D6A" w:rsidRDefault="00192ED5" w:rsidP="00FC5D6A">
      <w:pPr>
        <w:pStyle w:val="ListBullet"/>
        <w:numPr>
          <w:ilvl w:val="0"/>
          <w:numId w:val="0"/>
        </w:numPr>
        <w:ind w:left="360"/>
        <w:rPr>
          <w:i/>
        </w:rPr>
      </w:pPr>
      <w:r w:rsidRPr="00FC5D6A">
        <w:rPr>
          <w:i/>
        </w:rPr>
        <w:t>T</w:t>
      </w:r>
      <w:r w:rsidR="00221B8B" w:rsidRPr="00FC5D6A">
        <w:rPr>
          <w:i/>
        </w:rPr>
        <w:t>reatment of patients with gastrointestinal stromal tumours (GIST) who have been previously treated with two tyrosine kinase inhibitors.</w:t>
      </w:r>
    </w:p>
    <w:p w:rsidR="00221B8B" w:rsidRDefault="00192ED5" w:rsidP="00FC5D6A">
      <w:r>
        <w:t>First r</w:t>
      </w:r>
      <w:r w:rsidR="00221B8B">
        <w:t>ound questions raised have been adequately addressed by the sponsor.</w:t>
      </w:r>
    </w:p>
    <w:p w:rsidR="00221B8B" w:rsidRDefault="00221B8B" w:rsidP="00FC5D6A">
      <w:r>
        <w:t>There remains one outstanding PI change that requires addressing in Table 7 of the proposed</w:t>
      </w:r>
      <w:r w:rsidR="00FC5D6A">
        <w:t xml:space="preserve"> </w:t>
      </w:r>
      <w:r>
        <w:t>PI.</w:t>
      </w:r>
    </w:p>
    <w:p w:rsidR="00C618F7" w:rsidRDefault="00C618F7" w:rsidP="00FC5D6A">
      <w:pPr>
        <w:pStyle w:val="Heading2"/>
      </w:pPr>
      <w:bookmarkStart w:id="387" w:name="_Toc436128376"/>
      <w:r w:rsidRPr="00FC5D6A">
        <w:t>References</w:t>
      </w:r>
      <w:bookmarkEnd w:id="387"/>
    </w:p>
    <w:bookmarkEnd w:id="2"/>
    <w:bookmarkEnd w:id="1"/>
    <w:bookmarkEnd w:id="0"/>
    <w:p w:rsidR="00221B8B" w:rsidRPr="00192ED5" w:rsidRDefault="00221B8B" w:rsidP="00FC5D6A">
      <w:pPr>
        <w:pStyle w:val="Numberbullet0"/>
        <w:numPr>
          <w:ilvl w:val="0"/>
          <w:numId w:val="40"/>
        </w:numPr>
      </w:pPr>
      <w:r w:rsidRPr="00192ED5">
        <w:t>EMA Guideline on the evaluation of anticancer medicinal products in man. 2006.</w:t>
      </w:r>
    </w:p>
    <w:p w:rsidR="00221B8B" w:rsidRPr="00192ED5" w:rsidRDefault="00221B8B" w:rsidP="00FC5D6A">
      <w:pPr>
        <w:pStyle w:val="Numberbullet0"/>
        <w:numPr>
          <w:ilvl w:val="0"/>
          <w:numId w:val="40"/>
        </w:numPr>
      </w:pPr>
      <w:r w:rsidRPr="00192ED5">
        <w:t xml:space="preserve">EMA Guideline on </w:t>
      </w:r>
      <w:r w:rsidRPr="00FC5D6A">
        <w:t>Points</w:t>
      </w:r>
      <w:r w:rsidRPr="00192ED5">
        <w:t xml:space="preserve"> to consider on missing data, 2001.</w:t>
      </w:r>
    </w:p>
    <w:p w:rsidR="00221B8B" w:rsidRPr="00192ED5" w:rsidRDefault="00221B8B" w:rsidP="00FC5D6A">
      <w:pPr>
        <w:pStyle w:val="Numberbullet0"/>
        <w:numPr>
          <w:ilvl w:val="0"/>
          <w:numId w:val="40"/>
        </w:numPr>
      </w:pPr>
      <w:r w:rsidRPr="00FC5D6A">
        <w:rPr>
          <w:lang w:val="de-DE"/>
        </w:rPr>
        <w:t xml:space="preserve">George S, Wang Q, Heinrich M, et al. </w:t>
      </w:r>
      <w:r w:rsidRPr="00192ED5">
        <w:t xml:space="preserve">Efficacy and safety of </w:t>
      </w:r>
      <w:proofErr w:type="spellStart"/>
      <w:r w:rsidRPr="00192ED5">
        <w:t>regorafenib</w:t>
      </w:r>
      <w:proofErr w:type="spellEnd"/>
      <w:r w:rsidRPr="00192ED5">
        <w:t xml:space="preserve"> in patients with metastatic and/or </w:t>
      </w:r>
      <w:proofErr w:type="spellStart"/>
      <w:r w:rsidRPr="00FC5D6A">
        <w:t>unresectable</w:t>
      </w:r>
      <w:proofErr w:type="spellEnd"/>
      <w:r w:rsidRPr="00192ED5">
        <w:t xml:space="preserve"> GI stromal tumour after failure of </w:t>
      </w:r>
      <w:proofErr w:type="spellStart"/>
      <w:r w:rsidRPr="00192ED5">
        <w:t>imatinib</w:t>
      </w:r>
      <w:proofErr w:type="spellEnd"/>
      <w:r w:rsidRPr="00192ED5">
        <w:t xml:space="preserve"> and </w:t>
      </w:r>
      <w:proofErr w:type="spellStart"/>
      <w:r w:rsidRPr="00192ED5">
        <w:t>sunitinib</w:t>
      </w:r>
      <w:proofErr w:type="spellEnd"/>
      <w:r w:rsidRPr="00192ED5">
        <w:t xml:space="preserve">: A multicentre </w:t>
      </w:r>
      <w:r w:rsidR="00951EF6" w:rsidRPr="00192ED5">
        <w:t>Phase I</w:t>
      </w:r>
      <w:r w:rsidRPr="00192ED5">
        <w:t>I trial. Journal of Clinical Oncology, 2012; 30(19): 2401-07.</w:t>
      </w:r>
    </w:p>
    <w:p w:rsidR="00221B8B" w:rsidRPr="00192ED5" w:rsidRDefault="00221B8B" w:rsidP="00FC5D6A">
      <w:pPr>
        <w:pStyle w:val="Numberbullet0"/>
        <w:numPr>
          <w:ilvl w:val="0"/>
          <w:numId w:val="40"/>
        </w:numPr>
      </w:pPr>
      <w:r w:rsidRPr="00192ED5">
        <w:t xml:space="preserve">Chen, HX, </w:t>
      </w:r>
      <w:proofErr w:type="spellStart"/>
      <w:r w:rsidRPr="00192ED5">
        <w:t>Cleck</w:t>
      </w:r>
      <w:proofErr w:type="spellEnd"/>
      <w:r w:rsidRPr="00192ED5">
        <w:t xml:space="preserve">, JN. Adverse effects of anticancer agents that target the VEGF pathway. Nat Rev </w:t>
      </w:r>
      <w:proofErr w:type="spellStart"/>
      <w:r w:rsidRPr="00192ED5">
        <w:t>Clin</w:t>
      </w:r>
      <w:proofErr w:type="spellEnd"/>
      <w:r w:rsidRPr="00192ED5">
        <w:t xml:space="preserve"> </w:t>
      </w:r>
      <w:proofErr w:type="spellStart"/>
      <w:r w:rsidRPr="00192ED5">
        <w:t>Oncol</w:t>
      </w:r>
      <w:proofErr w:type="spellEnd"/>
      <w:r w:rsidRPr="00192ED5">
        <w:t xml:space="preserve"> 2009; 6: 465-477</w:t>
      </w:r>
    </w:p>
    <w:p w:rsidR="00221B8B" w:rsidRDefault="00221B8B" w:rsidP="00FC5D6A">
      <w:pPr>
        <w:pStyle w:val="Numberbullet0"/>
        <w:numPr>
          <w:ilvl w:val="0"/>
          <w:numId w:val="40"/>
        </w:numPr>
      </w:pPr>
      <w:proofErr w:type="spellStart"/>
      <w:r w:rsidRPr="00192ED5">
        <w:t>Belum</w:t>
      </w:r>
      <w:proofErr w:type="spellEnd"/>
      <w:r w:rsidRPr="00192ED5">
        <w:t xml:space="preserve"> VR, Wu S, </w:t>
      </w:r>
      <w:proofErr w:type="spellStart"/>
      <w:r w:rsidRPr="00192ED5">
        <w:t>Lacouture</w:t>
      </w:r>
      <w:proofErr w:type="spellEnd"/>
      <w:r w:rsidRPr="00192ED5">
        <w:t xml:space="preserve"> ME. Risk of hand-foot skin reaction with the novel </w:t>
      </w:r>
      <w:proofErr w:type="spellStart"/>
      <w:r w:rsidRPr="00192ED5">
        <w:t>multikinase</w:t>
      </w:r>
      <w:proofErr w:type="spellEnd"/>
      <w:r w:rsidRPr="00192ED5">
        <w:t xml:space="preserve"> inhibitor </w:t>
      </w:r>
      <w:proofErr w:type="spellStart"/>
      <w:r w:rsidRPr="00192ED5">
        <w:t>regorafenib</w:t>
      </w:r>
      <w:proofErr w:type="spellEnd"/>
      <w:r w:rsidRPr="00192ED5">
        <w:t xml:space="preserve">: a meta-analysis. </w:t>
      </w:r>
      <w:r w:rsidRPr="00FC5D6A">
        <w:t>Invest</w:t>
      </w:r>
      <w:r w:rsidRPr="00192ED5">
        <w:t xml:space="preserve"> New Drugs. 2013 Aug;31(4):1078-86</w:t>
      </w:r>
    </w:p>
    <w:p w:rsidR="00FC5D6A" w:rsidRPr="00192ED5" w:rsidRDefault="00FC5D6A" w:rsidP="00FC5D6A"/>
    <w:p w:rsidR="003D1E62" w:rsidRPr="001D043B" w:rsidRDefault="003D1E62" w:rsidP="002666AC">
      <w:pPr>
        <w:sectPr w:rsidR="003D1E62" w:rsidRPr="001D043B" w:rsidSect="008D770F">
          <w:headerReference w:type="even" r:id="rId33"/>
          <w:headerReference w:type="default" r:id="rId34"/>
          <w:headerReference w:type="first" r:id="rId35"/>
          <w:footerReference w:type="first" r:id="rId36"/>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221B8B">
        <w:trPr>
          <w:trHeight w:hRule="exact" w:val="564"/>
        </w:trPr>
        <w:tc>
          <w:tcPr>
            <w:tcW w:w="9175" w:type="dxa"/>
          </w:tcPr>
          <w:p w:rsidR="00B3567E" w:rsidRPr="00487162" w:rsidRDefault="00B3567E" w:rsidP="00221B8B">
            <w:pPr>
              <w:pStyle w:val="TGASignoff"/>
            </w:pPr>
            <w:r w:rsidRPr="00487162">
              <w:lastRenderedPageBreak/>
              <w:t>Therapeutic Goods Administration</w:t>
            </w:r>
          </w:p>
        </w:tc>
      </w:tr>
      <w:tr w:rsidR="00B3567E" w:rsidRPr="00487162" w:rsidTr="00221B8B">
        <w:trPr>
          <w:trHeight w:val="1221"/>
        </w:trPr>
        <w:tc>
          <w:tcPr>
            <w:tcW w:w="9175" w:type="dxa"/>
            <w:tcMar>
              <w:top w:w="28" w:type="dxa"/>
            </w:tcMar>
          </w:tcPr>
          <w:p w:rsidR="00B3567E" w:rsidRPr="00487162" w:rsidRDefault="00B3567E" w:rsidP="00221B8B">
            <w:pPr>
              <w:pStyle w:val="Address"/>
            </w:pPr>
            <w:r w:rsidRPr="00487162">
              <w:t>PO Box 100 Woden ACT 2606 Australia</w:t>
            </w:r>
          </w:p>
          <w:p w:rsidR="00B3567E" w:rsidRPr="00487162" w:rsidRDefault="00B3567E" w:rsidP="00221B8B">
            <w:pPr>
              <w:pStyle w:val="Address"/>
            </w:pPr>
            <w:r w:rsidRPr="00487162">
              <w:t xml:space="preserve">Email: </w:t>
            </w:r>
            <w:hyperlink r:id="rId37" w:history="1">
              <w:r w:rsidRPr="008D770F">
                <w:rPr>
                  <w:rStyle w:val="Hyperlink"/>
                </w:rPr>
                <w:t>info@tga.gov.au</w:t>
              </w:r>
            </w:hyperlink>
            <w:r w:rsidRPr="00487162">
              <w:t xml:space="preserve">  Phone: 1800 020 653  Fax: 02 6232 8605</w:t>
            </w:r>
          </w:p>
          <w:p w:rsidR="00B3567E" w:rsidRPr="008D770F" w:rsidRDefault="00EB721A" w:rsidP="00221B8B">
            <w:pPr>
              <w:pStyle w:val="Address"/>
              <w:spacing w:line="260" w:lineRule="atLeast"/>
              <w:rPr>
                <w:b/>
                <w:color w:val="0000FF"/>
                <w:u w:val="single"/>
              </w:rPr>
            </w:pPr>
            <w:hyperlink r:id="rId3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9"/>
      <w:headerReference w:type="default" r:id="rId40"/>
      <w:footerReference w:type="default" r:id="rId41"/>
      <w:headerReference w:type="first" r:id="rId42"/>
      <w:footerReference w:type="first" r:id="rId4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D6A" w:rsidRDefault="00FC5D6A" w:rsidP="00C40A36">
      <w:pPr>
        <w:spacing w:after="0"/>
      </w:pPr>
      <w:r>
        <w:separator/>
      </w:r>
    </w:p>
  </w:endnote>
  <w:endnote w:type="continuationSeparator" w:id="0">
    <w:p w:rsidR="00FC5D6A" w:rsidRDefault="00FC5D6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Arial Unicode MS"/>
    <w:panose1 w:val="00000000000000000000"/>
    <w:charset w:val="80"/>
    <w:family w:val="auto"/>
    <w:notTrueType/>
    <w:pitch w:val="default"/>
    <w:sig w:usb0="00000003" w:usb1="09070000" w:usb2="00000010" w:usb3="00000000" w:csb0="000A0009" w:csb1="00000000"/>
  </w:font>
  <w:font w:name="PMingLiU">
    <w:altName w:val="新細明體"/>
    <w:panose1 w:val="02020500000000000000"/>
    <w:charset w:val="88"/>
    <w:family w:val="roman"/>
    <w:pitch w:val="variable"/>
    <w:sig w:usb0="A00002FF" w:usb1="28CFFCFA" w:usb2="00000016" w:usb3="00000000" w:csb0="00100001" w:csb1="00000000"/>
  </w:font>
  <w:font w:name="TimesNewRoman,Italic">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3" w:usb1="08070000" w:usb2="00000010" w:usb3="00000000" w:csb0="00020001" w:csb1="00000000"/>
  </w:font>
  <w:font w:name="Arial,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C5D6A" w:rsidRPr="00487162" w:rsidTr="00221B8B">
      <w:trPr>
        <w:trHeight w:val="269"/>
      </w:trPr>
      <w:tc>
        <w:tcPr>
          <w:tcW w:w="7655" w:type="dxa"/>
          <w:tcMar>
            <w:top w:w="142" w:type="dxa"/>
            <w:bottom w:w="0" w:type="dxa"/>
          </w:tcMar>
        </w:tcPr>
        <w:p w:rsidR="00FC5D6A" w:rsidRPr="00487162" w:rsidRDefault="00FC5D6A" w:rsidP="001669E0">
          <w:pPr>
            <w:pStyle w:val="Footer"/>
          </w:pPr>
          <w:r w:rsidRPr="001669E0">
            <w:rPr>
              <w:rFonts w:asciiTheme="minorHAnsi" w:hAnsiTheme="minorHAnsi"/>
              <w:szCs w:val="17"/>
            </w:rPr>
            <w:t xml:space="preserve">Submission </w:t>
          </w:r>
          <w:r w:rsidRPr="001669E0">
            <w:rPr>
              <w:rFonts w:asciiTheme="minorHAnsi" w:hAnsiTheme="minorHAnsi" w:cs="Arial"/>
              <w:szCs w:val="17"/>
            </w:rPr>
            <w:t xml:space="preserve">PM-2013-04954-1-4 </w:t>
          </w:r>
          <w:r w:rsidRPr="001669E0">
            <w:rPr>
              <w:rFonts w:asciiTheme="minorHAnsi" w:hAnsiTheme="minorHAnsi"/>
              <w:szCs w:val="17"/>
            </w:rPr>
            <w:t xml:space="preserve">Extract from the Clinical Evaluation Report for </w:t>
          </w:r>
          <w:proofErr w:type="spellStart"/>
          <w:r w:rsidRPr="001669E0">
            <w:rPr>
              <w:rFonts w:asciiTheme="minorHAnsi" w:hAnsiTheme="minorHAnsi"/>
              <w:szCs w:val="17"/>
            </w:rPr>
            <w:t>Stivarga</w:t>
          </w:r>
          <w:proofErr w:type="spellEnd"/>
          <w:r w:rsidRPr="001669E0">
            <w:rPr>
              <w:rFonts w:asciiTheme="minorHAnsi" w:hAnsiTheme="minorHAnsi"/>
              <w:szCs w:val="17"/>
            </w:rPr>
            <w:t xml:space="preserve"> [</w:t>
          </w:r>
          <w:proofErr w:type="spellStart"/>
          <w:r>
            <w:rPr>
              <w:rFonts w:asciiTheme="minorHAnsi" w:hAnsiTheme="minorHAnsi" w:cs="Arial"/>
              <w:szCs w:val="17"/>
            </w:rPr>
            <w:t>r</w:t>
          </w:r>
          <w:r w:rsidRPr="001669E0">
            <w:rPr>
              <w:rFonts w:asciiTheme="minorHAnsi" w:hAnsiTheme="minorHAnsi" w:cs="Arial"/>
              <w:szCs w:val="17"/>
            </w:rPr>
            <w:t>egorafenib</w:t>
          </w:r>
          <w:proofErr w:type="spellEnd"/>
          <w:r>
            <w:t>]</w:t>
          </w:r>
        </w:p>
      </w:tc>
      <w:tc>
        <w:tcPr>
          <w:tcW w:w="1206" w:type="dxa"/>
          <w:tcMar>
            <w:top w:w="142" w:type="dxa"/>
            <w:bottom w:w="0" w:type="dxa"/>
          </w:tcMar>
        </w:tcPr>
        <w:p w:rsidR="00FC5D6A" w:rsidRPr="00981D66" w:rsidRDefault="00FC5D6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A7F84">
            <w:rPr>
              <w:noProof/>
            </w:rPr>
            <w:t>5</w:t>
          </w:r>
          <w:r w:rsidRPr="00981D66">
            <w:fldChar w:fldCharType="end"/>
          </w:r>
          <w:r w:rsidRPr="00981D66">
            <w:t xml:space="preserve"> of </w:t>
          </w:r>
          <w:fldSimple w:instr=" NUMPAGES  \* Arabic  \* MERGEFORMAT ">
            <w:r w:rsidR="00AA7F84">
              <w:rPr>
                <w:noProof/>
              </w:rPr>
              <w:t>74</w:t>
            </w:r>
          </w:fldSimple>
        </w:p>
      </w:tc>
    </w:tr>
  </w:tbl>
  <w:p w:rsidR="00FC5D6A" w:rsidRDefault="00FC5D6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C5D6A" w:rsidRPr="00487162" w:rsidTr="00E45619">
      <w:trPr>
        <w:trHeight w:val="269"/>
      </w:trPr>
      <w:tc>
        <w:tcPr>
          <w:tcW w:w="4519" w:type="dxa"/>
          <w:tcBorders>
            <w:top w:val="single" w:sz="4" w:space="0" w:color="auto"/>
          </w:tcBorders>
          <w:tcMar>
            <w:top w:w="142" w:type="dxa"/>
            <w:bottom w:w="0" w:type="dxa"/>
          </w:tcMar>
        </w:tcPr>
        <w:p w:rsidR="00FC5D6A" w:rsidRPr="00487162" w:rsidRDefault="00FC5D6A" w:rsidP="00FE1DEE">
          <w:pPr>
            <w:pStyle w:val="Footer"/>
          </w:pPr>
          <w:r w:rsidRPr="00487162">
            <w:t>Document title, Part #, Section # - Section title</w:t>
          </w:r>
        </w:p>
        <w:p w:rsidR="00FC5D6A" w:rsidRPr="00487162" w:rsidRDefault="00FC5D6A" w:rsidP="00FE1DEE">
          <w:pPr>
            <w:pStyle w:val="Footer"/>
          </w:pPr>
          <w:r w:rsidRPr="00487162">
            <w:t>V1.0 October 2010</w:t>
          </w:r>
        </w:p>
      </w:tc>
      <w:tc>
        <w:tcPr>
          <w:tcW w:w="4342" w:type="dxa"/>
          <w:tcBorders>
            <w:top w:val="single" w:sz="4" w:space="0" w:color="auto"/>
          </w:tcBorders>
          <w:tcMar>
            <w:top w:w="142" w:type="dxa"/>
            <w:bottom w:w="0" w:type="dxa"/>
          </w:tcMar>
        </w:tcPr>
        <w:p w:rsidR="00FC5D6A" w:rsidRPr="00487162" w:rsidRDefault="00FC5D6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74</w:t>
            </w:r>
          </w:fldSimple>
        </w:p>
      </w:tc>
    </w:tr>
  </w:tbl>
  <w:p w:rsidR="00FC5D6A" w:rsidRDefault="00FC5D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C5D6A" w:rsidTr="0010601F">
      <w:trPr>
        <w:trHeight w:val="108"/>
      </w:trPr>
      <w:tc>
        <w:tcPr>
          <w:tcW w:w="8875" w:type="dxa"/>
          <w:gridSpan w:val="2"/>
          <w:tcBorders>
            <w:bottom w:val="single" w:sz="4" w:space="0" w:color="auto"/>
          </w:tcBorders>
          <w:tcMar>
            <w:right w:w="284" w:type="dxa"/>
          </w:tcMar>
        </w:tcPr>
        <w:p w:rsidR="00FC5D6A" w:rsidRDefault="00FC5D6A" w:rsidP="006E08B3">
          <w:pPr>
            <w:pStyle w:val="Heading3"/>
          </w:pPr>
          <w:r>
            <w:t>Copyright</w:t>
          </w:r>
        </w:p>
        <w:p w:rsidR="00FC5D6A" w:rsidRDefault="00FC5D6A" w:rsidP="006E08B3">
          <w:r>
            <w:rPr>
              <w:rFonts w:cs="Arial"/>
            </w:rPr>
            <w:t>©</w:t>
          </w:r>
          <w:r>
            <w:t xml:space="preserve"> Commonwealth of Australia [add year]</w:t>
          </w:r>
        </w:p>
        <w:p w:rsidR="00FC5D6A" w:rsidRDefault="00FC5D6A" w:rsidP="006E08B3"/>
        <w:p w:rsidR="00FC5D6A" w:rsidRDefault="00FC5D6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C5D6A" w:rsidRDefault="00FC5D6A" w:rsidP="006E08B3"/>
        <w:p w:rsidR="00FC5D6A" w:rsidRDefault="00FC5D6A" w:rsidP="006E08B3">
          <w:pPr>
            <w:pStyle w:val="Heading3"/>
          </w:pPr>
          <w:r>
            <w:t>Confidentiality</w:t>
          </w:r>
        </w:p>
        <w:p w:rsidR="00FC5D6A" w:rsidRDefault="00FC5D6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C5D6A" w:rsidRDefault="00FC5D6A" w:rsidP="006E08B3"/>
        <w:p w:rsidR="00FC5D6A" w:rsidRDefault="00FC5D6A" w:rsidP="006E08B3">
          <w:r>
            <w:t>For submission made by individuals, all personal details, other than your name, will be removed from your submission before it is published on the TGA’s Internet site.</w:t>
          </w:r>
        </w:p>
        <w:p w:rsidR="00FC5D6A" w:rsidRDefault="00FC5D6A" w:rsidP="006E08B3"/>
        <w:p w:rsidR="00FC5D6A" w:rsidRDefault="00FC5D6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C5D6A" w:rsidTr="0010601F">
      <w:trPr>
        <w:trHeight w:val="417"/>
      </w:trPr>
      <w:tc>
        <w:tcPr>
          <w:tcW w:w="4519" w:type="dxa"/>
          <w:tcBorders>
            <w:top w:val="single" w:sz="4" w:space="0" w:color="auto"/>
          </w:tcBorders>
          <w:tcMar>
            <w:top w:w="142" w:type="dxa"/>
            <w:bottom w:w="0" w:type="dxa"/>
          </w:tcMar>
        </w:tcPr>
        <w:p w:rsidR="00FC5D6A" w:rsidRDefault="00FC5D6A" w:rsidP="006E08B3">
          <w:r>
            <w:t>Document title, Part #, Section # - Section title</w:t>
          </w:r>
        </w:p>
        <w:p w:rsidR="00FC5D6A" w:rsidRDefault="00FC5D6A" w:rsidP="006E08B3">
          <w:r>
            <w:t>V1.0 October 2010</w:t>
          </w:r>
        </w:p>
      </w:tc>
      <w:tc>
        <w:tcPr>
          <w:tcW w:w="4356" w:type="dxa"/>
          <w:tcBorders>
            <w:top w:val="single" w:sz="4" w:space="0" w:color="auto"/>
          </w:tcBorders>
          <w:tcMar>
            <w:top w:w="142" w:type="dxa"/>
            <w:bottom w:w="0" w:type="dxa"/>
          </w:tcMar>
        </w:tcPr>
        <w:p w:rsidR="00FC5D6A" w:rsidRDefault="00FC5D6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74</w:t>
            </w:r>
          </w:fldSimple>
          <w:r>
            <w:t xml:space="preserve">  </w:t>
          </w:r>
        </w:p>
      </w:tc>
    </w:tr>
  </w:tbl>
  <w:p w:rsidR="00FC5D6A" w:rsidRDefault="00FC5D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D6A" w:rsidRDefault="00FC5D6A" w:rsidP="00C40A36">
      <w:pPr>
        <w:spacing w:after="0"/>
      </w:pPr>
      <w:r>
        <w:separator/>
      </w:r>
    </w:p>
  </w:footnote>
  <w:footnote w:type="continuationSeparator" w:id="0">
    <w:p w:rsidR="00FC5D6A" w:rsidRDefault="00FC5D6A" w:rsidP="00C40A36">
      <w:pPr>
        <w:spacing w:after="0"/>
      </w:pPr>
      <w:r>
        <w:continuationSeparator/>
      </w:r>
    </w:p>
  </w:footnote>
  <w:footnote w:id="1">
    <w:p w:rsidR="00FC5D6A" w:rsidRPr="007412F6" w:rsidRDefault="00FC5D6A" w:rsidP="00B807B5">
      <w:pPr>
        <w:pStyle w:val="FootnoteText"/>
      </w:pPr>
      <w:r w:rsidRPr="007412F6">
        <w:rPr>
          <w:rStyle w:val="FootnoteReference"/>
          <w:rFonts w:asciiTheme="minorHAnsi" w:hAnsiTheme="minorHAnsi"/>
          <w:szCs w:val="18"/>
        </w:rPr>
        <w:footnoteRef/>
      </w:r>
      <w:r>
        <w:t xml:space="preserve"> </w:t>
      </w:r>
      <w:r w:rsidRPr="007412F6">
        <w:t xml:space="preserve">Study-specific </w:t>
      </w:r>
      <w:r w:rsidRPr="00B807B5">
        <w:t>TEAEs</w:t>
      </w:r>
      <w:r w:rsidRPr="007412F6">
        <w:t xml:space="preserve"> are depicted according to NCI-CT&amp;CAE, that is, no depiction according to </w:t>
      </w:r>
      <w:proofErr w:type="spellStart"/>
      <w:r w:rsidRPr="007412F6">
        <w:t>MedDRA</w:t>
      </w:r>
      <w:proofErr w:type="spellEnd"/>
      <w:r w:rsidRPr="007412F6">
        <w:t>-Preferred Terms</w:t>
      </w:r>
    </w:p>
  </w:footnote>
  <w:footnote w:id="2">
    <w:p w:rsidR="00FC5D6A" w:rsidRPr="007412F6" w:rsidRDefault="00FC5D6A" w:rsidP="00B807B5">
      <w:pPr>
        <w:pStyle w:val="FootnoteText"/>
      </w:pPr>
      <w:r w:rsidRPr="007412F6">
        <w:rPr>
          <w:rStyle w:val="FootnoteReference"/>
          <w:rFonts w:asciiTheme="minorHAnsi" w:hAnsiTheme="minorHAnsi"/>
          <w:szCs w:val="18"/>
        </w:rPr>
        <w:footnoteRef/>
      </w:r>
      <w:r w:rsidRPr="007412F6">
        <w:t xml:space="preserve">Pooled safety data is </w:t>
      </w:r>
      <w:r w:rsidRPr="00B807B5">
        <w:t>according</w:t>
      </w:r>
      <w:r w:rsidRPr="007412F6">
        <w:t xml:space="preserve"> to </w:t>
      </w:r>
      <w:proofErr w:type="spellStart"/>
      <w:r w:rsidRPr="007412F6">
        <w:t>MedDRA</w:t>
      </w:r>
      <w:proofErr w:type="spellEnd"/>
      <w:r w:rsidRPr="007412F6">
        <w:t>.</w:t>
      </w:r>
    </w:p>
  </w:footnote>
  <w:footnote w:id="3">
    <w:p w:rsidR="00FC5D6A" w:rsidRPr="004C2DB9" w:rsidRDefault="00FC5D6A" w:rsidP="00B807B5">
      <w:pPr>
        <w:pStyle w:val="FootnoteText"/>
      </w:pPr>
      <w:r w:rsidRPr="004C2DB9">
        <w:rPr>
          <w:rStyle w:val="FootnoteReference"/>
          <w:szCs w:val="18"/>
        </w:rPr>
        <w:footnoteRef/>
      </w:r>
      <w:r>
        <w:rPr>
          <w:rFonts w:eastAsiaTheme="minorHAnsi"/>
        </w:rPr>
        <w:t xml:space="preserve"> </w:t>
      </w:r>
      <w:r w:rsidRPr="004C2DB9">
        <w:rPr>
          <w:rFonts w:eastAsiaTheme="minorHAnsi"/>
        </w:rPr>
        <w:t xml:space="preserve">The most common Grade 4 AEs assessed as possibly related to the drug were </w:t>
      </w:r>
      <w:proofErr w:type="spellStart"/>
      <w:r w:rsidRPr="004C2DB9">
        <w:rPr>
          <w:rFonts w:eastAsiaTheme="minorHAnsi"/>
        </w:rPr>
        <w:t>hyperuricemia</w:t>
      </w:r>
      <w:proofErr w:type="spellEnd"/>
      <w:r w:rsidRPr="004C2DB9">
        <w:rPr>
          <w:rFonts w:eastAsiaTheme="minorHAnsi"/>
        </w:rPr>
        <w:t xml:space="preserve"> (2, 6.0%) and thrombotic event (1, 3.0%).</w:t>
      </w:r>
    </w:p>
  </w:footnote>
  <w:footnote w:id="4">
    <w:p w:rsidR="00FC5D6A" w:rsidRPr="004C2DB9" w:rsidRDefault="00FC5D6A" w:rsidP="00B807B5">
      <w:pPr>
        <w:pStyle w:val="FootnoteText"/>
      </w:pPr>
      <w:r w:rsidRPr="004C2DB9">
        <w:rPr>
          <w:rStyle w:val="FootnoteReference"/>
          <w:szCs w:val="18"/>
        </w:rPr>
        <w:footnoteRef/>
      </w:r>
      <w:r w:rsidRPr="004C2DB9">
        <w:t xml:space="preserve"> </w:t>
      </w:r>
      <w:r w:rsidRPr="00B807B5">
        <w:t>Erratum</w:t>
      </w:r>
      <w:r w:rsidRPr="004C2DB9">
        <w:t>: 53%</w:t>
      </w:r>
    </w:p>
  </w:footnote>
  <w:footnote w:id="5">
    <w:p w:rsidR="00FC5D6A" w:rsidRPr="00192ED5" w:rsidRDefault="00FC5D6A" w:rsidP="00B807B5">
      <w:pPr>
        <w:pStyle w:val="FootnoteText"/>
      </w:pPr>
      <w:r w:rsidRPr="00192ED5">
        <w:rPr>
          <w:rStyle w:val="FootnoteReference"/>
          <w:rFonts w:asciiTheme="minorHAnsi" w:hAnsiTheme="minorHAnsi"/>
          <w:szCs w:val="18"/>
        </w:rPr>
        <w:footnoteRef/>
      </w:r>
      <w:r w:rsidRPr="00192ED5">
        <w:t xml:space="preserve">There were confounding factors for the renal failure event.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pPr>
      <w:rPr>
        <w:noProof/>
        <w:lang w:eastAsia="en-AU"/>
      </w:rPr>
    </w:pPr>
    <w:r w:rsidRPr="002D545C">
      <w:rPr>
        <w:noProof/>
        <w:lang w:eastAsia="en-AU"/>
      </w:rPr>
      <w:drawing>
        <wp:anchor distT="0" distB="0" distL="114300" distR="114300" simplePos="0" relativeHeight="251659264" behindDoc="1" locked="0" layoutInCell="1" allowOverlap="1" wp14:anchorId="52D74D91" wp14:editId="28C78AE5">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C5D6A" w:rsidRDefault="00FC5D6A" w:rsidP="00593AD1">
    <w:pPr>
      <w:pStyle w:val="HeaderNoLine"/>
    </w:pPr>
    <w:r>
      <w:rPr>
        <w:noProof/>
        <w:lang w:eastAsia="en-AU"/>
      </w:rPr>
      <w:drawing>
        <wp:inline distT="0" distB="0" distL="0" distR="0" wp14:anchorId="0A283728" wp14:editId="43D8A357">
          <wp:extent cx="5397500" cy="7634605"/>
          <wp:effectExtent l="0" t="0" r="0" b="4445"/>
          <wp:docPr id="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6A" w:rsidRDefault="00FC5D6A" w:rsidP="006E08B3">
    <w:r>
      <w:t>Therapeutic Goods Administration</w:t>
    </w:r>
  </w:p>
  <w:p w:rsidR="00FC5D6A" w:rsidRDefault="00FC5D6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pStyle w:val="Style1"/>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2039B3"/>
    <w:multiLevelType w:val="hybridMultilevel"/>
    <w:tmpl w:val="AB067E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66740A"/>
    <w:multiLevelType w:val="hybridMultilevel"/>
    <w:tmpl w:val="542807E4"/>
    <w:lvl w:ilvl="0" w:tplc="F67A480E">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388C1523"/>
    <w:multiLevelType w:val="hybridMultilevel"/>
    <w:tmpl w:val="F27037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AC02909"/>
    <w:multiLevelType w:val="hybridMultilevel"/>
    <w:tmpl w:val="004E2982"/>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1"/>
  </w:num>
  <w:num w:numId="27">
    <w:abstractNumId w:val="12"/>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9"/>
  </w:num>
  <w:num w:numId="35">
    <w:abstractNumId w:val="8"/>
  </w:num>
  <w:num w:numId="36">
    <w:abstractNumId w:val="1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B8B"/>
    <w:rsid w:val="00002031"/>
    <w:rsid w:val="00004734"/>
    <w:rsid w:val="00006B22"/>
    <w:rsid w:val="0001276A"/>
    <w:rsid w:val="000246AE"/>
    <w:rsid w:val="00025C67"/>
    <w:rsid w:val="00040ACB"/>
    <w:rsid w:val="000469A8"/>
    <w:rsid w:val="0005559E"/>
    <w:rsid w:val="00077775"/>
    <w:rsid w:val="00090471"/>
    <w:rsid w:val="000A3AED"/>
    <w:rsid w:val="000A3D48"/>
    <w:rsid w:val="000A63AF"/>
    <w:rsid w:val="000B3532"/>
    <w:rsid w:val="000B3A75"/>
    <w:rsid w:val="000C3AA2"/>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51A1"/>
    <w:rsid w:val="00125318"/>
    <w:rsid w:val="001305A2"/>
    <w:rsid w:val="00133238"/>
    <w:rsid w:val="0014197B"/>
    <w:rsid w:val="001447CD"/>
    <w:rsid w:val="001516B1"/>
    <w:rsid w:val="00154EBB"/>
    <w:rsid w:val="00156316"/>
    <w:rsid w:val="00157ACD"/>
    <w:rsid w:val="00165389"/>
    <w:rsid w:val="001669E0"/>
    <w:rsid w:val="0017078F"/>
    <w:rsid w:val="0017693F"/>
    <w:rsid w:val="0018110E"/>
    <w:rsid w:val="00181684"/>
    <w:rsid w:val="001843C6"/>
    <w:rsid w:val="00184D9F"/>
    <w:rsid w:val="001850E0"/>
    <w:rsid w:val="00192ED5"/>
    <w:rsid w:val="001A2158"/>
    <w:rsid w:val="001A525F"/>
    <w:rsid w:val="001B09F9"/>
    <w:rsid w:val="001B5D98"/>
    <w:rsid w:val="001B6448"/>
    <w:rsid w:val="001E07CF"/>
    <w:rsid w:val="001E086C"/>
    <w:rsid w:val="001E59F1"/>
    <w:rsid w:val="001F49EB"/>
    <w:rsid w:val="001F6CBA"/>
    <w:rsid w:val="00201D4E"/>
    <w:rsid w:val="002076C9"/>
    <w:rsid w:val="00220B8A"/>
    <w:rsid w:val="00221B8B"/>
    <w:rsid w:val="002257F3"/>
    <w:rsid w:val="00233456"/>
    <w:rsid w:val="002339A5"/>
    <w:rsid w:val="00257848"/>
    <w:rsid w:val="002666AC"/>
    <w:rsid w:val="0027084A"/>
    <w:rsid w:val="002776A0"/>
    <w:rsid w:val="00286434"/>
    <w:rsid w:val="00286C59"/>
    <w:rsid w:val="00292113"/>
    <w:rsid w:val="002942D1"/>
    <w:rsid w:val="0029501A"/>
    <w:rsid w:val="002B1638"/>
    <w:rsid w:val="002C63ED"/>
    <w:rsid w:val="002D545C"/>
    <w:rsid w:val="002D6161"/>
    <w:rsid w:val="002E4C9A"/>
    <w:rsid w:val="002E6A45"/>
    <w:rsid w:val="002F11F8"/>
    <w:rsid w:val="002F1F6E"/>
    <w:rsid w:val="002F3F56"/>
    <w:rsid w:val="002F44B5"/>
    <w:rsid w:val="002F64D8"/>
    <w:rsid w:val="00311AC0"/>
    <w:rsid w:val="0032583B"/>
    <w:rsid w:val="00327883"/>
    <w:rsid w:val="00335504"/>
    <w:rsid w:val="0033594E"/>
    <w:rsid w:val="003414F3"/>
    <w:rsid w:val="00342BDC"/>
    <w:rsid w:val="003521E8"/>
    <w:rsid w:val="00361A70"/>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04A55"/>
    <w:rsid w:val="00415D59"/>
    <w:rsid w:val="004338FD"/>
    <w:rsid w:val="0043797D"/>
    <w:rsid w:val="00440A2D"/>
    <w:rsid w:val="00440FE3"/>
    <w:rsid w:val="00445305"/>
    <w:rsid w:val="004564A7"/>
    <w:rsid w:val="004617BF"/>
    <w:rsid w:val="00463658"/>
    <w:rsid w:val="004722CC"/>
    <w:rsid w:val="00480AC7"/>
    <w:rsid w:val="004936E4"/>
    <w:rsid w:val="00494E60"/>
    <w:rsid w:val="00497487"/>
    <w:rsid w:val="004A7E13"/>
    <w:rsid w:val="004B7B76"/>
    <w:rsid w:val="004C2DB9"/>
    <w:rsid w:val="004C2DCA"/>
    <w:rsid w:val="004D4311"/>
    <w:rsid w:val="004F0F38"/>
    <w:rsid w:val="004F248D"/>
    <w:rsid w:val="004F4281"/>
    <w:rsid w:val="004F4AF5"/>
    <w:rsid w:val="00500866"/>
    <w:rsid w:val="00501921"/>
    <w:rsid w:val="00530354"/>
    <w:rsid w:val="0053625B"/>
    <w:rsid w:val="0054329F"/>
    <w:rsid w:val="005434C6"/>
    <w:rsid w:val="00543B39"/>
    <w:rsid w:val="00550096"/>
    <w:rsid w:val="00557FF9"/>
    <w:rsid w:val="00576378"/>
    <w:rsid w:val="00577945"/>
    <w:rsid w:val="00577E38"/>
    <w:rsid w:val="00585322"/>
    <w:rsid w:val="005857C6"/>
    <w:rsid w:val="00586F98"/>
    <w:rsid w:val="00591420"/>
    <w:rsid w:val="00592F6E"/>
    <w:rsid w:val="00593AD1"/>
    <w:rsid w:val="005A68B6"/>
    <w:rsid w:val="005A781A"/>
    <w:rsid w:val="005C5570"/>
    <w:rsid w:val="005C79A4"/>
    <w:rsid w:val="005D5442"/>
    <w:rsid w:val="005D583A"/>
    <w:rsid w:val="005F2D98"/>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6D0"/>
    <w:rsid w:val="006F2796"/>
    <w:rsid w:val="006F572E"/>
    <w:rsid w:val="007046D6"/>
    <w:rsid w:val="00705DB0"/>
    <w:rsid w:val="00707094"/>
    <w:rsid w:val="00722B57"/>
    <w:rsid w:val="007412F6"/>
    <w:rsid w:val="0074253D"/>
    <w:rsid w:val="0074429B"/>
    <w:rsid w:val="007513B4"/>
    <w:rsid w:val="00753FEB"/>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B8D"/>
    <w:rsid w:val="00805D27"/>
    <w:rsid w:val="00821776"/>
    <w:rsid w:val="008321F5"/>
    <w:rsid w:val="00832369"/>
    <w:rsid w:val="00834660"/>
    <w:rsid w:val="00836BC2"/>
    <w:rsid w:val="00837962"/>
    <w:rsid w:val="008414A0"/>
    <w:rsid w:val="0085641B"/>
    <w:rsid w:val="00857136"/>
    <w:rsid w:val="00862DCE"/>
    <w:rsid w:val="00886D15"/>
    <w:rsid w:val="00887DD8"/>
    <w:rsid w:val="00896018"/>
    <w:rsid w:val="008960DD"/>
    <w:rsid w:val="0089635C"/>
    <w:rsid w:val="008A2B9D"/>
    <w:rsid w:val="008A5E0B"/>
    <w:rsid w:val="008A6D59"/>
    <w:rsid w:val="008B3958"/>
    <w:rsid w:val="008B4B03"/>
    <w:rsid w:val="008B596F"/>
    <w:rsid w:val="008B5A3E"/>
    <w:rsid w:val="008C159F"/>
    <w:rsid w:val="008C1623"/>
    <w:rsid w:val="008C1850"/>
    <w:rsid w:val="008C51A9"/>
    <w:rsid w:val="008D770F"/>
    <w:rsid w:val="008E7846"/>
    <w:rsid w:val="008F1CCC"/>
    <w:rsid w:val="008F2967"/>
    <w:rsid w:val="008F6943"/>
    <w:rsid w:val="00902A21"/>
    <w:rsid w:val="00904B8C"/>
    <w:rsid w:val="00910A29"/>
    <w:rsid w:val="00920330"/>
    <w:rsid w:val="009219D7"/>
    <w:rsid w:val="00922D53"/>
    <w:rsid w:val="00923B70"/>
    <w:rsid w:val="00924482"/>
    <w:rsid w:val="00930237"/>
    <w:rsid w:val="009438E8"/>
    <w:rsid w:val="00945D3B"/>
    <w:rsid w:val="00946EA5"/>
    <w:rsid w:val="0095160F"/>
    <w:rsid w:val="00951EF6"/>
    <w:rsid w:val="00963C08"/>
    <w:rsid w:val="00963F9C"/>
    <w:rsid w:val="00981D66"/>
    <w:rsid w:val="0098585A"/>
    <w:rsid w:val="0098669D"/>
    <w:rsid w:val="00994C95"/>
    <w:rsid w:val="009A440F"/>
    <w:rsid w:val="009A4CED"/>
    <w:rsid w:val="009A690D"/>
    <w:rsid w:val="009B1D12"/>
    <w:rsid w:val="009B416B"/>
    <w:rsid w:val="009C4BD5"/>
    <w:rsid w:val="009D7B77"/>
    <w:rsid w:val="009E0BB0"/>
    <w:rsid w:val="009E3FBB"/>
    <w:rsid w:val="009F6F23"/>
    <w:rsid w:val="00A102E4"/>
    <w:rsid w:val="00A12C42"/>
    <w:rsid w:val="00A14DF7"/>
    <w:rsid w:val="00A1714D"/>
    <w:rsid w:val="00A235D9"/>
    <w:rsid w:val="00A3246D"/>
    <w:rsid w:val="00A33667"/>
    <w:rsid w:val="00A36FA7"/>
    <w:rsid w:val="00A417EF"/>
    <w:rsid w:val="00A475B7"/>
    <w:rsid w:val="00A47AF7"/>
    <w:rsid w:val="00A47C3E"/>
    <w:rsid w:val="00A50226"/>
    <w:rsid w:val="00A60BAD"/>
    <w:rsid w:val="00A809B2"/>
    <w:rsid w:val="00A862DE"/>
    <w:rsid w:val="00A964D1"/>
    <w:rsid w:val="00AA0ED0"/>
    <w:rsid w:val="00AA3499"/>
    <w:rsid w:val="00AA7F84"/>
    <w:rsid w:val="00AB694E"/>
    <w:rsid w:val="00AC2B40"/>
    <w:rsid w:val="00AC2BB2"/>
    <w:rsid w:val="00AC2C3C"/>
    <w:rsid w:val="00AC512D"/>
    <w:rsid w:val="00AE01C2"/>
    <w:rsid w:val="00AE65EB"/>
    <w:rsid w:val="00AE67A7"/>
    <w:rsid w:val="00AF1D94"/>
    <w:rsid w:val="00AF60C5"/>
    <w:rsid w:val="00B0003D"/>
    <w:rsid w:val="00B009C6"/>
    <w:rsid w:val="00B01548"/>
    <w:rsid w:val="00B02208"/>
    <w:rsid w:val="00B1425E"/>
    <w:rsid w:val="00B21D29"/>
    <w:rsid w:val="00B22FC2"/>
    <w:rsid w:val="00B25034"/>
    <w:rsid w:val="00B33588"/>
    <w:rsid w:val="00B33863"/>
    <w:rsid w:val="00B3567E"/>
    <w:rsid w:val="00B37D17"/>
    <w:rsid w:val="00B4175E"/>
    <w:rsid w:val="00B452CE"/>
    <w:rsid w:val="00B54C25"/>
    <w:rsid w:val="00B56B91"/>
    <w:rsid w:val="00B650FD"/>
    <w:rsid w:val="00B65DA3"/>
    <w:rsid w:val="00B76B91"/>
    <w:rsid w:val="00B77EB1"/>
    <w:rsid w:val="00B807B5"/>
    <w:rsid w:val="00B811C6"/>
    <w:rsid w:val="00B85A87"/>
    <w:rsid w:val="00B92E08"/>
    <w:rsid w:val="00B96EBE"/>
    <w:rsid w:val="00BA643D"/>
    <w:rsid w:val="00BC622A"/>
    <w:rsid w:val="00BD45E3"/>
    <w:rsid w:val="00BE0A78"/>
    <w:rsid w:val="00BE32A6"/>
    <w:rsid w:val="00BE6252"/>
    <w:rsid w:val="00BE79F0"/>
    <w:rsid w:val="00BF046D"/>
    <w:rsid w:val="00BF1190"/>
    <w:rsid w:val="00BF336F"/>
    <w:rsid w:val="00BF5D04"/>
    <w:rsid w:val="00C1164D"/>
    <w:rsid w:val="00C16861"/>
    <w:rsid w:val="00C22678"/>
    <w:rsid w:val="00C404A6"/>
    <w:rsid w:val="00C40A36"/>
    <w:rsid w:val="00C44419"/>
    <w:rsid w:val="00C4444C"/>
    <w:rsid w:val="00C45E7B"/>
    <w:rsid w:val="00C4625F"/>
    <w:rsid w:val="00C471B1"/>
    <w:rsid w:val="00C56FF0"/>
    <w:rsid w:val="00C618F7"/>
    <w:rsid w:val="00C6316B"/>
    <w:rsid w:val="00C634A9"/>
    <w:rsid w:val="00C64586"/>
    <w:rsid w:val="00C70D53"/>
    <w:rsid w:val="00C73D0B"/>
    <w:rsid w:val="00C772FF"/>
    <w:rsid w:val="00C801AF"/>
    <w:rsid w:val="00C80256"/>
    <w:rsid w:val="00C811C0"/>
    <w:rsid w:val="00CB282E"/>
    <w:rsid w:val="00CB6BC0"/>
    <w:rsid w:val="00CC1B7C"/>
    <w:rsid w:val="00CC324A"/>
    <w:rsid w:val="00CC727F"/>
    <w:rsid w:val="00CF15C3"/>
    <w:rsid w:val="00CF2B6F"/>
    <w:rsid w:val="00CF58B6"/>
    <w:rsid w:val="00D017ED"/>
    <w:rsid w:val="00D040D3"/>
    <w:rsid w:val="00D04C65"/>
    <w:rsid w:val="00D200CC"/>
    <w:rsid w:val="00D224FE"/>
    <w:rsid w:val="00D26998"/>
    <w:rsid w:val="00D35FA9"/>
    <w:rsid w:val="00D4637F"/>
    <w:rsid w:val="00D53A31"/>
    <w:rsid w:val="00D6493E"/>
    <w:rsid w:val="00D7301E"/>
    <w:rsid w:val="00D83AE1"/>
    <w:rsid w:val="00D855D4"/>
    <w:rsid w:val="00D87961"/>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4E25"/>
    <w:rsid w:val="00E624A5"/>
    <w:rsid w:val="00E7344E"/>
    <w:rsid w:val="00E936E3"/>
    <w:rsid w:val="00E979F4"/>
    <w:rsid w:val="00E97EAC"/>
    <w:rsid w:val="00EB0798"/>
    <w:rsid w:val="00EB40AD"/>
    <w:rsid w:val="00EB586E"/>
    <w:rsid w:val="00EB5FC8"/>
    <w:rsid w:val="00EB721A"/>
    <w:rsid w:val="00ED3CAD"/>
    <w:rsid w:val="00ED5A41"/>
    <w:rsid w:val="00EE1DE8"/>
    <w:rsid w:val="00EE531F"/>
    <w:rsid w:val="00EE6313"/>
    <w:rsid w:val="00EF5357"/>
    <w:rsid w:val="00F033EC"/>
    <w:rsid w:val="00F04F68"/>
    <w:rsid w:val="00F12670"/>
    <w:rsid w:val="00F14B27"/>
    <w:rsid w:val="00F153E0"/>
    <w:rsid w:val="00F27A19"/>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C5D6A"/>
    <w:rsid w:val="00FC745B"/>
    <w:rsid w:val="00FD00C0"/>
    <w:rsid w:val="00FD3D73"/>
    <w:rsid w:val="00FD7162"/>
    <w:rsid w:val="00FE1DEE"/>
    <w:rsid w:val="00FE27B1"/>
    <w:rsid w:val="00FF00BC"/>
    <w:rsid w:val="00FF2126"/>
    <w:rsid w:val="00FF5755"/>
    <w:rsid w:val="00FF69BE"/>
    <w:rsid w:val="00FF7107"/>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5D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21B8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21B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22FC2"/>
    <w:pPr>
      <w:ind w:left="1134" w:hanging="1134"/>
    </w:pPr>
  </w:style>
  <w:style w:type="paragraph" w:customStyle="1" w:styleId="Comment1">
    <w:name w:val="Comment 1"/>
    <w:basedOn w:val="Normal"/>
    <w:next w:val="Normal"/>
    <w:qFormat/>
    <w:rsid w:val="00221B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221B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Bullet1Char">
    <w:name w:val="Bullet 1 Char"/>
    <w:basedOn w:val="DefaultParagraphFont"/>
    <w:link w:val="Bullet1"/>
    <w:locked/>
    <w:rsid w:val="00221B8B"/>
    <w:rPr>
      <w:rFonts w:ascii="Cambria" w:hAnsi="Cambria"/>
      <w:kern w:val="24"/>
      <w:szCs w:val="24"/>
    </w:rPr>
  </w:style>
  <w:style w:type="paragraph" w:customStyle="1" w:styleId="Bullet1">
    <w:name w:val="Bullet 1"/>
    <w:basedOn w:val="Normal"/>
    <w:link w:val="Bullet1Char"/>
    <w:rsid w:val="00221B8B"/>
    <w:pPr>
      <w:numPr>
        <w:numId w:val="33"/>
      </w:numPr>
      <w:spacing w:after="0" w:line="240" w:lineRule="auto"/>
    </w:pPr>
    <w:rPr>
      <w:rFonts w:eastAsiaTheme="minorHAnsi" w:cstheme="minorBidi"/>
      <w:kern w:val="24"/>
      <w:szCs w:val="24"/>
    </w:rPr>
  </w:style>
  <w:style w:type="paragraph" w:customStyle="1" w:styleId="Bullet2">
    <w:name w:val="Bullet 2"/>
    <w:basedOn w:val="Bullet1"/>
    <w:rsid w:val="00221B8B"/>
    <w:pPr>
      <w:numPr>
        <w:numId w:val="34"/>
      </w:numPr>
      <w:tabs>
        <w:tab w:val="clear" w:pos="567"/>
        <w:tab w:val="num" w:pos="360"/>
      </w:tabs>
      <w:ind w:left="284" w:hanging="284"/>
    </w:pPr>
  </w:style>
  <w:style w:type="paragraph" w:customStyle="1" w:styleId="Comment2">
    <w:name w:val="Comment 2"/>
    <w:basedOn w:val="Normal"/>
    <w:qFormat/>
    <w:rsid w:val="00221B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Style2Char">
    <w:name w:val="Style2 Char"/>
    <w:basedOn w:val="DefaultParagraphFont"/>
    <w:link w:val="Style2"/>
    <w:locked/>
    <w:rsid w:val="00221B8B"/>
    <w:rPr>
      <w:rFonts w:ascii="Cambria" w:eastAsia="TimesNewRoman" w:hAnsi="Cambria"/>
      <w:kern w:val="16"/>
      <w:szCs w:val="24"/>
    </w:rPr>
  </w:style>
  <w:style w:type="paragraph" w:customStyle="1" w:styleId="Style2">
    <w:name w:val="Style2"/>
    <w:basedOn w:val="Normal"/>
    <w:link w:val="Style2Char"/>
    <w:qFormat/>
    <w:rsid w:val="00221B8B"/>
    <w:pPr>
      <w:tabs>
        <w:tab w:val="right" w:leader="dot" w:pos="9356"/>
      </w:tabs>
      <w:spacing w:before="0" w:line="240" w:lineRule="auto"/>
    </w:pPr>
    <w:rPr>
      <w:rFonts w:eastAsia="TimesNewRoman" w:cstheme="minorBidi"/>
      <w:kern w:val="16"/>
      <w:szCs w:val="24"/>
    </w:rPr>
  </w:style>
  <w:style w:type="character" w:customStyle="1" w:styleId="Style1Char">
    <w:name w:val="Style1 Char"/>
    <w:basedOn w:val="DefaultParagraphFont"/>
    <w:link w:val="Style1"/>
    <w:locked/>
    <w:rsid w:val="00221B8B"/>
    <w:rPr>
      <w:rFonts w:ascii="Cambria" w:hAnsi="Cambria"/>
      <w:kern w:val="24"/>
      <w:szCs w:val="24"/>
    </w:rPr>
  </w:style>
  <w:style w:type="paragraph" w:customStyle="1" w:styleId="Style1">
    <w:name w:val="Style1"/>
    <w:basedOn w:val="Bullet1"/>
    <w:link w:val="Style1Char"/>
    <w:rsid w:val="00221B8B"/>
    <w:pPr>
      <w:numPr>
        <w:numId w:val="2"/>
      </w:numPr>
      <w:spacing w:after="120"/>
    </w:pPr>
  </w:style>
  <w:style w:type="paragraph" w:styleId="EndnoteText">
    <w:name w:val="endnote text"/>
    <w:basedOn w:val="Normal"/>
    <w:link w:val="EndnoteTextChar"/>
    <w:semiHidden/>
    <w:unhideWhenUsed/>
    <w:rsid w:val="00221B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21B8B"/>
    <w:rPr>
      <w:rFonts w:ascii="Cambria" w:eastAsia="Times New Roman" w:hAnsi="Cambria" w:cs="Times New Roman"/>
      <w:kern w:val="16"/>
      <w:sz w:val="20"/>
      <w:szCs w:val="20"/>
      <w:lang w:eastAsia="en-AU"/>
    </w:rPr>
  </w:style>
  <w:style w:type="character" w:styleId="EndnoteReference">
    <w:name w:val="endnote reference"/>
    <w:semiHidden/>
    <w:unhideWhenUsed/>
    <w:rsid w:val="00221B8B"/>
    <w:rPr>
      <w:strike w:val="0"/>
      <w:dstrike w:val="0"/>
      <w:u w:val="none"/>
      <w:effect w:val="none"/>
      <w:vertAlign w:val="baseline"/>
    </w:rPr>
  </w:style>
  <w:style w:type="character" w:customStyle="1" w:styleId="Heading8Char">
    <w:name w:val="Heading 8 Char"/>
    <w:basedOn w:val="DefaultParagraphFont"/>
    <w:link w:val="Heading8"/>
    <w:uiPriority w:val="9"/>
    <w:semiHidden/>
    <w:rsid w:val="00221B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21B8B"/>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nhideWhenUsed/>
    <w:rsid w:val="00B807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rsid w:val="00B807B5"/>
    <w:rPr>
      <w:rFonts w:ascii="Cambria" w:eastAsia="Times New Roman" w:hAnsi="Cambria" w:cs="Times New Roman"/>
      <w:kern w:val="16"/>
      <w:sz w:val="18"/>
      <w:szCs w:val="20"/>
      <w:lang w:eastAsia="en-AU"/>
    </w:rPr>
  </w:style>
  <w:style w:type="paragraph" w:customStyle="1" w:styleId="TableBullet">
    <w:name w:val="Table Bullet"/>
    <w:basedOn w:val="Normal"/>
    <w:rsid w:val="00221B8B"/>
    <w:pPr>
      <w:numPr>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styleId="FootnoteReference">
    <w:name w:val="footnote reference"/>
    <w:semiHidden/>
    <w:unhideWhenUsed/>
    <w:rsid w:val="00221B8B"/>
    <w:rPr>
      <w:vertAlign w:val="superscript"/>
    </w:rPr>
  </w:style>
  <w:style w:type="paragraph" w:customStyle="1" w:styleId="Abbreviations">
    <w:name w:val="Abbreviations"/>
    <w:basedOn w:val="Normal"/>
    <w:rsid w:val="00221B8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CommentReference">
    <w:name w:val="annotation reference"/>
    <w:basedOn w:val="DefaultParagraphFont"/>
    <w:uiPriority w:val="99"/>
    <w:semiHidden/>
    <w:unhideWhenUsed/>
    <w:rsid w:val="00445305"/>
    <w:rPr>
      <w:sz w:val="16"/>
      <w:szCs w:val="16"/>
    </w:rPr>
  </w:style>
  <w:style w:type="paragraph" w:styleId="CommentText">
    <w:name w:val="annotation text"/>
    <w:basedOn w:val="Normal"/>
    <w:link w:val="CommentTextChar"/>
    <w:uiPriority w:val="99"/>
    <w:semiHidden/>
    <w:unhideWhenUsed/>
    <w:rsid w:val="00445305"/>
    <w:pPr>
      <w:spacing w:line="240" w:lineRule="auto"/>
    </w:pPr>
    <w:rPr>
      <w:sz w:val="20"/>
      <w:szCs w:val="20"/>
    </w:rPr>
  </w:style>
  <w:style w:type="character" w:customStyle="1" w:styleId="CommentTextChar">
    <w:name w:val="Comment Text Char"/>
    <w:basedOn w:val="DefaultParagraphFont"/>
    <w:link w:val="CommentText"/>
    <w:uiPriority w:val="99"/>
    <w:semiHidden/>
    <w:rsid w:val="0044530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45305"/>
    <w:rPr>
      <w:b/>
      <w:bCs/>
    </w:rPr>
  </w:style>
  <w:style w:type="character" w:customStyle="1" w:styleId="CommentSubjectChar">
    <w:name w:val="Comment Subject Char"/>
    <w:basedOn w:val="CommentTextChar"/>
    <w:link w:val="CommentSubject"/>
    <w:uiPriority w:val="99"/>
    <w:semiHidden/>
    <w:rsid w:val="00445305"/>
    <w:rPr>
      <w:rFonts w:ascii="Cambria" w:eastAsia="Cambria" w:hAnsi="Cambria" w:cs="Times New Roman"/>
      <w:b/>
      <w:bCs/>
      <w:sz w:val="20"/>
      <w:szCs w:val="20"/>
    </w:rPr>
  </w:style>
  <w:style w:type="paragraph" w:styleId="Revision">
    <w:name w:val="Revision"/>
    <w:hidden/>
    <w:uiPriority w:val="99"/>
    <w:semiHidden/>
    <w:rsid w:val="00FD716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5D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21B8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21B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22FC2"/>
    <w:pPr>
      <w:ind w:left="1134" w:hanging="1134"/>
    </w:pPr>
  </w:style>
  <w:style w:type="paragraph" w:customStyle="1" w:styleId="Comment1">
    <w:name w:val="Comment 1"/>
    <w:basedOn w:val="Normal"/>
    <w:next w:val="Normal"/>
    <w:qFormat/>
    <w:rsid w:val="00221B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221B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Bullet1Char">
    <w:name w:val="Bullet 1 Char"/>
    <w:basedOn w:val="DefaultParagraphFont"/>
    <w:link w:val="Bullet1"/>
    <w:locked/>
    <w:rsid w:val="00221B8B"/>
    <w:rPr>
      <w:rFonts w:ascii="Cambria" w:hAnsi="Cambria"/>
      <w:kern w:val="24"/>
      <w:szCs w:val="24"/>
    </w:rPr>
  </w:style>
  <w:style w:type="paragraph" w:customStyle="1" w:styleId="Bullet1">
    <w:name w:val="Bullet 1"/>
    <w:basedOn w:val="Normal"/>
    <w:link w:val="Bullet1Char"/>
    <w:rsid w:val="00221B8B"/>
    <w:pPr>
      <w:numPr>
        <w:numId w:val="33"/>
      </w:numPr>
      <w:spacing w:after="0" w:line="240" w:lineRule="auto"/>
    </w:pPr>
    <w:rPr>
      <w:rFonts w:eastAsiaTheme="minorHAnsi" w:cstheme="minorBidi"/>
      <w:kern w:val="24"/>
      <w:szCs w:val="24"/>
    </w:rPr>
  </w:style>
  <w:style w:type="paragraph" w:customStyle="1" w:styleId="Bullet2">
    <w:name w:val="Bullet 2"/>
    <w:basedOn w:val="Bullet1"/>
    <w:rsid w:val="00221B8B"/>
    <w:pPr>
      <w:numPr>
        <w:numId w:val="34"/>
      </w:numPr>
      <w:tabs>
        <w:tab w:val="clear" w:pos="567"/>
        <w:tab w:val="num" w:pos="360"/>
      </w:tabs>
      <w:ind w:left="284" w:hanging="284"/>
    </w:pPr>
  </w:style>
  <w:style w:type="paragraph" w:customStyle="1" w:styleId="Comment2">
    <w:name w:val="Comment 2"/>
    <w:basedOn w:val="Normal"/>
    <w:qFormat/>
    <w:rsid w:val="00221B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Style2Char">
    <w:name w:val="Style2 Char"/>
    <w:basedOn w:val="DefaultParagraphFont"/>
    <w:link w:val="Style2"/>
    <w:locked/>
    <w:rsid w:val="00221B8B"/>
    <w:rPr>
      <w:rFonts w:ascii="Cambria" w:eastAsia="TimesNewRoman" w:hAnsi="Cambria"/>
      <w:kern w:val="16"/>
      <w:szCs w:val="24"/>
    </w:rPr>
  </w:style>
  <w:style w:type="paragraph" w:customStyle="1" w:styleId="Style2">
    <w:name w:val="Style2"/>
    <w:basedOn w:val="Normal"/>
    <w:link w:val="Style2Char"/>
    <w:qFormat/>
    <w:rsid w:val="00221B8B"/>
    <w:pPr>
      <w:tabs>
        <w:tab w:val="right" w:leader="dot" w:pos="9356"/>
      </w:tabs>
      <w:spacing w:before="0" w:line="240" w:lineRule="auto"/>
    </w:pPr>
    <w:rPr>
      <w:rFonts w:eastAsia="TimesNewRoman" w:cstheme="minorBidi"/>
      <w:kern w:val="16"/>
      <w:szCs w:val="24"/>
    </w:rPr>
  </w:style>
  <w:style w:type="character" w:customStyle="1" w:styleId="Style1Char">
    <w:name w:val="Style1 Char"/>
    <w:basedOn w:val="DefaultParagraphFont"/>
    <w:link w:val="Style1"/>
    <w:locked/>
    <w:rsid w:val="00221B8B"/>
    <w:rPr>
      <w:rFonts w:ascii="Cambria" w:hAnsi="Cambria"/>
      <w:kern w:val="24"/>
      <w:szCs w:val="24"/>
    </w:rPr>
  </w:style>
  <w:style w:type="paragraph" w:customStyle="1" w:styleId="Style1">
    <w:name w:val="Style1"/>
    <w:basedOn w:val="Bullet1"/>
    <w:link w:val="Style1Char"/>
    <w:rsid w:val="00221B8B"/>
    <w:pPr>
      <w:numPr>
        <w:numId w:val="2"/>
      </w:numPr>
      <w:spacing w:after="120"/>
    </w:pPr>
  </w:style>
  <w:style w:type="paragraph" w:styleId="EndnoteText">
    <w:name w:val="endnote text"/>
    <w:basedOn w:val="Normal"/>
    <w:link w:val="EndnoteTextChar"/>
    <w:semiHidden/>
    <w:unhideWhenUsed/>
    <w:rsid w:val="00221B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21B8B"/>
    <w:rPr>
      <w:rFonts w:ascii="Cambria" w:eastAsia="Times New Roman" w:hAnsi="Cambria" w:cs="Times New Roman"/>
      <w:kern w:val="16"/>
      <w:sz w:val="20"/>
      <w:szCs w:val="20"/>
      <w:lang w:eastAsia="en-AU"/>
    </w:rPr>
  </w:style>
  <w:style w:type="character" w:styleId="EndnoteReference">
    <w:name w:val="endnote reference"/>
    <w:semiHidden/>
    <w:unhideWhenUsed/>
    <w:rsid w:val="00221B8B"/>
    <w:rPr>
      <w:strike w:val="0"/>
      <w:dstrike w:val="0"/>
      <w:u w:val="none"/>
      <w:effect w:val="none"/>
      <w:vertAlign w:val="baseline"/>
    </w:rPr>
  </w:style>
  <w:style w:type="character" w:customStyle="1" w:styleId="Heading8Char">
    <w:name w:val="Heading 8 Char"/>
    <w:basedOn w:val="DefaultParagraphFont"/>
    <w:link w:val="Heading8"/>
    <w:uiPriority w:val="9"/>
    <w:semiHidden/>
    <w:rsid w:val="00221B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21B8B"/>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nhideWhenUsed/>
    <w:rsid w:val="00B807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rsid w:val="00B807B5"/>
    <w:rPr>
      <w:rFonts w:ascii="Cambria" w:eastAsia="Times New Roman" w:hAnsi="Cambria" w:cs="Times New Roman"/>
      <w:kern w:val="16"/>
      <w:sz w:val="18"/>
      <w:szCs w:val="20"/>
      <w:lang w:eastAsia="en-AU"/>
    </w:rPr>
  </w:style>
  <w:style w:type="paragraph" w:customStyle="1" w:styleId="TableBullet">
    <w:name w:val="Table Bullet"/>
    <w:basedOn w:val="Normal"/>
    <w:rsid w:val="00221B8B"/>
    <w:pPr>
      <w:numPr>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styleId="FootnoteReference">
    <w:name w:val="footnote reference"/>
    <w:semiHidden/>
    <w:unhideWhenUsed/>
    <w:rsid w:val="00221B8B"/>
    <w:rPr>
      <w:vertAlign w:val="superscript"/>
    </w:rPr>
  </w:style>
  <w:style w:type="paragraph" w:customStyle="1" w:styleId="Abbreviations">
    <w:name w:val="Abbreviations"/>
    <w:basedOn w:val="Normal"/>
    <w:rsid w:val="00221B8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CommentReference">
    <w:name w:val="annotation reference"/>
    <w:basedOn w:val="DefaultParagraphFont"/>
    <w:uiPriority w:val="99"/>
    <w:semiHidden/>
    <w:unhideWhenUsed/>
    <w:rsid w:val="00445305"/>
    <w:rPr>
      <w:sz w:val="16"/>
      <w:szCs w:val="16"/>
    </w:rPr>
  </w:style>
  <w:style w:type="paragraph" w:styleId="CommentText">
    <w:name w:val="annotation text"/>
    <w:basedOn w:val="Normal"/>
    <w:link w:val="CommentTextChar"/>
    <w:uiPriority w:val="99"/>
    <w:semiHidden/>
    <w:unhideWhenUsed/>
    <w:rsid w:val="00445305"/>
    <w:pPr>
      <w:spacing w:line="240" w:lineRule="auto"/>
    </w:pPr>
    <w:rPr>
      <w:sz w:val="20"/>
      <w:szCs w:val="20"/>
    </w:rPr>
  </w:style>
  <w:style w:type="character" w:customStyle="1" w:styleId="CommentTextChar">
    <w:name w:val="Comment Text Char"/>
    <w:basedOn w:val="DefaultParagraphFont"/>
    <w:link w:val="CommentText"/>
    <w:uiPriority w:val="99"/>
    <w:semiHidden/>
    <w:rsid w:val="0044530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45305"/>
    <w:rPr>
      <w:b/>
      <w:bCs/>
    </w:rPr>
  </w:style>
  <w:style w:type="character" w:customStyle="1" w:styleId="CommentSubjectChar">
    <w:name w:val="Comment Subject Char"/>
    <w:basedOn w:val="CommentTextChar"/>
    <w:link w:val="CommentSubject"/>
    <w:uiPriority w:val="99"/>
    <w:semiHidden/>
    <w:rsid w:val="00445305"/>
    <w:rPr>
      <w:rFonts w:ascii="Cambria" w:eastAsia="Cambria" w:hAnsi="Cambria" w:cs="Times New Roman"/>
      <w:b/>
      <w:bCs/>
      <w:sz w:val="20"/>
      <w:szCs w:val="20"/>
    </w:rPr>
  </w:style>
  <w:style w:type="paragraph" w:styleId="Revision">
    <w:name w:val="Revision"/>
    <w:hidden/>
    <w:uiPriority w:val="99"/>
    <w:semiHidden/>
    <w:rsid w:val="00FD7162"/>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6321">
      <w:bodyDiv w:val="1"/>
      <w:marLeft w:val="0"/>
      <w:marRight w:val="0"/>
      <w:marTop w:val="0"/>
      <w:marBottom w:val="0"/>
      <w:divBdr>
        <w:top w:val="none" w:sz="0" w:space="0" w:color="auto"/>
        <w:left w:val="none" w:sz="0" w:space="0" w:color="auto"/>
        <w:bottom w:val="none" w:sz="0" w:space="0" w:color="auto"/>
        <w:right w:val="none" w:sz="0" w:space="0" w:color="auto"/>
      </w:divBdr>
    </w:div>
    <w:div w:id="168719176">
      <w:bodyDiv w:val="1"/>
      <w:marLeft w:val="0"/>
      <w:marRight w:val="0"/>
      <w:marTop w:val="0"/>
      <w:marBottom w:val="0"/>
      <w:divBdr>
        <w:top w:val="none" w:sz="0" w:space="0" w:color="auto"/>
        <w:left w:val="none" w:sz="0" w:space="0" w:color="auto"/>
        <w:bottom w:val="none" w:sz="0" w:space="0" w:color="auto"/>
        <w:right w:val="none" w:sz="0" w:space="0" w:color="auto"/>
      </w:divBdr>
    </w:div>
    <w:div w:id="173035608">
      <w:bodyDiv w:val="1"/>
      <w:marLeft w:val="0"/>
      <w:marRight w:val="0"/>
      <w:marTop w:val="0"/>
      <w:marBottom w:val="0"/>
      <w:divBdr>
        <w:top w:val="none" w:sz="0" w:space="0" w:color="auto"/>
        <w:left w:val="none" w:sz="0" w:space="0" w:color="auto"/>
        <w:bottom w:val="none" w:sz="0" w:space="0" w:color="auto"/>
        <w:right w:val="none" w:sz="0" w:space="0" w:color="auto"/>
      </w:divBdr>
    </w:div>
    <w:div w:id="251209143">
      <w:bodyDiv w:val="1"/>
      <w:marLeft w:val="0"/>
      <w:marRight w:val="0"/>
      <w:marTop w:val="0"/>
      <w:marBottom w:val="0"/>
      <w:divBdr>
        <w:top w:val="none" w:sz="0" w:space="0" w:color="auto"/>
        <w:left w:val="none" w:sz="0" w:space="0" w:color="auto"/>
        <w:bottom w:val="none" w:sz="0" w:space="0" w:color="auto"/>
        <w:right w:val="none" w:sz="0" w:space="0" w:color="auto"/>
      </w:divBdr>
    </w:div>
    <w:div w:id="266423221">
      <w:bodyDiv w:val="1"/>
      <w:marLeft w:val="0"/>
      <w:marRight w:val="0"/>
      <w:marTop w:val="0"/>
      <w:marBottom w:val="0"/>
      <w:divBdr>
        <w:top w:val="none" w:sz="0" w:space="0" w:color="auto"/>
        <w:left w:val="none" w:sz="0" w:space="0" w:color="auto"/>
        <w:bottom w:val="none" w:sz="0" w:space="0" w:color="auto"/>
        <w:right w:val="none" w:sz="0" w:space="0" w:color="auto"/>
      </w:divBdr>
    </w:div>
    <w:div w:id="317618330">
      <w:bodyDiv w:val="1"/>
      <w:marLeft w:val="0"/>
      <w:marRight w:val="0"/>
      <w:marTop w:val="0"/>
      <w:marBottom w:val="0"/>
      <w:divBdr>
        <w:top w:val="none" w:sz="0" w:space="0" w:color="auto"/>
        <w:left w:val="none" w:sz="0" w:space="0" w:color="auto"/>
        <w:bottom w:val="none" w:sz="0" w:space="0" w:color="auto"/>
        <w:right w:val="none" w:sz="0" w:space="0" w:color="auto"/>
      </w:divBdr>
    </w:div>
    <w:div w:id="327292494">
      <w:bodyDiv w:val="1"/>
      <w:marLeft w:val="0"/>
      <w:marRight w:val="0"/>
      <w:marTop w:val="0"/>
      <w:marBottom w:val="0"/>
      <w:divBdr>
        <w:top w:val="none" w:sz="0" w:space="0" w:color="auto"/>
        <w:left w:val="none" w:sz="0" w:space="0" w:color="auto"/>
        <w:bottom w:val="none" w:sz="0" w:space="0" w:color="auto"/>
        <w:right w:val="none" w:sz="0" w:space="0" w:color="auto"/>
      </w:divBdr>
    </w:div>
    <w:div w:id="443890255">
      <w:bodyDiv w:val="1"/>
      <w:marLeft w:val="0"/>
      <w:marRight w:val="0"/>
      <w:marTop w:val="0"/>
      <w:marBottom w:val="0"/>
      <w:divBdr>
        <w:top w:val="none" w:sz="0" w:space="0" w:color="auto"/>
        <w:left w:val="none" w:sz="0" w:space="0" w:color="auto"/>
        <w:bottom w:val="none" w:sz="0" w:space="0" w:color="auto"/>
        <w:right w:val="none" w:sz="0" w:space="0" w:color="auto"/>
      </w:divBdr>
    </w:div>
    <w:div w:id="449781225">
      <w:bodyDiv w:val="1"/>
      <w:marLeft w:val="0"/>
      <w:marRight w:val="0"/>
      <w:marTop w:val="0"/>
      <w:marBottom w:val="0"/>
      <w:divBdr>
        <w:top w:val="none" w:sz="0" w:space="0" w:color="auto"/>
        <w:left w:val="none" w:sz="0" w:space="0" w:color="auto"/>
        <w:bottom w:val="none" w:sz="0" w:space="0" w:color="auto"/>
        <w:right w:val="none" w:sz="0" w:space="0" w:color="auto"/>
      </w:divBdr>
    </w:div>
    <w:div w:id="479083431">
      <w:bodyDiv w:val="1"/>
      <w:marLeft w:val="0"/>
      <w:marRight w:val="0"/>
      <w:marTop w:val="0"/>
      <w:marBottom w:val="0"/>
      <w:divBdr>
        <w:top w:val="none" w:sz="0" w:space="0" w:color="auto"/>
        <w:left w:val="none" w:sz="0" w:space="0" w:color="auto"/>
        <w:bottom w:val="none" w:sz="0" w:space="0" w:color="auto"/>
        <w:right w:val="none" w:sz="0" w:space="0" w:color="auto"/>
      </w:divBdr>
    </w:div>
    <w:div w:id="567110639">
      <w:bodyDiv w:val="1"/>
      <w:marLeft w:val="0"/>
      <w:marRight w:val="0"/>
      <w:marTop w:val="0"/>
      <w:marBottom w:val="0"/>
      <w:divBdr>
        <w:top w:val="none" w:sz="0" w:space="0" w:color="auto"/>
        <w:left w:val="none" w:sz="0" w:space="0" w:color="auto"/>
        <w:bottom w:val="none" w:sz="0" w:space="0" w:color="auto"/>
        <w:right w:val="none" w:sz="0" w:space="0" w:color="auto"/>
      </w:divBdr>
    </w:div>
    <w:div w:id="825706083">
      <w:bodyDiv w:val="1"/>
      <w:marLeft w:val="0"/>
      <w:marRight w:val="0"/>
      <w:marTop w:val="0"/>
      <w:marBottom w:val="0"/>
      <w:divBdr>
        <w:top w:val="none" w:sz="0" w:space="0" w:color="auto"/>
        <w:left w:val="none" w:sz="0" w:space="0" w:color="auto"/>
        <w:bottom w:val="none" w:sz="0" w:space="0" w:color="auto"/>
        <w:right w:val="none" w:sz="0" w:space="0" w:color="auto"/>
      </w:divBdr>
    </w:div>
    <w:div w:id="1022826654">
      <w:bodyDiv w:val="1"/>
      <w:marLeft w:val="0"/>
      <w:marRight w:val="0"/>
      <w:marTop w:val="0"/>
      <w:marBottom w:val="0"/>
      <w:divBdr>
        <w:top w:val="none" w:sz="0" w:space="0" w:color="auto"/>
        <w:left w:val="none" w:sz="0" w:space="0" w:color="auto"/>
        <w:bottom w:val="none" w:sz="0" w:space="0" w:color="auto"/>
        <w:right w:val="none" w:sz="0" w:space="0" w:color="auto"/>
      </w:divBdr>
    </w:div>
    <w:div w:id="1093549132">
      <w:bodyDiv w:val="1"/>
      <w:marLeft w:val="0"/>
      <w:marRight w:val="0"/>
      <w:marTop w:val="0"/>
      <w:marBottom w:val="0"/>
      <w:divBdr>
        <w:top w:val="none" w:sz="0" w:space="0" w:color="auto"/>
        <w:left w:val="none" w:sz="0" w:space="0" w:color="auto"/>
        <w:bottom w:val="none" w:sz="0" w:space="0" w:color="auto"/>
        <w:right w:val="none" w:sz="0" w:space="0" w:color="auto"/>
      </w:divBdr>
    </w:div>
    <w:div w:id="1275361644">
      <w:bodyDiv w:val="1"/>
      <w:marLeft w:val="0"/>
      <w:marRight w:val="0"/>
      <w:marTop w:val="0"/>
      <w:marBottom w:val="0"/>
      <w:divBdr>
        <w:top w:val="none" w:sz="0" w:space="0" w:color="auto"/>
        <w:left w:val="none" w:sz="0" w:space="0" w:color="auto"/>
        <w:bottom w:val="none" w:sz="0" w:space="0" w:color="auto"/>
        <w:right w:val="none" w:sz="0" w:space="0" w:color="auto"/>
      </w:divBdr>
    </w:div>
    <w:div w:id="1659386716">
      <w:bodyDiv w:val="1"/>
      <w:marLeft w:val="0"/>
      <w:marRight w:val="0"/>
      <w:marTop w:val="0"/>
      <w:marBottom w:val="0"/>
      <w:divBdr>
        <w:top w:val="none" w:sz="0" w:space="0" w:color="auto"/>
        <w:left w:val="none" w:sz="0" w:space="0" w:color="auto"/>
        <w:bottom w:val="none" w:sz="0" w:space="0" w:color="auto"/>
        <w:right w:val="none" w:sz="0" w:space="0" w:color="auto"/>
      </w:divBdr>
    </w:div>
    <w:div w:id="1765225750">
      <w:bodyDiv w:val="1"/>
      <w:marLeft w:val="0"/>
      <w:marRight w:val="0"/>
      <w:marTop w:val="0"/>
      <w:marBottom w:val="0"/>
      <w:divBdr>
        <w:top w:val="none" w:sz="0" w:space="0" w:color="auto"/>
        <w:left w:val="none" w:sz="0" w:space="0" w:color="auto"/>
        <w:bottom w:val="none" w:sz="0" w:space="0" w:color="auto"/>
        <w:right w:val="none" w:sz="0" w:space="0" w:color="auto"/>
      </w:divBdr>
    </w:div>
    <w:div w:id="1778213699">
      <w:bodyDiv w:val="1"/>
      <w:marLeft w:val="0"/>
      <w:marRight w:val="0"/>
      <w:marTop w:val="0"/>
      <w:marBottom w:val="0"/>
      <w:divBdr>
        <w:top w:val="none" w:sz="0" w:space="0" w:color="auto"/>
        <w:left w:val="none" w:sz="0" w:space="0" w:color="auto"/>
        <w:bottom w:val="none" w:sz="0" w:space="0" w:color="auto"/>
        <w:right w:val="none" w:sz="0" w:space="0" w:color="auto"/>
      </w:divBdr>
    </w:div>
    <w:div w:id="1809663100">
      <w:bodyDiv w:val="1"/>
      <w:marLeft w:val="0"/>
      <w:marRight w:val="0"/>
      <w:marTop w:val="0"/>
      <w:marBottom w:val="0"/>
      <w:divBdr>
        <w:top w:val="none" w:sz="0" w:space="0" w:color="auto"/>
        <w:left w:val="none" w:sz="0" w:space="0" w:color="auto"/>
        <w:bottom w:val="none" w:sz="0" w:space="0" w:color="auto"/>
        <w:right w:val="none" w:sz="0" w:space="0" w:color="auto"/>
      </w:divBdr>
    </w:div>
    <w:div w:id="208020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3.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5.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05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19439-4204-498B-BF8A-EF94657A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145</TotalTime>
  <Pages>74</Pages>
  <Words>30474</Words>
  <Characters>173704</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Regorafenib</vt:lpstr>
    </vt:vector>
  </TitlesOfParts>
  <Company>Department of Health Therapeutic Goods Administration</Company>
  <LinksUpToDate>false</LinksUpToDate>
  <CharactersWithSpaces>203771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Regorafenib</dc:title>
  <dc:subject>Prescription medicines</dc:subject>
  <dc:creator>Therapeutic Goods Administration</dc:creator>
  <cp:keywords>AusPARs</cp:keywords>
  <cp:lastModifiedBy>Searson, Lisa</cp:lastModifiedBy>
  <cp:revision>5</cp:revision>
  <cp:lastPrinted>2010-12-20T22:59:00Z</cp:lastPrinted>
  <dcterms:created xsi:type="dcterms:W3CDTF">2015-11-23T05:45:00Z</dcterms:created>
  <dcterms:modified xsi:type="dcterms:W3CDTF">2015-11-24T00:37:00Z</dcterms:modified>
</cp:coreProperties>
</file>