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266F" w14:textId="2DC91E7F" w:rsidR="009C7011" w:rsidRPr="006C6BFE" w:rsidRDefault="00D2596B" w:rsidP="006C6BFE">
      <w:pPr>
        <w:pStyle w:val="Heading2"/>
        <w:spacing w:before="120" w:after="240" w:line="240" w:lineRule="auto"/>
        <w:ind w:right="46"/>
        <w:jc w:val="center"/>
        <w:rPr>
          <w:rFonts w:ascii="Arial" w:hAnsi="Arial" w:cs="Arial"/>
          <w:sz w:val="28"/>
          <w:szCs w:val="28"/>
        </w:rPr>
      </w:pPr>
      <w:bookmarkStart w:id="0" w:name="_GoBack"/>
      <w:bookmarkEnd w:id="0"/>
      <w:r w:rsidRPr="006C6BFE">
        <w:rPr>
          <w:rFonts w:ascii="Arial" w:hAnsi="Arial" w:cs="Arial"/>
          <w:sz w:val="28"/>
          <w:szCs w:val="28"/>
        </w:rPr>
        <w:t>PRODUCT INFORMATION</w:t>
      </w:r>
    </w:p>
    <w:p w14:paraId="712C2670" w14:textId="71A4A52F" w:rsidR="001D1004" w:rsidRDefault="00417DDC" w:rsidP="00AE474A">
      <w:pPr>
        <w:pStyle w:val="Heading2"/>
        <w:spacing w:before="120" w:after="240" w:line="240" w:lineRule="auto"/>
        <w:ind w:right="46"/>
        <w:jc w:val="center"/>
        <w:rPr>
          <w:rFonts w:ascii="Arial" w:hAnsi="Arial" w:cs="Arial"/>
          <w:sz w:val="28"/>
          <w:szCs w:val="28"/>
        </w:rPr>
      </w:pPr>
      <w:r w:rsidRPr="00417DDC">
        <w:rPr>
          <w:rFonts w:ascii="Arial" w:hAnsi="Arial" w:cs="Arial"/>
          <w:sz w:val="28"/>
          <w:szCs w:val="28"/>
        </w:rPr>
        <w:t>STIVARGA</w:t>
      </w:r>
      <w:r w:rsidR="001D1004" w:rsidRPr="00417DDC">
        <w:rPr>
          <w:rFonts w:ascii="Arial" w:hAnsi="Arial" w:cs="Arial"/>
          <w:sz w:val="28"/>
          <w:szCs w:val="28"/>
          <w:vertAlign w:val="superscript"/>
        </w:rPr>
        <w:t>®</w:t>
      </w:r>
      <w:r w:rsidR="00AE474A">
        <w:rPr>
          <w:rFonts w:ascii="Arial" w:hAnsi="Arial" w:cs="Arial"/>
          <w:sz w:val="28"/>
          <w:szCs w:val="28"/>
        </w:rPr>
        <w:t xml:space="preserve"> (</w:t>
      </w:r>
      <w:r w:rsidRPr="00417DDC">
        <w:rPr>
          <w:rFonts w:ascii="Arial" w:hAnsi="Arial" w:cs="Arial"/>
          <w:sz w:val="28"/>
          <w:szCs w:val="28"/>
        </w:rPr>
        <w:t>regorafenib</w:t>
      </w:r>
      <w:r w:rsidR="00AE474A">
        <w:rPr>
          <w:rFonts w:ascii="Arial" w:hAnsi="Arial" w:cs="Arial"/>
          <w:sz w:val="28"/>
          <w:szCs w:val="28"/>
        </w:rPr>
        <w:t>)</w:t>
      </w:r>
      <w:r w:rsidR="00B53A6A">
        <w:rPr>
          <w:rFonts w:ascii="Arial" w:hAnsi="Arial" w:cs="Arial"/>
          <w:sz w:val="28"/>
          <w:szCs w:val="28"/>
        </w:rPr>
        <w:t xml:space="preserve"> 40 mg tablets</w:t>
      </w:r>
    </w:p>
    <w:p w14:paraId="712C2671" w14:textId="3BAA6BB8" w:rsidR="00AE474A" w:rsidRPr="00AE474A" w:rsidRDefault="00FD1BE6" w:rsidP="00FD1BE6">
      <w:pPr>
        <w:pStyle w:val="Heading2"/>
        <w:spacing w:before="120" w:after="240" w:line="240" w:lineRule="auto"/>
        <w:ind w:right="46"/>
        <w:jc w:val="center"/>
      </w:pPr>
      <w:r w:rsidRPr="00FD1BE6">
        <w:rPr>
          <w:rFonts w:asciiTheme="minorHAnsi" w:eastAsiaTheme="minorEastAsia" w:hAnsiTheme="minorHAnsi" w:cstheme="minorBidi"/>
          <w:noProof/>
          <w:sz w:val="22"/>
          <w:szCs w:val="22"/>
          <w:lang w:eastAsia="en-AU"/>
        </w:rPr>
        <mc:AlternateContent>
          <mc:Choice Requires="wps">
            <w:drawing>
              <wp:anchor distT="0" distB="0" distL="114300" distR="114300" simplePos="0" relativeHeight="251661312" behindDoc="0" locked="0" layoutInCell="1" allowOverlap="1" wp14:anchorId="1EC51B70" wp14:editId="76A2D624">
                <wp:simplePos x="0" y="0"/>
                <wp:positionH relativeFrom="column">
                  <wp:posOffset>-16510</wp:posOffset>
                </wp:positionH>
                <wp:positionV relativeFrom="paragraph">
                  <wp:posOffset>102235</wp:posOffset>
                </wp:positionV>
                <wp:extent cx="5908675" cy="1155700"/>
                <wp:effectExtent l="0" t="0" r="1587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155700"/>
                        </a:xfrm>
                        <a:prstGeom prst="rect">
                          <a:avLst/>
                        </a:prstGeom>
                        <a:solidFill>
                          <a:srgbClr val="FFFFFF"/>
                        </a:solidFill>
                        <a:ln w="9525">
                          <a:solidFill>
                            <a:srgbClr val="000000"/>
                          </a:solidFill>
                          <a:miter lim="800000"/>
                          <a:headEnd/>
                          <a:tailEnd/>
                        </a:ln>
                      </wps:spPr>
                      <wps:txbx>
                        <w:txbxContent>
                          <w:p w14:paraId="41AA5259" w14:textId="77777777" w:rsidR="00F4557E" w:rsidRPr="00BE09A1" w:rsidRDefault="00F4557E" w:rsidP="00FD1BE6">
                            <w:pPr>
                              <w:rPr>
                                <w:rFonts w:ascii="Arial" w:hAnsi="Arial" w:cs="Arial"/>
                                <w:snapToGrid w:val="0"/>
                                <w:sz w:val="22"/>
                                <w:szCs w:val="22"/>
                                <w:lang w:eastAsia="de-DE"/>
                              </w:rPr>
                            </w:pPr>
                            <w:r w:rsidRPr="00BE09A1">
                              <w:rPr>
                                <w:rFonts w:ascii="Arial" w:hAnsi="Arial" w:cs="Arial"/>
                                <w:snapToGrid w:val="0"/>
                                <w:sz w:val="22"/>
                                <w:szCs w:val="22"/>
                                <w:lang w:eastAsia="de-DE"/>
                              </w:rPr>
                              <w:t xml:space="preserve">WARNING: HEPATOTOXICITY </w:t>
                            </w:r>
                          </w:p>
                          <w:p w14:paraId="229764B9" w14:textId="77777777" w:rsidR="00F4557E" w:rsidRDefault="00F4557E" w:rsidP="00FD1BE6">
                            <w:pPr>
                              <w:rPr>
                                <w:rFonts w:ascii="Arial" w:hAnsi="Arial" w:cs="Arial"/>
                                <w:snapToGrid w:val="0"/>
                                <w:sz w:val="22"/>
                                <w:szCs w:val="22"/>
                                <w:lang w:eastAsia="de-DE"/>
                              </w:rPr>
                            </w:pPr>
                          </w:p>
                          <w:p w14:paraId="3E2608C8" w14:textId="77777777" w:rsidR="00F4557E" w:rsidRPr="00BE09A1" w:rsidRDefault="00F4557E" w:rsidP="00FD1BE6">
                            <w:pPr>
                              <w:rPr>
                                <w:rFonts w:ascii="Arial" w:hAnsi="Arial" w:cs="Arial"/>
                                <w:snapToGrid w:val="0"/>
                                <w:sz w:val="22"/>
                                <w:szCs w:val="22"/>
                                <w:lang w:eastAsia="de-DE"/>
                              </w:rPr>
                            </w:pPr>
                            <w:r w:rsidRPr="00BE09A1">
                              <w:rPr>
                                <w:rFonts w:ascii="Arial" w:hAnsi="Arial" w:cs="Arial"/>
                                <w:snapToGrid w:val="0"/>
                                <w:sz w:val="22"/>
                                <w:szCs w:val="22"/>
                                <w:lang w:eastAsia="de-DE"/>
                              </w:rPr>
                              <w:t>Rare cases of fatal hepatotoxicity have been observed in clinical trials and in the post-marketing setting, including in the absence of hepatic metastases. Monitor hepatic function prior to and during treatment [see PRECAUTIONS - Hepatotoxicity].</w:t>
                            </w:r>
                          </w:p>
                          <w:p w14:paraId="66213266" w14:textId="77777777" w:rsidR="00F4557E" w:rsidRDefault="00F4557E" w:rsidP="00FD1BE6">
                            <w:pPr>
                              <w:rPr>
                                <w:rFonts w:ascii="Arial" w:hAnsi="Arial" w:cs="Arial"/>
                                <w:snapToGrid w:val="0"/>
                                <w:sz w:val="22"/>
                                <w:szCs w:val="22"/>
                                <w:lang w:eastAsia="de-DE"/>
                              </w:rPr>
                            </w:pPr>
                          </w:p>
                          <w:p w14:paraId="130B2BFE" w14:textId="6B1144AC" w:rsidR="00F4557E" w:rsidRPr="00BE09A1" w:rsidRDefault="00F4557E" w:rsidP="00FD1BE6">
                            <w:pPr>
                              <w:rPr>
                                <w:rFonts w:ascii="Arial" w:hAnsi="Arial" w:cs="Arial"/>
                                <w:snapToGrid w:val="0"/>
                                <w:sz w:val="22"/>
                                <w:szCs w:val="22"/>
                                <w:lang w:eastAsia="de-DE"/>
                              </w:rPr>
                            </w:pPr>
                            <w:r w:rsidRPr="00BE09A1">
                              <w:rPr>
                                <w:rFonts w:ascii="Arial" w:hAnsi="Arial" w:cs="Arial"/>
                                <w:snapToGrid w:val="0"/>
                                <w:sz w:val="22"/>
                                <w:szCs w:val="22"/>
                                <w:lang w:eastAsia="de-DE"/>
                              </w:rPr>
                              <w:t>Modify or interrupt dose if signs of liver injury emerge, depending upon severity and persistence [See DOSAGE AND ADMINISTRATION, Table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8.05pt;width:465.25pt;height:9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">
                <v:textbox style="mso-fit-shape-to-text:t">
                  <w:txbxContent>
                    <w:p w14:paraId="41AA5259" w14:textId="77777777" w:rsidR="00F4557E" w:rsidRPr="00BE09A1" w:rsidRDefault="00F4557E" w:rsidP="00FD1BE6">
                      <w:pPr>
                        <w:rPr>
                          <w:rFonts w:ascii="Arial" w:hAnsi="Arial" w:cs="Arial"/>
                          <w:snapToGrid w:val="0"/>
                          <w:sz w:val="22"/>
                          <w:szCs w:val="22"/>
                          <w:lang w:eastAsia="de-DE"/>
                        </w:rPr>
                      </w:pPr>
                      <w:r w:rsidRPr="00BE09A1">
                        <w:rPr>
                          <w:rFonts w:ascii="Arial" w:hAnsi="Arial" w:cs="Arial"/>
                          <w:snapToGrid w:val="0"/>
                          <w:sz w:val="22"/>
                          <w:szCs w:val="22"/>
                          <w:lang w:eastAsia="de-DE"/>
                        </w:rPr>
                        <w:t xml:space="preserve">WARNING: HEPATOTOXICITY </w:t>
                      </w:r>
                    </w:p>
                    <w:p w14:paraId="229764B9" w14:textId="77777777" w:rsidR="00F4557E" w:rsidRDefault="00F4557E" w:rsidP="00FD1BE6">
                      <w:pPr>
                        <w:rPr>
                          <w:rFonts w:ascii="Arial" w:hAnsi="Arial" w:cs="Arial"/>
                          <w:snapToGrid w:val="0"/>
                          <w:sz w:val="22"/>
                          <w:szCs w:val="22"/>
                          <w:lang w:eastAsia="de-DE"/>
                        </w:rPr>
                      </w:pPr>
                    </w:p>
                    <w:p w14:paraId="3E2608C8" w14:textId="77777777" w:rsidR="00F4557E" w:rsidRPr="00BE09A1" w:rsidRDefault="00F4557E" w:rsidP="00FD1BE6">
                      <w:pPr>
                        <w:rPr>
                          <w:rFonts w:ascii="Arial" w:hAnsi="Arial" w:cs="Arial"/>
                          <w:snapToGrid w:val="0"/>
                          <w:sz w:val="22"/>
                          <w:szCs w:val="22"/>
                          <w:lang w:eastAsia="de-DE"/>
                        </w:rPr>
                      </w:pPr>
                      <w:r w:rsidRPr="00BE09A1">
                        <w:rPr>
                          <w:rFonts w:ascii="Arial" w:hAnsi="Arial" w:cs="Arial"/>
                          <w:snapToGrid w:val="0"/>
                          <w:sz w:val="22"/>
                          <w:szCs w:val="22"/>
                          <w:lang w:eastAsia="de-DE"/>
                        </w:rPr>
                        <w:t>Rare cases of fatal hepatotoxicity have been observed in clinical trials and in the post-marketing setting, including in the absence of hepatic metastases. Monitor hepatic function prior to and during treatment [see PRECAUTIONS - Hepatotoxicity].</w:t>
                      </w:r>
                    </w:p>
                    <w:p w14:paraId="66213266" w14:textId="77777777" w:rsidR="00F4557E" w:rsidRDefault="00F4557E" w:rsidP="00FD1BE6">
                      <w:pPr>
                        <w:rPr>
                          <w:rFonts w:ascii="Arial" w:hAnsi="Arial" w:cs="Arial"/>
                          <w:snapToGrid w:val="0"/>
                          <w:sz w:val="22"/>
                          <w:szCs w:val="22"/>
                          <w:lang w:eastAsia="de-DE"/>
                        </w:rPr>
                      </w:pPr>
                    </w:p>
                    <w:p w14:paraId="130B2BFE" w14:textId="6B1144AC" w:rsidR="00F4557E" w:rsidRPr="00BE09A1" w:rsidRDefault="00F4557E" w:rsidP="00FD1BE6">
                      <w:pPr>
                        <w:rPr>
                          <w:rFonts w:ascii="Arial" w:hAnsi="Arial" w:cs="Arial"/>
                          <w:snapToGrid w:val="0"/>
                          <w:sz w:val="22"/>
                          <w:szCs w:val="22"/>
                          <w:lang w:eastAsia="de-DE"/>
                        </w:rPr>
                      </w:pPr>
                      <w:r w:rsidRPr="00BE09A1">
                        <w:rPr>
                          <w:rFonts w:ascii="Arial" w:hAnsi="Arial" w:cs="Arial"/>
                          <w:snapToGrid w:val="0"/>
                          <w:sz w:val="22"/>
                          <w:szCs w:val="22"/>
                          <w:lang w:eastAsia="de-DE"/>
                        </w:rPr>
                        <w:t>Modify or interrupt dose if signs of liver injury emerge, depending upon severity and persistence [See DOSAGE AND ADMINISTRATION, Table 9]</w:t>
                      </w:r>
                    </w:p>
                  </w:txbxContent>
                </v:textbox>
                <w10:wrap type="square"/>
              </v:shape>
            </w:pict>
          </mc:Fallback>
        </mc:AlternateContent>
      </w:r>
    </w:p>
    <w:p w14:paraId="712C2672" w14:textId="77777777" w:rsidR="001D1004" w:rsidRPr="003A5EE1" w:rsidRDefault="001D1004" w:rsidP="0090345C">
      <w:pPr>
        <w:pStyle w:val="Heading1"/>
        <w:spacing w:before="0" w:after="0" w:line="240" w:lineRule="auto"/>
        <w:ind w:right="46"/>
      </w:pPr>
      <w:r w:rsidRPr="003A5EE1">
        <w:t>NAME OF THE MEDICINE</w:t>
      </w:r>
    </w:p>
    <w:p w14:paraId="712C2673" w14:textId="77777777" w:rsidR="00DC2986" w:rsidRPr="00DC2986" w:rsidRDefault="00DC2986" w:rsidP="00DC2986">
      <w:pPr>
        <w:rPr>
          <w:lang w:val="en-AU"/>
        </w:rPr>
      </w:pPr>
    </w:p>
    <w:p w14:paraId="712C2674" w14:textId="77777777" w:rsidR="001D1004" w:rsidRPr="003A5EE1" w:rsidRDefault="001D1004" w:rsidP="0090345C">
      <w:pPr>
        <w:autoSpaceDE w:val="0"/>
        <w:autoSpaceDN w:val="0"/>
        <w:adjustRightInd w:val="0"/>
        <w:rPr>
          <w:rFonts w:ascii="Arial" w:hAnsi="Arial" w:cs="Arial"/>
          <w:sz w:val="22"/>
          <w:szCs w:val="22"/>
          <w:lang w:val="en-AU"/>
        </w:rPr>
      </w:pPr>
      <w:r w:rsidRPr="003A5EE1">
        <w:rPr>
          <w:rFonts w:ascii="Arial" w:hAnsi="Arial" w:cs="Arial"/>
          <w:sz w:val="22"/>
          <w:szCs w:val="22"/>
          <w:lang w:val="en-AU"/>
        </w:rPr>
        <w:t>R</w:t>
      </w:r>
      <w:r w:rsidR="000C4062" w:rsidRPr="003A5EE1">
        <w:rPr>
          <w:rFonts w:ascii="Arial" w:hAnsi="Arial" w:cs="Arial"/>
          <w:sz w:val="22"/>
          <w:szCs w:val="22"/>
          <w:lang w:val="en-AU"/>
        </w:rPr>
        <w:t>egorafenib</w:t>
      </w:r>
      <w:r w:rsidR="00AE474A" w:rsidRPr="003A5EE1">
        <w:rPr>
          <w:rFonts w:ascii="Arial" w:hAnsi="Arial" w:cs="Arial"/>
          <w:sz w:val="22"/>
          <w:szCs w:val="22"/>
          <w:lang w:val="en-AU"/>
        </w:rPr>
        <w:t xml:space="preserve"> (as monohydrate)</w:t>
      </w:r>
      <w:r w:rsidRPr="003A5EE1">
        <w:rPr>
          <w:sz w:val="22"/>
          <w:szCs w:val="22"/>
          <w:lang w:val="en-AU"/>
        </w:rPr>
        <w:t xml:space="preserve"> </w:t>
      </w:r>
      <w:r w:rsidRPr="003A5EE1">
        <w:rPr>
          <w:rFonts w:ascii="Arial" w:hAnsi="Arial" w:cs="Arial"/>
          <w:sz w:val="22"/>
          <w:szCs w:val="22"/>
          <w:lang w:val="en-AU"/>
        </w:rPr>
        <w:t>is</w:t>
      </w:r>
      <w:r w:rsidR="00AE474A" w:rsidRPr="003A5EE1">
        <w:rPr>
          <w:rFonts w:ascii="Arial" w:hAnsi="Arial" w:cs="Arial"/>
          <w:sz w:val="22"/>
          <w:szCs w:val="22"/>
          <w:lang w:val="en-AU" w:eastAsia="en-AU"/>
        </w:rPr>
        <w:t xml:space="preserve"> 4-[4-({[4-chloro-3-(trifluoromethyl</w:t>
      </w:r>
      <w:proofErr w:type="gramStart"/>
      <w:r w:rsidR="00AE474A" w:rsidRPr="003A5EE1">
        <w:rPr>
          <w:rFonts w:ascii="Arial" w:hAnsi="Arial" w:cs="Arial"/>
          <w:sz w:val="22"/>
          <w:szCs w:val="22"/>
          <w:lang w:val="en-AU" w:eastAsia="en-AU"/>
        </w:rPr>
        <w:t>)phenyl</w:t>
      </w:r>
      <w:proofErr w:type="gramEnd"/>
      <w:r w:rsidR="00AE474A" w:rsidRPr="003A5EE1">
        <w:rPr>
          <w:rFonts w:ascii="Arial" w:hAnsi="Arial" w:cs="Arial"/>
          <w:sz w:val="22"/>
          <w:szCs w:val="22"/>
          <w:lang w:val="en-AU" w:eastAsia="en-AU"/>
        </w:rPr>
        <w:t>]carbamoyl}amino)-3-fluorophenoxy]-</w:t>
      </w:r>
      <w:r w:rsidR="00AE474A" w:rsidRPr="003A5EE1">
        <w:rPr>
          <w:rFonts w:ascii="Arial" w:hAnsi="Arial" w:cs="Arial"/>
          <w:i/>
          <w:iCs/>
          <w:sz w:val="22"/>
          <w:szCs w:val="22"/>
          <w:lang w:val="en-AU" w:eastAsia="en-AU"/>
        </w:rPr>
        <w:t>N</w:t>
      </w:r>
      <w:r w:rsidR="00AE474A" w:rsidRPr="003A5EE1">
        <w:rPr>
          <w:rFonts w:ascii="Arial" w:hAnsi="Arial" w:cs="Arial"/>
          <w:sz w:val="22"/>
          <w:szCs w:val="22"/>
          <w:lang w:val="en-AU" w:eastAsia="en-AU"/>
        </w:rPr>
        <w:t>methylpyridine-2-carboxamide monohydrate</w:t>
      </w:r>
      <w:r w:rsidR="000C4062" w:rsidRPr="003A5EE1">
        <w:rPr>
          <w:rFonts w:ascii="Arial" w:hAnsi="Arial" w:cs="Arial"/>
          <w:sz w:val="22"/>
          <w:szCs w:val="22"/>
          <w:lang w:val="en-AU" w:eastAsia="en-AU"/>
        </w:rPr>
        <w:t xml:space="preserve">. </w:t>
      </w:r>
      <w:r w:rsidR="000C4062" w:rsidRPr="003A5EE1">
        <w:rPr>
          <w:rFonts w:ascii="Arial" w:hAnsi="Arial" w:cs="Arial"/>
          <w:sz w:val="22"/>
          <w:szCs w:val="22"/>
          <w:lang w:val="en-AU"/>
        </w:rPr>
        <w:t>Regorafenib</w:t>
      </w:r>
      <w:r w:rsidRPr="003A5EE1">
        <w:rPr>
          <w:rFonts w:ascii="Arial" w:hAnsi="Arial" w:cs="Arial"/>
          <w:sz w:val="22"/>
          <w:szCs w:val="22"/>
          <w:lang w:val="en-AU"/>
        </w:rPr>
        <w:t xml:space="preserve"> has the following structural formula:</w:t>
      </w:r>
    </w:p>
    <w:p w14:paraId="712C2675" w14:textId="77777777" w:rsidR="0090345C" w:rsidRPr="003A5EE1" w:rsidRDefault="0090345C" w:rsidP="0090345C">
      <w:pPr>
        <w:autoSpaceDE w:val="0"/>
        <w:autoSpaceDN w:val="0"/>
        <w:adjustRightInd w:val="0"/>
        <w:rPr>
          <w:rFonts w:ascii="Arial" w:hAnsi="Arial" w:cs="Arial"/>
          <w:sz w:val="22"/>
          <w:szCs w:val="22"/>
          <w:lang w:val="en-AU"/>
        </w:rPr>
      </w:pPr>
    </w:p>
    <w:p w14:paraId="712C2676" w14:textId="77777777" w:rsidR="001D1004" w:rsidRPr="003A5EE1" w:rsidRDefault="00BE4D21" w:rsidP="0090345C">
      <w:pPr>
        <w:spacing w:line="300" w:lineRule="atLeast"/>
        <w:ind w:right="46"/>
        <w:jc w:val="both"/>
        <w:rPr>
          <w:noProof/>
          <w:sz w:val="22"/>
          <w:szCs w:val="22"/>
          <w:lang w:val="en-AU" w:eastAsia="en-AU"/>
        </w:rPr>
      </w:pPr>
      <w:r w:rsidRPr="00240635">
        <w:rPr>
          <w:lang w:val="en-US"/>
        </w:rPr>
        <w:object w:dxaOrig="4530" w:dyaOrig="1440" w14:anchorId="712C2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89.3pt" o:ole="" filled="t">
            <v:imagedata r:id="rId16" o:title="" gain="0" blacklevel="-.5"/>
          </v:shape>
          <o:OLEObject Type="Embed" ProgID="ISISServer" ShapeID="_x0000_i1025" DrawAspect="Content" ObjectID="_1622876392" r:id="rId17"/>
        </w:object>
      </w:r>
    </w:p>
    <w:p w14:paraId="712C2677" w14:textId="77777777" w:rsidR="0090345C" w:rsidRPr="003A5EE1" w:rsidRDefault="0090345C" w:rsidP="0090345C">
      <w:pPr>
        <w:spacing w:line="300" w:lineRule="atLeast"/>
        <w:ind w:right="46"/>
        <w:jc w:val="both"/>
        <w:rPr>
          <w:sz w:val="22"/>
          <w:szCs w:val="22"/>
          <w:lang w:val="en-AU"/>
        </w:rPr>
      </w:pPr>
    </w:p>
    <w:p w14:paraId="712C2678" w14:textId="77777777" w:rsidR="000C4062" w:rsidRPr="003A5EE1" w:rsidRDefault="000C4062" w:rsidP="00313A75">
      <w:pPr>
        <w:rPr>
          <w:rFonts w:ascii="Arial" w:hAnsi="Arial" w:cs="Arial"/>
          <w:sz w:val="22"/>
          <w:szCs w:val="22"/>
        </w:rPr>
      </w:pPr>
      <w:r w:rsidRPr="003A5EE1">
        <w:rPr>
          <w:rFonts w:ascii="Arial" w:hAnsi="Arial" w:cs="Arial"/>
          <w:sz w:val="22"/>
          <w:szCs w:val="22"/>
        </w:rPr>
        <w:t>Molecular formula: C</w:t>
      </w:r>
      <w:r w:rsidRPr="003A5EE1">
        <w:rPr>
          <w:rFonts w:ascii="Arial" w:hAnsi="Arial" w:cs="Arial"/>
          <w:sz w:val="22"/>
          <w:szCs w:val="22"/>
          <w:vertAlign w:val="subscript"/>
        </w:rPr>
        <w:t>21</w:t>
      </w:r>
      <w:r w:rsidRPr="003A5EE1">
        <w:rPr>
          <w:rFonts w:ascii="Arial" w:hAnsi="Arial" w:cs="Arial"/>
          <w:sz w:val="22"/>
          <w:szCs w:val="22"/>
        </w:rPr>
        <w:t>H</w:t>
      </w:r>
      <w:r w:rsidRPr="003A5EE1">
        <w:rPr>
          <w:rFonts w:ascii="Arial" w:hAnsi="Arial" w:cs="Arial"/>
          <w:sz w:val="22"/>
          <w:szCs w:val="22"/>
          <w:vertAlign w:val="subscript"/>
        </w:rPr>
        <w:t>15</w:t>
      </w:r>
      <w:r w:rsidRPr="003A5EE1">
        <w:rPr>
          <w:rFonts w:ascii="Arial" w:hAnsi="Arial" w:cs="Arial"/>
          <w:sz w:val="22"/>
          <w:szCs w:val="22"/>
        </w:rPr>
        <w:t>ClF</w:t>
      </w:r>
      <w:r w:rsidRPr="003A5EE1">
        <w:rPr>
          <w:rFonts w:ascii="Arial" w:hAnsi="Arial" w:cs="Arial"/>
          <w:sz w:val="22"/>
          <w:szCs w:val="22"/>
          <w:vertAlign w:val="subscript"/>
        </w:rPr>
        <w:t>4</w:t>
      </w:r>
      <w:r w:rsidRPr="003A5EE1">
        <w:rPr>
          <w:rFonts w:ascii="Arial" w:hAnsi="Arial" w:cs="Arial"/>
          <w:sz w:val="22"/>
          <w:szCs w:val="22"/>
        </w:rPr>
        <w:t>N</w:t>
      </w:r>
      <w:r w:rsidRPr="003A5EE1">
        <w:rPr>
          <w:rFonts w:ascii="Arial" w:hAnsi="Arial" w:cs="Arial"/>
          <w:sz w:val="22"/>
          <w:szCs w:val="22"/>
          <w:vertAlign w:val="subscript"/>
        </w:rPr>
        <w:t>4</w:t>
      </w:r>
      <w:r w:rsidRPr="003A5EE1">
        <w:rPr>
          <w:rFonts w:ascii="Arial" w:hAnsi="Arial" w:cs="Arial"/>
          <w:sz w:val="22"/>
          <w:szCs w:val="22"/>
        </w:rPr>
        <w:t>O</w:t>
      </w:r>
      <w:r w:rsidRPr="003A5EE1">
        <w:rPr>
          <w:rFonts w:ascii="Arial" w:hAnsi="Arial" w:cs="Arial"/>
          <w:sz w:val="22"/>
          <w:szCs w:val="22"/>
          <w:vertAlign w:val="subscript"/>
        </w:rPr>
        <w:t>3</w:t>
      </w:r>
    </w:p>
    <w:p w14:paraId="712C2679" w14:textId="77777777" w:rsidR="0090345C" w:rsidRPr="003A5EE1" w:rsidRDefault="0090345C" w:rsidP="00313A75">
      <w:pPr>
        <w:rPr>
          <w:rFonts w:ascii="Arial" w:hAnsi="Arial" w:cs="Arial"/>
          <w:sz w:val="22"/>
          <w:szCs w:val="22"/>
          <w:lang w:val="en-AU"/>
        </w:rPr>
      </w:pPr>
    </w:p>
    <w:p w14:paraId="712C267A" w14:textId="2E59159A" w:rsidR="000C4062" w:rsidRPr="003A5EE1" w:rsidRDefault="000C4062" w:rsidP="00313A75">
      <w:pPr>
        <w:rPr>
          <w:rFonts w:ascii="Arial" w:hAnsi="Arial" w:cs="Arial"/>
          <w:sz w:val="22"/>
          <w:szCs w:val="22"/>
        </w:rPr>
      </w:pPr>
      <w:r w:rsidRPr="003A5EE1">
        <w:rPr>
          <w:rFonts w:ascii="Arial" w:hAnsi="Arial" w:cs="Arial"/>
          <w:sz w:val="22"/>
          <w:szCs w:val="22"/>
        </w:rPr>
        <w:t xml:space="preserve">CAS </w:t>
      </w:r>
      <w:r w:rsidR="00AE474A" w:rsidRPr="003A5EE1">
        <w:rPr>
          <w:rFonts w:ascii="Arial" w:hAnsi="Arial" w:cs="Arial"/>
          <w:sz w:val="22"/>
          <w:szCs w:val="22"/>
        </w:rPr>
        <w:t xml:space="preserve">number: </w:t>
      </w:r>
      <w:r w:rsidR="00E1134D">
        <w:rPr>
          <w:rFonts w:ascii="Arial" w:hAnsi="Arial" w:cs="Arial"/>
          <w:sz w:val="22"/>
          <w:szCs w:val="22"/>
        </w:rPr>
        <w:t>755037-03-7</w:t>
      </w:r>
    </w:p>
    <w:p w14:paraId="712C267B" w14:textId="77777777" w:rsidR="0090345C" w:rsidRDefault="0090345C" w:rsidP="0090345C">
      <w:pPr>
        <w:rPr>
          <w:lang w:val="en-AU"/>
        </w:rPr>
      </w:pPr>
    </w:p>
    <w:p w14:paraId="712C267C" w14:textId="77777777" w:rsidR="00C16827" w:rsidRDefault="00C16827" w:rsidP="00C16827">
      <w:pPr>
        <w:keepNext/>
        <w:ind w:right="46"/>
        <w:rPr>
          <w:rFonts w:ascii="Arial" w:hAnsi="Arial" w:cs="Arial"/>
          <w:sz w:val="22"/>
          <w:szCs w:val="22"/>
          <w:lang w:val="en-AU"/>
        </w:rPr>
      </w:pPr>
      <w:r>
        <w:rPr>
          <w:rFonts w:ascii="Arial" w:hAnsi="Arial" w:cs="Arial"/>
          <w:sz w:val="22"/>
          <w:szCs w:val="22"/>
          <w:lang w:val="en-AU"/>
        </w:rPr>
        <w:t xml:space="preserve">Experimental determination of </w:t>
      </w:r>
      <w:proofErr w:type="spellStart"/>
      <w:r>
        <w:rPr>
          <w:rFonts w:ascii="Arial" w:hAnsi="Arial" w:cs="Arial"/>
          <w:sz w:val="22"/>
          <w:szCs w:val="22"/>
          <w:lang w:val="en-AU"/>
        </w:rPr>
        <w:t>pK</w:t>
      </w:r>
      <w:r w:rsidRPr="00423F2C">
        <w:rPr>
          <w:rFonts w:ascii="Arial" w:hAnsi="Arial" w:cs="Arial"/>
          <w:sz w:val="22"/>
          <w:szCs w:val="22"/>
          <w:vertAlign w:val="subscript"/>
          <w:lang w:val="en-AU"/>
        </w:rPr>
        <w:t>a</w:t>
      </w:r>
      <w:proofErr w:type="spellEnd"/>
      <w:r>
        <w:rPr>
          <w:rFonts w:ascii="Arial" w:hAnsi="Arial" w:cs="Arial"/>
          <w:sz w:val="22"/>
          <w:szCs w:val="22"/>
          <w:vertAlign w:val="subscript"/>
          <w:lang w:val="en-AU"/>
        </w:rPr>
        <w:t xml:space="preserve"> </w:t>
      </w:r>
      <w:r>
        <w:rPr>
          <w:rFonts w:ascii="Arial" w:hAnsi="Arial" w:cs="Arial"/>
          <w:sz w:val="22"/>
          <w:szCs w:val="22"/>
          <w:lang w:val="en-AU"/>
        </w:rPr>
        <w:t xml:space="preserve">is not possible. </w:t>
      </w:r>
    </w:p>
    <w:p w14:paraId="712C267D" w14:textId="77777777" w:rsidR="00C16827" w:rsidRDefault="00C16827" w:rsidP="00C16827">
      <w:pPr>
        <w:keepNext/>
        <w:ind w:right="46"/>
        <w:rPr>
          <w:rFonts w:ascii="Arial" w:hAnsi="Arial" w:cs="Arial"/>
          <w:sz w:val="22"/>
          <w:szCs w:val="22"/>
          <w:lang w:val="en-AU"/>
        </w:rPr>
      </w:pPr>
    </w:p>
    <w:p w14:paraId="712C267E" w14:textId="77777777" w:rsidR="00C16827" w:rsidRPr="00423F2C" w:rsidRDefault="00C16827" w:rsidP="00C16827">
      <w:pPr>
        <w:keepNext/>
        <w:ind w:right="46"/>
        <w:rPr>
          <w:rFonts w:ascii="Arial" w:hAnsi="Arial" w:cs="Arial"/>
          <w:sz w:val="22"/>
          <w:szCs w:val="22"/>
          <w:lang w:val="en-AU"/>
        </w:rPr>
      </w:pPr>
      <w:r>
        <w:rPr>
          <w:rFonts w:ascii="Arial" w:hAnsi="Arial" w:cs="Arial"/>
          <w:sz w:val="22"/>
          <w:szCs w:val="22"/>
          <w:lang w:val="en-AU"/>
        </w:rPr>
        <w:t xml:space="preserve">As a consequence of the extremely low solubility of regorafenib </w:t>
      </w:r>
      <w:r w:rsidR="009F67EF">
        <w:rPr>
          <w:rFonts w:ascii="Arial" w:hAnsi="Arial" w:cs="Arial"/>
          <w:sz w:val="22"/>
          <w:szCs w:val="22"/>
          <w:lang w:val="en-AU"/>
        </w:rPr>
        <w:t xml:space="preserve">(as </w:t>
      </w:r>
      <w:r>
        <w:rPr>
          <w:rFonts w:ascii="Arial" w:hAnsi="Arial" w:cs="Arial"/>
          <w:sz w:val="22"/>
          <w:szCs w:val="22"/>
          <w:lang w:val="en-AU"/>
        </w:rPr>
        <w:t>monohydrate</w:t>
      </w:r>
      <w:r w:rsidR="009F67EF">
        <w:rPr>
          <w:rFonts w:ascii="Arial" w:hAnsi="Arial" w:cs="Arial"/>
          <w:sz w:val="22"/>
          <w:szCs w:val="22"/>
          <w:lang w:val="en-AU"/>
        </w:rPr>
        <w:t>)</w:t>
      </w:r>
      <w:r>
        <w:rPr>
          <w:rFonts w:ascii="Arial" w:hAnsi="Arial" w:cs="Arial"/>
          <w:sz w:val="22"/>
          <w:szCs w:val="22"/>
          <w:lang w:val="en-AU"/>
        </w:rPr>
        <w:t xml:space="preserve"> in aqueous systems, the partition coeffi</w:t>
      </w:r>
      <w:r w:rsidR="009F67EF">
        <w:rPr>
          <w:rFonts w:ascii="Arial" w:hAnsi="Arial" w:cs="Arial"/>
          <w:sz w:val="22"/>
          <w:szCs w:val="22"/>
          <w:lang w:val="en-AU"/>
        </w:rPr>
        <w:t>cient</w:t>
      </w:r>
      <w:r>
        <w:rPr>
          <w:rFonts w:ascii="Arial" w:hAnsi="Arial" w:cs="Arial"/>
          <w:sz w:val="22"/>
          <w:szCs w:val="22"/>
          <w:lang w:val="en-AU"/>
        </w:rPr>
        <w:t xml:space="preserve"> has not been determined experimentally. </w:t>
      </w:r>
    </w:p>
    <w:p w14:paraId="712C267F" w14:textId="77777777" w:rsidR="00C16827" w:rsidRPr="0090345C" w:rsidRDefault="00C16827" w:rsidP="0090345C">
      <w:pPr>
        <w:rPr>
          <w:lang w:val="en-AU"/>
        </w:rPr>
      </w:pPr>
    </w:p>
    <w:p w14:paraId="712C2680" w14:textId="77777777" w:rsidR="001D1004" w:rsidRPr="003A5EE1" w:rsidRDefault="001D1004" w:rsidP="0090345C">
      <w:pPr>
        <w:pStyle w:val="Heading1"/>
        <w:spacing w:before="0" w:after="0" w:line="240" w:lineRule="auto"/>
        <w:ind w:right="46"/>
      </w:pPr>
      <w:r w:rsidRPr="003A5EE1">
        <w:t>DESCRIPTION</w:t>
      </w:r>
    </w:p>
    <w:p w14:paraId="712C2681" w14:textId="77777777" w:rsidR="0090345C" w:rsidRPr="0090345C" w:rsidRDefault="0090345C" w:rsidP="0090345C">
      <w:pPr>
        <w:rPr>
          <w:lang w:val="en-AU"/>
        </w:rPr>
      </w:pPr>
    </w:p>
    <w:p w14:paraId="712C2682" w14:textId="2A9E78E8" w:rsidR="00BE4D21" w:rsidRDefault="000C4062" w:rsidP="00CF7423">
      <w:pPr>
        <w:keepNext/>
        <w:ind w:right="46"/>
        <w:rPr>
          <w:rFonts w:ascii="Arial" w:hAnsi="Arial" w:cs="Arial"/>
          <w:sz w:val="22"/>
          <w:szCs w:val="22"/>
          <w:lang w:val="en-AU"/>
        </w:rPr>
      </w:pPr>
      <w:r w:rsidRPr="003A5EE1">
        <w:rPr>
          <w:rFonts w:ascii="Arial" w:hAnsi="Arial" w:cs="Arial"/>
          <w:sz w:val="22"/>
          <w:szCs w:val="22"/>
          <w:lang w:val="en-AU"/>
        </w:rPr>
        <w:t>Regorafenib</w:t>
      </w:r>
      <w:r w:rsidR="00AE474A" w:rsidRPr="003A5EE1">
        <w:rPr>
          <w:rFonts w:ascii="Arial" w:hAnsi="Arial" w:cs="Arial"/>
          <w:sz w:val="22"/>
          <w:szCs w:val="22"/>
          <w:lang w:val="en-AU"/>
        </w:rPr>
        <w:t xml:space="preserve"> </w:t>
      </w:r>
      <w:r w:rsidR="00D342AE">
        <w:rPr>
          <w:rFonts w:ascii="Arial" w:hAnsi="Arial" w:cs="Arial"/>
          <w:sz w:val="22"/>
          <w:szCs w:val="22"/>
          <w:lang w:val="en-AU"/>
        </w:rPr>
        <w:t xml:space="preserve">(as </w:t>
      </w:r>
      <w:r w:rsidR="00AE474A" w:rsidRPr="003A5EE1">
        <w:rPr>
          <w:rFonts w:ascii="Arial" w:hAnsi="Arial" w:cs="Arial"/>
          <w:sz w:val="22"/>
          <w:szCs w:val="22"/>
          <w:lang w:val="en-AU"/>
        </w:rPr>
        <w:t>monohydrate</w:t>
      </w:r>
      <w:r w:rsidR="00D342AE">
        <w:rPr>
          <w:rFonts w:ascii="Arial" w:hAnsi="Arial" w:cs="Arial"/>
          <w:sz w:val="22"/>
          <w:szCs w:val="22"/>
          <w:lang w:val="en-AU"/>
        </w:rPr>
        <w:t>)</w:t>
      </w:r>
      <w:r w:rsidR="001D1004" w:rsidRPr="003A5EE1">
        <w:rPr>
          <w:rFonts w:ascii="Arial" w:hAnsi="Arial" w:cs="Arial"/>
          <w:sz w:val="22"/>
          <w:szCs w:val="22"/>
          <w:lang w:val="en-AU"/>
        </w:rPr>
        <w:t xml:space="preserve"> </w:t>
      </w:r>
      <w:r w:rsidRPr="003A5EE1">
        <w:rPr>
          <w:rFonts w:ascii="Arial" w:hAnsi="Arial" w:cs="Arial"/>
          <w:sz w:val="22"/>
          <w:szCs w:val="22"/>
          <w:lang w:val="en-AU"/>
        </w:rPr>
        <w:t xml:space="preserve">is a white to pink or brownish solid substance. Regorafenib </w:t>
      </w:r>
      <w:r w:rsidR="00D342AE">
        <w:rPr>
          <w:rFonts w:ascii="Arial" w:hAnsi="Arial" w:cs="Arial"/>
          <w:sz w:val="22"/>
          <w:szCs w:val="22"/>
          <w:lang w:val="en-AU"/>
        </w:rPr>
        <w:t xml:space="preserve">(as </w:t>
      </w:r>
      <w:r w:rsidR="00AE474A" w:rsidRPr="003A5EE1">
        <w:rPr>
          <w:rFonts w:ascii="Arial" w:hAnsi="Arial" w:cs="Arial"/>
          <w:sz w:val="22"/>
          <w:szCs w:val="22"/>
          <w:lang w:val="en-AU"/>
        </w:rPr>
        <w:t>monohydrate</w:t>
      </w:r>
      <w:r w:rsidR="00D342AE">
        <w:rPr>
          <w:rFonts w:ascii="Arial" w:hAnsi="Arial" w:cs="Arial"/>
          <w:sz w:val="22"/>
          <w:szCs w:val="22"/>
          <w:lang w:val="en-AU"/>
        </w:rPr>
        <w:t>)</w:t>
      </w:r>
      <w:r w:rsidR="00AE474A" w:rsidRPr="003A5EE1">
        <w:rPr>
          <w:rFonts w:ascii="Arial" w:hAnsi="Arial" w:cs="Arial"/>
          <w:sz w:val="22"/>
          <w:szCs w:val="22"/>
          <w:lang w:val="en-AU"/>
        </w:rPr>
        <w:t xml:space="preserve"> </w:t>
      </w:r>
      <w:r w:rsidRPr="003A5EE1">
        <w:rPr>
          <w:rFonts w:ascii="Arial" w:hAnsi="Arial" w:cs="Arial"/>
          <w:sz w:val="22"/>
          <w:szCs w:val="22"/>
          <w:lang w:val="en-AU"/>
        </w:rPr>
        <w:t>is practically insoluble in water between pH 1 and 13.</w:t>
      </w:r>
      <w:r w:rsidR="0036132D" w:rsidRPr="003A5EE1">
        <w:rPr>
          <w:rFonts w:ascii="Arial" w:hAnsi="Arial" w:cs="Arial"/>
          <w:sz w:val="22"/>
          <w:szCs w:val="22"/>
          <w:lang w:val="en-AU"/>
        </w:rPr>
        <w:t xml:space="preserve"> </w:t>
      </w:r>
      <w:r w:rsidRPr="003A5EE1">
        <w:rPr>
          <w:rFonts w:ascii="Arial" w:hAnsi="Arial" w:cs="Arial"/>
          <w:sz w:val="22"/>
          <w:szCs w:val="22"/>
          <w:lang w:val="en-AU"/>
        </w:rPr>
        <w:t xml:space="preserve">Regorafenib </w:t>
      </w:r>
      <w:r w:rsidR="00AE474A" w:rsidRPr="003A5EE1">
        <w:rPr>
          <w:rFonts w:ascii="Arial" w:hAnsi="Arial" w:cs="Arial"/>
          <w:sz w:val="22"/>
          <w:szCs w:val="22"/>
          <w:lang w:val="en-AU"/>
        </w:rPr>
        <w:t xml:space="preserve">monohydrate </w:t>
      </w:r>
      <w:r w:rsidRPr="003A5EE1">
        <w:rPr>
          <w:rFonts w:ascii="Arial" w:hAnsi="Arial" w:cs="Arial"/>
          <w:sz w:val="22"/>
          <w:szCs w:val="22"/>
          <w:lang w:val="en-AU"/>
        </w:rPr>
        <w:t xml:space="preserve">is not hygroscopic. </w:t>
      </w:r>
      <w:r w:rsidR="000370B3" w:rsidRPr="003A5EE1">
        <w:rPr>
          <w:rFonts w:ascii="Arial" w:hAnsi="Arial" w:cs="Arial"/>
          <w:sz w:val="22"/>
          <w:szCs w:val="22"/>
          <w:lang w:val="en-AU"/>
        </w:rPr>
        <w:t>Regorafenib</w:t>
      </w:r>
      <w:r w:rsidR="00AE474A" w:rsidRPr="003A5EE1">
        <w:rPr>
          <w:rFonts w:ascii="Arial" w:hAnsi="Arial" w:cs="Arial"/>
          <w:sz w:val="22"/>
          <w:szCs w:val="22"/>
          <w:lang w:val="en-AU"/>
        </w:rPr>
        <w:t xml:space="preserve"> monohydrate is practically insoluble in 0.1M </w:t>
      </w:r>
      <w:proofErr w:type="spellStart"/>
      <w:r w:rsidR="00AE474A" w:rsidRPr="003A5EE1">
        <w:rPr>
          <w:rFonts w:ascii="Arial" w:hAnsi="Arial" w:cs="Arial"/>
          <w:sz w:val="22"/>
          <w:szCs w:val="22"/>
          <w:lang w:val="en-AU"/>
        </w:rPr>
        <w:t>HCl</w:t>
      </w:r>
      <w:proofErr w:type="spellEnd"/>
      <w:r w:rsidR="00AE474A" w:rsidRPr="003A5EE1">
        <w:rPr>
          <w:rFonts w:ascii="Arial" w:hAnsi="Arial" w:cs="Arial"/>
          <w:sz w:val="22"/>
          <w:szCs w:val="22"/>
          <w:lang w:val="en-AU"/>
        </w:rPr>
        <w:t xml:space="preserve">, </w:t>
      </w:r>
      <w:r w:rsidR="000370B3" w:rsidRPr="003A5EE1">
        <w:rPr>
          <w:rFonts w:ascii="Arial" w:hAnsi="Arial" w:cs="Arial"/>
          <w:sz w:val="22"/>
          <w:szCs w:val="22"/>
          <w:lang w:val="en-AU"/>
        </w:rPr>
        <w:t>s</w:t>
      </w:r>
      <w:r w:rsidR="00951E60" w:rsidRPr="003A5EE1">
        <w:rPr>
          <w:rFonts w:ascii="Arial" w:hAnsi="Arial" w:cs="Arial"/>
          <w:sz w:val="22"/>
          <w:szCs w:val="22"/>
          <w:lang w:val="en-AU"/>
        </w:rPr>
        <w:t xml:space="preserve">lightly soluble in methanol </w:t>
      </w:r>
      <w:r w:rsidR="00E1134D">
        <w:rPr>
          <w:rFonts w:ascii="Arial" w:hAnsi="Arial" w:cs="Arial"/>
          <w:sz w:val="22"/>
          <w:szCs w:val="22"/>
          <w:lang w:val="en-AU"/>
        </w:rPr>
        <w:t xml:space="preserve">and </w:t>
      </w:r>
      <w:r w:rsidR="00AE474A" w:rsidRPr="003A5EE1">
        <w:rPr>
          <w:rFonts w:ascii="Arial" w:hAnsi="Arial" w:cs="Arial"/>
          <w:sz w:val="22"/>
          <w:szCs w:val="22"/>
          <w:lang w:val="en-AU"/>
        </w:rPr>
        <w:t xml:space="preserve">ethanol and sparingly soluble in acetone. </w:t>
      </w:r>
    </w:p>
    <w:p w14:paraId="712C2683" w14:textId="77777777" w:rsidR="00C16827" w:rsidRPr="003A5EE1" w:rsidRDefault="00C16827" w:rsidP="00CF7423">
      <w:pPr>
        <w:keepNext/>
        <w:ind w:right="46"/>
        <w:rPr>
          <w:rFonts w:ascii="Arial" w:hAnsi="Arial" w:cs="Arial"/>
          <w:sz w:val="22"/>
          <w:szCs w:val="22"/>
          <w:lang w:val="en-AU"/>
        </w:rPr>
      </w:pPr>
    </w:p>
    <w:p w14:paraId="712C2684" w14:textId="5461E93E" w:rsidR="000370B3" w:rsidRPr="003A5EE1" w:rsidRDefault="000370B3" w:rsidP="00313A75">
      <w:pPr>
        <w:rPr>
          <w:rFonts w:ascii="Arial" w:hAnsi="Arial" w:cs="Arial"/>
          <w:sz w:val="22"/>
          <w:szCs w:val="22"/>
        </w:rPr>
      </w:pPr>
      <w:r w:rsidRPr="003A5EE1">
        <w:rPr>
          <w:rFonts w:ascii="Arial" w:hAnsi="Arial" w:cs="Arial"/>
          <w:sz w:val="22"/>
          <w:szCs w:val="22"/>
        </w:rPr>
        <w:t xml:space="preserve">Each </w:t>
      </w:r>
      <w:r w:rsidR="00601DFC">
        <w:rPr>
          <w:rFonts w:ascii="Arial" w:hAnsi="Arial" w:cs="Arial"/>
          <w:sz w:val="22"/>
          <w:szCs w:val="22"/>
        </w:rPr>
        <w:t xml:space="preserve">STIVARGA </w:t>
      </w:r>
      <w:r w:rsidRPr="003A5EE1">
        <w:rPr>
          <w:rFonts w:ascii="Arial" w:hAnsi="Arial" w:cs="Arial"/>
          <w:sz w:val="22"/>
          <w:szCs w:val="22"/>
        </w:rPr>
        <w:t>tablet contains 40 mg regorafenib</w:t>
      </w:r>
      <w:r w:rsidR="00AE474A" w:rsidRPr="003A5EE1">
        <w:rPr>
          <w:rFonts w:ascii="Arial" w:hAnsi="Arial" w:cs="Arial"/>
          <w:sz w:val="22"/>
          <w:szCs w:val="22"/>
        </w:rPr>
        <w:t xml:space="preserve"> (as 41.49 mg regorafenib monohydrate) and</w:t>
      </w:r>
      <w:r w:rsidRPr="003A5EE1">
        <w:rPr>
          <w:rFonts w:ascii="Arial" w:hAnsi="Arial" w:cs="Arial"/>
          <w:sz w:val="22"/>
          <w:szCs w:val="22"/>
        </w:rPr>
        <w:t xml:space="preserve"> the following excipients </w:t>
      </w:r>
      <w:proofErr w:type="spellStart"/>
      <w:r w:rsidRPr="003A5EE1">
        <w:rPr>
          <w:rFonts w:ascii="Arial" w:hAnsi="Arial" w:cs="Arial"/>
          <w:sz w:val="22"/>
          <w:szCs w:val="22"/>
        </w:rPr>
        <w:t>croscarmellose</w:t>
      </w:r>
      <w:proofErr w:type="spellEnd"/>
      <w:r w:rsidRPr="003A5EE1">
        <w:rPr>
          <w:rFonts w:ascii="Arial" w:hAnsi="Arial" w:cs="Arial"/>
          <w:sz w:val="22"/>
          <w:szCs w:val="22"/>
        </w:rPr>
        <w:t xml:space="preserve"> sodium, magnesium stearate, microcrystalline cellulose, povidone, silica colloidal anhydrous, iron oxide red, iron oxide yellow, lecithin, </w:t>
      </w:r>
      <w:proofErr w:type="spellStart"/>
      <w:r w:rsidRPr="003A5EE1">
        <w:rPr>
          <w:rFonts w:ascii="Arial" w:hAnsi="Arial" w:cs="Arial"/>
          <w:sz w:val="22"/>
          <w:szCs w:val="22"/>
        </w:rPr>
        <w:t>macrogol</w:t>
      </w:r>
      <w:proofErr w:type="spellEnd"/>
      <w:r w:rsidR="00AE474A" w:rsidRPr="003A5EE1">
        <w:rPr>
          <w:rFonts w:ascii="Arial" w:hAnsi="Arial" w:cs="Arial"/>
          <w:sz w:val="22"/>
          <w:szCs w:val="22"/>
        </w:rPr>
        <w:t xml:space="preserve"> 3350</w:t>
      </w:r>
      <w:r w:rsidRPr="003A5EE1">
        <w:rPr>
          <w:rFonts w:ascii="Arial" w:hAnsi="Arial" w:cs="Arial"/>
          <w:sz w:val="22"/>
          <w:szCs w:val="22"/>
        </w:rPr>
        <w:t>, polyvinyl alcohol</w:t>
      </w:r>
      <w:r w:rsidR="00AE474A" w:rsidRPr="003A5EE1">
        <w:rPr>
          <w:rFonts w:ascii="Arial" w:hAnsi="Arial" w:cs="Arial"/>
          <w:sz w:val="22"/>
          <w:szCs w:val="22"/>
        </w:rPr>
        <w:t xml:space="preserve">, </w:t>
      </w:r>
      <w:r w:rsidR="007B431E" w:rsidRPr="003A5EE1">
        <w:rPr>
          <w:rFonts w:ascii="Arial" w:hAnsi="Arial" w:cs="Arial"/>
          <w:sz w:val="22"/>
          <w:szCs w:val="22"/>
        </w:rPr>
        <w:t xml:space="preserve">purified </w:t>
      </w:r>
      <w:r w:rsidR="00AE474A" w:rsidRPr="003A5EE1">
        <w:rPr>
          <w:rFonts w:ascii="Arial" w:hAnsi="Arial" w:cs="Arial"/>
          <w:sz w:val="22"/>
          <w:szCs w:val="22"/>
        </w:rPr>
        <w:t>talc</w:t>
      </w:r>
      <w:r w:rsidRPr="003A5EE1">
        <w:rPr>
          <w:rFonts w:ascii="Arial" w:hAnsi="Arial" w:cs="Arial"/>
          <w:sz w:val="22"/>
          <w:szCs w:val="22"/>
        </w:rPr>
        <w:t xml:space="preserve"> and titanium dioxide. </w:t>
      </w:r>
    </w:p>
    <w:p w14:paraId="712C2685" w14:textId="77777777" w:rsidR="004E3595" w:rsidRPr="00F34FCB" w:rsidRDefault="004E3595" w:rsidP="00F34FCB">
      <w:pPr>
        <w:rPr>
          <w:lang w:val="en-AU"/>
        </w:rPr>
      </w:pPr>
    </w:p>
    <w:p w14:paraId="712C2686" w14:textId="77777777" w:rsidR="001D1004" w:rsidRPr="003A5EE1" w:rsidRDefault="001D1004" w:rsidP="00206FAC">
      <w:pPr>
        <w:pStyle w:val="Heading1"/>
        <w:spacing w:before="0" w:after="0" w:line="240" w:lineRule="auto"/>
        <w:ind w:right="46"/>
        <w:jc w:val="left"/>
      </w:pPr>
      <w:r w:rsidRPr="003A5EE1">
        <w:lastRenderedPageBreak/>
        <w:t>PHARMACOLOGY</w:t>
      </w:r>
    </w:p>
    <w:p w14:paraId="712C2688" w14:textId="77777777" w:rsidR="001D1004" w:rsidRPr="003A5EE1" w:rsidRDefault="001D1004" w:rsidP="00F4557E">
      <w:pPr>
        <w:pStyle w:val="Heading2"/>
        <w:rPr>
          <w:rFonts w:ascii="Arial" w:hAnsi="Arial" w:cs="Arial"/>
          <w:b w:val="0"/>
          <w:bCs/>
          <w:noProof/>
          <w:sz w:val="22"/>
          <w:szCs w:val="22"/>
        </w:rPr>
      </w:pPr>
      <w:r w:rsidRPr="003A5EE1">
        <w:rPr>
          <w:rFonts w:ascii="Arial" w:hAnsi="Arial" w:cs="Arial"/>
          <w:bCs/>
          <w:noProof/>
          <w:sz w:val="22"/>
          <w:szCs w:val="22"/>
        </w:rPr>
        <w:t>Pharmacodynamic properties</w:t>
      </w:r>
    </w:p>
    <w:p w14:paraId="712C268A" w14:textId="77777777" w:rsidR="001D1004" w:rsidRPr="003A5EE1" w:rsidRDefault="001D1004"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Pharmacodynamic effects</w:t>
      </w:r>
    </w:p>
    <w:p w14:paraId="712C268B" w14:textId="77777777" w:rsidR="001F55B3" w:rsidRPr="003A5EE1" w:rsidRDefault="001F55B3" w:rsidP="00206FAC">
      <w:pPr>
        <w:pStyle w:val="Default"/>
        <w:widowControl/>
        <w:ind w:right="46"/>
        <w:jc w:val="both"/>
        <w:rPr>
          <w:rFonts w:ascii="Arial" w:hAnsi="Arial" w:cs="Arial"/>
          <w:b/>
          <w:i/>
          <w:sz w:val="22"/>
          <w:szCs w:val="22"/>
          <w:lang w:val="en-AU"/>
        </w:rPr>
      </w:pPr>
    </w:p>
    <w:p w14:paraId="712C268C" w14:textId="090246E9" w:rsidR="000370B3" w:rsidRPr="003A5EE1" w:rsidRDefault="000370B3" w:rsidP="00206FAC">
      <w:pPr>
        <w:pStyle w:val="BayerBodyTextFull"/>
        <w:spacing w:before="0" w:after="0"/>
        <w:rPr>
          <w:rFonts w:ascii="Arial" w:hAnsi="Arial" w:cs="Arial"/>
          <w:sz w:val="22"/>
          <w:szCs w:val="22"/>
        </w:rPr>
      </w:pPr>
      <w:r w:rsidRPr="003A5EE1">
        <w:rPr>
          <w:rFonts w:ascii="Arial" w:hAnsi="Arial" w:cs="Arial"/>
          <w:sz w:val="22"/>
          <w:szCs w:val="22"/>
        </w:rPr>
        <w:t xml:space="preserve">Regorafenib is an oral </w:t>
      </w:r>
      <w:r w:rsidR="00DC4328" w:rsidRPr="003A5EE1">
        <w:rPr>
          <w:rFonts w:ascii="Arial" w:hAnsi="Arial" w:cs="Arial"/>
          <w:sz w:val="22"/>
          <w:szCs w:val="22"/>
        </w:rPr>
        <w:t>anti-</w:t>
      </w:r>
      <w:r w:rsidRPr="003A5EE1">
        <w:rPr>
          <w:rFonts w:ascii="Arial" w:hAnsi="Arial" w:cs="Arial"/>
          <w:sz w:val="22"/>
          <w:szCs w:val="22"/>
        </w:rPr>
        <w:t>tumo</w:t>
      </w:r>
      <w:r w:rsidR="000964CC" w:rsidRPr="003A5EE1">
        <w:rPr>
          <w:rFonts w:ascii="Arial" w:hAnsi="Arial" w:cs="Arial"/>
          <w:sz w:val="22"/>
          <w:szCs w:val="22"/>
        </w:rPr>
        <w:t>u</w:t>
      </w:r>
      <w:r w:rsidRPr="003A5EE1">
        <w:rPr>
          <w:rFonts w:ascii="Arial" w:hAnsi="Arial" w:cs="Arial"/>
          <w:sz w:val="22"/>
          <w:szCs w:val="22"/>
        </w:rPr>
        <w:t>r agent that potently blocks multiple protein kinases, including kinases involved in tumo</w:t>
      </w:r>
      <w:r w:rsidR="000964CC" w:rsidRPr="003A5EE1">
        <w:rPr>
          <w:rFonts w:ascii="Arial" w:hAnsi="Arial" w:cs="Arial"/>
          <w:sz w:val="22"/>
          <w:szCs w:val="22"/>
        </w:rPr>
        <w:t>u</w:t>
      </w:r>
      <w:r w:rsidRPr="003A5EE1">
        <w:rPr>
          <w:rFonts w:ascii="Arial" w:hAnsi="Arial" w:cs="Arial"/>
          <w:sz w:val="22"/>
          <w:szCs w:val="22"/>
        </w:rPr>
        <w:t xml:space="preserve">r angiogenesis (VEGFR1, -2, -3, TIE2), oncogenesis (KIT, RET, RAF-1, BRAF), </w:t>
      </w:r>
      <w:r w:rsidR="00655A93">
        <w:rPr>
          <w:rFonts w:ascii="Arial" w:hAnsi="Arial" w:cs="Arial"/>
          <w:sz w:val="22"/>
          <w:szCs w:val="22"/>
        </w:rPr>
        <w:t>metasta</w:t>
      </w:r>
      <w:r w:rsidR="004175C9">
        <w:rPr>
          <w:rFonts w:ascii="Arial" w:hAnsi="Arial" w:cs="Arial"/>
          <w:sz w:val="22"/>
          <w:szCs w:val="22"/>
        </w:rPr>
        <w:t>s</w:t>
      </w:r>
      <w:r w:rsidR="00655A93">
        <w:rPr>
          <w:rFonts w:ascii="Arial" w:hAnsi="Arial" w:cs="Arial"/>
          <w:sz w:val="22"/>
          <w:szCs w:val="22"/>
        </w:rPr>
        <w:t xml:space="preserve">is </w:t>
      </w:r>
      <w:r w:rsidRPr="003A5EE1">
        <w:rPr>
          <w:rFonts w:ascii="Arial" w:hAnsi="Arial" w:cs="Arial"/>
          <w:sz w:val="22"/>
          <w:szCs w:val="22"/>
        </w:rPr>
        <w:t>(</w:t>
      </w:r>
      <w:r w:rsidR="00655A93">
        <w:rPr>
          <w:rFonts w:ascii="Arial" w:hAnsi="Arial" w:cs="Arial"/>
          <w:sz w:val="22"/>
          <w:szCs w:val="22"/>
        </w:rPr>
        <w:t xml:space="preserve">VEGFR3, </w:t>
      </w:r>
      <w:r w:rsidRPr="003A5EE1">
        <w:rPr>
          <w:rFonts w:ascii="Arial" w:hAnsi="Arial" w:cs="Arial"/>
          <w:sz w:val="22"/>
          <w:szCs w:val="22"/>
        </w:rPr>
        <w:t>PDGFR, FGFR)</w:t>
      </w:r>
      <w:r w:rsidR="00655A93">
        <w:rPr>
          <w:rFonts w:ascii="Arial" w:hAnsi="Arial" w:cs="Arial"/>
          <w:sz w:val="22"/>
          <w:szCs w:val="22"/>
        </w:rPr>
        <w:t xml:space="preserve"> and </w:t>
      </w:r>
      <w:r w:rsidR="007B5FBC">
        <w:rPr>
          <w:rFonts w:ascii="Arial" w:hAnsi="Arial" w:cs="Arial"/>
          <w:sz w:val="22"/>
          <w:szCs w:val="22"/>
        </w:rPr>
        <w:t>tumour</w:t>
      </w:r>
      <w:r w:rsidR="00655A93">
        <w:rPr>
          <w:rFonts w:ascii="Arial" w:hAnsi="Arial" w:cs="Arial"/>
          <w:sz w:val="22"/>
          <w:szCs w:val="22"/>
        </w:rPr>
        <w:t xml:space="preserve"> immunity (CSF1R)</w:t>
      </w:r>
      <w:r w:rsidRPr="003A5EE1">
        <w:rPr>
          <w:rFonts w:ascii="Arial" w:hAnsi="Arial" w:cs="Arial"/>
          <w:sz w:val="22"/>
          <w:szCs w:val="22"/>
        </w:rPr>
        <w:t xml:space="preserve">. </w:t>
      </w:r>
      <w:r w:rsidR="00B27BED">
        <w:rPr>
          <w:rFonts w:ascii="Arial" w:hAnsi="Arial" w:cs="Arial"/>
          <w:sz w:val="22"/>
          <w:szCs w:val="22"/>
        </w:rPr>
        <w:t>In particular, regorafenib inhibits m</w:t>
      </w:r>
      <w:r w:rsidR="00F548A0">
        <w:rPr>
          <w:rFonts w:ascii="Arial" w:hAnsi="Arial" w:cs="Arial"/>
          <w:sz w:val="22"/>
          <w:szCs w:val="22"/>
        </w:rPr>
        <w:t xml:space="preserve">utated KIT, a major oncogenic driver in gastrointestinal stromal tumours and thereby blocks tumour cell proliferation. </w:t>
      </w:r>
      <w:r w:rsidRPr="003A5EE1">
        <w:rPr>
          <w:rFonts w:ascii="Arial" w:hAnsi="Arial" w:cs="Arial"/>
          <w:sz w:val="22"/>
          <w:szCs w:val="22"/>
        </w:rPr>
        <w:t xml:space="preserve">In </w:t>
      </w:r>
      <w:r w:rsidR="00DC4328" w:rsidRPr="003A5EE1">
        <w:rPr>
          <w:rFonts w:ascii="Arial" w:hAnsi="Arial" w:cs="Arial"/>
          <w:sz w:val="22"/>
          <w:szCs w:val="22"/>
        </w:rPr>
        <w:t>non</w:t>
      </w:r>
      <w:r w:rsidRPr="003A5EE1">
        <w:rPr>
          <w:rFonts w:ascii="Arial" w:hAnsi="Arial" w:cs="Arial"/>
          <w:sz w:val="22"/>
          <w:szCs w:val="22"/>
        </w:rPr>
        <w:t>clinical studies regorafenib has demonstrated anti</w:t>
      </w:r>
      <w:r w:rsidR="00EB6DBB" w:rsidRPr="003A5EE1">
        <w:rPr>
          <w:rFonts w:ascii="Arial" w:hAnsi="Arial" w:cs="Arial"/>
          <w:sz w:val="22"/>
          <w:szCs w:val="22"/>
        </w:rPr>
        <w:t>-</w:t>
      </w:r>
      <w:r w:rsidRPr="003A5EE1">
        <w:rPr>
          <w:rFonts w:ascii="Arial" w:hAnsi="Arial" w:cs="Arial"/>
          <w:sz w:val="22"/>
          <w:szCs w:val="22"/>
        </w:rPr>
        <w:t>tumo</w:t>
      </w:r>
      <w:r w:rsidR="000964CC" w:rsidRPr="003A5EE1">
        <w:rPr>
          <w:rFonts w:ascii="Arial" w:hAnsi="Arial" w:cs="Arial"/>
          <w:sz w:val="22"/>
          <w:szCs w:val="22"/>
        </w:rPr>
        <w:t>u</w:t>
      </w:r>
      <w:r w:rsidRPr="003A5EE1">
        <w:rPr>
          <w:rFonts w:ascii="Arial" w:hAnsi="Arial" w:cs="Arial"/>
          <w:sz w:val="22"/>
          <w:szCs w:val="22"/>
        </w:rPr>
        <w:t xml:space="preserve">r activity in a broad spectrum of </w:t>
      </w:r>
      <w:r w:rsidR="00DC4328" w:rsidRPr="003A5EE1">
        <w:rPr>
          <w:rFonts w:ascii="Arial" w:hAnsi="Arial" w:cs="Arial"/>
          <w:i/>
          <w:sz w:val="22"/>
          <w:szCs w:val="22"/>
        </w:rPr>
        <w:t>in vivo</w:t>
      </w:r>
      <w:r w:rsidR="00DC4328" w:rsidRPr="003A5EE1">
        <w:rPr>
          <w:rFonts w:ascii="Arial" w:hAnsi="Arial" w:cs="Arial"/>
          <w:sz w:val="22"/>
          <w:szCs w:val="22"/>
        </w:rPr>
        <w:t xml:space="preserve"> </w:t>
      </w:r>
      <w:r w:rsidRPr="003A5EE1">
        <w:rPr>
          <w:rFonts w:ascii="Arial" w:hAnsi="Arial" w:cs="Arial"/>
          <w:sz w:val="22"/>
          <w:szCs w:val="22"/>
        </w:rPr>
        <w:t>tumo</w:t>
      </w:r>
      <w:r w:rsidR="000964CC" w:rsidRPr="003A5EE1">
        <w:rPr>
          <w:rFonts w:ascii="Arial" w:hAnsi="Arial" w:cs="Arial"/>
          <w:sz w:val="22"/>
          <w:szCs w:val="22"/>
        </w:rPr>
        <w:t>u</w:t>
      </w:r>
      <w:r w:rsidRPr="003A5EE1">
        <w:rPr>
          <w:rFonts w:ascii="Arial" w:hAnsi="Arial" w:cs="Arial"/>
          <w:sz w:val="22"/>
          <w:szCs w:val="22"/>
        </w:rPr>
        <w:t xml:space="preserve">r models </w:t>
      </w:r>
      <w:r w:rsidR="00F548A0">
        <w:rPr>
          <w:rFonts w:ascii="Arial" w:hAnsi="Arial" w:cs="Arial"/>
          <w:sz w:val="22"/>
          <w:szCs w:val="22"/>
        </w:rPr>
        <w:t xml:space="preserve">including </w:t>
      </w:r>
      <w:r w:rsidR="006C3E63">
        <w:rPr>
          <w:rFonts w:ascii="Arial" w:hAnsi="Arial" w:cs="Arial"/>
          <w:sz w:val="22"/>
          <w:szCs w:val="22"/>
        </w:rPr>
        <w:t>colorectal</w:t>
      </w:r>
      <w:r w:rsidR="00655A93">
        <w:rPr>
          <w:rFonts w:ascii="Arial" w:hAnsi="Arial" w:cs="Arial"/>
          <w:sz w:val="22"/>
          <w:szCs w:val="22"/>
        </w:rPr>
        <w:t>,</w:t>
      </w:r>
      <w:r w:rsidR="006C3E63">
        <w:rPr>
          <w:rFonts w:ascii="Arial" w:hAnsi="Arial" w:cs="Arial"/>
          <w:sz w:val="22"/>
          <w:szCs w:val="22"/>
        </w:rPr>
        <w:t xml:space="preserve"> </w:t>
      </w:r>
      <w:r w:rsidR="00F548A0">
        <w:rPr>
          <w:rFonts w:ascii="Arial" w:hAnsi="Arial" w:cs="Arial"/>
          <w:sz w:val="22"/>
          <w:szCs w:val="22"/>
        </w:rPr>
        <w:t xml:space="preserve">gastrointestinal stromal </w:t>
      </w:r>
      <w:r w:rsidR="00655A93">
        <w:rPr>
          <w:rFonts w:ascii="Arial" w:hAnsi="Arial" w:cs="Arial"/>
          <w:sz w:val="22"/>
          <w:szCs w:val="22"/>
        </w:rPr>
        <w:t xml:space="preserve">and hepatocellular </w:t>
      </w:r>
      <w:r w:rsidR="00F548A0">
        <w:rPr>
          <w:rFonts w:ascii="Arial" w:hAnsi="Arial" w:cs="Arial"/>
          <w:sz w:val="22"/>
          <w:szCs w:val="22"/>
        </w:rPr>
        <w:t xml:space="preserve">tumour </w:t>
      </w:r>
      <w:r w:rsidR="00F00CDC">
        <w:rPr>
          <w:rFonts w:ascii="Arial" w:hAnsi="Arial" w:cs="Arial"/>
          <w:sz w:val="22"/>
          <w:szCs w:val="22"/>
        </w:rPr>
        <w:t xml:space="preserve">models </w:t>
      </w:r>
      <w:r w:rsidR="004F2204" w:rsidRPr="003A5EE1">
        <w:rPr>
          <w:rFonts w:ascii="Arial" w:hAnsi="Arial" w:cs="Arial"/>
          <w:sz w:val="22"/>
          <w:szCs w:val="22"/>
        </w:rPr>
        <w:t>presumed</w:t>
      </w:r>
      <w:r w:rsidR="00DC4328" w:rsidRPr="003A5EE1">
        <w:rPr>
          <w:rFonts w:ascii="Arial" w:hAnsi="Arial" w:cs="Arial"/>
          <w:sz w:val="22"/>
          <w:szCs w:val="22"/>
        </w:rPr>
        <w:t xml:space="preserve"> to be </w:t>
      </w:r>
      <w:r w:rsidRPr="003A5EE1">
        <w:rPr>
          <w:rFonts w:ascii="Arial" w:hAnsi="Arial" w:cs="Arial"/>
          <w:sz w:val="22"/>
          <w:szCs w:val="22"/>
        </w:rPr>
        <w:t>mediated both by its anti</w:t>
      </w:r>
      <w:r w:rsidR="00EB6DBB" w:rsidRPr="003A5EE1">
        <w:rPr>
          <w:rFonts w:ascii="Arial" w:hAnsi="Arial" w:cs="Arial"/>
          <w:sz w:val="22"/>
          <w:szCs w:val="22"/>
        </w:rPr>
        <w:t>-</w:t>
      </w:r>
      <w:r w:rsidRPr="003A5EE1">
        <w:rPr>
          <w:rFonts w:ascii="Arial" w:hAnsi="Arial" w:cs="Arial"/>
          <w:sz w:val="22"/>
          <w:szCs w:val="22"/>
        </w:rPr>
        <w:t>angiogenic and anti</w:t>
      </w:r>
      <w:r w:rsidR="00EB6DBB" w:rsidRPr="003A5EE1">
        <w:rPr>
          <w:rFonts w:ascii="Arial" w:hAnsi="Arial" w:cs="Arial"/>
          <w:sz w:val="22"/>
          <w:szCs w:val="22"/>
        </w:rPr>
        <w:t>-</w:t>
      </w:r>
      <w:r w:rsidRPr="003A5EE1">
        <w:rPr>
          <w:rFonts w:ascii="Arial" w:hAnsi="Arial" w:cs="Arial"/>
          <w:sz w:val="22"/>
          <w:szCs w:val="22"/>
        </w:rPr>
        <w:t xml:space="preserve">proliferative effects. In addition, regorafenib </w:t>
      </w:r>
      <w:r w:rsidR="00655A93" w:rsidRPr="00655A93">
        <w:rPr>
          <w:rFonts w:ascii="Arial" w:hAnsi="Arial" w:cs="Arial"/>
          <w:sz w:val="22"/>
          <w:szCs w:val="22"/>
        </w:rPr>
        <w:t xml:space="preserve">reduced the levels of </w:t>
      </w:r>
      <w:r w:rsidR="007B5FBC">
        <w:rPr>
          <w:rFonts w:ascii="Arial" w:hAnsi="Arial" w:cs="Arial"/>
          <w:sz w:val="22"/>
          <w:szCs w:val="22"/>
        </w:rPr>
        <w:t>tumour</w:t>
      </w:r>
      <w:r w:rsidR="00655A93" w:rsidRPr="00655A93">
        <w:rPr>
          <w:rFonts w:ascii="Arial" w:hAnsi="Arial" w:cs="Arial"/>
          <w:sz w:val="22"/>
          <w:szCs w:val="22"/>
        </w:rPr>
        <w:t xml:space="preserve"> associated macrophages and</w:t>
      </w:r>
      <w:r w:rsidR="00655A93">
        <w:rPr>
          <w:rFonts w:ascii="Arial" w:hAnsi="Arial" w:cs="Arial"/>
          <w:sz w:val="22"/>
          <w:szCs w:val="22"/>
        </w:rPr>
        <w:t xml:space="preserve"> </w:t>
      </w:r>
      <w:r w:rsidRPr="003A5EE1">
        <w:rPr>
          <w:rFonts w:ascii="Arial" w:hAnsi="Arial" w:cs="Arial"/>
          <w:sz w:val="22"/>
          <w:szCs w:val="22"/>
        </w:rPr>
        <w:t xml:space="preserve">has shown anti-metastatic effects </w:t>
      </w:r>
      <w:r w:rsidR="004F2204" w:rsidRPr="003A5EE1">
        <w:rPr>
          <w:rFonts w:ascii="Arial" w:hAnsi="Arial" w:cs="Arial"/>
          <w:sz w:val="22"/>
          <w:szCs w:val="22"/>
        </w:rPr>
        <w:t xml:space="preserve">in </w:t>
      </w:r>
      <w:r w:rsidR="00DC4328" w:rsidRPr="003A5EE1">
        <w:rPr>
          <w:rFonts w:ascii="Arial" w:hAnsi="Arial" w:cs="Arial"/>
          <w:sz w:val="22"/>
          <w:szCs w:val="22"/>
        </w:rPr>
        <w:t>breast cancer</w:t>
      </w:r>
      <w:r w:rsidR="00E37F22">
        <w:rPr>
          <w:rFonts w:ascii="Arial" w:hAnsi="Arial" w:cs="Arial"/>
          <w:sz w:val="22"/>
          <w:szCs w:val="22"/>
        </w:rPr>
        <w:t xml:space="preserve"> and</w:t>
      </w:r>
      <w:r w:rsidR="006536F3">
        <w:rPr>
          <w:rFonts w:ascii="Arial" w:hAnsi="Arial" w:cs="Arial"/>
          <w:sz w:val="22"/>
          <w:szCs w:val="22"/>
        </w:rPr>
        <w:t xml:space="preserve"> colorec</w:t>
      </w:r>
      <w:r w:rsidR="00E37F22">
        <w:rPr>
          <w:rFonts w:ascii="Arial" w:hAnsi="Arial" w:cs="Arial"/>
          <w:sz w:val="22"/>
          <w:szCs w:val="22"/>
        </w:rPr>
        <w:t>tal cancer</w:t>
      </w:r>
      <w:r w:rsidR="006536F3">
        <w:rPr>
          <w:rFonts w:ascii="Arial" w:hAnsi="Arial" w:cs="Arial"/>
          <w:sz w:val="22"/>
          <w:szCs w:val="22"/>
        </w:rPr>
        <w:t xml:space="preserve"> </w:t>
      </w:r>
      <w:r w:rsidR="00DC4328" w:rsidRPr="003A5EE1">
        <w:rPr>
          <w:rFonts w:ascii="Arial" w:hAnsi="Arial" w:cs="Arial"/>
          <w:sz w:val="22"/>
          <w:szCs w:val="22"/>
        </w:rPr>
        <w:t>mode</w:t>
      </w:r>
      <w:r w:rsidR="004F2204" w:rsidRPr="003A5EE1">
        <w:rPr>
          <w:rFonts w:ascii="Arial" w:hAnsi="Arial" w:cs="Arial"/>
          <w:sz w:val="22"/>
          <w:szCs w:val="22"/>
        </w:rPr>
        <w:t>ls</w:t>
      </w:r>
      <w:r w:rsidR="00DC4328" w:rsidRPr="003A5EE1">
        <w:rPr>
          <w:rFonts w:ascii="Arial" w:hAnsi="Arial" w:cs="Arial"/>
          <w:sz w:val="22"/>
          <w:szCs w:val="22"/>
        </w:rPr>
        <w:t xml:space="preserve"> </w:t>
      </w:r>
      <w:r w:rsidRPr="003A5EE1">
        <w:rPr>
          <w:rFonts w:ascii="Arial" w:hAnsi="Arial" w:cs="Arial"/>
          <w:i/>
          <w:sz w:val="22"/>
          <w:szCs w:val="22"/>
        </w:rPr>
        <w:t>in vivo</w:t>
      </w:r>
      <w:r w:rsidRPr="003A5EE1">
        <w:rPr>
          <w:rFonts w:ascii="Arial" w:hAnsi="Arial" w:cs="Arial"/>
          <w:sz w:val="22"/>
          <w:szCs w:val="22"/>
        </w:rPr>
        <w:t xml:space="preserve">. Major human metabolites M-2 </w:t>
      </w:r>
      <w:r w:rsidR="00DC4328" w:rsidRPr="003A5EE1">
        <w:rPr>
          <w:rFonts w:ascii="Arial" w:hAnsi="Arial" w:cs="Arial"/>
          <w:sz w:val="22"/>
          <w:szCs w:val="22"/>
        </w:rPr>
        <w:t xml:space="preserve">(N-oxide) </w:t>
      </w:r>
      <w:r w:rsidRPr="003A5EE1">
        <w:rPr>
          <w:rFonts w:ascii="Arial" w:hAnsi="Arial" w:cs="Arial"/>
          <w:sz w:val="22"/>
          <w:szCs w:val="22"/>
        </w:rPr>
        <w:t>and M-5</w:t>
      </w:r>
      <w:r w:rsidR="00DC4328" w:rsidRPr="003A5EE1">
        <w:rPr>
          <w:rFonts w:ascii="Arial" w:hAnsi="Arial" w:cs="Arial"/>
          <w:sz w:val="22"/>
          <w:szCs w:val="22"/>
        </w:rPr>
        <w:t xml:space="preserve"> (N-oxide and </w:t>
      </w:r>
      <w:proofErr w:type="spellStart"/>
      <w:r w:rsidR="00DC4328" w:rsidRPr="003A5EE1">
        <w:rPr>
          <w:rFonts w:ascii="Arial" w:hAnsi="Arial" w:cs="Arial"/>
          <w:sz w:val="22"/>
          <w:szCs w:val="22"/>
        </w:rPr>
        <w:t>desmethyl</w:t>
      </w:r>
      <w:proofErr w:type="spellEnd"/>
      <w:r w:rsidRPr="003A5EE1">
        <w:rPr>
          <w:rFonts w:ascii="Arial" w:hAnsi="Arial" w:cs="Arial"/>
          <w:sz w:val="22"/>
          <w:szCs w:val="22"/>
        </w:rPr>
        <w:t>) exhibited similar efficacies to regorafenib</w:t>
      </w:r>
      <w:r w:rsidR="00D8674D" w:rsidRPr="003A5EE1">
        <w:rPr>
          <w:rFonts w:ascii="Arial" w:hAnsi="Arial" w:cs="Arial"/>
          <w:sz w:val="22"/>
          <w:szCs w:val="22"/>
        </w:rPr>
        <w:t xml:space="preserve"> </w:t>
      </w:r>
      <w:r w:rsidR="001E1758" w:rsidRPr="003A5EE1">
        <w:rPr>
          <w:rFonts w:ascii="Arial" w:hAnsi="Arial" w:cs="Arial"/>
          <w:sz w:val="22"/>
          <w:szCs w:val="22"/>
        </w:rPr>
        <w:t>in</w:t>
      </w:r>
      <w:r w:rsidRPr="003A5EE1">
        <w:rPr>
          <w:rFonts w:ascii="Arial" w:hAnsi="Arial" w:cs="Arial"/>
          <w:sz w:val="22"/>
          <w:szCs w:val="22"/>
        </w:rPr>
        <w:t xml:space="preserve"> </w:t>
      </w:r>
      <w:r w:rsidRPr="003A5EE1">
        <w:rPr>
          <w:rFonts w:ascii="Arial" w:hAnsi="Arial" w:cs="Arial"/>
          <w:i/>
          <w:sz w:val="22"/>
          <w:szCs w:val="22"/>
        </w:rPr>
        <w:t>in vitro</w:t>
      </w:r>
      <w:r w:rsidRPr="003A5EE1">
        <w:rPr>
          <w:rFonts w:ascii="Arial" w:hAnsi="Arial" w:cs="Arial"/>
          <w:sz w:val="22"/>
          <w:szCs w:val="22"/>
        </w:rPr>
        <w:t xml:space="preserve"> and </w:t>
      </w:r>
      <w:r w:rsidRPr="003A5EE1">
        <w:rPr>
          <w:rFonts w:ascii="Arial" w:hAnsi="Arial" w:cs="Arial"/>
          <w:i/>
          <w:sz w:val="22"/>
          <w:szCs w:val="22"/>
        </w:rPr>
        <w:t xml:space="preserve">in vivo </w:t>
      </w:r>
      <w:r w:rsidRPr="003A5EE1">
        <w:rPr>
          <w:rFonts w:ascii="Arial" w:hAnsi="Arial" w:cs="Arial"/>
          <w:sz w:val="22"/>
          <w:szCs w:val="22"/>
        </w:rPr>
        <w:t>models.</w:t>
      </w:r>
    </w:p>
    <w:p w14:paraId="712C268E" w14:textId="77777777" w:rsidR="001D1004" w:rsidRPr="00F4557E" w:rsidRDefault="001D1004" w:rsidP="00F4557E">
      <w:pPr>
        <w:pStyle w:val="Heading2"/>
        <w:rPr>
          <w:rFonts w:ascii="Arial" w:hAnsi="Arial" w:cs="Arial"/>
          <w:bCs/>
          <w:noProof/>
          <w:sz w:val="22"/>
          <w:szCs w:val="22"/>
        </w:rPr>
      </w:pPr>
      <w:r w:rsidRPr="003A5EE1">
        <w:rPr>
          <w:rFonts w:ascii="Arial" w:hAnsi="Arial" w:cs="Arial"/>
          <w:bCs/>
          <w:noProof/>
          <w:sz w:val="22"/>
          <w:szCs w:val="22"/>
        </w:rPr>
        <w:t>Pharmacokinetic</w:t>
      </w:r>
      <w:r w:rsidR="00762FB9" w:rsidRPr="003A5EE1">
        <w:rPr>
          <w:rFonts w:ascii="Arial" w:hAnsi="Arial" w:cs="Arial"/>
          <w:bCs/>
          <w:noProof/>
          <w:sz w:val="22"/>
          <w:szCs w:val="22"/>
        </w:rPr>
        <w:t>s</w:t>
      </w:r>
    </w:p>
    <w:p w14:paraId="712C2690" w14:textId="77777777" w:rsidR="001D1004" w:rsidRPr="003A5EE1" w:rsidRDefault="000370B3"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 xml:space="preserve">Absorption </w:t>
      </w:r>
    </w:p>
    <w:p w14:paraId="712C2691" w14:textId="77777777" w:rsidR="001F55B3" w:rsidRPr="003A5EE1" w:rsidRDefault="001F55B3" w:rsidP="0090345C">
      <w:pPr>
        <w:keepNext/>
        <w:ind w:right="46"/>
        <w:jc w:val="both"/>
        <w:rPr>
          <w:rFonts w:ascii="Arial" w:hAnsi="Arial" w:cs="Arial"/>
          <w:b/>
          <w:i/>
          <w:sz w:val="22"/>
          <w:szCs w:val="22"/>
          <w:lang w:val="en-AU"/>
        </w:rPr>
      </w:pPr>
    </w:p>
    <w:p w14:paraId="712C2692" w14:textId="77777777" w:rsidR="000370B3" w:rsidRPr="003A5EE1" w:rsidRDefault="000370B3" w:rsidP="00CF7423">
      <w:pPr>
        <w:pStyle w:val="BayerBodyTextFull"/>
        <w:tabs>
          <w:tab w:val="left" w:pos="1418"/>
        </w:tabs>
        <w:spacing w:before="0" w:after="0"/>
        <w:rPr>
          <w:rFonts w:ascii="Arial" w:hAnsi="Arial" w:cs="Arial"/>
          <w:iCs/>
          <w:sz w:val="22"/>
          <w:szCs w:val="22"/>
          <w:lang w:val="en-GB"/>
        </w:rPr>
      </w:pPr>
      <w:r w:rsidRPr="003A5EE1">
        <w:rPr>
          <w:rFonts w:ascii="Arial" w:hAnsi="Arial" w:cs="Arial"/>
          <w:sz w:val="22"/>
          <w:szCs w:val="22"/>
        </w:rPr>
        <w:t xml:space="preserve">Regorafenib reaches </w:t>
      </w:r>
      <w:r w:rsidR="00614A2E" w:rsidRPr="003A5EE1">
        <w:rPr>
          <w:rFonts w:ascii="Arial" w:hAnsi="Arial" w:cs="Arial"/>
          <w:sz w:val="22"/>
          <w:szCs w:val="22"/>
        </w:rPr>
        <w:t>mean peak plasma levels of approximately 2.5 mg/L at approximately</w:t>
      </w:r>
      <w:r w:rsidRPr="003A5EE1">
        <w:rPr>
          <w:rFonts w:ascii="Arial" w:hAnsi="Arial" w:cs="Arial"/>
          <w:sz w:val="22"/>
          <w:szCs w:val="22"/>
        </w:rPr>
        <w:t xml:space="preserve"> </w:t>
      </w:r>
      <w:r w:rsidR="007B431E" w:rsidRPr="003A5EE1">
        <w:rPr>
          <w:rFonts w:ascii="Arial" w:hAnsi="Arial" w:cs="Arial"/>
          <w:sz w:val="22"/>
          <w:szCs w:val="22"/>
        </w:rPr>
        <w:t>three</w:t>
      </w:r>
      <w:r w:rsidRPr="003A5EE1">
        <w:rPr>
          <w:rFonts w:ascii="Arial" w:hAnsi="Arial" w:cs="Arial"/>
          <w:sz w:val="22"/>
          <w:szCs w:val="22"/>
        </w:rPr>
        <w:t xml:space="preserve"> to </w:t>
      </w:r>
      <w:r w:rsidR="007B431E" w:rsidRPr="003A5EE1">
        <w:rPr>
          <w:rFonts w:ascii="Arial" w:hAnsi="Arial" w:cs="Arial"/>
          <w:sz w:val="22"/>
          <w:szCs w:val="22"/>
        </w:rPr>
        <w:t>four</w:t>
      </w:r>
      <w:r w:rsidRPr="003A5EE1">
        <w:rPr>
          <w:rFonts w:ascii="Arial" w:hAnsi="Arial" w:cs="Arial"/>
          <w:sz w:val="22"/>
          <w:szCs w:val="22"/>
        </w:rPr>
        <w:t xml:space="preserve"> hours</w:t>
      </w:r>
      <w:r w:rsidRPr="003A5EE1">
        <w:rPr>
          <w:rFonts w:ascii="Arial" w:hAnsi="Arial" w:cs="Arial"/>
          <w:iCs/>
          <w:sz w:val="22"/>
          <w:szCs w:val="22"/>
          <w:lang w:val="en-GB"/>
        </w:rPr>
        <w:t xml:space="preserve"> after </w:t>
      </w:r>
      <w:r w:rsidR="00614A2E" w:rsidRPr="003A5EE1">
        <w:rPr>
          <w:rFonts w:ascii="Arial" w:hAnsi="Arial" w:cs="Arial"/>
          <w:iCs/>
          <w:sz w:val="22"/>
          <w:szCs w:val="22"/>
          <w:lang w:val="en-GB"/>
        </w:rPr>
        <w:t xml:space="preserve">a </w:t>
      </w:r>
      <w:r w:rsidRPr="003A5EE1">
        <w:rPr>
          <w:rFonts w:ascii="Arial" w:hAnsi="Arial" w:cs="Arial"/>
          <w:iCs/>
          <w:sz w:val="22"/>
          <w:szCs w:val="22"/>
          <w:lang w:val="en-GB"/>
        </w:rPr>
        <w:t>single oral dose</w:t>
      </w:r>
      <w:r w:rsidRPr="003A5EE1">
        <w:rPr>
          <w:rFonts w:ascii="Arial" w:hAnsi="Arial" w:cs="Arial"/>
          <w:sz w:val="22"/>
          <w:szCs w:val="22"/>
        </w:rPr>
        <w:t xml:space="preserve"> of 160 mg regorafenib </w:t>
      </w:r>
      <w:r w:rsidR="00614A2E" w:rsidRPr="003A5EE1">
        <w:rPr>
          <w:rFonts w:ascii="Arial" w:hAnsi="Arial" w:cs="Arial"/>
          <w:sz w:val="22"/>
          <w:szCs w:val="22"/>
        </w:rPr>
        <w:t xml:space="preserve">(given as </w:t>
      </w:r>
      <w:r w:rsidR="007B431E" w:rsidRPr="003A5EE1">
        <w:rPr>
          <w:rFonts w:ascii="Arial" w:hAnsi="Arial" w:cs="Arial"/>
          <w:sz w:val="22"/>
          <w:szCs w:val="22"/>
        </w:rPr>
        <w:t>four</w:t>
      </w:r>
      <w:r w:rsidRPr="003A5EE1">
        <w:rPr>
          <w:rFonts w:ascii="Arial" w:hAnsi="Arial" w:cs="Arial"/>
          <w:sz w:val="22"/>
          <w:szCs w:val="22"/>
        </w:rPr>
        <w:t xml:space="preserve"> tablets each containing 40 mg</w:t>
      </w:r>
      <w:r w:rsidR="00614A2E" w:rsidRPr="003A5EE1">
        <w:rPr>
          <w:rFonts w:ascii="Arial" w:hAnsi="Arial" w:cs="Arial"/>
          <w:sz w:val="22"/>
          <w:szCs w:val="22"/>
        </w:rPr>
        <w:t>)</w:t>
      </w:r>
      <w:r w:rsidRPr="003A5EE1">
        <w:rPr>
          <w:rFonts w:ascii="Arial" w:hAnsi="Arial" w:cs="Arial"/>
          <w:sz w:val="22"/>
          <w:szCs w:val="22"/>
        </w:rPr>
        <w:t>.</w:t>
      </w:r>
      <w:r w:rsidRPr="003A5EE1">
        <w:rPr>
          <w:rFonts w:ascii="Arial" w:hAnsi="Arial" w:cs="Arial"/>
          <w:iCs/>
          <w:sz w:val="22"/>
          <w:szCs w:val="22"/>
          <w:lang w:val="en-GB"/>
        </w:rPr>
        <w:t xml:space="preserve"> The mean relative bioavailability of </w:t>
      </w:r>
      <w:r w:rsidR="00614A2E" w:rsidRPr="003A5EE1">
        <w:rPr>
          <w:rFonts w:ascii="Arial" w:hAnsi="Arial" w:cs="Arial"/>
          <w:iCs/>
          <w:sz w:val="22"/>
          <w:szCs w:val="22"/>
          <w:lang w:val="en-GB"/>
        </w:rPr>
        <w:t xml:space="preserve">the </w:t>
      </w:r>
      <w:r w:rsidRPr="003A5EE1">
        <w:rPr>
          <w:rFonts w:ascii="Arial" w:hAnsi="Arial" w:cs="Arial"/>
          <w:iCs/>
          <w:sz w:val="22"/>
          <w:szCs w:val="22"/>
          <w:lang w:val="en-GB"/>
        </w:rPr>
        <w:t>tablets compared to an oral solution is 69-83%.</w:t>
      </w:r>
    </w:p>
    <w:p w14:paraId="712C2693" w14:textId="77777777" w:rsidR="0090345C" w:rsidRPr="003A5EE1" w:rsidRDefault="0090345C" w:rsidP="00CF7423">
      <w:pPr>
        <w:pStyle w:val="BayerBodyTextFull"/>
        <w:tabs>
          <w:tab w:val="left" w:pos="1418"/>
        </w:tabs>
        <w:spacing w:before="0" w:after="0"/>
        <w:rPr>
          <w:rFonts w:ascii="Arial" w:hAnsi="Arial" w:cs="Arial"/>
          <w:iCs/>
          <w:sz w:val="22"/>
          <w:szCs w:val="22"/>
          <w:lang w:val="en-GB"/>
        </w:rPr>
      </w:pPr>
    </w:p>
    <w:p w14:paraId="712C2694" w14:textId="5A9FC3FE" w:rsidR="00F24007" w:rsidRPr="003A5EE1" w:rsidRDefault="00614A2E" w:rsidP="00CF7423">
      <w:pPr>
        <w:keepNext/>
        <w:ind w:right="46"/>
        <w:rPr>
          <w:rFonts w:ascii="Arial" w:hAnsi="Arial" w:cs="Arial"/>
          <w:color w:val="FF0000"/>
          <w:sz w:val="22"/>
          <w:szCs w:val="22"/>
        </w:rPr>
      </w:pPr>
      <w:r w:rsidRPr="003A5EE1">
        <w:rPr>
          <w:rFonts w:ascii="Arial" w:hAnsi="Arial" w:cs="Arial"/>
          <w:sz w:val="22"/>
          <w:szCs w:val="22"/>
        </w:rPr>
        <w:t>The concentration</w:t>
      </w:r>
      <w:r w:rsidR="000370B3" w:rsidRPr="003A5EE1">
        <w:rPr>
          <w:rFonts w:ascii="Arial" w:hAnsi="Arial" w:cs="Arial"/>
          <w:sz w:val="22"/>
          <w:szCs w:val="22"/>
        </w:rPr>
        <w:t xml:space="preserve"> of regorafenib and its major </w:t>
      </w:r>
      <w:r w:rsidR="009954BE" w:rsidRPr="003A5EE1">
        <w:rPr>
          <w:rFonts w:ascii="Arial" w:hAnsi="Arial" w:cs="Arial"/>
          <w:sz w:val="22"/>
          <w:szCs w:val="22"/>
        </w:rPr>
        <w:t xml:space="preserve">pharmacologically active </w:t>
      </w:r>
      <w:r w:rsidR="000370B3" w:rsidRPr="003A5EE1">
        <w:rPr>
          <w:rFonts w:ascii="Arial" w:hAnsi="Arial" w:cs="Arial"/>
          <w:sz w:val="22"/>
          <w:szCs w:val="22"/>
        </w:rPr>
        <w:t>metabolites</w:t>
      </w:r>
      <w:r w:rsidR="009954BE" w:rsidRPr="003A5EE1">
        <w:rPr>
          <w:rFonts w:ascii="Arial" w:hAnsi="Arial" w:cs="Arial"/>
          <w:sz w:val="22"/>
          <w:szCs w:val="22"/>
        </w:rPr>
        <w:t xml:space="preserve"> M-2 (N-oxide) and M-5 (N-oxide and N-</w:t>
      </w:r>
      <w:proofErr w:type="spellStart"/>
      <w:r w:rsidR="009954BE" w:rsidRPr="003A5EE1">
        <w:rPr>
          <w:rFonts w:ascii="Arial" w:hAnsi="Arial" w:cs="Arial"/>
          <w:sz w:val="22"/>
          <w:szCs w:val="22"/>
        </w:rPr>
        <w:t>desmethyl</w:t>
      </w:r>
      <w:proofErr w:type="spellEnd"/>
      <w:r w:rsidR="009954BE" w:rsidRPr="003A5EE1">
        <w:rPr>
          <w:rFonts w:ascii="Arial" w:hAnsi="Arial" w:cs="Arial"/>
          <w:sz w:val="22"/>
          <w:szCs w:val="22"/>
        </w:rPr>
        <w:t xml:space="preserve">) </w:t>
      </w:r>
      <w:r w:rsidR="000370B3" w:rsidRPr="003A5EE1">
        <w:rPr>
          <w:rFonts w:ascii="Arial" w:hAnsi="Arial" w:cs="Arial"/>
          <w:sz w:val="22"/>
          <w:szCs w:val="22"/>
        </w:rPr>
        <w:t>were highest when given after a low</w:t>
      </w:r>
      <w:r w:rsidR="000370B3" w:rsidRPr="003A5EE1">
        <w:rPr>
          <w:rFonts w:ascii="Arial" w:hAnsi="Arial" w:cs="Arial"/>
          <w:sz w:val="22"/>
          <w:szCs w:val="22"/>
        </w:rPr>
        <w:noBreakHyphen/>
        <w:t xml:space="preserve">fat (light) breakfast compared to either a high-fat breakfast or fasting condition. The exposure for regorafenib </w:t>
      </w:r>
      <w:r w:rsidR="009954BE" w:rsidRPr="003A5EE1">
        <w:rPr>
          <w:rFonts w:ascii="Arial" w:hAnsi="Arial" w:cs="Arial"/>
          <w:sz w:val="22"/>
          <w:szCs w:val="22"/>
        </w:rPr>
        <w:t>was increased by 48% when administered with a high-fat breakfast, and 36% when administered with a low fat breakfast, compared to fasting. The exposures of metabolite M-2 and M-5 were higher when regorafenib is given with low fat breakfast as compared to fasting condition and lower when given with a high fat meal as compared to fasting.</w:t>
      </w:r>
    </w:p>
    <w:p w14:paraId="712C2696" w14:textId="77777777" w:rsidR="001D1004" w:rsidRPr="003A5EE1" w:rsidRDefault="001D1004"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Distribution</w:t>
      </w:r>
    </w:p>
    <w:p w14:paraId="712C2697" w14:textId="77777777" w:rsidR="001F55B3" w:rsidRPr="003A5EE1" w:rsidRDefault="001F55B3" w:rsidP="00CF7423">
      <w:pPr>
        <w:keepNext/>
        <w:ind w:right="46"/>
        <w:rPr>
          <w:rFonts w:ascii="Arial" w:hAnsi="Arial" w:cs="Arial"/>
          <w:b/>
          <w:i/>
          <w:sz w:val="22"/>
          <w:szCs w:val="22"/>
          <w:lang w:val="en-AU"/>
        </w:rPr>
      </w:pPr>
    </w:p>
    <w:p w14:paraId="712C2698" w14:textId="77777777" w:rsidR="000370B3" w:rsidRPr="003A5EE1" w:rsidRDefault="000370B3" w:rsidP="00CF7423">
      <w:pPr>
        <w:keepNext/>
        <w:ind w:right="46"/>
        <w:rPr>
          <w:rFonts w:ascii="Arial" w:hAnsi="Arial" w:cs="Arial"/>
          <w:sz w:val="22"/>
          <w:szCs w:val="22"/>
        </w:rPr>
      </w:pPr>
      <w:r w:rsidRPr="003A5EE1">
        <w:rPr>
          <w:rFonts w:ascii="Arial" w:hAnsi="Arial" w:cs="Arial"/>
          <w:sz w:val="22"/>
          <w:szCs w:val="22"/>
        </w:rPr>
        <w:t>P</w:t>
      </w:r>
      <w:r w:rsidRPr="003A5EE1">
        <w:rPr>
          <w:rFonts w:ascii="Arial" w:hAnsi="Arial" w:cs="Arial"/>
          <w:iCs/>
          <w:sz w:val="22"/>
          <w:szCs w:val="22"/>
        </w:rPr>
        <w:t>lasma concentration-time profiles for regorafenib as well as for the major circulating metabolites showed multiple peaks across th</w:t>
      </w:r>
      <w:r w:rsidR="00614A2E" w:rsidRPr="003A5EE1">
        <w:rPr>
          <w:rFonts w:ascii="Arial" w:hAnsi="Arial" w:cs="Arial"/>
          <w:iCs/>
          <w:sz w:val="22"/>
          <w:szCs w:val="22"/>
        </w:rPr>
        <w:t>e 24-hour dosing interval and can be</w:t>
      </w:r>
      <w:r w:rsidRPr="003A5EE1">
        <w:rPr>
          <w:rFonts w:ascii="Arial" w:hAnsi="Arial" w:cs="Arial"/>
          <w:iCs/>
          <w:sz w:val="22"/>
          <w:szCs w:val="22"/>
        </w:rPr>
        <w:t xml:space="preserve"> attributed to e</w:t>
      </w:r>
      <w:r w:rsidRPr="003A5EE1">
        <w:rPr>
          <w:rFonts w:ascii="Arial" w:hAnsi="Arial" w:cs="Arial"/>
          <w:sz w:val="22"/>
          <w:szCs w:val="22"/>
        </w:rPr>
        <w:t xml:space="preserve">nterohepatic circulation. </w:t>
      </w:r>
      <w:r w:rsidR="009954BE" w:rsidRPr="003A5EE1">
        <w:rPr>
          <w:rFonts w:ascii="Arial" w:hAnsi="Arial" w:cs="Arial"/>
          <w:i/>
          <w:sz w:val="22"/>
          <w:szCs w:val="22"/>
        </w:rPr>
        <w:t>In vitro</w:t>
      </w:r>
      <w:r w:rsidR="009954BE" w:rsidRPr="003A5EE1">
        <w:rPr>
          <w:rFonts w:ascii="Arial" w:hAnsi="Arial" w:cs="Arial"/>
          <w:sz w:val="22"/>
          <w:szCs w:val="22"/>
        </w:rPr>
        <w:t xml:space="preserve"> protein binding of r</w:t>
      </w:r>
      <w:r w:rsidRPr="003A5EE1">
        <w:rPr>
          <w:rFonts w:ascii="Arial" w:hAnsi="Arial" w:cs="Arial"/>
          <w:sz w:val="22"/>
          <w:szCs w:val="22"/>
        </w:rPr>
        <w:t>egorafenib to human plasma proteins</w:t>
      </w:r>
      <w:r w:rsidR="009954BE" w:rsidRPr="003A5EE1">
        <w:rPr>
          <w:rFonts w:ascii="Arial" w:hAnsi="Arial" w:cs="Arial"/>
          <w:sz w:val="22"/>
          <w:szCs w:val="22"/>
        </w:rPr>
        <w:t xml:space="preserve"> is high (99.5%)</w:t>
      </w:r>
      <w:r w:rsidRPr="003A5EE1">
        <w:rPr>
          <w:rFonts w:ascii="Arial" w:hAnsi="Arial" w:cs="Arial"/>
          <w:sz w:val="22"/>
          <w:szCs w:val="22"/>
        </w:rPr>
        <w:t>.</w:t>
      </w:r>
    </w:p>
    <w:p w14:paraId="712C269A" w14:textId="77777777" w:rsidR="001D1004" w:rsidRPr="003A5EE1" w:rsidRDefault="000370B3"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 xml:space="preserve">Metabolism </w:t>
      </w:r>
    </w:p>
    <w:p w14:paraId="712C269B" w14:textId="77777777" w:rsidR="001F55B3" w:rsidRPr="003A5EE1" w:rsidRDefault="001F55B3" w:rsidP="00CF7423">
      <w:pPr>
        <w:keepNext/>
        <w:ind w:right="46"/>
        <w:rPr>
          <w:rFonts w:ascii="Arial" w:hAnsi="Arial" w:cs="Arial"/>
          <w:b/>
          <w:i/>
          <w:sz w:val="22"/>
          <w:szCs w:val="22"/>
          <w:lang w:val="en-AU"/>
        </w:rPr>
      </w:pPr>
    </w:p>
    <w:p w14:paraId="712C269C" w14:textId="6A6700D1" w:rsidR="000370B3" w:rsidRPr="003A5EE1" w:rsidRDefault="000370B3" w:rsidP="00CF7423">
      <w:pPr>
        <w:pStyle w:val="BayerBodyTextFull"/>
        <w:spacing w:before="0" w:after="0"/>
        <w:rPr>
          <w:rFonts w:ascii="Arial" w:hAnsi="Arial" w:cs="Arial"/>
          <w:iCs/>
          <w:sz w:val="22"/>
          <w:szCs w:val="22"/>
          <w:lang w:val="en-GB"/>
        </w:rPr>
      </w:pPr>
      <w:r w:rsidRPr="003A5EE1">
        <w:rPr>
          <w:rFonts w:ascii="Arial" w:hAnsi="Arial" w:cs="Arial"/>
          <w:sz w:val="22"/>
          <w:szCs w:val="22"/>
        </w:rPr>
        <w:t>Regora</w:t>
      </w:r>
      <w:r w:rsidR="0090345C" w:rsidRPr="003A5EE1">
        <w:rPr>
          <w:rFonts w:ascii="Arial" w:hAnsi="Arial" w:cs="Arial"/>
          <w:sz w:val="22"/>
          <w:szCs w:val="22"/>
        </w:rPr>
        <w:t>fenib is metabolis</w:t>
      </w:r>
      <w:r w:rsidRPr="003A5EE1">
        <w:rPr>
          <w:rFonts w:ascii="Arial" w:hAnsi="Arial" w:cs="Arial"/>
          <w:sz w:val="22"/>
          <w:szCs w:val="22"/>
        </w:rPr>
        <w:t>ed primarily in the liver by oxidative metabolism mediated by CYP3A4, as well as by glucuronidation mediated by UGT1A9.</w:t>
      </w:r>
      <w:r w:rsidRPr="003A5EE1">
        <w:rPr>
          <w:rStyle w:val="EndnoteReference"/>
          <w:rFonts w:ascii="Arial" w:hAnsi="Arial" w:cs="Arial"/>
          <w:sz w:val="22"/>
          <w:szCs w:val="22"/>
        </w:rPr>
        <w:t xml:space="preserve"> </w:t>
      </w:r>
      <w:r w:rsidRPr="003A5EE1">
        <w:rPr>
          <w:rFonts w:ascii="Arial" w:hAnsi="Arial" w:cs="Arial"/>
          <w:sz w:val="22"/>
          <w:szCs w:val="22"/>
          <w:lang w:val="en-GB"/>
        </w:rPr>
        <w:t>Two major and six minor metabolites of regorafenib have been identified in plasma. The main circulating metabolites of regorafenib in human plasma are M-2 (N-oxide) and M-5 (N-oxide and N-</w:t>
      </w:r>
      <w:proofErr w:type="spellStart"/>
      <w:r w:rsidRPr="003A5EE1">
        <w:rPr>
          <w:rFonts w:ascii="Arial" w:hAnsi="Arial" w:cs="Arial"/>
          <w:sz w:val="22"/>
          <w:szCs w:val="22"/>
          <w:lang w:val="en-GB"/>
        </w:rPr>
        <w:t>desmethyl</w:t>
      </w:r>
      <w:proofErr w:type="spellEnd"/>
      <w:r w:rsidRPr="003A5EE1">
        <w:rPr>
          <w:rFonts w:ascii="Arial" w:hAnsi="Arial" w:cs="Arial"/>
          <w:sz w:val="22"/>
          <w:szCs w:val="22"/>
          <w:lang w:val="en-GB"/>
        </w:rPr>
        <w:t xml:space="preserve">), which are pharmacologically active and have similar concentrations as regorafenib at steady state. </w:t>
      </w:r>
      <w:r w:rsidR="009954BE" w:rsidRPr="003A5EE1">
        <w:rPr>
          <w:rFonts w:ascii="Arial" w:hAnsi="Arial" w:cs="Arial"/>
          <w:i/>
          <w:sz w:val="22"/>
          <w:szCs w:val="22"/>
          <w:lang w:val="en-GB"/>
        </w:rPr>
        <w:t>In vitro</w:t>
      </w:r>
      <w:r w:rsidR="009954BE" w:rsidRPr="003A5EE1">
        <w:rPr>
          <w:rFonts w:ascii="Arial" w:hAnsi="Arial" w:cs="Arial"/>
          <w:sz w:val="22"/>
          <w:szCs w:val="22"/>
          <w:lang w:val="en-GB"/>
        </w:rPr>
        <w:t xml:space="preserve"> p</w:t>
      </w:r>
      <w:r w:rsidRPr="003A5EE1">
        <w:rPr>
          <w:rFonts w:ascii="Arial" w:hAnsi="Arial" w:cs="Arial"/>
          <w:iCs/>
          <w:sz w:val="22"/>
          <w:szCs w:val="22"/>
          <w:lang w:val="en-GB"/>
        </w:rPr>
        <w:t>rotein binding of M-2 and M-5 is higher (</w:t>
      </w:r>
      <w:r w:rsidRPr="003A5EE1">
        <w:rPr>
          <w:rFonts w:ascii="Arial" w:hAnsi="Arial" w:cs="Arial"/>
          <w:sz w:val="22"/>
          <w:szCs w:val="22"/>
        </w:rPr>
        <w:t>99.8% and 99.95%, respectively)</w:t>
      </w:r>
      <w:r w:rsidRPr="003A5EE1">
        <w:rPr>
          <w:rFonts w:ascii="Arial" w:hAnsi="Arial" w:cs="Arial"/>
          <w:iCs/>
          <w:sz w:val="22"/>
          <w:szCs w:val="22"/>
          <w:lang w:val="en-GB"/>
        </w:rPr>
        <w:t xml:space="preserve"> t</w:t>
      </w:r>
      <w:r w:rsidR="0090345C" w:rsidRPr="003A5EE1">
        <w:rPr>
          <w:rFonts w:ascii="Arial" w:hAnsi="Arial" w:cs="Arial"/>
          <w:iCs/>
          <w:sz w:val="22"/>
          <w:szCs w:val="22"/>
          <w:lang w:val="en-GB"/>
        </w:rPr>
        <w:t xml:space="preserve">han </w:t>
      </w:r>
      <w:r w:rsidRPr="003A5EE1">
        <w:rPr>
          <w:rFonts w:ascii="Arial" w:hAnsi="Arial" w:cs="Arial"/>
          <w:iCs/>
          <w:sz w:val="22"/>
          <w:szCs w:val="22"/>
          <w:lang w:val="en-GB"/>
        </w:rPr>
        <w:t>regorafenib</w:t>
      </w:r>
      <w:r w:rsidR="003E1478">
        <w:rPr>
          <w:rFonts w:ascii="Arial" w:hAnsi="Arial" w:cs="Arial"/>
          <w:iCs/>
          <w:sz w:val="22"/>
          <w:szCs w:val="22"/>
          <w:lang w:val="en-GB"/>
        </w:rPr>
        <w:t xml:space="preserve"> (99.5%)</w:t>
      </w:r>
      <w:r w:rsidRPr="003A5EE1">
        <w:rPr>
          <w:rFonts w:ascii="Arial" w:hAnsi="Arial" w:cs="Arial"/>
          <w:iCs/>
          <w:sz w:val="22"/>
          <w:szCs w:val="22"/>
          <w:lang w:val="en-GB"/>
        </w:rPr>
        <w:t>.</w:t>
      </w:r>
    </w:p>
    <w:p w14:paraId="712C269D" w14:textId="77777777" w:rsidR="008C7826" w:rsidRPr="003A5EE1" w:rsidRDefault="008C7826" w:rsidP="00CF7423">
      <w:pPr>
        <w:pStyle w:val="BayerBodyTextFull"/>
        <w:spacing w:before="0" w:after="0"/>
        <w:rPr>
          <w:rFonts w:ascii="Arial" w:hAnsi="Arial" w:cs="Arial"/>
          <w:iCs/>
          <w:sz w:val="22"/>
          <w:szCs w:val="22"/>
          <w:lang w:val="en-GB"/>
        </w:rPr>
      </w:pPr>
    </w:p>
    <w:p w14:paraId="712C269E" w14:textId="478C61B4" w:rsidR="000370B3" w:rsidRDefault="009954BE" w:rsidP="00CF7423">
      <w:pPr>
        <w:keepNext/>
        <w:ind w:right="46"/>
        <w:rPr>
          <w:rFonts w:ascii="Arial" w:hAnsi="Arial" w:cs="Arial"/>
          <w:sz w:val="22"/>
          <w:szCs w:val="22"/>
        </w:rPr>
      </w:pPr>
      <w:r w:rsidRPr="003A5EE1">
        <w:rPr>
          <w:rFonts w:ascii="Arial" w:hAnsi="Arial" w:cs="Arial"/>
          <w:sz w:val="22"/>
          <w:szCs w:val="22"/>
        </w:rPr>
        <w:lastRenderedPageBreak/>
        <w:t>M</w:t>
      </w:r>
      <w:r w:rsidR="000370B3" w:rsidRPr="003A5EE1">
        <w:rPr>
          <w:rFonts w:ascii="Arial" w:hAnsi="Arial" w:cs="Arial"/>
          <w:sz w:val="22"/>
          <w:szCs w:val="22"/>
        </w:rPr>
        <w:t>etabo</w:t>
      </w:r>
      <w:r w:rsidR="0090345C" w:rsidRPr="003A5EE1">
        <w:rPr>
          <w:rFonts w:ascii="Arial" w:hAnsi="Arial" w:cs="Arial"/>
          <w:sz w:val="22"/>
          <w:szCs w:val="22"/>
        </w:rPr>
        <w:t>lites may be reduced or hydrolys</w:t>
      </w:r>
      <w:r w:rsidR="000370B3" w:rsidRPr="003A5EE1">
        <w:rPr>
          <w:rFonts w:ascii="Arial" w:hAnsi="Arial" w:cs="Arial"/>
          <w:sz w:val="22"/>
          <w:szCs w:val="22"/>
        </w:rPr>
        <w:t>ed in the gastrointestinal tract by microbial flora, allowing reabsorption of the unconjugated drug and metabolites (enterohepatic circulation).</w:t>
      </w:r>
      <w:r w:rsidR="003E1478" w:rsidRPr="003E1478">
        <w:t xml:space="preserve"> </w:t>
      </w:r>
      <w:r w:rsidR="003E1478" w:rsidRPr="003E1478">
        <w:rPr>
          <w:rFonts w:ascii="Arial" w:hAnsi="Arial" w:cs="Arial"/>
          <w:sz w:val="22"/>
          <w:szCs w:val="22"/>
        </w:rPr>
        <w:t>Co-administration of a single dose of regorafenib after pre-treatment with neomycin (a poorly absorbed antimicrobial agent that eradicates the gastrointestinal microflora) had no significant effect on the exposure of regorafenib. There was a decrease in the exposure of M-2 and M-5 by 76% and 86%, respectively</w:t>
      </w:r>
      <w:r w:rsidR="003E1478">
        <w:rPr>
          <w:rFonts w:ascii="Arial" w:hAnsi="Arial" w:cs="Arial"/>
          <w:sz w:val="22"/>
          <w:szCs w:val="22"/>
        </w:rPr>
        <w:t>.</w:t>
      </w:r>
    </w:p>
    <w:p w14:paraId="712C26A0" w14:textId="77777777" w:rsidR="000370B3" w:rsidRPr="00F4557E" w:rsidRDefault="000370B3" w:rsidP="00F4557E">
      <w:pPr>
        <w:pStyle w:val="Default"/>
        <w:keepNext/>
        <w:widowControl/>
        <w:spacing w:before="240"/>
        <w:ind w:right="46"/>
        <w:jc w:val="both"/>
        <w:outlineLvl w:val="2"/>
        <w:rPr>
          <w:rFonts w:ascii="Arial" w:hAnsi="Arial" w:cs="Arial"/>
          <w:b/>
          <w:i/>
          <w:sz w:val="22"/>
          <w:szCs w:val="22"/>
          <w:lang w:val="en-AU"/>
        </w:rPr>
      </w:pPr>
      <w:r w:rsidRPr="00F4557E">
        <w:rPr>
          <w:rFonts w:ascii="Arial" w:hAnsi="Arial" w:cs="Arial"/>
          <w:b/>
          <w:i/>
          <w:sz w:val="22"/>
          <w:szCs w:val="22"/>
          <w:lang w:val="en-AU"/>
        </w:rPr>
        <w:t xml:space="preserve">Elimination </w:t>
      </w:r>
    </w:p>
    <w:p w14:paraId="712C26A1" w14:textId="77777777" w:rsidR="001F55B3" w:rsidRPr="003A5EE1" w:rsidRDefault="001F55B3" w:rsidP="00CF7423">
      <w:pPr>
        <w:keepNext/>
        <w:ind w:right="46"/>
        <w:rPr>
          <w:rFonts w:ascii="Arial" w:hAnsi="Arial" w:cs="Arial"/>
          <w:b/>
          <w:i/>
          <w:sz w:val="22"/>
          <w:szCs w:val="22"/>
        </w:rPr>
      </w:pPr>
    </w:p>
    <w:p w14:paraId="712C26A2" w14:textId="77777777" w:rsidR="0090345C" w:rsidRPr="003A5EE1" w:rsidRDefault="0090345C" w:rsidP="00CF7423">
      <w:pPr>
        <w:pStyle w:val="BayerBodyTextFull"/>
        <w:spacing w:before="0" w:after="0"/>
        <w:rPr>
          <w:rFonts w:ascii="Arial" w:hAnsi="Arial" w:cs="Arial"/>
          <w:iCs/>
          <w:sz w:val="22"/>
          <w:szCs w:val="22"/>
          <w:lang w:val="en-GB"/>
        </w:rPr>
      </w:pPr>
      <w:r w:rsidRPr="003A5EE1">
        <w:rPr>
          <w:rFonts w:ascii="Arial" w:hAnsi="Arial" w:cs="Arial"/>
          <w:iCs/>
          <w:sz w:val="22"/>
          <w:szCs w:val="22"/>
          <w:lang w:val="en-GB"/>
        </w:rPr>
        <w:t xml:space="preserve">The </w:t>
      </w:r>
      <w:r w:rsidR="000370B3" w:rsidRPr="003A5EE1">
        <w:rPr>
          <w:rFonts w:ascii="Arial" w:hAnsi="Arial" w:cs="Arial"/>
          <w:iCs/>
          <w:sz w:val="22"/>
          <w:szCs w:val="22"/>
          <w:lang w:val="en-GB"/>
        </w:rPr>
        <w:t>mean elimination half-life for regorafenib and its metabolite M-2 in plasma ranges from 20 to 30 hours in different studies</w:t>
      </w:r>
      <w:r w:rsidRPr="003A5EE1">
        <w:rPr>
          <w:rFonts w:ascii="Arial" w:hAnsi="Arial" w:cs="Arial"/>
          <w:iCs/>
          <w:sz w:val="22"/>
          <w:szCs w:val="22"/>
          <w:lang w:val="en-GB"/>
        </w:rPr>
        <w:t xml:space="preserve"> following oral administration</w:t>
      </w:r>
      <w:r w:rsidR="000370B3" w:rsidRPr="003A5EE1">
        <w:rPr>
          <w:rFonts w:ascii="Arial" w:hAnsi="Arial" w:cs="Arial"/>
          <w:iCs/>
          <w:sz w:val="22"/>
          <w:szCs w:val="22"/>
          <w:lang w:val="en-GB"/>
        </w:rPr>
        <w:t>. The mean elimination half-life for the metabolite M-5 is approximately 60 hours (range</w:t>
      </w:r>
      <w:r w:rsidRPr="003A5EE1">
        <w:rPr>
          <w:rFonts w:ascii="Arial" w:hAnsi="Arial" w:cs="Arial"/>
          <w:iCs/>
          <w:sz w:val="22"/>
          <w:szCs w:val="22"/>
          <w:lang w:val="en-GB"/>
        </w:rPr>
        <w:t>s</w:t>
      </w:r>
      <w:r w:rsidR="000370B3" w:rsidRPr="003A5EE1">
        <w:rPr>
          <w:rFonts w:ascii="Arial" w:hAnsi="Arial" w:cs="Arial"/>
          <w:iCs/>
          <w:sz w:val="22"/>
          <w:szCs w:val="22"/>
          <w:lang w:val="en-GB"/>
        </w:rPr>
        <w:t xml:space="preserve"> from 40 to 100 hours).</w:t>
      </w:r>
    </w:p>
    <w:p w14:paraId="712C26A3" w14:textId="77777777" w:rsidR="009954BE" w:rsidRPr="003A5EE1" w:rsidRDefault="009954BE" w:rsidP="00CF7423">
      <w:pPr>
        <w:pStyle w:val="BayerBodyTextFull"/>
        <w:spacing w:before="0" w:after="0"/>
        <w:rPr>
          <w:rFonts w:ascii="Arial" w:hAnsi="Arial" w:cs="Arial"/>
          <w:iCs/>
          <w:sz w:val="22"/>
          <w:szCs w:val="22"/>
          <w:lang w:val="en-GB"/>
        </w:rPr>
      </w:pPr>
    </w:p>
    <w:p w14:paraId="712C26A4" w14:textId="77777777" w:rsidR="000370B3" w:rsidRPr="003A5EE1" w:rsidRDefault="000370B3" w:rsidP="00CF7423">
      <w:pPr>
        <w:keepNext/>
        <w:ind w:right="46"/>
        <w:rPr>
          <w:rFonts w:ascii="Arial" w:hAnsi="Arial" w:cs="Arial"/>
          <w:sz w:val="22"/>
          <w:szCs w:val="22"/>
        </w:rPr>
      </w:pPr>
      <w:r w:rsidRPr="003A5EE1">
        <w:rPr>
          <w:rFonts w:ascii="Arial" w:hAnsi="Arial" w:cs="Arial"/>
          <w:sz w:val="22"/>
          <w:szCs w:val="22"/>
        </w:rPr>
        <w:t xml:space="preserve">Approximately 90% of the radioactive dose was recovered within 12 days </w:t>
      </w:r>
      <w:r w:rsidR="0090345C" w:rsidRPr="003A5EE1">
        <w:rPr>
          <w:rFonts w:ascii="Arial" w:hAnsi="Arial" w:cs="Arial"/>
          <w:sz w:val="22"/>
          <w:szCs w:val="22"/>
        </w:rPr>
        <w:t>after administration, with approximately</w:t>
      </w:r>
      <w:r w:rsidRPr="003A5EE1">
        <w:rPr>
          <w:rFonts w:ascii="Arial" w:hAnsi="Arial" w:cs="Arial"/>
          <w:sz w:val="22"/>
          <w:szCs w:val="22"/>
        </w:rPr>
        <w:t xml:space="preserve"> 71% of the dose excreted in f</w:t>
      </w:r>
      <w:r w:rsidR="0090345C" w:rsidRPr="003A5EE1">
        <w:rPr>
          <w:rFonts w:ascii="Arial" w:hAnsi="Arial" w:cs="Arial"/>
          <w:sz w:val="22"/>
          <w:szCs w:val="22"/>
        </w:rPr>
        <w:t>a</w:t>
      </w:r>
      <w:r w:rsidRPr="003A5EE1">
        <w:rPr>
          <w:rFonts w:ascii="Arial" w:hAnsi="Arial" w:cs="Arial"/>
          <w:sz w:val="22"/>
          <w:szCs w:val="22"/>
        </w:rPr>
        <w:t>eces (47% as parent compound</w:t>
      </w:r>
      <w:r w:rsidR="0090345C" w:rsidRPr="003A5EE1">
        <w:rPr>
          <w:rFonts w:ascii="Arial" w:hAnsi="Arial" w:cs="Arial"/>
          <w:sz w:val="22"/>
          <w:szCs w:val="22"/>
        </w:rPr>
        <w:t>, 24% as metabolites), and approximately</w:t>
      </w:r>
      <w:r w:rsidRPr="003A5EE1">
        <w:rPr>
          <w:rFonts w:ascii="Arial" w:hAnsi="Arial" w:cs="Arial"/>
          <w:sz w:val="22"/>
          <w:szCs w:val="22"/>
        </w:rPr>
        <w:t xml:space="preserve"> 19% of the dose excreted in urine as glucuronides. </w:t>
      </w:r>
      <w:r w:rsidR="00AD7258" w:rsidRPr="003A5EE1">
        <w:rPr>
          <w:rFonts w:ascii="Arial" w:hAnsi="Arial" w:cs="Arial"/>
          <w:sz w:val="22"/>
          <w:szCs w:val="22"/>
        </w:rPr>
        <w:t>Urinary excretion of glucuronides decreased below 10% under steady-state conditions. P</w:t>
      </w:r>
      <w:r w:rsidRPr="003A5EE1">
        <w:rPr>
          <w:rFonts w:ascii="Arial" w:hAnsi="Arial" w:cs="Arial"/>
          <w:sz w:val="22"/>
          <w:szCs w:val="22"/>
        </w:rPr>
        <w:t xml:space="preserve">arent compound found in </w:t>
      </w:r>
      <w:r w:rsidR="0090345C" w:rsidRPr="003A5EE1">
        <w:rPr>
          <w:rFonts w:ascii="Arial" w:hAnsi="Arial" w:cs="Arial"/>
          <w:sz w:val="22"/>
          <w:szCs w:val="22"/>
        </w:rPr>
        <w:t xml:space="preserve">the </w:t>
      </w:r>
      <w:r w:rsidRPr="003A5EE1">
        <w:rPr>
          <w:rFonts w:ascii="Arial" w:hAnsi="Arial" w:cs="Arial"/>
          <w:sz w:val="22"/>
          <w:szCs w:val="22"/>
        </w:rPr>
        <w:t>f</w:t>
      </w:r>
      <w:r w:rsidR="0090345C" w:rsidRPr="003A5EE1">
        <w:rPr>
          <w:rFonts w:ascii="Arial" w:hAnsi="Arial" w:cs="Arial"/>
          <w:sz w:val="22"/>
          <w:szCs w:val="22"/>
        </w:rPr>
        <w:t>a</w:t>
      </w:r>
      <w:r w:rsidRPr="003A5EE1">
        <w:rPr>
          <w:rFonts w:ascii="Arial" w:hAnsi="Arial" w:cs="Arial"/>
          <w:sz w:val="22"/>
          <w:szCs w:val="22"/>
        </w:rPr>
        <w:t xml:space="preserve">eces could be derived from </w:t>
      </w:r>
      <w:r w:rsidR="00AD7258" w:rsidRPr="003A5EE1">
        <w:rPr>
          <w:rFonts w:ascii="Arial" w:hAnsi="Arial" w:cs="Arial"/>
          <w:sz w:val="22"/>
          <w:szCs w:val="22"/>
        </w:rPr>
        <w:t xml:space="preserve">unabsorbed drug, </w:t>
      </w:r>
      <w:r w:rsidRPr="003A5EE1">
        <w:rPr>
          <w:rFonts w:ascii="Arial" w:hAnsi="Arial" w:cs="Arial"/>
          <w:sz w:val="22"/>
          <w:szCs w:val="22"/>
        </w:rPr>
        <w:t xml:space="preserve">intestinal </w:t>
      </w:r>
      <w:r w:rsidR="00AD7258" w:rsidRPr="003A5EE1">
        <w:rPr>
          <w:rFonts w:ascii="Arial" w:hAnsi="Arial" w:cs="Arial"/>
          <w:sz w:val="22"/>
          <w:szCs w:val="22"/>
        </w:rPr>
        <w:t xml:space="preserve">degradation </w:t>
      </w:r>
      <w:r w:rsidRPr="003A5EE1">
        <w:rPr>
          <w:rFonts w:ascii="Arial" w:hAnsi="Arial" w:cs="Arial"/>
          <w:sz w:val="22"/>
          <w:szCs w:val="22"/>
        </w:rPr>
        <w:t xml:space="preserve">of </w:t>
      </w:r>
      <w:r w:rsidR="00AD7258" w:rsidRPr="003A5EE1">
        <w:rPr>
          <w:rFonts w:ascii="Arial" w:hAnsi="Arial" w:cs="Arial"/>
          <w:sz w:val="22"/>
          <w:szCs w:val="22"/>
        </w:rPr>
        <w:t>glucuronides or reduction of metabolite M-2.</w:t>
      </w:r>
    </w:p>
    <w:p w14:paraId="712C26A6" w14:textId="77777777" w:rsidR="001D1004" w:rsidRPr="003A5EE1" w:rsidRDefault="000370B3"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 xml:space="preserve">Linearity/non-linearity </w:t>
      </w:r>
    </w:p>
    <w:p w14:paraId="712C26A7" w14:textId="77777777" w:rsidR="001F55B3" w:rsidRPr="001F55B3" w:rsidRDefault="001F55B3" w:rsidP="006C3E63">
      <w:pPr>
        <w:keepNext/>
        <w:ind w:right="43"/>
        <w:rPr>
          <w:rFonts w:ascii="Arial" w:hAnsi="Arial" w:cs="Arial"/>
          <w:b/>
          <w:i/>
          <w:lang w:val="en-AU"/>
        </w:rPr>
      </w:pPr>
    </w:p>
    <w:p w14:paraId="712C26A8" w14:textId="77777777" w:rsidR="0090345C" w:rsidRPr="003A5EE1" w:rsidRDefault="0090345C" w:rsidP="00CF7423">
      <w:pPr>
        <w:ind w:right="46"/>
        <w:rPr>
          <w:rFonts w:ascii="Arial" w:hAnsi="Arial" w:cs="Arial"/>
          <w:sz w:val="22"/>
          <w:szCs w:val="22"/>
        </w:rPr>
      </w:pPr>
      <w:r w:rsidRPr="003A5EE1">
        <w:rPr>
          <w:rFonts w:ascii="Arial" w:hAnsi="Arial" w:cs="Arial"/>
          <w:sz w:val="22"/>
          <w:szCs w:val="22"/>
          <w:lang w:val="en-AU"/>
        </w:rPr>
        <w:t xml:space="preserve">At steady state the systemic exposure of regorafenib increases proportionally up to doses of 60 mg and is less proportional at doses greater than 60 mg. </w:t>
      </w:r>
      <w:r w:rsidR="000370B3" w:rsidRPr="003A5EE1">
        <w:rPr>
          <w:rFonts w:ascii="Arial" w:hAnsi="Arial" w:cs="Arial"/>
          <w:sz w:val="22"/>
          <w:szCs w:val="22"/>
        </w:rPr>
        <w:t xml:space="preserve">Accumulation of regorafenib </w:t>
      </w:r>
      <w:r w:rsidRPr="003A5EE1">
        <w:rPr>
          <w:rFonts w:ascii="Arial" w:hAnsi="Arial" w:cs="Arial"/>
          <w:sz w:val="22"/>
          <w:szCs w:val="22"/>
        </w:rPr>
        <w:t>at steady state results in approximately</w:t>
      </w:r>
      <w:r w:rsidR="000370B3" w:rsidRPr="003A5EE1">
        <w:rPr>
          <w:rFonts w:ascii="Arial" w:hAnsi="Arial" w:cs="Arial"/>
          <w:sz w:val="22"/>
          <w:szCs w:val="22"/>
        </w:rPr>
        <w:t xml:space="preserve"> a 2-fold increase in plasma concentrations, which is consistent with the elimination half-life and dosing frequency. </w:t>
      </w:r>
    </w:p>
    <w:p w14:paraId="712C26A9" w14:textId="77777777" w:rsidR="0090345C" w:rsidRPr="003A5EE1" w:rsidRDefault="0090345C" w:rsidP="00CF7423">
      <w:pPr>
        <w:ind w:right="46"/>
        <w:rPr>
          <w:rFonts w:ascii="Arial" w:hAnsi="Arial" w:cs="Arial"/>
          <w:sz w:val="22"/>
          <w:szCs w:val="22"/>
        </w:rPr>
      </w:pPr>
    </w:p>
    <w:p w14:paraId="712C26AA" w14:textId="77777777" w:rsidR="000370B3" w:rsidRPr="003A5EE1" w:rsidRDefault="000370B3" w:rsidP="00CF7423">
      <w:pPr>
        <w:ind w:right="46"/>
        <w:rPr>
          <w:rFonts w:ascii="Arial" w:hAnsi="Arial" w:cs="Arial"/>
          <w:sz w:val="22"/>
          <w:szCs w:val="22"/>
        </w:rPr>
      </w:pPr>
      <w:r w:rsidRPr="003A5EE1">
        <w:rPr>
          <w:rFonts w:ascii="Arial" w:hAnsi="Arial" w:cs="Arial"/>
          <w:sz w:val="22"/>
          <w:szCs w:val="22"/>
        </w:rPr>
        <w:t>At steady state, regorafenib reaches mean peak plasma level</w:t>
      </w:r>
      <w:r w:rsidR="0090345C" w:rsidRPr="003A5EE1">
        <w:rPr>
          <w:rFonts w:ascii="Arial" w:hAnsi="Arial" w:cs="Arial"/>
          <w:sz w:val="22"/>
          <w:szCs w:val="22"/>
        </w:rPr>
        <w:t>s of approximately</w:t>
      </w:r>
      <w:r w:rsidRPr="003A5EE1">
        <w:rPr>
          <w:rFonts w:ascii="Arial" w:hAnsi="Arial" w:cs="Arial"/>
          <w:sz w:val="22"/>
          <w:szCs w:val="22"/>
        </w:rPr>
        <w:t xml:space="preserve"> 3.9 mg/L (8.1 </w:t>
      </w:r>
      <w:proofErr w:type="spellStart"/>
      <w:r w:rsidRPr="003A5EE1">
        <w:rPr>
          <w:rFonts w:ascii="Arial" w:hAnsi="Arial" w:cs="Arial"/>
          <w:sz w:val="22"/>
          <w:szCs w:val="22"/>
        </w:rPr>
        <w:t>micromolar</w:t>
      </w:r>
      <w:proofErr w:type="spellEnd"/>
      <w:r w:rsidRPr="003A5EE1">
        <w:rPr>
          <w:rFonts w:ascii="Arial" w:hAnsi="Arial" w:cs="Arial"/>
          <w:sz w:val="22"/>
          <w:szCs w:val="22"/>
        </w:rPr>
        <w:t>) after oral administration of 160 mg regorafenib and the peak-to-trough ratio of mean plasma concentrations is less than 2.</w:t>
      </w:r>
    </w:p>
    <w:p w14:paraId="712C26AB" w14:textId="77777777" w:rsidR="00AD7258" w:rsidRPr="003A5EE1" w:rsidRDefault="00AD7258" w:rsidP="00CF7423">
      <w:pPr>
        <w:ind w:right="46"/>
        <w:rPr>
          <w:rFonts w:ascii="Arial" w:hAnsi="Arial" w:cs="Arial"/>
          <w:sz w:val="22"/>
          <w:szCs w:val="22"/>
        </w:rPr>
      </w:pPr>
    </w:p>
    <w:p w14:paraId="712C26AC" w14:textId="77777777" w:rsidR="00AD7258" w:rsidRPr="003A5EE1" w:rsidRDefault="00AD7258" w:rsidP="00CF7423">
      <w:pPr>
        <w:ind w:right="46"/>
        <w:rPr>
          <w:rFonts w:ascii="Arial" w:hAnsi="Arial" w:cs="Arial"/>
          <w:sz w:val="22"/>
          <w:szCs w:val="22"/>
        </w:rPr>
      </w:pPr>
      <w:r w:rsidRPr="003A5EE1">
        <w:rPr>
          <w:rFonts w:ascii="Arial" w:hAnsi="Arial" w:cs="Arial"/>
          <w:sz w:val="22"/>
          <w:szCs w:val="22"/>
        </w:rPr>
        <w:t>Both metabolites, M-2 and M-5, exhibit non-linear accumulation. Whereas plasma concentrations of M-2 and M-5 after a single dose of regorafenib are much lower than those of parent compound, steady-state plasma concentrations of M-2 and M-5 are comparable to those of regorafenib</w:t>
      </w:r>
      <w:r w:rsidR="00693A65" w:rsidRPr="003A5EE1">
        <w:rPr>
          <w:rFonts w:ascii="Arial" w:hAnsi="Arial" w:cs="Arial"/>
          <w:sz w:val="22"/>
          <w:szCs w:val="22"/>
        </w:rPr>
        <w:t>.</w:t>
      </w:r>
    </w:p>
    <w:p w14:paraId="712C26AE" w14:textId="77777777" w:rsidR="001D1004" w:rsidRPr="003A5EE1" w:rsidRDefault="001D1004"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Hepatic impairment</w:t>
      </w:r>
    </w:p>
    <w:p w14:paraId="712C26AF" w14:textId="77777777" w:rsidR="001F55B3" w:rsidRPr="003A5EE1" w:rsidRDefault="001F55B3" w:rsidP="00CF7423">
      <w:pPr>
        <w:keepNext/>
        <w:ind w:right="46"/>
        <w:rPr>
          <w:rFonts w:ascii="Arial" w:hAnsi="Arial" w:cs="Arial"/>
          <w:b/>
          <w:i/>
          <w:sz w:val="22"/>
          <w:szCs w:val="22"/>
          <w:lang w:val="en-AU"/>
        </w:rPr>
      </w:pPr>
    </w:p>
    <w:p w14:paraId="712C26B0" w14:textId="77777777" w:rsidR="003B5FEC" w:rsidRPr="003A5EE1" w:rsidRDefault="003B5FEC" w:rsidP="003B5FEC">
      <w:pPr>
        <w:pStyle w:val="BayerBodyTextFull"/>
        <w:tabs>
          <w:tab w:val="left" w:pos="1418"/>
        </w:tabs>
        <w:spacing w:before="0" w:after="0"/>
        <w:rPr>
          <w:rFonts w:ascii="Arial" w:hAnsi="Arial" w:cs="Arial"/>
          <w:sz w:val="22"/>
          <w:szCs w:val="22"/>
        </w:rPr>
      </w:pPr>
      <w:r w:rsidRPr="003A5EE1">
        <w:rPr>
          <w:rFonts w:ascii="Arial" w:hAnsi="Arial" w:cs="Arial"/>
          <w:sz w:val="22"/>
          <w:szCs w:val="22"/>
        </w:rPr>
        <w:t>The exposure of regorafenib and its metabolites</w:t>
      </w:r>
      <w:r w:rsidRPr="003A5EE1">
        <w:rPr>
          <w:rFonts w:ascii="Arial" w:hAnsi="Arial" w:cs="Arial"/>
          <w:sz w:val="22"/>
          <w:szCs w:val="22"/>
          <w:lang w:val="en-GB"/>
        </w:rPr>
        <w:t xml:space="preserve"> M-2 and M-5</w:t>
      </w:r>
      <w:r w:rsidRPr="003A5EE1">
        <w:rPr>
          <w:rFonts w:ascii="Arial" w:hAnsi="Arial" w:cs="Arial"/>
          <w:sz w:val="22"/>
          <w:szCs w:val="22"/>
        </w:rPr>
        <w:t xml:space="preserve"> is comparable in patients with mild hepatic impairment (Child-Pugh A) and patients with normal hepatic function.</w:t>
      </w:r>
      <w:r w:rsidRPr="003A5EE1">
        <w:rPr>
          <w:rStyle w:val="EndnoteReference"/>
          <w:rFonts w:ascii="Arial" w:hAnsi="Arial" w:cs="Arial"/>
          <w:sz w:val="22"/>
          <w:szCs w:val="22"/>
          <w:highlight w:val="lightGray"/>
        </w:rPr>
        <w:t xml:space="preserve"> </w:t>
      </w:r>
    </w:p>
    <w:p w14:paraId="712C26B1" w14:textId="77777777" w:rsidR="003B5FEC" w:rsidRPr="003A5EE1" w:rsidRDefault="003B5FEC" w:rsidP="003B5FEC">
      <w:pPr>
        <w:pStyle w:val="BayerBodyTextFull"/>
        <w:tabs>
          <w:tab w:val="left" w:pos="1418"/>
        </w:tabs>
        <w:spacing w:before="0" w:after="0"/>
        <w:rPr>
          <w:rFonts w:ascii="Arial" w:hAnsi="Arial" w:cs="Arial"/>
          <w:sz w:val="22"/>
          <w:szCs w:val="22"/>
        </w:rPr>
      </w:pPr>
    </w:p>
    <w:p w14:paraId="712C26B3" w14:textId="74AE6429" w:rsidR="003B5FEC" w:rsidRPr="003A5EE1" w:rsidRDefault="003B5FEC" w:rsidP="003B5FEC">
      <w:pPr>
        <w:pStyle w:val="BayerBodyTextFull"/>
        <w:tabs>
          <w:tab w:val="left" w:pos="1418"/>
        </w:tabs>
        <w:spacing w:before="0" w:after="0"/>
        <w:rPr>
          <w:rFonts w:ascii="Arial" w:hAnsi="Arial" w:cs="Arial"/>
          <w:sz w:val="22"/>
          <w:szCs w:val="22"/>
        </w:rPr>
      </w:pPr>
      <w:r w:rsidRPr="003A5EE1">
        <w:rPr>
          <w:rFonts w:ascii="Arial" w:hAnsi="Arial" w:cs="Arial"/>
          <w:sz w:val="22"/>
          <w:szCs w:val="22"/>
        </w:rPr>
        <w:t>Limited data in patients with moderate hepatic impairment (Child-Pugh B) indicate similar exposure compared to patients with normal hepatic function after a single 100 mg dose of regorafenib.</w:t>
      </w:r>
    </w:p>
    <w:p w14:paraId="712C26B4" w14:textId="77777777" w:rsidR="003B5FEC" w:rsidRPr="003A5EE1" w:rsidRDefault="003B5FEC" w:rsidP="003B5FEC">
      <w:pPr>
        <w:pStyle w:val="BayerBodyTextFull"/>
        <w:tabs>
          <w:tab w:val="left" w:pos="1418"/>
        </w:tabs>
        <w:spacing w:before="0" w:after="0"/>
        <w:rPr>
          <w:rFonts w:ascii="Arial" w:hAnsi="Arial" w:cs="Arial"/>
          <w:sz w:val="22"/>
          <w:szCs w:val="22"/>
        </w:rPr>
      </w:pPr>
    </w:p>
    <w:p w14:paraId="712C26B5" w14:textId="77777777" w:rsidR="003B5FEC" w:rsidRPr="003A5EE1" w:rsidRDefault="003B5FEC" w:rsidP="003B5FEC">
      <w:pPr>
        <w:keepNext/>
        <w:ind w:right="46"/>
        <w:rPr>
          <w:rFonts w:ascii="Arial" w:hAnsi="Arial" w:cs="Arial"/>
          <w:sz w:val="22"/>
          <w:szCs w:val="22"/>
        </w:rPr>
      </w:pPr>
      <w:r w:rsidRPr="003A5EE1">
        <w:rPr>
          <w:rFonts w:ascii="Arial" w:hAnsi="Arial" w:cs="Arial"/>
          <w:sz w:val="22"/>
          <w:szCs w:val="22"/>
        </w:rPr>
        <w:t>The pharmacokinetics of regorafenib has not been studied in patients with severe hepatic impairment (Child-Pugh C).</w:t>
      </w:r>
    </w:p>
    <w:p w14:paraId="712C26B7" w14:textId="77777777" w:rsidR="001D1004" w:rsidRPr="003A5EE1" w:rsidRDefault="001D1004" w:rsidP="00F4557E">
      <w:pPr>
        <w:pStyle w:val="Default"/>
        <w:keepNext/>
        <w:widowControl/>
        <w:spacing w:before="240"/>
        <w:ind w:right="46"/>
        <w:jc w:val="both"/>
        <w:outlineLvl w:val="2"/>
        <w:rPr>
          <w:rFonts w:ascii="Arial" w:hAnsi="Arial" w:cs="Arial"/>
          <w:b/>
          <w:i/>
          <w:sz w:val="22"/>
          <w:szCs w:val="22"/>
          <w:lang w:val="en-AU"/>
        </w:rPr>
      </w:pPr>
      <w:r w:rsidRPr="003A5EE1">
        <w:rPr>
          <w:rFonts w:ascii="Arial" w:hAnsi="Arial" w:cs="Arial"/>
          <w:b/>
          <w:i/>
          <w:sz w:val="22"/>
          <w:szCs w:val="22"/>
          <w:lang w:val="en-AU"/>
        </w:rPr>
        <w:t>Renal impairment</w:t>
      </w:r>
    </w:p>
    <w:p w14:paraId="712C26B8" w14:textId="77777777" w:rsidR="001F55B3" w:rsidRPr="003A5EE1" w:rsidRDefault="001F55B3" w:rsidP="00CF7423">
      <w:pPr>
        <w:keepNext/>
        <w:ind w:right="46"/>
        <w:rPr>
          <w:rFonts w:ascii="Arial" w:eastAsia="SimSun" w:hAnsi="Arial" w:cs="Arial"/>
          <w:b/>
          <w:i/>
          <w:iCs/>
          <w:sz w:val="22"/>
          <w:szCs w:val="22"/>
          <w:lang w:val="en-AU" w:eastAsia="zh-CN"/>
        </w:rPr>
      </w:pPr>
    </w:p>
    <w:p w14:paraId="712C26B9" w14:textId="0AC88ED7" w:rsidR="007B1C84" w:rsidRDefault="003B5FEC" w:rsidP="00CF7423">
      <w:pPr>
        <w:pStyle w:val="BayerBodyTextFull"/>
        <w:tabs>
          <w:tab w:val="left" w:pos="1418"/>
        </w:tabs>
        <w:spacing w:before="0" w:after="0"/>
        <w:rPr>
          <w:color w:val="0000FF"/>
          <w:szCs w:val="24"/>
          <w:highlight w:val="lightGray"/>
        </w:rPr>
      </w:pPr>
      <w:r w:rsidRPr="003A5EE1">
        <w:rPr>
          <w:rFonts w:ascii="Arial" w:hAnsi="Arial" w:cs="Arial"/>
          <w:sz w:val="22"/>
          <w:szCs w:val="22"/>
        </w:rPr>
        <w:t>The steady-state exposure of regorafenib, M-2 and M-5 is comparable in patients with mild renal impairment and patients with normal renal function.</w:t>
      </w:r>
      <w:r w:rsidRPr="003A5EE1">
        <w:rPr>
          <w:rFonts w:ascii="Arial" w:hAnsi="Arial" w:cs="Arial"/>
          <w:color w:val="0070C0"/>
          <w:sz w:val="22"/>
          <w:szCs w:val="22"/>
        </w:rPr>
        <w:t xml:space="preserve"> </w:t>
      </w:r>
      <w:r w:rsidRPr="003A5EE1">
        <w:rPr>
          <w:rFonts w:ascii="Arial" w:hAnsi="Arial" w:cs="Arial"/>
          <w:sz w:val="22"/>
          <w:szCs w:val="22"/>
        </w:rPr>
        <w:t xml:space="preserve">Limited data from Phase I and II </w:t>
      </w:r>
      <w:r w:rsidRPr="003A5EE1">
        <w:rPr>
          <w:rFonts w:ascii="Arial" w:hAnsi="Arial" w:cs="Arial"/>
          <w:sz w:val="22"/>
          <w:szCs w:val="22"/>
        </w:rPr>
        <w:lastRenderedPageBreak/>
        <w:t>studies</w:t>
      </w:r>
      <w:r w:rsidRPr="003A5EE1">
        <w:rPr>
          <w:rFonts w:ascii="Arial" w:hAnsi="Arial" w:cs="Arial"/>
          <w:color w:val="000000"/>
          <w:sz w:val="22"/>
          <w:szCs w:val="22"/>
          <w:lang w:eastAsia="ja-JP"/>
        </w:rPr>
        <w:t xml:space="preserve"> indicate that the range of exposure in patients with moderate </w:t>
      </w:r>
      <w:r w:rsidR="00375464">
        <w:rPr>
          <w:rFonts w:ascii="Arial" w:hAnsi="Arial" w:cs="Arial"/>
          <w:color w:val="000000"/>
          <w:sz w:val="22"/>
          <w:szCs w:val="22"/>
          <w:lang w:eastAsia="ja-JP"/>
        </w:rPr>
        <w:t xml:space="preserve">or severe </w:t>
      </w:r>
      <w:r w:rsidRPr="003A5EE1">
        <w:rPr>
          <w:rFonts w:ascii="Arial" w:hAnsi="Arial" w:cs="Arial"/>
          <w:color w:val="000000"/>
          <w:sz w:val="22"/>
          <w:szCs w:val="22"/>
          <w:lang w:eastAsia="ja-JP"/>
        </w:rPr>
        <w:t>renal impairment is comparable to that seen in</w:t>
      </w:r>
      <w:r w:rsidRPr="003A5EE1">
        <w:rPr>
          <w:rFonts w:ascii="Arial" w:hAnsi="Arial" w:cs="Arial"/>
          <w:color w:val="FF0000"/>
          <w:sz w:val="22"/>
          <w:szCs w:val="22"/>
          <w:lang w:eastAsia="ja-JP"/>
        </w:rPr>
        <w:t xml:space="preserve"> </w:t>
      </w:r>
      <w:r w:rsidRPr="003A5EE1">
        <w:rPr>
          <w:rFonts w:ascii="Arial" w:hAnsi="Arial" w:cs="Arial"/>
          <w:color w:val="000000"/>
          <w:sz w:val="22"/>
          <w:szCs w:val="22"/>
          <w:lang w:eastAsia="ja-JP"/>
        </w:rPr>
        <w:t>patients with normal renal function.</w:t>
      </w:r>
      <w:r w:rsidRPr="003A5EE1">
        <w:rPr>
          <w:rFonts w:ascii="Arial" w:hAnsi="Arial" w:cs="Arial"/>
          <w:sz w:val="22"/>
          <w:szCs w:val="22"/>
        </w:rPr>
        <w:t xml:space="preserve"> </w:t>
      </w:r>
    </w:p>
    <w:p w14:paraId="712C26BA" w14:textId="77777777" w:rsidR="0090345C" w:rsidRPr="003A5EE1" w:rsidRDefault="0090345C" w:rsidP="00CF7423">
      <w:pPr>
        <w:pStyle w:val="BayerBodyTextFull"/>
        <w:tabs>
          <w:tab w:val="left" w:pos="1418"/>
        </w:tabs>
        <w:spacing w:before="0" w:after="0"/>
        <w:rPr>
          <w:rFonts w:ascii="Arial" w:hAnsi="Arial" w:cs="Arial"/>
          <w:sz w:val="22"/>
          <w:szCs w:val="22"/>
        </w:rPr>
      </w:pPr>
    </w:p>
    <w:p w14:paraId="712C26BB" w14:textId="413A452E" w:rsidR="003B5FEC" w:rsidRDefault="000370B3" w:rsidP="00CF7423">
      <w:pPr>
        <w:pStyle w:val="BayerBodyTextFull"/>
        <w:tabs>
          <w:tab w:val="left" w:pos="1418"/>
        </w:tabs>
        <w:spacing w:before="0" w:after="0"/>
        <w:rPr>
          <w:rFonts w:ascii="Arial" w:hAnsi="Arial" w:cs="Arial"/>
          <w:sz w:val="22"/>
          <w:szCs w:val="22"/>
        </w:rPr>
      </w:pPr>
      <w:r w:rsidRPr="003A5EE1">
        <w:rPr>
          <w:rFonts w:ascii="Arial" w:hAnsi="Arial" w:cs="Arial"/>
          <w:sz w:val="22"/>
          <w:szCs w:val="22"/>
        </w:rPr>
        <w:t xml:space="preserve">The pharmacokinetics of regorafenib has not been studied in patients with end-stage renal disease. </w:t>
      </w:r>
    </w:p>
    <w:p w14:paraId="712C26BC" w14:textId="77777777" w:rsidR="0090345C" w:rsidRPr="003A5EE1" w:rsidRDefault="0090345C" w:rsidP="00CF7423">
      <w:pPr>
        <w:pStyle w:val="BayerBodyTextFull"/>
        <w:tabs>
          <w:tab w:val="left" w:pos="1418"/>
        </w:tabs>
        <w:spacing w:before="0" w:after="0"/>
        <w:rPr>
          <w:rFonts w:ascii="Arial" w:hAnsi="Arial" w:cs="Arial"/>
          <w:sz w:val="22"/>
          <w:szCs w:val="22"/>
        </w:rPr>
      </w:pPr>
    </w:p>
    <w:p w14:paraId="712C26BD" w14:textId="77777777" w:rsidR="00B855C1" w:rsidRPr="00F4557E" w:rsidRDefault="00B855C1" w:rsidP="00F4557E">
      <w:pPr>
        <w:pStyle w:val="Default"/>
        <w:keepNext/>
        <w:widowControl/>
        <w:spacing w:before="240"/>
        <w:ind w:right="46"/>
        <w:jc w:val="both"/>
        <w:outlineLvl w:val="2"/>
        <w:rPr>
          <w:rFonts w:ascii="Arial" w:hAnsi="Arial" w:cs="Arial"/>
          <w:b/>
          <w:i/>
          <w:sz w:val="22"/>
          <w:szCs w:val="22"/>
          <w:lang w:val="en-AU"/>
        </w:rPr>
      </w:pPr>
      <w:r w:rsidRPr="00F4557E">
        <w:rPr>
          <w:rFonts w:ascii="Arial" w:hAnsi="Arial" w:cs="Arial"/>
          <w:b/>
          <w:i/>
          <w:sz w:val="22"/>
          <w:szCs w:val="22"/>
          <w:lang w:val="en-AU"/>
        </w:rPr>
        <w:t>Cardiac electrophysiology/QT prolongation</w:t>
      </w:r>
    </w:p>
    <w:p w14:paraId="712C26BE" w14:textId="77777777" w:rsidR="001F55B3" w:rsidRPr="003A5EE1" w:rsidRDefault="001F55B3" w:rsidP="00CF7423">
      <w:pPr>
        <w:pStyle w:val="BayerBodyTextFull"/>
        <w:tabs>
          <w:tab w:val="left" w:pos="1418"/>
        </w:tabs>
        <w:spacing w:before="0" w:after="0"/>
        <w:rPr>
          <w:rFonts w:ascii="Arial" w:hAnsi="Arial" w:cs="Arial"/>
          <w:b/>
          <w:i/>
          <w:sz w:val="22"/>
          <w:szCs w:val="22"/>
          <w:lang w:eastAsia="ja-JP"/>
        </w:rPr>
      </w:pPr>
    </w:p>
    <w:p w14:paraId="712C26BF" w14:textId="77777777" w:rsidR="00B855C1" w:rsidRPr="003A5EE1" w:rsidRDefault="00B855C1" w:rsidP="002E54D9">
      <w:pPr>
        <w:pStyle w:val="BayerBodyTextFull"/>
        <w:tabs>
          <w:tab w:val="left" w:pos="1418"/>
        </w:tabs>
        <w:spacing w:before="0" w:after="0"/>
        <w:rPr>
          <w:rFonts w:ascii="Arial" w:hAnsi="Arial" w:cs="Arial"/>
          <w:sz w:val="22"/>
          <w:szCs w:val="22"/>
        </w:rPr>
      </w:pPr>
      <w:r w:rsidRPr="003A5EE1">
        <w:rPr>
          <w:rFonts w:ascii="Arial" w:hAnsi="Arial" w:cs="Arial"/>
          <w:sz w:val="22"/>
          <w:szCs w:val="22"/>
        </w:rPr>
        <w:t xml:space="preserve">No </w:t>
      </w:r>
      <w:proofErr w:type="spellStart"/>
      <w:r w:rsidRPr="003A5EE1">
        <w:rPr>
          <w:rFonts w:ascii="Arial" w:hAnsi="Arial" w:cs="Arial"/>
          <w:sz w:val="22"/>
          <w:szCs w:val="22"/>
        </w:rPr>
        <w:t>QTc</w:t>
      </w:r>
      <w:proofErr w:type="spellEnd"/>
      <w:r w:rsidRPr="003A5EE1">
        <w:rPr>
          <w:rFonts w:ascii="Arial" w:hAnsi="Arial" w:cs="Arial"/>
          <w:sz w:val="22"/>
          <w:szCs w:val="22"/>
        </w:rPr>
        <w:t xml:space="preserve"> prolonging effects were observed after administration of 160 mg regorafenib at steady state in a dedicated QT study in male and female cancer patients.</w:t>
      </w:r>
    </w:p>
    <w:p w14:paraId="712C26C0" w14:textId="77777777" w:rsidR="00F34FCB" w:rsidRPr="003A5EE1" w:rsidRDefault="00F34FCB" w:rsidP="002E54D9">
      <w:pPr>
        <w:pStyle w:val="BayerBodyTextFull"/>
        <w:tabs>
          <w:tab w:val="left" w:pos="1418"/>
        </w:tabs>
        <w:spacing w:before="0" w:after="0"/>
        <w:rPr>
          <w:rFonts w:ascii="Arial" w:hAnsi="Arial" w:cs="Arial"/>
          <w:sz w:val="22"/>
          <w:szCs w:val="22"/>
        </w:rPr>
      </w:pPr>
    </w:p>
    <w:p w14:paraId="712C26C1" w14:textId="77777777" w:rsidR="001D1004" w:rsidRPr="003A5EE1" w:rsidRDefault="001D1004" w:rsidP="006C3E63">
      <w:pPr>
        <w:pStyle w:val="Heading1"/>
        <w:spacing w:before="0" w:after="0" w:line="240" w:lineRule="auto"/>
        <w:ind w:right="46"/>
        <w:jc w:val="left"/>
      </w:pPr>
      <w:r w:rsidRPr="003A5EE1">
        <w:t xml:space="preserve">CLINICAL </w:t>
      </w:r>
      <w:r w:rsidR="005931B7" w:rsidRPr="003A5EE1">
        <w:t>TRIALS</w:t>
      </w:r>
    </w:p>
    <w:p w14:paraId="712C26C3" w14:textId="77777777" w:rsidR="00515E3C" w:rsidRPr="00515E3C" w:rsidRDefault="00515E3C" w:rsidP="00F4557E">
      <w:pPr>
        <w:pStyle w:val="Default"/>
        <w:keepNext/>
        <w:widowControl/>
        <w:spacing w:before="240"/>
        <w:ind w:right="46"/>
        <w:jc w:val="both"/>
        <w:outlineLvl w:val="1"/>
        <w:rPr>
          <w:rFonts w:ascii="Arial" w:hAnsi="Arial" w:cs="Arial"/>
          <w:b/>
          <w:i/>
          <w:sz w:val="22"/>
          <w:szCs w:val="22"/>
          <w:lang w:val="en-AU"/>
        </w:rPr>
      </w:pPr>
      <w:r w:rsidRPr="00515E3C">
        <w:rPr>
          <w:rFonts w:ascii="Arial" w:hAnsi="Arial" w:cs="Arial"/>
          <w:b/>
          <w:i/>
          <w:sz w:val="22"/>
          <w:szCs w:val="22"/>
          <w:lang w:val="en-AU"/>
        </w:rPr>
        <w:t>Metastatic Colorectal Cancer</w:t>
      </w:r>
    </w:p>
    <w:p w14:paraId="712C26C4" w14:textId="77777777" w:rsidR="00515E3C" w:rsidRPr="0090345C" w:rsidRDefault="00515E3C" w:rsidP="006C3E63">
      <w:pPr>
        <w:keepNext/>
        <w:rPr>
          <w:lang w:val="en-AU"/>
        </w:rPr>
      </w:pPr>
    </w:p>
    <w:p w14:paraId="712C26C5" w14:textId="4B3DE263" w:rsidR="00B855C1" w:rsidRPr="003A5EE1" w:rsidRDefault="00B855C1" w:rsidP="006C3E63">
      <w:pPr>
        <w:pStyle w:val="BayerBodyTextFull"/>
        <w:keepNext/>
        <w:spacing w:before="0" w:after="0"/>
        <w:rPr>
          <w:rFonts w:ascii="Arial" w:hAnsi="Arial" w:cs="Arial"/>
          <w:sz w:val="22"/>
          <w:szCs w:val="22"/>
        </w:rPr>
      </w:pPr>
      <w:r w:rsidRPr="003A5EE1">
        <w:rPr>
          <w:rFonts w:ascii="Arial" w:hAnsi="Arial" w:cs="Arial"/>
          <w:sz w:val="22"/>
          <w:szCs w:val="22"/>
        </w:rPr>
        <w:t>The cli</w:t>
      </w:r>
      <w:r w:rsidR="00CD329C" w:rsidRPr="003A5EE1">
        <w:rPr>
          <w:rFonts w:ascii="Arial" w:hAnsi="Arial" w:cs="Arial"/>
          <w:sz w:val="22"/>
          <w:szCs w:val="22"/>
        </w:rPr>
        <w:t xml:space="preserve">nical efficacy and safety of </w:t>
      </w:r>
      <w:r w:rsidR="00601DFC">
        <w:rPr>
          <w:rFonts w:ascii="Arial" w:hAnsi="Arial" w:cs="Arial"/>
          <w:sz w:val="22"/>
          <w:szCs w:val="22"/>
        </w:rPr>
        <w:t xml:space="preserve">STIVARGA </w:t>
      </w:r>
      <w:r w:rsidR="00EB6DBB" w:rsidRPr="003A5EE1">
        <w:rPr>
          <w:rFonts w:ascii="Arial" w:hAnsi="Arial" w:cs="Arial"/>
          <w:sz w:val="22"/>
          <w:szCs w:val="22"/>
        </w:rPr>
        <w:t>has</w:t>
      </w:r>
      <w:r w:rsidRPr="003A5EE1">
        <w:rPr>
          <w:rFonts w:ascii="Arial" w:hAnsi="Arial" w:cs="Arial"/>
          <w:sz w:val="22"/>
          <w:szCs w:val="22"/>
        </w:rPr>
        <w:t xml:space="preserve"> been evaluated in an inter</w:t>
      </w:r>
      <w:r w:rsidR="00BB0856" w:rsidRPr="003A5EE1">
        <w:rPr>
          <w:rFonts w:ascii="Arial" w:hAnsi="Arial" w:cs="Arial"/>
          <w:sz w:val="22"/>
          <w:szCs w:val="22"/>
        </w:rPr>
        <w:t>national, multi-</w:t>
      </w:r>
      <w:proofErr w:type="spellStart"/>
      <w:r w:rsidR="00BB0856" w:rsidRPr="003A5EE1">
        <w:rPr>
          <w:rFonts w:ascii="Arial" w:hAnsi="Arial" w:cs="Arial"/>
          <w:sz w:val="22"/>
          <w:szCs w:val="22"/>
        </w:rPr>
        <w:t>centre</w:t>
      </w:r>
      <w:proofErr w:type="spellEnd"/>
      <w:r w:rsidR="00EB6DBB" w:rsidRPr="003A5EE1">
        <w:rPr>
          <w:rFonts w:ascii="Arial" w:hAnsi="Arial" w:cs="Arial"/>
          <w:sz w:val="22"/>
          <w:szCs w:val="22"/>
        </w:rPr>
        <w:t xml:space="preserve">, </w:t>
      </w:r>
      <w:proofErr w:type="spellStart"/>
      <w:r w:rsidR="00EB6DBB" w:rsidRPr="003A5EE1">
        <w:rPr>
          <w:rFonts w:ascii="Arial" w:hAnsi="Arial" w:cs="Arial"/>
          <w:sz w:val="22"/>
          <w:szCs w:val="22"/>
        </w:rPr>
        <w:t>randomis</w:t>
      </w:r>
      <w:r w:rsidRPr="003A5EE1">
        <w:rPr>
          <w:rFonts w:ascii="Arial" w:hAnsi="Arial" w:cs="Arial"/>
          <w:sz w:val="22"/>
          <w:szCs w:val="22"/>
        </w:rPr>
        <w:t>ed</w:t>
      </w:r>
      <w:proofErr w:type="spellEnd"/>
      <w:r w:rsidRPr="003A5EE1">
        <w:rPr>
          <w:rFonts w:ascii="Arial" w:hAnsi="Arial" w:cs="Arial"/>
          <w:sz w:val="22"/>
          <w:szCs w:val="22"/>
        </w:rPr>
        <w:t>, do</w:t>
      </w:r>
      <w:r w:rsidR="00EB6DBB" w:rsidRPr="003A5EE1">
        <w:rPr>
          <w:rFonts w:ascii="Arial" w:hAnsi="Arial" w:cs="Arial"/>
          <w:sz w:val="22"/>
          <w:szCs w:val="22"/>
        </w:rPr>
        <w:t>uble-blind, placebo-controlled P</w:t>
      </w:r>
      <w:r w:rsidR="00607B3E" w:rsidRPr="003A5EE1">
        <w:rPr>
          <w:rFonts w:ascii="Arial" w:hAnsi="Arial" w:cs="Arial"/>
          <w:sz w:val="22"/>
          <w:szCs w:val="22"/>
        </w:rPr>
        <w:t>hase III study (CORRECT)</w:t>
      </w:r>
      <w:r w:rsidRPr="003A5EE1">
        <w:rPr>
          <w:rFonts w:ascii="Arial" w:hAnsi="Arial" w:cs="Arial"/>
          <w:sz w:val="22"/>
          <w:szCs w:val="22"/>
        </w:rPr>
        <w:t xml:space="preserve"> in </w:t>
      </w:r>
      <w:r w:rsidR="00EC5D69" w:rsidRPr="003A5EE1">
        <w:rPr>
          <w:rFonts w:ascii="Arial" w:hAnsi="Arial" w:cs="Arial"/>
          <w:sz w:val="22"/>
          <w:szCs w:val="22"/>
        </w:rPr>
        <w:t xml:space="preserve">heavily pre-treated </w:t>
      </w:r>
      <w:r w:rsidRPr="003A5EE1">
        <w:rPr>
          <w:rFonts w:ascii="Arial" w:hAnsi="Arial" w:cs="Arial"/>
          <w:sz w:val="22"/>
          <w:szCs w:val="22"/>
        </w:rPr>
        <w:t xml:space="preserve">patients with metastatic colorectal cancer who have progressed after failure of standard therapy. </w:t>
      </w:r>
    </w:p>
    <w:p w14:paraId="712C26C6" w14:textId="77777777" w:rsidR="00EB6DBB" w:rsidRPr="003A5EE1" w:rsidRDefault="00EB6DBB" w:rsidP="006C3E63">
      <w:pPr>
        <w:pStyle w:val="BayerBodyTextFull"/>
        <w:keepNext/>
        <w:spacing w:before="0" w:after="0"/>
        <w:rPr>
          <w:rFonts w:ascii="Arial" w:hAnsi="Arial" w:cs="Arial"/>
          <w:sz w:val="22"/>
          <w:szCs w:val="22"/>
        </w:rPr>
      </w:pPr>
    </w:p>
    <w:p w14:paraId="712C26C7" w14:textId="77777777" w:rsidR="00B855C1" w:rsidRPr="003A5EE1" w:rsidRDefault="00B855C1" w:rsidP="006C3E63">
      <w:pPr>
        <w:pStyle w:val="BayerBodyTextFull"/>
        <w:keepNext/>
        <w:spacing w:before="0" w:after="0"/>
        <w:rPr>
          <w:rFonts w:ascii="Arial" w:hAnsi="Arial" w:cs="Arial"/>
          <w:sz w:val="22"/>
          <w:szCs w:val="22"/>
        </w:rPr>
      </w:pPr>
      <w:r w:rsidRPr="003A5EE1">
        <w:rPr>
          <w:rFonts w:ascii="Arial" w:hAnsi="Arial" w:cs="Arial"/>
          <w:sz w:val="22"/>
          <w:szCs w:val="22"/>
        </w:rPr>
        <w:t>The primary efficacy endpoint was Overall Survival (OS). Secondary endpoints were Progression</w:t>
      </w:r>
      <w:r w:rsidR="001E1758" w:rsidRPr="003A5EE1">
        <w:rPr>
          <w:rFonts w:ascii="Arial" w:hAnsi="Arial" w:cs="Arial"/>
          <w:sz w:val="22"/>
          <w:szCs w:val="22"/>
        </w:rPr>
        <w:t>-</w:t>
      </w:r>
      <w:r w:rsidRPr="003A5EE1">
        <w:rPr>
          <w:rFonts w:ascii="Arial" w:hAnsi="Arial" w:cs="Arial"/>
          <w:sz w:val="22"/>
          <w:szCs w:val="22"/>
        </w:rPr>
        <w:t>Free Survival (PFS), objective tumo</w:t>
      </w:r>
      <w:r w:rsidR="00607B3E" w:rsidRPr="003A5EE1">
        <w:rPr>
          <w:rFonts w:ascii="Arial" w:hAnsi="Arial" w:cs="Arial"/>
          <w:sz w:val="22"/>
          <w:szCs w:val="22"/>
        </w:rPr>
        <w:t>u</w:t>
      </w:r>
      <w:r w:rsidRPr="003A5EE1">
        <w:rPr>
          <w:rFonts w:ascii="Arial" w:hAnsi="Arial" w:cs="Arial"/>
          <w:sz w:val="22"/>
          <w:szCs w:val="22"/>
        </w:rPr>
        <w:t xml:space="preserve">r response rate and disease control rate. </w:t>
      </w:r>
    </w:p>
    <w:p w14:paraId="712C26C8" w14:textId="77777777" w:rsidR="00607B3E" w:rsidRPr="003A5EE1" w:rsidRDefault="00607B3E" w:rsidP="006C3E63">
      <w:pPr>
        <w:pStyle w:val="BayerBodyTextFull"/>
        <w:keepNext/>
        <w:spacing w:before="0" w:after="0"/>
        <w:rPr>
          <w:rFonts w:ascii="Arial" w:hAnsi="Arial" w:cs="Arial"/>
          <w:sz w:val="22"/>
          <w:szCs w:val="22"/>
        </w:rPr>
      </w:pPr>
    </w:p>
    <w:p w14:paraId="712C26C9" w14:textId="7442775F"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In t</w:t>
      </w:r>
      <w:r w:rsidR="00607B3E" w:rsidRPr="003A5EE1">
        <w:rPr>
          <w:rFonts w:ascii="Arial" w:hAnsi="Arial" w:cs="Arial"/>
          <w:sz w:val="22"/>
          <w:szCs w:val="22"/>
        </w:rPr>
        <w:t>otal, 760 patients were randomis</w:t>
      </w:r>
      <w:r w:rsidRPr="003A5EE1">
        <w:rPr>
          <w:rFonts w:ascii="Arial" w:hAnsi="Arial" w:cs="Arial"/>
          <w:sz w:val="22"/>
          <w:szCs w:val="22"/>
        </w:rPr>
        <w:t xml:space="preserve">ed 2:1 to receive 160 mg </w:t>
      </w:r>
      <w:r w:rsidR="00012ECA" w:rsidRPr="003A5EE1">
        <w:rPr>
          <w:rFonts w:ascii="Arial" w:hAnsi="Arial" w:cs="Arial"/>
          <w:snapToGrid w:val="0"/>
          <w:sz w:val="22"/>
          <w:szCs w:val="22"/>
          <w:lang w:val="en-GB"/>
        </w:rPr>
        <w:t>regorafenib (four</w:t>
      </w:r>
      <w:r w:rsidRPr="003A5EE1">
        <w:rPr>
          <w:rFonts w:ascii="Arial" w:hAnsi="Arial" w:cs="Arial"/>
          <w:snapToGrid w:val="0"/>
          <w:sz w:val="22"/>
          <w:szCs w:val="22"/>
          <w:lang w:val="en-GB"/>
        </w:rPr>
        <w:t xml:space="preserve"> </w:t>
      </w:r>
      <w:r w:rsidR="00601DFC">
        <w:rPr>
          <w:rFonts w:ascii="Arial" w:hAnsi="Arial" w:cs="Arial"/>
          <w:snapToGrid w:val="0"/>
          <w:sz w:val="22"/>
          <w:szCs w:val="22"/>
          <w:lang w:val="en-GB"/>
        </w:rPr>
        <w:t xml:space="preserve">STIVARGA </w:t>
      </w:r>
      <w:r w:rsidRPr="003A5EE1">
        <w:rPr>
          <w:rFonts w:ascii="Arial" w:hAnsi="Arial" w:cs="Arial"/>
          <w:snapToGrid w:val="0"/>
          <w:sz w:val="22"/>
          <w:szCs w:val="22"/>
          <w:lang w:val="en-GB"/>
        </w:rPr>
        <w:t>tablets</w:t>
      </w:r>
      <w:r w:rsidRPr="003A5EE1">
        <w:rPr>
          <w:rFonts w:ascii="Arial" w:hAnsi="Arial" w:cs="Arial"/>
          <w:i/>
          <w:sz w:val="22"/>
          <w:szCs w:val="22"/>
          <w:lang w:val="en-GB"/>
        </w:rPr>
        <w:t xml:space="preserve"> </w:t>
      </w:r>
      <w:r w:rsidRPr="003A5EE1">
        <w:rPr>
          <w:rFonts w:ascii="Arial" w:hAnsi="Arial" w:cs="Arial"/>
          <w:sz w:val="22"/>
          <w:szCs w:val="22"/>
          <w:lang w:val="en-GB"/>
        </w:rPr>
        <w:t>each</w:t>
      </w:r>
      <w:r w:rsidRPr="003A5EE1">
        <w:rPr>
          <w:rFonts w:ascii="Arial" w:hAnsi="Arial" w:cs="Arial"/>
          <w:i/>
          <w:sz w:val="22"/>
          <w:szCs w:val="22"/>
          <w:lang w:val="en-GB"/>
        </w:rPr>
        <w:t xml:space="preserve"> </w:t>
      </w:r>
      <w:r w:rsidRPr="003A5EE1">
        <w:rPr>
          <w:rFonts w:ascii="Arial" w:hAnsi="Arial" w:cs="Arial"/>
          <w:sz w:val="22"/>
          <w:szCs w:val="22"/>
          <w:lang w:val="en-GB"/>
        </w:rPr>
        <w:t xml:space="preserve">containing 40 mg </w:t>
      </w:r>
      <w:r w:rsidRPr="003A5EE1">
        <w:rPr>
          <w:rFonts w:ascii="Arial" w:hAnsi="Arial" w:cs="Arial"/>
          <w:snapToGrid w:val="0"/>
          <w:sz w:val="22"/>
          <w:szCs w:val="22"/>
          <w:lang w:val="en-GB"/>
        </w:rPr>
        <w:t xml:space="preserve">regorafenib) </w:t>
      </w:r>
      <w:r w:rsidRPr="003A5EE1">
        <w:rPr>
          <w:rFonts w:ascii="Arial" w:hAnsi="Arial" w:cs="Arial"/>
          <w:sz w:val="22"/>
          <w:szCs w:val="22"/>
        </w:rPr>
        <w:t xml:space="preserve">orally once daily (N=505) plus Best Supportive Care (BSC) or matching placebo (N=255) plus BSC </w:t>
      </w:r>
      <w:r w:rsidRPr="003A5EE1">
        <w:rPr>
          <w:rFonts w:ascii="Arial" w:hAnsi="Arial" w:cs="Arial"/>
          <w:snapToGrid w:val="0"/>
          <w:sz w:val="22"/>
          <w:szCs w:val="22"/>
        </w:rPr>
        <w:t xml:space="preserve">for </w:t>
      </w:r>
      <w:r w:rsidR="007B431E" w:rsidRPr="003A5EE1">
        <w:rPr>
          <w:rFonts w:ascii="Arial" w:hAnsi="Arial" w:cs="Arial"/>
          <w:snapToGrid w:val="0"/>
          <w:sz w:val="22"/>
          <w:szCs w:val="22"/>
          <w:lang w:val="en-GB"/>
        </w:rPr>
        <w:t>three</w:t>
      </w:r>
      <w:r w:rsidRPr="003A5EE1">
        <w:rPr>
          <w:rFonts w:ascii="Arial" w:hAnsi="Arial" w:cs="Arial"/>
          <w:snapToGrid w:val="0"/>
          <w:sz w:val="22"/>
          <w:szCs w:val="22"/>
          <w:lang w:val="en-GB"/>
        </w:rPr>
        <w:t xml:space="preserve"> weeks on therapy followed by </w:t>
      </w:r>
      <w:r w:rsidR="007B431E" w:rsidRPr="003A5EE1">
        <w:rPr>
          <w:rFonts w:ascii="Arial" w:hAnsi="Arial" w:cs="Arial"/>
          <w:snapToGrid w:val="0"/>
          <w:sz w:val="22"/>
          <w:szCs w:val="22"/>
          <w:lang w:val="en-GB"/>
        </w:rPr>
        <w:t>one</w:t>
      </w:r>
      <w:r w:rsidRPr="003A5EE1">
        <w:rPr>
          <w:rFonts w:ascii="Arial" w:hAnsi="Arial" w:cs="Arial"/>
          <w:snapToGrid w:val="0"/>
          <w:sz w:val="22"/>
          <w:szCs w:val="22"/>
          <w:lang w:val="en-GB"/>
        </w:rPr>
        <w:t xml:space="preserve"> week off therapy</w:t>
      </w:r>
      <w:r w:rsidRPr="003A5EE1">
        <w:rPr>
          <w:rFonts w:ascii="Arial" w:hAnsi="Arial" w:cs="Arial"/>
          <w:sz w:val="22"/>
          <w:szCs w:val="22"/>
        </w:rPr>
        <w:t xml:space="preserve">. The mean daily regorafenib dose received was 147 </w:t>
      </w:r>
      <w:r w:rsidR="00890C65" w:rsidRPr="003A5EE1">
        <w:rPr>
          <w:rFonts w:ascii="Arial" w:hAnsi="Arial" w:cs="Arial"/>
          <w:sz w:val="22"/>
          <w:szCs w:val="22"/>
        </w:rPr>
        <w:t>mg.</w:t>
      </w:r>
    </w:p>
    <w:p w14:paraId="712C26CA" w14:textId="77777777" w:rsidR="00607B3E" w:rsidRPr="003A5EE1" w:rsidRDefault="00607B3E" w:rsidP="002E54D9">
      <w:pPr>
        <w:pStyle w:val="BayerBodyTextFull"/>
        <w:spacing w:before="0" w:after="0"/>
        <w:rPr>
          <w:rFonts w:ascii="Arial" w:hAnsi="Arial" w:cs="Arial"/>
          <w:sz w:val="22"/>
          <w:szCs w:val="22"/>
        </w:rPr>
      </w:pPr>
    </w:p>
    <w:p w14:paraId="712C26CB" w14:textId="21C31BDF"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Patients continued therapy until disease progression or unacceptable toxicity. A pre-planned interim analysis for efficacy was performed when 432 deaths had occurred. </w:t>
      </w:r>
      <w:r w:rsidRPr="003A5EE1">
        <w:rPr>
          <w:rFonts w:ascii="Arial" w:eastAsia="TimesNewRoman" w:hAnsi="Arial" w:cs="Arial"/>
          <w:sz w:val="22"/>
          <w:szCs w:val="22"/>
          <w:lang w:eastAsia="ja-JP"/>
        </w:rPr>
        <w:t xml:space="preserve">The study was unblinded after this planned interim analysis </w:t>
      </w:r>
      <w:r w:rsidR="009E63D5" w:rsidRPr="003A5EE1">
        <w:rPr>
          <w:rFonts w:ascii="Arial" w:eastAsia="TimesNewRoman" w:hAnsi="Arial" w:cs="Arial"/>
          <w:sz w:val="22"/>
          <w:szCs w:val="22"/>
          <w:lang w:eastAsia="ja-JP"/>
        </w:rPr>
        <w:t>as</w:t>
      </w:r>
      <w:r w:rsidRPr="003A5EE1">
        <w:rPr>
          <w:rFonts w:ascii="Arial" w:eastAsia="TimesNewRoman" w:hAnsi="Arial" w:cs="Arial"/>
          <w:sz w:val="22"/>
          <w:szCs w:val="22"/>
          <w:lang w:eastAsia="ja-JP"/>
        </w:rPr>
        <w:t xml:space="preserve"> OS had crossed the pre-specified efficacy boundary</w:t>
      </w:r>
      <w:r w:rsidRPr="003A5EE1">
        <w:rPr>
          <w:rFonts w:ascii="Arial" w:hAnsi="Arial" w:cs="Arial"/>
          <w:sz w:val="22"/>
          <w:szCs w:val="22"/>
        </w:rPr>
        <w:t xml:space="preserve">, showing evidence of prolonged survival with </w:t>
      </w:r>
      <w:r w:rsidR="00601DFC">
        <w:rPr>
          <w:rFonts w:ascii="Arial" w:hAnsi="Arial" w:cs="Arial"/>
          <w:sz w:val="22"/>
          <w:szCs w:val="22"/>
        </w:rPr>
        <w:t xml:space="preserve">STIVARGA </w:t>
      </w:r>
      <w:r w:rsidRPr="003A5EE1">
        <w:rPr>
          <w:rFonts w:ascii="Arial" w:hAnsi="Arial" w:cs="Arial"/>
          <w:sz w:val="22"/>
          <w:szCs w:val="22"/>
        </w:rPr>
        <w:t xml:space="preserve">plus BSC compared to placebo plus BSC. </w:t>
      </w:r>
      <w:r w:rsidR="00876BCC" w:rsidRPr="003A5EE1">
        <w:rPr>
          <w:rFonts w:ascii="Arial" w:hAnsi="Arial" w:cs="Arial"/>
          <w:sz w:val="22"/>
          <w:szCs w:val="22"/>
        </w:rPr>
        <w:t xml:space="preserve">The median </w:t>
      </w:r>
      <w:r w:rsidR="002131EB" w:rsidRPr="00C003A7">
        <w:rPr>
          <w:rFonts w:ascii="Arial" w:hAnsi="Arial" w:cs="Arial"/>
          <w:sz w:val="22"/>
          <w:szCs w:val="22"/>
        </w:rPr>
        <w:t>(range)</w:t>
      </w:r>
      <w:r w:rsidR="002131EB">
        <w:rPr>
          <w:rFonts w:ascii="Arial" w:hAnsi="Arial" w:cs="Arial"/>
          <w:sz w:val="22"/>
          <w:szCs w:val="22"/>
        </w:rPr>
        <w:t xml:space="preserve"> </w:t>
      </w:r>
      <w:r w:rsidR="00876BCC" w:rsidRPr="003A5EE1">
        <w:rPr>
          <w:rFonts w:ascii="Arial" w:hAnsi="Arial" w:cs="Arial"/>
          <w:sz w:val="22"/>
          <w:szCs w:val="22"/>
        </w:rPr>
        <w:t xml:space="preserve">duration of treatment (months) in patients </w:t>
      </w:r>
      <w:r w:rsidR="00D648B3" w:rsidRPr="003A5EE1">
        <w:rPr>
          <w:rFonts w:ascii="Arial" w:hAnsi="Arial" w:cs="Arial"/>
          <w:sz w:val="22"/>
          <w:szCs w:val="22"/>
        </w:rPr>
        <w:t xml:space="preserve">treated with </w:t>
      </w:r>
      <w:r w:rsidR="00601DFC">
        <w:rPr>
          <w:rFonts w:ascii="Arial" w:hAnsi="Arial" w:cs="Arial"/>
          <w:sz w:val="22"/>
          <w:szCs w:val="22"/>
        </w:rPr>
        <w:t xml:space="preserve">STIVARGA </w:t>
      </w:r>
      <w:r w:rsidR="00D648B3" w:rsidRPr="003A5EE1">
        <w:rPr>
          <w:rFonts w:ascii="Arial" w:hAnsi="Arial" w:cs="Arial"/>
          <w:sz w:val="22"/>
          <w:szCs w:val="22"/>
        </w:rPr>
        <w:t>was</w:t>
      </w:r>
      <w:r w:rsidR="00876BCC" w:rsidRPr="003A5EE1">
        <w:rPr>
          <w:rFonts w:ascii="Arial" w:hAnsi="Arial" w:cs="Arial"/>
          <w:sz w:val="22"/>
          <w:szCs w:val="22"/>
        </w:rPr>
        <w:t xml:space="preserve"> 1.7 (0.1 – 10.8) </w:t>
      </w:r>
      <w:r w:rsidR="00DF3957">
        <w:rPr>
          <w:rFonts w:ascii="Arial" w:hAnsi="Arial" w:cs="Arial"/>
          <w:sz w:val="22"/>
          <w:szCs w:val="22"/>
        </w:rPr>
        <w:t>and</w:t>
      </w:r>
      <w:r w:rsidR="00876BCC" w:rsidRPr="003A5EE1">
        <w:rPr>
          <w:rFonts w:ascii="Arial" w:hAnsi="Arial" w:cs="Arial"/>
          <w:sz w:val="22"/>
          <w:szCs w:val="22"/>
        </w:rPr>
        <w:t xml:space="preserve"> with placebo </w:t>
      </w:r>
      <w:r w:rsidR="00B523DE">
        <w:rPr>
          <w:rFonts w:ascii="Arial" w:hAnsi="Arial" w:cs="Arial"/>
          <w:sz w:val="22"/>
          <w:szCs w:val="22"/>
        </w:rPr>
        <w:t>was</w:t>
      </w:r>
      <w:r w:rsidR="000E52DF" w:rsidRPr="003A5EE1">
        <w:rPr>
          <w:rFonts w:ascii="Arial" w:hAnsi="Arial" w:cs="Arial"/>
          <w:sz w:val="22"/>
          <w:szCs w:val="22"/>
        </w:rPr>
        <w:t xml:space="preserve"> </w:t>
      </w:r>
      <w:r w:rsidR="00876BCC" w:rsidRPr="003A5EE1">
        <w:rPr>
          <w:rFonts w:ascii="Arial" w:hAnsi="Arial" w:cs="Arial"/>
          <w:sz w:val="22"/>
          <w:szCs w:val="22"/>
        </w:rPr>
        <w:t xml:space="preserve">1.6 (0.1 – 8.9). </w:t>
      </w:r>
    </w:p>
    <w:p w14:paraId="712C26CC" w14:textId="77777777" w:rsidR="00BF7776" w:rsidRPr="003A5EE1" w:rsidRDefault="00BF7776" w:rsidP="002E54D9">
      <w:pPr>
        <w:pStyle w:val="BayerBodyTextFull"/>
        <w:spacing w:before="0" w:after="0"/>
        <w:rPr>
          <w:rFonts w:ascii="Arial" w:hAnsi="Arial" w:cs="Arial"/>
          <w:sz w:val="22"/>
          <w:szCs w:val="22"/>
        </w:rPr>
      </w:pPr>
    </w:p>
    <w:p w14:paraId="712C26CD" w14:textId="77777777" w:rsidR="004E3595" w:rsidRPr="003A5EE1" w:rsidRDefault="00607B3E" w:rsidP="002E54D9">
      <w:pPr>
        <w:pStyle w:val="BayerBodyTextFull"/>
        <w:spacing w:before="0" w:after="0"/>
        <w:rPr>
          <w:rFonts w:ascii="Arial" w:hAnsi="Arial" w:cs="Arial"/>
          <w:sz w:val="22"/>
          <w:szCs w:val="22"/>
        </w:rPr>
      </w:pPr>
      <w:r w:rsidRPr="003A5EE1">
        <w:rPr>
          <w:rFonts w:ascii="Arial" w:hAnsi="Arial" w:cs="Arial"/>
          <w:sz w:val="22"/>
          <w:szCs w:val="22"/>
        </w:rPr>
        <w:t>Of the 760 randomis</w:t>
      </w:r>
      <w:r w:rsidR="00B855C1" w:rsidRPr="003A5EE1">
        <w:rPr>
          <w:rFonts w:ascii="Arial" w:hAnsi="Arial" w:cs="Arial"/>
          <w:sz w:val="22"/>
          <w:szCs w:val="22"/>
        </w:rPr>
        <w:t xml:space="preserve">ed patients, the median age was 61 years, 61% were male, 78% were Caucasian, and all patients had baseline ECOG </w:t>
      </w:r>
      <w:r w:rsidRPr="003A5EE1">
        <w:rPr>
          <w:rFonts w:ascii="Arial" w:hAnsi="Arial" w:cs="Arial"/>
          <w:sz w:val="22"/>
          <w:szCs w:val="22"/>
        </w:rPr>
        <w:t xml:space="preserve">(Eastern Cooperative Oncology Group) </w:t>
      </w:r>
      <w:r w:rsidR="00B855C1" w:rsidRPr="003A5EE1">
        <w:rPr>
          <w:rFonts w:ascii="Arial" w:hAnsi="Arial" w:cs="Arial"/>
          <w:sz w:val="22"/>
          <w:szCs w:val="22"/>
        </w:rPr>
        <w:t>Performance Status</w:t>
      </w:r>
      <w:r w:rsidR="00EC5D69" w:rsidRPr="003A5EE1">
        <w:rPr>
          <w:rFonts w:ascii="Arial" w:hAnsi="Arial" w:cs="Arial"/>
          <w:sz w:val="22"/>
          <w:szCs w:val="22"/>
        </w:rPr>
        <w:t xml:space="preserve"> (PS)</w:t>
      </w:r>
      <w:r w:rsidR="00B855C1" w:rsidRPr="003A5EE1">
        <w:rPr>
          <w:rFonts w:ascii="Arial" w:hAnsi="Arial" w:cs="Arial"/>
          <w:sz w:val="22"/>
          <w:szCs w:val="22"/>
        </w:rPr>
        <w:t xml:space="preserve"> of 0 or 1. </w:t>
      </w:r>
      <w:r w:rsidR="00545167" w:rsidRPr="003A5EE1">
        <w:rPr>
          <w:rFonts w:ascii="Arial" w:hAnsi="Arial" w:cs="Arial"/>
          <w:sz w:val="22"/>
          <w:szCs w:val="22"/>
        </w:rPr>
        <w:t>Please refer to Tabl</w:t>
      </w:r>
      <w:r w:rsidR="003D6DF0" w:rsidRPr="003A5EE1">
        <w:rPr>
          <w:rFonts w:ascii="Arial" w:hAnsi="Arial" w:cs="Arial"/>
          <w:sz w:val="22"/>
          <w:szCs w:val="22"/>
        </w:rPr>
        <w:t>e 1 for the Demographic data from</w:t>
      </w:r>
      <w:r w:rsidR="00545167" w:rsidRPr="003A5EE1">
        <w:rPr>
          <w:rFonts w:ascii="Arial" w:hAnsi="Arial" w:cs="Arial"/>
          <w:sz w:val="22"/>
          <w:szCs w:val="22"/>
        </w:rPr>
        <w:t xml:space="preserve"> the trial. </w:t>
      </w:r>
      <w:r w:rsidR="00B855C1" w:rsidRPr="003A5EE1">
        <w:rPr>
          <w:rFonts w:ascii="Arial" w:hAnsi="Arial" w:cs="Arial"/>
          <w:sz w:val="22"/>
          <w:szCs w:val="22"/>
        </w:rPr>
        <w:t xml:space="preserve">The primary site of disease was colon (65%), rectum (29%), or both (6%). A KRAS </w:t>
      </w:r>
      <w:r w:rsidRPr="003A5EE1">
        <w:rPr>
          <w:rFonts w:ascii="Arial" w:hAnsi="Arial" w:cs="Arial"/>
          <w:sz w:val="22"/>
          <w:szCs w:val="22"/>
        </w:rPr>
        <w:t xml:space="preserve">(Kirsten rat sarcoma viral oncogene homolog) </w:t>
      </w:r>
      <w:r w:rsidR="00B855C1" w:rsidRPr="003A5EE1">
        <w:rPr>
          <w:rFonts w:ascii="Arial" w:hAnsi="Arial" w:cs="Arial"/>
          <w:sz w:val="22"/>
          <w:szCs w:val="22"/>
        </w:rPr>
        <w:t xml:space="preserve">mutation was reported in 57% of patients at study entry. </w:t>
      </w:r>
    </w:p>
    <w:p w14:paraId="712C26CE" w14:textId="77777777" w:rsidR="004E3595" w:rsidRPr="003A5EE1" w:rsidRDefault="004E3595" w:rsidP="002E54D9">
      <w:pPr>
        <w:pStyle w:val="BayerBodyTextFull"/>
        <w:spacing w:before="0" w:after="0"/>
        <w:rPr>
          <w:rFonts w:ascii="Arial" w:hAnsi="Arial" w:cs="Arial"/>
          <w:sz w:val="22"/>
          <w:szCs w:val="22"/>
        </w:rPr>
      </w:pPr>
    </w:p>
    <w:p w14:paraId="712C26CF" w14:textId="77777777"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Most patients </w:t>
      </w:r>
      <w:r w:rsidR="00E15013" w:rsidRPr="003A5EE1">
        <w:rPr>
          <w:rFonts w:ascii="Arial" w:hAnsi="Arial" w:cs="Arial"/>
          <w:sz w:val="22"/>
          <w:szCs w:val="22"/>
        </w:rPr>
        <w:t xml:space="preserve">(52%) </w:t>
      </w:r>
      <w:r w:rsidR="009E63D5" w:rsidRPr="003A5EE1">
        <w:rPr>
          <w:rFonts w:ascii="Arial" w:hAnsi="Arial" w:cs="Arial"/>
          <w:sz w:val="22"/>
          <w:szCs w:val="22"/>
        </w:rPr>
        <w:t xml:space="preserve">had </w:t>
      </w:r>
      <w:r w:rsidRPr="003A5EE1">
        <w:rPr>
          <w:rFonts w:ascii="Arial" w:hAnsi="Arial" w:cs="Arial"/>
          <w:sz w:val="22"/>
          <w:szCs w:val="22"/>
        </w:rPr>
        <w:t xml:space="preserve">received </w:t>
      </w:r>
      <w:r w:rsidR="007B431E" w:rsidRPr="003A5EE1">
        <w:rPr>
          <w:rFonts w:ascii="Arial" w:hAnsi="Arial" w:cs="Arial"/>
          <w:sz w:val="22"/>
          <w:szCs w:val="22"/>
        </w:rPr>
        <w:t>three</w:t>
      </w:r>
      <w:r w:rsidRPr="003A5EE1">
        <w:rPr>
          <w:rFonts w:ascii="Arial" w:hAnsi="Arial" w:cs="Arial"/>
          <w:sz w:val="22"/>
          <w:szCs w:val="22"/>
        </w:rPr>
        <w:t xml:space="preserve"> or fewer previous lines of treatment for metastatic disease. Therapies included treatment with </w:t>
      </w:r>
      <w:proofErr w:type="spellStart"/>
      <w:r w:rsidRPr="003A5EE1">
        <w:rPr>
          <w:rFonts w:ascii="Arial" w:hAnsi="Arial" w:cs="Arial"/>
          <w:sz w:val="22"/>
          <w:szCs w:val="22"/>
        </w:rPr>
        <w:t>fluoropyrimidine</w:t>
      </w:r>
      <w:proofErr w:type="spellEnd"/>
      <w:r w:rsidRPr="003A5EE1">
        <w:rPr>
          <w:rFonts w:ascii="Arial" w:hAnsi="Arial" w:cs="Arial"/>
          <w:sz w:val="22"/>
          <w:szCs w:val="22"/>
        </w:rPr>
        <w:t>-</w:t>
      </w:r>
      <w:r w:rsidR="00187B61" w:rsidRPr="003A5EE1">
        <w:rPr>
          <w:rFonts w:ascii="Arial" w:hAnsi="Arial" w:cs="Arial"/>
          <w:sz w:val="22"/>
          <w:szCs w:val="22"/>
        </w:rPr>
        <w:t xml:space="preserve">, </w:t>
      </w:r>
      <w:proofErr w:type="spellStart"/>
      <w:r w:rsidR="00187B61" w:rsidRPr="006217C3">
        <w:rPr>
          <w:rFonts w:ascii="Arial" w:hAnsi="Arial" w:cs="Arial"/>
          <w:iCs/>
          <w:sz w:val="22"/>
          <w:szCs w:val="22"/>
        </w:rPr>
        <w:t>oxaliplatin</w:t>
      </w:r>
      <w:proofErr w:type="spellEnd"/>
      <w:r w:rsidR="00187B61" w:rsidRPr="006217C3">
        <w:rPr>
          <w:rFonts w:ascii="Arial" w:hAnsi="Arial" w:cs="Arial"/>
          <w:iCs/>
          <w:sz w:val="22"/>
          <w:szCs w:val="22"/>
        </w:rPr>
        <w:t>- and irinotecan-</w:t>
      </w:r>
      <w:r w:rsidR="00187B61" w:rsidRPr="003A5EE1">
        <w:rPr>
          <w:rFonts w:ascii="Arial" w:hAnsi="Arial" w:cs="Arial"/>
          <w:sz w:val="22"/>
          <w:szCs w:val="22"/>
        </w:rPr>
        <w:t xml:space="preserve"> </w:t>
      </w:r>
      <w:r w:rsidRPr="003A5EE1">
        <w:rPr>
          <w:rFonts w:ascii="Arial" w:hAnsi="Arial" w:cs="Arial"/>
          <w:sz w:val="22"/>
          <w:szCs w:val="22"/>
        </w:rPr>
        <w:t>based chemotherapy, an anti-VEGF therapy, and, if the patient was KRAS wild type, an anti-EGFR therapy.</w:t>
      </w:r>
    </w:p>
    <w:p w14:paraId="712C26D0" w14:textId="77777777" w:rsidR="00545167" w:rsidRDefault="00545167" w:rsidP="0090345C">
      <w:pPr>
        <w:pStyle w:val="BayerBodyTextFull"/>
        <w:spacing w:before="0" w:after="0"/>
        <w:rPr>
          <w:rFonts w:ascii="Arial" w:hAnsi="Arial" w:cs="Arial"/>
          <w:szCs w:val="24"/>
        </w:rPr>
      </w:pPr>
    </w:p>
    <w:p w14:paraId="712C26D1" w14:textId="77777777" w:rsidR="001F55B3" w:rsidRPr="003A5EE1" w:rsidRDefault="00545167" w:rsidP="00206FAC">
      <w:pPr>
        <w:pStyle w:val="BayerBodyTextFull"/>
        <w:spacing w:before="0" w:after="0"/>
        <w:rPr>
          <w:rFonts w:ascii="Arial" w:hAnsi="Arial" w:cs="Arial"/>
          <w:b/>
          <w:sz w:val="22"/>
          <w:szCs w:val="22"/>
        </w:rPr>
      </w:pPr>
      <w:r w:rsidRPr="003A5EE1">
        <w:rPr>
          <w:rFonts w:ascii="Arial" w:hAnsi="Arial" w:cs="Arial"/>
          <w:b/>
          <w:sz w:val="22"/>
          <w:szCs w:val="22"/>
        </w:rPr>
        <w:t xml:space="preserve">Table 1: </w:t>
      </w:r>
      <w:r w:rsidR="007E4AA5" w:rsidRPr="003A5EE1">
        <w:rPr>
          <w:rFonts w:ascii="Arial" w:hAnsi="Arial" w:cs="Arial"/>
          <w:b/>
          <w:sz w:val="22"/>
          <w:szCs w:val="22"/>
        </w:rPr>
        <w:t xml:space="preserve">Demographic data </w:t>
      </w:r>
    </w:p>
    <w:p w14:paraId="712C26D2" w14:textId="77777777" w:rsidR="007E4AA5" w:rsidRPr="007E4AA5" w:rsidRDefault="007E4AA5" w:rsidP="00C34AF3">
      <w:pPr>
        <w:pStyle w:val="BayerBodyTextFull"/>
        <w:keepNext/>
        <w:spacing w:before="0" w:after="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545167" w:rsidRPr="004D606E" w14:paraId="712C26D6" w14:textId="77777777" w:rsidTr="00206FAC">
        <w:trPr>
          <w:tblHeader/>
        </w:trPr>
        <w:tc>
          <w:tcPr>
            <w:tcW w:w="3142" w:type="dxa"/>
            <w:shd w:val="clear" w:color="auto" w:fill="auto"/>
          </w:tcPr>
          <w:p w14:paraId="712C26D3" w14:textId="77777777" w:rsidR="00545167" w:rsidRPr="003A5EE1" w:rsidRDefault="00545167" w:rsidP="00206FAC">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Demographic details</w:t>
            </w:r>
          </w:p>
        </w:tc>
        <w:tc>
          <w:tcPr>
            <w:tcW w:w="3143" w:type="dxa"/>
            <w:shd w:val="clear" w:color="auto" w:fill="auto"/>
          </w:tcPr>
          <w:p w14:paraId="712C26D4" w14:textId="5510F6DA" w:rsidR="00545167" w:rsidRPr="003A5EE1" w:rsidRDefault="00601DFC" w:rsidP="00206FAC">
            <w:pPr>
              <w:pStyle w:val="BayerBodyTextFull"/>
              <w:tabs>
                <w:tab w:val="left" w:pos="567"/>
              </w:tabs>
              <w:spacing w:before="0" w:after="0" w:line="260" w:lineRule="exact"/>
              <w:jc w:val="center"/>
              <w:rPr>
                <w:rFonts w:ascii="Arial" w:hAnsi="Arial" w:cs="Arial"/>
                <w:b/>
                <w:sz w:val="22"/>
                <w:szCs w:val="22"/>
              </w:rPr>
            </w:pPr>
            <w:r>
              <w:rPr>
                <w:rFonts w:ascii="Arial" w:hAnsi="Arial" w:cs="Arial"/>
                <w:b/>
                <w:sz w:val="22"/>
                <w:szCs w:val="22"/>
              </w:rPr>
              <w:t xml:space="preserve">STIVARGA </w:t>
            </w:r>
            <w:r w:rsidR="00545167" w:rsidRPr="003A5EE1">
              <w:rPr>
                <w:rFonts w:ascii="Arial" w:hAnsi="Arial" w:cs="Arial"/>
                <w:b/>
                <w:sz w:val="22"/>
                <w:szCs w:val="22"/>
              </w:rPr>
              <w:t>+ BSC</w:t>
            </w:r>
          </w:p>
        </w:tc>
        <w:tc>
          <w:tcPr>
            <w:tcW w:w="3143" w:type="dxa"/>
            <w:shd w:val="clear" w:color="auto" w:fill="auto"/>
          </w:tcPr>
          <w:p w14:paraId="712C26D5" w14:textId="77777777" w:rsidR="00545167" w:rsidRPr="003A5EE1" w:rsidRDefault="00545167" w:rsidP="00206FAC">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Placebo + BSC</w:t>
            </w:r>
          </w:p>
        </w:tc>
      </w:tr>
      <w:tr w:rsidR="00545167" w:rsidRPr="004D606E" w14:paraId="712C26DC" w14:textId="77777777" w:rsidTr="008913AB">
        <w:tc>
          <w:tcPr>
            <w:tcW w:w="3142" w:type="dxa"/>
            <w:shd w:val="clear" w:color="auto" w:fill="auto"/>
          </w:tcPr>
          <w:p w14:paraId="712C26D7" w14:textId="77777777" w:rsidR="00545167" w:rsidRPr="003A5EE1" w:rsidRDefault="00545167" w:rsidP="00206FAC">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Age (me</w:t>
            </w:r>
            <w:r w:rsidR="00F2786A">
              <w:rPr>
                <w:rFonts w:ascii="Arial" w:hAnsi="Arial" w:cs="Arial"/>
                <w:sz w:val="22"/>
                <w:szCs w:val="22"/>
              </w:rPr>
              <w:t>an</w:t>
            </w:r>
            <w:r w:rsidR="0097062A" w:rsidRPr="003A5EE1">
              <w:rPr>
                <w:rFonts w:ascii="Arial" w:hAnsi="Arial" w:cs="Arial"/>
                <w:sz w:val="22"/>
                <w:szCs w:val="22"/>
              </w:rPr>
              <w:t>, range</w:t>
            </w:r>
            <w:r w:rsidRPr="003A5EE1">
              <w:rPr>
                <w:rFonts w:ascii="Arial" w:hAnsi="Arial" w:cs="Arial"/>
                <w:sz w:val="22"/>
                <w:szCs w:val="22"/>
              </w:rPr>
              <w:t>)</w:t>
            </w:r>
          </w:p>
        </w:tc>
        <w:tc>
          <w:tcPr>
            <w:tcW w:w="3143" w:type="dxa"/>
            <w:shd w:val="clear" w:color="auto" w:fill="auto"/>
            <w:vAlign w:val="center"/>
          </w:tcPr>
          <w:p w14:paraId="712C26D8"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6</w:t>
            </w:r>
            <w:r w:rsidR="00F2786A">
              <w:rPr>
                <w:rFonts w:ascii="Arial" w:hAnsi="Arial" w:cs="Arial"/>
                <w:sz w:val="22"/>
                <w:szCs w:val="22"/>
              </w:rPr>
              <w:t>0.7</w:t>
            </w:r>
            <w:r w:rsidRPr="003A5EE1">
              <w:rPr>
                <w:rFonts w:ascii="Arial" w:hAnsi="Arial" w:cs="Arial"/>
                <w:sz w:val="22"/>
                <w:szCs w:val="22"/>
              </w:rPr>
              <w:t xml:space="preserve"> years</w:t>
            </w:r>
          </w:p>
          <w:p w14:paraId="712C26D9" w14:textId="77777777" w:rsidR="00876BCC" w:rsidRPr="003A5EE1" w:rsidRDefault="00876BCC"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lastRenderedPageBreak/>
              <w:t>(22 – 8</w:t>
            </w:r>
            <w:r w:rsidR="00C262BF">
              <w:rPr>
                <w:rFonts w:ascii="Arial" w:hAnsi="Arial" w:cs="Arial"/>
                <w:sz w:val="22"/>
                <w:szCs w:val="22"/>
              </w:rPr>
              <w:t>2</w:t>
            </w:r>
            <w:r w:rsidRPr="003A5EE1">
              <w:rPr>
                <w:rFonts w:ascii="Arial" w:hAnsi="Arial" w:cs="Arial"/>
                <w:sz w:val="22"/>
                <w:szCs w:val="22"/>
              </w:rPr>
              <w:t>)</w:t>
            </w:r>
          </w:p>
        </w:tc>
        <w:tc>
          <w:tcPr>
            <w:tcW w:w="3143" w:type="dxa"/>
            <w:shd w:val="clear" w:color="auto" w:fill="auto"/>
            <w:vAlign w:val="center"/>
          </w:tcPr>
          <w:p w14:paraId="712C26DA"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lastRenderedPageBreak/>
              <w:t>6</w:t>
            </w:r>
            <w:r w:rsidR="00F2786A">
              <w:rPr>
                <w:rFonts w:ascii="Arial" w:hAnsi="Arial" w:cs="Arial"/>
                <w:sz w:val="22"/>
                <w:szCs w:val="22"/>
              </w:rPr>
              <w:t>0.1</w:t>
            </w:r>
            <w:r w:rsidRPr="003A5EE1">
              <w:rPr>
                <w:rFonts w:ascii="Arial" w:hAnsi="Arial" w:cs="Arial"/>
                <w:sz w:val="22"/>
                <w:szCs w:val="22"/>
              </w:rPr>
              <w:t xml:space="preserve"> years</w:t>
            </w:r>
          </w:p>
          <w:p w14:paraId="712C26DB" w14:textId="77777777" w:rsidR="00876BCC" w:rsidRPr="003A5EE1" w:rsidRDefault="00876BCC"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lastRenderedPageBreak/>
              <w:t>(</w:t>
            </w:r>
            <w:r w:rsidR="002131EB" w:rsidRPr="0047783E">
              <w:rPr>
                <w:rFonts w:ascii="Arial" w:hAnsi="Arial" w:cs="Arial"/>
                <w:sz w:val="22"/>
                <w:szCs w:val="22"/>
              </w:rPr>
              <w:t>25</w:t>
            </w:r>
            <w:r w:rsidRPr="003A5EE1">
              <w:rPr>
                <w:rFonts w:ascii="Arial" w:hAnsi="Arial" w:cs="Arial"/>
                <w:sz w:val="22"/>
                <w:szCs w:val="22"/>
              </w:rPr>
              <w:t xml:space="preserve"> –</w:t>
            </w:r>
            <w:r w:rsidR="005912D6" w:rsidRPr="003A5EE1">
              <w:rPr>
                <w:rFonts w:ascii="Arial" w:hAnsi="Arial" w:cs="Arial"/>
                <w:sz w:val="22"/>
                <w:szCs w:val="22"/>
              </w:rPr>
              <w:t xml:space="preserve"> 8</w:t>
            </w:r>
            <w:r w:rsidR="00C262BF">
              <w:rPr>
                <w:rFonts w:ascii="Arial" w:hAnsi="Arial" w:cs="Arial"/>
                <w:sz w:val="22"/>
                <w:szCs w:val="22"/>
              </w:rPr>
              <w:t>5</w:t>
            </w:r>
            <w:r w:rsidRPr="003A5EE1">
              <w:rPr>
                <w:rFonts w:ascii="Arial" w:hAnsi="Arial" w:cs="Arial"/>
                <w:sz w:val="22"/>
                <w:szCs w:val="22"/>
              </w:rPr>
              <w:t>)</w:t>
            </w:r>
          </w:p>
        </w:tc>
      </w:tr>
      <w:tr w:rsidR="00545167" w:rsidRPr="004D606E" w14:paraId="712C26E3" w14:textId="77777777" w:rsidTr="008913AB">
        <w:tc>
          <w:tcPr>
            <w:tcW w:w="3142" w:type="dxa"/>
            <w:shd w:val="clear" w:color="auto" w:fill="auto"/>
          </w:tcPr>
          <w:p w14:paraId="712C26DD" w14:textId="77777777" w:rsidR="00545167" w:rsidRPr="003A5EE1" w:rsidRDefault="00545167" w:rsidP="00206FAC">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lastRenderedPageBreak/>
              <w:t>Gender</w:t>
            </w:r>
          </w:p>
          <w:p w14:paraId="712C26DE"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Male</w:t>
            </w:r>
          </w:p>
        </w:tc>
        <w:tc>
          <w:tcPr>
            <w:tcW w:w="3143" w:type="dxa"/>
            <w:shd w:val="clear" w:color="auto" w:fill="auto"/>
            <w:vAlign w:val="center"/>
          </w:tcPr>
          <w:p w14:paraId="712C26DF"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p>
          <w:p w14:paraId="712C26E0"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61.6%</w:t>
            </w:r>
          </w:p>
        </w:tc>
        <w:tc>
          <w:tcPr>
            <w:tcW w:w="3143" w:type="dxa"/>
            <w:shd w:val="clear" w:color="auto" w:fill="auto"/>
            <w:vAlign w:val="center"/>
          </w:tcPr>
          <w:p w14:paraId="712C26E1"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p>
          <w:p w14:paraId="712C26E2"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60.0%</w:t>
            </w:r>
          </w:p>
        </w:tc>
      </w:tr>
      <w:tr w:rsidR="00545167" w:rsidRPr="004D606E" w14:paraId="712C26F6" w14:textId="77777777" w:rsidTr="008913AB">
        <w:tc>
          <w:tcPr>
            <w:tcW w:w="3142" w:type="dxa"/>
            <w:shd w:val="clear" w:color="auto" w:fill="auto"/>
          </w:tcPr>
          <w:p w14:paraId="76D8B664" w14:textId="72DA161B" w:rsidR="008C18D1" w:rsidRDefault="00DB4FE1" w:rsidP="00206FAC">
            <w:pPr>
              <w:pStyle w:val="BayerBodyTextFull"/>
              <w:tabs>
                <w:tab w:val="left" w:pos="567"/>
              </w:tabs>
              <w:spacing w:before="0" w:after="0" w:line="260" w:lineRule="exact"/>
              <w:rPr>
                <w:rFonts w:ascii="Arial" w:hAnsi="Arial" w:cs="Arial"/>
                <w:sz w:val="22"/>
                <w:szCs w:val="22"/>
              </w:rPr>
            </w:pPr>
            <w:r>
              <w:rPr>
                <w:rFonts w:ascii="Arial" w:hAnsi="Arial" w:cs="Arial"/>
                <w:sz w:val="22"/>
                <w:szCs w:val="22"/>
              </w:rPr>
              <w:t>Race</w:t>
            </w:r>
            <w:r w:rsidR="008C18D1">
              <w:rPr>
                <w:rFonts w:ascii="Arial" w:hAnsi="Arial" w:cs="Arial"/>
                <w:sz w:val="22"/>
                <w:szCs w:val="22"/>
              </w:rPr>
              <w:t xml:space="preserve"> </w:t>
            </w:r>
          </w:p>
          <w:p w14:paraId="712C26E5" w14:textId="69A1E146"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Caucasian </w:t>
            </w:r>
          </w:p>
          <w:p w14:paraId="712C26E6"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Asian</w:t>
            </w:r>
          </w:p>
          <w:p w14:paraId="712C26E7"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Black</w:t>
            </w:r>
          </w:p>
          <w:p w14:paraId="712C26E8"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Other</w:t>
            </w:r>
          </w:p>
          <w:p w14:paraId="712C26E9"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Not reported </w:t>
            </w:r>
          </w:p>
        </w:tc>
        <w:tc>
          <w:tcPr>
            <w:tcW w:w="3143" w:type="dxa"/>
            <w:shd w:val="clear" w:color="auto" w:fill="auto"/>
            <w:vAlign w:val="center"/>
          </w:tcPr>
          <w:p w14:paraId="712C26EA"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p>
          <w:p w14:paraId="712C26EB"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77.6%</w:t>
            </w:r>
          </w:p>
          <w:p w14:paraId="712C26EC"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15.0%</w:t>
            </w:r>
          </w:p>
          <w:p w14:paraId="712C26ED"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1.2%</w:t>
            </w:r>
          </w:p>
          <w:p w14:paraId="712C26EE"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&lt;1%</w:t>
            </w:r>
          </w:p>
          <w:p w14:paraId="712C26EF"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5.7%</w:t>
            </w:r>
          </w:p>
        </w:tc>
        <w:tc>
          <w:tcPr>
            <w:tcW w:w="3143" w:type="dxa"/>
            <w:shd w:val="clear" w:color="auto" w:fill="auto"/>
            <w:vAlign w:val="center"/>
          </w:tcPr>
          <w:p w14:paraId="712C26F0"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p>
          <w:p w14:paraId="712C26F1"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78.8%</w:t>
            </w:r>
          </w:p>
          <w:p w14:paraId="712C26F2"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13.7%</w:t>
            </w:r>
          </w:p>
          <w:p w14:paraId="712C26F3"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3.1%</w:t>
            </w:r>
          </w:p>
          <w:p w14:paraId="712C26F4"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&lt;1%</w:t>
            </w:r>
          </w:p>
          <w:p w14:paraId="712C26F5"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3.9%</w:t>
            </w:r>
          </w:p>
        </w:tc>
      </w:tr>
      <w:tr w:rsidR="00545167" w:rsidRPr="004D606E" w14:paraId="712C26FD" w14:textId="77777777" w:rsidTr="008913AB">
        <w:tc>
          <w:tcPr>
            <w:tcW w:w="3142" w:type="dxa"/>
            <w:shd w:val="clear" w:color="auto" w:fill="auto"/>
          </w:tcPr>
          <w:p w14:paraId="712C26F7" w14:textId="77777777" w:rsidR="00545167" w:rsidRPr="003A5EE1" w:rsidRDefault="00545167" w:rsidP="00206FAC">
            <w:pPr>
              <w:pStyle w:val="BayerBodyTextFull"/>
              <w:keepNext/>
              <w:tabs>
                <w:tab w:val="left" w:pos="567"/>
              </w:tabs>
              <w:spacing w:before="0" w:after="0" w:line="260" w:lineRule="exact"/>
              <w:rPr>
                <w:rFonts w:ascii="Arial" w:hAnsi="Arial" w:cs="Arial"/>
                <w:sz w:val="22"/>
                <w:szCs w:val="22"/>
                <w:lang w:val="en-GB"/>
              </w:rPr>
            </w:pPr>
            <w:r w:rsidRPr="003A5EE1">
              <w:rPr>
                <w:rFonts w:ascii="Arial" w:hAnsi="Arial" w:cs="Arial"/>
                <w:sz w:val="22"/>
                <w:szCs w:val="22"/>
                <w:lang w:val="en-GB"/>
              </w:rPr>
              <w:t xml:space="preserve">ECOG status </w:t>
            </w:r>
          </w:p>
          <w:p w14:paraId="712C26F8" w14:textId="77777777" w:rsidR="00545167" w:rsidRPr="003A5EE1" w:rsidRDefault="00545167" w:rsidP="00206FAC">
            <w:pPr>
              <w:pStyle w:val="BayerBodyTextFull"/>
              <w:keepNext/>
              <w:tabs>
                <w:tab w:val="left" w:pos="567"/>
              </w:tabs>
              <w:spacing w:before="0" w:after="0" w:line="260" w:lineRule="exact"/>
              <w:ind w:left="567"/>
              <w:rPr>
                <w:rFonts w:ascii="Arial" w:hAnsi="Arial" w:cs="Arial"/>
                <w:sz w:val="22"/>
                <w:szCs w:val="22"/>
                <w:lang w:val="en-GB"/>
              </w:rPr>
            </w:pPr>
            <w:r w:rsidRPr="003A5EE1">
              <w:rPr>
                <w:rFonts w:ascii="Arial" w:hAnsi="Arial" w:cs="Arial"/>
                <w:sz w:val="22"/>
                <w:szCs w:val="22"/>
                <w:lang w:val="en-GB"/>
              </w:rPr>
              <w:t>0</w:t>
            </w:r>
          </w:p>
        </w:tc>
        <w:tc>
          <w:tcPr>
            <w:tcW w:w="3143" w:type="dxa"/>
            <w:shd w:val="clear" w:color="auto" w:fill="auto"/>
            <w:vAlign w:val="center"/>
          </w:tcPr>
          <w:p w14:paraId="712C26F9" w14:textId="77777777" w:rsidR="00545167" w:rsidRPr="003A5EE1" w:rsidRDefault="00545167" w:rsidP="008913AB">
            <w:pPr>
              <w:pStyle w:val="BayerBodyTextFull"/>
              <w:keepNext/>
              <w:tabs>
                <w:tab w:val="left" w:pos="567"/>
              </w:tabs>
              <w:spacing w:before="0" w:after="0" w:line="260" w:lineRule="exact"/>
              <w:jc w:val="center"/>
              <w:rPr>
                <w:rFonts w:ascii="Arial" w:hAnsi="Arial" w:cs="Arial"/>
                <w:sz w:val="22"/>
                <w:szCs w:val="22"/>
              </w:rPr>
            </w:pPr>
          </w:p>
          <w:p w14:paraId="712C26FA" w14:textId="77777777" w:rsidR="00545167" w:rsidRPr="003A5EE1" w:rsidRDefault="00545167" w:rsidP="008913AB">
            <w:pPr>
              <w:pStyle w:val="BayerBodyTextFull"/>
              <w:keepNext/>
              <w:tabs>
                <w:tab w:val="left" w:pos="567"/>
              </w:tabs>
              <w:spacing w:before="0" w:after="0" w:line="260" w:lineRule="exact"/>
              <w:jc w:val="center"/>
              <w:rPr>
                <w:rFonts w:ascii="Arial" w:hAnsi="Arial" w:cs="Arial"/>
                <w:sz w:val="22"/>
                <w:szCs w:val="22"/>
              </w:rPr>
            </w:pPr>
            <w:r w:rsidRPr="003A5EE1">
              <w:rPr>
                <w:rFonts w:ascii="Arial" w:hAnsi="Arial" w:cs="Arial"/>
                <w:sz w:val="22"/>
                <w:szCs w:val="22"/>
              </w:rPr>
              <w:t>52.5%</w:t>
            </w:r>
          </w:p>
        </w:tc>
        <w:tc>
          <w:tcPr>
            <w:tcW w:w="3143" w:type="dxa"/>
            <w:shd w:val="clear" w:color="auto" w:fill="auto"/>
            <w:vAlign w:val="center"/>
          </w:tcPr>
          <w:p w14:paraId="712C26FB" w14:textId="77777777" w:rsidR="00545167" w:rsidRPr="003A5EE1" w:rsidRDefault="00545167" w:rsidP="008913AB">
            <w:pPr>
              <w:pStyle w:val="BayerBodyTextFull"/>
              <w:keepNext/>
              <w:tabs>
                <w:tab w:val="left" w:pos="567"/>
              </w:tabs>
              <w:spacing w:before="0" w:after="0" w:line="260" w:lineRule="exact"/>
              <w:jc w:val="center"/>
              <w:rPr>
                <w:rFonts w:ascii="Arial" w:hAnsi="Arial" w:cs="Arial"/>
                <w:sz w:val="22"/>
                <w:szCs w:val="22"/>
              </w:rPr>
            </w:pPr>
          </w:p>
          <w:p w14:paraId="712C26FC" w14:textId="77777777" w:rsidR="00545167" w:rsidRPr="003A5EE1" w:rsidRDefault="00545167" w:rsidP="008913AB">
            <w:pPr>
              <w:pStyle w:val="BayerBodyTextFull"/>
              <w:keepNext/>
              <w:tabs>
                <w:tab w:val="left" w:pos="567"/>
              </w:tabs>
              <w:spacing w:before="0" w:after="0" w:line="260" w:lineRule="exact"/>
              <w:jc w:val="center"/>
              <w:rPr>
                <w:rFonts w:ascii="Arial" w:hAnsi="Arial" w:cs="Arial"/>
                <w:sz w:val="22"/>
                <w:szCs w:val="22"/>
              </w:rPr>
            </w:pPr>
            <w:r w:rsidRPr="003A5EE1">
              <w:rPr>
                <w:rFonts w:ascii="Arial" w:hAnsi="Arial" w:cs="Arial"/>
                <w:sz w:val="22"/>
                <w:szCs w:val="22"/>
              </w:rPr>
              <w:t>57.3%</w:t>
            </w:r>
          </w:p>
        </w:tc>
      </w:tr>
      <w:tr w:rsidR="00545167" w:rsidRPr="004D606E" w14:paraId="712C270A" w14:textId="77777777" w:rsidTr="008913AB">
        <w:tc>
          <w:tcPr>
            <w:tcW w:w="3142" w:type="dxa"/>
            <w:shd w:val="clear" w:color="auto" w:fill="auto"/>
          </w:tcPr>
          <w:p w14:paraId="712C26FE" w14:textId="77777777" w:rsidR="00545167" w:rsidRPr="003A5EE1" w:rsidRDefault="00545167" w:rsidP="00206FAC">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Primary site of disease</w:t>
            </w:r>
          </w:p>
          <w:p w14:paraId="712C26FF"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Colon</w:t>
            </w:r>
          </w:p>
          <w:p w14:paraId="712C2700"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Rectum</w:t>
            </w:r>
          </w:p>
          <w:p w14:paraId="712C2701" w14:textId="77777777" w:rsidR="00545167" w:rsidRPr="003A5EE1" w:rsidRDefault="0054516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Colon and rectum </w:t>
            </w:r>
          </w:p>
        </w:tc>
        <w:tc>
          <w:tcPr>
            <w:tcW w:w="3143" w:type="dxa"/>
            <w:shd w:val="clear" w:color="auto" w:fill="auto"/>
            <w:vAlign w:val="center"/>
          </w:tcPr>
          <w:p w14:paraId="712C2702"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p>
          <w:p w14:paraId="712C2703"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64.0%</w:t>
            </w:r>
          </w:p>
          <w:p w14:paraId="712C2704"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29.9%</w:t>
            </w:r>
          </w:p>
          <w:p w14:paraId="712C2705"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5.9%</w:t>
            </w:r>
          </w:p>
        </w:tc>
        <w:tc>
          <w:tcPr>
            <w:tcW w:w="3143" w:type="dxa"/>
            <w:shd w:val="clear" w:color="auto" w:fill="auto"/>
            <w:vAlign w:val="center"/>
          </w:tcPr>
          <w:p w14:paraId="712C2706"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p>
          <w:p w14:paraId="712C2707"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67.5%</w:t>
            </w:r>
          </w:p>
          <w:p w14:paraId="712C2708"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27.1%</w:t>
            </w:r>
          </w:p>
          <w:p w14:paraId="712C2709" w14:textId="77777777" w:rsidR="00545167" w:rsidRPr="003A5EE1" w:rsidRDefault="00545167" w:rsidP="008913AB">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5.5%</w:t>
            </w:r>
          </w:p>
        </w:tc>
      </w:tr>
    </w:tbl>
    <w:p w14:paraId="712C270B" w14:textId="77777777" w:rsidR="00545167" w:rsidRPr="0090345C" w:rsidRDefault="00545167" w:rsidP="0090345C">
      <w:pPr>
        <w:pStyle w:val="BayerBodyTextFull"/>
        <w:spacing w:before="0" w:after="0"/>
        <w:rPr>
          <w:rFonts w:ascii="Arial" w:hAnsi="Arial" w:cs="Arial"/>
          <w:szCs w:val="24"/>
        </w:rPr>
      </w:pPr>
    </w:p>
    <w:p w14:paraId="712C270C" w14:textId="6F55B063" w:rsidR="001F55B3" w:rsidRPr="003A5EE1" w:rsidRDefault="00B855C1" w:rsidP="0090345C">
      <w:pPr>
        <w:pStyle w:val="BayerBodyTextFull"/>
        <w:spacing w:before="0" w:after="0"/>
        <w:rPr>
          <w:rFonts w:ascii="Arial" w:hAnsi="Arial" w:cs="Arial"/>
          <w:sz w:val="22"/>
          <w:szCs w:val="22"/>
        </w:rPr>
      </w:pPr>
      <w:r w:rsidRPr="003A5EE1">
        <w:rPr>
          <w:rFonts w:ascii="Arial" w:hAnsi="Arial" w:cs="Arial"/>
          <w:sz w:val="22"/>
          <w:szCs w:val="22"/>
        </w:rPr>
        <w:t xml:space="preserve">The addition of </w:t>
      </w:r>
      <w:r w:rsidR="00601DFC">
        <w:rPr>
          <w:rFonts w:ascii="Arial" w:hAnsi="Arial" w:cs="Arial"/>
          <w:sz w:val="22"/>
          <w:szCs w:val="22"/>
        </w:rPr>
        <w:t xml:space="preserve">STIVARGA </w:t>
      </w:r>
      <w:r w:rsidRPr="003A5EE1">
        <w:rPr>
          <w:rFonts w:ascii="Arial" w:hAnsi="Arial" w:cs="Arial"/>
          <w:sz w:val="22"/>
          <w:szCs w:val="22"/>
        </w:rPr>
        <w:t>to BSC resulted in significantly longer survival</w:t>
      </w:r>
      <w:r w:rsidR="001F55B3" w:rsidRPr="003A5EE1">
        <w:rPr>
          <w:rFonts w:ascii="Arial" w:hAnsi="Arial" w:cs="Arial"/>
          <w:sz w:val="22"/>
          <w:szCs w:val="22"/>
        </w:rPr>
        <w:t xml:space="preserve"> </w:t>
      </w:r>
      <w:r w:rsidRPr="003A5EE1">
        <w:rPr>
          <w:rFonts w:ascii="Arial" w:hAnsi="Arial" w:cs="Arial"/>
          <w:sz w:val="22"/>
          <w:szCs w:val="22"/>
        </w:rPr>
        <w:t xml:space="preserve">compared to placebo plus BSC </w:t>
      </w:r>
      <w:r w:rsidR="00D76E5B" w:rsidRPr="00D76E5B">
        <w:rPr>
          <w:rFonts w:ascii="Arial" w:hAnsi="Arial" w:cs="Arial"/>
          <w:sz w:val="22"/>
          <w:szCs w:val="22"/>
        </w:rPr>
        <w:t xml:space="preserve">(p=0.005178 stratified log rank test) </w:t>
      </w:r>
      <w:r w:rsidRPr="003A5EE1">
        <w:rPr>
          <w:rFonts w:ascii="Arial" w:hAnsi="Arial" w:cs="Arial"/>
          <w:sz w:val="22"/>
          <w:szCs w:val="22"/>
        </w:rPr>
        <w:t xml:space="preserve">with a hazard ratio of 0.774 </w:t>
      </w:r>
      <w:r w:rsidR="00D76E5B" w:rsidRPr="00D76E5B">
        <w:rPr>
          <w:rFonts w:ascii="Arial" w:hAnsi="Arial" w:cs="Arial"/>
          <w:sz w:val="22"/>
          <w:szCs w:val="22"/>
        </w:rPr>
        <w:t xml:space="preserve">[95% CI 0.636, 0.942] </w:t>
      </w:r>
      <w:r w:rsidRPr="003A5EE1">
        <w:rPr>
          <w:rFonts w:ascii="Arial" w:hAnsi="Arial" w:cs="Arial"/>
          <w:sz w:val="22"/>
          <w:szCs w:val="22"/>
        </w:rPr>
        <w:t>and a median OS of 6.4 months vs. 5.0</w:t>
      </w:r>
      <w:r w:rsidR="001F55B3" w:rsidRPr="003A5EE1">
        <w:rPr>
          <w:rFonts w:ascii="Arial" w:hAnsi="Arial" w:cs="Arial"/>
          <w:sz w:val="22"/>
          <w:szCs w:val="22"/>
        </w:rPr>
        <w:t xml:space="preserve"> months (</w:t>
      </w:r>
      <w:r w:rsidR="00AB7282">
        <w:rPr>
          <w:rFonts w:ascii="Arial" w:hAnsi="Arial" w:cs="Arial"/>
          <w:sz w:val="22"/>
          <w:szCs w:val="22"/>
        </w:rPr>
        <w:t>see</w:t>
      </w:r>
      <w:r w:rsidR="001F55B3" w:rsidRPr="003A5EE1">
        <w:rPr>
          <w:rFonts w:ascii="Arial" w:hAnsi="Arial" w:cs="Arial"/>
          <w:sz w:val="22"/>
          <w:szCs w:val="22"/>
        </w:rPr>
        <w:t xml:space="preserve"> Table </w:t>
      </w:r>
      <w:r w:rsidR="007E4AA5" w:rsidRPr="003A5EE1">
        <w:rPr>
          <w:rFonts w:ascii="Arial" w:hAnsi="Arial" w:cs="Arial"/>
          <w:sz w:val="22"/>
          <w:szCs w:val="22"/>
        </w:rPr>
        <w:t>2</w:t>
      </w:r>
      <w:r w:rsidRPr="003A5EE1">
        <w:rPr>
          <w:rFonts w:ascii="Arial" w:hAnsi="Arial" w:cs="Arial"/>
          <w:sz w:val="22"/>
          <w:szCs w:val="22"/>
        </w:rPr>
        <w:t xml:space="preserve"> and Figure 1). PFS was significantly longer in patients receiving </w:t>
      </w:r>
      <w:r w:rsidR="00601DFC">
        <w:rPr>
          <w:rFonts w:ascii="Arial" w:hAnsi="Arial" w:cs="Arial"/>
          <w:sz w:val="22"/>
          <w:szCs w:val="22"/>
        </w:rPr>
        <w:t xml:space="preserve">STIVARGA </w:t>
      </w:r>
      <w:r w:rsidRPr="003A5EE1">
        <w:rPr>
          <w:rFonts w:ascii="Arial" w:hAnsi="Arial" w:cs="Arial"/>
          <w:sz w:val="22"/>
          <w:szCs w:val="22"/>
        </w:rPr>
        <w:t>plus BSC</w:t>
      </w:r>
      <w:r w:rsidRPr="003A5EE1" w:rsidDel="00454BE4">
        <w:rPr>
          <w:rFonts w:ascii="Arial" w:hAnsi="Arial" w:cs="Arial"/>
          <w:sz w:val="22"/>
          <w:szCs w:val="22"/>
        </w:rPr>
        <w:t xml:space="preserve"> </w:t>
      </w:r>
      <w:r w:rsidRPr="003A5EE1">
        <w:rPr>
          <w:rFonts w:ascii="Arial" w:hAnsi="Arial" w:cs="Arial"/>
          <w:sz w:val="22"/>
          <w:szCs w:val="22"/>
        </w:rPr>
        <w:t xml:space="preserve">(HR: 0.494, p&lt;0.000001, see Table </w:t>
      </w:r>
      <w:r w:rsidR="007E4AA5" w:rsidRPr="003A5EE1">
        <w:rPr>
          <w:rFonts w:ascii="Arial" w:hAnsi="Arial" w:cs="Arial"/>
          <w:sz w:val="22"/>
          <w:szCs w:val="22"/>
        </w:rPr>
        <w:t>2</w:t>
      </w:r>
      <w:r w:rsidRPr="003A5EE1">
        <w:rPr>
          <w:rFonts w:ascii="Arial" w:hAnsi="Arial" w:cs="Arial"/>
          <w:sz w:val="22"/>
          <w:szCs w:val="22"/>
        </w:rPr>
        <w:t xml:space="preserve"> and Figure 2). </w:t>
      </w:r>
    </w:p>
    <w:p w14:paraId="712C270D" w14:textId="77777777" w:rsidR="004E3595" w:rsidRPr="003A5EE1" w:rsidRDefault="004E3595" w:rsidP="0090345C">
      <w:pPr>
        <w:pStyle w:val="BayerBodyTextFull"/>
        <w:spacing w:before="0" w:after="0"/>
        <w:rPr>
          <w:rFonts w:ascii="Arial" w:hAnsi="Arial" w:cs="Arial"/>
          <w:sz w:val="22"/>
          <w:szCs w:val="22"/>
        </w:rPr>
      </w:pPr>
    </w:p>
    <w:p w14:paraId="712C270E" w14:textId="77777777" w:rsidR="00B855C1" w:rsidRPr="003A5EE1" w:rsidRDefault="00B855C1" w:rsidP="005D4B74">
      <w:pPr>
        <w:pStyle w:val="Caption"/>
        <w:keepNext/>
        <w:rPr>
          <w:rFonts w:ascii="Arial" w:hAnsi="Arial" w:cs="Arial"/>
          <w:sz w:val="22"/>
          <w:szCs w:val="22"/>
        </w:rPr>
      </w:pPr>
      <w:bookmarkStart w:id="1" w:name="table5"/>
      <w:r w:rsidRPr="003A5EE1">
        <w:rPr>
          <w:rFonts w:ascii="Arial" w:hAnsi="Arial" w:cs="Arial"/>
          <w:sz w:val="22"/>
          <w:szCs w:val="22"/>
        </w:rPr>
        <w:t xml:space="preserve">Table </w:t>
      </w:r>
      <w:r w:rsidR="007E4AA5" w:rsidRPr="003A5EE1">
        <w:rPr>
          <w:rFonts w:ascii="Arial" w:hAnsi="Arial" w:cs="Arial"/>
          <w:sz w:val="22"/>
          <w:szCs w:val="22"/>
        </w:rPr>
        <w:t>2</w:t>
      </w:r>
      <w:r w:rsidRPr="003A5EE1">
        <w:rPr>
          <w:rFonts w:ascii="Arial" w:hAnsi="Arial" w:cs="Arial"/>
          <w:sz w:val="22"/>
          <w:szCs w:val="22"/>
        </w:rPr>
        <w:t xml:space="preserve">: Efficacy </w:t>
      </w:r>
      <w:r w:rsidR="000D1D2E" w:rsidRPr="003A5EE1">
        <w:rPr>
          <w:rFonts w:ascii="Arial" w:hAnsi="Arial" w:cs="Arial"/>
          <w:sz w:val="22"/>
          <w:szCs w:val="22"/>
        </w:rPr>
        <w:t>r</w:t>
      </w:r>
      <w:r w:rsidRPr="003A5EE1">
        <w:rPr>
          <w:rFonts w:ascii="Arial" w:hAnsi="Arial" w:cs="Arial"/>
          <w:sz w:val="22"/>
          <w:szCs w:val="22"/>
        </w:rPr>
        <w:t>esults from the CORRECT study</w:t>
      </w:r>
    </w:p>
    <w:p w14:paraId="712C270F" w14:textId="77777777" w:rsidR="001F55B3" w:rsidRPr="001F55B3" w:rsidRDefault="001F55B3" w:rsidP="005D4B74">
      <w:pPr>
        <w:keepNex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08"/>
        <w:gridCol w:w="1908"/>
        <w:gridCol w:w="1908"/>
        <w:gridCol w:w="1912"/>
      </w:tblGrid>
      <w:tr w:rsidR="00B855C1" w:rsidRPr="001F55B3" w14:paraId="712C2715" w14:textId="77777777" w:rsidTr="002C2F1E">
        <w:trPr>
          <w:trHeight w:val="468"/>
        </w:trPr>
        <w:tc>
          <w:tcPr>
            <w:tcW w:w="1922" w:type="dxa"/>
            <w:vMerge w:val="restart"/>
            <w:shd w:val="clear" w:color="auto" w:fill="auto"/>
            <w:vAlign w:val="center"/>
          </w:tcPr>
          <w:bookmarkEnd w:id="1"/>
          <w:p w14:paraId="712C2710" w14:textId="77777777" w:rsidR="00B855C1" w:rsidRPr="00F65B34" w:rsidRDefault="00B855C1" w:rsidP="005D4B74">
            <w:pPr>
              <w:pStyle w:val="BayerTableColumnHeadings"/>
              <w:keepNext/>
              <w:rPr>
                <w:rFonts w:ascii="Arial" w:hAnsi="Arial" w:cs="Arial"/>
                <w:szCs w:val="22"/>
              </w:rPr>
            </w:pPr>
            <w:r w:rsidRPr="00F65B34">
              <w:rPr>
                <w:rFonts w:ascii="Arial" w:hAnsi="Arial" w:cs="Arial"/>
                <w:szCs w:val="22"/>
              </w:rPr>
              <w:t>Efficacy parameter</w:t>
            </w:r>
          </w:p>
        </w:tc>
        <w:tc>
          <w:tcPr>
            <w:tcW w:w="1908" w:type="dxa"/>
            <w:vMerge w:val="restart"/>
            <w:shd w:val="clear" w:color="auto" w:fill="auto"/>
            <w:vAlign w:val="center"/>
          </w:tcPr>
          <w:p w14:paraId="712C2711" w14:textId="77777777" w:rsidR="00B855C1" w:rsidRPr="00F65B34" w:rsidRDefault="00B855C1" w:rsidP="005D4B74">
            <w:pPr>
              <w:pStyle w:val="BayerTableColumnHeadings"/>
              <w:keepNext/>
              <w:rPr>
                <w:rFonts w:ascii="Arial" w:hAnsi="Arial" w:cs="Arial"/>
                <w:szCs w:val="22"/>
              </w:rPr>
            </w:pPr>
            <w:r w:rsidRPr="00F65B34">
              <w:rPr>
                <w:rFonts w:ascii="Arial" w:hAnsi="Arial" w:cs="Arial"/>
                <w:szCs w:val="22"/>
              </w:rPr>
              <w:t>Hazard Ratio* (95% CI)</w:t>
            </w:r>
          </w:p>
        </w:tc>
        <w:tc>
          <w:tcPr>
            <w:tcW w:w="1908" w:type="dxa"/>
            <w:vMerge w:val="restart"/>
            <w:shd w:val="clear" w:color="auto" w:fill="auto"/>
            <w:vAlign w:val="center"/>
          </w:tcPr>
          <w:p w14:paraId="712C2712" w14:textId="77777777" w:rsidR="00B855C1" w:rsidRPr="00F65B34" w:rsidRDefault="00B855C1" w:rsidP="005D4B74">
            <w:pPr>
              <w:pStyle w:val="BayerTableColumnHeadings"/>
              <w:keepNext/>
              <w:rPr>
                <w:rFonts w:ascii="Arial" w:hAnsi="Arial" w:cs="Arial"/>
                <w:szCs w:val="22"/>
              </w:rPr>
            </w:pPr>
            <w:r w:rsidRPr="00F65B34">
              <w:rPr>
                <w:rFonts w:ascii="Arial" w:hAnsi="Arial" w:cs="Arial"/>
                <w:szCs w:val="22"/>
              </w:rPr>
              <w:t>P-value</w:t>
            </w:r>
          </w:p>
          <w:p w14:paraId="712C2713" w14:textId="77777777" w:rsidR="00B855C1" w:rsidRPr="003A5EE1" w:rsidRDefault="00B855C1" w:rsidP="005D4B74">
            <w:pPr>
              <w:pStyle w:val="BayerTableColumnHeadings"/>
              <w:keepNext/>
              <w:rPr>
                <w:rFonts w:ascii="Arial" w:hAnsi="Arial" w:cs="Arial"/>
                <w:szCs w:val="22"/>
              </w:rPr>
            </w:pPr>
            <w:r w:rsidRPr="00F65B34">
              <w:rPr>
                <w:rFonts w:ascii="Arial" w:hAnsi="Arial" w:cs="Arial"/>
                <w:szCs w:val="22"/>
              </w:rPr>
              <w:t>(one-sided)</w:t>
            </w:r>
          </w:p>
        </w:tc>
        <w:tc>
          <w:tcPr>
            <w:tcW w:w="3820" w:type="dxa"/>
            <w:gridSpan w:val="2"/>
            <w:shd w:val="clear" w:color="auto" w:fill="auto"/>
            <w:vAlign w:val="center"/>
          </w:tcPr>
          <w:p w14:paraId="712C2714" w14:textId="77777777" w:rsidR="00B855C1" w:rsidRPr="00D96FE5" w:rsidRDefault="00B855C1" w:rsidP="005D4B74">
            <w:pPr>
              <w:pStyle w:val="BayerTableColumnHeadings"/>
              <w:keepNext/>
              <w:rPr>
                <w:rFonts w:ascii="Arial" w:hAnsi="Arial" w:cs="Arial"/>
                <w:szCs w:val="22"/>
              </w:rPr>
            </w:pPr>
            <w:r w:rsidRPr="00D96FE5">
              <w:rPr>
                <w:rFonts w:ascii="Arial" w:hAnsi="Arial" w:cs="Arial"/>
                <w:szCs w:val="22"/>
              </w:rPr>
              <w:t>Median (95% CI)</w:t>
            </w:r>
          </w:p>
        </w:tc>
      </w:tr>
      <w:tr w:rsidR="00B855C1" w:rsidRPr="001F55B3" w14:paraId="712C271D" w14:textId="77777777" w:rsidTr="002C2F1E">
        <w:tc>
          <w:tcPr>
            <w:tcW w:w="1922" w:type="dxa"/>
            <w:vMerge/>
            <w:shd w:val="clear" w:color="auto" w:fill="auto"/>
          </w:tcPr>
          <w:p w14:paraId="712C2716" w14:textId="77777777" w:rsidR="00B855C1" w:rsidRPr="00992991" w:rsidRDefault="00B855C1" w:rsidP="009A0EB2">
            <w:pPr>
              <w:pStyle w:val="BayerTableColumnHeadings"/>
              <w:keepNext/>
              <w:rPr>
                <w:rFonts w:ascii="Arial" w:hAnsi="Arial" w:cs="Arial"/>
                <w:szCs w:val="22"/>
              </w:rPr>
            </w:pPr>
          </w:p>
        </w:tc>
        <w:tc>
          <w:tcPr>
            <w:tcW w:w="1908" w:type="dxa"/>
            <w:vMerge/>
            <w:shd w:val="clear" w:color="auto" w:fill="auto"/>
          </w:tcPr>
          <w:p w14:paraId="712C2717" w14:textId="77777777" w:rsidR="00B855C1" w:rsidRPr="00992991" w:rsidRDefault="00B855C1" w:rsidP="009A0EB2">
            <w:pPr>
              <w:pStyle w:val="BayerTableColumnHeadings"/>
              <w:keepNext/>
              <w:rPr>
                <w:rFonts w:ascii="Arial" w:hAnsi="Arial" w:cs="Arial"/>
                <w:szCs w:val="22"/>
              </w:rPr>
            </w:pPr>
          </w:p>
        </w:tc>
        <w:tc>
          <w:tcPr>
            <w:tcW w:w="1908" w:type="dxa"/>
            <w:vMerge/>
          </w:tcPr>
          <w:p w14:paraId="712C2718" w14:textId="77777777" w:rsidR="00B855C1" w:rsidRPr="00992991" w:rsidRDefault="00B855C1" w:rsidP="009A0EB2">
            <w:pPr>
              <w:pStyle w:val="BayerTableColumnHeadings"/>
              <w:keepNext/>
              <w:rPr>
                <w:rFonts w:ascii="Arial" w:hAnsi="Arial" w:cs="Arial"/>
                <w:szCs w:val="22"/>
              </w:rPr>
            </w:pPr>
          </w:p>
        </w:tc>
        <w:tc>
          <w:tcPr>
            <w:tcW w:w="1908" w:type="dxa"/>
            <w:shd w:val="clear" w:color="auto" w:fill="auto"/>
          </w:tcPr>
          <w:p w14:paraId="712C2719" w14:textId="455CA5E0" w:rsidR="00B855C1" w:rsidRPr="00992991" w:rsidRDefault="00601DFC" w:rsidP="009A0EB2">
            <w:pPr>
              <w:pStyle w:val="BayerTableColumnHeadings"/>
              <w:keepNext/>
              <w:rPr>
                <w:rFonts w:ascii="Arial" w:hAnsi="Arial" w:cs="Arial"/>
                <w:szCs w:val="22"/>
              </w:rPr>
            </w:pPr>
            <w:r>
              <w:rPr>
                <w:rFonts w:ascii="Arial" w:hAnsi="Arial" w:cs="Arial"/>
                <w:szCs w:val="22"/>
              </w:rPr>
              <w:t xml:space="preserve">STIVARGA </w:t>
            </w:r>
            <w:r w:rsidR="00B855C1" w:rsidRPr="00992991">
              <w:rPr>
                <w:rFonts w:ascii="Arial" w:hAnsi="Arial" w:cs="Arial"/>
                <w:szCs w:val="22"/>
              </w:rPr>
              <w:t>plus BSC</w:t>
            </w:r>
            <w:r w:rsidR="006923BD" w:rsidRPr="00805466">
              <w:rPr>
                <w:rFonts w:ascii="Arial Bold" w:hAnsi="Arial Bold" w:cs="Arial"/>
                <w:szCs w:val="22"/>
                <w:vertAlign w:val="superscript"/>
              </w:rPr>
              <w:t>§</w:t>
            </w:r>
          </w:p>
          <w:p w14:paraId="712C271A" w14:textId="77777777" w:rsidR="00B855C1" w:rsidRPr="00992991" w:rsidRDefault="00B855C1" w:rsidP="009A0EB2">
            <w:pPr>
              <w:pStyle w:val="BayerTableColumnHeadings"/>
              <w:keepNext/>
              <w:rPr>
                <w:rFonts w:ascii="Arial" w:hAnsi="Arial" w:cs="Arial"/>
                <w:szCs w:val="22"/>
              </w:rPr>
            </w:pPr>
            <w:r w:rsidRPr="00992991">
              <w:rPr>
                <w:rFonts w:ascii="Arial" w:hAnsi="Arial" w:cs="Arial"/>
                <w:szCs w:val="22"/>
              </w:rPr>
              <w:t>(N=505)</w:t>
            </w:r>
          </w:p>
        </w:tc>
        <w:tc>
          <w:tcPr>
            <w:tcW w:w="1912" w:type="dxa"/>
            <w:shd w:val="clear" w:color="auto" w:fill="auto"/>
          </w:tcPr>
          <w:p w14:paraId="712C271B" w14:textId="77777777" w:rsidR="00B855C1" w:rsidRPr="00992991" w:rsidRDefault="00B855C1" w:rsidP="009A0EB2">
            <w:pPr>
              <w:pStyle w:val="BayerTableColumnHeadings"/>
              <w:keepNext/>
              <w:rPr>
                <w:rFonts w:ascii="Arial" w:hAnsi="Arial" w:cs="Arial"/>
                <w:szCs w:val="22"/>
              </w:rPr>
            </w:pPr>
            <w:r w:rsidRPr="00992991">
              <w:rPr>
                <w:rFonts w:ascii="Arial" w:hAnsi="Arial" w:cs="Arial"/>
                <w:szCs w:val="22"/>
              </w:rPr>
              <w:t>Placebo plus BSC</w:t>
            </w:r>
            <w:r w:rsidR="006923BD" w:rsidRPr="00805466">
              <w:rPr>
                <w:rFonts w:ascii="Arial Bold" w:hAnsi="Arial Bold" w:cs="Arial"/>
                <w:szCs w:val="22"/>
                <w:vertAlign w:val="superscript"/>
              </w:rPr>
              <w:t>§</w:t>
            </w:r>
          </w:p>
          <w:p w14:paraId="712C271C" w14:textId="77777777" w:rsidR="00B855C1" w:rsidRPr="00992991" w:rsidRDefault="00B855C1" w:rsidP="009A0EB2">
            <w:pPr>
              <w:pStyle w:val="BayerTableColumnHeadings"/>
              <w:keepNext/>
              <w:rPr>
                <w:rFonts w:ascii="Arial" w:hAnsi="Arial" w:cs="Arial"/>
                <w:szCs w:val="22"/>
              </w:rPr>
            </w:pPr>
            <w:r w:rsidRPr="00992991">
              <w:rPr>
                <w:rFonts w:ascii="Arial" w:hAnsi="Arial" w:cs="Arial"/>
                <w:szCs w:val="22"/>
              </w:rPr>
              <w:t>(N=255)</w:t>
            </w:r>
          </w:p>
        </w:tc>
      </w:tr>
      <w:tr w:rsidR="00B855C1" w:rsidRPr="001F55B3" w14:paraId="712C2727" w14:textId="77777777" w:rsidTr="008913AB">
        <w:tc>
          <w:tcPr>
            <w:tcW w:w="1922" w:type="dxa"/>
            <w:shd w:val="clear" w:color="auto" w:fill="auto"/>
          </w:tcPr>
          <w:p w14:paraId="712C271E" w14:textId="77777777" w:rsidR="00B855C1" w:rsidRPr="00D96FE5" w:rsidRDefault="00B855C1" w:rsidP="005D4B74">
            <w:pPr>
              <w:pStyle w:val="BayerTableRowHeadings"/>
              <w:keepNext/>
              <w:spacing w:after="0"/>
              <w:rPr>
                <w:rFonts w:ascii="Arial" w:hAnsi="Arial" w:cs="Arial"/>
                <w:szCs w:val="22"/>
              </w:rPr>
            </w:pPr>
            <w:r w:rsidRPr="003A5EE1">
              <w:rPr>
                <w:rFonts w:ascii="Arial" w:hAnsi="Arial" w:cs="Arial"/>
                <w:szCs w:val="22"/>
              </w:rPr>
              <w:t xml:space="preserve">Overall Survival </w:t>
            </w:r>
          </w:p>
          <w:p w14:paraId="712C271F" w14:textId="77777777" w:rsidR="00B855C1" w:rsidRPr="00992991" w:rsidRDefault="00B855C1" w:rsidP="005D4B74">
            <w:pPr>
              <w:pStyle w:val="BayerTableRowHeadings"/>
              <w:keepNext/>
              <w:spacing w:after="0"/>
              <w:rPr>
                <w:rFonts w:ascii="Arial" w:hAnsi="Arial" w:cs="Arial"/>
                <w:szCs w:val="22"/>
              </w:rPr>
            </w:pPr>
          </w:p>
        </w:tc>
        <w:tc>
          <w:tcPr>
            <w:tcW w:w="1908" w:type="dxa"/>
            <w:shd w:val="clear" w:color="auto" w:fill="auto"/>
            <w:vAlign w:val="center"/>
          </w:tcPr>
          <w:p w14:paraId="712C2720" w14:textId="673799C4"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0.774</w:t>
            </w:r>
          </w:p>
          <w:p w14:paraId="712C2721" w14:textId="77777777" w:rsidR="00B855C1" w:rsidRPr="00992991" w:rsidRDefault="00B855C1" w:rsidP="008913AB">
            <w:pPr>
              <w:pStyle w:val="BayerTableStyleLeftJustified"/>
              <w:keepNext/>
              <w:jc w:val="center"/>
              <w:rPr>
                <w:rFonts w:ascii="Arial" w:hAnsi="Arial" w:cs="Arial"/>
                <w:szCs w:val="22"/>
                <w:highlight w:val="yellow"/>
              </w:rPr>
            </w:pPr>
            <w:r w:rsidRPr="00992991">
              <w:rPr>
                <w:rFonts w:ascii="Arial" w:hAnsi="Arial" w:cs="Arial"/>
                <w:szCs w:val="22"/>
              </w:rPr>
              <w:t>(0.636, 0.942)</w:t>
            </w:r>
          </w:p>
        </w:tc>
        <w:tc>
          <w:tcPr>
            <w:tcW w:w="1908" w:type="dxa"/>
            <w:vAlign w:val="center"/>
          </w:tcPr>
          <w:p w14:paraId="712C2722"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0.005178</w:t>
            </w:r>
          </w:p>
        </w:tc>
        <w:tc>
          <w:tcPr>
            <w:tcW w:w="1908" w:type="dxa"/>
            <w:shd w:val="clear" w:color="auto" w:fill="auto"/>
            <w:vAlign w:val="center"/>
          </w:tcPr>
          <w:p w14:paraId="712C2723"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6.4 months</w:t>
            </w:r>
          </w:p>
          <w:p w14:paraId="712C2724"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(5.9, 7.3)</w:t>
            </w:r>
          </w:p>
        </w:tc>
        <w:tc>
          <w:tcPr>
            <w:tcW w:w="1912" w:type="dxa"/>
            <w:shd w:val="clear" w:color="auto" w:fill="auto"/>
            <w:vAlign w:val="center"/>
          </w:tcPr>
          <w:p w14:paraId="712C2725"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5.0 months</w:t>
            </w:r>
          </w:p>
          <w:p w14:paraId="712C2726"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(4.4, 5.8)</w:t>
            </w:r>
          </w:p>
        </w:tc>
      </w:tr>
      <w:tr w:rsidR="00B855C1" w:rsidRPr="001F55B3" w14:paraId="712C2730" w14:textId="77777777" w:rsidTr="008913AB">
        <w:tc>
          <w:tcPr>
            <w:tcW w:w="1922" w:type="dxa"/>
            <w:shd w:val="clear" w:color="auto" w:fill="auto"/>
          </w:tcPr>
          <w:p w14:paraId="712C2728" w14:textId="77777777" w:rsidR="00B855C1" w:rsidRPr="00992991" w:rsidRDefault="00B855C1" w:rsidP="005D4B74">
            <w:pPr>
              <w:pStyle w:val="BayerTableRowHeadings"/>
              <w:keepNext/>
              <w:spacing w:after="0"/>
              <w:rPr>
                <w:rFonts w:ascii="Arial" w:hAnsi="Arial" w:cs="Arial"/>
                <w:szCs w:val="22"/>
              </w:rPr>
            </w:pPr>
            <w:r w:rsidRPr="003A5EE1">
              <w:rPr>
                <w:rFonts w:ascii="Arial" w:hAnsi="Arial" w:cs="Arial"/>
                <w:szCs w:val="22"/>
              </w:rPr>
              <w:t>Progression Free Survival</w:t>
            </w:r>
            <w:r w:rsidR="00EC5D69" w:rsidRPr="00D96FE5">
              <w:rPr>
                <w:rFonts w:ascii="Arial" w:hAnsi="Arial" w:cs="Arial"/>
                <w:szCs w:val="22"/>
              </w:rPr>
              <w:t>**</w:t>
            </w:r>
          </w:p>
        </w:tc>
        <w:tc>
          <w:tcPr>
            <w:tcW w:w="1908" w:type="dxa"/>
            <w:shd w:val="clear" w:color="auto" w:fill="auto"/>
            <w:vAlign w:val="center"/>
          </w:tcPr>
          <w:p w14:paraId="712C2729" w14:textId="5B12D529"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0.494</w:t>
            </w:r>
          </w:p>
          <w:p w14:paraId="712C272A"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(0.419, 0.582)</w:t>
            </w:r>
          </w:p>
        </w:tc>
        <w:tc>
          <w:tcPr>
            <w:tcW w:w="1908" w:type="dxa"/>
            <w:vAlign w:val="center"/>
          </w:tcPr>
          <w:p w14:paraId="712C272B"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&lt;0.000001</w:t>
            </w:r>
          </w:p>
        </w:tc>
        <w:tc>
          <w:tcPr>
            <w:tcW w:w="1908" w:type="dxa"/>
            <w:shd w:val="clear" w:color="auto" w:fill="auto"/>
            <w:vAlign w:val="center"/>
          </w:tcPr>
          <w:p w14:paraId="712C272C" w14:textId="77777777" w:rsidR="00B855C1" w:rsidRPr="00F65B34" w:rsidRDefault="00B855C1" w:rsidP="008913AB">
            <w:pPr>
              <w:pStyle w:val="BayerTableStyleLeftJustified"/>
              <w:keepNext/>
              <w:jc w:val="center"/>
              <w:rPr>
                <w:rFonts w:ascii="Arial" w:hAnsi="Arial" w:cs="Arial"/>
                <w:szCs w:val="22"/>
              </w:rPr>
            </w:pPr>
            <w:r w:rsidRPr="00992991">
              <w:rPr>
                <w:rFonts w:ascii="Arial" w:hAnsi="Arial" w:cs="Arial"/>
                <w:szCs w:val="22"/>
              </w:rPr>
              <w:t xml:space="preserve">1.9 </w:t>
            </w:r>
            <w:r w:rsidRPr="00F65B34">
              <w:rPr>
                <w:rFonts w:ascii="Arial" w:hAnsi="Arial" w:cs="Arial"/>
                <w:szCs w:val="22"/>
              </w:rPr>
              <w:t>months</w:t>
            </w:r>
          </w:p>
          <w:p w14:paraId="712C272D" w14:textId="77777777" w:rsidR="00B855C1" w:rsidRPr="003A5EE1" w:rsidRDefault="00B855C1" w:rsidP="008913AB">
            <w:pPr>
              <w:pStyle w:val="BayerTableStyleLeftJustified"/>
              <w:keepNext/>
              <w:jc w:val="center"/>
              <w:rPr>
                <w:rFonts w:ascii="Arial" w:hAnsi="Arial" w:cs="Arial"/>
                <w:szCs w:val="22"/>
              </w:rPr>
            </w:pPr>
            <w:r w:rsidRPr="003A5EE1">
              <w:rPr>
                <w:rFonts w:ascii="Arial" w:hAnsi="Arial" w:cs="Arial"/>
                <w:szCs w:val="22"/>
              </w:rPr>
              <w:t>(1.9, 2.1)</w:t>
            </w:r>
          </w:p>
        </w:tc>
        <w:tc>
          <w:tcPr>
            <w:tcW w:w="1912" w:type="dxa"/>
            <w:shd w:val="clear" w:color="auto" w:fill="auto"/>
            <w:vAlign w:val="center"/>
          </w:tcPr>
          <w:p w14:paraId="712C272E" w14:textId="77777777" w:rsidR="00B855C1" w:rsidRPr="00D96FE5" w:rsidRDefault="00B855C1" w:rsidP="008913AB">
            <w:pPr>
              <w:pStyle w:val="BayerTableStyleLeftJustified"/>
              <w:keepNext/>
              <w:jc w:val="center"/>
              <w:rPr>
                <w:rFonts w:ascii="Arial" w:hAnsi="Arial" w:cs="Arial"/>
                <w:szCs w:val="22"/>
              </w:rPr>
            </w:pPr>
            <w:r w:rsidRPr="00D96FE5">
              <w:rPr>
                <w:rFonts w:ascii="Arial" w:hAnsi="Arial" w:cs="Arial"/>
                <w:szCs w:val="22"/>
              </w:rPr>
              <w:t>1.7 months</w:t>
            </w:r>
          </w:p>
          <w:p w14:paraId="712C272F" w14:textId="77777777" w:rsidR="00B855C1" w:rsidRPr="00992991" w:rsidRDefault="00B855C1" w:rsidP="008913AB">
            <w:pPr>
              <w:pStyle w:val="BayerTableStyleLeftJustified"/>
              <w:keepNext/>
              <w:jc w:val="center"/>
              <w:rPr>
                <w:rFonts w:ascii="Arial" w:hAnsi="Arial" w:cs="Arial"/>
                <w:szCs w:val="22"/>
              </w:rPr>
            </w:pPr>
            <w:r w:rsidRPr="00992991">
              <w:rPr>
                <w:rFonts w:ascii="Arial" w:hAnsi="Arial" w:cs="Arial"/>
                <w:szCs w:val="22"/>
              </w:rPr>
              <w:t>(1.7, 1.7)</w:t>
            </w:r>
          </w:p>
        </w:tc>
      </w:tr>
    </w:tbl>
    <w:p w14:paraId="712C2731" w14:textId="77777777" w:rsidR="006923BD" w:rsidRPr="005F3D99" w:rsidRDefault="006923BD" w:rsidP="005D4B74">
      <w:pPr>
        <w:pStyle w:val="Caption"/>
        <w:keepNext/>
        <w:rPr>
          <w:rFonts w:ascii="Arial" w:hAnsi="Arial" w:cs="Arial"/>
          <w:b w:val="0"/>
        </w:rPr>
      </w:pPr>
      <w:r w:rsidRPr="00805466">
        <w:rPr>
          <w:rFonts w:ascii="Arial" w:hAnsi="Arial" w:cs="Arial"/>
          <w:b w:val="0"/>
          <w:vertAlign w:val="superscript"/>
        </w:rPr>
        <w:t>§</w:t>
      </w:r>
      <w:r>
        <w:rPr>
          <w:rFonts w:ascii="Arial" w:hAnsi="Arial" w:cs="Arial"/>
          <w:b w:val="0"/>
        </w:rPr>
        <w:t xml:space="preserve"> Best Supportive Care</w:t>
      </w:r>
    </w:p>
    <w:p w14:paraId="712C2732" w14:textId="0E544909" w:rsidR="00B855C1" w:rsidRPr="0047783E" w:rsidRDefault="00B855C1" w:rsidP="005D4B74">
      <w:pPr>
        <w:pStyle w:val="Caption"/>
        <w:keepNext/>
        <w:rPr>
          <w:rFonts w:ascii="Arial" w:hAnsi="Arial" w:cs="Arial"/>
          <w:b w:val="0"/>
        </w:rPr>
      </w:pPr>
      <w:r w:rsidRPr="0047783E">
        <w:rPr>
          <w:rFonts w:ascii="Arial" w:hAnsi="Arial" w:cs="Arial"/>
          <w:b w:val="0"/>
        </w:rPr>
        <w:t xml:space="preserve">* Hazard ratio &lt; 1 favours </w:t>
      </w:r>
      <w:r w:rsidR="00113808">
        <w:rPr>
          <w:rFonts w:ascii="Arial" w:hAnsi="Arial" w:cs="Arial"/>
          <w:b w:val="0"/>
        </w:rPr>
        <w:t>STIVARGA</w:t>
      </w:r>
    </w:p>
    <w:p w14:paraId="712C2733" w14:textId="77777777" w:rsidR="00EC5D69" w:rsidRPr="00EC5D69" w:rsidRDefault="00EC5D69" w:rsidP="005D4B74">
      <w:pPr>
        <w:keepNext/>
        <w:rPr>
          <w:rFonts w:ascii="Arial" w:hAnsi="Arial" w:cs="Arial"/>
          <w:sz w:val="20"/>
          <w:szCs w:val="20"/>
        </w:rPr>
      </w:pPr>
      <w:r w:rsidRPr="00EC5D69">
        <w:rPr>
          <w:rFonts w:ascii="Arial" w:hAnsi="Arial" w:cs="Arial"/>
          <w:sz w:val="20"/>
          <w:szCs w:val="20"/>
        </w:rPr>
        <w:t>** Based on Investigator’s assessment of tumour response</w:t>
      </w:r>
    </w:p>
    <w:p w14:paraId="712C2734" w14:textId="77777777" w:rsidR="007E4AA5" w:rsidRPr="007E4AA5" w:rsidRDefault="007E4AA5" w:rsidP="007E4AA5"/>
    <w:p w14:paraId="712C2735" w14:textId="77777777" w:rsidR="004E3595" w:rsidRDefault="00B855C1" w:rsidP="00F34FCB">
      <w:pPr>
        <w:pStyle w:val="Caption"/>
        <w:rPr>
          <w:noProof/>
          <w:lang w:val="en-AU" w:eastAsia="en-AU"/>
        </w:rPr>
      </w:pPr>
      <w:r w:rsidRPr="003A5EE1">
        <w:rPr>
          <w:rFonts w:ascii="Arial" w:hAnsi="Arial" w:cs="Arial"/>
          <w:sz w:val="22"/>
          <w:szCs w:val="22"/>
        </w:rPr>
        <w:lastRenderedPageBreak/>
        <w:t>Figure 1: Kaplan-Meier curve of Overall Survival</w:t>
      </w:r>
      <w:r w:rsidRPr="001F55B3">
        <w:rPr>
          <w:rFonts w:ascii="Arial" w:hAnsi="Arial" w:cs="Arial"/>
          <w:sz w:val="24"/>
          <w:szCs w:val="24"/>
        </w:rPr>
        <w:t xml:space="preserve"> </w:t>
      </w:r>
      <w:r w:rsidR="001F2D3D">
        <w:rPr>
          <w:noProof/>
          <w:lang w:val="en-AU" w:eastAsia="en-AU"/>
        </w:rPr>
        <w:pict w14:anchorId="712C2C3A">
          <v:shape id="_x0000_i1026" type="#_x0000_t75" style="width:468.05pt;height:259.4pt;visibility:visible">
            <v:imagedata r:id="rId18" o:title=""/>
          </v:shape>
        </w:pict>
      </w:r>
    </w:p>
    <w:p w14:paraId="712C2736" w14:textId="77777777" w:rsidR="004E3595" w:rsidRDefault="004E3595" w:rsidP="0090345C"/>
    <w:p w14:paraId="712C2737" w14:textId="77777777" w:rsidR="004E3595" w:rsidRDefault="004E3595" w:rsidP="0090345C"/>
    <w:p w14:paraId="712C2738" w14:textId="77777777" w:rsidR="00B855C1" w:rsidRPr="003A5EE1" w:rsidRDefault="00B855C1" w:rsidP="003A5EE1">
      <w:pPr>
        <w:pStyle w:val="Caption"/>
        <w:keepNext/>
        <w:ind w:left="-142"/>
        <w:rPr>
          <w:sz w:val="22"/>
          <w:szCs w:val="22"/>
        </w:rPr>
      </w:pPr>
      <w:r w:rsidRPr="003A5EE1">
        <w:rPr>
          <w:rFonts w:ascii="Arial" w:hAnsi="Arial" w:cs="Arial"/>
          <w:sz w:val="22"/>
          <w:szCs w:val="22"/>
        </w:rPr>
        <w:t>Figure 2: Kaplan-Meier curve of Progression</w:t>
      </w:r>
      <w:r w:rsidR="001E1758" w:rsidRPr="003A5EE1">
        <w:rPr>
          <w:rFonts w:ascii="Arial" w:hAnsi="Arial" w:cs="Arial"/>
          <w:sz w:val="22"/>
          <w:szCs w:val="22"/>
        </w:rPr>
        <w:t>-</w:t>
      </w:r>
      <w:r w:rsidRPr="003A5EE1">
        <w:rPr>
          <w:rFonts w:ascii="Arial" w:hAnsi="Arial" w:cs="Arial"/>
          <w:sz w:val="22"/>
          <w:szCs w:val="22"/>
        </w:rPr>
        <w:t xml:space="preserve">Free Survival </w:t>
      </w:r>
    </w:p>
    <w:p w14:paraId="712C2739" w14:textId="77777777" w:rsidR="004E3595" w:rsidRPr="00F34FCB" w:rsidRDefault="001F2D3D" w:rsidP="00F34FCB">
      <w:r>
        <w:rPr>
          <w:noProof/>
          <w:lang w:val="en-AU" w:eastAsia="en-AU"/>
        </w:rPr>
        <w:pict w14:anchorId="712C2C3B">
          <v:shape id="_x0000_i1027" type="#_x0000_t75" style="width:467.85pt;height:241.45pt;visibility:visible">
            <v:imagedata r:id="rId19" o:title=""/>
          </v:shape>
        </w:pict>
      </w:r>
    </w:p>
    <w:p w14:paraId="712C273A" w14:textId="77777777" w:rsidR="001F55B3" w:rsidRDefault="001F55B3" w:rsidP="00456BB6"/>
    <w:p w14:paraId="712C273C" w14:textId="77777777" w:rsidR="0092337A" w:rsidRDefault="0092337A" w:rsidP="004E3595">
      <w:pPr>
        <w:pStyle w:val="BayerBodyTextFull"/>
        <w:spacing w:before="0" w:after="0"/>
        <w:rPr>
          <w:rFonts w:ascii="Arial" w:hAnsi="Arial" w:cs="Arial"/>
          <w:sz w:val="22"/>
          <w:szCs w:val="22"/>
        </w:rPr>
      </w:pPr>
    </w:p>
    <w:p w14:paraId="0ABC8101" w14:textId="77C4AB0B" w:rsidR="00867B66" w:rsidRPr="00867B66" w:rsidRDefault="00867B66" w:rsidP="00867B66">
      <w:pPr>
        <w:rPr>
          <w:rFonts w:ascii="Arial" w:hAnsi="Arial" w:cs="Arial"/>
          <w:sz w:val="22"/>
          <w:szCs w:val="22"/>
          <w:lang w:val="en-US"/>
        </w:rPr>
      </w:pPr>
      <w:r w:rsidRPr="00867B66">
        <w:rPr>
          <w:rFonts w:ascii="Arial" w:hAnsi="Arial" w:cs="Arial"/>
          <w:sz w:val="22"/>
          <w:szCs w:val="22"/>
          <w:lang w:val="en-US"/>
        </w:rPr>
        <w:t>The response rate (complete response or partial response) was 1% and 0.4% for STIVARGA and placebo treated patients respectively, however the difference was not statistically significant (p=0.188432, 1-sided). The disease control rate (complete response or partial response or stable disease) was significantly higher in patients treated with STIVARGA (41.0% vs 14.9%, p&lt;0.000001, 1-sided).</w:t>
      </w:r>
    </w:p>
    <w:p w14:paraId="1FBF54E1" w14:textId="77777777" w:rsidR="00867B66" w:rsidRDefault="00867B66" w:rsidP="004E3595">
      <w:pPr>
        <w:pStyle w:val="BayerBodyTextFull"/>
        <w:spacing w:before="0" w:after="0"/>
        <w:rPr>
          <w:rFonts w:ascii="Arial" w:hAnsi="Arial" w:cs="Arial"/>
          <w:sz w:val="22"/>
          <w:szCs w:val="22"/>
        </w:rPr>
      </w:pPr>
    </w:p>
    <w:p w14:paraId="712C273D" w14:textId="77777777" w:rsidR="0092337A" w:rsidRDefault="0092337A" w:rsidP="0092411A">
      <w:pPr>
        <w:autoSpaceDE w:val="0"/>
        <w:autoSpaceDN w:val="0"/>
        <w:adjustRightInd w:val="0"/>
        <w:rPr>
          <w:rFonts w:ascii="Arial" w:hAnsi="Arial" w:cs="Arial"/>
          <w:sz w:val="22"/>
          <w:szCs w:val="22"/>
          <w:lang w:val="en-AU" w:eastAsia="en-AU"/>
        </w:rPr>
      </w:pPr>
      <w:r w:rsidRPr="0092411A">
        <w:rPr>
          <w:rFonts w:ascii="Arial" w:hAnsi="Arial" w:cs="Arial"/>
          <w:sz w:val="22"/>
          <w:szCs w:val="22"/>
          <w:lang w:val="en-AU" w:eastAsia="en-AU"/>
        </w:rPr>
        <w:lastRenderedPageBreak/>
        <w:t>Subgroup</w:t>
      </w:r>
      <w:r w:rsidR="0049774E">
        <w:rPr>
          <w:rFonts w:ascii="Arial" w:hAnsi="Arial" w:cs="Arial"/>
          <w:sz w:val="22"/>
          <w:szCs w:val="22"/>
          <w:lang w:val="en-AU" w:eastAsia="en-AU"/>
        </w:rPr>
        <w:t xml:space="preserve"> analyses for OS and PFS</w:t>
      </w:r>
      <w:r w:rsidRPr="0092411A">
        <w:rPr>
          <w:rFonts w:ascii="Arial" w:hAnsi="Arial" w:cs="Arial"/>
          <w:sz w:val="22"/>
          <w:szCs w:val="22"/>
          <w:lang w:val="en-AU" w:eastAsia="en-AU"/>
        </w:rPr>
        <w:t xml:space="preserve"> according to age (&lt;65; </w:t>
      </w:r>
      <w:r w:rsidRPr="0092411A">
        <w:rPr>
          <w:rFonts w:ascii="Arial" w:eastAsia="TimesNewRomanPSMT" w:hAnsi="Arial" w:cs="Arial"/>
          <w:sz w:val="22"/>
          <w:szCs w:val="22"/>
          <w:lang w:val="en-AU" w:eastAsia="en-AU"/>
        </w:rPr>
        <w:t>≥</w:t>
      </w:r>
      <w:r w:rsidRPr="0092411A">
        <w:rPr>
          <w:rFonts w:ascii="Arial" w:hAnsi="Arial" w:cs="Arial"/>
          <w:sz w:val="22"/>
          <w:szCs w:val="22"/>
          <w:lang w:val="en-AU" w:eastAsia="en-AU"/>
        </w:rPr>
        <w:t>65),</w:t>
      </w:r>
      <w:r>
        <w:rPr>
          <w:rFonts w:ascii="Arial" w:hAnsi="Arial" w:cs="Arial"/>
          <w:sz w:val="22"/>
          <w:szCs w:val="22"/>
          <w:lang w:val="en-AU" w:eastAsia="en-AU"/>
        </w:rPr>
        <w:t xml:space="preserve"> </w:t>
      </w:r>
      <w:r w:rsidRPr="0092411A">
        <w:rPr>
          <w:rFonts w:ascii="Arial" w:hAnsi="Arial" w:cs="Arial"/>
          <w:sz w:val="22"/>
          <w:szCs w:val="22"/>
          <w:lang w:val="en-AU" w:eastAsia="en-AU"/>
        </w:rPr>
        <w:t>gender, ECOG PS, primary site of disease, time from first diagnosis of metastatic disease, prior</w:t>
      </w:r>
      <w:r>
        <w:rPr>
          <w:rFonts w:ascii="Arial" w:hAnsi="Arial" w:cs="Arial"/>
          <w:sz w:val="22"/>
          <w:szCs w:val="22"/>
          <w:lang w:val="en-AU" w:eastAsia="en-AU"/>
        </w:rPr>
        <w:t xml:space="preserve"> </w:t>
      </w:r>
      <w:r w:rsidRPr="0092411A">
        <w:rPr>
          <w:rFonts w:ascii="Arial" w:hAnsi="Arial" w:cs="Arial"/>
          <w:sz w:val="22"/>
          <w:szCs w:val="22"/>
          <w:lang w:val="en-AU" w:eastAsia="en-AU"/>
        </w:rPr>
        <w:t>anticancer treatment, prior treatment lines for metastatic disease, and KRAS mutation showed a</w:t>
      </w:r>
      <w:r>
        <w:rPr>
          <w:rFonts w:ascii="Arial" w:hAnsi="Arial" w:cs="Arial"/>
          <w:sz w:val="22"/>
          <w:szCs w:val="22"/>
          <w:lang w:val="en-AU" w:eastAsia="en-AU"/>
        </w:rPr>
        <w:t xml:space="preserve"> </w:t>
      </w:r>
      <w:r w:rsidRPr="0092411A">
        <w:rPr>
          <w:rFonts w:ascii="Arial" w:hAnsi="Arial" w:cs="Arial"/>
          <w:sz w:val="22"/>
          <w:szCs w:val="22"/>
          <w:lang w:val="en-AU" w:eastAsia="en-AU"/>
        </w:rPr>
        <w:t>treatment effect favouring the regorafenib regimen over the placebo regimen.</w:t>
      </w:r>
    </w:p>
    <w:p w14:paraId="712C273E" w14:textId="77777777" w:rsidR="00C02009" w:rsidRPr="0092411A" w:rsidRDefault="00C02009" w:rsidP="0092411A">
      <w:pPr>
        <w:autoSpaceDE w:val="0"/>
        <w:autoSpaceDN w:val="0"/>
        <w:adjustRightInd w:val="0"/>
        <w:rPr>
          <w:rFonts w:ascii="Arial" w:hAnsi="Arial" w:cs="Arial"/>
          <w:sz w:val="22"/>
          <w:szCs w:val="22"/>
          <w:lang w:val="en-AU" w:eastAsia="en-AU"/>
        </w:rPr>
      </w:pPr>
    </w:p>
    <w:p w14:paraId="3C7297D7" w14:textId="6C650C3D" w:rsidR="00206FAC" w:rsidRDefault="0049774E" w:rsidP="00375464">
      <w:pPr>
        <w:rPr>
          <w:rFonts w:ascii="Arial" w:hAnsi="Arial" w:cs="Arial"/>
          <w:sz w:val="22"/>
          <w:szCs w:val="22"/>
        </w:rPr>
      </w:pPr>
      <w:r w:rsidRPr="0047783E">
        <w:rPr>
          <w:rFonts w:ascii="Arial" w:hAnsi="Arial" w:cs="Arial"/>
          <w:sz w:val="22"/>
          <w:szCs w:val="22"/>
        </w:rPr>
        <w:t>Subgroup analysis results by historical KRAS mutational status showed a treatment effect for OS in favour of regorafenib over placebo for patients with KRAS wild-type tumours whereas a numerically lower effect was reported in patients with KRAS mutant tumours; the treatment effect for PFS favouring regorafenib was observed regardless of KRAS mutational status. The hazard ratio (95% CI) of overall survival was 0.653 (0.476 to 0.895) for patients with KRAS wild-type tumours and 0.867 (0.670 to 1.123) for patients with KRAS mutant tumours, with no evidence of heterogeneity in treatment effect (non-significant interaction test). The hazard ratio (95% CI) of progression free survival was 0.475 (0.362 to 0.623) for patients with KRAS wild-type tumours and 0.525 (0.425 to 0.649) for patients with KRAS mutant tumours.</w:t>
      </w:r>
    </w:p>
    <w:p w14:paraId="712C2741" w14:textId="77777777" w:rsidR="00515E3C" w:rsidRPr="00F4557E" w:rsidRDefault="00515E3C" w:rsidP="00F4557E">
      <w:pPr>
        <w:pStyle w:val="Default"/>
        <w:keepNext/>
        <w:widowControl/>
        <w:spacing w:before="240"/>
        <w:ind w:right="46"/>
        <w:jc w:val="both"/>
        <w:outlineLvl w:val="1"/>
        <w:rPr>
          <w:rFonts w:ascii="Arial" w:hAnsi="Arial" w:cs="Arial"/>
          <w:b/>
          <w:i/>
          <w:sz w:val="22"/>
          <w:szCs w:val="22"/>
          <w:lang w:val="en-AU"/>
        </w:rPr>
      </w:pPr>
      <w:r w:rsidRPr="00F4557E">
        <w:rPr>
          <w:rFonts w:ascii="Arial" w:hAnsi="Arial" w:cs="Arial"/>
          <w:b/>
          <w:i/>
          <w:sz w:val="22"/>
          <w:szCs w:val="22"/>
          <w:lang w:val="en-AU"/>
        </w:rPr>
        <w:t xml:space="preserve">Gastrointestinal Stromal Tumours </w:t>
      </w:r>
    </w:p>
    <w:p w14:paraId="712C2742" w14:textId="77777777" w:rsidR="00515E3C" w:rsidRPr="006C3E63" w:rsidRDefault="00515E3C" w:rsidP="00456BB6">
      <w:pPr>
        <w:rPr>
          <w:rFonts w:ascii="Arial" w:hAnsi="Arial" w:cs="Arial"/>
          <w:b/>
          <w:i/>
          <w:sz w:val="22"/>
          <w:szCs w:val="22"/>
          <w:lang w:val="en-US"/>
        </w:rPr>
      </w:pPr>
    </w:p>
    <w:p w14:paraId="712C2743" w14:textId="7ED9B9ED" w:rsidR="00515E3C" w:rsidRPr="00E77ED4" w:rsidRDefault="00515E3C" w:rsidP="00E77ED4">
      <w:pPr>
        <w:autoSpaceDE w:val="0"/>
        <w:autoSpaceDN w:val="0"/>
        <w:adjustRightInd w:val="0"/>
        <w:rPr>
          <w:rFonts w:ascii="Arial" w:hAnsi="Arial" w:cs="Arial"/>
          <w:sz w:val="22"/>
          <w:szCs w:val="22"/>
        </w:rPr>
      </w:pPr>
      <w:r w:rsidRPr="00CF5E09">
        <w:rPr>
          <w:rFonts w:ascii="Arial" w:hAnsi="Arial" w:cs="Arial"/>
          <w:sz w:val="22"/>
          <w:szCs w:val="22"/>
        </w:rPr>
        <w:t xml:space="preserve">The clinical efficacy and safety of </w:t>
      </w:r>
      <w:r w:rsidR="00601DFC">
        <w:rPr>
          <w:rFonts w:ascii="Arial" w:hAnsi="Arial" w:cs="Arial"/>
          <w:sz w:val="22"/>
          <w:szCs w:val="22"/>
        </w:rPr>
        <w:t>STIVARGA</w:t>
      </w:r>
      <w:r w:rsidR="00FF0B8E">
        <w:rPr>
          <w:rFonts w:ascii="Arial" w:hAnsi="Arial" w:cs="Arial"/>
          <w:sz w:val="22"/>
          <w:szCs w:val="22"/>
        </w:rPr>
        <w:t xml:space="preserve"> </w:t>
      </w:r>
      <w:r w:rsidRPr="00CF5E09">
        <w:rPr>
          <w:rFonts w:ascii="Arial" w:hAnsi="Arial" w:cs="Arial"/>
          <w:sz w:val="22"/>
          <w:szCs w:val="22"/>
        </w:rPr>
        <w:t>ha</w:t>
      </w:r>
      <w:r w:rsidR="00FD48A1">
        <w:rPr>
          <w:rFonts w:ascii="Arial" w:hAnsi="Arial" w:cs="Arial"/>
          <w:sz w:val="22"/>
          <w:szCs w:val="22"/>
        </w:rPr>
        <w:t>s</w:t>
      </w:r>
      <w:r w:rsidRPr="00CF5E09">
        <w:rPr>
          <w:rFonts w:ascii="Arial" w:hAnsi="Arial" w:cs="Arial"/>
          <w:sz w:val="22"/>
          <w:szCs w:val="22"/>
        </w:rPr>
        <w:t xml:space="preserve"> been evaluated in an international, multi-cent</w:t>
      </w:r>
      <w:r w:rsidR="00AE73A1">
        <w:rPr>
          <w:rFonts w:ascii="Arial" w:hAnsi="Arial" w:cs="Arial"/>
          <w:sz w:val="22"/>
          <w:szCs w:val="22"/>
        </w:rPr>
        <w:t>re</w:t>
      </w:r>
      <w:r w:rsidRPr="00CF5E09">
        <w:rPr>
          <w:rFonts w:ascii="Arial" w:hAnsi="Arial" w:cs="Arial"/>
          <w:sz w:val="22"/>
          <w:szCs w:val="22"/>
        </w:rPr>
        <w:t>, randomi</w:t>
      </w:r>
      <w:r w:rsidRPr="009C178C">
        <w:rPr>
          <w:rFonts w:ascii="Arial" w:hAnsi="Arial" w:cs="Arial"/>
          <w:sz w:val="22"/>
          <w:szCs w:val="22"/>
        </w:rPr>
        <w:t>sed</w:t>
      </w:r>
      <w:r w:rsidRPr="007B1C84">
        <w:rPr>
          <w:rFonts w:ascii="Arial" w:hAnsi="Arial" w:cs="Arial"/>
          <w:sz w:val="22"/>
          <w:szCs w:val="22"/>
        </w:rPr>
        <w:t>, double-blind, placebo-controlled Phase III study</w:t>
      </w:r>
      <w:r w:rsidR="006C3E63" w:rsidRPr="007B1C84">
        <w:rPr>
          <w:rFonts w:ascii="Arial" w:hAnsi="Arial" w:cs="Arial"/>
          <w:sz w:val="22"/>
          <w:szCs w:val="22"/>
        </w:rPr>
        <w:t xml:space="preserve"> (GRID)</w:t>
      </w:r>
      <w:r w:rsidRPr="007B1C84">
        <w:rPr>
          <w:rFonts w:ascii="Arial" w:hAnsi="Arial" w:cs="Arial"/>
          <w:sz w:val="22"/>
          <w:szCs w:val="22"/>
        </w:rPr>
        <w:t xml:space="preserve"> in patients with </w:t>
      </w:r>
      <w:r w:rsidR="00AE73A1">
        <w:rPr>
          <w:rFonts w:ascii="Arial" w:hAnsi="Arial" w:cs="Arial"/>
          <w:sz w:val="22"/>
          <w:szCs w:val="22"/>
        </w:rPr>
        <w:t xml:space="preserve">unresectable or metastatic </w:t>
      </w:r>
      <w:r w:rsidRPr="007B1C84">
        <w:rPr>
          <w:rFonts w:ascii="Arial" w:hAnsi="Arial" w:cs="Arial"/>
          <w:sz w:val="22"/>
          <w:szCs w:val="22"/>
        </w:rPr>
        <w:t>gastrointestinal stromal tumo</w:t>
      </w:r>
      <w:r w:rsidR="00A24CF7">
        <w:rPr>
          <w:rFonts w:ascii="Arial" w:hAnsi="Arial" w:cs="Arial"/>
          <w:sz w:val="22"/>
          <w:szCs w:val="22"/>
        </w:rPr>
        <w:t>u</w:t>
      </w:r>
      <w:r w:rsidRPr="007B1C84">
        <w:rPr>
          <w:rFonts w:ascii="Arial" w:hAnsi="Arial" w:cs="Arial"/>
          <w:sz w:val="22"/>
          <w:szCs w:val="22"/>
        </w:rPr>
        <w:t xml:space="preserve">rs </w:t>
      </w:r>
      <w:r w:rsidR="006C3E63" w:rsidRPr="007B1C84">
        <w:rPr>
          <w:rFonts w:ascii="Arial" w:hAnsi="Arial" w:cs="Arial"/>
          <w:sz w:val="22"/>
          <w:szCs w:val="22"/>
        </w:rPr>
        <w:t xml:space="preserve">(GIST) </w:t>
      </w:r>
      <w:r w:rsidR="00E77ED4">
        <w:rPr>
          <w:rFonts w:ascii="Arial" w:hAnsi="Arial" w:cs="Arial"/>
          <w:sz w:val="22"/>
          <w:szCs w:val="22"/>
        </w:rPr>
        <w:t xml:space="preserve">who were </w:t>
      </w:r>
      <w:r w:rsidR="006C3E63" w:rsidRPr="007B1C84">
        <w:rPr>
          <w:rFonts w:ascii="Arial" w:hAnsi="Arial" w:cs="Arial"/>
          <w:sz w:val="22"/>
          <w:szCs w:val="22"/>
        </w:rPr>
        <w:t xml:space="preserve">previously treated with </w:t>
      </w:r>
      <w:proofErr w:type="spellStart"/>
      <w:r w:rsidRPr="004230B3">
        <w:rPr>
          <w:rFonts w:ascii="Arial" w:hAnsi="Arial" w:cs="Arial"/>
          <w:sz w:val="22"/>
          <w:szCs w:val="22"/>
        </w:rPr>
        <w:t>imatinib</w:t>
      </w:r>
      <w:proofErr w:type="spellEnd"/>
      <w:r w:rsidRPr="004230B3">
        <w:rPr>
          <w:rFonts w:ascii="Arial" w:hAnsi="Arial" w:cs="Arial"/>
          <w:sz w:val="22"/>
          <w:szCs w:val="22"/>
        </w:rPr>
        <w:t xml:space="preserve"> and </w:t>
      </w:r>
      <w:proofErr w:type="spellStart"/>
      <w:r w:rsidRPr="004230B3">
        <w:rPr>
          <w:rFonts w:ascii="Arial" w:hAnsi="Arial" w:cs="Arial"/>
          <w:sz w:val="22"/>
          <w:szCs w:val="22"/>
        </w:rPr>
        <w:t>sunitinib</w:t>
      </w:r>
      <w:proofErr w:type="spellEnd"/>
      <w:r w:rsidRPr="004230B3">
        <w:rPr>
          <w:rFonts w:ascii="Arial" w:hAnsi="Arial" w:cs="Arial"/>
          <w:sz w:val="22"/>
          <w:szCs w:val="22"/>
        </w:rPr>
        <w:t>.</w:t>
      </w:r>
      <w:r w:rsidR="00BD0B72">
        <w:rPr>
          <w:rFonts w:ascii="Arial" w:hAnsi="Arial" w:cs="Arial"/>
          <w:sz w:val="22"/>
          <w:szCs w:val="22"/>
        </w:rPr>
        <w:t xml:space="preserve"> </w:t>
      </w:r>
      <w:r w:rsidR="00E77ED4" w:rsidRPr="00E77ED4">
        <w:rPr>
          <w:rFonts w:ascii="Arial" w:hAnsi="Arial" w:cs="Arial"/>
          <w:sz w:val="22"/>
          <w:szCs w:val="22"/>
          <w:lang w:val="en-AU" w:eastAsia="en-AU"/>
        </w:rPr>
        <w:t xml:space="preserve">Patients were treated with STIVARGA if they experienced disease progression or intolerance to imatinib and disease progression while on </w:t>
      </w:r>
      <w:proofErr w:type="spellStart"/>
      <w:r w:rsidR="00E77ED4" w:rsidRPr="00E77ED4">
        <w:rPr>
          <w:rFonts w:ascii="Arial" w:hAnsi="Arial" w:cs="Arial"/>
          <w:sz w:val="22"/>
          <w:szCs w:val="22"/>
          <w:lang w:val="en-AU" w:eastAsia="en-AU"/>
        </w:rPr>
        <w:t>sunitinib</w:t>
      </w:r>
      <w:proofErr w:type="spellEnd"/>
      <w:r w:rsidR="00E77ED4" w:rsidRPr="00E77ED4">
        <w:rPr>
          <w:rFonts w:ascii="Arial" w:hAnsi="Arial" w:cs="Arial"/>
          <w:sz w:val="22"/>
          <w:szCs w:val="22"/>
          <w:lang w:val="en-AU" w:eastAsia="en-AU"/>
        </w:rPr>
        <w:t>.</w:t>
      </w:r>
      <w:r w:rsidR="00AE73A1" w:rsidRPr="00E77ED4">
        <w:rPr>
          <w:rFonts w:ascii="Arial" w:hAnsi="Arial" w:cs="Arial"/>
          <w:sz w:val="22"/>
          <w:szCs w:val="22"/>
        </w:rPr>
        <w:t xml:space="preserve"> </w:t>
      </w:r>
    </w:p>
    <w:p w14:paraId="0EB87B4A" w14:textId="77777777" w:rsidR="009E45A9" w:rsidRDefault="009E45A9" w:rsidP="009E45A9">
      <w:pPr>
        <w:pStyle w:val="BayerBodyTextFull"/>
        <w:spacing w:before="0" w:after="0"/>
        <w:rPr>
          <w:rFonts w:ascii="Arial" w:hAnsi="Arial" w:cs="Arial"/>
          <w:sz w:val="22"/>
          <w:szCs w:val="22"/>
        </w:rPr>
      </w:pPr>
    </w:p>
    <w:p w14:paraId="712C2744" w14:textId="77777777" w:rsidR="00BE4D21" w:rsidRPr="002239D7" w:rsidRDefault="00515E3C" w:rsidP="009E45A9">
      <w:pPr>
        <w:pStyle w:val="BayerBodyTextFull"/>
        <w:spacing w:before="0" w:after="0"/>
        <w:rPr>
          <w:rFonts w:ascii="Arial" w:hAnsi="Arial" w:cs="Arial"/>
          <w:sz w:val="22"/>
          <w:szCs w:val="22"/>
        </w:rPr>
      </w:pPr>
      <w:r w:rsidRPr="004230B3">
        <w:rPr>
          <w:rFonts w:ascii="Arial" w:hAnsi="Arial" w:cs="Arial"/>
          <w:sz w:val="22"/>
          <w:szCs w:val="22"/>
        </w:rPr>
        <w:t>The analysis of the p</w:t>
      </w:r>
      <w:r w:rsidRPr="002239D7">
        <w:rPr>
          <w:rFonts w:ascii="Arial" w:hAnsi="Arial" w:cs="Arial"/>
          <w:sz w:val="22"/>
          <w:szCs w:val="22"/>
        </w:rPr>
        <w:t xml:space="preserve">rimary efficacy endpoint PFS was conducted after 144 PFS events (central blinded assessment). Secondary endpoints including Time </w:t>
      </w:r>
      <w:proofErr w:type="gramStart"/>
      <w:r w:rsidRPr="002239D7">
        <w:rPr>
          <w:rFonts w:ascii="Arial" w:hAnsi="Arial" w:cs="Arial"/>
          <w:sz w:val="22"/>
          <w:szCs w:val="22"/>
        </w:rPr>
        <w:t>To</w:t>
      </w:r>
      <w:proofErr w:type="gramEnd"/>
      <w:r w:rsidRPr="002239D7">
        <w:rPr>
          <w:rFonts w:ascii="Arial" w:hAnsi="Arial" w:cs="Arial"/>
          <w:sz w:val="22"/>
          <w:szCs w:val="22"/>
        </w:rPr>
        <w:t xml:space="preserve"> Progression (TTP) and Overall Survival (OS) (interim analysis) were also assessed. </w:t>
      </w:r>
      <w:r w:rsidR="000F2BC3">
        <w:rPr>
          <w:rFonts w:ascii="Arial" w:hAnsi="Arial" w:cs="Arial"/>
          <w:sz w:val="22"/>
          <w:szCs w:val="22"/>
        </w:rPr>
        <w:t>PFS was assessed using modified RECIST 1.1 criteria, in which lymph nodes and bone lesions were not target lesions and a progressively growing new tumour nodule within a pre-existing tumour mass was progression.</w:t>
      </w:r>
      <w:r w:rsidR="00BE4D21" w:rsidRPr="002239D7" w:rsidDel="00BE4D21">
        <w:rPr>
          <w:rFonts w:ascii="Arial" w:hAnsi="Arial" w:cs="Arial"/>
          <w:sz w:val="22"/>
          <w:szCs w:val="22"/>
        </w:rPr>
        <w:t xml:space="preserve"> </w:t>
      </w:r>
    </w:p>
    <w:p w14:paraId="712C2745" w14:textId="01BEAEAA" w:rsidR="00515E3C" w:rsidRDefault="00515E3C" w:rsidP="009E45A9">
      <w:pPr>
        <w:pStyle w:val="BayerBodyTextFull"/>
        <w:spacing w:before="0" w:after="0"/>
        <w:rPr>
          <w:rFonts w:ascii="Arial" w:hAnsi="Arial" w:cs="Arial"/>
          <w:sz w:val="22"/>
          <w:szCs w:val="22"/>
        </w:rPr>
      </w:pPr>
      <w:r w:rsidRPr="00833F59">
        <w:rPr>
          <w:rFonts w:ascii="Arial" w:hAnsi="Arial" w:cs="Arial"/>
          <w:sz w:val="22"/>
          <w:szCs w:val="22"/>
        </w:rPr>
        <w:t>In total, 199 patients with GIST were randomised 2:1 to receive either 160 mg regorafenib</w:t>
      </w:r>
      <w:r w:rsidR="00520D28">
        <w:rPr>
          <w:rFonts w:ascii="Arial" w:hAnsi="Arial" w:cs="Arial"/>
          <w:sz w:val="22"/>
          <w:szCs w:val="22"/>
        </w:rPr>
        <w:t xml:space="preserve"> (four </w:t>
      </w:r>
      <w:r w:rsidR="006B2395">
        <w:rPr>
          <w:rFonts w:ascii="Arial" w:hAnsi="Arial" w:cs="Arial"/>
          <w:sz w:val="22"/>
          <w:szCs w:val="22"/>
        </w:rPr>
        <w:t xml:space="preserve">STIVARGA </w:t>
      </w:r>
      <w:r w:rsidR="00520D28">
        <w:rPr>
          <w:rFonts w:ascii="Arial" w:hAnsi="Arial" w:cs="Arial"/>
          <w:sz w:val="22"/>
          <w:szCs w:val="22"/>
        </w:rPr>
        <w:t>tablets each containing 40 mg)</w:t>
      </w:r>
      <w:r w:rsidRPr="00833F59">
        <w:rPr>
          <w:rFonts w:ascii="Arial" w:hAnsi="Arial" w:cs="Arial"/>
          <w:sz w:val="22"/>
          <w:szCs w:val="22"/>
        </w:rPr>
        <w:t xml:space="preserve"> plus Best Supportive Care (BSC; n=133) orally once daily or matching placebo plus BSC (n=66) for </w:t>
      </w:r>
      <w:r w:rsidR="006C3E63" w:rsidRPr="00833F59">
        <w:rPr>
          <w:rFonts w:ascii="Arial" w:hAnsi="Arial" w:cs="Arial"/>
          <w:sz w:val="22"/>
          <w:szCs w:val="22"/>
        </w:rPr>
        <w:t>three weeks on therapy followed by one</w:t>
      </w:r>
      <w:r w:rsidRPr="00833F59">
        <w:rPr>
          <w:rFonts w:ascii="Arial" w:hAnsi="Arial" w:cs="Arial"/>
          <w:sz w:val="22"/>
          <w:szCs w:val="22"/>
        </w:rPr>
        <w:t xml:space="preserve"> week off therapy</w:t>
      </w:r>
      <w:r w:rsidR="004F6F2D">
        <w:rPr>
          <w:rFonts w:ascii="Arial" w:hAnsi="Arial" w:cs="Arial"/>
          <w:sz w:val="22"/>
          <w:szCs w:val="22"/>
        </w:rPr>
        <w:t xml:space="preserve"> per treatment cycle</w:t>
      </w:r>
      <w:r w:rsidRPr="00833F59">
        <w:rPr>
          <w:rFonts w:ascii="Arial" w:hAnsi="Arial" w:cs="Arial"/>
          <w:sz w:val="22"/>
          <w:szCs w:val="22"/>
        </w:rPr>
        <w:t xml:space="preserve">. The mean daily regorafenib dose received was 140 mg. </w:t>
      </w:r>
    </w:p>
    <w:p w14:paraId="565E83EC" w14:textId="77777777" w:rsidR="009E45A9" w:rsidRPr="00833F59" w:rsidRDefault="009E45A9" w:rsidP="009E45A9">
      <w:pPr>
        <w:pStyle w:val="BayerBodyTextFull"/>
        <w:spacing w:before="0" w:after="0"/>
        <w:rPr>
          <w:rFonts w:ascii="Arial" w:hAnsi="Arial" w:cs="Arial"/>
          <w:sz w:val="22"/>
          <w:szCs w:val="22"/>
        </w:rPr>
      </w:pPr>
    </w:p>
    <w:p w14:paraId="712C2746" w14:textId="2B3E87B1" w:rsidR="00515E3C" w:rsidRDefault="00515E3C" w:rsidP="009E45A9">
      <w:pPr>
        <w:pStyle w:val="BayerBodyTextFull"/>
        <w:keepLines/>
        <w:spacing w:before="0" w:after="0"/>
        <w:rPr>
          <w:rFonts w:ascii="Arial" w:hAnsi="Arial" w:cs="Arial"/>
          <w:sz w:val="22"/>
          <w:szCs w:val="22"/>
        </w:rPr>
      </w:pPr>
      <w:r w:rsidRPr="00833F59">
        <w:rPr>
          <w:rFonts w:ascii="Arial" w:hAnsi="Arial" w:cs="Arial"/>
          <w:sz w:val="22"/>
          <w:szCs w:val="22"/>
        </w:rPr>
        <w:t xml:space="preserve">Patients continued therapy until disease progression or unacceptable toxicity. Patients receiving placebo who experienced disease progression were offered open-label </w:t>
      </w:r>
      <w:r w:rsidR="00510253">
        <w:rPr>
          <w:rFonts w:ascii="Arial" w:hAnsi="Arial" w:cs="Arial"/>
          <w:sz w:val="22"/>
          <w:szCs w:val="22"/>
        </w:rPr>
        <w:t>STIVARGA</w:t>
      </w:r>
      <w:r w:rsidR="00510253" w:rsidRPr="00833F59">
        <w:rPr>
          <w:rFonts w:ascii="Arial" w:hAnsi="Arial" w:cs="Arial"/>
          <w:sz w:val="22"/>
          <w:szCs w:val="22"/>
        </w:rPr>
        <w:t xml:space="preserve"> </w:t>
      </w:r>
      <w:r w:rsidRPr="00833F59">
        <w:rPr>
          <w:rFonts w:ascii="Arial" w:hAnsi="Arial" w:cs="Arial"/>
          <w:sz w:val="22"/>
          <w:szCs w:val="22"/>
        </w:rPr>
        <w:t xml:space="preserve">(cross-over option). Patients receiving </w:t>
      </w:r>
      <w:r w:rsidR="00510253">
        <w:rPr>
          <w:rFonts w:ascii="Arial" w:hAnsi="Arial" w:cs="Arial"/>
          <w:sz w:val="22"/>
          <w:szCs w:val="22"/>
        </w:rPr>
        <w:t>STIVARGA</w:t>
      </w:r>
      <w:r w:rsidR="00510253" w:rsidRPr="00833F59">
        <w:rPr>
          <w:rFonts w:ascii="Arial" w:hAnsi="Arial" w:cs="Arial"/>
          <w:sz w:val="22"/>
          <w:szCs w:val="22"/>
        </w:rPr>
        <w:t xml:space="preserve"> </w:t>
      </w:r>
      <w:r w:rsidRPr="00833F59">
        <w:rPr>
          <w:rFonts w:ascii="Arial" w:hAnsi="Arial" w:cs="Arial"/>
          <w:sz w:val="22"/>
          <w:szCs w:val="22"/>
        </w:rPr>
        <w:t xml:space="preserve">who experienced disease progression and for whom in the investigator’s opinion, treatment with </w:t>
      </w:r>
      <w:r w:rsidR="00510253">
        <w:rPr>
          <w:rFonts w:ascii="Arial" w:hAnsi="Arial" w:cs="Arial"/>
          <w:sz w:val="22"/>
          <w:szCs w:val="22"/>
        </w:rPr>
        <w:t>STIVARGA</w:t>
      </w:r>
      <w:r w:rsidR="00510253" w:rsidRPr="00833F59">
        <w:rPr>
          <w:rFonts w:ascii="Arial" w:hAnsi="Arial" w:cs="Arial"/>
          <w:sz w:val="22"/>
          <w:szCs w:val="22"/>
        </w:rPr>
        <w:t xml:space="preserve"> </w:t>
      </w:r>
      <w:r w:rsidRPr="00833F59">
        <w:rPr>
          <w:rFonts w:ascii="Arial" w:hAnsi="Arial" w:cs="Arial"/>
          <w:sz w:val="22"/>
          <w:szCs w:val="22"/>
        </w:rPr>
        <w:t xml:space="preserve">was providing clinical benefit were offered the opportunity to continue open-label </w:t>
      </w:r>
      <w:r w:rsidR="00510253">
        <w:rPr>
          <w:rFonts w:ascii="Arial" w:hAnsi="Arial" w:cs="Arial"/>
          <w:sz w:val="22"/>
          <w:szCs w:val="22"/>
        </w:rPr>
        <w:t>STIVARGA</w:t>
      </w:r>
      <w:r w:rsidRPr="00833F59">
        <w:rPr>
          <w:rFonts w:ascii="Arial" w:hAnsi="Arial" w:cs="Arial"/>
          <w:sz w:val="22"/>
          <w:szCs w:val="22"/>
        </w:rPr>
        <w:t>.</w:t>
      </w:r>
    </w:p>
    <w:p w14:paraId="02F7DDDD" w14:textId="77777777" w:rsidR="009E45A9" w:rsidRPr="00833F59" w:rsidRDefault="009E45A9" w:rsidP="009E45A9">
      <w:pPr>
        <w:pStyle w:val="BayerBodyTextFull"/>
        <w:keepLines/>
        <w:spacing w:before="0" w:after="0"/>
        <w:rPr>
          <w:rFonts w:ascii="Arial" w:hAnsi="Arial" w:cs="Arial"/>
          <w:sz w:val="22"/>
          <w:szCs w:val="22"/>
        </w:rPr>
      </w:pPr>
    </w:p>
    <w:p w14:paraId="712C2747" w14:textId="77777777" w:rsidR="00BF10D1" w:rsidRDefault="00515E3C" w:rsidP="009E45A9">
      <w:pPr>
        <w:autoSpaceDE w:val="0"/>
        <w:autoSpaceDN w:val="0"/>
        <w:adjustRightInd w:val="0"/>
        <w:rPr>
          <w:rFonts w:ascii="Arial" w:hAnsi="Arial" w:cs="Arial"/>
          <w:sz w:val="22"/>
          <w:szCs w:val="22"/>
        </w:rPr>
      </w:pPr>
      <w:r w:rsidRPr="00833F59">
        <w:rPr>
          <w:rFonts w:ascii="Arial" w:hAnsi="Arial" w:cs="Arial"/>
          <w:sz w:val="22"/>
          <w:szCs w:val="22"/>
        </w:rPr>
        <w:t xml:space="preserve">Of the 199 randomised patients, the </w:t>
      </w:r>
      <w:r w:rsidR="004F6F2D">
        <w:rPr>
          <w:rFonts w:ascii="Arial" w:hAnsi="Arial" w:cs="Arial"/>
          <w:sz w:val="22"/>
          <w:szCs w:val="22"/>
        </w:rPr>
        <w:t>median</w:t>
      </w:r>
      <w:r w:rsidRPr="00833F59">
        <w:rPr>
          <w:rFonts w:ascii="Arial" w:hAnsi="Arial" w:cs="Arial"/>
          <w:sz w:val="22"/>
          <w:szCs w:val="22"/>
        </w:rPr>
        <w:t xml:space="preserve"> age was </w:t>
      </w:r>
      <w:r w:rsidR="004F6F2D">
        <w:rPr>
          <w:rFonts w:ascii="Arial" w:hAnsi="Arial" w:cs="Arial"/>
          <w:sz w:val="22"/>
          <w:szCs w:val="22"/>
        </w:rPr>
        <w:t>60</w:t>
      </w:r>
      <w:r w:rsidRPr="00833F59">
        <w:rPr>
          <w:rFonts w:ascii="Arial" w:hAnsi="Arial" w:cs="Arial"/>
          <w:sz w:val="22"/>
          <w:szCs w:val="22"/>
        </w:rPr>
        <w:t xml:space="preserve"> years</w:t>
      </w:r>
      <w:r w:rsidR="004F6F2D">
        <w:rPr>
          <w:rFonts w:ascii="Arial" w:hAnsi="Arial" w:cs="Arial"/>
          <w:sz w:val="22"/>
          <w:szCs w:val="22"/>
        </w:rPr>
        <w:t xml:space="preserve"> (range 18 – 87)</w:t>
      </w:r>
      <w:r w:rsidRPr="00833F59">
        <w:rPr>
          <w:rFonts w:ascii="Arial" w:hAnsi="Arial" w:cs="Arial"/>
          <w:sz w:val="22"/>
          <w:szCs w:val="22"/>
        </w:rPr>
        <w:t>, 64% were male, 68% were Caucasian, and all patients had basel</w:t>
      </w:r>
      <w:r w:rsidR="006C3E63" w:rsidRPr="00833F59">
        <w:rPr>
          <w:rFonts w:ascii="Arial" w:hAnsi="Arial" w:cs="Arial"/>
          <w:sz w:val="22"/>
          <w:szCs w:val="22"/>
        </w:rPr>
        <w:t>ine ECOG PS</w:t>
      </w:r>
      <w:r w:rsidRPr="0078633F">
        <w:rPr>
          <w:rFonts w:ascii="Arial" w:hAnsi="Arial" w:cs="Arial"/>
          <w:sz w:val="22"/>
          <w:szCs w:val="22"/>
        </w:rPr>
        <w:t xml:space="preserve"> of 0 or 1. The overall median time since most recent progression or relapse to randomis</w:t>
      </w:r>
      <w:r w:rsidRPr="00E961A9">
        <w:rPr>
          <w:rFonts w:ascii="Arial" w:hAnsi="Arial" w:cs="Arial"/>
          <w:sz w:val="22"/>
          <w:szCs w:val="22"/>
        </w:rPr>
        <w:t xml:space="preserve">ation was 6 weeks. </w:t>
      </w:r>
    </w:p>
    <w:p w14:paraId="7A0714B0" w14:textId="77777777" w:rsidR="009E45A9" w:rsidRDefault="009E45A9" w:rsidP="009E45A9">
      <w:pPr>
        <w:autoSpaceDE w:val="0"/>
        <w:autoSpaceDN w:val="0"/>
        <w:adjustRightInd w:val="0"/>
        <w:rPr>
          <w:rFonts w:ascii="Arial" w:hAnsi="Arial" w:cs="Arial"/>
          <w:sz w:val="22"/>
          <w:szCs w:val="22"/>
        </w:rPr>
      </w:pPr>
    </w:p>
    <w:p w14:paraId="712C2748" w14:textId="77777777" w:rsidR="00AA1C90" w:rsidRDefault="00AA1C90" w:rsidP="009E45A9">
      <w:pPr>
        <w:autoSpaceDE w:val="0"/>
        <w:autoSpaceDN w:val="0"/>
        <w:adjustRightInd w:val="0"/>
        <w:rPr>
          <w:rFonts w:ascii="Arial" w:hAnsi="Arial" w:cs="Arial"/>
          <w:color w:val="000000"/>
          <w:sz w:val="22"/>
          <w:szCs w:val="22"/>
        </w:rPr>
      </w:pPr>
      <w:r w:rsidRPr="008D5883">
        <w:rPr>
          <w:rFonts w:ascii="Arial" w:hAnsi="Arial" w:cs="Arial"/>
          <w:color w:val="000000"/>
          <w:sz w:val="22"/>
          <w:szCs w:val="22"/>
        </w:rPr>
        <w:t xml:space="preserve">The majority of patients presented with metastatic disease (61.3%). 56.8% of the patients had received 2 prior lines of treatment for metastatic and/or unresectable GIST, and 43.2% had received more than 2 prior lines of treatment. </w:t>
      </w:r>
    </w:p>
    <w:p w14:paraId="7CB1A6FC" w14:textId="77777777" w:rsidR="009E45A9" w:rsidRPr="005F3D99" w:rsidRDefault="009E45A9" w:rsidP="009E45A9">
      <w:pPr>
        <w:autoSpaceDE w:val="0"/>
        <w:autoSpaceDN w:val="0"/>
        <w:adjustRightInd w:val="0"/>
        <w:rPr>
          <w:rFonts w:ascii="Arial" w:hAnsi="Arial" w:cs="Arial"/>
          <w:sz w:val="22"/>
          <w:szCs w:val="22"/>
        </w:rPr>
      </w:pPr>
    </w:p>
    <w:p w14:paraId="712C2749" w14:textId="554D08EA" w:rsidR="008814B7" w:rsidRDefault="00CB7A15" w:rsidP="009E45A9">
      <w:pPr>
        <w:pStyle w:val="BayerBodyTextFull"/>
        <w:spacing w:before="0" w:after="0"/>
        <w:rPr>
          <w:rFonts w:ascii="Arial" w:hAnsi="Arial" w:cs="Arial"/>
          <w:sz w:val="22"/>
          <w:szCs w:val="22"/>
        </w:rPr>
      </w:pPr>
      <w:r>
        <w:rPr>
          <w:rFonts w:ascii="Arial" w:hAnsi="Arial" w:cs="Arial"/>
          <w:sz w:val="22"/>
          <w:szCs w:val="22"/>
        </w:rPr>
        <w:t xml:space="preserve">STIVARGA significantly increased PFS and TTP </w:t>
      </w:r>
      <w:r w:rsidR="006B1320">
        <w:rPr>
          <w:rFonts w:ascii="Arial" w:hAnsi="Arial" w:cs="Arial"/>
          <w:sz w:val="22"/>
          <w:szCs w:val="22"/>
        </w:rPr>
        <w:t>a</w:t>
      </w:r>
      <w:r>
        <w:rPr>
          <w:rFonts w:ascii="Arial" w:hAnsi="Arial" w:cs="Arial"/>
          <w:sz w:val="22"/>
          <w:szCs w:val="22"/>
        </w:rPr>
        <w:t>nd there was a trend to increased OS</w:t>
      </w:r>
      <w:r w:rsidR="00DC420A">
        <w:rPr>
          <w:rFonts w:ascii="Arial" w:hAnsi="Arial" w:cs="Arial"/>
          <w:sz w:val="22"/>
          <w:szCs w:val="22"/>
        </w:rPr>
        <w:t xml:space="preserve"> </w:t>
      </w:r>
      <w:r w:rsidR="00515E3C" w:rsidRPr="000667BE">
        <w:rPr>
          <w:rFonts w:ascii="Arial" w:hAnsi="Arial" w:cs="Arial"/>
          <w:sz w:val="22"/>
          <w:szCs w:val="22"/>
        </w:rPr>
        <w:t>(</w:t>
      </w:r>
      <w:r w:rsidR="00515E3C" w:rsidRPr="00386290">
        <w:rPr>
          <w:rFonts w:ascii="Arial" w:hAnsi="Arial" w:cs="Arial"/>
          <w:color w:val="000000"/>
          <w:sz w:val="22"/>
          <w:szCs w:val="22"/>
        </w:rPr>
        <w:t xml:space="preserve">see Table </w:t>
      </w:r>
      <w:r w:rsidR="006C3E63" w:rsidRPr="00386290">
        <w:rPr>
          <w:rFonts w:ascii="Arial" w:hAnsi="Arial" w:cs="Arial"/>
          <w:color w:val="000000"/>
          <w:sz w:val="22"/>
          <w:szCs w:val="22"/>
        </w:rPr>
        <w:t>3</w:t>
      </w:r>
      <w:r w:rsidR="00515E3C" w:rsidRPr="00386290">
        <w:rPr>
          <w:rFonts w:ascii="Arial" w:hAnsi="Arial" w:cs="Arial"/>
          <w:color w:val="000000"/>
          <w:sz w:val="22"/>
          <w:szCs w:val="22"/>
        </w:rPr>
        <w:t>, Figure</w:t>
      </w:r>
      <w:r>
        <w:rPr>
          <w:rFonts w:ascii="Arial" w:hAnsi="Arial" w:cs="Arial"/>
          <w:color w:val="000000"/>
          <w:sz w:val="22"/>
          <w:szCs w:val="22"/>
        </w:rPr>
        <w:t>s</w:t>
      </w:r>
      <w:r w:rsidR="00515E3C" w:rsidRPr="00386290">
        <w:rPr>
          <w:rFonts w:ascii="Arial" w:hAnsi="Arial" w:cs="Arial"/>
          <w:color w:val="000000"/>
          <w:sz w:val="22"/>
          <w:szCs w:val="22"/>
        </w:rPr>
        <w:t xml:space="preserve"> </w:t>
      </w:r>
      <w:r w:rsidR="006C3E63" w:rsidRPr="00386290">
        <w:rPr>
          <w:rFonts w:ascii="Arial" w:hAnsi="Arial" w:cs="Arial"/>
          <w:color w:val="000000"/>
          <w:sz w:val="22"/>
          <w:szCs w:val="22"/>
        </w:rPr>
        <w:t>3</w:t>
      </w:r>
      <w:r>
        <w:rPr>
          <w:rFonts w:ascii="Arial" w:hAnsi="Arial" w:cs="Arial"/>
          <w:color w:val="000000"/>
          <w:sz w:val="22"/>
          <w:szCs w:val="22"/>
        </w:rPr>
        <w:t xml:space="preserve"> - 4</w:t>
      </w:r>
      <w:r w:rsidR="00515E3C" w:rsidRPr="00042071">
        <w:rPr>
          <w:rFonts w:ascii="Arial" w:hAnsi="Arial" w:cs="Arial"/>
          <w:sz w:val="22"/>
          <w:szCs w:val="22"/>
        </w:rPr>
        <w:t>).</w:t>
      </w:r>
      <w:r w:rsidR="006C3E63" w:rsidRPr="00042071">
        <w:rPr>
          <w:rFonts w:ascii="Arial" w:hAnsi="Arial" w:cs="Arial"/>
          <w:sz w:val="22"/>
          <w:szCs w:val="22"/>
        </w:rPr>
        <w:t xml:space="preserve"> </w:t>
      </w:r>
      <w:r w:rsidR="00515E3C" w:rsidRPr="00042071">
        <w:rPr>
          <w:rFonts w:ascii="Arial" w:hAnsi="Arial" w:cs="Arial"/>
          <w:sz w:val="22"/>
          <w:szCs w:val="22"/>
        </w:rPr>
        <w:t xml:space="preserve">The increase in PFS was consistent independent of age, sex, geographic region, prior lines of treatment, ECOG performance status. </w:t>
      </w:r>
    </w:p>
    <w:p w14:paraId="4AA73E6D" w14:textId="77777777" w:rsidR="00206FAC" w:rsidRDefault="00206FAC" w:rsidP="009E45A9">
      <w:pPr>
        <w:pStyle w:val="BayerBodyTextFull"/>
        <w:spacing w:before="0" w:after="0"/>
        <w:rPr>
          <w:rFonts w:ascii="Arial" w:hAnsi="Arial" w:cs="Arial"/>
          <w:sz w:val="22"/>
          <w:szCs w:val="22"/>
        </w:rPr>
      </w:pPr>
    </w:p>
    <w:p w14:paraId="712C274B" w14:textId="075BDA45" w:rsidR="00515E3C" w:rsidRDefault="00515E3C" w:rsidP="00CD4EDB">
      <w:pPr>
        <w:pStyle w:val="BayerBodyTextFull"/>
        <w:spacing w:before="0" w:after="0"/>
        <w:rPr>
          <w:rFonts w:ascii="Arial" w:hAnsi="Arial" w:cs="Arial"/>
          <w:b/>
          <w:sz w:val="22"/>
          <w:szCs w:val="22"/>
        </w:rPr>
      </w:pPr>
      <w:bookmarkStart w:id="2" w:name="table7"/>
      <w:r w:rsidRPr="006B66A9">
        <w:rPr>
          <w:rFonts w:ascii="Arial" w:hAnsi="Arial" w:cs="Arial"/>
          <w:b/>
          <w:sz w:val="22"/>
          <w:szCs w:val="22"/>
        </w:rPr>
        <w:t xml:space="preserve">Table </w:t>
      </w:r>
      <w:bookmarkEnd w:id="2"/>
      <w:r w:rsidR="006C3E63" w:rsidRPr="006B66A9">
        <w:rPr>
          <w:rFonts w:ascii="Arial" w:hAnsi="Arial" w:cs="Arial"/>
          <w:b/>
          <w:sz w:val="22"/>
          <w:szCs w:val="22"/>
        </w:rPr>
        <w:t>3: Efficacy r</w:t>
      </w:r>
      <w:r w:rsidRPr="006B66A9">
        <w:rPr>
          <w:rFonts w:ascii="Arial" w:hAnsi="Arial" w:cs="Arial"/>
          <w:b/>
          <w:sz w:val="22"/>
          <w:szCs w:val="22"/>
        </w:rPr>
        <w:t>esults from the GRID study</w:t>
      </w:r>
      <w:r w:rsidR="001036B1" w:rsidRPr="006B66A9">
        <w:rPr>
          <w:rFonts w:ascii="Arial" w:hAnsi="Arial" w:cs="Arial"/>
          <w:b/>
          <w:sz w:val="22"/>
          <w:szCs w:val="22"/>
        </w:rPr>
        <w:t xml:space="preserve"> (intent to treat)</w:t>
      </w:r>
    </w:p>
    <w:p w14:paraId="46601CD7" w14:textId="77777777" w:rsidR="009E45A9" w:rsidRPr="006B66A9" w:rsidRDefault="009E45A9" w:rsidP="00CD4EDB">
      <w:pPr>
        <w:pStyle w:val="BayerBodyTextFull"/>
        <w:spacing w:before="0"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2268"/>
        <w:gridCol w:w="1949"/>
      </w:tblGrid>
      <w:tr w:rsidR="008814B7" w:rsidRPr="00062162" w14:paraId="712C2755" w14:textId="77777777" w:rsidTr="008913AB">
        <w:tc>
          <w:tcPr>
            <w:tcW w:w="2802" w:type="dxa"/>
            <w:shd w:val="clear" w:color="auto" w:fill="auto"/>
          </w:tcPr>
          <w:p w14:paraId="712C274D" w14:textId="77777777" w:rsidR="008814B7" w:rsidRPr="00062162" w:rsidRDefault="008814B7" w:rsidP="00CD4EDB">
            <w:pPr>
              <w:tabs>
                <w:tab w:val="left" w:pos="567"/>
              </w:tabs>
              <w:spacing w:line="260" w:lineRule="exact"/>
              <w:rPr>
                <w:rFonts w:ascii="Arial" w:hAnsi="Arial" w:cs="Arial"/>
                <w:sz w:val="22"/>
                <w:szCs w:val="22"/>
              </w:rPr>
            </w:pPr>
          </w:p>
        </w:tc>
        <w:tc>
          <w:tcPr>
            <w:tcW w:w="2409" w:type="dxa"/>
            <w:shd w:val="clear" w:color="auto" w:fill="auto"/>
            <w:vAlign w:val="center"/>
          </w:tcPr>
          <w:p w14:paraId="712C274E" w14:textId="23CB3F23" w:rsidR="008814B7" w:rsidRPr="00E80126" w:rsidRDefault="008814B7" w:rsidP="008913AB">
            <w:pPr>
              <w:pStyle w:val="BayerTableColumnHeadings"/>
              <w:tabs>
                <w:tab w:val="left" w:pos="567"/>
              </w:tabs>
              <w:spacing w:line="260" w:lineRule="exact"/>
              <w:rPr>
                <w:rFonts w:ascii="Arial" w:hAnsi="Arial" w:cs="Arial"/>
                <w:szCs w:val="22"/>
              </w:rPr>
            </w:pPr>
            <w:r w:rsidRPr="00062162">
              <w:rPr>
                <w:rFonts w:ascii="Arial" w:hAnsi="Arial" w:cs="Arial"/>
                <w:szCs w:val="22"/>
              </w:rPr>
              <w:t>STIVARGA plus BSC</w:t>
            </w:r>
          </w:p>
          <w:p w14:paraId="712C274F" w14:textId="77777777" w:rsidR="008814B7" w:rsidRPr="00062162" w:rsidRDefault="008814B7" w:rsidP="008913AB">
            <w:pPr>
              <w:tabs>
                <w:tab w:val="left" w:pos="567"/>
              </w:tabs>
              <w:spacing w:line="260" w:lineRule="exact"/>
              <w:jc w:val="center"/>
              <w:rPr>
                <w:rFonts w:ascii="Arial" w:hAnsi="Arial" w:cs="Arial"/>
                <w:b/>
                <w:sz w:val="22"/>
                <w:szCs w:val="22"/>
              </w:rPr>
            </w:pPr>
            <w:r w:rsidRPr="00062162">
              <w:rPr>
                <w:rFonts w:ascii="Arial" w:hAnsi="Arial" w:cs="Arial"/>
                <w:b/>
                <w:sz w:val="22"/>
                <w:szCs w:val="22"/>
              </w:rPr>
              <w:t>(N=133)</w:t>
            </w:r>
          </w:p>
        </w:tc>
        <w:tc>
          <w:tcPr>
            <w:tcW w:w="2268" w:type="dxa"/>
            <w:shd w:val="clear" w:color="auto" w:fill="auto"/>
            <w:vAlign w:val="center"/>
          </w:tcPr>
          <w:p w14:paraId="712C2750" w14:textId="77777777" w:rsidR="008814B7" w:rsidRPr="00062162" w:rsidRDefault="008814B7" w:rsidP="008913AB">
            <w:pPr>
              <w:pStyle w:val="BayerTableColumnHeadings"/>
              <w:tabs>
                <w:tab w:val="left" w:pos="567"/>
              </w:tabs>
              <w:spacing w:line="260" w:lineRule="exact"/>
              <w:rPr>
                <w:rFonts w:ascii="Arial" w:hAnsi="Arial" w:cs="Arial"/>
                <w:szCs w:val="22"/>
              </w:rPr>
            </w:pPr>
            <w:r w:rsidRPr="00062162">
              <w:rPr>
                <w:rFonts w:ascii="Arial" w:hAnsi="Arial" w:cs="Arial"/>
                <w:szCs w:val="22"/>
              </w:rPr>
              <w:t>Placebo plus BSC</w:t>
            </w:r>
          </w:p>
          <w:p w14:paraId="712C2751" w14:textId="77777777" w:rsidR="008814B7" w:rsidRPr="00062162" w:rsidRDefault="008814B7" w:rsidP="008913AB">
            <w:pPr>
              <w:tabs>
                <w:tab w:val="left" w:pos="567"/>
              </w:tabs>
              <w:spacing w:line="260" w:lineRule="exact"/>
              <w:jc w:val="center"/>
              <w:rPr>
                <w:rFonts w:ascii="Arial" w:hAnsi="Arial" w:cs="Arial"/>
                <w:b/>
                <w:sz w:val="22"/>
                <w:szCs w:val="22"/>
              </w:rPr>
            </w:pPr>
            <w:r w:rsidRPr="00062162">
              <w:rPr>
                <w:rFonts w:ascii="Arial" w:hAnsi="Arial" w:cs="Arial"/>
                <w:b/>
                <w:sz w:val="22"/>
                <w:szCs w:val="22"/>
              </w:rPr>
              <w:t>(N=66)</w:t>
            </w:r>
          </w:p>
        </w:tc>
        <w:tc>
          <w:tcPr>
            <w:tcW w:w="1949" w:type="dxa"/>
            <w:shd w:val="clear" w:color="auto" w:fill="auto"/>
            <w:vAlign w:val="center"/>
          </w:tcPr>
          <w:p w14:paraId="712C2752" w14:textId="77777777" w:rsidR="008814B7" w:rsidRPr="00E80126" w:rsidRDefault="008814B7" w:rsidP="008913AB">
            <w:pPr>
              <w:tabs>
                <w:tab w:val="left" w:pos="567"/>
              </w:tabs>
              <w:spacing w:line="260" w:lineRule="exact"/>
              <w:jc w:val="center"/>
              <w:rPr>
                <w:rFonts w:ascii="Arial" w:hAnsi="Arial" w:cs="Arial"/>
                <w:b/>
                <w:sz w:val="22"/>
                <w:szCs w:val="22"/>
              </w:rPr>
            </w:pPr>
            <w:r>
              <w:rPr>
                <w:rFonts w:ascii="Arial" w:hAnsi="Arial" w:cs="Arial"/>
                <w:b/>
                <w:sz w:val="22"/>
                <w:szCs w:val="22"/>
              </w:rPr>
              <w:t>Hazard Ratio</w:t>
            </w:r>
          </w:p>
          <w:p w14:paraId="712C2753" w14:textId="77777777" w:rsidR="008814B7" w:rsidRPr="00AE73A1" w:rsidRDefault="008814B7" w:rsidP="008913AB">
            <w:pPr>
              <w:tabs>
                <w:tab w:val="left" w:pos="567"/>
              </w:tabs>
              <w:spacing w:line="260" w:lineRule="exact"/>
              <w:jc w:val="center"/>
              <w:rPr>
                <w:rFonts w:ascii="Arial" w:hAnsi="Arial" w:cs="Arial"/>
                <w:b/>
                <w:sz w:val="22"/>
                <w:szCs w:val="22"/>
              </w:rPr>
            </w:pPr>
            <w:r w:rsidRPr="00DB4035">
              <w:rPr>
                <w:rFonts w:ascii="Arial" w:hAnsi="Arial" w:cs="Arial"/>
                <w:b/>
                <w:sz w:val="22"/>
                <w:szCs w:val="22"/>
              </w:rPr>
              <w:t>[</w:t>
            </w:r>
            <w:r w:rsidRPr="00AE73A1">
              <w:rPr>
                <w:rFonts w:ascii="Arial" w:hAnsi="Arial" w:cs="Arial"/>
                <w:b/>
                <w:sz w:val="22"/>
                <w:szCs w:val="22"/>
              </w:rPr>
              <w:t>95% CI]</w:t>
            </w:r>
          </w:p>
          <w:p w14:paraId="712C2754" w14:textId="77777777" w:rsidR="008814B7" w:rsidRPr="00062162" w:rsidRDefault="008814B7" w:rsidP="008913AB">
            <w:pPr>
              <w:tabs>
                <w:tab w:val="left" w:pos="567"/>
              </w:tabs>
              <w:spacing w:line="260" w:lineRule="exact"/>
              <w:jc w:val="center"/>
              <w:rPr>
                <w:rFonts w:ascii="Arial" w:hAnsi="Arial" w:cs="Arial"/>
                <w:b/>
                <w:sz w:val="22"/>
                <w:szCs w:val="22"/>
              </w:rPr>
            </w:pPr>
            <w:r w:rsidRPr="000F2BC3">
              <w:rPr>
                <w:rFonts w:ascii="Arial" w:hAnsi="Arial" w:cs="Arial"/>
                <w:b/>
                <w:sz w:val="22"/>
                <w:szCs w:val="22"/>
              </w:rPr>
              <w:t>p-value</w:t>
            </w:r>
          </w:p>
        </w:tc>
      </w:tr>
      <w:tr w:rsidR="008814B7" w:rsidRPr="00062162" w14:paraId="712C275C" w14:textId="77777777" w:rsidTr="008913AB">
        <w:tc>
          <w:tcPr>
            <w:tcW w:w="2802" w:type="dxa"/>
            <w:shd w:val="clear" w:color="auto" w:fill="auto"/>
            <w:vAlign w:val="center"/>
          </w:tcPr>
          <w:p w14:paraId="712C2756"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 xml:space="preserve">Progression-Free Survival </w:t>
            </w:r>
            <w:r>
              <w:rPr>
                <w:rFonts w:ascii="Arial" w:hAnsi="Arial" w:cs="Arial"/>
                <w:sz w:val="22"/>
                <w:szCs w:val="22"/>
              </w:rPr>
              <w:t xml:space="preserve">median </w:t>
            </w:r>
            <w:r>
              <w:rPr>
                <w:rFonts w:ascii="Arial" w:hAnsi="Arial" w:cs="Arial"/>
                <w:i/>
                <w:sz w:val="22"/>
                <w:szCs w:val="22"/>
              </w:rPr>
              <w:t>months</w:t>
            </w:r>
          </w:p>
        </w:tc>
        <w:tc>
          <w:tcPr>
            <w:tcW w:w="2409" w:type="dxa"/>
            <w:shd w:val="clear" w:color="auto" w:fill="auto"/>
            <w:vAlign w:val="center"/>
          </w:tcPr>
          <w:p w14:paraId="712C2757"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4.8</w:t>
            </w:r>
          </w:p>
        </w:tc>
        <w:tc>
          <w:tcPr>
            <w:tcW w:w="2268" w:type="dxa"/>
            <w:shd w:val="clear" w:color="auto" w:fill="auto"/>
            <w:vAlign w:val="center"/>
          </w:tcPr>
          <w:p w14:paraId="712C2758"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0.9</w:t>
            </w:r>
          </w:p>
        </w:tc>
        <w:tc>
          <w:tcPr>
            <w:tcW w:w="1949" w:type="dxa"/>
            <w:shd w:val="clear" w:color="auto" w:fill="auto"/>
            <w:vAlign w:val="center"/>
          </w:tcPr>
          <w:p w14:paraId="712C2759"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0.27</w:t>
            </w:r>
          </w:p>
          <w:p w14:paraId="712C275A" w14:textId="77777777" w:rsidR="008814B7" w:rsidRPr="00E80126" w:rsidRDefault="008814B7" w:rsidP="008913AB">
            <w:pPr>
              <w:tabs>
                <w:tab w:val="left" w:pos="567"/>
              </w:tabs>
              <w:spacing w:line="260" w:lineRule="exact"/>
              <w:jc w:val="center"/>
              <w:rPr>
                <w:rFonts w:ascii="Arial" w:hAnsi="Arial" w:cs="Arial"/>
                <w:sz w:val="22"/>
                <w:szCs w:val="22"/>
              </w:rPr>
            </w:pPr>
            <w:r w:rsidRPr="00E80126">
              <w:rPr>
                <w:rFonts w:ascii="Arial" w:hAnsi="Arial" w:cs="Arial"/>
                <w:sz w:val="22"/>
                <w:szCs w:val="22"/>
              </w:rPr>
              <w:t>[0.19, 0.39]</w:t>
            </w:r>
          </w:p>
          <w:p w14:paraId="712C275B" w14:textId="77777777" w:rsidR="008814B7" w:rsidRPr="00062162" w:rsidRDefault="008814B7" w:rsidP="008913AB">
            <w:pPr>
              <w:tabs>
                <w:tab w:val="left" w:pos="567"/>
              </w:tabs>
              <w:spacing w:line="260" w:lineRule="exact"/>
              <w:jc w:val="center"/>
              <w:rPr>
                <w:rFonts w:ascii="Arial" w:hAnsi="Arial" w:cs="Arial"/>
                <w:sz w:val="22"/>
                <w:szCs w:val="22"/>
              </w:rPr>
            </w:pPr>
            <w:r w:rsidRPr="00DB4035">
              <w:rPr>
                <w:rFonts w:ascii="Arial" w:hAnsi="Arial" w:cs="Arial"/>
                <w:sz w:val="22"/>
                <w:szCs w:val="22"/>
              </w:rPr>
              <w:t>p</w:t>
            </w:r>
            <w:r w:rsidRPr="00062162">
              <w:rPr>
                <w:rFonts w:ascii="Arial" w:hAnsi="Arial" w:cs="Arial"/>
                <w:sz w:val="22"/>
                <w:szCs w:val="22"/>
              </w:rPr>
              <w:t>&lt;0.000001</w:t>
            </w:r>
          </w:p>
        </w:tc>
      </w:tr>
      <w:tr w:rsidR="008814B7" w:rsidRPr="00062162" w14:paraId="712C2764" w14:textId="77777777" w:rsidTr="008913AB">
        <w:tc>
          <w:tcPr>
            <w:tcW w:w="2802" w:type="dxa"/>
            <w:shd w:val="clear" w:color="auto" w:fill="auto"/>
            <w:vAlign w:val="center"/>
          </w:tcPr>
          <w:p w14:paraId="712C275D" w14:textId="7C886161" w:rsidR="008814B7"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Time To Progression</w:t>
            </w:r>
          </w:p>
          <w:p w14:paraId="712C275E" w14:textId="77777777" w:rsidR="008814B7" w:rsidRPr="00062162" w:rsidRDefault="008814B7" w:rsidP="008913AB">
            <w:pPr>
              <w:tabs>
                <w:tab w:val="left" w:pos="567"/>
              </w:tabs>
              <w:spacing w:line="260" w:lineRule="exact"/>
              <w:jc w:val="center"/>
              <w:rPr>
                <w:rFonts w:ascii="Arial" w:hAnsi="Arial" w:cs="Arial"/>
                <w:sz w:val="22"/>
                <w:szCs w:val="22"/>
              </w:rPr>
            </w:pPr>
            <w:r>
              <w:rPr>
                <w:rFonts w:ascii="Arial" w:hAnsi="Arial" w:cs="Arial"/>
                <w:sz w:val="22"/>
                <w:szCs w:val="22"/>
              </w:rPr>
              <w:t xml:space="preserve">median </w:t>
            </w:r>
            <w:r>
              <w:rPr>
                <w:rFonts w:ascii="Arial" w:hAnsi="Arial" w:cs="Arial"/>
                <w:i/>
                <w:sz w:val="22"/>
                <w:szCs w:val="22"/>
              </w:rPr>
              <w:t>months</w:t>
            </w:r>
          </w:p>
        </w:tc>
        <w:tc>
          <w:tcPr>
            <w:tcW w:w="2409" w:type="dxa"/>
            <w:shd w:val="clear" w:color="auto" w:fill="auto"/>
            <w:vAlign w:val="center"/>
          </w:tcPr>
          <w:p w14:paraId="712C275F"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5.4</w:t>
            </w:r>
          </w:p>
        </w:tc>
        <w:tc>
          <w:tcPr>
            <w:tcW w:w="2268" w:type="dxa"/>
            <w:shd w:val="clear" w:color="auto" w:fill="auto"/>
            <w:vAlign w:val="center"/>
          </w:tcPr>
          <w:p w14:paraId="712C2760"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0.9</w:t>
            </w:r>
          </w:p>
        </w:tc>
        <w:tc>
          <w:tcPr>
            <w:tcW w:w="1949" w:type="dxa"/>
            <w:shd w:val="clear" w:color="auto" w:fill="auto"/>
            <w:vAlign w:val="center"/>
          </w:tcPr>
          <w:p w14:paraId="712C2761"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0.25</w:t>
            </w:r>
          </w:p>
          <w:p w14:paraId="712C2762"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[0.17, 0.36]</w:t>
            </w:r>
          </w:p>
          <w:p w14:paraId="712C2763"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p&lt;0.000001</w:t>
            </w:r>
          </w:p>
        </w:tc>
      </w:tr>
      <w:tr w:rsidR="008814B7" w:rsidRPr="00062162" w14:paraId="712C276C" w14:textId="77777777" w:rsidTr="008913AB">
        <w:tc>
          <w:tcPr>
            <w:tcW w:w="2802" w:type="dxa"/>
            <w:shd w:val="clear" w:color="auto" w:fill="auto"/>
            <w:vAlign w:val="center"/>
          </w:tcPr>
          <w:p w14:paraId="712C2765" w14:textId="170CBE20" w:rsidR="008814B7" w:rsidRDefault="008814B7" w:rsidP="008913AB">
            <w:pPr>
              <w:pStyle w:val="BayerTableRowHeadings"/>
              <w:tabs>
                <w:tab w:val="left" w:pos="567"/>
              </w:tabs>
              <w:spacing w:after="0" w:line="260" w:lineRule="exact"/>
              <w:jc w:val="center"/>
              <w:rPr>
                <w:rFonts w:ascii="Arial" w:hAnsi="Arial" w:cs="Arial"/>
                <w:szCs w:val="22"/>
              </w:rPr>
            </w:pPr>
            <w:r w:rsidRPr="00062162">
              <w:rPr>
                <w:rFonts w:ascii="Arial" w:hAnsi="Arial" w:cs="Arial"/>
                <w:szCs w:val="22"/>
              </w:rPr>
              <w:t>Overall Survival</w:t>
            </w:r>
            <w:r w:rsidRPr="00062162">
              <w:rPr>
                <w:rFonts w:ascii="Arial" w:hAnsi="Arial" w:cs="Arial"/>
                <w:szCs w:val="22"/>
                <w:vertAlign w:val="superscript"/>
              </w:rPr>
              <w:t>1</w:t>
            </w:r>
          </w:p>
          <w:p w14:paraId="712C2766" w14:textId="5EE69D14" w:rsidR="008814B7" w:rsidRPr="00062162" w:rsidRDefault="008814B7" w:rsidP="008913AB">
            <w:pPr>
              <w:pStyle w:val="BayerTableRowHeadings"/>
              <w:tabs>
                <w:tab w:val="left" w:pos="567"/>
              </w:tabs>
              <w:spacing w:after="0" w:line="260" w:lineRule="exact"/>
              <w:jc w:val="center"/>
              <w:rPr>
                <w:rFonts w:ascii="Arial" w:hAnsi="Arial" w:cs="Arial"/>
                <w:szCs w:val="22"/>
              </w:rPr>
            </w:pPr>
            <w:r>
              <w:rPr>
                <w:rFonts w:ascii="Arial" w:hAnsi="Arial" w:cs="Arial"/>
                <w:szCs w:val="22"/>
              </w:rPr>
              <w:t xml:space="preserve">median </w:t>
            </w:r>
            <w:r>
              <w:rPr>
                <w:rFonts w:ascii="Arial" w:hAnsi="Arial" w:cs="Arial"/>
                <w:i/>
                <w:szCs w:val="22"/>
              </w:rPr>
              <w:t>months</w:t>
            </w:r>
          </w:p>
        </w:tc>
        <w:tc>
          <w:tcPr>
            <w:tcW w:w="2409" w:type="dxa"/>
            <w:shd w:val="clear" w:color="auto" w:fill="auto"/>
            <w:vAlign w:val="center"/>
          </w:tcPr>
          <w:p w14:paraId="712C2767"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Not reached</w:t>
            </w:r>
          </w:p>
        </w:tc>
        <w:tc>
          <w:tcPr>
            <w:tcW w:w="2268" w:type="dxa"/>
            <w:shd w:val="clear" w:color="auto" w:fill="auto"/>
            <w:vAlign w:val="center"/>
          </w:tcPr>
          <w:p w14:paraId="712C2768"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Not reached</w:t>
            </w:r>
          </w:p>
        </w:tc>
        <w:tc>
          <w:tcPr>
            <w:tcW w:w="1949" w:type="dxa"/>
            <w:shd w:val="clear" w:color="auto" w:fill="auto"/>
            <w:vAlign w:val="center"/>
          </w:tcPr>
          <w:p w14:paraId="712C2769"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0.77</w:t>
            </w:r>
          </w:p>
          <w:p w14:paraId="712C276A"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[0.42, 1.41]</w:t>
            </w:r>
          </w:p>
          <w:p w14:paraId="712C276B" w14:textId="77777777" w:rsidR="008814B7" w:rsidRPr="00062162" w:rsidRDefault="008814B7" w:rsidP="008913AB">
            <w:pPr>
              <w:tabs>
                <w:tab w:val="left" w:pos="567"/>
              </w:tabs>
              <w:spacing w:line="260" w:lineRule="exact"/>
              <w:jc w:val="center"/>
              <w:rPr>
                <w:rFonts w:ascii="Arial" w:hAnsi="Arial" w:cs="Arial"/>
                <w:sz w:val="22"/>
                <w:szCs w:val="22"/>
              </w:rPr>
            </w:pPr>
            <w:r w:rsidRPr="00062162">
              <w:rPr>
                <w:rFonts w:ascii="Arial" w:hAnsi="Arial" w:cs="Arial"/>
                <w:sz w:val="22"/>
                <w:szCs w:val="22"/>
              </w:rPr>
              <w:t>p=0.20</w:t>
            </w:r>
          </w:p>
        </w:tc>
      </w:tr>
    </w:tbl>
    <w:p w14:paraId="712C276D" w14:textId="77777777" w:rsidR="008814B7" w:rsidRPr="00181B02" w:rsidRDefault="008814B7" w:rsidP="00CD4EDB">
      <w:pPr>
        <w:spacing w:before="120"/>
        <w:rPr>
          <w:rFonts w:ascii="Arial" w:hAnsi="Arial" w:cs="Arial"/>
          <w:sz w:val="20"/>
          <w:szCs w:val="20"/>
        </w:rPr>
      </w:pPr>
      <w:r>
        <w:rPr>
          <w:rFonts w:ascii="Arial" w:hAnsi="Arial" w:cs="Arial"/>
          <w:sz w:val="20"/>
          <w:szCs w:val="20"/>
        </w:rPr>
        <w:t>The hazard ratio</w:t>
      </w:r>
      <w:r w:rsidRPr="00181B02">
        <w:rPr>
          <w:rFonts w:ascii="Arial" w:hAnsi="Arial" w:cs="Arial"/>
          <w:sz w:val="20"/>
          <w:szCs w:val="20"/>
        </w:rPr>
        <w:t>s were calculated using the Cox model stratified by line of treatment (3</w:t>
      </w:r>
      <w:r w:rsidRPr="00181B02">
        <w:rPr>
          <w:rFonts w:ascii="Arial" w:hAnsi="Arial" w:cs="Arial"/>
          <w:sz w:val="20"/>
          <w:szCs w:val="20"/>
          <w:vertAlign w:val="superscript"/>
        </w:rPr>
        <w:t>rd</w:t>
      </w:r>
      <w:r w:rsidRPr="00181B02">
        <w:rPr>
          <w:rFonts w:ascii="Arial" w:hAnsi="Arial" w:cs="Arial"/>
          <w:sz w:val="20"/>
          <w:szCs w:val="20"/>
        </w:rPr>
        <w:t xml:space="preserve"> line versus 4</w:t>
      </w:r>
      <w:r w:rsidRPr="00181B02">
        <w:rPr>
          <w:rFonts w:ascii="Arial" w:hAnsi="Arial" w:cs="Arial"/>
          <w:sz w:val="20"/>
          <w:szCs w:val="20"/>
          <w:vertAlign w:val="superscript"/>
        </w:rPr>
        <w:t>th</w:t>
      </w:r>
      <w:r w:rsidRPr="00181B02">
        <w:rPr>
          <w:rFonts w:ascii="Arial" w:hAnsi="Arial" w:cs="Arial"/>
          <w:sz w:val="20"/>
          <w:szCs w:val="20"/>
        </w:rPr>
        <w:t xml:space="preserve"> line or greater) and geographical region (Asian versus rest of world). The p-values were obtained by the log-rank test stratified as above. The medians are Kaplan-Meier estimates.</w:t>
      </w:r>
    </w:p>
    <w:p w14:paraId="712C276E" w14:textId="65DED55F" w:rsidR="008814B7" w:rsidRPr="00584FE0" w:rsidRDefault="008814B7" w:rsidP="00CD4EDB">
      <w:pPr>
        <w:spacing w:before="120"/>
        <w:rPr>
          <w:rFonts w:ascii="Arial" w:hAnsi="Arial" w:cs="Arial"/>
          <w:b/>
          <w:sz w:val="22"/>
          <w:szCs w:val="22"/>
        </w:rPr>
      </w:pPr>
      <w:r w:rsidRPr="00584FE0">
        <w:rPr>
          <w:rFonts w:ascii="Arial" w:hAnsi="Arial" w:cs="Arial"/>
          <w:sz w:val="20"/>
          <w:szCs w:val="20"/>
          <w:vertAlign w:val="superscript"/>
        </w:rPr>
        <w:t>1</w:t>
      </w:r>
      <w:r w:rsidR="008219CC">
        <w:rPr>
          <w:rFonts w:ascii="Arial" w:hAnsi="Arial" w:cs="Arial"/>
          <w:sz w:val="20"/>
          <w:szCs w:val="20"/>
          <w:vertAlign w:val="superscript"/>
        </w:rPr>
        <w:t xml:space="preserve"> </w:t>
      </w:r>
      <w:r>
        <w:rPr>
          <w:rFonts w:ascii="Arial" w:hAnsi="Arial" w:cs="Arial"/>
          <w:sz w:val="20"/>
          <w:szCs w:val="20"/>
        </w:rPr>
        <w:t>Interim analysis based on 29% of the planned 160 events.</w:t>
      </w:r>
    </w:p>
    <w:p w14:paraId="712C276F" w14:textId="77777777" w:rsidR="008814B7" w:rsidRDefault="008814B7" w:rsidP="006B66A9">
      <w:pPr>
        <w:pStyle w:val="BayerBodyTextFull"/>
        <w:rPr>
          <w:rFonts w:ascii="Arial" w:hAnsi="Arial" w:cs="Arial"/>
          <w:sz w:val="22"/>
          <w:szCs w:val="22"/>
        </w:rPr>
      </w:pPr>
    </w:p>
    <w:p w14:paraId="712C2770" w14:textId="69D133B3" w:rsidR="006C3E63" w:rsidRPr="006C3E63" w:rsidRDefault="006C3E63" w:rsidP="006C6BFE">
      <w:pPr>
        <w:keepNext/>
        <w:rPr>
          <w:rFonts w:ascii="Arial" w:hAnsi="Arial" w:cs="Arial"/>
          <w:b/>
          <w:sz w:val="22"/>
          <w:szCs w:val="22"/>
          <w:lang w:val="en-US"/>
        </w:rPr>
      </w:pPr>
      <w:r w:rsidRPr="006C3E63">
        <w:rPr>
          <w:rFonts w:ascii="Arial" w:hAnsi="Arial" w:cs="Arial"/>
          <w:b/>
          <w:sz w:val="22"/>
          <w:szCs w:val="22"/>
          <w:lang w:val="en-US"/>
        </w:rPr>
        <w:t>Figure 3: Kaplan-Meier curve of Progression-Free survival</w:t>
      </w:r>
    </w:p>
    <w:p w14:paraId="3194803D" w14:textId="77777777" w:rsidR="00B53A6A" w:rsidRDefault="001F2D3D" w:rsidP="00F4557E">
      <w:pPr>
        <w:pStyle w:val="BayerBodyTextFull"/>
        <w:rPr>
          <w:noProof/>
          <w:lang w:eastAsia="de-DE"/>
        </w:rPr>
      </w:pPr>
      <w:r>
        <w:rPr>
          <w:noProof/>
          <w:lang w:eastAsia="de-DE"/>
        </w:rPr>
        <w:pict w14:anchorId="712C2C3C">
          <v:shape id="_x0000_i1028" type="#_x0000_t75" style="width:460.8pt;height:307pt">
            <v:imagedata r:id="rId20" o:title=""/>
          </v:shape>
        </w:pict>
      </w:r>
    </w:p>
    <w:p w14:paraId="5F0AC2DE" w14:textId="77777777" w:rsidR="00CD4EDB" w:rsidRDefault="00CD4EDB" w:rsidP="00F4557E">
      <w:pPr>
        <w:pStyle w:val="BayerBodyTextFull"/>
        <w:rPr>
          <w:noProof/>
          <w:lang w:eastAsia="de-DE"/>
        </w:rPr>
      </w:pPr>
    </w:p>
    <w:p w14:paraId="712C2771" w14:textId="090F54E3" w:rsidR="00BF10D1" w:rsidRDefault="006C3E63" w:rsidP="0034700C">
      <w:pPr>
        <w:pStyle w:val="BayerBodyTextFull"/>
        <w:keepNext/>
        <w:rPr>
          <w:rFonts w:ascii="Arial" w:hAnsi="Arial" w:cs="Arial"/>
          <w:b/>
          <w:noProof/>
          <w:sz w:val="22"/>
          <w:szCs w:val="22"/>
          <w:lang w:eastAsia="de-DE"/>
        </w:rPr>
      </w:pPr>
      <w:r w:rsidRPr="006C3E63">
        <w:rPr>
          <w:rFonts w:ascii="Arial" w:hAnsi="Arial" w:cs="Arial"/>
          <w:b/>
          <w:noProof/>
          <w:sz w:val="22"/>
          <w:szCs w:val="22"/>
          <w:lang w:eastAsia="de-DE"/>
        </w:rPr>
        <w:lastRenderedPageBreak/>
        <w:t>Figure 4: Kaplan-Meier curve of Overall Survival</w:t>
      </w:r>
    </w:p>
    <w:p w14:paraId="3C71693B" w14:textId="77777777" w:rsidR="008219CC" w:rsidRPr="006C3E63" w:rsidRDefault="008219CC" w:rsidP="0034700C">
      <w:pPr>
        <w:pStyle w:val="BayerBodyTextFull"/>
        <w:keepNext/>
        <w:rPr>
          <w:rFonts w:ascii="Arial" w:hAnsi="Arial" w:cs="Arial"/>
          <w:b/>
          <w:noProof/>
          <w:sz w:val="22"/>
          <w:szCs w:val="22"/>
          <w:lang w:eastAsia="de-DE"/>
        </w:rPr>
      </w:pPr>
    </w:p>
    <w:p w14:paraId="712C2772" w14:textId="03242C74" w:rsidR="00172895" w:rsidRDefault="001F2D3D" w:rsidP="00B803D9">
      <w:pPr>
        <w:pStyle w:val="BayerBodyTextFull"/>
        <w:keepNext/>
        <w:rPr>
          <w:rFonts w:ascii="Arial" w:hAnsi="Arial" w:cs="Arial"/>
          <w:sz w:val="22"/>
          <w:szCs w:val="22"/>
        </w:rPr>
      </w:pPr>
      <w:r>
        <w:rPr>
          <w:rFonts w:ascii="Arial" w:hAnsi="Arial" w:cs="Arial"/>
          <w:sz w:val="22"/>
          <w:szCs w:val="22"/>
        </w:rPr>
        <w:pict w14:anchorId="712C2C3D">
          <v:shape id="_x0000_i1029" type="#_x0000_t75" style="width:436.85pt;height:277.05pt">
            <v:imagedata r:id="rId21" o:title=""/>
          </v:shape>
        </w:pict>
      </w:r>
    </w:p>
    <w:p w14:paraId="712C2773" w14:textId="77777777" w:rsidR="008814B7" w:rsidRDefault="008814B7" w:rsidP="00B803D9">
      <w:pPr>
        <w:pStyle w:val="BayerBodyTextFull"/>
        <w:rPr>
          <w:rFonts w:ascii="Arial" w:hAnsi="Arial" w:cs="Arial"/>
          <w:sz w:val="22"/>
          <w:szCs w:val="22"/>
        </w:rPr>
      </w:pPr>
    </w:p>
    <w:p w14:paraId="712C2774" w14:textId="71568D55" w:rsidR="00E77ED4" w:rsidRDefault="00E77ED4" w:rsidP="00206FAC">
      <w:pPr>
        <w:pStyle w:val="BayerBodyTextFull"/>
        <w:keepLines/>
        <w:spacing w:before="0" w:after="0"/>
        <w:rPr>
          <w:rFonts w:ascii="Arial" w:hAnsi="Arial"/>
          <w:sz w:val="22"/>
        </w:rPr>
      </w:pPr>
      <w:r w:rsidRPr="00FE4664">
        <w:rPr>
          <w:rFonts w:ascii="Arial" w:hAnsi="Arial"/>
          <w:sz w:val="22"/>
        </w:rPr>
        <w:t xml:space="preserve">At progression, crossover from placebo to STIVARGA was allowed. Fifty six patients randomised to placebo (85%) crossed over to STIVARGA and 41 patients randomised to STIVARGA (31%) continued on </w:t>
      </w:r>
      <w:r w:rsidRPr="00FE4664">
        <w:rPr>
          <w:rFonts w:ascii="Arial" w:hAnsi="Arial" w:cs="Arial"/>
          <w:sz w:val="22"/>
          <w:szCs w:val="22"/>
        </w:rPr>
        <w:t>STIVARGA.</w:t>
      </w:r>
      <w:r w:rsidRPr="00FE4664">
        <w:rPr>
          <w:rFonts w:ascii="Arial" w:hAnsi="Arial"/>
          <w:sz w:val="22"/>
        </w:rPr>
        <w:t xml:space="preserve"> The median secondary PFS (as measured by the investigator) was 5.0 months for those randomised to placebo and 4.5 months for those randomised to STIVARGA. </w:t>
      </w:r>
    </w:p>
    <w:p w14:paraId="1CA91B1D" w14:textId="77777777" w:rsidR="00FB4ECA" w:rsidRPr="00F4557E" w:rsidRDefault="00FB4ECA" w:rsidP="00F4557E">
      <w:pPr>
        <w:pStyle w:val="Default"/>
        <w:keepNext/>
        <w:widowControl/>
        <w:spacing w:before="240"/>
        <w:ind w:right="46"/>
        <w:jc w:val="both"/>
        <w:outlineLvl w:val="1"/>
        <w:rPr>
          <w:rFonts w:ascii="Arial" w:hAnsi="Arial" w:cs="Arial"/>
          <w:b/>
          <w:i/>
          <w:sz w:val="22"/>
          <w:szCs w:val="22"/>
          <w:lang w:val="en-AU"/>
        </w:rPr>
      </w:pPr>
      <w:r w:rsidRPr="00F4557E">
        <w:rPr>
          <w:rFonts w:ascii="Arial" w:hAnsi="Arial" w:cs="Arial"/>
          <w:b/>
          <w:i/>
          <w:sz w:val="22"/>
          <w:szCs w:val="22"/>
          <w:lang w:val="en-AU"/>
        </w:rPr>
        <w:t>Hepatocellular carcinoma (HCC)</w:t>
      </w:r>
    </w:p>
    <w:p w14:paraId="1E81DF6F" w14:textId="77777777" w:rsidR="00FB4ECA" w:rsidRPr="0006400E" w:rsidRDefault="00FB4ECA" w:rsidP="00FB4ECA">
      <w:pPr>
        <w:rPr>
          <w:rFonts w:ascii="Arial" w:hAnsi="Arial" w:cs="Arial"/>
          <w:sz w:val="22"/>
          <w:szCs w:val="22"/>
        </w:rPr>
      </w:pPr>
    </w:p>
    <w:p w14:paraId="77656C21" w14:textId="77777777" w:rsidR="00FB4ECA" w:rsidRDefault="00FB4ECA" w:rsidP="00FB4ECA">
      <w:pPr>
        <w:rPr>
          <w:rFonts w:ascii="Arial" w:hAnsi="Arial" w:cs="Arial"/>
          <w:sz w:val="22"/>
          <w:szCs w:val="22"/>
        </w:rPr>
      </w:pPr>
      <w:r w:rsidRPr="0006400E">
        <w:rPr>
          <w:rFonts w:ascii="Arial" w:hAnsi="Arial" w:cs="Arial"/>
          <w:sz w:val="22"/>
          <w:szCs w:val="22"/>
        </w:rPr>
        <w:t xml:space="preserve">The clinical efficacy and safety of </w:t>
      </w:r>
      <w:r>
        <w:rPr>
          <w:rFonts w:ascii="Arial" w:hAnsi="Arial" w:cs="Arial"/>
          <w:sz w:val="22"/>
          <w:szCs w:val="22"/>
        </w:rPr>
        <w:t>STIVARGA</w:t>
      </w:r>
      <w:r w:rsidRPr="0006400E">
        <w:rPr>
          <w:rFonts w:ascii="Arial" w:hAnsi="Arial" w:cs="Arial"/>
          <w:sz w:val="22"/>
          <w:szCs w:val="22"/>
        </w:rPr>
        <w:t xml:space="preserve"> have been evaluated in an international, multi-centr</w:t>
      </w:r>
      <w:r>
        <w:rPr>
          <w:rFonts w:ascii="Arial" w:hAnsi="Arial" w:cs="Arial"/>
          <w:sz w:val="22"/>
          <w:szCs w:val="22"/>
        </w:rPr>
        <w:t>e, randomis</w:t>
      </w:r>
      <w:r w:rsidRPr="0006400E">
        <w:rPr>
          <w:rFonts w:ascii="Arial" w:hAnsi="Arial" w:cs="Arial"/>
          <w:sz w:val="22"/>
          <w:szCs w:val="22"/>
        </w:rPr>
        <w:t xml:space="preserve">ed, double-blind, placebo-controlled phase III study (RESORCE) in patients with hepatocellular carcinoma who have been previously treated with </w:t>
      </w:r>
      <w:proofErr w:type="spellStart"/>
      <w:r w:rsidRPr="0006400E">
        <w:rPr>
          <w:rFonts w:ascii="Arial" w:hAnsi="Arial" w:cs="Arial"/>
          <w:sz w:val="22"/>
          <w:szCs w:val="22"/>
        </w:rPr>
        <w:t>sorafenib</w:t>
      </w:r>
      <w:proofErr w:type="spellEnd"/>
      <w:r w:rsidRPr="0006400E">
        <w:rPr>
          <w:rFonts w:ascii="Arial" w:hAnsi="Arial" w:cs="Arial"/>
          <w:sz w:val="22"/>
          <w:szCs w:val="22"/>
        </w:rPr>
        <w:t>.</w:t>
      </w:r>
    </w:p>
    <w:p w14:paraId="08F220C8" w14:textId="77777777" w:rsidR="00FB4ECA" w:rsidRPr="0006400E" w:rsidRDefault="00FB4ECA" w:rsidP="00FB4ECA">
      <w:pPr>
        <w:rPr>
          <w:rFonts w:ascii="Arial" w:hAnsi="Arial" w:cs="Arial"/>
          <w:sz w:val="22"/>
          <w:szCs w:val="22"/>
        </w:rPr>
      </w:pPr>
    </w:p>
    <w:p w14:paraId="4BE0569F" w14:textId="77777777" w:rsidR="00FB4ECA" w:rsidRDefault="00FB4ECA" w:rsidP="00FB4ECA">
      <w:pPr>
        <w:rPr>
          <w:rFonts w:ascii="Arial" w:hAnsi="Arial" w:cs="Arial"/>
          <w:sz w:val="22"/>
          <w:szCs w:val="22"/>
        </w:rPr>
      </w:pPr>
      <w:r w:rsidRPr="0006400E">
        <w:rPr>
          <w:rFonts w:ascii="Arial" w:hAnsi="Arial" w:cs="Arial"/>
          <w:sz w:val="22"/>
          <w:szCs w:val="22"/>
        </w:rPr>
        <w:t xml:space="preserve">The primary efficacy endpoint was Overall Survival (OS). Secondary endpoints were Progression-Free Survival (PFS), Time </w:t>
      </w:r>
      <w:proofErr w:type="gramStart"/>
      <w:r w:rsidRPr="0006400E">
        <w:rPr>
          <w:rFonts w:ascii="Arial" w:hAnsi="Arial" w:cs="Arial"/>
          <w:sz w:val="22"/>
          <w:szCs w:val="22"/>
        </w:rPr>
        <w:t>To</w:t>
      </w:r>
      <w:proofErr w:type="gramEnd"/>
      <w:r w:rsidRPr="0006400E">
        <w:rPr>
          <w:rFonts w:ascii="Arial" w:hAnsi="Arial" w:cs="Arial"/>
          <w:sz w:val="22"/>
          <w:szCs w:val="22"/>
        </w:rPr>
        <w:t xml:space="preserve"> Progression (TTP), Objective </w:t>
      </w:r>
      <w:r>
        <w:rPr>
          <w:rFonts w:ascii="Arial" w:hAnsi="Arial" w:cs="Arial"/>
          <w:sz w:val="22"/>
          <w:szCs w:val="22"/>
        </w:rPr>
        <w:t>Tumour</w:t>
      </w:r>
      <w:r w:rsidRPr="0006400E">
        <w:rPr>
          <w:rFonts w:ascii="Arial" w:hAnsi="Arial" w:cs="Arial"/>
          <w:sz w:val="22"/>
          <w:szCs w:val="22"/>
        </w:rPr>
        <w:t xml:space="preserve"> Response Rate (ORR) and Disease Control Rate (DCR).</w:t>
      </w:r>
    </w:p>
    <w:p w14:paraId="7867F3EA" w14:textId="77777777" w:rsidR="00FB4ECA" w:rsidRPr="0006400E" w:rsidRDefault="00FB4ECA" w:rsidP="00FB4ECA">
      <w:pPr>
        <w:rPr>
          <w:rFonts w:ascii="Arial" w:hAnsi="Arial" w:cs="Arial"/>
          <w:sz w:val="22"/>
          <w:szCs w:val="22"/>
        </w:rPr>
      </w:pPr>
    </w:p>
    <w:p w14:paraId="47055643" w14:textId="77777777" w:rsidR="00FB4ECA" w:rsidRPr="0006400E" w:rsidRDefault="00FB4ECA" w:rsidP="00FB4ECA">
      <w:pPr>
        <w:rPr>
          <w:rFonts w:ascii="Arial" w:hAnsi="Arial" w:cs="Arial"/>
          <w:sz w:val="22"/>
          <w:szCs w:val="22"/>
        </w:rPr>
      </w:pPr>
      <w:r w:rsidRPr="0006400E">
        <w:rPr>
          <w:rFonts w:ascii="Arial" w:hAnsi="Arial" w:cs="Arial"/>
          <w:sz w:val="22"/>
          <w:szCs w:val="22"/>
        </w:rPr>
        <w:t xml:space="preserve">In total, 573 patients with HCC were </w:t>
      </w:r>
      <w:r>
        <w:rPr>
          <w:rFonts w:ascii="Arial" w:hAnsi="Arial" w:cs="Arial"/>
          <w:sz w:val="22"/>
          <w:szCs w:val="22"/>
        </w:rPr>
        <w:t>randomised</w:t>
      </w:r>
      <w:r w:rsidRPr="0006400E">
        <w:rPr>
          <w:rFonts w:ascii="Arial" w:hAnsi="Arial" w:cs="Arial"/>
          <w:sz w:val="22"/>
          <w:szCs w:val="22"/>
        </w:rPr>
        <w:t xml:space="preserve"> 2:1 to receive either 160 mg regorafenib orally once daily (n=379) plus Best Supportive Care (BSC) or matching placebo (n=194) plus BSC for 3 weeks on therapy followed by 1 week off therapy. The mean daily regorafenib dose received was 144 mg. Patients were eligible to participate in the study if they experienced radiological disease progression during treatment with </w:t>
      </w:r>
      <w:proofErr w:type="spellStart"/>
      <w:r w:rsidRPr="0006400E">
        <w:rPr>
          <w:rFonts w:ascii="Arial" w:hAnsi="Arial" w:cs="Arial"/>
          <w:sz w:val="22"/>
          <w:szCs w:val="22"/>
        </w:rPr>
        <w:t>sorafenib</w:t>
      </w:r>
      <w:proofErr w:type="spellEnd"/>
      <w:r w:rsidRPr="0006400E">
        <w:rPr>
          <w:rFonts w:ascii="Arial" w:hAnsi="Arial" w:cs="Arial"/>
          <w:sz w:val="22"/>
          <w:szCs w:val="22"/>
        </w:rPr>
        <w:t xml:space="preserve"> and if they had a liver function status of Child-Pugh class A. Patients who permanently discontinued </w:t>
      </w:r>
      <w:proofErr w:type="spellStart"/>
      <w:r w:rsidRPr="0006400E">
        <w:rPr>
          <w:rFonts w:ascii="Arial" w:hAnsi="Arial" w:cs="Arial"/>
          <w:sz w:val="22"/>
          <w:szCs w:val="22"/>
        </w:rPr>
        <w:t>sorafenib</w:t>
      </w:r>
      <w:proofErr w:type="spellEnd"/>
      <w:r w:rsidRPr="0006400E">
        <w:rPr>
          <w:rFonts w:ascii="Arial" w:hAnsi="Arial" w:cs="Arial"/>
          <w:sz w:val="22"/>
          <w:szCs w:val="22"/>
        </w:rPr>
        <w:t xml:space="preserve"> therapy due to </w:t>
      </w:r>
      <w:proofErr w:type="spellStart"/>
      <w:r w:rsidRPr="0006400E">
        <w:rPr>
          <w:rFonts w:ascii="Arial" w:hAnsi="Arial" w:cs="Arial"/>
          <w:sz w:val="22"/>
          <w:szCs w:val="22"/>
        </w:rPr>
        <w:t>sorafenib</w:t>
      </w:r>
      <w:proofErr w:type="spellEnd"/>
      <w:r w:rsidRPr="0006400E">
        <w:rPr>
          <w:rFonts w:ascii="Arial" w:hAnsi="Arial" w:cs="Arial"/>
          <w:sz w:val="22"/>
          <w:szCs w:val="22"/>
        </w:rPr>
        <w:t>-related toxicity</w:t>
      </w:r>
      <w:r>
        <w:rPr>
          <w:rFonts w:ascii="Arial" w:hAnsi="Arial" w:cs="Arial"/>
          <w:sz w:val="22"/>
          <w:szCs w:val="22"/>
        </w:rPr>
        <w:t xml:space="preserve"> </w:t>
      </w:r>
      <w:r w:rsidRPr="0006400E">
        <w:rPr>
          <w:rFonts w:ascii="Arial" w:hAnsi="Arial" w:cs="Arial"/>
          <w:sz w:val="22"/>
          <w:szCs w:val="22"/>
        </w:rPr>
        <w:t xml:space="preserve">or who tolerated less than 400 mg </w:t>
      </w:r>
      <w:proofErr w:type="spellStart"/>
      <w:r w:rsidRPr="0006400E">
        <w:rPr>
          <w:rFonts w:ascii="Arial" w:hAnsi="Arial" w:cs="Arial"/>
          <w:sz w:val="22"/>
          <w:szCs w:val="22"/>
        </w:rPr>
        <w:t>sorafenib</w:t>
      </w:r>
      <w:proofErr w:type="spellEnd"/>
      <w:r w:rsidRPr="0006400E">
        <w:rPr>
          <w:rFonts w:ascii="Arial" w:hAnsi="Arial" w:cs="Arial"/>
          <w:sz w:val="22"/>
          <w:szCs w:val="22"/>
        </w:rPr>
        <w:t xml:space="preserve"> once daily prior to withdrawal were e</w:t>
      </w:r>
      <w:r>
        <w:rPr>
          <w:rFonts w:ascii="Arial" w:hAnsi="Arial" w:cs="Arial"/>
          <w:sz w:val="22"/>
          <w:szCs w:val="22"/>
        </w:rPr>
        <w:t>xcluded from the study. Randomis</w:t>
      </w:r>
      <w:r w:rsidRPr="0006400E">
        <w:rPr>
          <w:rFonts w:ascii="Arial" w:hAnsi="Arial" w:cs="Arial"/>
          <w:sz w:val="22"/>
          <w:szCs w:val="22"/>
        </w:rPr>
        <w:t xml:space="preserve">ation was performed within 10 weeks after the last treatment with </w:t>
      </w:r>
      <w:proofErr w:type="spellStart"/>
      <w:r w:rsidRPr="0006400E">
        <w:rPr>
          <w:rFonts w:ascii="Arial" w:hAnsi="Arial" w:cs="Arial"/>
          <w:sz w:val="22"/>
          <w:szCs w:val="22"/>
        </w:rPr>
        <w:t>sorafenib</w:t>
      </w:r>
      <w:proofErr w:type="spellEnd"/>
      <w:r w:rsidRPr="0006400E">
        <w:rPr>
          <w:rFonts w:ascii="Arial" w:hAnsi="Arial" w:cs="Arial"/>
          <w:sz w:val="22"/>
          <w:szCs w:val="22"/>
        </w:rPr>
        <w:t xml:space="preserve">. Patients continued therapy with </w:t>
      </w:r>
      <w:r>
        <w:rPr>
          <w:rFonts w:ascii="Arial" w:hAnsi="Arial" w:cs="Arial"/>
          <w:sz w:val="22"/>
          <w:szCs w:val="22"/>
        </w:rPr>
        <w:t>STIVARGA</w:t>
      </w:r>
      <w:r w:rsidRPr="0006400E">
        <w:rPr>
          <w:rFonts w:ascii="Arial" w:hAnsi="Arial" w:cs="Arial"/>
          <w:sz w:val="22"/>
          <w:szCs w:val="22"/>
        </w:rPr>
        <w:t xml:space="preserve"> until clinical or </w:t>
      </w:r>
      <w:r w:rsidRPr="0006400E">
        <w:rPr>
          <w:rFonts w:ascii="Arial" w:hAnsi="Arial" w:cs="Arial"/>
          <w:sz w:val="22"/>
          <w:szCs w:val="22"/>
        </w:rPr>
        <w:lastRenderedPageBreak/>
        <w:t xml:space="preserve">radiological disease progression or unacceptable toxicity. However, patients could continue </w:t>
      </w:r>
      <w:r>
        <w:rPr>
          <w:rFonts w:ascii="Arial" w:hAnsi="Arial" w:cs="Arial"/>
          <w:sz w:val="22"/>
          <w:szCs w:val="22"/>
        </w:rPr>
        <w:t>STIVARGA</w:t>
      </w:r>
      <w:r w:rsidRPr="0006400E">
        <w:rPr>
          <w:rFonts w:ascii="Arial" w:hAnsi="Arial" w:cs="Arial"/>
          <w:sz w:val="22"/>
          <w:szCs w:val="22"/>
        </w:rPr>
        <w:t xml:space="preserve"> therapy past progression at the discretion of the investigator.</w:t>
      </w:r>
    </w:p>
    <w:p w14:paraId="32CB24BA" w14:textId="77777777" w:rsidR="00FB4ECA" w:rsidRDefault="00FB4ECA" w:rsidP="00FB4ECA">
      <w:pPr>
        <w:rPr>
          <w:rFonts w:ascii="Arial" w:hAnsi="Arial" w:cs="Arial"/>
          <w:sz w:val="22"/>
          <w:szCs w:val="22"/>
        </w:rPr>
      </w:pPr>
    </w:p>
    <w:p w14:paraId="603E98A2" w14:textId="77777777" w:rsidR="00D93840" w:rsidRDefault="00FB4ECA" w:rsidP="00FB4ECA">
      <w:pPr>
        <w:rPr>
          <w:rFonts w:ascii="Arial" w:hAnsi="Arial" w:cs="Arial"/>
          <w:sz w:val="22"/>
          <w:szCs w:val="22"/>
        </w:rPr>
      </w:pPr>
      <w:r w:rsidRPr="0006400E">
        <w:rPr>
          <w:rFonts w:ascii="Arial" w:hAnsi="Arial" w:cs="Arial"/>
          <w:sz w:val="22"/>
          <w:szCs w:val="22"/>
        </w:rPr>
        <w:t xml:space="preserve">Demographics and baseline disease characteristics were similar between the </w:t>
      </w:r>
      <w:r>
        <w:rPr>
          <w:rFonts w:ascii="Arial" w:hAnsi="Arial" w:cs="Arial"/>
          <w:sz w:val="22"/>
          <w:szCs w:val="22"/>
        </w:rPr>
        <w:t>STIVARGA</w:t>
      </w:r>
      <w:r w:rsidRPr="0006400E">
        <w:rPr>
          <w:rFonts w:ascii="Arial" w:hAnsi="Arial" w:cs="Arial"/>
          <w:sz w:val="22"/>
          <w:szCs w:val="22"/>
        </w:rPr>
        <w:t xml:space="preserve"> and placebo-treated groups and are shown below for all 573 </w:t>
      </w:r>
      <w:r>
        <w:rPr>
          <w:rFonts w:ascii="Arial" w:hAnsi="Arial" w:cs="Arial"/>
          <w:sz w:val="22"/>
          <w:szCs w:val="22"/>
        </w:rPr>
        <w:t>randomised</w:t>
      </w:r>
      <w:r w:rsidRPr="0006400E">
        <w:rPr>
          <w:rFonts w:ascii="Arial" w:hAnsi="Arial" w:cs="Arial"/>
          <w:sz w:val="22"/>
          <w:szCs w:val="22"/>
        </w:rPr>
        <w:t xml:space="preserve"> patients:</w:t>
      </w:r>
    </w:p>
    <w:p w14:paraId="2C28744C" w14:textId="77777777" w:rsidR="00D93840" w:rsidRDefault="00D93840" w:rsidP="00FB4ECA">
      <w:pPr>
        <w:rPr>
          <w:rFonts w:ascii="Arial" w:hAnsi="Arial" w:cs="Arial"/>
          <w:sz w:val="22"/>
          <w:szCs w:val="22"/>
        </w:rPr>
      </w:pPr>
    </w:p>
    <w:p w14:paraId="1965661A" w14:textId="69BF8D5B" w:rsidR="001B0787" w:rsidRPr="003A5EE1" w:rsidRDefault="001B0787" w:rsidP="001B0787">
      <w:pPr>
        <w:pStyle w:val="BayerBodyTextFull"/>
        <w:keepNext/>
        <w:spacing w:before="0" w:after="0"/>
        <w:rPr>
          <w:rFonts w:ascii="Arial" w:hAnsi="Arial" w:cs="Arial"/>
          <w:b/>
          <w:sz w:val="22"/>
          <w:szCs w:val="22"/>
        </w:rPr>
      </w:pPr>
      <w:r w:rsidRPr="001B0787">
        <w:rPr>
          <w:rFonts w:ascii="Arial" w:hAnsi="Arial" w:cs="Arial"/>
          <w:b/>
          <w:sz w:val="22"/>
          <w:szCs w:val="22"/>
        </w:rPr>
        <w:t xml:space="preserve"> </w:t>
      </w:r>
      <w:r w:rsidRPr="003A5EE1">
        <w:rPr>
          <w:rFonts w:ascii="Arial" w:hAnsi="Arial" w:cs="Arial"/>
          <w:b/>
          <w:sz w:val="22"/>
          <w:szCs w:val="22"/>
        </w:rPr>
        <w:t xml:space="preserve">Table </w:t>
      </w:r>
      <w:r>
        <w:rPr>
          <w:rFonts w:ascii="Arial" w:hAnsi="Arial" w:cs="Arial"/>
          <w:b/>
          <w:sz w:val="22"/>
          <w:szCs w:val="22"/>
        </w:rPr>
        <w:t>4</w:t>
      </w:r>
      <w:r w:rsidRPr="003A5EE1">
        <w:rPr>
          <w:rFonts w:ascii="Arial" w:hAnsi="Arial" w:cs="Arial"/>
          <w:b/>
          <w:sz w:val="22"/>
          <w:szCs w:val="22"/>
        </w:rPr>
        <w:t xml:space="preserve">: Demographic data </w:t>
      </w:r>
    </w:p>
    <w:p w14:paraId="364CCBFD" w14:textId="28990FF4" w:rsidR="00FB4ECA" w:rsidRDefault="00FB4ECA" w:rsidP="00FB4EC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1B0787" w:rsidRPr="004D606E" w14:paraId="6FE61F69" w14:textId="77777777" w:rsidTr="00206FAC">
        <w:trPr>
          <w:cantSplit/>
          <w:tblHeader/>
        </w:trPr>
        <w:tc>
          <w:tcPr>
            <w:tcW w:w="3142" w:type="dxa"/>
            <w:shd w:val="clear" w:color="auto" w:fill="auto"/>
          </w:tcPr>
          <w:p w14:paraId="7303856E" w14:textId="77777777" w:rsidR="001B0787" w:rsidRPr="003A5EE1" w:rsidRDefault="001B0787" w:rsidP="00206FAC">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Demographic details</w:t>
            </w:r>
          </w:p>
        </w:tc>
        <w:tc>
          <w:tcPr>
            <w:tcW w:w="3143" w:type="dxa"/>
            <w:shd w:val="clear" w:color="auto" w:fill="auto"/>
          </w:tcPr>
          <w:p w14:paraId="6922D4A3" w14:textId="4893809E" w:rsidR="001B0787" w:rsidRPr="003A5EE1" w:rsidRDefault="001B0787" w:rsidP="00206FAC">
            <w:pPr>
              <w:pStyle w:val="BayerBodyTextFull"/>
              <w:tabs>
                <w:tab w:val="left" w:pos="567"/>
              </w:tabs>
              <w:spacing w:before="0" w:after="0" w:line="260" w:lineRule="exact"/>
              <w:jc w:val="center"/>
              <w:rPr>
                <w:rFonts w:ascii="Arial" w:hAnsi="Arial" w:cs="Arial"/>
                <w:b/>
                <w:sz w:val="22"/>
                <w:szCs w:val="22"/>
              </w:rPr>
            </w:pPr>
            <w:r>
              <w:rPr>
                <w:rFonts w:ascii="Arial" w:hAnsi="Arial" w:cs="Arial"/>
                <w:b/>
                <w:sz w:val="22"/>
                <w:szCs w:val="22"/>
              </w:rPr>
              <w:t xml:space="preserve">STIVARGA </w:t>
            </w:r>
            <w:r w:rsidR="00C90A47">
              <w:rPr>
                <w:rFonts w:ascii="Arial" w:hAnsi="Arial" w:cs="Arial"/>
                <w:b/>
                <w:sz w:val="22"/>
                <w:szCs w:val="22"/>
              </w:rPr>
              <w:t>+ BSC</w:t>
            </w:r>
          </w:p>
        </w:tc>
        <w:tc>
          <w:tcPr>
            <w:tcW w:w="3143" w:type="dxa"/>
            <w:shd w:val="clear" w:color="auto" w:fill="auto"/>
          </w:tcPr>
          <w:p w14:paraId="7844510C" w14:textId="456C788E" w:rsidR="00C90A47" w:rsidRPr="003A5EE1" w:rsidRDefault="001B0787" w:rsidP="00206FAC">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 xml:space="preserve">Placebo </w:t>
            </w:r>
            <w:r w:rsidR="00C90A47">
              <w:rPr>
                <w:rFonts w:ascii="Arial" w:hAnsi="Arial" w:cs="Arial"/>
                <w:b/>
                <w:sz w:val="22"/>
                <w:szCs w:val="22"/>
              </w:rPr>
              <w:t>+ BSC</w:t>
            </w:r>
          </w:p>
        </w:tc>
      </w:tr>
      <w:tr w:rsidR="001B0787" w:rsidRPr="004D606E" w14:paraId="0B3A88C6" w14:textId="77777777" w:rsidTr="00A3266F">
        <w:tc>
          <w:tcPr>
            <w:tcW w:w="3142" w:type="dxa"/>
            <w:shd w:val="clear" w:color="auto" w:fill="auto"/>
          </w:tcPr>
          <w:p w14:paraId="6A4FE81E" w14:textId="77777777" w:rsidR="001B0787" w:rsidRPr="003A5EE1" w:rsidRDefault="001B0787" w:rsidP="00206FAC">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Age (me</w:t>
            </w:r>
            <w:r>
              <w:rPr>
                <w:rFonts w:ascii="Arial" w:hAnsi="Arial" w:cs="Arial"/>
                <w:sz w:val="22"/>
                <w:szCs w:val="22"/>
              </w:rPr>
              <w:t>dian</w:t>
            </w:r>
            <w:r w:rsidRPr="003A5EE1">
              <w:rPr>
                <w:rFonts w:ascii="Arial" w:hAnsi="Arial" w:cs="Arial"/>
                <w:sz w:val="22"/>
                <w:szCs w:val="22"/>
              </w:rPr>
              <w:t>, range)</w:t>
            </w:r>
          </w:p>
        </w:tc>
        <w:tc>
          <w:tcPr>
            <w:tcW w:w="3143" w:type="dxa"/>
            <w:shd w:val="clear" w:color="auto" w:fill="auto"/>
          </w:tcPr>
          <w:p w14:paraId="1688B32C"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64.0</w:t>
            </w:r>
            <w:r w:rsidRPr="003A5EE1">
              <w:rPr>
                <w:rFonts w:ascii="Arial" w:hAnsi="Arial" w:cs="Arial"/>
                <w:sz w:val="22"/>
                <w:szCs w:val="22"/>
              </w:rPr>
              <w:t xml:space="preserve"> years</w:t>
            </w:r>
          </w:p>
          <w:p w14:paraId="154E6485"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w:t>
            </w:r>
            <w:r>
              <w:rPr>
                <w:rFonts w:ascii="Arial" w:hAnsi="Arial" w:cs="Arial"/>
                <w:sz w:val="22"/>
                <w:szCs w:val="22"/>
              </w:rPr>
              <w:t>19</w:t>
            </w:r>
            <w:r w:rsidRPr="003A5EE1">
              <w:rPr>
                <w:rFonts w:ascii="Arial" w:hAnsi="Arial" w:cs="Arial"/>
                <w:sz w:val="22"/>
                <w:szCs w:val="22"/>
              </w:rPr>
              <w:t xml:space="preserve"> – </w:t>
            </w:r>
            <w:r>
              <w:rPr>
                <w:rFonts w:ascii="Arial" w:hAnsi="Arial" w:cs="Arial"/>
                <w:sz w:val="22"/>
                <w:szCs w:val="22"/>
              </w:rPr>
              <w:t>85</w:t>
            </w:r>
            <w:r w:rsidRPr="003A5EE1">
              <w:rPr>
                <w:rFonts w:ascii="Arial" w:hAnsi="Arial" w:cs="Arial"/>
                <w:sz w:val="22"/>
                <w:szCs w:val="22"/>
              </w:rPr>
              <w:t>)</w:t>
            </w:r>
          </w:p>
        </w:tc>
        <w:tc>
          <w:tcPr>
            <w:tcW w:w="3143" w:type="dxa"/>
            <w:shd w:val="clear" w:color="auto" w:fill="auto"/>
          </w:tcPr>
          <w:p w14:paraId="7B730B5E"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62.0</w:t>
            </w:r>
            <w:r w:rsidRPr="003A5EE1">
              <w:rPr>
                <w:rFonts w:ascii="Arial" w:hAnsi="Arial" w:cs="Arial"/>
                <w:sz w:val="22"/>
                <w:szCs w:val="22"/>
              </w:rPr>
              <w:t xml:space="preserve"> years</w:t>
            </w:r>
          </w:p>
          <w:p w14:paraId="0788192D"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sidRPr="003A5EE1">
              <w:rPr>
                <w:rFonts w:ascii="Arial" w:hAnsi="Arial" w:cs="Arial"/>
                <w:sz w:val="22"/>
                <w:szCs w:val="22"/>
              </w:rPr>
              <w:t>(</w:t>
            </w:r>
            <w:r w:rsidRPr="0047783E">
              <w:rPr>
                <w:rFonts w:ascii="Arial" w:hAnsi="Arial" w:cs="Arial"/>
                <w:sz w:val="22"/>
                <w:szCs w:val="22"/>
              </w:rPr>
              <w:t>2</w:t>
            </w:r>
            <w:r>
              <w:rPr>
                <w:rFonts w:ascii="Arial" w:hAnsi="Arial" w:cs="Arial"/>
                <w:sz w:val="22"/>
                <w:szCs w:val="22"/>
              </w:rPr>
              <w:t>3</w:t>
            </w:r>
            <w:r w:rsidRPr="003A5EE1">
              <w:rPr>
                <w:rFonts w:ascii="Arial" w:hAnsi="Arial" w:cs="Arial"/>
                <w:sz w:val="22"/>
                <w:szCs w:val="22"/>
              </w:rPr>
              <w:t xml:space="preserve"> – </w:t>
            </w:r>
            <w:r>
              <w:rPr>
                <w:rFonts w:ascii="Arial" w:hAnsi="Arial" w:cs="Arial"/>
                <w:sz w:val="22"/>
                <w:szCs w:val="22"/>
              </w:rPr>
              <w:t>83</w:t>
            </w:r>
            <w:r w:rsidRPr="003A5EE1">
              <w:rPr>
                <w:rFonts w:ascii="Arial" w:hAnsi="Arial" w:cs="Arial"/>
                <w:sz w:val="22"/>
                <w:szCs w:val="22"/>
              </w:rPr>
              <w:t>)</w:t>
            </w:r>
          </w:p>
        </w:tc>
      </w:tr>
      <w:tr w:rsidR="001B0787" w:rsidRPr="004D606E" w14:paraId="669062D6" w14:textId="77777777" w:rsidTr="00A3266F">
        <w:tc>
          <w:tcPr>
            <w:tcW w:w="3142" w:type="dxa"/>
            <w:shd w:val="clear" w:color="auto" w:fill="auto"/>
          </w:tcPr>
          <w:p w14:paraId="5F9DDAF6" w14:textId="77777777" w:rsidR="001B0787" w:rsidRPr="003A5EE1" w:rsidRDefault="001B0787" w:rsidP="00206FAC">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Gender</w:t>
            </w:r>
          </w:p>
          <w:p w14:paraId="45E5F0B3" w14:textId="77777777" w:rsidR="001B0787" w:rsidRDefault="001B078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Male</w:t>
            </w:r>
          </w:p>
          <w:p w14:paraId="214FDAFF"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Pr>
                <w:rFonts w:ascii="Arial" w:hAnsi="Arial" w:cs="Arial"/>
                <w:sz w:val="22"/>
                <w:szCs w:val="22"/>
              </w:rPr>
              <w:t>Female</w:t>
            </w:r>
          </w:p>
        </w:tc>
        <w:tc>
          <w:tcPr>
            <w:tcW w:w="3143" w:type="dxa"/>
            <w:shd w:val="clear" w:color="auto" w:fill="auto"/>
          </w:tcPr>
          <w:p w14:paraId="0F91258F"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p>
          <w:p w14:paraId="4E5A85E9"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87.9</w:t>
            </w:r>
            <w:r w:rsidRPr="003A5EE1">
              <w:rPr>
                <w:rFonts w:ascii="Arial" w:hAnsi="Arial" w:cs="Arial"/>
                <w:sz w:val="22"/>
                <w:szCs w:val="22"/>
              </w:rPr>
              <w:t>%</w:t>
            </w:r>
          </w:p>
          <w:p w14:paraId="01D026DF"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12.1%</w:t>
            </w:r>
          </w:p>
        </w:tc>
        <w:tc>
          <w:tcPr>
            <w:tcW w:w="3143" w:type="dxa"/>
            <w:shd w:val="clear" w:color="auto" w:fill="auto"/>
          </w:tcPr>
          <w:p w14:paraId="296FE9B8"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p>
          <w:p w14:paraId="4565EDDF"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88.1</w:t>
            </w:r>
            <w:r w:rsidRPr="003A5EE1">
              <w:rPr>
                <w:rFonts w:ascii="Arial" w:hAnsi="Arial" w:cs="Arial"/>
                <w:sz w:val="22"/>
                <w:szCs w:val="22"/>
              </w:rPr>
              <w:t>%</w:t>
            </w:r>
          </w:p>
          <w:p w14:paraId="72634D10"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11.9%</w:t>
            </w:r>
          </w:p>
        </w:tc>
      </w:tr>
      <w:tr w:rsidR="001B0787" w:rsidRPr="004D606E" w14:paraId="4EA09209" w14:textId="77777777" w:rsidTr="00A3266F">
        <w:tc>
          <w:tcPr>
            <w:tcW w:w="3142" w:type="dxa"/>
            <w:shd w:val="clear" w:color="auto" w:fill="auto"/>
          </w:tcPr>
          <w:p w14:paraId="4C2C8787" w14:textId="77777777" w:rsidR="001B0787" w:rsidRDefault="001B0787" w:rsidP="00206FAC">
            <w:pPr>
              <w:pStyle w:val="BayerBodyTextFull"/>
              <w:tabs>
                <w:tab w:val="left" w:pos="567"/>
              </w:tabs>
              <w:spacing w:before="0" w:after="0" w:line="260" w:lineRule="exact"/>
              <w:rPr>
                <w:rFonts w:ascii="Arial" w:hAnsi="Arial" w:cs="Arial"/>
                <w:sz w:val="22"/>
                <w:szCs w:val="22"/>
              </w:rPr>
            </w:pPr>
            <w:r>
              <w:rPr>
                <w:rFonts w:ascii="Arial" w:hAnsi="Arial" w:cs="Arial"/>
                <w:sz w:val="22"/>
                <w:szCs w:val="22"/>
              </w:rPr>
              <w:t xml:space="preserve">Race </w:t>
            </w:r>
          </w:p>
          <w:p w14:paraId="63583370"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Caucasian </w:t>
            </w:r>
          </w:p>
          <w:p w14:paraId="49BA3105"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Asian</w:t>
            </w:r>
          </w:p>
          <w:p w14:paraId="06F764C9"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Black</w:t>
            </w:r>
          </w:p>
          <w:p w14:paraId="5BE22FEF"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Other</w:t>
            </w:r>
          </w:p>
          <w:p w14:paraId="0F55D784"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Not reported </w:t>
            </w:r>
          </w:p>
        </w:tc>
        <w:tc>
          <w:tcPr>
            <w:tcW w:w="3143" w:type="dxa"/>
            <w:shd w:val="clear" w:color="auto" w:fill="auto"/>
          </w:tcPr>
          <w:p w14:paraId="6B39A7CF"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p>
          <w:p w14:paraId="1DE7ADA2"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36.4</w:t>
            </w:r>
            <w:r w:rsidRPr="003A5EE1">
              <w:rPr>
                <w:rFonts w:ascii="Arial" w:hAnsi="Arial" w:cs="Arial"/>
                <w:sz w:val="22"/>
                <w:szCs w:val="22"/>
              </w:rPr>
              <w:t>%</w:t>
            </w:r>
          </w:p>
          <w:p w14:paraId="5BFCD5E0"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41.2</w:t>
            </w:r>
            <w:r w:rsidRPr="003A5EE1">
              <w:rPr>
                <w:rFonts w:ascii="Arial" w:hAnsi="Arial" w:cs="Arial"/>
                <w:sz w:val="22"/>
                <w:szCs w:val="22"/>
              </w:rPr>
              <w:t>%</w:t>
            </w:r>
          </w:p>
          <w:p w14:paraId="0DA5CACB"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1.6</w:t>
            </w:r>
            <w:r w:rsidRPr="003A5EE1">
              <w:rPr>
                <w:rFonts w:ascii="Arial" w:hAnsi="Arial" w:cs="Arial"/>
                <w:sz w:val="22"/>
                <w:szCs w:val="22"/>
              </w:rPr>
              <w:t>%</w:t>
            </w:r>
          </w:p>
          <w:p w14:paraId="2C618E1C"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0.5</w:t>
            </w:r>
            <w:r w:rsidRPr="003A5EE1">
              <w:rPr>
                <w:rFonts w:ascii="Arial" w:hAnsi="Arial" w:cs="Arial"/>
                <w:sz w:val="22"/>
                <w:szCs w:val="22"/>
              </w:rPr>
              <w:t>%</w:t>
            </w:r>
          </w:p>
          <w:p w14:paraId="3595A323"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20.3</w:t>
            </w:r>
            <w:r w:rsidRPr="003A5EE1">
              <w:rPr>
                <w:rFonts w:ascii="Arial" w:hAnsi="Arial" w:cs="Arial"/>
                <w:sz w:val="22"/>
                <w:szCs w:val="22"/>
              </w:rPr>
              <w:t>%</w:t>
            </w:r>
          </w:p>
        </w:tc>
        <w:tc>
          <w:tcPr>
            <w:tcW w:w="3143" w:type="dxa"/>
            <w:shd w:val="clear" w:color="auto" w:fill="auto"/>
          </w:tcPr>
          <w:p w14:paraId="48A03CD2"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p>
          <w:p w14:paraId="464A2C97"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35.1</w:t>
            </w:r>
            <w:r w:rsidRPr="003A5EE1">
              <w:rPr>
                <w:rFonts w:ascii="Arial" w:hAnsi="Arial" w:cs="Arial"/>
                <w:sz w:val="22"/>
                <w:szCs w:val="22"/>
              </w:rPr>
              <w:t>%</w:t>
            </w:r>
          </w:p>
          <w:p w14:paraId="269D70B4"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40.2</w:t>
            </w:r>
            <w:r w:rsidRPr="003A5EE1">
              <w:rPr>
                <w:rFonts w:ascii="Arial" w:hAnsi="Arial" w:cs="Arial"/>
                <w:sz w:val="22"/>
                <w:szCs w:val="22"/>
              </w:rPr>
              <w:t>%</w:t>
            </w:r>
          </w:p>
          <w:p w14:paraId="00F966B0"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1.0</w:t>
            </w:r>
            <w:r w:rsidRPr="003A5EE1">
              <w:rPr>
                <w:rFonts w:ascii="Arial" w:hAnsi="Arial" w:cs="Arial"/>
                <w:sz w:val="22"/>
                <w:szCs w:val="22"/>
              </w:rPr>
              <w:t>%</w:t>
            </w:r>
          </w:p>
          <w:p w14:paraId="7AE51160"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0.5</w:t>
            </w:r>
            <w:r w:rsidRPr="003A5EE1">
              <w:rPr>
                <w:rFonts w:ascii="Arial" w:hAnsi="Arial" w:cs="Arial"/>
                <w:sz w:val="22"/>
                <w:szCs w:val="22"/>
              </w:rPr>
              <w:t>%</w:t>
            </w:r>
          </w:p>
          <w:p w14:paraId="40D88CDB"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23.2</w:t>
            </w:r>
            <w:r w:rsidRPr="003A5EE1">
              <w:rPr>
                <w:rFonts w:ascii="Arial" w:hAnsi="Arial" w:cs="Arial"/>
                <w:sz w:val="22"/>
                <w:szCs w:val="22"/>
              </w:rPr>
              <w:t>%</w:t>
            </w:r>
          </w:p>
        </w:tc>
      </w:tr>
      <w:tr w:rsidR="001B0787" w:rsidRPr="004D606E" w14:paraId="1972DC2E" w14:textId="77777777" w:rsidTr="00A3266F">
        <w:tc>
          <w:tcPr>
            <w:tcW w:w="3142" w:type="dxa"/>
            <w:shd w:val="clear" w:color="auto" w:fill="auto"/>
          </w:tcPr>
          <w:p w14:paraId="010F535E" w14:textId="77777777" w:rsidR="001B0787" w:rsidRPr="003A5EE1" w:rsidRDefault="001B0787" w:rsidP="00206FAC">
            <w:pPr>
              <w:pStyle w:val="BayerBodyTextFull"/>
              <w:tabs>
                <w:tab w:val="left" w:pos="567"/>
              </w:tabs>
              <w:spacing w:before="0" w:after="0" w:line="260" w:lineRule="exact"/>
              <w:rPr>
                <w:rFonts w:ascii="Arial" w:hAnsi="Arial" w:cs="Arial"/>
                <w:sz w:val="22"/>
                <w:szCs w:val="22"/>
                <w:lang w:val="en-GB"/>
              </w:rPr>
            </w:pPr>
            <w:r w:rsidRPr="003A5EE1">
              <w:rPr>
                <w:rFonts w:ascii="Arial" w:hAnsi="Arial" w:cs="Arial"/>
                <w:sz w:val="22"/>
                <w:szCs w:val="22"/>
                <w:lang w:val="en-GB"/>
              </w:rPr>
              <w:t xml:space="preserve">ECOG status </w:t>
            </w:r>
          </w:p>
          <w:p w14:paraId="43FDE66F" w14:textId="77777777" w:rsidR="001B0787" w:rsidRDefault="001B0787" w:rsidP="00206FAC">
            <w:pPr>
              <w:pStyle w:val="BayerBodyTextFull"/>
              <w:tabs>
                <w:tab w:val="left" w:pos="567"/>
              </w:tabs>
              <w:spacing w:before="0" w:after="0" w:line="260" w:lineRule="exact"/>
              <w:ind w:left="567"/>
              <w:rPr>
                <w:rFonts w:ascii="Arial" w:hAnsi="Arial" w:cs="Arial"/>
                <w:sz w:val="22"/>
                <w:szCs w:val="22"/>
                <w:lang w:val="en-GB"/>
              </w:rPr>
            </w:pPr>
            <w:r w:rsidRPr="003A5EE1">
              <w:rPr>
                <w:rFonts w:ascii="Arial" w:hAnsi="Arial" w:cs="Arial"/>
                <w:sz w:val="22"/>
                <w:szCs w:val="22"/>
                <w:lang w:val="en-GB"/>
              </w:rPr>
              <w:t>0</w:t>
            </w:r>
          </w:p>
          <w:p w14:paraId="7E7E0D62"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lang w:val="en-GB"/>
              </w:rPr>
            </w:pPr>
            <w:r>
              <w:rPr>
                <w:rFonts w:ascii="Arial" w:hAnsi="Arial" w:cs="Arial"/>
                <w:sz w:val="22"/>
                <w:szCs w:val="22"/>
                <w:lang w:val="en-GB"/>
              </w:rPr>
              <w:t>1</w:t>
            </w:r>
          </w:p>
        </w:tc>
        <w:tc>
          <w:tcPr>
            <w:tcW w:w="3143" w:type="dxa"/>
            <w:shd w:val="clear" w:color="auto" w:fill="auto"/>
          </w:tcPr>
          <w:p w14:paraId="44D464D5"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p>
          <w:p w14:paraId="232D1F5D"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65.17</w:t>
            </w:r>
            <w:r w:rsidRPr="003A5EE1">
              <w:rPr>
                <w:rFonts w:ascii="Arial" w:hAnsi="Arial" w:cs="Arial"/>
                <w:sz w:val="22"/>
                <w:szCs w:val="22"/>
              </w:rPr>
              <w:t>%</w:t>
            </w:r>
          </w:p>
          <w:p w14:paraId="1519006A"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34.8%</w:t>
            </w:r>
          </w:p>
        </w:tc>
        <w:tc>
          <w:tcPr>
            <w:tcW w:w="3143" w:type="dxa"/>
            <w:shd w:val="clear" w:color="auto" w:fill="auto"/>
          </w:tcPr>
          <w:p w14:paraId="7B319CE0"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p>
          <w:p w14:paraId="395C2A52"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67.0</w:t>
            </w:r>
            <w:r w:rsidRPr="003A5EE1">
              <w:rPr>
                <w:rFonts w:ascii="Arial" w:hAnsi="Arial" w:cs="Arial"/>
                <w:sz w:val="22"/>
                <w:szCs w:val="22"/>
              </w:rPr>
              <w:t>%</w:t>
            </w:r>
          </w:p>
          <w:p w14:paraId="1FD069AD" w14:textId="4DF58DBA"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3</w:t>
            </w:r>
            <w:r w:rsidR="00D44332">
              <w:rPr>
                <w:rFonts w:ascii="Arial" w:hAnsi="Arial" w:cs="Arial"/>
                <w:sz w:val="22"/>
                <w:szCs w:val="22"/>
              </w:rPr>
              <w:t>3</w:t>
            </w:r>
            <w:r>
              <w:rPr>
                <w:rFonts w:ascii="Arial" w:hAnsi="Arial" w:cs="Arial"/>
                <w:sz w:val="22"/>
                <w:szCs w:val="22"/>
              </w:rPr>
              <w:t>%</w:t>
            </w:r>
          </w:p>
        </w:tc>
      </w:tr>
      <w:tr w:rsidR="001B0787" w:rsidRPr="004D606E" w14:paraId="70790DD3" w14:textId="77777777" w:rsidTr="00A3266F">
        <w:tc>
          <w:tcPr>
            <w:tcW w:w="3142" w:type="dxa"/>
            <w:shd w:val="clear" w:color="auto" w:fill="auto"/>
          </w:tcPr>
          <w:p w14:paraId="66758B61" w14:textId="77777777" w:rsidR="001B0787" w:rsidRDefault="001B0787" w:rsidP="00206FAC">
            <w:pPr>
              <w:pStyle w:val="BayerBodyTextFull"/>
              <w:tabs>
                <w:tab w:val="left" w:pos="567"/>
              </w:tabs>
              <w:spacing w:before="0" w:after="0" w:line="260" w:lineRule="exact"/>
              <w:rPr>
                <w:rFonts w:ascii="Arial" w:hAnsi="Arial" w:cs="Arial"/>
                <w:sz w:val="22"/>
                <w:szCs w:val="22"/>
              </w:rPr>
            </w:pPr>
            <w:r>
              <w:rPr>
                <w:rFonts w:ascii="Arial" w:hAnsi="Arial" w:cs="Arial"/>
                <w:sz w:val="22"/>
                <w:szCs w:val="22"/>
              </w:rPr>
              <w:t>Child-Pugh Status</w:t>
            </w:r>
          </w:p>
          <w:p w14:paraId="4670EAB2" w14:textId="77777777" w:rsidR="001B0787" w:rsidRDefault="001B0787" w:rsidP="00206FAC">
            <w:pPr>
              <w:pStyle w:val="BayerBodyTextFull"/>
              <w:tabs>
                <w:tab w:val="left" w:pos="567"/>
              </w:tabs>
              <w:spacing w:before="0" w:after="0" w:line="260" w:lineRule="exact"/>
              <w:ind w:left="567"/>
              <w:rPr>
                <w:rFonts w:ascii="Arial" w:hAnsi="Arial" w:cs="Arial"/>
                <w:sz w:val="22"/>
                <w:szCs w:val="22"/>
              </w:rPr>
            </w:pPr>
            <w:r w:rsidRPr="00D93840">
              <w:rPr>
                <w:rFonts w:ascii="Arial" w:hAnsi="Arial" w:cs="Arial"/>
                <w:sz w:val="22"/>
                <w:szCs w:val="22"/>
              </w:rPr>
              <w:t>Child-Pugh A</w:t>
            </w:r>
          </w:p>
          <w:p w14:paraId="74E87C10" w14:textId="77777777" w:rsidR="001B0787" w:rsidRPr="003A5EE1" w:rsidRDefault="001B0787" w:rsidP="00206FAC">
            <w:pPr>
              <w:pStyle w:val="BayerBodyTextFull"/>
              <w:tabs>
                <w:tab w:val="left" w:pos="567"/>
              </w:tabs>
              <w:spacing w:before="0" w:after="0" w:line="260" w:lineRule="exact"/>
              <w:ind w:left="567"/>
              <w:rPr>
                <w:rFonts w:ascii="Arial" w:hAnsi="Arial" w:cs="Arial"/>
                <w:sz w:val="22"/>
                <w:szCs w:val="22"/>
              </w:rPr>
            </w:pPr>
            <w:r>
              <w:rPr>
                <w:rFonts w:ascii="Arial" w:hAnsi="Arial" w:cs="Arial"/>
                <w:sz w:val="22"/>
                <w:szCs w:val="22"/>
              </w:rPr>
              <w:t>Child-Pugh B</w:t>
            </w:r>
          </w:p>
        </w:tc>
        <w:tc>
          <w:tcPr>
            <w:tcW w:w="3143" w:type="dxa"/>
            <w:shd w:val="clear" w:color="auto" w:fill="auto"/>
          </w:tcPr>
          <w:p w14:paraId="15EC6402"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p>
          <w:p w14:paraId="28C54D50"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98.4%</w:t>
            </w:r>
          </w:p>
          <w:p w14:paraId="3433AC76"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1.3%</w:t>
            </w:r>
          </w:p>
        </w:tc>
        <w:tc>
          <w:tcPr>
            <w:tcW w:w="3143" w:type="dxa"/>
            <w:shd w:val="clear" w:color="auto" w:fill="auto"/>
          </w:tcPr>
          <w:p w14:paraId="3D6BFFC3"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p>
          <w:p w14:paraId="733FADF5"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96.9%</w:t>
            </w:r>
          </w:p>
          <w:p w14:paraId="6D019333"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3.1%</w:t>
            </w:r>
          </w:p>
        </w:tc>
      </w:tr>
      <w:tr w:rsidR="001B0787" w:rsidRPr="004D606E" w14:paraId="79AFB872" w14:textId="77777777" w:rsidTr="00A3266F">
        <w:tc>
          <w:tcPr>
            <w:tcW w:w="3142" w:type="dxa"/>
            <w:shd w:val="clear" w:color="auto" w:fill="auto"/>
          </w:tcPr>
          <w:p w14:paraId="6F14530F" w14:textId="77777777" w:rsidR="001B0787" w:rsidRDefault="001B0787" w:rsidP="00206FAC">
            <w:pPr>
              <w:pStyle w:val="BayerBodyTextFull"/>
              <w:keepNext/>
              <w:keepLines/>
              <w:tabs>
                <w:tab w:val="left" w:pos="567"/>
              </w:tabs>
              <w:spacing w:before="0" w:after="0" w:line="260" w:lineRule="exact"/>
              <w:rPr>
                <w:rFonts w:ascii="Arial" w:hAnsi="Arial" w:cs="Arial"/>
                <w:sz w:val="22"/>
                <w:szCs w:val="22"/>
              </w:rPr>
            </w:pPr>
            <w:r w:rsidRPr="00D93840">
              <w:rPr>
                <w:rFonts w:ascii="Arial" w:hAnsi="Arial" w:cs="Arial"/>
                <w:sz w:val="22"/>
                <w:szCs w:val="22"/>
              </w:rPr>
              <w:t xml:space="preserve">Etiology </w:t>
            </w:r>
            <w:r>
              <w:rPr>
                <w:rFonts w:ascii="Arial" w:hAnsi="Arial" w:cs="Arial"/>
                <w:sz w:val="22"/>
                <w:szCs w:val="22"/>
              </w:rPr>
              <w:t>of HCC</w:t>
            </w:r>
          </w:p>
          <w:p w14:paraId="79C34694" w14:textId="77777777" w:rsidR="001B0787" w:rsidRDefault="001B0787" w:rsidP="00206FAC">
            <w:pPr>
              <w:pStyle w:val="BayerBodyTextFull"/>
              <w:keepNext/>
              <w:keepLines/>
              <w:tabs>
                <w:tab w:val="left" w:pos="567"/>
              </w:tabs>
              <w:spacing w:before="0" w:after="0" w:line="260" w:lineRule="exact"/>
              <w:rPr>
                <w:rFonts w:ascii="Arial" w:hAnsi="Arial" w:cs="Arial"/>
                <w:sz w:val="22"/>
                <w:szCs w:val="22"/>
              </w:rPr>
            </w:pPr>
            <w:r>
              <w:rPr>
                <w:rFonts w:ascii="Arial" w:hAnsi="Arial" w:cs="Arial"/>
                <w:sz w:val="22"/>
                <w:szCs w:val="22"/>
              </w:rPr>
              <w:t xml:space="preserve">          </w:t>
            </w:r>
            <w:r w:rsidRPr="00D93840">
              <w:rPr>
                <w:rFonts w:ascii="Arial" w:hAnsi="Arial" w:cs="Arial"/>
                <w:sz w:val="22"/>
                <w:szCs w:val="22"/>
              </w:rPr>
              <w:t>Hepatitis B</w:t>
            </w:r>
          </w:p>
          <w:p w14:paraId="53779DC4" w14:textId="77777777" w:rsidR="001B0787" w:rsidRDefault="001B0787" w:rsidP="00206FAC">
            <w:pPr>
              <w:pStyle w:val="BayerBodyTextFull"/>
              <w:keepNext/>
              <w:keepLines/>
              <w:tabs>
                <w:tab w:val="left" w:pos="567"/>
              </w:tabs>
              <w:spacing w:before="0" w:after="0" w:line="260" w:lineRule="exact"/>
              <w:rPr>
                <w:rFonts w:ascii="Arial" w:hAnsi="Arial" w:cs="Arial"/>
                <w:sz w:val="22"/>
                <w:szCs w:val="22"/>
              </w:rPr>
            </w:pPr>
            <w:r>
              <w:rPr>
                <w:rFonts w:ascii="Arial" w:hAnsi="Arial" w:cs="Arial"/>
                <w:sz w:val="22"/>
                <w:szCs w:val="22"/>
              </w:rPr>
              <w:t xml:space="preserve">          Hepatitis C</w:t>
            </w:r>
          </w:p>
          <w:p w14:paraId="2EEC47BD" w14:textId="77777777" w:rsidR="001B0787" w:rsidRDefault="001B0787" w:rsidP="00206FAC">
            <w:pPr>
              <w:pStyle w:val="BayerBodyTextFull"/>
              <w:keepNext/>
              <w:keepLines/>
              <w:tabs>
                <w:tab w:val="left" w:pos="567"/>
              </w:tabs>
              <w:spacing w:before="0" w:after="0" w:line="260" w:lineRule="exact"/>
              <w:rPr>
                <w:rFonts w:ascii="Arial" w:hAnsi="Arial" w:cs="Arial"/>
                <w:sz w:val="22"/>
                <w:szCs w:val="22"/>
              </w:rPr>
            </w:pPr>
            <w:r w:rsidRPr="00D93840">
              <w:rPr>
                <w:rFonts w:ascii="Arial" w:hAnsi="Arial" w:cs="Arial"/>
                <w:sz w:val="22"/>
                <w:szCs w:val="22"/>
              </w:rPr>
              <w:t xml:space="preserve">Non-Alcoholic </w:t>
            </w:r>
            <w:proofErr w:type="spellStart"/>
            <w:r w:rsidRPr="00D93840">
              <w:rPr>
                <w:rFonts w:ascii="Arial" w:hAnsi="Arial" w:cs="Arial"/>
                <w:sz w:val="22"/>
                <w:szCs w:val="22"/>
              </w:rPr>
              <w:t>Steato</w:t>
            </w:r>
            <w:proofErr w:type="spellEnd"/>
            <w:r w:rsidRPr="00D93840">
              <w:rPr>
                <w:rFonts w:ascii="Arial" w:hAnsi="Arial" w:cs="Arial"/>
                <w:sz w:val="22"/>
                <w:szCs w:val="22"/>
              </w:rPr>
              <w:t xml:space="preserve"> Hepatitis (NASH</w:t>
            </w:r>
            <w:r>
              <w:rPr>
                <w:rFonts w:ascii="Arial" w:hAnsi="Arial" w:cs="Arial"/>
                <w:sz w:val="22"/>
                <w:szCs w:val="22"/>
              </w:rPr>
              <w:t>)</w:t>
            </w:r>
          </w:p>
        </w:tc>
        <w:tc>
          <w:tcPr>
            <w:tcW w:w="3143" w:type="dxa"/>
            <w:shd w:val="clear" w:color="auto" w:fill="auto"/>
          </w:tcPr>
          <w:p w14:paraId="3988E7D7"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p>
          <w:p w14:paraId="5432F633"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r>
              <w:rPr>
                <w:rFonts w:ascii="Arial" w:hAnsi="Arial" w:cs="Arial"/>
                <w:sz w:val="22"/>
                <w:szCs w:val="22"/>
              </w:rPr>
              <w:t>37.7%</w:t>
            </w:r>
          </w:p>
          <w:p w14:paraId="421BED3A"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r>
              <w:rPr>
                <w:rFonts w:ascii="Arial" w:hAnsi="Arial" w:cs="Arial"/>
                <w:sz w:val="22"/>
                <w:szCs w:val="22"/>
              </w:rPr>
              <w:t>20.6%</w:t>
            </w:r>
          </w:p>
          <w:p w14:paraId="446896B9"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p>
          <w:p w14:paraId="546E770F" w14:textId="6D59BDC5"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r>
              <w:rPr>
                <w:rFonts w:ascii="Arial" w:hAnsi="Arial" w:cs="Arial"/>
                <w:sz w:val="22"/>
                <w:szCs w:val="22"/>
              </w:rPr>
              <w:t>6.6%</w:t>
            </w:r>
          </w:p>
        </w:tc>
        <w:tc>
          <w:tcPr>
            <w:tcW w:w="3143" w:type="dxa"/>
            <w:shd w:val="clear" w:color="auto" w:fill="auto"/>
          </w:tcPr>
          <w:p w14:paraId="2CDA538A"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p>
          <w:p w14:paraId="4EC3ADD9"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r>
              <w:rPr>
                <w:rFonts w:ascii="Arial" w:hAnsi="Arial" w:cs="Arial"/>
                <w:sz w:val="22"/>
                <w:szCs w:val="22"/>
              </w:rPr>
              <w:t>37.6%</w:t>
            </w:r>
          </w:p>
          <w:p w14:paraId="43F13A12"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r>
              <w:rPr>
                <w:rFonts w:ascii="Arial" w:hAnsi="Arial" w:cs="Arial"/>
                <w:sz w:val="22"/>
                <w:szCs w:val="22"/>
              </w:rPr>
              <w:t>21.1%</w:t>
            </w:r>
          </w:p>
          <w:p w14:paraId="184D8F05" w14:textId="77777777" w:rsidR="001B0787" w:rsidRDefault="001B0787" w:rsidP="0059558F">
            <w:pPr>
              <w:pStyle w:val="BayerBodyTextFull"/>
              <w:keepNext/>
              <w:keepLines/>
              <w:tabs>
                <w:tab w:val="left" w:pos="567"/>
              </w:tabs>
              <w:spacing w:before="0" w:after="0" w:line="260" w:lineRule="exact"/>
              <w:jc w:val="center"/>
              <w:rPr>
                <w:rFonts w:ascii="Arial" w:hAnsi="Arial" w:cs="Arial"/>
                <w:sz w:val="22"/>
                <w:szCs w:val="22"/>
              </w:rPr>
            </w:pPr>
          </w:p>
          <w:p w14:paraId="72747B6B" w14:textId="77777777" w:rsidR="001B0787" w:rsidRPr="003A5EE1" w:rsidRDefault="001B0787" w:rsidP="0059558F">
            <w:pPr>
              <w:pStyle w:val="BayerBodyTextFull"/>
              <w:keepNext/>
              <w:keepLines/>
              <w:tabs>
                <w:tab w:val="left" w:pos="567"/>
              </w:tabs>
              <w:spacing w:before="0" w:after="0" w:line="260" w:lineRule="exact"/>
              <w:jc w:val="center"/>
              <w:rPr>
                <w:rFonts w:ascii="Arial" w:hAnsi="Arial" w:cs="Arial"/>
                <w:sz w:val="22"/>
                <w:szCs w:val="22"/>
              </w:rPr>
            </w:pPr>
            <w:r>
              <w:rPr>
                <w:rFonts w:ascii="Arial" w:hAnsi="Arial" w:cs="Arial"/>
                <w:sz w:val="22"/>
                <w:szCs w:val="22"/>
              </w:rPr>
              <w:t>6.7%</w:t>
            </w:r>
          </w:p>
        </w:tc>
      </w:tr>
      <w:tr w:rsidR="001B0787" w:rsidRPr="004D606E" w14:paraId="0F23D9F3" w14:textId="77777777" w:rsidTr="00A3266F">
        <w:tc>
          <w:tcPr>
            <w:tcW w:w="3142" w:type="dxa"/>
            <w:shd w:val="clear" w:color="auto" w:fill="auto"/>
          </w:tcPr>
          <w:p w14:paraId="6543E1ED" w14:textId="77777777" w:rsidR="001B0787" w:rsidRDefault="001B0787" w:rsidP="00206FAC">
            <w:pPr>
              <w:pStyle w:val="BayerBodyTextFull"/>
              <w:tabs>
                <w:tab w:val="left" w:pos="567"/>
              </w:tabs>
              <w:spacing w:before="0" w:after="0" w:line="260" w:lineRule="exact"/>
              <w:rPr>
                <w:rFonts w:ascii="Arial" w:hAnsi="Arial" w:cs="Arial"/>
                <w:sz w:val="22"/>
                <w:szCs w:val="22"/>
              </w:rPr>
            </w:pPr>
            <w:r w:rsidRPr="00D93840">
              <w:rPr>
                <w:rFonts w:ascii="Arial" w:hAnsi="Arial" w:cs="Arial"/>
                <w:sz w:val="22"/>
                <w:szCs w:val="22"/>
              </w:rPr>
              <w:t>Absence of both macroscopic vascular invasion and extra-hepatic tumour spread</w:t>
            </w:r>
          </w:p>
        </w:tc>
        <w:tc>
          <w:tcPr>
            <w:tcW w:w="3143" w:type="dxa"/>
            <w:shd w:val="clear" w:color="auto" w:fill="auto"/>
          </w:tcPr>
          <w:p w14:paraId="783F2C51" w14:textId="77777777" w:rsidR="001B0787"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19.8%</w:t>
            </w:r>
          </w:p>
        </w:tc>
        <w:tc>
          <w:tcPr>
            <w:tcW w:w="3143" w:type="dxa"/>
            <w:shd w:val="clear" w:color="auto" w:fill="auto"/>
          </w:tcPr>
          <w:p w14:paraId="2A941CDB" w14:textId="77777777" w:rsidR="001B0787" w:rsidRPr="003A5EE1" w:rsidRDefault="001B0787" w:rsidP="0059558F">
            <w:pPr>
              <w:pStyle w:val="BayerBodyTextFull"/>
              <w:tabs>
                <w:tab w:val="left" w:pos="567"/>
              </w:tabs>
              <w:spacing w:before="0" w:after="0" w:line="260" w:lineRule="exact"/>
              <w:jc w:val="center"/>
              <w:rPr>
                <w:rFonts w:ascii="Arial" w:hAnsi="Arial" w:cs="Arial"/>
                <w:sz w:val="22"/>
                <w:szCs w:val="22"/>
              </w:rPr>
            </w:pPr>
            <w:r>
              <w:rPr>
                <w:rFonts w:ascii="Arial" w:hAnsi="Arial" w:cs="Arial"/>
                <w:sz w:val="22"/>
                <w:szCs w:val="22"/>
              </w:rPr>
              <w:t>16.5%</w:t>
            </w:r>
          </w:p>
        </w:tc>
      </w:tr>
      <w:tr w:rsidR="001B0787" w:rsidRPr="004D606E" w14:paraId="01C2EFDA" w14:textId="77777777" w:rsidTr="00A3266F">
        <w:tc>
          <w:tcPr>
            <w:tcW w:w="3142" w:type="dxa"/>
            <w:shd w:val="clear" w:color="auto" w:fill="auto"/>
          </w:tcPr>
          <w:p w14:paraId="6D6CF154" w14:textId="77777777" w:rsidR="001B0787" w:rsidRDefault="001B0787" w:rsidP="00A3266F">
            <w:pPr>
              <w:pStyle w:val="BayerBodyTextFull"/>
              <w:keepNext/>
              <w:tabs>
                <w:tab w:val="left" w:pos="567"/>
              </w:tabs>
              <w:spacing w:before="0" w:after="0" w:line="260" w:lineRule="exact"/>
              <w:rPr>
                <w:rFonts w:ascii="Arial" w:hAnsi="Arial" w:cs="Arial"/>
                <w:sz w:val="22"/>
                <w:szCs w:val="22"/>
              </w:rPr>
            </w:pPr>
            <w:r w:rsidRPr="00D93840">
              <w:rPr>
                <w:rFonts w:ascii="Arial" w:hAnsi="Arial" w:cs="Arial"/>
                <w:sz w:val="22"/>
                <w:szCs w:val="22"/>
              </w:rPr>
              <w:t>Barcelona Clinic Liver Cancer (BCLC)</w:t>
            </w:r>
          </w:p>
          <w:p w14:paraId="07730A3F" w14:textId="77777777" w:rsidR="001B0787" w:rsidRDefault="001B0787" w:rsidP="00A3266F">
            <w:pPr>
              <w:pStyle w:val="BayerBodyTextFull"/>
              <w:keepNext/>
              <w:tabs>
                <w:tab w:val="left" w:pos="567"/>
              </w:tabs>
              <w:spacing w:before="0" w:after="0" w:line="260" w:lineRule="exact"/>
              <w:rPr>
                <w:rFonts w:ascii="Arial" w:hAnsi="Arial" w:cs="Arial"/>
                <w:sz w:val="22"/>
                <w:szCs w:val="22"/>
              </w:rPr>
            </w:pPr>
            <w:r>
              <w:rPr>
                <w:rFonts w:ascii="Arial" w:hAnsi="Arial" w:cs="Arial"/>
                <w:sz w:val="22"/>
                <w:szCs w:val="22"/>
              </w:rPr>
              <w:t xml:space="preserve">          Stage B</w:t>
            </w:r>
          </w:p>
          <w:p w14:paraId="635CC78F" w14:textId="77777777" w:rsidR="001B0787" w:rsidRDefault="001B0787" w:rsidP="00A3266F">
            <w:pPr>
              <w:pStyle w:val="BayerBodyTextFull"/>
              <w:keepNext/>
              <w:tabs>
                <w:tab w:val="left" w:pos="567"/>
              </w:tabs>
              <w:spacing w:before="0" w:after="0" w:line="260" w:lineRule="exact"/>
              <w:rPr>
                <w:rFonts w:ascii="Arial" w:hAnsi="Arial" w:cs="Arial"/>
                <w:sz w:val="22"/>
                <w:szCs w:val="22"/>
              </w:rPr>
            </w:pPr>
            <w:r>
              <w:rPr>
                <w:rFonts w:ascii="Arial" w:hAnsi="Arial" w:cs="Arial"/>
                <w:sz w:val="22"/>
                <w:szCs w:val="22"/>
              </w:rPr>
              <w:t xml:space="preserve">          Stage C</w:t>
            </w:r>
          </w:p>
        </w:tc>
        <w:tc>
          <w:tcPr>
            <w:tcW w:w="3143" w:type="dxa"/>
            <w:shd w:val="clear" w:color="auto" w:fill="auto"/>
          </w:tcPr>
          <w:p w14:paraId="7960AD62"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0CE89326"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5161C6BC"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14.0%</w:t>
            </w:r>
          </w:p>
          <w:p w14:paraId="2F120166"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85.8%</w:t>
            </w:r>
          </w:p>
        </w:tc>
        <w:tc>
          <w:tcPr>
            <w:tcW w:w="3143" w:type="dxa"/>
            <w:shd w:val="clear" w:color="auto" w:fill="auto"/>
          </w:tcPr>
          <w:p w14:paraId="60CC7D7F"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1FF74A01"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6CDECC2C"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11.3%</w:t>
            </w:r>
          </w:p>
          <w:p w14:paraId="3A4B9C96" w14:textId="77777777" w:rsidR="001B0787" w:rsidRPr="003A5EE1" w:rsidRDefault="001B0787"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88.7%</w:t>
            </w:r>
          </w:p>
        </w:tc>
      </w:tr>
      <w:tr w:rsidR="001B0787" w:rsidRPr="004D606E" w14:paraId="5EFB2CD0" w14:textId="77777777" w:rsidTr="00A3266F">
        <w:tc>
          <w:tcPr>
            <w:tcW w:w="3142" w:type="dxa"/>
            <w:shd w:val="clear" w:color="auto" w:fill="auto"/>
          </w:tcPr>
          <w:p w14:paraId="2E782B01" w14:textId="77777777" w:rsidR="001B0787" w:rsidRPr="001B0787" w:rsidRDefault="001B0787" w:rsidP="00A3266F">
            <w:pPr>
              <w:pStyle w:val="BayerBodyTextFull"/>
              <w:keepNext/>
              <w:tabs>
                <w:tab w:val="left" w:pos="567"/>
              </w:tabs>
              <w:spacing w:before="0" w:after="0" w:line="260" w:lineRule="exact"/>
              <w:rPr>
                <w:rFonts w:ascii="Arial" w:hAnsi="Arial" w:cs="Arial"/>
                <w:sz w:val="22"/>
                <w:szCs w:val="22"/>
                <w:highlight w:val="yellow"/>
              </w:rPr>
            </w:pPr>
            <w:r w:rsidRPr="00FB33DA">
              <w:rPr>
                <w:rFonts w:ascii="Arial" w:hAnsi="Arial" w:cs="Arial"/>
                <w:sz w:val="22"/>
                <w:szCs w:val="22"/>
              </w:rPr>
              <w:t xml:space="preserve">Loco-regional </w:t>
            </w:r>
            <w:proofErr w:type="spellStart"/>
            <w:r w:rsidRPr="00FB33DA">
              <w:rPr>
                <w:rFonts w:ascii="Arial" w:hAnsi="Arial" w:cs="Arial"/>
                <w:sz w:val="22"/>
                <w:szCs w:val="22"/>
              </w:rPr>
              <w:t>transarterial</w:t>
            </w:r>
            <w:proofErr w:type="spellEnd"/>
            <w:r w:rsidRPr="00FB33DA">
              <w:rPr>
                <w:rFonts w:ascii="Arial" w:hAnsi="Arial" w:cs="Arial"/>
                <w:sz w:val="22"/>
                <w:szCs w:val="22"/>
              </w:rPr>
              <w:t xml:space="preserve"> embolization or </w:t>
            </w:r>
            <w:proofErr w:type="spellStart"/>
            <w:r w:rsidRPr="00FB33DA">
              <w:rPr>
                <w:rFonts w:ascii="Arial" w:hAnsi="Arial" w:cs="Arial"/>
                <w:sz w:val="22"/>
                <w:szCs w:val="22"/>
              </w:rPr>
              <w:t>chemoinfusion</w:t>
            </w:r>
            <w:proofErr w:type="spellEnd"/>
            <w:r w:rsidRPr="00FB33DA">
              <w:rPr>
                <w:rFonts w:ascii="Arial" w:hAnsi="Arial" w:cs="Arial"/>
                <w:sz w:val="22"/>
                <w:szCs w:val="22"/>
              </w:rPr>
              <w:t xml:space="preserve"> procedures</w:t>
            </w:r>
          </w:p>
        </w:tc>
        <w:tc>
          <w:tcPr>
            <w:tcW w:w="3143" w:type="dxa"/>
            <w:shd w:val="clear" w:color="auto" w:fill="auto"/>
          </w:tcPr>
          <w:p w14:paraId="531690AB" w14:textId="77777777" w:rsidR="001B0787" w:rsidRPr="001B0787" w:rsidRDefault="001B0787" w:rsidP="0059558F">
            <w:pPr>
              <w:pStyle w:val="BayerBodyTextFull"/>
              <w:keepNext/>
              <w:tabs>
                <w:tab w:val="left" w:pos="567"/>
              </w:tabs>
              <w:spacing w:before="0" w:after="0" w:line="260" w:lineRule="exact"/>
              <w:jc w:val="center"/>
              <w:rPr>
                <w:rFonts w:ascii="Arial" w:hAnsi="Arial" w:cs="Arial"/>
                <w:sz w:val="22"/>
                <w:szCs w:val="22"/>
                <w:highlight w:val="yellow"/>
              </w:rPr>
            </w:pPr>
          </w:p>
          <w:p w14:paraId="23B8CFA8" w14:textId="77777777" w:rsidR="001B0787" w:rsidRPr="001B0787" w:rsidRDefault="001B0787" w:rsidP="0059558F">
            <w:pPr>
              <w:pStyle w:val="BayerBodyTextFull"/>
              <w:keepNext/>
              <w:tabs>
                <w:tab w:val="left" w:pos="567"/>
              </w:tabs>
              <w:spacing w:before="0" w:after="0" w:line="260" w:lineRule="exact"/>
              <w:jc w:val="center"/>
              <w:rPr>
                <w:rFonts w:ascii="Arial" w:hAnsi="Arial" w:cs="Arial"/>
                <w:sz w:val="22"/>
                <w:szCs w:val="22"/>
                <w:highlight w:val="yellow"/>
              </w:rPr>
            </w:pPr>
          </w:p>
          <w:p w14:paraId="04032A37" w14:textId="43A80470" w:rsidR="001B0787" w:rsidRPr="001B0787" w:rsidRDefault="001B0787" w:rsidP="0059558F">
            <w:pPr>
              <w:pStyle w:val="BayerBodyTextFull"/>
              <w:keepNext/>
              <w:tabs>
                <w:tab w:val="left" w:pos="567"/>
              </w:tabs>
              <w:spacing w:before="0" w:after="0" w:line="260" w:lineRule="exact"/>
              <w:jc w:val="center"/>
              <w:rPr>
                <w:rFonts w:ascii="Arial" w:hAnsi="Arial" w:cs="Arial"/>
                <w:sz w:val="22"/>
                <w:szCs w:val="22"/>
                <w:highlight w:val="yellow"/>
              </w:rPr>
            </w:pPr>
            <w:r w:rsidRPr="00FB33DA">
              <w:rPr>
                <w:rFonts w:ascii="Arial" w:hAnsi="Arial" w:cs="Arial"/>
                <w:sz w:val="22"/>
                <w:szCs w:val="22"/>
              </w:rPr>
              <w:t>61</w:t>
            </w:r>
            <w:r w:rsidR="00FB33DA">
              <w:rPr>
                <w:rFonts w:ascii="Arial" w:hAnsi="Arial" w:cs="Arial"/>
                <w:sz w:val="22"/>
                <w:szCs w:val="22"/>
              </w:rPr>
              <w:t>.2</w:t>
            </w:r>
            <w:r w:rsidRPr="00FB33DA">
              <w:rPr>
                <w:rFonts w:ascii="Arial" w:hAnsi="Arial" w:cs="Arial"/>
                <w:sz w:val="22"/>
                <w:szCs w:val="22"/>
              </w:rPr>
              <w:t>%</w:t>
            </w:r>
          </w:p>
        </w:tc>
        <w:tc>
          <w:tcPr>
            <w:tcW w:w="3143" w:type="dxa"/>
            <w:shd w:val="clear" w:color="auto" w:fill="auto"/>
          </w:tcPr>
          <w:p w14:paraId="1FBF0BD0"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7F34FD34" w14:textId="77777777" w:rsidR="00FB33DA" w:rsidRDefault="00FB33DA" w:rsidP="0059558F">
            <w:pPr>
              <w:pStyle w:val="BayerBodyTextFull"/>
              <w:keepNext/>
              <w:tabs>
                <w:tab w:val="left" w:pos="567"/>
              </w:tabs>
              <w:spacing w:before="0" w:after="0" w:line="260" w:lineRule="exact"/>
              <w:jc w:val="center"/>
              <w:rPr>
                <w:rFonts w:ascii="Arial" w:hAnsi="Arial" w:cs="Arial"/>
                <w:sz w:val="22"/>
                <w:szCs w:val="22"/>
              </w:rPr>
            </w:pPr>
          </w:p>
          <w:p w14:paraId="08772CB7" w14:textId="2EE2C182" w:rsidR="00FB33DA" w:rsidRPr="003A5EE1" w:rsidRDefault="00FB33DA"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61.9%</w:t>
            </w:r>
          </w:p>
        </w:tc>
      </w:tr>
      <w:tr w:rsidR="001B0787" w:rsidRPr="004D606E" w14:paraId="0BC390C6" w14:textId="77777777" w:rsidTr="00A3266F">
        <w:tc>
          <w:tcPr>
            <w:tcW w:w="3142" w:type="dxa"/>
            <w:shd w:val="clear" w:color="auto" w:fill="auto"/>
          </w:tcPr>
          <w:p w14:paraId="64F31A93" w14:textId="77777777" w:rsidR="001B0787" w:rsidRPr="008D33B4" w:rsidRDefault="001B0787" w:rsidP="00A3266F">
            <w:pPr>
              <w:pStyle w:val="BayerBodyTextFull"/>
              <w:keepNext/>
              <w:tabs>
                <w:tab w:val="left" w:pos="567"/>
              </w:tabs>
              <w:spacing w:before="0" w:after="0" w:line="260" w:lineRule="exact"/>
              <w:rPr>
                <w:rFonts w:ascii="Arial" w:hAnsi="Arial" w:cs="Arial"/>
                <w:sz w:val="22"/>
                <w:szCs w:val="22"/>
              </w:rPr>
            </w:pPr>
            <w:r w:rsidRPr="008D33B4">
              <w:rPr>
                <w:rFonts w:ascii="Arial" w:hAnsi="Arial" w:cs="Arial"/>
                <w:sz w:val="22"/>
                <w:szCs w:val="22"/>
              </w:rPr>
              <w:t>Radiotherapy prior to regorafenib treatment</w:t>
            </w:r>
          </w:p>
        </w:tc>
        <w:tc>
          <w:tcPr>
            <w:tcW w:w="3143" w:type="dxa"/>
            <w:shd w:val="clear" w:color="auto" w:fill="auto"/>
          </w:tcPr>
          <w:p w14:paraId="5D4F72A3" w14:textId="77777777" w:rsidR="001B0787" w:rsidRPr="008D33B4" w:rsidRDefault="001B0787" w:rsidP="0059558F">
            <w:pPr>
              <w:pStyle w:val="BayerBodyTextFull"/>
              <w:keepNext/>
              <w:tabs>
                <w:tab w:val="left" w:pos="567"/>
              </w:tabs>
              <w:spacing w:before="0" w:after="0" w:line="260" w:lineRule="exact"/>
              <w:jc w:val="center"/>
              <w:rPr>
                <w:rFonts w:ascii="Arial" w:hAnsi="Arial" w:cs="Arial"/>
                <w:sz w:val="22"/>
                <w:szCs w:val="22"/>
              </w:rPr>
            </w:pPr>
          </w:p>
          <w:p w14:paraId="4BEDAD02" w14:textId="60E5E4E9" w:rsidR="001B0787" w:rsidRPr="008D33B4" w:rsidRDefault="001B0787" w:rsidP="0059558F">
            <w:pPr>
              <w:pStyle w:val="BayerBodyTextFull"/>
              <w:keepNext/>
              <w:tabs>
                <w:tab w:val="left" w:pos="567"/>
              </w:tabs>
              <w:spacing w:before="0" w:after="0" w:line="260" w:lineRule="exact"/>
              <w:jc w:val="center"/>
              <w:rPr>
                <w:rFonts w:ascii="Arial" w:hAnsi="Arial" w:cs="Arial"/>
                <w:sz w:val="22"/>
                <w:szCs w:val="22"/>
              </w:rPr>
            </w:pPr>
            <w:r w:rsidRPr="008D33B4">
              <w:rPr>
                <w:rFonts w:ascii="Arial" w:hAnsi="Arial" w:cs="Arial"/>
                <w:sz w:val="22"/>
                <w:szCs w:val="22"/>
              </w:rPr>
              <w:t>1</w:t>
            </w:r>
            <w:r w:rsidR="008D33B4">
              <w:rPr>
                <w:rFonts w:ascii="Arial" w:hAnsi="Arial" w:cs="Arial"/>
                <w:sz w:val="22"/>
                <w:szCs w:val="22"/>
              </w:rPr>
              <w:t>2.7</w:t>
            </w:r>
            <w:r w:rsidRPr="008D33B4">
              <w:rPr>
                <w:rFonts w:ascii="Arial" w:hAnsi="Arial" w:cs="Arial"/>
                <w:sz w:val="22"/>
                <w:szCs w:val="22"/>
              </w:rPr>
              <w:t>%</w:t>
            </w:r>
          </w:p>
        </w:tc>
        <w:tc>
          <w:tcPr>
            <w:tcW w:w="3143" w:type="dxa"/>
            <w:shd w:val="clear" w:color="auto" w:fill="auto"/>
          </w:tcPr>
          <w:p w14:paraId="6E8BB5A1"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7812FEBD" w14:textId="7285B9C6" w:rsidR="008D33B4" w:rsidRPr="003A5EE1" w:rsidRDefault="008D33B4"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19.1%</w:t>
            </w:r>
          </w:p>
        </w:tc>
      </w:tr>
      <w:tr w:rsidR="001B0787" w:rsidRPr="004D606E" w14:paraId="2096B80E" w14:textId="77777777" w:rsidTr="00A3266F">
        <w:tc>
          <w:tcPr>
            <w:tcW w:w="3142" w:type="dxa"/>
            <w:shd w:val="clear" w:color="auto" w:fill="auto"/>
          </w:tcPr>
          <w:p w14:paraId="6895B5FF" w14:textId="77777777" w:rsidR="001B0787" w:rsidRDefault="001B0787" w:rsidP="00A3266F">
            <w:pPr>
              <w:pStyle w:val="BayerBodyTextFull"/>
              <w:keepNext/>
              <w:tabs>
                <w:tab w:val="left" w:pos="567"/>
              </w:tabs>
              <w:spacing w:before="0" w:after="0" w:line="260" w:lineRule="exact"/>
              <w:rPr>
                <w:rFonts w:ascii="Arial" w:hAnsi="Arial" w:cs="Arial"/>
                <w:sz w:val="22"/>
                <w:szCs w:val="22"/>
              </w:rPr>
            </w:pPr>
            <w:r w:rsidRPr="00D93840">
              <w:rPr>
                <w:rFonts w:ascii="Arial" w:hAnsi="Arial" w:cs="Arial"/>
                <w:sz w:val="22"/>
                <w:szCs w:val="22"/>
              </w:rPr>
              <w:t xml:space="preserve">Median duration of </w:t>
            </w:r>
            <w:proofErr w:type="spellStart"/>
            <w:r w:rsidRPr="00D93840">
              <w:rPr>
                <w:rFonts w:ascii="Arial" w:hAnsi="Arial" w:cs="Arial"/>
                <w:sz w:val="22"/>
                <w:szCs w:val="22"/>
              </w:rPr>
              <w:t>sorafenib</w:t>
            </w:r>
            <w:proofErr w:type="spellEnd"/>
            <w:r w:rsidRPr="00D93840">
              <w:rPr>
                <w:rFonts w:ascii="Arial" w:hAnsi="Arial" w:cs="Arial"/>
                <w:sz w:val="22"/>
                <w:szCs w:val="22"/>
              </w:rPr>
              <w:t xml:space="preserve"> treatment</w:t>
            </w:r>
          </w:p>
        </w:tc>
        <w:tc>
          <w:tcPr>
            <w:tcW w:w="3143" w:type="dxa"/>
            <w:shd w:val="clear" w:color="auto" w:fill="auto"/>
          </w:tcPr>
          <w:p w14:paraId="5273EF12"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44A773E9"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7.8 months</w:t>
            </w:r>
          </w:p>
        </w:tc>
        <w:tc>
          <w:tcPr>
            <w:tcW w:w="3143" w:type="dxa"/>
            <w:shd w:val="clear" w:color="auto" w:fill="auto"/>
          </w:tcPr>
          <w:p w14:paraId="67167A79" w14:textId="77777777" w:rsidR="001B0787" w:rsidRDefault="001B0787" w:rsidP="0059558F">
            <w:pPr>
              <w:pStyle w:val="BayerBodyTextFull"/>
              <w:keepNext/>
              <w:tabs>
                <w:tab w:val="left" w:pos="567"/>
              </w:tabs>
              <w:spacing w:before="0" w:after="0" w:line="260" w:lineRule="exact"/>
              <w:jc w:val="center"/>
              <w:rPr>
                <w:rFonts w:ascii="Arial" w:hAnsi="Arial" w:cs="Arial"/>
                <w:sz w:val="22"/>
                <w:szCs w:val="22"/>
              </w:rPr>
            </w:pPr>
          </w:p>
          <w:p w14:paraId="64656313" w14:textId="77777777" w:rsidR="001B0787" w:rsidRPr="003A5EE1" w:rsidRDefault="001B0787" w:rsidP="0059558F">
            <w:pPr>
              <w:pStyle w:val="BayerBodyTextFull"/>
              <w:keepNext/>
              <w:tabs>
                <w:tab w:val="left" w:pos="567"/>
              </w:tabs>
              <w:spacing w:before="0" w:after="0" w:line="260" w:lineRule="exact"/>
              <w:jc w:val="center"/>
              <w:rPr>
                <w:rFonts w:ascii="Arial" w:hAnsi="Arial" w:cs="Arial"/>
                <w:sz w:val="22"/>
                <w:szCs w:val="22"/>
              </w:rPr>
            </w:pPr>
            <w:r>
              <w:rPr>
                <w:rFonts w:ascii="Arial" w:hAnsi="Arial" w:cs="Arial"/>
                <w:sz w:val="22"/>
                <w:szCs w:val="22"/>
              </w:rPr>
              <w:t>7.8 months</w:t>
            </w:r>
          </w:p>
        </w:tc>
      </w:tr>
    </w:tbl>
    <w:p w14:paraId="51B2F93B" w14:textId="675FAB09" w:rsidR="00FB4ECA" w:rsidRDefault="00FB4ECA" w:rsidP="00871049">
      <w:pPr>
        <w:rPr>
          <w:rFonts w:ascii="Arial" w:hAnsi="Arial" w:cs="Arial"/>
          <w:sz w:val="22"/>
          <w:szCs w:val="22"/>
        </w:rPr>
      </w:pPr>
    </w:p>
    <w:p w14:paraId="37122EB1" w14:textId="77777777" w:rsidR="00FB4ECA" w:rsidRPr="0006400E" w:rsidRDefault="00FB4ECA" w:rsidP="00FB4ECA">
      <w:pPr>
        <w:rPr>
          <w:rFonts w:ascii="Arial" w:hAnsi="Arial" w:cs="Arial"/>
          <w:sz w:val="22"/>
          <w:szCs w:val="22"/>
        </w:rPr>
      </w:pPr>
      <w:r w:rsidRPr="0006400E">
        <w:rPr>
          <w:rFonts w:ascii="Arial" w:hAnsi="Arial" w:cs="Arial"/>
          <w:sz w:val="22"/>
          <w:szCs w:val="22"/>
        </w:rPr>
        <w:t xml:space="preserve">The median duration of treatment was 3.6 months on </w:t>
      </w:r>
      <w:r>
        <w:rPr>
          <w:rFonts w:ascii="Arial" w:hAnsi="Arial" w:cs="Arial"/>
          <w:sz w:val="22"/>
          <w:szCs w:val="22"/>
        </w:rPr>
        <w:t>STIVARGA</w:t>
      </w:r>
      <w:r w:rsidRPr="0006400E">
        <w:rPr>
          <w:rFonts w:ascii="Arial" w:hAnsi="Arial" w:cs="Arial"/>
          <w:sz w:val="22"/>
          <w:szCs w:val="22"/>
        </w:rPr>
        <w:t xml:space="preserve"> and 1.9 months on placebo.</w:t>
      </w:r>
    </w:p>
    <w:p w14:paraId="4F9606B4" w14:textId="2B4B74D1" w:rsidR="00FB4ECA" w:rsidRDefault="00FB4ECA" w:rsidP="00FB4ECA">
      <w:pPr>
        <w:rPr>
          <w:rFonts w:ascii="Arial" w:hAnsi="Arial" w:cs="Arial"/>
          <w:sz w:val="22"/>
          <w:szCs w:val="22"/>
        </w:rPr>
      </w:pPr>
      <w:r w:rsidRPr="0006400E">
        <w:rPr>
          <w:rFonts w:ascii="Arial" w:hAnsi="Arial" w:cs="Arial"/>
          <w:sz w:val="22"/>
          <w:szCs w:val="22"/>
        </w:rPr>
        <w:t xml:space="preserve">The addition of </w:t>
      </w:r>
      <w:r>
        <w:rPr>
          <w:rFonts w:ascii="Arial" w:hAnsi="Arial" w:cs="Arial"/>
          <w:sz w:val="22"/>
          <w:szCs w:val="22"/>
        </w:rPr>
        <w:t>STIVARGA</w:t>
      </w:r>
      <w:r w:rsidRPr="0006400E">
        <w:rPr>
          <w:rFonts w:ascii="Arial" w:hAnsi="Arial" w:cs="Arial"/>
          <w:sz w:val="22"/>
          <w:szCs w:val="22"/>
        </w:rPr>
        <w:t xml:space="preserve"> to BSC resulted in a significantly </w:t>
      </w:r>
      <w:r>
        <w:rPr>
          <w:rFonts w:ascii="Arial" w:hAnsi="Arial" w:cs="Arial"/>
          <w:sz w:val="22"/>
          <w:szCs w:val="22"/>
        </w:rPr>
        <w:t>longer</w:t>
      </w:r>
      <w:r w:rsidRPr="0006400E">
        <w:rPr>
          <w:rFonts w:ascii="Arial" w:hAnsi="Arial" w:cs="Arial"/>
          <w:sz w:val="22"/>
          <w:szCs w:val="22"/>
        </w:rPr>
        <w:t xml:space="preserve"> overall survival as compared to placebo plus BSC</w:t>
      </w:r>
      <w:r>
        <w:rPr>
          <w:rFonts w:ascii="Arial" w:hAnsi="Arial" w:cs="Arial"/>
          <w:sz w:val="22"/>
          <w:szCs w:val="22"/>
        </w:rPr>
        <w:t xml:space="preserve"> (</w:t>
      </w:r>
      <w:r w:rsidRPr="0006400E">
        <w:rPr>
          <w:rFonts w:ascii="Arial" w:hAnsi="Arial" w:cs="Arial"/>
          <w:sz w:val="22"/>
          <w:szCs w:val="22"/>
        </w:rPr>
        <w:t>p=</w:t>
      </w:r>
      <w:r w:rsidR="00A3266F">
        <w:rPr>
          <w:rFonts w:ascii="Arial" w:hAnsi="Arial" w:cs="Arial"/>
          <w:sz w:val="22"/>
          <w:szCs w:val="22"/>
        </w:rPr>
        <w:t>0.000017</w:t>
      </w:r>
      <w:r w:rsidRPr="0006400E">
        <w:rPr>
          <w:rFonts w:ascii="Arial" w:hAnsi="Arial" w:cs="Arial"/>
          <w:sz w:val="22"/>
          <w:szCs w:val="22"/>
        </w:rPr>
        <w:t>stratified log rank test</w:t>
      </w:r>
      <w:proofErr w:type="gramStart"/>
      <w:r>
        <w:rPr>
          <w:rFonts w:ascii="Arial" w:hAnsi="Arial" w:cs="Arial"/>
          <w:sz w:val="22"/>
          <w:szCs w:val="22"/>
        </w:rPr>
        <w:t>)</w:t>
      </w:r>
      <w:r w:rsidRPr="0006400E">
        <w:rPr>
          <w:rFonts w:ascii="Arial" w:hAnsi="Arial" w:cs="Arial"/>
          <w:sz w:val="22"/>
          <w:szCs w:val="22"/>
        </w:rPr>
        <w:t xml:space="preserve">  with</w:t>
      </w:r>
      <w:proofErr w:type="gramEnd"/>
      <w:r w:rsidRPr="0006400E">
        <w:rPr>
          <w:rFonts w:ascii="Arial" w:hAnsi="Arial" w:cs="Arial"/>
          <w:sz w:val="22"/>
          <w:szCs w:val="22"/>
        </w:rPr>
        <w:t xml:space="preserve"> a hazard ratio of </w:t>
      </w:r>
      <w:r w:rsidR="00A3266F">
        <w:rPr>
          <w:rFonts w:ascii="Arial" w:hAnsi="Arial" w:cs="Arial"/>
          <w:sz w:val="22"/>
          <w:szCs w:val="22"/>
        </w:rPr>
        <w:t xml:space="preserve">0.624 </w:t>
      </w:r>
      <w:r w:rsidRPr="0006400E">
        <w:rPr>
          <w:rFonts w:ascii="Arial" w:hAnsi="Arial" w:cs="Arial"/>
          <w:sz w:val="22"/>
          <w:szCs w:val="22"/>
        </w:rPr>
        <w:t>[95% CI</w:t>
      </w:r>
      <w:r w:rsidR="00A3266F">
        <w:rPr>
          <w:rFonts w:ascii="Arial" w:hAnsi="Arial" w:cs="Arial"/>
          <w:sz w:val="22"/>
          <w:szCs w:val="22"/>
        </w:rPr>
        <w:t>0.498 to 0.782</w:t>
      </w:r>
      <w:r w:rsidRPr="0006400E">
        <w:rPr>
          <w:rFonts w:ascii="Arial" w:hAnsi="Arial" w:cs="Arial"/>
          <w:sz w:val="22"/>
          <w:szCs w:val="22"/>
        </w:rPr>
        <w:t xml:space="preserve">], and a median OS of 10.6 months vs. 7.8 months (see Table </w:t>
      </w:r>
      <w:r w:rsidR="00871049">
        <w:rPr>
          <w:rFonts w:ascii="Arial" w:hAnsi="Arial" w:cs="Arial"/>
          <w:sz w:val="22"/>
          <w:szCs w:val="22"/>
        </w:rPr>
        <w:t>5</w:t>
      </w:r>
      <w:r w:rsidRPr="0006400E">
        <w:rPr>
          <w:rFonts w:ascii="Arial" w:hAnsi="Arial" w:cs="Arial"/>
          <w:sz w:val="22"/>
          <w:szCs w:val="22"/>
        </w:rPr>
        <w:t xml:space="preserve"> and Figure </w:t>
      </w:r>
      <w:r>
        <w:rPr>
          <w:rFonts w:ascii="Arial" w:hAnsi="Arial" w:cs="Arial"/>
          <w:sz w:val="22"/>
          <w:szCs w:val="22"/>
        </w:rPr>
        <w:t>5</w:t>
      </w:r>
      <w:r w:rsidRPr="0006400E">
        <w:rPr>
          <w:rFonts w:ascii="Arial" w:hAnsi="Arial" w:cs="Arial"/>
          <w:sz w:val="22"/>
          <w:szCs w:val="22"/>
        </w:rPr>
        <w:t>).</w:t>
      </w:r>
    </w:p>
    <w:p w14:paraId="498C0F64" w14:textId="77777777" w:rsidR="00FB4ECA" w:rsidRPr="0006400E" w:rsidRDefault="00FB4ECA" w:rsidP="00FB4ECA">
      <w:pPr>
        <w:rPr>
          <w:rFonts w:ascii="Arial" w:hAnsi="Arial" w:cs="Arial"/>
          <w:sz w:val="22"/>
          <w:szCs w:val="22"/>
        </w:rPr>
      </w:pPr>
    </w:p>
    <w:p w14:paraId="1D374DAA" w14:textId="77777777" w:rsidR="00FB4ECA" w:rsidRDefault="00FB4ECA" w:rsidP="00FB4ECA">
      <w:pPr>
        <w:rPr>
          <w:rFonts w:ascii="Arial" w:hAnsi="Arial" w:cs="Arial"/>
          <w:sz w:val="22"/>
          <w:szCs w:val="22"/>
        </w:rPr>
      </w:pPr>
      <w:r w:rsidRPr="0006400E">
        <w:rPr>
          <w:rFonts w:ascii="Arial" w:hAnsi="Arial" w:cs="Arial"/>
          <w:sz w:val="22"/>
          <w:szCs w:val="22"/>
        </w:rPr>
        <w:t xml:space="preserve">The median OS from start of </w:t>
      </w:r>
      <w:proofErr w:type="spellStart"/>
      <w:r w:rsidRPr="0006400E">
        <w:rPr>
          <w:rFonts w:ascii="Arial" w:hAnsi="Arial" w:cs="Arial"/>
          <w:sz w:val="22"/>
          <w:szCs w:val="22"/>
        </w:rPr>
        <w:t>sorafenib</w:t>
      </w:r>
      <w:proofErr w:type="spellEnd"/>
      <w:r w:rsidRPr="0006400E">
        <w:rPr>
          <w:rFonts w:ascii="Arial" w:hAnsi="Arial" w:cs="Arial"/>
          <w:sz w:val="22"/>
          <w:szCs w:val="22"/>
        </w:rPr>
        <w:t xml:space="preserve"> in the </w:t>
      </w:r>
      <w:r>
        <w:rPr>
          <w:rFonts w:ascii="Arial" w:hAnsi="Arial" w:cs="Arial"/>
          <w:sz w:val="22"/>
          <w:szCs w:val="22"/>
        </w:rPr>
        <w:t>STIVARGA</w:t>
      </w:r>
      <w:r w:rsidRPr="0006400E">
        <w:rPr>
          <w:rFonts w:ascii="Arial" w:hAnsi="Arial" w:cs="Arial"/>
          <w:sz w:val="22"/>
          <w:szCs w:val="22"/>
        </w:rPr>
        <w:t xml:space="preserve"> treatment arm was 26.0 months [95% CI 22.6</w:t>
      </w:r>
      <w:r>
        <w:rPr>
          <w:rFonts w:ascii="Arial" w:hAnsi="Arial" w:cs="Arial"/>
          <w:sz w:val="22"/>
          <w:szCs w:val="22"/>
        </w:rPr>
        <w:t xml:space="preserve"> to</w:t>
      </w:r>
      <w:r w:rsidRPr="0006400E">
        <w:rPr>
          <w:rFonts w:ascii="Arial" w:hAnsi="Arial" w:cs="Arial"/>
          <w:sz w:val="22"/>
          <w:szCs w:val="22"/>
        </w:rPr>
        <w:t xml:space="preserve"> 28.1] and 19.2 months [95% CI 16.0</w:t>
      </w:r>
      <w:r>
        <w:rPr>
          <w:rFonts w:ascii="Arial" w:hAnsi="Arial" w:cs="Arial"/>
          <w:sz w:val="22"/>
          <w:szCs w:val="22"/>
        </w:rPr>
        <w:t xml:space="preserve"> to</w:t>
      </w:r>
      <w:r w:rsidRPr="0006400E">
        <w:rPr>
          <w:rFonts w:ascii="Arial" w:hAnsi="Arial" w:cs="Arial"/>
          <w:sz w:val="22"/>
          <w:szCs w:val="22"/>
        </w:rPr>
        <w:t xml:space="preserve"> 22.8] in the placebo arm.</w:t>
      </w:r>
    </w:p>
    <w:p w14:paraId="6DAB4088" w14:textId="77777777" w:rsidR="00FB4ECA" w:rsidRPr="0006400E" w:rsidRDefault="00FB4ECA" w:rsidP="00FB4ECA">
      <w:pPr>
        <w:rPr>
          <w:rFonts w:ascii="Arial" w:hAnsi="Arial" w:cs="Arial"/>
          <w:sz w:val="22"/>
          <w:szCs w:val="22"/>
        </w:rPr>
      </w:pPr>
    </w:p>
    <w:p w14:paraId="5DD79013" w14:textId="61EF7DD1" w:rsidR="00FB4ECA" w:rsidRDefault="00FB4ECA" w:rsidP="00F4557E">
      <w:pPr>
        <w:keepLines/>
        <w:rPr>
          <w:rFonts w:ascii="Arial" w:hAnsi="Arial" w:cs="Arial"/>
          <w:sz w:val="22"/>
          <w:szCs w:val="22"/>
        </w:rPr>
      </w:pPr>
      <w:r w:rsidRPr="0006400E">
        <w:rPr>
          <w:rFonts w:ascii="Arial" w:hAnsi="Arial" w:cs="Arial"/>
          <w:sz w:val="22"/>
          <w:szCs w:val="22"/>
        </w:rPr>
        <w:t xml:space="preserve">PFS was significantly better in patients receiving </w:t>
      </w:r>
      <w:r>
        <w:rPr>
          <w:rFonts w:ascii="Arial" w:hAnsi="Arial" w:cs="Arial"/>
          <w:sz w:val="22"/>
          <w:szCs w:val="22"/>
        </w:rPr>
        <w:t>STIVARGA</w:t>
      </w:r>
      <w:r w:rsidRPr="0006400E">
        <w:rPr>
          <w:rFonts w:ascii="Arial" w:hAnsi="Arial" w:cs="Arial"/>
          <w:sz w:val="22"/>
          <w:szCs w:val="22"/>
        </w:rPr>
        <w:t xml:space="preserve"> plus BSC, than in patients receiving placebo plus BSC </w:t>
      </w:r>
      <w:r>
        <w:rPr>
          <w:rFonts w:ascii="Arial" w:hAnsi="Arial" w:cs="Arial"/>
          <w:sz w:val="22"/>
          <w:szCs w:val="22"/>
        </w:rPr>
        <w:t>(</w:t>
      </w:r>
      <w:r w:rsidRPr="0093044B">
        <w:rPr>
          <w:rFonts w:ascii="Arial" w:hAnsi="Arial" w:cs="Arial"/>
          <w:sz w:val="22"/>
          <w:szCs w:val="22"/>
        </w:rPr>
        <w:t>p&lt;0.000001 stratified log rank test</w:t>
      </w:r>
      <w:r>
        <w:rPr>
          <w:rFonts w:ascii="Arial" w:hAnsi="Arial" w:cs="Arial"/>
          <w:sz w:val="22"/>
          <w:szCs w:val="22"/>
        </w:rPr>
        <w:t>)</w:t>
      </w:r>
      <w:r w:rsidRPr="0093044B">
        <w:rPr>
          <w:rFonts w:ascii="Arial" w:hAnsi="Arial" w:cs="Arial"/>
          <w:sz w:val="22"/>
          <w:szCs w:val="22"/>
        </w:rPr>
        <w:t xml:space="preserve"> </w:t>
      </w:r>
      <w:r w:rsidRPr="0006400E">
        <w:rPr>
          <w:rFonts w:ascii="Arial" w:hAnsi="Arial" w:cs="Arial"/>
          <w:sz w:val="22"/>
          <w:szCs w:val="22"/>
        </w:rPr>
        <w:t xml:space="preserve">with a hazard ratio of </w:t>
      </w:r>
      <w:r w:rsidR="0073590C">
        <w:rPr>
          <w:rFonts w:ascii="Arial" w:hAnsi="Arial" w:cs="Arial"/>
          <w:sz w:val="22"/>
          <w:szCs w:val="22"/>
        </w:rPr>
        <w:t>0.453</w:t>
      </w:r>
      <w:r w:rsidRPr="0006400E">
        <w:rPr>
          <w:rFonts w:ascii="Arial" w:hAnsi="Arial" w:cs="Arial"/>
          <w:sz w:val="22"/>
          <w:szCs w:val="22"/>
        </w:rPr>
        <w:t xml:space="preserve"> [95% CI</w:t>
      </w:r>
      <w:r w:rsidR="0073590C">
        <w:rPr>
          <w:rFonts w:ascii="Arial" w:hAnsi="Arial" w:cs="Arial"/>
          <w:sz w:val="22"/>
          <w:szCs w:val="22"/>
        </w:rPr>
        <w:t>0.369 to 0.555</w:t>
      </w:r>
      <w:r w:rsidRPr="0006400E">
        <w:rPr>
          <w:rFonts w:ascii="Arial" w:hAnsi="Arial" w:cs="Arial"/>
          <w:sz w:val="22"/>
          <w:szCs w:val="22"/>
        </w:rPr>
        <w:t xml:space="preserve">], and a median PFS of 3.1 months vs. 1.5 months (see Table </w:t>
      </w:r>
      <w:r w:rsidR="00871049">
        <w:rPr>
          <w:rFonts w:ascii="Arial" w:hAnsi="Arial" w:cs="Arial"/>
          <w:sz w:val="22"/>
          <w:szCs w:val="22"/>
        </w:rPr>
        <w:t>5</w:t>
      </w:r>
      <w:r w:rsidRPr="0006400E">
        <w:rPr>
          <w:rFonts w:ascii="Arial" w:hAnsi="Arial" w:cs="Arial"/>
          <w:sz w:val="22"/>
          <w:szCs w:val="22"/>
        </w:rPr>
        <w:t xml:space="preserve"> and Figure </w:t>
      </w:r>
      <w:r w:rsidR="00871049">
        <w:rPr>
          <w:rFonts w:ascii="Arial" w:hAnsi="Arial" w:cs="Arial"/>
          <w:sz w:val="22"/>
          <w:szCs w:val="22"/>
        </w:rPr>
        <w:t>5</w:t>
      </w:r>
      <w:r w:rsidRPr="0006400E">
        <w:rPr>
          <w:rFonts w:ascii="Arial" w:hAnsi="Arial" w:cs="Arial"/>
          <w:sz w:val="22"/>
          <w:szCs w:val="22"/>
        </w:rPr>
        <w:t>).</w:t>
      </w:r>
    </w:p>
    <w:p w14:paraId="31BF0DAF" w14:textId="77777777" w:rsidR="00FB4ECA" w:rsidRPr="0006400E" w:rsidRDefault="00FB4ECA" w:rsidP="00FB4ECA">
      <w:pPr>
        <w:rPr>
          <w:rFonts w:ascii="Arial" w:hAnsi="Arial" w:cs="Arial"/>
          <w:sz w:val="22"/>
          <w:szCs w:val="22"/>
        </w:rPr>
      </w:pPr>
    </w:p>
    <w:p w14:paraId="097CB1D1" w14:textId="06CC9E47" w:rsidR="00FB4ECA" w:rsidRPr="0006400E" w:rsidRDefault="00FB4ECA" w:rsidP="00FB4ECA">
      <w:pPr>
        <w:rPr>
          <w:rFonts w:ascii="Arial" w:hAnsi="Arial" w:cs="Arial"/>
          <w:sz w:val="22"/>
          <w:szCs w:val="22"/>
        </w:rPr>
      </w:pPr>
      <w:r w:rsidRPr="0006400E">
        <w:rPr>
          <w:rFonts w:ascii="Arial" w:hAnsi="Arial" w:cs="Arial"/>
          <w:sz w:val="22"/>
          <w:szCs w:val="22"/>
        </w:rPr>
        <w:t xml:space="preserve">TTP was significantly better in patients receiving </w:t>
      </w:r>
      <w:r>
        <w:rPr>
          <w:rFonts w:ascii="Arial" w:hAnsi="Arial" w:cs="Arial"/>
          <w:sz w:val="22"/>
          <w:szCs w:val="22"/>
        </w:rPr>
        <w:t>STIVARGA</w:t>
      </w:r>
      <w:r w:rsidRPr="0006400E">
        <w:rPr>
          <w:rFonts w:ascii="Arial" w:hAnsi="Arial" w:cs="Arial"/>
          <w:sz w:val="22"/>
          <w:szCs w:val="22"/>
        </w:rPr>
        <w:t xml:space="preserve"> plus BSC, than in patients receiving placebo plus BSC </w:t>
      </w:r>
      <w:r>
        <w:rPr>
          <w:rFonts w:ascii="Arial" w:hAnsi="Arial" w:cs="Arial"/>
          <w:sz w:val="22"/>
          <w:szCs w:val="22"/>
        </w:rPr>
        <w:t>(</w:t>
      </w:r>
      <w:r w:rsidRPr="0093044B">
        <w:rPr>
          <w:rFonts w:ascii="Arial" w:hAnsi="Arial" w:cs="Arial"/>
          <w:sz w:val="22"/>
          <w:szCs w:val="22"/>
        </w:rPr>
        <w:t>p&lt;0.000001 stratified log rank test</w:t>
      </w:r>
      <w:r>
        <w:rPr>
          <w:rFonts w:ascii="Arial" w:hAnsi="Arial" w:cs="Arial"/>
          <w:sz w:val="22"/>
          <w:szCs w:val="22"/>
        </w:rPr>
        <w:t>)</w:t>
      </w:r>
      <w:r w:rsidRPr="0093044B">
        <w:rPr>
          <w:rFonts w:ascii="Arial" w:hAnsi="Arial" w:cs="Arial"/>
          <w:sz w:val="22"/>
          <w:szCs w:val="22"/>
        </w:rPr>
        <w:t xml:space="preserve"> </w:t>
      </w:r>
      <w:r w:rsidRPr="0006400E">
        <w:rPr>
          <w:rFonts w:ascii="Arial" w:hAnsi="Arial" w:cs="Arial"/>
          <w:sz w:val="22"/>
          <w:szCs w:val="22"/>
        </w:rPr>
        <w:t xml:space="preserve">with a hazard ratio of </w:t>
      </w:r>
      <w:r w:rsidR="0073590C">
        <w:rPr>
          <w:rFonts w:ascii="Arial" w:hAnsi="Arial" w:cs="Arial"/>
          <w:sz w:val="22"/>
          <w:szCs w:val="22"/>
        </w:rPr>
        <w:t>0.439</w:t>
      </w:r>
      <w:r w:rsidRPr="0006400E">
        <w:rPr>
          <w:rFonts w:ascii="Arial" w:hAnsi="Arial" w:cs="Arial"/>
          <w:sz w:val="22"/>
          <w:szCs w:val="22"/>
        </w:rPr>
        <w:t>[95% CI</w:t>
      </w:r>
      <w:r w:rsidR="0073590C">
        <w:rPr>
          <w:rFonts w:ascii="Arial" w:hAnsi="Arial" w:cs="Arial"/>
          <w:sz w:val="22"/>
          <w:szCs w:val="22"/>
        </w:rPr>
        <w:t>0.355 to 0.542</w:t>
      </w:r>
      <w:r w:rsidRPr="0006400E">
        <w:rPr>
          <w:rFonts w:ascii="Arial" w:hAnsi="Arial" w:cs="Arial"/>
          <w:sz w:val="22"/>
          <w:szCs w:val="22"/>
        </w:rPr>
        <w:t xml:space="preserve">], and a median TTP of 3.2 months vs. 1.5 months (see Table </w:t>
      </w:r>
      <w:r w:rsidR="00871049">
        <w:rPr>
          <w:rFonts w:ascii="Arial" w:hAnsi="Arial" w:cs="Arial"/>
          <w:sz w:val="22"/>
          <w:szCs w:val="22"/>
        </w:rPr>
        <w:t>5</w:t>
      </w:r>
      <w:r w:rsidRPr="0006400E">
        <w:rPr>
          <w:rFonts w:ascii="Arial" w:hAnsi="Arial" w:cs="Arial"/>
          <w:sz w:val="22"/>
          <w:szCs w:val="22"/>
        </w:rPr>
        <w:t>).</w:t>
      </w:r>
    </w:p>
    <w:p w14:paraId="0FBE5E18" w14:textId="77777777" w:rsidR="00FB4ECA" w:rsidRDefault="00FB4ECA" w:rsidP="00FB4ECA">
      <w:pPr>
        <w:rPr>
          <w:rFonts w:ascii="Arial" w:hAnsi="Arial" w:cs="Arial"/>
          <w:sz w:val="22"/>
          <w:szCs w:val="22"/>
        </w:rPr>
      </w:pPr>
      <w:r w:rsidRPr="0006400E">
        <w:rPr>
          <w:rFonts w:ascii="Arial" w:hAnsi="Arial" w:cs="Arial"/>
          <w:sz w:val="22"/>
          <w:szCs w:val="22"/>
        </w:rPr>
        <w:t>OS, PFS and TTP advantages were consistent across all subsets analy</w:t>
      </w:r>
      <w:r>
        <w:rPr>
          <w:rFonts w:ascii="Arial" w:hAnsi="Arial" w:cs="Arial"/>
          <w:sz w:val="22"/>
          <w:szCs w:val="22"/>
        </w:rPr>
        <w:t>s</w:t>
      </w:r>
      <w:r w:rsidRPr="0006400E">
        <w:rPr>
          <w:rFonts w:ascii="Arial" w:hAnsi="Arial" w:cs="Arial"/>
          <w:sz w:val="22"/>
          <w:szCs w:val="22"/>
        </w:rPr>
        <w:t>ed.</w:t>
      </w:r>
    </w:p>
    <w:p w14:paraId="152C76EB" w14:textId="77777777" w:rsidR="00FB4ECA" w:rsidRPr="0006400E" w:rsidRDefault="00FB4ECA" w:rsidP="00FB4ECA">
      <w:pPr>
        <w:rPr>
          <w:rFonts w:ascii="Arial" w:hAnsi="Arial" w:cs="Arial"/>
          <w:sz w:val="22"/>
          <w:szCs w:val="22"/>
        </w:rPr>
      </w:pPr>
    </w:p>
    <w:p w14:paraId="65DAD1B0" w14:textId="72E0D04C" w:rsidR="00FB4ECA" w:rsidRDefault="00FB4ECA" w:rsidP="00FB4ECA">
      <w:pPr>
        <w:rPr>
          <w:rFonts w:ascii="Arial" w:hAnsi="Arial" w:cs="Arial"/>
          <w:sz w:val="22"/>
          <w:szCs w:val="22"/>
        </w:rPr>
      </w:pPr>
      <w:r w:rsidRPr="0006400E">
        <w:rPr>
          <w:rFonts w:ascii="Arial" w:hAnsi="Arial" w:cs="Arial"/>
          <w:sz w:val="22"/>
          <w:szCs w:val="22"/>
        </w:rPr>
        <w:t xml:space="preserve">The response rate (complete response or partial response) was 11% for </w:t>
      </w:r>
      <w:r>
        <w:rPr>
          <w:rFonts w:ascii="Arial" w:hAnsi="Arial" w:cs="Arial"/>
          <w:sz w:val="22"/>
          <w:szCs w:val="22"/>
        </w:rPr>
        <w:t>STIVARGA</w:t>
      </w:r>
      <w:r w:rsidRPr="0006400E">
        <w:rPr>
          <w:rFonts w:ascii="Arial" w:hAnsi="Arial" w:cs="Arial"/>
          <w:sz w:val="22"/>
          <w:szCs w:val="22"/>
        </w:rPr>
        <w:t xml:space="preserve"> and 4% for placebo treated patients (p=</w:t>
      </w:r>
      <w:r w:rsidR="0073590C">
        <w:rPr>
          <w:rFonts w:ascii="Arial" w:hAnsi="Arial" w:cs="Arial"/>
          <w:sz w:val="22"/>
          <w:szCs w:val="22"/>
        </w:rPr>
        <w:t>0.003650</w:t>
      </w:r>
      <w:r w:rsidRPr="0006400E">
        <w:rPr>
          <w:rFonts w:ascii="Arial" w:hAnsi="Arial" w:cs="Arial"/>
          <w:sz w:val="22"/>
          <w:szCs w:val="22"/>
        </w:rPr>
        <w:t xml:space="preserve">). The disease control rate (complete response, partial response and stable disease maintained for 6 weeks) was significantly higher in patients treated with </w:t>
      </w:r>
      <w:r>
        <w:rPr>
          <w:rFonts w:ascii="Arial" w:hAnsi="Arial" w:cs="Arial"/>
          <w:sz w:val="22"/>
          <w:szCs w:val="22"/>
        </w:rPr>
        <w:t>STIVARGA</w:t>
      </w:r>
      <w:r w:rsidRPr="0006400E">
        <w:rPr>
          <w:rFonts w:ascii="Arial" w:hAnsi="Arial" w:cs="Arial"/>
          <w:sz w:val="22"/>
          <w:szCs w:val="22"/>
        </w:rPr>
        <w:t xml:space="preserve"> (65% vs. 36%, p&lt;0.000001).</w:t>
      </w:r>
    </w:p>
    <w:p w14:paraId="16AB2F3F" w14:textId="77777777" w:rsidR="00FB4ECA" w:rsidRPr="0006400E" w:rsidRDefault="00FB4ECA" w:rsidP="00FB4ECA">
      <w:pPr>
        <w:rPr>
          <w:rFonts w:ascii="Arial" w:hAnsi="Arial" w:cs="Arial"/>
          <w:sz w:val="22"/>
          <w:szCs w:val="22"/>
        </w:rPr>
      </w:pPr>
    </w:p>
    <w:p w14:paraId="7C64A7C3" w14:textId="1852E6CA" w:rsidR="00FB4ECA" w:rsidRDefault="00FB4ECA" w:rsidP="00FB4ECA">
      <w:pPr>
        <w:rPr>
          <w:rFonts w:ascii="Arial" w:hAnsi="Arial" w:cs="Arial"/>
          <w:sz w:val="22"/>
          <w:szCs w:val="22"/>
        </w:rPr>
      </w:pPr>
      <w:r w:rsidRPr="0006400E">
        <w:rPr>
          <w:rFonts w:ascii="Arial" w:hAnsi="Arial" w:cs="Arial"/>
          <w:sz w:val="22"/>
          <w:szCs w:val="22"/>
        </w:rPr>
        <w:t xml:space="preserve">Patients’ health-related quality-of-life and health utility values were measured with FACT-Hepatobiliary (FACT-HEP) and EQ-5D questionnaires, respectively. There was no clinically meaningful difference between </w:t>
      </w:r>
      <w:r>
        <w:rPr>
          <w:rFonts w:ascii="Arial" w:hAnsi="Arial" w:cs="Arial"/>
          <w:sz w:val="22"/>
          <w:szCs w:val="22"/>
        </w:rPr>
        <w:t>STIVARGA</w:t>
      </w:r>
      <w:r w:rsidRPr="0006400E">
        <w:rPr>
          <w:rFonts w:ascii="Arial" w:hAnsi="Arial" w:cs="Arial"/>
          <w:sz w:val="22"/>
          <w:szCs w:val="22"/>
        </w:rPr>
        <w:t xml:space="preserve"> and placebo as measured by FACT-HEP total score, EQ-5D index score and EQ-5D VAS.</w:t>
      </w:r>
    </w:p>
    <w:p w14:paraId="3C84DC66" w14:textId="77777777" w:rsidR="00FB4ECA" w:rsidRDefault="00FB4ECA" w:rsidP="00FB4ECA">
      <w:pPr>
        <w:rPr>
          <w:rFonts w:ascii="Arial" w:hAnsi="Arial" w:cs="Arial"/>
          <w:sz w:val="22"/>
          <w:szCs w:val="22"/>
        </w:rPr>
      </w:pPr>
    </w:p>
    <w:p w14:paraId="500818EF" w14:textId="6F18C073" w:rsidR="00FB4ECA" w:rsidRPr="003A5EE1" w:rsidRDefault="00FB4ECA" w:rsidP="00FB4ECA">
      <w:pPr>
        <w:pStyle w:val="Caption"/>
        <w:keepNext/>
        <w:rPr>
          <w:rFonts w:ascii="Arial" w:hAnsi="Arial" w:cs="Arial"/>
          <w:sz w:val="22"/>
          <w:szCs w:val="22"/>
        </w:rPr>
      </w:pPr>
      <w:r w:rsidRPr="003A5EE1">
        <w:rPr>
          <w:rFonts w:ascii="Arial" w:hAnsi="Arial" w:cs="Arial"/>
          <w:sz w:val="22"/>
          <w:szCs w:val="22"/>
        </w:rPr>
        <w:t xml:space="preserve">Table </w:t>
      </w:r>
      <w:r w:rsidR="00871049">
        <w:rPr>
          <w:rFonts w:ascii="Arial" w:hAnsi="Arial" w:cs="Arial"/>
          <w:sz w:val="22"/>
          <w:szCs w:val="22"/>
        </w:rPr>
        <w:t>5</w:t>
      </w:r>
      <w:r w:rsidRPr="003A5EE1">
        <w:rPr>
          <w:rFonts w:ascii="Arial" w:hAnsi="Arial" w:cs="Arial"/>
          <w:sz w:val="22"/>
          <w:szCs w:val="22"/>
        </w:rPr>
        <w:t xml:space="preserve">: Efficacy results from the </w:t>
      </w:r>
      <w:r w:rsidRPr="00673D58">
        <w:rPr>
          <w:rFonts w:ascii="Arial" w:hAnsi="Arial" w:cs="Arial"/>
          <w:sz w:val="22"/>
          <w:szCs w:val="22"/>
        </w:rPr>
        <w:t>RESORCE</w:t>
      </w:r>
      <w:r w:rsidRPr="003A5EE1">
        <w:rPr>
          <w:rFonts w:ascii="Arial" w:hAnsi="Arial" w:cs="Arial"/>
          <w:sz w:val="22"/>
          <w:szCs w:val="22"/>
        </w:rPr>
        <w:t xml:space="preserve"> study</w:t>
      </w:r>
    </w:p>
    <w:p w14:paraId="61B16788" w14:textId="77777777" w:rsidR="00FB4ECA" w:rsidRPr="001F55B3" w:rsidRDefault="00FB4ECA" w:rsidP="00FB4ECA">
      <w:pPr>
        <w:keepNex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076"/>
        <w:gridCol w:w="1866"/>
        <w:gridCol w:w="1872"/>
        <w:gridCol w:w="1857"/>
      </w:tblGrid>
      <w:tr w:rsidR="00FB4ECA" w:rsidRPr="001F55B3" w14:paraId="3F2FDEA6" w14:textId="77777777" w:rsidTr="00D93840">
        <w:trPr>
          <w:trHeight w:val="468"/>
        </w:trPr>
        <w:tc>
          <w:tcPr>
            <w:tcW w:w="1922" w:type="dxa"/>
            <w:vMerge w:val="restart"/>
            <w:shd w:val="clear" w:color="auto" w:fill="auto"/>
            <w:vAlign w:val="center"/>
          </w:tcPr>
          <w:p w14:paraId="6DDDBD05" w14:textId="77777777" w:rsidR="00FB4ECA" w:rsidRPr="00F65B34" w:rsidRDefault="00FB4ECA" w:rsidP="00D93840">
            <w:pPr>
              <w:pStyle w:val="BayerTableColumnHeadings"/>
              <w:keepNext/>
              <w:rPr>
                <w:rFonts w:ascii="Arial" w:hAnsi="Arial" w:cs="Arial"/>
                <w:szCs w:val="22"/>
              </w:rPr>
            </w:pPr>
            <w:r w:rsidRPr="00F65B34">
              <w:rPr>
                <w:rFonts w:ascii="Arial" w:hAnsi="Arial" w:cs="Arial"/>
                <w:szCs w:val="22"/>
              </w:rPr>
              <w:t>Efficacy parameter</w:t>
            </w:r>
          </w:p>
        </w:tc>
        <w:tc>
          <w:tcPr>
            <w:tcW w:w="1908" w:type="dxa"/>
            <w:vMerge w:val="restart"/>
            <w:shd w:val="clear" w:color="auto" w:fill="auto"/>
            <w:vAlign w:val="center"/>
          </w:tcPr>
          <w:p w14:paraId="6EA9693E" w14:textId="77777777" w:rsidR="00FB4ECA" w:rsidRPr="00F65B34" w:rsidRDefault="00FB4ECA" w:rsidP="00D93840">
            <w:pPr>
              <w:pStyle w:val="BayerTableColumnHeadings"/>
              <w:keepNext/>
              <w:rPr>
                <w:rFonts w:ascii="Arial" w:hAnsi="Arial" w:cs="Arial"/>
                <w:szCs w:val="22"/>
              </w:rPr>
            </w:pPr>
            <w:r w:rsidRPr="00F65B34">
              <w:rPr>
                <w:rFonts w:ascii="Arial" w:hAnsi="Arial" w:cs="Arial"/>
                <w:szCs w:val="22"/>
              </w:rPr>
              <w:t>Hazard Ratio* (95% CI)</w:t>
            </w:r>
          </w:p>
        </w:tc>
        <w:tc>
          <w:tcPr>
            <w:tcW w:w="1908" w:type="dxa"/>
            <w:vMerge w:val="restart"/>
            <w:shd w:val="clear" w:color="auto" w:fill="auto"/>
            <w:vAlign w:val="center"/>
          </w:tcPr>
          <w:p w14:paraId="74375619" w14:textId="77777777" w:rsidR="00FB4ECA" w:rsidRPr="00F65B34" w:rsidRDefault="00FB4ECA" w:rsidP="00D93840">
            <w:pPr>
              <w:pStyle w:val="BayerTableColumnHeadings"/>
              <w:keepNext/>
              <w:rPr>
                <w:rFonts w:ascii="Arial" w:hAnsi="Arial" w:cs="Arial"/>
                <w:szCs w:val="22"/>
              </w:rPr>
            </w:pPr>
            <w:r w:rsidRPr="00F65B34">
              <w:rPr>
                <w:rFonts w:ascii="Arial" w:hAnsi="Arial" w:cs="Arial"/>
                <w:szCs w:val="22"/>
              </w:rPr>
              <w:t>P-value</w:t>
            </w:r>
          </w:p>
          <w:p w14:paraId="09EEF08D" w14:textId="77777777" w:rsidR="00FB4ECA" w:rsidRPr="003A5EE1" w:rsidRDefault="00FB4ECA" w:rsidP="00D93840">
            <w:pPr>
              <w:pStyle w:val="BayerTableColumnHeadings"/>
              <w:keepNext/>
              <w:rPr>
                <w:rFonts w:ascii="Arial" w:hAnsi="Arial" w:cs="Arial"/>
                <w:szCs w:val="22"/>
              </w:rPr>
            </w:pPr>
            <w:r w:rsidRPr="00F65B34">
              <w:rPr>
                <w:rFonts w:ascii="Arial" w:hAnsi="Arial" w:cs="Arial"/>
                <w:szCs w:val="22"/>
              </w:rPr>
              <w:t>(one-sided)</w:t>
            </w:r>
          </w:p>
        </w:tc>
        <w:tc>
          <w:tcPr>
            <w:tcW w:w="3820" w:type="dxa"/>
            <w:gridSpan w:val="2"/>
            <w:shd w:val="clear" w:color="auto" w:fill="auto"/>
            <w:vAlign w:val="center"/>
          </w:tcPr>
          <w:p w14:paraId="2E8F0141" w14:textId="77777777" w:rsidR="00FB4ECA" w:rsidRPr="00D96FE5" w:rsidRDefault="00FB4ECA" w:rsidP="00D93840">
            <w:pPr>
              <w:pStyle w:val="BayerTableColumnHeadings"/>
              <w:keepNext/>
              <w:rPr>
                <w:rFonts w:ascii="Arial" w:hAnsi="Arial" w:cs="Arial"/>
                <w:szCs w:val="22"/>
              </w:rPr>
            </w:pPr>
            <w:r w:rsidRPr="00D96FE5">
              <w:rPr>
                <w:rFonts w:ascii="Arial" w:hAnsi="Arial" w:cs="Arial"/>
                <w:szCs w:val="22"/>
              </w:rPr>
              <w:t>Median (95% CI)</w:t>
            </w:r>
          </w:p>
        </w:tc>
      </w:tr>
      <w:tr w:rsidR="00FB4ECA" w:rsidRPr="001F55B3" w14:paraId="78302A35" w14:textId="77777777" w:rsidTr="00D93840">
        <w:tc>
          <w:tcPr>
            <w:tcW w:w="1922" w:type="dxa"/>
            <w:vMerge/>
            <w:shd w:val="clear" w:color="auto" w:fill="auto"/>
          </w:tcPr>
          <w:p w14:paraId="2A7D5D73" w14:textId="77777777" w:rsidR="00FB4ECA" w:rsidRPr="00992991" w:rsidRDefault="00FB4ECA" w:rsidP="00D93840">
            <w:pPr>
              <w:pStyle w:val="BayerTableColumnHeadings"/>
              <w:keepNext/>
              <w:rPr>
                <w:rFonts w:ascii="Arial" w:hAnsi="Arial" w:cs="Arial"/>
                <w:szCs w:val="22"/>
              </w:rPr>
            </w:pPr>
          </w:p>
        </w:tc>
        <w:tc>
          <w:tcPr>
            <w:tcW w:w="1908" w:type="dxa"/>
            <w:vMerge/>
            <w:shd w:val="clear" w:color="auto" w:fill="auto"/>
          </w:tcPr>
          <w:p w14:paraId="2676C1C5" w14:textId="77777777" w:rsidR="00FB4ECA" w:rsidRPr="00992991" w:rsidRDefault="00FB4ECA" w:rsidP="00D93840">
            <w:pPr>
              <w:pStyle w:val="BayerTableColumnHeadings"/>
              <w:keepNext/>
              <w:rPr>
                <w:rFonts w:ascii="Arial" w:hAnsi="Arial" w:cs="Arial"/>
                <w:szCs w:val="22"/>
              </w:rPr>
            </w:pPr>
          </w:p>
        </w:tc>
        <w:tc>
          <w:tcPr>
            <w:tcW w:w="1908" w:type="dxa"/>
            <w:vMerge/>
          </w:tcPr>
          <w:p w14:paraId="34F476DD" w14:textId="77777777" w:rsidR="00FB4ECA" w:rsidRPr="00992991" w:rsidRDefault="00FB4ECA" w:rsidP="00D93840">
            <w:pPr>
              <w:pStyle w:val="BayerTableColumnHeadings"/>
              <w:keepNext/>
              <w:rPr>
                <w:rFonts w:ascii="Arial" w:hAnsi="Arial" w:cs="Arial"/>
                <w:szCs w:val="22"/>
              </w:rPr>
            </w:pPr>
          </w:p>
        </w:tc>
        <w:tc>
          <w:tcPr>
            <w:tcW w:w="1908" w:type="dxa"/>
            <w:shd w:val="clear" w:color="auto" w:fill="auto"/>
          </w:tcPr>
          <w:p w14:paraId="2180BD06" w14:textId="77777777" w:rsidR="00FB4ECA" w:rsidRPr="00992991" w:rsidRDefault="00FB4ECA" w:rsidP="00D93840">
            <w:pPr>
              <w:pStyle w:val="BayerTableColumnHeadings"/>
              <w:keepNext/>
              <w:rPr>
                <w:rFonts w:ascii="Arial" w:hAnsi="Arial" w:cs="Arial"/>
                <w:szCs w:val="22"/>
              </w:rPr>
            </w:pPr>
            <w:r>
              <w:rPr>
                <w:rFonts w:ascii="Arial" w:hAnsi="Arial" w:cs="Arial"/>
                <w:szCs w:val="22"/>
              </w:rPr>
              <w:t xml:space="preserve">STIVARGA </w:t>
            </w:r>
            <w:r w:rsidRPr="00992991">
              <w:rPr>
                <w:rFonts w:ascii="Arial" w:hAnsi="Arial" w:cs="Arial"/>
                <w:szCs w:val="22"/>
              </w:rPr>
              <w:t>plus BSC</w:t>
            </w:r>
            <w:r w:rsidRPr="00805466">
              <w:rPr>
                <w:rFonts w:ascii="Arial Bold" w:hAnsi="Arial Bold" w:cs="Arial"/>
                <w:szCs w:val="22"/>
                <w:vertAlign w:val="superscript"/>
              </w:rPr>
              <w:t>§</w:t>
            </w:r>
          </w:p>
          <w:p w14:paraId="62E0669F" w14:textId="77777777" w:rsidR="00FB4ECA" w:rsidRPr="00992991" w:rsidRDefault="00FB4ECA" w:rsidP="00D93840">
            <w:pPr>
              <w:pStyle w:val="BayerTableColumnHeadings"/>
              <w:keepNext/>
              <w:rPr>
                <w:rFonts w:ascii="Arial" w:hAnsi="Arial" w:cs="Arial"/>
                <w:szCs w:val="22"/>
              </w:rPr>
            </w:pPr>
            <w:r w:rsidRPr="00992991">
              <w:rPr>
                <w:rFonts w:ascii="Arial" w:hAnsi="Arial" w:cs="Arial"/>
                <w:szCs w:val="22"/>
              </w:rPr>
              <w:t>(</w:t>
            </w:r>
            <w:r w:rsidRPr="00673D58">
              <w:rPr>
                <w:rFonts w:ascii="Arial" w:hAnsi="Arial" w:cs="Arial"/>
                <w:szCs w:val="22"/>
              </w:rPr>
              <w:t>N=379</w:t>
            </w:r>
            <w:r w:rsidRPr="00992991">
              <w:rPr>
                <w:rFonts w:ascii="Arial" w:hAnsi="Arial" w:cs="Arial"/>
                <w:szCs w:val="22"/>
              </w:rPr>
              <w:t>)</w:t>
            </w:r>
          </w:p>
        </w:tc>
        <w:tc>
          <w:tcPr>
            <w:tcW w:w="1912" w:type="dxa"/>
            <w:shd w:val="clear" w:color="auto" w:fill="auto"/>
          </w:tcPr>
          <w:p w14:paraId="55CDBAA0" w14:textId="77777777" w:rsidR="00FB4ECA" w:rsidRPr="00992991" w:rsidRDefault="00FB4ECA" w:rsidP="00D93840">
            <w:pPr>
              <w:pStyle w:val="BayerTableColumnHeadings"/>
              <w:keepNext/>
              <w:rPr>
                <w:rFonts w:ascii="Arial" w:hAnsi="Arial" w:cs="Arial"/>
                <w:szCs w:val="22"/>
              </w:rPr>
            </w:pPr>
            <w:r w:rsidRPr="00992991">
              <w:rPr>
                <w:rFonts w:ascii="Arial" w:hAnsi="Arial" w:cs="Arial"/>
                <w:szCs w:val="22"/>
              </w:rPr>
              <w:t>Placebo plus BSC</w:t>
            </w:r>
            <w:r w:rsidRPr="00805466">
              <w:rPr>
                <w:rFonts w:ascii="Arial Bold" w:hAnsi="Arial Bold" w:cs="Arial"/>
                <w:szCs w:val="22"/>
                <w:vertAlign w:val="superscript"/>
              </w:rPr>
              <w:t>§</w:t>
            </w:r>
          </w:p>
          <w:p w14:paraId="507D764C" w14:textId="77777777" w:rsidR="00FB4ECA" w:rsidRPr="00992991" w:rsidRDefault="00FB4ECA" w:rsidP="00D93840">
            <w:pPr>
              <w:pStyle w:val="BayerTableColumnHeadings"/>
              <w:keepNext/>
              <w:rPr>
                <w:rFonts w:ascii="Arial" w:hAnsi="Arial" w:cs="Arial"/>
                <w:szCs w:val="22"/>
              </w:rPr>
            </w:pPr>
            <w:r w:rsidRPr="00992991">
              <w:rPr>
                <w:rFonts w:ascii="Arial" w:hAnsi="Arial" w:cs="Arial"/>
                <w:szCs w:val="22"/>
              </w:rPr>
              <w:t>(</w:t>
            </w:r>
            <w:r w:rsidRPr="00673D58">
              <w:rPr>
                <w:rFonts w:ascii="Arial" w:hAnsi="Arial" w:cs="Arial"/>
                <w:szCs w:val="22"/>
              </w:rPr>
              <w:t>N=194</w:t>
            </w:r>
            <w:r w:rsidRPr="00992991">
              <w:rPr>
                <w:rFonts w:ascii="Arial" w:hAnsi="Arial" w:cs="Arial"/>
                <w:szCs w:val="22"/>
              </w:rPr>
              <w:t>)</w:t>
            </w:r>
          </w:p>
        </w:tc>
      </w:tr>
      <w:tr w:rsidR="00FB4ECA" w:rsidRPr="001F55B3" w14:paraId="61A4C6EF" w14:textId="77777777" w:rsidTr="0059558F">
        <w:tc>
          <w:tcPr>
            <w:tcW w:w="1922" w:type="dxa"/>
            <w:shd w:val="clear" w:color="auto" w:fill="auto"/>
            <w:vAlign w:val="center"/>
          </w:tcPr>
          <w:p w14:paraId="4DDA7DB4" w14:textId="452C7B4C" w:rsidR="00FB4ECA" w:rsidRPr="00992991" w:rsidRDefault="00FB4ECA" w:rsidP="0059558F">
            <w:pPr>
              <w:pStyle w:val="BayerTableRowHeadings"/>
              <w:keepNext/>
              <w:spacing w:after="0"/>
              <w:rPr>
                <w:rFonts w:ascii="Arial" w:hAnsi="Arial" w:cs="Arial"/>
                <w:szCs w:val="22"/>
              </w:rPr>
            </w:pPr>
            <w:r w:rsidRPr="003A5EE1">
              <w:rPr>
                <w:rFonts w:ascii="Arial" w:hAnsi="Arial" w:cs="Arial"/>
                <w:szCs w:val="22"/>
              </w:rPr>
              <w:t>Overall Survival</w:t>
            </w:r>
          </w:p>
        </w:tc>
        <w:tc>
          <w:tcPr>
            <w:tcW w:w="1908" w:type="dxa"/>
            <w:shd w:val="clear" w:color="auto" w:fill="auto"/>
            <w:vAlign w:val="center"/>
          </w:tcPr>
          <w:p w14:paraId="1295020B" w14:textId="41C63C1F" w:rsidR="0073590C" w:rsidRPr="0073590C" w:rsidRDefault="0073590C" w:rsidP="0059558F">
            <w:pPr>
              <w:pStyle w:val="BayerTableStyleLeftJustified"/>
              <w:keepNext/>
              <w:jc w:val="center"/>
              <w:rPr>
                <w:rFonts w:ascii="Arial" w:hAnsi="Arial" w:cs="Arial"/>
                <w:szCs w:val="22"/>
              </w:rPr>
            </w:pPr>
            <w:r>
              <w:rPr>
                <w:rFonts w:ascii="Arial" w:hAnsi="Arial" w:cs="Arial"/>
                <w:szCs w:val="22"/>
              </w:rPr>
              <w:t>0.624</w:t>
            </w:r>
            <w:r w:rsidRPr="0073590C">
              <w:rPr>
                <w:rFonts w:ascii="Arial" w:hAnsi="Arial" w:cs="Arial"/>
                <w:szCs w:val="22"/>
              </w:rPr>
              <w:t>(0.498,0.782)</w:t>
            </w:r>
          </w:p>
        </w:tc>
        <w:tc>
          <w:tcPr>
            <w:tcW w:w="1908" w:type="dxa"/>
            <w:vAlign w:val="center"/>
          </w:tcPr>
          <w:p w14:paraId="797C0921" w14:textId="5682E3AE" w:rsidR="00FB4ECA" w:rsidRPr="00992991" w:rsidRDefault="0073590C" w:rsidP="0059558F">
            <w:pPr>
              <w:pStyle w:val="BayerTableStyleLeftJustified"/>
              <w:keepNext/>
              <w:jc w:val="center"/>
              <w:rPr>
                <w:rFonts w:ascii="Arial" w:hAnsi="Arial" w:cs="Arial"/>
                <w:szCs w:val="22"/>
              </w:rPr>
            </w:pPr>
            <w:r w:rsidRPr="0073590C">
              <w:rPr>
                <w:rFonts w:ascii="Arial" w:hAnsi="Arial" w:cs="Arial"/>
                <w:szCs w:val="22"/>
              </w:rPr>
              <w:t>0.000017</w:t>
            </w:r>
          </w:p>
        </w:tc>
        <w:tc>
          <w:tcPr>
            <w:tcW w:w="1908" w:type="dxa"/>
            <w:shd w:val="clear" w:color="auto" w:fill="auto"/>
            <w:vAlign w:val="center"/>
          </w:tcPr>
          <w:p w14:paraId="26772C7A" w14:textId="3F13E4C2" w:rsidR="00FB4ECA" w:rsidRPr="00673D58" w:rsidRDefault="00FB4ECA" w:rsidP="0059558F">
            <w:pPr>
              <w:autoSpaceDE w:val="0"/>
              <w:autoSpaceDN w:val="0"/>
              <w:adjustRightInd w:val="0"/>
              <w:jc w:val="center"/>
              <w:rPr>
                <w:rFonts w:ascii="Arial" w:eastAsia="MS Mincho" w:hAnsi="Arial" w:cs="Arial"/>
                <w:sz w:val="22"/>
                <w:szCs w:val="22"/>
                <w:lang w:val="en-US"/>
              </w:rPr>
            </w:pPr>
            <w:r w:rsidRPr="00673D58">
              <w:rPr>
                <w:rFonts w:ascii="Arial" w:eastAsia="MS Mincho" w:hAnsi="Arial" w:cs="Arial"/>
                <w:sz w:val="22"/>
                <w:szCs w:val="22"/>
                <w:lang w:val="en-US"/>
              </w:rPr>
              <w:t>10.6 months</w:t>
            </w:r>
          </w:p>
          <w:p w14:paraId="44F216F7" w14:textId="793BB00E" w:rsidR="00FB4ECA" w:rsidRPr="00992991" w:rsidRDefault="00FB4ECA" w:rsidP="0059558F">
            <w:pPr>
              <w:pStyle w:val="BayerTableStyleLeftJustified"/>
              <w:keepNext/>
              <w:jc w:val="center"/>
              <w:rPr>
                <w:rFonts w:ascii="Arial" w:hAnsi="Arial" w:cs="Arial"/>
                <w:szCs w:val="22"/>
              </w:rPr>
            </w:pPr>
            <w:r w:rsidRPr="00673D58">
              <w:rPr>
                <w:rFonts w:ascii="Arial" w:hAnsi="Arial" w:cs="Arial"/>
                <w:szCs w:val="22"/>
              </w:rPr>
              <w:t>(9.1, 12.1)</w:t>
            </w:r>
          </w:p>
        </w:tc>
        <w:tc>
          <w:tcPr>
            <w:tcW w:w="1912" w:type="dxa"/>
            <w:shd w:val="clear" w:color="auto" w:fill="auto"/>
            <w:vAlign w:val="center"/>
          </w:tcPr>
          <w:p w14:paraId="1667E8FC" w14:textId="01DE082B" w:rsidR="00FB4ECA" w:rsidRPr="00673D58" w:rsidRDefault="00FB4ECA" w:rsidP="0059558F">
            <w:pPr>
              <w:autoSpaceDE w:val="0"/>
              <w:autoSpaceDN w:val="0"/>
              <w:adjustRightInd w:val="0"/>
              <w:jc w:val="center"/>
              <w:rPr>
                <w:rFonts w:ascii="Arial" w:eastAsia="MS Mincho" w:hAnsi="Arial" w:cs="Arial"/>
                <w:sz w:val="22"/>
                <w:szCs w:val="22"/>
                <w:lang w:val="en-US"/>
              </w:rPr>
            </w:pPr>
            <w:r w:rsidRPr="00673D58">
              <w:rPr>
                <w:rFonts w:ascii="Arial" w:eastAsia="MS Mincho" w:hAnsi="Arial" w:cs="Arial"/>
                <w:sz w:val="22"/>
                <w:szCs w:val="22"/>
                <w:lang w:val="en-US"/>
              </w:rPr>
              <w:t>7.8 months</w:t>
            </w:r>
          </w:p>
          <w:p w14:paraId="2B61CA90" w14:textId="3DEC0F7F" w:rsidR="00FB4ECA" w:rsidRPr="00992991" w:rsidRDefault="00FB4ECA" w:rsidP="0059558F">
            <w:pPr>
              <w:pStyle w:val="BayerTableStyleLeftJustified"/>
              <w:keepNext/>
              <w:jc w:val="center"/>
              <w:rPr>
                <w:rFonts w:ascii="Arial" w:hAnsi="Arial" w:cs="Arial"/>
                <w:szCs w:val="22"/>
              </w:rPr>
            </w:pPr>
            <w:r w:rsidRPr="00673D58">
              <w:rPr>
                <w:rFonts w:ascii="Arial" w:hAnsi="Arial" w:cs="Arial"/>
                <w:szCs w:val="22"/>
              </w:rPr>
              <w:t>(6.3, 8.8)</w:t>
            </w:r>
          </w:p>
        </w:tc>
      </w:tr>
      <w:tr w:rsidR="00FB4ECA" w:rsidRPr="001F55B3" w14:paraId="3A80E13E" w14:textId="77777777" w:rsidTr="0059558F">
        <w:tc>
          <w:tcPr>
            <w:tcW w:w="1922" w:type="dxa"/>
            <w:shd w:val="clear" w:color="auto" w:fill="auto"/>
            <w:vAlign w:val="center"/>
          </w:tcPr>
          <w:p w14:paraId="0970A9C0" w14:textId="77777777" w:rsidR="00FB4ECA" w:rsidRPr="00992991" w:rsidRDefault="00FB4ECA" w:rsidP="0059558F">
            <w:pPr>
              <w:pStyle w:val="BayerTableRowHeadings"/>
              <w:keepNext/>
              <w:spacing w:after="0"/>
              <w:rPr>
                <w:rFonts w:ascii="Arial" w:hAnsi="Arial" w:cs="Arial"/>
                <w:szCs w:val="22"/>
              </w:rPr>
            </w:pPr>
            <w:r w:rsidRPr="003A5EE1">
              <w:rPr>
                <w:rFonts w:ascii="Arial" w:hAnsi="Arial" w:cs="Arial"/>
                <w:szCs w:val="22"/>
              </w:rPr>
              <w:t>Progression Free Survival</w:t>
            </w:r>
            <w:r w:rsidRPr="00D96FE5">
              <w:rPr>
                <w:rFonts w:ascii="Arial" w:hAnsi="Arial" w:cs="Arial"/>
                <w:szCs w:val="22"/>
              </w:rPr>
              <w:t>**</w:t>
            </w:r>
          </w:p>
        </w:tc>
        <w:tc>
          <w:tcPr>
            <w:tcW w:w="1908" w:type="dxa"/>
            <w:shd w:val="clear" w:color="auto" w:fill="auto"/>
            <w:vAlign w:val="center"/>
          </w:tcPr>
          <w:p w14:paraId="4F7E3B6C" w14:textId="7A1A4098" w:rsidR="0073590C" w:rsidRPr="00992991" w:rsidRDefault="0073590C" w:rsidP="0059558F">
            <w:pPr>
              <w:pStyle w:val="BayerTableStyleLeftJustified"/>
              <w:keepNext/>
              <w:jc w:val="center"/>
              <w:rPr>
                <w:rFonts w:ascii="Arial" w:hAnsi="Arial" w:cs="Arial"/>
                <w:szCs w:val="22"/>
              </w:rPr>
            </w:pPr>
            <w:r>
              <w:rPr>
                <w:rFonts w:ascii="Arial" w:hAnsi="Arial" w:cs="Arial"/>
                <w:szCs w:val="22"/>
              </w:rPr>
              <w:t>0.453</w:t>
            </w:r>
            <w:r w:rsidRPr="0073590C">
              <w:rPr>
                <w:rFonts w:ascii="Arial" w:hAnsi="Arial" w:cs="Arial"/>
                <w:szCs w:val="22"/>
              </w:rPr>
              <w:t>(0.369,0.555)</w:t>
            </w:r>
          </w:p>
        </w:tc>
        <w:tc>
          <w:tcPr>
            <w:tcW w:w="1908" w:type="dxa"/>
            <w:vAlign w:val="center"/>
          </w:tcPr>
          <w:p w14:paraId="38BA7527" w14:textId="77777777" w:rsidR="00FB4ECA" w:rsidRPr="00992991" w:rsidRDefault="00FB4ECA" w:rsidP="0059558F">
            <w:pPr>
              <w:pStyle w:val="BayerTableStyleLeftJustified"/>
              <w:keepNext/>
              <w:jc w:val="center"/>
              <w:rPr>
                <w:rFonts w:ascii="Arial" w:hAnsi="Arial" w:cs="Arial"/>
                <w:szCs w:val="22"/>
              </w:rPr>
            </w:pPr>
            <w:r w:rsidRPr="00673D58">
              <w:rPr>
                <w:rFonts w:ascii="Arial" w:hAnsi="Arial" w:cs="Arial"/>
                <w:szCs w:val="22"/>
              </w:rPr>
              <w:t>&lt;0.000001</w:t>
            </w:r>
          </w:p>
        </w:tc>
        <w:tc>
          <w:tcPr>
            <w:tcW w:w="1908" w:type="dxa"/>
            <w:shd w:val="clear" w:color="auto" w:fill="auto"/>
            <w:vAlign w:val="center"/>
          </w:tcPr>
          <w:p w14:paraId="642D279E" w14:textId="241B459F" w:rsidR="00FB4ECA" w:rsidRPr="00673D58" w:rsidRDefault="00FB4ECA" w:rsidP="0059558F">
            <w:pPr>
              <w:autoSpaceDE w:val="0"/>
              <w:autoSpaceDN w:val="0"/>
              <w:adjustRightInd w:val="0"/>
              <w:jc w:val="center"/>
              <w:rPr>
                <w:rFonts w:ascii="Arial" w:eastAsia="MS Mincho" w:hAnsi="Arial" w:cs="Arial"/>
                <w:sz w:val="22"/>
                <w:szCs w:val="22"/>
                <w:lang w:val="en-US"/>
              </w:rPr>
            </w:pPr>
            <w:r w:rsidRPr="00673D58">
              <w:rPr>
                <w:rFonts w:ascii="Arial" w:eastAsia="MS Mincho" w:hAnsi="Arial" w:cs="Arial"/>
                <w:sz w:val="22"/>
                <w:szCs w:val="22"/>
                <w:lang w:val="en-US"/>
              </w:rPr>
              <w:t>3.1 months</w:t>
            </w:r>
          </w:p>
          <w:p w14:paraId="3355B90F" w14:textId="454A9E02" w:rsidR="00FB4ECA" w:rsidRPr="003A5EE1" w:rsidRDefault="00FB4ECA" w:rsidP="0059558F">
            <w:pPr>
              <w:pStyle w:val="BayerTableStyleLeftJustified"/>
              <w:keepNext/>
              <w:jc w:val="center"/>
              <w:rPr>
                <w:rFonts w:ascii="Arial" w:hAnsi="Arial" w:cs="Arial"/>
                <w:szCs w:val="22"/>
              </w:rPr>
            </w:pPr>
            <w:r w:rsidRPr="00673D58">
              <w:rPr>
                <w:rFonts w:ascii="Arial" w:hAnsi="Arial" w:cs="Arial"/>
                <w:szCs w:val="22"/>
              </w:rPr>
              <w:t>(2.8, 4.2)</w:t>
            </w:r>
          </w:p>
        </w:tc>
        <w:tc>
          <w:tcPr>
            <w:tcW w:w="1912" w:type="dxa"/>
            <w:shd w:val="clear" w:color="auto" w:fill="auto"/>
            <w:vAlign w:val="center"/>
          </w:tcPr>
          <w:p w14:paraId="7AA9340F" w14:textId="5A9C83DF" w:rsidR="00FB4ECA" w:rsidRPr="00673D58" w:rsidRDefault="00FB4ECA" w:rsidP="0059558F">
            <w:pPr>
              <w:autoSpaceDE w:val="0"/>
              <w:autoSpaceDN w:val="0"/>
              <w:adjustRightInd w:val="0"/>
              <w:jc w:val="center"/>
              <w:rPr>
                <w:rFonts w:ascii="Arial" w:eastAsia="MS Mincho" w:hAnsi="Arial" w:cs="Arial"/>
                <w:sz w:val="22"/>
                <w:szCs w:val="22"/>
                <w:lang w:val="en-US"/>
              </w:rPr>
            </w:pPr>
            <w:r w:rsidRPr="00673D58">
              <w:rPr>
                <w:rFonts w:ascii="Arial" w:eastAsia="MS Mincho" w:hAnsi="Arial" w:cs="Arial"/>
                <w:sz w:val="22"/>
                <w:szCs w:val="22"/>
                <w:lang w:val="en-US"/>
              </w:rPr>
              <w:t>1.5 months</w:t>
            </w:r>
          </w:p>
          <w:p w14:paraId="483F2BD2" w14:textId="417BF75A" w:rsidR="00FB4ECA" w:rsidRPr="00992991" w:rsidRDefault="00FB4ECA" w:rsidP="0059558F">
            <w:pPr>
              <w:pStyle w:val="BayerTableStyleLeftJustified"/>
              <w:keepNext/>
              <w:jc w:val="center"/>
              <w:rPr>
                <w:rFonts w:ascii="Arial" w:hAnsi="Arial" w:cs="Arial"/>
                <w:szCs w:val="22"/>
              </w:rPr>
            </w:pPr>
            <w:r w:rsidRPr="00673D58">
              <w:rPr>
                <w:rFonts w:ascii="Arial" w:hAnsi="Arial" w:cs="Arial"/>
                <w:szCs w:val="22"/>
              </w:rPr>
              <w:t>(1.4, 1.6)</w:t>
            </w:r>
          </w:p>
        </w:tc>
      </w:tr>
      <w:tr w:rsidR="00FB4ECA" w:rsidRPr="001F55B3" w14:paraId="257A1529" w14:textId="77777777" w:rsidTr="0059558F">
        <w:trPr>
          <w:trHeight w:val="451"/>
        </w:trPr>
        <w:tc>
          <w:tcPr>
            <w:tcW w:w="1922" w:type="dxa"/>
            <w:shd w:val="clear" w:color="auto" w:fill="auto"/>
            <w:vAlign w:val="center"/>
          </w:tcPr>
          <w:p w14:paraId="7D4DEC13" w14:textId="77777777" w:rsidR="00FB4ECA" w:rsidRPr="003A5EE1" w:rsidRDefault="00FB4ECA" w:rsidP="0059558F">
            <w:pPr>
              <w:pStyle w:val="BayerTableRowHeadings"/>
              <w:keepNext/>
              <w:spacing w:after="0"/>
              <w:rPr>
                <w:rFonts w:ascii="Arial" w:hAnsi="Arial" w:cs="Arial"/>
                <w:szCs w:val="22"/>
              </w:rPr>
            </w:pPr>
            <w:r w:rsidRPr="00673D58">
              <w:rPr>
                <w:rFonts w:ascii="Arial" w:hAnsi="Arial" w:cs="Arial"/>
                <w:szCs w:val="22"/>
              </w:rPr>
              <w:t xml:space="preserve">Time To Progression ** </w:t>
            </w:r>
          </w:p>
        </w:tc>
        <w:tc>
          <w:tcPr>
            <w:tcW w:w="1908" w:type="dxa"/>
            <w:shd w:val="clear" w:color="auto" w:fill="auto"/>
            <w:vAlign w:val="center"/>
          </w:tcPr>
          <w:p w14:paraId="32A7F3BF" w14:textId="77FE2BE8" w:rsidR="0073590C" w:rsidRDefault="0073590C" w:rsidP="0059558F">
            <w:pPr>
              <w:autoSpaceDE w:val="0"/>
              <w:autoSpaceDN w:val="0"/>
              <w:adjustRightInd w:val="0"/>
              <w:jc w:val="center"/>
              <w:rPr>
                <w:rFonts w:ascii="Arial" w:hAnsi="Arial" w:cs="Arial"/>
                <w:sz w:val="22"/>
                <w:szCs w:val="22"/>
                <w:lang w:val="en-US"/>
              </w:rPr>
            </w:pPr>
            <w:r>
              <w:rPr>
                <w:rFonts w:ascii="Arial" w:hAnsi="Arial" w:cs="Arial"/>
                <w:sz w:val="22"/>
                <w:szCs w:val="22"/>
                <w:lang w:val="en-US"/>
              </w:rPr>
              <w:t>0.439</w:t>
            </w:r>
          </w:p>
          <w:p w14:paraId="46144E55" w14:textId="60676854" w:rsidR="00FB4ECA" w:rsidRPr="0059558F" w:rsidRDefault="0073590C" w:rsidP="0059558F">
            <w:pPr>
              <w:autoSpaceDE w:val="0"/>
              <w:autoSpaceDN w:val="0"/>
              <w:adjustRightInd w:val="0"/>
              <w:jc w:val="center"/>
              <w:rPr>
                <w:rFonts w:ascii="Arial" w:hAnsi="Arial" w:cs="Arial"/>
                <w:sz w:val="22"/>
                <w:szCs w:val="22"/>
                <w:lang w:val="en-US"/>
              </w:rPr>
            </w:pPr>
            <w:r w:rsidRPr="0073590C">
              <w:rPr>
                <w:rFonts w:ascii="Arial" w:hAnsi="Arial" w:cs="Arial"/>
                <w:sz w:val="22"/>
                <w:szCs w:val="22"/>
                <w:lang w:val="en-US"/>
              </w:rPr>
              <w:t>(0.355,0.542)</w:t>
            </w:r>
          </w:p>
        </w:tc>
        <w:tc>
          <w:tcPr>
            <w:tcW w:w="1908" w:type="dxa"/>
            <w:vAlign w:val="center"/>
          </w:tcPr>
          <w:p w14:paraId="140DF749" w14:textId="086FD147" w:rsidR="00FB4ECA" w:rsidRPr="00673D58" w:rsidRDefault="00FB4ECA" w:rsidP="0059558F">
            <w:pPr>
              <w:pStyle w:val="BayerTableStyleLeftJustified"/>
              <w:keepNext/>
              <w:jc w:val="center"/>
              <w:rPr>
                <w:rFonts w:ascii="Arial" w:eastAsia="Times New Roman" w:hAnsi="Arial" w:cs="Arial"/>
                <w:szCs w:val="22"/>
              </w:rPr>
            </w:pPr>
            <w:r w:rsidRPr="00673D58">
              <w:rPr>
                <w:rFonts w:ascii="Arial" w:eastAsia="Times New Roman" w:hAnsi="Arial" w:cs="Arial"/>
                <w:szCs w:val="22"/>
              </w:rPr>
              <w:t>&lt;0.000001</w:t>
            </w:r>
          </w:p>
        </w:tc>
        <w:tc>
          <w:tcPr>
            <w:tcW w:w="1908" w:type="dxa"/>
            <w:shd w:val="clear" w:color="auto" w:fill="auto"/>
            <w:vAlign w:val="center"/>
          </w:tcPr>
          <w:p w14:paraId="76D46E47" w14:textId="44BC4219" w:rsidR="00FB4ECA" w:rsidRPr="00673D58" w:rsidRDefault="00FB4ECA" w:rsidP="0059558F">
            <w:pPr>
              <w:autoSpaceDE w:val="0"/>
              <w:autoSpaceDN w:val="0"/>
              <w:adjustRightInd w:val="0"/>
              <w:jc w:val="center"/>
              <w:rPr>
                <w:rFonts w:ascii="Arial" w:eastAsia="MS Mincho" w:hAnsi="Arial" w:cs="Arial"/>
                <w:sz w:val="22"/>
                <w:szCs w:val="22"/>
                <w:lang w:val="en-US"/>
              </w:rPr>
            </w:pPr>
            <w:r w:rsidRPr="00673D58">
              <w:rPr>
                <w:rFonts w:ascii="Arial" w:eastAsia="MS Mincho" w:hAnsi="Arial" w:cs="Arial"/>
                <w:sz w:val="22"/>
                <w:szCs w:val="22"/>
                <w:lang w:val="en-US"/>
              </w:rPr>
              <w:t>3.2 months</w:t>
            </w:r>
          </w:p>
          <w:p w14:paraId="4E9793ED" w14:textId="0540807E" w:rsidR="00FB4ECA" w:rsidRPr="00673D58" w:rsidRDefault="00FB4ECA" w:rsidP="0059558F">
            <w:pPr>
              <w:pStyle w:val="BayerTableStyleLeftJustified"/>
              <w:keepNext/>
              <w:jc w:val="center"/>
              <w:rPr>
                <w:rFonts w:ascii="Arial" w:hAnsi="Arial" w:cs="Arial"/>
                <w:szCs w:val="22"/>
              </w:rPr>
            </w:pPr>
            <w:r w:rsidRPr="00673D58">
              <w:rPr>
                <w:rFonts w:ascii="Arial" w:hAnsi="Arial" w:cs="Arial"/>
                <w:szCs w:val="22"/>
              </w:rPr>
              <w:t>(2.9, 4.2)</w:t>
            </w:r>
          </w:p>
        </w:tc>
        <w:tc>
          <w:tcPr>
            <w:tcW w:w="1912" w:type="dxa"/>
            <w:shd w:val="clear" w:color="auto" w:fill="auto"/>
            <w:vAlign w:val="center"/>
          </w:tcPr>
          <w:p w14:paraId="2812C7C9" w14:textId="168E1939" w:rsidR="00FB4ECA" w:rsidRPr="00673D58" w:rsidRDefault="00FB4ECA" w:rsidP="0059558F">
            <w:pPr>
              <w:autoSpaceDE w:val="0"/>
              <w:autoSpaceDN w:val="0"/>
              <w:adjustRightInd w:val="0"/>
              <w:jc w:val="center"/>
              <w:rPr>
                <w:rFonts w:ascii="Arial" w:eastAsia="MS Mincho" w:hAnsi="Arial" w:cs="Arial"/>
                <w:sz w:val="22"/>
                <w:szCs w:val="22"/>
                <w:lang w:val="en-US"/>
              </w:rPr>
            </w:pPr>
            <w:r w:rsidRPr="00673D58">
              <w:rPr>
                <w:rFonts w:ascii="Arial" w:eastAsia="MS Mincho" w:hAnsi="Arial" w:cs="Arial"/>
                <w:sz w:val="22"/>
                <w:szCs w:val="22"/>
                <w:lang w:val="en-US"/>
              </w:rPr>
              <w:t>1.5 months</w:t>
            </w:r>
          </w:p>
          <w:p w14:paraId="738737F1" w14:textId="646A6311" w:rsidR="00FB4ECA" w:rsidRPr="00673D58" w:rsidRDefault="00FB4ECA" w:rsidP="0059558F">
            <w:pPr>
              <w:pStyle w:val="BayerTableStyleLeftJustified"/>
              <w:keepNext/>
              <w:jc w:val="center"/>
              <w:rPr>
                <w:rFonts w:ascii="Arial" w:hAnsi="Arial" w:cs="Arial"/>
                <w:szCs w:val="22"/>
              </w:rPr>
            </w:pPr>
            <w:r w:rsidRPr="00673D58">
              <w:rPr>
                <w:rFonts w:ascii="Arial" w:hAnsi="Arial" w:cs="Arial"/>
                <w:szCs w:val="22"/>
              </w:rPr>
              <w:t>(1.4, 1.6)</w:t>
            </w:r>
          </w:p>
        </w:tc>
      </w:tr>
    </w:tbl>
    <w:p w14:paraId="578A7C11" w14:textId="0213D33B" w:rsidR="00FB4ECA" w:rsidRPr="009E45A9" w:rsidRDefault="00FB4ECA" w:rsidP="008219CC">
      <w:pPr>
        <w:keepNext/>
        <w:spacing w:before="120"/>
        <w:ind w:left="284" w:hanging="284"/>
        <w:rPr>
          <w:rFonts w:ascii="Arial" w:hAnsi="Arial" w:cs="Arial"/>
          <w:sz w:val="20"/>
          <w:szCs w:val="20"/>
        </w:rPr>
      </w:pPr>
      <w:r w:rsidRPr="008219CC">
        <w:rPr>
          <w:rFonts w:ascii="Arial" w:hAnsi="Arial" w:cs="Arial"/>
          <w:sz w:val="20"/>
          <w:szCs w:val="20"/>
          <w:vertAlign w:val="superscript"/>
        </w:rPr>
        <w:t>§</w:t>
      </w:r>
      <w:r w:rsidR="008219CC">
        <w:rPr>
          <w:rFonts w:ascii="Arial" w:hAnsi="Arial" w:cs="Arial"/>
          <w:sz w:val="20"/>
          <w:szCs w:val="20"/>
        </w:rPr>
        <w:tab/>
      </w:r>
      <w:r w:rsidRPr="009E45A9">
        <w:rPr>
          <w:rFonts w:ascii="Arial" w:hAnsi="Arial" w:cs="Arial"/>
          <w:sz w:val="20"/>
          <w:szCs w:val="20"/>
        </w:rPr>
        <w:t>Best Supportive Care</w:t>
      </w:r>
    </w:p>
    <w:p w14:paraId="76C67E86" w14:textId="43C95B79" w:rsidR="00FB4ECA" w:rsidRPr="009E45A9" w:rsidRDefault="00FB4ECA" w:rsidP="008219CC">
      <w:pPr>
        <w:keepNext/>
        <w:spacing w:before="120"/>
        <w:ind w:left="284" w:hanging="284"/>
        <w:contextualSpacing/>
        <w:rPr>
          <w:rFonts w:ascii="Arial" w:hAnsi="Arial" w:cs="Arial"/>
          <w:sz w:val="20"/>
          <w:szCs w:val="20"/>
        </w:rPr>
      </w:pPr>
      <w:r w:rsidRPr="009E45A9">
        <w:rPr>
          <w:rFonts w:ascii="Arial" w:hAnsi="Arial" w:cs="Arial"/>
          <w:sz w:val="20"/>
          <w:szCs w:val="20"/>
        </w:rPr>
        <w:t>*</w:t>
      </w:r>
      <w:r w:rsidR="008219CC">
        <w:rPr>
          <w:rFonts w:ascii="Arial" w:hAnsi="Arial" w:cs="Arial"/>
          <w:sz w:val="20"/>
          <w:szCs w:val="20"/>
        </w:rPr>
        <w:tab/>
      </w:r>
      <w:r w:rsidRPr="009E45A9">
        <w:rPr>
          <w:rFonts w:ascii="Arial" w:hAnsi="Arial" w:cs="Arial"/>
          <w:sz w:val="20"/>
          <w:szCs w:val="20"/>
        </w:rPr>
        <w:t>Hazard ratio &lt; 1 favours STIVARGA</w:t>
      </w:r>
    </w:p>
    <w:p w14:paraId="37F0DF87" w14:textId="46CE4584" w:rsidR="00FB4ECA" w:rsidRPr="00EC5D69" w:rsidRDefault="008219CC" w:rsidP="008219CC">
      <w:pPr>
        <w:keepNext/>
        <w:spacing w:before="120"/>
        <w:ind w:left="284" w:hanging="284"/>
        <w:contextualSpacing/>
        <w:rPr>
          <w:rFonts w:ascii="Arial" w:hAnsi="Arial" w:cs="Arial"/>
          <w:sz w:val="20"/>
          <w:szCs w:val="20"/>
        </w:rPr>
      </w:pPr>
      <w:r>
        <w:rPr>
          <w:rFonts w:ascii="Arial" w:hAnsi="Arial" w:cs="Arial"/>
          <w:sz w:val="20"/>
          <w:szCs w:val="20"/>
        </w:rPr>
        <w:t>**</w:t>
      </w:r>
      <w:r>
        <w:rPr>
          <w:rFonts w:ascii="Arial" w:hAnsi="Arial" w:cs="Arial"/>
          <w:sz w:val="20"/>
          <w:szCs w:val="20"/>
        </w:rPr>
        <w:tab/>
      </w:r>
      <w:r w:rsidR="00FB4ECA" w:rsidRPr="00EC5D69">
        <w:rPr>
          <w:rFonts w:ascii="Arial" w:hAnsi="Arial" w:cs="Arial"/>
          <w:sz w:val="20"/>
          <w:szCs w:val="20"/>
        </w:rPr>
        <w:t>Based on Investigator’s assessment of tumour response</w:t>
      </w:r>
      <w:r w:rsidR="00FB4ECA" w:rsidRPr="009E45A9">
        <w:rPr>
          <w:rFonts w:ascii="Arial" w:hAnsi="Arial" w:cs="Arial"/>
          <w:sz w:val="20"/>
          <w:szCs w:val="20"/>
        </w:rPr>
        <w:t xml:space="preserve"> </w:t>
      </w:r>
      <w:r w:rsidR="00FB4ECA" w:rsidRPr="00673D58">
        <w:rPr>
          <w:rFonts w:ascii="Arial" w:hAnsi="Arial" w:cs="Arial"/>
          <w:sz w:val="20"/>
          <w:szCs w:val="20"/>
        </w:rPr>
        <w:t>by modified RECIST</w:t>
      </w:r>
    </w:p>
    <w:p w14:paraId="2EBC19D5" w14:textId="77777777" w:rsidR="00FB4ECA" w:rsidRDefault="00FB4ECA" w:rsidP="00FB4ECA">
      <w:pPr>
        <w:rPr>
          <w:rFonts w:ascii="Arial" w:hAnsi="Arial" w:cs="Arial"/>
          <w:sz w:val="22"/>
          <w:szCs w:val="22"/>
        </w:rPr>
      </w:pPr>
    </w:p>
    <w:p w14:paraId="3836C470" w14:textId="3F0E44BF" w:rsidR="00FB4ECA" w:rsidRDefault="00FB4ECA" w:rsidP="00F4557E">
      <w:pPr>
        <w:keepNext/>
        <w:rPr>
          <w:rFonts w:ascii="Arial" w:hAnsi="Arial" w:cs="Arial"/>
          <w:lang w:val="en-US"/>
        </w:rPr>
      </w:pPr>
      <w:r w:rsidRPr="006C3E63">
        <w:rPr>
          <w:rFonts w:ascii="Arial" w:hAnsi="Arial" w:cs="Arial"/>
          <w:b/>
          <w:sz w:val="22"/>
          <w:szCs w:val="22"/>
          <w:lang w:val="en-US"/>
        </w:rPr>
        <w:lastRenderedPageBreak/>
        <w:t xml:space="preserve">Figure </w:t>
      </w:r>
      <w:r>
        <w:rPr>
          <w:rFonts w:ascii="Arial" w:hAnsi="Arial" w:cs="Arial"/>
          <w:b/>
          <w:sz w:val="22"/>
          <w:szCs w:val="22"/>
          <w:lang w:val="en-US"/>
        </w:rPr>
        <w:t>5</w:t>
      </w:r>
      <w:r w:rsidRPr="006C3E63">
        <w:rPr>
          <w:rFonts w:ascii="Arial" w:hAnsi="Arial" w:cs="Arial"/>
          <w:b/>
          <w:sz w:val="22"/>
          <w:szCs w:val="22"/>
          <w:lang w:val="en-US"/>
        </w:rPr>
        <w:t>: Kaplan-Meier curve of</w:t>
      </w:r>
      <w:r>
        <w:rPr>
          <w:rFonts w:ascii="Arial" w:hAnsi="Arial" w:cs="Arial"/>
          <w:b/>
          <w:sz w:val="22"/>
          <w:szCs w:val="22"/>
          <w:lang w:val="en-US"/>
        </w:rPr>
        <w:t xml:space="preserve"> </w:t>
      </w:r>
      <w:r w:rsidRPr="00BD3047">
        <w:rPr>
          <w:rFonts w:ascii="Arial" w:hAnsi="Arial" w:cs="Arial"/>
          <w:b/>
          <w:sz w:val="22"/>
          <w:szCs w:val="22"/>
          <w:lang w:val="en-US"/>
        </w:rPr>
        <w:t>Overall Survival</w:t>
      </w:r>
    </w:p>
    <w:p w14:paraId="51FA4BAC" w14:textId="77777777" w:rsidR="00FB4ECA" w:rsidRDefault="00FB4ECA" w:rsidP="00F4557E">
      <w:pPr>
        <w:keepNext/>
        <w:rPr>
          <w:rFonts w:ascii="Arial" w:hAnsi="Arial" w:cs="Arial"/>
          <w:sz w:val="22"/>
          <w:szCs w:val="22"/>
          <w:lang w:val="en-US"/>
        </w:rPr>
      </w:pPr>
    </w:p>
    <w:p w14:paraId="49FCFBAD" w14:textId="1FF997AE" w:rsidR="002B4F32" w:rsidRPr="00FB4ECA" w:rsidRDefault="002B4F32" w:rsidP="00FB4ECA">
      <w:pPr>
        <w:rPr>
          <w:rFonts w:ascii="Arial" w:hAnsi="Arial" w:cs="Arial"/>
          <w:sz w:val="22"/>
          <w:szCs w:val="22"/>
          <w:lang w:val="en-US"/>
        </w:rPr>
      </w:pPr>
      <w:r>
        <w:rPr>
          <w:rFonts w:ascii="Arial" w:hAnsi="Arial" w:cs="Arial"/>
          <w:noProof/>
          <w:sz w:val="22"/>
          <w:szCs w:val="22"/>
          <w:lang w:val="en-AU" w:eastAsia="en-AU"/>
        </w:rPr>
        <w:drawing>
          <wp:inline distT="0" distB="0" distL="0" distR="0" wp14:anchorId="4C70A87B" wp14:editId="715A1ADD">
            <wp:extent cx="5526157" cy="3960474"/>
            <wp:effectExtent l="0" t="0" r="0" b="2540"/>
            <wp:docPr id="6" name="Picture 6" descr="R:\BHP\SM\STIVARGA regorafenib\AU\1_Submn\1611_HCC BEC 10741_CCDS09_BEC 10924+CCDS08_9284\1706 Errata summary\CCDS update\xCCDS 10 Stivarg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HP\SM\STIVARGA regorafenib\AU\1_Submn\1611_HCC BEC 10741_CCDS09_BEC 10924+CCDS08_9284\1706 Errata summary\CCDS update\xCCDS 10 Stivarga.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2119" cy="3957580"/>
                    </a:xfrm>
                    <a:prstGeom prst="rect">
                      <a:avLst/>
                    </a:prstGeom>
                    <a:noFill/>
                    <a:ln>
                      <a:noFill/>
                    </a:ln>
                  </pic:spPr>
                </pic:pic>
              </a:graphicData>
            </a:graphic>
          </wp:inline>
        </w:drawing>
      </w:r>
    </w:p>
    <w:p w14:paraId="5C34E296" w14:textId="6C81C7A0" w:rsidR="00FB4ECA" w:rsidRDefault="00FB4ECA" w:rsidP="00B803D9">
      <w:pPr>
        <w:pStyle w:val="BayerBodyTextFull"/>
        <w:spacing w:before="0" w:after="0"/>
        <w:rPr>
          <w:rFonts w:ascii="Arial" w:hAnsi="Arial"/>
          <w:sz w:val="22"/>
          <w:lang w:val="en-GB"/>
        </w:rPr>
      </w:pPr>
    </w:p>
    <w:p w14:paraId="79A1DCD5" w14:textId="77777777" w:rsidR="00FB4ECA" w:rsidRDefault="00FB4ECA" w:rsidP="00AB3B28">
      <w:pPr>
        <w:rPr>
          <w:rFonts w:ascii="Arial" w:hAnsi="Arial" w:cs="Arial"/>
          <w:sz w:val="22"/>
          <w:szCs w:val="22"/>
          <w:lang w:val="en-US"/>
        </w:rPr>
      </w:pPr>
    </w:p>
    <w:p w14:paraId="3DF85982" w14:textId="784831C3" w:rsidR="00FB4ECA" w:rsidRDefault="00FB4ECA" w:rsidP="00206FAC">
      <w:pPr>
        <w:keepNext/>
        <w:rPr>
          <w:rFonts w:ascii="Arial" w:hAnsi="Arial" w:cs="Arial"/>
          <w:b/>
          <w:sz w:val="22"/>
          <w:szCs w:val="22"/>
          <w:lang w:val="en-US"/>
        </w:rPr>
      </w:pPr>
      <w:r>
        <w:rPr>
          <w:rFonts w:ascii="Arial" w:hAnsi="Arial" w:cs="Arial"/>
          <w:b/>
          <w:sz w:val="22"/>
          <w:szCs w:val="22"/>
          <w:lang w:val="en-US"/>
        </w:rPr>
        <w:lastRenderedPageBreak/>
        <w:t>Figure 6</w:t>
      </w:r>
      <w:r w:rsidRPr="00FB4ECA">
        <w:rPr>
          <w:rFonts w:ascii="Arial" w:hAnsi="Arial" w:cs="Arial"/>
          <w:b/>
          <w:sz w:val="22"/>
          <w:szCs w:val="22"/>
          <w:lang w:val="en-US"/>
        </w:rPr>
        <w:t>: Kaplan-Meier curve of Progression-Free Survival (</w:t>
      </w:r>
      <w:proofErr w:type="spellStart"/>
      <w:r w:rsidRPr="00FB4ECA">
        <w:rPr>
          <w:rFonts w:ascii="Arial" w:hAnsi="Arial" w:cs="Arial"/>
          <w:b/>
          <w:sz w:val="22"/>
          <w:szCs w:val="22"/>
          <w:lang w:val="en-US"/>
        </w:rPr>
        <w:t>mRECIST</w:t>
      </w:r>
      <w:proofErr w:type="spellEnd"/>
      <w:r w:rsidRPr="00FB4ECA">
        <w:rPr>
          <w:rFonts w:ascii="Arial" w:hAnsi="Arial" w:cs="Arial"/>
          <w:b/>
          <w:sz w:val="22"/>
          <w:szCs w:val="22"/>
          <w:lang w:val="en-US"/>
        </w:rPr>
        <w:t>)</w:t>
      </w:r>
    </w:p>
    <w:p w14:paraId="3AB65999" w14:textId="5DFF2806" w:rsidR="002B4F32" w:rsidRDefault="002B4F32" w:rsidP="00FB4ECA">
      <w:pPr>
        <w:rPr>
          <w:rFonts w:ascii="Arial" w:hAnsi="Arial" w:cs="Arial"/>
          <w:b/>
          <w:sz w:val="22"/>
          <w:szCs w:val="22"/>
          <w:lang w:val="en-US"/>
        </w:rPr>
      </w:pPr>
      <w:r>
        <w:rPr>
          <w:rFonts w:ascii="Arial" w:hAnsi="Arial" w:cs="Arial"/>
          <w:b/>
          <w:noProof/>
          <w:sz w:val="22"/>
          <w:szCs w:val="22"/>
          <w:lang w:val="en-AU" w:eastAsia="en-AU"/>
        </w:rPr>
        <w:drawing>
          <wp:inline distT="0" distB="0" distL="0" distR="0" wp14:anchorId="64369133" wp14:editId="1EDFECF4">
            <wp:extent cx="5903595" cy="4213279"/>
            <wp:effectExtent l="0" t="0" r="1905" b="0"/>
            <wp:docPr id="7" name="Picture 7" descr="R:\BHP\SM\STIVARGA regorafenib\AU\1_Submn\1611_HCC BEC 10741_CCDS09_BEC 10924+CCDS08_9284\1706 Errata summary\CCDS update\xCCDS 10 PFS Stivarg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HP\SM\STIVARGA regorafenib\AU\1_Submn\1611_HCC BEC 10741_CCDS09_BEC 10924+CCDS08_9284\1706 Errata summary\CCDS update\xCCDS 10 PFS Stivarga.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3595" cy="4213279"/>
                    </a:xfrm>
                    <a:prstGeom prst="rect">
                      <a:avLst/>
                    </a:prstGeom>
                    <a:noFill/>
                    <a:ln>
                      <a:noFill/>
                    </a:ln>
                  </pic:spPr>
                </pic:pic>
              </a:graphicData>
            </a:graphic>
          </wp:inline>
        </w:drawing>
      </w:r>
    </w:p>
    <w:p w14:paraId="3AE2A1A1" w14:textId="77777777" w:rsidR="00CD4EDB" w:rsidRDefault="00CD4EDB" w:rsidP="00FB4ECA">
      <w:pPr>
        <w:rPr>
          <w:rFonts w:ascii="Arial" w:hAnsi="Arial" w:cs="Arial"/>
          <w:b/>
          <w:sz w:val="22"/>
          <w:szCs w:val="22"/>
          <w:lang w:val="en-US"/>
        </w:rPr>
      </w:pPr>
    </w:p>
    <w:p w14:paraId="235F754E" w14:textId="77777777" w:rsidR="00CD4EDB" w:rsidRPr="00FB4ECA" w:rsidRDefault="00CD4EDB" w:rsidP="00FB4ECA">
      <w:pPr>
        <w:rPr>
          <w:rFonts w:ascii="Arial" w:hAnsi="Arial" w:cs="Arial"/>
          <w:b/>
          <w:sz w:val="22"/>
          <w:szCs w:val="22"/>
          <w:lang w:val="en-US"/>
        </w:rPr>
      </w:pPr>
    </w:p>
    <w:p w14:paraId="712C2776" w14:textId="77777777" w:rsidR="001D1004" w:rsidRPr="003A5EE1" w:rsidRDefault="001D1004" w:rsidP="0090345C">
      <w:pPr>
        <w:pStyle w:val="Heading1"/>
        <w:spacing w:before="0" w:after="0" w:line="240" w:lineRule="auto"/>
        <w:ind w:right="46"/>
      </w:pPr>
      <w:r w:rsidRPr="003A5EE1">
        <w:t>INDICATIONS</w:t>
      </w:r>
    </w:p>
    <w:p w14:paraId="712C2777" w14:textId="77777777" w:rsidR="001F55B3" w:rsidRDefault="001F55B3" w:rsidP="0090345C">
      <w:pPr>
        <w:ind w:right="46"/>
        <w:jc w:val="both"/>
        <w:rPr>
          <w:rFonts w:ascii="Arial" w:hAnsi="Arial" w:cs="Arial"/>
          <w:sz w:val="22"/>
          <w:szCs w:val="22"/>
          <w:lang w:val="en-AU"/>
        </w:rPr>
      </w:pPr>
    </w:p>
    <w:p w14:paraId="712C2778" w14:textId="2078EBF8" w:rsidR="001F3445" w:rsidRDefault="00601DFC" w:rsidP="00C8681C">
      <w:pPr>
        <w:ind w:right="45"/>
        <w:rPr>
          <w:rFonts w:ascii="Arial" w:hAnsi="Arial" w:cs="Arial"/>
          <w:snapToGrid w:val="0"/>
          <w:sz w:val="22"/>
          <w:szCs w:val="22"/>
          <w:lang w:eastAsia="de-DE"/>
        </w:rPr>
      </w:pPr>
      <w:r>
        <w:rPr>
          <w:rFonts w:ascii="Arial" w:hAnsi="Arial" w:cs="Arial"/>
          <w:sz w:val="22"/>
          <w:szCs w:val="22"/>
          <w:lang w:val="en-AU"/>
        </w:rPr>
        <w:t xml:space="preserve">STIVARGA </w:t>
      </w:r>
      <w:r w:rsidR="00B855C1" w:rsidRPr="003A5EE1">
        <w:rPr>
          <w:rFonts w:ascii="Arial" w:hAnsi="Arial" w:cs="Arial"/>
          <w:sz w:val="22"/>
          <w:szCs w:val="22"/>
          <w:lang w:val="en-AU"/>
        </w:rPr>
        <w:t xml:space="preserve">is indicated </w:t>
      </w:r>
      <w:r w:rsidR="00B855C1" w:rsidRPr="003A5EE1">
        <w:rPr>
          <w:rFonts w:ascii="Arial" w:hAnsi="Arial" w:cs="Arial"/>
          <w:snapToGrid w:val="0"/>
          <w:sz w:val="22"/>
          <w:szCs w:val="22"/>
          <w:lang w:eastAsia="de-DE"/>
        </w:rPr>
        <w:t xml:space="preserve">for the treatment of patients with metastatic colorectal cancer (CRC) who have been previously treated with  </w:t>
      </w:r>
      <w:proofErr w:type="spellStart"/>
      <w:r w:rsidR="00B855C1" w:rsidRPr="003A5EE1">
        <w:rPr>
          <w:rFonts w:ascii="Arial" w:hAnsi="Arial" w:cs="Arial"/>
          <w:snapToGrid w:val="0"/>
          <w:sz w:val="22"/>
          <w:szCs w:val="22"/>
          <w:lang w:eastAsia="de-DE"/>
        </w:rPr>
        <w:t>fluoropyrimidine</w:t>
      </w:r>
      <w:proofErr w:type="spellEnd"/>
      <w:r w:rsidR="00B855C1" w:rsidRPr="003A5EE1">
        <w:rPr>
          <w:rFonts w:ascii="Arial" w:hAnsi="Arial" w:cs="Arial"/>
          <w:snapToGrid w:val="0"/>
          <w:sz w:val="22"/>
          <w:szCs w:val="22"/>
          <w:lang w:eastAsia="de-DE"/>
        </w:rPr>
        <w:t>-</w:t>
      </w:r>
      <w:r w:rsidR="00C53189" w:rsidRPr="003A5EE1">
        <w:rPr>
          <w:rFonts w:ascii="Arial" w:hAnsi="Arial" w:cs="Arial"/>
          <w:snapToGrid w:val="0"/>
          <w:sz w:val="22"/>
          <w:szCs w:val="22"/>
          <w:lang w:eastAsia="de-DE"/>
        </w:rPr>
        <w:t>,</w:t>
      </w:r>
      <w:r w:rsidR="00C53189" w:rsidRPr="003A5EE1">
        <w:rPr>
          <w:rFonts w:ascii="Arial" w:hAnsi="Arial" w:cs="Arial"/>
          <w:sz w:val="22"/>
          <w:szCs w:val="22"/>
        </w:rPr>
        <w:t xml:space="preserve"> </w:t>
      </w:r>
      <w:proofErr w:type="spellStart"/>
      <w:r w:rsidR="00C53189" w:rsidRPr="003A5EE1">
        <w:rPr>
          <w:rFonts w:ascii="Arial" w:hAnsi="Arial" w:cs="Arial"/>
          <w:iCs/>
          <w:sz w:val="22"/>
          <w:szCs w:val="22"/>
        </w:rPr>
        <w:t>oxaliplatin</w:t>
      </w:r>
      <w:proofErr w:type="spellEnd"/>
      <w:r w:rsidR="00C53189" w:rsidRPr="003A5EE1">
        <w:rPr>
          <w:rFonts w:ascii="Arial" w:hAnsi="Arial" w:cs="Arial"/>
          <w:iCs/>
          <w:sz w:val="22"/>
          <w:szCs w:val="22"/>
        </w:rPr>
        <w:t>- and irinotecan-</w:t>
      </w:r>
      <w:r w:rsidR="00B855C1" w:rsidRPr="003A5EE1">
        <w:rPr>
          <w:rFonts w:ascii="Arial" w:hAnsi="Arial" w:cs="Arial"/>
          <w:snapToGrid w:val="0"/>
          <w:sz w:val="22"/>
          <w:szCs w:val="22"/>
          <w:lang w:eastAsia="de-DE"/>
        </w:rPr>
        <w:t>based chemotherapy, an anti-VEGF therapy, and,</w:t>
      </w:r>
      <w:r w:rsidR="00C8681C" w:rsidRPr="003A5EE1">
        <w:rPr>
          <w:rFonts w:ascii="Arial" w:hAnsi="Arial" w:cs="Arial"/>
          <w:snapToGrid w:val="0"/>
          <w:sz w:val="22"/>
          <w:szCs w:val="22"/>
          <w:lang w:eastAsia="de-DE"/>
        </w:rPr>
        <w:t xml:space="preserve"> if RAS wild type,</w:t>
      </w:r>
      <w:r w:rsidR="00B855C1" w:rsidRPr="003A5EE1">
        <w:rPr>
          <w:rFonts w:ascii="Arial" w:hAnsi="Arial" w:cs="Arial"/>
          <w:snapToGrid w:val="0"/>
          <w:sz w:val="22"/>
          <w:szCs w:val="22"/>
          <w:lang w:eastAsia="de-DE"/>
        </w:rPr>
        <w:t xml:space="preserve"> an anti-EGFR therapy.</w:t>
      </w:r>
    </w:p>
    <w:p w14:paraId="712C2779" w14:textId="77777777" w:rsidR="0067104F" w:rsidRDefault="0067104F" w:rsidP="00807A76">
      <w:pPr>
        <w:ind w:right="45"/>
        <w:rPr>
          <w:rFonts w:ascii="Arial" w:hAnsi="Arial" w:cs="Arial"/>
          <w:snapToGrid w:val="0"/>
          <w:sz w:val="22"/>
          <w:szCs w:val="22"/>
          <w:lang w:eastAsia="de-DE"/>
        </w:rPr>
      </w:pPr>
    </w:p>
    <w:p w14:paraId="26166B4E" w14:textId="7E046D1E" w:rsidR="0006400E" w:rsidRDefault="0067104F" w:rsidP="00807A76">
      <w:pPr>
        <w:ind w:right="45"/>
        <w:rPr>
          <w:rFonts w:ascii="Arial" w:hAnsi="Arial" w:cs="Arial"/>
          <w:snapToGrid w:val="0"/>
          <w:sz w:val="22"/>
          <w:szCs w:val="22"/>
          <w:lang w:eastAsia="de-DE"/>
        </w:rPr>
      </w:pPr>
      <w:r>
        <w:rPr>
          <w:rFonts w:ascii="Arial" w:hAnsi="Arial" w:cs="Arial"/>
          <w:snapToGrid w:val="0"/>
          <w:sz w:val="22"/>
          <w:szCs w:val="22"/>
          <w:lang w:eastAsia="de-DE"/>
        </w:rPr>
        <w:t>S</w:t>
      </w:r>
      <w:r w:rsidR="00601DFC">
        <w:rPr>
          <w:rFonts w:ascii="Arial" w:hAnsi="Arial" w:cs="Arial"/>
          <w:snapToGrid w:val="0"/>
          <w:sz w:val="22"/>
          <w:szCs w:val="22"/>
          <w:lang w:eastAsia="de-DE"/>
        </w:rPr>
        <w:t xml:space="preserve">TIVARGA </w:t>
      </w:r>
      <w:r>
        <w:rPr>
          <w:rFonts w:ascii="Arial" w:hAnsi="Arial" w:cs="Arial"/>
          <w:snapToGrid w:val="0"/>
          <w:sz w:val="22"/>
          <w:szCs w:val="22"/>
          <w:lang w:eastAsia="de-DE"/>
        </w:rPr>
        <w:t>is indicated for the treatment of patients with</w:t>
      </w:r>
      <w:r w:rsidR="00584FE0">
        <w:rPr>
          <w:rFonts w:ascii="Arial" w:hAnsi="Arial" w:cs="Arial"/>
          <w:snapToGrid w:val="0"/>
          <w:sz w:val="22"/>
          <w:szCs w:val="22"/>
          <w:lang w:eastAsia="de-DE"/>
        </w:rPr>
        <w:t xml:space="preserve"> unresectable or metastatic gastrointestinal</w:t>
      </w:r>
      <w:r>
        <w:rPr>
          <w:rFonts w:ascii="Arial" w:hAnsi="Arial" w:cs="Arial"/>
          <w:snapToGrid w:val="0"/>
          <w:sz w:val="22"/>
          <w:szCs w:val="22"/>
          <w:lang w:eastAsia="de-DE"/>
        </w:rPr>
        <w:t xml:space="preserve"> stromal tumours (GIST) who</w:t>
      </w:r>
      <w:r w:rsidR="00584FE0">
        <w:rPr>
          <w:rFonts w:ascii="Arial" w:hAnsi="Arial" w:cs="Arial"/>
          <w:snapToGrid w:val="0"/>
          <w:sz w:val="22"/>
          <w:szCs w:val="22"/>
          <w:lang w:eastAsia="de-DE"/>
        </w:rPr>
        <w:t xml:space="preserve"> progressed on or </w:t>
      </w:r>
      <w:proofErr w:type="gramStart"/>
      <w:r w:rsidR="00584FE0">
        <w:rPr>
          <w:rFonts w:ascii="Arial" w:hAnsi="Arial" w:cs="Arial"/>
          <w:snapToGrid w:val="0"/>
          <w:sz w:val="22"/>
          <w:szCs w:val="22"/>
          <w:lang w:eastAsia="de-DE"/>
        </w:rPr>
        <w:t>are</w:t>
      </w:r>
      <w:proofErr w:type="gramEnd"/>
      <w:r w:rsidR="00584FE0">
        <w:rPr>
          <w:rFonts w:ascii="Arial" w:hAnsi="Arial" w:cs="Arial"/>
          <w:snapToGrid w:val="0"/>
          <w:sz w:val="22"/>
          <w:szCs w:val="22"/>
          <w:lang w:eastAsia="de-DE"/>
        </w:rPr>
        <w:t xml:space="preserve"> intolerant to prior treatment with </w:t>
      </w:r>
      <w:proofErr w:type="spellStart"/>
      <w:r w:rsidR="00584FE0">
        <w:rPr>
          <w:rFonts w:ascii="Arial" w:hAnsi="Arial" w:cs="Arial"/>
          <w:snapToGrid w:val="0"/>
          <w:sz w:val="22"/>
          <w:szCs w:val="22"/>
          <w:lang w:eastAsia="de-DE"/>
        </w:rPr>
        <w:t>imatinib</w:t>
      </w:r>
      <w:proofErr w:type="spellEnd"/>
      <w:r w:rsidR="00584FE0">
        <w:rPr>
          <w:rFonts w:ascii="Arial" w:hAnsi="Arial" w:cs="Arial"/>
          <w:snapToGrid w:val="0"/>
          <w:sz w:val="22"/>
          <w:szCs w:val="22"/>
          <w:lang w:eastAsia="de-DE"/>
        </w:rPr>
        <w:t xml:space="preserve"> and </w:t>
      </w:r>
      <w:proofErr w:type="spellStart"/>
      <w:r w:rsidR="00584FE0">
        <w:rPr>
          <w:rFonts w:ascii="Arial" w:hAnsi="Arial" w:cs="Arial"/>
          <w:snapToGrid w:val="0"/>
          <w:sz w:val="22"/>
          <w:szCs w:val="22"/>
          <w:lang w:eastAsia="de-DE"/>
        </w:rPr>
        <w:t>sunitinib</w:t>
      </w:r>
      <w:proofErr w:type="spellEnd"/>
      <w:r>
        <w:rPr>
          <w:rFonts w:ascii="Arial" w:hAnsi="Arial" w:cs="Arial"/>
          <w:snapToGrid w:val="0"/>
          <w:sz w:val="22"/>
          <w:szCs w:val="22"/>
          <w:lang w:eastAsia="de-DE"/>
        </w:rPr>
        <w:t xml:space="preserve">. </w:t>
      </w:r>
    </w:p>
    <w:p w14:paraId="7DFD7A2D" w14:textId="77777777" w:rsidR="00E20CEA" w:rsidRDefault="00E20CEA" w:rsidP="00807A76">
      <w:pPr>
        <w:ind w:right="45"/>
        <w:rPr>
          <w:rFonts w:ascii="Arial" w:hAnsi="Arial" w:cs="Arial"/>
          <w:snapToGrid w:val="0"/>
          <w:sz w:val="22"/>
          <w:szCs w:val="22"/>
          <w:lang w:eastAsia="de-DE"/>
        </w:rPr>
      </w:pPr>
    </w:p>
    <w:p w14:paraId="451F565E" w14:textId="7B9374E5" w:rsidR="0006400E" w:rsidRPr="003A5EE1" w:rsidRDefault="007757B8" w:rsidP="00807A76">
      <w:pPr>
        <w:ind w:right="45"/>
        <w:rPr>
          <w:rFonts w:ascii="Arial" w:hAnsi="Arial" w:cs="Arial"/>
          <w:snapToGrid w:val="0"/>
          <w:sz w:val="22"/>
          <w:szCs w:val="22"/>
          <w:lang w:eastAsia="de-DE"/>
        </w:rPr>
      </w:pPr>
      <w:r>
        <w:rPr>
          <w:rFonts w:ascii="Arial" w:hAnsi="Arial" w:cs="Arial"/>
          <w:snapToGrid w:val="0"/>
          <w:sz w:val="22"/>
          <w:szCs w:val="22"/>
          <w:lang w:eastAsia="de-DE"/>
        </w:rPr>
        <w:t>STIVARGA</w:t>
      </w:r>
      <w:r w:rsidR="0006400E" w:rsidRPr="0006400E">
        <w:rPr>
          <w:rFonts w:ascii="Arial" w:hAnsi="Arial" w:cs="Arial"/>
          <w:snapToGrid w:val="0"/>
          <w:sz w:val="22"/>
          <w:szCs w:val="22"/>
          <w:lang w:eastAsia="de-DE"/>
        </w:rPr>
        <w:t xml:space="preserve"> is indicated for the treatment of patients with hepatocellular carcinoma (HCC) who have been previously treated with</w:t>
      </w:r>
      <w:r w:rsidR="00BA2A8A">
        <w:rPr>
          <w:rFonts w:ascii="Arial" w:hAnsi="Arial" w:cs="Arial"/>
          <w:snapToGrid w:val="0"/>
          <w:sz w:val="22"/>
          <w:szCs w:val="22"/>
          <w:lang w:eastAsia="de-DE"/>
        </w:rPr>
        <w:t xml:space="preserve"> </w:t>
      </w:r>
      <w:proofErr w:type="spellStart"/>
      <w:r w:rsidR="00BA2A8A">
        <w:rPr>
          <w:rFonts w:ascii="Arial" w:hAnsi="Arial" w:cs="Arial"/>
          <w:snapToGrid w:val="0"/>
          <w:sz w:val="22"/>
          <w:szCs w:val="22"/>
          <w:lang w:eastAsia="de-DE"/>
        </w:rPr>
        <w:t>sor</w:t>
      </w:r>
      <w:r w:rsidR="000B587F">
        <w:rPr>
          <w:rFonts w:ascii="Arial" w:hAnsi="Arial" w:cs="Arial"/>
          <w:snapToGrid w:val="0"/>
          <w:sz w:val="22"/>
          <w:szCs w:val="22"/>
          <w:lang w:eastAsia="de-DE"/>
        </w:rPr>
        <w:t>a</w:t>
      </w:r>
      <w:r w:rsidR="00BA2A8A">
        <w:rPr>
          <w:rFonts w:ascii="Arial" w:hAnsi="Arial" w:cs="Arial"/>
          <w:snapToGrid w:val="0"/>
          <w:sz w:val="22"/>
          <w:szCs w:val="22"/>
          <w:lang w:eastAsia="de-DE"/>
        </w:rPr>
        <w:t>fenib</w:t>
      </w:r>
      <w:proofErr w:type="spellEnd"/>
      <w:r w:rsidR="0006400E" w:rsidRPr="0006400E">
        <w:rPr>
          <w:rFonts w:ascii="Arial" w:hAnsi="Arial" w:cs="Arial"/>
          <w:snapToGrid w:val="0"/>
          <w:sz w:val="22"/>
          <w:szCs w:val="22"/>
          <w:lang w:eastAsia="de-DE"/>
        </w:rPr>
        <w:t>.</w:t>
      </w:r>
    </w:p>
    <w:p w14:paraId="712C277B" w14:textId="77777777" w:rsidR="001F55B3" w:rsidRPr="001F55B3" w:rsidRDefault="001F55B3" w:rsidP="0090345C">
      <w:pPr>
        <w:ind w:right="46"/>
        <w:jc w:val="both"/>
        <w:rPr>
          <w:rFonts w:ascii="Arial" w:hAnsi="Arial" w:cs="Arial"/>
          <w:lang w:val="en-AU"/>
        </w:rPr>
      </w:pPr>
    </w:p>
    <w:p w14:paraId="712C277C" w14:textId="77777777" w:rsidR="001D1004" w:rsidRPr="003A5EE1" w:rsidRDefault="001D1004" w:rsidP="0090345C">
      <w:pPr>
        <w:pStyle w:val="Heading1"/>
        <w:spacing w:before="0" w:after="0" w:line="240" w:lineRule="auto"/>
        <w:ind w:right="46"/>
      </w:pPr>
      <w:r w:rsidRPr="003A5EE1">
        <w:t>CONTRAINDICATIONS</w:t>
      </w:r>
    </w:p>
    <w:p w14:paraId="712C277D" w14:textId="77777777" w:rsidR="001F55B3" w:rsidRPr="001F55B3" w:rsidRDefault="001F55B3" w:rsidP="001F55B3">
      <w:pPr>
        <w:rPr>
          <w:lang w:val="en-AU"/>
        </w:rPr>
      </w:pPr>
    </w:p>
    <w:p w14:paraId="712C277E" w14:textId="0ADB26A4" w:rsidR="00B855C1" w:rsidRPr="003A5EE1" w:rsidRDefault="00791B8B" w:rsidP="0090345C">
      <w:pPr>
        <w:rPr>
          <w:rFonts w:ascii="Arial" w:hAnsi="Arial" w:cs="Arial"/>
          <w:sz w:val="22"/>
          <w:szCs w:val="22"/>
          <w:lang w:val="en-AU"/>
        </w:rPr>
      </w:pPr>
      <w:r w:rsidRPr="003A5EE1">
        <w:rPr>
          <w:rFonts w:ascii="Arial" w:hAnsi="Arial" w:cs="Arial"/>
          <w:sz w:val="22"/>
          <w:szCs w:val="22"/>
          <w:lang w:val="en-AU"/>
        </w:rPr>
        <w:t xml:space="preserve">Hypersensitivity to any of the ingredients contained in </w:t>
      </w:r>
      <w:r w:rsidR="00FF0B8E">
        <w:rPr>
          <w:rFonts w:ascii="Arial" w:hAnsi="Arial" w:cs="Arial"/>
          <w:sz w:val="22"/>
          <w:szCs w:val="22"/>
          <w:lang w:val="en-AU"/>
        </w:rPr>
        <w:t>STIVARGA</w:t>
      </w:r>
      <w:r w:rsidRPr="003A5EE1">
        <w:rPr>
          <w:rFonts w:ascii="Arial" w:hAnsi="Arial" w:cs="Arial"/>
          <w:sz w:val="22"/>
          <w:szCs w:val="22"/>
          <w:lang w:val="en-AU"/>
        </w:rPr>
        <w:t xml:space="preserve">. </w:t>
      </w:r>
    </w:p>
    <w:p w14:paraId="712C277F" w14:textId="2046D117" w:rsidR="001F55B3" w:rsidRPr="001F55B3" w:rsidRDefault="001F55B3" w:rsidP="0090345C">
      <w:pPr>
        <w:rPr>
          <w:rFonts w:ascii="Arial" w:hAnsi="Arial" w:cs="Arial"/>
          <w:lang w:val="en-AU"/>
        </w:rPr>
      </w:pPr>
    </w:p>
    <w:p w14:paraId="712C2780" w14:textId="77777777" w:rsidR="001D1004" w:rsidRDefault="001D1004" w:rsidP="005D4B74">
      <w:pPr>
        <w:pStyle w:val="Heading1"/>
        <w:spacing w:before="0" w:after="0" w:line="240" w:lineRule="auto"/>
        <w:ind w:right="46"/>
        <w:rPr>
          <w:color w:val="000000"/>
        </w:rPr>
      </w:pPr>
      <w:r w:rsidRPr="003A5EE1">
        <w:rPr>
          <w:color w:val="000000"/>
        </w:rPr>
        <w:lastRenderedPageBreak/>
        <w:t>PRECAUTIONS</w:t>
      </w:r>
    </w:p>
    <w:p w14:paraId="712C2782" w14:textId="77777777" w:rsidR="00B855C1" w:rsidRPr="00F4557E" w:rsidRDefault="00B855C1"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Hepat</w:t>
      </w:r>
      <w:r w:rsidR="00F65B34" w:rsidRPr="00F4557E">
        <w:rPr>
          <w:rFonts w:ascii="Arial" w:eastAsia="PMingLiU" w:hAnsi="Arial" w:cs="Arial"/>
          <w:i/>
          <w:color w:val="000000"/>
          <w:sz w:val="22"/>
          <w:szCs w:val="22"/>
          <w:lang w:eastAsia="zh-TW"/>
        </w:rPr>
        <w:t>otoxici</w:t>
      </w:r>
      <w:r w:rsidR="00157EDA" w:rsidRPr="00F4557E">
        <w:rPr>
          <w:rFonts w:ascii="Arial" w:eastAsia="PMingLiU" w:hAnsi="Arial" w:cs="Arial"/>
          <w:i/>
          <w:color w:val="000000"/>
          <w:sz w:val="22"/>
          <w:szCs w:val="22"/>
          <w:lang w:eastAsia="zh-TW"/>
        </w:rPr>
        <w:t>ty</w:t>
      </w:r>
    </w:p>
    <w:p w14:paraId="712C2784" w14:textId="1466161B" w:rsidR="00157EDA" w:rsidRDefault="00157EDA" w:rsidP="00157EDA">
      <w:pPr>
        <w:autoSpaceDE w:val="0"/>
        <w:autoSpaceDN w:val="0"/>
        <w:adjustRightInd w:val="0"/>
        <w:rPr>
          <w:rFonts w:ascii="Arial" w:hAnsi="Arial" w:cs="Arial"/>
          <w:sz w:val="22"/>
          <w:szCs w:val="22"/>
          <w:lang w:val="en-AU" w:eastAsia="en-AU"/>
        </w:rPr>
      </w:pPr>
      <w:r w:rsidRPr="003A5EE1">
        <w:rPr>
          <w:rFonts w:ascii="Arial" w:hAnsi="Arial" w:cs="Arial"/>
          <w:sz w:val="22"/>
          <w:szCs w:val="22"/>
          <w:lang w:val="en-AU" w:eastAsia="en-AU"/>
        </w:rPr>
        <w:t xml:space="preserve">Severe drug induced liver injury with fatal outcome </w:t>
      </w:r>
      <w:r w:rsidR="008D79FC" w:rsidRPr="003A5EE1">
        <w:rPr>
          <w:rFonts w:ascii="Arial" w:hAnsi="Arial" w:cs="Arial"/>
          <w:sz w:val="22"/>
          <w:szCs w:val="22"/>
          <w:lang w:val="en-AU" w:eastAsia="en-AU"/>
        </w:rPr>
        <w:t xml:space="preserve">has been observed in patients receiving </w:t>
      </w:r>
      <w:r w:rsidR="00FF0B8E">
        <w:rPr>
          <w:rFonts w:ascii="Arial" w:hAnsi="Arial" w:cs="Arial"/>
          <w:sz w:val="22"/>
          <w:szCs w:val="22"/>
          <w:lang w:val="en-AU" w:eastAsia="en-AU"/>
        </w:rPr>
        <w:t>STIVARGA</w:t>
      </w:r>
      <w:r w:rsidRPr="003A5EE1">
        <w:rPr>
          <w:rFonts w:ascii="Arial" w:hAnsi="Arial" w:cs="Arial"/>
          <w:sz w:val="22"/>
          <w:szCs w:val="22"/>
          <w:lang w:val="en-AU" w:eastAsia="en-AU"/>
        </w:rPr>
        <w:t>. Liver biopsy results, when available, showed hepatocyte necrosis with lymphocyte infilt</w:t>
      </w:r>
      <w:r w:rsidR="008D79FC" w:rsidRPr="003A5EE1">
        <w:rPr>
          <w:rFonts w:ascii="Arial" w:hAnsi="Arial" w:cs="Arial"/>
          <w:sz w:val="22"/>
          <w:szCs w:val="22"/>
          <w:lang w:val="en-AU" w:eastAsia="en-AU"/>
        </w:rPr>
        <w:t xml:space="preserve">ration. </w:t>
      </w:r>
    </w:p>
    <w:p w14:paraId="712C2785" w14:textId="77777777" w:rsidR="00DE2521" w:rsidRPr="003A5EE1" w:rsidRDefault="00DE2521" w:rsidP="00157EDA">
      <w:pPr>
        <w:autoSpaceDE w:val="0"/>
        <w:autoSpaceDN w:val="0"/>
        <w:adjustRightInd w:val="0"/>
        <w:rPr>
          <w:rFonts w:ascii="Arial" w:hAnsi="Arial" w:cs="Arial"/>
          <w:sz w:val="22"/>
          <w:szCs w:val="22"/>
          <w:lang w:val="en-AU" w:eastAsia="en-AU"/>
        </w:rPr>
      </w:pPr>
    </w:p>
    <w:p w14:paraId="712C2786" w14:textId="77777777" w:rsidR="00F10BAD" w:rsidRPr="003A5EE1" w:rsidRDefault="00B855C1" w:rsidP="00157EDA">
      <w:pPr>
        <w:autoSpaceDE w:val="0"/>
        <w:autoSpaceDN w:val="0"/>
        <w:adjustRightInd w:val="0"/>
        <w:rPr>
          <w:rFonts w:ascii="Arial" w:hAnsi="Arial" w:cs="Arial"/>
          <w:sz w:val="22"/>
          <w:szCs w:val="22"/>
        </w:rPr>
      </w:pPr>
      <w:r w:rsidRPr="003A5EE1">
        <w:rPr>
          <w:rFonts w:ascii="Arial" w:hAnsi="Arial" w:cs="Arial"/>
          <w:sz w:val="22"/>
          <w:szCs w:val="22"/>
        </w:rPr>
        <w:t>Abnormalities of liver function tests (alanine aminotransferase (ALT), aspartate</w:t>
      </w:r>
    </w:p>
    <w:p w14:paraId="712C2787" w14:textId="2B6AC9F3" w:rsidR="0047701A" w:rsidRDefault="00B855C1" w:rsidP="003A5EE1">
      <w:pPr>
        <w:autoSpaceDE w:val="0"/>
        <w:autoSpaceDN w:val="0"/>
        <w:adjustRightInd w:val="0"/>
        <w:rPr>
          <w:rFonts w:ascii="Arial" w:hAnsi="Arial" w:cs="Arial"/>
          <w:sz w:val="22"/>
          <w:szCs w:val="22"/>
        </w:rPr>
      </w:pPr>
      <w:proofErr w:type="gramStart"/>
      <w:r w:rsidRPr="003A5EE1">
        <w:rPr>
          <w:rFonts w:ascii="Arial" w:hAnsi="Arial" w:cs="Arial"/>
          <w:sz w:val="22"/>
          <w:szCs w:val="22"/>
        </w:rPr>
        <w:t>aminotransferase</w:t>
      </w:r>
      <w:proofErr w:type="gramEnd"/>
      <w:r w:rsidRPr="003A5EE1">
        <w:rPr>
          <w:rFonts w:ascii="Arial" w:hAnsi="Arial" w:cs="Arial"/>
          <w:sz w:val="22"/>
          <w:szCs w:val="22"/>
        </w:rPr>
        <w:t xml:space="preserve"> (AST) and bilirubin)</w:t>
      </w:r>
      <w:r w:rsidR="00C625A5">
        <w:rPr>
          <w:rFonts w:ascii="Arial" w:hAnsi="Arial" w:cs="Arial"/>
          <w:sz w:val="22"/>
          <w:szCs w:val="22"/>
        </w:rPr>
        <w:t>)</w:t>
      </w:r>
      <w:r w:rsidRPr="003A5EE1">
        <w:rPr>
          <w:rFonts w:ascii="Arial" w:hAnsi="Arial" w:cs="Arial"/>
          <w:sz w:val="22"/>
          <w:szCs w:val="22"/>
        </w:rPr>
        <w:t xml:space="preserve"> have been frequently observed in patients treated with </w:t>
      </w:r>
      <w:r w:rsidR="00FF0B8E">
        <w:rPr>
          <w:rFonts w:ascii="Arial" w:hAnsi="Arial" w:cs="Arial"/>
          <w:sz w:val="22"/>
          <w:szCs w:val="22"/>
        </w:rPr>
        <w:t>STIVARGA</w:t>
      </w:r>
      <w:r w:rsidRPr="003A5EE1">
        <w:rPr>
          <w:rFonts w:ascii="Arial" w:hAnsi="Arial" w:cs="Arial"/>
          <w:sz w:val="22"/>
          <w:szCs w:val="22"/>
        </w:rPr>
        <w:t xml:space="preserve">. </w:t>
      </w:r>
      <w:r w:rsidR="0047701A" w:rsidRPr="00485B52">
        <w:rPr>
          <w:rFonts w:ascii="Arial" w:hAnsi="Arial" w:cs="Arial"/>
          <w:sz w:val="22"/>
          <w:szCs w:val="22"/>
        </w:rPr>
        <w:t>Severe liver function test abnormalities (Grade 3 to 4) and hepatic dysfunction with clinical manifestations (including fatal outcomes) have been reported in a small proportion of patients</w:t>
      </w:r>
      <w:r w:rsidR="0047701A" w:rsidRPr="003C38E8">
        <w:rPr>
          <w:rFonts w:ascii="Arial" w:hAnsi="Arial" w:cs="Arial"/>
          <w:sz w:val="22"/>
          <w:szCs w:val="22"/>
        </w:rPr>
        <w:t xml:space="preserve"> (see Adverse Effects).</w:t>
      </w:r>
    </w:p>
    <w:p w14:paraId="712C2788" w14:textId="77777777" w:rsidR="0047701A" w:rsidRDefault="0047701A" w:rsidP="003A5EE1">
      <w:pPr>
        <w:autoSpaceDE w:val="0"/>
        <w:autoSpaceDN w:val="0"/>
        <w:adjustRightInd w:val="0"/>
        <w:rPr>
          <w:rFonts w:ascii="Arial" w:hAnsi="Arial" w:cs="Arial"/>
          <w:sz w:val="22"/>
          <w:szCs w:val="22"/>
        </w:rPr>
      </w:pPr>
    </w:p>
    <w:p w14:paraId="712C2789" w14:textId="3AD23556" w:rsidR="00B855C1" w:rsidRDefault="00B855C1" w:rsidP="003A5EE1">
      <w:pPr>
        <w:autoSpaceDE w:val="0"/>
        <w:autoSpaceDN w:val="0"/>
        <w:adjustRightInd w:val="0"/>
        <w:rPr>
          <w:rFonts w:ascii="Arial" w:hAnsi="Arial" w:cs="Arial"/>
          <w:sz w:val="22"/>
          <w:szCs w:val="22"/>
          <w:lang w:val="en-AU" w:eastAsia="en-AU"/>
        </w:rPr>
      </w:pPr>
      <w:r w:rsidRPr="003A5EE1">
        <w:rPr>
          <w:rFonts w:ascii="Arial" w:hAnsi="Arial" w:cs="Arial"/>
          <w:sz w:val="22"/>
          <w:szCs w:val="22"/>
        </w:rPr>
        <w:t xml:space="preserve">It is recommended to perform liver function tests (ALT, AST and bilirubin) before initiation of treatment with </w:t>
      </w:r>
      <w:r w:rsidR="00601DFC">
        <w:rPr>
          <w:rFonts w:ascii="Arial" w:hAnsi="Arial" w:cs="Arial"/>
          <w:sz w:val="22"/>
          <w:szCs w:val="22"/>
        </w:rPr>
        <w:t xml:space="preserve">STIVARGA </w:t>
      </w:r>
      <w:r w:rsidRPr="003A5EE1">
        <w:rPr>
          <w:rFonts w:ascii="Arial" w:hAnsi="Arial" w:cs="Arial"/>
          <w:sz w:val="22"/>
          <w:szCs w:val="22"/>
        </w:rPr>
        <w:t xml:space="preserve">and monitor closely (at least every two weeks) during the first </w:t>
      </w:r>
      <w:r w:rsidR="007E4AA5" w:rsidRPr="003A5EE1">
        <w:rPr>
          <w:rFonts w:ascii="Arial" w:hAnsi="Arial" w:cs="Arial"/>
          <w:sz w:val="22"/>
          <w:szCs w:val="22"/>
        </w:rPr>
        <w:t>two</w:t>
      </w:r>
      <w:r w:rsidRPr="003A5EE1">
        <w:rPr>
          <w:rFonts w:ascii="Arial" w:hAnsi="Arial" w:cs="Arial"/>
          <w:sz w:val="22"/>
          <w:szCs w:val="22"/>
        </w:rPr>
        <w:t xml:space="preserve"> months of treatment. Thereafter, periodic monitoring should be continued at least monthly and as clinically indicated. </w:t>
      </w:r>
      <w:r w:rsidR="00157EDA" w:rsidRPr="003A5EE1">
        <w:rPr>
          <w:rFonts w:ascii="Arial" w:hAnsi="Arial" w:cs="Arial"/>
          <w:sz w:val="22"/>
          <w:szCs w:val="22"/>
          <w:lang w:val="en-AU" w:eastAsia="en-AU"/>
        </w:rPr>
        <w:t>Monitor liver function tests weekly in patients experiencing elevated liver function tests until improvement to less than 3 times the</w:t>
      </w:r>
      <w:r w:rsidR="00F65B34" w:rsidRPr="003A5EE1">
        <w:rPr>
          <w:rFonts w:ascii="Arial" w:hAnsi="Arial" w:cs="Arial"/>
          <w:sz w:val="22"/>
          <w:szCs w:val="22"/>
          <w:lang w:val="en-AU" w:eastAsia="en-AU"/>
        </w:rPr>
        <w:t xml:space="preserve"> </w:t>
      </w:r>
      <w:r w:rsidR="00157EDA" w:rsidRPr="003A5EE1">
        <w:rPr>
          <w:rFonts w:ascii="Arial" w:hAnsi="Arial" w:cs="Arial"/>
          <w:sz w:val="22"/>
          <w:szCs w:val="22"/>
          <w:lang w:val="en-AU" w:eastAsia="en-AU"/>
        </w:rPr>
        <w:t>ULN or baseline.</w:t>
      </w:r>
    </w:p>
    <w:p w14:paraId="712C278A" w14:textId="77777777" w:rsidR="005F1132" w:rsidRDefault="005F1132" w:rsidP="003A5EE1">
      <w:pPr>
        <w:autoSpaceDE w:val="0"/>
        <w:autoSpaceDN w:val="0"/>
        <w:adjustRightInd w:val="0"/>
        <w:rPr>
          <w:rFonts w:ascii="Arial" w:hAnsi="Arial" w:cs="Arial"/>
        </w:rPr>
      </w:pPr>
    </w:p>
    <w:p w14:paraId="712C278B" w14:textId="77777777"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Regorafenib is a </w:t>
      </w:r>
      <w:r w:rsidR="00BB3DF3" w:rsidRPr="003A5EE1">
        <w:rPr>
          <w:rFonts w:ascii="Arial" w:hAnsi="Arial" w:cs="Arial"/>
          <w:sz w:val="22"/>
          <w:szCs w:val="22"/>
        </w:rPr>
        <w:t xml:space="preserve">uridine diphosphate </w:t>
      </w:r>
      <w:proofErr w:type="spellStart"/>
      <w:r w:rsidR="00BB3DF3" w:rsidRPr="003A5EE1">
        <w:rPr>
          <w:rFonts w:ascii="Arial" w:hAnsi="Arial" w:cs="Arial"/>
          <w:sz w:val="22"/>
          <w:szCs w:val="22"/>
        </w:rPr>
        <w:t>glucuronosyl</w:t>
      </w:r>
      <w:proofErr w:type="spellEnd"/>
      <w:r w:rsidR="00BB3DF3" w:rsidRPr="003A5EE1">
        <w:rPr>
          <w:rFonts w:ascii="Arial" w:hAnsi="Arial" w:cs="Arial"/>
          <w:sz w:val="22"/>
          <w:szCs w:val="22"/>
        </w:rPr>
        <w:t xml:space="preserve"> transferase </w:t>
      </w:r>
      <w:r w:rsidRPr="003A5EE1">
        <w:rPr>
          <w:rFonts w:ascii="Arial" w:hAnsi="Arial" w:cs="Arial"/>
          <w:sz w:val="22"/>
          <w:szCs w:val="22"/>
        </w:rPr>
        <w:t>UGT1A1 inhibitor (</w:t>
      </w:r>
      <w:r w:rsidR="00E03A8B" w:rsidRPr="003A5EE1">
        <w:rPr>
          <w:rFonts w:ascii="Arial" w:hAnsi="Arial" w:cs="Arial"/>
          <w:sz w:val="22"/>
          <w:szCs w:val="22"/>
        </w:rPr>
        <w:t xml:space="preserve">see </w:t>
      </w:r>
      <w:r w:rsidR="00613825">
        <w:rPr>
          <w:rFonts w:ascii="Arial" w:hAnsi="Arial" w:cs="Arial"/>
          <w:sz w:val="22"/>
          <w:szCs w:val="22"/>
        </w:rPr>
        <w:t>INTERACTIONS WITH OTHER MEDICINES</w:t>
      </w:r>
      <w:r w:rsidRPr="003A5EE1">
        <w:rPr>
          <w:rFonts w:ascii="Arial" w:hAnsi="Arial" w:cs="Arial"/>
          <w:sz w:val="22"/>
          <w:szCs w:val="22"/>
        </w:rPr>
        <w:t>). Mild, indirect (unconjugated) hyperbilirubinemia may occur in patients with Gilbert’s syndrome.</w:t>
      </w:r>
    </w:p>
    <w:p w14:paraId="712C278C" w14:textId="77777777" w:rsidR="001F55B3" w:rsidRPr="003A5EE1" w:rsidRDefault="001F55B3" w:rsidP="002E54D9">
      <w:pPr>
        <w:pStyle w:val="BayerBodyTextFull"/>
        <w:spacing w:before="0" w:after="0"/>
        <w:rPr>
          <w:rFonts w:ascii="Arial" w:hAnsi="Arial" w:cs="Arial"/>
          <w:sz w:val="22"/>
          <w:szCs w:val="22"/>
        </w:rPr>
      </w:pPr>
    </w:p>
    <w:p w14:paraId="712C278D" w14:textId="2D54F7B7"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For patients with observed worsening of liver function tests considered related to treatment with </w:t>
      </w:r>
      <w:r w:rsidR="00601DFC">
        <w:rPr>
          <w:rFonts w:ascii="Arial" w:hAnsi="Arial" w:cs="Arial"/>
          <w:sz w:val="22"/>
          <w:szCs w:val="22"/>
        </w:rPr>
        <w:t xml:space="preserve">STIVARGA </w:t>
      </w:r>
      <w:r w:rsidRPr="003A5EE1">
        <w:rPr>
          <w:rFonts w:ascii="Arial" w:hAnsi="Arial" w:cs="Arial"/>
          <w:sz w:val="22"/>
          <w:szCs w:val="22"/>
        </w:rPr>
        <w:t xml:space="preserve">(i.e. where no alternative cause is evident, such as post-hepatic cholestasis or disease progression), the dose modification and monitoring advice </w:t>
      </w:r>
      <w:r w:rsidR="007B431E" w:rsidRPr="003A5EE1">
        <w:rPr>
          <w:rFonts w:ascii="Arial" w:hAnsi="Arial" w:cs="Arial"/>
          <w:sz w:val="22"/>
          <w:szCs w:val="22"/>
        </w:rPr>
        <w:t xml:space="preserve">should be followed. This is outlined </w:t>
      </w:r>
      <w:r w:rsidRPr="003A5EE1">
        <w:rPr>
          <w:rFonts w:ascii="Arial" w:hAnsi="Arial" w:cs="Arial"/>
          <w:sz w:val="22"/>
          <w:szCs w:val="22"/>
        </w:rPr>
        <w:t xml:space="preserve">in </w:t>
      </w:r>
      <w:r w:rsidR="007E4AA5" w:rsidRPr="003A5EE1">
        <w:rPr>
          <w:rFonts w:ascii="Arial" w:hAnsi="Arial" w:cs="Arial"/>
          <w:sz w:val="22"/>
          <w:szCs w:val="22"/>
        </w:rPr>
        <w:t xml:space="preserve">Table </w:t>
      </w:r>
      <w:r w:rsidR="006C3E63">
        <w:rPr>
          <w:rFonts w:ascii="Arial" w:hAnsi="Arial" w:cs="Arial"/>
          <w:sz w:val="22"/>
          <w:szCs w:val="22"/>
        </w:rPr>
        <w:t>9</w:t>
      </w:r>
      <w:r w:rsidR="007B431E" w:rsidRPr="003A5EE1">
        <w:rPr>
          <w:rFonts w:ascii="Arial" w:hAnsi="Arial" w:cs="Arial"/>
          <w:sz w:val="22"/>
          <w:szCs w:val="22"/>
        </w:rPr>
        <w:t xml:space="preserve">: Recommended measures and dose modifications in case of drug-related liver function tests abnormalities found in </w:t>
      </w:r>
      <w:r w:rsidR="00F00CDC">
        <w:rPr>
          <w:rFonts w:ascii="Arial" w:hAnsi="Arial" w:cs="Arial"/>
          <w:sz w:val="22"/>
          <w:szCs w:val="22"/>
        </w:rPr>
        <w:t>DOSAGE AND ADMINISTRATION</w:t>
      </w:r>
      <w:r w:rsidR="007B431E" w:rsidRPr="003A5EE1">
        <w:rPr>
          <w:rFonts w:ascii="Arial" w:hAnsi="Arial" w:cs="Arial"/>
          <w:sz w:val="22"/>
          <w:szCs w:val="22"/>
        </w:rPr>
        <w:t xml:space="preserve"> – Dose modification section. </w:t>
      </w:r>
    </w:p>
    <w:p w14:paraId="54A328D2" w14:textId="18FC7A84" w:rsidR="0006400E" w:rsidRPr="00F4557E" w:rsidRDefault="0006400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Infections </w:t>
      </w:r>
    </w:p>
    <w:p w14:paraId="1261EF90" w14:textId="12EB2142" w:rsidR="0006400E" w:rsidRPr="0006400E" w:rsidRDefault="007757B8" w:rsidP="0006400E">
      <w:pPr>
        <w:pStyle w:val="BayerBodyTextFull"/>
        <w:rPr>
          <w:rFonts w:ascii="Arial" w:hAnsi="Arial" w:cs="Arial"/>
          <w:sz w:val="22"/>
          <w:szCs w:val="22"/>
        </w:rPr>
      </w:pPr>
      <w:r>
        <w:rPr>
          <w:rFonts w:ascii="Arial" w:hAnsi="Arial" w:cs="Arial"/>
          <w:sz w:val="22"/>
          <w:szCs w:val="22"/>
        </w:rPr>
        <w:t>STIVARGA</w:t>
      </w:r>
      <w:r w:rsidR="0006400E" w:rsidRPr="0006400E">
        <w:rPr>
          <w:rFonts w:ascii="Arial" w:hAnsi="Arial" w:cs="Arial"/>
          <w:sz w:val="22"/>
          <w:szCs w:val="22"/>
        </w:rPr>
        <w:t xml:space="preserve"> has been associated with an increased incidence of infection events, some of which were fatal (see </w:t>
      </w:r>
      <w:r w:rsidR="00277DF9" w:rsidRPr="00277DF9">
        <w:rPr>
          <w:rFonts w:ascii="Arial" w:hAnsi="Arial" w:cs="Arial"/>
          <w:sz w:val="22"/>
          <w:szCs w:val="22"/>
        </w:rPr>
        <w:t>ADVERSE EFFECTS</w:t>
      </w:r>
      <w:r w:rsidR="0006400E" w:rsidRPr="0006400E">
        <w:rPr>
          <w:rFonts w:ascii="Arial" w:hAnsi="Arial" w:cs="Arial"/>
          <w:sz w:val="22"/>
          <w:szCs w:val="22"/>
        </w:rPr>
        <w:t>).</w:t>
      </w:r>
    </w:p>
    <w:p w14:paraId="5F35C0DA" w14:textId="44D3569C" w:rsidR="0006400E" w:rsidRPr="003A5EE1" w:rsidRDefault="0006400E" w:rsidP="0006400E">
      <w:pPr>
        <w:pStyle w:val="BayerBodyTextFull"/>
        <w:spacing w:before="0" w:after="0"/>
        <w:rPr>
          <w:rFonts w:ascii="Arial" w:hAnsi="Arial" w:cs="Arial"/>
          <w:sz w:val="22"/>
          <w:szCs w:val="22"/>
        </w:rPr>
      </w:pPr>
      <w:r w:rsidRPr="0006400E">
        <w:rPr>
          <w:rFonts w:ascii="Arial" w:hAnsi="Arial" w:cs="Arial"/>
          <w:sz w:val="22"/>
          <w:szCs w:val="22"/>
        </w:rPr>
        <w:t xml:space="preserve">In cases of worsening infection events, interruption of </w:t>
      </w:r>
      <w:r w:rsidR="007757B8">
        <w:rPr>
          <w:rFonts w:ascii="Arial" w:hAnsi="Arial" w:cs="Arial"/>
          <w:sz w:val="22"/>
          <w:szCs w:val="22"/>
        </w:rPr>
        <w:t>STIVARGA</w:t>
      </w:r>
      <w:r w:rsidRPr="0006400E">
        <w:rPr>
          <w:rFonts w:ascii="Arial" w:hAnsi="Arial" w:cs="Arial"/>
          <w:sz w:val="22"/>
          <w:szCs w:val="22"/>
        </w:rPr>
        <w:t xml:space="preserve"> treatment should be considered.</w:t>
      </w:r>
    </w:p>
    <w:p w14:paraId="712C2791" w14:textId="77777777" w:rsidR="00B855C1" w:rsidRPr="00F4557E" w:rsidRDefault="00B855C1"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Haemorrhage</w:t>
      </w:r>
    </w:p>
    <w:p w14:paraId="712C2793" w14:textId="3EC96B4A" w:rsidR="00701A0C" w:rsidRPr="003A5EE1" w:rsidRDefault="00601DFC" w:rsidP="00701A0C">
      <w:pPr>
        <w:autoSpaceDE w:val="0"/>
        <w:autoSpaceDN w:val="0"/>
        <w:adjustRightInd w:val="0"/>
        <w:rPr>
          <w:rFonts w:ascii="Arial" w:hAnsi="Arial" w:cs="Arial"/>
          <w:sz w:val="22"/>
          <w:szCs w:val="22"/>
          <w:lang w:val="en-AU" w:eastAsia="en-AU"/>
        </w:rPr>
      </w:pPr>
      <w:r>
        <w:rPr>
          <w:rFonts w:ascii="Arial" w:hAnsi="Arial" w:cs="Arial"/>
          <w:sz w:val="22"/>
          <w:szCs w:val="22"/>
        </w:rPr>
        <w:t xml:space="preserve">STIVARGA </w:t>
      </w:r>
      <w:r w:rsidR="00B855C1" w:rsidRPr="003A5EE1">
        <w:rPr>
          <w:rFonts w:ascii="Arial" w:hAnsi="Arial" w:cs="Arial"/>
          <w:sz w:val="22"/>
          <w:szCs w:val="22"/>
        </w:rPr>
        <w:t>has been associated with an increased incidence of h</w:t>
      </w:r>
      <w:r w:rsidR="008D4A25" w:rsidRPr="003A5EE1">
        <w:rPr>
          <w:rFonts w:ascii="Arial" w:hAnsi="Arial" w:cs="Arial"/>
          <w:sz w:val="22"/>
          <w:szCs w:val="22"/>
        </w:rPr>
        <w:t>a</w:t>
      </w:r>
      <w:r w:rsidR="00B855C1" w:rsidRPr="003A5EE1">
        <w:rPr>
          <w:rFonts w:ascii="Arial" w:hAnsi="Arial" w:cs="Arial"/>
          <w:sz w:val="22"/>
          <w:szCs w:val="22"/>
        </w:rPr>
        <w:t>emorrhagic events, some of which were fatal (</w:t>
      </w:r>
      <w:r w:rsidR="00537998">
        <w:rPr>
          <w:rFonts w:ascii="Arial" w:hAnsi="Arial" w:cs="Arial"/>
          <w:sz w:val="22"/>
          <w:szCs w:val="22"/>
        </w:rPr>
        <w:t>see</w:t>
      </w:r>
      <w:r w:rsidR="008D4A25" w:rsidRPr="003A5EE1">
        <w:rPr>
          <w:rFonts w:ascii="Arial" w:hAnsi="Arial" w:cs="Arial"/>
          <w:sz w:val="22"/>
          <w:szCs w:val="22"/>
        </w:rPr>
        <w:t xml:space="preserve"> </w:t>
      </w:r>
      <w:r w:rsidR="00F00CDC">
        <w:rPr>
          <w:rFonts w:ascii="Arial" w:hAnsi="Arial" w:cs="Arial"/>
          <w:sz w:val="22"/>
          <w:szCs w:val="22"/>
        </w:rPr>
        <w:t>ADVERSE EFFECTS</w:t>
      </w:r>
      <w:r w:rsidR="00B855C1" w:rsidRPr="003A5EE1">
        <w:rPr>
          <w:rFonts w:ascii="Arial" w:hAnsi="Arial" w:cs="Arial"/>
          <w:sz w:val="22"/>
          <w:szCs w:val="22"/>
        </w:rPr>
        <w:t>).</w:t>
      </w:r>
      <w:r w:rsidR="00701A0C" w:rsidRPr="003A5EE1">
        <w:rPr>
          <w:rFonts w:ascii="Arial" w:hAnsi="Arial" w:cs="Arial"/>
          <w:sz w:val="22"/>
          <w:szCs w:val="22"/>
          <w:lang w:val="en-AU" w:eastAsia="en-AU"/>
        </w:rPr>
        <w:t xml:space="preserve"> Fatal h</w:t>
      </w:r>
      <w:r w:rsidR="008D79FC" w:rsidRPr="003A5EE1">
        <w:rPr>
          <w:rFonts w:ascii="Arial" w:hAnsi="Arial" w:cs="Arial"/>
          <w:sz w:val="22"/>
          <w:szCs w:val="22"/>
          <w:lang w:val="en-AU" w:eastAsia="en-AU"/>
        </w:rPr>
        <w:t>a</w:t>
      </w:r>
      <w:r w:rsidR="00701A0C" w:rsidRPr="003A5EE1">
        <w:rPr>
          <w:rFonts w:ascii="Arial" w:hAnsi="Arial" w:cs="Arial"/>
          <w:sz w:val="22"/>
          <w:szCs w:val="22"/>
          <w:lang w:val="en-AU" w:eastAsia="en-AU"/>
        </w:rPr>
        <w:t xml:space="preserve">emorrhage </w:t>
      </w:r>
      <w:r w:rsidR="008D79FC" w:rsidRPr="003A5EE1">
        <w:rPr>
          <w:rFonts w:ascii="Arial" w:hAnsi="Arial" w:cs="Arial"/>
          <w:sz w:val="22"/>
          <w:szCs w:val="22"/>
          <w:lang w:val="en-AU" w:eastAsia="en-AU"/>
        </w:rPr>
        <w:t>was observed in pa</w:t>
      </w:r>
      <w:r w:rsidR="00022A39" w:rsidRPr="003A5EE1">
        <w:rPr>
          <w:rFonts w:ascii="Arial" w:hAnsi="Arial" w:cs="Arial"/>
          <w:sz w:val="22"/>
          <w:szCs w:val="22"/>
          <w:lang w:val="en-AU" w:eastAsia="en-AU"/>
        </w:rPr>
        <w:t xml:space="preserve">tients treated with </w:t>
      </w:r>
      <w:r>
        <w:rPr>
          <w:rFonts w:ascii="Arial" w:hAnsi="Arial" w:cs="Arial"/>
          <w:sz w:val="22"/>
          <w:szCs w:val="22"/>
          <w:lang w:val="en-AU" w:eastAsia="en-AU"/>
        </w:rPr>
        <w:t xml:space="preserve">STIVARGA </w:t>
      </w:r>
      <w:r w:rsidR="00701A0C" w:rsidRPr="003A5EE1">
        <w:rPr>
          <w:rFonts w:ascii="Arial" w:hAnsi="Arial" w:cs="Arial"/>
          <w:sz w:val="22"/>
          <w:szCs w:val="22"/>
          <w:lang w:val="en-AU" w:eastAsia="en-AU"/>
        </w:rPr>
        <w:t xml:space="preserve">and involved the respiratory, gastrointestinal, or genitourinary tracts. </w:t>
      </w:r>
    </w:p>
    <w:p w14:paraId="712C2794" w14:textId="77777777" w:rsidR="00701A0C" w:rsidRPr="003A5EE1" w:rsidRDefault="00701A0C" w:rsidP="00701A0C">
      <w:pPr>
        <w:autoSpaceDE w:val="0"/>
        <w:autoSpaceDN w:val="0"/>
        <w:adjustRightInd w:val="0"/>
        <w:rPr>
          <w:rFonts w:ascii="Arial" w:hAnsi="Arial" w:cs="Arial"/>
          <w:sz w:val="22"/>
          <w:szCs w:val="22"/>
          <w:lang w:val="en-AU" w:eastAsia="en-AU"/>
        </w:rPr>
      </w:pPr>
    </w:p>
    <w:p w14:paraId="712C2795" w14:textId="2FAE0C46" w:rsidR="006C6A9D" w:rsidRPr="003A5EE1" w:rsidRDefault="00B855C1" w:rsidP="00701A0C">
      <w:pPr>
        <w:autoSpaceDE w:val="0"/>
        <w:autoSpaceDN w:val="0"/>
        <w:adjustRightInd w:val="0"/>
        <w:rPr>
          <w:rFonts w:ascii="Arial" w:hAnsi="Arial" w:cs="Arial"/>
          <w:sz w:val="22"/>
          <w:szCs w:val="22"/>
        </w:rPr>
      </w:pPr>
      <w:r w:rsidRPr="003A5EE1">
        <w:rPr>
          <w:rFonts w:ascii="Arial" w:hAnsi="Arial" w:cs="Arial"/>
          <w:sz w:val="22"/>
          <w:szCs w:val="22"/>
        </w:rPr>
        <w:t>Blood counts and coagulation parameters should be monitored in patie</w:t>
      </w:r>
      <w:r w:rsidR="008D4A25" w:rsidRPr="003A5EE1">
        <w:rPr>
          <w:rFonts w:ascii="Arial" w:hAnsi="Arial" w:cs="Arial"/>
          <w:sz w:val="22"/>
          <w:szCs w:val="22"/>
        </w:rPr>
        <w:t xml:space="preserve">nts with conditions </w:t>
      </w:r>
      <w:r w:rsidR="009B499F">
        <w:rPr>
          <w:rFonts w:ascii="Arial" w:hAnsi="Arial" w:cs="Arial"/>
          <w:sz w:val="22"/>
          <w:szCs w:val="22"/>
        </w:rPr>
        <w:t xml:space="preserve">that </w:t>
      </w:r>
      <w:r w:rsidR="008D4A25" w:rsidRPr="003A5EE1">
        <w:rPr>
          <w:rFonts w:ascii="Arial" w:hAnsi="Arial" w:cs="Arial"/>
          <w:sz w:val="22"/>
          <w:szCs w:val="22"/>
        </w:rPr>
        <w:t>predispose</w:t>
      </w:r>
      <w:r w:rsidRPr="003A5EE1">
        <w:rPr>
          <w:rFonts w:ascii="Arial" w:hAnsi="Arial" w:cs="Arial"/>
          <w:sz w:val="22"/>
          <w:szCs w:val="22"/>
        </w:rPr>
        <w:t xml:space="preserve"> to bleeding, and in those treated with anti</w:t>
      </w:r>
      <w:r w:rsidR="008D4A25" w:rsidRPr="003A5EE1">
        <w:rPr>
          <w:rFonts w:ascii="Arial" w:hAnsi="Arial" w:cs="Arial"/>
          <w:sz w:val="22"/>
          <w:szCs w:val="22"/>
        </w:rPr>
        <w:t>-</w:t>
      </w:r>
      <w:r w:rsidRPr="003A5EE1">
        <w:rPr>
          <w:rFonts w:ascii="Arial" w:hAnsi="Arial" w:cs="Arial"/>
          <w:sz w:val="22"/>
          <w:szCs w:val="22"/>
        </w:rPr>
        <w:t xml:space="preserve">coagulants </w:t>
      </w:r>
      <w:r w:rsidR="00BB3DF3" w:rsidRPr="003A5EE1">
        <w:rPr>
          <w:rFonts w:ascii="Arial" w:hAnsi="Arial" w:cs="Arial"/>
          <w:sz w:val="22"/>
          <w:szCs w:val="22"/>
        </w:rPr>
        <w:t xml:space="preserve">(e.g. warfarin) </w:t>
      </w:r>
      <w:r w:rsidRPr="003A5EE1">
        <w:rPr>
          <w:rFonts w:ascii="Arial" w:hAnsi="Arial" w:cs="Arial"/>
          <w:sz w:val="22"/>
          <w:szCs w:val="22"/>
        </w:rPr>
        <w:t>or other concomitant medic</w:t>
      </w:r>
      <w:r w:rsidR="00537998">
        <w:rPr>
          <w:rFonts w:ascii="Arial" w:hAnsi="Arial" w:cs="Arial"/>
          <w:sz w:val="22"/>
          <w:szCs w:val="22"/>
        </w:rPr>
        <w:t>inal products</w:t>
      </w:r>
      <w:r w:rsidRPr="003A5EE1">
        <w:rPr>
          <w:rFonts w:ascii="Arial" w:hAnsi="Arial" w:cs="Arial"/>
          <w:sz w:val="22"/>
          <w:szCs w:val="22"/>
        </w:rPr>
        <w:t xml:space="preserve"> that increase the risk of bleeding.</w:t>
      </w:r>
      <w:r w:rsidR="006C6A9D" w:rsidRPr="003A5EE1">
        <w:rPr>
          <w:rFonts w:ascii="Arial" w:hAnsi="Arial" w:cs="Arial"/>
          <w:sz w:val="22"/>
          <w:szCs w:val="22"/>
        </w:rPr>
        <w:t xml:space="preserve"> </w:t>
      </w:r>
      <w:r w:rsidR="00C162D8" w:rsidRPr="003A5EE1">
        <w:rPr>
          <w:rFonts w:ascii="Arial" w:hAnsi="Arial" w:cs="Arial"/>
          <w:sz w:val="22"/>
          <w:szCs w:val="22"/>
        </w:rPr>
        <w:t>I</w:t>
      </w:r>
      <w:r w:rsidR="00E4702E" w:rsidRPr="003A5EE1">
        <w:rPr>
          <w:rFonts w:ascii="Arial" w:hAnsi="Arial" w:cs="Arial"/>
          <w:sz w:val="22"/>
          <w:szCs w:val="22"/>
        </w:rPr>
        <w:t>nternational normalised ratio (</w:t>
      </w:r>
      <w:r w:rsidR="006C6A9D" w:rsidRPr="003A5EE1">
        <w:rPr>
          <w:rFonts w:ascii="Arial" w:hAnsi="Arial" w:cs="Arial"/>
          <w:sz w:val="22"/>
          <w:szCs w:val="22"/>
        </w:rPr>
        <w:t>INR</w:t>
      </w:r>
      <w:r w:rsidR="00E4702E" w:rsidRPr="003A5EE1">
        <w:rPr>
          <w:rFonts w:ascii="Arial" w:hAnsi="Arial" w:cs="Arial"/>
          <w:sz w:val="22"/>
          <w:szCs w:val="22"/>
        </w:rPr>
        <w:t>)</w:t>
      </w:r>
      <w:r w:rsidR="006C6A9D" w:rsidRPr="003A5EE1">
        <w:rPr>
          <w:rFonts w:ascii="Arial" w:hAnsi="Arial" w:cs="Arial"/>
          <w:sz w:val="22"/>
          <w:szCs w:val="22"/>
        </w:rPr>
        <w:t xml:space="preserve"> values </w:t>
      </w:r>
      <w:r w:rsidR="00C162D8" w:rsidRPr="003A5EE1">
        <w:rPr>
          <w:rFonts w:ascii="Arial" w:hAnsi="Arial" w:cs="Arial"/>
          <w:sz w:val="22"/>
          <w:szCs w:val="22"/>
        </w:rPr>
        <w:t xml:space="preserve">are to be </w:t>
      </w:r>
      <w:r w:rsidR="006C6A9D" w:rsidRPr="003A5EE1">
        <w:rPr>
          <w:rFonts w:ascii="Arial" w:hAnsi="Arial" w:cs="Arial"/>
          <w:sz w:val="22"/>
          <w:szCs w:val="22"/>
        </w:rPr>
        <w:t xml:space="preserve">more frequently </w:t>
      </w:r>
      <w:r w:rsidR="00C162D8" w:rsidRPr="003A5EE1">
        <w:rPr>
          <w:rFonts w:ascii="Arial" w:hAnsi="Arial" w:cs="Arial"/>
          <w:sz w:val="22"/>
          <w:szCs w:val="22"/>
        </w:rPr>
        <w:t xml:space="preserve">monitored </w:t>
      </w:r>
      <w:r w:rsidR="006C6A9D" w:rsidRPr="003A5EE1">
        <w:rPr>
          <w:rFonts w:ascii="Arial" w:hAnsi="Arial" w:cs="Arial"/>
          <w:sz w:val="22"/>
          <w:szCs w:val="22"/>
        </w:rPr>
        <w:t xml:space="preserve">in patients receiving warfarin. </w:t>
      </w:r>
    </w:p>
    <w:p w14:paraId="712C2796" w14:textId="77777777" w:rsidR="006C6A9D" w:rsidRPr="003A5EE1" w:rsidRDefault="006C6A9D" w:rsidP="00F34FCB">
      <w:pPr>
        <w:pStyle w:val="BayerBodyTextFull"/>
        <w:spacing w:before="0" w:after="0"/>
        <w:rPr>
          <w:rFonts w:ascii="Arial" w:hAnsi="Arial" w:cs="Arial"/>
          <w:sz w:val="22"/>
          <w:szCs w:val="22"/>
        </w:rPr>
      </w:pPr>
    </w:p>
    <w:p w14:paraId="6D2193D3" w14:textId="5514C416" w:rsidR="0006400E" w:rsidRDefault="00701A0C" w:rsidP="00F34FCB">
      <w:pPr>
        <w:pStyle w:val="BayerBodyTextFull"/>
        <w:spacing w:before="0" w:after="0"/>
        <w:rPr>
          <w:rFonts w:ascii="Arial" w:hAnsi="Arial" w:cs="Arial"/>
          <w:sz w:val="22"/>
          <w:szCs w:val="22"/>
          <w:lang w:val="en-AU" w:eastAsia="en-AU"/>
        </w:rPr>
      </w:pPr>
      <w:r w:rsidRPr="003A5EE1">
        <w:rPr>
          <w:rFonts w:ascii="Arial" w:hAnsi="Arial" w:cs="Arial"/>
          <w:sz w:val="22"/>
          <w:szCs w:val="22"/>
          <w:lang w:val="en-AU" w:eastAsia="en-AU"/>
        </w:rPr>
        <w:t xml:space="preserve">Permanently discontinue </w:t>
      </w:r>
      <w:r w:rsidR="00601DFC">
        <w:rPr>
          <w:rFonts w:ascii="Arial" w:hAnsi="Arial" w:cs="Arial"/>
          <w:sz w:val="22"/>
          <w:szCs w:val="22"/>
          <w:lang w:val="en-AU" w:eastAsia="en-AU"/>
        </w:rPr>
        <w:t xml:space="preserve">STIVARGA </w:t>
      </w:r>
      <w:r w:rsidRPr="003A5EE1">
        <w:rPr>
          <w:rFonts w:ascii="Arial" w:hAnsi="Arial" w:cs="Arial"/>
          <w:sz w:val="22"/>
          <w:szCs w:val="22"/>
          <w:lang w:val="en-AU" w:eastAsia="en-AU"/>
        </w:rPr>
        <w:t xml:space="preserve">in patients with severe </w:t>
      </w:r>
      <w:r w:rsidR="00E03A8B" w:rsidRPr="003A5EE1">
        <w:rPr>
          <w:rFonts w:ascii="Arial" w:hAnsi="Arial" w:cs="Arial"/>
          <w:sz w:val="22"/>
          <w:szCs w:val="22"/>
          <w:lang w:val="en-AU" w:eastAsia="en-AU"/>
        </w:rPr>
        <w:t>or life-threatening haemorrhage</w:t>
      </w:r>
      <w:r w:rsidR="00C23E1F">
        <w:rPr>
          <w:rFonts w:ascii="Arial" w:hAnsi="Arial" w:cs="Arial"/>
          <w:sz w:val="22"/>
          <w:szCs w:val="22"/>
          <w:lang w:val="en-AU" w:eastAsia="en-AU"/>
        </w:rPr>
        <w:t>.</w:t>
      </w:r>
    </w:p>
    <w:p w14:paraId="7E212DFC" w14:textId="1D143778" w:rsidR="0006400E" w:rsidRPr="00F4557E" w:rsidRDefault="0006400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lastRenderedPageBreak/>
        <w:t xml:space="preserve">Gastrointestinal perforation and fistula </w:t>
      </w:r>
    </w:p>
    <w:p w14:paraId="712C2798" w14:textId="6A8B79AA" w:rsidR="008D4A25" w:rsidRPr="003A5EE1" w:rsidRDefault="0006400E" w:rsidP="00F34FCB">
      <w:pPr>
        <w:pStyle w:val="BayerBodyTextFull"/>
        <w:spacing w:before="0" w:after="0"/>
        <w:rPr>
          <w:rFonts w:ascii="Arial" w:hAnsi="Arial" w:cs="Arial"/>
          <w:sz w:val="22"/>
          <w:szCs w:val="22"/>
          <w:lang w:val="en-GB"/>
        </w:rPr>
      </w:pPr>
      <w:r w:rsidRPr="0006400E">
        <w:rPr>
          <w:rFonts w:ascii="Arial" w:hAnsi="Arial" w:cs="Arial"/>
          <w:sz w:val="22"/>
          <w:szCs w:val="22"/>
        </w:rPr>
        <w:t xml:space="preserve">Gastrointestinal perforation (including fatal outcomes) and fistulae have been reported in patients treated with </w:t>
      </w:r>
      <w:r w:rsidR="007757B8">
        <w:rPr>
          <w:rFonts w:ascii="Arial" w:hAnsi="Arial" w:cs="Arial"/>
          <w:sz w:val="22"/>
          <w:szCs w:val="22"/>
        </w:rPr>
        <w:t>STIVARGA</w:t>
      </w:r>
      <w:r w:rsidRPr="0006400E">
        <w:rPr>
          <w:rFonts w:ascii="Arial" w:hAnsi="Arial" w:cs="Arial"/>
          <w:sz w:val="22"/>
          <w:szCs w:val="22"/>
        </w:rPr>
        <w:t xml:space="preserve"> (see </w:t>
      </w:r>
      <w:r w:rsidR="00277DF9" w:rsidRPr="00277DF9">
        <w:rPr>
          <w:rFonts w:ascii="Arial" w:hAnsi="Arial" w:cs="Arial"/>
          <w:sz w:val="22"/>
          <w:szCs w:val="22"/>
        </w:rPr>
        <w:t>ADVERSE EFFECTS</w:t>
      </w:r>
      <w:r w:rsidRPr="0006400E">
        <w:rPr>
          <w:rFonts w:ascii="Arial" w:hAnsi="Arial" w:cs="Arial"/>
          <w:sz w:val="22"/>
          <w:szCs w:val="22"/>
        </w:rPr>
        <w:t xml:space="preserve">). These events are also known to be common disease-related complications in patients with intra-abdominal malignancies. </w:t>
      </w:r>
      <w:r w:rsidR="009B499F">
        <w:rPr>
          <w:rFonts w:ascii="Arial" w:hAnsi="Arial" w:cs="Arial"/>
          <w:sz w:val="22"/>
          <w:szCs w:val="22"/>
        </w:rPr>
        <w:t>Permanent d</w:t>
      </w:r>
      <w:r w:rsidRPr="0006400E">
        <w:rPr>
          <w:rFonts w:ascii="Arial" w:hAnsi="Arial" w:cs="Arial"/>
          <w:sz w:val="22"/>
          <w:szCs w:val="22"/>
        </w:rPr>
        <w:t xml:space="preserve">iscontinuation of </w:t>
      </w:r>
      <w:r w:rsidR="007757B8">
        <w:rPr>
          <w:rFonts w:ascii="Arial" w:hAnsi="Arial" w:cs="Arial"/>
          <w:sz w:val="22"/>
          <w:szCs w:val="22"/>
        </w:rPr>
        <w:t>STIVARGA</w:t>
      </w:r>
      <w:r w:rsidRPr="0006400E">
        <w:rPr>
          <w:rFonts w:ascii="Arial" w:hAnsi="Arial" w:cs="Arial"/>
          <w:sz w:val="22"/>
          <w:szCs w:val="22"/>
        </w:rPr>
        <w:t xml:space="preserve"> is recommended in patients developing gastrointestinal perforation or fistula. The safety of re-initiating </w:t>
      </w:r>
      <w:r w:rsidR="007757B8">
        <w:rPr>
          <w:rFonts w:ascii="Arial" w:hAnsi="Arial" w:cs="Arial"/>
          <w:sz w:val="22"/>
          <w:szCs w:val="22"/>
        </w:rPr>
        <w:t>STIVARGA</w:t>
      </w:r>
      <w:r w:rsidRPr="0006400E">
        <w:rPr>
          <w:rFonts w:ascii="Arial" w:hAnsi="Arial" w:cs="Arial"/>
          <w:sz w:val="22"/>
          <w:szCs w:val="22"/>
        </w:rPr>
        <w:t xml:space="preserve"> therapy following gastrointestinal perforation or fistula is not known.</w:t>
      </w:r>
    </w:p>
    <w:p w14:paraId="712C2799" w14:textId="77777777" w:rsidR="00B855C1" w:rsidRPr="00F4557E" w:rsidRDefault="002C2F1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Cardiac ischaemia and infarction</w:t>
      </w:r>
    </w:p>
    <w:p w14:paraId="712C279B" w14:textId="345EC87B" w:rsidR="008D4A25" w:rsidRDefault="00601DFC" w:rsidP="00C74B51">
      <w:pPr>
        <w:pStyle w:val="BayerBodyTextFull"/>
        <w:keepNext/>
        <w:spacing w:before="0" w:after="0"/>
        <w:rPr>
          <w:rFonts w:ascii="Arial" w:hAnsi="Arial" w:cs="Arial"/>
          <w:sz w:val="22"/>
          <w:szCs w:val="22"/>
        </w:rPr>
      </w:pPr>
      <w:r>
        <w:rPr>
          <w:rFonts w:ascii="Arial" w:hAnsi="Arial" w:cs="Arial"/>
          <w:sz w:val="22"/>
          <w:szCs w:val="22"/>
          <w:lang w:val="en-GB"/>
        </w:rPr>
        <w:t xml:space="preserve">STIVARGA </w:t>
      </w:r>
      <w:r w:rsidR="002C2F1E" w:rsidRPr="003A5EE1">
        <w:rPr>
          <w:rFonts w:ascii="Arial" w:hAnsi="Arial" w:cs="Arial"/>
          <w:sz w:val="22"/>
          <w:szCs w:val="22"/>
        </w:rPr>
        <w:t>has been associated with an increased incidence of myocardial isch</w:t>
      </w:r>
      <w:r w:rsidR="008D4A25" w:rsidRPr="003A5EE1">
        <w:rPr>
          <w:rFonts w:ascii="Arial" w:hAnsi="Arial" w:cs="Arial"/>
          <w:sz w:val="22"/>
          <w:szCs w:val="22"/>
        </w:rPr>
        <w:t>a</w:t>
      </w:r>
      <w:r w:rsidR="002C2F1E" w:rsidRPr="003A5EE1">
        <w:rPr>
          <w:rFonts w:ascii="Arial" w:hAnsi="Arial" w:cs="Arial"/>
          <w:sz w:val="22"/>
          <w:szCs w:val="22"/>
        </w:rPr>
        <w:t>emia and infarction</w:t>
      </w:r>
      <w:r w:rsidR="00537998">
        <w:rPr>
          <w:rFonts w:ascii="Arial" w:hAnsi="Arial" w:cs="Arial"/>
          <w:sz w:val="22"/>
          <w:szCs w:val="22"/>
        </w:rPr>
        <w:t xml:space="preserve"> </w:t>
      </w:r>
      <w:r w:rsidR="002C2F1E" w:rsidRPr="003A5EE1">
        <w:rPr>
          <w:rFonts w:ascii="Arial" w:hAnsi="Arial" w:cs="Arial"/>
          <w:sz w:val="22"/>
          <w:szCs w:val="22"/>
        </w:rPr>
        <w:t>(</w:t>
      </w:r>
      <w:r w:rsidR="008D79FC" w:rsidRPr="003A5EE1">
        <w:rPr>
          <w:rFonts w:ascii="Arial" w:hAnsi="Arial" w:cs="Arial"/>
          <w:sz w:val="22"/>
          <w:szCs w:val="22"/>
        </w:rPr>
        <w:t>see</w:t>
      </w:r>
      <w:r w:rsidR="008D4A25" w:rsidRPr="003A5EE1">
        <w:rPr>
          <w:rFonts w:ascii="Arial" w:hAnsi="Arial" w:cs="Arial"/>
          <w:sz w:val="22"/>
          <w:szCs w:val="22"/>
        </w:rPr>
        <w:t xml:space="preserve"> </w:t>
      </w:r>
      <w:r w:rsidR="00F00CDC">
        <w:rPr>
          <w:rFonts w:ascii="Arial" w:hAnsi="Arial" w:cs="Arial"/>
          <w:sz w:val="22"/>
          <w:szCs w:val="22"/>
        </w:rPr>
        <w:t>ADVERSE EFFECTS</w:t>
      </w:r>
      <w:r w:rsidR="002C2F1E" w:rsidRPr="003A5EE1">
        <w:rPr>
          <w:rFonts w:ascii="Arial" w:hAnsi="Arial" w:cs="Arial"/>
          <w:sz w:val="22"/>
          <w:szCs w:val="22"/>
        </w:rPr>
        <w:t>).</w:t>
      </w:r>
      <w:r w:rsidR="008D4A25" w:rsidRPr="003A5EE1">
        <w:rPr>
          <w:rFonts w:ascii="Arial" w:hAnsi="Arial" w:cs="Arial"/>
          <w:sz w:val="22"/>
          <w:szCs w:val="22"/>
        </w:rPr>
        <w:t xml:space="preserve"> </w:t>
      </w:r>
    </w:p>
    <w:p w14:paraId="712C279C" w14:textId="77777777" w:rsidR="00DE2521" w:rsidRPr="003A5EE1" w:rsidRDefault="00DE2521" w:rsidP="00C74B51">
      <w:pPr>
        <w:pStyle w:val="BayerBodyTextFull"/>
        <w:keepNext/>
        <w:spacing w:before="0" w:after="0"/>
        <w:rPr>
          <w:rFonts w:ascii="Arial" w:hAnsi="Arial" w:cs="Arial"/>
          <w:sz w:val="22"/>
          <w:szCs w:val="22"/>
        </w:rPr>
      </w:pPr>
    </w:p>
    <w:p w14:paraId="712C279D" w14:textId="7B8399E5" w:rsidR="002C2F1E" w:rsidRPr="003A5EE1" w:rsidRDefault="002C2F1E" w:rsidP="00C74B51">
      <w:pPr>
        <w:pStyle w:val="BayerBodyTextFull"/>
        <w:keepNext/>
        <w:spacing w:before="0" w:after="0"/>
        <w:rPr>
          <w:rFonts w:ascii="Arial" w:hAnsi="Arial" w:cs="Arial"/>
          <w:sz w:val="22"/>
          <w:szCs w:val="22"/>
        </w:rPr>
      </w:pPr>
      <w:r w:rsidRPr="003A5EE1">
        <w:rPr>
          <w:rFonts w:ascii="Arial" w:hAnsi="Arial" w:cs="Arial"/>
          <w:sz w:val="22"/>
          <w:szCs w:val="22"/>
        </w:rPr>
        <w:t xml:space="preserve">Patients with a history of </w:t>
      </w:r>
      <w:proofErr w:type="spellStart"/>
      <w:r w:rsidRPr="003A5EE1">
        <w:rPr>
          <w:rFonts w:ascii="Arial" w:hAnsi="Arial" w:cs="Arial"/>
          <w:sz w:val="22"/>
          <w:szCs w:val="22"/>
        </w:rPr>
        <w:t>isch</w:t>
      </w:r>
      <w:r w:rsidR="008D4A25" w:rsidRPr="003A5EE1">
        <w:rPr>
          <w:rFonts w:ascii="Arial" w:hAnsi="Arial" w:cs="Arial"/>
          <w:sz w:val="22"/>
          <w:szCs w:val="22"/>
        </w:rPr>
        <w:t>a</w:t>
      </w:r>
      <w:r w:rsidRPr="003A5EE1">
        <w:rPr>
          <w:rFonts w:ascii="Arial" w:hAnsi="Arial" w:cs="Arial"/>
          <w:sz w:val="22"/>
          <w:szCs w:val="22"/>
        </w:rPr>
        <w:t>emic</w:t>
      </w:r>
      <w:proofErr w:type="spellEnd"/>
      <w:r w:rsidRPr="003A5EE1">
        <w:rPr>
          <w:rFonts w:ascii="Arial" w:hAnsi="Arial" w:cs="Arial"/>
          <w:sz w:val="22"/>
          <w:szCs w:val="22"/>
        </w:rPr>
        <w:t xml:space="preserve"> heart disease should be monitored for clinical signs and symptoms of myocardial isch</w:t>
      </w:r>
      <w:r w:rsidR="008D4A25" w:rsidRPr="003A5EE1">
        <w:rPr>
          <w:rFonts w:ascii="Arial" w:hAnsi="Arial" w:cs="Arial"/>
          <w:sz w:val="22"/>
          <w:szCs w:val="22"/>
        </w:rPr>
        <w:t>a</w:t>
      </w:r>
      <w:r w:rsidRPr="003A5EE1">
        <w:rPr>
          <w:rFonts w:ascii="Arial" w:hAnsi="Arial" w:cs="Arial"/>
          <w:sz w:val="22"/>
          <w:szCs w:val="22"/>
        </w:rPr>
        <w:t>emia. In patients who develop</w:t>
      </w:r>
      <w:r w:rsidR="00C23E1F">
        <w:rPr>
          <w:rFonts w:ascii="Arial" w:hAnsi="Arial" w:cs="Arial"/>
          <w:sz w:val="22"/>
          <w:szCs w:val="22"/>
        </w:rPr>
        <w:t xml:space="preserve"> new or acute onset </w:t>
      </w:r>
      <w:r w:rsidRPr="003A5EE1">
        <w:rPr>
          <w:rFonts w:ascii="Arial" w:hAnsi="Arial" w:cs="Arial"/>
          <w:sz w:val="22"/>
          <w:szCs w:val="22"/>
        </w:rPr>
        <w:t>cardiac isch</w:t>
      </w:r>
      <w:r w:rsidR="008D4A25" w:rsidRPr="003A5EE1">
        <w:rPr>
          <w:rFonts w:ascii="Arial" w:hAnsi="Arial" w:cs="Arial"/>
          <w:sz w:val="22"/>
          <w:szCs w:val="22"/>
        </w:rPr>
        <w:t>a</w:t>
      </w:r>
      <w:r w:rsidRPr="003A5EE1">
        <w:rPr>
          <w:rFonts w:ascii="Arial" w:hAnsi="Arial" w:cs="Arial"/>
          <w:sz w:val="22"/>
          <w:szCs w:val="22"/>
        </w:rPr>
        <w:t xml:space="preserve">emia and/or infarction, interruption of </w:t>
      </w:r>
      <w:r w:rsidR="00601DFC">
        <w:rPr>
          <w:rFonts w:ascii="Arial" w:hAnsi="Arial" w:cs="Arial"/>
          <w:sz w:val="22"/>
          <w:szCs w:val="22"/>
        </w:rPr>
        <w:t xml:space="preserve">STIVARGA </w:t>
      </w:r>
      <w:r w:rsidRPr="003A5EE1">
        <w:rPr>
          <w:rFonts w:ascii="Arial" w:hAnsi="Arial" w:cs="Arial"/>
          <w:sz w:val="22"/>
          <w:szCs w:val="22"/>
        </w:rPr>
        <w:t xml:space="preserve">is recommended until resolution. The decision to re-initiate </w:t>
      </w:r>
      <w:r w:rsidR="009E6264" w:rsidRPr="003A5EE1">
        <w:rPr>
          <w:rFonts w:ascii="Arial" w:hAnsi="Arial" w:cs="Arial"/>
          <w:sz w:val="22"/>
          <w:szCs w:val="22"/>
        </w:rPr>
        <w:t xml:space="preserve">treatment with </w:t>
      </w:r>
      <w:r w:rsidR="00601DFC">
        <w:rPr>
          <w:rFonts w:ascii="Arial" w:hAnsi="Arial" w:cs="Arial"/>
          <w:sz w:val="22"/>
          <w:szCs w:val="22"/>
        </w:rPr>
        <w:t xml:space="preserve">STIVARGA </w:t>
      </w:r>
      <w:r w:rsidRPr="003A5EE1">
        <w:rPr>
          <w:rFonts w:ascii="Arial" w:hAnsi="Arial" w:cs="Arial"/>
          <w:sz w:val="22"/>
          <w:szCs w:val="22"/>
        </w:rPr>
        <w:t xml:space="preserve">should be based on careful consideration of the potential benefits and risks of the individual patient. </w:t>
      </w:r>
      <w:r w:rsidR="00601DFC">
        <w:rPr>
          <w:rFonts w:ascii="Arial" w:hAnsi="Arial" w:cs="Arial"/>
          <w:sz w:val="22"/>
          <w:szCs w:val="22"/>
        </w:rPr>
        <w:t xml:space="preserve">STIVARGA </w:t>
      </w:r>
      <w:r w:rsidRPr="003A5EE1">
        <w:rPr>
          <w:rFonts w:ascii="Arial" w:hAnsi="Arial" w:cs="Arial"/>
          <w:sz w:val="22"/>
          <w:szCs w:val="22"/>
        </w:rPr>
        <w:t xml:space="preserve">should be permanently discontinued if there is no resolution. </w:t>
      </w:r>
    </w:p>
    <w:p w14:paraId="712C279E" w14:textId="77777777" w:rsidR="008D4A25" w:rsidRPr="003A5EE1" w:rsidRDefault="008D4A25" w:rsidP="00F34FCB">
      <w:pPr>
        <w:pStyle w:val="BayerBodyTextFull"/>
        <w:spacing w:before="0" w:after="0"/>
        <w:rPr>
          <w:rFonts w:ascii="Arial" w:hAnsi="Arial" w:cs="Arial"/>
          <w:sz w:val="22"/>
          <w:szCs w:val="22"/>
        </w:rPr>
      </w:pPr>
    </w:p>
    <w:p w14:paraId="712C27A0" w14:textId="3BD80766" w:rsidR="008D4A25" w:rsidRPr="003A5EE1" w:rsidRDefault="002C2F1E" w:rsidP="00F34FCB">
      <w:pPr>
        <w:pStyle w:val="BodyText2"/>
        <w:adjustRightInd w:val="0"/>
        <w:spacing w:after="0"/>
        <w:ind w:right="46"/>
        <w:jc w:val="left"/>
        <w:textAlignment w:val="baseline"/>
        <w:rPr>
          <w:rFonts w:ascii="Arial" w:hAnsi="Arial" w:cs="Arial"/>
          <w:b w:val="0"/>
          <w:i/>
          <w:sz w:val="22"/>
          <w:szCs w:val="22"/>
          <w:lang w:val="en-GB"/>
        </w:rPr>
      </w:pPr>
      <w:r w:rsidRPr="003A5EE1">
        <w:rPr>
          <w:rFonts w:ascii="Arial" w:hAnsi="Arial" w:cs="Arial"/>
          <w:b w:val="0"/>
          <w:sz w:val="22"/>
          <w:szCs w:val="22"/>
        </w:rPr>
        <w:t>No difference</w:t>
      </w:r>
      <w:r w:rsidR="008D4A25" w:rsidRPr="003A5EE1">
        <w:rPr>
          <w:rFonts w:ascii="Arial" w:hAnsi="Arial" w:cs="Arial"/>
          <w:b w:val="0"/>
          <w:sz w:val="22"/>
          <w:szCs w:val="22"/>
        </w:rPr>
        <w:t>s</w:t>
      </w:r>
      <w:r w:rsidRPr="003A5EE1">
        <w:rPr>
          <w:rFonts w:ascii="Arial" w:hAnsi="Arial" w:cs="Arial"/>
          <w:b w:val="0"/>
          <w:sz w:val="22"/>
          <w:szCs w:val="22"/>
        </w:rPr>
        <w:t xml:space="preserve"> </w:t>
      </w:r>
      <w:r w:rsidR="008D4A25" w:rsidRPr="003A5EE1">
        <w:rPr>
          <w:rFonts w:ascii="Arial" w:hAnsi="Arial" w:cs="Arial"/>
          <w:b w:val="0"/>
          <w:sz w:val="22"/>
          <w:szCs w:val="22"/>
        </w:rPr>
        <w:t xml:space="preserve">were observed </w:t>
      </w:r>
      <w:r w:rsidRPr="003A5EE1">
        <w:rPr>
          <w:rFonts w:ascii="Arial" w:hAnsi="Arial" w:cs="Arial"/>
          <w:b w:val="0"/>
          <w:sz w:val="22"/>
          <w:szCs w:val="22"/>
        </w:rPr>
        <w:t xml:space="preserve">between </w:t>
      </w:r>
      <w:r w:rsidR="00601DFC">
        <w:rPr>
          <w:rFonts w:ascii="Arial" w:hAnsi="Arial" w:cs="Arial"/>
          <w:b w:val="0"/>
          <w:sz w:val="22"/>
          <w:szCs w:val="22"/>
        </w:rPr>
        <w:t xml:space="preserve">STIVARGA </w:t>
      </w:r>
      <w:r w:rsidRPr="003A5EE1">
        <w:rPr>
          <w:rFonts w:ascii="Arial" w:hAnsi="Arial" w:cs="Arial"/>
          <w:b w:val="0"/>
          <w:sz w:val="22"/>
          <w:szCs w:val="22"/>
        </w:rPr>
        <w:t>and p</w:t>
      </w:r>
      <w:r w:rsidR="008D4A25" w:rsidRPr="003A5EE1">
        <w:rPr>
          <w:rFonts w:ascii="Arial" w:hAnsi="Arial" w:cs="Arial"/>
          <w:b w:val="0"/>
          <w:sz w:val="22"/>
          <w:szCs w:val="22"/>
        </w:rPr>
        <w:t xml:space="preserve">lacebo </w:t>
      </w:r>
      <w:r w:rsidRPr="003A5EE1">
        <w:rPr>
          <w:rFonts w:ascii="Arial" w:hAnsi="Arial" w:cs="Arial"/>
          <w:b w:val="0"/>
          <w:sz w:val="22"/>
          <w:szCs w:val="22"/>
        </w:rPr>
        <w:t>in the incidence of clinically relevant cardiac arrhythmias or heart failure.</w:t>
      </w:r>
    </w:p>
    <w:p w14:paraId="712C27A1" w14:textId="77777777" w:rsidR="00963DBF" w:rsidRPr="00F4557E" w:rsidRDefault="002C2F1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Reversible Posterior Leukoencephalopathy Syndrome</w:t>
      </w:r>
    </w:p>
    <w:p w14:paraId="712C27A3" w14:textId="49FC697A" w:rsidR="008D4A25" w:rsidRPr="003A5EE1" w:rsidRDefault="002C2F1E" w:rsidP="00F34FCB">
      <w:pPr>
        <w:pStyle w:val="BayerBodyTextFull"/>
        <w:spacing w:before="0" w:after="0"/>
        <w:rPr>
          <w:rFonts w:ascii="Arial" w:hAnsi="Arial" w:cs="Arial"/>
          <w:sz w:val="22"/>
          <w:szCs w:val="22"/>
        </w:rPr>
      </w:pPr>
      <w:r w:rsidRPr="003A5EE1">
        <w:rPr>
          <w:rFonts w:ascii="Arial" w:hAnsi="Arial" w:cs="Arial"/>
          <w:sz w:val="22"/>
          <w:szCs w:val="22"/>
        </w:rPr>
        <w:t xml:space="preserve">Reversible Posterior Leukoencephalopathy Syndrome (RPLS) has been reported in association with </w:t>
      </w:r>
      <w:r w:rsidR="00601DFC">
        <w:rPr>
          <w:rFonts w:ascii="Arial" w:hAnsi="Arial" w:cs="Arial"/>
          <w:sz w:val="22"/>
          <w:szCs w:val="22"/>
        </w:rPr>
        <w:t xml:space="preserve">STIVARGA </w:t>
      </w:r>
      <w:r w:rsidRPr="003A5EE1">
        <w:rPr>
          <w:rFonts w:ascii="Arial" w:hAnsi="Arial" w:cs="Arial"/>
          <w:sz w:val="22"/>
          <w:szCs w:val="22"/>
        </w:rPr>
        <w:t>treatment (</w:t>
      </w:r>
      <w:r w:rsidR="008D79FC" w:rsidRPr="003A5EE1">
        <w:rPr>
          <w:rFonts w:ascii="Arial" w:hAnsi="Arial" w:cs="Arial"/>
          <w:sz w:val="22"/>
          <w:szCs w:val="22"/>
        </w:rPr>
        <w:t>see</w:t>
      </w:r>
      <w:r w:rsidR="008D4A25" w:rsidRPr="003A5EE1">
        <w:rPr>
          <w:rFonts w:ascii="Arial" w:hAnsi="Arial" w:cs="Arial"/>
          <w:sz w:val="22"/>
          <w:szCs w:val="22"/>
        </w:rPr>
        <w:t xml:space="preserve"> </w:t>
      </w:r>
      <w:r w:rsidR="00F00CDC">
        <w:rPr>
          <w:rFonts w:ascii="Arial" w:hAnsi="Arial" w:cs="Arial"/>
          <w:sz w:val="22"/>
          <w:szCs w:val="22"/>
        </w:rPr>
        <w:t>ADVERSE EFFECTS</w:t>
      </w:r>
      <w:r w:rsidRPr="003A5EE1">
        <w:rPr>
          <w:rFonts w:ascii="Arial" w:hAnsi="Arial" w:cs="Arial"/>
          <w:sz w:val="22"/>
          <w:szCs w:val="22"/>
        </w:rPr>
        <w:t>).</w:t>
      </w:r>
    </w:p>
    <w:p w14:paraId="712C27A4" w14:textId="77777777" w:rsidR="002C2F1E" w:rsidRPr="003A5EE1" w:rsidRDefault="002C2F1E" w:rsidP="00F34FCB">
      <w:pPr>
        <w:pStyle w:val="BayerBodyTextFull"/>
        <w:spacing w:before="0" w:after="0"/>
        <w:rPr>
          <w:rFonts w:ascii="Arial" w:hAnsi="Arial" w:cs="Arial"/>
          <w:sz w:val="22"/>
          <w:szCs w:val="22"/>
        </w:rPr>
      </w:pPr>
    </w:p>
    <w:p w14:paraId="712C27A5" w14:textId="73674330" w:rsidR="008D4A25" w:rsidRPr="003A5EE1" w:rsidRDefault="002C2F1E" w:rsidP="00F34FCB">
      <w:pPr>
        <w:rPr>
          <w:rFonts w:ascii="Arial" w:hAnsi="Arial" w:cs="Arial"/>
          <w:sz w:val="22"/>
          <w:szCs w:val="22"/>
        </w:rPr>
      </w:pPr>
      <w:r w:rsidRPr="003A5EE1">
        <w:rPr>
          <w:rFonts w:ascii="Arial" w:hAnsi="Arial" w:cs="Arial"/>
          <w:sz w:val="22"/>
          <w:szCs w:val="22"/>
        </w:rPr>
        <w:t xml:space="preserve">Signs and symptoms of RPLS include seizures, headache, altered mental status, visual disturbance or cortical blindness, with or without associated hypertension. A diagnosis of RPLS requires confirmation by brain imaging. In patients developing RPLS, discontinuation of </w:t>
      </w:r>
      <w:r w:rsidR="00FF0B8E">
        <w:rPr>
          <w:rFonts w:ascii="Arial" w:hAnsi="Arial" w:cs="Arial"/>
          <w:sz w:val="22"/>
          <w:szCs w:val="22"/>
        </w:rPr>
        <w:t>STIVARGA</w:t>
      </w:r>
      <w:r w:rsidRPr="003A5EE1">
        <w:rPr>
          <w:rFonts w:ascii="Arial" w:hAnsi="Arial" w:cs="Arial"/>
          <w:i/>
          <w:sz w:val="22"/>
          <w:szCs w:val="22"/>
        </w:rPr>
        <w:t>,</w:t>
      </w:r>
      <w:r w:rsidRPr="003A5EE1">
        <w:rPr>
          <w:rFonts w:ascii="Arial" w:hAnsi="Arial" w:cs="Arial"/>
          <w:sz w:val="22"/>
          <w:szCs w:val="22"/>
        </w:rPr>
        <w:t xml:space="preserve"> along with control of hypertension and supportive medical management of other symptoms is recommended. </w:t>
      </w:r>
    </w:p>
    <w:p w14:paraId="712C27A6" w14:textId="77777777" w:rsidR="008D4A25" w:rsidRPr="003A5EE1" w:rsidRDefault="008D4A25" w:rsidP="00F34FCB">
      <w:pPr>
        <w:rPr>
          <w:rFonts w:ascii="Arial" w:hAnsi="Arial" w:cs="Arial"/>
          <w:sz w:val="22"/>
          <w:szCs w:val="22"/>
        </w:rPr>
      </w:pPr>
    </w:p>
    <w:p w14:paraId="712C27A8" w14:textId="69A096AA" w:rsidR="00EE78AC" w:rsidRPr="003A5EE1" w:rsidRDefault="002C2F1E" w:rsidP="00F34FCB">
      <w:pPr>
        <w:rPr>
          <w:rFonts w:ascii="Arial" w:hAnsi="Arial" w:cs="Arial"/>
          <w:sz w:val="22"/>
          <w:szCs w:val="22"/>
        </w:rPr>
      </w:pPr>
      <w:r w:rsidRPr="003A5EE1">
        <w:rPr>
          <w:rFonts w:ascii="Arial" w:hAnsi="Arial" w:cs="Arial"/>
          <w:sz w:val="22"/>
          <w:szCs w:val="22"/>
        </w:rPr>
        <w:t xml:space="preserve">The safety of re-initiating </w:t>
      </w:r>
      <w:r w:rsidR="00601DFC">
        <w:rPr>
          <w:rFonts w:ascii="Arial" w:hAnsi="Arial" w:cs="Arial"/>
          <w:sz w:val="22"/>
          <w:szCs w:val="22"/>
        </w:rPr>
        <w:t xml:space="preserve">STIVARGA </w:t>
      </w:r>
      <w:r w:rsidRPr="003A5EE1">
        <w:rPr>
          <w:rFonts w:ascii="Arial" w:hAnsi="Arial" w:cs="Arial"/>
          <w:sz w:val="22"/>
          <w:szCs w:val="22"/>
        </w:rPr>
        <w:t xml:space="preserve">therapy in patients </w:t>
      </w:r>
      <w:r w:rsidR="009E63D5" w:rsidRPr="003A5EE1">
        <w:rPr>
          <w:rFonts w:ascii="Arial" w:hAnsi="Arial" w:cs="Arial"/>
          <w:sz w:val="22"/>
          <w:szCs w:val="22"/>
        </w:rPr>
        <w:t xml:space="preserve">having </w:t>
      </w:r>
      <w:r w:rsidRPr="003A5EE1">
        <w:rPr>
          <w:rFonts w:ascii="Arial" w:hAnsi="Arial" w:cs="Arial"/>
          <w:sz w:val="22"/>
          <w:szCs w:val="22"/>
        </w:rPr>
        <w:t>previously experienc</w:t>
      </w:r>
      <w:r w:rsidR="009E63D5" w:rsidRPr="003A5EE1">
        <w:rPr>
          <w:rFonts w:ascii="Arial" w:hAnsi="Arial" w:cs="Arial"/>
          <w:sz w:val="22"/>
          <w:szCs w:val="22"/>
        </w:rPr>
        <w:t>ed</w:t>
      </w:r>
      <w:r w:rsidRPr="003A5EE1">
        <w:rPr>
          <w:rFonts w:ascii="Arial" w:hAnsi="Arial" w:cs="Arial"/>
          <w:sz w:val="22"/>
          <w:szCs w:val="22"/>
        </w:rPr>
        <w:t xml:space="preserve"> RPLS is not known.</w:t>
      </w:r>
    </w:p>
    <w:p w14:paraId="712C27AE" w14:textId="77777777" w:rsidR="002C2F1E" w:rsidRPr="00F4557E" w:rsidRDefault="002C2F1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Arterial hypertension</w:t>
      </w:r>
    </w:p>
    <w:p w14:paraId="712C27B0" w14:textId="4C1E7DDD" w:rsidR="00E03A8B" w:rsidRPr="003A5EE1" w:rsidRDefault="00601DFC" w:rsidP="006C3E63">
      <w:pPr>
        <w:keepNext/>
        <w:autoSpaceDE w:val="0"/>
        <w:autoSpaceDN w:val="0"/>
        <w:adjustRightInd w:val="0"/>
        <w:rPr>
          <w:rFonts w:ascii="Arial" w:hAnsi="Arial" w:cs="Arial"/>
          <w:sz w:val="22"/>
          <w:szCs w:val="22"/>
          <w:lang w:val="en-AU" w:eastAsia="en-AU"/>
        </w:rPr>
      </w:pPr>
      <w:r>
        <w:rPr>
          <w:rFonts w:ascii="Arial" w:hAnsi="Arial" w:cs="Arial"/>
          <w:sz w:val="22"/>
          <w:szCs w:val="22"/>
          <w:lang w:val="en-AU"/>
        </w:rPr>
        <w:t xml:space="preserve">STIVARGA </w:t>
      </w:r>
      <w:r w:rsidR="002C2F1E" w:rsidRPr="003A5EE1">
        <w:rPr>
          <w:rFonts w:ascii="Arial" w:hAnsi="Arial" w:cs="Arial"/>
          <w:sz w:val="22"/>
          <w:szCs w:val="22"/>
        </w:rPr>
        <w:t>has been associated with an increased incidence of arterial hypertension (</w:t>
      </w:r>
      <w:r w:rsidR="00E03A8B" w:rsidRPr="003A5EE1">
        <w:rPr>
          <w:rFonts w:ascii="Arial" w:hAnsi="Arial" w:cs="Arial"/>
          <w:sz w:val="22"/>
          <w:szCs w:val="22"/>
        </w:rPr>
        <w:t>see</w:t>
      </w:r>
      <w:r w:rsidR="008D4A25" w:rsidRPr="003A5EE1">
        <w:rPr>
          <w:rFonts w:ascii="Arial" w:hAnsi="Arial" w:cs="Arial"/>
          <w:sz w:val="22"/>
          <w:szCs w:val="22"/>
        </w:rPr>
        <w:t xml:space="preserve"> </w:t>
      </w:r>
      <w:r w:rsidR="00F00CDC">
        <w:rPr>
          <w:rFonts w:ascii="Arial" w:hAnsi="Arial" w:cs="Arial"/>
          <w:sz w:val="22"/>
          <w:szCs w:val="22"/>
        </w:rPr>
        <w:t>ADVERSE EFFECTS</w:t>
      </w:r>
      <w:r w:rsidR="002C2F1E" w:rsidRPr="003A5EE1">
        <w:rPr>
          <w:rFonts w:ascii="Arial" w:hAnsi="Arial" w:cs="Arial"/>
          <w:sz w:val="22"/>
          <w:szCs w:val="22"/>
        </w:rPr>
        <w:t xml:space="preserve">). </w:t>
      </w:r>
      <w:r w:rsidR="00701A0C" w:rsidRPr="003A5EE1">
        <w:rPr>
          <w:rFonts w:ascii="Arial" w:hAnsi="Arial" w:cs="Arial"/>
          <w:sz w:val="22"/>
          <w:szCs w:val="22"/>
          <w:lang w:val="en-AU" w:eastAsia="en-AU"/>
        </w:rPr>
        <w:t xml:space="preserve">The onset of hypertension occurred during the first cycle of treatment in most patients who developed hypertension. </w:t>
      </w:r>
    </w:p>
    <w:p w14:paraId="712C27B1" w14:textId="77777777" w:rsidR="00E03A8B" w:rsidRPr="003A5EE1" w:rsidRDefault="00E03A8B" w:rsidP="006C3E63">
      <w:pPr>
        <w:keepNext/>
        <w:autoSpaceDE w:val="0"/>
        <w:autoSpaceDN w:val="0"/>
        <w:adjustRightInd w:val="0"/>
        <w:rPr>
          <w:rFonts w:ascii="Arial" w:hAnsi="Arial" w:cs="Arial"/>
          <w:sz w:val="22"/>
          <w:szCs w:val="22"/>
          <w:lang w:val="en-AU" w:eastAsia="en-AU"/>
        </w:rPr>
      </w:pPr>
    </w:p>
    <w:p w14:paraId="712C27B2" w14:textId="48CF5E34" w:rsidR="00E03A8B" w:rsidRPr="00D96FE5" w:rsidRDefault="00E03A8B" w:rsidP="006C3E63">
      <w:pPr>
        <w:keepNext/>
        <w:autoSpaceDE w:val="0"/>
        <w:autoSpaceDN w:val="0"/>
        <w:adjustRightInd w:val="0"/>
        <w:rPr>
          <w:rFonts w:ascii="Arial" w:hAnsi="Arial" w:cs="Arial"/>
          <w:sz w:val="22"/>
          <w:szCs w:val="22"/>
          <w:lang w:val="en-AU" w:eastAsia="en-AU"/>
        </w:rPr>
      </w:pPr>
      <w:r w:rsidRPr="00D96FE5">
        <w:rPr>
          <w:rFonts w:ascii="Arial" w:hAnsi="Arial" w:cs="Arial"/>
          <w:sz w:val="22"/>
          <w:szCs w:val="22"/>
          <w:lang w:val="en-AU" w:eastAsia="en-AU"/>
        </w:rPr>
        <w:t xml:space="preserve">Hypertensive crisis was observed in patients treated with </w:t>
      </w:r>
      <w:r w:rsidR="00FF0B8E">
        <w:rPr>
          <w:rFonts w:ascii="Arial" w:hAnsi="Arial" w:cs="Arial"/>
          <w:sz w:val="22"/>
          <w:szCs w:val="22"/>
          <w:lang w:val="en-AU" w:eastAsia="en-AU"/>
        </w:rPr>
        <w:t>STIVARGA</w:t>
      </w:r>
      <w:r w:rsidRPr="00D96FE5">
        <w:rPr>
          <w:rFonts w:ascii="Arial" w:hAnsi="Arial" w:cs="Arial"/>
          <w:sz w:val="22"/>
          <w:szCs w:val="22"/>
          <w:lang w:val="en-AU" w:eastAsia="en-AU"/>
        </w:rPr>
        <w:t xml:space="preserve">. </w:t>
      </w:r>
    </w:p>
    <w:p w14:paraId="712C27B3" w14:textId="77777777" w:rsidR="00E03A8B" w:rsidRPr="00992991" w:rsidRDefault="00E03A8B" w:rsidP="00493702">
      <w:pPr>
        <w:autoSpaceDE w:val="0"/>
        <w:autoSpaceDN w:val="0"/>
        <w:adjustRightInd w:val="0"/>
        <w:rPr>
          <w:rFonts w:ascii="Arial" w:hAnsi="Arial" w:cs="Arial"/>
          <w:sz w:val="22"/>
          <w:szCs w:val="22"/>
          <w:lang w:val="en-AU" w:eastAsia="en-AU"/>
        </w:rPr>
      </w:pPr>
    </w:p>
    <w:p w14:paraId="712C27B5" w14:textId="50C0E3F4" w:rsidR="00493702" w:rsidRPr="0092411A" w:rsidRDefault="00701A0C" w:rsidP="00493702">
      <w:pPr>
        <w:autoSpaceDE w:val="0"/>
        <w:autoSpaceDN w:val="0"/>
        <w:adjustRightInd w:val="0"/>
        <w:rPr>
          <w:rFonts w:ascii="Arial" w:hAnsi="Arial" w:cs="Arial"/>
          <w:sz w:val="22"/>
          <w:szCs w:val="22"/>
          <w:lang w:val="en-AU" w:eastAsia="en-AU"/>
        </w:rPr>
      </w:pPr>
      <w:r w:rsidRPr="003A5EE1">
        <w:rPr>
          <w:rFonts w:ascii="Arial" w:hAnsi="Arial" w:cs="Arial"/>
          <w:sz w:val="22"/>
          <w:szCs w:val="22"/>
          <w:lang w:val="en-AU" w:eastAsia="en-AU"/>
        </w:rPr>
        <w:t xml:space="preserve">Do not initiate </w:t>
      </w:r>
      <w:r w:rsidR="00601DFC">
        <w:rPr>
          <w:rFonts w:ascii="Arial" w:hAnsi="Arial" w:cs="Arial"/>
          <w:sz w:val="22"/>
          <w:szCs w:val="22"/>
          <w:lang w:val="en-AU" w:eastAsia="en-AU"/>
        </w:rPr>
        <w:t xml:space="preserve">STIVARGA </w:t>
      </w:r>
      <w:r w:rsidRPr="003A5EE1">
        <w:rPr>
          <w:rFonts w:ascii="Arial" w:hAnsi="Arial" w:cs="Arial"/>
          <w:sz w:val="22"/>
          <w:szCs w:val="22"/>
          <w:lang w:val="en-AU" w:eastAsia="en-AU"/>
        </w:rPr>
        <w:t xml:space="preserve">unless blood pressure is adequately controlled. Monitor blood pressure weekly for the first 6 weeks of treatment and then every cycle, or more frequently, as clinically indicated. Temporarily or permanently withhold </w:t>
      </w:r>
      <w:r w:rsidR="00601DFC">
        <w:rPr>
          <w:rFonts w:ascii="Arial" w:hAnsi="Arial" w:cs="Arial"/>
          <w:sz w:val="22"/>
          <w:szCs w:val="22"/>
          <w:lang w:val="en-AU" w:eastAsia="en-AU"/>
        </w:rPr>
        <w:t xml:space="preserve">STIVARGA </w:t>
      </w:r>
      <w:r w:rsidRPr="003A5EE1">
        <w:rPr>
          <w:rFonts w:ascii="Arial" w:hAnsi="Arial" w:cs="Arial"/>
          <w:sz w:val="22"/>
          <w:szCs w:val="22"/>
          <w:lang w:val="en-AU" w:eastAsia="en-AU"/>
        </w:rPr>
        <w:t xml:space="preserve">for severe or uncontrolled </w:t>
      </w:r>
      <w:r w:rsidR="00493702" w:rsidRPr="003A5EE1">
        <w:rPr>
          <w:rFonts w:ascii="Arial" w:hAnsi="Arial" w:cs="Arial"/>
          <w:sz w:val="22"/>
          <w:szCs w:val="22"/>
          <w:lang w:val="en-AU" w:eastAsia="en-AU"/>
        </w:rPr>
        <w:t>hypertension</w:t>
      </w:r>
      <w:r w:rsidR="00E03A8B" w:rsidRPr="003A5EE1">
        <w:rPr>
          <w:rFonts w:ascii="Arial" w:hAnsi="Arial" w:cs="Arial"/>
          <w:sz w:val="22"/>
          <w:szCs w:val="22"/>
          <w:lang w:val="en-AU" w:eastAsia="en-AU"/>
        </w:rPr>
        <w:t xml:space="preserve"> </w:t>
      </w:r>
      <w:r w:rsidR="00E03A8B" w:rsidRPr="003A5EE1">
        <w:rPr>
          <w:rFonts w:ascii="Arial" w:hAnsi="Arial" w:cs="Arial"/>
          <w:sz w:val="22"/>
          <w:szCs w:val="22"/>
        </w:rPr>
        <w:t xml:space="preserve">(see </w:t>
      </w:r>
      <w:r w:rsidR="00F00CDC">
        <w:rPr>
          <w:rFonts w:ascii="Arial" w:hAnsi="Arial" w:cs="Arial"/>
          <w:sz w:val="22"/>
          <w:szCs w:val="22"/>
        </w:rPr>
        <w:t>DOSAGE AND ADMINISTRATION</w:t>
      </w:r>
      <w:r w:rsidR="00E03A8B" w:rsidRPr="003A5EE1">
        <w:rPr>
          <w:rFonts w:ascii="Arial" w:hAnsi="Arial" w:cs="Arial"/>
          <w:sz w:val="22"/>
          <w:szCs w:val="22"/>
        </w:rPr>
        <w:t xml:space="preserve"> – Dose Modification). In case of hypertensive crisis, </w:t>
      </w:r>
      <w:r w:rsidR="00601DFC">
        <w:rPr>
          <w:rFonts w:ascii="Arial" w:hAnsi="Arial" w:cs="Arial"/>
          <w:sz w:val="22"/>
          <w:szCs w:val="22"/>
        </w:rPr>
        <w:t xml:space="preserve">STIVARGA </w:t>
      </w:r>
      <w:r w:rsidR="00E03A8B" w:rsidRPr="003A5EE1">
        <w:rPr>
          <w:rFonts w:ascii="Arial" w:hAnsi="Arial" w:cs="Arial"/>
          <w:sz w:val="22"/>
          <w:szCs w:val="22"/>
        </w:rPr>
        <w:t>should be discontinued</w:t>
      </w:r>
      <w:r w:rsidR="00493702" w:rsidRPr="0092411A">
        <w:rPr>
          <w:rFonts w:ascii="Arial" w:hAnsi="Arial" w:cs="Arial"/>
          <w:sz w:val="22"/>
          <w:szCs w:val="22"/>
          <w:lang w:val="en-AU" w:eastAsia="en-AU"/>
        </w:rPr>
        <w:t>.</w:t>
      </w:r>
    </w:p>
    <w:p w14:paraId="712C27B6" w14:textId="77777777" w:rsidR="001D1004" w:rsidRPr="00F4557E" w:rsidRDefault="002C2F1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lastRenderedPageBreak/>
        <w:t>Wound healing complications</w:t>
      </w:r>
    </w:p>
    <w:p w14:paraId="712C27B8" w14:textId="3335AA6F" w:rsidR="00E03A8B" w:rsidRPr="003A5EE1" w:rsidRDefault="002C2F1E" w:rsidP="002149CB">
      <w:pPr>
        <w:rPr>
          <w:rFonts w:ascii="Arial" w:hAnsi="Arial" w:cs="Arial"/>
          <w:sz w:val="22"/>
          <w:szCs w:val="22"/>
        </w:rPr>
      </w:pPr>
      <w:r w:rsidRPr="003A5EE1">
        <w:rPr>
          <w:rFonts w:ascii="Arial" w:hAnsi="Arial" w:cs="Arial"/>
          <w:sz w:val="22"/>
          <w:szCs w:val="22"/>
        </w:rPr>
        <w:t xml:space="preserve">No formal studies of the effect of </w:t>
      </w:r>
      <w:r w:rsidR="00601DFC">
        <w:rPr>
          <w:rFonts w:ascii="Arial" w:hAnsi="Arial" w:cs="Arial"/>
          <w:sz w:val="22"/>
          <w:szCs w:val="22"/>
        </w:rPr>
        <w:t xml:space="preserve">STIVARGA </w:t>
      </w:r>
      <w:r w:rsidRPr="003A5EE1">
        <w:rPr>
          <w:rFonts w:ascii="Arial" w:hAnsi="Arial" w:cs="Arial"/>
          <w:sz w:val="22"/>
          <w:szCs w:val="22"/>
        </w:rPr>
        <w:t xml:space="preserve">on wound healing have been conducted. </w:t>
      </w:r>
      <w:r w:rsidR="008D4A25" w:rsidRPr="003A5EE1">
        <w:rPr>
          <w:rFonts w:ascii="Arial" w:hAnsi="Arial" w:cs="Arial"/>
          <w:sz w:val="22"/>
          <w:szCs w:val="22"/>
        </w:rPr>
        <w:t>However, medicines</w:t>
      </w:r>
      <w:r w:rsidRPr="003A5EE1">
        <w:rPr>
          <w:rFonts w:ascii="Arial" w:hAnsi="Arial" w:cs="Arial"/>
          <w:sz w:val="22"/>
          <w:szCs w:val="22"/>
        </w:rPr>
        <w:t xml:space="preserve"> with anti-angiogenic properties may suppress or interfere with wound </w:t>
      </w:r>
      <w:r w:rsidR="008D4A25" w:rsidRPr="003A5EE1">
        <w:rPr>
          <w:rFonts w:ascii="Arial" w:hAnsi="Arial" w:cs="Arial"/>
          <w:sz w:val="22"/>
          <w:szCs w:val="22"/>
        </w:rPr>
        <w:t>healing;</w:t>
      </w:r>
      <w:r w:rsidRPr="003A5EE1">
        <w:rPr>
          <w:rFonts w:ascii="Arial" w:hAnsi="Arial" w:cs="Arial"/>
          <w:sz w:val="22"/>
          <w:szCs w:val="22"/>
        </w:rPr>
        <w:t xml:space="preserve"> </w:t>
      </w:r>
      <w:r w:rsidR="002149CB">
        <w:rPr>
          <w:rFonts w:ascii="Arial" w:hAnsi="Arial" w:cs="Arial"/>
          <w:sz w:val="22"/>
          <w:szCs w:val="22"/>
        </w:rPr>
        <w:t>treatment with regorafenib should be stopped at least 2 weeks prior to scheduled surgery. The decision to resume</w:t>
      </w:r>
      <w:r w:rsidR="00537998">
        <w:rPr>
          <w:rFonts w:ascii="Arial" w:hAnsi="Arial" w:cs="Arial"/>
          <w:sz w:val="22"/>
          <w:szCs w:val="22"/>
        </w:rPr>
        <w:t xml:space="preserve"> treatment</w:t>
      </w:r>
      <w:r w:rsidR="002149CB">
        <w:rPr>
          <w:rFonts w:ascii="Arial" w:hAnsi="Arial" w:cs="Arial"/>
          <w:sz w:val="22"/>
          <w:szCs w:val="22"/>
        </w:rPr>
        <w:t xml:space="preserve"> after surgery should be based on clinical judgement of adequate wound healing. </w:t>
      </w:r>
    </w:p>
    <w:p w14:paraId="712C27B9" w14:textId="77777777" w:rsidR="00E03A8B" w:rsidRPr="00D96FE5" w:rsidRDefault="00E03A8B" w:rsidP="00CF7423">
      <w:pPr>
        <w:rPr>
          <w:rFonts w:ascii="Arial" w:hAnsi="Arial" w:cs="Arial"/>
          <w:sz w:val="22"/>
          <w:szCs w:val="22"/>
        </w:rPr>
      </w:pPr>
    </w:p>
    <w:p w14:paraId="712C27BB" w14:textId="12F5EC92" w:rsidR="008D4A25" w:rsidRPr="003A5EE1" w:rsidRDefault="00601DFC" w:rsidP="00CF7423">
      <w:pPr>
        <w:rPr>
          <w:rFonts w:ascii="Arial" w:hAnsi="Arial" w:cs="Arial"/>
          <w:i/>
          <w:sz w:val="22"/>
          <w:szCs w:val="22"/>
        </w:rPr>
      </w:pPr>
      <w:r>
        <w:rPr>
          <w:rFonts w:ascii="Arial" w:hAnsi="Arial" w:cs="Arial"/>
          <w:sz w:val="22"/>
          <w:szCs w:val="22"/>
          <w:lang w:val="en-AU" w:eastAsia="en-AU"/>
        </w:rPr>
        <w:t xml:space="preserve">STIVARGA </w:t>
      </w:r>
      <w:r w:rsidR="00C32BA7" w:rsidRPr="003A5EE1">
        <w:rPr>
          <w:rFonts w:ascii="Arial" w:hAnsi="Arial" w:cs="Arial"/>
          <w:sz w:val="22"/>
          <w:szCs w:val="22"/>
          <w:lang w:val="en-AU" w:eastAsia="en-AU"/>
        </w:rPr>
        <w:t>should be discontinued in patients with wound dehiscence.</w:t>
      </w:r>
    </w:p>
    <w:p w14:paraId="712C27BC" w14:textId="77777777" w:rsidR="001D1004" w:rsidRPr="00F4557E" w:rsidRDefault="002C2F1E"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Dermatological toxicity </w:t>
      </w:r>
    </w:p>
    <w:p w14:paraId="712C27BE" w14:textId="7C743E58" w:rsidR="008D79FC" w:rsidRPr="00AB3B28" w:rsidRDefault="002B70DA" w:rsidP="00B803D9">
      <w:pPr>
        <w:autoSpaceDE w:val="0"/>
        <w:autoSpaceDN w:val="0"/>
        <w:adjustRightInd w:val="0"/>
        <w:rPr>
          <w:rFonts w:ascii="Arial" w:hAnsi="Arial" w:cs="Arial"/>
          <w:sz w:val="22"/>
          <w:szCs w:val="22"/>
        </w:rPr>
      </w:pPr>
      <w:proofErr w:type="gramStart"/>
      <w:r w:rsidRPr="0047783E">
        <w:rPr>
          <w:rStyle w:val="CommentReference"/>
          <w:rFonts w:ascii="Arial" w:hAnsi="Arial" w:cs="Arial"/>
          <w:sz w:val="22"/>
          <w:szCs w:val="22"/>
        </w:rPr>
        <w:t>H</w:t>
      </w:r>
      <w:r w:rsidR="002C2F1E" w:rsidRPr="00A149EB">
        <w:rPr>
          <w:rFonts w:ascii="Arial" w:hAnsi="Arial" w:cs="Arial"/>
          <w:sz w:val="22"/>
          <w:szCs w:val="22"/>
        </w:rPr>
        <w:t>and</w:t>
      </w:r>
      <w:r w:rsidR="002C2F1E" w:rsidRPr="003A5EE1">
        <w:rPr>
          <w:rFonts w:ascii="Arial" w:hAnsi="Arial" w:cs="Arial"/>
          <w:sz w:val="22"/>
          <w:szCs w:val="22"/>
        </w:rPr>
        <w:t>-foot skin reaction (HFSR)</w:t>
      </w:r>
      <w:r w:rsidR="008D4A25" w:rsidRPr="003A5EE1">
        <w:rPr>
          <w:rFonts w:ascii="Arial" w:hAnsi="Arial" w:cs="Arial"/>
          <w:sz w:val="22"/>
          <w:szCs w:val="22"/>
        </w:rPr>
        <w:t xml:space="preserve">/palmar-plantar </w:t>
      </w:r>
      <w:proofErr w:type="spellStart"/>
      <w:r w:rsidR="002C2F1E" w:rsidRPr="003A5EE1">
        <w:rPr>
          <w:rFonts w:ascii="Arial" w:hAnsi="Arial" w:cs="Arial"/>
          <w:sz w:val="22"/>
          <w:szCs w:val="22"/>
        </w:rPr>
        <w:t>erythrodys</w:t>
      </w:r>
      <w:r w:rsidR="009E63D5" w:rsidRPr="003A5EE1">
        <w:rPr>
          <w:rFonts w:ascii="Arial" w:hAnsi="Arial" w:cs="Arial"/>
          <w:sz w:val="22"/>
          <w:szCs w:val="22"/>
        </w:rPr>
        <w:t>a</w:t>
      </w:r>
      <w:r w:rsidR="002C2F1E" w:rsidRPr="003A5EE1">
        <w:rPr>
          <w:rFonts w:ascii="Arial" w:hAnsi="Arial" w:cs="Arial"/>
          <w:sz w:val="22"/>
          <w:szCs w:val="22"/>
        </w:rPr>
        <w:t>esthesia</w:t>
      </w:r>
      <w:proofErr w:type="spellEnd"/>
      <w:r w:rsidR="002C2F1E" w:rsidRPr="003A5EE1">
        <w:rPr>
          <w:rFonts w:ascii="Arial" w:hAnsi="Arial" w:cs="Arial"/>
          <w:sz w:val="22"/>
          <w:szCs w:val="22"/>
        </w:rPr>
        <w:t xml:space="preserve"> syndrome</w:t>
      </w:r>
      <w:r w:rsidR="00520D28">
        <w:rPr>
          <w:rFonts w:ascii="Arial" w:hAnsi="Arial" w:cs="Arial"/>
          <w:sz w:val="22"/>
          <w:szCs w:val="22"/>
        </w:rPr>
        <w:t xml:space="preserve"> (PPE)</w:t>
      </w:r>
      <w:r w:rsidR="002C2F1E" w:rsidRPr="003A5EE1">
        <w:rPr>
          <w:rFonts w:ascii="Arial" w:hAnsi="Arial" w:cs="Arial"/>
          <w:sz w:val="22"/>
          <w:szCs w:val="22"/>
        </w:rPr>
        <w:t xml:space="preserve">) and rash represent the most frequently observed dermatological adverse drug reactions with </w:t>
      </w:r>
      <w:r w:rsidR="00601DFC">
        <w:rPr>
          <w:rFonts w:ascii="Arial" w:hAnsi="Arial" w:cs="Arial"/>
          <w:sz w:val="22"/>
          <w:szCs w:val="22"/>
        </w:rPr>
        <w:t xml:space="preserve">STIVARGA </w:t>
      </w:r>
      <w:r w:rsidR="002C2F1E" w:rsidRPr="003A5EE1">
        <w:rPr>
          <w:rFonts w:ascii="Arial" w:hAnsi="Arial" w:cs="Arial"/>
          <w:sz w:val="22"/>
          <w:szCs w:val="22"/>
        </w:rPr>
        <w:t>(</w:t>
      </w:r>
      <w:r w:rsidR="008D79FC" w:rsidRPr="003A5EE1">
        <w:rPr>
          <w:rFonts w:ascii="Arial" w:hAnsi="Arial" w:cs="Arial"/>
          <w:sz w:val="22"/>
          <w:szCs w:val="22"/>
        </w:rPr>
        <w:t>see</w:t>
      </w:r>
      <w:r w:rsidR="008D4A25" w:rsidRPr="003A5EE1">
        <w:rPr>
          <w:rFonts w:ascii="Arial" w:hAnsi="Arial" w:cs="Arial"/>
          <w:sz w:val="22"/>
          <w:szCs w:val="22"/>
        </w:rPr>
        <w:t xml:space="preserve"> </w:t>
      </w:r>
      <w:r w:rsidR="00F00CDC">
        <w:rPr>
          <w:rFonts w:ascii="Arial" w:hAnsi="Arial" w:cs="Arial"/>
          <w:sz w:val="22"/>
          <w:szCs w:val="22"/>
        </w:rPr>
        <w:t>ADVERSE EFFECTS</w:t>
      </w:r>
      <w:r w:rsidR="002C2F1E" w:rsidRPr="003A5EE1">
        <w:rPr>
          <w:rFonts w:ascii="Arial" w:hAnsi="Arial" w:cs="Arial"/>
          <w:sz w:val="22"/>
          <w:szCs w:val="22"/>
        </w:rPr>
        <w:t>).</w:t>
      </w:r>
      <w:proofErr w:type="gramEnd"/>
      <w:r w:rsidR="002C2F1E" w:rsidRPr="003A5EE1">
        <w:rPr>
          <w:rFonts w:ascii="Arial" w:hAnsi="Arial" w:cs="Arial"/>
          <w:sz w:val="22"/>
          <w:szCs w:val="22"/>
        </w:rPr>
        <w:t xml:space="preserve"> </w:t>
      </w:r>
    </w:p>
    <w:p w14:paraId="712C27BF" w14:textId="77777777" w:rsidR="008D79FC" w:rsidRPr="003A5EE1" w:rsidRDefault="008D79FC" w:rsidP="008D79FC">
      <w:pPr>
        <w:autoSpaceDE w:val="0"/>
        <w:autoSpaceDN w:val="0"/>
        <w:adjustRightInd w:val="0"/>
        <w:rPr>
          <w:rFonts w:ascii="Arial" w:hAnsi="Arial" w:cs="Arial"/>
          <w:sz w:val="22"/>
          <w:szCs w:val="22"/>
        </w:rPr>
      </w:pPr>
    </w:p>
    <w:p w14:paraId="712C27C0" w14:textId="77777777" w:rsidR="008D4A25" w:rsidRPr="003A5EE1" w:rsidRDefault="002C2F1E" w:rsidP="008D79FC">
      <w:pPr>
        <w:autoSpaceDE w:val="0"/>
        <w:autoSpaceDN w:val="0"/>
        <w:adjustRightInd w:val="0"/>
        <w:rPr>
          <w:rFonts w:ascii="Arial" w:hAnsi="Arial" w:cs="Arial"/>
          <w:sz w:val="22"/>
          <w:szCs w:val="22"/>
        </w:rPr>
      </w:pPr>
      <w:r w:rsidRPr="003A5EE1">
        <w:rPr>
          <w:rFonts w:ascii="Arial" w:hAnsi="Arial" w:cs="Arial"/>
          <w:sz w:val="22"/>
          <w:szCs w:val="22"/>
        </w:rPr>
        <w:t xml:space="preserve">Measures for the prevention of HFSR include control of calluses and use of shoe cushions and gloves to prevent pressure stress to soles and palms. </w:t>
      </w:r>
    </w:p>
    <w:p w14:paraId="712C27C1" w14:textId="77777777" w:rsidR="008D4A25" w:rsidRPr="003A5EE1" w:rsidRDefault="008D4A25" w:rsidP="00C14601">
      <w:pPr>
        <w:rPr>
          <w:rFonts w:ascii="Arial" w:hAnsi="Arial" w:cs="Arial"/>
          <w:sz w:val="22"/>
          <w:szCs w:val="22"/>
        </w:rPr>
      </w:pPr>
    </w:p>
    <w:p w14:paraId="712C27C2" w14:textId="77777777" w:rsidR="008D79FC" w:rsidRPr="003A5EE1" w:rsidRDefault="002C2F1E" w:rsidP="00C14601">
      <w:pPr>
        <w:rPr>
          <w:rFonts w:ascii="Arial" w:hAnsi="Arial" w:cs="Arial"/>
          <w:sz w:val="22"/>
          <w:szCs w:val="22"/>
        </w:rPr>
      </w:pPr>
      <w:r w:rsidRPr="003A5EE1">
        <w:rPr>
          <w:rFonts w:ascii="Arial" w:hAnsi="Arial" w:cs="Arial"/>
          <w:sz w:val="22"/>
          <w:szCs w:val="22"/>
        </w:rPr>
        <w:t xml:space="preserve">Management of HFSR may include the use of </w:t>
      </w:r>
      <w:proofErr w:type="spellStart"/>
      <w:r w:rsidRPr="003A5EE1">
        <w:rPr>
          <w:rFonts w:ascii="Arial" w:hAnsi="Arial" w:cs="Arial"/>
          <w:sz w:val="22"/>
          <w:szCs w:val="22"/>
        </w:rPr>
        <w:t>keratolytic</w:t>
      </w:r>
      <w:proofErr w:type="spellEnd"/>
      <w:r w:rsidRPr="003A5EE1">
        <w:rPr>
          <w:rFonts w:ascii="Arial" w:hAnsi="Arial" w:cs="Arial"/>
          <w:sz w:val="22"/>
          <w:szCs w:val="22"/>
        </w:rPr>
        <w:t xml:space="preserve"> creams (</w:t>
      </w:r>
      <w:r w:rsidR="00E16D20" w:rsidRPr="003A5EE1">
        <w:rPr>
          <w:rFonts w:ascii="Arial" w:hAnsi="Arial" w:cs="Arial"/>
          <w:sz w:val="22"/>
          <w:szCs w:val="22"/>
        </w:rPr>
        <w:t xml:space="preserve">e.g. urea-, salicylic acid-, or alpha hydroxyl acid-based creams </w:t>
      </w:r>
      <w:r w:rsidRPr="003A5EE1">
        <w:rPr>
          <w:rFonts w:ascii="Arial" w:hAnsi="Arial" w:cs="Arial"/>
          <w:sz w:val="22"/>
          <w:szCs w:val="22"/>
        </w:rPr>
        <w:t xml:space="preserve">applied sparingly only on affected areas), </w:t>
      </w:r>
      <w:r w:rsidR="00E16D20" w:rsidRPr="003A5EE1">
        <w:rPr>
          <w:rFonts w:ascii="Arial" w:hAnsi="Arial" w:cs="Arial"/>
          <w:sz w:val="22"/>
          <w:szCs w:val="22"/>
        </w:rPr>
        <w:t xml:space="preserve">and moisturising </w:t>
      </w:r>
      <w:r w:rsidRPr="003A5EE1">
        <w:rPr>
          <w:rFonts w:ascii="Arial" w:hAnsi="Arial" w:cs="Arial"/>
          <w:sz w:val="22"/>
          <w:szCs w:val="22"/>
        </w:rPr>
        <w:t xml:space="preserve">creams </w:t>
      </w:r>
      <w:r w:rsidR="00E16D20" w:rsidRPr="003A5EE1">
        <w:rPr>
          <w:rFonts w:ascii="Arial" w:hAnsi="Arial" w:cs="Arial"/>
          <w:sz w:val="22"/>
          <w:szCs w:val="22"/>
        </w:rPr>
        <w:t>(</w:t>
      </w:r>
      <w:r w:rsidRPr="003A5EE1">
        <w:rPr>
          <w:rFonts w:ascii="Arial" w:hAnsi="Arial" w:cs="Arial"/>
          <w:sz w:val="22"/>
          <w:szCs w:val="22"/>
        </w:rPr>
        <w:t>applied liberally</w:t>
      </w:r>
      <w:r w:rsidR="00E16D20" w:rsidRPr="003A5EE1">
        <w:rPr>
          <w:rFonts w:ascii="Arial" w:hAnsi="Arial" w:cs="Arial"/>
          <w:sz w:val="22"/>
          <w:szCs w:val="22"/>
        </w:rPr>
        <w:t>)</w:t>
      </w:r>
      <w:r w:rsidRPr="003A5EE1">
        <w:rPr>
          <w:rFonts w:ascii="Arial" w:hAnsi="Arial" w:cs="Arial"/>
          <w:sz w:val="22"/>
          <w:szCs w:val="22"/>
        </w:rPr>
        <w:t xml:space="preserve"> for symptomatic relief. </w:t>
      </w:r>
    </w:p>
    <w:p w14:paraId="712C27C3" w14:textId="77777777" w:rsidR="008D79FC" w:rsidRPr="003A5EE1" w:rsidRDefault="008D79FC" w:rsidP="00C14601">
      <w:pPr>
        <w:rPr>
          <w:rFonts w:ascii="Arial" w:hAnsi="Arial" w:cs="Arial"/>
          <w:sz w:val="22"/>
          <w:szCs w:val="22"/>
        </w:rPr>
      </w:pPr>
    </w:p>
    <w:p w14:paraId="712C27C4" w14:textId="1288AD08" w:rsidR="008D79FC" w:rsidRPr="003A5EE1" w:rsidRDefault="00B523DE" w:rsidP="00C14601">
      <w:pPr>
        <w:rPr>
          <w:rFonts w:ascii="Arial" w:hAnsi="Arial" w:cs="Arial"/>
          <w:sz w:val="22"/>
          <w:szCs w:val="22"/>
        </w:rPr>
      </w:pPr>
      <w:r>
        <w:rPr>
          <w:rFonts w:ascii="Arial" w:hAnsi="Arial" w:cs="Arial"/>
          <w:sz w:val="22"/>
          <w:szCs w:val="22"/>
          <w:lang w:val="en-AU" w:eastAsia="en-AU"/>
        </w:rPr>
        <w:t>Stevens-Johnson syndrome and t</w:t>
      </w:r>
      <w:r w:rsidR="008D79FC" w:rsidRPr="003A5EE1">
        <w:rPr>
          <w:rFonts w:ascii="Arial" w:hAnsi="Arial" w:cs="Arial"/>
          <w:sz w:val="22"/>
          <w:szCs w:val="22"/>
          <w:lang w:val="en-AU" w:eastAsia="en-AU"/>
        </w:rPr>
        <w:t>oxic epidermal necrolysis w</w:t>
      </w:r>
      <w:r>
        <w:rPr>
          <w:rFonts w:ascii="Arial" w:hAnsi="Arial" w:cs="Arial"/>
          <w:sz w:val="22"/>
          <w:szCs w:val="22"/>
          <w:lang w:val="en-AU" w:eastAsia="en-AU"/>
        </w:rPr>
        <w:t>ere rarely</w:t>
      </w:r>
      <w:r w:rsidR="008D79FC" w:rsidRPr="003A5EE1">
        <w:rPr>
          <w:rFonts w:ascii="Arial" w:hAnsi="Arial" w:cs="Arial"/>
          <w:sz w:val="22"/>
          <w:szCs w:val="22"/>
          <w:lang w:val="en-AU" w:eastAsia="en-AU"/>
        </w:rPr>
        <w:t xml:space="preserve"> observed in patients treated with </w:t>
      </w:r>
      <w:r w:rsidR="00CF2684">
        <w:rPr>
          <w:rFonts w:ascii="Arial" w:hAnsi="Arial" w:cs="Arial"/>
          <w:sz w:val="22"/>
          <w:szCs w:val="22"/>
          <w:lang w:val="en-AU" w:eastAsia="en-AU"/>
        </w:rPr>
        <w:t>STIVARGA</w:t>
      </w:r>
      <w:r w:rsidR="008D79FC" w:rsidRPr="003A5EE1">
        <w:rPr>
          <w:rFonts w:ascii="Arial" w:hAnsi="Arial" w:cs="Arial"/>
          <w:sz w:val="22"/>
          <w:szCs w:val="22"/>
          <w:lang w:val="en-AU" w:eastAsia="en-AU"/>
        </w:rPr>
        <w:t xml:space="preserve">. </w:t>
      </w:r>
    </w:p>
    <w:p w14:paraId="712C27C5" w14:textId="77777777" w:rsidR="008D79FC" w:rsidRPr="003A5EE1" w:rsidRDefault="008D79FC" w:rsidP="00C14601">
      <w:pPr>
        <w:rPr>
          <w:rFonts w:ascii="Arial" w:hAnsi="Arial" w:cs="Arial"/>
          <w:sz w:val="22"/>
          <w:szCs w:val="22"/>
        </w:rPr>
      </w:pPr>
    </w:p>
    <w:p w14:paraId="712C27C7" w14:textId="7F816A36" w:rsidR="00ED1BB4" w:rsidRPr="003A5EE1" w:rsidRDefault="002C2F1E" w:rsidP="00B803D9">
      <w:pPr>
        <w:autoSpaceDE w:val="0"/>
        <w:autoSpaceDN w:val="0"/>
        <w:adjustRightInd w:val="0"/>
        <w:rPr>
          <w:rFonts w:ascii="Arial" w:hAnsi="Arial" w:cs="Arial"/>
          <w:sz w:val="22"/>
          <w:szCs w:val="22"/>
        </w:rPr>
      </w:pPr>
      <w:r w:rsidRPr="003A5EE1">
        <w:rPr>
          <w:rFonts w:ascii="Arial" w:hAnsi="Arial" w:cs="Arial"/>
          <w:sz w:val="22"/>
          <w:szCs w:val="22"/>
        </w:rPr>
        <w:t xml:space="preserve">Dose reduction and/or temporary interruption of </w:t>
      </w:r>
      <w:r w:rsidR="00601DFC">
        <w:rPr>
          <w:rFonts w:ascii="Arial" w:hAnsi="Arial" w:cs="Arial"/>
          <w:sz w:val="22"/>
          <w:szCs w:val="22"/>
        </w:rPr>
        <w:t>STIVARGA</w:t>
      </w:r>
      <w:r w:rsidRPr="003A5EE1">
        <w:rPr>
          <w:rFonts w:ascii="Arial" w:hAnsi="Arial" w:cs="Arial"/>
          <w:sz w:val="22"/>
          <w:szCs w:val="22"/>
        </w:rPr>
        <w:t xml:space="preserve">, or in severe or persistent cases, permanent discontinuation of </w:t>
      </w:r>
      <w:r w:rsidR="00601DFC">
        <w:rPr>
          <w:rFonts w:ascii="Arial" w:hAnsi="Arial" w:cs="Arial"/>
          <w:sz w:val="22"/>
          <w:szCs w:val="22"/>
        </w:rPr>
        <w:t xml:space="preserve">STIVARGA </w:t>
      </w:r>
      <w:r w:rsidRPr="003A5EE1">
        <w:rPr>
          <w:rFonts w:ascii="Arial" w:hAnsi="Arial" w:cs="Arial"/>
          <w:sz w:val="22"/>
          <w:szCs w:val="22"/>
        </w:rPr>
        <w:t>should be considered (</w:t>
      </w:r>
      <w:r w:rsidR="008D79FC" w:rsidRPr="003A5EE1">
        <w:rPr>
          <w:rFonts w:ascii="Arial" w:hAnsi="Arial" w:cs="Arial"/>
          <w:sz w:val="22"/>
          <w:szCs w:val="22"/>
        </w:rPr>
        <w:t>see</w:t>
      </w:r>
      <w:r w:rsidR="008D4A25" w:rsidRPr="003A5EE1">
        <w:rPr>
          <w:rFonts w:ascii="Arial" w:hAnsi="Arial" w:cs="Arial"/>
          <w:sz w:val="22"/>
          <w:szCs w:val="22"/>
        </w:rPr>
        <w:t xml:space="preserve"> </w:t>
      </w:r>
      <w:r w:rsidR="00F00CDC">
        <w:rPr>
          <w:rFonts w:ascii="Arial" w:hAnsi="Arial" w:cs="Arial"/>
          <w:sz w:val="22"/>
          <w:szCs w:val="22"/>
        </w:rPr>
        <w:t>DOSAGE AND ADMINISTRATION</w:t>
      </w:r>
      <w:r w:rsidRPr="003A5EE1">
        <w:rPr>
          <w:rFonts w:ascii="Arial" w:hAnsi="Arial" w:cs="Arial"/>
          <w:sz w:val="22"/>
          <w:szCs w:val="22"/>
        </w:rPr>
        <w:t>–</w:t>
      </w:r>
      <w:r w:rsidR="008D4A25" w:rsidRPr="003A5EE1">
        <w:rPr>
          <w:rFonts w:ascii="Arial" w:hAnsi="Arial" w:cs="Arial"/>
          <w:sz w:val="22"/>
          <w:szCs w:val="22"/>
        </w:rPr>
        <w:t xml:space="preserve"> </w:t>
      </w:r>
      <w:hyperlink w:anchor="_Dose_modification" w:history="1">
        <w:r w:rsidRPr="003A5EE1">
          <w:rPr>
            <w:rFonts w:ascii="Arial" w:hAnsi="Arial" w:cs="Arial"/>
            <w:sz w:val="22"/>
            <w:szCs w:val="22"/>
          </w:rPr>
          <w:t>Dose modification</w:t>
        </w:r>
      </w:hyperlink>
      <w:r w:rsidRPr="003A5EE1">
        <w:rPr>
          <w:rFonts w:ascii="Arial" w:hAnsi="Arial" w:cs="Arial"/>
          <w:sz w:val="22"/>
          <w:szCs w:val="22"/>
        </w:rPr>
        <w:t>).</w:t>
      </w:r>
    </w:p>
    <w:p w14:paraId="712C27C8" w14:textId="77777777" w:rsidR="009E6264" w:rsidRPr="00F4557E" w:rsidRDefault="009E626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Biochemical and metabolic laboratory test abnormalities </w:t>
      </w:r>
    </w:p>
    <w:p w14:paraId="712C27CA" w14:textId="13575B9E" w:rsidR="00E03A8B" w:rsidRPr="003A5EE1" w:rsidRDefault="00601DFC" w:rsidP="009E6264">
      <w:pPr>
        <w:rPr>
          <w:rFonts w:ascii="Arial" w:hAnsi="Arial" w:cs="Arial"/>
          <w:color w:val="000000"/>
          <w:sz w:val="22"/>
          <w:szCs w:val="22"/>
          <w:lang w:val="en-AU" w:eastAsia="en-AU"/>
        </w:rPr>
      </w:pPr>
      <w:r>
        <w:rPr>
          <w:rFonts w:ascii="Arial" w:hAnsi="Arial" w:cs="Arial"/>
          <w:iCs/>
          <w:color w:val="000000"/>
          <w:sz w:val="22"/>
          <w:szCs w:val="22"/>
          <w:lang w:val="en-AU" w:eastAsia="en-AU"/>
        </w:rPr>
        <w:t xml:space="preserve">STIVARGA </w:t>
      </w:r>
      <w:r w:rsidR="009E6264" w:rsidRPr="003A5EE1">
        <w:rPr>
          <w:rFonts w:ascii="Arial" w:hAnsi="Arial" w:cs="Arial"/>
          <w:color w:val="000000"/>
          <w:sz w:val="22"/>
          <w:szCs w:val="22"/>
          <w:lang w:val="en-AU" w:eastAsia="en-AU"/>
        </w:rPr>
        <w:t xml:space="preserve">has been associated with an increased incidence of electrolyte abnormalities (including hypophosphatemia, hypocalcaemia, hyponatremia and hypokalaemia) and metabolic abnormalities (including increases in thyroid stimulating hormone, lipase and amylase). </w:t>
      </w:r>
    </w:p>
    <w:p w14:paraId="712C27CB" w14:textId="77777777" w:rsidR="00E03A8B" w:rsidRPr="00D96FE5" w:rsidRDefault="00E03A8B" w:rsidP="009E6264">
      <w:pPr>
        <w:rPr>
          <w:rFonts w:ascii="Arial" w:hAnsi="Arial" w:cs="Arial"/>
          <w:color w:val="000000"/>
          <w:sz w:val="22"/>
          <w:szCs w:val="22"/>
          <w:lang w:val="en-AU" w:eastAsia="en-AU"/>
        </w:rPr>
      </w:pPr>
    </w:p>
    <w:p w14:paraId="712C27CC" w14:textId="196269CF" w:rsidR="009E6264" w:rsidRPr="003A5EE1" w:rsidRDefault="009E6264" w:rsidP="009E6264">
      <w:pPr>
        <w:rPr>
          <w:rFonts w:ascii="Arial" w:hAnsi="Arial" w:cs="Arial"/>
          <w:color w:val="000000"/>
          <w:sz w:val="22"/>
          <w:szCs w:val="22"/>
          <w:lang w:val="en-AU" w:eastAsia="en-AU"/>
        </w:rPr>
      </w:pPr>
      <w:r w:rsidRPr="003A5EE1">
        <w:rPr>
          <w:rFonts w:ascii="Arial" w:hAnsi="Arial" w:cs="Arial"/>
          <w:color w:val="000000"/>
          <w:sz w:val="22"/>
          <w:szCs w:val="22"/>
          <w:lang w:val="en-AU" w:eastAsia="en-AU"/>
        </w:rPr>
        <w:t xml:space="preserve">The abnormalities are generally mild to moderate severity, not associated with clinical manifestations, and do not usually require dose interruptions or reductions. It is recommended to monitor biochemical and metabolic parameters during </w:t>
      </w:r>
      <w:r w:rsidR="00601DFC">
        <w:rPr>
          <w:rFonts w:ascii="Arial" w:hAnsi="Arial" w:cs="Arial"/>
          <w:color w:val="000000"/>
          <w:sz w:val="22"/>
          <w:szCs w:val="22"/>
          <w:lang w:val="en-AU" w:eastAsia="en-AU"/>
        </w:rPr>
        <w:t xml:space="preserve">STIVARGA </w:t>
      </w:r>
      <w:r w:rsidRPr="003A5EE1">
        <w:rPr>
          <w:rFonts w:ascii="Arial" w:hAnsi="Arial" w:cs="Arial"/>
          <w:color w:val="000000"/>
          <w:sz w:val="22"/>
          <w:szCs w:val="22"/>
          <w:lang w:val="en-AU" w:eastAsia="en-AU"/>
        </w:rPr>
        <w:t xml:space="preserve">treatment and to institute appropriate replacement therapy according to standard clinical practice if required. </w:t>
      </w:r>
    </w:p>
    <w:p w14:paraId="712C27CD" w14:textId="77777777" w:rsidR="009E6264" w:rsidRPr="003A5EE1" w:rsidRDefault="009E6264" w:rsidP="009E6264">
      <w:pPr>
        <w:rPr>
          <w:rFonts w:ascii="Arial" w:hAnsi="Arial" w:cs="Arial"/>
          <w:color w:val="000000"/>
          <w:sz w:val="22"/>
          <w:szCs w:val="22"/>
          <w:lang w:val="en-AU" w:eastAsia="en-AU"/>
        </w:rPr>
      </w:pPr>
    </w:p>
    <w:p w14:paraId="712C27CF" w14:textId="22D49D45" w:rsidR="009E6264" w:rsidRPr="003A5EE1" w:rsidRDefault="009E6264" w:rsidP="009E6264">
      <w:pPr>
        <w:rPr>
          <w:sz w:val="22"/>
          <w:szCs w:val="22"/>
        </w:rPr>
      </w:pPr>
      <w:r w:rsidRPr="003A5EE1">
        <w:rPr>
          <w:rFonts w:ascii="Arial" w:hAnsi="Arial" w:cs="Arial"/>
          <w:color w:val="000000"/>
          <w:sz w:val="22"/>
          <w:szCs w:val="22"/>
          <w:lang w:val="en-AU" w:eastAsia="en-AU"/>
        </w:rPr>
        <w:t xml:space="preserve">Dose interruption or reduction, or permanent discontinuation of </w:t>
      </w:r>
      <w:r w:rsidR="00601DFC">
        <w:rPr>
          <w:rFonts w:ascii="Arial" w:hAnsi="Arial" w:cs="Arial"/>
          <w:iCs/>
          <w:color w:val="000000"/>
          <w:sz w:val="22"/>
          <w:szCs w:val="22"/>
          <w:lang w:val="en-AU" w:eastAsia="en-AU"/>
        </w:rPr>
        <w:t xml:space="preserve">STIVARGA </w:t>
      </w:r>
      <w:r w:rsidRPr="003A5EE1">
        <w:rPr>
          <w:rFonts w:ascii="Arial" w:hAnsi="Arial" w:cs="Arial"/>
          <w:color w:val="000000"/>
          <w:sz w:val="22"/>
          <w:szCs w:val="22"/>
          <w:lang w:val="en-AU" w:eastAsia="en-AU"/>
        </w:rPr>
        <w:t>should be considered in case of persistent or recurrent significant abnormalities (</w:t>
      </w:r>
      <w:r w:rsidR="008D79FC" w:rsidRPr="003A5EE1">
        <w:rPr>
          <w:rFonts w:ascii="Arial" w:hAnsi="Arial" w:cs="Arial"/>
          <w:color w:val="000000"/>
          <w:sz w:val="22"/>
          <w:szCs w:val="22"/>
          <w:lang w:val="en-AU" w:eastAsia="en-AU"/>
        </w:rPr>
        <w:t>see</w:t>
      </w:r>
      <w:r w:rsidRPr="003A5EE1">
        <w:rPr>
          <w:rFonts w:ascii="Arial" w:hAnsi="Arial" w:cs="Arial"/>
          <w:sz w:val="22"/>
          <w:szCs w:val="22"/>
          <w:lang w:val="en-AU" w:eastAsia="en-AU"/>
        </w:rPr>
        <w:t xml:space="preserve"> </w:t>
      </w:r>
      <w:r w:rsidR="00F00CDC">
        <w:rPr>
          <w:rFonts w:ascii="Arial" w:hAnsi="Arial" w:cs="Arial"/>
          <w:sz w:val="22"/>
          <w:szCs w:val="22"/>
          <w:lang w:val="en-AU" w:eastAsia="en-AU"/>
        </w:rPr>
        <w:t>DOSAGE AND ADMINISTRATION</w:t>
      </w:r>
      <w:r w:rsidRPr="003A5EE1">
        <w:rPr>
          <w:rFonts w:ascii="Arial" w:hAnsi="Arial" w:cs="Arial"/>
          <w:sz w:val="22"/>
          <w:szCs w:val="22"/>
          <w:lang w:val="en-AU" w:eastAsia="en-AU"/>
        </w:rPr>
        <w:t xml:space="preserve"> - Dose modification). </w:t>
      </w:r>
    </w:p>
    <w:p w14:paraId="712C27D0" w14:textId="77777777" w:rsidR="001D1004" w:rsidRPr="00F4557E" w:rsidRDefault="001D100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Effects on Fertility</w:t>
      </w:r>
    </w:p>
    <w:p w14:paraId="712C27D2" w14:textId="648F429A" w:rsidR="003051BF" w:rsidRDefault="00D13105" w:rsidP="00CF7423">
      <w:pPr>
        <w:ind w:right="46"/>
        <w:rPr>
          <w:rFonts w:ascii="Arial" w:hAnsi="Arial" w:cs="Arial"/>
          <w:sz w:val="22"/>
          <w:szCs w:val="22"/>
          <w:lang w:val="en-AU" w:eastAsia="de-DE"/>
        </w:rPr>
      </w:pPr>
      <w:r w:rsidRPr="003A5EE1">
        <w:rPr>
          <w:rFonts w:ascii="Arial" w:hAnsi="Arial" w:cs="Arial"/>
          <w:sz w:val="22"/>
          <w:szCs w:val="22"/>
          <w:lang w:val="en-AU" w:eastAsia="de-DE"/>
        </w:rPr>
        <w:t xml:space="preserve">There is no data on the effect of </w:t>
      </w:r>
      <w:r w:rsidR="00601DFC">
        <w:rPr>
          <w:rFonts w:ascii="Arial" w:hAnsi="Arial" w:cs="Arial"/>
          <w:sz w:val="22"/>
          <w:szCs w:val="22"/>
          <w:lang w:val="en-AU" w:eastAsia="de-DE"/>
        </w:rPr>
        <w:t xml:space="preserve">STIVARGA </w:t>
      </w:r>
      <w:r w:rsidRPr="003A5EE1">
        <w:rPr>
          <w:rFonts w:ascii="Arial" w:hAnsi="Arial" w:cs="Arial"/>
          <w:sz w:val="22"/>
          <w:szCs w:val="22"/>
          <w:lang w:val="en-AU" w:eastAsia="de-DE"/>
        </w:rPr>
        <w:t xml:space="preserve">on human fertility. </w:t>
      </w:r>
      <w:r w:rsidR="00DC4328" w:rsidRPr="003A5EE1">
        <w:rPr>
          <w:rFonts w:ascii="Arial" w:hAnsi="Arial" w:cs="Arial"/>
          <w:sz w:val="22"/>
          <w:szCs w:val="22"/>
          <w:lang w:val="en-AU" w:eastAsia="de-DE"/>
        </w:rPr>
        <w:t xml:space="preserve">Based on histological changes (mostly atrophic) in the testes, ovaries and uterus observed after repeated dosing with regorafenib in rats and dogs at exposures below the anticipated human exposure (based on AUC), regorafenib has the potential to adversely affect male and female reproduction in humans. </w:t>
      </w:r>
    </w:p>
    <w:p w14:paraId="27C5839F" w14:textId="77777777" w:rsidR="007A45D1" w:rsidRPr="003A5EE1" w:rsidRDefault="007A45D1" w:rsidP="00CF7423">
      <w:pPr>
        <w:ind w:right="46"/>
        <w:rPr>
          <w:rFonts w:ascii="Arial" w:hAnsi="Arial" w:cs="Arial"/>
          <w:sz w:val="22"/>
          <w:szCs w:val="22"/>
          <w:lang w:val="en-AU" w:eastAsia="de-DE"/>
        </w:rPr>
      </w:pPr>
    </w:p>
    <w:p w14:paraId="712C27D4" w14:textId="51A21916" w:rsidR="006B7A11" w:rsidRPr="003A5EE1" w:rsidRDefault="00D13105" w:rsidP="002E54D9">
      <w:pPr>
        <w:ind w:right="46"/>
        <w:rPr>
          <w:rFonts w:ascii="Arial" w:hAnsi="Arial" w:cs="Arial"/>
          <w:sz w:val="22"/>
          <w:szCs w:val="22"/>
        </w:rPr>
      </w:pPr>
      <w:r w:rsidRPr="003A5EE1">
        <w:rPr>
          <w:rFonts w:ascii="Arial" w:hAnsi="Arial" w:cs="Arial"/>
          <w:sz w:val="22"/>
          <w:szCs w:val="22"/>
        </w:rPr>
        <w:lastRenderedPageBreak/>
        <w:t xml:space="preserve">Women of childbearing potential must be informed that regorafenib may cause fetal harm. </w:t>
      </w:r>
    </w:p>
    <w:p w14:paraId="712C27D5" w14:textId="77777777" w:rsidR="001D1004" w:rsidRPr="00F4557E" w:rsidRDefault="001D100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Use in Pregnancy</w:t>
      </w:r>
    </w:p>
    <w:p w14:paraId="712C27D7" w14:textId="77777777" w:rsidR="001D1004" w:rsidRPr="003A5EE1" w:rsidRDefault="001D1004" w:rsidP="0047783E">
      <w:pPr>
        <w:keepNext/>
        <w:ind w:right="46"/>
        <w:rPr>
          <w:rFonts w:ascii="Arial" w:hAnsi="Arial" w:cs="Arial"/>
          <w:sz w:val="22"/>
          <w:szCs w:val="22"/>
          <w:lang w:val="en-AU"/>
        </w:rPr>
      </w:pPr>
      <w:proofErr w:type="gramStart"/>
      <w:r w:rsidRPr="003A5EE1">
        <w:rPr>
          <w:rFonts w:ascii="Arial" w:hAnsi="Arial" w:cs="Arial"/>
          <w:sz w:val="22"/>
          <w:szCs w:val="22"/>
          <w:lang w:val="en-AU"/>
        </w:rPr>
        <w:t xml:space="preserve">Pregnancy Category </w:t>
      </w:r>
      <w:r w:rsidR="00D13105" w:rsidRPr="003A5EE1">
        <w:rPr>
          <w:rFonts w:ascii="Arial" w:hAnsi="Arial" w:cs="Arial"/>
          <w:sz w:val="22"/>
          <w:szCs w:val="22"/>
          <w:lang w:val="en-AU"/>
        </w:rPr>
        <w:t>D</w:t>
      </w:r>
      <w:r w:rsidR="008D4A25" w:rsidRPr="003A5EE1">
        <w:rPr>
          <w:rFonts w:ascii="Arial" w:hAnsi="Arial" w:cs="Arial"/>
          <w:sz w:val="22"/>
          <w:szCs w:val="22"/>
          <w:lang w:val="en-AU"/>
        </w:rPr>
        <w:t>.</w:t>
      </w:r>
      <w:proofErr w:type="gramEnd"/>
    </w:p>
    <w:p w14:paraId="712C27D8" w14:textId="77777777" w:rsidR="008D4A25" w:rsidRPr="003A5EE1" w:rsidRDefault="008D4A25" w:rsidP="00CF7423">
      <w:pPr>
        <w:ind w:right="46"/>
        <w:rPr>
          <w:rFonts w:ascii="Arial" w:hAnsi="Arial" w:cs="Arial"/>
          <w:sz w:val="22"/>
          <w:szCs w:val="22"/>
          <w:lang w:val="en-AU"/>
        </w:rPr>
      </w:pPr>
    </w:p>
    <w:p w14:paraId="712C27D9" w14:textId="66FB0A8D" w:rsidR="008D4A25" w:rsidRPr="003A5EE1" w:rsidRDefault="00EA74F1" w:rsidP="00CF7423">
      <w:pPr>
        <w:pStyle w:val="BayerBodyTextFull"/>
        <w:spacing w:before="0" w:after="0"/>
        <w:rPr>
          <w:rFonts w:ascii="Arial" w:hAnsi="Arial" w:cs="Arial"/>
          <w:sz w:val="22"/>
          <w:szCs w:val="22"/>
        </w:rPr>
      </w:pPr>
      <w:r w:rsidRPr="003A5EE1">
        <w:rPr>
          <w:rFonts w:ascii="Arial" w:hAnsi="Arial" w:cs="Arial"/>
          <w:sz w:val="22"/>
          <w:szCs w:val="22"/>
        </w:rPr>
        <w:t xml:space="preserve">There are no adequate or well-controlled studies with </w:t>
      </w:r>
      <w:r w:rsidR="00601DFC">
        <w:rPr>
          <w:rFonts w:ascii="Arial" w:hAnsi="Arial" w:cs="Arial"/>
          <w:sz w:val="22"/>
          <w:szCs w:val="22"/>
        </w:rPr>
        <w:t xml:space="preserve">STIVARGA </w:t>
      </w:r>
      <w:r w:rsidRPr="003A5EE1">
        <w:rPr>
          <w:rFonts w:ascii="Arial" w:hAnsi="Arial" w:cs="Arial"/>
          <w:sz w:val="22"/>
          <w:szCs w:val="22"/>
        </w:rPr>
        <w:t xml:space="preserve">in pregnant women. Based on its mechanism of action and findings in animal studies, regorafenib may cause fetal harm when administered during pregnancy.  </w:t>
      </w:r>
    </w:p>
    <w:p w14:paraId="712C27DA" w14:textId="77777777" w:rsidR="00C162D8" w:rsidRPr="003A5EE1" w:rsidRDefault="00C162D8" w:rsidP="00CF7423">
      <w:pPr>
        <w:pStyle w:val="BayerBodyTextFull"/>
        <w:spacing w:before="0" w:after="0"/>
        <w:rPr>
          <w:rFonts w:ascii="Arial" w:hAnsi="Arial" w:cs="Arial"/>
          <w:sz w:val="22"/>
          <w:szCs w:val="22"/>
        </w:rPr>
      </w:pPr>
    </w:p>
    <w:p w14:paraId="712C27DB" w14:textId="77777777" w:rsidR="006C3E63" w:rsidRDefault="00EA74F1" w:rsidP="00CF7423">
      <w:pPr>
        <w:pStyle w:val="BayerBodyTextFull"/>
        <w:spacing w:before="0" w:after="0"/>
        <w:rPr>
          <w:rFonts w:ascii="Arial" w:hAnsi="Arial" w:cs="Arial"/>
          <w:sz w:val="22"/>
          <w:szCs w:val="22"/>
        </w:rPr>
      </w:pPr>
      <w:r w:rsidRPr="003A5EE1">
        <w:rPr>
          <w:rFonts w:ascii="Arial" w:hAnsi="Arial" w:cs="Arial"/>
          <w:sz w:val="22"/>
          <w:szCs w:val="22"/>
        </w:rPr>
        <w:t>A teratogenic effect was obse</w:t>
      </w:r>
      <w:r w:rsidR="00E16AE7" w:rsidRPr="003A5EE1">
        <w:rPr>
          <w:rFonts w:ascii="Arial" w:hAnsi="Arial" w:cs="Arial"/>
          <w:sz w:val="22"/>
          <w:szCs w:val="22"/>
        </w:rPr>
        <w:t>rved in</w:t>
      </w:r>
      <w:r w:rsidRPr="003A5EE1">
        <w:rPr>
          <w:rFonts w:ascii="Arial" w:hAnsi="Arial" w:cs="Arial"/>
          <w:sz w:val="22"/>
          <w:szCs w:val="22"/>
        </w:rPr>
        <w:t xml:space="preserve"> pregnant rats and rabbits treated orally with regorafenib during the period of organogenesis </w:t>
      </w:r>
      <w:r w:rsidR="008D4A25" w:rsidRPr="003A5EE1">
        <w:rPr>
          <w:rFonts w:ascii="Arial" w:hAnsi="Arial" w:cs="Arial"/>
          <w:sz w:val="22"/>
          <w:szCs w:val="22"/>
        </w:rPr>
        <w:t xml:space="preserve">at exposures below the anticipated human exposure </w:t>
      </w:r>
      <w:r w:rsidR="008D4A25" w:rsidRPr="003A5EE1">
        <w:rPr>
          <w:rFonts w:ascii="Arial" w:hAnsi="Arial" w:cs="Arial"/>
          <w:sz w:val="22"/>
          <w:szCs w:val="22"/>
          <w:lang w:val="en-GB" w:eastAsia="ja-JP"/>
        </w:rPr>
        <w:t>(based on AUC</w:t>
      </w:r>
      <w:r w:rsidR="008D4A25" w:rsidRPr="003A5EE1">
        <w:rPr>
          <w:rFonts w:ascii="Arial" w:hAnsi="Arial" w:cs="Arial"/>
          <w:sz w:val="22"/>
          <w:szCs w:val="22"/>
        </w:rPr>
        <w:t xml:space="preserve">). </w:t>
      </w:r>
      <w:r w:rsidRPr="003A5EE1">
        <w:rPr>
          <w:rFonts w:ascii="Arial" w:hAnsi="Arial" w:cs="Arial"/>
          <w:sz w:val="22"/>
          <w:szCs w:val="22"/>
        </w:rPr>
        <w:t>The m</w:t>
      </w:r>
      <w:r w:rsidR="008D4A25" w:rsidRPr="003A5EE1">
        <w:rPr>
          <w:rFonts w:ascii="Arial" w:hAnsi="Arial" w:cs="Arial"/>
          <w:sz w:val="22"/>
          <w:szCs w:val="22"/>
        </w:rPr>
        <w:t xml:space="preserve">ain findings </w:t>
      </w:r>
      <w:r w:rsidRPr="003A5EE1">
        <w:rPr>
          <w:rFonts w:ascii="Arial" w:hAnsi="Arial" w:cs="Arial"/>
          <w:sz w:val="22"/>
          <w:szCs w:val="22"/>
        </w:rPr>
        <w:t xml:space="preserve">were </w:t>
      </w:r>
      <w:r w:rsidR="008D4A25" w:rsidRPr="003A5EE1">
        <w:rPr>
          <w:rFonts w:ascii="Arial" w:hAnsi="Arial" w:cs="Arial"/>
          <w:sz w:val="22"/>
          <w:szCs w:val="22"/>
        </w:rPr>
        <w:t>malformations of the urinary system</w:t>
      </w:r>
      <w:r w:rsidRPr="003A5EE1">
        <w:rPr>
          <w:rFonts w:ascii="Arial" w:hAnsi="Arial" w:cs="Arial"/>
          <w:sz w:val="22"/>
          <w:szCs w:val="22"/>
        </w:rPr>
        <w:t xml:space="preserve"> (rabbits only)</w:t>
      </w:r>
      <w:r w:rsidR="008D4A25" w:rsidRPr="003A5EE1">
        <w:rPr>
          <w:rFonts w:ascii="Arial" w:hAnsi="Arial" w:cs="Arial"/>
          <w:sz w:val="22"/>
          <w:szCs w:val="22"/>
        </w:rPr>
        <w:t>, the heart and major vessels, and the skeleton</w:t>
      </w:r>
      <w:r w:rsidRPr="003A5EE1">
        <w:rPr>
          <w:rFonts w:ascii="Arial" w:hAnsi="Arial" w:cs="Arial"/>
          <w:sz w:val="22"/>
          <w:szCs w:val="22"/>
        </w:rPr>
        <w:t xml:space="preserve"> and embryofetal deaths</w:t>
      </w:r>
      <w:r w:rsidR="008D4A25" w:rsidRPr="003A5EE1">
        <w:rPr>
          <w:rFonts w:ascii="Arial" w:hAnsi="Arial" w:cs="Arial"/>
          <w:sz w:val="22"/>
          <w:szCs w:val="22"/>
        </w:rPr>
        <w:t>.</w:t>
      </w:r>
      <w:r w:rsidRPr="003A5EE1">
        <w:rPr>
          <w:rFonts w:ascii="Arial" w:hAnsi="Arial" w:cs="Arial"/>
          <w:sz w:val="22"/>
          <w:szCs w:val="22"/>
        </w:rPr>
        <w:t xml:space="preserve"> </w:t>
      </w:r>
    </w:p>
    <w:p w14:paraId="712C27DC" w14:textId="77777777" w:rsidR="006C3E63" w:rsidRDefault="006C3E63" w:rsidP="00CF7423">
      <w:pPr>
        <w:pStyle w:val="BayerBodyTextFull"/>
        <w:spacing w:before="0" w:after="0"/>
        <w:rPr>
          <w:rFonts w:ascii="Arial" w:hAnsi="Arial" w:cs="Arial"/>
          <w:sz w:val="22"/>
          <w:szCs w:val="22"/>
        </w:rPr>
      </w:pPr>
    </w:p>
    <w:p w14:paraId="712C27DD" w14:textId="77777777" w:rsidR="008D4A25" w:rsidRPr="003A5EE1" w:rsidRDefault="00992991" w:rsidP="00CF7423">
      <w:pPr>
        <w:pStyle w:val="BayerBodyTextFull"/>
        <w:spacing w:before="0" w:after="0"/>
        <w:rPr>
          <w:rFonts w:ascii="Arial" w:hAnsi="Arial" w:cs="Arial"/>
          <w:sz w:val="22"/>
          <w:szCs w:val="22"/>
        </w:rPr>
      </w:pPr>
      <w:r>
        <w:rPr>
          <w:rFonts w:ascii="Arial" w:hAnsi="Arial" w:cs="Arial"/>
          <w:sz w:val="22"/>
          <w:szCs w:val="22"/>
        </w:rPr>
        <w:t>R</w:t>
      </w:r>
      <w:r w:rsidR="00EA74F1" w:rsidRPr="003A5EE1">
        <w:rPr>
          <w:rFonts w:ascii="Arial" w:hAnsi="Arial" w:cs="Arial"/>
          <w:sz w:val="22"/>
          <w:szCs w:val="22"/>
        </w:rPr>
        <w:t xml:space="preserve">egorafenib/metabolites crossed the placenta in rats. </w:t>
      </w:r>
    </w:p>
    <w:p w14:paraId="712C27DE" w14:textId="77777777" w:rsidR="008D4A25" w:rsidRPr="003A5EE1" w:rsidRDefault="008D4A25" w:rsidP="002E54D9">
      <w:pPr>
        <w:pStyle w:val="BayerBodyTextFull"/>
        <w:spacing w:before="0" w:after="0"/>
        <w:rPr>
          <w:rFonts w:ascii="Arial" w:hAnsi="Arial" w:cs="Arial"/>
          <w:sz w:val="22"/>
          <w:szCs w:val="22"/>
          <w:lang w:val="en-AU"/>
        </w:rPr>
      </w:pPr>
    </w:p>
    <w:p w14:paraId="712C27E0" w14:textId="52A94399" w:rsidR="008D4A25" w:rsidRPr="003A5EE1" w:rsidRDefault="00601DFC" w:rsidP="002E54D9">
      <w:pPr>
        <w:pStyle w:val="BayerBodyTextFull"/>
        <w:spacing w:before="0" w:after="0"/>
        <w:rPr>
          <w:rFonts w:ascii="Arial" w:hAnsi="Arial" w:cs="Arial"/>
          <w:sz w:val="22"/>
          <w:szCs w:val="22"/>
          <w:lang w:val="en-AU"/>
        </w:rPr>
      </w:pPr>
      <w:r>
        <w:rPr>
          <w:rFonts w:ascii="Arial" w:hAnsi="Arial" w:cs="Arial"/>
          <w:sz w:val="22"/>
          <w:szCs w:val="22"/>
          <w:lang w:val="en-GB"/>
        </w:rPr>
        <w:t xml:space="preserve">STIVARGA </w:t>
      </w:r>
      <w:r w:rsidR="00D13105" w:rsidRPr="003A5EE1">
        <w:rPr>
          <w:rFonts w:ascii="Arial" w:hAnsi="Arial" w:cs="Arial"/>
          <w:sz w:val="22"/>
          <w:szCs w:val="22"/>
        </w:rPr>
        <w:t>should not be used during pregnancy</w:t>
      </w:r>
      <w:r w:rsidR="00DE7007" w:rsidRPr="003A5EE1">
        <w:rPr>
          <w:rFonts w:ascii="Arial" w:hAnsi="Arial" w:cs="Arial"/>
          <w:sz w:val="22"/>
          <w:szCs w:val="22"/>
        </w:rPr>
        <w:t xml:space="preserve"> </w:t>
      </w:r>
      <w:r w:rsidR="00D13105" w:rsidRPr="003A5EE1">
        <w:rPr>
          <w:rFonts w:ascii="Arial" w:hAnsi="Arial" w:cs="Arial"/>
          <w:sz w:val="22"/>
          <w:szCs w:val="22"/>
        </w:rPr>
        <w:t>unless necessary and after careful consideration of the benefits for the mother and the risk to the fetus.</w:t>
      </w:r>
      <w:r w:rsidR="00EA74F1" w:rsidRPr="003A5EE1">
        <w:rPr>
          <w:rFonts w:ascii="Arial" w:hAnsi="Arial" w:cs="Arial"/>
          <w:sz w:val="22"/>
          <w:szCs w:val="22"/>
          <w:lang w:val="en-GB"/>
        </w:rPr>
        <w:t xml:space="preserve"> Women of childbearing</w:t>
      </w:r>
      <w:r w:rsidR="00EA74F1" w:rsidRPr="00FE4A56">
        <w:rPr>
          <w:rFonts w:ascii="Arial" w:hAnsi="Arial" w:cs="Arial"/>
          <w:szCs w:val="24"/>
          <w:lang w:val="en-GB"/>
        </w:rPr>
        <w:t xml:space="preserve"> </w:t>
      </w:r>
      <w:r w:rsidR="00EA74F1" w:rsidRPr="003A5EE1">
        <w:rPr>
          <w:rFonts w:ascii="Arial" w:hAnsi="Arial" w:cs="Arial"/>
          <w:sz w:val="22"/>
          <w:szCs w:val="22"/>
          <w:lang w:val="en-GB"/>
        </w:rPr>
        <w:t xml:space="preserve">potential and men </w:t>
      </w:r>
      <w:r w:rsidR="00EA74F1" w:rsidRPr="003A5EE1">
        <w:rPr>
          <w:rFonts w:ascii="Arial" w:hAnsi="Arial" w:cs="Arial"/>
          <w:sz w:val="22"/>
          <w:szCs w:val="22"/>
        </w:rPr>
        <w:t>should</w:t>
      </w:r>
      <w:r w:rsidR="00EA74F1" w:rsidRPr="003A5EE1">
        <w:rPr>
          <w:rFonts w:ascii="Arial" w:hAnsi="Arial" w:cs="Arial"/>
          <w:sz w:val="22"/>
          <w:szCs w:val="22"/>
          <w:lang w:val="en-GB"/>
        </w:rPr>
        <w:t xml:space="preserve"> ensure effective contraception during treatment and up to 8 weeks after completion of therapy.</w:t>
      </w:r>
    </w:p>
    <w:p w14:paraId="712C27E1" w14:textId="77777777" w:rsidR="001D1004" w:rsidRPr="00F4557E" w:rsidRDefault="001D100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Use in Lactation</w:t>
      </w:r>
    </w:p>
    <w:p w14:paraId="712C27E3" w14:textId="77777777" w:rsidR="005818DE" w:rsidRPr="003A5EE1" w:rsidRDefault="00D13105" w:rsidP="00CF7423">
      <w:pPr>
        <w:pStyle w:val="BayerBodyTextFull"/>
        <w:spacing w:before="0" w:after="0"/>
        <w:rPr>
          <w:rFonts w:ascii="Arial" w:hAnsi="Arial" w:cs="Arial"/>
          <w:sz w:val="22"/>
          <w:szCs w:val="22"/>
          <w:lang w:val="en-GB"/>
        </w:rPr>
      </w:pPr>
      <w:r w:rsidRPr="003A5EE1">
        <w:rPr>
          <w:rFonts w:ascii="Arial" w:hAnsi="Arial" w:cs="Arial"/>
          <w:sz w:val="22"/>
          <w:szCs w:val="22"/>
          <w:lang w:val="en-GB"/>
        </w:rPr>
        <w:t>It is unknown whether regorafenib and</w:t>
      </w:r>
      <w:r w:rsidR="00FE0012" w:rsidRPr="003A5EE1">
        <w:rPr>
          <w:rFonts w:ascii="Arial" w:hAnsi="Arial" w:cs="Arial"/>
          <w:sz w:val="22"/>
          <w:szCs w:val="22"/>
          <w:lang w:val="en-GB"/>
        </w:rPr>
        <w:t>/or</w:t>
      </w:r>
      <w:r w:rsidRPr="003A5EE1">
        <w:rPr>
          <w:rFonts w:ascii="Arial" w:hAnsi="Arial" w:cs="Arial"/>
          <w:sz w:val="22"/>
          <w:szCs w:val="22"/>
          <w:lang w:val="en-GB"/>
        </w:rPr>
        <w:t xml:space="preserve"> its metabolites are excreted in human milk.</w:t>
      </w:r>
      <w:r w:rsidR="005818DE" w:rsidRPr="003A5EE1">
        <w:rPr>
          <w:rFonts w:ascii="Arial" w:hAnsi="Arial" w:cs="Arial"/>
          <w:sz w:val="22"/>
          <w:szCs w:val="22"/>
          <w:lang w:val="en-GB"/>
        </w:rPr>
        <w:t xml:space="preserve"> </w:t>
      </w:r>
    </w:p>
    <w:p w14:paraId="712C27E4" w14:textId="77777777" w:rsidR="00D13105" w:rsidRPr="003A5EE1" w:rsidRDefault="00D13105" w:rsidP="00CF7423">
      <w:pPr>
        <w:pStyle w:val="BayerBodyTextFull"/>
        <w:spacing w:before="0" w:after="0"/>
        <w:rPr>
          <w:rFonts w:ascii="Arial" w:hAnsi="Arial" w:cs="Arial"/>
          <w:sz w:val="22"/>
          <w:szCs w:val="22"/>
        </w:rPr>
      </w:pPr>
      <w:r w:rsidRPr="003A5EE1">
        <w:rPr>
          <w:rFonts w:ascii="Arial" w:hAnsi="Arial" w:cs="Arial"/>
          <w:sz w:val="22"/>
          <w:szCs w:val="22"/>
        </w:rPr>
        <w:t>In rats, regorafenib and</w:t>
      </w:r>
      <w:r w:rsidR="00FE0012" w:rsidRPr="003A5EE1">
        <w:rPr>
          <w:rFonts w:ascii="Arial" w:hAnsi="Arial" w:cs="Arial"/>
          <w:sz w:val="22"/>
          <w:szCs w:val="22"/>
        </w:rPr>
        <w:t>/or</w:t>
      </w:r>
      <w:r w:rsidRPr="003A5EE1">
        <w:rPr>
          <w:rFonts w:ascii="Arial" w:hAnsi="Arial" w:cs="Arial"/>
          <w:sz w:val="22"/>
          <w:szCs w:val="22"/>
        </w:rPr>
        <w:t xml:space="preserve"> its metabolites are excreted in milk.</w:t>
      </w:r>
    </w:p>
    <w:p w14:paraId="712C27E5" w14:textId="77777777" w:rsidR="005818DE" w:rsidRPr="003A5EE1" w:rsidRDefault="005818DE" w:rsidP="002E54D9">
      <w:pPr>
        <w:pStyle w:val="BayerBodyTextFull"/>
        <w:spacing w:before="0" w:after="0"/>
        <w:rPr>
          <w:rFonts w:ascii="Arial" w:hAnsi="Arial" w:cs="Arial"/>
          <w:sz w:val="22"/>
          <w:szCs w:val="22"/>
        </w:rPr>
      </w:pPr>
    </w:p>
    <w:p w14:paraId="712C27E7" w14:textId="42931FEB" w:rsidR="00CF7423" w:rsidRPr="00F4557E" w:rsidRDefault="00D13105" w:rsidP="00F4557E">
      <w:pPr>
        <w:pStyle w:val="BayerBodyTextFull"/>
        <w:spacing w:before="0" w:after="0"/>
        <w:rPr>
          <w:rFonts w:ascii="Arial" w:eastAsia="PMingLiU" w:hAnsi="Arial" w:cs="Arial"/>
          <w:i/>
          <w:color w:val="000000"/>
          <w:sz w:val="22"/>
          <w:szCs w:val="22"/>
          <w:lang w:eastAsia="zh-TW"/>
        </w:rPr>
      </w:pPr>
      <w:r w:rsidRPr="003A5EE1">
        <w:rPr>
          <w:rFonts w:ascii="Arial" w:hAnsi="Arial" w:cs="Arial"/>
          <w:sz w:val="22"/>
          <w:szCs w:val="22"/>
          <w:lang w:val="en-GB"/>
        </w:rPr>
        <w:t xml:space="preserve">A risk to the breast-fed child cannot be excluded. </w:t>
      </w:r>
      <w:r w:rsidRPr="003A5EE1">
        <w:rPr>
          <w:rFonts w:ascii="Arial" w:hAnsi="Arial" w:cs="Arial"/>
          <w:sz w:val="22"/>
          <w:szCs w:val="22"/>
        </w:rPr>
        <w:t>Regorafenib could harm infant growth and development</w:t>
      </w:r>
      <w:r w:rsidR="006C3E63">
        <w:rPr>
          <w:rFonts w:ascii="Arial" w:hAnsi="Arial" w:cs="Arial"/>
          <w:sz w:val="22"/>
          <w:szCs w:val="22"/>
        </w:rPr>
        <w:t xml:space="preserve"> (see Systemic Toxicity</w:t>
      </w:r>
      <w:r w:rsidR="00B26D0F">
        <w:rPr>
          <w:rFonts w:ascii="Arial" w:hAnsi="Arial" w:cs="Arial"/>
          <w:sz w:val="22"/>
          <w:szCs w:val="22"/>
        </w:rPr>
        <w:t>)</w:t>
      </w:r>
      <w:r w:rsidR="005818DE" w:rsidRPr="003A5EE1">
        <w:rPr>
          <w:rFonts w:ascii="Arial" w:hAnsi="Arial" w:cs="Arial"/>
          <w:sz w:val="22"/>
          <w:szCs w:val="22"/>
        </w:rPr>
        <w:t xml:space="preserve">. </w:t>
      </w:r>
      <w:bookmarkStart w:id="3" w:name="OLE_LINK1"/>
      <w:r w:rsidRPr="003A5EE1">
        <w:rPr>
          <w:rFonts w:ascii="Arial" w:hAnsi="Arial" w:cs="Arial"/>
          <w:sz w:val="22"/>
          <w:szCs w:val="22"/>
        </w:rPr>
        <w:t xml:space="preserve">Breast-feeding must be discontinued during treatment with </w:t>
      </w:r>
      <w:r w:rsidR="00FF0B8E">
        <w:rPr>
          <w:rFonts w:ascii="Arial" w:hAnsi="Arial" w:cs="Arial"/>
          <w:sz w:val="22"/>
          <w:szCs w:val="22"/>
        </w:rPr>
        <w:t>STIVARGA</w:t>
      </w:r>
      <w:r w:rsidRPr="003A5EE1">
        <w:rPr>
          <w:rFonts w:ascii="Arial" w:hAnsi="Arial" w:cs="Arial"/>
          <w:sz w:val="22"/>
          <w:szCs w:val="22"/>
        </w:rPr>
        <w:t>.</w:t>
      </w:r>
      <w:bookmarkEnd w:id="3"/>
    </w:p>
    <w:p w14:paraId="712C27E8" w14:textId="77777777" w:rsidR="00CF7423" w:rsidRPr="00F4557E" w:rsidRDefault="00CF7423"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Use in Children</w:t>
      </w:r>
    </w:p>
    <w:p w14:paraId="712C27EB" w14:textId="213C6452" w:rsidR="00CF7423" w:rsidRPr="005F3D99" w:rsidRDefault="00CF7423" w:rsidP="00E177CA">
      <w:pPr>
        <w:pStyle w:val="BayerBodyTextFull"/>
        <w:spacing w:before="0" w:after="0"/>
        <w:rPr>
          <w:rFonts w:ascii="Arial" w:hAnsi="Arial" w:cs="Arial"/>
          <w:sz w:val="22"/>
          <w:szCs w:val="22"/>
          <w:lang w:val="en-GB"/>
        </w:rPr>
      </w:pPr>
      <w:r w:rsidRPr="003A5EE1">
        <w:rPr>
          <w:rFonts w:ascii="Arial" w:hAnsi="Arial" w:cs="Arial"/>
          <w:sz w:val="22"/>
          <w:szCs w:val="22"/>
          <w:lang w:val="en-GB"/>
        </w:rPr>
        <w:t xml:space="preserve">The safety and efficacy of </w:t>
      </w:r>
      <w:r w:rsidR="00601DFC">
        <w:rPr>
          <w:rFonts w:ascii="Arial" w:hAnsi="Arial" w:cs="Arial"/>
          <w:sz w:val="22"/>
          <w:szCs w:val="22"/>
          <w:lang w:val="en-GB"/>
        </w:rPr>
        <w:t xml:space="preserve">STIVARGA </w:t>
      </w:r>
      <w:r w:rsidRPr="003A5EE1">
        <w:rPr>
          <w:rFonts w:ascii="Arial" w:hAnsi="Arial" w:cs="Arial"/>
          <w:sz w:val="22"/>
          <w:szCs w:val="22"/>
          <w:lang w:val="en-GB"/>
        </w:rPr>
        <w:t>in children and adolescents below 18 years of age have not been established</w:t>
      </w:r>
      <w:r w:rsidR="00FC03B4">
        <w:rPr>
          <w:rFonts w:ascii="Arial" w:hAnsi="Arial" w:cs="Arial"/>
          <w:sz w:val="22"/>
          <w:szCs w:val="22"/>
          <w:lang w:val="en-GB"/>
        </w:rPr>
        <w:t>.</w:t>
      </w:r>
      <w:r w:rsidR="00340999">
        <w:rPr>
          <w:rFonts w:ascii="Arial" w:hAnsi="Arial" w:cs="Arial"/>
          <w:sz w:val="22"/>
          <w:szCs w:val="22"/>
          <w:lang w:val="en-GB"/>
        </w:rPr>
        <w:t xml:space="preserve"> </w:t>
      </w:r>
      <w:r w:rsidR="00FC03B4">
        <w:rPr>
          <w:rFonts w:ascii="Arial" w:hAnsi="Arial" w:cs="Arial"/>
          <w:sz w:val="22"/>
          <w:szCs w:val="22"/>
          <w:lang w:val="en-GB"/>
        </w:rPr>
        <w:t xml:space="preserve">Regorafenib treatment to juvenile animals resulted in delayed development and other adverse effects </w:t>
      </w:r>
      <w:r w:rsidR="00340999">
        <w:rPr>
          <w:rFonts w:ascii="Arial" w:hAnsi="Arial" w:cs="Arial"/>
          <w:sz w:val="22"/>
          <w:szCs w:val="22"/>
          <w:lang w:val="en-GB"/>
        </w:rPr>
        <w:t>(see Systemic Toxicity)</w:t>
      </w:r>
      <w:r w:rsidRPr="003A5EE1">
        <w:rPr>
          <w:rFonts w:ascii="Arial" w:hAnsi="Arial" w:cs="Arial"/>
          <w:sz w:val="22"/>
          <w:szCs w:val="22"/>
          <w:lang w:val="en-GB"/>
        </w:rPr>
        <w:t xml:space="preserve">. </w:t>
      </w:r>
    </w:p>
    <w:p w14:paraId="712C27EC" w14:textId="77777777" w:rsidR="00CF7423" w:rsidRPr="00F4557E" w:rsidRDefault="00CF7423"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Use in the Elderly</w:t>
      </w:r>
    </w:p>
    <w:p w14:paraId="712C27EE" w14:textId="42D36AAD" w:rsidR="0076613B" w:rsidRDefault="00CF7423" w:rsidP="00687C12">
      <w:pPr>
        <w:tabs>
          <w:tab w:val="left" w:pos="284"/>
        </w:tabs>
        <w:autoSpaceDE w:val="0"/>
        <w:autoSpaceDN w:val="0"/>
        <w:adjustRightInd w:val="0"/>
        <w:rPr>
          <w:rFonts w:ascii="Arial" w:hAnsi="Arial" w:cs="Arial"/>
          <w:sz w:val="22"/>
          <w:szCs w:val="22"/>
        </w:rPr>
      </w:pPr>
      <w:r w:rsidRPr="003A5EE1">
        <w:rPr>
          <w:rFonts w:ascii="Arial" w:hAnsi="Arial" w:cs="Arial"/>
          <w:sz w:val="22"/>
          <w:szCs w:val="22"/>
        </w:rPr>
        <w:t>In clinical studies</w:t>
      </w:r>
      <w:r w:rsidR="00B60AD6">
        <w:rPr>
          <w:rFonts w:ascii="Arial" w:hAnsi="Arial" w:cs="Arial"/>
          <w:sz w:val="22"/>
          <w:szCs w:val="22"/>
        </w:rPr>
        <w:t>,</w:t>
      </w:r>
      <w:r w:rsidR="0038008F" w:rsidRPr="00110401">
        <w:rPr>
          <w:rFonts w:ascii="Arial" w:hAnsi="Arial" w:cs="Arial"/>
          <w:sz w:val="22"/>
          <w:szCs w:val="22"/>
        </w:rPr>
        <w:t xml:space="preserve"> cardiac disorder events (all grades) have been more often (20.5% vs. 10.4%) reported in STIVARGA-treated patients aged 75 years or older (N=78) compared to STIVARGA-treated patients below 75 years (N=995).</w:t>
      </w:r>
    </w:p>
    <w:p w14:paraId="712C27F0" w14:textId="77777777" w:rsidR="002A7E59" w:rsidRPr="00F4557E" w:rsidRDefault="002A7E59"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Patients with hepatic impairment </w:t>
      </w:r>
    </w:p>
    <w:p w14:paraId="712C27F2" w14:textId="77777777" w:rsidR="00C625A5" w:rsidRPr="00B803D9" w:rsidRDefault="00C625A5" w:rsidP="00CF7423">
      <w:pPr>
        <w:rPr>
          <w:rFonts w:ascii="Arial" w:hAnsi="Arial" w:cs="Arial"/>
          <w:sz w:val="22"/>
          <w:szCs w:val="22"/>
          <w:lang w:val="en-AU"/>
        </w:rPr>
      </w:pPr>
      <w:r w:rsidRPr="00B803D9">
        <w:rPr>
          <w:rFonts w:ascii="Arial" w:hAnsi="Arial" w:cs="Arial"/>
          <w:sz w:val="22"/>
          <w:szCs w:val="22"/>
          <w:lang w:val="en-AU"/>
        </w:rPr>
        <w:t xml:space="preserve">Regorafenib is eliminated mainly via the hepatic route. </w:t>
      </w:r>
    </w:p>
    <w:p w14:paraId="712C27F3" w14:textId="77777777" w:rsidR="00C625A5" w:rsidRPr="003A5EE1" w:rsidRDefault="00C625A5" w:rsidP="00CF7423">
      <w:pPr>
        <w:rPr>
          <w:sz w:val="22"/>
          <w:szCs w:val="22"/>
          <w:lang w:val="en-AU"/>
        </w:rPr>
      </w:pPr>
    </w:p>
    <w:p w14:paraId="712C27F4" w14:textId="77777777" w:rsidR="00B01AF9" w:rsidRPr="003A5EE1" w:rsidRDefault="00B01AF9" w:rsidP="00B01AF9">
      <w:pPr>
        <w:pStyle w:val="GlobalBayerBodyText"/>
        <w:spacing w:before="0" w:after="0"/>
        <w:rPr>
          <w:rStyle w:val="BayerBodyTextFullChar"/>
          <w:rFonts w:ascii="Arial" w:hAnsi="Arial" w:cs="Arial"/>
          <w:sz w:val="22"/>
          <w:szCs w:val="22"/>
        </w:rPr>
      </w:pPr>
      <w:bookmarkStart w:id="4" w:name="OLE_LINK5"/>
      <w:bookmarkStart w:id="5" w:name="OLE_LINK6"/>
      <w:r w:rsidRPr="003A5EE1">
        <w:rPr>
          <w:rStyle w:val="BayerBodyTextFullChar"/>
          <w:rFonts w:ascii="Arial" w:hAnsi="Arial" w:cs="Arial"/>
          <w:sz w:val="22"/>
          <w:szCs w:val="22"/>
        </w:rPr>
        <w:t xml:space="preserve">In clinical studies, no relevant differences in safety or efficacy were observed between patients with mild hepatic impairment (Child-Pugh A) and normal hepatic function. No dose adjustment is required in patients with mild hepatic impairment. </w:t>
      </w:r>
    </w:p>
    <w:p w14:paraId="712C27F5" w14:textId="77777777" w:rsidR="00B01AF9" w:rsidRPr="00D96FE5" w:rsidRDefault="00B01AF9" w:rsidP="00B01AF9">
      <w:pPr>
        <w:pStyle w:val="GlobalBayerBodyText"/>
        <w:spacing w:before="0" w:after="0"/>
        <w:rPr>
          <w:rStyle w:val="BayerBodyTextFullChar"/>
          <w:rFonts w:ascii="Arial" w:hAnsi="Arial" w:cs="Arial"/>
          <w:sz w:val="22"/>
          <w:szCs w:val="22"/>
        </w:rPr>
      </w:pPr>
    </w:p>
    <w:p w14:paraId="1F6102CD" w14:textId="04BD5B89" w:rsidR="009B499F" w:rsidRDefault="00B01AF9" w:rsidP="00B01AF9">
      <w:pPr>
        <w:rPr>
          <w:rFonts w:ascii="Arial" w:hAnsi="Arial" w:cs="Arial"/>
          <w:sz w:val="22"/>
          <w:szCs w:val="22"/>
        </w:rPr>
      </w:pPr>
      <w:r w:rsidRPr="003A5EE1">
        <w:rPr>
          <w:rStyle w:val="BayerBodyTextFullChar"/>
          <w:rFonts w:ascii="Arial" w:hAnsi="Arial" w:cs="Arial"/>
          <w:sz w:val="22"/>
          <w:szCs w:val="22"/>
        </w:rPr>
        <w:lastRenderedPageBreak/>
        <w:t>Since limited data is available in patients with moderate hepatic impairment (Child-Pugh B), no dose recommendation can be provided. Close monitoring of overall safety is recommended in these patients</w:t>
      </w:r>
      <w:r w:rsidRPr="003A5EE1">
        <w:rPr>
          <w:rFonts w:ascii="Arial" w:hAnsi="Arial" w:cs="Arial"/>
          <w:sz w:val="22"/>
          <w:szCs w:val="22"/>
        </w:rPr>
        <w:t>.</w:t>
      </w:r>
    </w:p>
    <w:p w14:paraId="6B9478F2" w14:textId="77777777" w:rsidR="009B499F" w:rsidRDefault="009B499F" w:rsidP="00B01AF9">
      <w:pPr>
        <w:rPr>
          <w:rFonts w:ascii="Arial" w:hAnsi="Arial" w:cs="Arial"/>
          <w:sz w:val="22"/>
          <w:szCs w:val="22"/>
        </w:rPr>
      </w:pPr>
    </w:p>
    <w:p w14:paraId="39F0CE08" w14:textId="5F986C04" w:rsidR="009B499F" w:rsidRDefault="009B499F" w:rsidP="00B01AF9">
      <w:pPr>
        <w:rPr>
          <w:rFonts w:ascii="Arial" w:hAnsi="Arial" w:cs="Arial"/>
          <w:sz w:val="22"/>
          <w:szCs w:val="22"/>
        </w:rPr>
      </w:pPr>
      <w:r w:rsidRPr="007709B0">
        <w:rPr>
          <w:rFonts w:ascii="Arial" w:hAnsi="Arial" w:cs="Arial"/>
          <w:sz w:val="22"/>
          <w:szCs w:val="22"/>
        </w:rPr>
        <w:t>STIVARGA is not recommended for use in patients with severe hepatic impairment (Child</w:t>
      </w:r>
      <w:r w:rsidR="007709B0" w:rsidRPr="007709B0">
        <w:rPr>
          <w:rFonts w:ascii="Arial" w:hAnsi="Arial" w:cs="Arial"/>
          <w:sz w:val="22"/>
          <w:szCs w:val="22"/>
        </w:rPr>
        <w:noBreakHyphen/>
      </w:r>
      <w:r w:rsidRPr="007709B0">
        <w:rPr>
          <w:rFonts w:ascii="Arial" w:hAnsi="Arial" w:cs="Arial"/>
          <w:sz w:val="22"/>
          <w:szCs w:val="22"/>
        </w:rPr>
        <w:t>Pugh</w:t>
      </w:r>
      <w:r w:rsidR="007709B0" w:rsidRPr="007709B0">
        <w:rPr>
          <w:rFonts w:ascii="Arial" w:hAnsi="Arial" w:cs="Arial"/>
          <w:sz w:val="22"/>
          <w:szCs w:val="22"/>
        </w:rPr>
        <w:t> </w:t>
      </w:r>
      <w:r w:rsidRPr="007709B0">
        <w:rPr>
          <w:rFonts w:ascii="Arial" w:hAnsi="Arial" w:cs="Arial"/>
          <w:sz w:val="22"/>
          <w:szCs w:val="22"/>
        </w:rPr>
        <w:t xml:space="preserve">C) as STIVARGA has not been studied in </w:t>
      </w:r>
      <w:r w:rsidR="009E45A9" w:rsidRPr="007709B0">
        <w:rPr>
          <w:rFonts w:ascii="Arial" w:hAnsi="Arial" w:cs="Arial"/>
          <w:sz w:val="22"/>
          <w:szCs w:val="22"/>
        </w:rPr>
        <w:t>this population.</w:t>
      </w:r>
    </w:p>
    <w:bookmarkEnd w:id="4"/>
    <w:bookmarkEnd w:id="5"/>
    <w:p w14:paraId="712C27F8" w14:textId="77777777" w:rsidR="002A7E59" w:rsidRPr="00F4557E" w:rsidRDefault="002A7E59"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Patients with renal impairment </w:t>
      </w:r>
    </w:p>
    <w:p w14:paraId="712C27FA" w14:textId="6F82B33C" w:rsidR="00F34FCB" w:rsidRPr="003A5EE1" w:rsidRDefault="00A37E80" w:rsidP="002E54D9">
      <w:pPr>
        <w:rPr>
          <w:rFonts w:ascii="Arial" w:hAnsi="Arial" w:cs="Arial"/>
          <w:b/>
          <w:i/>
          <w:sz w:val="22"/>
          <w:szCs w:val="22"/>
        </w:rPr>
      </w:pPr>
      <w:r w:rsidRPr="00A37E80">
        <w:rPr>
          <w:rFonts w:ascii="Arial" w:hAnsi="Arial" w:cs="Arial"/>
          <w:sz w:val="22"/>
          <w:szCs w:val="22"/>
        </w:rPr>
        <w:t>Available clinical data indicate similar exposure of regorafenib and its metabolites M-2 and M-5 in patients with mild, moderate or severe renal impairment compared to patients with normal renal function.</w:t>
      </w:r>
      <w:r>
        <w:rPr>
          <w:rFonts w:ascii="Arial" w:hAnsi="Arial" w:cs="Arial"/>
          <w:sz w:val="22"/>
          <w:szCs w:val="22"/>
        </w:rPr>
        <w:t xml:space="preserve"> </w:t>
      </w:r>
      <w:r w:rsidR="002A7E59" w:rsidRPr="003A5EE1">
        <w:rPr>
          <w:rFonts w:ascii="Arial" w:hAnsi="Arial" w:cs="Arial"/>
          <w:sz w:val="22"/>
          <w:szCs w:val="22"/>
        </w:rPr>
        <w:t>No dose adjustment is required in patients with mild</w:t>
      </w:r>
      <w:r>
        <w:rPr>
          <w:rFonts w:ascii="Arial" w:hAnsi="Arial" w:cs="Arial"/>
          <w:sz w:val="22"/>
          <w:szCs w:val="22"/>
        </w:rPr>
        <w:t>,</w:t>
      </w:r>
      <w:r w:rsidR="002A7E59" w:rsidRPr="003A5EE1">
        <w:rPr>
          <w:rFonts w:ascii="Arial" w:hAnsi="Arial" w:cs="Arial"/>
          <w:sz w:val="22"/>
          <w:szCs w:val="22"/>
        </w:rPr>
        <w:t xml:space="preserve"> moderate </w:t>
      </w:r>
      <w:r>
        <w:rPr>
          <w:rFonts w:ascii="Arial" w:hAnsi="Arial" w:cs="Arial"/>
          <w:sz w:val="22"/>
          <w:szCs w:val="22"/>
        </w:rPr>
        <w:t xml:space="preserve">or severe </w:t>
      </w:r>
      <w:r w:rsidR="002A7E59" w:rsidRPr="003A5EE1">
        <w:rPr>
          <w:rFonts w:ascii="Arial" w:hAnsi="Arial" w:cs="Arial"/>
          <w:sz w:val="22"/>
          <w:szCs w:val="22"/>
        </w:rPr>
        <w:t xml:space="preserve">renal impairment </w:t>
      </w:r>
      <w:r w:rsidR="00A23E4E" w:rsidRPr="003A5EE1">
        <w:rPr>
          <w:rFonts w:ascii="Arial" w:hAnsi="Arial" w:cs="Arial"/>
          <w:sz w:val="22"/>
          <w:szCs w:val="22"/>
        </w:rPr>
        <w:t>(</w:t>
      </w:r>
      <w:r w:rsidR="00E03A8B" w:rsidRPr="003A5EE1">
        <w:rPr>
          <w:rFonts w:ascii="Arial" w:hAnsi="Arial" w:cs="Arial"/>
          <w:sz w:val="22"/>
          <w:szCs w:val="22"/>
        </w:rPr>
        <w:t>see</w:t>
      </w:r>
      <w:r w:rsidR="002A7E59" w:rsidRPr="003A5EE1">
        <w:rPr>
          <w:rFonts w:ascii="Arial" w:hAnsi="Arial" w:cs="Arial"/>
          <w:sz w:val="22"/>
          <w:szCs w:val="22"/>
        </w:rPr>
        <w:t xml:space="preserve"> </w:t>
      </w:r>
      <w:r w:rsidR="00A23E4E" w:rsidRPr="003A5EE1">
        <w:rPr>
          <w:rFonts w:ascii="Arial" w:hAnsi="Arial" w:cs="Arial"/>
          <w:sz w:val="22"/>
          <w:szCs w:val="22"/>
        </w:rPr>
        <w:t>Pharmacokinetic</w:t>
      </w:r>
      <w:r w:rsidR="00762FB9" w:rsidRPr="003A5EE1">
        <w:rPr>
          <w:rFonts w:ascii="Arial" w:hAnsi="Arial" w:cs="Arial"/>
          <w:sz w:val="22"/>
          <w:szCs w:val="22"/>
        </w:rPr>
        <w:t>s</w:t>
      </w:r>
      <w:r w:rsidR="002A7E59" w:rsidRPr="003A5EE1">
        <w:rPr>
          <w:rFonts w:ascii="Arial" w:hAnsi="Arial" w:cs="Arial"/>
          <w:sz w:val="22"/>
          <w:szCs w:val="22"/>
        </w:rPr>
        <w:t xml:space="preserve">). </w:t>
      </w:r>
    </w:p>
    <w:p w14:paraId="712C27FC" w14:textId="77777777" w:rsidR="001D1004" w:rsidRPr="00F4557E" w:rsidRDefault="001D100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Carcinogenicity</w:t>
      </w:r>
    </w:p>
    <w:p w14:paraId="712C27FE" w14:textId="77777777" w:rsidR="00AA0A44" w:rsidRPr="003A5EE1" w:rsidRDefault="00AA0A44" w:rsidP="008515FD">
      <w:pPr>
        <w:pStyle w:val="BayerBodyTextFull"/>
        <w:keepNext/>
        <w:spacing w:before="0" w:after="0"/>
        <w:rPr>
          <w:rFonts w:ascii="Arial" w:hAnsi="Arial" w:cs="Arial"/>
          <w:sz w:val="22"/>
          <w:szCs w:val="22"/>
        </w:rPr>
      </w:pPr>
      <w:r w:rsidRPr="003A5EE1">
        <w:rPr>
          <w:rFonts w:ascii="Arial" w:hAnsi="Arial" w:cs="Arial"/>
          <w:sz w:val="22"/>
          <w:szCs w:val="22"/>
        </w:rPr>
        <w:t>Studies on the carcinogenic potential of regorafenib have not been performed.</w:t>
      </w:r>
    </w:p>
    <w:p w14:paraId="712C2800" w14:textId="77777777" w:rsidR="001D1004" w:rsidRPr="00F4557E" w:rsidRDefault="001D100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Genotoxicity</w:t>
      </w:r>
    </w:p>
    <w:p w14:paraId="712C2802" w14:textId="77777777" w:rsidR="00AA0A44" w:rsidRPr="003A5EE1" w:rsidRDefault="00A23E4E" w:rsidP="00386290">
      <w:pPr>
        <w:keepNext/>
        <w:rPr>
          <w:rFonts w:ascii="Arial" w:hAnsi="Arial" w:cs="Arial"/>
          <w:sz w:val="22"/>
          <w:szCs w:val="22"/>
        </w:rPr>
      </w:pPr>
      <w:r w:rsidRPr="003A5EE1">
        <w:rPr>
          <w:rFonts w:ascii="Arial" w:hAnsi="Arial" w:cs="Arial"/>
          <w:sz w:val="22"/>
          <w:szCs w:val="22"/>
        </w:rPr>
        <w:t>There was no</w:t>
      </w:r>
      <w:r w:rsidR="00DE7007" w:rsidRPr="003A5EE1">
        <w:rPr>
          <w:rFonts w:ascii="Arial" w:hAnsi="Arial" w:cs="Arial"/>
          <w:sz w:val="22"/>
          <w:szCs w:val="22"/>
        </w:rPr>
        <w:t xml:space="preserve"> </w:t>
      </w:r>
      <w:r w:rsidRPr="003A5EE1">
        <w:rPr>
          <w:rFonts w:ascii="Arial" w:hAnsi="Arial" w:cs="Arial"/>
          <w:sz w:val="22"/>
          <w:szCs w:val="22"/>
        </w:rPr>
        <w:t>indication of a genotoxic potential for</w:t>
      </w:r>
      <w:r w:rsidR="00AA0A44" w:rsidRPr="003A5EE1">
        <w:rPr>
          <w:rFonts w:ascii="Arial" w:hAnsi="Arial" w:cs="Arial"/>
          <w:sz w:val="22"/>
          <w:szCs w:val="22"/>
        </w:rPr>
        <w:t xml:space="preserve"> regorafenib </w:t>
      </w:r>
      <w:r w:rsidR="00EA74F1" w:rsidRPr="003A5EE1">
        <w:rPr>
          <w:rFonts w:ascii="Arial" w:hAnsi="Arial" w:cs="Arial"/>
          <w:sz w:val="22"/>
          <w:szCs w:val="22"/>
        </w:rPr>
        <w:t xml:space="preserve">when </w:t>
      </w:r>
      <w:r w:rsidR="00AA0A44" w:rsidRPr="003A5EE1">
        <w:rPr>
          <w:rFonts w:ascii="Arial" w:hAnsi="Arial" w:cs="Arial"/>
          <w:sz w:val="22"/>
          <w:szCs w:val="22"/>
        </w:rPr>
        <w:t xml:space="preserve">tested in standard assays </w:t>
      </w:r>
      <w:r w:rsidR="00AA0A44" w:rsidRPr="003A5EE1">
        <w:rPr>
          <w:rFonts w:ascii="Arial" w:hAnsi="Arial" w:cs="Arial"/>
          <w:i/>
          <w:sz w:val="22"/>
          <w:szCs w:val="22"/>
        </w:rPr>
        <w:t>in vitro</w:t>
      </w:r>
      <w:r w:rsidR="00AA0A44" w:rsidRPr="003A5EE1">
        <w:rPr>
          <w:rFonts w:ascii="Arial" w:hAnsi="Arial" w:cs="Arial"/>
          <w:sz w:val="22"/>
          <w:szCs w:val="22"/>
        </w:rPr>
        <w:t xml:space="preserve"> </w:t>
      </w:r>
      <w:r w:rsidR="00EA74F1" w:rsidRPr="003A5EE1">
        <w:rPr>
          <w:rFonts w:ascii="Arial" w:hAnsi="Arial" w:cs="Arial"/>
          <w:sz w:val="22"/>
          <w:szCs w:val="22"/>
        </w:rPr>
        <w:t xml:space="preserve">(bacterial gene mutation and chromosomal aberration assay in Chinese hamster V79 cells) </w:t>
      </w:r>
      <w:r w:rsidR="00AA0A44" w:rsidRPr="003A5EE1">
        <w:rPr>
          <w:rFonts w:ascii="Arial" w:hAnsi="Arial" w:cs="Arial"/>
          <w:sz w:val="22"/>
          <w:szCs w:val="22"/>
        </w:rPr>
        <w:t xml:space="preserve">and </w:t>
      </w:r>
      <w:r w:rsidR="00AA0A44" w:rsidRPr="003A5EE1">
        <w:rPr>
          <w:rFonts w:ascii="Arial" w:hAnsi="Arial" w:cs="Arial"/>
          <w:i/>
          <w:sz w:val="22"/>
          <w:szCs w:val="22"/>
        </w:rPr>
        <w:t>in vivo</w:t>
      </w:r>
      <w:r w:rsidR="00AA0A44" w:rsidRPr="003A5EE1">
        <w:rPr>
          <w:rFonts w:ascii="Arial" w:hAnsi="Arial" w:cs="Arial"/>
          <w:sz w:val="22"/>
          <w:szCs w:val="22"/>
        </w:rPr>
        <w:t xml:space="preserve"> </w:t>
      </w:r>
      <w:r w:rsidR="00EA74F1" w:rsidRPr="003A5EE1">
        <w:rPr>
          <w:rFonts w:ascii="Arial" w:hAnsi="Arial" w:cs="Arial"/>
          <w:sz w:val="22"/>
          <w:szCs w:val="22"/>
        </w:rPr>
        <w:t>(mouse micronucleus test)</w:t>
      </w:r>
      <w:r w:rsidR="00AA0A44" w:rsidRPr="003A5EE1">
        <w:rPr>
          <w:rFonts w:ascii="Arial" w:hAnsi="Arial" w:cs="Arial"/>
          <w:sz w:val="22"/>
          <w:szCs w:val="22"/>
        </w:rPr>
        <w:t>.</w:t>
      </w:r>
      <w:r w:rsidR="00EA74F1" w:rsidRPr="003A5EE1">
        <w:rPr>
          <w:rFonts w:ascii="Arial" w:hAnsi="Arial" w:cs="Arial"/>
          <w:sz w:val="22"/>
          <w:szCs w:val="22"/>
        </w:rPr>
        <w:t xml:space="preserve"> The N-oxide and N-</w:t>
      </w:r>
      <w:proofErr w:type="spellStart"/>
      <w:r w:rsidR="00EA74F1" w:rsidRPr="003A5EE1">
        <w:rPr>
          <w:rFonts w:ascii="Arial" w:hAnsi="Arial" w:cs="Arial"/>
          <w:sz w:val="22"/>
          <w:szCs w:val="22"/>
        </w:rPr>
        <w:t>desmethyl</w:t>
      </w:r>
      <w:proofErr w:type="spellEnd"/>
      <w:r w:rsidR="00EA74F1" w:rsidRPr="003A5EE1">
        <w:rPr>
          <w:rFonts w:ascii="Arial" w:hAnsi="Arial" w:cs="Arial"/>
          <w:sz w:val="22"/>
          <w:szCs w:val="22"/>
        </w:rPr>
        <w:t xml:space="preserve"> metabolite (M-5), a major human active metabolite, did not induce gene mutation or chromosome aberration in the </w:t>
      </w:r>
      <w:r w:rsidR="00EA74F1" w:rsidRPr="003A5EE1">
        <w:rPr>
          <w:rFonts w:ascii="Arial" w:hAnsi="Arial" w:cs="Arial"/>
          <w:i/>
          <w:sz w:val="22"/>
          <w:szCs w:val="22"/>
        </w:rPr>
        <w:t>in vitro</w:t>
      </w:r>
      <w:r w:rsidR="00EA74F1" w:rsidRPr="003A5EE1">
        <w:rPr>
          <w:rFonts w:ascii="Arial" w:hAnsi="Arial" w:cs="Arial"/>
          <w:sz w:val="22"/>
          <w:szCs w:val="22"/>
        </w:rPr>
        <w:t xml:space="preserve"> assays. The other major human active</w:t>
      </w:r>
      <w:r w:rsidR="00EA74F1" w:rsidRPr="00E03A8B">
        <w:rPr>
          <w:rFonts w:ascii="Arial" w:hAnsi="Arial" w:cs="Arial"/>
        </w:rPr>
        <w:t xml:space="preserve"> </w:t>
      </w:r>
      <w:r w:rsidR="00EA74F1" w:rsidRPr="003A5EE1">
        <w:rPr>
          <w:rFonts w:ascii="Arial" w:hAnsi="Arial" w:cs="Arial"/>
          <w:sz w:val="22"/>
          <w:szCs w:val="22"/>
        </w:rPr>
        <w:t xml:space="preserve">metabolite, M-2 (N-oxide), was negative in the bacterial gene mutation test, but was positive in the chromosomal aberration assay. </w:t>
      </w:r>
    </w:p>
    <w:p w14:paraId="712C2804" w14:textId="77777777" w:rsidR="00AA0A44" w:rsidRPr="00F4557E" w:rsidRDefault="00AA0A4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Systemic toxicity </w:t>
      </w:r>
    </w:p>
    <w:p w14:paraId="712C2806" w14:textId="77777777" w:rsidR="00A23E4E" w:rsidRPr="003A5EE1" w:rsidRDefault="00A23E4E" w:rsidP="0090345C">
      <w:pPr>
        <w:pStyle w:val="BayerBodyTextFull"/>
        <w:spacing w:before="0" w:after="0"/>
        <w:rPr>
          <w:rFonts w:ascii="Arial" w:hAnsi="Arial" w:cs="Arial"/>
          <w:sz w:val="22"/>
          <w:szCs w:val="22"/>
        </w:rPr>
      </w:pPr>
      <w:r w:rsidRPr="003A5EE1">
        <w:rPr>
          <w:rFonts w:ascii="Arial" w:hAnsi="Arial" w:cs="Arial"/>
          <w:sz w:val="22"/>
          <w:szCs w:val="22"/>
        </w:rPr>
        <w:t>After repeated dosing in</w:t>
      </w:r>
      <w:r w:rsidR="00AA0A44" w:rsidRPr="003A5EE1">
        <w:rPr>
          <w:rFonts w:ascii="Arial" w:hAnsi="Arial" w:cs="Arial"/>
          <w:sz w:val="22"/>
          <w:szCs w:val="22"/>
        </w:rPr>
        <w:t xml:space="preserve"> mice, rats and dogs, adverse effects were observed in a number of organs, primarily in the kidneys, liver, digestive tract, heart, </w:t>
      </w:r>
      <w:r w:rsidR="00E15013" w:rsidRPr="003A5EE1">
        <w:rPr>
          <w:rFonts w:ascii="Arial" w:hAnsi="Arial" w:cs="Arial"/>
          <w:sz w:val="22"/>
          <w:szCs w:val="22"/>
        </w:rPr>
        <w:t>thyroid gland,</w:t>
      </w:r>
    </w:p>
    <w:p w14:paraId="712C2807" w14:textId="77777777" w:rsidR="00AA0A44" w:rsidRDefault="00AA0A44" w:rsidP="00A23E4E">
      <w:pPr>
        <w:pStyle w:val="BayerBodyTextFull"/>
        <w:spacing w:before="0" w:after="0"/>
        <w:rPr>
          <w:rFonts w:ascii="Arial" w:hAnsi="Arial" w:cs="Arial"/>
          <w:sz w:val="22"/>
          <w:szCs w:val="22"/>
        </w:rPr>
      </w:pPr>
      <w:proofErr w:type="gramStart"/>
      <w:r w:rsidRPr="003A5EE1">
        <w:rPr>
          <w:rFonts w:ascii="Arial" w:hAnsi="Arial" w:cs="Arial"/>
          <w:sz w:val="22"/>
          <w:szCs w:val="22"/>
        </w:rPr>
        <w:t>lympho</w:t>
      </w:r>
      <w:proofErr w:type="gramEnd"/>
      <w:r w:rsidRPr="003A5EE1">
        <w:rPr>
          <w:rFonts w:ascii="Arial" w:hAnsi="Arial" w:cs="Arial"/>
          <w:sz w:val="22"/>
          <w:szCs w:val="22"/>
        </w:rPr>
        <w:t xml:space="preserve">-/hematopoietic system, endocrine system, reproductive system and skin. These effects occurred at systemic exposures in the range of or below the anticipated human exposure (based on AUC comparison). Alterations of teeth and bones </w:t>
      </w:r>
      <w:r w:rsidR="00AB3B28">
        <w:rPr>
          <w:rFonts w:ascii="Arial" w:hAnsi="Arial" w:cs="Arial"/>
          <w:sz w:val="22"/>
          <w:szCs w:val="22"/>
        </w:rPr>
        <w:t>and adverse effects in th</w:t>
      </w:r>
      <w:r w:rsidR="00340999">
        <w:rPr>
          <w:rFonts w:ascii="Arial" w:hAnsi="Arial" w:cs="Arial"/>
          <w:sz w:val="22"/>
          <w:szCs w:val="22"/>
        </w:rPr>
        <w:t xml:space="preserve">e reproductive system </w:t>
      </w:r>
      <w:r w:rsidRPr="003A5EE1">
        <w:rPr>
          <w:rFonts w:ascii="Arial" w:hAnsi="Arial" w:cs="Arial"/>
          <w:sz w:val="22"/>
          <w:szCs w:val="22"/>
        </w:rPr>
        <w:t xml:space="preserve">were </w:t>
      </w:r>
      <w:r w:rsidR="00340999">
        <w:rPr>
          <w:rFonts w:ascii="Arial" w:hAnsi="Arial" w:cs="Arial"/>
          <w:sz w:val="22"/>
          <w:szCs w:val="22"/>
        </w:rPr>
        <w:t>more pronounced</w:t>
      </w:r>
      <w:r w:rsidRPr="003A5EE1">
        <w:rPr>
          <w:rFonts w:ascii="Arial" w:hAnsi="Arial" w:cs="Arial"/>
          <w:sz w:val="22"/>
          <w:szCs w:val="22"/>
        </w:rPr>
        <w:t xml:space="preserve"> in young and growing </w:t>
      </w:r>
      <w:r w:rsidR="00340999">
        <w:rPr>
          <w:rFonts w:ascii="Arial" w:hAnsi="Arial" w:cs="Arial"/>
          <w:sz w:val="22"/>
          <w:szCs w:val="22"/>
        </w:rPr>
        <w:t>animal</w:t>
      </w:r>
      <w:r w:rsidRPr="003A5EE1">
        <w:rPr>
          <w:rFonts w:ascii="Arial" w:hAnsi="Arial" w:cs="Arial"/>
          <w:sz w:val="22"/>
          <w:szCs w:val="22"/>
        </w:rPr>
        <w:t>s</w:t>
      </w:r>
      <w:r w:rsidR="00FC03B4">
        <w:rPr>
          <w:rFonts w:ascii="Arial" w:hAnsi="Arial" w:cs="Arial"/>
          <w:sz w:val="22"/>
          <w:szCs w:val="22"/>
        </w:rPr>
        <w:t>, and delayed development and retarded growth were observed</w:t>
      </w:r>
      <w:r w:rsidR="00340999">
        <w:rPr>
          <w:rFonts w:ascii="Arial" w:hAnsi="Arial" w:cs="Arial"/>
          <w:sz w:val="22"/>
          <w:szCs w:val="22"/>
        </w:rPr>
        <w:t xml:space="preserve"> in juvenile rats</w:t>
      </w:r>
      <w:r w:rsidRPr="003A5EE1">
        <w:rPr>
          <w:rFonts w:ascii="Arial" w:hAnsi="Arial" w:cs="Arial"/>
          <w:sz w:val="22"/>
          <w:szCs w:val="22"/>
        </w:rPr>
        <w:t xml:space="preserve"> </w:t>
      </w:r>
      <w:r w:rsidR="00FC03B4">
        <w:rPr>
          <w:rFonts w:ascii="Arial" w:hAnsi="Arial" w:cs="Arial"/>
          <w:sz w:val="22"/>
          <w:szCs w:val="22"/>
        </w:rPr>
        <w:t>indicating</w:t>
      </w:r>
      <w:r w:rsidRPr="003A5EE1">
        <w:rPr>
          <w:rFonts w:ascii="Arial" w:hAnsi="Arial" w:cs="Arial"/>
          <w:sz w:val="22"/>
          <w:szCs w:val="22"/>
        </w:rPr>
        <w:t xml:space="preserve"> a potential risk for children and adolescents.</w:t>
      </w:r>
    </w:p>
    <w:p w14:paraId="6FFCE5F5" w14:textId="1D7E1A19" w:rsidR="00FD1BE6" w:rsidRPr="00F4557E" w:rsidRDefault="00FD1BE6"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Effect of race</w:t>
      </w:r>
    </w:p>
    <w:p w14:paraId="75B66BC1" w14:textId="43B0428B" w:rsidR="00FD1BE6" w:rsidRPr="003A5EE1" w:rsidRDefault="00FD1BE6" w:rsidP="007E39A8">
      <w:pPr>
        <w:pStyle w:val="BayerBodyTextFull"/>
        <w:spacing w:before="0" w:after="0"/>
        <w:rPr>
          <w:rFonts w:ascii="Arial" w:hAnsi="Arial" w:cs="Arial"/>
          <w:sz w:val="22"/>
          <w:szCs w:val="22"/>
        </w:rPr>
      </w:pPr>
      <w:r w:rsidRPr="00FD1BE6">
        <w:rPr>
          <w:rFonts w:ascii="Arial" w:hAnsi="Arial" w:cs="Arial"/>
          <w:sz w:val="22"/>
          <w:szCs w:val="22"/>
        </w:rPr>
        <w:t>No relevant differences in exposure or efficacy have been seen between Asian and Caucasian subjects in clinical trials, and no dose adjustment based on race is necessary. However, a higher incidence of HFSR, severe liver function test abnormalities and hepatic dysfunction was observed in Asian (in particular Japanese) patients treated with STIVARGA as compared with Caucasians.</w:t>
      </w:r>
    </w:p>
    <w:p w14:paraId="712C2808" w14:textId="77777777" w:rsidR="00AA0A44" w:rsidRPr="003A5EE1" w:rsidRDefault="00AA0A44" w:rsidP="0090345C">
      <w:pPr>
        <w:rPr>
          <w:sz w:val="22"/>
          <w:szCs w:val="22"/>
        </w:rPr>
      </w:pPr>
    </w:p>
    <w:p w14:paraId="712C2809" w14:textId="77777777" w:rsidR="001D1004" w:rsidRPr="003A5EE1" w:rsidRDefault="00290EC1" w:rsidP="00E177CA">
      <w:pPr>
        <w:pStyle w:val="Heading1"/>
        <w:spacing w:before="0" w:after="0" w:line="240" w:lineRule="auto"/>
        <w:ind w:right="46"/>
      </w:pPr>
      <w:r w:rsidRPr="003A5EE1">
        <w:t>INTERACTIONS WITH OTHER MEDICINES</w:t>
      </w:r>
    </w:p>
    <w:p w14:paraId="712C280B" w14:textId="77777777" w:rsidR="001D1004" w:rsidRPr="00F4557E" w:rsidRDefault="007E132B"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Inhibitors/inducers of CYP3A4</w:t>
      </w:r>
    </w:p>
    <w:p w14:paraId="712C280D" w14:textId="77777777" w:rsidR="007E132B" w:rsidRPr="003A5EE1" w:rsidRDefault="007E132B" w:rsidP="00CF7423">
      <w:pPr>
        <w:pStyle w:val="BayerBodyTextFull"/>
        <w:spacing w:before="0" w:after="0"/>
        <w:rPr>
          <w:rFonts w:ascii="Arial" w:hAnsi="Arial" w:cs="Arial"/>
          <w:sz w:val="22"/>
          <w:szCs w:val="22"/>
        </w:rPr>
      </w:pPr>
      <w:bookmarkStart w:id="6" w:name="_Toc180211515"/>
      <w:r w:rsidRPr="003A5EE1">
        <w:rPr>
          <w:rFonts w:ascii="Arial" w:hAnsi="Arial" w:cs="Arial"/>
          <w:i/>
          <w:sz w:val="22"/>
          <w:szCs w:val="22"/>
        </w:rPr>
        <w:t>In vitro</w:t>
      </w:r>
      <w:r w:rsidRPr="003A5EE1">
        <w:rPr>
          <w:rFonts w:ascii="Arial" w:hAnsi="Arial" w:cs="Arial"/>
          <w:sz w:val="22"/>
          <w:szCs w:val="22"/>
        </w:rPr>
        <w:t xml:space="preserve"> data indica</w:t>
      </w:r>
      <w:r w:rsidR="00A23E4E" w:rsidRPr="003A5EE1">
        <w:rPr>
          <w:rFonts w:ascii="Arial" w:hAnsi="Arial" w:cs="Arial"/>
          <w:sz w:val="22"/>
          <w:szCs w:val="22"/>
        </w:rPr>
        <w:t>te that regorafenib is metabolis</w:t>
      </w:r>
      <w:r w:rsidRPr="003A5EE1">
        <w:rPr>
          <w:rFonts w:ascii="Arial" w:hAnsi="Arial" w:cs="Arial"/>
          <w:sz w:val="22"/>
          <w:szCs w:val="22"/>
        </w:rPr>
        <w:t xml:space="preserve">ed </w:t>
      </w:r>
      <w:r w:rsidR="00836E60" w:rsidRPr="003A5EE1">
        <w:rPr>
          <w:rFonts w:ascii="Arial" w:hAnsi="Arial" w:cs="Arial"/>
          <w:sz w:val="22"/>
          <w:szCs w:val="22"/>
        </w:rPr>
        <w:t xml:space="preserve">largely </w:t>
      </w:r>
      <w:r w:rsidRPr="003A5EE1">
        <w:rPr>
          <w:rFonts w:ascii="Arial" w:hAnsi="Arial" w:cs="Arial"/>
          <w:sz w:val="22"/>
          <w:szCs w:val="22"/>
        </w:rPr>
        <w:t xml:space="preserve">by the cytochrome CYP3A4 and the uridine diphosphate </w:t>
      </w:r>
      <w:proofErr w:type="spellStart"/>
      <w:r w:rsidRPr="003A5EE1">
        <w:rPr>
          <w:rFonts w:ascii="Arial" w:hAnsi="Arial" w:cs="Arial"/>
          <w:sz w:val="22"/>
          <w:szCs w:val="22"/>
        </w:rPr>
        <w:t>glucuronosyl</w:t>
      </w:r>
      <w:proofErr w:type="spellEnd"/>
      <w:r w:rsidRPr="003A5EE1">
        <w:rPr>
          <w:rFonts w:ascii="Arial" w:hAnsi="Arial" w:cs="Arial"/>
          <w:sz w:val="22"/>
          <w:szCs w:val="22"/>
        </w:rPr>
        <w:t xml:space="preserve"> transferase UGT1A9.</w:t>
      </w:r>
    </w:p>
    <w:p w14:paraId="712C280E" w14:textId="77777777" w:rsidR="00A23E4E" w:rsidRPr="003A5EE1" w:rsidRDefault="00A23E4E" w:rsidP="002E54D9">
      <w:pPr>
        <w:pStyle w:val="BayerBodyTextFull"/>
        <w:spacing w:before="0" w:after="0"/>
        <w:rPr>
          <w:rFonts w:ascii="Arial" w:hAnsi="Arial" w:cs="Arial"/>
          <w:sz w:val="22"/>
          <w:szCs w:val="22"/>
        </w:rPr>
      </w:pPr>
    </w:p>
    <w:p w14:paraId="712C280F" w14:textId="77777777" w:rsidR="00A23E4E" w:rsidRPr="003A5EE1" w:rsidRDefault="007E132B" w:rsidP="002E54D9">
      <w:pPr>
        <w:pStyle w:val="BayerBodyTextFull"/>
        <w:spacing w:before="0" w:after="0"/>
        <w:rPr>
          <w:rFonts w:ascii="Arial" w:hAnsi="Arial" w:cs="Arial"/>
          <w:sz w:val="22"/>
          <w:szCs w:val="22"/>
        </w:rPr>
      </w:pPr>
      <w:r w:rsidRPr="003A5EE1">
        <w:rPr>
          <w:rFonts w:ascii="Arial" w:hAnsi="Arial" w:cs="Arial"/>
          <w:sz w:val="22"/>
          <w:szCs w:val="22"/>
        </w:rPr>
        <w:lastRenderedPageBreak/>
        <w:t xml:space="preserve">Administration of ketoconazole (400 mg for 18 days), a strong CYP3A4 inhibitor, with a single dose of regorafenib (160 mg on day 5) resulted in an increase in mean exposure (AUC) of </w:t>
      </w:r>
      <w:r w:rsidR="00BB3DF3" w:rsidRPr="003A5EE1">
        <w:rPr>
          <w:rFonts w:ascii="Arial" w:hAnsi="Arial" w:cs="Arial"/>
          <w:sz w:val="22"/>
          <w:szCs w:val="22"/>
        </w:rPr>
        <w:t xml:space="preserve">regorafenib of </w:t>
      </w:r>
      <w:r w:rsidRPr="003A5EE1">
        <w:rPr>
          <w:rFonts w:ascii="Arial" w:hAnsi="Arial" w:cs="Arial"/>
          <w:sz w:val="22"/>
          <w:szCs w:val="22"/>
        </w:rPr>
        <w:t xml:space="preserve">approximately 33%, and a decrease in mean exposure of the active metabolites, M-2 </w:t>
      </w:r>
      <w:r w:rsidRPr="003A5EE1">
        <w:rPr>
          <w:rFonts w:ascii="Arial" w:hAnsi="Arial" w:cs="Arial"/>
          <w:sz w:val="22"/>
          <w:szCs w:val="22"/>
          <w:lang w:val="en-GB"/>
        </w:rPr>
        <w:t xml:space="preserve">(N-oxide) </w:t>
      </w:r>
      <w:r w:rsidRPr="003A5EE1">
        <w:rPr>
          <w:rFonts w:ascii="Arial" w:hAnsi="Arial" w:cs="Arial"/>
          <w:sz w:val="22"/>
          <w:szCs w:val="22"/>
        </w:rPr>
        <w:t xml:space="preserve">and M-5 </w:t>
      </w:r>
      <w:r w:rsidRPr="003A5EE1">
        <w:rPr>
          <w:rFonts w:ascii="Arial" w:hAnsi="Arial" w:cs="Arial"/>
          <w:sz w:val="22"/>
          <w:szCs w:val="22"/>
          <w:lang w:val="en-GB"/>
        </w:rPr>
        <w:t>(N-oxide and N-</w:t>
      </w:r>
      <w:proofErr w:type="spellStart"/>
      <w:r w:rsidRPr="003A5EE1">
        <w:rPr>
          <w:rFonts w:ascii="Arial" w:hAnsi="Arial" w:cs="Arial"/>
          <w:sz w:val="22"/>
          <w:szCs w:val="22"/>
          <w:lang w:val="en-GB"/>
        </w:rPr>
        <w:t>desmethyl</w:t>
      </w:r>
      <w:proofErr w:type="spellEnd"/>
      <w:r w:rsidRPr="003A5EE1">
        <w:rPr>
          <w:rFonts w:ascii="Arial" w:hAnsi="Arial" w:cs="Arial"/>
          <w:sz w:val="22"/>
          <w:szCs w:val="22"/>
          <w:lang w:val="en-GB"/>
        </w:rPr>
        <w:t>)</w:t>
      </w:r>
      <w:r w:rsidRPr="003A5EE1">
        <w:rPr>
          <w:rFonts w:ascii="Arial" w:hAnsi="Arial" w:cs="Arial"/>
          <w:sz w:val="22"/>
          <w:szCs w:val="22"/>
        </w:rPr>
        <w:t xml:space="preserve">, of approximately 90%. </w:t>
      </w:r>
    </w:p>
    <w:p w14:paraId="712C2810" w14:textId="77777777" w:rsidR="00A23E4E" w:rsidRPr="003A5EE1" w:rsidRDefault="00A23E4E" w:rsidP="002E54D9">
      <w:pPr>
        <w:pStyle w:val="BayerBodyTextFull"/>
        <w:spacing w:before="0" w:after="0"/>
        <w:rPr>
          <w:rFonts w:ascii="Arial" w:hAnsi="Arial" w:cs="Arial"/>
          <w:sz w:val="22"/>
          <w:szCs w:val="22"/>
        </w:rPr>
      </w:pPr>
    </w:p>
    <w:p w14:paraId="712C2811" w14:textId="77777777" w:rsidR="007E132B" w:rsidRDefault="00BB3DF3" w:rsidP="002E54D9">
      <w:pPr>
        <w:pStyle w:val="BayerBodyTextFull"/>
        <w:spacing w:before="0" w:after="0"/>
        <w:rPr>
          <w:rFonts w:ascii="Arial" w:hAnsi="Arial" w:cs="Arial"/>
          <w:sz w:val="22"/>
          <w:szCs w:val="22"/>
        </w:rPr>
      </w:pPr>
      <w:r w:rsidRPr="003A5EE1">
        <w:rPr>
          <w:rFonts w:ascii="Arial" w:hAnsi="Arial" w:cs="Arial"/>
          <w:sz w:val="22"/>
          <w:szCs w:val="22"/>
        </w:rPr>
        <w:t>It is recommended to avoid concomitant use of strong inhibitors of CYP3A4 acti</w:t>
      </w:r>
      <w:r w:rsidR="006616AF" w:rsidRPr="003A5EE1">
        <w:rPr>
          <w:rFonts w:ascii="Arial" w:hAnsi="Arial" w:cs="Arial"/>
          <w:sz w:val="22"/>
          <w:szCs w:val="22"/>
        </w:rPr>
        <w:t>vity (e.g. clarithromycin, grap</w:t>
      </w:r>
      <w:r w:rsidRPr="003A5EE1">
        <w:rPr>
          <w:rFonts w:ascii="Arial" w:hAnsi="Arial" w:cs="Arial"/>
          <w:sz w:val="22"/>
          <w:szCs w:val="22"/>
        </w:rPr>
        <w:t xml:space="preserve">efruit juice, </w:t>
      </w:r>
      <w:proofErr w:type="spellStart"/>
      <w:r w:rsidRPr="003A5EE1">
        <w:rPr>
          <w:rFonts w:ascii="Arial" w:hAnsi="Arial" w:cs="Arial"/>
          <w:sz w:val="22"/>
          <w:szCs w:val="22"/>
        </w:rPr>
        <w:t>itraconazole</w:t>
      </w:r>
      <w:proofErr w:type="spellEnd"/>
      <w:r w:rsidRPr="003A5EE1">
        <w:rPr>
          <w:rFonts w:ascii="Arial" w:hAnsi="Arial" w:cs="Arial"/>
          <w:sz w:val="22"/>
          <w:szCs w:val="22"/>
        </w:rPr>
        <w:t xml:space="preserve">, ketoconazole, </w:t>
      </w:r>
      <w:proofErr w:type="spellStart"/>
      <w:r w:rsidRPr="003A5EE1">
        <w:rPr>
          <w:rFonts w:ascii="Arial" w:hAnsi="Arial" w:cs="Arial"/>
          <w:sz w:val="22"/>
          <w:szCs w:val="22"/>
        </w:rPr>
        <w:t>posaconazole</w:t>
      </w:r>
      <w:proofErr w:type="spellEnd"/>
      <w:r w:rsidRPr="003A5EE1">
        <w:rPr>
          <w:rFonts w:ascii="Arial" w:hAnsi="Arial" w:cs="Arial"/>
          <w:sz w:val="22"/>
          <w:szCs w:val="22"/>
        </w:rPr>
        <w:t xml:space="preserve"> and </w:t>
      </w:r>
      <w:proofErr w:type="spellStart"/>
      <w:r w:rsidRPr="003A5EE1">
        <w:rPr>
          <w:rFonts w:ascii="Arial" w:hAnsi="Arial" w:cs="Arial"/>
          <w:sz w:val="22"/>
          <w:szCs w:val="22"/>
        </w:rPr>
        <w:t>voriconazole</w:t>
      </w:r>
      <w:proofErr w:type="spellEnd"/>
      <w:r w:rsidRPr="003A5EE1">
        <w:rPr>
          <w:rFonts w:ascii="Arial" w:hAnsi="Arial" w:cs="Arial"/>
          <w:sz w:val="22"/>
          <w:szCs w:val="22"/>
        </w:rPr>
        <w:t xml:space="preserve">) as their influence on the steady-state exposure of regorafenib and its metabolites (M-2 and M-5) has not been studied. </w:t>
      </w:r>
    </w:p>
    <w:p w14:paraId="712C2812" w14:textId="77777777" w:rsidR="00C02009" w:rsidRPr="003A5EE1" w:rsidRDefault="00C02009" w:rsidP="002E54D9">
      <w:pPr>
        <w:pStyle w:val="BayerBodyTextFull"/>
        <w:spacing w:before="0" w:after="0"/>
        <w:rPr>
          <w:rFonts w:ascii="Arial" w:hAnsi="Arial" w:cs="Arial"/>
          <w:sz w:val="22"/>
          <w:szCs w:val="22"/>
        </w:rPr>
      </w:pPr>
    </w:p>
    <w:p w14:paraId="712C2813" w14:textId="77777777" w:rsidR="00A23E4E" w:rsidRDefault="00A23E4E" w:rsidP="00456BB6">
      <w:pPr>
        <w:rPr>
          <w:rFonts w:ascii="Arial" w:hAnsi="Arial" w:cs="Arial"/>
          <w:sz w:val="22"/>
          <w:szCs w:val="22"/>
        </w:rPr>
      </w:pPr>
      <w:r w:rsidRPr="003A5EE1">
        <w:rPr>
          <w:rFonts w:ascii="Arial" w:hAnsi="Arial" w:cs="Arial"/>
          <w:sz w:val="22"/>
          <w:szCs w:val="22"/>
        </w:rPr>
        <w:t>Administration of rifampicin</w:t>
      </w:r>
      <w:r w:rsidR="007E132B" w:rsidRPr="003A5EE1">
        <w:rPr>
          <w:rFonts w:ascii="Arial" w:hAnsi="Arial" w:cs="Arial"/>
          <w:sz w:val="22"/>
          <w:szCs w:val="22"/>
        </w:rPr>
        <w:t xml:space="preserve"> (600 mg for 9 days), a strong CYP3A4 inducer, with a single dose of regorafenib (160 mg on day 7) resulted in a reduction in mean exposure (AUC) of </w:t>
      </w:r>
      <w:r w:rsidR="00BB3DF3" w:rsidRPr="003A5EE1">
        <w:rPr>
          <w:rFonts w:ascii="Arial" w:hAnsi="Arial" w:cs="Arial"/>
          <w:sz w:val="22"/>
          <w:szCs w:val="22"/>
        </w:rPr>
        <w:t xml:space="preserve">regorafenib of </w:t>
      </w:r>
      <w:r w:rsidR="007E132B" w:rsidRPr="003A5EE1">
        <w:rPr>
          <w:rFonts w:ascii="Arial" w:hAnsi="Arial" w:cs="Arial"/>
          <w:sz w:val="22"/>
          <w:szCs w:val="22"/>
        </w:rPr>
        <w:t xml:space="preserve">approximately 50%, a 3- to 4-fold increase in mean exposure of the active metabolite M-5, and no change in exposure of active metabolite M-2. </w:t>
      </w:r>
    </w:p>
    <w:p w14:paraId="19EF1CCC" w14:textId="77777777" w:rsidR="0080645A" w:rsidRPr="003A5EE1" w:rsidRDefault="0080645A" w:rsidP="00456BB6">
      <w:pPr>
        <w:rPr>
          <w:rFonts w:ascii="Arial" w:hAnsi="Arial" w:cs="Arial"/>
          <w:sz w:val="22"/>
          <w:szCs w:val="22"/>
        </w:rPr>
      </w:pPr>
    </w:p>
    <w:p w14:paraId="712C2814" w14:textId="77777777" w:rsidR="001D1004" w:rsidRPr="003A5EE1" w:rsidRDefault="007E132B" w:rsidP="001578C7">
      <w:pPr>
        <w:keepLines/>
        <w:rPr>
          <w:rFonts w:ascii="Arial" w:hAnsi="Arial" w:cs="Arial"/>
          <w:sz w:val="22"/>
          <w:szCs w:val="22"/>
        </w:rPr>
      </w:pPr>
      <w:r w:rsidRPr="003A5EE1">
        <w:rPr>
          <w:rFonts w:ascii="Arial" w:hAnsi="Arial" w:cs="Arial"/>
          <w:sz w:val="22"/>
          <w:szCs w:val="22"/>
        </w:rPr>
        <w:t xml:space="preserve">Other strong </w:t>
      </w:r>
      <w:r w:rsidR="00562F4F" w:rsidRPr="003A5EE1">
        <w:rPr>
          <w:rFonts w:ascii="Arial" w:hAnsi="Arial" w:cs="Arial"/>
          <w:sz w:val="22"/>
          <w:szCs w:val="22"/>
        </w:rPr>
        <w:t xml:space="preserve">CYP3A4 </w:t>
      </w:r>
      <w:r w:rsidRPr="003A5EE1">
        <w:rPr>
          <w:rFonts w:ascii="Arial" w:hAnsi="Arial" w:cs="Arial"/>
          <w:sz w:val="22"/>
          <w:szCs w:val="22"/>
        </w:rPr>
        <w:t>inducers (e.g. phenytoin, carbamazepine, phenobarbital</w:t>
      </w:r>
      <w:r w:rsidR="00562F4F" w:rsidRPr="003A5EE1">
        <w:rPr>
          <w:rFonts w:ascii="Arial" w:hAnsi="Arial" w:cs="Arial"/>
          <w:sz w:val="22"/>
          <w:szCs w:val="22"/>
        </w:rPr>
        <w:t>,</w:t>
      </w:r>
      <w:r w:rsidR="006616AF" w:rsidRPr="003A5EE1">
        <w:rPr>
          <w:rFonts w:ascii="Arial" w:hAnsi="Arial" w:cs="Arial"/>
          <w:sz w:val="22"/>
          <w:szCs w:val="22"/>
        </w:rPr>
        <w:t xml:space="preserve"> </w:t>
      </w:r>
      <w:proofErr w:type="spellStart"/>
      <w:r w:rsidR="006616AF" w:rsidRPr="003A5EE1">
        <w:rPr>
          <w:rFonts w:ascii="Arial" w:hAnsi="Arial" w:cs="Arial"/>
          <w:sz w:val="22"/>
          <w:szCs w:val="22"/>
        </w:rPr>
        <w:t>rifabutin</w:t>
      </w:r>
      <w:proofErr w:type="spellEnd"/>
      <w:r w:rsidR="008A7D15" w:rsidRPr="003A5EE1">
        <w:rPr>
          <w:rFonts w:ascii="Arial" w:hAnsi="Arial" w:cs="Arial"/>
          <w:sz w:val="22"/>
          <w:szCs w:val="22"/>
        </w:rPr>
        <w:t xml:space="preserve">, </w:t>
      </w:r>
      <w:r w:rsidR="00562F4F" w:rsidRPr="003A5EE1">
        <w:rPr>
          <w:rFonts w:ascii="Arial" w:hAnsi="Arial" w:cs="Arial"/>
          <w:sz w:val="22"/>
          <w:szCs w:val="22"/>
        </w:rPr>
        <w:t>dexamethasone and St John’s Wort</w:t>
      </w:r>
      <w:r w:rsidRPr="003A5EE1">
        <w:rPr>
          <w:rFonts w:ascii="Arial" w:hAnsi="Arial" w:cs="Arial"/>
          <w:sz w:val="22"/>
          <w:szCs w:val="22"/>
        </w:rPr>
        <w:t>) may also increase metabolism of regorafenib. Since a reduction in plasma regorafenib</w:t>
      </w:r>
      <w:r w:rsidR="00A23E4E" w:rsidRPr="003A5EE1">
        <w:rPr>
          <w:rFonts w:ascii="Arial" w:hAnsi="Arial" w:cs="Arial"/>
          <w:sz w:val="22"/>
          <w:szCs w:val="22"/>
        </w:rPr>
        <w:t xml:space="preserve"> concentrations may result in </w:t>
      </w:r>
      <w:r w:rsidRPr="003A5EE1">
        <w:rPr>
          <w:rFonts w:ascii="Arial" w:hAnsi="Arial" w:cs="Arial"/>
          <w:sz w:val="22"/>
          <w:szCs w:val="22"/>
        </w:rPr>
        <w:t>decreased efficacy, strong inducers of CYP3A4 should be avoid</w:t>
      </w:r>
      <w:r w:rsidR="00A23E4E" w:rsidRPr="003A5EE1">
        <w:rPr>
          <w:rFonts w:ascii="Arial" w:hAnsi="Arial" w:cs="Arial"/>
          <w:sz w:val="22"/>
          <w:szCs w:val="22"/>
        </w:rPr>
        <w:t>ed, or selection of an alternate</w:t>
      </w:r>
      <w:r w:rsidRPr="003A5EE1">
        <w:rPr>
          <w:rFonts w:ascii="Arial" w:hAnsi="Arial" w:cs="Arial"/>
          <w:sz w:val="22"/>
          <w:szCs w:val="22"/>
        </w:rPr>
        <w:t xml:space="preserve"> concomitant medicinal product, with no or minimal potential to induce CYP3A4 should be considered.</w:t>
      </w:r>
      <w:bookmarkEnd w:id="6"/>
    </w:p>
    <w:p w14:paraId="712C2816" w14:textId="77777777" w:rsidR="006805C0" w:rsidRPr="00F4557E" w:rsidRDefault="007E132B"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UGT1A1 and UGT1A9 substrates</w:t>
      </w:r>
    </w:p>
    <w:p w14:paraId="712C2818" w14:textId="77777777" w:rsidR="007E132B" w:rsidRPr="003A5EE1" w:rsidRDefault="007E132B" w:rsidP="008515FD">
      <w:pPr>
        <w:pStyle w:val="BayerBodyTextFull"/>
        <w:keepNext/>
        <w:spacing w:before="0" w:after="0"/>
        <w:rPr>
          <w:rFonts w:ascii="Arial" w:hAnsi="Arial" w:cs="Arial"/>
          <w:sz w:val="22"/>
          <w:szCs w:val="22"/>
        </w:rPr>
      </w:pPr>
      <w:r w:rsidRPr="003A5EE1">
        <w:rPr>
          <w:rFonts w:ascii="Arial" w:hAnsi="Arial" w:cs="Arial"/>
          <w:i/>
          <w:sz w:val="22"/>
          <w:szCs w:val="22"/>
        </w:rPr>
        <w:t>In vitro</w:t>
      </w:r>
      <w:r w:rsidRPr="003A5EE1">
        <w:rPr>
          <w:rFonts w:ascii="Arial" w:hAnsi="Arial" w:cs="Arial"/>
          <w:sz w:val="22"/>
          <w:szCs w:val="22"/>
          <w:lang w:eastAsia="de-DE"/>
        </w:rPr>
        <w:t xml:space="preserve"> data indicate that</w:t>
      </w:r>
      <w:r w:rsidRPr="003A5EE1">
        <w:rPr>
          <w:rFonts w:ascii="Arial" w:hAnsi="Arial" w:cs="Arial"/>
          <w:sz w:val="22"/>
          <w:szCs w:val="22"/>
        </w:rPr>
        <w:t xml:space="preserve"> regorafenib </w:t>
      </w:r>
      <w:r w:rsidR="00836E60" w:rsidRPr="003A5EE1">
        <w:rPr>
          <w:rFonts w:ascii="Arial" w:hAnsi="Arial" w:cs="Arial"/>
          <w:sz w:val="22"/>
          <w:szCs w:val="22"/>
          <w:lang w:eastAsia="de-DE"/>
        </w:rPr>
        <w:t xml:space="preserve">and </w:t>
      </w:r>
      <w:r w:rsidRPr="003A5EE1">
        <w:rPr>
          <w:rFonts w:ascii="Arial" w:hAnsi="Arial" w:cs="Arial"/>
          <w:sz w:val="22"/>
          <w:szCs w:val="22"/>
          <w:lang w:eastAsia="de-DE"/>
        </w:rPr>
        <w:t xml:space="preserve">its active metabolite M-2 inhibit glucuronidation mediated by uridine diphosphate </w:t>
      </w:r>
      <w:proofErr w:type="spellStart"/>
      <w:r w:rsidRPr="003A5EE1">
        <w:rPr>
          <w:rFonts w:ascii="Arial" w:hAnsi="Arial" w:cs="Arial"/>
          <w:sz w:val="22"/>
          <w:szCs w:val="22"/>
          <w:lang w:eastAsia="de-DE"/>
        </w:rPr>
        <w:t>glucuronosyl</w:t>
      </w:r>
      <w:proofErr w:type="spellEnd"/>
      <w:r w:rsidRPr="003A5EE1">
        <w:rPr>
          <w:rFonts w:ascii="Arial" w:hAnsi="Arial" w:cs="Arial"/>
          <w:sz w:val="22"/>
          <w:szCs w:val="22"/>
          <w:lang w:eastAsia="de-DE"/>
        </w:rPr>
        <w:t xml:space="preserve"> transferases UGT1A1 and UGT1A9</w:t>
      </w:r>
      <w:r w:rsidR="00562F4F" w:rsidRPr="003A5EE1">
        <w:rPr>
          <w:rFonts w:ascii="Arial" w:hAnsi="Arial" w:cs="Arial"/>
          <w:sz w:val="22"/>
          <w:szCs w:val="22"/>
          <w:lang w:eastAsia="de-DE"/>
        </w:rPr>
        <w:t xml:space="preserve">, </w:t>
      </w:r>
      <w:r w:rsidR="00836E60" w:rsidRPr="003A5EE1">
        <w:rPr>
          <w:rFonts w:ascii="Arial" w:hAnsi="Arial" w:cs="Arial"/>
          <w:sz w:val="22"/>
          <w:szCs w:val="22"/>
          <w:lang w:eastAsia="de-DE"/>
        </w:rPr>
        <w:t>and the active metabolite M-5 inhibits UGT1A1</w:t>
      </w:r>
      <w:r w:rsidRPr="003A5EE1">
        <w:rPr>
          <w:rFonts w:ascii="Arial" w:hAnsi="Arial" w:cs="Arial"/>
          <w:sz w:val="22"/>
          <w:szCs w:val="22"/>
          <w:lang w:eastAsia="de-DE"/>
        </w:rPr>
        <w:t xml:space="preserve"> at concentrations which are achieved </w:t>
      </w:r>
      <w:r w:rsidRPr="003A5EE1">
        <w:rPr>
          <w:rFonts w:ascii="Arial" w:hAnsi="Arial" w:cs="Arial"/>
          <w:i/>
          <w:sz w:val="22"/>
          <w:szCs w:val="22"/>
          <w:lang w:eastAsia="de-DE"/>
        </w:rPr>
        <w:t>in vivo</w:t>
      </w:r>
      <w:r w:rsidRPr="003A5EE1">
        <w:rPr>
          <w:rFonts w:ascii="Arial" w:hAnsi="Arial" w:cs="Arial"/>
          <w:sz w:val="22"/>
          <w:szCs w:val="22"/>
          <w:lang w:eastAsia="de-DE"/>
        </w:rPr>
        <w:t xml:space="preserve"> at steady state</w:t>
      </w:r>
      <w:r w:rsidRPr="003A5EE1">
        <w:rPr>
          <w:rFonts w:ascii="Arial" w:hAnsi="Arial" w:cs="Arial"/>
          <w:sz w:val="22"/>
          <w:szCs w:val="22"/>
        </w:rPr>
        <w:t>.</w:t>
      </w:r>
      <w:r w:rsidRPr="003A5EE1">
        <w:rPr>
          <w:rStyle w:val="EndnoteReference"/>
          <w:rFonts w:ascii="Arial" w:hAnsi="Arial" w:cs="Arial"/>
          <w:sz w:val="22"/>
          <w:szCs w:val="22"/>
        </w:rPr>
        <w:t xml:space="preserve"> </w:t>
      </w:r>
    </w:p>
    <w:p w14:paraId="712C2819" w14:textId="77777777" w:rsidR="00A23E4E" w:rsidRPr="003A5EE1" w:rsidRDefault="00A23E4E" w:rsidP="002E54D9">
      <w:pPr>
        <w:pStyle w:val="BayerBodyTextFull"/>
        <w:spacing w:before="0" w:after="0"/>
        <w:rPr>
          <w:rFonts w:ascii="Arial" w:hAnsi="Arial" w:cs="Arial"/>
          <w:sz w:val="22"/>
          <w:szCs w:val="22"/>
        </w:rPr>
      </w:pPr>
    </w:p>
    <w:p w14:paraId="712C281A" w14:textId="77777777" w:rsidR="0055539D" w:rsidRDefault="007E132B" w:rsidP="00F34FCB">
      <w:pPr>
        <w:ind w:right="45"/>
        <w:rPr>
          <w:rFonts w:ascii="Arial" w:hAnsi="Arial" w:cs="Arial"/>
          <w:sz w:val="22"/>
          <w:szCs w:val="22"/>
        </w:rPr>
      </w:pPr>
      <w:r w:rsidRPr="003A5EE1">
        <w:rPr>
          <w:rFonts w:ascii="Arial" w:hAnsi="Arial" w:cs="Arial"/>
          <w:sz w:val="22"/>
          <w:szCs w:val="22"/>
        </w:rPr>
        <w:t xml:space="preserve">Administration of regorafenib with a 5-day break prior to administration of irinotecan resulted in an increase of approximately 44% in mean exposure (AUC) </w:t>
      </w:r>
      <w:r w:rsidR="00562F4F" w:rsidRPr="003A5EE1">
        <w:rPr>
          <w:rFonts w:ascii="Arial" w:hAnsi="Arial" w:cs="Arial"/>
          <w:sz w:val="22"/>
          <w:szCs w:val="22"/>
        </w:rPr>
        <w:t>of</w:t>
      </w:r>
      <w:r w:rsidRPr="003A5EE1">
        <w:rPr>
          <w:rFonts w:ascii="Arial" w:hAnsi="Arial" w:cs="Arial"/>
          <w:sz w:val="22"/>
          <w:szCs w:val="22"/>
        </w:rPr>
        <w:t xml:space="preserve"> SN-38, a substrate of UGT1A1 and an active metabolite of irinotecan. An increase in </w:t>
      </w:r>
      <w:r w:rsidR="00562F4F" w:rsidRPr="003A5EE1">
        <w:rPr>
          <w:rFonts w:ascii="Arial" w:hAnsi="Arial" w:cs="Arial"/>
          <w:sz w:val="22"/>
          <w:szCs w:val="22"/>
        </w:rPr>
        <w:t>AUC of</w:t>
      </w:r>
      <w:r w:rsidRPr="003A5EE1">
        <w:rPr>
          <w:rFonts w:ascii="Arial" w:hAnsi="Arial" w:cs="Arial"/>
          <w:sz w:val="22"/>
          <w:szCs w:val="22"/>
        </w:rPr>
        <w:t xml:space="preserve"> irinotecan of approximately 28% was also observed. This indicates that co-administration of regorafenib may increase systemic exposure to UGT1A1 and UGT1A9 substrates. The clinical significance of these findings is unknown.</w:t>
      </w:r>
    </w:p>
    <w:p w14:paraId="712C281C" w14:textId="77777777" w:rsidR="002A655C" w:rsidRPr="00F4557E" w:rsidRDefault="002A655C"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 xml:space="preserve">Inhibitors/inducers of P-glycoprotein and breast cancer resistance protein (BCRP) </w:t>
      </w:r>
    </w:p>
    <w:p w14:paraId="712C281E" w14:textId="77777777" w:rsidR="002A655C" w:rsidRPr="005F3D99" w:rsidRDefault="002A655C" w:rsidP="002A655C">
      <w:pPr>
        <w:ind w:right="45"/>
        <w:rPr>
          <w:rFonts w:ascii="Arial" w:hAnsi="Arial" w:cs="Arial"/>
          <w:sz w:val="22"/>
          <w:szCs w:val="22"/>
        </w:rPr>
      </w:pPr>
      <w:r w:rsidRPr="005F3D99">
        <w:rPr>
          <w:rFonts w:ascii="Arial" w:hAnsi="Arial" w:cs="Arial"/>
          <w:i/>
          <w:iCs/>
          <w:sz w:val="22"/>
          <w:szCs w:val="22"/>
        </w:rPr>
        <w:t>In vitro</w:t>
      </w:r>
      <w:r w:rsidRPr="003728DE">
        <w:rPr>
          <w:rFonts w:ascii="Arial" w:hAnsi="Arial" w:cs="Arial"/>
          <w:iCs/>
          <w:sz w:val="22"/>
          <w:szCs w:val="22"/>
        </w:rPr>
        <w:t xml:space="preserve"> </w:t>
      </w:r>
      <w:r w:rsidRPr="003728DE">
        <w:rPr>
          <w:rFonts w:ascii="Arial" w:hAnsi="Arial" w:cs="Arial"/>
          <w:sz w:val="22"/>
          <w:szCs w:val="22"/>
        </w:rPr>
        <w:t>data indicate that the active metabolites M-2 and M-5 of regorafenib (but not regorafenib itself) are substrates for P-glycoprotein and BCRP. The effect of inducers or inhibitors of these transporters on the exposure to total pharmacologically-active material is unknown.</w:t>
      </w:r>
    </w:p>
    <w:p w14:paraId="712C2820" w14:textId="77777777" w:rsidR="00555275" w:rsidRPr="00F4557E" w:rsidRDefault="00562F4F"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Breast cancer resistance protein (</w:t>
      </w:r>
      <w:r w:rsidR="007E132B" w:rsidRPr="00F4557E">
        <w:rPr>
          <w:rFonts w:ascii="Arial" w:eastAsia="PMingLiU" w:hAnsi="Arial" w:cs="Arial"/>
          <w:i/>
          <w:color w:val="000000"/>
          <w:sz w:val="22"/>
          <w:szCs w:val="22"/>
          <w:lang w:eastAsia="zh-TW"/>
        </w:rPr>
        <w:t>BCRP</w:t>
      </w:r>
      <w:r w:rsidRPr="00F4557E">
        <w:rPr>
          <w:rFonts w:ascii="Arial" w:eastAsia="PMingLiU" w:hAnsi="Arial" w:cs="Arial"/>
          <w:i/>
          <w:color w:val="000000"/>
          <w:sz w:val="22"/>
          <w:szCs w:val="22"/>
          <w:lang w:eastAsia="zh-TW"/>
        </w:rPr>
        <w:t>)</w:t>
      </w:r>
      <w:r w:rsidR="007E132B" w:rsidRPr="00F4557E">
        <w:rPr>
          <w:rFonts w:ascii="Arial" w:eastAsia="PMingLiU" w:hAnsi="Arial" w:cs="Arial"/>
          <w:i/>
          <w:color w:val="000000"/>
          <w:sz w:val="22"/>
          <w:szCs w:val="22"/>
          <w:lang w:eastAsia="zh-TW"/>
        </w:rPr>
        <w:t xml:space="preserve"> and P-glycoprotein substrates</w:t>
      </w:r>
    </w:p>
    <w:p w14:paraId="20AFAE10" w14:textId="11D4B0DC" w:rsidR="0049240F" w:rsidRDefault="0049240F" w:rsidP="0049240F">
      <w:pPr>
        <w:pStyle w:val="Default"/>
        <w:rPr>
          <w:rFonts w:ascii="Arial" w:hAnsi="Arial" w:cs="Arial"/>
          <w:sz w:val="22"/>
          <w:szCs w:val="22"/>
        </w:rPr>
      </w:pPr>
      <w:r w:rsidRPr="0049240F">
        <w:rPr>
          <w:rFonts w:ascii="Arial" w:hAnsi="Arial" w:cs="Arial"/>
          <w:sz w:val="22"/>
          <w:szCs w:val="22"/>
        </w:rPr>
        <w:t xml:space="preserve">Administration of regorafenib (160 mg for 14 days) prior to administration of a single dose of rosuvastatin (5 mg), a BCRP substrate, resulted in a 3.8-fold increase in mean exposure (AUC) of rosuvastatin and a 4.6-fold increase in </w:t>
      </w:r>
      <w:proofErr w:type="spellStart"/>
      <w:r w:rsidRPr="0049240F">
        <w:rPr>
          <w:rFonts w:ascii="Arial" w:hAnsi="Arial" w:cs="Arial"/>
          <w:sz w:val="22"/>
          <w:szCs w:val="22"/>
        </w:rPr>
        <w:t>C</w:t>
      </w:r>
      <w:r w:rsidRPr="0049240F">
        <w:rPr>
          <w:rFonts w:ascii="Arial" w:hAnsi="Arial" w:cs="Arial"/>
          <w:sz w:val="22"/>
          <w:szCs w:val="22"/>
          <w:vertAlign w:val="subscript"/>
        </w:rPr>
        <w:t>max</w:t>
      </w:r>
      <w:proofErr w:type="spellEnd"/>
      <w:r w:rsidRPr="0049240F">
        <w:rPr>
          <w:rFonts w:ascii="Arial" w:hAnsi="Arial" w:cs="Arial"/>
          <w:sz w:val="22"/>
          <w:szCs w:val="22"/>
        </w:rPr>
        <w:t>.</w:t>
      </w:r>
    </w:p>
    <w:p w14:paraId="1A6982EB" w14:textId="77777777" w:rsidR="00C61DD5" w:rsidRPr="0049240F" w:rsidRDefault="00C61DD5" w:rsidP="0049240F">
      <w:pPr>
        <w:pStyle w:val="Default"/>
        <w:rPr>
          <w:rFonts w:ascii="Arial" w:hAnsi="Arial" w:cs="Arial"/>
          <w:sz w:val="22"/>
          <w:szCs w:val="22"/>
        </w:rPr>
      </w:pPr>
    </w:p>
    <w:p w14:paraId="0EB55AD5" w14:textId="77777777" w:rsidR="0049240F" w:rsidRDefault="0049240F" w:rsidP="0049240F">
      <w:pPr>
        <w:pStyle w:val="Default"/>
        <w:rPr>
          <w:rFonts w:ascii="Arial" w:hAnsi="Arial" w:cs="Arial"/>
          <w:sz w:val="22"/>
          <w:szCs w:val="22"/>
        </w:rPr>
      </w:pPr>
      <w:r w:rsidRPr="0049240F">
        <w:rPr>
          <w:rFonts w:ascii="Arial" w:hAnsi="Arial" w:cs="Arial"/>
          <w:sz w:val="22"/>
          <w:szCs w:val="22"/>
        </w:rPr>
        <w:t xml:space="preserve">This indicates that co-administration of regorafenib may increase the plasma concentrations of other concomitant BCRP substrates (e.g. methotrexate, </w:t>
      </w:r>
      <w:proofErr w:type="spellStart"/>
      <w:r w:rsidRPr="0049240F">
        <w:rPr>
          <w:rFonts w:ascii="Arial" w:hAnsi="Arial" w:cs="Arial"/>
          <w:sz w:val="22"/>
          <w:szCs w:val="22"/>
        </w:rPr>
        <w:t>fluvastatin</w:t>
      </w:r>
      <w:proofErr w:type="spellEnd"/>
      <w:r w:rsidRPr="0049240F">
        <w:rPr>
          <w:rFonts w:ascii="Arial" w:hAnsi="Arial" w:cs="Arial"/>
          <w:sz w:val="22"/>
          <w:szCs w:val="22"/>
        </w:rPr>
        <w:t>, atorvastatin). Therefore, it is recommended to monitor patients closely for signs and symptoms of increased exposure to BCRP substrates.</w:t>
      </w:r>
    </w:p>
    <w:p w14:paraId="0D5826FC" w14:textId="77777777" w:rsidR="00C61DD5" w:rsidRPr="0049240F" w:rsidRDefault="00C61DD5" w:rsidP="0049240F">
      <w:pPr>
        <w:pStyle w:val="Default"/>
        <w:rPr>
          <w:rFonts w:ascii="Arial" w:hAnsi="Arial" w:cs="Arial"/>
          <w:sz w:val="22"/>
          <w:szCs w:val="22"/>
        </w:rPr>
      </w:pPr>
    </w:p>
    <w:p w14:paraId="5094C840" w14:textId="5E6A47A3" w:rsidR="0049240F" w:rsidRPr="0049240F" w:rsidRDefault="0049240F" w:rsidP="0049240F">
      <w:pPr>
        <w:pStyle w:val="Default"/>
        <w:rPr>
          <w:rFonts w:ascii="Arial" w:hAnsi="Arial" w:cs="Arial"/>
          <w:sz w:val="22"/>
          <w:szCs w:val="22"/>
        </w:rPr>
      </w:pPr>
      <w:r w:rsidRPr="0049240F">
        <w:rPr>
          <w:rFonts w:ascii="Arial" w:hAnsi="Arial" w:cs="Arial"/>
          <w:sz w:val="22"/>
          <w:szCs w:val="22"/>
        </w:rPr>
        <w:lastRenderedPageBreak/>
        <w:t>Clinical data indicate that regorafenib has no effect on digoxin pharmacokinetics, therefore can be given concomitantly with p-glycoprotein substrates, such as digoxin, without a clinically meaningful drug interaction.</w:t>
      </w:r>
    </w:p>
    <w:p w14:paraId="712C2824" w14:textId="77777777" w:rsidR="00FC0CC4" w:rsidRPr="00F4557E" w:rsidRDefault="007E132B"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CYP isoform-selective substrates</w:t>
      </w:r>
    </w:p>
    <w:p w14:paraId="712C2826" w14:textId="77777777" w:rsidR="007E132B" w:rsidRPr="003A5EE1" w:rsidRDefault="007E132B" w:rsidP="00F34FCB">
      <w:pPr>
        <w:autoSpaceDE w:val="0"/>
        <w:autoSpaceDN w:val="0"/>
        <w:adjustRightInd w:val="0"/>
        <w:rPr>
          <w:rFonts w:ascii="Arial" w:hAnsi="Arial" w:cs="Arial"/>
          <w:sz w:val="22"/>
          <w:szCs w:val="22"/>
          <w:lang w:eastAsia="de-DE"/>
        </w:rPr>
      </w:pPr>
      <w:bookmarkStart w:id="7" w:name="_Toc180211516"/>
      <w:r w:rsidRPr="003A5EE1">
        <w:rPr>
          <w:rFonts w:ascii="Arial" w:hAnsi="Arial" w:cs="Arial"/>
          <w:i/>
          <w:sz w:val="22"/>
          <w:szCs w:val="22"/>
        </w:rPr>
        <w:t>In vitro</w:t>
      </w:r>
      <w:r w:rsidRPr="003A5EE1">
        <w:rPr>
          <w:rFonts w:ascii="Arial" w:hAnsi="Arial" w:cs="Arial"/>
          <w:sz w:val="22"/>
          <w:szCs w:val="22"/>
          <w:lang w:eastAsia="de-DE"/>
        </w:rPr>
        <w:t xml:space="preserve"> data indicate that regorafenib is a competitive inhibitor of the cytochromes CYP2C8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0.6 </w:t>
      </w:r>
      <w:r w:rsidR="00336A4E" w:rsidRPr="003A5EE1">
        <w:rPr>
          <w:rFonts w:ascii="Arial" w:hAnsi="Arial" w:cs="Arial"/>
          <w:sz w:val="22"/>
          <w:szCs w:val="22"/>
          <w:lang w:eastAsia="de-DE"/>
        </w:rPr>
        <w:t>µM</w:t>
      </w:r>
      <w:r w:rsidRPr="003A5EE1">
        <w:rPr>
          <w:rFonts w:ascii="Arial" w:hAnsi="Arial" w:cs="Arial"/>
          <w:sz w:val="22"/>
          <w:szCs w:val="22"/>
          <w:lang w:eastAsia="de-DE"/>
        </w:rPr>
        <w:t>), CYP2C9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4.7 </w:t>
      </w:r>
      <w:r w:rsidR="00336A4E" w:rsidRPr="003A5EE1">
        <w:rPr>
          <w:rFonts w:ascii="Arial" w:hAnsi="Arial" w:cs="Arial"/>
          <w:sz w:val="22"/>
          <w:szCs w:val="22"/>
          <w:lang w:eastAsia="de-DE"/>
        </w:rPr>
        <w:t>µM</w:t>
      </w:r>
      <w:r w:rsidRPr="003A5EE1">
        <w:rPr>
          <w:rFonts w:ascii="Arial" w:hAnsi="Arial" w:cs="Arial"/>
          <w:sz w:val="22"/>
          <w:szCs w:val="22"/>
          <w:lang w:eastAsia="de-DE"/>
        </w:rPr>
        <w:t xml:space="preserve">) </w:t>
      </w:r>
      <w:r w:rsidR="00336A4E" w:rsidRPr="003A5EE1">
        <w:rPr>
          <w:rFonts w:ascii="Arial" w:hAnsi="Arial" w:cs="Arial"/>
          <w:sz w:val="22"/>
          <w:szCs w:val="22"/>
          <w:lang w:eastAsia="de-DE"/>
        </w:rPr>
        <w:t xml:space="preserve">and </w:t>
      </w:r>
      <w:r w:rsidRPr="003A5EE1">
        <w:rPr>
          <w:rFonts w:ascii="Arial" w:hAnsi="Arial" w:cs="Arial"/>
          <w:sz w:val="22"/>
          <w:szCs w:val="22"/>
          <w:lang w:eastAsia="de-DE"/>
        </w:rPr>
        <w:t>CYP2B6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5.2 </w:t>
      </w:r>
      <w:r w:rsidR="00336A4E" w:rsidRPr="003A5EE1">
        <w:rPr>
          <w:rFonts w:ascii="Arial" w:hAnsi="Arial" w:cs="Arial"/>
          <w:sz w:val="22"/>
          <w:szCs w:val="22"/>
          <w:lang w:eastAsia="de-DE"/>
        </w:rPr>
        <w:t>µM</w:t>
      </w:r>
      <w:r w:rsidRPr="003A5EE1">
        <w:rPr>
          <w:rFonts w:ascii="Arial" w:hAnsi="Arial" w:cs="Arial"/>
          <w:sz w:val="22"/>
          <w:szCs w:val="22"/>
          <w:lang w:eastAsia="de-DE"/>
        </w:rPr>
        <w:t xml:space="preserve">) at concentrations which are achieved </w:t>
      </w:r>
      <w:r w:rsidRPr="003A5EE1">
        <w:rPr>
          <w:rFonts w:ascii="Arial" w:hAnsi="Arial" w:cs="Arial"/>
          <w:i/>
          <w:sz w:val="22"/>
          <w:szCs w:val="22"/>
          <w:lang w:eastAsia="de-DE"/>
        </w:rPr>
        <w:t>in vivo</w:t>
      </w:r>
      <w:r w:rsidRPr="003A5EE1">
        <w:rPr>
          <w:rFonts w:ascii="Arial" w:hAnsi="Arial" w:cs="Arial"/>
          <w:sz w:val="22"/>
          <w:szCs w:val="22"/>
          <w:lang w:eastAsia="de-DE"/>
        </w:rPr>
        <w:t xml:space="preserve"> at steady state (peak plasma concentration of 8.1 </w:t>
      </w:r>
      <w:r w:rsidR="00336A4E" w:rsidRPr="003A5EE1">
        <w:rPr>
          <w:rFonts w:ascii="Arial" w:hAnsi="Arial" w:cs="Arial"/>
          <w:sz w:val="22"/>
          <w:szCs w:val="22"/>
          <w:lang w:eastAsia="de-DE"/>
        </w:rPr>
        <w:t>µM</w:t>
      </w:r>
      <w:r w:rsidRPr="003A5EE1">
        <w:rPr>
          <w:rFonts w:ascii="Arial" w:hAnsi="Arial" w:cs="Arial"/>
          <w:sz w:val="22"/>
          <w:szCs w:val="22"/>
          <w:lang w:eastAsia="de-DE"/>
        </w:rPr>
        <w:t xml:space="preserve">). The </w:t>
      </w:r>
      <w:r w:rsidRPr="003A5EE1">
        <w:rPr>
          <w:rFonts w:ascii="Arial" w:hAnsi="Arial" w:cs="Arial"/>
          <w:i/>
          <w:sz w:val="22"/>
          <w:szCs w:val="22"/>
          <w:lang w:eastAsia="de-DE"/>
        </w:rPr>
        <w:t xml:space="preserve">in vitro </w:t>
      </w:r>
      <w:r w:rsidRPr="003A5EE1">
        <w:rPr>
          <w:rFonts w:ascii="Arial" w:hAnsi="Arial" w:cs="Arial"/>
          <w:sz w:val="22"/>
          <w:szCs w:val="22"/>
          <w:lang w:eastAsia="de-DE"/>
        </w:rPr>
        <w:t>inhibitory potency towards CYP3A4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11.1 </w:t>
      </w:r>
      <w:r w:rsidR="00336A4E" w:rsidRPr="003A5EE1">
        <w:rPr>
          <w:rFonts w:ascii="Arial" w:hAnsi="Arial" w:cs="Arial"/>
          <w:sz w:val="22"/>
          <w:szCs w:val="22"/>
          <w:lang w:eastAsia="de-DE"/>
        </w:rPr>
        <w:t>µM</w:t>
      </w:r>
      <w:r w:rsidRPr="003A5EE1">
        <w:rPr>
          <w:rFonts w:ascii="Arial" w:hAnsi="Arial" w:cs="Arial"/>
          <w:sz w:val="22"/>
          <w:szCs w:val="22"/>
          <w:lang w:eastAsia="de-DE"/>
        </w:rPr>
        <w:t>) and CYP2C19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16.4 </w:t>
      </w:r>
      <w:r w:rsidR="00336A4E" w:rsidRPr="003A5EE1">
        <w:rPr>
          <w:rFonts w:ascii="Arial" w:hAnsi="Arial" w:cs="Arial"/>
          <w:sz w:val="22"/>
          <w:szCs w:val="22"/>
          <w:lang w:eastAsia="de-DE"/>
        </w:rPr>
        <w:t>µM</w:t>
      </w:r>
      <w:r w:rsidRPr="003A5EE1">
        <w:rPr>
          <w:rFonts w:ascii="Arial" w:hAnsi="Arial" w:cs="Arial"/>
          <w:sz w:val="22"/>
          <w:szCs w:val="22"/>
          <w:lang w:eastAsia="de-DE"/>
        </w:rPr>
        <w:t>) was less pronounced.</w:t>
      </w:r>
      <w:r w:rsidR="00336A4E" w:rsidRPr="003A5EE1">
        <w:rPr>
          <w:rFonts w:ascii="Arial" w:hAnsi="Arial" w:cs="Arial"/>
          <w:sz w:val="22"/>
          <w:szCs w:val="22"/>
          <w:lang w:eastAsia="de-DE"/>
        </w:rPr>
        <w:t xml:space="preserve"> The active metabolite, M-2, showed a broadly similar CYP isoform inhibitory profile to pa</w:t>
      </w:r>
      <w:r w:rsidR="00DE7007" w:rsidRPr="003A5EE1">
        <w:rPr>
          <w:rFonts w:ascii="Arial" w:hAnsi="Arial" w:cs="Arial"/>
          <w:sz w:val="22"/>
          <w:szCs w:val="22"/>
          <w:lang w:eastAsia="de-DE"/>
        </w:rPr>
        <w:t>rent drug while M-5 only</w:t>
      </w:r>
      <w:r w:rsidR="00336A4E" w:rsidRPr="003A5EE1">
        <w:rPr>
          <w:rFonts w:ascii="Arial" w:hAnsi="Arial" w:cs="Arial"/>
          <w:sz w:val="22"/>
          <w:szCs w:val="22"/>
          <w:lang w:eastAsia="de-DE"/>
        </w:rPr>
        <w:t xml:space="preserve"> inhibited CYP2C8 at clinically relevant concentrations. </w:t>
      </w:r>
    </w:p>
    <w:p w14:paraId="712C2827" w14:textId="77777777" w:rsidR="00A23E4E" w:rsidRPr="003A5EE1" w:rsidRDefault="00A23E4E" w:rsidP="00F34FCB">
      <w:pPr>
        <w:autoSpaceDE w:val="0"/>
        <w:autoSpaceDN w:val="0"/>
        <w:adjustRightInd w:val="0"/>
        <w:rPr>
          <w:rFonts w:ascii="Arial" w:hAnsi="Arial" w:cs="Arial"/>
          <w:sz w:val="22"/>
          <w:szCs w:val="22"/>
          <w:lang w:eastAsia="de-DE"/>
        </w:rPr>
      </w:pPr>
    </w:p>
    <w:p w14:paraId="712C2828" w14:textId="77777777" w:rsidR="006616AF" w:rsidRPr="003A5EE1" w:rsidRDefault="00A95829" w:rsidP="00A95829">
      <w:pPr>
        <w:autoSpaceDE w:val="0"/>
        <w:autoSpaceDN w:val="0"/>
        <w:adjustRightInd w:val="0"/>
        <w:rPr>
          <w:rFonts w:ascii="Arial" w:hAnsi="Arial" w:cs="Arial"/>
          <w:sz w:val="22"/>
          <w:szCs w:val="22"/>
        </w:rPr>
      </w:pPr>
      <w:r w:rsidRPr="003A5EE1">
        <w:rPr>
          <w:rFonts w:ascii="Arial" w:hAnsi="Arial" w:cs="Arial"/>
          <w:sz w:val="22"/>
          <w:szCs w:val="22"/>
        </w:rPr>
        <w:t>A clinical</w:t>
      </w:r>
      <w:r w:rsidR="007E132B" w:rsidRPr="003A5EE1">
        <w:rPr>
          <w:rFonts w:ascii="Arial" w:hAnsi="Arial" w:cs="Arial"/>
          <w:sz w:val="22"/>
          <w:szCs w:val="22"/>
        </w:rPr>
        <w:t xml:space="preserve"> probe substrate study </w:t>
      </w:r>
      <w:r w:rsidRPr="003A5EE1">
        <w:rPr>
          <w:rFonts w:ascii="Arial" w:hAnsi="Arial" w:cs="Arial"/>
          <w:sz w:val="22"/>
          <w:szCs w:val="22"/>
        </w:rPr>
        <w:t xml:space="preserve">was performed </w:t>
      </w:r>
      <w:r w:rsidR="007E132B" w:rsidRPr="003A5EE1">
        <w:rPr>
          <w:rFonts w:ascii="Arial" w:hAnsi="Arial" w:cs="Arial"/>
          <w:sz w:val="22"/>
          <w:szCs w:val="22"/>
        </w:rPr>
        <w:t xml:space="preserve">to evaluate the effect of 14 days of dosing with 160 mg regorafenib on the pharmacokinetics of </w:t>
      </w:r>
      <w:r w:rsidRPr="003A5EE1">
        <w:rPr>
          <w:rFonts w:ascii="Arial" w:hAnsi="Arial" w:cs="Arial"/>
          <w:sz w:val="22"/>
          <w:szCs w:val="22"/>
        </w:rPr>
        <w:t xml:space="preserve">probe </w:t>
      </w:r>
      <w:r w:rsidR="007E132B" w:rsidRPr="003A5EE1">
        <w:rPr>
          <w:rFonts w:ascii="Arial" w:hAnsi="Arial" w:cs="Arial"/>
          <w:sz w:val="22"/>
          <w:szCs w:val="22"/>
        </w:rPr>
        <w:t>substrates</w:t>
      </w:r>
      <w:r w:rsidRPr="003A5EE1">
        <w:rPr>
          <w:rFonts w:ascii="Arial" w:hAnsi="Arial" w:cs="Arial"/>
          <w:sz w:val="22"/>
          <w:szCs w:val="22"/>
        </w:rPr>
        <w:t xml:space="preserve"> CYP2C8 (rosiglitazone) CYP2C9 (S-warfarin)</w:t>
      </w:r>
      <w:r w:rsidR="007E132B" w:rsidRPr="003A5EE1">
        <w:rPr>
          <w:rFonts w:ascii="Arial" w:hAnsi="Arial" w:cs="Arial"/>
          <w:sz w:val="22"/>
          <w:szCs w:val="22"/>
        </w:rPr>
        <w:t>,</w:t>
      </w:r>
      <w:r w:rsidRPr="003A5EE1">
        <w:rPr>
          <w:rFonts w:ascii="Arial" w:hAnsi="Arial" w:cs="Arial"/>
          <w:sz w:val="22"/>
          <w:szCs w:val="22"/>
        </w:rPr>
        <w:t xml:space="preserve"> CYP2C19</w:t>
      </w:r>
      <w:r w:rsidR="006616AF" w:rsidRPr="003A5EE1">
        <w:rPr>
          <w:rFonts w:ascii="Arial" w:hAnsi="Arial" w:cs="Arial"/>
          <w:sz w:val="22"/>
          <w:szCs w:val="22"/>
        </w:rPr>
        <w:t xml:space="preserve"> (omeprazole) and CYP3A4 (midazolam).</w:t>
      </w:r>
      <w:r w:rsidRPr="003A5EE1">
        <w:rPr>
          <w:rFonts w:ascii="Arial" w:hAnsi="Arial" w:cs="Arial"/>
          <w:sz w:val="22"/>
          <w:szCs w:val="22"/>
        </w:rPr>
        <w:t xml:space="preserve"> </w:t>
      </w:r>
    </w:p>
    <w:p w14:paraId="712C2829" w14:textId="77777777" w:rsidR="006616AF" w:rsidRPr="003A5EE1" w:rsidRDefault="006616AF" w:rsidP="00A95829">
      <w:pPr>
        <w:autoSpaceDE w:val="0"/>
        <w:autoSpaceDN w:val="0"/>
        <w:adjustRightInd w:val="0"/>
        <w:rPr>
          <w:rFonts w:ascii="Arial" w:hAnsi="Arial" w:cs="Arial"/>
          <w:sz w:val="22"/>
          <w:szCs w:val="22"/>
        </w:rPr>
      </w:pPr>
    </w:p>
    <w:p w14:paraId="712C282A" w14:textId="77777777" w:rsidR="007E132B" w:rsidRDefault="006616AF" w:rsidP="009E6264">
      <w:pPr>
        <w:autoSpaceDE w:val="0"/>
        <w:autoSpaceDN w:val="0"/>
        <w:adjustRightInd w:val="0"/>
        <w:rPr>
          <w:rFonts w:ascii="Arial" w:hAnsi="Arial" w:cs="Arial"/>
          <w:sz w:val="22"/>
          <w:szCs w:val="22"/>
        </w:rPr>
      </w:pPr>
      <w:r w:rsidRPr="003A5EE1">
        <w:rPr>
          <w:rFonts w:ascii="Arial" w:hAnsi="Arial" w:cs="Arial"/>
          <w:sz w:val="22"/>
          <w:szCs w:val="22"/>
        </w:rPr>
        <w:t xml:space="preserve">Pharmacokinetic data indicate that regorafenib may be given concomitantly with substrates of CYP2C8, CYP2C9, CYP3A4 and CYP2C19 </w:t>
      </w:r>
      <w:r w:rsidR="00A95829" w:rsidRPr="003A5EE1">
        <w:rPr>
          <w:rFonts w:ascii="Arial" w:hAnsi="Arial" w:cs="Arial"/>
          <w:sz w:val="22"/>
          <w:szCs w:val="22"/>
        </w:rPr>
        <w:t>without a clinically meaningful drug interaction (</w:t>
      </w:r>
      <w:r w:rsidR="00E03A8B" w:rsidRPr="003A5EE1">
        <w:rPr>
          <w:rFonts w:ascii="Arial" w:hAnsi="Arial" w:cs="Arial"/>
          <w:sz w:val="22"/>
          <w:szCs w:val="22"/>
        </w:rPr>
        <w:t>see</w:t>
      </w:r>
      <w:r w:rsidR="00A95829" w:rsidRPr="003A5EE1">
        <w:rPr>
          <w:rFonts w:ascii="Arial" w:hAnsi="Arial" w:cs="Arial"/>
          <w:sz w:val="22"/>
          <w:szCs w:val="22"/>
        </w:rPr>
        <w:t xml:space="preserve"> </w:t>
      </w:r>
      <w:r w:rsidR="00F00CDC">
        <w:rPr>
          <w:rFonts w:ascii="Arial" w:hAnsi="Arial" w:cs="Arial"/>
          <w:sz w:val="22"/>
          <w:szCs w:val="22"/>
        </w:rPr>
        <w:t>PRECAUTIONS</w:t>
      </w:r>
      <w:r w:rsidR="00A95829" w:rsidRPr="003A5EE1">
        <w:rPr>
          <w:rFonts w:ascii="Arial" w:hAnsi="Arial" w:cs="Arial"/>
          <w:sz w:val="22"/>
          <w:szCs w:val="22"/>
        </w:rPr>
        <w:t>).</w:t>
      </w:r>
      <w:r w:rsidR="007E132B" w:rsidRPr="003A5EE1">
        <w:rPr>
          <w:rFonts w:ascii="Arial" w:hAnsi="Arial" w:cs="Arial"/>
          <w:sz w:val="22"/>
          <w:szCs w:val="22"/>
        </w:rPr>
        <w:t xml:space="preserve"> </w:t>
      </w:r>
    </w:p>
    <w:bookmarkEnd w:id="7"/>
    <w:p w14:paraId="712C282C" w14:textId="77777777" w:rsidR="001D1004" w:rsidRPr="00F4557E" w:rsidRDefault="007E132B"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Antibiotics</w:t>
      </w:r>
    </w:p>
    <w:p w14:paraId="647D858D" w14:textId="31FB2451" w:rsidR="003F323D" w:rsidRDefault="007E132B" w:rsidP="00456BB6">
      <w:pPr>
        <w:rPr>
          <w:rFonts w:ascii="Arial" w:hAnsi="Arial" w:cs="Arial"/>
          <w:sz w:val="22"/>
          <w:szCs w:val="22"/>
        </w:rPr>
      </w:pPr>
      <w:bookmarkStart w:id="8" w:name="_Toc180211517"/>
      <w:r w:rsidRPr="003A5EE1">
        <w:rPr>
          <w:rFonts w:ascii="Arial" w:hAnsi="Arial" w:cs="Arial"/>
          <w:sz w:val="22"/>
          <w:szCs w:val="22"/>
        </w:rPr>
        <w:t>The concentration-time profile indicates that regorafenib and its metabolites may undergo entero</w:t>
      </w:r>
      <w:r w:rsidR="00A23E4E" w:rsidRPr="003A5EE1">
        <w:rPr>
          <w:rFonts w:ascii="Arial" w:hAnsi="Arial" w:cs="Arial"/>
          <w:sz w:val="22"/>
          <w:szCs w:val="22"/>
        </w:rPr>
        <w:t>hepatic circulation (</w:t>
      </w:r>
      <w:r w:rsidR="00B26D0F">
        <w:rPr>
          <w:rFonts w:ascii="Arial" w:hAnsi="Arial" w:cs="Arial"/>
          <w:sz w:val="22"/>
          <w:szCs w:val="22"/>
        </w:rPr>
        <w:t>see</w:t>
      </w:r>
      <w:r w:rsidR="00AF1100" w:rsidRPr="003A5EE1">
        <w:rPr>
          <w:rFonts w:ascii="Arial" w:hAnsi="Arial" w:cs="Arial"/>
          <w:sz w:val="22"/>
          <w:szCs w:val="22"/>
        </w:rPr>
        <w:t xml:space="preserve"> Pharmacokinetics</w:t>
      </w:r>
      <w:r w:rsidRPr="003A5EE1">
        <w:rPr>
          <w:rFonts w:ascii="Arial" w:hAnsi="Arial" w:cs="Arial"/>
          <w:sz w:val="22"/>
          <w:szCs w:val="22"/>
        </w:rPr>
        <w:t xml:space="preserve">). </w:t>
      </w:r>
      <w:r w:rsidR="00E624CA" w:rsidRPr="00E624CA">
        <w:rPr>
          <w:rFonts w:ascii="Arial" w:hAnsi="Arial" w:cs="Arial"/>
          <w:sz w:val="22"/>
          <w:szCs w:val="22"/>
        </w:rPr>
        <w:t>Co-administration with neomycin, a poorly absorbed antimicrobial agent used for eradicating the gastrointestinal microflora (which may interfere with the enterohepatic circulation of regorafenib) had no effect on the regorafenib exposure. There was a significant decrease in the exposure of the active metabolites M-2 and M-5. Effects of other antibiotics have not been studied.</w:t>
      </w:r>
      <w:r w:rsidR="00E624CA">
        <w:rPr>
          <w:rFonts w:ascii="Arial" w:hAnsi="Arial" w:cs="Arial"/>
          <w:sz w:val="22"/>
          <w:szCs w:val="22"/>
        </w:rPr>
        <w:t xml:space="preserve"> </w:t>
      </w:r>
      <w:r w:rsidRPr="003A5EE1">
        <w:rPr>
          <w:rFonts w:ascii="Arial" w:hAnsi="Arial" w:cs="Arial"/>
          <w:sz w:val="22"/>
          <w:szCs w:val="22"/>
        </w:rPr>
        <w:t xml:space="preserve">The clinical significance of </w:t>
      </w:r>
      <w:r w:rsidR="00E624CA" w:rsidRPr="00E624CA">
        <w:rPr>
          <w:rFonts w:ascii="Arial" w:hAnsi="Arial" w:cs="Arial"/>
          <w:sz w:val="22"/>
          <w:szCs w:val="22"/>
        </w:rPr>
        <w:t>the neomycin effect and</w:t>
      </w:r>
      <w:r w:rsidR="00E624CA">
        <w:rPr>
          <w:rFonts w:ascii="Arial" w:hAnsi="Arial" w:cs="Arial"/>
          <w:sz w:val="22"/>
          <w:szCs w:val="22"/>
        </w:rPr>
        <w:t xml:space="preserve"> </w:t>
      </w:r>
      <w:r w:rsidRPr="003A5EE1">
        <w:rPr>
          <w:rFonts w:ascii="Arial" w:hAnsi="Arial" w:cs="Arial"/>
          <w:sz w:val="22"/>
          <w:szCs w:val="22"/>
        </w:rPr>
        <w:t xml:space="preserve">potential interactions </w:t>
      </w:r>
      <w:r w:rsidR="00E624CA" w:rsidRPr="00E624CA">
        <w:rPr>
          <w:rFonts w:ascii="Arial" w:hAnsi="Arial" w:cs="Arial"/>
          <w:sz w:val="22"/>
          <w:szCs w:val="22"/>
        </w:rPr>
        <w:t>with other antibiotics</w:t>
      </w:r>
      <w:r w:rsidR="00E624CA">
        <w:rPr>
          <w:rFonts w:ascii="Arial" w:hAnsi="Arial" w:cs="Arial"/>
          <w:sz w:val="22"/>
          <w:szCs w:val="22"/>
        </w:rPr>
        <w:t xml:space="preserve"> i</w:t>
      </w:r>
      <w:r w:rsidR="00A23E4E" w:rsidRPr="003A5EE1">
        <w:rPr>
          <w:rFonts w:ascii="Arial" w:hAnsi="Arial" w:cs="Arial"/>
          <w:sz w:val="22"/>
          <w:szCs w:val="22"/>
        </w:rPr>
        <w:t xml:space="preserve">s unknown, but may result in </w:t>
      </w:r>
      <w:r w:rsidRPr="003A5EE1">
        <w:rPr>
          <w:rFonts w:ascii="Arial" w:hAnsi="Arial" w:cs="Arial"/>
          <w:sz w:val="22"/>
          <w:szCs w:val="22"/>
        </w:rPr>
        <w:t>decreased efficacy of regorafenib.</w:t>
      </w:r>
    </w:p>
    <w:bookmarkEnd w:id="8"/>
    <w:p w14:paraId="712C2830" w14:textId="77777777" w:rsidR="001D1004" w:rsidRPr="00F4557E" w:rsidRDefault="001D1004"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Effects on ability to drive and use machines</w:t>
      </w:r>
    </w:p>
    <w:p w14:paraId="712C2832" w14:textId="5BF5A436" w:rsidR="001C2437" w:rsidRDefault="007E132B" w:rsidP="0047783E">
      <w:pPr>
        <w:keepNext/>
        <w:ind w:right="46"/>
        <w:rPr>
          <w:rFonts w:ascii="Arial" w:hAnsi="Arial" w:cs="Arial"/>
          <w:sz w:val="22"/>
          <w:szCs w:val="22"/>
          <w:lang w:val="en-AU"/>
        </w:rPr>
      </w:pPr>
      <w:r w:rsidRPr="003A5EE1">
        <w:rPr>
          <w:rFonts w:ascii="Arial" w:hAnsi="Arial" w:cs="Arial"/>
          <w:sz w:val="22"/>
          <w:szCs w:val="22"/>
          <w:lang w:val="en-AU"/>
        </w:rPr>
        <w:t xml:space="preserve">No studies on the effects of </w:t>
      </w:r>
      <w:r w:rsidR="00601DFC">
        <w:rPr>
          <w:rFonts w:ascii="Arial" w:hAnsi="Arial" w:cs="Arial"/>
          <w:sz w:val="22"/>
          <w:szCs w:val="22"/>
          <w:lang w:val="en-AU"/>
        </w:rPr>
        <w:t xml:space="preserve">STIVARGA </w:t>
      </w:r>
      <w:r w:rsidRPr="003A5EE1">
        <w:rPr>
          <w:rFonts w:ascii="Arial" w:hAnsi="Arial" w:cs="Arial"/>
          <w:sz w:val="22"/>
          <w:szCs w:val="22"/>
          <w:lang w:val="en-AU"/>
        </w:rPr>
        <w:t xml:space="preserve">on the ability to drive or use machines have been performed. </w:t>
      </w:r>
    </w:p>
    <w:p w14:paraId="2C9942B5" w14:textId="77777777" w:rsidR="00E177CA" w:rsidRPr="003A5EE1" w:rsidRDefault="00E177CA" w:rsidP="0047783E">
      <w:pPr>
        <w:keepNext/>
        <w:ind w:right="46"/>
        <w:rPr>
          <w:rFonts w:ascii="Arial" w:hAnsi="Arial" w:cs="Arial"/>
          <w:sz w:val="22"/>
          <w:szCs w:val="22"/>
          <w:lang w:val="en-AU"/>
        </w:rPr>
      </w:pPr>
    </w:p>
    <w:p w14:paraId="712C2834" w14:textId="77777777" w:rsidR="001D1004" w:rsidRPr="003A5EE1" w:rsidRDefault="001D1004" w:rsidP="004230B3">
      <w:pPr>
        <w:pStyle w:val="Heading1"/>
        <w:spacing w:before="0" w:after="0" w:line="240" w:lineRule="auto"/>
        <w:ind w:right="45"/>
        <w:jc w:val="left"/>
      </w:pPr>
      <w:r w:rsidRPr="003A5EE1">
        <w:t>ADVERSE EFFECTS</w:t>
      </w:r>
    </w:p>
    <w:p w14:paraId="712C2836" w14:textId="77777777" w:rsidR="007E132B" w:rsidRPr="00E177CA" w:rsidRDefault="007E132B" w:rsidP="00E177CA">
      <w:pPr>
        <w:pStyle w:val="Heading2"/>
        <w:spacing w:after="240"/>
        <w:rPr>
          <w:rFonts w:ascii="Arial" w:eastAsia="PMingLiU" w:hAnsi="Arial" w:cs="Arial"/>
          <w:i/>
          <w:color w:val="000000"/>
          <w:sz w:val="22"/>
          <w:szCs w:val="22"/>
          <w:lang w:eastAsia="zh-TW"/>
        </w:rPr>
      </w:pPr>
      <w:r w:rsidRPr="00E177CA">
        <w:rPr>
          <w:rFonts w:ascii="Arial" w:eastAsia="PMingLiU" w:hAnsi="Arial" w:cs="Arial"/>
          <w:i/>
          <w:color w:val="000000"/>
          <w:sz w:val="22"/>
          <w:szCs w:val="22"/>
          <w:lang w:eastAsia="zh-TW"/>
        </w:rPr>
        <w:t xml:space="preserve">Summary of the safety profile </w:t>
      </w:r>
    </w:p>
    <w:p w14:paraId="712C2838" w14:textId="2A45D644" w:rsidR="007E132B" w:rsidRPr="003A5EE1" w:rsidRDefault="007E132B" w:rsidP="002239D7">
      <w:pPr>
        <w:pStyle w:val="BayerBodyTextFull"/>
        <w:keepNext/>
        <w:spacing w:before="0" w:after="0"/>
        <w:rPr>
          <w:rFonts w:ascii="Arial" w:hAnsi="Arial" w:cs="Arial"/>
          <w:sz w:val="22"/>
          <w:szCs w:val="22"/>
          <w:lang w:val="en-GB"/>
        </w:rPr>
      </w:pPr>
      <w:r w:rsidRPr="003A5EE1">
        <w:rPr>
          <w:rFonts w:ascii="Arial" w:hAnsi="Arial" w:cs="Arial"/>
          <w:sz w:val="22"/>
          <w:szCs w:val="22"/>
          <w:lang w:val="en-GB"/>
        </w:rPr>
        <w:t xml:space="preserve">The overall safety profile of </w:t>
      </w:r>
      <w:r w:rsidR="00601DFC">
        <w:rPr>
          <w:rFonts w:ascii="Arial" w:hAnsi="Arial" w:cs="Arial"/>
          <w:sz w:val="22"/>
          <w:szCs w:val="22"/>
          <w:lang w:val="en-GB"/>
        </w:rPr>
        <w:t xml:space="preserve">STIVARGA </w:t>
      </w:r>
      <w:r w:rsidRPr="003A5EE1">
        <w:rPr>
          <w:rFonts w:ascii="Arial" w:hAnsi="Arial" w:cs="Arial"/>
          <w:sz w:val="22"/>
          <w:szCs w:val="22"/>
          <w:lang w:val="en-GB"/>
        </w:rPr>
        <w:t xml:space="preserve">is based on data from more than </w:t>
      </w:r>
      <w:r w:rsidR="00330F97" w:rsidRPr="00330F97">
        <w:rPr>
          <w:rFonts w:ascii="Arial" w:hAnsi="Arial" w:cs="Arial"/>
          <w:sz w:val="22"/>
          <w:szCs w:val="22"/>
          <w:lang w:val="en-GB"/>
        </w:rPr>
        <w:t xml:space="preserve">4,800 </w:t>
      </w:r>
      <w:r w:rsidRPr="003A5EE1">
        <w:rPr>
          <w:rFonts w:ascii="Arial" w:hAnsi="Arial" w:cs="Arial"/>
          <w:sz w:val="22"/>
          <w:szCs w:val="22"/>
          <w:lang w:val="en-GB"/>
        </w:rPr>
        <w:t>treated patients in clinical trials includi</w:t>
      </w:r>
      <w:r w:rsidR="00A23E4E" w:rsidRPr="003A5EE1">
        <w:rPr>
          <w:rFonts w:ascii="Arial" w:hAnsi="Arial" w:cs="Arial"/>
          <w:sz w:val="22"/>
          <w:szCs w:val="22"/>
          <w:lang w:val="en-GB"/>
        </w:rPr>
        <w:t>ng placebo-controlled P</w:t>
      </w:r>
      <w:r w:rsidRPr="003A5EE1">
        <w:rPr>
          <w:rFonts w:ascii="Arial" w:hAnsi="Arial" w:cs="Arial"/>
          <w:sz w:val="22"/>
          <w:szCs w:val="22"/>
          <w:lang w:val="en-GB"/>
        </w:rPr>
        <w:t xml:space="preserve">hase III </w:t>
      </w:r>
      <w:r w:rsidR="00855EC2" w:rsidRPr="003A5EE1">
        <w:rPr>
          <w:rFonts w:ascii="Arial" w:hAnsi="Arial" w:cs="Arial"/>
          <w:sz w:val="22"/>
          <w:szCs w:val="22"/>
          <w:lang w:val="en-GB"/>
        </w:rPr>
        <w:t xml:space="preserve">data for </w:t>
      </w:r>
      <w:r w:rsidR="00330F97">
        <w:rPr>
          <w:rFonts w:ascii="Arial" w:hAnsi="Arial" w:cs="Arial"/>
          <w:sz w:val="22"/>
          <w:szCs w:val="22"/>
          <w:lang w:val="en-GB"/>
        </w:rPr>
        <w:t xml:space="preserve">636 </w:t>
      </w:r>
      <w:r w:rsidRPr="003A5EE1">
        <w:rPr>
          <w:rFonts w:ascii="Arial" w:hAnsi="Arial" w:cs="Arial"/>
          <w:sz w:val="22"/>
          <w:szCs w:val="22"/>
          <w:lang w:val="en-GB"/>
        </w:rPr>
        <w:t>patients with metastatic colorectal cancer</w:t>
      </w:r>
      <w:r w:rsidR="00330F97">
        <w:rPr>
          <w:rFonts w:ascii="Arial" w:hAnsi="Arial" w:cs="Arial"/>
          <w:sz w:val="22"/>
          <w:szCs w:val="22"/>
          <w:lang w:val="en-GB"/>
        </w:rPr>
        <w:t>,</w:t>
      </w:r>
      <w:r w:rsidR="00433E04">
        <w:rPr>
          <w:rFonts w:ascii="Arial" w:hAnsi="Arial" w:cs="Arial"/>
          <w:sz w:val="22"/>
          <w:szCs w:val="22"/>
          <w:lang w:val="en-GB"/>
        </w:rPr>
        <w:t xml:space="preserve"> 132 patients with GIST</w:t>
      </w:r>
      <w:r w:rsidR="00330F97">
        <w:rPr>
          <w:rFonts w:ascii="Arial" w:hAnsi="Arial" w:cs="Arial"/>
          <w:sz w:val="22"/>
          <w:szCs w:val="22"/>
          <w:lang w:val="en-GB"/>
        </w:rPr>
        <w:t>,</w:t>
      </w:r>
      <w:r w:rsidR="00330F97" w:rsidRPr="00330F97">
        <w:t xml:space="preserve"> </w:t>
      </w:r>
      <w:r w:rsidR="00330F97" w:rsidRPr="00330F97">
        <w:rPr>
          <w:rFonts w:ascii="Arial" w:hAnsi="Arial" w:cs="Arial"/>
          <w:sz w:val="22"/>
          <w:szCs w:val="22"/>
          <w:lang w:val="en-GB"/>
        </w:rPr>
        <w:t>and 374 patients with hepatocellular carcinoma (HCC).</w:t>
      </w:r>
    </w:p>
    <w:p w14:paraId="712C2839" w14:textId="77777777" w:rsidR="00AA38F4" w:rsidRDefault="00AA38F4" w:rsidP="002239D7">
      <w:pPr>
        <w:pStyle w:val="BayerBodyTextFull"/>
        <w:keepNext/>
        <w:spacing w:before="0" w:after="0"/>
        <w:rPr>
          <w:rFonts w:ascii="Arial" w:hAnsi="Arial" w:cs="Arial"/>
          <w:sz w:val="22"/>
          <w:szCs w:val="22"/>
          <w:lang w:val="en-GB"/>
        </w:rPr>
      </w:pPr>
    </w:p>
    <w:p w14:paraId="712C283A" w14:textId="46AA1B5C" w:rsidR="00F2786A" w:rsidRPr="0015424B" w:rsidRDefault="00F2786A" w:rsidP="002239D7">
      <w:pPr>
        <w:pStyle w:val="BayerBodyTextFull"/>
        <w:keepNext/>
        <w:spacing w:before="0" w:after="0"/>
        <w:rPr>
          <w:rFonts w:ascii="Arial" w:hAnsi="Arial" w:cs="Arial"/>
          <w:sz w:val="22"/>
          <w:szCs w:val="22"/>
        </w:rPr>
      </w:pPr>
      <w:r w:rsidRPr="0015424B">
        <w:rPr>
          <w:rFonts w:ascii="Arial" w:hAnsi="Arial" w:cs="Arial"/>
          <w:sz w:val="22"/>
          <w:szCs w:val="22"/>
        </w:rPr>
        <w:t xml:space="preserve">The </w:t>
      </w:r>
      <w:r w:rsidRPr="0015424B">
        <w:rPr>
          <w:rFonts w:ascii="Arial" w:hAnsi="Arial" w:cs="Arial"/>
          <w:b/>
          <w:sz w:val="22"/>
          <w:szCs w:val="22"/>
        </w:rPr>
        <w:t>most frequently</w:t>
      </w:r>
      <w:r w:rsidRPr="0015424B">
        <w:rPr>
          <w:rFonts w:ascii="Arial" w:hAnsi="Arial" w:cs="Arial"/>
          <w:sz w:val="22"/>
          <w:szCs w:val="22"/>
        </w:rPr>
        <w:t xml:space="preserve"> observed adverse drug reactions (≥30%) in patients receiving </w:t>
      </w:r>
      <w:r w:rsidR="00601DFC">
        <w:rPr>
          <w:rFonts w:ascii="Arial" w:hAnsi="Arial" w:cs="Arial"/>
          <w:sz w:val="22"/>
          <w:szCs w:val="22"/>
        </w:rPr>
        <w:t xml:space="preserve">STIVARGA </w:t>
      </w:r>
      <w:r w:rsidRPr="0015424B">
        <w:rPr>
          <w:rFonts w:ascii="Arial" w:hAnsi="Arial" w:cs="Arial"/>
          <w:sz w:val="22"/>
          <w:szCs w:val="22"/>
        </w:rPr>
        <w:t xml:space="preserve">are </w:t>
      </w:r>
      <w:r w:rsidR="00330F97" w:rsidRPr="00330F97">
        <w:rPr>
          <w:rFonts w:ascii="Arial" w:hAnsi="Arial" w:cs="Arial"/>
          <w:sz w:val="22"/>
          <w:szCs w:val="22"/>
        </w:rPr>
        <w:t xml:space="preserve">pain, hand-foot skin reaction, </w:t>
      </w:r>
      <w:r w:rsidR="00667F56" w:rsidRPr="00667F56">
        <w:rPr>
          <w:rFonts w:ascii="Arial" w:hAnsi="Arial" w:cs="Arial"/>
          <w:sz w:val="22"/>
          <w:szCs w:val="22"/>
        </w:rPr>
        <w:t>asthenia/fatigue, decreased appetite and food intake, diarrh</w:t>
      </w:r>
      <w:r w:rsidR="0047783E">
        <w:rPr>
          <w:rFonts w:ascii="Arial" w:hAnsi="Arial" w:cs="Arial"/>
          <w:sz w:val="22"/>
          <w:szCs w:val="22"/>
        </w:rPr>
        <w:t>o</w:t>
      </w:r>
      <w:r w:rsidR="00667F56" w:rsidRPr="00667F56">
        <w:rPr>
          <w:rFonts w:ascii="Arial" w:hAnsi="Arial" w:cs="Arial"/>
          <w:sz w:val="22"/>
          <w:szCs w:val="22"/>
        </w:rPr>
        <w:t xml:space="preserve">ea, infection, </w:t>
      </w:r>
      <w:r w:rsidR="00330F97">
        <w:rPr>
          <w:rFonts w:ascii="Arial" w:hAnsi="Arial" w:cs="Arial"/>
          <w:sz w:val="22"/>
          <w:szCs w:val="22"/>
        </w:rPr>
        <w:t xml:space="preserve">and </w:t>
      </w:r>
      <w:r w:rsidR="00667F56" w:rsidRPr="00667F56">
        <w:rPr>
          <w:rFonts w:ascii="Arial" w:hAnsi="Arial" w:cs="Arial"/>
          <w:sz w:val="22"/>
          <w:szCs w:val="22"/>
        </w:rPr>
        <w:t xml:space="preserve">hypertension. </w:t>
      </w:r>
    </w:p>
    <w:p w14:paraId="712C283B" w14:textId="77777777" w:rsidR="00F2786A" w:rsidRPr="0015424B" w:rsidRDefault="00F2786A" w:rsidP="00F2786A">
      <w:pPr>
        <w:pStyle w:val="BayerBodyTextFull"/>
        <w:spacing w:before="0" w:after="0"/>
        <w:rPr>
          <w:rFonts w:ascii="Arial" w:hAnsi="Arial" w:cs="Arial"/>
          <w:sz w:val="22"/>
          <w:szCs w:val="22"/>
        </w:rPr>
      </w:pPr>
    </w:p>
    <w:p w14:paraId="712C283C" w14:textId="06E8702B" w:rsidR="00F2786A" w:rsidRDefault="00F2786A" w:rsidP="00F2786A">
      <w:pPr>
        <w:pStyle w:val="BayerBodyTextFull"/>
        <w:spacing w:before="0" w:after="0"/>
        <w:rPr>
          <w:rFonts w:ascii="Arial" w:hAnsi="Arial" w:cs="Arial"/>
          <w:sz w:val="22"/>
          <w:szCs w:val="22"/>
        </w:rPr>
      </w:pPr>
      <w:r w:rsidRPr="0015424B">
        <w:rPr>
          <w:rFonts w:ascii="Arial" w:hAnsi="Arial" w:cs="Arial"/>
          <w:sz w:val="22"/>
          <w:szCs w:val="22"/>
        </w:rPr>
        <w:t xml:space="preserve">The </w:t>
      </w:r>
      <w:r w:rsidRPr="0015424B">
        <w:rPr>
          <w:rFonts w:ascii="Arial" w:hAnsi="Arial" w:cs="Arial"/>
          <w:b/>
          <w:sz w:val="22"/>
          <w:szCs w:val="22"/>
        </w:rPr>
        <w:t>most serious</w:t>
      </w:r>
      <w:r w:rsidRPr="0015424B">
        <w:rPr>
          <w:rFonts w:ascii="Arial" w:hAnsi="Arial" w:cs="Arial"/>
          <w:sz w:val="22"/>
          <w:szCs w:val="22"/>
        </w:rPr>
        <w:t xml:space="preserve"> adverse drug reactions in patients receiving </w:t>
      </w:r>
      <w:r w:rsidR="00601DFC">
        <w:rPr>
          <w:rFonts w:ascii="Arial" w:hAnsi="Arial" w:cs="Arial"/>
          <w:sz w:val="22"/>
          <w:szCs w:val="22"/>
        </w:rPr>
        <w:t xml:space="preserve">STIVARGA </w:t>
      </w:r>
      <w:r w:rsidRPr="0015424B">
        <w:rPr>
          <w:rFonts w:ascii="Arial" w:hAnsi="Arial" w:cs="Arial"/>
          <w:sz w:val="22"/>
          <w:szCs w:val="22"/>
        </w:rPr>
        <w:t>are severe liver injury, haemorrhage</w:t>
      </w:r>
      <w:r w:rsidR="00330F97">
        <w:rPr>
          <w:rFonts w:ascii="Arial" w:hAnsi="Arial" w:cs="Arial"/>
          <w:sz w:val="22"/>
          <w:szCs w:val="22"/>
        </w:rPr>
        <w:t>,</w:t>
      </w:r>
      <w:r w:rsidRPr="0015424B">
        <w:rPr>
          <w:rFonts w:ascii="Arial" w:hAnsi="Arial" w:cs="Arial"/>
          <w:bCs/>
          <w:iCs/>
          <w:sz w:val="22"/>
          <w:szCs w:val="22"/>
        </w:rPr>
        <w:t xml:space="preserve"> gastrointestinal perforation</w:t>
      </w:r>
      <w:r w:rsidR="00330F97" w:rsidRPr="00330F97">
        <w:t xml:space="preserve"> </w:t>
      </w:r>
      <w:r w:rsidR="00330F97" w:rsidRPr="00330F97">
        <w:rPr>
          <w:rFonts w:ascii="Arial" w:hAnsi="Arial" w:cs="Arial"/>
          <w:bCs/>
          <w:iCs/>
          <w:sz w:val="22"/>
          <w:szCs w:val="22"/>
        </w:rPr>
        <w:t>and infection</w:t>
      </w:r>
      <w:r w:rsidRPr="0015424B">
        <w:rPr>
          <w:rFonts w:ascii="Arial" w:hAnsi="Arial" w:cs="Arial"/>
          <w:sz w:val="22"/>
          <w:szCs w:val="22"/>
        </w:rPr>
        <w:t>.</w:t>
      </w:r>
    </w:p>
    <w:p w14:paraId="712C283E" w14:textId="77777777" w:rsidR="00433E04" w:rsidRPr="00E177CA" w:rsidRDefault="004F501C" w:rsidP="00E177CA">
      <w:pPr>
        <w:pStyle w:val="Heading2"/>
        <w:spacing w:after="240"/>
        <w:rPr>
          <w:rFonts w:ascii="Arial" w:eastAsia="PMingLiU" w:hAnsi="Arial" w:cs="Arial"/>
          <w:i/>
          <w:color w:val="000000"/>
          <w:sz w:val="22"/>
          <w:szCs w:val="22"/>
          <w:lang w:eastAsia="zh-TW"/>
        </w:rPr>
      </w:pPr>
      <w:r w:rsidRPr="00E177CA">
        <w:rPr>
          <w:rFonts w:ascii="Arial" w:eastAsia="PMingLiU" w:hAnsi="Arial" w:cs="Arial"/>
          <w:i/>
          <w:color w:val="000000"/>
          <w:sz w:val="22"/>
          <w:szCs w:val="22"/>
          <w:lang w:eastAsia="zh-TW"/>
        </w:rPr>
        <w:lastRenderedPageBreak/>
        <w:t>Metastatic colorectal cancer</w:t>
      </w:r>
      <w:r w:rsidR="00F548A0" w:rsidRPr="00E177CA">
        <w:rPr>
          <w:rFonts w:ascii="Arial" w:eastAsia="PMingLiU" w:hAnsi="Arial" w:cs="Arial"/>
          <w:i/>
          <w:color w:val="000000"/>
          <w:sz w:val="22"/>
          <w:szCs w:val="22"/>
          <w:lang w:eastAsia="zh-TW"/>
        </w:rPr>
        <w:t xml:space="preserve"> </w:t>
      </w:r>
    </w:p>
    <w:p w14:paraId="712C2840" w14:textId="63CF11B0" w:rsidR="00BF7776" w:rsidRDefault="005C3B17" w:rsidP="002E54D9">
      <w:pPr>
        <w:pStyle w:val="BayerBodyTextFull"/>
        <w:spacing w:before="0" w:after="0"/>
        <w:rPr>
          <w:rFonts w:ascii="Arial" w:hAnsi="Arial" w:cs="Arial"/>
          <w:sz w:val="22"/>
          <w:szCs w:val="22"/>
          <w:lang w:val="en-AU" w:eastAsia="en-AU"/>
        </w:rPr>
      </w:pPr>
      <w:r w:rsidRPr="003A5EE1">
        <w:rPr>
          <w:rFonts w:ascii="Arial" w:hAnsi="Arial" w:cs="Arial"/>
          <w:sz w:val="22"/>
          <w:szCs w:val="22"/>
          <w:lang w:val="en-AU" w:eastAsia="en-AU"/>
        </w:rPr>
        <w:t xml:space="preserve">The safety data in the pivotal study (CORRECT) were derived from a randomised (2:1), double-blind, placebo controlled trial in which 500 patients with previously treated metastatic colorectal cancer received </w:t>
      </w:r>
      <w:r w:rsidR="00601DFC">
        <w:rPr>
          <w:rFonts w:ascii="Arial" w:hAnsi="Arial" w:cs="Arial"/>
          <w:sz w:val="22"/>
          <w:szCs w:val="22"/>
          <w:lang w:val="en-AU" w:eastAsia="en-AU"/>
        </w:rPr>
        <w:t xml:space="preserve">STIVARGA </w:t>
      </w:r>
      <w:r w:rsidR="009C68E1">
        <w:rPr>
          <w:rFonts w:ascii="Arial" w:hAnsi="Arial" w:cs="Arial"/>
          <w:sz w:val="22"/>
          <w:szCs w:val="22"/>
          <w:lang w:val="en-AU" w:eastAsia="en-AU"/>
        </w:rPr>
        <w:t xml:space="preserve">as a single agent at the dose of 160 mg daily for the first 3 weeks of each 4 week treatment cycle </w:t>
      </w:r>
      <w:r w:rsidRPr="003A5EE1">
        <w:rPr>
          <w:rFonts w:ascii="Arial" w:hAnsi="Arial" w:cs="Arial"/>
          <w:sz w:val="22"/>
          <w:szCs w:val="22"/>
          <w:lang w:val="en-AU" w:eastAsia="en-AU"/>
        </w:rPr>
        <w:t>and 253 patients received placebo.</w:t>
      </w:r>
    </w:p>
    <w:p w14:paraId="712C2841" w14:textId="77777777" w:rsidR="00FA30B7" w:rsidRDefault="00FA30B7" w:rsidP="00FA30B7">
      <w:pPr>
        <w:pStyle w:val="BayerBodyTextFull"/>
        <w:spacing w:before="0" w:after="0"/>
        <w:rPr>
          <w:rFonts w:ascii="Arial" w:hAnsi="Arial" w:cs="Arial"/>
          <w:sz w:val="22"/>
          <w:szCs w:val="22"/>
        </w:rPr>
      </w:pPr>
    </w:p>
    <w:p w14:paraId="712C2842" w14:textId="77777777" w:rsidR="0040482A" w:rsidRDefault="00FA30B7" w:rsidP="00FA30B7">
      <w:pPr>
        <w:pStyle w:val="BayerBodyTextFull"/>
        <w:spacing w:before="0" w:after="0"/>
        <w:rPr>
          <w:rFonts w:ascii="Arial" w:hAnsi="Arial" w:cs="Arial"/>
          <w:color w:val="000000"/>
          <w:sz w:val="22"/>
          <w:szCs w:val="22"/>
          <w:lang w:val="en-AU" w:eastAsia="en-AU"/>
        </w:rPr>
      </w:pPr>
      <w:r w:rsidRPr="0015424B">
        <w:rPr>
          <w:rFonts w:ascii="Arial" w:hAnsi="Arial" w:cs="Arial"/>
          <w:color w:val="000000"/>
          <w:sz w:val="22"/>
          <w:szCs w:val="22"/>
          <w:lang w:val="en-AU" w:eastAsia="en-AU"/>
        </w:rPr>
        <w:t>The</w:t>
      </w:r>
      <w:r w:rsidR="00962F5B">
        <w:rPr>
          <w:rFonts w:ascii="Arial" w:hAnsi="Arial" w:cs="Arial"/>
          <w:color w:val="000000"/>
          <w:sz w:val="22"/>
          <w:szCs w:val="22"/>
          <w:lang w:val="en-AU" w:eastAsia="en-AU"/>
        </w:rPr>
        <w:t xml:space="preserve"> incidence of severe treatment emergent adverse events (TEAEs) (≥ Grade 3) was higher with regorafenib (78%) than placebo (49%). </w:t>
      </w:r>
    </w:p>
    <w:p w14:paraId="712C2843" w14:textId="77777777" w:rsidR="0040482A" w:rsidRDefault="0040482A" w:rsidP="00FA30B7">
      <w:pPr>
        <w:pStyle w:val="BayerBodyTextFull"/>
        <w:spacing w:before="0" w:after="0"/>
        <w:rPr>
          <w:rFonts w:ascii="Arial" w:hAnsi="Arial" w:cs="Arial"/>
          <w:color w:val="000000"/>
          <w:sz w:val="22"/>
          <w:szCs w:val="22"/>
          <w:lang w:val="en-AU" w:eastAsia="en-AU"/>
        </w:rPr>
      </w:pPr>
    </w:p>
    <w:p w14:paraId="712C2844" w14:textId="77777777" w:rsidR="00B94846" w:rsidRPr="00B94846" w:rsidRDefault="00B94846" w:rsidP="00FA30B7">
      <w:pPr>
        <w:pStyle w:val="BayerBodyTextFull"/>
        <w:spacing w:before="0" w:after="0"/>
        <w:rPr>
          <w:rFonts w:ascii="Arial" w:hAnsi="Arial" w:cs="Arial"/>
          <w:color w:val="000000"/>
          <w:sz w:val="22"/>
          <w:szCs w:val="22"/>
          <w:lang w:val="en-AU" w:eastAsia="en-AU"/>
        </w:rPr>
      </w:pPr>
      <w:r w:rsidRPr="00B94846">
        <w:rPr>
          <w:rFonts w:ascii="Arial" w:hAnsi="Arial" w:cs="Arial"/>
          <w:sz w:val="22"/>
          <w:szCs w:val="22"/>
        </w:rPr>
        <w:t xml:space="preserve">The rate of death due to adverse events not associated with disease progression was slightly higher with regorafenib (1.6% vs 1.2%). Five deaths were considered to be regorafenib-related: </w:t>
      </w:r>
      <w:r>
        <w:rPr>
          <w:rFonts w:ascii="Arial" w:hAnsi="Arial" w:cs="Arial"/>
          <w:sz w:val="22"/>
          <w:szCs w:val="22"/>
        </w:rPr>
        <w:t>one</w:t>
      </w:r>
      <w:r w:rsidRPr="00B94846">
        <w:rPr>
          <w:rFonts w:ascii="Arial" w:hAnsi="Arial" w:cs="Arial"/>
          <w:sz w:val="22"/>
          <w:szCs w:val="22"/>
        </w:rPr>
        <w:t xml:space="preserve"> case each of liver dysfunction; sudden death; cerebrovascular incident; pulmonary h</w:t>
      </w:r>
      <w:r>
        <w:rPr>
          <w:rFonts w:ascii="Arial" w:hAnsi="Arial" w:cs="Arial"/>
          <w:sz w:val="22"/>
          <w:szCs w:val="22"/>
        </w:rPr>
        <w:t>aemorrhage,</w:t>
      </w:r>
      <w:r w:rsidRPr="00B94846">
        <w:rPr>
          <w:rFonts w:ascii="Arial" w:hAnsi="Arial" w:cs="Arial"/>
          <w:sz w:val="22"/>
          <w:szCs w:val="22"/>
        </w:rPr>
        <w:t xml:space="preserve"> bronchus; h</w:t>
      </w:r>
      <w:r>
        <w:rPr>
          <w:rFonts w:ascii="Arial" w:hAnsi="Arial" w:cs="Arial"/>
          <w:sz w:val="22"/>
          <w:szCs w:val="22"/>
        </w:rPr>
        <w:t>a</w:t>
      </w:r>
      <w:r w:rsidRPr="00B94846">
        <w:rPr>
          <w:rFonts w:ascii="Arial" w:hAnsi="Arial" w:cs="Arial"/>
          <w:sz w:val="22"/>
          <w:szCs w:val="22"/>
        </w:rPr>
        <w:t xml:space="preserve">emorrhage, </w:t>
      </w:r>
      <w:r>
        <w:rPr>
          <w:rFonts w:ascii="Arial" w:hAnsi="Arial" w:cs="Arial"/>
          <w:sz w:val="22"/>
          <w:szCs w:val="22"/>
        </w:rPr>
        <w:t>gastrointestinal</w:t>
      </w:r>
      <w:r w:rsidRPr="00B94846">
        <w:rPr>
          <w:rFonts w:ascii="Arial" w:hAnsi="Arial" w:cs="Arial"/>
          <w:sz w:val="22"/>
          <w:szCs w:val="22"/>
        </w:rPr>
        <w:t>, anus and h</w:t>
      </w:r>
      <w:r>
        <w:rPr>
          <w:rFonts w:ascii="Arial" w:hAnsi="Arial" w:cs="Arial"/>
          <w:sz w:val="22"/>
          <w:szCs w:val="22"/>
        </w:rPr>
        <w:t>a</w:t>
      </w:r>
      <w:r w:rsidRPr="00B94846">
        <w:rPr>
          <w:rFonts w:ascii="Arial" w:hAnsi="Arial" w:cs="Arial"/>
          <w:sz w:val="22"/>
          <w:szCs w:val="22"/>
        </w:rPr>
        <w:t xml:space="preserve">emorrhage, </w:t>
      </w:r>
      <w:r>
        <w:rPr>
          <w:rFonts w:ascii="Arial" w:hAnsi="Arial" w:cs="Arial"/>
          <w:sz w:val="22"/>
          <w:szCs w:val="22"/>
        </w:rPr>
        <w:t>genitourinary</w:t>
      </w:r>
      <w:r w:rsidRPr="00B94846">
        <w:rPr>
          <w:rFonts w:ascii="Arial" w:hAnsi="Arial" w:cs="Arial"/>
          <w:sz w:val="22"/>
          <w:szCs w:val="22"/>
        </w:rPr>
        <w:t>, vagina (the last two occurred in one patient)</w:t>
      </w:r>
      <w:r>
        <w:rPr>
          <w:rFonts w:ascii="Arial" w:hAnsi="Arial" w:cs="Arial"/>
          <w:sz w:val="22"/>
          <w:szCs w:val="22"/>
        </w:rPr>
        <w:t>.</w:t>
      </w:r>
    </w:p>
    <w:p w14:paraId="712C2845" w14:textId="77777777" w:rsidR="00FA30B7" w:rsidRPr="00711A10" w:rsidRDefault="00FA30B7" w:rsidP="00FA30B7">
      <w:pPr>
        <w:pStyle w:val="BayerBodyTextFull"/>
        <w:spacing w:before="0" w:after="0"/>
        <w:rPr>
          <w:rFonts w:ascii="Arial" w:hAnsi="Arial" w:cs="Arial"/>
          <w:sz w:val="22"/>
          <w:szCs w:val="22"/>
        </w:rPr>
      </w:pPr>
    </w:p>
    <w:p w14:paraId="712C2846" w14:textId="39157A0A" w:rsidR="000A4A5F" w:rsidRDefault="000A4A5F" w:rsidP="000A4A5F">
      <w:pPr>
        <w:pStyle w:val="BayerBodyTextFull"/>
        <w:spacing w:before="0" w:after="0"/>
        <w:rPr>
          <w:rFonts w:ascii="Arial" w:hAnsi="Arial" w:cs="Arial"/>
          <w:sz w:val="22"/>
          <w:szCs w:val="22"/>
        </w:rPr>
      </w:pPr>
      <w:r>
        <w:rPr>
          <w:rFonts w:ascii="Arial" w:hAnsi="Arial" w:cs="Arial"/>
          <w:sz w:val="22"/>
          <w:szCs w:val="22"/>
        </w:rPr>
        <w:t xml:space="preserve">Overall treatment discontinuation due to adverse </w:t>
      </w:r>
      <w:r w:rsidR="006A251C">
        <w:rPr>
          <w:rFonts w:ascii="Arial" w:hAnsi="Arial" w:cs="Arial"/>
          <w:sz w:val="22"/>
          <w:szCs w:val="22"/>
        </w:rPr>
        <w:t xml:space="preserve">drug </w:t>
      </w:r>
      <w:r>
        <w:rPr>
          <w:rFonts w:ascii="Arial" w:hAnsi="Arial" w:cs="Arial"/>
          <w:sz w:val="22"/>
          <w:szCs w:val="22"/>
        </w:rPr>
        <w:t xml:space="preserve">reactions (all grades) was reported in 8.2% of patients treated with </w:t>
      </w:r>
      <w:r w:rsidR="00601DFC">
        <w:rPr>
          <w:rFonts w:ascii="Arial" w:hAnsi="Arial" w:cs="Arial"/>
          <w:sz w:val="22"/>
          <w:szCs w:val="22"/>
        </w:rPr>
        <w:t xml:space="preserve">STIVARGA </w:t>
      </w:r>
      <w:r>
        <w:rPr>
          <w:rFonts w:ascii="Arial" w:hAnsi="Arial" w:cs="Arial"/>
          <w:sz w:val="22"/>
          <w:szCs w:val="22"/>
        </w:rPr>
        <w:t xml:space="preserve">compared to 1.2% of patients who received placebo. </w:t>
      </w:r>
      <w:r w:rsidRPr="000A4A5F">
        <w:rPr>
          <w:rFonts w:ascii="Arial" w:hAnsi="Arial" w:cs="Arial"/>
          <w:sz w:val="22"/>
          <w:szCs w:val="22"/>
        </w:rPr>
        <w:t xml:space="preserve">Hand foot skin reaction and rash were the most common reasons leading to treatment discontinuation of </w:t>
      </w:r>
      <w:r w:rsidR="00FF0B8E">
        <w:rPr>
          <w:rFonts w:ascii="Arial" w:hAnsi="Arial" w:cs="Arial"/>
          <w:sz w:val="22"/>
          <w:szCs w:val="22"/>
        </w:rPr>
        <w:t>STIVARGA</w:t>
      </w:r>
      <w:r w:rsidRPr="000A4A5F">
        <w:rPr>
          <w:rFonts w:ascii="Arial" w:hAnsi="Arial" w:cs="Arial"/>
          <w:sz w:val="22"/>
          <w:szCs w:val="22"/>
        </w:rPr>
        <w:t xml:space="preserve">. </w:t>
      </w:r>
    </w:p>
    <w:p w14:paraId="712C2847" w14:textId="77777777" w:rsidR="00F63D3F" w:rsidRPr="000A4A5F" w:rsidRDefault="00F63D3F" w:rsidP="000A4A5F">
      <w:pPr>
        <w:pStyle w:val="BayerBodyTextFull"/>
        <w:spacing w:before="0" w:after="0"/>
        <w:rPr>
          <w:rFonts w:ascii="Arial" w:hAnsi="Arial" w:cs="Arial"/>
          <w:sz w:val="22"/>
          <w:szCs w:val="22"/>
        </w:rPr>
      </w:pPr>
    </w:p>
    <w:p w14:paraId="712C2848" w14:textId="4423AB00" w:rsidR="00DE2521" w:rsidRDefault="000A4A5F" w:rsidP="00206FAC">
      <w:pPr>
        <w:pStyle w:val="BayerBodyTextFull"/>
        <w:keepLines/>
        <w:spacing w:before="0" w:after="0"/>
        <w:rPr>
          <w:rFonts w:ascii="Arial" w:hAnsi="Arial" w:cs="Arial"/>
          <w:sz w:val="22"/>
          <w:szCs w:val="22"/>
        </w:rPr>
      </w:pPr>
      <w:r w:rsidRPr="00165ADC">
        <w:rPr>
          <w:rFonts w:ascii="Arial" w:hAnsi="Arial" w:cs="Arial"/>
          <w:sz w:val="22"/>
          <w:szCs w:val="22"/>
        </w:rPr>
        <w:t xml:space="preserve">A dose modification due to adverse events occurred in 67% and 22% of patients in the </w:t>
      </w:r>
      <w:r w:rsidR="00601DFC">
        <w:rPr>
          <w:rFonts w:ascii="Arial" w:hAnsi="Arial" w:cs="Arial"/>
          <w:sz w:val="22"/>
          <w:szCs w:val="22"/>
        </w:rPr>
        <w:t xml:space="preserve">STIVARGA </w:t>
      </w:r>
      <w:r w:rsidRPr="00165ADC">
        <w:rPr>
          <w:rFonts w:ascii="Arial" w:hAnsi="Arial" w:cs="Arial"/>
          <w:sz w:val="22"/>
          <w:szCs w:val="22"/>
        </w:rPr>
        <w:t xml:space="preserve">and placebo group, respectively. The rates of dose reductions were also higher with </w:t>
      </w:r>
      <w:r w:rsidR="00601DFC">
        <w:rPr>
          <w:rFonts w:ascii="Arial" w:hAnsi="Arial" w:cs="Arial"/>
          <w:sz w:val="22"/>
          <w:szCs w:val="22"/>
        </w:rPr>
        <w:t xml:space="preserve">STIVARGA </w:t>
      </w:r>
      <w:r w:rsidRPr="00165ADC">
        <w:rPr>
          <w:rFonts w:ascii="Arial" w:hAnsi="Arial" w:cs="Arial"/>
          <w:sz w:val="22"/>
          <w:szCs w:val="22"/>
        </w:rPr>
        <w:t>(38% vs 3%) as were the rates of dose interruptions (61% vs 22%) and treatment cessations (18% vs 13%) compared to placebo.</w:t>
      </w:r>
    </w:p>
    <w:p w14:paraId="712C2849" w14:textId="77777777" w:rsidR="000A4A5F" w:rsidRDefault="000A4A5F" w:rsidP="000A4A5F">
      <w:pPr>
        <w:pStyle w:val="BayerBodyTextFull"/>
        <w:spacing w:before="0" w:after="0"/>
        <w:rPr>
          <w:rFonts w:ascii="Arial" w:hAnsi="Arial" w:cs="Arial"/>
          <w:sz w:val="22"/>
          <w:szCs w:val="22"/>
        </w:rPr>
      </w:pPr>
    </w:p>
    <w:p w14:paraId="712C284A" w14:textId="1E23C9A3" w:rsidR="004F73DE" w:rsidRPr="003A5EE1" w:rsidRDefault="003B41B2" w:rsidP="00D93DAB">
      <w:pPr>
        <w:rPr>
          <w:rFonts w:ascii="Arial" w:eastAsia="MS Mincho" w:hAnsi="Arial" w:cs="Arial"/>
          <w:sz w:val="22"/>
          <w:szCs w:val="22"/>
        </w:rPr>
      </w:pPr>
      <w:r w:rsidRPr="0015424B">
        <w:rPr>
          <w:rFonts w:ascii="Arial" w:eastAsia="MS Mincho" w:hAnsi="Arial" w:cs="Arial"/>
          <w:sz w:val="22"/>
          <w:szCs w:val="22"/>
        </w:rPr>
        <w:t xml:space="preserve">Table </w:t>
      </w:r>
      <w:r w:rsidR="00871049">
        <w:rPr>
          <w:rFonts w:ascii="Arial" w:eastAsia="MS Mincho" w:hAnsi="Arial" w:cs="Arial"/>
          <w:sz w:val="22"/>
          <w:szCs w:val="22"/>
        </w:rPr>
        <w:t>6</w:t>
      </w:r>
      <w:r w:rsidRPr="0015424B">
        <w:rPr>
          <w:rFonts w:ascii="Arial" w:eastAsia="MS Mincho" w:hAnsi="Arial" w:cs="Arial"/>
          <w:b/>
          <w:sz w:val="22"/>
          <w:szCs w:val="22"/>
        </w:rPr>
        <w:t xml:space="preserve"> </w:t>
      </w:r>
      <w:r w:rsidRPr="0015424B">
        <w:rPr>
          <w:rFonts w:ascii="Arial" w:eastAsia="MS Mincho" w:hAnsi="Arial" w:cs="Arial"/>
          <w:sz w:val="22"/>
          <w:szCs w:val="22"/>
        </w:rPr>
        <w:t xml:space="preserve">compares the incidence of adverse reactions (≥10%) in patients receiving </w:t>
      </w:r>
      <w:r w:rsidR="00601DFC">
        <w:rPr>
          <w:rFonts w:ascii="Arial" w:eastAsia="MS Mincho" w:hAnsi="Arial" w:cs="Arial"/>
          <w:sz w:val="22"/>
          <w:szCs w:val="22"/>
        </w:rPr>
        <w:t xml:space="preserve">STIVARGA </w:t>
      </w:r>
      <w:r w:rsidRPr="0015424B">
        <w:rPr>
          <w:rFonts w:ascii="Arial" w:eastAsia="MS Mincho" w:hAnsi="Arial" w:cs="Arial"/>
          <w:sz w:val="22"/>
          <w:szCs w:val="22"/>
        </w:rPr>
        <w:t>and reported more commonly than in patients receiving placebo in the pi</w:t>
      </w:r>
      <w:r w:rsidRPr="003A5EE1">
        <w:rPr>
          <w:rFonts w:ascii="Arial" w:eastAsia="MS Mincho" w:hAnsi="Arial" w:cs="Arial"/>
          <w:sz w:val="22"/>
          <w:szCs w:val="22"/>
        </w:rPr>
        <w:t>votal CORRECT study.</w:t>
      </w:r>
    </w:p>
    <w:p w14:paraId="712C284B" w14:textId="77777777" w:rsidR="006F07A6" w:rsidRPr="003A5EE1" w:rsidRDefault="006F07A6" w:rsidP="003B41B2">
      <w:pPr>
        <w:rPr>
          <w:rFonts w:ascii="Arial" w:eastAsia="MS Mincho" w:hAnsi="Arial" w:cs="Arial"/>
          <w:sz w:val="22"/>
          <w:szCs w:val="22"/>
        </w:rPr>
      </w:pPr>
    </w:p>
    <w:p w14:paraId="712C284C" w14:textId="5DFB258A" w:rsidR="003B41B2" w:rsidRPr="0047783E" w:rsidRDefault="003B41B2" w:rsidP="0047783E">
      <w:pPr>
        <w:keepNext/>
        <w:rPr>
          <w:rFonts w:ascii="Arial" w:eastAsia="MS Mincho" w:hAnsi="Arial" w:cs="Arial"/>
          <w:b/>
          <w:sz w:val="22"/>
          <w:szCs w:val="22"/>
        </w:rPr>
      </w:pPr>
      <w:r w:rsidRPr="00711A10">
        <w:rPr>
          <w:rFonts w:ascii="Arial" w:hAnsi="Arial" w:cs="Arial"/>
          <w:b/>
          <w:sz w:val="22"/>
          <w:szCs w:val="22"/>
        </w:rPr>
        <w:t xml:space="preserve">Table </w:t>
      </w:r>
      <w:bookmarkStart w:id="9" w:name="Tab3"/>
      <w:bookmarkEnd w:id="9"/>
      <w:r w:rsidR="00871049">
        <w:rPr>
          <w:rFonts w:ascii="Arial" w:hAnsi="Arial" w:cs="Arial"/>
          <w:b/>
          <w:sz w:val="22"/>
          <w:szCs w:val="22"/>
        </w:rPr>
        <w:t>6</w:t>
      </w:r>
      <w:r w:rsidRPr="00711A10">
        <w:rPr>
          <w:rFonts w:ascii="Arial" w:hAnsi="Arial" w:cs="Arial"/>
          <w:b/>
          <w:sz w:val="22"/>
          <w:szCs w:val="22"/>
        </w:rPr>
        <w:t>:</w:t>
      </w:r>
      <w:r w:rsidRPr="0047783E">
        <w:rPr>
          <w:rFonts w:ascii="Arial" w:hAnsi="Arial" w:cs="Arial"/>
          <w:b/>
          <w:sz w:val="22"/>
          <w:szCs w:val="22"/>
        </w:rPr>
        <w:t xml:space="preserve"> </w:t>
      </w:r>
      <w:r w:rsidR="00A867E8">
        <w:rPr>
          <w:rFonts w:ascii="Arial" w:hAnsi="Arial" w:cs="Arial"/>
          <w:b/>
          <w:sz w:val="22"/>
          <w:szCs w:val="22"/>
        </w:rPr>
        <w:t xml:space="preserve">Incidence of </w:t>
      </w:r>
      <w:r w:rsidR="00A867E8">
        <w:rPr>
          <w:rFonts w:ascii="Arial" w:eastAsia="MS Mincho" w:hAnsi="Arial" w:cs="Arial"/>
          <w:b/>
          <w:sz w:val="22"/>
          <w:szCs w:val="22"/>
        </w:rPr>
        <w:t>a</w:t>
      </w:r>
      <w:r w:rsidRPr="0047783E">
        <w:rPr>
          <w:rFonts w:ascii="Arial" w:eastAsia="MS Mincho" w:hAnsi="Arial" w:cs="Arial"/>
          <w:b/>
          <w:sz w:val="22"/>
          <w:szCs w:val="22"/>
        </w:rPr>
        <w:t>dverse drug reactions (≥10%) reported in pa</w:t>
      </w:r>
      <w:r w:rsidR="00547B2A" w:rsidRPr="0047783E">
        <w:rPr>
          <w:rFonts w:ascii="Arial" w:eastAsia="MS Mincho" w:hAnsi="Arial" w:cs="Arial"/>
          <w:b/>
          <w:sz w:val="22"/>
          <w:szCs w:val="22"/>
        </w:rPr>
        <w:t xml:space="preserve">tients treated with </w:t>
      </w:r>
      <w:r w:rsidR="00601DFC">
        <w:rPr>
          <w:rFonts w:ascii="Arial" w:eastAsia="MS Mincho" w:hAnsi="Arial" w:cs="Arial"/>
          <w:b/>
          <w:sz w:val="22"/>
          <w:szCs w:val="22"/>
        </w:rPr>
        <w:t xml:space="preserve">STIVARGA </w:t>
      </w:r>
      <w:r w:rsidR="00547B2A" w:rsidRPr="0047783E">
        <w:rPr>
          <w:rFonts w:ascii="Arial" w:eastAsia="MS Mincho" w:hAnsi="Arial" w:cs="Arial"/>
          <w:b/>
          <w:sz w:val="22"/>
          <w:szCs w:val="22"/>
        </w:rPr>
        <w:t>and</w:t>
      </w:r>
      <w:r w:rsidRPr="0047783E">
        <w:rPr>
          <w:rFonts w:ascii="Arial" w:eastAsia="MS Mincho" w:hAnsi="Arial" w:cs="Arial"/>
          <w:b/>
          <w:sz w:val="22"/>
          <w:szCs w:val="22"/>
        </w:rPr>
        <w:t xml:space="preserve"> reported more commonly than in patients receiving placebo</w:t>
      </w:r>
      <w:r w:rsidR="00A867E8">
        <w:rPr>
          <w:rFonts w:ascii="Arial" w:eastAsia="MS Mincho" w:hAnsi="Arial" w:cs="Arial"/>
          <w:b/>
          <w:sz w:val="22"/>
          <w:szCs w:val="22"/>
        </w:rPr>
        <w:t xml:space="preserve"> (CORRECT)</w:t>
      </w:r>
    </w:p>
    <w:p w14:paraId="712C284D" w14:textId="77777777" w:rsidR="003B41B2" w:rsidRPr="003A5EE1" w:rsidRDefault="003B41B2" w:rsidP="0047783E">
      <w:pPr>
        <w:keepNext/>
        <w:rPr>
          <w:rFonts w:ascii="Arial" w:eastAsia="MS Mincho" w:hAnsi="Arial" w:cs="Arial"/>
          <w:sz w:val="22"/>
          <w:szCs w:val="22"/>
        </w:rPr>
      </w:pPr>
    </w:p>
    <w:tbl>
      <w:tblPr>
        <w:tblW w:w="96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1705"/>
        <w:gridCol w:w="1701"/>
        <w:gridCol w:w="1701"/>
        <w:gridCol w:w="1699"/>
      </w:tblGrid>
      <w:tr w:rsidR="008913AB" w:rsidRPr="003A5EE1" w14:paraId="712C2854" w14:textId="77777777" w:rsidTr="00D93DAB">
        <w:trPr>
          <w:trHeight w:val="288"/>
          <w:tblHeader/>
        </w:trPr>
        <w:tc>
          <w:tcPr>
            <w:tcW w:w="1467" w:type="pct"/>
            <w:vMerge w:val="restart"/>
            <w:tcBorders>
              <w:top w:val="single" w:sz="4" w:space="0" w:color="auto"/>
              <w:left w:val="single" w:sz="4" w:space="0" w:color="auto"/>
              <w:right w:val="single" w:sz="4" w:space="0" w:color="auto"/>
            </w:tcBorders>
            <w:vAlign w:val="center"/>
          </w:tcPr>
          <w:p w14:paraId="712C284E" w14:textId="477E1460" w:rsidR="008913AB" w:rsidRPr="003A5EE1" w:rsidRDefault="008913AB" w:rsidP="008B739F">
            <w:pPr>
              <w:keepNext/>
              <w:rPr>
                <w:rFonts w:ascii="Arial" w:eastAsia="MS Mincho" w:hAnsi="Arial" w:cs="Arial"/>
                <w:b/>
                <w:sz w:val="22"/>
                <w:szCs w:val="22"/>
              </w:rPr>
            </w:pPr>
            <w:r>
              <w:rPr>
                <w:rFonts w:ascii="Arial" w:eastAsia="MS Mincho" w:hAnsi="Arial" w:cs="Arial"/>
                <w:b/>
                <w:sz w:val="22"/>
                <w:szCs w:val="22"/>
              </w:rPr>
              <w:t>System Organ Class</w:t>
            </w:r>
            <w:r w:rsidR="008B739F">
              <w:rPr>
                <w:rFonts w:ascii="Arial" w:eastAsia="MS Mincho" w:hAnsi="Arial" w:cs="Arial"/>
                <w:b/>
                <w:sz w:val="22"/>
                <w:szCs w:val="22"/>
              </w:rPr>
              <w:t xml:space="preserve"> </w:t>
            </w:r>
            <w:r>
              <w:rPr>
                <w:rFonts w:ascii="Arial" w:eastAsia="MS Mincho" w:hAnsi="Arial" w:cs="Arial"/>
                <w:b/>
                <w:sz w:val="22"/>
                <w:szCs w:val="22"/>
              </w:rPr>
              <w:t>/</w:t>
            </w:r>
            <w:r w:rsidR="008B739F">
              <w:rPr>
                <w:rFonts w:ascii="Arial" w:eastAsia="MS Mincho" w:hAnsi="Arial" w:cs="Arial"/>
                <w:b/>
                <w:sz w:val="22"/>
                <w:szCs w:val="22"/>
              </w:rPr>
              <w:t xml:space="preserve"> </w:t>
            </w:r>
            <w:r>
              <w:rPr>
                <w:rFonts w:ascii="Arial" w:eastAsia="MS Mincho" w:hAnsi="Arial" w:cs="Arial"/>
                <w:b/>
                <w:sz w:val="22"/>
                <w:szCs w:val="22"/>
              </w:rPr>
              <w:t>Preferred Term</w:t>
            </w:r>
          </w:p>
          <w:p w14:paraId="712C284F" w14:textId="77777777" w:rsidR="008913AB" w:rsidRPr="003A5EE1" w:rsidRDefault="008913AB" w:rsidP="0047783E">
            <w:pPr>
              <w:keepNext/>
              <w:jc w:val="center"/>
              <w:rPr>
                <w:rFonts w:ascii="Arial" w:eastAsia="MS Mincho" w:hAnsi="Arial" w:cs="Arial"/>
                <w:b/>
                <w:sz w:val="22"/>
                <w:szCs w:val="22"/>
              </w:rPr>
            </w:pPr>
          </w:p>
        </w:tc>
        <w:tc>
          <w:tcPr>
            <w:tcW w:w="1768" w:type="pct"/>
            <w:gridSpan w:val="2"/>
            <w:tcBorders>
              <w:left w:val="single" w:sz="4" w:space="0" w:color="auto"/>
            </w:tcBorders>
            <w:vAlign w:val="center"/>
          </w:tcPr>
          <w:p w14:paraId="712C2850" w14:textId="52369E41" w:rsidR="008913AB" w:rsidRPr="003A5EE1" w:rsidRDefault="008913AB" w:rsidP="0047783E">
            <w:pPr>
              <w:keepNext/>
              <w:jc w:val="center"/>
              <w:rPr>
                <w:rFonts w:ascii="Arial" w:hAnsi="Arial" w:cs="Arial"/>
                <w:b/>
                <w:bCs/>
                <w:sz w:val="22"/>
                <w:szCs w:val="22"/>
              </w:rPr>
            </w:pPr>
            <w:r w:rsidRPr="003A5EE1">
              <w:rPr>
                <w:rFonts w:ascii="Arial" w:hAnsi="Arial" w:cs="Arial"/>
                <w:b/>
                <w:bCs/>
                <w:sz w:val="22"/>
                <w:szCs w:val="22"/>
              </w:rPr>
              <w:t>S</w:t>
            </w:r>
            <w:r>
              <w:rPr>
                <w:rFonts w:ascii="Arial" w:hAnsi="Arial" w:cs="Arial"/>
                <w:b/>
                <w:bCs/>
                <w:sz w:val="22"/>
                <w:szCs w:val="22"/>
              </w:rPr>
              <w:t>TIVARGA plus BSC</w:t>
            </w:r>
            <w:r w:rsidRPr="00740E73">
              <w:rPr>
                <w:rFonts w:ascii="Arial" w:hAnsi="Arial" w:cs="Arial"/>
                <w:b/>
                <w:bCs/>
                <w:sz w:val="22"/>
                <w:szCs w:val="22"/>
                <w:vertAlign w:val="superscript"/>
              </w:rPr>
              <w:t>§</w:t>
            </w:r>
          </w:p>
          <w:p w14:paraId="712C2851" w14:textId="77777777" w:rsidR="008913AB" w:rsidRPr="003A5EE1" w:rsidRDefault="008913AB" w:rsidP="0047783E">
            <w:pPr>
              <w:keepNext/>
              <w:jc w:val="center"/>
              <w:rPr>
                <w:rFonts w:ascii="Arial" w:eastAsia="MS Mincho" w:hAnsi="Arial" w:cs="Arial"/>
                <w:b/>
                <w:sz w:val="22"/>
                <w:szCs w:val="22"/>
              </w:rPr>
            </w:pPr>
            <w:r w:rsidRPr="003A5EE1">
              <w:rPr>
                <w:rFonts w:ascii="Arial" w:hAnsi="Arial" w:cs="Arial"/>
                <w:b/>
                <w:bCs/>
                <w:sz w:val="22"/>
                <w:szCs w:val="22"/>
              </w:rPr>
              <w:t>(</w:t>
            </w:r>
            <w:r>
              <w:rPr>
                <w:rFonts w:ascii="Arial" w:hAnsi="Arial" w:cs="Arial"/>
                <w:b/>
                <w:bCs/>
                <w:sz w:val="22"/>
                <w:szCs w:val="22"/>
              </w:rPr>
              <w:t>N</w:t>
            </w:r>
            <w:r w:rsidRPr="003A5EE1">
              <w:rPr>
                <w:rFonts w:ascii="Arial" w:hAnsi="Arial" w:cs="Arial"/>
                <w:b/>
                <w:bCs/>
                <w:sz w:val="22"/>
                <w:szCs w:val="22"/>
              </w:rPr>
              <w:t>=500)</w:t>
            </w:r>
          </w:p>
        </w:tc>
        <w:tc>
          <w:tcPr>
            <w:tcW w:w="1765" w:type="pct"/>
            <w:gridSpan w:val="2"/>
            <w:vAlign w:val="center"/>
          </w:tcPr>
          <w:p w14:paraId="712C2852" w14:textId="77777777" w:rsidR="008913AB" w:rsidRPr="00740E73" w:rsidRDefault="008913AB" w:rsidP="0047783E">
            <w:pPr>
              <w:keepNext/>
              <w:jc w:val="center"/>
              <w:rPr>
                <w:rFonts w:ascii="Arial" w:hAnsi="Arial" w:cs="Arial"/>
                <w:b/>
                <w:bCs/>
                <w:sz w:val="22"/>
                <w:szCs w:val="22"/>
                <w:vertAlign w:val="superscript"/>
              </w:rPr>
            </w:pPr>
            <w:r w:rsidRPr="003A5EE1">
              <w:rPr>
                <w:rFonts w:ascii="Arial" w:hAnsi="Arial" w:cs="Arial"/>
                <w:b/>
                <w:bCs/>
                <w:sz w:val="22"/>
                <w:szCs w:val="22"/>
              </w:rPr>
              <w:t>Placebo</w:t>
            </w:r>
            <w:r>
              <w:rPr>
                <w:rFonts w:ascii="Arial" w:hAnsi="Arial" w:cs="Arial"/>
                <w:b/>
                <w:bCs/>
                <w:sz w:val="22"/>
                <w:szCs w:val="22"/>
              </w:rPr>
              <w:t xml:space="preserve"> plus BSC</w:t>
            </w:r>
            <w:r w:rsidRPr="00740E73">
              <w:rPr>
                <w:rFonts w:ascii="Arial" w:hAnsi="Arial" w:cs="Arial"/>
                <w:b/>
                <w:bCs/>
                <w:sz w:val="22"/>
                <w:szCs w:val="22"/>
                <w:vertAlign w:val="superscript"/>
              </w:rPr>
              <w:t>§</w:t>
            </w:r>
          </w:p>
          <w:p w14:paraId="712C2853" w14:textId="77777777" w:rsidR="008913AB" w:rsidRPr="003A5EE1" w:rsidRDefault="008913AB" w:rsidP="0047783E">
            <w:pPr>
              <w:keepNext/>
              <w:jc w:val="center"/>
              <w:rPr>
                <w:rFonts w:ascii="Arial" w:eastAsia="MS Mincho" w:hAnsi="Arial" w:cs="Arial"/>
                <w:b/>
                <w:sz w:val="22"/>
                <w:szCs w:val="22"/>
              </w:rPr>
            </w:pPr>
            <w:r w:rsidRPr="003A5EE1">
              <w:rPr>
                <w:rFonts w:ascii="Arial" w:hAnsi="Arial" w:cs="Arial"/>
                <w:b/>
                <w:bCs/>
                <w:sz w:val="22"/>
                <w:szCs w:val="22"/>
              </w:rPr>
              <w:t>(</w:t>
            </w:r>
            <w:r>
              <w:rPr>
                <w:rFonts w:ascii="Arial" w:hAnsi="Arial" w:cs="Arial"/>
                <w:b/>
                <w:bCs/>
                <w:sz w:val="22"/>
                <w:szCs w:val="22"/>
              </w:rPr>
              <w:t>N</w:t>
            </w:r>
            <w:r w:rsidRPr="003A5EE1">
              <w:rPr>
                <w:rFonts w:ascii="Arial" w:hAnsi="Arial" w:cs="Arial"/>
                <w:b/>
                <w:bCs/>
                <w:sz w:val="22"/>
                <w:szCs w:val="22"/>
              </w:rPr>
              <w:t>=253)</w:t>
            </w:r>
          </w:p>
        </w:tc>
      </w:tr>
      <w:tr w:rsidR="008913AB" w:rsidRPr="003A5EE1" w14:paraId="712C2858" w14:textId="77777777" w:rsidTr="00D93DAB">
        <w:trPr>
          <w:trHeight w:val="288"/>
          <w:tblHeader/>
        </w:trPr>
        <w:tc>
          <w:tcPr>
            <w:tcW w:w="1467" w:type="pct"/>
            <w:vMerge/>
            <w:tcBorders>
              <w:left w:val="single" w:sz="4" w:space="0" w:color="auto"/>
              <w:right w:val="single" w:sz="4" w:space="0" w:color="auto"/>
            </w:tcBorders>
            <w:vAlign w:val="center"/>
          </w:tcPr>
          <w:p w14:paraId="712C2855" w14:textId="77777777" w:rsidR="008913AB" w:rsidRPr="003A5EE1" w:rsidRDefault="008913AB" w:rsidP="002800BD">
            <w:pPr>
              <w:keepNext/>
              <w:widowControl w:val="0"/>
              <w:spacing w:before="60"/>
              <w:jc w:val="center"/>
              <w:rPr>
                <w:rFonts w:ascii="Arial" w:eastAsia="MS Mincho" w:hAnsi="Arial" w:cs="Arial"/>
                <w:b/>
                <w:sz w:val="22"/>
                <w:szCs w:val="22"/>
              </w:rPr>
            </w:pPr>
          </w:p>
        </w:tc>
        <w:tc>
          <w:tcPr>
            <w:tcW w:w="1768" w:type="pct"/>
            <w:gridSpan w:val="2"/>
            <w:tcBorders>
              <w:left w:val="single" w:sz="4" w:space="0" w:color="auto"/>
            </w:tcBorders>
            <w:vAlign w:val="center"/>
          </w:tcPr>
          <w:p w14:paraId="712C2856" w14:textId="77777777" w:rsidR="008913AB" w:rsidRPr="003A5EE1" w:rsidRDefault="008913AB" w:rsidP="002800BD">
            <w:pPr>
              <w:keepNext/>
              <w:widowControl w:val="0"/>
              <w:autoSpaceDE w:val="0"/>
              <w:autoSpaceDN w:val="0"/>
              <w:adjustRightInd w:val="0"/>
              <w:jc w:val="center"/>
              <w:rPr>
                <w:rFonts w:ascii="Arial" w:eastAsia="MS Mincho" w:hAnsi="Arial" w:cs="Arial"/>
                <w:sz w:val="22"/>
                <w:szCs w:val="22"/>
              </w:rPr>
            </w:pPr>
            <w:r w:rsidRPr="003A5EE1">
              <w:rPr>
                <w:rFonts w:ascii="Arial" w:eastAsia="Batang" w:hAnsi="Arial" w:cs="Arial"/>
                <w:b/>
                <w:bCs/>
                <w:sz w:val="22"/>
                <w:szCs w:val="22"/>
                <w:lang w:eastAsia="ko-KR"/>
              </w:rPr>
              <w:t>Grade</w:t>
            </w:r>
          </w:p>
        </w:tc>
        <w:tc>
          <w:tcPr>
            <w:tcW w:w="1765" w:type="pct"/>
            <w:gridSpan w:val="2"/>
            <w:vAlign w:val="center"/>
          </w:tcPr>
          <w:p w14:paraId="712C2857" w14:textId="77777777" w:rsidR="008913AB" w:rsidRPr="003A5EE1" w:rsidRDefault="008913AB" w:rsidP="002800BD">
            <w:pPr>
              <w:keepNext/>
              <w:widowControl w:val="0"/>
              <w:autoSpaceDE w:val="0"/>
              <w:autoSpaceDN w:val="0"/>
              <w:adjustRightInd w:val="0"/>
              <w:jc w:val="center"/>
              <w:rPr>
                <w:rFonts w:ascii="Arial" w:eastAsia="MS Mincho" w:hAnsi="Arial" w:cs="Arial"/>
                <w:sz w:val="22"/>
                <w:szCs w:val="22"/>
              </w:rPr>
            </w:pPr>
            <w:r w:rsidRPr="003A5EE1">
              <w:rPr>
                <w:rFonts w:ascii="Arial" w:eastAsia="Batang" w:hAnsi="Arial" w:cs="Arial"/>
                <w:b/>
                <w:bCs/>
                <w:sz w:val="22"/>
                <w:szCs w:val="22"/>
                <w:lang w:eastAsia="ko-KR"/>
              </w:rPr>
              <w:t>Grade</w:t>
            </w:r>
          </w:p>
        </w:tc>
      </w:tr>
      <w:tr w:rsidR="008913AB" w:rsidRPr="003A5EE1" w14:paraId="712C2862" w14:textId="77777777" w:rsidTr="00D557DD">
        <w:trPr>
          <w:trHeight w:val="576"/>
          <w:tblHeader/>
        </w:trPr>
        <w:tc>
          <w:tcPr>
            <w:tcW w:w="1467" w:type="pct"/>
            <w:vMerge/>
            <w:tcBorders>
              <w:left w:val="single" w:sz="4" w:space="0" w:color="auto"/>
              <w:bottom w:val="single" w:sz="4" w:space="0" w:color="auto"/>
              <w:right w:val="single" w:sz="4" w:space="0" w:color="auto"/>
            </w:tcBorders>
            <w:vAlign w:val="center"/>
          </w:tcPr>
          <w:p w14:paraId="712C2859" w14:textId="77777777" w:rsidR="008913AB" w:rsidRPr="003A5EE1" w:rsidRDefault="008913AB" w:rsidP="002800BD">
            <w:pPr>
              <w:keepNext/>
              <w:widowControl w:val="0"/>
              <w:spacing w:before="60"/>
              <w:jc w:val="center"/>
              <w:rPr>
                <w:rFonts w:ascii="Arial" w:eastAsia="MS Mincho" w:hAnsi="Arial" w:cs="Arial"/>
                <w:b/>
                <w:sz w:val="22"/>
                <w:szCs w:val="22"/>
              </w:rPr>
            </w:pPr>
          </w:p>
        </w:tc>
        <w:tc>
          <w:tcPr>
            <w:tcW w:w="885" w:type="pct"/>
            <w:tcBorders>
              <w:left w:val="single" w:sz="4" w:space="0" w:color="auto"/>
            </w:tcBorders>
            <w:vAlign w:val="center"/>
          </w:tcPr>
          <w:p w14:paraId="712C285A"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14:paraId="712C285B"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883" w:type="pct"/>
            <w:vAlign w:val="center"/>
          </w:tcPr>
          <w:p w14:paraId="712C285C"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 3</w:t>
            </w:r>
          </w:p>
          <w:p w14:paraId="712C285D"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883" w:type="pct"/>
            <w:vAlign w:val="center"/>
          </w:tcPr>
          <w:p w14:paraId="712C285E"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14:paraId="712C285F"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882" w:type="pct"/>
            <w:vAlign w:val="center"/>
          </w:tcPr>
          <w:p w14:paraId="712C2860"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 3</w:t>
            </w:r>
          </w:p>
          <w:p w14:paraId="712C2861" w14:textId="77777777" w:rsidR="008913AB" w:rsidRPr="003A5EE1" w:rsidRDefault="008913AB"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r>
      <w:tr w:rsidR="0097062A" w:rsidRPr="003A5EE1" w14:paraId="712C2878" w14:textId="77777777" w:rsidTr="00D557DD">
        <w:trPr>
          <w:trHeight w:val="576"/>
        </w:trPr>
        <w:tc>
          <w:tcPr>
            <w:tcW w:w="1467" w:type="pct"/>
          </w:tcPr>
          <w:p w14:paraId="712C2863" w14:textId="77777777"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General disorders and administration site conditions</w:t>
            </w:r>
          </w:p>
          <w:p w14:paraId="712C2864" w14:textId="77777777" w:rsidR="003B41B2" w:rsidRPr="003A5EE1" w:rsidRDefault="003B41B2" w:rsidP="002800BD">
            <w:pPr>
              <w:widowControl w:val="0"/>
              <w:tabs>
                <w:tab w:val="left" w:pos="180"/>
              </w:tabs>
              <w:rPr>
                <w:rFonts w:ascii="Arial" w:hAnsi="Arial" w:cs="Arial"/>
                <w:snapToGrid w:val="0"/>
                <w:sz w:val="22"/>
                <w:szCs w:val="22"/>
                <w:lang w:eastAsia="de-DE"/>
              </w:rPr>
            </w:pPr>
            <w:r w:rsidRPr="003A5EE1">
              <w:rPr>
                <w:rFonts w:ascii="Arial" w:hAnsi="Arial" w:cs="Arial"/>
                <w:snapToGrid w:val="0"/>
                <w:sz w:val="22"/>
                <w:szCs w:val="22"/>
                <w:lang w:eastAsia="de-DE"/>
              </w:rPr>
              <w:t>Asthenia/fatigue</w:t>
            </w:r>
          </w:p>
          <w:p w14:paraId="712C2865" w14:textId="77777777" w:rsidR="003B41B2" w:rsidRPr="003A5EE1" w:rsidRDefault="003B41B2" w:rsidP="002800BD">
            <w:pPr>
              <w:widowControl w:val="0"/>
              <w:tabs>
                <w:tab w:val="left" w:pos="180"/>
              </w:tabs>
              <w:rPr>
                <w:rFonts w:ascii="Arial" w:hAnsi="Arial" w:cs="Arial"/>
                <w:snapToGrid w:val="0"/>
                <w:sz w:val="22"/>
                <w:szCs w:val="22"/>
                <w:lang w:eastAsia="de-DE"/>
              </w:rPr>
            </w:pPr>
            <w:r w:rsidRPr="003A5EE1">
              <w:rPr>
                <w:rFonts w:ascii="Arial" w:hAnsi="Arial" w:cs="Arial"/>
                <w:snapToGrid w:val="0"/>
                <w:sz w:val="22"/>
                <w:szCs w:val="22"/>
                <w:lang w:eastAsia="de-DE"/>
              </w:rPr>
              <w:t>Pain</w:t>
            </w:r>
          </w:p>
          <w:p w14:paraId="712C2866" w14:textId="77777777" w:rsidR="003B41B2" w:rsidRPr="003A5EE1" w:rsidRDefault="003B41B2" w:rsidP="002800BD">
            <w:pPr>
              <w:widowControl w:val="0"/>
              <w:rPr>
                <w:rFonts w:ascii="Arial" w:hAnsi="Arial" w:cs="Arial"/>
                <w:snapToGrid w:val="0"/>
                <w:sz w:val="22"/>
                <w:szCs w:val="22"/>
                <w:lang w:eastAsia="de-DE"/>
              </w:rPr>
            </w:pPr>
            <w:r w:rsidRPr="003A5EE1">
              <w:rPr>
                <w:rFonts w:ascii="Arial" w:hAnsi="Arial" w:cs="Arial"/>
                <w:snapToGrid w:val="0"/>
                <w:sz w:val="22"/>
                <w:szCs w:val="22"/>
                <w:lang w:eastAsia="de-DE"/>
              </w:rPr>
              <w:t>Fever</w:t>
            </w:r>
          </w:p>
          <w:p w14:paraId="712C2867" w14:textId="77777777" w:rsidR="00A44C23" w:rsidRPr="003A5EE1" w:rsidRDefault="00A44C23" w:rsidP="002800BD">
            <w:pPr>
              <w:widowControl w:val="0"/>
              <w:rPr>
                <w:rFonts w:ascii="Arial" w:eastAsia="MS Mincho" w:hAnsi="Arial" w:cs="Arial"/>
                <w:sz w:val="22"/>
                <w:szCs w:val="22"/>
              </w:rPr>
            </w:pPr>
            <w:r w:rsidRPr="003A5EE1">
              <w:rPr>
                <w:rFonts w:ascii="Arial" w:eastAsia="MS Mincho" w:hAnsi="Arial" w:cs="Arial"/>
                <w:sz w:val="22"/>
                <w:szCs w:val="22"/>
              </w:rPr>
              <w:t>Mucosal inflammation</w:t>
            </w:r>
          </w:p>
        </w:tc>
        <w:tc>
          <w:tcPr>
            <w:tcW w:w="885" w:type="pct"/>
            <w:vAlign w:val="bottom"/>
          </w:tcPr>
          <w:p w14:paraId="712C2868" w14:textId="77777777"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64</w:t>
            </w:r>
          </w:p>
          <w:p w14:paraId="712C2869" w14:textId="06DC093C" w:rsidR="003B41B2" w:rsidRPr="003A5EE1" w:rsidRDefault="00642F10" w:rsidP="002800BD">
            <w:pPr>
              <w:widowControl w:val="0"/>
              <w:tabs>
                <w:tab w:val="left" w:pos="180"/>
              </w:tabs>
              <w:jc w:val="center"/>
              <w:rPr>
                <w:rFonts w:ascii="Arial" w:hAnsi="Arial" w:cs="Arial"/>
                <w:snapToGrid w:val="0"/>
                <w:sz w:val="22"/>
                <w:szCs w:val="22"/>
                <w:lang w:eastAsia="de-DE"/>
              </w:rPr>
            </w:pPr>
            <w:r>
              <w:rPr>
                <w:rFonts w:ascii="Arial" w:hAnsi="Arial" w:cs="Arial"/>
                <w:snapToGrid w:val="0"/>
                <w:sz w:val="22"/>
                <w:szCs w:val="22"/>
                <w:lang w:eastAsia="de-DE"/>
              </w:rPr>
              <w:t>59</w:t>
            </w:r>
          </w:p>
          <w:p w14:paraId="712C286A" w14:textId="77777777"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28</w:t>
            </w:r>
          </w:p>
          <w:p w14:paraId="712C286B" w14:textId="77777777" w:rsidR="00A44C23" w:rsidRPr="003A5EE1" w:rsidRDefault="00A44C23"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16</w:t>
            </w:r>
          </w:p>
        </w:tc>
        <w:tc>
          <w:tcPr>
            <w:tcW w:w="883" w:type="pct"/>
            <w:vAlign w:val="bottom"/>
          </w:tcPr>
          <w:p w14:paraId="712C286C" w14:textId="77777777"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15</w:t>
            </w:r>
          </w:p>
          <w:p w14:paraId="712C286D" w14:textId="425AFE11" w:rsidR="003B41B2" w:rsidRPr="003A5EE1" w:rsidRDefault="00642F10" w:rsidP="002800BD">
            <w:pPr>
              <w:widowControl w:val="0"/>
              <w:tabs>
                <w:tab w:val="left" w:pos="180"/>
              </w:tabs>
              <w:jc w:val="center"/>
              <w:rPr>
                <w:rFonts w:ascii="Arial" w:hAnsi="Arial" w:cs="Arial"/>
                <w:snapToGrid w:val="0"/>
                <w:sz w:val="22"/>
                <w:szCs w:val="22"/>
                <w:lang w:eastAsia="de-DE"/>
              </w:rPr>
            </w:pPr>
            <w:r>
              <w:rPr>
                <w:rFonts w:ascii="Arial" w:hAnsi="Arial" w:cs="Arial"/>
                <w:snapToGrid w:val="0"/>
                <w:sz w:val="22"/>
                <w:szCs w:val="22"/>
                <w:lang w:eastAsia="de-DE"/>
              </w:rPr>
              <w:t>9</w:t>
            </w:r>
          </w:p>
          <w:p w14:paraId="712C286E" w14:textId="77777777" w:rsidR="003B41B2" w:rsidRPr="003A5EE1" w:rsidRDefault="003B41B2" w:rsidP="002800BD">
            <w:pPr>
              <w:widowControl w:val="0"/>
              <w:tabs>
                <w:tab w:val="left" w:pos="180"/>
              </w:tabs>
              <w:jc w:val="center"/>
              <w:rPr>
                <w:rFonts w:ascii="Arial" w:eastAsia="MS Mincho" w:hAnsi="Arial" w:cs="Arial"/>
                <w:sz w:val="22"/>
                <w:szCs w:val="22"/>
              </w:rPr>
            </w:pPr>
            <w:r w:rsidRPr="003A5EE1">
              <w:rPr>
                <w:rFonts w:ascii="Arial" w:eastAsia="MS Mincho" w:hAnsi="Arial" w:cs="Arial"/>
                <w:sz w:val="22"/>
                <w:szCs w:val="22"/>
              </w:rPr>
              <w:t>2</w:t>
            </w:r>
          </w:p>
          <w:p w14:paraId="712C286F" w14:textId="77777777" w:rsidR="00A44C23" w:rsidRPr="003A5EE1" w:rsidRDefault="00A44C23" w:rsidP="002800BD">
            <w:pPr>
              <w:widowControl w:val="0"/>
              <w:tabs>
                <w:tab w:val="left" w:pos="180"/>
              </w:tabs>
              <w:jc w:val="center"/>
              <w:rPr>
                <w:rFonts w:ascii="Arial" w:eastAsia="MS Mincho" w:hAnsi="Arial" w:cs="Arial"/>
                <w:sz w:val="22"/>
                <w:szCs w:val="22"/>
              </w:rPr>
            </w:pPr>
            <w:r w:rsidRPr="003A5EE1">
              <w:rPr>
                <w:rFonts w:ascii="Arial" w:eastAsia="MS Mincho" w:hAnsi="Arial" w:cs="Arial"/>
                <w:sz w:val="22"/>
                <w:szCs w:val="22"/>
              </w:rPr>
              <w:t>2</w:t>
            </w:r>
          </w:p>
        </w:tc>
        <w:tc>
          <w:tcPr>
            <w:tcW w:w="883" w:type="pct"/>
            <w:vAlign w:val="bottom"/>
          </w:tcPr>
          <w:p w14:paraId="712C2870" w14:textId="77777777"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46</w:t>
            </w:r>
          </w:p>
          <w:p w14:paraId="712C2871" w14:textId="37D19FA7" w:rsidR="003B41B2" w:rsidRPr="003A5EE1" w:rsidRDefault="00642F10" w:rsidP="002800BD">
            <w:pPr>
              <w:widowControl w:val="0"/>
              <w:jc w:val="center"/>
              <w:rPr>
                <w:rFonts w:ascii="Arial" w:eastAsia="MS Mincho" w:hAnsi="Arial" w:cs="Arial"/>
                <w:sz w:val="22"/>
                <w:szCs w:val="22"/>
              </w:rPr>
            </w:pPr>
            <w:r>
              <w:rPr>
                <w:rFonts w:ascii="Arial" w:eastAsia="MS Mincho" w:hAnsi="Arial" w:cs="Arial"/>
                <w:sz w:val="22"/>
                <w:szCs w:val="22"/>
              </w:rPr>
              <w:t>48</w:t>
            </w:r>
          </w:p>
          <w:p w14:paraId="712C2872" w14:textId="77777777"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15</w:t>
            </w:r>
          </w:p>
          <w:p w14:paraId="712C2873" w14:textId="77777777" w:rsidR="00A44C23" w:rsidRPr="003A5EE1" w:rsidRDefault="00A44C23" w:rsidP="002800BD">
            <w:pPr>
              <w:widowControl w:val="0"/>
              <w:jc w:val="center"/>
              <w:rPr>
                <w:rFonts w:ascii="Arial" w:eastAsia="MS Mincho" w:hAnsi="Arial" w:cs="Arial"/>
                <w:sz w:val="22"/>
                <w:szCs w:val="22"/>
              </w:rPr>
            </w:pPr>
            <w:r w:rsidRPr="003A5EE1">
              <w:rPr>
                <w:rFonts w:ascii="Arial" w:eastAsia="MS Mincho" w:hAnsi="Arial" w:cs="Arial"/>
                <w:sz w:val="22"/>
                <w:szCs w:val="22"/>
              </w:rPr>
              <w:t>2</w:t>
            </w:r>
          </w:p>
        </w:tc>
        <w:tc>
          <w:tcPr>
            <w:tcW w:w="882" w:type="pct"/>
            <w:vAlign w:val="bottom"/>
          </w:tcPr>
          <w:p w14:paraId="712C2874" w14:textId="77777777" w:rsidR="003B41B2" w:rsidRPr="003A5EE1" w:rsidRDefault="00F159F4" w:rsidP="002800BD">
            <w:pPr>
              <w:widowControl w:val="0"/>
              <w:jc w:val="center"/>
              <w:rPr>
                <w:rFonts w:ascii="Arial" w:eastAsia="MS Mincho" w:hAnsi="Arial" w:cs="Arial"/>
                <w:sz w:val="22"/>
                <w:szCs w:val="22"/>
              </w:rPr>
            </w:pPr>
            <w:r w:rsidRPr="003A5EE1">
              <w:rPr>
                <w:rFonts w:ascii="Arial" w:eastAsia="MS Mincho" w:hAnsi="Arial" w:cs="Arial"/>
                <w:sz w:val="22"/>
                <w:szCs w:val="22"/>
              </w:rPr>
              <w:t>11</w:t>
            </w:r>
          </w:p>
          <w:p w14:paraId="712C2875" w14:textId="7FE69C76" w:rsidR="003B41B2" w:rsidRPr="003A5EE1" w:rsidRDefault="00642F10" w:rsidP="002800BD">
            <w:pPr>
              <w:widowControl w:val="0"/>
              <w:jc w:val="center"/>
              <w:rPr>
                <w:rFonts w:ascii="Arial" w:eastAsia="MS Mincho" w:hAnsi="Arial" w:cs="Arial"/>
                <w:sz w:val="22"/>
                <w:szCs w:val="22"/>
              </w:rPr>
            </w:pPr>
            <w:r>
              <w:rPr>
                <w:rFonts w:ascii="Arial" w:eastAsia="MS Mincho" w:hAnsi="Arial" w:cs="Arial"/>
                <w:sz w:val="22"/>
                <w:szCs w:val="22"/>
              </w:rPr>
              <w:t>6</w:t>
            </w:r>
          </w:p>
          <w:p w14:paraId="712C2876" w14:textId="77777777"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0</w:t>
            </w:r>
          </w:p>
          <w:p w14:paraId="712C2877" w14:textId="77777777" w:rsidR="00A44C23" w:rsidRPr="003A5EE1" w:rsidRDefault="00A44C23" w:rsidP="002800BD">
            <w:pPr>
              <w:widowControl w:val="0"/>
              <w:jc w:val="center"/>
              <w:rPr>
                <w:rFonts w:ascii="Arial" w:eastAsia="MS Mincho" w:hAnsi="Arial" w:cs="Arial"/>
                <w:sz w:val="22"/>
                <w:szCs w:val="22"/>
              </w:rPr>
            </w:pPr>
            <w:r w:rsidRPr="003A5EE1">
              <w:rPr>
                <w:rFonts w:ascii="Arial" w:eastAsia="MS Mincho" w:hAnsi="Arial" w:cs="Arial"/>
                <w:sz w:val="22"/>
                <w:szCs w:val="22"/>
              </w:rPr>
              <w:t>0</w:t>
            </w:r>
          </w:p>
        </w:tc>
      </w:tr>
      <w:tr w:rsidR="0097062A" w:rsidRPr="003A5EE1" w14:paraId="712C287F" w14:textId="77777777" w:rsidTr="00D557DD">
        <w:trPr>
          <w:trHeight w:val="576"/>
        </w:trPr>
        <w:tc>
          <w:tcPr>
            <w:tcW w:w="1467" w:type="pct"/>
          </w:tcPr>
          <w:p w14:paraId="712C2879" w14:textId="77777777" w:rsidR="003B41B2" w:rsidRPr="003A5EE1" w:rsidRDefault="003B41B2" w:rsidP="002800BD">
            <w:pPr>
              <w:widowControl w:val="0"/>
              <w:rPr>
                <w:rFonts w:ascii="Arial" w:hAnsi="Arial" w:cs="Arial"/>
                <w:snapToGrid w:val="0"/>
                <w:sz w:val="22"/>
                <w:szCs w:val="22"/>
                <w:lang w:eastAsia="de-DE"/>
              </w:rPr>
            </w:pPr>
            <w:r w:rsidRPr="003A5EE1">
              <w:rPr>
                <w:rFonts w:ascii="Arial" w:eastAsia="MS Mincho" w:hAnsi="Arial" w:cs="Arial"/>
                <w:b/>
                <w:sz w:val="22"/>
                <w:szCs w:val="22"/>
              </w:rPr>
              <w:t>Metabolism and nutrition disorders</w:t>
            </w:r>
          </w:p>
          <w:p w14:paraId="712C287A" w14:textId="77777777" w:rsidR="003B41B2" w:rsidRPr="003A5EE1" w:rsidRDefault="003B41B2" w:rsidP="002800BD">
            <w:pPr>
              <w:widowControl w:val="0"/>
              <w:rPr>
                <w:rFonts w:ascii="Arial" w:eastAsia="MS Mincho" w:hAnsi="Arial" w:cs="Arial"/>
                <w:sz w:val="22"/>
                <w:szCs w:val="22"/>
              </w:rPr>
            </w:pPr>
            <w:r w:rsidRPr="003A5EE1">
              <w:rPr>
                <w:rFonts w:ascii="Arial" w:hAnsi="Arial" w:cs="Arial"/>
                <w:snapToGrid w:val="0"/>
                <w:sz w:val="22"/>
                <w:szCs w:val="22"/>
                <w:lang w:eastAsia="de-DE"/>
              </w:rPr>
              <w:t xml:space="preserve">Decreased appetite and food intake </w:t>
            </w:r>
          </w:p>
        </w:tc>
        <w:tc>
          <w:tcPr>
            <w:tcW w:w="885" w:type="pct"/>
            <w:vAlign w:val="bottom"/>
          </w:tcPr>
          <w:p w14:paraId="712C287B"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47</w:t>
            </w:r>
          </w:p>
        </w:tc>
        <w:tc>
          <w:tcPr>
            <w:tcW w:w="883" w:type="pct"/>
            <w:vAlign w:val="bottom"/>
          </w:tcPr>
          <w:p w14:paraId="712C287C"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5</w:t>
            </w:r>
          </w:p>
        </w:tc>
        <w:tc>
          <w:tcPr>
            <w:tcW w:w="883" w:type="pct"/>
            <w:vAlign w:val="bottom"/>
          </w:tcPr>
          <w:p w14:paraId="712C287D"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28</w:t>
            </w:r>
          </w:p>
        </w:tc>
        <w:tc>
          <w:tcPr>
            <w:tcW w:w="882" w:type="pct"/>
            <w:vAlign w:val="bottom"/>
          </w:tcPr>
          <w:p w14:paraId="712C287E"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4</w:t>
            </w:r>
          </w:p>
        </w:tc>
      </w:tr>
      <w:tr w:rsidR="0097062A" w:rsidRPr="003A5EE1" w14:paraId="712C288B" w14:textId="77777777" w:rsidTr="00D557DD">
        <w:trPr>
          <w:trHeight w:val="432"/>
        </w:trPr>
        <w:tc>
          <w:tcPr>
            <w:tcW w:w="1467" w:type="pct"/>
            <w:tcBorders>
              <w:top w:val="single" w:sz="4" w:space="0" w:color="auto"/>
            </w:tcBorders>
          </w:tcPr>
          <w:p w14:paraId="712C2880" w14:textId="77777777"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Skin and subcutaneous tissue disorders</w:t>
            </w:r>
          </w:p>
          <w:p w14:paraId="712C2881" w14:textId="77777777" w:rsidR="003B41B2" w:rsidRPr="003A5EE1" w:rsidRDefault="003B41B2" w:rsidP="002800BD">
            <w:pPr>
              <w:widowControl w:val="0"/>
              <w:rPr>
                <w:rFonts w:ascii="Arial" w:hAnsi="Arial" w:cs="Arial"/>
                <w:snapToGrid w:val="0"/>
                <w:sz w:val="22"/>
                <w:szCs w:val="22"/>
                <w:lang w:eastAsia="de-DE"/>
              </w:rPr>
            </w:pPr>
            <w:r w:rsidRPr="003A5EE1">
              <w:rPr>
                <w:rFonts w:ascii="Arial" w:hAnsi="Arial" w:cs="Arial"/>
                <w:snapToGrid w:val="0"/>
                <w:sz w:val="22"/>
                <w:szCs w:val="22"/>
                <w:lang w:eastAsia="de-DE"/>
              </w:rPr>
              <w:t>HFSR/PPE</w:t>
            </w:r>
          </w:p>
          <w:p w14:paraId="712C2882" w14:textId="77777777" w:rsidR="003B41B2" w:rsidRPr="003A5EE1" w:rsidRDefault="003B41B2" w:rsidP="002800BD">
            <w:pPr>
              <w:widowControl w:val="0"/>
              <w:rPr>
                <w:rFonts w:ascii="Arial" w:eastAsia="MS Mincho" w:hAnsi="Arial" w:cs="Arial"/>
                <w:b/>
                <w:sz w:val="22"/>
                <w:szCs w:val="22"/>
              </w:rPr>
            </w:pPr>
            <w:r w:rsidRPr="003A5EE1">
              <w:rPr>
                <w:rFonts w:ascii="Arial" w:hAnsi="Arial" w:cs="Arial"/>
                <w:snapToGrid w:val="0"/>
                <w:sz w:val="22"/>
                <w:szCs w:val="22"/>
                <w:lang w:eastAsia="de-DE"/>
              </w:rPr>
              <w:t>Rash</w:t>
            </w:r>
          </w:p>
        </w:tc>
        <w:tc>
          <w:tcPr>
            <w:tcW w:w="885" w:type="pct"/>
            <w:vAlign w:val="bottom"/>
          </w:tcPr>
          <w:p w14:paraId="712C2883"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45</w:t>
            </w:r>
          </w:p>
          <w:p w14:paraId="712C2884"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26</w:t>
            </w:r>
          </w:p>
        </w:tc>
        <w:tc>
          <w:tcPr>
            <w:tcW w:w="883" w:type="pct"/>
            <w:vAlign w:val="bottom"/>
          </w:tcPr>
          <w:p w14:paraId="712C2885"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17</w:t>
            </w:r>
          </w:p>
          <w:p w14:paraId="712C2886"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6</w:t>
            </w:r>
          </w:p>
        </w:tc>
        <w:tc>
          <w:tcPr>
            <w:tcW w:w="883" w:type="pct"/>
            <w:vAlign w:val="bottom"/>
          </w:tcPr>
          <w:p w14:paraId="712C2887" w14:textId="77777777"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7</w:t>
            </w:r>
          </w:p>
          <w:p w14:paraId="712C2888"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4</w:t>
            </w:r>
          </w:p>
        </w:tc>
        <w:tc>
          <w:tcPr>
            <w:tcW w:w="882" w:type="pct"/>
            <w:vAlign w:val="bottom"/>
          </w:tcPr>
          <w:p w14:paraId="712C2889" w14:textId="77777777"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0</w:t>
            </w:r>
          </w:p>
          <w:p w14:paraId="712C288A"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&lt;1</w:t>
            </w:r>
          </w:p>
        </w:tc>
      </w:tr>
      <w:tr w:rsidR="0097062A" w:rsidRPr="003A5EE1" w14:paraId="712C289B" w14:textId="77777777" w:rsidTr="00D557DD">
        <w:trPr>
          <w:trHeight w:val="432"/>
        </w:trPr>
        <w:tc>
          <w:tcPr>
            <w:tcW w:w="1467" w:type="pct"/>
            <w:tcBorders>
              <w:top w:val="single" w:sz="4" w:space="0" w:color="auto"/>
            </w:tcBorders>
          </w:tcPr>
          <w:p w14:paraId="712C288C" w14:textId="77777777" w:rsidR="00C162D8" w:rsidRPr="003A5EE1" w:rsidRDefault="003B41B2" w:rsidP="002800BD">
            <w:pPr>
              <w:widowControl w:val="0"/>
              <w:rPr>
                <w:rFonts w:ascii="Arial" w:eastAsia="MS Mincho" w:hAnsi="Arial" w:cs="Arial"/>
                <w:sz w:val="22"/>
                <w:szCs w:val="22"/>
              </w:rPr>
            </w:pPr>
            <w:r w:rsidRPr="003A5EE1">
              <w:rPr>
                <w:rFonts w:ascii="Arial" w:eastAsia="MS Mincho" w:hAnsi="Arial" w:cs="Arial"/>
                <w:b/>
                <w:sz w:val="22"/>
                <w:szCs w:val="22"/>
              </w:rPr>
              <w:lastRenderedPageBreak/>
              <w:t>Gastrointestinal disorders</w:t>
            </w:r>
          </w:p>
          <w:p w14:paraId="712C288D" w14:textId="77777777" w:rsidR="00BF7776" w:rsidRPr="003A5EE1" w:rsidRDefault="00C162D8" w:rsidP="002800BD">
            <w:pPr>
              <w:widowControl w:val="0"/>
              <w:rPr>
                <w:rFonts w:ascii="Arial" w:eastAsia="MS Mincho" w:hAnsi="Arial" w:cs="Arial"/>
                <w:sz w:val="22"/>
                <w:szCs w:val="22"/>
              </w:rPr>
            </w:pPr>
            <w:r w:rsidRPr="003A5EE1">
              <w:rPr>
                <w:rFonts w:ascii="Arial" w:eastAsia="MS Mincho" w:hAnsi="Arial" w:cs="Arial"/>
                <w:sz w:val="22"/>
                <w:szCs w:val="22"/>
              </w:rPr>
              <w:t>Diarrhoea</w:t>
            </w:r>
          </w:p>
          <w:p w14:paraId="712C288E" w14:textId="77777777" w:rsidR="00A44C23" w:rsidRPr="003A5EE1" w:rsidRDefault="00A44C23" w:rsidP="002800BD">
            <w:pPr>
              <w:widowControl w:val="0"/>
              <w:rPr>
                <w:rFonts w:ascii="Arial" w:eastAsia="MS Mincho" w:hAnsi="Arial" w:cs="Arial"/>
                <w:b/>
                <w:sz w:val="22"/>
                <w:szCs w:val="22"/>
              </w:rPr>
            </w:pPr>
            <w:r w:rsidRPr="003A5EE1">
              <w:rPr>
                <w:rFonts w:ascii="Arial" w:eastAsia="MS Mincho" w:hAnsi="Arial" w:cs="Arial"/>
                <w:sz w:val="22"/>
                <w:szCs w:val="22"/>
              </w:rPr>
              <w:t>Stomatitis</w:t>
            </w:r>
          </w:p>
        </w:tc>
        <w:tc>
          <w:tcPr>
            <w:tcW w:w="885" w:type="pct"/>
            <w:vAlign w:val="bottom"/>
          </w:tcPr>
          <w:p w14:paraId="712C288F" w14:textId="77777777" w:rsidR="003B41B2" w:rsidRPr="003A5EE1" w:rsidRDefault="003B41B2" w:rsidP="002800BD">
            <w:pPr>
              <w:widowControl w:val="0"/>
              <w:jc w:val="center"/>
              <w:rPr>
                <w:rFonts w:ascii="Arial" w:hAnsi="Arial" w:cs="Arial"/>
                <w:snapToGrid w:val="0"/>
                <w:sz w:val="22"/>
                <w:szCs w:val="22"/>
                <w:lang w:eastAsia="de-DE"/>
              </w:rPr>
            </w:pPr>
          </w:p>
          <w:p w14:paraId="712C2890" w14:textId="77777777"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43</w:t>
            </w:r>
          </w:p>
          <w:p w14:paraId="712C2891" w14:textId="77777777"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18</w:t>
            </w:r>
          </w:p>
        </w:tc>
        <w:tc>
          <w:tcPr>
            <w:tcW w:w="883" w:type="pct"/>
            <w:vAlign w:val="bottom"/>
          </w:tcPr>
          <w:p w14:paraId="712C2892" w14:textId="77777777" w:rsidR="003B41B2" w:rsidRPr="003A5EE1" w:rsidRDefault="003B41B2" w:rsidP="002800BD">
            <w:pPr>
              <w:widowControl w:val="0"/>
              <w:jc w:val="center"/>
              <w:rPr>
                <w:rFonts w:ascii="Arial" w:hAnsi="Arial" w:cs="Arial"/>
                <w:snapToGrid w:val="0"/>
                <w:sz w:val="22"/>
                <w:szCs w:val="22"/>
                <w:lang w:eastAsia="de-DE"/>
              </w:rPr>
            </w:pPr>
          </w:p>
          <w:p w14:paraId="712C2893" w14:textId="77777777"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p w14:paraId="712C2894" w14:textId="77777777"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2</w:t>
            </w:r>
          </w:p>
        </w:tc>
        <w:tc>
          <w:tcPr>
            <w:tcW w:w="883" w:type="pct"/>
            <w:vAlign w:val="bottom"/>
          </w:tcPr>
          <w:p w14:paraId="712C2895" w14:textId="77777777" w:rsidR="003B41B2" w:rsidRPr="003A5EE1" w:rsidRDefault="003B41B2" w:rsidP="002800BD">
            <w:pPr>
              <w:widowControl w:val="0"/>
              <w:jc w:val="center"/>
              <w:rPr>
                <w:rFonts w:ascii="Arial" w:hAnsi="Arial" w:cs="Arial"/>
                <w:snapToGrid w:val="0"/>
                <w:sz w:val="22"/>
                <w:szCs w:val="22"/>
                <w:lang w:eastAsia="de-DE"/>
              </w:rPr>
            </w:pPr>
          </w:p>
          <w:p w14:paraId="712C2896" w14:textId="77777777"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17</w:t>
            </w:r>
          </w:p>
          <w:p w14:paraId="712C2897" w14:textId="77777777"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4</w:t>
            </w:r>
          </w:p>
        </w:tc>
        <w:tc>
          <w:tcPr>
            <w:tcW w:w="882" w:type="pct"/>
            <w:vAlign w:val="bottom"/>
          </w:tcPr>
          <w:p w14:paraId="712C2898" w14:textId="77777777" w:rsidR="003B41B2" w:rsidRPr="003A5EE1" w:rsidRDefault="003B41B2" w:rsidP="002800BD">
            <w:pPr>
              <w:widowControl w:val="0"/>
              <w:jc w:val="center"/>
              <w:rPr>
                <w:rFonts w:ascii="Arial" w:hAnsi="Arial" w:cs="Arial"/>
                <w:snapToGrid w:val="0"/>
                <w:sz w:val="22"/>
                <w:szCs w:val="22"/>
                <w:lang w:eastAsia="de-DE"/>
              </w:rPr>
            </w:pPr>
          </w:p>
          <w:p w14:paraId="712C2899" w14:textId="77777777"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2</w:t>
            </w:r>
          </w:p>
          <w:p w14:paraId="712C289A" w14:textId="77777777"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0</w:t>
            </w:r>
          </w:p>
        </w:tc>
      </w:tr>
      <w:tr w:rsidR="0097062A" w:rsidRPr="003A5EE1" w14:paraId="712C28A2" w14:textId="77777777" w:rsidTr="00D557DD">
        <w:trPr>
          <w:trHeight w:val="432"/>
        </w:trPr>
        <w:tc>
          <w:tcPr>
            <w:tcW w:w="1467" w:type="pct"/>
            <w:tcBorders>
              <w:top w:val="single" w:sz="4" w:space="0" w:color="auto"/>
            </w:tcBorders>
          </w:tcPr>
          <w:p w14:paraId="712C289C" w14:textId="77777777"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Investigations</w:t>
            </w:r>
          </w:p>
          <w:p w14:paraId="712C289D" w14:textId="77777777" w:rsidR="003B41B2" w:rsidRPr="003A5EE1" w:rsidRDefault="003B41B2" w:rsidP="002800BD">
            <w:pPr>
              <w:widowControl w:val="0"/>
              <w:rPr>
                <w:rFonts w:ascii="Arial" w:eastAsia="MS Mincho" w:hAnsi="Arial" w:cs="Arial"/>
                <w:b/>
                <w:sz w:val="22"/>
                <w:szCs w:val="22"/>
              </w:rPr>
            </w:pPr>
            <w:r w:rsidRPr="003A5EE1">
              <w:rPr>
                <w:rFonts w:ascii="Arial" w:hAnsi="Arial" w:cs="Arial"/>
                <w:snapToGrid w:val="0"/>
                <w:sz w:val="22"/>
                <w:szCs w:val="22"/>
                <w:lang w:eastAsia="de-DE"/>
              </w:rPr>
              <w:t>Weight loss</w:t>
            </w:r>
          </w:p>
        </w:tc>
        <w:tc>
          <w:tcPr>
            <w:tcW w:w="885" w:type="pct"/>
            <w:vAlign w:val="bottom"/>
          </w:tcPr>
          <w:p w14:paraId="712C289E"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32</w:t>
            </w:r>
          </w:p>
        </w:tc>
        <w:tc>
          <w:tcPr>
            <w:tcW w:w="883" w:type="pct"/>
            <w:vAlign w:val="bottom"/>
          </w:tcPr>
          <w:p w14:paraId="712C289F"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&lt;1</w:t>
            </w:r>
          </w:p>
        </w:tc>
        <w:tc>
          <w:tcPr>
            <w:tcW w:w="883" w:type="pct"/>
            <w:vAlign w:val="bottom"/>
          </w:tcPr>
          <w:p w14:paraId="712C28A0"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10</w:t>
            </w:r>
          </w:p>
        </w:tc>
        <w:tc>
          <w:tcPr>
            <w:tcW w:w="882" w:type="pct"/>
            <w:vAlign w:val="bottom"/>
          </w:tcPr>
          <w:p w14:paraId="712C28A1"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0</w:t>
            </w:r>
          </w:p>
        </w:tc>
      </w:tr>
      <w:tr w:rsidR="0097062A" w:rsidRPr="003A5EE1" w14:paraId="712C28A9" w14:textId="77777777" w:rsidTr="00D557DD">
        <w:trPr>
          <w:trHeight w:val="432"/>
        </w:trPr>
        <w:tc>
          <w:tcPr>
            <w:tcW w:w="1467" w:type="pct"/>
            <w:tcBorders>
              <w:top w:val="single" w:sz="4" w:space="0" w:color="auto"/>
            </w:tcBorders>
          </w:tcPr>
          <w:p w14:paraId="712C28A3" w14:textId="77777777"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Infections and infestations</w:t>
            </w:r>
          </w:p>
          <w:p w14:paraId="712C28A4" w14:textId="77777777" w:rsidR="003B41B2" w:rsidRPr="003A5EE1" w:rsidRDefault="003B41B2" w:rsidP="002800BD">
            <w:pPr>
              <w:keepNext/>
              <w:widowControl w:val="0"/>
              <w:spacing w:before="60"/>
              <w:rPr>
                <w:rFonts w:ascii="Arial" w:eastAsia="MS Mincho" w:hAnsi="Arial" w:cs="Arial"/>
                <w:sz w:val="22"/>
                <w:szCs w:val="22"/>
              </w:rPr>
            </w:pPr>
            <w:r w:rsidRPr="003A5EE1">
              <w:rPr>
                <w:rFonts w:ascii="Arial" w:eastAsia="MS Mincho" w:hAnsi="Arial" w:cs="Arial"/>
                <w:sz w:val="22"/>
                <w:szCs w:val="22"/>
              </w:rPr>
              <w:t>Infection</w:t>
            </w:r>
          </w:p>
        </w:tc>
        <w:tc>
          <w:tcPr>
            <w:tcW w:w="885" w:type="pct"/>
            <w:vAlign w:val="bottom"/>
          </w:tcPr>
          <w:p w14:paraId="712C28A5"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31</w:t>
            </w:r>
          </w:p>
        </w:tc>
        <w:tc>
          <w:tcPr>
            <w:tcW w:w="883" w:type="pct"/>
            <w:vAlign w:val="bottom"/>
          </w:tcPr>
          <w:p w14:paraId="712C28A6"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9</w:t>
            </w:r>
          </w:p>
        </w:tc>
        <w:tc>
          <w:tcPr>
            <w:tcW w:w="883" w:type="pct"/>
            <w:vAlign w:val="bottom"/>
          </w:tcPr>
          <w:p w14:paraId="712C28A7"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17</w:t>
            </w:r>
          </w:p>
        </w:tc>
        <w:tc>
          <w:tcPr>
            <w:tcW w:w="882" w:type="pct"/>
            <w:vAlign w:val="bottom"/>
          </w:tcPr>
          <w:p w14:paraId="712C28A8" w14:textId="77777777"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6</w:t>
            </w:r>
          </w:p>
        </w:tc>
      </w:tr>
      <w:tr w:rsidR="0097062A" w:rsidRPr="003A5EE1" w14:paraId="712C28B9" w14:textId="77777777" w:rsidTr="00D557DD">
        <w:trPr>
          <w:trHeight w:val="576"/>
        </w:trPr>
        <w:tc>
          <w:tcPr>
            <w:tcW w:w="1467" w:type="pct"/>
          </w:tcPr>
          <w:p w14:paraId="712C28AA" w14:textId="77777777"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Vascular disorders</w:t>
            </w:r>
          </w:p>
          <w:p w14:paraId="712C28AB" w14:textId="77777777" w:rsidR="003B41B2" w:rsidRPr="003A5EE1" w:rsidRDefault="003B41B2" w:rsidP="002800BD">
            <w:pPr>
              <w:widowControl w:val="0"/>
              <w:rPr>
                <w:rFonts w:ascii="Arial" w:eastAsia="MS Mincho" w:hAnsi="Arial" w:cs="Arial"/>
                <w:sz w:val="22"/>
                <w:szCs w:val="22"/>
              </w:rPr>
            </w:pPr>
            <w:r w:rsidRPr="003A5EE1">
              <w:rPr>
                <w:rFonts w:ascii="Arial" w:eastAsia="MS Mincho" w:hAnsi="Arial" w:cs="Arial"/>
                <w:sz w:val="22"/>
                <w:szCs w:val="22"/>
              </w:rPr>
              <w:t>Hypertension</w:t>
            </w:r>
          </w:p>
          <w:p w14:paraId="712C28AC" w14:textId="77777777" w:rsidR="003B41B2" w:rsidRPr="003A5EE1" w:rsidDel="00A91F30" w:rsidRDefault="003B41B2" w:rsidP="002800BD">
            <w:pPr>
              <w:widowControl w:val="0"/>
              <w:rPr>
                <w:rFonts w:ascii="Arial" w:eastAsia="MS Mincho" w:hAnsi="Arial" w:cs="Arial"/>
                <w:b/>
                <w:sz w:val="22"/>
                <w:szCs w:val="22"/>
              </w:rPr>
            </w:pPr>
            <w:r w:rsidRPr="003A5EE1">
              <w:rPr>
                <w:rFonts w:ascii="Arial" w:eastAsia="MS Mincho" w:hAnsi="Arial" w:cs="Arial"/>
                <w:sz w:val="22"/>
                <w:szCs w:val="22"/>
              </w:rPr>
              <w:t>H</w:t>
            </w:r>
            <w:r w:rsidR="00E03A8B">
              <w:rPr>
                <w:rFonts w:ascii="Arial" w:eastAsia="MS Mincho" w:hAnsi="Arial" w:cs="Arial"/>
                <w:sz w:val="22"/>
                <w:szCs w:val="22"/>
              </w:rPr>
              <w:t>a</w:t>
            </w:r>
            <w:r w:rsidRPr="003A5EE1">
              <w:rPr>
                <w:rFonts w:ascii="Arial" w:eastAsia="MS Mincho" w:hAnsi="Arial" w:cs="Arial"/>
                <w:sz w:val="22"/>
                <w:szCs w:val="22"/>
              </w:rPr>
              <w:t>emorrhage*</w:t>
            </w:r>
          </w:p>
        </w:tc>
        <w:tc>
          <w:tcPr>
            <w:tcW w:w="885" w:type="pct"/>
            <w:vAlign w:val="bottom"/>
          </w:tcPr>
          <w:p w14:paraId="712C28AD" w14:textId="77777777" w:rsidR="006B1A56" w:rsidRPr="003A5EE1" w:rsidRDefault="006B1A56" w:rsidP="002800BD">
            <w:pPr>
              <w:widowControl w:val="0"/>
              <w:jc w:val="center"/>
              <w:rPr>
                <w:rFonts w:ascii="Arial" w:hAnsi="Arial" w:cs="Arial"/>
                <w:snapToGrid w:val="0"/>
                <w:sz w:val="22"/>
                <w:szCs w:val="22"/>
                <w:lang w:eastAsia="de-DE"/>
              </w:rPr>
            </w:pPr>
          </w:p>
          <w:p w14:paraId="712C28AE"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30</w:t>
            </w:r>
          </w:p>
          <w:p w14:paraId="712C28AF"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21</w:t>
            </w:r>
          </w:p>
        </w:tc>
        <w:tc>
          <w:tcPr>
            <w:tcW w:w="883" w:type="pct"/>
            <w:vAlign w:val="bottom"/>
          </w:tcPr>
          <w:p w14:paraId="712C28B0" w14:textId="77777777" w:rsidR="006B1A56" w:rsidRPr="003A5EE1" w:rsidRDefault="006B1A56" w:rsidP="002800BD">
            <w:pPr>
              <w:widowControl w:val="0"/>
              <w:jc w:val="center"/>
              <w:rPr>
                <w:rFonts w:ascii="Arial" w:hAnsi="Arial" w:cs="Arial"/>
                <w:snapToGrid w:val="0"/>
                <w:sz w:val="22"/>
                <w:szCs w:val="22"/>
                <w:lang w:eastAsia="de-DE"/>
              </w:rPr>
            </w:pPr>
          </w:p>
          <w:p w14:paraId="712C28B1"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p w14:paraId="712C28B2" w14:textId="77777777" w:rsidR="003B41B2" w:rsidRPr="003A5EE1" w:rsidDel="00A91F30" w:rsidRDefault="00971883"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w:t>
            </w:r>
          </w:p>
        </w:tc>
        <w:tc>
          <w:tcPr>
            <w:tcW w:w="883" w:type="pct"/>
            <w:vAlign w:val="bottom"/>
          </w:tcPr>
          <w:p w14:paraId="712C28B3" w14:textId="77777777" w:rsidR="006B1A56" w:rsidRPr="003A5EE1" w:rsidRDefault="006B1A56" w:rsidP="002800BD">
            <w:pPr>
              <w:widowControl w:val="0"/>
              <w:jc w:val="center"/>
              <w:rPr>
                <w:rFonts w:ascii="Arial" w:hAnsi="Arial" w:cs="Arial"/>
                <w:snapToGrid w:val="0"/>
                <w:sz w:val="22"/>
                <w:szCs w:val="22"/>
                <w:lang w:eastAsia="de-DE"/>
              </w:rPr>
            </w:pPr>
          </w:p>
          <w:p w14:paraId="712C28B4"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p w14:paraId="712C28B5"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tc>
        <w:tc>
          <w:tcPr>
            <w:tcW w:w="882" w:type="pct"/>
            <w:vAlign w:val="bottom"/>
          </w:tcPr>
          <w:p w14:paraId="712C28B6" w14:textId="77777777" w:rsidR="006B1A56" w:rsidRPr="003A5EE1" w:rsidRDefault="006B1A56" w:rsidP="002800BD">
            <w:pPr>
              <w:widowControl w:val="0"/>
              <w:jc w:val="center"/>
              <w:rPr>
                <w:rFonts w:ascii="Arial" w:hAnsi="Arial" w:cs="Arial"/>
                <w:snapToGrid w:val="0"/>
                <w:sz w:val="22"/>
                <w:szCs w:val="22"/>
                <w:lang w:eastAsia="de-DE"/>
              </w:rPr>
            </w:pPr>
          </w:p>
          <w:p w14:paraId="712C28B7"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&lt;1</w:t>
            </w:r>
          </w:p>
          <w:p w14:paraId="712C28B8"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w:t>
            </w:r>
          </w:p>
        </w:tc>
      </w:tr>
      <w:tr w:rsidR="0097062A" w:rsidRPr="00A44C23" w14:paraId="712C28C0" w14:textId="77777777" w:rsidTr="00D557DD">
        <w:trPr>
          <w:trHeight w:val="576"/>
        </w:trPr>
        <w:tc>
          <w:tcPr>
            <w:tcW w:w="1467" w:type="pct"/>
          </w:tcPr>
          <w:p w14:paraId="712C28BA" w14:textId="77777777" w:rsidR="003B41B2" w:rsidRPr="003A5EE1" w:rsidRDefault="003B41B2" w:rsidP="002800BD">
            <w:pPr>
              <w:keepNext/>
              <w:widowControl w:val="0"/>
              <w:rPr>
                <w:rFonts w:ascii="Arial" w:eastAsia="MS Mincho" w:hAnsi="Arial" w:cs="Arial"/>
                <w:b/>
                <w:sz w:val="22"/>
                <w:szCs w:val="22"/>
              </w:rPr>
            </w:pPr>
            <w:r w:rsidRPr="003A5EE1">
              <w:rPr>
                <w:rFonts w:ascii="Arial" w:eastAsia="MS Mincho" w:hAnsi="Arial" w:cs="Arial"/>
                <w:b/>
                <w:sz w:val="22"/>
                <w:szCs w:val="22"/>
              </w:rPr>
              <w:t>Respiratory, thoracic and mediastinal disorders</w:t>
            </w:r>
          </w:p>
          <w:p w14:paraId="712C28BB" w14:textId="77777777" w:rsidR="003B41B2" w:rsidRPr="003A5EE1" w:rsidDel="00A91F30" w:rsidRDefault="003B41B2" w:rsidP="002800BD">
            <w:pPr>
              <w:widowControl w:val="0"/>
              <w:rPr>
                <w:rFonts w:ascii="Arial" w:eastAsia="MS Mincho" w:hAnsi="Arial" w:cs="Arial"/>
                <w:b/>
                <w:sz w:val="22"/>
                <w:szCs w:val="22"/>
              </w:rPr>
            </w:pPr>
            <w:r w:rsidRPr="003A5EE1">
              <w:rPr>
                <w:rFonts w:ascii="Arial" w:eastAsia="MS Mincho" w:hAnsi="Arial" w:cs="Arial"/>
                <w:sz w:val="22"/>
                <w:szCs w:val="22"/>
              </w:rPr>
              <w:t>Dysphonia</w:t>
            </w:r>
          </w:p>
        </w:tc>
        <w:tc>
          <w:tcPr>
            <w:tcW w:w="885" w:type="pct"/>
            <w:vAlign w:val="bottom"/>
          </w:tcPr>
          <w:p w14:paraId="712C28BC"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30</w:t>
            </w:r>
          </w:p>
        </w:tc>
        <w:tc>
          <w:tcPr>
            <w:tcW w:w="883" w:type="pct"/>
            <w:vAlign w:val="bottom"/>
          </w:tcPr>
          <w:p w14:paraId="712C28BD"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0</w:t>
            </w:r>
          </w:p>
        </w:tc>
        <w:tc>
          <w:tcPr>
            <w:tcW w:w="883" w:type="pct"/>
            <w:vAlign w:val="bottom"/>
          </w:tcPr>
          <w:p w14:paraId="712C28BE"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6</w:t>
            </w:r>
          </w:p>
        </w:tc>
        <w:tc>
          <w:tcPr>
            <w:tcW w:w="882" w:type="pct"/>
            <w:vAlign w:val="bottom"/>
          </w:tcPr>
          <w:p w14:paraId="712C28BF" w14:textId="77777777"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0</w:t>
            </w:r>
          </w:p>
        </w:tc>
      </w:tr>
      <w:tr w:rsidR="0097062A" w:rsidRPr="00A44C23" w14:paraId="712C28C7" w14:textId="77777777" w:rsidTr="00D557DD">
        <w:trPr>
          <w:trHeight w:val="432"/>
        </w:trPr>
        <w:tc>
          <w:tcPr>
            <w:tcW w:w="1467" w:type="pct"/>
            <w:shd w:val="clear" w:color="auto" w:fill="auto"/>
          </w:tcPr>
          <w:p w14:paraId="712C28C1" w14:textId="77777777"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Nervous system disorders</w:t>
            </w:r>
          </w:p>
          <w:p w14:paraId="712C28C2" w14:textId="77777777" w:rsidR="003B41B2" w:rsidRPr="003A5EE1" w:rsidRDefault="003B41B2" w:rsidP="002800BD">
            <w:pPr>
              <w:widowControl w:val="0"/>
              <w:rPr>
                <w:rFonts w:ascii="Arial" w:eastAsia="MS Mincho" w:hAnsi="Arial" w:cs="Arial"/>
                <w:sz w:val="22"/>
                <w:szCs w:val="22"/>
              </w:rPr>
            </w:pPr>
            <w:r w:rsidRPr="003A5EE1">
              <w:rPr>
                <w:rFonts w:ascii="Arial" w:eastAsia="MS Mincho" w:hAnsi="Arial" w:cs="Arial"/>
                <w:sz w:val="22"/>
                <w:szCs w:val="22"/>
              </w:rPr>
              <w:t>Headache</w:t>
            </w:r>
          </w:p>
        </w:tc>
        <w:tc>
          <w:tcPr>
            <w:tcW w:w="885" w:type="pct"/>
            <w:vAlign w:val="bottom"/>
          </w:tcPr>
          <w:p w14:paraId="712C28C3"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10</w:t>
            </w:r>
          </w:p>
        </w:tc>
        <w:tc>
          <w:tcPr>
            <w:tcW w:w="883" w:type="pct"/>
            <w:vAlign w:val="bottom"/>
          </w:tcPr>
          <w:p w14:paraId="712C28C4"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&lt;1</w:t>
            </w:r>
          </w:p>
        </w:tc>
        <w:tc>
          <w:tcPr>
            <w:tcW w:w="883" w:type="pct"/>
            <w:vAlign w:val="bottom"/>
          </w:tcPr>
          <w:p w14:paraId="712C28C5"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7</w:t>
            </w:r>
          </w:p>
        </w:tc>
        <w:tc>
          <w:tcPr>
            <w:tcW w:w="882" w:type="pct"/>
            <w:vAlign w:val="bottom"/>
          </w:tcPr>
          <w:p w14:paraId="712C28C6" w14:textId="77777777"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0</w:t>
            </w:r>
          </w:p>
        </w:tc>
      </w:tr>
      <w:tr w:rsidR="001A4DDB" w:rsidRPr="00A44C23" w14:paraId="712C28D3" w14:textId="77777777" w:rsidTr="00D557DD">
        <w:trPr>
          <w:trHeight w:val="432"/>
        </w:trPr>
        <w:tc>
          <w:tcPr>
            <w:tcW w:w="1467" w:type="pct"/>
            <w:shd w:val="clear" w:color="auto" w:fill="auto"/>
          </w:tcPr>
          <w:p w14:paraId="712C28C8" w14:textId="77777777" w:rsidR="00A642F9" w:rsidRPr="003A5EE1" w:rsidRDefault="00A642F9" w:rsidP="00B40C13">
            <w:pPr>
              <w:keepNext/>
              <w:keepLines/>
              <w:widowControl w:val="0"/>
              <w:rPr>
                <w:rFonts w:ascii="Arial" w:eastAsia="MS Mincho" w:hAnsi="Arial" w:cs="Arial"/>
                <w:b/>
                <w:sz w:val="22"/>
                <w:szCs w:val="22"/>
              </w:rPr>
            </w:pPr>
            <w:r w:rsidRPr="003A5EE1">
              <w:rPr>
                <w:rFonts w:ascii="Arial" w:eastAsia="MS Mincho" w:hAnsi="Arial" w:cs="Arial"/>
                <w:b/>
                <w:sz w:val="22"/>
                <w:szCs w:val="22"/>
              </w:rPr>
              <w:t xml:space="preserve">Blood and lymphatic system disorders </w:t>
            </w:r>
          </w:p>
          <w:p w14:paraId="712C28C9" w14:textId="77777777" w:rsidR="00A642F9" w:rsidRPr="003A5EE1" w:rsidRDefault="00A642F9" w:rsidP="00B40C13">
            <w:pPr>
              <w:keepNext/>
              <w:keepLines/>
              <w:widowControl w:val="0"/>
              <w:rPr>
                <w:rFonts w:ascii="Arial" w:eastAsia="MS Mincho" w:hAnsi="Arial" w:cs="Arial"/>
                <w:sz w:val="22"/>
                <w:szCs w:val="22"/>
              </w:rPr>
            </w:pPr>
            <w:r w:rsidRPr="003A5EE1">
              <w:rPr>
                <w:rFonts w:ascii="Arial" w:eastAsia="MS Mincho" w:hAnsi="Arial" w:cs="Arial"/>
                <w:sz w:val="22"/>
                <w:szCs w:val="22"/>
              </w:rPr>
              <w:t>Thrombocytopenia</w:t>
            </w:r>
          </w:p>
          <w:p w14:paraId="712C28CA" w14:textId="77777777" w:rsidR="001A4DDB" w:rsidRPr="003A5EE1" w:rsidRDefault="00A642F9" w:rsidP="00B40C13">
            <w:pPr>
              <w:keepNext/>
              <w:keepLines/>
              <w:widowControl w:val="0"/>
              <w:rPr>
                <w:rFonts w:ascii="Arial" w:eastAsia="MS Mincho" w:hAnsi="Arial" w:cs="Arial"/>
                <w:b/>
                <w:sz w:val="22"/>
                <w:szCs w:val="22"/>
              </w:rPr>
            </w:pPr>
            <w:r w:rsidRPr="003A5EE1">
              <w:rPr>
                <w:rFonts w:ascii="Arial" w:eastAsia="MS Mincho" w:hAnsi="Arial" w:cs="Arial"/>
                <w:sz w:val="22"/>
                <w:szCs w:val="22"/>
              </w:rPr>
              <w:t>An</w:t>
            </w:r>
            <w:r w:rsidR="00971883" w:rsidRPr="003A5EE1">
              <w:rPr>
                <w:rFonts w:ascii="Arial" w:eastAsia="MS Mincho" w:hAnsi="Arial" w:cs="Arial"/>
                <w:sz w:val="22"/>
                <w:szCs w:val="22"/>
              </w:rPr>
              <w:t>a</w:t>
            </w:r>
            <w:r w:rsidRPr="003A5EE1">
              <w:rPr>
                <w:rFonts w:ascii="Arial" w:eastAsia="MS Mincho" w:hAnsi="Arial" w:cs="Arial"/>
                <w:sz w:val="22"/>
                <w:szCs w:val="22"/>
              </w:rPr>
              <w:t>emia</w:t>
            </w:r>
          </w:p>
        </w:tc>
        <w:tc>
          <w:tcPr>
            <w:tcW w:w="885" w:type="pct"/>
            <w:vAlign w:val="bottom"/>
          </w:tcPr>
          <w:p w14:paraId="712C28CB" w14:textId="77777777" w:rsidR="00A642F9"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15</w:t>
            </w:r>
          </w:p>
          <w:p w14:paraId="712C28CC" w14:textId="77777777" w:rsidR="001A4DDB"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14</w:t>
            </w:r>
          </w:p>
        </w:tc>
        <w:tc>
          <w:tcPr>
            <w:tcW w:w="883" w:type="pct"/>
            <w:vAlign w:val="bottom"/>
          </w:tcPr>
          <w:p w14:paraId="712C28CD" w14:textId="77777777" w:rsidR="00A642F9"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w:t>
            </w:r>
          </w:p>
          <w:p w14:paraId="712C28CE" w14:textId="77777777" w:rsidR="001A4DDB"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5</w:t>
            </w:r>
          </w:p>
        </w:tc>
        <w:tc>
          <w:tcPr>
            <w:tcW w:w="883" w:type="pct"/>
            <w:vAlign w:val="bottom"/>
          </w:tcPr>
          <w:p w14:paraId="712C28CF" w14:textId="77777777" w:rsidR="00A642F9"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2</w:t>
            </w:r>
          </w:p>
          <w:p w14:paraId="712C28D0" w14:textId="77777777" w:rsidR="001A4DDB"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12</w:t>
            </w:r>
          </w:p>
        </w:tc>
        <w:tc>
          <w:tcPr>
            <w:tcW w:w="882" w:type="pct"/>
            <w:vAlign w:val="bottom"/>
          </w:tcPr>
          <w:p w14:paraId="712C28D1" w14:textId="77777777" w:rsidR="00A642F9"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&lt;1</w:t>
            </w:r>
          </w:p>
          <w:p w14:paraId="712C28D2" w14:textId="77777777" w:rsidR="001A4DDB" w:rsidRPr="003A5EE1" w:rsidRDefault="00A642F9" w:rsidP="00B40C13">
            <w:pPr>
              <w:keepLines/>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w:t>
            </w:r>
          </w:p>
        </w:tc>
      </w:tr>
      <w:tr w:rsidR="00A642F9" w:rsidRPr="00A44C23" w14:paraId="712C28DA" w14:textId="77777777" w:rsidTr="00D557DD">
        <w:trPr>
          <w:trHeight w:val="432"/>
        </w:trPr>
        <w:tc>
          <w:tcPr>
            <w:tcW w:w="1467" w:type="pct"/>
            <w:shd w:val="clear" w:color="auto" w:fill="auto"/>
          </w:tcPr>
          <w:p w14:paraId="712C28D4" w14:textId="77777777" w:rsidR="00A642F9" w:rsidRPr="003A5EE1" w:rsidRDefault="00A642F9" w:rsidP="00A642F9">
            <w:pPr>
              <w:widowControl w:val="0"/>
              <w:rPr>
                <w:rFonts w:ascii="Arial" w:eastAsia="MS Mincho" w:hAnsi="Arial" w:cs="Arial"/>
                <w:b/>
                <w:sz w:val="22"/>
                <w:szCs w:val="22"/>
              </w:rPr>
            </w:pPr>
            <w:r w:rsidRPr="003A5EE1">
              <w:rPr>
                <w:rFonts w:ascii="Arial" w:eastAsia="MS Mincho" w:hAnsi="Arial" w:cs="Arial"/>
                <w:b/>
                <w:sz w:val="22"/>
                <w:szCs w:val="22"/>
              </w:rPr>
              <w:t>Hepatobiliary disorders</w:t>
            </w:r>
          </w:p>
          <w:p w14:paraId="712C28D5" w14:textId="77777777" w:rsidR="00A642F9" w:rsidRPr="003A5EE1" w:rsidRDefault="00A642F9" w:rsidP="00A642F9">
            <w:pPr>
              <w:widowControl w:val="0"/>
              <w:rPr>
                <w:rFonts w:ascii="Arial" w:eastAsia="MS Mincho" w:hAnsi="Arial" w:cs="Arial"/>
                <w:sz w:val="22"/>
                <w:szCs w:val="22"/>
              </w:rPr>
            </w:pPr>
            <w:r w:rsidRPr="003A5EE1">
              <w:rPr>
                <w:rFonts w:ascii="Arial" w:eastAsia="MS Mincho" w:hAnsi="Arial" w:cs="Arial"/>
                <w:sz w:val="22"/>
                <w:szCs w:val="22"/>
              </w:rPr>
              <w:t>Hyperbilirubin</w:t>
            </w:r>
            <w:r w:rsidR="00F808D7">
              <w:rPr>
                <w:rFonts w:ascii="Arial" w:eastAsia="MS Mincho" w:hAnsi="Arial" w:cs="Arial"/>
                <w:sz w:val="22"/>
                <w:szCs w:val="22"/>
              </w:rPr>
              <w:t>a</w:t>
            </w:r>
            <w:r w:rsidRPr="003A5EE1">
              <w:rPr>
                <w:rFonts w:ascii="Arial" w:eastAsia="MS Mincho" w:hAnsi="Arial" w:cs="Arial"/>
                <w:sz w:val="22"/>
                <w:szCs w:val="22"/>
              </w:rPr>
              <w:t>emia</w:t>
            </w:r>
          </w:p>
        </w:tc>
        <w:tc>
          <w:tcPr>
            <w:tcW w:w="885" w:type="pct"/>
            <w:vAlign w:val="bottom"/>
          </w:tcPr>
          <w:p w14:paraId="712C28D6" w14:textId="77777777"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19</w:t>
            </w:r>
          </w:p>
        </w:tc>
        <w:tc>
          <w:tcPr>
            <w:tcW w:w="883" w:type="pct"/>
            <w:vAlign w:val="bottom"/>
          </w:tcPr>
          <w:p w14:paraId="712C28D7" w14:textId="77777777"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7</w:t>
            </w:r>
          </w:p>
        </w:tc>
        <w:tc>
          <w:tcPr>
            <w:tcW w:w="883" w:type="pct"/>
            <w:vAlign w:val="bottom"/>
          </w:tcPr>
          <w:p w14:paraId="712C28D8" w14:textId="77777777"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9</w:t>
            </w:r>
          </w:p>
        </w:tc>
        <w:tc>
          <w:tcPr>
            <w:tcW w:w="882" w:type="pct"/>
            <w:vAlign w:val="bottom"/>
          </w:tcPr>
          <w:p w14:paraId="712C28D9" w14:textId="77777777"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6</w:t>
            </w:r>
          </w:p>
        </w:tc>
      </w:tr>
    </w:tbl>
    <w:p w14:paraId="712C28DB" w14:textId="34595E25" w:rsidR="00D557DD" w:rsidRPr="008219CC" w:rsidRDefault="00D557DD" w:rsidP="008219CC">
      <w:pPr>
        <w:tabs>
          <w:tab w:val="left" w:pos="540"/>
        </w:tabs>
        <w:autoSpaceDE w:val="0"/>
        <w:autoSpaceDN w:val="0"/>
        <w:adjustRightInd w:val="0"/>
        <w:spacing w:before="120"/>
        <w:ind w:left="284" w:hanging="284"/>
        <w:rPr>
          <w:rFonts w:ascii="Arial" w:eastAsia="MS Mincho" w:hAnsi="Arial" w:cs="Arial"/>
          <w:kern w:val="28"/>
          <w:sz w:val="20"/>
          <w:szCs w:val="20"/>
          <w:vertAlign w:val="superscript"/>
        </w:rPr>
      </w:pPr>
      <w:r w:rsidRPr="008219CC">
        <w:rPr>
          <w:rFonts w:ascii="Arial" w:hAnsi="Arial" w:cs="Arial"/>
          <w:color w:val="000000"/>
          <w:sz w:val="20"/>
          <w:szCs w:val="20"/>
          <w:vertAlign w:val="superscript"/>
        </w:rPr>
        <w:t>§</w:t>
      </w:r>
      <w:r w:rsidR="008219CC" w:rsidRPr="008219CC">
        <w:rPr>
          <w:rFonts w:ascii="Arial" w:hAnsi="Arial" w:cs="Arial"/>
          <w:color w:val="000000"/>
          <w:sz w:val="20"/>
          <w:szCs w:val="20"/>
          <w:vertAlign w:val="superscript"/>
        </w:rPr>
        <w:tab/>
      </w:r>
      <w:r w:rsidRPr="008219CC">
        <w:rPr>
          <w:rFonts w:ascii="Arial" w:hAnsi="Arial" w:cs="Arial"/>
          <w:color w:val="000000"/>
          <w:sz w:val="20"/>
          <w:szCs w:val="20"/>
        </w:rPr>
        <w:t>Best supportive care</w:t>
      </w:r>
    </w:p>
    <w:p w14:paraId="712C28DC" w14:textId="0C3DA7C1" w:rsidR="003B41B2" w:rsidRPr="008219CC" w:rsidRDefault="00D557DD" w:rsidP="008219CC">
      <w:pPr>
        <w:tabs>
          <w:tab w:val="left" w:pos="284"/>
        </w:tabs>
        <w:spacing w:before="120"/>
        <w:ind w:left="284" w:hanging="284"/>
        <w:contextualSpacing/>
        <w:rPr>
          <w:rFonts w:ascii="Arial" w:eastAsia="MS Mincho" w:hAnsi="Arial" w:cs="Arial"/>
          <w:sz w:val="20"/>
          <w:szCs w:val="20"/>
        </w:rPr>
      </w:pPr>
      <w:r w:rsidRPr="008219CC">
        <w:rPr>
          <w:rFonts w:ascii="Arial" w:eastAsia="MS Mincho" w:hAnsi="Arial" w:cs="Arial"/>
          <w:kern w:val="28"/>
          <w:sz w:val="20"/>
          <w:szCs w:val="20"/>
        </w:rPr>
        <w:t>*</w:t>
      </w:r>
      <w:r w:rsidR="008219CC" w:rsidRPr="008219CC">
        <w:rPr>
          <w:rFonts w:eastAsia="MS Mincho"/>
          <w:sz w:val="20"/>
          <w:szCs w:val="20"/>
        </w:rPr>
        <w:tab/>
      </w:r>
      <w:proofErr w:type="gramStart"/>
      <w:r w:rsidR="003B41B2" w:rsidRPr="008219CC">
        <w:rPr>
          <w:rFonts w:ascii="Arial" w:eastAsia="MS Mincho" w:hAnsi="Arial" w:cs="Arial"/>
          <w:sz w:val="20"/>
          <w:szCs w:val="20"/>
        </w:rPr>
        <w:t>fatal</w:t>
      </w:r>
      <w:proofErr w:type="gramEnd"/>
      <w:r w:rsidR="003B41B2" w:rsidRPr="008219CC">
        <w:rPr>
          <w:rFonts w:ascii="Arial" w:eastAsia="MS Mincho" w:hAnsi="Arial" w:cs="Arial"/>
          <w:sz w:val="20"/>
          <w:szCs w:val="20"/>
        </w:rPr>
        <w:t xml:space="preserve"> outcomes observed</w:t>
      </w:r>
    </w:p>
    <w:p w14:paraId="70542F38" w14:textId="211E4BF3" w:rsidR="00B40C13" w:rsidRDefault="00B40C13" w:rsidP="00843C3E">
      <w:pPr>
        <w:pStyle w:val="BayerBodyTextFull"/>
        <w:rPr>
          <w:rFonts w:ascii="Arial" w:hAnsi="Arial" w:cs="Arial"/>
          <w:sz w:val="22"/>
          <w:szCs w:val="22"/>
        </w:rPr>
      </w:pPr>
    </w:p>
    <w:p w14:paraId="712C28DD" w14:textId="4D0D500E" w:rsidR="003B41B2" w:rsidRDefault="002B70DA" w:rsidP="00843C3E">
      <w:pPr>
        <w:pStyle w:val="BayerBodyTextFull"/>
        <w:rPr>
          <w:rFonts w:ascii="Arial" w:hAnsi="Arial" w:cs="Arial"/>
          <w:sz w:val="22"/>
          <w:szCs w:val="22"/>
        </w:rPr>
      </w:pPr>
      <w:r>
        <w:rPr>
          <w:rFonts w:ascii="Arial" w:hAnsi="Arial" w:cs="Arial"/>
          <w:sz w:val="22"/>
          <w:szCs w:val="22"/>
        </w:rPr>
        <w:t>In the pivotal CORRECT study, o</w:t>
      </w:r>
      <w:r w:rsidR="003B41B2" w:rsidRPr="003A5EE1">
        <w:rPr>
          <w:rFonts w:ascii="Arial" w:hAnsi="Arial" w:cs="Arial"/>
          <w:sz w:val="22"/>
          <w:szCs w:val="22"/>
        </w:rPr>
        <w:t xml:space="preserve">ther adverse reactions observed in patients treated with </w:t>
      </w:r>
      <w:r w:rsidR="003B41B2" w:rsidRPr="003A5EE1">
        <w:rPr>
          <w:rFonts w:ascii="Arial" w:hAnsi="Arial" w:cs="Arial"/>
          <w:sz w:val="22"/>
          <w:szCs w:val="22"/>
          <w:lang w:val="en"/>
        </w:rPr>
        <w:t>regorafenib</w:t>
      </w:r>
      <w:r w:rsidR="003B41B2" w:rsidRPr="003A5EE1">
        <w:rPr>
          <w:rFonts w:ascii="Arial" w:hAnsi="Arial" w:cs="Arial"/>
          <w:sz w:val="22"/>
          <w:szCs w:val="22"/>
        </w:rPr>
        <w:t xml:space="preserve"> than placebo and that occurred in &lt;10%</w:t>
      </w:r>
      <w:r w:rsidR="002C1E8E" w:rsidRPr="003A5EE1">
        <w:rPr>
          <w:rFonts w:ascii="Arial" w:hAnsi="Arial" w:cs="Arial"/>
          <w:sz w:val="22"/>
          <w:szCs w:val="22"/>
        </w:rPr>
        <w:t xml:space="preserve"> </w:t>
      </w:r>
      <w:r w:rsidR="003B41B2" w:rsidRPr="003A5EE1">
        <w:rPr>
          <w:rFonts w:ascii="Arial" w:hAnsi="Arial" w:cs="Arial"/>
          <w:sz w:val="22"/>
          <w:szCs w:val="22"/>
        </w:rPr>
        <w:t xml:space="preserve">(all grades) were: </w:t>
      </w:r>
    </w:p>
    <w:tbl>
      <w:tblPr>
        <w:tblW w:w="10031" w:type="dxa"/>
        <w:tblLook w:val="04A0" w:firstRow="1" w:lastRow="0" w:firstColumn="1" w:lastColumn="0" w:noHBand="0" w:noVBand="1"/>
      </w:tblPr>
      <w:tblGrid>
        <w:gridCol w:w="4850"/>
        <w:gridCol w:w="5181"/>
      </w:tblGrid>
      <w:tr w:rsidR="00E177CA" w:rsidRPr="00E177CA" w14:paraId="59717750" w14:textId="77777777" w:rsidTr="00CE4897">
        <w:tc>
          <w:tcPr>
            <w:tcW w:w="4644" w:type="dxa"/>
            <w:shd w:val="clear" w:color="auto" w:fill="auto"/>
          </w:tcPr>
          <w:p w14:paraId="54153789"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dry</w:t>
            </w:r>
            <w:proofErr w:type="gramEnd"/>
            <w:r w:rsidRPr="00E177CA">
              <w:rPr>
                <w:rFonts w:ascii="Arial" w:hAnsi="Arial" w:cs="Arial"/>
                <w:sz w:val="22"/>
                <w:szCs w:val="22"/>
              </w:rPr>
              <w:t xml:space="preserve"> skin (8.8% vs 3.2%)</w:t>
            </w:r>
          </w:p>
          <w:p w14:paraId="4D0060E1"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alopecia</w:t>
            </w:r>
            <w:proofErr w:type="gramEnd"/>
            <w:r w:rsidRPr="00E177CA">
              <w:rPr>
                <w:rFonts w:ascii="Arial" w:hAnsi="Arial" w:cs="Arial"/>
                <w:sz w:val="22"/>
                <w:szCs w:val="22"/>
              </w:rPr>
              <w:t xml:space="preserve"> (7.6% vs 1.6%)</w:t>
            </w:r>
          </w:p>
          <w:p w14:paraId="229176F9"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taste</w:t>
            </w:r>
            <w:proofErr w:type="gramEnd"/>
            <w:r w:rsidRPr="00E177CA">
              <w:rPr>
                <w:rFonts w:ascii="Arial" w:hAnsi="Arial" w:cs="Arial"/>
                <w:sz w:val="22"/>
                <w:szCs w:val="22"/>
              </w:rPr>
              <w:t xml:space="preserve"> disorder (7.6% vs 2.4%)</w:t>
            </w:r>
          </w:p>
          <w:p w14:paraId="418E0320"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hypophosphatemia</w:t>
            </w:r>
            <w:proofErr w:type="gramEnd"/>
            <w:r w:rsidRPr="00E177CA">
              <w:rPr>
                <w:rFonts w:ascii="Arial" w:hAnsi="Arial" w:cs="Arial"/>
                <w:sz w:val="22"/>
                <w:szCs w:val="22"/>
              </w:rPr>
              <w:t xml:space="preserve"> (6.4% vs 0.8%)</w:t>
            </w:r>
          </w:p>
          <w:p w14:paraId="001AC635" w14:textId="7F42F23E"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muscle</w:t>
            </w:r>
            <w:proofErr w:type="gramEnd"/>
            <w:r w:rsidRPr="00E177CA">
              <w:rPr>
                <w:rFonts w:ascii="Arial" w:hAnsi="Arial" w:cs="Arial"/>
                <w:sz w:val="22"/>
                <w:szCs w:val="22"/>
              </w:rPr>
              <w:t xml:space="preserve"> spa</w:t>
            </w:r>
            <w:r>
              <w:rPr>
                <w:rFonts w:ascii="Arial" w:hAnsi="Arial" w:cs="Arial"/>
                <w:sz w:val="22"/>
                <w:szCs w:val="22"/>
              </w:rPr>
              <w:t>s</w:t>
            </w:r>
            <w:r w:rsidRPr="00E177CA">
              <w:rPr>
                <w:rFonts w:ascii="Arial" w:hAnsi="Arial" w:cs="Arial"/>
                <w:sz w:val="22"/>
                <w:szCs w:val="22"/>
              </w:rPr>
              <w:t>ms (5.4% vs 2.0%)</w:t>
            </w:r>
          </w:p>
          <w:p w14:paraId="1E32A218"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hyponatremia</w:t>
            </w:r>
            <w:proofErr w:type="gramEnd"/>
            <w:r w:rsidRPr="00E177CA">
              <w:rPr>
                <w:rFonts w:ascii="Arial" w:hAnsi="Arial" w:cs="Arial"/>
                <w:sz w:val="22"/>
                <w:szCs w:val="22"/>
              </w:rPr>
              <w:t xml:space="preserve"> (5.8% vs 2.4%)</w:t>
            </w:r>
          </w:p>
          <w:p w14:paraId="17812719"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leukopenia</w:t>
            </w:r>
            <w:proofErr w:type="gramEnd"/>
            <w:r w:rsidRPr="00E177CA">
              <w:rPr>
                <w:rFonts w:ascii="Arial" w:hAnsi="Arial" w:cs="Arial"/>
                <w:sz w:val="22"/>
                <w:szCs w:val="22"/>
              </w:rPr>
              <w:t xml:space="preserve"> (4.2% vs 0.8%)</w:t>
            </w:r>
          </w:p>
          <w:p w14:paraId="50C5AAAB"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increase</w:t>
            </w:r>
            <w:proofErr w:type="gramEnd"/>
            <w:r w:rsidRPr="00E177CA">
              <w:rPr>
                <w:rFonts w:ascii="Arial" w:hAnsi="Arial" w:cs="Arial"/>
                <w:sz w:val="22"/>
                <w:szCs w:val="22"/>
              </w:rPr>
              <w:t xml:space="preserve"> in amylase (3.0% vs 0.4%)</w:t>
            </w:r>
          </w:p>
          <w:p w14:paraId="4A3151FD"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hypomagnesemia</w:t>
            </w:r>
            <w:proofErr w:type="gramEnd"/>
            <w:r w:rsidRPr="00E177CA">
              <w:rPr>
                <w:rFonts w:ascii="Arial" w:hAnsi="Arial" w:cs="Arial"/>
                <w:sz w:val="22"/>
                <w:szCs w:val="22"/>
              </w:rPr>
              <w:t xml:space="preserve"> (2.2% vs 0.4%)</w:t>
            </w:r>
          </w:p>
          <w:p w14:paraId="61233804"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gastroesophageal</w:t>
            </w:r>
            <w:proofErr w:type="gramEnd"/>
            <w:r w:rsidRPr="00E177CA">
              <w:rPr>
                <w:rFonts w:ascii="Arial" w:hAnsi="Arial" w:cs="Arial"/>
                <w:sz w:val="22"/>
                <w:szCs w:val="22"/>
              </w:rPr>
              <w:t xml:space="preserve"> reflux (1.4% vs 0%)</w:t>
            </w:r>
          </w:p>
          <w:p w14:paraId="1F28DAE1"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lastRenderedPageBreak/>
              <w:t>gastroenteritis</w:t>
            </w:r>
            <w:proofErr w:type="gramEnd"/>
            <w:r w:rsidRPr="00E177CA">
              <w:rPr>
                <w:rFonts w:ascii="Arial" w:hAnsi="Arial" w:cs="Arial"/>
                <w:sz w:val="22"/>
                <w:szCs w:val="22"/>
              </w:rPr>
              <w:t xml:space="preserve"> (1.2% vs 0.4%)</w:t>
            </w:r>
          </w:p>
          <w:p w14:paraId="7D61B304"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exfoliative</w:t>
            </w:r>
            <w:proofErr w:type="gramEnd"/>
            <w:r w:rsidRPr="00E177CA">
              <w:rPr>
                <w:rFonts w:ascii="Arial" w:hAnsi="Arial" w:cs="Arial"/>
                <w:sz w:val="22"/>
                <w:szCs w:val="22"/>
              </w:rPr>
              <w:t xml:space="preserve"> rash (1.4% vs 0.4%)</w:t>
            </w:r>
          </w:p>
          <w:p w14:paraId="281D9305" w14:textId="77777777"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gastrointestinal</w:t>
            </w:r>
            <w:proofErr w:type="gramEnd"/>
            <w:r w:rsidRPr="00E177CA">
              <w:rPr>
                <w:rFonts w:ascii="Arial" w:hAnsi="Arial" w:cs="Arial"/>
                <w:sz w:val="22"/>
                <w:szCs w:val="22"/>
              </w:rPr>
              <w:t xml:space="preserve"> fistula (0.8% vs 0.4%)</w:t>
            </w:r>
          </w:p>
          <w:p w14:paraId="507ED000" w14:textId="421B42FA" w:rsidR="00E177CA" w:rsidRPr="00E177CA" w:rsidRDefault="00E177CA" w:rsidP="001578C7">
            <w:pPr>
              <w:pStyle w:val="BayerBodyTextFull"/>
              <w:numPr>
                <w:ilvl w:val="0"/>
                <w:numId w:val="24"/>
              </w:numPr>
              <w:tabs>
                <w:tab w:val="left" w:pos="567"/>
              </w:tabs>
              <w:spacing w:line="260" w:lineRule="exact"/>
              <w:rPr>
                <w:rFonts w:ascii="Arial" w:hAnsi="Arial" w:cs="Arial"/>
                <w:sz w:val="22"/>
                <w:szCs w:val="22"/>
              </w:rPr>
            </w:pPr>
            <w:proofErr w:type="gramStart"/>
            <w:r w:rsidRPr="00E177CA">
              <w:rPr>
                <w:rFonts w:ascii="Arial" w:hAnsi="Arial" w:cs="Arial"/>
                <w:sz w:val="22"/>
                <w:szCs w:val="22"/>
              </w:rPr>
              <w:t>myocardial</w:t>
            </w:r>
            <w:proofErr w:type="gramEnd"/>
            <w:r w:rsidRPr="00E177CA">
              <w:rPr>
                <w:rFonts w:ascii="Arial" w:hAnsi="Arial" w:cs="Arial"/>
                <w:sz w:val="22"/>
                <w:szCs w:val="22"/>
              </w:rPr>
              <w:t xml:space="preserve"> infarction (0.4% vs 0%)</w:t>
            </w:r>
          </w:p>
        </w:tc>
        <w:tc>
          <w:tcPr>
            <w:tcW w:w="4961" w:type="dxa"/>
            <w:shd w:val="clear" w:color="auto" w:fill="auto"/>
          </w:tcPr>
          <w:p w14:paraId="329EFDF6" w14:textId="77777777" w:rsidR="00E177CA" w:rsidRPr="00E177CA" w:rsidRDefault="00E177CA" w:rsidP="001578C7">
            <w:pPr>
              <w:pStyle w:val="BayerBodyTextFull"/>
              <w:numPr>
                <w:ilvl w:val="0"/>
                <w:numId w:val="24"/>
              </w:numPr>
              <w:tabs>
                <w:tab w:val="left" w:pos="600"/>
              </w:tabs>
              <w:spacing w:line="260" w:lineRule="exact"/>
              <w:ind w:left="600" w:hanging="240"/>
              <w:rPr>
                <w:rFonts w:ascii="Arial" w:hAnsi="Arial" w:cs="Arial"/>
                <w:sz w:val="22"/>
                <w:szCs w:val="22"/>
              </w:rPr>
            </w:pPr>
            <w:proofErr w:type="gramStart"/>
            <w:r w:rsidRPr="00E177CA">
              <w:rPr>
                <w:rFonts w:ascii="Arial" w:hAnsi="Arial" w:cs="Arial"/>
                <w:sz w:val="22"/>
                <w:szCs w:val="22"/>
              </w:rPr>
              <w:lastRenderedPageBreak/>
              <w:t>proteinuria</w:t>
            </w:r>
            <w:proofErr w:type="gramEnd"/>
            <w:r w:rsidRPr="00E177CA">
              <w:rPr>
                <w:rFonts w:ascii="Arial" w:hAnsi="Arial" w:cs="Arial"/>
                <w:sz w:val="22"/>
                <w:szCs w:val="22"/>
              </w:rPr>
              <w:t xml:space="preserve"> (8.6% vs 2.4%)</w:t>
            </w:r>
          </w:p>
          <w:p w14:paraId="5A34BD8C"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spellStart"/>
            <w:proofErr w:type="gramStart"/>
            <w:r w:rsidRPr="00E177CA">
              <w:rPr>
                <w:rFonts w:ascii="Arial" w:hAnsi="Arial" w:cs="Arial"/>
                <w:sz w:val="22"/>
                <w:szCs w:val="22"/>
              </w:rPr>
              <w:t>hypokalaemia</w:t>
            </w:r>
            <w:proofErr w:type="spellEnd"/>
            <w:proofErr w:type="gramEnd"/>
            <w:r w:rsidRPr="00E177CA">
              <w:rPr>
                <w:rFonts w:ascii="Arial" w:hAnsi="Arial" w:cs="Arial"/>
                <w:sz w:val="22"/>
                <w:szCs w:val="22"/>
              </w:rPr>
              <w:t xml:space="preserve"> (7.6% vs 1.9%)</w:t>
            </w:r>
          </w:p>
          <w:p w14:paraId="3458880A"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increase</w:t>
            </w:r>
            <w:proofErr w:type="gramEnd"/>
            <w:r w:rsidRPr="00E177CA">
              <w:rPr>
                <w:rFonts w:ascii="Arial" w:hAnsi="Arial" w:cs="Arial"/>
                <w:sz w:val="22"/>
                <w:szCs w:val="22"/>
              </w:rPr>
              <w:t xml:space="preserve"> in transaminases (7.6% vs 4.4%)</w:t>
            </w:r>
          </w:p>
          <w:p w14:paraId="4367BBDA"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increase</w:t>
            </w:r>
            <w:proofErr w:type="gramEnd"/>
            <w:r w:rsidRPr="00E177CA">
              <w:rPr>
                <w:rFonts w:ascii="Arial" w:hAnsi="Arial" w:cs="Arial"/>
                <w:sz w:val="22"/>
                <w:szCs w:val="22"/>
              </w:rPr>
              <w:t xml:space="preserve"> in lipase (6.2% vs 1.2%)</w:t>
            </w:r>
          </w:p>
          <w:p w14:paraId="7D9E7A53"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hypocalcemia</w:t>
            </w:r>
            <w:proofErr w:type="gramEnd"/>
            <w:r w:rsidRPr="00E177CA">
              <w:rPr>
                <w:rFonts w:ascii="Arial" w:hAnsi="Arial" w:cs="Arial"/>
                <w:sz w:val="22"/>
                <w:szCs w:val="22"/>
              </w:rPr>
              <w:t xml:space="preserve"> (5.8% vs 0.4%)</w:t>
            </w:r>
          </w:p>
          <w:p w14:paraId="43C7C414"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dry</w:t>
            </w:r>
            <w:proofErr w:type="gramEnd"/>
            <w:r w:rsidRPr="00E177CA">
              <w:rPr>
                <w:rFonts w:ascii="Arial" w:hAnsi="Arial" w:cs="Arial"/>
                <w:sz w:val="22"/>
                <w:szCs w:val="22"/>
              </w:rPr>
              <w:t xml:space="preserve"> mouth (4.8% vs 2.0%)</w:t>
            </w:r>
          </w:p>
          <w:p w14:paraId="61BA0BC1"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hypothyroidism</w:t>
            </w:r>
            <w:proofErr w:type="gramEnd"/>
            <w:r w:rsidRPr="00E177CA">
              <w:rPr>
                <w:rFonts w:ascii="Arial" w:hAnsi="Arial" w:cs="Arial"/>
                <w:sz w:val="22"/>
                <w:szCs w:val="22"/>
              </w:rPr>
              <w:t xml:space="preserve"> (4.2% vs 0.4%)</w:t>
            </w:r>
          </w:p>
          <w:p w14:paraId="3961D8CF" w14:textId="77777777" w:rsidR="00E177CA" w:rsidRPr="00E177CA" w:rsidRDefault="00E177CA" w:rsidP="001578C7">
            <w:pPr>
              <w:pStyle w:val="BayerBodyTextFull"/>
              <w:numPr>
                <w:ilvl w:val="0"/>
                <w:numId w:val="24"/>
              </w:numPr>
              <w:tabs>
                <w:tab w:val="left" w:pos="600"/>
              </w:tabs>
              <w:spacing w:line="260" w:lineRule="exact"/>
              <w:ind w:left="679" w:hanging="319"/>
              <w:rPr>
                <w:rFonts w:ascii="Arial" w:hAnsi="Arial" w:cs="Arial"/>
                <w:sz w:val="22"/>
                <w:szCs w:val="22"/>
              </w:rPr>
            </w:pPr>
            <w:proofErr w:type="gramStart"/>
            <w:r w:rsidRPr="00E177CA">
              <w:rPr>
                <w:rFonts w:ascii="Arial" w:hAnsi="Arial" w:cs="Arial"/>
                <w:sz w:val="22"/>
                <w:szCs w:val="22"/>
              </w:rPr>
              <w:t>abnormal</w:t>
            </w:r>
            <w:proofErr w:type="gramEnd"/>
            <w:r w:rsidRPr="00E177CA">
              <w:rPr>
                <w:rFonts w:ascii="Arial" w:hAnsi="Arial" w:cs="Arial"/>
                <w:sz w:val="22"/>
                <w:szCs w:val="22"/>
              </w:rPr>
              <w:t xml:space="preserve"> international normalised ratio (INR) (2.4% vs 0.8%)</w:t>
            </w:r>
          </w:p>
          <w:p w14:paraId="79C7540A"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tremor</w:t>
            </w:r>
            <w:proofErr w:type="gramEnd"/>
            <w:r w:rsidRPr="00E177CA">
              <w:rPr>
                <w:rFonts w:ascii="Arial" w:hAnsi="Arial" w:cs="Arial"/>
                <w:sz w:val="22"/>
                <w:szCs w:val="22"/>
              </w:rPr>
              <w:t xml:space="preserve"> (2.0% vs 0%)</w:t>
            </w:r>
          </w:p>
          <w:p w14:paraId="6EEFF17A"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lastRenderedPageBreak/>
              <w:t>hyperuricemia</w:t>
            </w:r>
            <w:proofErr w:type="gramEnd"/>
            <w:r w:rsidRPr="00E177CA">
              <w:rPr>
                <w:rFonts w:ascii="Arial" w:hAnsi="Arial" w:cs="Arial"/>
                <w:sz w:val="22"/>
                <w:szCs w:val="22"/>
              </w:rPr>
              <w:t xml:space="preserve"> (1.2% vs 0%)</w:t>
            </w:r>
          </w:p>
          <w:p w14:paraId="060FBA1A"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nail</w:t>
            </w:r>
            <w:proofErr w:type="gramEnd"/>
            <w:r w:rsidRPr="00E177CA">
              <w:rPr>
                <w:rFonts w:ascii="Arial" w:hAnsi="Arial" w:cs="Arial"/>
                <w:sz w:val="22"/>
                <w:szCs w:val="22"/>
              </w:rPr>
              <w:t xml:space="preserve"> disorder (1.0% vs 0%)</w:t>
            </w:r>
          </w:p>
          <w:p w14:paraId="246336C3"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erythema</w:t>
            </w:r>
            <w:proofErr w:type="gramEnd"/>
            <w:r w:rsidRPr="00E177CA">
              <w:rPr>
                <w:rFonts w:ascii="Arial" w:hAnsi="Arial" w:cs="Arial"/>
                <w:sz w:val="22"/>
                <w:szCs w:val="22"/>
              </w:rPr>
              <w:t xml:space="preserve"> </w:t>
            </w:r>
            <w:proofErr w:type="spellStart"/>
            <w:r w:rsidRPr="00E177CA">
              <w:rPr>
                <w:rFonts w:ascii="Arial" w:hAnsi="Arial" w:cs="Arial"/>
                <w:sz w:val="22"/>
                <w:szCs w:val="22"/>
              </w:rPr>
              <w:t>multiforme</w:t>
            </w:r>
            <w:proofErr w:type="spellEnd"/>
            <w:r w:rsidRPr="00E177CA">
              <w:rPr>
                <w:rFonts w:ascii="Arial" w:hAnsi="Arial" w:cs="Arial"/>
                <w:sz w:val="22"/>
                <w:szCs w:val="22"/>
              </w:rPr>
              <w:t xml:space="preserve"> (0.8% vs 0.4%)</w:t>
            </w:r>
          </w:p>
          <w:p w14:paraId="0D389CFA" w14:textId="77777777" w:rsidR="00E177CA" w:rsidRPr="00E177CA" w:rsidRDefault="00E177CA" w:rsidP="001578C7">
            <w:pPr>
              <w:pStyle w:val="BayerBodyTextFull"/>
              <w:numPr>
                <w:ilvl w:val="0"/>
                <w:numId w:val="24"/>
              </w:numPr>
              <w:tabs>
                <w:tab w:val="left" w:pos="600"/>
              </w:tabs>
              <w:spacing w:line="260" w:lineRule="exact"/>
              <w:rPr>
                <w:rFonts w:ascii="Arial" w:hAnsi="Arial" w:cs="Arial"/>
                <w:sz w:val="22"/>
                <w:szCs w:val="22"/>
              </w:rPr>
            </w:pPr>
            <w:proofErr w:type="gramStart"/>
            <w:r w:rsidRPr="00E177CA">
              <w:rPr>
                <w:rFonts w:ascii="Arial" w:hAnsi="Arial" w:cs="Arial"/>
                <w:sz w:val="22"/>
                <w:szCs w:val="22"/>
              </w:rPr>
              <w:t>myocardial</w:t>
            </w:r>
            <w:proofErr w:type="gramEnd"/>
            <w:r w:rsidRPr="00E177CA">
              <w:rPr>
                <w:rFonts w:ascii="Arial" w:hAnsi="Arial" w:cs="Arial"/>
                <w:sz w:val="22"/>
                <w:szCs w:val="22"/>
              </w:rPr>
              <w:t xml:space="preserve"> ischemia (0.6% vs 0.4%)</w:t>
            </w:r>
          </w:p>
          <w:p w14:paraId="2BFE64E5" w14:textId="77777777" w:rsidR="00E177CA" w:rsidRPr="00E177CA" w:rsidRDefault="00E177CA" w:rsidP="001578C7">
            <w:pPr>
              <w:pStyle w:val="BayerBodyTextFull"/>
              <w:tabs>
                <w:tab w:val="left" w:pos="600"/>
              </w:tabs>
              <w:spacing w:line="260" w:lineRule="exact"/>
              <w:ind w:left="600"/>
              <w:rPr>
                <w:rFonts w:ascii="Arial" w:hAnsi="Arial" w:cs="Arial"/>
                <w:sz w:val="22"/>
                <w:szCs w:val="22"/>
              </w:rPr>
            </w:pPr>
          </w:p>
        </w:tc>
      </w:tr>
    </w:tbl>
    <w:p w14:paraId="712C2909" w14:textId="77777777" w:rsidR="002B70DA" w:rsidRPr="005B4EB5" w:rsidRDefault="002B70DA" w:rsidP="001578C7">
      <w:pPr>
        <w:pStyle w:val="Heading3"/>
        <w:rPr>
          <w:rFonts w:ascii="Arial" w:hAnsi="Arial" w:cs="Arial"/>
          <w:sz w:val="22"/>
          <w:szCs w:val="22"/>
        </w:rPr>
      </w:pPr>
      <w:r w:rsidRPr="005B4EB5">
        <w:rPr>
          <w:rFonts w:ascii="Arial" w:hAnsi="Arial" w:cs="Arial"/>
          <w:sz w:val="22"/>
          <w:szCs w:val="22"/>
        </w:rPr>
        <w:lastRenderedPageBreak/>
        <w:t xml:space="preserve">Laboratory abnormalities </w:t>
      </w:r>
    </w:p>
    <w:p w14:paraId="712C290A" w14:textId="77777777" w:rsidR="002B70DA" w:rsidRDefault="002B70DA" w:rsidP="001578C7">
      <w:pPr>
        <w:pStyle w:val="BayerBodyTextFull"/>
        <w:keepNext/>
        <w:spacing w:before="0" w:after="0"/>
        <w:rPr>
          <w:rFonts w:ascii="Arial" w:hAnsi="Arial" w:cs="Arial"/>
          <w:b/>
          <w:sz w:val="22"/>
          <w:szCs w:val="22"/>
        </w:rPr>
      </w:pPr>
    </w:p>
    <w:p w14:paraId="712C290B" w14:textId="12C5063A" w:rsidR="002B70DA" w:rsidRDefault="002B70DA" w:rsidP="001578C7">
      <w:pPr>
        <w:pStyle w:val="BayerBodyTextFull"/>
        <w:keepNext/>
        <w:spacing w:before="0" w:after="0"/>
        <w:rPr>
          <w:rFonts w:ascii="Arial" w:hAnsi="Arial" w:cs="Arial"/>
          <w:sz w:val="22"/>
          <w:szCs w:val="22"/>
          <w:lang w:val="en-GB"/>
        </w:rPr>
      </w:pPr>
      <w:r w:rsidRPr="0047783E">
        <w:rPr>
          <w:rFonts w:ascii="Arial" w:hAnsi="Arial" w:cs="Arial"/>
          <w:sz w:val="22"/>
          <w:szCs w:val="22"/>
          <w:lang w:val="en-GB"/>
        </w:rPr>
        <w:t xml:space="preserve">Table </w:t>
      </w:r>
      <w:r w:rsidR="00871049">
        <w:rPr>
          <w:rFonts w:ascii="Arial" w:hAnsi="Arial" w:cs="Arial"/>
          <w:sz w:val="22"/>
          <w:szCs w:val="22"/>
          <w:lang w:val="en-GB"/>
        </w:rPr>
        <w:t>7</w:t>
      </w:r>
      <w:r w:rsidRPr="0047783E">
        <w:rPr>
          <w:rFonts w:ascii="Arial" w:hAnsi="Arial" w:cs="Arial"/>
          <w:b/>
          <w:bCs/>
          <w:sz w:val="22"/>
          <w:szCs w:val="22"/>
          <w:lang w:val="en-GB"/>
        </w:rPr>
        <w:t xml:space="preserve"> </w:t>
      </w:r>
      <w:r w:rsidRPr="0047783E">
        <w:rPr>
          <w:rFonts w:ascii="Arial" w:hAnsi="Arial" w:cs="Arial"/>
          <w:sz w:val="22"/>
          <w:szCs w:val="22"/>
          <w:lang w:val="en-GB"/>
        </w:rPr>
        <w:t xml:space="preserve">compares the incidence of laboratory test abnormalities in patients receiving </w:t>
      </w:r>
      <w:r w:rsidR="00601DFC">
        <w:rPr>
          <w:rFonts w:ascii="Arial" w:hAnsi="Arial" w:cs="Arial"/>
          <w:sz w:val="22"/>
          <w:szCs w:val="22"/>
          <w:lang w:val="en-GB"/>
        </w:rPr>
        <w:t xml:space="preserve">STIVARGA </w:t>
      </w:r>
      <w:r w:rsidRPr="0047783E">
        <w:rPr>
          <w:rFonts w:ascii="Arial" w:hAnsi="Arial" w:cs="Arial"/>
          <w:sz w:val="22"/>
          <w:szCs w:val="22"/>
          <w:lang w:val="en-GB"/>
        </w:rPr>
        <w:t>and in patients receiving placebo in the pivotal CORRECT study</w:t>
      </w:r>
      <w:r w:rsidR="004F501C">
        <w:rPr>
          <w:rFonts w:ascii="Arial" w:hAnsi="Arial" w:cs="Arial"/>
          <w:sz w:val="22"/>
          <w:szCs w:val="22"/>
          <w:lang w:val="en-GB"/>
        </w:rPr>
        <w:t xml:space="preserve"> (see </w:t>
      </w:r>
      <w:r w:rsidR="00F00CDC">
        <w:rPr>
          <w:rFonts w:ascii="Arial" w:hAnsi="Arial" w:cs="Arial"/>
          <w:sz w:val="22"/>
          <w:szCs w:val="22"/>
          <w:lang w:val="en-GB"/>
        </w:rPr>
        <w:t>PRECAUTIONS</w:t>
      </w:r>
      <w:r w:rsidR="004F501C">
        <w:rPr>
          <w:rFonts w:ascii="Arial" w:hAnsi="Arial" w:cs="Arial"/>
          <w:sz w:val="22"/>
          <w:szCs w:val="22"/>
          <w:lang w:val="en-GB"/>
        </w:rPr>
        <w:t>).</w:t>
      </w:r>
    </w:p>
    <w:p w14:paraId="712C290C" w14:textId="77777777" w:rsidR="006B7A11" w:rsidRDefault="006B7A11" w:rsidP="001578C7">
      <w:pPr>
        <w:pStyle w:val="BayerBodyTextFull"/>
        <w:keepNext/>
        <w:spacing w:before="0" w:after="0"/>
        <w:rPr>
          <w:rFonts w:ascii="Arial" w:hAnsi="Arial" w:cs="Arial"/>
          <w:sz w:val="22"/>
          <w:szCs w:val="22"/>
          <w:lang w:val="en-GB"/>
        </w:rPr>
      </w:pPr>
    </w:p>
    <w:p w14:paraId="712C290D" w14:textId="2B8C8A15" w:rsidR="002C1E8E" w:rsidRPr="003A5EE1" w:rsidRDefault="002C1E8E" w:rsidP="001578C7">
      <w:pPr>
        <w:pStyle w:val="Caption"/>
        <w:keepNext/>
        <w:rPr>
          <w:rFonts w:ascii="Arial" w:hAnsi="Arial" w:cs="Arial"/>
          <w:sz w:val="22"/>
          <w:szCs w:val="22"/>
        </w:rPr>
      </w:pPr>
      <w:r w:rsidRPr="003A5EE1">
        <w:rPr>
          <w:rFonts w:ascii="Arial" w:hAnsi="Arial" w:cs="Arial"/>
          <w:sz w:val="22"/>
          <w:szCs w:val="22"/>
        </w:rPr>
        <w:t xml:space="preserve">Table </w:t>
      </w:r>
      <w:r w:rsidR="00871049">
        <w:rPr>
          <w:rFonts w:ascii="Arial" w:hAnsi="Arial" w:cs="Arial"/>
          <w:sz w:val="22"/>
          <w:szCs w:val="22"/>
        </w:rPr>
        <w:t>7</w:t>
      </w:r>
      <w:r w:rsidRPr="003A5EE1">
        <w:rPr>
          <w:rFonts w:ascii="Arial" w:hAnsi="Arial" w:cs="Arial"/>
          <w:sz w:val="22"/>
          <w:szCs w:val="22"/>
        </w:rPr>
        <w:t>: Treatment-emergent laboratory test abnormalities reported in placebo-controlled Phase III trial in patients with metastatic CRC (CORRECT).</w:t>
      </w:r>
    </w:p>
    <w:p w14:paraId="712C290E" w14:textId="77777777" w:rsidR="002C1E8E" w:rsidRPr="003A5EE1" w:rsidRDefault="002C1E8E" w:rsidP="001578C7">
      <w:pPr>
        <w:keepNext/>
        <w:rPr>
          <w:rFonts w:ascii="Arial" w:hAnsi="Arial" w:cs="Arial"/>
          <w:sz w:val="22"/>
          <w:szCs w:val="22"/>
        </w:rPr>
      </w:pPr>
    </w:p>
    <w:tbl>
      <w:tblPr>
        <w:tblW w:w="8924" w:type="dxa"/>
        <w:tblInd w:w="115" w:type="dxa"/>
        <w:tblBorders>
          <w:top w:val="nil"/>
          <w:left w:val="nil"/>
          <w:bottom w:val="nil"/>
          <w:right w:val="nil"/>
        </w:tblBorders>
        <w:tblLayout w:type="fixed"/>
        <w:tblLook w:val="0000" w:firstRow="0" w:lastRow="0" w:firstColumn="0" w:lastColumn="0" w:noHBand="0" w:noVBand="0"/>
      </w:tblPr>
      <w:tblGrid>
        <w:gridCol w:w="2687"/>
        <w:gridCol w:w="1134"/>
        <w:gridCol w:w="992"/>
        <w:gridCol w:w="992"/>
        <w:gridCol w:w="1134"/>
        <w:gridCol w:w="992"/>
        <w:gridCol w:w="993"/>
      </w:tblGrid>
      <w:tr w:rsidR="00485416" w:rsidRPr="003A5EE1" w14:paraId="712C2914" w14:textId="77777777" w:rsidTr="008913AB">
        <w:trPr>
          <w:cantSplit/>
          <w:trHeight w:val="693"/>
          <w:tblHeader/>
        </w:trPr>
        <w:tc>
          <w:tcPr>
            <w:tcW w:w="2687" w:type="dxa"/>
            <w:vMerge w:val="restart"/>
            <w:tcBorders>
              <w:top w:val="single" w:sz="6" w:space="0" w:color="000000"/>
              <w:left w:val="single" w:sz="6" w:space="0" w:color="000000"/>
              <w:right w:val="single" w:sz="4" w:space="0" w:color="000000"/>
            </w:tcBorders>
            <w:vAlign w:val="center"/>
          </w:tcPr>
          <w:p w14:paraId="712C290F" w14:textId="77777777" w:rsidR="00485416" w:rsidRPr="003A5EE1" w:rsidRDefault="00485416" w:rsidP="008B739F">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b/>
                <w:bCs/>
                <w:sz w:val="22"/>
                <w:szCs w:val="22"/>
                <w:lang w:eastAsia="ko-KR"/>
              </w:rPr>
              <w:t>Laboratory Parameter</w:t>
            </w:r>
            <w:r w:rsidR="00A867E8">
              <w:rPr>
                <w:rFonts w:ascii="Arial" w:eastAsia="Batang" w:hAnsi="Arial" w:cs="Arial"/>
                <w:b/>
                <w:bCs/>
                <w:sz w:val="22"/>
                <w:szCs w:val="22"/>
                <w:lang w:eastAsia="ko-KR"/>
              </w:rPr>
              <w:t xml:space="preserve"> (in % of samples investigated)</w:t>
            </w:r>
          </w:p>
        </w:tc>
        <w:tc>
          <w:tcPr>
            <w:tcW w:w="3118" w:type="dxa"/>
            <w:gridSpan w:val="3"/>
            <w:tcBorders>
              <w:top w:val="single" w:sz="6" w:space="0" w:color="000000"/>
              <w:left w:val="single" w:sz="4" w:space="0" w:color="000000"/>
              <w:bottom w:val="single" w:sz="4" w:space="0" w:color="000000"/>
              <w:right w:val="single" w:sz="4" w:space="0" w:color="000000"/>
            </w:tcBorders>
            <w:vAlign w:val="center"/>
          </w:tcPr>
          <w:p w14:paraId="712C2910" w14:textId="0DFA602E" w:rsidR="00485416" w:rsidRPr="003A5EE1" w:rsidRDefault="00485416" w:rsidP="001578C7">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S</w:t>
            </w:r>
            <w:r w:rsidR="00FF0B8E">
              <w:rPr>
                <w:rFonts w:ascii="Arial" w:eastAsia="Batang" w:hAnsi="Arial" w:cs="Arial"/>
                <w:b/>
                <w:bCs/>
                <w:sz w:val="22"/>
                <w:szCs w:val="22"/>
                <w:lang w:eastAsia="ko-KR"/>
              </w:rPr>
              <w:t>TIVARGA</w:t>
            </w:r>
            <w:r w:rsidR="00A867E8">
              <w:rPr>
                <w:rFonts w:ascii="Arial" w:eastAsia="Batang" w:hAnsi="Arial" w:cs="Arial"/>
                <w:b/>
                <w:bCs/>
                <w:sz w:val="22"/>
                <w:szCs w:val="22"/>
                <w:lang w:eastAsia="ko-KR"/>
              </w:rPr>
              <w:t xml:space="preserve"> plus BSC</w:t>
            </w:r>
            <w:r w:rsidR="00296132" w:rsidRPr="00740E73">
              <w:rPr>
                <w:rFonts w:ascii="Arial" w:eastAsia="Batang" w:hAnsi="Arial" w:cs="Arial"/>
                <w:b/>
                <w:bCs/>
                <w:sz w:val="22"/>
                <w:szCs w:val="22"/>
                <w:vertAlign w:val="superscript"/>
                <w:lang w:eastAsia="ko-KR"/>
              </w:rPr>
              <w:t>§</w:t>
            </w:r>
          </w:p>
          <w:p w14:paraId="712C291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(N=500)</w:t>
            </w:r>
          </w:p>
        </w:tc>
        <w:tc>
          <w:tcPr>
            <w:tcW w:w="3119" w:type="dxa"/>
            <w:gridSpan w:val="3"/>
            <w:tcBorders>
              <w:top w:val="single" w:sz="6" w:space="0" w:color="000000"/>
              <w:left w:val="single" w:sz="4" w:space="0" w:color="000000"/>
              <w:bottom w:val="single" w:sz="4" w:space="0" w:color="000000"/>
              <w:right w:val="single" w:sz="4" w:space="0" w:color="000000"/>
            </w:tcBorders>
            <w:vAlign w:val="center"/>
          </w:tcPr>
          <w:p w14:paraId="712C2912" w14:textId="77777777" w:rsidR="00485416" w:rsidRPr="00740E73" w:rsidRDefault="00485416" w:rsidP="001578C7">
            <w:pPr>
              <w:keepNext/>
              <w:widowControl w:val="0"/>
              <w:autoSpaceDE w:val="0"/>
              <w:autoSpaceDN w:val="0"/>
              <w:adjustRightInd w:val="0"/>
              <w:jc w:val="center"/>
              <w:rPr>
                <w:rFonts w:ascii="Arial" w:eastAsia="Batang" w:hAnsi="Arial" w:cs="Arial"/>
                <w:b/>
                <w:bCs/>
                <w:sz w:val="22"/>
                <w:szCs w:val="22"/>
                <w:vertAlign w:val="superscript"/>
                <w:lang w:eastAsia="ko-KR"/>
              </w:rPr>
            </w:pPr>
            <w:r w:rsidRPr="003A5EE1">
              <w:rPr>
                <w:rFonts w:ascii="Arial" w:eastAsia="Batang" w:hAnsi="Arial" w:cs="Arial"/>
                <w:b/>
                <w:bCs/>
                <w:sz w:val="22"/>
                <w:szCs w:val="22"/>
                <w:lang w:eastAsia="ko-KR"/>
              </w:rPr>
              <w:t>Placebo</w:t>
            </w:r>
            <w:r w:rsidR="00A867E8">
              <w:rPr>
                <w:rFonts w:ascii="Arial" w:eastAsia="Batang" w:hAnsi="Arial" w:cs="Arial"/>
                <w:b/>
                <w:bCs/>
                <w:sz w:val="22"/>
                <w:szCs w:val="22"/>
                <w:lang w:eastAsia="ko-KR"/>
              </w:rPr>
              <w:t xml:space="preserve"> plus BSC</w:t>
            </w:r>
            <w:r w:rsidR="00296132" w:rsidRPr="00740E73">
              <w:rPr>
                <w:rFonts w:ascii="Arial" w:eastAsia="Batang" w:hAnsi="Arial" w:cs="Arial"/>
                <w:b/>
                <w:bCs/>
                <w:sz w:val="22"/>
                <w:szCs w:val="22"/>
                <w:vertAlign w:val="superscript"/>
                <w:lang w:eastAsia="ko-KR"/>
              </w:rPr>
              <w:t>§</w:t>
            </w:r>
          </w:p>
          <w:p w14:paraId="712C2913"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(N=253)</w:t>
            </w:r>
          </w:p>
        </w:tc>
      </w:tr>
      <w:tr w:rsidR="00485416" w:rsidRPr="003A5EE1" w14:paraId="712C2922" w14:textId="77777777" w:rsidTr="00E177CA">
        <w:trPr>
          <w:cantSplit/>
          <w:trHeight w:val="629"/>
          <w:tblHeader/>
        </w:trPr>
        <w:tc>
          <w:tcPr>
            <w:tcW w:w="2687" w:type="dxa"/>
            <w:vMerge/>
            <w:tcBorders>
              <w:left w:val="single" w:sz="6" w:space="0" w:color="000000"/>
              <w:bottom w:val="single" w:sz="4" w:space="0" w:color="000000"/>
              <w:right w:val="single" w:sz="4" w:space="0" w:color="auto"/>
            </w:tcBorders>
          </w:tcPr>
          <w:p w14:paraId="712C2915" w14:textId="77777777" w:rsidR="00485416" w:rsidRPr="003A5EE1" w:rsidRDefault="00485416" w:rsidP="001578C7">
            <w:pPr>
              <w:keepNext/>
              <w:widowControl w:val="0"/>
              <w:autoSpaceDE w:val="0"/>
              <w:autoSpaceDN w:val="0"/>
              <w:adjustRightInd w:val="0"/>
              <w:rPr>
                <w:rFonts w:ascii="Arial" w:eastAsia="Batang" w:hAnsi="Arial" w:cs="Arial"/>
                <w:b/>
                <w:bCs/>
                <w:sz w:val="22"/>
                <w:szCs w:val="22"/>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14:paraId="712C2916" w14:textId="77777777" w:rsidR="00485416" w:rsidRPr="003A5EE1" w:rsidRDefault="00485416" w:rsidP="001578C7">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14:paraId="712C2917" w14:textId="77777777" w:rsidR="00485416" w:rsidRPr="003A5EE1" w:rsidRDefault="00A867E8" w:rsidP="001578C7">
            <w:pPr>
              <w:keepNext/>
              <w:widowControl w:val="0"/>
              <w:autoSpaceDE w:val="0"/>
              <w:autoSpaceDN w:val="0"/>
              <w:adjustRightInd w:val="0"/>
              <w:jc w:val="center"/>
              <w:rPr>
                <w:rFonts w:ascii="Arial" w:eastAsia="Batang" w:hAnsi="Arial" w:cs="Arial"/>
                <w:b/>
                <w:bCs/>
                <w:sz w:val="22"/>
                <w:szCs w:val="22"/>
                <w:lang w:eastAsia="ko-KR"/>
              </w:rPr>
            </w:pPr>
            <w:r>
              <w:rPr>
                <w:rFonts w:ascii="Arial" w:eastAsia="Batang" w:hAnsi="Arial" w:cs="Arial"/>
                <w:b/>
                <w:bCs/>
                <w:sz w:val="22"/>
                <w:szCs w:val="22"/>
                <w:lang w:eastAsia="ko-KR"/>
              </w:rPr>
              <w:t>Grades</w:t>
            </w:r>
            <w:r w:rsidR="00716E57">
              <w:rPr>
                <w:rFonts w:ascii="Arial" w:eastAsia="Batang" w:hAnsi="Arial" w:cs="Arial"/>
                <w:b/>
                <w:bCs/>
                <w:sz w:val="22"/>
                <w:szCs w:val="22"/>
                <w:lang w:eastAsia="ko-KR"/>
              </w:rPr>
              <w:t>*</w:t>
            </w:r>
          </w:p>
        </w:tc>
        <w:tc>
          <w:tcPr>
            <w:tcW w:w="992" w:type="dxa"/>
            <w:tcBorders>
              <w:top w:val="single" w:sz="4" w:space="0" w:color="000000"/>
              <w:left w:val="single" w:sz="4" w:space="0" w:color="auto"/>
              <w:bottom w:val="single" w:sz="4" w:space="0" w:color="000000"/>
              <w:right w:val="single" w:sz="4" w:space="0" w:color="000000"/>
            </w:tcBorders>
            <w:vAlign w:val="center"/>
          </w:tcPr>
          <w:p w14:paraId="712C2919" w14:textId="283F6BE3" w:rsidR="00485416" w:rsidRPr="003A5EE1" w:rsidRDefault="00A867E8" w:rsidP="001578C7">
            <w:pPr>
              <w:keepNext/>
              <w:widowControl w:val="0"/>
              <w:autoSpaceDE w:val="0"/>
              <w:autoSpaceDN w:val="0"/>
              <w:adjustRightInd w:val="0"/>
              <w:jc w:val="center"/>
              <w:rPr>
                <w:rFonts w:ascii="Arial" w:eastAsia="Batang" w:hAnsi="Arial" w:cs="Arial"/>
                <w:b/>
                <w:bCs/>
                <w:sz w:val="22"/>
                <w:szCs w:val="22"/>
                <w:lang w:eastAsia="ko-KR"/>
              </w:rPr>
            </w:pPr>
            <w:r>
              <w:rPr>
                <w:rFonts w:ascii="Arial" w:eastAsia="Batang" w:hAnsi="Arial" w:cs="Arial"/>
                <w:b/>
                <w:bCs/>
                <w:sz w:val="22"/>
                <w:szCs w:val="22"/>
                <w:lang w:eastAsia="ko-KR"/>
              </w:rPr>
              <w:t xml:space="preserve">Grade </w:t>
            </w:r>
            <w:r w:rsidR="00485416" w:rsidRPr="003A5EE1">
              <w:rPr>
                <w:rFonts w:ascii="Arial" w:eastAsia="Batang" w:hAnsi="Arial" w:cs="Arial"/>
                <w:b/>
                <w:bCs/>
                <w:sz w:val="22"/>
                <w:szCs w:val="22"/>
                <w:lang w:eastAsia="ko-KR"/>
              </w:rPr>
              <w:t>3</w:t>
            </w:r>
            <w:r w:rsidR="00716E57">
              <w:rPr>
                <w:rFonts w:ascii="Arial" w:eastAsia="Batang" w:hAnsi="Arial" w:cs="Arial"/>
                <w:b/>
                <w:bCs/>
                <w:sz w:val="22"/>
                <w:szCs w:val="22"/>
                <w:lang w:eastAsia="ko-KR"/>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12C291B" w14:textId="241AB716" w:rsidR="00485416" w:rsidRPr="003A5EE1" w:rsidRDefault="00A867E8" w:rsidP="001578C7">
            <w:pPr>
              <w:keepNext/>
              <w:widowControl w:val="0"/>
              <w:autoSpaceDE w:val="0"/>
              <w:autoSpaceDN w:val="0"/>
              <w:adjustRightInd w:val="0"/>
              <w:jc w:val="center"/>
              <w:rPr>
                <w:rFonts w:ascii="Arial" w:eastAsia="Batang" w:hAnsi="Arial" w:cs="Arial"/>
                <w:b/>
                <w:bCs/>
                <w:sz w:val="22"/>
                <w:szCs w:val="22"/>
                <w:lang w:eastAsia="ko-KR"/>
              </w:rPr>
            </w:pPr>
            <w:r>
              <w:rPr>
                <w:rFonts w:ascii="Arial" w:eastAsia="Batang" w:hAnsi="Arial" w:cs="Arial"/>
                <w:b/>
                <w:bCs/>
                <w:sz w:val="22"/>
                <w:szCs w:val="22"/>
                <w:lang w:eastAsia="ko-KR"/>
              </w:rPr>
              <w:t xml:space="preserve">Grade </w:t>
            </w:r>
            <w:r w:rsidR="00485416" w:rsidRPr="003A5EE1">
              <w:rPr>
                <w:rFonts w:ascii="Arial" w:eastAsia="Batang" w:hAnsi="Arial" w:cs="Arial"/>
                <w:b/>
                <w:bCs/>
                <w:sz w:val="22"/>
                <w:szCs w:val="22"/>
                <w:lang w:eastAsia="ko-KR"/>
              </w:rPr>
              <w:t>4</w:t>
            </w:r>
            <w:r w:rsidR="00716E57">
              <w:rPr>
                <w:rFonts w:ascii="Arial" w:eastAsia="Batang" w:hAnsi="Arial" w:cs="Arial"/>
                <w:b/>
                <w:bCs/>
                <w:sz w:val="22"/>
                <w:szCs w:val="22"/>
                <w:lang w:eastAsia="ko-K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C291D" w14:textId="2FEE95BE" w:rsidR="00485416" w:rsidRPr="003A5EE1" w:rsidRDefault="00485416" w:rsidP="001578C7">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r w:rsidR="00A867E8">
              <w:rPr>
                <w:rFonts w:ascii="Arial" w:eastAsia="Batang" w:hAnsi="Arial" w:cs="Arial"/>
                <w:b/>
                <w:bCs/>
                <w:sz w:val="22"/>
                <w:szCs w:val="22"/>
                <w:lang w:eastAsia="ko-KR"/>
              </w:rPr>
              <w:t xml:space="preserve"> Grades</w:t>
            </w:r>
            <w:r w:rsidR="00716E57">
              <w:rPr>
                <w:rFonts w:ascii="Arial" w:eastAsia="Batang" w:hAnsi="Arial" w:cs="Arial"/>
                <w:b/>
                <w:bCs/>
                <w:sz w:val="22"/>
                <w:szCs w:val="22"/>
                <w:lang w:eastAsia="ko-KR"/>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12C291F" w14:textId="6EF37030" w:rsidR="00485416" w:rsidRPr="003A5EE1" w:rsidRDefault="00A867E8" w:rsidP="001578C7">
            <w:pPr>
              <w:keepNext/>
              <w:widowControl w:val="0"/>
              <w:autoSpaceDE w:val="0"/>
              <w:autoSpaceDN w:val="0"/>
              <w:adjustRightInd w:val="0"/>
              <w:jc w:val="center"/>
              <w:rPr>
                <w:rFonts w:ascii="Arial" w:eastAsia="Batang" w:hAnsi="Arial" w:cs="Arial"/>
                <w:b/>
                <w:bCs/>
                <w:sz w:val="22"/>
                <w:szCs w:val="22"/>
                <w:lang w:eastAsia="ko-KR"/>
              </w:rPr>
            </w:pPr>
            <w:r>
              <w:rPr>
                <w:rFonts w:ascii="Arial" w:eastAsia="Batang" w:hAnsi="Arial" w:cs="Arial"/>
                <w:b/>
                <w:bCs/>
                <w:sz w:val="22"/>
                <w:szCs w:val="22"/>
                <w:lang w:eastAsia="ko-KR"/>
              </w:rPr>
              <w:t xml:space="preserve">Grade </w:t>
            </w:r>
            <w:r w:rsidR="00485416" w:rsidRPr="003A5EE1">
              <w:rPr>
                <w:rFonts w:ascii="Arial" w:eastAsia="Batang" w:hAnsi="Arial" w:cs="Arial"/>
                <w:b/>
                <w:bCs/>
                <w:sz w:val="22"/>
                <w:szCs w:val="22"/>
                <w:lang w:eastAsia="ko-KR"/>
              </w:rPr>
              <w:t>3</w:t>
            </w:r>
            <w:r w:rsidR="00716E57">
              <w:rPr>
                <w:rFonts w:ascii="Arial" w:eastAsia="Batang" w:hAnsi="Arial" w:cs="Arial"/>
                <w:b/>
                <w:bCs/>
                <w:sz w:val="22"/>
                <w:szCs w:val="22"/>
                <w:lang w:eastAsia="ko-KR"/>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12C2921" w14:textId="0C23DD4C" w:rsidR="00485416" w:rsidRPr="003A5EE1" w:rsidRDefault="00A867E8" w:rsidP="001578C7">
            <w:pPr>
              <w:keepNext/>
              <w:widowControl w:val="0"/>
              <w:autoSpaceDE w:val="0"/>
              <w:autoSpaceDN w:val="0"/>
              <w:adjustRightInd w:val="0"/>
              <w:jc w:val="center"/>
              <w:rPr>
                <w:rFonts w:ascii="Arial" w:eastAsia="Batang" w:hAnsi="Arial" w:cs="Arial"/>
                <w:b/>
                <w:bCs/>
                <w:sz w:val="22"/>
                <w:szCs w:val="22"/>
                <w:lang w:eastAsia="ko-KR"/>
              </w:rPr>
            </w:pPr>
            <w:r>
              <w:rPr>
                <w:rFonts w:ascii="Arial" w:eastAsia="Batang" w:hAnsi="Arial" w:cs="Arial"/>
                <w:b/>
                <w:bCs/>
                <w:sz w:val="22"/>
                <w:szCs w:val="22"/>
                <w:lang w:eastAsia="ko-KR"/>
              </w:rPr>
              <w:t xml:space="preserve">Grade </w:t>
            </w:r>
            <w:r w:rsidR="00485416" w:rsidRPr="003A5EE1">
              <w:rPr>
                <w:rFonts w:ascii="Arial" w:eastAsia="Batang" w:hAnsi="Arial" w:cs="Arial"/>
                <w:b/>
                <w:bCs/>
                <w:sz w:val="22"/>
                <w:szCs w:val="22"/>
                <w:lang w:eastAsia="ko-KR"/>
              </w:rPr>
              <w:t>4</w:t>
            </w:r>
            <w:r w:rsidR="00716E57">
              <w:rPr>
                <w:rFonts w:ascii="Arial" w:eastAsia="Batang" w:hAnsi="Arial" w:cs="Arial"/>
                <w:b/>
                <w:bCs/>
                <w:sz w:val="22"/>
                <w:szCs w:val="22"/>
                <w:lang w:eastAsia="ko-KR"/>
              </w:rPr>
              <w:t>*</w:t>
            </w:r>
          </w:p>
        </w:tc>
      </w:tr>
      <w:tr w:rsidR="00485416" w:rsidRPr="003A5EE1" w14:paraId="712C292A" w14:textId="77777777" w:rsidTr="00B40C13">
        <w:trPr>
          <w:trHeight w:val="288"/>
        </w:trPr>
        <w:tc>
          <w:tcPr>
            <w:tcW w:w="2687" w:type="dxa"/>
            <w:tcBorders>
              <w:top w:val="single" w:sz="6" w:space="0" w:color="000000"/>
              <w:left w:val="single" w:sz="6" w:space="0" w:color="000000"/>
              <w:bottom w:val="nil"/>
              <w:right w:val="single" w:sz="4" w:space="0" w:color="000000"/>
            </w:tcBorders>
            <w:vAlign w:val="bottom"/>
          </w:tcPr>
          <w:p w14:paraId="712C2923" w14:textId="77777777" w:rsidR="00485416" w:rsidRPr="003A5EE1" w:rsidRDefault="00485416" w:rsidP="001578C7">
            <w:pPr>
              <w:keepNext/>
              <w:rPr>
                <w:rFonts w:ascii="Arial" w:eastAsia="Batang" w:hAnsi="Arial" w:cs="Arial"/>
                <w:b/>
                <w:bCs/>
                <w:sz w:val="22"/>
                <w:szCs w:val="22"/>
                <w:lang w:eastAsia="ko-KR"/>
              </w:rPr>
            </w:pPr>
            <w:r w:rsidRPr="003A5EE1">
              <w:rPr>
                <w:rFonts w:ascii="Arial" w:hAnsi="Arial" w:cs="Arial"/>
                <w:b/>
                <w:bCs/>
                <w:sz w:val="22"/>
                <w:szCs w:val="22"/>
              </w:rPr>
              <w:t>Blood and lymphatic system disorders</w:t>
            </w:r>
          </w:p>
        </w:tc>
        <w:tc>
          <w:tcPr>
            <w:tcW w:w="1134" w:type="dxa"/>
            <w:tcBorders>
              <w:top w:val="single" w:sz="4" w:space="0" w:color="auto"/>
              <w:left w:val="single" w:sz="4" w:space="0" w:color="000000"/>
              <w:bottom w:val="nil"/>
              <w:right w:val="single" w:sz="4" w:space="0" w:color="000000"/>
            </w:tcBorders>
            <w:vAlign w:val="bottom"/>
          </w:tcPr>
          <w:p w14:paraId="712C292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6" w:space="0" w:color="000000"/>
              <w:left w:val="single" w:sz="4" w:space="0" w:color="000000"/>
              <w:bottom w:val="nil"/>
              <w:right w:val="single" w:sz="4" w:space="0" w:color="000000"/>
            </w:tcBorders>
            <w:vAlign w:val="bottom"/>
          </w:tcPr>
          <w:p w14:paraId="712C292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6" w:space="0" w:color="000000"/>
              <w:left w:val="single" w:sz="4" w:space="0" w:color="000000"/>
              <w:bottom w:val="nil"/>
              <w:right w:val="single" w:sz="4" w:space="0" w:color="000000"/>
            </w:tcBorders>
            <w:vAlign w:val="bottom"/>
          </w:tcPr>
          <w:p w14:paraId="712C292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1134" w:type="dxa"/>
            <w:tcBorders>
              <w:top w:val="single" w:sz="6" w:space="0" w:color="000000"/>
              <w:left w:val="single" w:sz="4" w:space="0" w:color="000000"/>
              <w:bottom w:val="nil"/>
              <w:right w:val="single" w:sz="4" w:space="0" w:color="000000"/>
            </w:tcBorders>
            <w:vAlign w:val="bottom"/>
          </w:tcPr>
          <w:p w14:paraId="712C292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6" w:space="0" w:color="000000"/>
              <w:left w:val="single" w:sz="4" w:space="0" w:color="000000"/>
              <w:bottom w:val="nil"/>
              <w:right w:val="single" w:sz="4" w:space="0" w:color="000000"/>
            </w:tcBorders>
            <w:vAlign w:val="bottom"/>
          </w:tcPr>
          <w:p w14:paraId="712C292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3" w:type="dxa"/>
            <w:tcBorders>
              <w:top w:val="single" w:sz="6" w:space="0" w:color="000000"/>
              <w:left w:val="single" w:sz="4" w:space="0" w:color="000000"/>
              <w:bottom w:val="nil"/>
              <w:right w:val="single" w:sz="4" w:space="0" w:color="000000"/>
            </w:tcBorders>
            <w:vAlign w:val="bottom"/>
          </w:tcPr>
          <w:p w14:paraId="712C292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r>
      <w:tr w:rsidR="00485416" w:rsidRPr="003A5EE1" w14:paraId="712C2932" w14:textId="77777777" w:rsidTr="00B40C13">
        <w:trPr>
          <w:trHeight w:val="288"/>
        </w:trPr>
        <w:tc>
          <w:tcPr>
            <w:tcW w:w="2687" w:type="dxa"/>
            <w:tcBorders>
              <w:top w:val="nil"/>
              <w:left w:val="single" w:sz="6" w:space="0" w:color="000000"/>
              <w:bottom w:val="nil"/>
              <w:right w:val="single" w:sz="4" w:space="0" w:color="000000"/>
            </w:tcBorders>
            <w:vAlign w:val="bottom"/>
          </w:tcPr>
          <w:p w14:paraId="712C292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An</w:t>
            </w:r>
            <w:r w:rsidR="00971883" w:rsidRPr="003A5EE1">
              <w:rPr>
                <w:rFonts w:ascii="Arial" w:eastAsia="Batang" w:hAnsi="Arial" w:cs="Arial"/>
                <w:sz w:val="22"/>
                <w:szCs w:val="22"/>
                <w:lang w:eastAsia="ko-KR"/>
              </w:rPr>
              <w:t>a</w:t>
            </w:r>
            <w:r w:rsidRPr="003A5EE1">
              <w:rPr>
                <w:rFonts w:ascii="Arial" w:eastAsia="Batang" w:hAnsi="Arial" w:cs="Arial"/>
                <w:sz w:val="22"/>
                <w:szCs w:val="22"/>
                <w:lang w:eastAsia="ko-KR"/>
              </w:rPr>
              <w:t>emia</w:t>
            </w:r>
          </w:p>
        </w:tc>
        <w:tc>
          <w:tcPr>
            <w:tcW w:w="1134" w:type="dxa"/>
            <w:tcBorders>
              <w:top w:val="nil"/>
              <w:left w:val="single" w:sz="4" w:space="0" w:color="000000"/>
              <w:bottom w:val="nil"/>
              <w:right w:val="single" w:sz="4" w:space="0" w:color="000000"/>
            </w:tcBorders>
            <w:vAlign w:val="bottom"/>
          </w:tcPr>
          <w:p w14:paraId="712C292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79</w:t>
            </w:r>
          </w:p>
        </w:tc>
        <w:tc>
          <w:tcPr>
            <w:tcW w:w="992" w:type="dxa"/>
            <w:tcBorders>
              <w:top w:val="nil"/>
              <w:left w:val="single" w:sz="4" w:space="0" w:color="000000"/>
              <w:bottom w:val="nil"/>
              <w:right w:val="single" w:sz="4" w:space="0" w:color="000000"/>
            </w:tcBorders>
            <w:vAlign w:val="bottom"/>
          </w:tcPr>
          <w:p w14:paraId="712C292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992" w:type="dxa"/>
            <w:tcBorders>
              <w:top w:val="nil"/>
              <w:left w:val="single" w:sz="4" w:space="0" w:color="000000"/>
              <w:bottom w:val="nil"/>
              <w:right w:val="single" w:sz="4" w:space="0" w:color="000000"/>
            </w:tcBorders>
            <w:vAlign w:val="bottom"/>
          </w:tcPr>
          <w:p w14:paraId="712C292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34" w:type="dxa"/>
            <w:tcBorders>
              <w:top w:val="nil"/>
              <w:left w:val="single" w:sz="4" w:space="0" w:color="000000"/>
              <w:bottom w:val="nil"/>
              <w:right w:val="single" w:sz="4" w:space="0" w:color="000000"/>
            </w:tcBorders>
            <w:vAlign w:val="bottom"/>
          </w:tcPr>
          <w:p w14:paraId="712C292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66</w:t>
            </w:r>
          </w:p>
        </w:tc>
        <w:tc>
          <w:tcPr>
            <w:tcW w:w="992" w:type="dxa"/>
            <w:tcBorders>
              <w:top w:val="nil"/>
              <w:left w:val="single" w:sz="4" w:space="0" w:color="000000"/>
              <w:bottom w:val="nil"/>
              <w:right w:val="single" w:sz="4" w:space="0" w:color="000000"/>
            </w:tcBorders>
            <w:vAlign w:val="bottom"/>
          </w:tcPr>
          <w:p w14:paraId="712C293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993" w:type="dxa"/>
            <w:tcBorders>
              <w:top w:val="nil"/>
              <w:left w:val="single" w:sz="4" w:space="0" w:color="000000"/>
              <w:bottom w:val="nil"/>
              <w:right w:val="single" w:sz="4" w:space="0" w:color="000000"/>
            </w:tcBorders>
            <w:vAlign w:val="bottom"/>
          </w:tcPr>
          <w:p w14:paraId="712C293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3A" w14:textId="77777777" w:rsidTr="00B40C13">
        <w:trPr>
          <w:trHeight w:val="288"/>
        </w:trPr>
        <w:tc>
          <w:tcPr>
            <w:tcW w:w="2687" w:type="dxa"/>
            <w:tcBorders>
              <w:top w:val="nil"/>
              <w:left w:val="single" w:sz="6" w:space="0" w:color="000000"/>
              <w:bottom w:val="nil"/>
              <w:right w:val="single" w:sz="4" w:space="0" w:color="000000"/>
            </w:tcBorders>
            <w:vAlign w:val="bottom"/>
          </w:tcPr>
          <w:p w14:paraId="712C2933"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Thrombocytopenia</w:t>
            </w:r>
          </w:p>
        </w:tc>
        <w:tc>
          <w:tcPr>
            <w:tcW w:w="1134" w:type="dxa"/>
            <w:tcBorders>
              <w:top w:val="nil"/>
              <w:left w:val="single" w:sz="4" w:space="0" w:color="000000"/>
              <w:bottom w:val="nil"/>
              <w:right w:val="single" w:sz="4" w:space="0" w:color="000000"/>
            </w:tcBorders>
            <w:vAlign w:val="bottom"/>
          </w:tcPr>
          <w:p w14:paraId="712C293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41</w:t>
            </w:r>
          </w:p>
        </w:tc>
        <w:tc>
          <w:tcPr>
            <w:tcW w:w="992" w:type="dxa"/>
            <w:tcBorders>
              <w:top w:val="nil"/>
              <w:left w:val="single" w:sz="4" w:space="0" w:color="000000"/>
              <w:bottom w:val="nil"/>
              <w:right w:val="single" w:sz="4" w:space="0" w:color="000000"/>
            </w:tcBorders>
            <w:vAlign w:val="bottom"/>
          </w:tcPr>
          <w:p w14:paraId="712C293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992" w:type="dxa"/>
            <w:tcBorders>
              <w:top w:val="nil"/>
              <w:left w:val="single" w:sz="4" w:space="0" w:color="000000"/>
              <w:bottom w:val="nil"/>
              <w:right w:val="single" w:sz="4" w:space="0" w:color="000000"/>
            </w:tcBorders>
            <w:vAlign w:val="bottom"/>
          </w:tcPr>
          <w:p w14:paraId="712C293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34" w:type="dxa"/>
            <w:tcBorders>
              <w:top w:val="nil"/>
              <w:left w:val="single" w:sz="4" w:space="0" w:color="000000"/>
              <w:bottom w:val="nil"/>
              <w:right w:val="single" w:sz="4" w:space="0" w:color="000000"/>
            </w:tcBorders>
            <w:vAlign w:val="bottom"/>
          </w:tcPr>
          <w:p w14:paraId="712C293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992" w:type="dxa"/>
            <w:tcBorders>
              <w:top w:val="nil"/>
              <w:left w:val="single" w:sz="4" w:space="0" w:color="000000"/>
              <w:bottom w:val="nil"/>
              <w:right w:val="single" w:sz="4" w:space="0" w:color="000000"/>
            </w:tcBorders>
            <w:vAlign w:val="bottom"/>
          </w:tcPr>
          <w:p w14:paraId="712C293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993" w:type="dxa"/>
            <w:tcBorders>
              <w:top w:val="nil"/>
              <w:left w:val="single" w:sz="4" w:space="0" w:color="000000"/>
              <w:bottom w:val="nil"/>
              <w:right w:val="single" w:sz="4" w:space="0" w:color="000000"/>
            </w:tcBorders>
            <w:vAlign w:val="bottom"/>
          </w:tcPr>
          <w:p w14:paraId="712C293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42" w14:textId="77777777" w:rsidTr="00B40C13">
        <w:trPr>
          <w:trHeight w:val="288"/>
        </w:trPr>
        <w:tc>
          <w:tcPr>
            <w:tcW w:w="2687" w:type="dxa"/>
            <w:tcBorders>
              <w:top w:val="nil"/>
              <w:left w:val="single" w:sz="6" w:space="0" w:color="000000"/>
              <w:bottom w:val="nil"/>
              <w:right w:val="single" w:sz="4" w:space="0" w:color="000000"/>
            </w:tcBorders>
            <w:vAlign w:val="bottom"/>
          </w:tcPr>
          <w:p w14:paraId="712C293B" w14:textId="77777777" w:rsidR="00485416" w:rsidRPr="003A5EE1" w:rsidRDefault="00485416" w:rsidP="001578C7">
            <w:pPr>
              <w:keepNext/>
              <w:widowControl w:val="0"/>
              <w:autoSpaceDE w:val="0"/>
              <w:autoSpaceDN w:val="0"/>
              <w:adjustRightInd w:val="0"/>
              <w:rPr>
                <w:rFonts w:ascii="Arial" w:eastAsia="Batang" w:hAnsi="Arial" w:cs="Arial"/>
                <w:b/>
                <w:bCs/>
                <w:sz w:val="22"/>
                <w:szCs w:val="22"/>
                <w:lang w:eastAsia="ko-KR"/>
              </w:rPr>
            </w:pPr>
            <w:r w:rsidRPr="003A5EE1">
              <w:rPr>
                <w:rFonts w:ascii="Arial" w:eastAsia="Batang" w:hAnsi="Arial" w:cs="Arial"/>
                <w:sz w:val="22"/>
                <w:szCs w:val="22"/>
                <w:lang w:eastAsia="ko-KR"/>
              </w:rPr>
              <w:t>Neutrop</w:t>
            </w:r>
            <w:r w:rsidR="00C74B51">
              <w:rPr>
                <w:rFonts w:ascii="Arial" w:eastAsia="Batang" w:hAnsi="Arial" w:cs="Arial"/>
                <w:sz w:val="22"/>
                <w:szCs w:val="22"/>
                <w:lang w:eastAsia="ko-KR"/>
              </w:rPr>
              <w:t>a</w:t>
            </w:r>
            <w:r w:rsidRPr="003A5EE1">
              <w:rPr>
                <w:rFonts w:ascii="Arial" w:eastAsia="Batang" w:hAnsi="Arial" w:cs="Arial"/>
                <w:sz w:val="22"/>
                <w:szCs w:val="22"/>
                <w:lang w:eastAsia="ko-KR"/>
              </w:rPr>
              <w:t>enia</w:t>
            </w:r>
          </w:p>
        </w:tc>
        <w:tc>
          <w:tcPr>
            <w:tcW w:w="1134" w:type="dxa"/>
            <w:tcBorders>
              <w:top w:val="nil"/>
              <w:left w:val="single" w:sz="4" w:space="0" w:color="000000"/>
              <w:bottom w:val="nil"/>
              <w:right w:val="single" w:sz="4" w:space="0" w:color="000000"/>
            </w:tcBorders>
            <w:vAlign w:val="bottom"/>
          </w:tcPr>
          <w:p w14:paraId="712C293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992" w:type="dxa"/>
            <w:tcBorders>
              <w:top w:val="nil"/>
              <w:left w:val="single" w:sz="4" w:space="0" w:color="000000"/>
              <w:bottom w:val="nil"/>
              <w:right w:val="single" w:sz="4" w:space="0" w:color="000000"/>
            </w:tcBorders>
            <w:vAlign w:val="bottom"/>
          </w:tcPr>
          <w:p w14:paraId="712C293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992" w:type="dxa"/>
            <w:tcBorders>
              <w:top w:val="nil"/>
              <w:left w:val="single" w:sz="4" w:space="0" w:color="000000"/>
              <w:bottom w:val="nil"/>
              <w:right w:val="single" w:sz="4" w:space="0" w:color="000000"/>
            </w:tcBorders>
            <w:vAlign w:val="bottom"/>
          </w:tcPr>
          <w:p w14:paraId="712C293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34" w:type="dxa"/>
            <w:tcBorders>
              <w:top w:val="nil"/>
              <w:left w:val="single" w:sz="4" w:space="0" w:color="000000"/>
              <w:bottom w:val="nil"/>
              <w:right w:val="single" w:sz="4" w:space="0" w:color="000000"/>
            </w:tcBorders>
            <w:vAlign w:val="bottom"/>
          </w:tcPr>
          <w:p w14:paraId="712C293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992" w:type="dxa"/>
            <w:tcBorders>
              <w:top w:val="nil"/>
              <w:left w:val="single" w:sz="4" w:space="0" w:color="000000"/>
              <w:bottom w:val="nil"/>
              <w:right w:val="single" w:sz="4" w:space="0" w:color="000000"/>
            </w:tcBorders>
            <w:vAlign w:val="bottom"/>
          </w:tcPr>
          <w:p w14:paraId="712C294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993" w:type="dxa"/>
            <w:tcBorders>
              <w:top w:val="nil"/>
              <w:left w:val="single" w:sz="4" w:space="0" w:color="000000"/>
              <w:bottom w:val="nil"/>
              <w:right w:val="single" w:sz="4" w:space="0" w:color="000000"/>
            </w:tcBorders>
            <w:vAlign w:val="bottom"/>
          </w:tcPr>
          <w:p w14:paraId="712C294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4A" w14:textId="77777777" w:rsidTr="00B40C13">
        <w:trPr>
          <w:trHeight w:val="288"/>
        </w:trPr>
        <w:tc>
          <w:tcPr>
            <w:tcW w:w="2687" w:type="dxa"/>
            <w:tcBorders>
              <w:top w:val="nil"/>
              <w:left w:val="single" w:sz="6" w:space="0" w:color="000000"/>
              <w:bottom w:val="nil"/>
              <w:right w:val="single" w:sz="4" w:space="0" w:color="000000"/>
            </w:tcBorders>
            <w:vAlign w:val="bottom"/>
          </w:tcPr>
          <w:p w14:paraId="712C2943" w14:textId="77777777" w:rsidR="00485416" w:rsidRPr="003A5EE1" w:rsidRDefault="00485416" w:rsidP="001578C7">
            <w:pPr>
              <w:keepNext/>
              <w:widowControl w:val="0"/>
              <w:autoSpaceDE w:val="0"/>
              <w:autoSpaceDN w:val="0"/>
              <w:adjustRightInd w:val="0"/>
              <w:ind w:left="426" w:hanging="426"/>
              <w:rPr>
                <w:rFonts w:ascii="Arial" w:eastAsia="Batang" w:hAnsi="Arial" w:cs="Arial"/>
                <w:sz w:val="22"/>
                <w:szCs w:val="22"/>
                <w:lang w:eastAsia="ko-KR"/>
              </w:rPr>
            </w:pPr>
            <w:r w:rsidRPr="003A5EE1">
              <w:rPr>
                <w:rFonts w:ascii="Arial" w:eastAsia="Batang" w:hAnsi="Arial" w:cs="Arial"/>
                <w:sz w:val="22"/>
                <w:szCs w:val="22"/>
                <w:lang w:eastAsia="ko-KR"/>
              </w:rPr>
              <w:t>Lymphopenia</w:t>
            </w:r>
          </w:p>
        </w:tc>
        <w:tc>
          <w:tcPr>
            <w:tcW w:w="1134" w:type="dxa"/>
            <w:tcBorders>
              <w:top w:val="nil"/>
              <w:left w:val="single" w:sz="4" w:space="0" w:color="000000"/>
              <w:bottom w:val="nil"/>
              <w:right w:val="single" w:sz="4" w:space="0" w:color="000000"/>
            </w:tcBorders>
            <w:vAlign w:val="bottom"/>
          </w:tcPr>
          <w:p w14:paraId="712C294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54</w:t>
            </w:r>
          </w:p>
        </w:tc>
        <w:tc>
          <w:tcPr>
            <w:tcW w:w="992" w:type="dxa"/>
            <w:tcBorders>
              <w:top w:val="nil"/>
              <w:left w:val="single" w:sz="4" w:space="0" w:color="000000"/>
              <w:bottom w:val="nil"/>
              <w:right w:val="single" w:sz="4" w:space="0" w:color="000000"/>
            </w:tcBorders>
            <w:vAlign w:val="bottom"/>
          </w:tcPr>
          <w:p w14:paraId="712C294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9</w:t>
            </w:r>
          </w:p>
        </w:tc>
        <w:tc>
          <w:tcPr>
            <w:tcW w:w="992" w:type="dxa"/>
            <w:tcBorders>
              <w:top w:val="nil"/>
              <w:left w:val="single" w:sz="4" w:space="0" w:color="000000"/>
              <w:bottom w:val="nil"/>
              <w:right w:val="single" w:sz="4" w:space="0" w:color="000000"/>
            </w:tcBorders>
            <w:vAlign w:val="bottom"/>
          </w:tcPr>
          <w:p w14:paraId="712C294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34" w:type="dxa"/>
            <w:tcBorders>
              <w:top w:val="nil"/>
              <w:left w:val="single" w:sz="4" w:space="0" w:color="000000"/>
              <w:bottom w:val="nil"/>
              <w:right w:val="single" w:sz="4" w:space="0" w:color="000000"/>
            </w:tcBorders>
            <w:vAlign w:val="bottom"/>
          </w:tcPr>
          <w:p w14:paraId="712C294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34</w:t>
            </w:r>
          </w:p>
        </w:tc>
        <w:tc>
          <w:tcPr>
            <w:tcW w:w="992" w:type="dxa"/>
            <w:tcBorders>
              <w:top w:val="nil"/>
              <w:left w:val="single" w:sz="4" w:space="0" w:color="000000"/>
              <w:bottom w:val="nil"/>
              <w:right w:val="single" w:sz="4" w:space="0" w:color="000000"/>
            </w:tcBorders>
            <w:vAlign w:val="bottom"/>
          </w:tcPr>
          <w:p w14:paraId="712C294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993" w:type="dxa"/>
            <w:tcBorders>
              <w:top w:val="nil"/>
              <w:left w:val="single" w:sz="4" w:space="0" w:color="000000"/>
              <w:bottom w:val="nil"/>
              <w:right w:val="single" w:sz="4" w:space="0" w:color="000000"/>
            </w:tcBorders>
            <w:vAlign w:val="bottom"/>
          </w:tcPr>
          <w:p w14:paraId="712C294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52" w14:textId="77777777" w:rsidTr="00B40C13">
        <w:trPr>
          <w:trHeight w:val="288"/>
        </w:trPr>
        <w:tc>
          <w:tcPr>
            <w:tcW w:w="2687" w:type="dxa"/>
            <w:tcBorders>
              <w:top w:val="single" w:sz="6" w:space="0" w:color="000000"/>
              <w:left w:val="single" w:sz="6" w:space="0" w:color="000000"/>
              <w:bottom w:val="nil"/>
              <w:right w:val="single" w:sz="4" w:space="0" w:color="000000"/>
            </w:tcBorders>
            <w:vAlign w:val="bottom"/>
          </w:tcPr>
          <w:p w14:paraId="712C294B" w14:textId="77777777" w:rsidR="00485416" w:rsidRPr="003A5EE1" w:rsidRDefault="00485416" w:rsidP="001578C7">
            <w:pPr>
              <w:keepNext/>
              <w:widowControl w:val="0"/>
              <w:autoSpaceDE w:val="0"/>
              <w:autoSpaceDN w:val="0"/>
              <w:adjustRightInd w:val="0"/>
              <w:rPr>
                <w:rFonts w:ascii="Arial" w:hAnsi="Arial" w:cs="Arial"/>
                <w:b/>
                <w:bCs/>
                <w:sz w:val="22"/>
                <w:szCs w:val="22"/>
              </w:rPr>
            </w:pPr>
            <w:r w:rsidRPr="003A5EE1">
              <w:rPr>
                <w:rFonts w:ascii="Arial" w:hAnsi="Arial" w:cs="Arial"/>
                <w:b/>
                <w:bCs/>
                <w:sz w:val="22"/>
                <w:szCs w:val="22"/>
              </w:rPr>
              <w:t>Metabolism and nutrition disorders</w:t>
            </w:r>
          </w:p>
        </w:tc>
        <w:tc>
          <w:tcPr>
            <w:tcW w:w="1134" w:type="dxa"/>
            <w:tcBorders>
              <w:top w:val="single" w:sz="6" w:space="0" w:color="000000"/>
              <w:left w:val="single" w:sz="4" w:space="0" w:color="000000"/>
              <w:bottom w:val="nil"/>
              <w:right w:val="single" w:sz="4" w:space="0" w:color="000000"/>
            </w:tcBorders>
            <w:vAlign w:val="bottom"/>
          </w:tcPr>
          <w:p w14:paraId="712C294C" w14:textId="77777777" w:rsidR="00485416" w:rsidRPr="003A5EE1" w:rsidRDefault="00485416" w:rsidP="001578C7">
            <w:pPr>
              <w:keepNext/>
              <w:widowControl w:val="0"/>
              <w:autoSpaceDE w:val="0"/>
              <w:autoSpaceDN w:val="0"/>
              <w:adjustRightInd w:val="0"/>
              <w:jc w:val="center"/>
              <w:rPr>
                <w:rFonts w:ascii="Arial" w:hAnsi="Arial" w:cs="Arial"/>
                <w:b/>
                <w:bCs/>
                <w:sz w:val="22"/>
                <w:szCs w:val="22"/>
              </w:rPr>
            </w:pPr>
          </w:p>
        </w:tc>
        <w:tc>
          <w:tcPr>
            <w:tcW w:w="992" w:type="dxa"/>
            <w:tcBorders>
              <w:top w:val="single" w:sz="6" w:space="0" w:color="000000"/>
              <w:left w:val="single" w:sz="4" w:space="0" w:color="000000"/>
              <w:bottom w:val="nil"/>
              <w:right w:val="single" w:sz="4" w:space="0" w:color="000000"/>
            </w:tcBorders>
            <w:vAlign w:val="bottom"/>
          </w:tcPr>
          <w:p w14:paraId="712C294D" w14:textId="77777777" w:rsidR="00485416" w:rsidRPr="003A5EE1" w:rsidRDefault="00485416" w:rsidP="001578C7">
            <w:pPr>
              <w:keepNext/>
              <w:widowControl w:val="0"/>
              <w:autoSpaceDE w:val="0"/>
              <w:autoSpaceDN w:val="0"/>
              <w:adjustRightInd w:val="0"/>
              <w:jc w:val="center"/>
              <w:rPr>
                <w:rFonts w:ascii="Arial" w:hAnsi="Arial" w:cs="Arial"/>
                <w:b/>
                <w:bCs/>
                <w:sz w:val="22"/>
                <w:szCs w:val="22"/>
              </w:rPr>
            </w:pPr>
          </w:p>
        </w:tc>
        <w:tc>
          <w:tcPr>
            <w:tcW w:w="992" w:type="dxa"/>
            <w:tcBorders>
              <w:top w:val="single" w:sz="6" w:space="0" w:color="000000"/>
              <w:left w:val="single" w:sz="4" w:space="0" w:color="000000"/>
              <w:bottom w:val="nil"/>
              <w:right w:val="single" w:sz="4" w:space="0" w:color="000000"/>
            </w:tcBorders>
            <w:vAlign w:val="bottom"/>
          </w:tcPr>
          <w:p w14:paraId="712C294E" w14:textId="77777777" w:rsidR="00485416" w:rsidRPr="003A5EE1" w:rsidRDefault="00485416" w:rsidP="001578C7">
            <w:pPr>
              <w:keepNext/>
              <w:widowControl w:val="0"/>
              <w:autoSpaceDE w:val="0"/>
              <w:autoSpaceDN w:val="0"/>
              <w:adjustRightInd w:val="0"/>
              <w:jc w:val="center"/>
              <w:rPr>
                <w:rFonts w:ascii="Arial" w:hAnsi="Arial" w:cs="Arial"/>
                <w:b/>
                <w:bCs/>
                <w:sz w:val="22"/>
                <w:szCs w:val="22"/>
              </w:rPr>
            </w:pPr>
          </w:p>
        </w:tc>
        <w:tc>
          <w:tcPr>
            <w:tcW w:w="1134" w:type="dxa"/>
            <w:tcBorders>
              <w:top w:val="single" w:sz="6" w:space="0" w:color="000000"/>
              <w:left w:val="single" w:sz="4" w:space="0" w:color="000000"/>
              <w:bottom w:val="nil"/>
              <w:right w:val="single" w:sz="4" w:space="0" w:color="000000"/>
            </w:tcBorders>
            <w:vAlign w:val="bottom"/>
          </w:tcPr>
          <w:p w14:paraId="712C294F" w14:textId="77777777" w:rsidR="00485416" w:rsidRPr="003A5EE1" w:rsidRDefault="00485416" w:rsidP="001578C7">
            <w:pPr>
              <w:keepNext/>
              <w:widowControl w:val="0"/>
              <w:autoSpaceDE w:val="0"/>
              <w:autoSpaceDN w:val="0"/>
              <w:adjustRightInd w:val="0"/>
              <w:jc w:val="center"/>
              <w:rPr>
                <w:rFonts w:ascii="Arial" w:hAnsi="Arial" w:cs="Arial"/>
                <w:b/>
                <w:bCs/>
                <w:sz w:val="22"/>
                <w:szCs w:val="22"/>
              </w:rPr>
            </w:pPr>
          </w:p>
        </w:tc>
        <w:tc>
          <w:tcPr>
            <w:tcW w:w="992" w:type="dxa"/>
            <w:tcBorders>
              <w:top w:val="single" w:sz="6" w:space="0" w:color="000000"/>
              <w:left w:val="single" w:sz="4" w:space="0" w:color="000000"/>
              <w:bottom w:val="nil"/>
              <w:right w:val="single" w:sz="4" w:space="0" w:color="000000"/>
            </w:tcBorders>
            <w:vAlign w:val="bottom"/>
          </w:tcPr>
          <w:p w14:paraId="712C2950" w14:textId="77777777" w:rsidR="00485416" w:rsidRPr="003A5EE1" w:rsidRDefault="00485416" w:rsidP="001578C7">
            <w:pPr>
              <w:keepNext/>
              <w:widowControl w:val="0"/>
              <w:autoSpaceDE w:val="0"/>
              <w:autoSpaceDN w:val="0"/>
              <w:adjustRightInd w:val="0"/>
              <w:jc w:val="center"/>
              <w:rPr>
                <w:rFonts w:ascii="Arial" w:hAnsi="Arial" w:cs="Arial"/>
                <w:b/>
                <w:bCs/>
                <w:sz w:val="22"/>
                <w:szCs w:val="22"/>
              </w:rPr>
            </w:pPr>
          </w:p>
        </w:tc>
        <w:tc>
          <w:tcPr>
            <w:tcW w:w="993" w:type="dxa"/>
            <w:tcBorders>
              <w:top w:val="single" w:sz="6" w:space="0" w:color="000000"/>
              <w:left w:val="single" w:sz="4" w:space="0" w:color="000000"/>
              <w:bottom w:val="nil"/>
              <w:right w:val="single" w:sz="4" w:space="0" w:color="000000"/>
            </w:tcBorders>
            <w:vAlign w:val="bottom"/>
          </w:tcPr>
          <w:p w14:paraId="712C2951" w14:textId="77777777" w:rsidR="00485416" w:rsidRPr="003A5EE1" w:rsidRDefault="00485416" w:rsidP="001578C7">
            <w:pPr>
              <w:keepNext/>
              <w:widowControl w:val="0"/>
              <w:autoSpaceDE w:val="0"/>
              <w:autoSpaceDN w:val="0"/>
              <w:adjustRightInd w:val="0"/>
              <w:jc w:val="center"/>
              <w:rPr>
                <w:rFonts w:ascii="Arial" w:hAnsi="Arial" w:cs="Arial"/>
                <w:b/>
                <w:bCs/>
                <w:sz w:val="22"/>
                <w:szCs w:val="22"/>
              </w:rPr>
            </w:pPr>
          </w:p>
        </w:tc>
      </w:tr>
      <w:tr w:rsidR="00485416" w:rsidRPr="003A5EE1" w14:paraId="712C295A" w14:textId="77777777" w:rsidTr="00B40C13">
        <w:trPr>
          <w:trHeight w:val="288"/>
        </w:trPr>
        <w:tc>
          <w:tcPr>
            <w:tcW w:w="2687" w:type="dxa"/>
            <w:tcBorders>
              <w:top w:val="nil"/>
              <w:left w:val="single" w:sz="6" w:space="0" w:color="000000"/>
              <w:bottom w:val="nil"/>
              <w:right w:val="single" w:sz="4" w:space="0" w:color="000000"/>
            </w:tcBorders>
            <w:vAlign w:val="bottom"/>
          </w:tcPr>
          <w:p w14:paraId="712C2953"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proofErr w:type="spellStart"/>
            <w:r w:rsidRPr="003A5EE1">
              <w:rPr>
                <w:rFonts w:ascii="Arial" w:eastAsia="Batang" w:hAnsi="Arial" w:cs="Arial"/>
                <w:sz w:val="22"/>
                <w:szCs w:val="22"/>
                <w:lang w:eastAsia="ko-KR"/>
              </w:rPr>
              <w:t>Hypocalcemia</w:t>
            </w:r>
            <w:proofErr w:type="spellEnd"/>
          </w:p>
        </w:tc>
        <w:tc>
          <w:tcPr>
            <w:tcW w:w="1134" w:type="dxa"/>
            <w:tcBorders>
              <w:top w:val="nil"/>
              <w:left w:val="single" w:sz="4" w:space="0" w:color="000000"/>
              <w:bottom w:val="nil"/>
              <w:right w:val="single" w:sz="4" w:space="0" w:color="000000"/>
            </w:tcBorders>
            <w:vAlign w:val="bottom"/>
          </w:tcPr>
          <w:p w14:paraId="712C295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59</w:t>
            </w:r>
          </w:p>
        </w:tc>
        <w:tc>
          <w:tcPr>
            <w:tcW w:w="992" w:type="dxa"/>
            <w:tcBorders>
              <w:top w:val="nil"/>
              <w:left w:val="single" w:sz="4" w:space="0" w:color="000000"/>
              <w:bottom w:val="nil"/>
              <w:right w:val="single" w:sz="4" w:space="0" w:color="000000"/>
            </w:tcBorders>
            <w:vAlign w:val="bottom"/>
          </w:tcPr>
          <w:p w14:paraId="712C295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992" w:type="dxa"/>
            <w:tcBorders>
              <w:top w:val="nil"/>
              <w:left w:val="single" w:sz="4" w:space="0" w:color="000000"/>
              <w:bottom w:val="nil"/>
              <w:right w:val="single" w:sz="4" w:space="0" w:color="000000"/>
            </w:tcBorders>
            <w:vAlign w:val="bottom"/>
          </w:tcPr>
          <w:p w14:paraId="712C295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34" w:type="dxa"/>
            <w:tcBorders>
              <w:top w:val="nil"/>
              <w:left w:val="single" w:sz="4" w:space="0" w:color="000000"/>
              <w:bottom w:val="nil"/>
              <w:right w:val="single" w:sz="4" w:space="0" w:color="000000"/>
            </w:tcBorders>
            <w:vAlign w:val="bottom"/>
          </w:tcPr>
          <w:p w14:paraId="712C295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18</w:t>
            </w:r>
          </w:p>
        </w:tc>
        <w:tc>
          <w:tcPr>
            <w:tcW w:w="992" w:type="dxa"/>
            <w:tcBorders>
              <w:top w:val="nil"/>
              <w:left w:val="single" w:sz="4" w:space="0" w:color="000000"/>
              <w:bottom w:val="nil"/>
              <w:right w:val="single" w:sz="4" w:space="0" w:color="000000"/>
            </w:tcBorders>
            <w:vAlign w:val="bottom"/>
          </w:tcPr>
          <w:p w14:paraId="712C295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993" w:type="dxa"/>
            <w:tcBorders>
              <w:top w:val="nil"/>
              <w:left w:val="single" w:sz="4" w:space="0" w:color="000000"/>
              <w:bottom w:val="nil"/>
              <w:right w:val="single" w:sz="4" w:space="0" w:color="000000"/>
            </w:tcBorders>
            <w:vAlign w:val="bottom"/>
          </w:tcPr>
          <w:p w14:paraId="712C295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62" w14:textId="77777777" w:rsidTr="00B40C13">
        <w:trPr>
          <w:trHeight w:val="288"/>
        </w:trPr>
        <w:tc>
          <w:tcPr>
            <w:tcW w:w="2687" w:type="dxa"/>
            <w:tcBorders>
              <w:top w:val="nil"/>
              <w:left w:val="single" w:sz="6" w:space="0" w:color="000000"/>
              <w:bottom w:val="nil"/>
              <w:right w:val="single" w:sz="4" w:space="0" w:color="000000"/>
            </w:tcBorders>
            <w:vAlign w:val="bottom"/>
          </w:tcPr>
          <w:p w14:paraId="712C295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Hypokal</w:t>
            </w:r>
            <w:r w:rsidR="00F808D7">
              <w:rPr>
                <w:rFonts w:ascii="Arial" w:eastAsia="Batang" w:hAnsi="Arial" w:cs="Arial"/>
                <w:sz w:val="22"/>
                <w:szCs w:val="22"/>
                <w:lang w:eastAsia="ko-KR"/>
              </w:rPr>
              <w:t>a</w:t>
            </w:r>
            <w:r w:rsidRPr="003A5EE1">
              <w:rPr>
                <w:rFonts w:ascii="Arial" w:eastAsia="Batang" w:hAnsi="Arial" w:cs="Arial"/>
                <w:sz w:val="22"/>
                <w:szCs w:val="22"/>
                <w:lang w:eastAsia="ko-KR"/>
              </w:rPr>
              <w:t>emia</w:t>
            </w:r>
          </w:p>
        </w:tc>
        <w:tc>
          <w:tcPr>
            <w:tcW w:w="1134" w:type="dxa"/>
            <w:tcBorders>
              <w:top w:val="nil"/>
              <w:left w:val="single" w:sz="4" w:space="0" w:color="000000"/>
              <w:bottom w:val="nil"/>
              <w:right w:val="single" w:sz="4" w:space="0" w:color="000000"/>
            </w:tcBorders>
            <w:vAlign w:val="bottom"/>
          </w:tcPr>
          <w:p w14:paraId="712C295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26</w:t>
            </w:r>
          </w:p>
        </w:tc>
        <w:tc>
          <w:tcPr>
            <w:tcW w:w="992" w:type="dxa"/>
            <w:tcBorders>
              <w:top w:val="nil"/>
              <w:left w:val="single" w:sz="4" w:space="0" w:color="000000"/>
              <w:bottom w:val="nil"/>
              <w:right w:val="single" w:sz="4" w:space="0" w:color="000000"/>
            </w:tcBorders>
            <w:vAlign w:val="bottom"/>
          </w:tcPr>
          <w:p w14:paraId="712C295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992" w:type="dxa"/>
            <w:tcBorders>
              <w:top w:val="nil"/>
              <w:left w:val="single" w:sz="4" w:space="0" w:color="000000"/>
              <w:bottom w:val="nil"/>
              <w:right w:val="single" w:sz="4" w:space="0" w:color="000000"/>
            </w:tcBorders>
            <w:vAlign w:val="bottom"/>
          </w:tcPr>
          <w:p w14:paraId="712C295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34" w:type="dxa"/>
            <w:tcBorders>
              <w:top w:val="nil"/>
              <w:left w:val="single" w:sz="4" w:space="0" w:color="000000"/>
              <w:bottom w:val="nil"/>
              <w:right w:val="single" w:sz="4" w:space="0" w:color="000000"/>
            </w:tcBorders>
            <w:vAlign w:val="bottom"/>
          </w:tcPr>
          <w:p w14:paraId="712C295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8</w:t>
            </w:r>
          </w:p>
        </w:tc>
        <w:tc>
          <w:tcPr>
            <w:tcW w:w="992" w:type="dxa"/>
            <w:tcBorders>
              <w:top w:val="nil"/>
              <w:left w:val="single" w:sz="4" w:space="0" w:color="000000"/>
              <w:bottom w:val="nil"/>
              <w:right w:val="single" w:sz="4" w:space="0" w:color="000000"/>
            </w:tcBorders>
            <w:vAlign w:val="bottom"/>
          </w:tcPr>
          <w:p w14:paraId="712C296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993" w:type="dxa"/>
            <w:tcBorders>
              <w:top w:val="nil"/>
              <w:left w:val="single" w:sz="4" w:space="0" w:color="000000"/>
              <w:bottom w:val="nil"/>
              <w:right w:val="single" w:sz="4" w:space="0" w:color="000000"/>
            </w:tcBorders>
            <w:vAlign w:val="bottom"/>
          </w:tcPr>
          <w:p w14:paraId="712C296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6A" w14:textId="77777777" w:rsidTr="00B40C13">
        <w:trPr>
          <w:trHeight w:val="288"/>
        </w:trPr>
        <w:tc>
          <w:tcPr>
            <w:tcW w:w="2687" w:type="dxa"/>
            <w:tcBorders>
              <w:top w:val="nil"/>
              <w:left w:val="single" w:sz="6" w:space="0" w:color="000000"/>
              <w:bottom w:val="nil"/>
              <w:right w:val="single" w:sz="4" w:space="0" w:color="000000"/>
            </w:tcBorders>
            <w:vAlign w:val="bottom"/>
          </w:tcPr>
          <w:p w14:paraId="712C2963"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Hyponatremia</w:t>
            </w:r>
          </w:p>
        </w:tc>
        <w:tc>
          <w:tcPr>
            <w:tcW w:w="1134" w:type="dxa"/>
            <w:tcBorders>
              <w:top w:val="nil"/>
              <w:left w:val="single" w:sz="4" w:space="0" w:color="000000"/>
              <w:bottom w:val="nil"/>
              <w:right w:val="single" w:sz="4" w:space="0" w:color="000000"/>
            </w:tcBorders>
          </w:tcPr>
          <w:p w14:paraId="712C296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30</w:t>
            </w:r>
          </w:p>
        </w:tc>
        <w:tc>
          <w:tcPr>
            <w:tcW w:w="992" w:type="dxa"/>
            <w:tcBorders>
              <w:top w:val="nil"/>
              <w:left w:val="single" w:sz="4" w:space="0" w:color="000000"/>
              <w:bottom w:val="nil"/>
              <w:right w:val="single" w:sz="4" w:space="0" w:color="000000"/>
            </w:tcBorders>
          </w:tcPr>
          <w:p w14:paraId="712C296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7</w:t>
            </w:r>
          </w:p>
        </w:tc>
        <w:tc>
          <w:tcPr>
            <w:tcW w:w="992" w:type="dxa"/>
            <w:tcBorders>
              <w:top w:val="nil"/>
              <w:left w:val="single" w:sz="4" w:space="0" w:color="000000"/>
              <w:bottom w:val="nil"/>
              <w:right w:val="single" w:sz="4" w:space="0" w:color="000000"/>
            </w:tcBorders>
          </w:tcPr>
          <w:p w14:paraId="712C296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1</w:t>
            </w:r>
          </w:p>
        </w:tc>
        <w:tc>
          <w:tcPr>
            <w:tcW w:w="1134" w:type="dxa"/>
            <w:tcBorders>
              <w:top w:val="nil"/>
              <w:left w:val="single" w:sz="4" w:space="0" w:color="000000"/>
              <w:bottom w:val="nil"/>
              <w:right w:val="single" w:sz="4" w:space="0" w:color="000000"/>
            </w:tcBorders>
          </w:tcPr>
          <w:p w14:paraId="712C296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22</w:t>
            </w:r>
          </w:p>
        </w:tc>
        <w:tc>
          <w:tcPr>
            <w:tcW w:w="992" w:type="dxa"/>
            <w:tcBorders>
              <w:top w:val="nil"/>
              <w:left w:val="single" w:sz="4" w:space="0" w:color="000000"/>
              <w:bottom w:val="nil"/>
              <w:right w:val="single" w:sz="4" w:space="0" w:color="000000"/>
            </w:tcBorders>
          </w:tcPr>
          <w:p w14:paraId="712C296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4</w:t>
            </w:r>
          </w:p>
        </w:tc>
        <w:tc>
          <w:tcPr>
            <w:tcW w:w="993" w:type="dxa"/>
            <w:tcBorders>
              <w:top w:val="nil"/>
              <w:left w:val="single" w:sz="4" w:space="0" w:color="000000"/>
              <w:bottom w:val="nil"/>
              <w:right w:val="single" w:sz="4" w:space="0" w:color="000000"/>
            </w:tcBorders>
          </w:tcPr>
          <w:p w14:paraId="712C296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0</w:t>
            </w:r>
          </w:p>
        </w:tc>
      </w:tr>
      <w:tr w:rsidR="00485416" w:rsidRPr="003A5EE1" w14:paraId="712C2972" w14:textId="77777777" w:rsidTr="00B40C13">
        <w:trPr>
          <w:trHeight w:val="288"/>
        </w:trPr>
        <w:tc>
          <w:tcPr>
            <w:tcW w:w="2687" w:type="dxa"/>
            <w:tcBorders>
              <w:top w:val="nil"/>
              <w:left w:val="single" w:sz="6" w:space="0" w:color="000000"/>
              <w:bottom w:val="single" w:sz="4" w:space="0" w:color="000000"/>
              <w:right w:val="single" w:sz="4" w:space="0" w:color="000000"/>
            </w:tcBorders>
            <w:vAlign w:val="bottom"/>
          </w:tcPr>
          <w:p w14:paraId="712C296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proofErr w:type="spellStart"/>
            <w:r w:rsidRPr="003A5EE1">
              <w:rPr>
                <w:rFonts w:ascii="Arial" w:eastAsia="Batang" w:hAnsi="Arial" w:cs="Arial"/>
                <w:sz w:val="22"/>
                <w:szCs w:val="22"/>
                <w:lang w:eastAsia="ko-KR"/>
              </w:rPr>
              <w:t>Hypophosphat</w:t>
            </w:r>
            <w:r w:rsidR="00C74B51">
              <w:rPr>
                <w:rFonts w:ascii="Arial" w:eastAsia="Batang" w:hAnsi="Arial" w:cs="Arial"/>
                <w:sz w:val="22"/>
                <w:szCs w:val="22"/>
                <w:lang w:eastAsia="ko-KR"/>
              </w:rPr>
              <w:t>a</w:t>
            </w:r>
            <w:r w:rsidRPr="003A5EE1">
              <w:rPr>
                <w:rFonts w:ascii="Arial" w:eastAsia="Batang" w:hAnsi="Arial" w:cs="Arial"/>
                <w:sz w:val="22"/>
                <w:szCs w:val="22"/>
                <w:lang w:eastAsia="ko-KR"/>
              </w:rPr>
              <w:t>emia</w:t>
            </w:r>
            <w:proofErr w:type="spellEnd"/>
          </w:p>
        </w:tc>
        <w:tc>
          <w:tcPr>
            <w:tcW w:w="1134" w:type="dxa"/>
            <w:tcBorders>
              <w:top w:val="nil"/>
              <w:left w:val="single" w:sz="4" w:space="0" w:color="000000"/>
              <w:bottom w:val="single" w:sz="4" w:space="0" w:color="000000"/>
              <w:right w:val="single" w:sz="4" w:space="0" w:color="000000"/>
            </w:tcBorders>
            <w:vAlign w:val="bottom"/>
          </w:tcPr>
          <w:p w14:paraId="712C296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57</w:t>
            </w:r>
          </w:p>
        </w:tc>
        <w:tc>
          <w:tcPr>
            <w:tcW w:w="992" w:type="dxa"/>
            <w:tcBorders>
              <w:top w:val="nil"/>
              <w:left w:val="single" w:sz="4" w:space="0" w:color="000000"/>
              <w:bottom w:val="single" w:sz="4" w:space="0" w:color="000000"/>
              <w:right w:val="single" w:sz="4" w:space="0" w:color="000000"/>
            </w:tcBorders>
            <w:vAlign w:val="bottom"/>
          </w:tcPr>
          <w:p w14:paraId="712C296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31</w:t>
            </w:r>
          </w:p>
        </w:tc>
        <w:tc>
          <w:tcPr>
            <w:tcW w:w="992" w:type="dxa"/>
            <w:tcBorders>
              <w:top w:val="nil"/>
              <w:left w:val="single" w:sz="4" w:space="0" w:color="000000"/>
              <w:bottom w:val="single" w:sz="4" w:space="0" w:color="000000"/>
              <w:right w:val="single" w:sz="4" w:space="0" w:color="000000"/>
            </w:tcBorders>
            <w:vAlign w:val="bottom"/>
          </w:tcPr>
          <w:p w14:paraId="712C296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34" w:type="dxa"/>
            <w:tcBorders>
              <w:top w:val="nil"/>
              <w:left w:val="single" w:sz="4" w:space="0" w:color="000000"/>
              <w:bottom w:val="single" w:sz="4" w:space="0" w:color="000000"/>
              <w:right w:val="single" w:sz="4" w:space="0" w:color="000000"/>
            </w:tcBorders>
            <w:vAlign w:val="bottom"/>
          </w:tcPr>
          <w:p w14:paraId="712C296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11</w:t>
            </w:r>
          </w:p>
        </w:tc>
        <w:tc>
          <w:tcPr>
            <w:tcW w:w="992" w:type="dxa"/>
            <w:tcBorders>
              <w:top w:val="nil"/>
              <w:left w:val="single" w:sz="4" w:space="0" w:color="000000"/>
              <w:bottom w:val="single" w:sz="4" w:space="0" w:color="000000"/>
              <w:right w:val="single" w:sz="4" w:space="0" w:color="000000"/>
            </w:tcBorders>
            <w:vAlign w:val="bottom"/>
          </w:tcPr>
          <w:p w14:paraId="712C297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993" w:type="dxa"/>
            <w:tcBorders>
              <w:top w:val="nil"/>
              <w:left w:val="single" w:sz="4" w:space="0" w:color="000000"/>
              <w:bottom w:val="single" w:sz="4" w:space="0" w:color="000000"/>
              <w:right w:val="single" w:sz="4" w:space="0" w:color="000000"/>
            </w:tcBorders>
            <w:vAlign w:val="bottom"/>
          </w:tcPr>
          <w:p w14:paraId="712C297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7A" w14:textId="77777777" w:rsidTr="00B40C13">
        <w:trPr>
          <w:trHeight w:val="288"/>
        </w:trPr>
        <w:tc>
          <w:tcPr>
            <w:tcW w:w="2687" w:type="dxa"/>
            <w:tcBorders>
              <w:top w:val="single" w:sz="4" w:space="0" w:color="000000"/>
              <w:left w:val="single" w:sz="6" w:space="0" w:color="000000"/>
              <w:bottom w:val="nil"/>
              <w:right w:val="single" w:sz="4" w:space="0" w:color="000000"/>
            </w:tcBorders>
            <w:vAlign w:val="bottom"/>
          </w:tcPr>
          <w:p w14:paraId="712C2973" w14:textId="77777777" w:rsidR="00485416" w:rsidRPr="003A5EE1" w:rsidRDefault="00485416" w:rsidP="001578C7">
            <w:pPr>
              <w:keepNext/>
              <w:widowControl w:val="0"/>
              <w:autoSpaceDE w:val="0"/>
              <w:autoSpaceDN w:val="0"/>
              <w:adjustRightInd w:val="0"/>
              <w:rPr>
                <w:rFonts w:ascii="Arial" w:eastAsia="Batang" w:hAnsi="Arial" w:cs="Arial"/>
                <w:b/>
                <w:bCs/>
                <w:sz w:val="22"/>
                <w:szCs w:val="22"/>
                <w:lang w:eastAsia="ko-KR"/>
              </w:rPr>
            </w:pPr>
            <w:r w:rsidRPr="003A5EE1">
              <w:rPr>
                <w:rFonts w:ascii="Arial" w:hAnsi="Arial" w:cs="Arial"/>
                <w:b/>
                <w:bCs/>
                <w:sz w:val="22"/>
                <w:szCs w:val="22"/>
              </w:rPr>
              <w:t>Hepatobiliary disorders</w:t>
            </w:r>
          </w:p>
        </w:tc>
        <w:tc>
          <w:tcPr>
            <w:tcW w:w="1134" w:type="dxa"/>
            <w:tcBorders>
              <w:top w:val="single" w:sz="4" w:space="0" w:color="000000"/>
              <w:left w:val="single" w:sz="4" w:space="0" w:color="000000"/>
              <w:bottom w:val="nil"/>
              <w:right w:val="single" w:sz="4" w:space="0" w:color="000000"/>
            </w:tcBorders>
            <w:vAlign w:val="bottom"/>
          </w:tcPr>
          <w:p w14:paraId="712C297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7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7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1134" w:type="dxa"/>
            <w:tcBorders>
              <w:top w:val="single" w:sz="4" w:space="0" w:color="000000"/>
              <w:left w:val="single" w:sz="4" w:space="0" w:color="000000"/>
              <w:bottom w:val="nil"/>
              <w:right w:val="single" w:sz="4" w:space="0" w:color="000000"/>
            </w:tcBorders>
            <w:vAlign w:val="bottom"/>
          </w:tcPr>
          <w:p w14:paraId="712C297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7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3" w:type="dxa"/>
            <w:tcBorders>
              <w:top w:val="single" w:sz="4" w:space="0" w:color="000000"/>
              <w:left w:val="single" w:sz="4" w:space="0" w:color="000000"/>
              <w:bottom w:val="nil"/>
              <w:right w:val="single" w:sz="4" w:space="0" w:color="000000"/>
            </w:tcBorders>
            <w:vAlign w:val="bottom"/>
          </w:tcPr>
          <w:p w14:paraId="712C297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r>
      <w:tr w:rsidR="00485416" w:rsidRPr="003A5EE1" w14:paraId="712C2982" w14:textId="77777777" w:rsidTr="00B40C13">
        <w:trPr>
          <w:trHeight w:val="288"/>
        </w:trPr>
        <w:tc>
          <w:tcPr>
            <w:tcW w:w="2687" w:type="dxa"/>
            <w:tcBorders>
              <w:top w:val="nil"/>
              <w:left w:val="single" w:sz="6" w:space="0" w:color="000000"/>
              <w:bottom w:val="nil"/>
              <w:right w:val="single" w:sz="4" w:space="0" w:color="000000"/>
            </w:tcBorders>
            <w:vAlign w:val="bottom"/>
          </w:tcPr>
          <w:p w14:paraId="712C297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Hyperbilirubin</w:t>
            </w:r>
            <w:r w:rsidR="00F808D7">
              <w:rPr>
                <w:rFonts w:ascii="Arial" w:eastAsia="Batang" w:hAnsi="Arial" w:cs="Arial"/>
                <w:sz w:val="22"/>
                <w:szCs w:val="22"/>
                <w:lang w:eastAsia="ko-KR"/>
              </w:rPr>
              <w:t>a</w:t>
            </w:r>
            <w:r w:rsidRPr="003A5EE1">
              <w:rPr>
                <w:rFonts w:ascii="Arial" w:eastAsia="Batang" w:hAnsi="Arial" w:cs="Arial"/>
                <w:sz w:val="22"/>
                <w:szCs w:val="22"/>
                <w:lang w:eastAsia="ko-KR"/>
              </w:rPr>
              <w:t>emia</w:t>
            </w:r>
          </w:p>
        </w:tc>
        <w:tc>
          <w:tcPr>
            <w:tcW w:w="1134" w:type="dxa"/>
            <w:tcBorders>
              <w:top w:val="nil"/>
              <w:left w:val="single" w:sz="4" w:space="0" w:color="000000"/>
              <w:bottom w:val="nil"/>
              <w:right w:val="single" w:sz="4" w:space="0" w:color="000000"/>
            </w:tcBorders>
            <w:vAlign w:val="bottom"/>
          </w:tcPr>
          <w:p w14:paraId="712C297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45</w:t>
            </w:r>
          </w:p>
        </w:tc>
        <w:tc>
          <w:tcPr>
            <w:tcW w:w="992" w:type="dxa"/>
            <w:tcBorders>
              <w:top w:val="nil"/>
              <w:left w:val="single" w:sz="4" w:space="0" w:color="000000"/>
              <w:bottom w:val="nil"/>
              <w:right w:val="single" w:sz="4" w:space="0" w:color="000000"/>
            </w:tcBorders>
            <w:vAlign w:val="bottom"/>
          </w:tcPr>
          <w:p w14:paraId="712C297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10</w:t>
            </w:r>
          </w:p>
        </w:tc>
        <w:tc>
          <w:tcPr>
            <w:tcW w:w="992" w:type="dxa"/>
            <w:tcBorders>
              <w:top w:val="nil"/>
              <w:left w:val="single" w:sz="4" w:space="0" w:color="000000"/>
              <w:bottom w:val="nil"/>
              <w:right w:val="single" w:sz="4" w:space="0" w:color="000000"/>
            </w:tcBorders>
            <w:vAlign w:val="bottom"/>
          </w:tcPr>
          <w:p w14:paraId="712C297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34" w:type="dxa"/>
            <w:tcBorders>
              <w:top w:val="nil"/>
              <w:left w:val="single" w:sz="4" w:space="0" w:color="000000"/>
              <w:bottom w:val="nil"/>
              <w:right w:val="single" w:sz="4" w:space="0" w:color="000000"/>
            </w:tcBorders>
            <w:vAlign w:val="bottom"/>
          </w:tcPr>
          <w:p w14:paraId="712C297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992" w:type="dxa"/>
            <w:tcBorders>
              <w:top w:val="nil"/>
              <w:left w:val="single" w:sz="4" w:space="0" w:color="000000"/>
              <w:bottom w:val="nil"/>
              <w:right w:val="single" w:sz="4" w:space="0" w:color="000000"/>
            </w:tcBorders>
            <w:vAlign w:val="bottom"/>
          </w:tcPr>
          <w:p w14:paraId="712C298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993" w:type="dxa"/>
            <w:tcBorders>
              <w:top w:val="nil"/>
              <w:left w:val="single" w:sz="4" w:space="0" w:color="000000"/>
              <w:bottom w:val="nil"/>
              <w:right w:val="single" w:sz="4" w:space="0" w:color="000000"/>
            </w:tcBorders>
            <w:vAlign w:val="bottom"/>
          </w:tcPr>
          <w:p w14:paraId="712C298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r>
      <w:tr w:rsidR="00485416" w:rsidRPr="003A5EE1" w14:paraId="712C298A" w14:textId="77777777" w:rsidTr="00B40C13">
        <w:trPr>
          <w:trHeight w:val="288"/>
        </w:trPr>
        <w:tc>
          <w:tcPr>
            <w:tcW w:w="2687" w:type="dxa"/>
            <w:tcBorders>
              <w:top w:val="nil"/>
              <w:left w:val="single" w:sz="6" w:space="0" w:color="000000"/>
              <w:bottom w:val="nil"/>
              <w:right w:val="single" w:sz="4" w:space="0" w:color="000000"/>
            </w:tcBorders>
            <w:vAlign w:val="bottom"/>
          </w:tcPr>
          <w:p w14:paraId="712C2983"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AST</w:t>
            </w:r>
          </w:p>
        </w:tc>
        <w:tc>
          <w:tcPr>
            <w:tcW w:w="1134" w:type="dxa"/>
            <w:tcBorders>
              <w:top w:val="nil"/>
              <w:left w:val="single" w:sz="4" w:space="0" w:color="000000"/>
              <w:bottom w:val="nil"/>
              <w:right w:val="single" w:sz="4" w:space="0" w:color="000000"/>
            </w:tcBorders>
            <w:vAlign w:val="bottom"/>
          </w:tcPr>
          <w:p w14:paraId="712C298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65</w:t>
            </w:r>
          </w:p>
        </w:tc>
        <w:tc>
          <w:tcPr>
            <w:tcW w:w="992" w:type="dxa"/>
            <w:tcBorders>
              <w:top w:val="nil"/>
              <w:left w:val="single" w:sz="4" w:space="0" w:color="000000"/>
              <w:bottom w:val="nil"/>
              <w:right w:val="single" w:sz="4" w:space="0" w:color="000000"/>
            </w:tcBorders>
            <w:vAlign w:val="bottom"/>
          </w:tcPr>
          <w:p w14:paraId="712C298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992" w:type="dxa"/>
            <w:tcBorders>
              <w:top w:val="nil"/>
              <w:left w:val="single" w:sz="4" w:space="0" w:color="000000"/>
              <w:bottom w:val="nil"/>
              <w:right w:val="single" w:sz="4" w:space="0" w:color="000000"/>
            </w:tcBorders>
            <w:vAlign w:val="bottom"/>
          </w:tcPr>
          <w:p w14:paraId="712C298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34" w:type="dxa"/>
            <w:tcBorders>
              <w:top w:val="nil"/>
              <w:left w:val="single" w:sz="4" w:space="0" w:color="000000"/>
              <w:bottom w:val="nil"/>
              <w:right w:val="single" w:sz="4" w:space="0" w:color="000000"/>
            </w:tcBorders>
            <w:vAlign w:val="bottom"/>
          </w:tcPr>
          <w:p w14:paraId="712C298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46</w:t>
            </w:r>
          </w:p>
        </w:tc>
        <w:tc>
          <w:tcPr>
            <w:tcW w:w="992" w:type="dxa"/>
            <w:tcBorders>
              <w:top w:val="nil"/>
              <w:left w:val="single" w:sz="4" w:space="0" w:color="000000"/>
              <w:bottom w:val="nil"/>
              <w:right w:val="single" w:sz="4" w:space="0" w:color="000000"/>
            </w:tcBorders>
            <w:vAlign w:val="bottom"/>
          </w:tcPr>
          <w:p w14:paraId="712C298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993" w:type="dxa"/>
            <w:tcBorders>
              <w:top w:val="nil"/>
              <w:left w:val="single" w:sz="4" w:space="0" w:color="000000"/>
              <w:bottom w:val="nil"/>
              <w:right w:val="single" w:sz="4" w:space="0" w:color="000000"/>
            </w:tcBorders>
            <w:vAlign w:val="bottom"/>
          </w:tcPr>
          <w:p w14:paraId="712C298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r>
      <w:tr w:rsidR="00485416" w:rsidRPr="003A5EE1" w14:paraId="712C2992" w14:textId="77777777" w:rsidTr="00B40C13">
        <w:trPr>
          <w:trHeight w:val="288"/>
        </w:trPr>
        <w:tc>
          <w:tcPr>
            <w:tcW w:w="2687" w:type="dxa"/>
            <w:tcBorders>
              <w:top w:val="nil"/>
              <w:left w:val="single" w:sz="6" w:space="0" w:color="000000"/>
              <w:bottom w:val="single" w:sz="4" w:space="0" w:color="000000"/>
              <w:right w:val="single" w:sz="4" w:space="0" w:color="000000"/>
            </w:tcBorders>
            <w:vAlign w:val="bottom"/>
          </w:tcPr>
          <w:p w14:paraId="712C298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ALT</w:t>
            </w:r>
          </w:p>
        </w:tc>
        <w:tc>
          <w:tcPr>
            <w:tcW w:w="1134" w:type="dxa"/>
            <w:tcBorders>
              <w:top w:val="nil"/>
              <w:left w:val="single" w:sz="4" w:space="0" w:color="000000"/>
              <w:bottom w:val="single" w:sz="4" w:space="0" w:color="000000"/>
              <w:right w:val="single" w:sz="4" w:space="0" w:color="000000"/>
            </w:tcBorders>
            <w:vAlign w:val="bottom"/>
          </w:tcPr>
          <w:p w14:paraId="712C298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45</w:t>
            </w:r>
          </w:p>
        </w:tc>
        <w:tc>
          <w:tcPr>
            <w:tcW w:w="992" w:type="dxa"/>
            <w:tcBorders>
              <w:top w:val="nil"/>
              <w:left w:val="single" w:sz="4" w:space="0" w:color="000000"/>
              <w:bottom w:val="single" w:sz="4" w:space="0" w:color="000000"/>
              <w:right w:val="single" w:sz="4" w:space="0" w:color="000000"/>
            </w:tcBorders>
            <w:vAlign w:val="bottom"/>
          </w:tcPr>
          <w:p w14:paraId="712C298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992" w:type="dxa"/>
            <w:tcBorders>
              <w:top w:val="nil"/>
              <w:left w:val="single" w:sz="4" w:space="0" w:color="000000"/>
              <w:bottom w:val="single" w:sz="4" w:space="0" w:color="000000"/>
              <w:right w:val="single" w:sz="4" w:space="0" w:color="000000"/>
            </w:tcBorders>
            <w:vAlign w:val="bottom"/>
          </w:tcPr>
          <w:p w14:paraId="712C298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34" w:type="dxa"/>
            <w:tcBorders>
              <w:top w:val="nil"/>
              <w:left w:val="single" w:sz="4" w:space="0" w:color="000000"/>
              <w:bottom w:val="single" w:sz="4" w:space="0" w:color="000000"/>
              <w:right w:val="single" w:sz="4" w:space="0" w:color="000000"/>
            </w:tcBorders>
            <w:vAlign w:val="bottom"/>
          </w:tcPr>
          <w:p w14:paraId="712C298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30</w:t>
            </w:r>
          </w:p>
        </w:tc>
        <w:tc>
          <w:tcPr>
            <w:tcW w:w="992" w:type="dxa"/>
            <w:tcBorders>
              <w:top w:val="nil"/>
              <w:left w:val="single" w:sz="4" w:space="0" w:color="000000"/>
              <w:bottom w:val="single" w:sz="4" w:space="0" w:color="000000"/>
              <w:right w:val="single" w:sz="4" w:space="0" w:color="000000"/>
            </w:tcBorders>
            <w:vAlign w:val="bottom"/>
          </w:tcPr>
          <w:p w14:paraId="712C299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993" w:type="dxa"/>
            <w:tcBorders>
              <w:top w:val="nil"/>
              <w:left w:val="single" w:sz="4" w:space="0" w:color="000000"/>
              <w:bottom w:val="single" w:sz="4" w:space="0" w:color="000000"/>
              <w:right w:val="single" w:sz="4" w:space="0" w:color="000000"/>
            </w:tcBorders>
            <w:vAlign w:val="bottom"/>
          </w:tcPr>
          <w:p w14:paraId="712C299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r>
      <w:tr w:rsidR="00485416" w:rsidRPr="003A5EE1" w14:paraId="712C299A" w14:textId="77777777" w:rsidTr="00B40C13">
        <w:trPr>
          <w:trHeight w:val="288"/>
        </w:trPr>
        <w:tc>
          <w:tcPr>
            <w:tcW w:w="2687" w:type="dxa"/>
            <w:tcBorders>
              <w:top w:val="single" w:sz="4" w:space="0" w:color="000000"/>
              <w:left w:val="single" w:sz="6" w:space="0" w:color="000000"/>
              <w:bottom w:val="nil"/>
              <w:right w:val="single" w:sz="4" w:space="0" w:color="000000"/>
            </w:tcBorders>
            <w:vAlign w:val="bottom"/>
          </w:tcPr>
          <w:p w14:paraId="712C2993" w14:textId="77777777" w:rsidR="00485416" w:rsidRPr="003A5EE1" w:rsidRDefault="00485416" w:rsidP="001578C7">
            <w:pPr>
              <w:keepNext/>
              <w:widowControl w:val="0"/>
              <w:autoSpaceDE w:val="0"/>
              <w:autoSpaceDN w:val="0"/>
              <w:adjustRightInd w:val="0"/>
              <w:rPr>
                <w:rFonts w:ascii="Arial" w:eastAsia="Batang" w:hAnsi="Arial" w:cs="Arial"/>
                <w:b/>
                <w:bCs/>
                <w:sz w:val="22"/>
                <w:szCs w:val="22"/>
                <w:lang w:eastAsia="ko-KR"/>
              </w:rPr>
            </w:pPr>
            <w:r w:rsidRPr="003A5EE1">
              <w:rPr>
                <w:rFonts w:ascii="Arial" w:hAnsi="Arial" w:cs="Arial"/>
                <w:b/>
                <w:bCs/>
                <w:sz w:val="22"/>
                <w:szCs w:val="22"/>
              </w:rPr>
              <w:t>Renal and urinary disorders</w:t>
            </w:r>
          </w:p>
        </w:tc>
        <w:tc>
          <w:tcPr>
            <w:tcW w:w="1134" w:type="dxa"/>
            <w:tcBorders>
              <w:top w:val="single" w:sz="4" w:space="0" w:color="000000"/>
              <w:left w:val="single" w:sz="4" w:space="0" w:color="000000"/>
              <w:bottom w:val="nil"/>
              <w:right w:val="single" w:sz="4" w:space="0" w:color="000000"/>
            </w:tcBorders>
            <w:vAlign w:val="bottom"/>
          </w:tcPr>
          <w:p w14:paraId="712C299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9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9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1134" w:type="dxa"/>
            <w:tcBorders>
              <w:top w:val="single" w:sz="4" w:space="0" w:color="000000"/>
              <w:left w:val="single" w:sz="4" w:space="0" w:color="000000"/>
              <w:bottom w:val="nil"/>
              <w:right w:val="single" w:sz="4" w:space="0" w:color="000000"/>
            </w:tcBorders>
            <w:vAlign w:val="bottom"/>
          </w:tcPr>
          <w:p w14:paraId="712C299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9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3" w:type="dxa"/>
            <w:tcBorders>
              <w:top w:val="single" w:sz="4" w:space="0" w:color="000000"/>
              <w:left w:val="single" w:sz="4" w:space="0" w:color="000000"/>
              <w:bottom w:val="nil"/>
              <w:right w:val="single" w:sz="4" w:space="0" w:color="000000"/>
            </w:tcBorders>
            <w:vAlign w:val="bottom"/>
          </w:tcPr>
          <w:p w14:paraId="712C299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r>
      <w:tr w:rsidR="00485416" w:rsidRPr="003A5EE1" w14:paraId="712C29A2" w14:textId="77777777" w:rsidTr="00B40C13">
        <w:trPr>
          <w:trHeight w:val="288"/>
        </w:trPr>
        <w:tc>
          <w:tcPr>
            <w:tcW w:w="2687" w:type="dxa"/>
            <w:tcBorders>
              <w:top w:val="nil"/>
              <w:left w:val="single" w:sz="6" w:space="0" w:color="000000"/>
              <w:bottom w:val="single" w:sz="4" w:space="0" w:color="000000"/>
              <w:right w:val="single" w:sz="4" w:space="0" w:color="000000"/>
            </w:tcBorders>
            <w:vAlign w:val="bottom"/>
          </w:tcPr>
          <w:p w14:paraId="712C299B" w14:textId="77777777" w:rsidR="00485416" w:rsidRPr="003A5EE1" w:rsidRDefault="00485416" w:rsidP="001578C7">
            <w:pPr>
              <w:keepNext/>
              <w:widowControl w:val="0"/>
              <w:autoSpaceDE w:val="0"/>
              <w:autoSpaceDN w:val="0"/>
              <w:adjustRightInd w:val="0"/>
              <w:rPr>
                <w:rFonts w:ascii="Arial" w:eastAsia="Batang" w:hAnsi="Arial" w:cs="Arial"/>
                <w:b/>
                <w:bCs/>
                <w:sz w:val="22"/>
                <w:szCs w:val="22"/>
                <w:lang w:eastAsia="ko-KR"/>
              </w:rPr>
            </w:pPr>
            <w:r w:rsidRPr="003A5EE1">
              <w:rPr>
                <w:rFonts w:ascii="Arial" w:eastAsia="Batang" w:hAnsi="Arial" w:cs="Arial"/>
                <w:sz w:val="22"/>
                <w:szCs w:val="22"/>
                <w:lang w:eastAsia="ko-KR"/>
              </w:rPr>
              <w:t>Proteinuria</w:t>
            </w:r>
          </w:p>
        </w:tc>
        <w:tc>
          <w:tcPr>
            <w:tcW w:w="1134" w:type="dxa"/>
            <w:tcBorders>
              <w:top w:val="nil"/>
              <w:left w:val="single" w:sz="4" w:space="0" w:color="000000"/>
              <w:bottom w:val="single" w:sz="4" w:space="0" w:color="000000"/>
              <w:right w:val="single" w:sz="4" w:space="0" w:color="000000"/>
            </w:tcBorders>
            <w:vAlign w:val="bottom"/>
          </w:tcPr>
          <w:p w14:paraId="712C299C" w14:textId="499A0525" w:rsidR="00485416" w:rsidRPr="003A5EE1" w:rsidRDefault="00655A93" w:rsidP="001578C7">
            <w:pPr>
              <w:keepNext/>
              <w:widowControl w:val="0"/>
              <w:autoSpaceDE w:val="0"/>
              <w:autoSpaceDN w:val="0"/>
              <w:adjustRightInd w:val="0"/>
              <w:jc w:val="center"/>
              <w:rPr>
                <w:rFonts w:ascii="Arial" w:eastAsia="Batang" w:hAnsi="Arial" w:cs="Arial"/>
                <w:sz w:val="22"/>
                <w:szCs w:val="22"/>
                <w:lang w:eastAsia="ko-KR"/>
              </w:rPr>
            </w:pPr>
            <w:r>
              <w:rPr>
                <w:rFonts w:ascii="Arial" w:eastAsia="Batang" w:hAnsi="Arial" w:cs="Arial"/>
                <w:sz w:val="22"/>
                <w:szCs w:val="22"/>
                <w:lang w:eastAsia="ko-KR"/>
              </w:rPr>
              <w:t>84</w:t>
            </w:r>
          </w:p>
        </w:tc>
        <w:tc>
          <w:tcPr>
            <w:tcW w:w="992" w:type="dxa"/>
            <w:tcBorders>
              <w:top w:val="nil"/>
              <w:left w:val="single" w:sz="4" w:space="0" w:color="000000"/>
              <w:bottom w:val="single" w:sz="4" w:space="0" w:color="000000"/>
              <w:right w:val="single" w:sz="4" w:space="0" w:color="000000"/>
            </w:tcBorders>
            <w:vAlign w:val="bottom"/>
          </w:tcPr>
          <w:p w14:paraId="712C299D" w14:textId="34C43B2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w:t>
            </w:r>
            <w:r w:rsidR="00655A93">
              <w:rPr>
                <w:rFonts w:ascii="Arial" w:eastAsia="Batang" w:hAnsi="Arial" w:cs="Arial"/>
                <w:sz w:val="22"/>
                <w:szCs w:val="22"/>
                <w:lang w:eastAsia="ko-KR"/>
              </w:rPr>
              <w:t>2</w:t>
            </w:r>
          </w:p>
        </w:tc>
        <w:tc>
          <w:tcPr>
            <w:tcW w:w="992" w:type="dxa"/>
            <w:tcBorders>
              <w:top w:val="nil"/>
              <w:left w:val="single" w:sz="4" w:space="0" w:color="000000"/>
              <w:bottom w:val="single" w:sz="4" w:space="0" w:color="000000"/>
              <w:right w:val="single" w:sz="4" w:space="0" w:color="000000"/>
            </w:tcBorders>
            <w:vAlign w:val="bottom"/>
          </w:tcPr>
          <w:p w14:paraId="712C299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34" w:type="dxa"/>
            <w:tcBorders>
              <w:top w:val="nil"/>
              <w:left w:val="single" w:sz="4" w:space="0" w:color="000000"/>
              <w:bottom w:val="single" w:sz="4" w:space="0" w:color="000000"/>
              <w:right w:val="single" w:sz="4" w:space="0" w:color="000000"/>
            </w:tcBorders>
            <w:vAlign w:val="bottom"/>
          </w:tcPr>
          <w:p w14:paraId="712C299F" w14:textId="671E116B" w:rsidR="00485416" w:rsidRPr="003A5EE1" w:rsidRDefault="00655A93" w:rsidP="001578C7">
            <w:pPr>
              <w:keepNext/>
              <w:widowControl w:val="0"/>
              <w:autoSpaceDE w:val="0"/>
              <w:autoSpaceDN w:val="0"/>
              <w:adjustRightInd w:val="0"/>
              <w:jc w:val="center"/>
              <w:rPr>
                <w:rFonts w:ascii="Arial" w:eastAsia="Batang" w:hAnsi="Arial" w:cs="Arial"/>
                <w:sz w:val="22"/>
                <w:szCs w:val="22"/>
                <w:lang w:eastAsia="ko-KR"/>
              </w:rPr>
            </w:pPr>
            <w:r>
              <w:rPr>
                <w:rFonts w:ascii="Arial" w:eastAsia="Batang" w:hAnsi="Arial" w:cs="Arial"/>
                <w:sz w:val="22"/>
                <w:szCs w:val="22"/>
                <w:lang w:eastAsia="ko-KR"/>
              </w:rPr>
              <w:t>61</w:t>
            </w:r>
          </w:p>
        </w:tc>
        <w:tc>
          <w:tcPr>
            <w:tcW w:w="992" w:type="dxa"/>
            <w:tcBorders>
              <w:top w:val="nil"/>
              <w:left w:val="single" w:sz="4" w:space="0" w:color="000000"/>
              <w:bottom w:val="single" w:sz="4" w:space="0" w:color="000000"/>
              <w:right w:val="single" w:sz="4" w:space="0" w:color="000000"/>
            </w:tcBorders>
            <w:vAlign w:val="bottom"/>
          </w:tcPr>
          <w:p w14:paraId="712C29A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993" w:type="dxa"/>
            <w:tcBorders>
              <w:top w:val="nil"/>
              <w:left w:val="single" w:sz="4" w:space="0" w:color="000000"/>
              <w:bottom w:val="single" w:sz="4" w:space="0" w:color="000000"/>
              <w:right w:val="single" w:sz="4" w:space="0" w:color="000000"/>
            </w:tcBorders>
            <w:vAlign w:val="bottom"/>
          </w:tcPr>
          <w:p w14:paraId="712C29A1" w14:textId="77777777" w:rsidR="00485416" w:rsidRPr="003A5EE1" w:rsidRDefault="00485416" w:rsidP="001578C7">
            <w:pPr>
              <w:keepNext/>
              <w:widowControl w:val="0"/>
              <w:tabs>
                <w:tab w:val="left" w:pos="344"/>
                <w:tab w:val="center" w:pos="425"/>
              </w:tabs>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14:paraId="712C29AA" w14:textId="77777777" w:rsidTr="00B40C13">
        <w:trPr>
          <w:trHeight w:val="288"/>
        </w:trPr>
        <w:tc>
          <w:tcPr>
            <w:tcW w:w="2687" w:type="dxa"/>
            <w:tcBorders>
              <w:top w:val="single" w:sz="4" w:space="0" w:color="000000"/>
              <w:left w:val="single" w:sz="6" w:space="0" w:color="000000"/>
              <w:bottom w:val="nil"/>
              <w:right w:val="single" w:sz="4" w:space="0" w:color="000000"/>
            </w:tcBorders>
            <w:vAlign w:val="bottom"/>
          </w:tcPr>
          <w:p w14:paraId="712C29A3" w14:textId="77777777" w:rsidR="00485416" w:rsidRPr="003A5EE1" w:rsidRDefault="00485416" w:rsidP="001578C7">
            <w:pPr>
              <w:keepNext/>
              <w:widowControl w:val="0"/>
              <w:autoSpaceDE w:val="0"/>
              <w:autoSpaceDN w:val="0"/>
              <w:adjustRightInd w:val="0"/>
              <w:rPr>
                <w:rFonts w:ascii="Arial" w:eastAsia="Batang" w:hAnsi="Arial" w:cs="Arial"/>
                <w:b/>
                <w:sz w:val="22"/>
                <w:szCs w:val="22"/>
                <w:lang w:eastAsia="ko-KR"/>
              </w:rPr>
            </w:pPr>
            <w:r w:rsidRPr="003A5EE1">
              <w:rPr>
                <w:rFonts w:ascii="Arial" w:hAnsi="Arial" w:cs="Arial"/>
                <w:b/>
                <w:bCs/>
                <w:sz w:val="22"/>
                <w:szCs w:val="22"/>
              </w:rPr>
              <w:t>Investigations</w:t>
            </w:r>
          </w:p>
        </w:tc>
        <w:tc>
          <w:tcPr>
            <w:tcW w:w="1134" w:type="dxa"/>
            <w:tcBorders>
              <w:top w:val="single" w:sz="4" w:space="0" w:color="000000"/>
              <w:left w:val="single" w:sz="4" w:space="0" w:color="000000"/>
              <w:bottom w:val="nil"/>
              <w:right w:val="single" w:sz="4" w:space="0" w:color="000000"/>
            </w:tcBorders>
            <w:vAlign w:val="bottom"/>
          </w:tcPr>
          <w:p w14:paraId="712C29A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A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A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1134" w:type="dxa"/>
            <w:tcBorders>
              <w:top w:val="single" w:sz="4" w:space="0" w:color="000000"/>
              <w:left w:val="single" w:sz="4" w:space="0" w:color="000000"/>
              <w:bottom w:val="nil"/>
              <w:right w:val="single" w:sz="4" w:space="0" w:color="000000"/>
            </w:tcBorders>
            <w:vAlign w:val="bottom"/>
          </w:tcPr>
          <w:p w14:paraId="712C29A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2" w:type="dxa"/>
            <w:tcBorders>
              <w:top w:val="single" w:sz="4" w:space="0" w:color="000000"/>
              <w:left w:val="single" w:sz="4" w:space="0" w:color="000000"/>
              <w:bottom w:val="nil"/>
              <w:right w:val="single" w:sz="4" w:space="0" w:color="000000"/>
            </w:tcBorders>
            <w:vAlign w:val="bottom"/>
          </w:tcPr>
          <w:p w14:paraId="712C29A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c>
          <w:tcPr>
            <w:tcW w:w="993" w:type="dxa"/>
            <w:tcBorders>
              <w:top w:val="single" w:sz="4" w:space="0" w:color="000000"/>
              <w:left w:val="single" w:sz="4" w:space="0" w:color="000000"/>
              <w:bottom w:val="nil"/>
              <w:right w:val="single" w:sz="4" w:space="0" w:color="000000"/>
            </w:tcBorders>
            <w:vAlign w:val="bottom"/>
          </w:tcPr>
          <w:p w14:paraId="712C29A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p>
        </w:tc>
      </w:tr>
      <w:tr w:rsidR="00485416" w:rsidRPr="003A5EE1" w14:paraId="712C29B2" w14:textId="77777777" w:rsidTr="00B40C13">
        <w:trPr>
          <w:trHeight w:val="281"/>
        </w:trPr>
        <w:tc>
          <w:tcPr>
            <w:tcW w:w="2687" w:type="dxa"/>
            <w:tcBorders>
              <w:top w:val="nil"/>
              <w:left w:val="single" w:sz="6" w:space="0" w:color="000000"/>
              <w:bottom w:val="nil"/>
              <w:right w:val="single" w:sz="4" w:space="0" w:color="000000"/>
            </w:tcBorders>
            <w:vAlign w:val="bottom"/>
          </w:tcPr>
          <w:p w14:paraId="712C29A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INR</w:t>
            </w:r>
            <w:r w:rsidR="00716E57">
              <w:rPr>
                <w:rFonts w:ascii="Arial" w:eastAsia="Batang" w:hAnsi="Arial" w:cs="Arial"/>
                <w:sz w:val="22"/>
                <w:szCs w:val="22"/>
                <w:vertAlign w:val="superscript"/>
                <w:lang w:eastAsia="ko-KR"/>
              </w:rPr>
              <w:t>**</w:t>
            </w:r>
          </w:p>
        </w:tc>
        <w:tc>
          <w:tcPr>
            <w:tcW w:w="1134" w:type="dxa"/>
            <w:tcBorders>
              <w:top w:val="nil"/>
              <w:left w:val="single" w:sz="4" w:space="0" w:color="000000"/>
              <w:bottom w:val="nil"/>
              <w:right w:val="single" w:sz="4" w:space="0" w:color="000000"/>
            </w:tcBorders>
            <w:vAlign w:val="bottom"/>
          </w:tcPr>
          <w:p w14:paraId="712C29A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24</w:t>
            </w:r>
          </w:p>
        </w:tc>
        <w:tc>
          <w:tcPr>
            <w:tcW w:w="992" w:type="dxa"/>
            <w:tcBorders>
              <w:top w:val="nil"/>
              <w:left w:val="single" w:sz="4" w:space="0" w:color="000000"/>
              <w:bottom w:val="nil"/>
              <w:right w:val="single" w:sz="4" w:space="0" w:color="000000"/>
            </w:tcBorders>
            <w:vAlign w:val="bottom"/>
          </w:tcPr>
          <w:p w14:paraId="712C29A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992" w:type="dxa"/>
            <w:tcBorders>
              <w:top w:val="nil"/>
              <w:left w:val="single" w:sz="4" w:space="0" w:color="000000"/>
              <w:bottom w:val="nil"/>
              <w:right w:val="single" w:sz="4" w:space="0" w:color="000000"/>
            </w:tcBorders>
            <w:vAlign w:val="bottom"/>
          </w:tcPr>
          <w:p w14:paraId="712C29A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N/A</w:t>
            </w:r>
          </w:p>
        </w:tc>
        <w:tc>
          <w:tcPr>
            <w:tcW w:w="1134" w:type="dxa"/>
            <w:tcBorders>
              <w:top w:val="nil"/>
              <w:left w:val="single" w:sz="4" w:space="0" w:color="000000"/>
              <w:bottom w:val="nil"/>
              <w:right w:val="single" w:sz="4" w:space="0" w:color="000000"/>
            </w:tcBorders>
            <w:vAlign w:val="bottom"/>
          </w:tcPr>
          <w:p w14:paraId="712C29A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992" w:type="dxa"/>
            <w:tcBorders>
              <w:top w:val="nil"/>
              <w:left w:val="single" w:sz="4" w:space="0" w:color="000000"/>
              <w:bottom w:val="nil"/>
              <w:right w:val="single" w:sz="4" w:space="0" w:color="000000"/>
            </w:tcBorders>
            <w:vAlign w:val="bottom"/>
          </w:tcPr>
          <w:p w14:paraId="712C29B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993" w:type="dxa"/>
            <w:tcBorders>
              <w:top w:val="nil"/>
              <w:left w:val="single" w:sz="4" w:space="0" w:color="000000"/>
              <w:bottom w:val="nil"/>
              <w:right w:val="single" w:sz="4" w:space="0" w:color="000000"/>
            </w:tcBorders>
            <w:vAlign w:val="bottom"/>
          </w:tcPr>
          <w:p w14:paraId="712C29B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N/A</w:t>
            </w:r>
          </w:p>
        </w:tc>
      </w:tr>
      <w:tr w:rsidR="00485416" w:rsidRPr="003A5EE1" w14:paraId="712C29BA" w14:textId="77777777" w:rsidTr="00B40C13">
        <w:trPr>
          <w:trHeight w:val="281"/>
        </w:trPr>
        <w:tc>
          <w:tcPr>
            <w:tcW w:w="2687" w:type="dxa"/>
            <w:tcBorders>
              <w:top w:val="nil"/>
              <w:left w:val="single" w:sz="6" w:space="0" w:color="000000"/>
              <w:bottom w:val="nil"/>
              <w:right w:val="single" w:sz="4" w:space="0" w:color="000000"/>
            </w:tcBorders>
            <w:vAlign w:val="bottom"/>
          </w:tcPr>
          <w:p w14:paraId="712C29B3"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Lipase</w:t>
            </w:r>
          </w:p>
        </w:tc>
        <w:tc>
          <w:tcPr>
            <w:tcW w:w="1134" w:type="dxa"/>
            <w:tcBorders>
              <w:top w:val="nil"/>
              <w:left w:val="single" w:sz="4" w:space="0" w:color="000000"/>
              <w:bottom w:val="nil"/>
              <w:right w:val="single" w:sz="4" w:space="0" w:color="000000"/>
            </w:tcBorders>
            <w:vAlign w:val="bottom"/>
          </w:tcPr>
          <w:p w14:paraId="712C29B4"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46</w:t>
            </w:r>
          </w:p>
        </w:tc>
        <w:tc>
          <w:tcPr>
            <w:tcW w:w="992" w:type="dxa"/>
            <w:tcBorders>
              <w:top w:val="nil"/>
              <w:left w:val="single" w:sz="4" w:space="0" w:color="000000"/>
              <w:bottom w:val="nil"/>
              <w:right w:val="single" w:sz="4" w:space="0" w:color="000000"/>
            </w:tcBorders>
            <w:vAlign w:val="bottom"/>
          </w:tcPr>
          <w:p w14:paraId="712C29B5"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9</w:t>
            </w:r>
          </w:p>
        </w:tc>
        <w:tc>
          <w:tcPr>
            <w:tcW w:w="992" w:type="dxa"/>
            <w:tcBorders>
              <w:top w:val="nil"/>
              <w:left w:val="single" w:sz="4" w:space="0" w:color="000000"/>
              <w:bottom w:val="nil"/>
              <w:right w:val="single" w:sz="4" w:space="0" w:color="000000"/>
            </w:tcBorders>
            <w:vAlign w:val="bottom"/>
          </w:tcPr>
          <w:p w14:paraId="712C29B6"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1134" w:type="dxa"/>
            <w:tcBorders>
              <w:top w:val="nil"/>
              <w:left w:val="single" w:sz="4" w:space="0" w:color="000000"/>
              <w:bottom w:val="nil"/>
              <w:right w:val="single" w:sz="4" w:space="0" w:color="000000"/>
            </w:tcBorders>
            <w:vAlign w:val="bottom"/>
          </w:tcPr>
          <w:p w14:paraId="712C29B7"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19</w:t>
            </w:r>
          </w:p>
        </w:tc>
        <w:tc>
          <w:tcPr>
            <w:tcW w:w="992" w:type="dxa"/>
            <w:tcBorders>
              <w:top w:val="nil"/>
              <w:left w:val="single" w:sz="4" w:space="0" w:color="000000"/>
              <w:bottom w:val="nil"/>
              <w:right w:val="single" w:sz="4" w:space="0" w:color="000000"/>
            </w:tcBorders>
            <w:vAlign w:val="bottom"/>
          </w:tcPr>
          <w:p w14:paraId="712C29B8"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993" w:type="dxa"/>
            <w:tcBorders>
              <w:top w:val="nil"/>
              <w:left w:val="single" w:sz="4" w:space="0" w:color="000000"/>
              <w:bottom w:val="nil"/>
              <w:right w:val="single" w:sz="4" w:space="0" w:color="000000"/>
            </w:tcBorders>
            <w:vAlign w:val="bottom"/>
          </w:tcPr>
          <w:p w14:paraId="712C29B9"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r>
      <w:tr w:rsidR="00485416" w:rsidRPr="003A5EE1" w14:paraId="712C29C2" w14:textId="77777777" w:rsidTr="00B40C13">
        <w:trPr>
          <w:trHeight w:val="281"/>
        </w:trPr>
        <w:tc>
          <w:tcPr>
            <w:tcW w:w="2687" w:type="dxa"/>
            <w:tcBorders>
              <w:top w:val="nil"/>
              <w:left w:val="single" w:sz="6" w:space="0" w:color="000000"/>
              <w:bottom w:val="single" w:sz="4" w:space="0" w:color="auto"/>
              <w:right w:val="single" w:sz="4" w:space="0" w:color="000000"/>
            </w:tcBorders>
            <w:vAlign w:val="bottom"/>
          </w:tcPr>
          <w:p w14:paraId="712C29BB" w14:textId="77777777" w:rsidR="00485416" w:rsidRPr="003A5EE1" w:rsidRDefault="00485416" w:rsidP="001578C7">
            <w:pPr>
              <w:keepNext/>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Amylase</w:t>
            </w:r>
          </w:p>
        </w:tc>
        <w:tc>
          <w:tcPr>
            <w:tcW w:w="1134" w:type="dxa"/>
            <w:tcBorders>
              <w:top w:val="nil"/>
              <w:left w:val="single" w:sz="4" w:space="0" w:color="000000"/>
              <w:bottom w:val="single" w:sz="4" w:space="0" w:color="auto"/>
              <w:right w:val="single" w:sz="4" w:space="0" w:color="000000"/>
            </w:tcBorders>
            <w:vAlign w:val="bottom"/>
          </w:tcPr>
          <w:p w14:paraId="712C29BC"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26</w:t>
            </w:r>
          </w:p>
        </w:tc>
        <w:tc>
          <w:tcPr>
            <w:tcW w:w="992" w:type="dxa"/>
            <w:tcBorders>
              <w:top w:val="nil"/>
              <w:left w:val="single" w:sz="4" w:space="0" w:color="000000"/>
              <w:bottom w:val="single" w:sz="4" w:space="0" w:color="auto"/>
              <w:right w:val="single" w:sz="4" w:space="0" w:color="000000"/>
            </w:tcBorders>
            <w:vAlign w:val="bottom"/>
          </w:tcPr>
          <w:p w14:paraId="712C29BD"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992" w:type="dxa"/>
            <w:tcBorders>
              <w:top w:val="nil"/>
              <w:left w:val="single" w:sz="4" w:space="0" w:color="000000"/>
              <w:bottom w:val="single" w:sz="4" w:space="0" w:color="auto"/>
              <w:right w:val="single" w:sz="4" w:space="0" w:color="000000"/>
            </w:tcBorders>
            <w:vAlign w:val="bottom"/>
          </w:tcPr>
          <w:p w14:paraId="712C29BE"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34" w:type="dxa"/>
            <w:tcBorders>
              <w:top w:val="nil"/>
              <w:left w:val="single" w:sz="4" w:space="0" w:color="000000"/>
              <w:bottom w:val="single" w:sz="4" w:space="0" w:color="auto"/>
              <w:right w:val="single" w:sz="4" w:space="0" w:color="000000"/>
            </w:tcBorders>
            <w:vAlign w:val="bottom"/>
          </w:tcPr>
          <w:p w14:paraId="712C29BF"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992" w:type="dxa"/>
            <w:tcBorders>
              <w:top w:val="nil"/>
              <w:left w:val="single" w:sz="4" w:space="0" w:color="000000"/>
              <w:bottom w:val="single" w:sz="4" w:space="0" w:color="auto"/>
              <w:right w:val="single" w:sz="4" w:space="0" w:color="000000"/>
            </w:tcBorders>
            <w:vAlign w:val="bottom"/>
          </w:tcPr>
          <w:p w14:paraId="712C29C0"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993" w:type="dxa"/>
            <w:tcBorders>
              <w:top w:val="nil"/>
              <w:left w:val="single" w:sz="4" w:space="0" w:color="000000"/>
              <w:bottom w:val="single" w:sz="4" w:space="0" w:color="auto"/>
              <w:right w:val="single" w:sz="4" w:space="0" w:color="000000"/>
            </w:tcBorders>
            <w:vAlign w:val="bottom"/>
          </w:tcPr>
          <w:p w14:paraId="712C29C1" w14:textId="77777777" w:rsidR="00485416" w:rsidRPr="003A5EE1" w:rsidRDefault="00485416" w:rsidP="001578C7">
            <w:pPr>
              <w:keepNext/>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r>
    </w:tbl>
    <w:p w14:paraId="712C29C3" w14:textId="0FA1BCEC" w:rsidR="00716E57" w:rsidRPr="008219CC" w:rsidRDefault="00716E57" w:rsidP="001578C7">
      <w:pPr>
        <w:keepNext/>
        <w:autoSpaceDE w:val="0"/>
        <w:autoSpaceDN w:val="0"/>
        <w:adjustRightInd w:val="0"/>
        <w:spacing w:before="120"/>
        <w:ind w:left="284" w:hanging="284"/>
        <w:rPr>
          <w:rFonts w:ascii="Arial" w:hAnsi="Arial" w:cs="Arial"/>
          <w:sz w:val="20"/>
          <w:szCs w:val="20"/>
        </w:rPr>
      </w:pPr>
      <w:r w:rsidRPr="008219CC">
        <w:rPr>
          <w:rFonts w:ascii="Arial" w:hAnsi="Arial" w:cs="Arial"/>
          <w:sz w:val="20"/>
          <w:szCs w:val="20"/>
          <w:vertAlign w:val="superscript"/>
        </w:rPr>
        <w:t>§</w:t>
      </w:r>
      <w:r w:rsidR="00B40C13" w:rsidRPr="008219CC">
        <w:rPr>
          <w:rFonts w:ascii="Arial" w:hAnsi="Arial" w:cs="Arial"/>
          <w:sz w:val="20"/>
          <w:szCs w:val="20"/>
          <w:vertAlign w:val="superscript"/>
        </w:rPr>
        <w:t xml:space="preserve"> </w:t>
      </w:r>
      <w:r w:rsidR="008219CC" w:rsidRPr="008219CC">
        <w:rPr>
          <w:rFonts w:ascii="Arial" w:hAnsi="Arial" w:cs="Arial"/>
          <w:sz w:val="20"/>
          <w:szCs w:val="20"/>
          <w:vertAlign w:val="superscript"/>
        </w:rPr>
        <w:tab/>
      </w:r>
      <w:r w:rsidRPr="008219CC">
        <w:rPr>
          <w:rFonts w:ascii="Arial" w:hAnsi="Arial" w:cs="Arial"/>
          <w:sz w:val="20"/>
          <w:szCs w:val="20"/>
        </w:rPr>
        <w:t>Best Supportive Care</w:t>
      </w:r>
    </w:p>
    <w:p w14:paraId="712C29C4" w14:textId="4AD96048" w:rsidR="00485416" w:rsidRPr="008219CC" w:rsidRDefault="00716E57" w:rsidP="008219CC">
      <w:pPr>
        <w:keepNext/>
        <w:autoSpaceDE w:val="0"/>
        <w:autoSpaceDN w:val="0"/>
        <w:adjustRightInd w:val="0"/>
        <w:spacing w:before="120"/>
        <w:ind w:left="284" w:hanging="284"/>
        <w:contextualSpacing/>
        <w:rPr>
          <w:rFonts w:ascii="Arial" w:hAnsi="Arial" w:cs="Arial"/>
          <w:sz w:val="20"/>
          <w:szCs w:val="20"/>
        </w:rPr>
      </w:pPr>
      <w:r w:rsidRPr="008219CC">
        <w:rPr>
          <w:rFonts w:ascii="Arial" w:hAnsi="Arial" w:cs="Arial"/>
          <w:sz w:val="20"/>
          <w:szCs w:val="20"/>
        </w:rPr>
        <w:t>*</w:t>
      </w:r>
      <w:r w:rsidR="00B40C13" w:rsidRPr="008219CC">
        <w:rPr>
          <w:rFonts w:ascii="Arial" w:hAnsi="Arial" w:cs="Arial"/>
          <w:sz w:val="20"/>
          <w:szCs w:val="20"/>
        </w:rPr>
        <w:t xml:space="preserve"> </w:t>
      </w:r>
      <w:r w:rsidR="008219CC" w:rsidRPr="008219CC">
        <w:rPr>
          <w:rFonts w:ascii="Arial" w:hAnsi="Arial" w:cs="Arial"/>
          <w:sz w:val="20"/>
          <w:szCs w:val="20"/>
        </w:rPr>
        <w:tab/>
      </w:r>
      <w:r w:rsidR="00485416" w:rsidRPr="008219CC">
        <w:rPr>
          <w:rFonts w:ascii="Arial" w:hAnsi="Arial" w:cs="Arial"/>
          <w:sz w:val="20"/>
          <w:szCs w:val="20"/>
        </w:rPr>
        <w:t>Common Terminology Criteria for Adverse Events (CTCAE), v3.0.</w:t>
      </w:r>
    </w:p>
    <w:p w14:paraId="712C29C5" w14:textId="104F8CFD" w:rsidR="00716E57" w:rsidRPr="008219CC" w:rsidRDefault="00716E57" w:rsidP="008219CC">
      <w:pPr>
        <w:keepNext/>
        <w:autoSpaceDE w:val="0"/>
        <w:autoSpaceDN w:val="0"/>
        <w:adjustRightInd w:val="0"/>
        <w:spacing w:before="120"/>
        <w:ind w:left="284" w:hanging="284"/>
        <w:contextualSpacing/>
        <w:rPr>
          <w:rFonts w:ascii="Arial" w:hAnsi="Arial" w:cs="Arial"/>
          <w:sz w:val="20"/>
          <w:szCs w:val="20"/>
        </w:rPr>
      </w:pPr>
      <w:r w:rsidRPr="008219CC">
        <w:rPr>
          <w:rFonts w:ascii="Arial" w:hAnsi="Arial" w:cs="Arial"/>
          <w:sz w:val="20"/>
          <w:szCs w:val="20"/>
        </w:rPr>
        <w:t>**</w:t>
      </w:r>
      <w:r w:rsidR="008219CC" w:rsidRPr="008219CC">
        <w:rPr>
          <w:rFonts w:ascii="Arial" w:hAnsi="Arial" w:cs="Arial"/>
          <w:sz w:val="20"/>
          <w:szCs w:val="20"/>
        </w:rPr>
        <w:tab/>
      </w:r>
      <w:r w:rsidR="00B40C13" w:rsidRPr="008219CC">
        <w:rPr>
          <w:rFonts w:ascii="Arial" w:hAnsi="Arial" w:cs="Arial"/>
          <w:sz w:val="20"/>
          <w:szCs w:val="20"/>
          <w:vertAlign w:val="superscript"/>
        </w:rPr>
        <w:t xml:space="preserve"> </w:t>
      </w:r>
      <w:r w:rsidR="00896B3F" w:rsidRPr="008219CC">
        <w:rPr>
          <w:rFonts w:ascii="Arial" w:hAnsi="Arial" w:cs="Arial"/>
          <w:sz w:val="20"/>
          <w:szCs w:val="20"/>
        </w:rPr>
        <w:t>International normalis</w:t>
      </w:r>
      <w:r w:rsidR="00485416" w:rsidRPr="008219CC">
        <w:rPr>
          <w:rFonts w:ascii="Arial" w:hAnsi="Arial" w:cs="Arial"/>
          <w:sz w:val="20"/>
          <w:szCs w:val="20"/>
        </w:rPr>
        <w:t xml:space="preserve">ed ratio: </w:t>
      </w:r>
    </w:p>
    <w:p w14:paraId="712C29C6" w14:textId="77777777" w:rsidR="00485416" w:rsidRPr="008219CC" w:rsidRDefault="00485416" w:rsidP="008219CC">
      <w:pPr>
        <w:keepNext/>
        <w:autoSpaceDE w:val="0"/>
        <w:autoSpaceDN w:val="0"/>
        <w:adjustRightInd w:val="0"/>
        <w:spacing w:before="120"/>
        <w:ind w:left="284" w:hanging="284"/>
        <w:contextualSpacing/>
        <w:rPr>
          <w:rFonts w:ascii="Arial" w:hAnsi="Arial" w:cs="Arial"/>
          <w:sz w:val="20"/>
          <w:szCs w:val="20"/>
        </w:rPr>
      </w:pPr>
      <w:r w:rsidRPr="008219CC">
        <w:rPr>
          <w:rFonts w:ascii="Arial" w:hAnsi="Arial" w:cs="Arial"/>
          <w:sz w:val="20"/>
          <w:szCs w:val="20"/>
        </w:rPr>
        <w:t>No Grade 4 denoted in CTCAE, v3.0.</w:t>
      </w:r>
    </w:p>
    <w:p w14:paraId="712C29C7" w14:textId="77777777" w:rsidR="001E2167" w:rsidRDefault="001E2167" w:rsidP="00485416">
      <w:pPr>
        <w:tabs>
          <w:tab w:val="left" w:pos="284"/>
        </w:tabs>
        <w:autoSpaceDE w:val="0"/>
        <w:autoSpaceDN w:val="0"/>
        <w:adjustRightInd w:val="0"/>
        <w:rPr>
          <w:rFonts w:ascii="Arial" w:hAnsi="Arial" w:cs="Arial"/>
          <w:sz w:val="22"/>
          <w:szCs w:val="22"/>
        </w:rPr>
      </w:pPr>
    </w:p>
    <w:p w14:paraId="1ECE8058" w14:textId="73BAABC8" w:rsidR="00FB4ECA" w:rsidRPr="00113808" w:rsidRDefault="00FB4ECA" w:rsidP="001578C7">
      <w:pPr>
        <w:keepNext/>
        <w:keepLines/>
        <w:tabs>
          <w:tab w:val="left" w:pos="540"/>
        </w:tabs>
        <w:autoSpaceDE w:val="0"/>
        <w:autoSpaceDN w:val="0"/>
        <w:adjustRightInd w:val="0"/>
        <w:rPr>
          <w:rFonts w:ascii="Arial" w:hAnsi="Arial" w:cs="Arial"/>
          <w:b/>
          <w:color w:val="000000"/>
          <w:sz w:val="22"/>
          <w:szCs w:val="22"/>
        </w:rPr>
      </w:pPr>
      <w:r w:rsidRPr="00113808">
        <w:rPr>
          <w:rFonts w:ascii="Arial" w:hAnsi="Arial" w:cs="Arial"/>
          <w:b/>
          <w:color w:val="000000"/>
          <w:sz w:val="22"/>
          <w:szCs w:val="22"/>
        </w:rPr>
        <w:lastRenderedPageBreak/>
        <w:t xml:space="preserve">Table </w:t>
      </w:r>
      <w:r w:rsidR="00871049">
        <w:rPr>
          <w:rFonts w:ascii="Arial" w:hAnsi="Arial" w:cs="Arial"/>
          <w:b/>
          <w:color w:val="000000"/>
          <w:sz w:val="22"/>
          <w:szCs w:val="22"/>
        </w:rPr>
        <w:t>7</w:t>
      </w:r>
      <w:r w:rsidRPr="00113808">
        <w:rPr>
          <w:rFonts w:ascii="Arial" w:hAnsi="Arial" w:cs="Arial"/>
          <w:b/>
          <w:color w:val="000000"/>
          <w:sz w:val="22"/>
          <w:szCs w:val="22"/>
        </w:rPr>
        <w:t xml:space="preserve">a: Treatment emergent liver enzyme test abnormalities reported in </w:t>
      </w:r>
      <w:r>
        <w:rPr>
          <w:rFonts w:ascii="Arial" w:hAnsi="Arial" w:cs="Arial"/>
          <w:b/>
          <w:color w:val="000000"/>
          <w:sz w:val="22"/>
          <w:szCs w:val="22"/>
        </w:rPr>
        <w:t xml:space="preserve">a </w:t>
      </w:r>
      <w:r w:rsidRPr="00113808">
        <w:rPr>
          <w:rFonts w:ascii="Arial" w:hAnsi="Arial" w:cs="Arial"/>
          <w:b/>
          <w:color w:val="000000"/>
          <w:sz w:val="22"/>
          <w:szCs w:val="22"/>
        </w:rPr>
        <w:t>placebo-controlled phase III trial in Asian patients with metastatic CRC (CONCUR).</w:t>
      </w:r>
    </w:p>
    <w:p w14:paraId="66B7B66A" w14:textId="77777777" w:rsidR="00FB4ECA" w:rsidRDefault="00FB4ECA" w:rsidP="001578C7">
      <w:pPr>
        <w:keepNext/>
        <w:keepLines/>
        <w:tabs>
          <w:tab w:val="left" w:pos="540"/>
        </w:tabs>
        <w:autoSpaceDE w:val="0"/>
        <w:autoSpaceDN w:val="0"/>
        <w:adjustRightInd w:val="0"/>
        <w:rPr>
          <w:rFonts w:ascii="Arial" w:hAnsi="Arial" w:cs="Arial"/>
          <w:color w:val="000000"/>
          <w:sz w:val="20"/>
          <w:szCs w:val="20"/>
        </w:rPr>
      </w:pPr>
    </w:p>
    <w:tbl>
      <w:tblPr>
        <w:tblW w:w="9356" w:type="dxa"/>
        <w:tblInd w:w="6" w:type="dxa"/>
        <w:tblLayout w:type="fixed"/>
        <w:tblCellMar>
          <w:left w:w="0" w:type="dxa"/>
          <w:right w:w="0" w:type="dxa"/>
        </w:tblCellMar>
        <w:tblLook w:val="0000" w:firstRow="0" w:lastRow="0" w:firstColumn="0" w:lastColumn="0" w:noHBand="0" w:noVBand="0"/>
      </w:tblPr>
      <w:tblGrid>
        <w:gridCol w:w="2410"/>
        <w:gridCol w:w="1157"/>
        <w:gridCol w:w="1158"/>
        <w:gridCol w:w="1158"/>
        <w:gridCol w:w="1157"/>
        <w:gridCol w:w="1158"/>
        <w:gridCol w:w="1158"/>
      </w:tblGrid>
      <w:tr w:rsidR="008913AB" w:rsidRPr="004C1DAA" w14:paraId="38C4BED2" w14:textId="77777777" w:rsidTr="00D1723A">
        <w:trPr>
          <w:trHeight w:hRule="exact" w:val="842"/>
        </w:trPr>
        <w:tc>
          <w:tcPr>
            <w:tcW w:w="2410" w:type="dxa"/>
            <w:vMerge w:val="restart"/>
            <w:tcBorders>
              <w:top w:val="single" w:sz="5" w:space="0" w:color="000000"/>
              <w:left w:val="single" w:sz="5" w:space="0" w:color="000000"/>
              <w:right w:val="single" w:sz="4" w:space="0" w:color="000000"/>
            </w:tcBorders>
          </w:tcPr>
          <w:p w14:paraId="30DDED88" w14:textId="77777777" w:rsidR="008913AB" w:rsidRPr="008219CC" w:rsidRDefault="008913AB" w:rsidP="001578C7">
            <w:pPr>
              <w:keepNext/>
              <w:keepLines/>
              <w:kinsoku w:val="0"/>
              <w:overflowPunct w:val="0"/>
              <w:autoSpaceDE w:val="0"/>
              <w:autoSpaceDN w:val="0"/>
              <w:adjustRightInd w:val="0"/>
              <w:rPr>
                <w:rFonts w:ascii="Arial" w:hAnsi="Arial" w:cs="Arial"/>
                <w:sz w:val="22"/>
                <w:szCs w:val="22"/>
                <w:lang w:val="en-AU" w:eastAsia="en-AU"/>
              </w:rPr>
            </w:pPr>
          </w:p>
          <w:p w14:paraId="4CEE38E5" w14:textId="4AE0818A" w:rsidR="008913AB" w:rsidRPr="008219CC" w:rsidRDefault="008913AB" w:rsidP="008B739F">
            <w:pPr>
              <w:keepNext/>
              <w:keepLines/>
              <w:kinsoku w:val="0"/>
              <w:overflowPunct w:val="0"/>
              <w:autoSpaceDE w:val="0"/>
              <w:autoSpaceDN w:val="0"/>
              <w:adjustRightInd w:val="0"/>
              <w:spacing w:line="245" w:lineRule="auto"/>
              <w:ind w:left="216" w:right="218"/>
              <w:rPr>
                <w:rFonts w:ascii="Arial" w:hAnsi="Arial" w:cs="Arial"/>
                <w:sz w:val="22"/>
                <w:szCs w:val="22"/>
                <w:lang w:val="en-AU" w:eastAsia="en-AU"/>
              </w:rPr>
            </w:pPr>
            <w:r w:rsidRPr="008219CC">
              <w:rPr>
                <w:rFonts w:ascii="Arial" w:hAnsi="Arial" w:cs="Arial"/>
                <w:b/>
                <w:bCs/>
                <w:spacing w:val="-1"/>
                <w:sz w:val="22"/>
                <w:szCs w:val="22"/>
                <w:lang w:val="en-AU" w:eastAsia="en-AU"/>
              </w:rPr>
              <w:t>Laboratory</w:t>
            </w:r>
            <w:r w:rsidRPr="008219CC">
              <w:rPr>
                <w:rFonts w:ascii="Arial" w:hAnsi="Arial" w:cs="Arial"/>
                <w:b/>
                <w:bCs/>
                <w:spacing w:val="39"/>
                <w:sz w:val="22"/>
                <w:szCs w:val="22"/>
                <w:lang w:val="en-AU" w:eastAsia="en-AU"/>
              </w:rPr>
              <w:t xml:space="preserve"> </w:t>
            </w:r>
            <w:r w:rsidRPr="008219CC">
              <w:rPr>
                <w:rFonts w:ascii="Arial" w:hAnsi="Arial" w:cs="Arial"/>
                <w:b/>
                <w:bCs/>
                <w:spacing w:val="-1"/>
                <w:sz w:val="22"/>
                <w:szCs w:val="22"/>
                <w:lang w:val="en-AU" w:eastAsia="en-AU"/>
              </w:rPr>
              <w:t>parameter,</w:t>
            </w:r>
            <w:r w:rsidRPr="008219CC">
              <w:rPr>
                <w:rFonts w:ascii="Arial" w:hAnsi="Arial" w:cs="Arial"/>
                <w:b/>
                <w:bCs/>
                <w:spacing w:val="23"/>
                <w:w w:val="102"/>
                <w:sz w:val="22"/>
                <w:szCs w:val="22"/>
                <w:lang w:val="en-AU" w:eastAsia="en-AU"/>
              </w:rPr>
              <w:t xml:space="preserve"> </w:t>
            </w:r>
            <w:r w:rsidR="008B739F">
              <w:rPr>
                <w:rFonts w:ascii="Arial" w:hAnsi="Arial" w:cs="Arial"/>
                <w:b/>
                <w:bCs/>
                <w:spacing w:val="23"/>
                <w:w w:val="102"/>
                <w:sz w:val="22"/>
                <w:szCs w:val="22"/>
                <w:lang w:val="en-AU" w:eastAsia="en-AU"/>
              </w:rPr>
              <w:br/>
            </w:r>
            <w:r w:rsidRPr="008219CC">
              <w:rPr>
                <w:rFonts w:ascii="Arial" w:hAnsi="Arial" w:cs="Arial"/>
                <w:b/>
                <w:bCs/>
                <w:spacing w:val="-1"/>
                <w:sz w:val="22"/>
                <w:szCs w:val="22"/>
                <w:lang w:val="en-AU" w:eastAsia="en-AU"/>
              </w:rPr>
              <w:t>(in</w:t>
            </w:r>
            <w:r w:rsidRPr="008219CC">
              <w:rPr>
                <w:rFonts w:ascii="Arial" w:hAnsi="Arial" w:cs="Arial"/>
                <w:b/>
                <w:bCs/>
                <w:spacing w:val="9"/>
                <w:sz w:val="22"/>
                <w:szCs w:val="22"/>
                <w:lang w:val="en-AU" w:eastAsia="en-AU"/>
              </w:rPr>
              <w:t xml:space="preserve"> </w:t>
            </w:r>
            <w:r w:rsidRPr="008219CC">
              <w:rPr>
                <w:rFonts w:ascii="Arial" w:hAnsi="Arial" w:cs="Arial"/>
                <w:b/>
                <w:bCs/>
                <w:sz w:val="22"/>
                <w:szCs w:val="22"/>
                <w:lang w:val="en-AU" w:eastAsia="en-AU"/>
              </w:rPr>
              <w:t>%</w:t>
            </w:r>
            <w:r w:rsidRPr="008219CC">
              <w:rPr>
                <w:rFonts w:ascii="Arial" w:hAnsi="Arial" w:cs="Arial"/>
                <w:b/>
                <w:bCs/>
                <w:spacing w:val="9"/>
                <w:sz w:val="22"/>
                <w:szCs w:val="22"/>
                <w:lang w:val="en-AU" w:eastAsia="en-AU"/>
              </w:rPr>
              <w:t xml:space="preserve"> </w:t>
            </w:r>
            <w:r w:rsidRPr="008219CC">
              <w:rPr>
                <w:rFonts w:ascii="Arial" w:hAnsi="Arial" w:cs="Arial"/>
                <w:b/>
                <w:bCs/>
                <w:sz w:val="22"/>
                <w:szCs w:val="22"/>
                <w:lang w:val="en-AU" w:eastAsia="en-AU"/>
              </w:rPr>
              <w:t>of</w:t>
            </w:r>
            <w:r w:rsidRPr="008219CC">
              <w:rPr>
                <w:rFonts w:ascii="Arial" w:hAnsi="Arial" w:cs="Arial"/>
                <w:b/>
                <w:bCs/>
                <w:spacing w:val="8"/>
                <w:sz w:val="22"/>
                <w:szCs w:val="22"/>
                <w:lang w:val="en-AU" w:eastAsia="en-AU"/>
              </w:rPr>
              <w:t xml:space="preserve"> </w:t>
            </w:r>
            <w:r w:rsidRPr="008219CC">
              <w:rPr>
                <w:rFonts w:ascii="Arial" w:hAnsi="Arial" w:cs="Arial"/>
                <w:b/>
                <w:bCs/>
                <w:spacing w:val="-1"/>
                <w:sz w:val="22"/>
                <w:szCs w:val="22"/>
                <w:lang w:val="en-AU" w:eastAsia="en-AU"/>
              </w:rPr>
              <w:t>samples</w:t>
            </w:r>
            <w:r w:rsidRPr="008219CC">
              <w:rPr>
                <w:rFonts w:ascii="Arial" w:hAnsi="Arial" w:cs="Arial"/>
                <w:b/>
                <w:bCs/>
                <w:spacing w:val="26"/>
                <w:w w:val="102"/>
                <w:sz w:val="22"/>
                <w:szCs w:val="22"/>
                <w:lang w:val="en-AU" w:eastAsia="en-AU"/>
              </w:rPr>
              <w:t xml:space="preserve"> </w:t>
            </w:r>
            <w:r w:rsidRPr="008219CC">
              <w:rPr>
                <w:rFonts w:ascii="Arial" w:hAnsi="Arial" w:cs="Arial"/>
                <w:b/>
                <w:bCs/>
                <w:spacing w:val="-1"/>
                <w:sz w:val="22"/>
                <w:szCs w:val="22"/>
                <w:lang w:val="en-AU" w:eastAsia="en-AU"/>
              </w:rPr>
              <w:t>investigated)</w:t>
            </w:r>
          </w:p>
        </w:tc>
        <w:tc>
          <w:tcPr>
            <w:tcW w:w="3473" w:type="dxa"/>
            <w:gridSpan w:val="3"/>
            <w:tcBorders>
              <w:top w:val="single" w:sz="5" w:space="0" w:color="000000"/>
              <w:left w:val="single" w:sz="4" w:space="0" w:color="000000"/>
              <w:bottom w:val="single" w:sz="4" w:space="0" w:color="auto"/>
              <w:right w:val="single" w:sz="4" w:space="0" w:color="000000"/>
            </w:tcBorders>
            <w:vAlign w:val="center"/>
          </w:tcPr>
          <w:p w14:paraId="6A0995C3" w14:textId="77777777" w:rsidR="008913AB" w:rsidRPr="008219CC" w:rsidRDefault="008913AB" w:rsidP="001578C7">
            <w:pPr>
              <w:keepNext/>
              <w:keepLines/>
              <w:kinsoku w:val="0"/>
              <w:overflowPunct w:val="0"/>
              <w:autoSpaceDE w:val="0"/>
              <w:autoSpaceDN w:val="0"/>
              <w:adjustRightInd w:val="0"/>
              <w:spacing w:line="245" w:lineRule="auto"/>
              <w:ind w:left="947" w:right="488" w:hanging="456"/>
              <w:jc w:val="center"/>
              <w:rPr>
                <w:rFonts w:ascii="Arial" w:hAnsi="Arial" w:cs="Arial"/>
                <w:sz w:val="22"/>
                <w:szCs w:val="22"/>
                <w:lang w:val="en-AU" w:eastAsia="en-AU"/>
              </w:rPr>
            </w:pPr>
            <w:r w:rsidRPr="008219CC">
              <w:rPr>
                <w:rFonts w:ascii="Arial" w:hAnsi="Arial" w:cs="Arial"/>
                <w:b/>
                <w:bCs/>
                <w:spacing w:val="-1"/>
                <w:sz w:val="22"/>
                <w:szCs w:val="22"/>
                <w:lang w:val="en-AU" w:eastAsia="en-AU"/>
              </w:rPr>
              <w:t>STIVARGA</w:t>
            </w:r>
            <w:r w:rsidRPr="008219CC">
              <w:rPr>
                <w:rFonts w:ascii="Arial" w:hAnsi="Arial" w:cs="Arial"/>
                <w:b/>
                <w:bCs/>
                <w:spacing w:val="15"/>
                <w:sz w:val="22"/>
                <w:szCs w:val="22"/>
                <w:lang w:val="en-AU" w:eastAsia="en-AU"/>
              </w:rPr>
              <w:t xml:space="preserve"> </w:t>
            </w:r>
            <w:r w:rsidRPr="008219CC">
              <w:rPr>
                <w:rFonts w:ascii="Arial" w:hAnsi="Arial" w:cs="Arial"/>
                <w:b/>
                <w:bCs/>
                <w:spacing w:val="-1"/>
                <w:sz w:val="22"/>
                <w:szCs w:val="22"/>
                <w:lang w:val="en-AU" w:eastAsia="en-AU"/>
              </w:rPr>
              <w:t>plus</w:t>
            </w:r>
            <w:r w:rsidRPr="008219CC">
              <w:rPr>
                <w:rFonts w:ascii="Arial" w:hAnsi="Arial" w:cs="Arial"/>
                <w:b/>
                <w:bCs/>
                <w:spacing w:val="17"/>
                <w:sz w:val="22"/>
                <w:szCs w:val="22"/>
                <w:lang w:val="en-AU" w:eastAsia="en-AU"/>
              </w:rPr>
              <w:t xml:space="preserve"> </w:t>
            </w:r>
            <w:r w:rsidRPr="008219CC">
              <w:rPr>
                <w:rFonts w:ascii="Arial" w:hAnsi="Arial" w:cs="Arial"/>
                <w:b/>
                <w:bCs/>
                <w:spacing w:val="-1"/>
                <w:sz w:val="22"/>
                <w:szCs w:val="22"/>
                <w:lang w:val="en-AU" w:eastAsia="en-AU"/>
              </w:rPr>
              <w:t>BSC</w:t>
            </w:r>
            <w:r w:rsidRPr="008219CC">
              <w:rPr>
                <w:rFonts w:ascii="Arial" w:hAnsi="Arial" w:cs="Arial"/>
                <w:b/>
                <w:bCs/>
                <w:spacing w:val="-1"/>
                <w:position w:val="6"/>
                <w:sz w:val="22"/>
                <w:szCs w:val="22"/>
                <w:lang w:val="en-AU" w:eastAsia="en-AU"/>
              </w:rPr>
              <w:t>§</w:t>
            </w:r>
            <w:r w:rsidRPr="008219CC">
              <w:rPr>
                <w:rFonts w:ascii="Arial" w:hAnsi="Arial" w:cs="Arial"/>
                <w:b/>
                <w:bCs/>
                <w:spacing w:val="28"/>
                <w:position w:val="6"/>
                <w:sz w:val="22"/>
                <w:szCs w:val="22"/>
                <w:lang w:val="en-AU" w:eastAsia="en-AU"/>
              </w:rPr>
              <w:t xml:space="preserve"> </w:t>
            </w:r>
            <w:r w:rsidRPr="008219CC">
              <w:rPr>
                <w:rFonts w:ascii="Arial" w:hAnsi="Arial" w:cs="Arial"/>
                <w:b/>
                <w:bCs/>
                <w:sz w:val="22"/>
                <w:szCs w:val="22"/>
                <w:lang w:val="en-AU" w:eastAsia="en-AU"/>
              </w:rPr>
              <w:t>(N=136)</w:t>
            </w:r>
          </w:p>
        </w:tc>
        <w:tc>
          <w:tcPr>
            <w:tcW w:w="3473" w:type="dxa"/>
            <w:gridSpan w:val="3"/>
            <w:tcBorders>
              <w:top w:val="single" w:sz="5" w:space="0" w:color="000000"/>
              <w:left w:val="single" w:sz="4" w:space="0" w:color="000000"/>
              <w:bottom w:val="single" w:sz="4" w:space="0" w:color="auto"/>
              <w:right w:val="single" w:sz="4" w:space="0" w:color="000000"/>
            </w:tcBorders>
            <w:vAlign w:val="center"/>
          </w:tcPr>
          <w:p w14:paraId="0CC33B40" w14:textId="77777777" w:rsidR="008913AB" w:rsidRPr="008219CC" w:rsidRDefault="008913AB" w:rsidP="001578C7">
            <w:pPr>
              <w:keepNext/>
              <w:keepLines/>
              <w:kinsoku w:val="0"/>
              <w:overflowPunct w:val="0"/>
              <w:autoSpaceDE w:val="0"/>
              <w:autoSpaceDN w:val="0"/>
              <w:adjustRightInd w:val="0"/>
              <w:spacing w:line="245" w:lineRule="auto"/>
              <w:ind w:left="996" w:right="514" w:hanging="478"/>
              <w:jc w:val="center"/>
              <w:rPr>
                <w:rFonts w:ascii="Arial" w:hAnsi="Arial" w:cs="Arial"/>
                <w:sz w:val="22"/>
                <w:szCs w:val="22"/>
                <w:lang w:val="en-AU" w:eastAsia="en-AU"/>
              </w:rPr>
            </w:pPr>
            <w:r w:rsidRPr="008219CC">
              <w:rPr>
                <w:rFonts w:ascii="Arial" w:hAnsi="Arial" w:cs="Arial"/>
                <w:b/>
                <w:bCs/>
                <w:spacing w:val="-1"/>
                <w:sz w:val="22"/>
                <w:szCs w:val="22"/>
                <w:lang w:val="en-AU" w:eastAsia="en-AU"/>
              </w:rPr>
              <w:t>Placebo</w:t>
            </w:r>
            <w:r w:rsidRPr="008219CC">
              <w:rPr>
                <w:rFonts w:ascii="Arial" w:hAnsi="Arial" w:cs="Arial"/>
                <w:b/>
                <w:bCs/>
                <w:spacing w:val="15"/>
                <w:sz w:val="22"/>
                <w:szCs w:val="22"/>
                <w:lang w:val="en-AU" w:eastAsia="en-AU"/>
              </w:rPr>
              <w:t xml:space="preserve"> </w:t>
            </w:r>
            <w:r w:rsidRPr="008219CC">
              <w:rPr>
                <w:rFonts w:ascii="Arial" w:hAnsi="Arial" w:cs="Arial"/>
                <w:b/>
                <w:bCs/>
                <w:spacing w:val="-1"/>
                <w:sz w:val="22"/>
                <w:szCs w:val="22"/>
                <w:lang w:val="en-AU" w:eastAsia="en-AU"/>
              </w:rPr>
              <w:t>plus</w:t>
            </w:r>
            <w:r w:rsidRPr="008219CC">
              <w:rPr>
                <w:rFonts w:ascii="Arial" w:hAnsi="Arial" w:cs="Arial"/>
                <w:b/>
                <w:bCs/>
                <w:spacing w:val="16"/>
                <w:sz w:val="22"/>
                <w:szCs w:val="22"/>
                <w:lang w:val="en-AU" w:eastAsia="en-AU"/>
              </w:rPr>
              <w:t xml:space="preserve"> </w:t>
            </w:r>
            <w:r w:rsidRPr="008219CC">
              <w:rPr>
                <w:rFonts w:ascii="Arial" w:hAnsi="Arial" w:cs="Arial"/>
                <w:b/>
                <w:bCs/>
                <w:spacing w:val="-1"/>
                <w:sz w:val="22"/>
                <w:szCs w:val="22"/>
                <w:lang w:val="en-AU" w:eastAsia="en-AU"/>
              </w:rPr>
              <w:t>BSC</w:t>
            </w:r>
            <w:r w:rsidRPr="008219CC">
              <w:rPr>
                <w:rFonts w:ascii="Arial" w:hAnsi="Arial" w:cs="Arial"/>
                <w:b/>
                <w:bCs/>
                <w:spacing w:val="-1"/>
                <w:position w:val="6"/>
                <w:sz w:val="22"/>
                <w:szCs w:val="22"/>
                <w:lang w:val="en-AU" w:eastAsia="en-AU"/>
              </w:rPr>
              <w:t>§</w:t>
            </w:r>
            <w:r w:rsidRPr="008219CC">
              <w:rPr>
                <w:rFonts w:ascii="Arial" w:hAnsi="Arial" w:cs="Arial"/>
                <w:b/>
                <w:bCs/>
                <w:spacing w:val="28"/>
                <w:position w:val="6"/>
                <w:sz w:val="22"/>
                <w:szCs w:val="22"/>
                <w:lang w:val="en-AU" w:eastAsia="en-AU"/>
              </w:rPr>
              <w:t xml:space="preserve"> </w:t>
            </w:r>
            <w:r w:rsidRPr="008219CC">
              <w:rPr>
                <w:rFonts w:ascii="Arial" w:hAnsi="Arial" w:cs="Arial"/>
                <w:b/>
                <w:bCs/>
                <w:sz w:val="22"/>
                <w:szCs w:val="22"/>
                <w:lang w:val="en-AU" w:eastAsia="en-AU"/>
              </w:rPr>
              <w:t>(N=68)</w:t>
            </w:r>
          </w:p>
        </w:tc>
      </w:tr>
      <w:tr w:rsidR="008913AB" w:rsidRPr="004C1DAA" w14:paraId="36175951" w14:textId="77777777" w:rsidTr="00D1723A">
        <w:trPr>
          <w:trHeight w:hRule="exact" w:val="852"/>
        </w:trPr>
        <w:tc>
          <w:tcPr>
            <w:tcW w:w="2410" w:type="dxa"/>
            <w:vMerge/>
            <w:tcBorders>
              <w:left w:val="single" w:sz="5" w:space="0" w:color="000000"/>
              <w:bottom w:val="single" w:sz="4" w:space="0" w:color="000000"/>
              <w:right w:val="single" w:sz="4" w:space="0" w:color="000000"/>
            </w:tcBorders>
          </w:tcPr>
          <w:p w14:paraId="6ED95D72" w14:textId="77777777" w:rsidR="008913AB" w:rsidRPr="008219CC" w:rsidRDefault="008913AB" w:rsidP="001578C7">
            <w:pPr>
              <w:keepNext/>
              <w:keepLines/>
              <w:kinsoku w:val="0"/>
              <w:overflowPunct w:val="0"/>
              <w:autoSpaceDE w:val="0"/>
              <w:autoSpaceDN w:val="0"/>
              <w:adjustRightInd w:val="0"/>
              <w:spacing w:line="245" w:lineRule="auto"/>
              <w:ind w:left="996" w:right="514" w:hanging="478"/>
              <w:rPr>
                <w:rFonts w:ascii="Arial" w:hAnsi="Arial" w:cs="Arial"/>
                <w:sz w:val="22"/>
                <w:szCs w:val="22"/>
                <w:lang w:val="en-AU" w:eastAsia="en-AU"/>
              </w:rPr>
            </w:pPr>
          </w:p>
        </w:tc>
        <w:tc>
          <w:tcPr>
            <w:tcW w:w="1157" w:type="dxa"/>
            <w:tcBorders>
              <w:top w:val="single" w:sz="4" w:space="0" w:color="auto"/>
              <w:left w:val="single" w:sz="4" w:space="0" w:color="000000"/>
              <w:bottom w:val="single" w:sz="4" w:space="0" w:color="000000"/>
              <w:right w:val="single" w:sz="4" w:space="0" w:color="000000"/>
            </w:tcBorders>
            <w:vAlign w:val="center"/>
          </w:tcPr>
          <w:p w14:paraId="66A5DA82" w14:textId="74ED5935" w:rsidR="008913AB" w:rsidRPr="008219CC" w:rsidRDefault="008913AB" w:rsidP="008913AB">
            <w:pPr>
              <w:keepNext/>
              <w:keepLines/>
              <w:kinsoku w:val="0"/>
              <w:overflowPunct w:val="0"/>
              <w:autoSpaceDE w:val="0"/>
              <w:autoSpaceDN w:val="0"/>
              <w:adjustRightInd w:val="0"/>
              <w:spacing w:line="245" w:lineRule="auto"/>
              <w:ind w:firstLine="122"/>
              <w:jc w:val="center"/>
              <w:rPr>
                <w:rFonts w:ascii="Arial" w:hAnsi="Arial" w:cs="Arial"/>
                <w:sz w:val="22"/>
                <w:szCs w:val="22"/>
                <w:lang w:val="en-AU" w:eastAsia="en-AU"/>
              </w:rPr>
            </w:pPr>
            <w:r w:rsidRPr="008219CC">
              <w:rPr>
                <w:rFonts w:ascii="Arial" w:hAnsi="Arial" w:cs="Arial"/>
                <w:b/>
                <w:bCs/>
                <w:spacing w:val="-1"/>
                <w:sz w:val="22"/>
                <w:szCs w:val="22"/>
                <w:lang w:val="en-AU" w:eastAsia="en-AU"/>
              </w:rPr>
              <w:t>All</w:t>
            </w:r>
            <w:r w:rsidRPr="008219CC">
              <w:rPr>
                <w:rFonts w:ascii="Arial" w:hAnsi="Arial" w:cs="Arial"/>
                <w:b/>
                <w:bCs/>
                <w:spacing w:val="22"/>
                <w:w w:val="102"/>
                <w:sz w:val="22"/>
                <w:szCs w:val="22"/>
                <w:lang w:val="en-AU" w:eastAsia="en-AU"/>
              </w:rPr>
              <w:t xml:space="preserve"> </w:t>
            </w:r>
            <w:r w:rsidRPr="008219CC">
              <w:rPr>
                <w:rFonts w:ascii="Arial" w:hAnsi="Arial" w:cs="Arial"/>
                <w:b/>
                <w:bCs/>
                <w:spacing w:val="-1"/>
                <w:sz w:val="22"/>
                <w:szCs w:val="22"/>
                <w:lang w:val="en-AU" w:eastAsia="en-AU"/>
              </w:rPr>
              <w:t>Grades</w:t>
            </w:r>
            <w:r w:rsidRPr="008219CC">
              <w:rPr>
                <w:rFonts w:ascii="Arial" w:hAnsi="Arial" w:cs="Arial"/>
                <w:b/>
                <w:bCs/>
                <w:sz w:val="22"/>
                <w:szCs w:val="22"/>
                <w:lang w:val="en-AU" w:eastAsia="en-AU"/>
              </w:rPr>
              <w:t>*</w:t>
            </w:r>
          </w:p>
        </w:tc>
        <w:tc>
          <w:tcPr>
            <w:tcW w:w="1158" w:type="dxa"/>
            <w:tcBorders>
              <w:top w:val="single" w:sz="4" w:space="0" w:color="auto"/>
              <w:left w:val="single" w:sz="4" w:space="0" w:color="000000"/>
              <w:bottom w:val="single" w:sz="4" w:space="0" w:color="000000"/>
              <w:right w:val="single" w:sz="4" w:space="0" w:color="000000"/>
            </w:tcBorders>
            <w:vAlign w:val="center"/>
          </w:tcPr>
          <w:p w14:paraId="7861A61D" w14:textId="77777777" w:rsidR="008913AB" w:rsidRPr="008219CC" w:rsidRDefault="008913AB" w:rsidP="008913AB">
            <w:pPr>
              <w:keepNext/>
              <w:keepLines/>
              <w:kinsoku w:val="0"/>
              <w:overflowPunct w:val="0"/>
              <w:autoSpaceDE w:val="0"/>
              <w:autoSpaceDN w:val="0"/>
              <w:adjustRightInd w:val="0"/>
              <w:spacing w:before="117" w:line="245" w:lineRule="auto"/>
              <w:ind w:left="326" w:right="162" w:hanging="167"/>
              <w:jc w:val="center"/>
              <w:rPr>
                <w:rFonts w:ascii="Arial" w:hAnsi="Arial" w:cs="Arial"/>
                <w:sz w:val="22"/>
                <w:szCs w:val="22"/>
                <w:lang w:val="en-AU" w:eastAsia="en-AU"/>
              </w:rPr>
            </w:pPr>
            <w:r w:rsidRPr="008219CC">
              <w:rPr>
                <w:rFonts w:ascii="Arial" w:hAnsi="Arial" w:cs="Arial"/>
                <w:b/>
                <w:bCs/>
                <w:spacing w:val="-1"/>
                <w:sz w:val="22"/>
                <w:szCs w:val="22"/>
                <w:lang w:val="en-AU" w:eastAsia="en-AU"/>
              </w:rPr>
              <w:t>Grade</w:t>
            </w:r>
            <w:r w:rsidRPr="008219CC">
              <w:rPr>
                <w:rFonts w:ascii="Arial" w:hAnsi="Arial" w:cs="Arial"/>
                <w:b/>
                <w:bCs/>
                <w:spacing w:val="20"/>
                <w:w w:val="102"/>
                <w:sz w:val="22"/>
                <w:szCs w:val="22"/>
                <w:lang w:val="en-AU" w:eastAsia="en-AU"/>
              </w:rPr>
              <w:t xml:space="preserve"> </w:t>
            </w:r>
            <w:r w:rsidRPr="008219CC">
              <w:rPr>
                <w:rFonts w:ascii="Arial" w:hAnsi="Arial" w:cs="Arial"/>
                <w:b/>
                <w:bCs/>
                <w:sz w:val="22"/>
                <w:szCs w:val="22"/>
                <w:lang w:val="en-AU" w:eastAsia="en-AU"/>
              </w:rPr>
              <w:t>3*</w:t>
            </w:r>
          </w:p>
        </w:tc>
        <w:tc>
          <w:tcPr>
            <w:tcW w:w="1158" w:type="dxa"/>
            <w:tcBorders>
              <w:top w:val="single" w:sz="4" w:space="0" w:color="auto"/>
              <w:left w:val="single" w:sz="4" w:space="0" w:color="000000"/>
              <w:bottom w:val="single" w:sz="4" w:space="0" w:color="000000"/>
              <w:right w:val="single" w:sz="4" w:space="0" w:color="000000"/>
            </w:tcBorders>
            <w:vAlign w:val="center"/>
          </w:tcPr>
          <w:p w14:paraId="7735CFA2" w14:textId="77777777" w:rsidR="008913AB" w:rsidRPr="008219CC" w:rsidRDefault="008913AB" w:rsidP="008913AB">
            <w:pPr>
              <w:keepNext/>
              <w:keepLines/>
              <w:kinsoku w:val="0"/>
              <w:overflowPunct w:val="0"/>
              <w:autoSpaceDE w:val="0"/>
              <w:autoSpaceDN w:val="0"/>
              <w:adjustRightInd w:val="0"/>
              <w:spacing w:before="128" w:line="245" w:lineRule="auto"/>
              <w:ind w:left="324" w:right="160" w:hanging="167"/>
              <w:jc w:val="center"/>
              <w:rPr>
                <w:rFonts w:ascii="Arial" w:hAnsi="Arial" w:cs="Arial"/>
                <w:sz w:val="22"/>
                <w:szCs w:val="22"/>
                <w:lang w:val="en-AU" w:eastAsia="en-AU"/>
              </w:rPr>
            </w:pPr>
            <w:r w:rsidRPr="008219CC">
              <w:rPr>
                <w:rFonts w:ascii="Arial" w:hAnsi="Arial" w:cs="Arial"/>
                <w:b/>
                <w:bCs/>
                <w:spacing w:val="-1"/>
                <w:sz w:val="22"/>
                <w:szCs w:val="22"/>
                <w:lang w:val="en-AU" w:eastAsia="en-AU"/>
              </w:rPr>
              <w:t>Grade</w:t>
            </w:r>
            <w:r w:rsidRPr="008219CC">
              <w:rPr>
                <w:rFonts w:ascii="Arial" w:hAnsi="Arial" w:cs="Arial"/>
                <w:b/>
                <w:bCs/>
                <w:spacing w:val="20"/>
                <w:w w:val="102"/>
                <w:sz w:val="22"/>
                <w:szCs w:val="22"/>
                <w:lang w:val="en-AU" w:eastAsia="en-AU"/>
              </w:rPr>
              <w:t xml:space="preserve"> </w:t>
            </w:r>
            <w:r w:rsidRPr="008219CC">
              <w:rPr>
                <w:rFonts w:ascii="Arial" w:hAnsi="Arial" w:cs="Arial"/>
                <w:b/>
                <w:bCs/>
                <w:sz w:val="22"/>
                <w:szCs w:val="22"/>
                <w:lang w:val="en-AU" w:eastAsia="en-AU"/>
              </w:rPr>
              <w:t>4*</w:t>
            </w:r>
          </w:p>
        </w:tc>
        <w:tc>
          <w:tcPr>
            <w:tcW w:w="1157" w:type="dxa"/>
            <w:tcBorders>
              <w:top w:val="single" w:sz="4" w:space="0" w:color="auto"/>
              <w:left w:val="single" w:sz="4" w:space="0" w:color="000000"/>
              <w:bottom w:val="single" w:sz="4" w:space="0" w:color="000000"/>
              <w:right w:val="single" w:sz="4" w:space="0" w:color="000000"/>
            </w:tcBorders>
            <w:vAlign w:val="center"/>
          </w:tcPr>
          <w:p w14:paraId="07EEA8D0" w14:textId="508445EE" w:rsidR="008913AB" w:rsidRPr="008219CC" w:rsidRDefault="008913AB" w:rsidP="008913AB">
            <w:pPr>
              <w:keepNext/>
              <w:keepLines/>
              <w:kinsoku w:val="0"/>
              <w:overflowPunct w:val="0"/>
              <w:autoSpaceDE w:val="0"/>
              <w:autoSpaceDN w:val="0"/>
              <w:adjustRightInd w:val="0"/>
              <w:spacing w:line="245" w:lineRule="auto"/>
              <w:ind w:left="123" w:right="122" w:hanging="1"/>
              <w:jc w:val="center"/>
              <w:rPr>
                <w:rFonts w:ascii="Arial" w:hAnsi="Arial" w:cs="Arial"/>
                <w:sz w:val="22"/>
                <w:szCs w:val="22"/>
                <w:lang w:val="en-AU" w:eastAsia="en-AU"/>
              </w:rPr>
            </w:pPr>
            <w:r w:rsidRPr="008219CC">
              <w:rPr>
                <w:rFonts w:ascii="Arial" w:hAnsi="Arial" w:cs="Arial"/>
                <w:b/>
                <w:bCs/>
                <w:spacing w:val="-1"/>
                <w:sz w:val="22"/>
                <w:szCs w:val="22"/>
                <w:lang w:val="en-AU" w:eastAsia="en-AU"/>
              </w:rPr>
              <w:t>All</w:t>
            </w:r>
            <w:r w:rsidRPr="008219CC">
              <w:rPr>
                <w:rFonts w:ascii="Arial" w:hAnsi="Arial" w:cs="Arial"/>
                <w:b/>
                <w:bCs/>
                <w:spacing w:val="22"/>
                <w:w w:val="102"/>
                <w:sz w:val="22"/>
                <w:szCs w:val="22"/>
                <w:lang w:val="en-AU" w:eastAsia="en-AU"/>
              </w:rPr>
              <w:t xml:space="preserve"> </w:t>
            </w:r>
            <w:r w:rsidRPr="008219CC">
              <w:rPr>
                <w:rFonts w:ascii="Arial" w:hAnsi="Arial" w:cs="Arial"/>
                <w:b/>
                <w:bCs/>
                <w:spacing w:val="-1"/>
                <w:sz w:val="22"/>
                <w:szCs w:val="22"/>
                <w:lang w:val="en-AU" w:eastAsia="en-AU"/>
              </w:rPr>
              <w:t>Grades</w:t>
            </w:r>
            <w:r w:rsidRPr="008219CC">
              <w:rPr>
                <w:rFonts w:ascii="Arial" w:hAnsi="Arial" w:cs="Arial"/>
                <w:b/>
                <w:bCs/>
                <w:sz w:val="22"/>
                <w:szCs w:val="22"/>
                <w:lang w:val="en-AU" w:eastAsia="en-AU"/>
              </w:rPr>
              <w:t>*</w:t>
            </w:r>
          </w:p>
        </w:tc>
        <w:tc>
          <w:tcPr>
            <w:tcW w:w="1158" w:type="dxa"/>
            <w:tcBorders>
              <w:top w:val="single" w:sz="4" w:space="0" w:color="auto"/>
              <w:left w:val="single" w:sz="4" w:space="0" w:color="000000"/>
              <w:bottom w:val="single" w:sz="4" w:space="0" w:color="000000"/>
              <w:right w:val="single" w:sz="4" w:space="0" w:color="000000"/>
            </w:tcBorders>
            <w:vAlign w:val="center"/>
          </w:tcPr>
          <w:p w14:paraId="412080B4" w14:textId="77777777" w:rsidR="008913AB" w:rsidRPr="008219CC" w:rsidRDefault="008913AB" w:rsidP="008913AB">
            <w:pPr>
              <w:keepNext/>
              <w:keepLines/>
              <w:kinsoku w:val="0"/>
              <w:overflowPunct w:val="0"/>
              <w:autoSpaceDE w:val="0"/>
              <w:autoSpaceDN w:val="0"/>
              <w:adjustRightInd w:val="0"/>
              <w:spacing w:before="117" w:line="245" w:lineRule="auto"/>
              <w:ind w:left="326" w:right="160" w:hanging="167"/>
              <w:jc w:val="center"/>
              <w:rPr>
                <w:rFonts w:ascii="Arial" w:hAnsi="Arial" w:cs="Arial"/>
                <w:sz w:val="22"/>
                <w:szCs w:val="22"/>
                <w:lang w:val="en-AU" w:eastAsia="en-AU"/>
              </w:rPr>
            </w:pPr>
            <w:r w:rsidRPr="008219CC">
              <w:rPr>
                <w:rFonts w:ascii="Arial" w:hAnsi="Arial" w:cs="Arial"/>
                <w:b/>
                <w:bCs/>
                <w:spacing w:val="-1"/>
                <w:sz w:val="22"/>
                <w:szCs w:val="22"/>
                <w:lang w:val="en-AU" w:eastAsia="en-AU"/>
              </w:rPr>
              <w:t>Grade</w:t>
            </w:r>
            <w:r w:rsidRPr="008219CC">
              <w:rPr>
                <w:rFonts w:ascii="Arial" w:hAnsi="Arial" w:cs="Arial"/>
                <w:b/>
                <w:bCs/>
                <w:spacing w:val="20"/>
                <w:w w:val="102"/>
                <w:sz w:val="22"/>
                <w:szCs w:val="22"/>
                <w:lang w:val="en-AU" w:eastAsia="en-AU"/>
              </w:rPr>
              <w:t xml:space="preserve"> </w:t>
            </w:r>
            <w:r w:rsidRPr="008219CC">
              <w:rPr>
                <w:rFonts w:ascii="Arial" w:hAnsi="Arial" w:cs="Arial"/>
                <w:b/>
                <w:bCs/>
                <w:sz w:val="22"/>
                <w:szCs w:val="22"/>
                <w:lang w:val="en-AU" w:eastAsia="en-AU"/>
              </w:rPr>
              <w:t>3*</w:t>
            </w:r>
          </w:p>
        </w:tc>
        <w:tc>
          <w:tcPr>
            <w:tcW w:w="1158" w:type="dxa"/>
            <w:tcBorders>
              <w:top w:val="single" w:sz="4" w:space="0" w:color="auto"/>
              <w:left w:val="single" w:sz="4" w:space="0" w:color="000000"/>
              <w:bottom w:val="single" w:sz="4" w:space="0" w:color="000000"/>
              <w:right w:val="single" w:sz="4" w:space="0" w:color="000000"/>
            </w:tcBorders>
            <w:vAlign w:val="center"/>
          </w:tcPr>
          <w:p w14:paraId="00D2E7E8" w14:textId="77777777" w:rsidR="008913AB" w:rsidRPr="008219CC" w:rsidRDefault="008913AB" w:rsidP="008913AB">
            <w:pPr>
              <w:keepNext/>
              <w:keepLines/>
              <w:kinsoku w:val="0"/>
              <w:overflowPunct w:val="0"/>
              <w:autoSpaceDE w:val="0"/>
              <w:autoSpaceDN w:val="0"/>
              <w:adjustRightInd w:val="0"/>
              <w:spacing w:before="128" w:line="245" w:lineRule="auto"/>
              <w:ind w:left="326" w:right="160" w:hanging="167"/>
              <w:jc w:val="center"/>
              <w:rPr>
                <w:rFonts w:ascii="Arial" w:hAnsi="Arial" w:cs="Arial"/>
                <w:sz w:val="22"/>
                <w:szCs w:val="22"/>
                <w:lang w:val="en-AU" w:eastAsia="en-AU"/>
              </w:rPr>
            </w:pPr>
            <w:r w:rsidRPr="008219CC">
              <w:rPr>
                <w:rFonts w:ascii="Arial" w:hAnsi="Arial" w:cs="Arial"/>
                <w:b/>
                <w:bCs/>
                <w:spacing w:val="-1"/>
                <w:sz w:val="22"/>
                <w:szCs w:val="22"/>
                <w:lang w:val="en-AU" w:eastAsia="en-AU"/>
              </w:rPr>
              <w:t>Grade</w:t>
            </w:r>
            <w:r w:rsidRPr="008219CC">
              <w:rPr>
                <w:rFonts w:ascii="Arial" w:hAnsi="Arial" w:cs="Arial"/>
                <w:b/>
                <w:bCs/>
                <w:spacing w:val="20"/>
                <w:w w:val="102"/>
                <w:sz w:val="22"/>
                <w:szCs w:val="22"/>
                <w:lang w:val="en-AU" w:eastAsia="en-AU"/>
              </w:rPr>
              <w:t xml:space="preserve"> </w:t>
            </w:r>
            <w:r w:rsidRPr="008219CC">
              <w:rPr>
                <w:rFonts w:ascii="Arial" w:hAnsi="Arial" w:cs="Arial"/>
                <w:b/>
                <w:bCs/>
                <w:sz w:val="22"/>
                <w:szCs w:val="22"/>
                <w:lang w:val="en-AU" w:eastAsia="en-AU"/>
              </w:rPr>
              <w:t>4*</w:t>
            </w:r>
          </w:p>
        </w:tc>
      </w:tr>
      <w:tr w:rsidR="00FB4ECA" w:rsidRPr="004C1DAA" w14:paraId="13334D8A" w14:textId="77777777" w:rsidTr="008913AB">
        <w:trPr>
          <w:trHeight w:val="335"/>
        </w:trPr>
        <w:tc>
          <w:tcPr>
            <w:tcW w:w="2410" w:type="dxa"/>
            <w:tcBorders>
              <w:top w:val="single" w:sz="4" w:space="0" w:color="000000"/>
              <w:left w:val="single" w:sz="5" w:space="0" w:color="000000"/>
              <w:bottom w:val="nil"/>
              <w:right w:val="single" w:sz="4" w:space="0" w:color="000000"/>
            </w:tcBorders>
            <w:vAlign w:val="center"/>
          </w:tcPr>
          <w:p w14:paraId="38CA4E72" w14:textId="77777777" w:rsidR="00FB4ECA" w:rsidRPr="008219CC" w:rsidRDefault="00FB4ECA" w:rsidP="008913AB">
            <w:pPr>
              <w:keepNext/>
              <w:keepLines/>
              <w:kinsoku w:val="0"/>
              <w:overflowPunct w:val="0"/>
              <w:autoSpaceDE w:val="0"/>
              <w:autoSpaceDN w:val="0"/>
              <w:adjustRightInd w:val="0"/>
              <w:ind w:left="80"/>
              <w:rPr>
                <w:rFonts w:ascii="Arial" w:hAnsi="Arial" w:cs="Arial"/>
                <w:sz w:val="22"/>
                <w:szCs w:val="22"/>
                <w:lang w:val="en-AU" w:eastAsia="en-AU"/>
              </w:rPr>
            </w:pPr>
            <w:r w:rsidRPr="008219CC">
              <w:rPr>
                <w:rFonts w:ascii="Arial" w:hAnsi="Arial" w:cs="Arial"/>
                <w:spacing w:val="-1"/>
                <w:sz w:val="22"/>
                <w:szCs w:val="22"/>
                <w:lang w:val="en-AU" w:eastAsia="en-AU"/>
              </w:rPr>
              <w:t>Bilirubin</w:t>
            </w:r>
            <w:r w:rsidRPr="008219CC">
              <w:rPr>
                <w:rFonts w:ascii="Arial" w:hAnsi="Arial" w:cs="Arial"/>
                <w:spacing w:val="30"/>
                <w:sz w:val="22"/>
                <w:szCs w:val="22"/>
                <w:lang w:val="en-AU" w:eastAsia="en-AU"/>
              </w:rPr>
              <w:t xml:space="preserve"> </w:t>
            </w:r>
            <w:r w:rsidRPr="008219CC">
              <w:rPr>
                <w:rFonts w:ascii="Arial" w:hAnsi="Arial" w:cs="Arial"/>
                <w:spacing w:val="-1"/>
                <w:sz w:val="22"/>
                <w:szCs w:val="22"/>
                <w:lang w:val="en-AU" w:eastAsia="en-AU"/>
              </w:rPr>
              <w:t>increased</w:t>
            </w:r>
          </w:p>
        </w:tc>
        <w:tc>
          <w:tcPr>
            <w:tcW w:w="1157" w:type="dxa"/>
            <w:tcBorders>
              <w:top w:val="single" w:sz="4" w:space="0" w:color="000000"/>
              <w:left w:val="single" w:sz="4" w:space="0" w:color="000000"/>
              <w:bottom w:val="nil"/>
              <w:right w:val="single" w:sz="4" w:space="0" w:color="000000"/>
            </w:tcBorders>
            <w:vAlign w:val="center"/>
          </w:tcPr>
          <w:p w14:paraId="44303E6F" w14:textId="77777777" w:rsidR="00FB4ECA" w:rsidRPr="008219CC" w:rsidRDefault="00FB4ECA" w:rsidP="008913AB">
            <w:pPr>
              <w:keepNext/>
              <w:keepLines/>
              <w:kinsoku w:val="0"/>
              <w:overflowPunct w:val="0"/>
              <w:autoSpaceDE w:val="0"/>
              <w:autoSpaceDN w:val="0"/>
              <w:adjustRightInd w:val="0"/>
              <w:jc w:val="center"/>
              <w:rPr>
                <w:rFonts w:ascii="Arial" w:hAnsi="Arial" w:cs="Arial"/>
                <w:sz w:val="22"/>
                <w:szCs w:val="22"/>
                <w:lang w:val="en-AU" w:eastAsia="en-AU"/>
              </w:rPr>
            </w:pPr>
            <w:r w:rsidRPr="008219CC">
              <w:rPr>
                <w:rFonts w:ascii="Arial" w:hAnsi="Arial" w:cs="Arial"/>
                <w:spacing w:val="-1"/>
                <w:sz w:val="22"/>
                <w:szCs w:val="22"/>
                <w:lang w:val="en-AU" w:eastAsia="en-AU"/>
              </w:rPr>
              <w:t>66.7</w:t>
            </w:r>
          </w:p>
        </w:tc>
        <w:tc>
          <w:tcPr>
            <w:tcW w:w="1158" w:type="dxa"/>
            <w:tcBorders>
              <w:top w:val="single" w:sz="4" w:space="0" w:color="000000"/>
              <w:left w:val="single" w:sz="4" w:space="0" w:color="000000"/>
              <w:bottom w:val="nil"/>
              <w:right w:val="single" w:sz="4" w:space="0" w:color="000000"/>
            </w:tcBorders>
            <w:vAlign w:val="center"/>
          </w:tcPr>
          <w:p w14:paraId="09D80C0F"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7.4</w:t>
            </w:r>
          </w:p>
        </w:tc>
        <w:tc>
          <w:tcPr>
            <w:tcW w:w="1158" w:type="dxa"/>
            <w:tcBorders>
              <w:top w:val="single" w:sz="4" w:space="0" w:color="000000"/>
              <w:left w:val="single" w:sz="4" w:space="0" w:color="000000"/>
              <w:bottom w:val="nil"/>
              <w:right w:val="single" w:sz="4" w:space="0" w:color="000000"/>
            </w:tcBorders>
            <w:vAlign w:val="center"/>
          </w:tcPr>
          <w:p w14:paraId="405345DC"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4.4</w:t>
            </w:r>
          </w:p>
        </w:tc>
        <w:tc>
          <w:tcPr>
            <w:tcW w:w="1157" w:type="dxa"/>
            <w:tcBorders>
              <w:top w:val="single" w:sz="4" w:space="0" w:color="000000"/>
              <w:left w:val="single" w:sz="4" w:space="0" w:color="000000"/>
              <w:bottom w:val="nil"/>
              <w:right w:val="single" w:sz="4" w:space="0" w:color="000000"/>
            </w:tcBorders>
            <w:vAlign w:val="center"/>
          </w:tcPr>
          <w:p w14:paraId="55ABDB6B" w14:textId="77777777" w:rsidR="00FB4ECA" w:rsidRPr="008219CC" w:rsidRDefault="00FB4ECA" w:rsidP="008913AB">
            <w:pPr>
              <w:keepNext/>
              <w:keepLines/>
              <w:kinsoku w:val="0"/>
              <w:overflowPunct w:val="0"/>
              <w:autoSpaceDE w:val="0"/>
              <w:autoSpaceDN w:val="0"/>
              <w:adjustRightInd w:val="0"/>
              <w:ind w:left="71"/>
              <w:jc w:val="center"/>
              <w:rPr>
                <w:rFonts w:ascii="Arial" w:hAnsi="Arial" w:cs="Arial"/>
                <w:sz w:val="22"/>
                <w:szCs w:val="22"/>
                <w:lang w:val="en-AU" w:eastAsia="en-AU"/>
              </w:rPr>
            </w:pPr>
            <w:r w:rsidRPr="008219CC">
              <w:rPr>
                <w:rFonts w:ascii="Arial" w:hAnsi="Arial" w:cs="Arial"/>
                <w:spacing w:val="-1"/>
                <w:sz w:val="22"/>
                <w:szCs w:val="22"/>
                <w:lang w:val="en-AU" w:eastAsia="en-AU"/>
              </w:rPr>
              <w:t>32.8</w:t>
            </w:r>
          </w:p>
        </w:tc>
        <w:tc>
          <w:tcPr>
            <w:tcW w:w="1158" w:type="dxa"/>
            <w:tcBorders>
              <w:top w:val="single" w:sz="4" w:space="0" w:color="000000"/>
              <w:left w:val="single" w:sz="4" w:space="0" w:color="000000"/>
              <w:bottom w:val="nil"/>
              <w:right w:val="single" w:sz="4" w:space="0" w:color="000000"/>
            </w:tcBorders>
            <w:vAlign w:val="center"/>
          </w:tcPr>
          <w:p w14:paraId="3D0D7130"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4.5</w:t>
            </w:r>
          </w:p>
        </w:tc>
        <w:tc>
          <w:tcPr>
            <w:tcW w:w="1158" w:type="dxa"/>
            <w:tcBorders>
              <w:top w:val="single" w:sz="4" w:space="0" w:color="000000"/>
              <w:left w:val="single" w:sz="4" w:space="0" w:color="000000"/>
              <w:bottom w:val="nil"/>
              <w:right w:val="single" w:sz="4" w:space="0" w:color="000000"/>
            </w:tcBorders>
            <w:vAlign w:val="center"/>
          </w:tcPr>
          <w:p w14:paraId="47BC05B2"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0.0</w:t>
            </w:r>
          </w:p>
        </w:tc>
      </w:tr>
      <w:tr w:rsidR="00FB4ECA" w:rsidRPr="004C1DAA" w14:paraId="35BF4171" w14:textId="77777777" w:rsidTr="008913AB">
        <w:trPr>
          <w:trHeight w:val="335"/>
        </w:trPr>
        <w:tc>
          <w:tcPr>
            <w:tcW w:w="2410" w:type="dxa"/>
            <w:tcBorders>
              <w:top w:val="nil"/>
              <w:left w:val="single" w:sz="5" w:space="0" w:color="000000"/>
              <w:bottom w:val="nil"/>
              <w:right w:val="single" w:sz="4" w:space="0" w:color="000000"/>
            </w:tcBorders>
            <w:vAlign w:val="center"/>
          </w:tcPr>
          <w:p w14:paraId="323272BD" w14:textId="77777777" w:rsidR="00FB4ECA" w:rsidRPr="008219CC" w:rsidRDefault="00FB4ECA" w:rsidP="008913AB">
            <w:pPr>
              <w:keepNext/>
              <w:keepLines/>
              <w:kinsoku w:val="0"/>
              <w:overflowPunct w:val="0"/>
              <w:autoSpaceDE w:val="0"/>
              <w:autoSpaceDN w:val="0"/>
              <w:adjustRightInd w:val="0"/>
              <w:ind w:left="80"/>
              <w:rPr>
                <w:rFonts w:ascii="Arial" w:hAnsi="Arial" w:cs="Arial"/>
                <w:sz w:val="22"/>
                <w:szCs w:val="22"/>
                <w:lang w:val="en-AU" w:eastAsia="en-AU"/>
              </w:rPr>
            </w:pPr>
            <w:r w:rsidRPr="008219CC">
              <w:rPr>
                <w:rFonts w:ascii="Arial" w:hAnsi="Arial" w:cs="Arial"/>
                <w:spacing w:val="-1"/>
                <w:sz w:val="22"/>
                <w:szCs w:val="22"/>
                <w:lang w:val="en-AU" w:eastAsia="en-AU"/>
              </w:rPr>
              <w:t>AST</w:t>
            </w:r>
            <w:r w:rsidRPr="008219CC">
              <w:rPr>
                <w:rFonts w:ascii="Arial" w:hAnsi="Arial" w:cs="Arial"/>
                <w:spacing w:val="23"/>
                <w:sz w:val="22"/>
                <w:szCs w:val="22"/>
                <w:lang w:val="en-AU" w:eastAsia="en-AU"/>
              </w:rPr>
              <w:t xml:space="preserve"> </w:t>
            </w:r>
            <w:r w:rsidRPr="008219CC">
              <w:rPr>
                <w:rFonts w:ascii="Arial" w:hAnsi="Arial" w:cs="Arial"/>
                <w:spacing w:val="-1"/>
                <w:sz w:val="22"/>
                <w:szCs w:val="22"/>
                <w:lang w:val="en-AU" w:eastAsia="en-AU"/>
              </w:rPr>
              <w:t>increased</w:t>
            </w:r>
          </w:p>
        </w:tc>
        <w:tc>
          <w:tcPr>
            <w:tcW w:w="1157" w:type="dxa"/>
            <w:tcBorders>
              <w:top w:val="nil"/>
              <w:left w:val="single" w:sz="4" w:space="0" w:color="000000"/>
              <w:bottom w:val="nil"/>
              <w:right w:val="single" w:sz="4" w:space="0" w:color="000000"/>
            </w:tcBorders>
            <w:vAlign w:val="center"/>
          </w:tcPr>
          <w:p w14:paraId="54687AB3" w14:textId="77777777" w:rsidR="00FB4ECA" w:rsidRPr="008219CC" w:rsidRDefault="00FB4ECA" w:rsidP="008913AB">
            <w:pPr>
              <w:keepNext/>
              <w:keepLines/>
              <w:kinsoku w:val="0"/>
              <w:overflowPunct w:val="0"/>
              <w:autoSpaceDE w:val="0"/>
              <w:autoSpaceDN w:val="0"/>
              <w:adjustRightInd w:val="0"/>
              <w:jc w:val="center"/>
              <w:rPr>
                <w:rFonts w:ascii="Arial" w:hAnsi="Arial" w:cs="Arial"/>
                <w:sz w:val="22"/>
                <w:szCs w:val="22"/>
                <w:lang w:val="en-AU" w:eastAsia="en-AU"/>
              </w:rPr>
            </w:pPr>
            <w:r w:rsidRPr="008219CC">
              <w:rPr>
                <w:rFonts w:ascii="Arial" w:hAnsi="Arial" w:cs="Arial"/>
                <w:spacing w:val="-1"/>
                <w:sz w:val="22"/>
                <w:szCs w:val="22"/>
                <w:lang w:val="en-AU" w:eastAsia="en-AU"/>
              </w:rPr>
              <w:t>69.6</w:t>
            </w:r>
          </w:p>
        </w:tc>
        <w:tc>
          <w:tcPr>
            <w:tcW w:w="1158" w:type="dxa"/>
            <w:tcBorders>
              <w:top w:val="nil"/>
              <w:left w:val="single" w:sz="4" w:space="0" w:color="000000"/>
              <w:bottom w:val="nil"/>
              <w:right w:val="single" w:sz="4" w:space="0" w:color="000000"/>
            </w:tcBorders>
            <w:vAlign w:val="center"/>
          </w:tcPr>
          <w:p w14:paraId="47380E27" w14:textId="77777777" w:rsidR="00FB4ECA" w:rsidRPr="008219CC" w:rsidRDefault="00FB4ECA" w:rsidP="008913AB">
            <w:pPr>
              <w:keepNext/>
              <w:keepLines/>
              <w:kinsoku w:val="0"/>
              <w:overflowPunct w:val="0"/>
              <w:autoSpaceDE w:val="0"/>
              <w:autoSpaceDN w:val="0"/>
              <w:adjustRightInd w:val="0"/>
              <w:jc w:val="center"/>
              <w:rPr>
                <w:rFonts w:ascii="Arial" w:hAnsi="Arial" w:cs="Arial"/>
                <w:sz w:val="22"/>
                <w:szCs w:val="22"/>
                <w:lang w:val="en-AU" w:eastAsia="en-AU"/>
              </w:rPr>
            </w:pPr>
            <w:r w:rsidRPr="008219CC">
              <w:rPr>
                <w:rFonts w:ascii="Arial" w:hAnsi="Arial" w:cs="Arial"/>
                <w:spacing w:val="-1"/>
                <w:sz w:val="22"/>
                <w:szCs w:val="22"/>
                <w:lang w:val="en-AU" w:eastAsia="en-AU"/>
              </w:rPr>
              <w:t>10.4</w:t>
            </w:r>
          </w:p>
        </w:tc>
        <w:tc>
          <w:tcPr>
            <w:tcW w:w="1158" w:type="dxa"/>
            <w:tcBorders>
              <w:top w:val="nil"/>
              <w:left w:val="single" w:sz="4" w:space="0" w:color="000000"/>
              <w:bottom w:val="nil"/>
              <w:right w:val="single" w:sz="4" w:space="0" w:color="000000"/>
            </w:tcBorders>
            <w:vAlign w:val="center"/>
          </w:tcPr>
          <w:p w14:paraId="4C83C1F0"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0.7</w:t>
            </w:r>
          </w:p>
        </w:tc>
        <w:tc>
          <w:tcPr>
            <w:tcW w:w="1157" w:type="dxa"/>
            <w:tcBorders>
              <w:top w:val="nil"/>
              <w:left w:val="single" w:sz="4" w:space="0" w:color="000000"/>
              <w:bottom w:val="nil"/>
              <w:right w:val="single" w:sz="4" w:space="0" w:color="000000"/>
            </w:tcBorders>
            <w:vAlign w:val="center"/>
          </w:tcPr>
          <w:p w14:paraId="75B3F0DF" w14:textId="77777777" w:rsidR="00FB4ECA" w:rsidRPr="008219CC" w:rsidRDefault="00FB4ECA" w:rsidP="008913AB">
            <w:pPr>
              <w:keepNext/>
              <w:keepLines/>
              <w:kinsoku w:val="0"/>
              <w:overflowPunct w:val="0"/>
              <w:autoSpaceDE w:val="0"/>
              <w:autoSpaceDN w:val="0"/>
              <w:adjustRightInd w:val="0"/>
              <w:ind w:left="71"/>
              <w:jc w:val="center"/>
              <w:rPr>
                <w:rFonts w:ascii="Arial" w:hAnsi="Arial" w:cs="Arial"/>
                <w:sz w:val="22"/>
                <w:szCs w:val="22"/>
                <w:lang w:val="en-AU" w:eastAsia="en-AU"/>
              </w:rPr>
            </w:pPr>
            <w:r w:rsidRPr="008219CC">
              <w:rPr>
                <w:rFonts w:ascii="Arial" w:hAnsi="Arial" w:cs="Arial"/>
                <w:spacing w:val="-1"/>
                <w:sz w:val="22"/>
                <w:szCs w:val="22"/>
                <w:lang w:val="en-AU" w:eastAsia="en-AU"/>
              </w:rPr>
              <w:t>47.8</w:t>
            </w:r>
          </w:p>
        </w:tc>
        <w:tc>
          <w:tcPr>
            <w:tcW w:w="1158" w:type="dxa"/>
            <w:tcBorders>
              <w:top w:val="nil"/>
              <w:left w:val="single" w:sz="4" w:space="0" w:color="000000"/>
              <w:bottom w:val="nil"/>
              <w:right w:val="single" w:sz="4" w:space="0" w:color="000000"/>
            </w:tcBorders>
            <w:vAlign w:val="center"/>
          </w:tcPr>
          <w:p w14:paraId="132C8F4E"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3.0</w:t>
            </w:r>
          </w:p>
        </w:tc>
        <w:tc>
          <w:tcPr>
            <w:tcW w:w="1158" w:type="dxa"/>
            <w:tcBorders>
              <w:top w:val="nil"/>
              <w:left w:val="single" w:sz="4" w:space="0" w:color="000000"/>
              <w:bottom w:val="nil"/>
              <w:right w:val="single" w:sz="4" w:space="0" w:color="000000"/>
            </w:tcBorders>
            <w:vAlign w:val="center"/>
          </w:tcPr>
          <w:p w14:paraId="2F825337"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0.0</w:t>
            </w:r>
          </w:p>
        </w:tc>
      </w:tr>
      <w:tr w:rsidR="00FB4ECA" w:rsidRPr="004C1DAA" w14:paraId="3207E16B" w14:textId="77777777" w:rsidTr="008913AB">
        <w:trPr>
          <w:trHeight w:val="335"/>
        </w:trPr>
        <w:tc>
          <w:tcPr>
            <w:tcW w:w="2410" w:type="dxa"/>
            <w:tcBorders>
              <w:top w:val="nil"/>
              <w:left w:val="single" w:sz="5" w:space="0" w:color="000000"/>
              <w:bottom w:val="single" w:sz="4" w:space="0" w:color="000000"/>
              <w:right w:val="single" w:sz="4" w:space="0" w:color="000000"/>
            </w:tcBorders>
            <w:vAlign w:val="center"/>
          </w:tcPr>
          <w:p w14:paraId="053E6B70" w14:textId="77777777" w:rsidR="00FB4ECA" w:rsidRPr="008219CC" w:rsidRDefault="00FB4ECA" w:rsidP="008913AB">
            <w:pPr>
              <w:keepNext/>
              <w:keepLines/>
              <w:kinsoku w:val="0"/>
              <w:overflowPunct w:val="0"/>
              <w:autoSpaceDE w:val="0"/>
              <w:autoSpaceDN w:val="0"/>
              <w:adjustRightInd w:val="0"/>
              <w:ind w:left="80"/>
              <w:rPr>
                <w:rFonts w:ascii="Arial" w:hAnsi="Arial" w:cs="Arial"/>
                <w:sz w:val="22"/>
                <w:szCs w:val="22"/>
                <w:lang w:val="en-AU" w:eastAsia="en-AU"/>
              </w:rPr>
            </w:pPr>
            <w:r w:rsidRPr="008219CC">
              <w:rPr>
                <w:rFonts w:ascii="Arial" w:hAnsi="Arial" w:cs="Arial"/>
                <w:spacing w:val="-1"/>
                <w:sz w:val="22"/>
                <w:szCs w:val="22"/>
                <w:lang w:val="en-AU" w:eastAsia="en-AU"/>
              </w:rPr>
              <w:t>ALT</w:t>
            </w:r>
            <w:r w:rsidRPr="008219CC">
              <w:rPr>
                <w:rFonts w:ascii="Arial" w:hAnsi="Arial" w:cs="Arial"/>
                <w:spacing w:val="23"/>
                <w:sz w:val="22"/>
                <w:szCs w:val="22"/>
                <w:lang w:val="en-AU" w:eastAsia="en-AU"/>
              </w:rPr>
              <w:t xml:space="preserve"> </w:t>
            </w:r>
            <w:r w:rsidRPr="008219CC">
              <w:rPr>
                <w:rFonts w:ascii="Arial" w:hAnsi="Arial" w:cs="Arial"/>
                <w:spacing w:val="-1"/>
                <w:sz w:val="22"/>
                <w:szCs w:val="22"/>
                <w:lang w:val="en-AU" w:eastAsia="en-AU"/>
              </w:rPr>
              <w:t>increased</w:t>
            </w:r>
          </w:p>
        </w:tc>
        <w:tc>
          <w:tcPr>
            <w:tcW w:w="1157" w:type="dxa"/>
            <w:tcBorders>
              <w:top w:val="nil"/>
              <w:left w:val="single" w:sz="4" w:space="0" w:color="000000"/>
              <w:bottom w:val="single" w:sz="4" w:space="0" w:color="000000"/>
              <w:right w:val="single" w:sz="4" w:space="0" w:color="000000"/>
            </w:tcBorders>
            <w:vAlign w:val="center"/>
          </w:tcPr>
          <w:p w14:paraId="46AC63EE" w14:textId="77777777" w:rsidR="00FB4ECA" w:rsidRPr="008219CC" w:rsidRDefault="00FB4ECA" w:rsidP="008913AB">
            <w:pPr>
              <w:keepNext/>
              <w:keepLines/>
              <w:kinsoku w:val="0"/>
              <w:overflowPunct w:val="0"/>
              <w:autoSpaceDE w:val="0"/>
              <w:autoSpaceDN w:val="0"/>
              <w:adjustRightInd w:val="0"/>
              <w:jc w:val="center"/>
              <w:rPr>
                <w:rFonts w:ascii="Arial" w:hAnsi="Arial" w:cs="Arial"/>
                <w:sz w:val="22"/>
                <w:szCs w:val="22"/>
                <w:lang w:val="en-AU" w:eastAsia="en-AU"/>
              </w:rPr>
            </w:pPr>
            <w:r w:rsidRPr="008219CC">
              <w:rPr>
                <w:rFonts w:ascii="Arial" w:hAnsi="Arial" w:cs="Arial"/>
                <w:spacing w:val="-1"/>
                <w:sz w:val="22"/>
                <w:szCs w:val="22"/>
                <w:lang w:val="en-AU" w:eastAsia="en-AU"/>
              </w:rPr>
              <w:t>54.1</w:t>
            </w:r>
          </w:p>
        </w:tc>
        <w:tc>
          <w:tcPr>
            <w:tcW w:w="1158" w:type="dxa"/>
            <w:tcBorders>
              <w:top w:val="nil"/>
              <w:left w:val="single" w:sz="4" w:space="0" w:color="000000"/>
              <w:bottom w:val="single" w:sz="4" w:space="0" w:color="000000"/>
              <w:right w:val="single" w:sz="4" w:space="0" w:color="000000"/>
            </w:tcBorders>
            <w:vAlign w:val="center"/>
          </w:tcPr>
          <w:p w14:paraId="5E827CCC"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8.9</w:t>
            </w:r>
          </w:p>
        </w:tc>
        <w:tc>
          <w:tcPr>
            <w:tcW w:w="1158" w:type="dxa"/>
            <w:tcBorders>
              <w:top w:val="nil"/>
              <w:left w:val="single" w:sz="4" w:space="0" w:color="000000"/>
              <w:bottom w:val="single" w:sz="4" w:space="0" w:color="000000"/>
              <w:right w:val="single" w:sz="4" w:space="0" w:color="000000"/>
            </w:tcBorders>
            <w:vAlign w:val="center"/>
          </w:tcPr>
          <w:p w14:paraId="4EFA880F"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0.0</w:t>
            </w:r>
          </w:p>
        </w:tc>
        <w:tc>
          <w:tcPr>
            <w:tcW w:w="1157" w:type="dxa"/>
            <w:tcBorders>
              <w:top w:val="nil"/>
              <w:left w:val="single" w:sz="4" w:space="0" w:color="000000"/>
              <w:bottom w:val="single" w:sz="4" w:space="0" w:color="000000"/>
              <w:right w:val="single" w:sz="4" w:space="0" w:color="000000"/>
            </w:tcBorders>
            <w:vAlign w:val="center"/>
          </w:tcPr>
          <w:p w14:paraId="7C427B24" w14:textId="77777777" w:rsidR="00FB4ECA" w:rsidRPr="008219CC" w:rsidRDefault="00FB4ECA" w:rsidP="008913AB">
            <w:pPr>
              <w:keepNext/>
              <w:keepLines/>
              <w:kinsoku w:val="0"/>
              <w:overflowPunct w:val="0"/>
              <w:autoSpaceDE w:val="0"/>
              <w:autoSpaceDN w:val="0"/>
              <w:adjustRightInd w:val="0"/>
              <w:ind w:left="71"/>
              <w:jc w:val="center"/>
              <w:rPr>
                <w:rFonts w:ascii="Arial" w:hAnsi="Arial" w:cs="Arial"/>
                <w:sz w:val="22"/>
                <w:szCs w:val="22"/>
                <w:lang w:val="en-AU" w:eastAsia="en-AU"/>
              </w:rPr>
            </w:pPr>
            <w:r w:rsidRPr="008219CC">
              <w:rPr>
                <w:rFonts w:ascii="Arial" w:hAnsi="Arial" w:cs="Arial"/>
                <w:spacing w:val="-1"/>
                <w:sz w:val="22"/>
                <w:szCs w:val="22"/>
                <w:lang w:val="en-AU" w:eastAsia="en-AU"/>
              </w:rPr>
              <w:t>29.9</w:t>
            </w:r>
          </w:p>
        </w:tc>
        <w:tc>
          <w:tcPr>
            <w:tcW w:w="1158" w:type="dxa"/>
            <w:tcBorders>
              <w:top w:val="nil"/>
              <w:left w:val="single" w:sz="4" w:space="0" w:color="000000"/>
              <w:bottom w:val="single" w:sz="4" w:space="0" w:color="000000"/>
              <w:right w:val="single" w:sz="4" w:space="0" w:color="000000"/>
            </w:tcBorders>
            <w:vAlign w:val="center"/>
          </w:tcPr>
          <w:p w14:paraId="1D7B1029"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1.5</w:t>
            </w:r>
          </w:p>
        </w:tc>
        <w:tc>
          <w:tcPr>
            <w:tcW w:w="1158" w:type="dxa"/>
            <w:tcBorders>
              <w:top w:val="nil"/>
              <w:left w:val="single" w:sz="4" w:space="0" w:color="000000"/>
              <w:bottom w:val="single" w:sz="4" w:space="0" w:color="000000"/>
              <w:right w:val="single" w:sz="4" w:space="0" w:color="000000"/>
            </w:tcBorders>
            <w:vAlign w:val="center"/>
          </w:tcPr>
          <w:p w14:paraId="1527C6F2" w14:textId="77777777" w:rsidR="00FB4ECA" w:rsidRPr="008219CC" w:rsidRDefault="00FB4ECA" w:rsidP="008913AB">
            <w:pPr>
              <w:keepNext/>
              <w:keepLines/>
              <w:kinsoku w:val="0"/>
              <w:overflowPunct w:val="0"/>
              <w:autoSpaceDE w:val="0"/>
              <w:autoSpaceDN w:val="0"/>
              <w:adjustRightInd w:val="0"/>
              <w:ind w:right="1"/>
              <w:jc w:val="center"/>
              <w:rPr>
                <w:rFonts w:ascii="Arial" w:hAnsi="Arial" w:cs="Arial"/>
                <w:sz w:val="22"/>
                <w:szCs w:val="22"/>
                <w:lang w:val="en-AU" w:eastAsia="en-AU"/>
              </w:rPr>
            </w:pPr>
            <w:r w:rsidRPr="008219CC">
              <w:rPr>
                <w:rFonts w:ascii="Arial" w:hAnsi="Arial" w:cs="Arial"/>
                <w:spacing w:val="-1"/>
                <w:sz w:val="22"/>
                <w:szCs w:val="22"/>
                <w:lang w:val="en-AU" w:eastAsia="en-AU"/>
              </w:rPr>
              <w:t>0.0</w:t>
            </w:r>
          </w:p>
        </w:tc>
      </w:tr>
    </w:tbl>
    <w:p w14:paraId="735FA5DA" w14:textId="27DE907C" w:rsidR="00FB4ECA" w:rsidRPr="008219CC" w:rsidRDefault="00FB4ECA" w:rsidP="001578C7">
      <w:pPr>
        <w:keepNext/>
        <w:keepLines/>
        <w:tabs>
          <w:tab w:val="left" w:pos="284"/>
        </w:tabs>
        <w:autoSpaceDE w:val="0"/>
        <w:autoSpaceDN w:val="0"/>
        <w:adjustRightInd w:val="0"/>
        <w:spacing w:before="120"/>
        <w:ind w:left="284" w:hanging="284"/>
        <w:rPr>
          <w:rFonts w:ascii="Arial" w:hAnsi="Arial" w:cs="Arial"/>
          <w:sz w:val="20"/>
          <w:szCs w:val="20"/>
        </w:rPr>
      </w:pPr>
      <w:r w:rsidRPr="008219CC">
        <w:rPr>
          <w:rFonts w:ascii="Arial" w:hAnsi="Arial" w:cs="Arial"/>
          <w:sz w:val="20"/>
          <w:szCs w:val="20"/>
          <w:vertAlign w:val="superscript"/>
        </w:rPr>
        <w:t>§</w:t>
      </w:r>
      <w:r w:rsidR="008219CC" w:rsidRPr="008219CC">
        <w:rPr>
          <w:rFonts w:ascii="Arial" w:hAnsi="Arial" w:cs="Arial"/>
          <w:sz w:val="20"/>
          <w:szCs w:val="20"/>
        </w:rPr>
        <w:tab/>
      </w:r>
      <w:r w:rsidRPr="008219CC">
        <w:rPr>
          <w:rFonts w:ascii="Arial" w:hAnsi="Arial" w:cs="Arial"/>
          <w:sz w:val="20"/>
          <w:szCs w:val="20"/>
        </w:rPr>
        <w:t>Best Supportive Care</w:t>
      </w:r>
    </w:p>
    <w:p w14:paraId="376A902F" w14:textId="6294ECD9" w:rsidR="00FB4ECA" w:rsidRPr="008219CC" w:rsidRDefault="008219CC" w:rsidP="001578C7">
      <w:pPr>
        <w:keepNext/>
        <w:keepLines/>
        <w:tabs>
          <w:tab w:val="left" w:pos="284"/>
        </w:tabs>
        <w:autoSpaceDE w:val="0"/>
        <w:autoSpaceDN w:val="0"/>
        <w:adjustRightInd w:val="0"/>
        <w:spacing w:before="120"/>
        <w:ind w:left="284" w:hanging="284"/>
        <w:contextualSpacing/>
        <w:rPr>
          <w:rFonts w:ascii="Arial" w:hAnsi="Arial" w:cs="Arial"/>
          <w:sz w:val="20"/>
          <w:szCs w:val="20"/>
        </w:rPr>
      </w:pPr>
      <w:r w:rsidRPr="008219CC">
        <w:rPr>
          <w:rFonts w:ascii="Arial" w:hAnsi="Arial" w:cs="Arial"/>
          <w:sz w:val="20"/>
          <w:szCs w:val="20"/>
        </w:rPr>
        <w:t>*</w:t>
      </w:r>
      <w:r w:rsidRPr="008219CC">
        <w:rPr>
          <w:rFonts w:ascii="Arial" w:hAnsi="Arial" w:cs="Arial"/>
          <w:sz w:val="20"/>
          <w:szCs w:val="20"/>
        </w:rPr>
        <w:tab/>
      </w:r>
      <w:r w:rsidR="00FB4ECA" w:rsidRPr="008219CC">
        <w:rPr>
          <w:rFonts w:ascii="Arial" w:hAnsi="Arial" w:cs="Arial"/>
          <w:sz w:val="20"/>
          <w:szCs w:val="20"/>
        </w:rPr>
        <w:t>Common Terminology Criteria for Adverse Events (CTCAE), Version 4.0</w:t>
      </w:r>
    </w:p>
    <w:p w14:paraId="712C29C8" w14:textId="77777777" w:rsidR="00F548A0" w:rsidRPr="00F4557E" w:rsidRDefault="00F548A0" w:rsidP="00E177CA">
      <w:pPr>
        <w:pStyle w:val="Heading2"/>
        <w:spacing w:after="240"/>
        <w:rPr>
          <w:rFonts w:ascii="Arial" w:eastAsia="PMingLiU" w:hAnsi="Arial" w:cs="Arial"/>
          <w:i/>
          <w:color w:val="000000"/>
          <w:sz w:val="22"/>
          <w:szCs w:val="22"/>
          <w:lang w:eastAsia="zh-TW"/>
        </w:rPr>
      </w:pPr>
      <w:r w:rsidRPr="00F4557E">
        <w:rPr>
          <w:rFonts w:ascii="Arial" w:eastAsia="PMingLiU" w:hAnsi="Arial" w:cs="Arial"/>
          <w:i/>
          <w:color w:val="000000"/>
          <w:sz w:val="22"/>
          <w:szCs w:val="22"/>
          <w:lang w:eastAsia="zh-TW"/>
        </w:rPr>
        <w:t>Gastrointestinal stromal tumours</w:t>
      </w:r>
    </w:p>
    <w:p w14:paraId="712C29CA" w14:textId="731BE86F" w:rsidR="00F548A0" w:rsidRPr="00F4557E" w:rsidRDefault="00F548A0" w:rsidP="00F4557E">
      <w:pPr>
        <w:pStyle w:val="BayerBodyTextFull"/>
        <w:spacing w:before="0" w:after="0"/>
        <w:rPr>
          <w:rFonts w:ascii="Arial" w:hAnsi="Arial" w:cs="Arial"/>
          <w:sz w:val="22"/>
          <w:szCs w:val="22"/>
          <w:lang w:val="en-GB"/>
        </w:rPr>
      </w:pPr>
      <w:r w:rsidRPr="00F4557E">
        <w:rPr>
          <w:rFonts w:ascii="Arial" w:hAnsi="Arial" w:cs="Arial"/>
          <w:sz w:val="22"/>
          <w:szCs w:val="22"/>
          <w:lang w:val="en-GB"/>
        </w:rPr>
        <w:t xml:space="preserve">The safety of </w:t>
      </w:r>
      <w:r w:rsidR="00601DFC" w:rsidRPr="00F4557E">
        <w:rPr>
          <w:rFonts w:ascii="Arial" w:hAnsi="Arial" w:cs="Arial"/>
          <w:sz w:val="22"/>
          <w:szCs w:val="22"/>
          <w:lang w:val="en-GB"/>
        </w:rPr>
        <w:t>STIVARGA</w:t>
      </w:r>
      <w:r w:rsidR="00FF0B8E" w:rsidRPr="00F4557E">
        <w:rPr>
          <w:rFonts w:ascii="Arial" w:hAnsi="Arial" w:cs="Arial"/>
          <w:sz w:val="22"/>
          <w:szCs w:val="22"/>
          <w:lang w:val="en-GB"/>
        </w:rPr>
        <w:t xml:space="preserve"> </w:t>
      </w:r>
      <w:r w:rsidR="00E764BB" w:rsidRPr="00F4557E">
        <w:rPr>
          <w:rFonts w:ascii="Arial" w:hAnsi="Arial" w:cs="Arial"/>
          <w:sz w:val="22"/>
          <w:szCs w:val="22"/>
          <w:lang w:val="en-GB"/>
        </w:rPr>
        <w:t xml:space="preserve">in the pivotal study (GRID) </w:t>
      </w:r>
      <w:r w:rsidR="005911BE" w:rsidRPr="00F4557E">
        <w:rPr>
          <w:rFonts w:ascii="Arial" w:hAnsi="Arial" w:cs="Arial"/>
          <w:sz w:val="22"/>
          <w:szCs w:val="22"/>
          <w:lang w:val="en-GB"/>
        </w:rPr>
        <w:t xml:space="preserve">were derived from a randomised (2:1), </w:t>
      </w:r>
      <w:r w:rsidR="006E70D2" w:rsidRPr="00F4557E">
        <w:rPr>
          <w:rFonts w:ascii="Arial" w:hAnsi="Arial" w:cs="Arial"/>
          <w:sz w:val="22"/>
          <w:szCs w:val="22"/>
          <w:lang w:val="en-GB"/>
        </w:rPr>
        <w:t xml:space="preserve">double-blind, </w:t>
      </w:r>
      <w:r w:rsidR="005911BE" w:rsidRPr="00F4557E">
        <w:rPr>
          <w:rFonts w:ascii="Arial" w:hAnsi="Arial" w:cs="Arial"/>
          <w:sz w:val="22"/>
          <w:szCs w:val="22"/>
          <w:lang w:val="en-GB"/>
        </w:rPr>
        <w:t>placebo controlled trial in which</w:t>
      </w:r>
      <w:r w:rsidRPr="00F4557E">
        <w:rPr>
          <w:rFonts w:ascii="Arial" w:hAnsi="Arial" w:cs="Arial"/>
          <w:sz w:val="22"/>
          <w:szCs w:val="22"/>
          <w:lang w:val="en-GB"/>
        </w:rPr>
        <w:t xml:space="preserve"> 132 patients with previously treated </w:t>
      </w:r>
      <w:r w:rsidR="005911BE" w:rsidRPr="00F4557E">
        <w:rPr>
          <w:rFonts w:ascii="Arial" w:hAnsi="Arial" w:cs="Arial"/>
          <w:sz w:val="22"/>
          <w:szCs w:val="22"/>
          <w:lang w:val="en-GB"/>
        </w:rPr>
        <w:t xml:space="preserve">advanced/metastatic </w:t>
      </w:r>
      <w:r w:rsidRPr="00F4557E">
        <w:rPr>
          <w:rFonts w:ascii="Arial" w:hAnsi="Arial" w:cs="Arial"/>
          <w:sz w:val="22"/>
          <w:szCs w:val="22"/>
          <w:lang w:val="en-GB"/>
        </w:rPr>
        <w:t>GIST</w:t>
      </w:r>
      <w:r w:rsidR="005806EE" w:rsidRPr="00F4557E">
        <w:rPr>
          <w:rFonts w:ascii="Arial" w:hAnsi="Arial" w:cs="Arial"/>
          <w:sz w:val="22"/>
          <w:szCs w:val="22"/>
          <w:lang w:val="en-GB"/>
        </w:rPr>
        <w:t xml:space="preserve"> received STIVARGA</w:t>
      </w:r>
      <w:r w:rsidR="005911BE" w:rsidRPr="00F4557E">
        <w:rPr>
          <w:rFonts w:ascii="Arial" w:hAnsi="Arial" w:cs="Arial"/>
          <w:sz w:val="22"/>
          <w:szCs w:val="22"/>
          <w:lang w:val="en-GB"/>
        </w:rPr>
        <w:t xml:space="preserve"> as a single agent at a dose of 160 mg daily for the first 3 weeks of each 4 week treatment cycle and 66 </w:t>
      </w:r>
      <w:proofErr w:type="spellStart"/>
      <w:r w:rsidR="004F501C" w:rsidRPr="00F4557E">
        <w:rPr>
          <w:rFonts w:ascii="Arial" w:hAnsi="Arial" w:cs="Arial"/>
          <w:sz w:val="22"/>
          <w:szCs w:val="22"/>
          <w:lang w:val="en-GB"/>
        </w:rPr>
        <w:t>patien</w:t>
      </w:r>
      <w:r w:rsidR="008913AB">
        <w:rPr>
          <w:rFonts w:ascii="Arial" w:hAnsi="Arial" w:cs="Arial"/>
          <w:sz w:val="22"/>
          <w:szCs w:val="22"/>
          <w:lang w:val="en-GB"/>
        </w:rPr>
        <w:t>nff</w:t>
      </w:r>
      <w:r w:rsidR="004F501C" w:rsidRPr="00F4557E">
        <w:rPr>
          <w:rFonts w:ascii="Arial" w:hAnsi="Arial" w:cs="Arial"/>
          <w:sz w:val="22"/>
          <w:szCs w:val="22"/>
          <w:lang w:val="en-GB"/>
        </w:rPr>
        <w:t>ts</w:t>
      </w:r>
      <w:proofErr w:type="spellEnd"/>
      <w:r w:rsidR="004F501C" w:rsidRPr="00F4557E">
        <w:rPr>
          <w:rFonts w:ascii="Arial" w:hAnsi="Arial" w:cs="Arial"/>
          <w:sz w:val="22"/>
          <w:szCs w:val="22"/>
          <w:lang w:val="en-GB"/>
        </w:rPr>
        <w:t xml:space="preserve"> receiv</w:t>
      </w:r>
      <w:r w:rsidR="005911BE" w:rsidRPr="00F4557E">
        <w:rPr>
          <w:rFonts w:ascii="Arial" w:hAnsi="Arial" w:cs="Arial"/>
          <w:sz w:val="22"/>
          <w:szCs w:val="22"/>
          <w:lang w:val="en-GB"/>
        </w:rPr>
        <w:t>ed</w:t>
      </w:r>
      <w:r w:rsidRPr="00F4557E">
        <w:rPr>
          <w:rFonts w:ascii="Arial" w:hAnsi="Arial" w:cs="Arial"/>
          <w:sz w:val="22"/>
          <w:szCs w:val="22"/>
          <w:lang w:val="en-GB"/>
        </w:rPr>
        <w:t xml:space="preserve"> placebo. </w:t>
      </w:r>
    </w:p>
    <w:p w14:paraId="712C29CB" w14:textId="77777777" w:rsidR="00833F59" w:rsidRPr="00F4557E" w:rsidRDefault="00833F59" w:rsidP="00F4557E">
      <w:pPr>
        <w:pStyle w:val="BayerBodyTextFull"/>
        <w:spacing w:before="0" w:after="0"/>
        <w:rPr>
          <w:rFonts w:ascii="Arial" w:hAnsi="Arial" w:cs="Arial"/>
          <w:sz w:val="22"/>
          <w:szCs w:val="22"/>
          <w:lang w:val="en-GB"/>
        </w:rPr>
      </w:pPr>
    </w:p>
    <w:p w14:paraId="712C29CC" w14:textId="078F364D" w:rsidR="00833F59" w:rsidRPr="00F4557E" w:rsidRDefault="00833F59" w:rsidP="00F4557E">
      <w:pPr>
        <w:pStyle w:val="BayerBodyTextFull"/>
        <w:spacing w:before="0" w:after="0"/>
        <w:rPr>
          <w:rFonts w:ascii="Arial" w:hAnsi="Arial" w:cs="Arial"/>
          <w:sz w:val="22"/>
          <w:szCs w:val="22"/>
          <w:lang w:val="en-GB"/>
        </w:rPr>
      </w:pPr>
      <w:r w:rsidRPr="00F4557E">
        <w:rPr>
          <w:rFonts w:ascii="Arial" w:hAnsi="Arial" w:cs="Arial"/>
          <w:sz w:val="22"/>
          <w:szCs w:val="22"/>
          <w:lang w:val="en-GB"/>
        </w:rPr>
        <w:t xml:space="preserve">Table </w:t>
      </w:r>
      <w:r w:rsidR="00871049" w:rsidRPr="00F4557E">
        <w:rPr>
          <w:rFonts w:ascii="Arial" w:hAnsi="Arial" w:cs="Arial"/>
          <w:sz w:val="22"/>
          <w:szCs w:val="22"/>
          <w:lang w:val="en-GB"/>
        </w:rPr>
        <w:t>8</w:t>
      </w:r>
      <w:r w:rsidRPr="00F4557E">
        <w:rPr>
          <w:rFonts w:ascii="Arial" w:hAnsi="Arial" w:cs="Arial"/>
          <w:sz w:val="22"/>
          <w:szCs w:val="22"/>
          <w:lang w:val="en-GB"/>
        </w:rPr>
        <w:t xml:space="preserve"> compares the incidence of adverse reactions (≥10%) in GIST patients receiving </w:t>
      </w:r>
      <w:r w:rsidR="00601DFC" w:rsidRPr="00F4557E">
        <w:rPr>
          <w:rFonts w:ascii="Arial" w:hAnsi="Arial" w:cs="Arial"/>
          <w:sz w:val="22"/>
          <w:szCs w:val="22"/>
          <w:lang w:val="en-GB"/>
        </w:rPr>
        <w:t>STIVARGA</w:t>
      </w:r>
      <w:r w:rsidR="00FF0B8E" w:rsidRPr="00F4557E">
        <w:rPr>
          <w:rFonts w:ascii="Arial" w:hAnsi="Arial" w:cs="Arial"/>
          <w:sz w:val="22"/>
          <w:szCs w:val="22"/>
          <w:lang w:val="en-GB"/>
        </w:rPr>
        <w:t xml:space="preserve"> </w:t>
      </w:r>
      <w:r w:rsidRPr="00F4557E">
        <w:rPr>
          <w:rFonts w:ascii="Arial" w:hAnsi="Arial" w:cs="Arial"/>
          <w:sz w:val="22"/>
          <w:szCs w:val="22"/>
          <w:lang w:val="en-GB"/>
        </w:rPr>
        <w:t>and reported more commonly than in patients receiving placebo.</w:t>
      </w:r>
    </w:p>
    <w:p w14:paraId="712C29CD" w14:textId="77777777" w:rsidR="00F548A0" w:rsidRPr="00F4557E" w:rsidRDefault="00F548A0" w:rsidP="00F4557E">
      <w:pPr>
        <w:rPr>
          <w:rFonts w:ascii="Arial" w:hAnsi="Arial" w:cs="Arial"/>
          <w:i/>
          <w:noProof/>
          <w:sz w:val="22"/>
          <w:szCs w:val="22"/>
        </w:rPr>
      </w:pPr>
    </w:p>
    <w:p w14:paraId="712C29CE" w14:textId="1C22E830" w:rsidR="00F548A0" w:rsidRPr="00F4557E" w:rsidRDefault="004F501C" w:rsidP="00F4557E">
      <w:pPr>
        <w:tabs>
          <w:tab w:val="left" w:pos="540"/>
        </w:tabs>
        <w:autoSpaceDE w:val="0"/>
        <w:autoSpaceDN w:val="0"/>
        <w:adjustRightInd w:val="0"/>
        <w:rPr>
          <w:rFonts w:ascii="Arial" w:hAnsi="Arial" w:cs="Arial"/>
          <w:b/>
          <w:color w:val="000000"/>
          <w:sz w:val="22"/>
          <w:szCs w:val="22"/>
        </w:rPr>
      </w:pPr>
      <w:r w:rsidRPr="00F4557E">
        <w:rPr>
          <w:rFonts w:ascii="Arial" w:hAnsi="Arial" w:cs="Arial"/>
          <w:b/>
          <w:color w:val="000000"/>
          <w:sz w:val="22"/>
          <w:szCs w:val="22"/>
        </w:rPr>
        <w:t xml:space="preserve">Table </w:t>
      </w:r>
      <w:r w:rsidR="00871049" w:rsidRPr="00F4557E">
        <w:rPr>
          <w:rFonts w:ascii="Arial" w:hAnsi="Arial" w:cs="Arial"/>
          <w:b/>
          <w:color w:val="000000"/>
          <w:sz w:val="22"/>
          <w:szCs w:val="22"/>
        </w:rPr>
        <w:t>8</w:t>
      </w:r>
      <w:r w:rsidRPr="00F4557E">
        <w:rPr>
          <w:rFonts w:ascii="Arial" w:hAnsi="Arial" w:cs="Arial"/>
          <w:b/>
          <w:color w:val="000000"/>
          <w:sz w:val="22"/>
          <w:szCs w:val="22"/>
        </w:rPr>
        <w:t xml:space="preserve">: </w:t>
      </w:r>
      <w:r w:rsidR="00233D33" w:rsidRPr="00F4557E">
        <w:rPr>
          <w:rFonts w:ascii="Arial" w:hAnsi="Arial" w:cs="Arial"/>
          <w:b/>
          <w:color w:val="000000"/>
          <w:sz w:val="22"/>
          <w:szCs w:val="22"/>
        </w:rPr>
        <w:t>Incidence of a</w:t>
      </w:r>
      <w:r w:rsidR="00F548A0" w:rsidRPr="00F4557E">
        <w:rPr>
          <w:rFonts w:ascii="Arial" w:hAnsi="Arial" w:cs="Arial"/>
          <w:b/>
          <w:color w:val="000000"/>
          <w:sz w:val="22"/>
          <w:szCs w:val="22"/>
        </w:rPr>
        <w:t xml:space="preserve">dverse drug reactions (≥10%) reported in patients treated with </w:t>
      </w:r>
      <w:r w:rsidR="00601DFC" w:rsidRPr="00F4557E">
        <w:rPr>
          <w:rFonts w:ascii="Arial" w:hAnsi="Arial" w:cs="Arial"/>
          <w:b/>
          <w:color w:val="000000"/>
          <w:sz w:val="22"/>
          <w:szCs w:val="22"/>
        </w:rPr>
        <w:t>STIVARGA</w:t>
      </w:r>
      <w:r w:rsidR="00FF0B8E" w:rsidRPr="00F4557E">
        <w:rPr>
          <w:rFonts w:ascii="Arial" w:hAnsi="Arial" w:cs="Arial"/>
          <w:b/>
          <w:color w:val="000000"/>
          <w:sz w:val="22"/>
          <w:szCs w:val="22"/>
        </w:rPr>
        <w:t xml:space="preserve"> </w:t>
      </w:r>
      <w:r w:rsidR="00F548A0" w:rsidRPr="00F4557E">
        <w:rPr>
          <w:rFonts w:ascii="Arial" w:hAnsi="Arial" w:cs="Arial"/>
          <w:b/>
          <w:color w:val="000000"/>
          <w:sz w:val="22"/>
          <w:szCs w:val="22"/>
        </w:rPr>
        <w:t>and reported more commonly than in patients receiving placebo</w:t>
      </w:r>
      <w:r w:rsidR="00233D33" w:rsidRPr="00F4557E">
        <w:rPr>
          <w:rFonts w:ascii="Arial" w:hAnsi="Arial" w:cs="Arial"/>
          <w:b/>
          <w:color w:val="000000"/>
          <w:sz w:val="22"/>
          <w:szCs w:val="22"/>
        </w:rPr>
        <w:t xml:space="preserve"> (GRID)</w:t>
      </w:r>
    </w:p>
    <w:p w14:paraId="712C29CF" w14:textId="77777777" w:rsidR="00F548A0" w:rsidRPr="00F4557E" w:rsidRDefault="00F548A0" w:rsidP="00F4557E">
      <w:pPr>
        <w:rPr>
          <w:rFonts w:ascii="Arial" w:hAnsi="Arial" w:cs="Arial"/>
          <w:i/>
          <w:noProof/>
          <w:sz w:val="22"/>
          <w:szCs w:val="22"/>
        </w:rPr>
      </w:pPr>
    </w:p>
    <w:tbl>
      <w:tblPr>
        <w:tblW w:w="934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1418"/>
        <w:gridCol w:w="1559"/>
        <w:gridCol w:w="1559"/>
        <w:gridCol w:w="1559"/>
      </w:tblGrid>
      <w:tr w:rsidR="00E177CA" w:rsidRPr="00F4557E" w14:paraId="712C29D6" w14:textId="77777777" w:rsidTr="005E2C3E">
        <w:trPr>
          <w:trHeight w:val="560"/>
          <w:tblHeader/>
        </w:trPr>
        <w:tc>
          <w:tcPr>
            <w:tcW w:w="1740" w:type="pct"/>
            <w:vMerge w:val="restart"/>
            <w:tcBorders>
              <w:top w:val="single" w:sz="4" w:space="0" w:color="auto"/>
              <w:left w:val="single" w:sz="4" w:space="0" w:color="auto"/>
              <w:right w:val="single" w:sz="4" w:space="0" w:color="auto"/>
            </w:tcBorders>
            <w:vAlign w:val="center"/>
          </w:tcPr>
          <w:p w14:paraId="712C29D0" w14:textId="21D65CBB" w:rsidR="00E177CA" w:rsidRPr="00F4557E" w:rsidRDefault="00E177CA" w:rsidP="00F4557E">
            <w:pPr>
              <w:rPr>
                <w:rFonts w:ascii="Arial" w:hAnsi="Arial" w:cs="Arial"/>
                <w:noProof/>
                <w:sz w:val="22"/>
                <w:szCs w:val="22"/>
              </w:rPr>
            </w:pPr>
            <w:r w:rsidRPr="00F4557E">
              <w:rPr>
                <w:rFonts w:ascii="Arial" w:hAnsi="Arial" w:cs="Arial"/>
                <w:b/>
                <w:noProof/>
                <w:sz w:val="22"/>
                <w:szCs w:val="22"/>
              </w:rPr>
              <w:t>System Organ Class</w:t>
            </w:r>
            <w:r w:rsidR="008B739F">
              <w:rPr>
                <w:rFonts w:ascii="Arial" w:hAnsi="Arial" w:cs="Arial"/>
                <w:b/>
                <w:noProof/>
                <w:sz w:val="22"/>
                <w:szCs w:val="22"/>
              </w:rPr>
              <w:t xml:space="preserve"> </w:t>
            </w:r>
            <w:r w:rsidRPr="00F4557E">
              <w:rPr>
                <w:rFonts w:ascii="Arial" w:hAnsi="Arial" w:cs="Arial"/>
                <w:b/>
                <w:noProof/>
                <w:sz w:val="22"/>
                <w:szCs w:val="22"/>
              </w:rPr>
              <w:t>/</w:t>
            </w:r>
            <w:r w:rsidR="008B739F">
              <w:rPr>
                <w:rFonts w:ascii="Arial" w:hAnsi="Arial" w:cs="Arial"/>
                <w:b/>
                <w:noProof/>
                <w:sz w:val="22"/>
                <w:szCs w:val="22"/>
              </w:rPr>
              <w:t xml:space="preserve"> </w:t>
            </w:r>
            <w:r w:rsidRPr="00F4557E">
              <w:rPr>
                <w:rFonts w:ascii="Arial" w:hAnsi="Arial" w:cs="Arial"/>
                <w:b/>
                <w:noProof/>
                <w:sz w:val="22"/>
                <w:szCs w:val="22"/>
              </w:rPr>
              <w:t>Preferred Term</w:t>
            </w:r>
          </w:p>
          <w:p w14:paraId="712C29D1" w14:textId="77777777" w:rsidR="00E177CA" w:rsidRPr="00F4557E" w:rsidRDefault="00E177CA" w:rsidP="00F4557E">
            <w:pPr>
              <w:rPr>
                <w:rFonts w:ascii="Arial" w:hAnsi="Arial" w:cs="Arial"/>
                <w:noProof/>
                <w:sz w:val="22"/>
                <w:szCs w:val="22"/>
              </w:rPr>
            </w:pP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712C29D2" w14:textId="647B848E" w:rsidR="00E177CA" w:rsidRPr="00F4557E" w:rsidRDefault="00E177CA" w:rsidP="001578C7">
            <w:pPr>
              <w:jc w:val="center"/>
              <w:rPr>
                <w:rFonts w:ascii="Arial" w:hAnsi="Arial" w:cs="Arial"/>
                <w:noProof/>
                <w:sz w:val="22"/>
                <w:szCs w:val="22"/>
              </w:rPr>
            </w:pPr>
            <w:r w:rsidRPr="00F4557E">
              <w:rPr>
                <w:rFonts w:ascii="Arial" w:hAnsi="Arial" w:cs="Arial"/>
                <w:b/>
                <w:noProof/>
                <w:sz w:val="22"/>
                <w:szCs w:val="22"/>
              </w:rPr>
              <w:t>STIVARGA plus BSC§</w:t>
            </w:r>
          </w:p>
          <w:p w14:paraId="712C29D3" w14:textId="77777777" w:rsidR="00E177CA" w:rsidRPr="00F4557E" w:rsidRDefault="00E177CA" w:rsidP="001578C7">
            <w:pPr>
              <w:jc w:val="center"/>
              <w:rPr>
                <w:rFonts w:ascii="Arial" w:hAnsi="Arial" w:cs="Arial"/>
                <w:noProof/>
                <w:sz w:val="22"/>
                <w:szCs w:val="22"/>
              </w:rPr>
            </w:pPr>
            <w:r w:rsidRPr="00F4557E">
              <w:rPr>
                <w:rFonts w:ascii="Arial" w:hAnsi="Arial" w:cs="Arial"/>
                <w:b/>
                <w:noProof/>
                <w:sz w:val="22"/>
                <w:szCs w:val="22"/>
              </w:rPr>
              <w:t>(N=132)</w:t>
            </w:r>
          </w:p>
        </w:tc>
        <w:tc>
          <w:tcPr>
            <w:tcW w:w="1668" w:type="pct"/>
            <w:gridSpan w:val="2"/>
            <w:tcBorders>
              <w:top w:val="single" w:sz="4" w:space="0" w:color="auto"/>
              <w:left w:val="single" w:sz="4" w:space="0" w:color="auto"/>
              <w:bottom w:val="single" w:sz="4" w:space="0" w:color="auto"/>
              <w:right w:val="single" w:sz="4" w:space="0" w:color="auto"/>
            </w:tcBorders>
            <w:vAlign w:val="center"/>
          </w:tcPr>
          <w:p w14:paraId="712C29D4" w14:textId="676E4E81" w:rsidR="00E177CA" w:rsidRPr="00F4557E" w:rsidRDefault="00E177CA" w:rsidP="001578C7">
            <w:pPr>
              <w:jc w:val="center"/>
              <w:rPr>
                <w:rFonts w:ascii="Arial" w:hAnsi="Arial" w:cs="Arial"/>
                <w:noProof/>
                <w:sz w:val="22"/>
                <w:szCs w:val="22"/>
              </w:rPr>
            </w:pPr>
            <w:r w:rsidRPr="00F4557E">
              <w:rPr>
                <w:rFonts w:ascii="Arial" w:hAnsi="Arial" w:cs="Arial"/>
                <w:b/>
                <w:noProof/>
                <w:sz w:val="22"/>
                <w:szCs w:val="22"/>
              </w:rPr>
              <w:t>Placebo plus BSC§</w:t>
            </w:r>
          </w:p>
          <w:p w14:paraId="712C29D5" w14:textId="77777777" w:rsidR="00E177CA" w:rsidRPr="00F4557E" w:rsidRDefault="00E177CA" w:rsidP="001578C7">
            <w:pPr>
              <w:jc w:val="center"/>
              <w:rPr>
                <w:rFonts w:ascii="Arial" w:hAnsi="Arial" w:cs="Arial"/>
                <w:noProof/>
                <w:sz w:val="22"/>
                <w:szCs w:val="22"/>
              </w:rPr>
            </w:pPr>
            <w:r w:rsidRPr="00F4557E">
              <w:rPr>
                <w:rFonts w:ascii="Arial" w:hAnsi="Arial" w:cs="Arial"/>
                <w:b/>
                <w:noProof/>
                <w:sz w:val="22"/>
                <w:szCs w:val="22"/>
              </w:rPr>
              <w:t>(N=66)</w:t>
            </w:r>
          </w:p>
        </w:tc>
      </w:tr>
      <w:tr w:rsidR="00E177CA" w:rsidRPr="00F4557E" w14:paraId="712C29DA" w14:textId="77777777" w:rsidTr="005E2C3E">
        <w:trPr>
          <w:trHeight w:val="415"/>
          <w:tblHeader/>
        </w:trPr>
        <w:tc>
          <w:tcPr>
            <w:tcW w:w="1740" w:type="pct"/>
            <w:vMerge/>
            <w:tcBorders>
              <w:left w:val="single" w:sz="4" w:space="0" w:color="auto"/>
              <w:right w:val="single" w:sz="4" w:space="0" w:color="auto"/>
            </w:tcBorders>
            <w:vAlign w:val="center"/>
          </w:tcPr>
          <w:p w14:paraId="712C29D7" w14:textId="77777777" w:rsidR="00E177CA" w:rsidRPr="00F4557E" w:rsidRDefault="00E177CA" w:rsidP="00F4557E">
            <w:pPr>
              <w:rPr>
                <w:rFonts w:ascii="Arial" w:hAnsi="Arial" w:cs="Arial"/>
                <w:noProof/>
                <w:sz w:val="22"/>
                <w:szCs w:val="22"/>
              </w:rPr>
            </w:pP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712C29D8" w14:textId="77777777" w:rsidR="00E177CA" w:rsidRPr="00F4557E" w:rsidRDefault="00E177CA" w:rsidP="001578C7">
            <w:pPr>
              <w:jc w:val="center"/>
              <w:rPr>
                <w:rFonts w:ascii="Arial" w:hAnsi="Arial" w:cs="Arial"/>
                <w:noProof/>
                <w:sz w:val="22"/>
                <w:szCs w:val="22"/>
              </w:rPr>
            </w:pPr>
            <w:r w:rsidRPr="00F4557E">
              <w:rPr>
                <w:rFonts w:ascii="Arial" w:hAnsi="Arial" w:cs="Arial"/>
                <w:b/>
                <w:noProof/>
                <w:sz w:val="22"/>
                <w:szCs w:val="22"/>
              </w:rPr>
              <w:t>Grade</w:t>
            </w:r>
          </w:p>
        </w:tc>
        <w:tc>
          <w:tcPr>
            <w:tcW w:w="1668" w:type="pct"/>
            <w:gridSpan w:val="2"/>
            <w:tcBorders>
              <w:top w:val="single" w:sz="4" w:space="0" w:color="auto"/>
              <w:left w:val="single" w:sz="4" w:space="0" w:color="auto"/>
              <w:bottom w:val="single" w:sz="4" w:space="0" w:color="auto"/>
              <w:right w:val="single" w:sz="4" w:space="0" w:color="auto"/>
            </w:tcBorders>
            <w:vAlign w:val="center"/>
          </w:tcPr>
          <w:p w14:paraId="712C29D9" w14:textId="151CD0B6" w:rsidR="00E177CA" w:rsidRPr="00F4557E" w:rsidRDefault="00E177CA" w:rsidP="001578C7">
            <w:pPr>
              <w:jc w:val="center"/>
              <w:rPr>
                <w:rFonts w:ascii="Arial" w:hAnsi="Arial" w:cs="Arial"/>
                <w:noProof/>
                <w:sz w:val="22"/>
                <w:szCs w:val="22"/>
              </w:rPr>
            </w:pPr>
            <w:r w:rsidRPr="00F4557E">
              <w:rPr>
                <w:rFonts w:ascii="Arial" w:hAnsi="Arial" w:cs="Arial"/>
                <w:b/>
                <w:noProof/>
                <w:sz w:val="22"/>
                <w:szCs w:val="22"/>
              </w:rPr>
              <w:t>Grade</w:t>
            </w:r>
          </w:p>
        </w:tc>
      </w:tr>
      <w:tr w:rsidR="005E2C3E" w:rsidRPr="00F4557E" w14:paraId="712C29E4" w14:textId="77777777" w:rsidTr="005E2C3E">
        <w:trPr>
          <w:trHeight w:val="704"/>
          <w:tblHeader/>
        </w:trPr>
        <w:tc>
          <w:tcPr>
            <w:tcW w:w="1740" w:type="pct"/>
            <w:vMerge/>
            <w:tcBorders>
              <w:left w:val="single" w:sz="4" w:space="0" w:color="auto"/>
              <w:bottom w:val="single" w:sz="4" w:space="0" w:color="auto"/>
              <w:right w:val="single" w:sz="4" w:space="0" w:color="auto"/>
            </w:tcBorders>
            <w:vAlign w:val="center"/>
          </w:tcPr>
          <w:p w14:paraId="712C29DB" w14:textId="77777777" w:rsidR="00352B90" w:rsidRPr="00F4557E" w:rsidRDefault="00352B90" w:rsidP="00F4557E">
            <w:pPr>
              <w:rPr>
                <w:rFonts w:ascii="Arial" w:hAnsi="Arial" w:cs="Arial"/>
                <w:noProof/>
                <w:sz w:val="22"/>
                <w:szCs w:val="22"/>
              </w:rPr>
            </w:pPr>
          </w:p>
        </w:tc>
        <w:tc>
          <w:tcPr>
            <w:tcW w:w="758" w:type="pct"/>
            <w:tcBorders>
              <w:left w:val="single" w:sz="4" w:space="0" w:color="auto"/>
            </w:tcBorders>
            <w:vAlign w:val="center"/>
          </w:tcPr>
          <w:p w14:paraId="712C29DC" w14:textId="1ED54E9A"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All</w:t>
            </w:r>
          </w:p>
          <w:p w14:paraId="712C29DD" w14:textId="77777777"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w:t>
            </w:r>
          </w:p>
        </w:tc>
        <w:tc>
          <w:tcPr>
            <w:tcW w:w="834" w:type="pct"/>
            <w:vAlign w:val="center"/>
          </w:tcPr>
          <w:p w14:paraId="712C29DE" w14:textId="78353E9D"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≥3</w:t>
            </w:r>
          </w:p>
          <w:p w14:paraId="712C29DF" w14:textId="77777777"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w:t>
            </w:r>
          </w:p>
        </w:tc>
        <w:tc>
          <w:tcPr>
            <w:tcW w:w="834" w:type="pct"/>
            <w:vAlign w:val="center"/>
          </w:tcPr>
          <w:p w14:paraId="712C29E0" w14:textId="712D399F"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All</w:t>
            </w:r>
          </w:p>
          <w:p w14:paraId="712C29E1" w14:textId="77777777"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w:t>
            </w:r>
          </w:p>
        </w:tc>
        <w:tc>
          <w:tcPr>
            <w:tcW w:w="834" w:type="pct"/>
            <w:vAlign w:val="center"/>
          </w:tcPr>
          <w:p w14:paraId="712C29E2" w14:textId="77777777"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≥3</w:t>
            </w:r>
          </w:p>
          <w:p w14:paraId="712C29E3" w14:textId="77777777" w:rsidR="00352B90" w:rsidRPr="00F4557E" w:rsidRDefault="00352B90" w:rsidP="001578C7">
            <w:pPr>
              <w:jc w:val="center"/>
              <w:rPr>
                <w:rFonts w:ascii="Arial" w:hAnsi="Arial" w:cs="Arial"/>
                <w:noProof/>
                <w:sz w:val="22"/>
                <w:szCs w:val="22"/>
              </w:rPr>
            </w:pPr>
            <w:r w:rsidRPr="00F4557E">
              <w:rPr>
                <w:rFonts w:ascii="Arial" w:hAnsi="Arial" w:cs="Arial"/>
                <w:b/>
                <w:noProof/>
                <w:sz w:val="22"/>
                <w:szCs w:val="22"/>
              </w:rPr>
              <w:t>%</w:t>
            </w:r>
          </w:p>
        </w:tc>
      </w:tr>
      <w:tr w:rsidR="005E2C3E" w:rsidRPr="00F4557E" w14:paraId="712C2A06" w14:textId="77777777" w:rsidTr="005E2C3E">
        <w:trPr>
          <w:trHeight w:val="298"/>
        </w:trPr>
        <w:tc>
          <w:tcPr>
            <w:tcW w:w="1740" w:type="pct"/>
            <w:vAlign w:val="bottom"/>
          </w:tcPr>
          <w:p w14:paraId="712C29E5"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General disorders and administration site conditions</w:t>
            </w:r>
          </w:p>
          <w:p w14:paraId="712C29E6"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Asthenia/Fatigue</w:t>
            </w:r>
          </w:p>
          <w:p w14:paraId="712C29E7"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Mucosal inflammation</w:t>
            </w:r>
          </w:p>
          <w:p w14:paraId="712C29E8"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Pain</w:t>
            </w:r>
          </w:p>
          <w:p w14:paraId="712C29E9"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Fever</w:t>
            </w:r>
          </w:p>
        </w:tc>
        <w:tc>
          <w:tcPr>
            <w:tcW w:w="758" w:type="pct"/>
            <w:vAlign w:val="bottom"/>
          </w:tcPr>
          <w:p w14:paraId="712C29EA" w14:textId="77777777" w:rsidR="00352B90" w:rsidRPr="00F4557E" w:rsidRDefault="00352B90" w:rsidP="001578C7">
            <w:pPr>
              <w:jc w:val="center"/>
              <w:rPr>
                <w:rFonts w:ascii="Arial" w:hAnsi="Arial" w:cs="Arial"/>
                <w:noProof/>
                <w:sz w:val="22"/>
                <w:szCs w:val="22"/>
              </w:rPr>
            </w:pPr>
          </w:p>
          <w:p w14:paraId="712C29EB" w14:textId="77777777" w:rsidR="00352B90" w:rsidRPr="00F4557E" w:rsidRDefault="00352B90" w:rsidP="001578C7">
            <w:pPr>
              <w:jc w:val="center"/>
              <w:rPr>
                <w:rFonts w:ascii="Arial" w:hAnsi="Arial" w:cs="Arial"/>
                <w:noProof/>
                <w:sz w:val="22"/>
                <w:szCs w:val="22"/>
              </w:rPr>
            </w:pPr>
          </w:p>
          <w:p w14:paraId="712C29EC" w14:textId="77777777" w:rsidR="00352B90" w:rsidRPr="00F4557E" w:rsidRDefault="00352B90" w:rsidP="001578C7">
            <w:pPr>
              <w:jc w:val="center"/>
              <w:rPr>
                <w:rFonts w:ascii="Arial" w:hAnsi="Arial" w:cs="Arial"/>
                <w:noProof/>
                <w:sz w:val="22"/>
                <w:szCs w:val="22"/>
              </w:rPr>
            </w:pPr>
          </w:p>
          <w:p w14:paraId="712C29ED"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52</w:t>
            </w:r>
          </w:p>
          <w:p w14:paraId="712C29EE"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17</w:t>
            </w:r>
          </w:p>
          <w:p w14:paraId="712C29EF" w14:textId="02324678" w:rsidR="00352B90" w:rsidRPr="00F4557E" w:rsidRDefault="00642F10" w:rsidP="001578C7">
            <w:pPr>
              <w:jc w:val="center"/>
              <w:rPr>
                <w:rFonts w:ascii="Arial" w:hAnsi="Arial" w:cs="Arial"/>
                <w:noProof/>
                <w:sz w:val="22"/>
                <w:szCs w:val="22"/>
              </w:rPr>
            </w:pPr>
            <w:r w:rsidRPr="00F4557E">
              <w:rPr>
                <w:rFonts w:ascii="Arial" w:hAnsi="Arial" w:cs="Arial"/>
                <w:noProof/>
                <w:sz w:val="22"/>
                <w:szCs w:val="22"/>
              </w:rPr>
              <w:t>60</w:t>
            </w:r>
          </w:p>
          <w:p w14:paraId="712C29F0"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21</w:t>
            </w:r>
          </w:p>
        </w:tc>
        <w:tc>
          <w:tcPr>
            <w:tcW w:w="834" w:type="pct"/>
            <w:vAlign w:val="bottom"/>
          </w:tcPr>
          <w:p w14:paraId="712C29F1" w14:textId="77777777" w:rsidR="00352B90" w:rsidRPr="00F4557E" w:rsidRDefault="00352B90" w:rsidP="001578C7">
            <w:pPr>
              <w:jc w:val="center"/>
              <w:rPr>
                <w:rFonts w:ascii="Arial" w:hAnsi="Arial" w:cs="Arial"/>
                <w:noProof/>
                <w:sz w:val="22"/>
                <w:szCs w:val="22"/>
              </w:rPr>
            </w:pPr>
          </w:p>
          <w:p w14:paraId="712C29F2" w14:textId="77777777" w:rsidR="00352B90" w:rsidRPr="00F4557E" w:rsidRDefault="00352B90" w:rsidP="001578C7">
            <w:pPr>
              <w:jc w:val="center"/>
              <w:rPr>
                <w:rFonts w:ascii="Arial" w:hAnsi="Arial" w:cs="Arial"/>
                <w:noProof/>
                <w:sz w:val="22"/>
                <w:szCs w:val="22"/>
              </w:rPr>
            </w:pPr>
          </w:p>
          <w:p w14:paraId="712C29F3" w14:textId="77777777" w:rsidR="00352B90" w:rsidRPr="00F4557E" w:rsidRDefault="00352B90" w:rsidP="001578C7">
            <w:pPr>
              <w:jc w:val="center"/>
              <w:rPr>
                <w:rFonts w:ascii="Arial" w:hAnsi="Arial" w:cs="Arial"/>
                <w:noProof/>
                <w:sz w:val="22"/>
                <w:szCs w:val="22"/>
              </w:rPr>
            </w:pPr>
          </w:p>
          <w:p w14:paraId="712C29F4"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4</w:t>
            </w:r>
          </w:p>
          <w:p w14:paraId="712C29F5"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9F6" w14:textId="5DC61294" w:rsidR="00352B90" w:rsidRPr="00F4557E" w:rsidRDefault="00642F10" w:rsidP="001578C7">
            <w:pPr>
              <w:jc w:val="center"/>
              <w:rPr>
                <w:rFonts w:ascii="Arial" w:hAnsi="Arial" w:cs="Arial"/>
                <w:noProof/>
                <w:sz w:val="22"/>
                <w:szCs w:val="22"/>
              </w:rPr>
            </w:pPr>
            <w:r w:rsidRPr="00F4557E">
              <w:rPr>
                <w:rFonts w:ascii="Arial" w:hAnsi="Arial" w:cs="Arial"/>
                <w:noProof/>
                <w:sz w:val="22"/>
                <w:szCs w:val="22"/>
              </w:rPr>
              <w:t>8</w:t>
            </w:r>
          </w:p>
          <w:p w14:paraId="712C29F7"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c>
          <w:tcPr>
            <w:tcW w:w="834" w:type="pct"/>
            <w:vAlign w:val="bottom"/>
          </w:tcPr>
          <w:p w14:paraId="712C29F8" w14:textId="56ABBD61" w:rsidR="00352B90" w:rsidRPr="00F4557E" w:rsidRDefault="00352B90" w:rsidP="001578C7">
            <w:pPr>
              <w:jc w:val="center"/>
              <w:rPr>
                <w:rFonts w:ascii="Arial" w:hAnsi="Arial" w:cs="Arial"/>
                <w:noProof/>
                <w:sz w:val="22"/>
                <w:szCs w:val="22"/>
              </w:rPr>
            </w:pPr>
          </w:p>
          <w:p w14:paraId="712C29F9" w14:textId="77777777" w:rsidR="00352B90" w:rsidRPr="00F4557E" w:rsidRDefault="00352B90" w:rsidP="001578C7">
            <w:pPr>
              <w:jc w:val="center"/>
              <w:rPr>
                <w:rFonts w:ascii="Arial" w:hAnsi="Arial" w:cs="Arial"/>
                <w:noProof/>
                <w:sz w:val="22"/>
                <w:szCs w:val="22"/>
              </w:rPr>
            </w:pPr>
          </w:p>
          <w:p w14:paraId="712C29FA" w14:textId="77777777" w:rsidR="00352B90" w:rsidRPr="00F4557E" w:rsidRDefault="00352B90" w:rsidP="001578C7">
            <w:pPr>
              <w:jc w:val="center"/>
              <w:rPr>
                <w:rFonts w:ascii="Arial" w:hAnsi="Arial" w:cs="Arial"/>
                <w:noProof/>
                <w:sz w:val="22"/>
                <w:szCs w:val="22"/>
              </w:rPr>
            </w:pPr>
          </w:p>
          <w:p w14:paraId="712C29FB"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39</w:t>
            </w:r>
          </w:p>
          <w:p w14:paraId="712C29FC"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9FD" w14:textId="12C39F52" w:rsidR="00352B90" w:rsidRPr="00F4557E" w:rsidRDefault="00642F10" w:rsidP="001578C7">
            <w:pPr>
              <w:jc w:val="center"/>
              <w:rPr>
                <w:rFonts w:ascii="Arial" w:hAnsi="Arial" w:cs="Arial"/>
                <w:noProof/>
                <w:sz w:val="22"/>
                <w:szCs w:val="22"/>
              </w:rPr>
            </w:pPr>
            <w:r w:rsidRPr="00F4557E">
              <w:rPr>
                <w:rFonts w:ascii="Arial" w:hAnsi="Arial" w:cs="Arial"/>
                <w:noProof/>
                <w:sz w:val="22"/>
                <w:szCs w:val="22"/>
              </w:rPr>
              <w:t>55</w:t>
            </w:r>
          </w:p>
          <w:p w14:paraId="712C29FE"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11</w:t>
            </w:r>
          </w:p>
        </w:tc>
        <w:tc>
          <w:tcPr>
            <w:tcW w:w="834" w:type="pct"/>
            <w:vAlign w:val="bottom"/>
          </w:tcPr>
          <w:p w14:paraId="712C29FF" w14:textId="77777777" w:rsidR="00352B90" w:rsidRPr="00F4557E" w:rsidRDefault="00352B90" w:rsidP="001578C7">
            <w:pPr>
              <w:jc w:val="center"/>
              <w:rPr>
                <w:rFonts w:ascii="Arial" w:hAnsi="Arial" w:cs="Arial"/>
                <w:noProof/>
                <w:sz w:val="22"/>
                <w:szCs w:val="22"/>
              </w:rPr>
            </w:pPr>
          </w:p>
          <w:p w14:paraId="712C2A00" w14:textId="77777777" w:rsidR="00352B90" w:rsidRPr="00F4557E" w:rsidRDefault="00352B90" w:rsidP="001578C7">
            <w:pPr>
              <w:jc w:val="center"/>
              <w:rPr>
                <w:rFonts w:ascii="Arial" w:hAnsi="Arial" w:cs="Arial"/>
                <w:noProof/>
                <w:sz w:val="22"/>
                <w:szCs w:val="22"/>
              </w:rPr>
            </w:pPr>
          </w:p>
          <w:p w14:paraId="712C2A01" w14:textId="77777777" w:rsidR="00352B90" w:rsidRPr="00F4557E" w:rsidRDefault="00352B90" w:rsidP="001578C7">
            <w:pPr>
              <w:jc w:val="center"/>
              <w:rPr>
                <w:rFonts w:ascii="Arial" w:hAnsi="Arial" w:cs="Arial"/>
                <w:noProof/>
                <w:sz w:val="22"/>
                <w:szCs w:val="22"/>
              </w:rPr>
            </w:pPr>
          </w:p>
          <w:p w14:paraId="712C2A02"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A03"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p w14:paraId="712C2A04" w14:textId="75C3D850" w:rsidR="00352B90" w:rsidRPr="00F4557E" w:rsidRDefault="00642F10" w:rsidP="001578C7">
            <w:pPr>
              <w:jc w:val="center"/>
              <w:rPr>
                <w:rFonts w:ascii="Arial" w:hAnsi="Arial" w:cs="Arial"/>
                <w:noProof/>
                <w:sz w:val="22"/>
                <w:szCs w:val="22"/>
              </w:rPr>
            </w:pPr>
            <w:r w:rsidRPr="00F4557E">
              <w:rPr>
                <w:rFonts w:ascii="Arial" w:hAnsi="Arial" w:cs="Arial"/>
                <w:noProof/>
                <w:sz w:val="22"/>
                <w:szCs w:val="22"/>
              </w:rPr>
              <w:t>14</w:t>
            </w:r>
          </w:p>
          <w:p w14:paraId="712C2A05"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tc>
      </w:tr>
      <w:tr w:rsidR="005E2C3E" w:rsidRPr="00F4557E" w14:paraId="712C2A1A" w14:textId="77777777" w:rsidTr="005E2C3E">
        <w:trPr>
          <w:trHeight w:val="576"/>
        </w:trPr>
        <w:tc>
          <w:tcPr>
            <w:tcW w:w="1740" w:type="pct"/>
            <w:vAlign w:val="bottom"/>
          </w:tcPr>
          <w:p w14:paraId="712C2A07" w14:textId="696CFA6D" w:rsidR="00352B90" w:rsidRPr="00F4557E" w:rsidRDefault="00352B90" w:rsidP="00F4557E">
            <w:pPr>
              <w:rPr>
                <w:rFonts w:ascii="Arial" w:hAnsi="Arial" w:cs="Arial"/>
                <w:noProof/>
                <w:sz w:val="22"/>
                <w:szCs w:val="22"/>
              </w:rPr>
            </w:pPr>
            <w:r w:rsidRPr="00F4557E">
              <w:rPr>
                <w:rFonts w:ascii="Arial" w:hAnsi="Arial" w:cs="Arial"/>
                <w:b/>
                <w:noProof/>
                <w:sz w:val="22"/>
                <w:szCs w:val="22"/>
              </w:rPr>
              <w:t xml:space="preserve">Metabolism and nutrition disorders </w:t>
            </w:r>
          </w:p>
          <w:p w14:paraId="712C2A08"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 xml:space="preserve">Decreased appetite and food intake </w:t>
            </w:r>
          </w:p>
          <w:p w14:paraId="712C2A09"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Hypothyroidism</w:t>
            </w:r>
          </w:p>
        </w:tc>
        <w:tc>
          <w:tcPr>
            <w:tcW w:w="758" w:type="pct"/>
            <w:vAlign w:val="bottom"/>
          </w:tcPr>
          <w:p w14:paraId="712C2A0A" w14:textId="77777777" w:rsidR="00352B90" w:rsidRPr="00F4557E" w:rsidRDefault="00352B90" w:rsidP="001578C7">
            <w:pPr>
              <w:jc w:val="center"/>
              <w:rPr>
                <w:rFonts w:ascii="Arial" w:hAnsi="Arial" w:cs="Arial"/>
                <w:noProof/>
                <w:sz w:val="22"/>
                <w:szCs w:val="22"/>
              </w:rPr>
            </w:pPr>
          </w:p>
          <w:p w14:paraId="712C2A0B"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31</w:t>
            </w:r>
          </w:p>
          <w:p w14:paraId="712C2A0C" w14:textId="77777777" w:rsidR="00352B90" w:rsidRPr="00F4557E" w:rsidRDefault="00352B90" w:rsidP="001578C7">
            <w:pPr>
              <w:jc w:val="center"/>
              <w:rPr>
                <w:rFonts w:ascii="Arial" w:hAnsi="Arial" w:cs="Arial"/>
                <w:noProof/>
                <w:sz w:val="22"/>
                <w:szCs w:val="22"/>
              </w:rPr>
            </w:pPr>
          </w:p>
          <w:p w14:paraId="712C2A0D"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13</w:t>
            </w:r>
          </w:p>
        </w:tc>
        <w:tc>
          <w:tcPr>
            <w:tcW w:w="834" w:type="pct"/>
            <w:vAlign w:val="bottom"/>
          </w:tcPr>
          <w:p w14:paraId="712C2A0E" w14:textId="77777777" w:rsidR="00352B90" w:rsidRPr="00F4557E" w:rsidRDefault="00352B90" w:rsidP="001578C7">
            <w:pPr>
              <w:jc w:val="center"/>
              <w:rPr>
                <w:rFonts w:ascii="Arial" w:hAnsi="Arial" w:cs="Arial"/>
                <w:noProof/>
                <w:sz w:val="22"/>
                <w:szCs w:val="22"/>
              </w:rPr>
            </w:pPr>
          </w:p>
          <w:p w14:paraId="712C2A0F"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&lt;1</w:t>
            </w:r>
          </w:p>
          <w:p w14:paraId="712C2A10" w14:textId="77777777" w:rsidR="00352B90" w:rsidRPr="00F4557E" w:rsidRDefault="00352B90" w:rsidP="001578C7">
            <w:pPr>
              <w:jc w:val="center"/>
              <w:rPr>
                <w:rFonts w:ascii="Arial" w:hAnsi="Arial" w:cs="Arial"/>
                <w:noProof/>
                <w:sz w:val="22"/>
                <w:szCs w:val="22"/>
              </w:rPr>
            </w:pPr>
          </w:p>
          <w:p w14:paraId="712C2A11"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c>
          <w:tcPr>
            <w:tcW w:w="834" w:type="pct"/>
            <w:vAlign w:val="bottom"/>
          </w:tcPr>
          <w:p w14:paraId="712C2A12" w14:textId="77FB7681" w:rsidR="00352B90" w:rsidRPr="00F4557E" w:rsidRDefault="00352B90" w:rsidP="001578C7">
            <w:pPr>
              <w:jc w:val="center"/>
              <w:rPr>
                <w:rFonts w:ascii="Arial" w:hAnsi="Arial" w:cs="Arial"/>
                <w:noProof/>
                <w:sz w:val="22"/>
                <w:szCs w:val="22"/>
              </w:rPr>
            </w:pPr>
          </w:p>
          <w:p w14:paraId="712C2A13"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21</w:t>
            </w:r>
          </w:p>
          <w:p w14:paraId="712C2A14" w14:textId="77777777" w:rsidR="00352B90" w:rsidRPr="00F4557E" w:rsidRDefault="00352B90" w:rsidP="001578C7">
            <w:pPr>
              <w:jc w:val="center"/>
              <w:rPr>
                <w:rFonts w:ascii="Arial" w:hAnsi="Arial" w:cs="Arial"/>
                <w:noProof/>
                <w:sz w:val="22"/>
                <w:szCs w:val="22"/>
              </w:rPr>
            </w:pPr>
          </w:p>
          <w:p w14:paraId="712C2A15"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w:t>
            </w:r>
          </w:p>
        </w:tc>
        <w:tc>
          <w:tcPr>
            <w:tcW w:w="834" w:type="pct"/>
            <w:vAlign w:val="bottom"/>
          </w:tcPr>
          <w:p w14:paraId="712C2A16" w14:textId="77777777" w:rsidR="00352B90" w:rsidRPr="00F4557E" w:rsidRDefault="00352B90" w:rsidP="001578C7">
            <w:pPr>
              <w:jc w:val="center"/>
              <w:rPr>
                <w:rFonts w:ascii="Arial" w:hAnsi="Arial" w:cs="Arial"/>
                <w:noProof/>
                <w:sz w:val="22"/>
                <w:szCs w:val="22"/>
              </w:rPr>
            </w:pPr>
          </w:p>
          <w:p w14:paraId="712C2A17"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w:t>
            </w:r>
          </w:p>
          <w:p w14:paraId="712C2A18" w14:textId="77777777" w:rsidR="00352B90" w:rsidRPr="00F4557E" w:rsidRDefault="00352B90" w:rsidP="001578C7">
            <w:pPr>
              <w:jc w:val="center"/>
              <w:rPr>
                <w:rFonts w:ascii="Arial" w:hAnsi="Arial" w:cs="Arial"/>
                <w:noProof/>
                <w:sz w:val="22"/>
                <w:szCs w:val="22"/>
              </w:rPr>
            </w:pPr>
          </w:p>
          <w:p w14:paraId="712C2A19"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2F" w14:textId="77777777" w:rsidTr="005E2C3E">
        <w:trPr>
          <w:trHeight w:val="576"/>
        </w:trPr>
        <w:tc>
          <w:tcPr>
            <w:tcW w:w="1740" w:type="pct"/>
            <w:vAlign w:val="bottom"/>
          </w:tcPr>
          <w:p w14:paraId="712C2A1B" w14:textId="72244B0F" w:rsidR="00352B90" w:rsidRPr="00F4557E" w:rsidRDefault="00352B90" w:rsidP="00F4557E">
            <w:pPr>
              <w:rPr>
                <w:rFonts w:ascii="Arial" w:hAnsi="Arial" w:cs="Arial"/>
                <w:noProof/>
                <w:sz w:val="22"/>
                <w:szCs w:val="22"/>
              </w:rPr>
            </w:pPr>
            <w:r w:rsidRPr="00F4557E">
              <w:rPr>
                <w:rFonts w:ascii="Arial" w:hAnsi="Arial" w:cs="Arial"/>
                <w:b/>
                <w:noProof/>
                <w:sz w:val="22"/>
                <w:szCs w:val="22"/>
              </w:rPr>
              <w:t>Skin and subcutaneous tissue disorders</w:t>
            </w:r>
          </w:p>
          <w:p w14:paraId="712C2A1C"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HFSR/PPE</w:t>
            </w:r>
          </w:p>
          <w:p w14:paraId="712C2A1D"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Rash</w:t>
            </w:r>
          </w:p>
          <w:p w14:paraId="712C2A1E"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lastRenderedPageBreak/>
              <w:t xml:space="preserve">Alopecia </w:t>
            </w:r>
          </w:p>
        </w:tc>
        <w:tc>
          <w:tcPr>
            <w:tcW w:w="758" w:type="pct"/>
            <w:vAlign w:val="bottom"/>
          </w:tcPr>
          <w:p w14:paraId="712C2A1F" w14:textId="77777777" w:rsidR="00352B90" w:rsidRPr="00F4557E" w:rsidRDefault="00352B90" w:rsidP="001578C7">
            <w:pPr>
              <w:jc w:val="center"/>
              <w:rPr>
                <w:rFonts w:ascii="Arial" w:hAnsi="Arial" w:cs="Arial"/>
                <w:noProof/>
                <w:sz w:val="22"/>
                <w:szCs w:val="22"/>
              </w:rPr>
            </w:pPr>
          </w:p>
          <w:p w14:paraId="712C2A20"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67</w:t>
            </w:r>
          </w:p>
          <w:p w14:paraId="712C2A21"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30</w:t>
            </w:r>
          </w:p>
          <w:p w14:paraId="712C2A22"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24</w:t>
            </w:r>
          </w:p>
        </w:tc>
        <w:tc>
          <w:tcPr>
            <w:tcW w:w="834" w:type="pct"/>
            <w:vAlign w:val="bottom"/>
          </w:tcPr>
          <w:p w14:paraId="712C2A23" w14:textId="77777777" w:rsidR="00352B90" w:rsidRPr="00F4557E" w:rsidRDefault="00352B90" w:rsidP="001578C7">
            <w:pPr>
              <w:jc w:val="center"/>
              <w:rPr>
                <w:rFonts w:ascii="Arial" w:hAnsi="Arial" w:cs="Arial"/>
                <w:noProof/>
                <w:sz w:val="22"/>
                <w:szCs w:val="22"/>
              </w:rPr>
            </w:pPr>
          </w:p>
          <w:p w14:paraId="712C2A24"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22</w:t>
            </w:r>
          </w:p>
          <w:p w14:paraId="712C2A25"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7</w:t>
            </w:r>
          </w:p>
          <w:p w14:paraId="712C2A26"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tc>
        <w:tc>
          <w:tcPr>
            <w:tcW w:w="834" w:type="pct"/>
            <w:vAlign w:val="bottom"/>
          </w:tcPr>
          <w:p w14:paraId="712C2A27" w14:textId="252DF99E" w:rsidR="00352B90" w:rsidRPr="00F4557E" w:rsidRDefault="00352B90" w:rsidP="001578C7">
            <w:pPr>
              <w:jc w:val="center"/>
              <w:rPr>
                <w:rFonts w:ascii="Arial" w:hAnsi="Arial" w:cs="Arial"/>
                <w:noProof/>
                <w:sz w:val="22"/>
                <w:szCs w:val="22"/>
              </w:rPr>
            </w:pPr>
          </w:p>
          <w:p w14:paraId="712C2A28"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15</w:t>
            </w:r>
          </w:p>
          <w:p w14:paraId="712C2A29"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w:t>
            </w:r>
          </w:p>
          <w:p w14:paraId="712C2A2A"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tc>
        <w:tc>
          <w:tcPr>
            <w:tcW w:w="834" w:type="pct"/>
            <w:vAlign w:val="bottom"/>
          </w:tcPr>
          <w:p w14:paraId="712C2A2B" w14:textId="77777777" w:rsidR="00352B90" w:rsidRPr="00F4557E" w:rsidRDefault="00352B90" w:rsidP="001578C7">
            <w:pPr>
              <w:jc w:val="center"/>
              <w:rPr>
                <w:rFonts w:ascii="Arial" w:hAnsi="Arial" w:cs="Arial"/>
                <w:noProof/>
                <w:sz w:val="22"/>
                <w:szCs w:val="22"/>
              </w:rPr>
            </w:pPr>
          </w:p>
          <w:p w14:paraId="712C2A2C"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A2D"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p w14:paraId="712C2A2E"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45" w14:textId="77777777" w:rsidTr="005E2C3E">
        <w:trPr>
          <w:cantSplit/>
          <w:trHeight w:val="576"/>
        </w:trPr>
        <w:tc>
          <w:tcPr>
            <w:tcW w:w="1740" w:type="pct"/>
            <w:vAlign w:val="bottom"/>
          </w:tcPr>
          <w:p w14:paraId="712C2A30" w14:textId="00315E75" w:rsidR="00352B90" w:rsidRPr="00F4557E" w:rsidRDefault="00352B90" w:rsidP="00F4557E">
            <w:pPr>
              <w:rPr>
                <w:rFonts w:ascii="Arial" w:hAnsi="Arial" w:cs="Arial"/>
                <w:noProof/>
                <w:sz w:val="22"/>
                <w:szCs w:val="22"/>
              </w:rPr>
            </w:pPr>
            <w:r w:rsidRPr="00F4557E">
              <w:rPr>
                <w:rFonts w:ascii="Arial" w:hAnsi="Arial" w:cs="Arial"/>
                <w:b/>
                <w:noProof/>
                <w:sz w:val="22"/>
                <w:szCs w:val="22"/>
              </w:rPr>
              <w:lastRenderedPageBreak/>
              <w:t>Gastrointestinal disorders</w:t>
            </w:r>
          </w:p>
          <w:p w14:paraId="712C2A31"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Diarrhoea</w:t>
            </w:r>
          </w:p>
          <w:p w14:paraId="712C2A32"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Stomatitis</w:t>
            </w:r>
          </w:p>
          <w:p w14:paraId="712C2A33"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Nausea</w:t>
            </w:r>
          </w:p>
          <w:p w14:paraId="712C2A34"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Vomiting</w:t>
            </w:r>
          </w:p>
        </w:tc>
        <w:tc>
          <w:tcPr>
            <w:tcW w:w="758" w:type="pct"/>
            <w:vAlign w:val="bottom"/>
          </w:tcPr>
          <w:p w14:paraId="712C2A35"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47</w:t>
            </w:r>
          </w:p>
          <w:p w14:paraId="712C2A36"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25</w:t>
            </w:r>
          </w:p>
          <w:p w14:paraId="712C2A37"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20</w:t>
            </w:r>
          </w:p>
          <w:p w14:paraId="712C2A38"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17</w:t>
            </w:r>
          </w:p>
        </w:tc>
        <w:tc>
          <w:tcPr>
            <w:tcW w:w="834" w:type="pct"/>
            <w:vAlign w:val="bottom"/>
          </w:tcPr>
          <w:p w14:paraId="712C2A39"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8</w:t>
            </w:r>
          </w:p>
          <w:p w14:paraId="712C2A3A"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p w14:paraId="712C2A3B"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A3C"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&lt;1</w:t>
            </w:r>
          </w:p>
        </w:tc>
        <w:tc>
          <w:tcPr>
            <w:tcW w:w="834" w:type="pct"/>
            <w:vAlign w:val="bottom"/>
          </w:tcPr>
          <w:p w14:paraId="712C2A3D" w14:textId="48A0CC61"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9</w:t>
            </w:r>
          </w:p>
          <w:p w14:paraId="712C2A3E"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6</w:t>
            </w:r>
          </w:p>
          <w:p w14:paraId="712C2A3F"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12</w:t>
            </w:r>
          </w:p>
          <w:p w14:paraId="712C2A40"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8</w:t>
            </w:r>
          </w:p>
        </w:tc>
        <w:tc>
          <w:tcPr>
            <w:tcW w:w="834" w:type="pct"/>
            <w:vAlign w:val="bottom"/>
          </w:tcPr>
          <w:p w14:paraId="712C2A41"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p w14:paraId="712C2A42"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A43"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p w14:paraId="712C2A44"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4C" w14:textId="77777777" w:rsidTr="005E2C3E">
        <w:trPr>
          <w:trHeight w:val="432"/>
        </w:trPr>
        <w:tc>
          <w:tcPr>
            <w:tcW w:w="1740" w:type="pct"/>
            <w:vAlign w:val="bottom"/>
          </w:tcPr>
          <w:p w14:paraId="712C2A46" w14:textId="05848590" w:rsidR="00352B90" w:rsidRPr="00F4557E" w:rsidRDefault="00352B90" w:rsidP="00F4557E">
            <w:pPr>
              <w:rPr>
                <w:rFonts w:ascii="Arial" w:hAnsi="Arial" w:cs="Arial"/>
                <w:noProof/>
                <w:sz w:val="22"/>
                <w:szCs w:val="22"/>
              </w:rPr>
            </w:pPr>
            <w:r w:rsidRPr="00F4557E">
              <w:rPr>
                <w:rFonts w:ascii="Arial" w:hAnsi="Arial" w:cs="Arial"/>
                <w:b/>
                <w:noProof/>
                <w:sz w:val="22"/>
                <w:szCs w:val="22"/>
              </w:rPr>
              <w:t>Investigations</w:t>
            </w:r>
          </w:p>
          <w:p w14:paraId="712C2A47"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Weight loss</w:t>
            </w:r>
          </w:p>
        </w:tc>
        <w:tc>
          <w:tcPr>
            <w:tcW w:w="758" w:type="pct"/>
            <w:vAlign w:val="bottom"/>
          </w:tcPr>
          <w:p w14:paraId="712C2A48"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14</w:t>
            </w:r>
          </w:p>
        </w:tc>
        <w:tc>
          <w:tcPr>
            <w:tcW w:w="834" w:type="pct"/>
            <w:vAlign w:val="bottom"/>
          </w:tcPr>
          <w:p w14:paraId="712C2A49"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c>
          <w:tcPr>
            <w:tcW w:w="834" w:type="pct"/>
            <w:vAlign w:val="bottom"/>
          </w:tcPr>
          <w:p w14:paraId="712C2A4A" w14:textId="77799DF3"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8</w:t>
            </w:r>
          </w:p>
        </w:tc>
        <w:tc>
          <w:tcPr>
            <w:tcW w:w="834" w:type="pct"/>
            <w:vAlign w:val="bottom"/>
          </w:tcPr>
          <w:p w14:paraId="712C2A4B"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53" w14:textId="77777777" w:rsidTr="005E2C3E">
        <w:trPr>
          <w:trHeight w:val="432"/>
        </w:trPr>
        <w:tc>
          <w:tcPr>
            <w:tcW w:w="1740" w:type="pct"/>
            <w:tcBorders>
              <w:top w:val="single" w:sz="4" w:space="0" w:color="auto"/>
            </w:tcBorders>
            <w:vAlign w:val="bottom"/>
          </w:tcPr>
          <w:p w14:paraId="712C2A4D"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 xml:space="preserve">Infections and infestations </w:t>
            </w:r>
          </w:p>
          <w:p w14:paraId="712C2A4E"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Infection</w:t>
            </w:r>
          </w:p>
        </w:tc>
        <w:tc>
          <w:tcPr>
            <w:tcW w:w="758" w:type="pct"/>
            <w:vAlign w:val="bottom"/>
          </w:tcPr>
          <w:p w14:paraId="712C2A4F"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32</w:t>
            </w:r>
          </w:p>
        </w:tc>
        <w:tc>
          <w:tcPr>
            <w:tcW w:w="834" w:type="pct"/>
            <w:vAlign w:val="bottom"/>
          </w:tcPr>
          <w:p w14:paraId="712C2A50" w14:textId="65E479B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5</w:t>
            </w:r>
          </w:p>
        </w:tc>
        <w:tc>
          <w:tcPr>
            <w:tcW w:w="834" w:type="pct"/>
            <w:vAlign w:val="bottom"/>
          </w:tcPr>
          <w:p w14:paraId="712C2A51" w14:textId="0AA1998A"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5</w:t>
            </w:r>
          </w:p>
        </w:tc>
        <w:tc>
          <w:tcPr>
            <w:tcW w:w="834" w:type="pct"/>
            <w:vAlign w:val="bottom"/>
          </w:tcPr>
          <w:p w14:paraId="712C2A52"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5F" w14:textId="77777777" w:rsidTr="005E2C3E">
        <w:trPr>
          <w:trHeight w:val="576"/>
        </w:trPr>
        <w:tc>
          <w:tcPr>
            <w:tcW w:w="1740" w:type="pct"/>
            <w:vAlign w:val="bottom"/>
          </w:tcPr>
          <w:p w14:paraId="712C2A54"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Vascular disorders</w:t>
            </w:r>
          </w:p>
          <w:p w14:paraId="712C2A55"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 xml:space="preserve">Hypertension </w:t>
            </w:r>
          </w:p>
          <w:p w14:paraId="712C2A56"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Haemorrhage*</w:t>
            </w:r>
          </w:p>
        </w:tc>
        <w:tc>
          <w:tcPr>
            <w:tcW w:w="758" w:type="pct"/>
            <w:vAlign w:val="bottom"/>
          </w:tcPr>
          <w:p w14:paraId="712C2A57" w14:textId="4B59B480" w:rsidR="00352B90" w:rsidRPr="00F4557E" w:rsidRDefault="00F40B7E" w:rsidP="001578C7">
            <w:pPr>
              <w:jc w:val="center"/>
              <w:rPr>
                <w:rFonts w:ascii="Arial" w:hAnsi="Arial" w:cs="Arial"/>
                <w:noProof/>
                <w:sz w:val="22"/>
                <w:szCs w:val="22"/>
              </w:rPr>
            </w:pPr>
            <w:r w:rsidRPr="00F4557E">
              <w:rPr>
                <w:rFonts w:ascii="Arial" w:hAnsi="Arial" w:cs="Arial"/>
                <w:noProof/>
                <w:sz w:val="22"/>
                <w:szCs w:val="22"/>
              </w:rPr>
              <w:t>61</w:t>
            </w:r>
          </w:p>
          <w:p w14:paraId="712C2A58"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11</w:t>
            </w:r>
          </w:p>
        </w:tc>
        <w:tc>
          <w:tcPr>
            <w:tcW w:w="834" w:type="pct"/>
            <w:vAlign w:val="bottom"/>
          </w:tcPr>
          <w:p w14:paraId="712C2A59" w14:textId="686923DD"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28</w:t>
            </w:r>
          </w:p>
          <w:p w14:paraId="712C2A5A" w14:textId="2491C2AF"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4</w:t>
            </w:r>
          </w:p>
        </w:tc>
        <w:tc>
          <w:tcPr>
            <w:tcW w:w="834" w:type="pct"/>
            <w:vAlign w:val="bottom"/>
          </w:tcPr>
          <w:p w14:paraId="712C2A5B" w14:textId="4B6E7628" w:rsidR="00352B90" w:rsidRPr="00F4557E" w:rsidRDefault="00F40B7E" w:rsidP="001578C7">
            <w:pPr>
              <w:jc w:val="center"/>
              <w:rPr>
                <w:rFonts w:ascii="Arial" w:hAnsi="Arial" w:cs="Arial"/>
                <w:noProof/>
                <w:sz w:val="22"/>
                <w:szCs w:val="22"/>
              </w:rPr>
            </w:pPr>
            <w:r w:rsidRPr="00F4557E">
              <w:rPr>
                <w:rFonts w:ascii="Arial" w:hAnsi="Arial" w:cs="Arial"/>
                <w:noProof/>
                <w:sz w:val="22"/>
                <w:szCs w:val="22"/>
              </w:rPr>
              <w:t>26</w:t>
            </w:r>
          </w:p>
          <w:p w14:paraId="712C2A5C"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w:t>
            </w:r>
          </w:p>
        </w:tc>
        <w:tc>
          <w:tcPr>
            <w:tcW w:w="834" w:type="pct"/>
            <w:vAlign w:val="bottom"/>
          </w:tcPr>
          <w:p w14:paraId="712C2A5D"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5</w:t>
            </w:r>
          </w:p>
          <w:p w14:paraId="712C2A5E"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66" w14:textId="77777777" w:rsidTr="005E2C3E">
        <w:trPr>
          <w:trHeight w:val="576"/>
        </w:trPr>
        <w:tc>
          <w:tcPr>
            <w:tcW w:w="1740" w:type="pct"/>
            <w:tcBorders>
              <w:top w:val="single" w:sz="4" w:space="0" w:color="auto"/>
              <w:left w:val="single" w:sz="4" w:space="0" w:color="auto"/>
              <w:bottom w:val="single" w:sz="4" w:space="0" w:color="auto"/>
              <w:right w:val="single" w:sz="4" w:space="0" w:color="auto"/>
            </w:tcBorders>
            <w:vAlign w:val="bottom"/>
          </w:tcPr>
          <w:p w14:paraId="712C2A60"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Respiratory, thoracic and mediastinal disorders</w:t>
            </w:r>
          </w:p>
          <w:p w14:paraId="712C2A61"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Dysphonia</w:t>
            </w:r>
          </w:p>
        </w:tc>
        <w:tc>
          <w:tcPr>
            <w:tcW w:w="758" w:type="pct"/>
            <w:tcBorders>
              <w:top w:val="single" w:sz="4" w:space="0" w:color="auto"/>
              <w:left w:val="single" w:sz="4" w:space="0" w:color="auto"/>
              <w:bottom w:val="single" w:sz="4" w:space="0" w:color="auto"/>
              <w:right w:val="single" w:sz="4" w:space="0" w:color="auto"/>
            </w:tcBorders>
            <w:vAlign w:val="bottom"/>
          </w:tcPr>
          <w:p w14:paraId="712C2A62"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39</w:t>
            </w:r>
          </w:p>
        </w:tc>
        <w:tc>
          <w:tcPr>
            <w:tcW w:w="834" w:type="pct"/>
            <w:tcBorders>
              <w:top w:val="single" w:sz="4" w:space="0" w:color="auto"/>
              <w:left w:val="single" w:sz="4" w:space="0" w:color="auto"/>
              <w:bottom w:val="single" w:sz="4" w:space="0" w:color="auto"/>
              <w:right w:val="single" w:sz="4" w:space="0" w:color="auto"/>
            </w:tcBorders>
            <w:vAlign w:val="bottom"/>
          </w:tcPr>
          <w:p w14:paraId="712C2A63"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c>
          <w:tcPr>
            <w:tcW w:w="834" w:type="pct"/>
            <w:tcBorders>
              <w:top w:val="single" w:sz="4" w:space="0" w:color="auto"/>
              <w:left w:val="single" w:sz="4" w:space="0" w:color="auto"/>
              <w:bottom w:val="single" w:sz="4" w:space="0" w:color="auto"/>
              <w:right w:val="single" w:sz="4" w:space="0" w:color="auto"/>
            </w:tcBorders>
            <w:vAlign w:val="bottom"/>
          </w:tcPr>
          <w:p w14:paraId="712C2A64" w14:textId="690F5236"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9</w:t>
            </w:r>
          </w:p>
        </w:tc>
        <w:tc>
          <w:tcPr>
            <w:tcW w:w="834" w:type="pct"/>
            <w:tcBorders>
              <w:top w:val="single" w:sz="4" w:space="0" w:color="auto"/>
              <w:left w:val="single" w:sz="4" w:space="0" w:color="auto"/>
              <w:bottom w:val="single" w:sz="4" w:space="0" w:color="auto"/>
              <w:right w:val="single" w:sz="4" w:space="0" w:color="auto"/>
            </w:tcBorders>
            <w:vAlign w:val="bottom"/>
          </w:tcPr>
          <w:p w14:paraId="712C2A65"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6D" w14:textId="77777777" w:rsidTr="005E2C3E">
        <w:trPr>
          <w:trHeight w:val="576"/>
        </w:trPr>
        <w:tc>
          <w:tcPr>
            <w:tcW w:w="1740" w:type="pct"/>
            <w:tcBorders>
              <w:top w:val="single" w:sz="4" w:space="0" w:color="auto"/>
              <w:left w:val="single" w:sz="4" w:space="0" w:color="auto"/>
              <w:bottom w:val="single" w:sz="4" w:space="0" w:color="auto"/>
              <w:right w:val="single" w:sz="4" w:space="0" w:color="auto"/>
            </w:tcBorders>
            <w:vAlign w:val="bottom"/>
          </w:tcPr>
          <w:p w14:paraId="712C2A67"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Nervous system disorders</w:t>
            </w:r>
          </w:p>
          <w:p w14:paraId="712C2A68"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 xml:space="preserve">Headache </w:t>
            </w:r>
          </w:p>
        </w:tc>
        <w:tc>
          <w:tcPr>
            <w:tcW w:w="758" w:type="pct"/>
            <w:tcBorders>
              <w:top w:val="single" w:sz="4" w:space="0" w:color="auto"/>
              <w:left w:val="single" w:sz="4" w:space="0" w:color="auto"/>
              <w:bottom w:val="single" w:sz="4" w:space="0" w:color="auto"/>
              <w:right w:val="single" w:sz="4" w:space="0" w:color="auto"/>
            </w:tcBorders>
            <w:vAlign w:val="bottom"/>
          </w:tcPr>
          <w:p w14:paraId="712C2A69"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16</w:t>
            </w:r>
          </w:p>
        </w:tc>
        <w:tc>
          <w:tcPr>
            <w:tcW w:w="834" w:type="pct"/>
            <w:tcBorders>
              <w:top w:val="single" w:sz="4" w:space="0" w:color="auto"/>
              <w:left w:val="single" w:sz="4" w:space="0" w:color="auto"/>
              <w:bottom w:val="single" w:sz="4" w:space="0" w:color="auto"/>
              <w:right w:val="single" w:sz="4" w:space="0" w:color="auto"/>
            </w:tcBorders>
            <w:vAlign w:val="bottom"/>
          </w:tcPr>
          <w:p w14:paraId="712C2A6A"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c>
          <w:tcPr>
            <w:tcW w:w="834" w:type="pct"/>
            <w:tcBorders>
              <w:top w:val="single" w:sz="4" w:space="0" w:color="auto"/>
              <w:left w:val="single" w:sz="4" w:space="0" w:color="auto"/>
              <w:bottom w:val="single" w:sz="4" w:space="0" w:color="auto"/>
              <w:right w:val="single" w:sz="4" w:space="0" w:color="auto"/>
            </w:tcBorders>
            <w:vAlign w:val="bottom"/>
          </w:tcPr>
          <w:p w14:paraId="712C2A6B" w14:textId="0C1C1A9F"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9</w:t>
            </w:r>
          </w:p>
        </w:tc>
        <w:tc>
          <w:tcPr>
            <w:tcW w:w="834" w:type="pct"/>
            <w:tcBorders>
              <w:top w:val="single" w:sz="4" w:space="0" w:color="auto"/>
              <w:left w:val="single" w:sz="4" w:space="0" w:color="auto"/>
              <w:bottom w:val="single" w:sz="4" w:space="0" w:color="auto"/>
              <w:right w:val="single" w:sz="4" w:space="0" w:color="auto"/>
            </w:tcBorders>
            <w:vAlign w:val="bottom"/>
          </w:tcPr>
          <w:p w14:paraId="712C2A6C"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80" w14:textId="77777777" w:rsidTr="005E2C3E">
        <w:trPr>
          <w:trHeight w:val="576"/>
        </w:trPr>
        <w:tc>
          <w:tcPr>
            <w:tcW w:w="1740" w:type="pct"/>
            <w:tcBorders>
              <w:top w:val="single" w:sz="4" w:space="0" w:color="auto"/>
              <w:left w:val="single" w:sz="4" w:space="0" w:color="auto"/>
              <w:bottom w:val="single" w:sz="4" w:space="0" w:color="auto"/>
              <w:right w:val="single" w:sz="4" w:space="0" w:color="auto"/>
            </w:tcBorders>
            <w:vAlign w:val="bottom"/>
          </w:tcPr>
          <w:p w14:paraId="712C2A6E" w14:textId="043C5C9E" w:rsidR="00352B90" w:rsidRPr="00F4557E" w:rsidRDefault="00352B90" w:rsidP="00F4557E">
            <w:pPr>
              <w:rPr>
                <w:rFonts w:ascii="Arial" w:hAnsi="Arial" w:cs="Arial"/>
                <w:noProof/>
                <w:sz w:val="22"/>
                <w:szCs w:val="22"/>
              </w:rPr>
            </w:pPr>
            <w:r w:rsidRPr="00F4557E">
              <w:rPr>
                <w:rFonts w:ascii="Arial" w:hAnsi="Arial" w:cs="Arial"/>
                <w:b/>
                <w:noProof/>
                <w:sz w:val="22"/>
                <w:szCs w:val="22"/>
              </w:rPr>
              <w:t>Musculoskeletal and connective tissue disorders</w:t>
            </w:r>
          </w:p>
          <w:p w14:paraId="712C2A6F" w14:textId="60C57392" w:rsidR="00352B90" w:rsidRPr="00F4557E" w:rsidRDefault="00F40B7E" w:rsidP="00F4557E">
            <w:pPr>
              <w:rPr>
                <w:rFonts w:ascii="Arial" w:hAnsi="Arial" w:cs="Arial"/>
                <w:noProof/>
                <w:sz w:val="22"/>
                <w:szCs w:val="22"/>
              </w:rPr>
            </w:pPr>
            <w:r w:rsidRPr="00F4557E">
              <w:rPr>
                <w:rFonts w:ascii="Arial" w:hAnsi="Arial" w:cs="Arial"/>
                <w:noProof/>
                <w:sz w:val="22"/>
                <w:szCs w:val="22"/>
              </w:rPr>
              <w:t>Muscle spa</w:t>
            </w:r>
            <w:r w:rsidR="009E45A9" w:rsidRPr="00F4557E">
              <w:rPr>
                <w:rFonts w:ascii="Arial" w:hAnsi="Arial" w:cs="Arial"/>
                <w:noProof/>
                <w:sz w:val="22"/>
                <w:szCs w:val="22"/>
              </w:rPr>
              <w:t>s</w:t>
            </w:r>
            <w:r w:rsidRPr="00F4557E">
              <w:rPr>
                <w:rFonts w:ascii="Arial" w:hAnsi="Arial" w:cs="Arial"/>
                <w:noProof/>
                <w:sz w:val="22"/>
                <w:szCs w:val="22"/>
              </w:rPr>
              <w:t>ms</w:t>
            </w:r>
          </w:p>
        </w:tc>
        <w:tc>
          <w:tcPr>
            <w:tcW w:w="758" w:type="pct"/>
            <w:tcBorders>
              <w:top w:val="single" w:sz="4" w:space="0" w:color="auto"/>
              <w:left w:val="single" w:sz="4" w:space="0" w:color="auto"/>
              <w:bottom w:val="single" w:sz="4" w:space="0" w:color="auto"/>
              <w:right w:val="single" w:sz="4" w:space="0" w:color="auto"/>
            </w:tcBorders>
            <w:vAlign w:val="bottom"/>
          </w:tcPr>
          <w:p w14:paraId="712C2A70" w14:textId="77777777" w:rsidR="00352B90" w:rsidRPr="00F4557E" w:rsidRDefault="00352B90" w:rsidP="001578C7">
            <w:pPr>
              <w:jc w:val="center"/>
              <w:rPr>
                <w:rFonts w:ascii="Arial" w:hAnsi="Arial" w:cs="Arial"/>
                <w:noProof/>
                <w:sz w:val="22"/>
                <w:szCs w:val="22"/>
              </w:rPr>
            </w:pPr>
          </w:p>
          <w:p w14:paraId="712C2A72" w14:textId="77777777" w:rsidR="00352B90" w:rsidRPr="00F4557E" w:rsidRDefault="00352B90" w:rsidP="001578C7">
            <w:pPr>
              <w:jc w:val="center"/>
              <w:rPr>
                <w:rFonts w:ascii="Arial" w:hAnsi="Arial" w:cs="Arial"/>
                <w:noProof/>
                <w:sz w:val="22"/>
                <w:szCs w:val="22"/>
              </w:rPr>
            </w:pPr>
          </w:p>
          <w:p w14:paraId="712C2A73"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14</w:t>
            </w:r>
          </w:p>
        </w:tc>
        <w:tc>
          <w:tcPr>
            <w:tcW w:w="834" w:type="pct"/>
            <w:tcBorders>
              <w:top w:val="single" w:sz="4" w:space="0" w:color="auto"/>
              <w:left w:val="single" w:sz="4" w:space="0" w:color="auto"/>
              <w:bottom w:val="single" w:sz="4" w:space="0" w:color="auto"/>
              <w:right w:val="single" w:sz="4" w:space="0" w:color="auto"/>
            </w:tcBorders>
            <w:vAlign w:val="bottom"/>
          </w:tcPr>
          <w:p w14:paraId="712C2A74" w14:textId="77777777" w:rsidR="00352B90" w:rsidRPr="00F4557E" w:rsidRDefault="00352B90" w:rsidP="001578C7">
            <w:pPr>
              <w:jc w:val="center"/>
              <w:rPr>
                <w:rFonts w:ascii="Arial" w:hAnsi="Arial" w:cs="Arial"/>
                <w:noProof/>
                <w:sz w:val="22"/>
                <w:szCs w:val="22"/>
              </w:rPr>
            </w:pPr>
          </w:p>
          <w:p w14:paraId="712C2A75" w14:textId="77777777" w:rsidR="00352B90" w:rsidRPr="00F4557E" w:rsidRDefault="00352B90" w:rsidP="001578C7">
            <w:pPr>
              <w:jc w:val="center"/>
              <w:rPr>
                <w:rFonts w:ascii="Arial" w:hAnsi="Arial" w:cs="Arial"/>
                <w:noProof/>
                <w:sz w:val="22"/>
                <w:szCs w:val="22"/>
              </w:rPr>
            </w:pPr>
          </w:p>
          <w:p w14:paraId="712C2A77"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c>
          <w:tcPr>
            <w:tcW w:w="834" w:type="pct"/>
            <w:tcBorders>
              <w:top w:val="single" w:sz="4" w:space="0" w:color="auto"/>
              <w:left w:val="single" w:sz="4" w:space="0" w:color="auto"/>
              <w:bottom w:val="single" w:sz="4" w:space="0" w:color="auto"/>
              <w:right w:val="single" w:sz="4" w:space="0" w:color="auto"/>
            </w:tcBorders>
            <w:vAlign w:val="bottom"/>
          </w:tcPr>
          <w:p w14:paraId="712C2A78" w14:textId="0C7915E2" w:rsidR="00352B90" w:rsidRPr="00F4557E" w:rsidRDefault="00352B90" w:rsidP="001578C7">
            <w:pPr>
              <w:jc w:val="center"/>
              <w:rPr>
                <w:rFonts w:ascii="Arial" w:hAnsi="Arial" w:cs="Arial"/>
                <w:noProof/>
                <w:sz w:val="22"/>
                <w:szCs w:val="22"/>
              </w:rPr>
            </w:pPr>
          </w:p>
          <w:p w14:paraId="712C2A79" w14:textId="77777777" w:rsidR="00352B90" w:rsidRPr="00F4557E" w:rsidRDefault="00352B90" w:rsidP="001578C7">
            <w:pPr>
              <w:jc w:val="center"/>
              <w:rPr>
                <w:rFonts w:ascii="Arial" w:hAnsi="Arial" w:cs="Arial"/>
                <w:noProof/>
                <w:sz w:val="22"/>
                <w:szCs w:val="22"/>
              </w:rPr>
            </w:pPr>
          </w:p>
          <w:p w14:paraId="712C2A7B"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w:t>
            </w:r>
          </w:p>
        </w:tc>
        <w:tc>
          <w:tcPr>
            <w:tcW w:w="834" w:type="pct"/>
            <w:tcBorders>
              <w:top w:val="single" w:sz="4" w:space="0" w:color="auto"/>
              <w:left w:val="single" w:sz="4" w:space="0" w:color="auto"/>
              <w:bottom w:val="single" w:sz="4" w:space="0" w:color="auto"/>
              <w:right w:val="single" w:sz="4" w:space="0" w:color="auto"/>
            </w:tcBorders>
            <w:vAlign w:val="bottom"/>
          </w:tcPr>
          <w:p w14:paraId="712C2A7C" w14:textId="77777777" w:rsidR="00352B90" w:rsidRPr="00F4557E" w:rsidRDefault="00352B90" w:rsidP="001578C7">
            <w:pPr>
              <w:jc w:val="center"/>
              <w:rPr>
                <w:rFonts w:ascii="Arial" w:hAnsi="Arial" w:cs="Arial"/>
                <w:noProof/>
                <w:sz w:val="22"/>
                <w:szCs w:val="22"/>
              </w:rPr>
            </w:pPr>
          </w:p>
          <w:p w14:paraId="712C2A7E" w14:textId="77777777" w:rsidR="00352B90" w:rsidRPr="00F4557E" w:rsidRDefault="00352B90" w:rsidP="001578C7">
            <w:pPr>
              <w:jc w:val="center"/>
              <w:rPr>
                <w:rFonts w:ascii="Arial" w:hAnsi="Arial" w:cs="Arial"/>
                <w:noProof/>
                <w:sz w:val="22"/>
                <w:szCs w:val="22"/>
              </w:rPr>
            </w:pPr>
          </w:p>
          <w:p w14:paraId="712C2A7F"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0</w:t>
            </w:r>
          </w:p>
        </w:tc>
      </w:tr>
      <w:tr w:rsidR="005E2C3E" w:rsidRPr="00F4557E" w14:paraId="712C2A8B" w14:textId="77777777" w:rsidTr="005E2C3E">
        <w:trPr>
          <w:trHeight w:val="576"/>
        </w:trPr>
        <w:tc>
          <w:tcPr>
            <w:tcW w:w="1740" w:type="pct"/>
            <w:tcBorders>
              <w:top w:val="single" w:sz="4" w:space="0" w:color="auto"/>
              <w:left w:val="single" w:sz="4" w:space="0" w:color="auto"/>
              <w:bottom w:val="single" w:sz="4" w:space="0" w:color="auto"/>
              <w:right w:val="single" w:sz="4" w:space="0" w:color="auto"/>
            </w:tcBorders>
            <w:vAlign w:val="bottom"/>
          </w:tcPr>
          <w:p w14:paraId="712C2A81"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Blood and lymphatic system disorders</w:t>
            </w:r>
          </w:p>
          <w:p w14:paraId="712C2A82"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Anaemia</w:t>
            </w:r>
          </w:p>
        </w:tc>
        <w:tc>
          <w:tcPr>
            <w:tcW w:w="758" w:type="pct"/>
            <w:tcBorders>
              <w:top w:val="single" w:sz="4" w:space="0" w:color="auto"/>
              <w:left w:val="single" w:sz="4" w:space="0" w:color="auto"/>
              <w:bottom w:val="single" w:sz="4" w:space="0" w:color="auto"/>
              <w:right w:val="single" w:sz="4" w:space="0" w:color="auto"/>
            </w:tcBorders>
            <w:vAlign w:val="bottom"/>
          </w:tcPr>
          <w:p w14:paraId="712C2A83"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11</w:t>
            </w:r>
          </w:p>
        </w:tc>
        <w:tc>
          <w:tcPr>
            <w:tcW w:w="834" w:type="pct"/>
            <w:tcBorders>
              <w:top w:val="single" w:sz="4" w:space="0" w:color="auto"/>
              <w:left w:val="single" w:sz="4" w:space="0" w:color="auto"/>
              <w:bottom w:val="single" w:sz="4" w:space="0" w:color="auto"/>
              <w:right w:val="single" w:sz="4" w:space="0" w:color="auto"/>
            </w:tcBorders>
            <w:vAlign w:val="bottom"/>
          </w:tcPr>
          <w:p w14:paraId="712C2A84" w14:textId="77777777" w:rsidR="00352B90" w:rsidRPr="00F4557E" w:rsidRDefault="00352B90" w:rsidP="001578C7">
            <w:pPr>
              <w:jc w:val="center"/>
              <w:rPr>
                <w:rFonts w:ascii="Arial" w:hAnsi="Arial" w:cs="Arial"/>
                <w:noProof/>
                <w:sz w:val="22"/>
                <w:szCs w:val="22"/>
              </w:rPr>
            </w:pPr>
          </w:p>
          <w:p w14:paraId="712C2A85" w14:textId="77777777" w:rsidR="00352B90" w:rsidRPr="00F4557E" w:rsidRDefault="00352B90" w:rsidP="001578C7">
            <w:pPr>
              <w:jc w:val="center"/>
              <w:rPr>
                <w:rFonts w:ascii="Arial" w:hAnsi="Arial" w:cs="Arial"/>
                <w:noProof/>
                <w:sz w:val="22"/>
                <w:szCs w:val="22"/>
              </w:rPr>
            </w:pPr>
          </w:p>
          <w:p w14:paraId="712C2A86"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tc>
        <w:tc>
          <w:tcPr>
            <w:tcW w:w="834" w:type="pct"/>
            <w:tcBorders>
              <w:top w:val="single" w:sz="4" w:space="0" w:color="auto"/>
              <w:left w:val="single" w:sz="4" w:space="0" w:color="auto"/>
              <w:bottom w:val="single" w:sz="4" w:space="0" w:color="auto"/>
              <w:right w:val="single" w:sz="4" w:space="0" w:color="auto"/>
            </w:tcBorders>
            <w:vAlign w:val="bottom"/>
          </w:tcPr>
          <w:p w14:paraId="712C2A87" w14:textId="428482A4"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8</w:t>
            </w:r>
          </w:p>
        </w:tc>
        <w:tc>
          <w:tcPr>
            <w:tcW w:w="834" w:type="pct"/>
            <w:tcBorders>
              <w:top w:val="single" w:sz="4" w:space="0" w:color="auto"/>
              <w:left w:val="single" w:sz="4" w:space="0" w:color="auto"/>
              <w:bottom w:val="single" w:sz="4" w:space="0" w:color="auto"/>
              <w:right w:val="single" w:sz="4" w:space="0" w:color="auto"/>
            </w:tcBorders>
            <w:vAlign w:val="bottom"/>
          </w:tcPr>
          <w:p w14:paraId="712C2A88" w14:textId="77777777" w:rsidR="00352B90" w:rsidRPr="00F4557E" w:rsidRDefault="00352B90" w:rsidP="001578C7">
            <w:pPr>
              <w:jc w:val="center"/>
              <w:rPr>
                <w:rFonts w:ascii="Arial" w:hAnsi="Arial" w:cs="Arial"/>
                <w:noProof/>
                <w:sz w:val="22"/>
                <w:szCs w:val="22"/>
              </w:rPr>
            </w:pPr>
          </w:p>
          <w:p w14:paraId="712C2A89" w14:textId="77777777" w:rsidR="00352B90" w:rsidRPr="00F4557E" w:rsidRDefault="00352B90" w:rsidP="001578C7">
            <w:pPr>
              <w:jc w:val="center"/>
              <w:rPr>
                <w:rFonts w:ascii="Arial" w:hAnsi="Arial" w:cs="Arial"/>
                <w:noProof/>
                <w:sz w:val="22"/>
                <w:szCs w:val="22"/>
              </w:rPr>
            </w:pPr>
          </w:p>
          <w:p w14:paraId="712C2A8A"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tc>
      </w:tr>
      <w:tr w:rsidR="005E2C3E" w:rsidRPr="00F4557E" w14:paraId="712C2A9D" w14:textId="77777777" w:rsidTr="005E2C3E">
        <w:trPr>
          <w:trHeight w:val="343"/>
        </w:trPr>
        <w:tc>
          <w:tcPr>
            <w:tcW w:w="1740" w:type="pct"/>
            <w:tcBorders>
              <w:top w:val="single" w:sz="4" w:space="0" w:color="auto"/>
              <w:left w:val="single" w:sz="4" w:space="0" w:color="auto"/>
              <w:bottom w:val="single" w:sz="4" w:space="0" w:color="auto"/>
              <w:right w:val="single" w:sz="4" w:space="0" w:color="auto"/>
            </w:tcBorders>
            <w:vAlign w:val="bottom"/>
          </w:tcPr>
          <w:p w14:paraId="712C2A8C" w14:textId="77777777" w:rsidR="00352B90" w:rsidRPr="00F4557E" w:rsidRDefault="00352B90" w:rsidP="00F4557E">
            <w:pPr>
              <w:rPr>
                <w:rFonts w:ascii="Arial" w:hAnsi="Arial" w:cs="Arial"/>
                <w:noProof/>
                <w:sz w:val="22"/>
                <w:szCs w:val="22"/>
              </w:rPr>
            </w:pPr>
            <w:r w:rsidRPr="00F4557E">
              <w:rPr>
                <w:rFonts w:ascii="Arial" w:hAnsi="Arial" w:cs="Arial"/>
                <w:b/>
                <w:noProof/>
                <w:sz w:val="22"/>
                <w:szCs w:val="22"/>
              </w:rPr>
              <w:t>Hepatobiliary disorders</w:t>
            </w:r>
          </w:p>
          <w:p w14:paraId="712C2A8D" w14:textId="77777777" w:rsidR="00352B90" w:rsidRPr="00F4557E" w:rsidRDefault="00352B90" w:rsidP="00F4557E">
            <w:pPr>
              <w:rPr>
                <w:rFonts w:ascii="Arial" w:hAnsi="Arial" w:cs="Arial"/>
                <w:noProof/>
                <w:sz w:val="22"/>
                <w:szCs w:val="22"/>
              </w:rPr>
            </w:pPr>
            <w:r w:rsidRPr="00F4557E">
              <w:rPr>
                <w:rFonts w:ascii="Arial" w:hAnsi="Arial" w:cs="Arial"/>
                <w:noProof/>
                <w:sz w:val="22"/>
                <w:szCs w:val="22"/>
              </w:rPr>
              <w:t>Increase in transaminases</w:t>
            </w:r>
          </w:p>
        </w:tc>
        <w:tc>
          <w:tcPr>
            <w:tcW w:w="758" w:type="pct"/>
            <w:tcBorders>
              <w:top w:val="single" w:sz="4" w:space="0" w:color="auto"/>
              <w:left w:val="single" w:sz="4" w:space="0" w:color="auto"/>
              <w:bottom w:val="single" w:sz="4" w:space="0" w:color="auto"/>
              <w:right w:val="single" w:sz="4" w:space="0" w:color="auto"/>
            </w:tcBorders>
            <w:vAlign w:val="bottom"/>
          </w:tcPr>
          <w:p w14:paraId="712C2A8E" w14:textId="77777777" w:rsidR="00352B90" w:rsidRPr="00F4557E" w:rsidRDefault="00352B90" w:rsidP="001578C7">
            <w:pPr>
              <w:jc w:val="center"/>
              <w:rPr>
                <w:rFonts w:ascii="Arial" w:hAnsi="Arial" w:cs="Arial"/>
                <w:noProof/>
                <w:sz w:val="22"/>
                <w:szCs w:val="22"/>
              </w:rPr>
            </w:pPr>
          </w:p>
          <w:p w14:paraId="712C2A91"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11</w:t>
            </w:r>
          </w:p>
        </w:tc>
        <w:tc>
          <w:tcPr>
            <w:tcW w:w="834" w:type="pct"/>
            <w:tcBorders>
              <w:top w:val="single" w:sz="4" w:space="0" w:color="auto"/>
              <w:left w:val="single" w:sz="4" w:space="0" w:color="auto"/>
              <w:bottom w:val="single" w:sz="4" w:space="0" w:color="auto"/>
              <w:right w:val="single" w:sz="4" w:space="0" w:color="auto"/>
            </w:tcBorders>
            <w:vAlign w:val="bottom"/>
          </w:tcPr>
          <w:p w14:paraId="712C2A93" w14:textId="77777777" w:rsidR="00352B90" w:rsidRPr="00F4557E" w:rsidRDefault="00352B90" w:rsidP="001578C7">
            <w:pPr>
              <w:jc w:val="center"/>
              <w:rPr>
                <w:rFonts w:ascii="Arial" w:hAnsi="Arial" w:cs="Arial"/>
                <w:noProof/>
                <w:sz w:val="22"/>
                <w:szCs w:val="22"/>
              </w:rPr>
            </w:pPr>
          </w:p>
          <w:p w14:paraId="712C2A94"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3</w:t>
            </w:r>
          </w:p>
        </w:tc>
        <w:tc>
          <w:tcPr>
            <w:tcW w:w="834" w:type="pct"/>
            <w:tcBorders>
              <w:top w:val="single" w:sz="4" w:space="0" w:color="auto"/>
              <w:left w:val="single" w:sz="4" w:space="0" w:color="auto"/>
              <w:bottom w:val="single" w:sz="4" w:space="0" w:color="auto"/>
              <w:right w:val="single" w:sz="4" w:space="0" w:color="auto"/>
            </w:tcBorders>
            <w:vAlign w:val="bottom"/>
          </w:tcPr>
          <w:p w14:paraId="712C2A97" w14:textId="77777777" w:rsidR="00352B90" w:rsidRPr="00F4557E" w:rsidRDefault="00352B90" w:rsidP="001578C7">
            <w:pPr>
              <w:jc w:val="center"/>
              <w:rPr>
                <w:rFonts w:ascii="Arial" w:hAnsi="Arial" w:cs="Arial"/>
                <w:noProof/>
                <w:sz w:val="22"/>
                <w:szCs w:val="22"/>
              </w:rPr>
            </w:pPr>
          </w:p>
          <w:p w14:paraId="712C2A98"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5</w:t>
            </w:r>
          </w:p>
        </w:tc>
        <w:tc>
          <w:tcPr>
            <w:tcW w:w="834" w:type="pct"/>
            <w:tcBorders>
              <w:top w:val="single" w:sz="4" w:space="0" w:color="auto"/>
              <w:left w:val="single" w:sz="4" w:space="0" w:color="auto"/>
              <w:bottom w:val="single" w:sz="4" w:space="0" w:color="auto"/>
              <w:right w:val="single" w:sz="4" w:space="0" w:color="auto"/>
            </w:tcBorders>
            <w:vAlign w:val="bottom"/>
          </w:tcPr>
          <w:p w14:paraId="712C2A9B" w14:textId="77777777" w:rsidR="00352B90" w:rsidRPr="00F4557E" w:rsidRDefault="00352B90" w:rsidP="001578C7">
            <w:pPr>
              <w:jc w:val="center"/>
              <w:rPr>
                <w:rFonts w:ascii="Arial" w:hAnsi="Arial" w:cs="Arial"/>
                <w:noProof/>
                <w:sz w:val="22"/>
                <w:szCs w:val="22"/>
              </w:rPr>
            </w:pPr>
          </w:p>
          <w:p w14:paraId="712C2A9C" w14:textId="77777777" w:rsidR="00352B90" w:rsidRPr="00F4557E" w:rsidRDefault="00352B90" w:rsidP="001578C7">
            <w:pPr>
              <w:jc w:val="center"/>
              <w:rPr>
                <w:rFonts w:ascii="Arial" w:hAnsi="Arial" w:cs="Arial"/>
                <w:noProof/>
                <w:sz w:val="22"/>
                <w:szCs w:val="22"/>
              </w:rPr>
            </w:pPr>
            <w:r w:rsidRPr="00F4557E">
              <w:rPr>
                <w:rFonts w:ascii="Arial" w:hAnsi="Arial" w:cs="Arial"/>
                <w:noProof/>
                <w:sz w:val="22"/>
                <w:szCs w:val="22"/>
              </w:rPr>
              <w:t>2</w:t>
            </w:r>
          </w:p>
        </w:tc>
      </w:tr>
    </w:tbl>
    <w:p w14:paraId="712C2A9E" w14:textId="149C27BA" w:rsidR="00D557DD" w:rsidRPr="00E177CA" w:rsidRDefault="00D557DD" w:rsidP="00E177CA">
      <w:pPr>
        <w:keepNext/>
        <w:autoSpaceDE w:val="0"/>
        <w:autoSpaceDN w:val="0"/>
        <w:adjustRightInd w:val="0"/>
        <w:spacing w:before="120"/>
        <w:ind w:left="284" w:hanging="284"/>
        <w:rPr>
          <w:rFonts w:ascii="Arial" w:hAnsi="Arial" w:cs="Arial"/>
          <w:sz w:val="20"/>
          <w:szCs w:val="20"/>
        </w:rPr>
      </w:pPr>
      <w:r w:rsidRPr="00E177CA">
        <w:rPr>
          <w:rFonts w:ascii="Arial" w:hAnsi="Arial" w:cs="Arial"/>
          <w:sz w:val="20"/>
          <w:szCs w:val="20"/>
        </w:rPr>
        <w:t>§</w:t>
      </w:r>
      <w:r w:rsidR="008219CC" w:rsidRPr="00E177CA">
        <w:rPr>
          <w:rFonts w:ascii="Arial" w:hAnsi="Arial" w:cs="Arial"/>
          <w:sz w:val="20"/>
          <w:szCs w:val="20"/>
        </w:rPr>
        <w:tab/>
      </w:r>
      <w:r w:rsidRPr="00E177CA">
        <w:rPr>
          <w:rFonts w:ascii="Arial" w:hAnsi="Arial" w:cs="Arial"/>
          <w:sz w:val="20"/>
          <w:szCs w:val="20"/>
        </w:rPr>
        <w:t>Best supportive care</w:t>
      </w:r>
    </w:p>
    <w:p w14:paraId="712C2A9F" w14:textId="45ACC22B" w:rsidR="003209D5" w:rsidRPr="00E177CA" w:rsidRDefault="003209D5" w:rsidP="00E177CA">
      <w:pPr>
        <w:keepNext/>
        <w:autoSpaceDE w:val="0"/>
        <w:autoSpaceDN w:val="0"/>
        <w:adjustRightInd w:val="0"/>
        <w:spacing w:before="120"/>
        <w:ind w:left="284" w:hanging="284"/>
        <w:contextualSpacing/>
        <w:rPr>
          <w:rFonts w:ascii="Arial" w:hAnsi="Arial" w:cs="Arial"/>
          <w:sz w:val="20"/>
          <w:szCs w:val="20"/>
        </w:rPr>
      </w:pPr>
      <w:r w:rsidRPr="00E177CA">
        <w:rPr>
          <w:rFonts w:ascii="Arial" w:hAnsi="Arial" w:cs="Arial"/>
          <w:sz w:val="20"/>
          <w:szCs w:val="20"/>
        </w:rPr>
        <w:t>*</w:t>
      </w:r>
      <w:r w:rsidR="00B40C13" w:rsidRPr="00E177CA">
        <w:rPr>
          <w:rFonts w:ascii="Arial" w:hAnsi="Arial" w:cs="Arial"/>
          <w:sz w:val="20"/>
          <w:szCs w:val="20"/>
        </w:rPr>
        <w:t xml:space="preserve"> </w:t>
      </w:r>
      <w:r w:rsidR="008219CC" w:rsidRPr="00E177CA">
        <w:rPr>
          <w:rFonts w:ascii="Arial" w:hAnsi="Arial" w:cs="Arial"/>
          <w:sz w:val="20"/>
          <w:szCs w:val="20"/>
        </w:rPr>
        <w:tab/>
      </w:r>
      <w:r w:rsidRPr="00E177CA">
        <w:rPr>
          <w:rFonts w:ascii="Arial" w:hAnsi="Arial" w:cs="Arial"/>
          <w:sz w:val="20"/>
          <w:szCs w:val="20"/>
        </w:rPr>
        <w:t>Fatal outcome has been observed</w:t>
      </w:r>
    </w:p>
    <w:p w14:paraId="11EF9271" w14:textId="77777777" w:rsidR="00E177CA" w:rsidRPr="00F4557E" w:rsidRDefault="00E177CA" w:rsidP="00F4557E">
      <w:pPr>
        <w:rPr>
          <w:rFonts w:ascii="Arial" w:hAnsi="Arial" w:cs="Arial"/>
          <w:noProof/>
          <w:sz w:val="22"/>
          <w:szCs w:val="22"/>
        </w:rPr>
      </w:pPr>
    </w:p>
    <w:p w14:paraId="712C2AA0" w14:textId="754E78DC" w:rsidR="00833F59" w:rsidRDefault="00A83092" w:rsidP="001578C7">
      <w:pPr>
        <w:pStyle w:val="BayerBodyTextFull"/>
        <w:keepNext/>
        <w:keepLines/>
        <w:spacing w:before="0" w:after="0"/>
        <w:rPr>
          <w:rFonts w:ascii="Arial" w:hAnsi="Arial" w:cs="Arial"/>
          <w:sz w:val="22"/>
          <w:szCs w:val="22"/>
          <w:lang w:val="en-GB"/>
        </w:rPr>
      </w:pPr>
      <w:r w:rsidRPr="00E177CA">
        <w:rPr>
          <w:rFonts w:ascii="Arial" w:hAnsi="Arial" w:cs="Arial"/>
          <w:sz w:val="22"/>
          <w:szCs w:val="22"/>
          <w:lang w:val="en-GB"/>
        </w:rPr>
        <w:t>In the pivotal GRID study, o</w:t>
      </w:r>
      <w:r w:rsidR="003209D5" w:rsidRPr="00E177CA">
        <w:rPr>
          <w:rFonts w:ascii="Arial" w:hAnsi="Arial" w:cs="Arial"/>
          <w:sz w:val="22"/>
          <w:szCs w:val="22"/>
          <w:lang w:val="en-GB"/>
        </w:rPr>
        <w:t>ther adverse reactions observed in less than 10</w:t>
      </w:r>
      <w:r w:rsidR="004F501C" w:rsidRPr="00E177CA">
        <w:rPr>
          <w:rFonts w:ascii="Arial" w:hAnsi="Arial" w:cs="Arial"/>
          <w:sz w:val="22"/>
          <w:szCs w:val="22"/>
          <w:lang w:val="en-GB"/>
        </w:rPr>
        <w:t xml:space="preserve">% of </w:t>
      </w:r>
      <w:r w:rsidR="00113808" w:rsidRPr="00E177CA">
        <w:rPr>
          <w:rFonts w:ascii="Arial" w:hAnsi="Arial" w:cs="Arial"/>
          <w:sz w:val="22"/>
          <w:szCs w:val="22"/>
          <w:lang w:val="en-GB"/>
        </w:rPr>
        <w:t>STIVARGA</w:t>
      </w:r>
      <w:r w:rsidR="004F501C" w:rsidRPr="00E177CA">
        <w:rPr>
          <w:rFonts w:ascii="Arial" w:hAnsi="Arial" w:cs="Arial"/>
          <w:sz w:val="22"/>
          <w:szCs w:val="22"/>
          <w:lang w:val="en-GB"/>
        </w:rPr>
        <w:t xml:space="preserve">-treated patients </w:t>
      </w:r>
      <w:r w:rsidR="003209D5" w:rsidRPr="00E177CA">
        <w:rPr>
          <w:rFonts w:ascii="Arial" w:hAnsi="Arial" w:cs="Arial"/>
          <w:sz w:val="22"/>
          <w:szCs w:val="22"/>
          <w:lang w:val="en-GB"/>
        </w:rPr>
        <w:t xml:space="preserve">and at a higher incidence than in placebo-treated patients included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7"/>
      </w:tblGrid>
      <w:tr w:rsidR="001578C7" w14:paraId="6BA0EE19" w14:textId="77777777" w:rsidTr="001578C7">
        <w:tc>
          <w:tcPr>
            <w:tcW w:w="4756" w:type="dxa"/>
          </w:tcPr>
          <w:p w14:paraId="0EF4C977" w14:textId="77777777" w:rsidR="001578C7" w:rsidRPr="00F4557E"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hyperbilirubinemia (9.9 vs. 3.0)</w:t>
            </w:r>
          </w:p>
          <w:p w14:paraId="5FE19FD6" w14:textId="77777777" w:rsidR="001578C7" w:rsidRPr="00F4557E"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leukopenia (8.3 vs.6.1)</w:t>
            </w:r>
          </w:p>
          <w:p w14:paraId="6DBDCB20" w14:textId="77777777" w:rsidR="001578C7" w:rsidRPr="00F4557E"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thrombocytopenia (6.1 vs. 0.0)</w:t>
            </w:r>
          </w:p>
          <w:p w14:paraId="25268A88" w14:textId="77777777" w:rsidR="001578C7" w:rsidRPr="00F4557E"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peripheral sensory neuropathy (6.1 vs. 1.5)</w:t>
            </w:r>
          </w:p>
          <w:p w14:paraId="529D3947" w14:textId="77777777" w:rsidR="001578C7" w:rsidRPr="00F4557E"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dry skin (4.6 vs. 0.0)</w:t>
            </w:r>
          </w:p>
          <w:p w14:paraId="74AB49A2" w14:textId="77777777" w:rsidR="001578C7" w:rsidRPr="00F4557E"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vertigo (4.5 vs. 0.0)</w:t>
            </w:r>
          </w:p>
          <w:p w14:paraId="259A6402" w14:textId="77777777" w:rsidR="001578C7"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acute kidney injury (2.3 vs. 0.0)</w:t>
            </w:r>
          </w:p>
          <w:p w14:paraId="430FAA80" w14:textId="77777777" w:rsidR="001578C7"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1578C7">
              <w:rPr>
                <w:rFonts w:ascii="Arial" w:hAnsi="Arial" w:cs="Arial"/>
                <w:sz w:val="22"/>
                <w:szCs w:val="22"/>
              </w:rPr>
              <w:lastRenderedPageBreak/>
              <w:t>tinnitus (2.3 vs. 0.0)</w:t>
            </w:r>
          </w:p>
          <w:p w14:paraId="2520D6E3" w14:textId="4B0CC58B" w:rsidR="001578C7" w:rsidRPr="001578C7" w:rsidDel="0079213D"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1578C7">
              <w:rPr>
                <w:rFonts w:ascii="Arial" w:hAnsi="Arial" w:cs="Arial"/>
                <w:sz w:val="22"/>
                <w:szCs w:val="22"/>
              </w:rPr>
              <w:t>gastrointestinal fistula (1.5 vs. 0.0)</w:t>
            </w:r>
          </w:p>
          <w:p w14:paraId="4C902D2E" w14:textId="77777777" w:rsidR="001578C7" w:rsidRPr="001578C7"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rPr>
            </w:pPr>
            <w:r w:rsidRPr="00F4557E">
              <w:rPr>
                <w:rFonts w:ascii="Arial" w:hAnsi="Arial" w:cs="Arial"/>
                <w:sz w:val="22"/>
                <w:szCs w:val="22"/>
              </w:rPr>
              <w:t xml:space="preserve">increase in lipase (1.5 vs. 0.0) </w:t>
            </w:r>
          </w:p>
          <w:p w14:paraId="75CA44B3" w14:textId="52221A52" w:rsidR="001578C7" w:rsidRDefault="001578C7" w:rsidP="001578C7">
            <w:pPr>
              <w:pStyle w:val="BayerBodyTextFull"/>
              <w:keepLines/>
              <w:numPr>
                <w:ilvl w:val="0"/>
                <w:numId w:val="24"/>
              </w:numPr>
              <w:tabs>
                <w:tab w:val="clear" w:pos="567"/>
                <w:tab w:val="left" w:pos="426"/>
              </w:tabs>
              <w:ind w:left="426" w:right="-138" w:hanging="284"/>
              <w:rPr>
                <w:rFonts w:ascii="Arial" w:hAnsi="Arial" w:cs="Arial"/>
                <w:sz w:val="22"/>
                <w:szCs w:val="22"/>
                <w:lang w:val="en-GB"/>
              </w:rPr>
            </w:pPr>
            <w:r w:rsidRPr="00F4557E">
              <w:rPr>
                <w:rFonts w:ascii="Arial" w:hAnsi="Arial" w:cs="Arial"/>
                <w:sz w:val="22"/>
                <w:szCs w:val="22"/>
              </w:rPr>
              <w:t>tremor (0.8 vs. 0.0)</w:t>
            </w:r>
          </w:p>
        </w:tc>
        <w:tc>
          <w:tcPr>
            <w:tcW w:w="4757" w:type="dxa"/>
          </w:tcPr>
          <w:p w14:paraId="709BEB27"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lastRenderedPageBreak/>
              <w:t>taste disorders (9.9 vs. 3.0)</w:t>
            </w:r>
          </w:p>
          <w:p w14:paraId="289922C4"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t xml:space="preserve">proteinuria (7.6 vs. 1.5) </w:t>
            </w:r>
          </w:p>
          <w:p w14:paraId="15D78CC0"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t>dry mouth (6.1 vs. 4.6)</w:t>
            </w:r>
          </w:p>
          <w:p w14:paraId="093F6989"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t>hypophosphatemia (5.3 vs. 0.0)</w:t>
            </w:r>
          </w:p>
          <w:p w14:paraId="60C060B1"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t>hypoalbuminaemia (4.5 vs. 0.0)</w:t>
            </w:r>
            <w:r w:rsidRPr="00F4557E" w:rsidDel="0079213D">
              <w:rPr>
                <w:rFonts w:ascii="Arial" w:hAnsi="Arial" w:cs="Arial"/>
                <w:sz w:val="22"/>
                <w:szCs w:val="22"/>
              </w:rPr>
              <w:t xml:space="preserve"> </w:t>
            </w:r>
          </w:p>
          <w:p w14:paraId="4F4A61C8"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proofErr w:type="spellStart"/>
            <w:r w:rsidRPr="00F4557E">
              <w:rPr>
                <w:rFonts w:ascii="Arial" w:hAnsi="Arial" w:cs="Arial"/>
                <w:sz w:val="22"/>
                <w:szCs w:val="22"/>
              </w:rPr>
              <w:t>hypokalaemia</w:t>
            </w:r>
            <w:proofErr w:type="spellEnd"/>
            <w:r w:rsidRPr="00F4557E">
              <w:rPr>
                <w:rFonts w:ascii="Arial" w:hAnsi="Arial" w:cs="Arial"/>
                <w:sz w:val="22"/>
                <w:szCs w:val="22"/>
              </w:rPr>
              <w:t xml:space="preserve"> (3.8 vs. 3.0)</w:t>
            </w:r>
          </w:p>
          <w:p w14:paraId="73961CAE"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t>ear discomfort (2.3 vs. 0.0)</w:t>
            </w:r>
          </w:p>
          <w:p w14:paraId="60D7360C"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lastRenderedPageBreak/>
              <w:t>gastroenteritis (1.5 vs. 0.0)</w:t>
            </w:r>
          </w:p>
          <w:p w14:paraId="3B414759" w14:textId="77777777" w:rsidR="001578C7" w:rsidRPr="00F4557E" w:rsidRDefault="001578C7" w:rsidP="001578C7">
            <w:pPr>
              <w:pStyle w:val="BayerBodyTextFull"/>
              <w:keepLines/>
              <w:numPr>
                <w:ilvl w:val="0"/>
                <w:numId w:val="24"/>
              </w:numPr>
              <w:ind w:left="567" w:hanging="210"/>
              <w:rPr>
                <w:rFonts w:ascii="Arial" w:hAnsi="Arial" w:cs="Arial"/>
                <w:sz w:val="22"/>
                <w:szCs w:val="22"/>
              </w:rPr>
            </w:pPr>
            <w:r w:rsidRPr="00F4557E">
              <w:rPr>
                <w:rFonts w:ascii="Arial" w:hAnsi="Arial" w:cs="Arial"/>
                <w:sz w:val="22"/>
                <w:szCs w:val="22"/>
              </w:rPr>
              <w:t>hypocalcaemia (1.5 vs. 0.0)</w:t>
            </w:r>
          </w:p>
          <w:p w14:paraId="6BBA782B" w14:textId="525AE4C4" w:rsidR="001578C7" w:rsidRDefault="001578C7" w:rsidP="001578C7">
            <w:pPr>
              <w:pStyle w:val="BayerBodyTextFull"/>
              <w:keepLines/>
              <w:numPr>
                <w:ilvl w:val="0"/>
                <w:numId w:val="24"/>
              </w:numPr>
              <w:ind w:left="567" w:hanging="210"/>
              <w:rPr>
                <w:rFonts w:ascii="Arial" w:hAnsi="Arial" w:cs="Arial"/>
                <w:sz w:val="22"/>
                <w:szCs w:val="22"/>
                <w:lang w:val="en-GB"/>
              </w:rPr>
            </w:pPr>
            <w:r w:rsidRPr="00F4557E">
              <w:rPr>
                <w:rFonts w:ascii="Arial" w:hAnsi="Arial" w:cs="Arial"/>
                <w:sz w:val="22"/>
                <w:szCs w:val="22"/>
              </w:rPr>
              <w:t>abnormal international normalised ratio (INR) (0.8 vs. 0.0)</w:t>
            </w:r>
          </w:p>
        </w:tc>
      </w:tr>
    </w:tbl>
    <w:p w14:paraId="05E5511C" w14:textId="77777777" w:rsidR="001578C7" w:rsidRDefault="001578C7" w:rsidP="001578C7">
      <w:pPr>
        <w:pStyle w:val="BayerBodyTextFull"/>
        <w:keepNext/>
        <w:keepLines/>
        <w:spacing w:before="0" w:after="0"/>
        <w:rPr>
          <w:rFonts w:ascii="Arial" w:hAnsi="Arial" w:cs="Arial"/>
          <w:sz w:val="22"/>
          <w:szCs w:val="22"/>
          <w:lang w:val="en-GB"/>
        </w:rPr>
      </w:pPr>
    </w:p>
    <w:p w14:paraId="712C2AC3" w14:textId="7D1B48EF" w:rsidR="003209D5" w:rsidRPr="00E177CA" w:rsidRDefault="003209D5" w:rsidP="00E177CA">
      <w:pPr>
        <w:pStyle w:val="BayerBodyTextFull"/>
        <w:spacing w:before="0" w:after="0"/>
        <w:rPr>
          <w:rFonts w:ascii="Arial" w:hAnsi="Arial" w:cs="Arial"/>
          <w:sz w:val="22"/>
          <w:szCs w:val="22"/>
          <w:lang w:val="en-GB"/>
        </w:rPr>
      </w:pPr>
      <w:r w:rsidRPr="00E177CA">
        <w:rPr>
          <w:rFonts w:ascii="Arial" w:hAnsi="Arial" w:cs="Arial"/>
          <w:sz w:val="22"/>
          <w:szCs w:val="22"/>
          <w:lang w:val="en-GB"/>
        </w:rPr>
        <w:t xml:space="preserve">The following events were reported with similar or lower frequencies in patients treated with </w:t>
      </w:r>
      <w:r w:rsidR="00601DFC" w:rsidRPr="00E177CA">
        <w:rPr>
          <w:rFonts w:ascii="Arial" w:hAnsi="Arial" w:cs="Arial"/>
          <w:sz w:val="22"/>
          <w:szCs w:val="22"/>
          <w:lang w:val="en-GB"/>
        </w:rPr>
        <w:t>STIVARGA</w:t>
      </w:r>
      <w:r w:rsidR="005B16AA" w:rsidRPr="00E177CA">
        <w:rPr>
          <w:rFonts w:ascii="Arial" w:hAnsi="Arial" w:cs="Arial"/>
          <w:sz w:val="22"/>
          <w:szCs w:val="22"/>
          <w:lang w:val="en-GB"/>
        </w:rPr>
        <w:t xml:space="preserve"> </w:t>
      </w:r>
      <w:r w:rsidRPr="00E177CA">
        <w:rPr>
          <w:rFonts w:ascii="Arial" w:hAnsi="Arial" w:cs="Arial"/>
          <w:sz w:val="22"/>
          <w:szCs w:val="22"/>
          <w:lang w:val="en-GB"/>
        </w:rPr>
        <w:t>than placebo but are considered as adverse reactions based on safety data from other placebo-controlled clinical trials:</w:t>
      </w:r>
      <w:r w:rsidR="004F501C" w:rsidRPr="00E177CA">
        <w:rPr>
          <w:rFonts w:ascii="Arial" w:hAnsi="Arial" w:cs="Arial"/>
          <w:sz w:val="22"/>
          <w:szCs w:val="22"/>
          <w:lang w:val="en-GB"/>
        </w:rPr>
        <w:t xml:space="preserve"> </w:t>
      </w:r>
      <w:r w:rsidRPr="00E177CA">
        <w:rPr>
          <w:rFonts w:ascii="Arial" w:hAnsi="Arial" w:cs="Arial"/>
          <w:sz w:val="22"/>
          <w:szCs w:val="22"/>
          <w:lang w:val="en-GB"/>
        </w:rPr>
        <w:t>hyponatremia (3.0 vs</w:t>
      </w:r>
      <w:r w:rsidR="000A6C33" w:rsidRPr="00E177CA">
        <w:rPr>
          <w:rFonts w:ascii="Arial" w:hAnsi="Arial" w:cs="Arial"/>
          <w:sz w:val="22"/>
          <w:szCs w:val="22"/>
          <w:lang w:val="en-GB"/>
        </w:rPr>
        <w:t>.</w:t>
      </w:r>
      <w:r w:rsidRPr="00E177CA">
        <w:rPr>
          <w:rFonts w:ascii="Arial" w:hAnsi="Arial" w:cs="Arial"/>
          <w:sz w:val="22"/>
          <w:szCs w:val="22"/>
          <w:lang w:val="en-GB"/>
        </w:rPr>
        <w:t xml:space="preserve"> 4.6), hypomagnesemia (0.8 vs</w:t>
      </w:r>
      <w:r w:rsidR="000A6C33" w:rsidRPr="00E177CA">
        <w:rPr>
          <w:rFonts w:ascii="Arial" w:hAnsi="Arial" w:cs="Arial"/>
          <w:sz w:val="22"/>
          <w:szCs w:val="22"/>
          <w:lang w:val="en-GB"/>
        </w:rPr>
        <w:t>.</w:t>
      </w:r>
      <w:r w:rsidRPr="00E177CA">
        <w:rPr>
          <w:rFonts w:ascii="Arial" w:hAnsi="Arial" w:cs="Arial"/>
          <w:sz w:val="22"/>
          <w:szCs w:val="22"/>
          <w:lang w:val="en-GB"/>
        </w:rPr>
        <w:t xml:space="preserve"> 1.5), hyperuricemia (0.8 vs. 1.5), </w:t>
      </w:r>
      <w:r w:rsidR="006F4FCF" w:rsidRPr="00E177CA">
        <w:rPr>
          <w:rFonts w:ascii="Arial" w:hAnsi="Arial" w:cs="Arial"/>
          <w:sz w:val="22"/>
          <w:szCs w:val="22"/>
          <w:lang w:val="en-GB"/>
        </w:rPr>
        <w:t>acute coronary syndrome (0.8 vs. 0.0),</w:t>
      </w:r>
      <w:r w:rsidR="00752515" w:rsidRPr="00E177CA">
        <w:rPr>
          <w:rFonts w:ascii="Arial" w:hAnsi="Arial" w:cs="Arial"/>
          <w:sz w:val="22"/>
          <w:szCs w:val="22"/>
          <w:lang w:val="en-GB"/>
        </w:rPr>
        <w:t xml:space="preserve"> </w:t>
      </w:r>
      <w:r w:rsidRPr="00E177CA">
        <w:rPr>
          <w:rFonts w:ascii="Arial" w:hAnsi="Arial" w:cs="Arial"/>
          <w:sz w:val="22"/>
          <w:szCs w:val="22"/>
          <w:lang w:val="en-GB"/>
        </w:rPr>
        <w:t>gastroesophageal reflux (0.0 vs</w:t>
      </w:r>
      <w:r w:rsidR="000A6C33" w:rsidRPr="00E177CA">
        <w:rPr>
          <w:rFonts w:ascii="Arial" w:hAnsi="Arial" w:cs="Arial"/>
          <w:sz w:val="22"/>
          <w:szCs w:val="22"/>
          <w:lang w:val="en-GB"/>
        </w:rPr>
        <w:t>.</w:t>
      </w:r>
      <w:r w:rsidRPr="00E177CA">
        <w:rPr>
          <w:rFonts w:ascii="Arial" w:hAnsi="Arial" w:cs="Arial"/>
          <w:sz w:val="22"/>
          <w:szCs w:val="22"/>
          <w:lang w:val="en-GB"/>
        </w:rPr>
        <w:t xml:space="preserve"> 0.0), nail disorder (0.0 vs</w:t>
      </w:r>
      <w:r w:rsidR="000A6C33" w:rsidRPr="00E177CA">
        <w:rPr>
          <w:rFonts w:ascii="Arial" w:hAnsi="Arial" w:cs="Arial"/>
          <w:sz w:val="22"/>
          <w:szCs w:val="22"/>
          <w:lang w:val="en-GB"/>
        </w:rPr>
        <w:t>.</w:t>
      </w:r>
      <w:r w:rsidRPr="00E177CA">
        <w:rPr>
          <w:rFonts w:ascii="Arial" w:hAnsi="Arial" w:cs="Arial"/>
          <w:sz w:val="22"/>
          <w:szCs w:val="22"/>
          <w:lang w:val="en-GB"/>
        </w:rPr>
        <w:t xml:space="preserve"> 0.0), myocardial ischemia (0.0 vs</w:t>
      </w:r>
      <w:r w:rsidR="000A6C33" w:rsidRPr="00E177CA">
        <w:rPr>
          <w:rFonts w:ascii="Arial" w:hAnsi="Arial" w:cs="Arial"/>
          <w:sz w:val="22"/>
          <w:szCs w:val="22"/>
          <w:lang w:val="en-GB"/>
        </w:rPr>
        <w:t>.</w:t>
      </w:r>
      <w:r w:rsidRPr="00E177CA">
        <w:rPr>
          <w:rFonts w:ascii="Arial" w:hAnsi="Arial" w:cs="Arial"/>
          <w:sz w:val="22"/>
          <w:szCs w:val="22"/>
          <w:lang w:val="en-GB"/>
        </w:rPr>
        <w:t xml:space="preserve"> 0.0), myocardial infarction (0.0 vs</w:t>
      </w:r>
      <w:r w:rsidR="000A6C33" w:rsidRPr="00E177CA">
        <w:rPr>
          <w:rFonts w:ascii="Arial" w:hAnsi="Arial" w:cs="Arial"/>
          <w:sz w:val="22"/>
          <w:szCs w:val="22"/>
          <w:lang w:val="en-GB"/>
        </w:rPr>
        <w:t>.</w:t>
      </w:r>
      <w:r w:rsidRPr="00E177CA">
        <w:rPr>
          <w:rFonts w:ascii="Arial" w:hAnsi="Arial" w:cs="Arial"/>
          <w:sz w:val="22"/>
          <w:szCs w:val="22"/>
          <w:lang w:val="en-GB"/>
        </w:rPr>
        <w:t xml:space="preserve"> 0.0), </w:t>
      </w:r>
      <w:r w:rsidR="00642F10" w:rsidRPr="00E177CA">
        <w:rPr>
          <w:rFonts w:ascii="Arial" w:hAnsi="Arial" w:cs="Arial"/>
          <w:sz w:val="22"/>
          <w:szCs w:val="22"/>
          <w:lang w:val="en-GB"/>
        </w:rPr>
        <w:t xml:space="preserve">pancreatitis (0.0 vs. 0.0), </w:t>
      </w:r>
      <w:r w:rsidRPr="00E177CA">
        <w:rPr>
          <w:rFonts w:ascii="Arial" w:hAnsi="Arial" w:cs="Arial"/>
          <w:sz w:val="22"/>
          <w:szCs w:val="22"/>
          <w:lang w:val="en-GB"/>
        </w:rPr>
        <w:t>increase in amylase (0.0 vs</w:t>
      </w:r>
      <w:r w:rsidR="000A6C33" w:rsidRPr="00E177CA">
        <w:rPr>
          <w:rFonts w:ascii="Arial" w:hAnsi="Arial" w:cs="Arial"/>
          <w:sz w:val="22"/>
          <w:szCs w:val="22"/>
          <w:lang w:val="en-GB"/>
        </w:rPr>
        <w:t>.</w:t>
      </w:r>
      <w:r w:rsidRPr="00E177CA">
        <w:rPr>
          <w:rFonts w:ascii="Arial" w:hAnsi="Arial" w:cs="Arial"/>
          <w:sz w:val="22"/>
          <w:szCs w:val="22"/>
          <w:lang w:val="en-GB"/>
        </w:rPr>
        <w:t xml:space="preserve"> 0.0)</w:t>
      </w:r>
      <w:r w:rsidR="00181A35" w:rsidRPr="00E177CA">
        <w:rPr>
          <w:rFonts w:ascii="Arial" w:hAnsi="Arial" w:cs="Arial"/>
          <w:sz w:val="22"/>
          <w:szCs w:val="22"/>
          <w:lang w:val="en-GB"/>
        </w:rPr>
        <w:t>, exfoliative rash (0.0 vs</w:t>
      </w:r>
      <w:r w:rsidR="000A6C33" w:rsidRPr="00E177CA">
        <w:rPr>
          <w:rFonts w:ascii="Arial" w:hAnsi="Arial" w:cs="Arial"/>
          <w:sz w:val="22"/>
          <w:szCs w:val="22"/>
          <w:lang w:val="en-GB"/>
        </w:rPr>
        <w:t>.</w:t>
      </w:r>
      <w:r w:rsidR="00181A35" w:rsidRPr="00E177CA">
        <w:rPr>
          <w:rFonts w:ascii="Arial" w:hAnsi="Arial" w:cs="Arial"/>
          <w:sz w:val="22"/>
          <w:szCs w:val="22"/>
          <w:lang w:val="en-GB"/>
        </w:rPr>
        <w:t xml:space="preserve"> 0.0), erythema </w:t>
      </w:r>
      <w:proofErr w:type="spellStart"/>
      <w:r w:rsidR="00181A35" w:rsidRPr="00E177CA">
        <w:rPr>
          <w:rFonts w:ascii="Arial" w:hAnsi="Arial" w:cs="Arial"/>
          <w:sz w:val="22"/>
          <w:szCs w:val="22"/>
          <w:lang w:val="en-GB"/>
        </w:rPr>
        <w:t>multiforme</w:t>
      </w:r>
      <w:proofErr w:type="spellEnd"/>
      <w:r w:rsidR="00181A35" w:rsidRPr="00E177CA">
        <w:rPr>
          <w:rFonts w:ascii="Arial" w:hAnsi="Arial" w:cs="Arial"/>
          <w:sz w:val="22"/>
          <w:szCs w:val="22"/>
          <w:lang w:val="en-GB"/>
        </w:rPr>
        <w:t xml:space="preserve"> (0.0 vs</w:t>
      </w:r>
      <w:r w:rsidR="000A6C33" w:rsidRPr="00E177CA">
        <w:rPr>
          <w:rFonts w:ascii="Arial" w:hAnsi="Arial" w:cs="Arial"/>
          <w:sz w:val="22"/>
          <w:szCs w:val="22"/>
          <w:lang w:val="en-GB"/>
        </w:rPr>
        <w:t>.</w:t>
      </w:r>
      <w:r w:rsidR="00181A35" w:rsidRPr="00E177CA">
        <w:rPr>
          <w:rFonts w:ascii="Arial" w:hAnsi="Arial" w:cs="Arial"/>
          <w:sz w:val="22"/>
          <w:szCs w:val="22"/>
          <w:lang w:val="en-GB"/>
        </w:rPr>
        <w:t xml:space="preserve"> 0.0</w:t>
      </w:r>
      <w:r w:rsidR="008E22D7" w:rsidRPr="00E177CA">
        <w:rPr>
          <w:rFonts w:ascii="Arial" w:hAnsi="Arial" w:cs="Arial"/>
          <w:sz w:val="22"/>
          <w:szCs w:val="22"/>
          <w:lang w:val="en-GB"/>
        </w:rPr>
        <w:t>)</w:t>
      </w:r>
      <w:r w:rsidR="00642F10" w:rsidRPr="00E177CA">
        <w:rPr>
          <w:rFonts w:ascii="Arial" w:hAnsi="Arial" w:cs="Arial"/>
          <w:sz w:val="22"/>
          <w:szCs w:val="22"/>
          <w:lang w:val="en-GB"/>
        </w:rPr>
        <w:t xml:space="preserve">. </w:t>
      </w:r>
      <w:r w:rsidRPr="00E177CA">
        <w:rPr>
          <w:rFonts w:ascii="Arial" w:hAnsi="Arial" w:cs="Arial"/>
          <w:sz w:val="22"/>
          <w:szCs w:val="22"/>
          <w:lang w:val="en-GB"/>
        </w:rPr>
        <w:t>There was one report each for nail disorder and myocardial ischemia during the open-label treatment phase of the phase III trial in patients with GIST (GRID).</w:t>
      </w:r>
    </w:p>
    <w:p w14:paraId="712C2AC4" w14:textId="77777777" w:rsidR="003209D5" w:rsidRPr="00F4557E" w:rsidRDefault="003209D5" w:rsidP="00F4557E">
      <w:pPr>
        <w:rPr>
          <w:rFonts w:ascii="Arial" w:hAnsi="Arial" w:cs="Arial"/>
          <w:noProof/>
          <w:sz w:val="22"/>
          <w:szCs w:val="22"/>
          <w:lang w:val="en-AU"/>
        </w:rPr>
      </w:pPr>
    </w:p>
    <w:p w14:paraId="712C2AC5" w14:textId="77777777" w:rsidR="001E2D60" w:rsidRPr="00E177CA" w:rsidRDefault="001E2D60" w:rsidP="00E177CA">
      <w:pPr>
        <w:pStyle w:val="Heading3"/>
        <w:rPr>
          <w:rFonts w:ascii="Arial" w:hAnsi="Arial" w:cs="Arial"/>
          <w:sz w:val="22"/>
          <w:szCs w:val="22"/>
        </w:rPr>
      </w:pPr>
      <w:r w:rsidRPr="00E177CA">
        <w:rPr>
          <w:rFonts w:ascii="Arial" w:hAnsi="Arial" w:cs="Arial"/>
          <w:sz w:val="22"/>
          <w:szCs w:val="22"/>
        </w:rPr>
        <w:t>Laboratory abnormalities</w:t>
      </w:r>
    </w:p>
    <w:p w14:paraId="712C2AC6" w14:textId="77777777" w:rsidR="001E2D60" w:rsidRPr="00F4557E" w:rsidRDefault="001E2D60" w:rsidP="00E177CA">
      <w:pPr>
        <w:keepNext/>
        <w:rPr>
          <w:rFonts w:ascii="Arial" w:hAnsi="Arial" w:cs="Arial"/>
          <w:noProof/>
          <w:sz w:val="22"/>
          <w:szCs w:val="22"/>
          <w:lang w:val="en-AU"/>
        </w:rPr>
      </w:pPr>
    </w:p>
    <w:p w14:paraId="712C2AC7" w14:textId="5BF48DF6" w:rsidR="001E2D60" w:rsidRPr="00E177CA" w:rsidRDefault="00CF5E09" w:rsidP="00E177CA">
      <w:pPr>
        <w:pStyle w:val="BayerBodyTextFull"/>
        <w:keepNext/>
        <w:spacing w:before="0" w:after="0"/>
        <w:rPr>
          <w:rFonts w:ascii="Arial" w:hAnsi="Arial" w:cs="Arial"/>
          <w:sz w:val="22"/>
          <w:szCs w:val="22"/>
          <w:lang w:val="en-GB"/>
        </w:rPr>
      </w:pPr>
      <w:r w:rsidRPr="00E177CA">
        <w:rPr>
          <w:rFonts w:ascii="Arial" w:hAnsi="Arial" w:cs="Arial"/>
          <w:sz w:val="22"/>
          <w:szCs w:val="22"/>
          <w:lang w:val="en-GB"/>
        </w:rPr>
        <w:t xml:space="preserve">Table </w:t>
      </w:r>
      <w:r w:rsidR="00871049" w:rsidRPr="00E177CA">
        <w:rPr>
          <w:rFonts w:ascii="Arial" w:hAnsi="Arial" w:cs="Arial"/>
          <w:sz w:val="22"/>
          <w:szCs w:val="22"/>
          <w:lang w:val="en-GB"/>
        </w:rPr>
        <w:t>9</w:t>
      </w:r>
      <w:r w:rsidRPr="00E177CA">
        <w:rPr>
          <w:rFonts w:ascii="Arial" w:hAnsi="Arial" w:cs="Arial"/>
          <w:sz w:val="22"/>
          <w:szCs w:val="22"/>
          <w:lang w:val="en-GB"/>
        </w:rPr>
        <w:t xml:space="preserve"> compares the incidence of laboratory test abnormalities in patients receiving </w:t>
      </w:r>
      <w:r w:rsidR="00601DFC" w:rsidRPr="00E177CA">
        <w:rPr>
          <w:rFonts w:ascii="Arial" w:hAnsi="Arial" w:cs="Arial"/>
          <w:sz w:val="22"/>
          <w:szCs w:val="22"/>
          <w:lang w:val="en-GB"/>
        </w:rPr>
        <w:t>STIVARGA</w:t>
      </w:r>
      <w:r w:rsidR="005B16AA" w:rsidRPr="00E177CA">
        <w:rPr>
          <w:rFonts w:ascii="Arial" w:hAnsi="Arial" w:cs="Arial"/>
          <w:sz w:val="22"/>
          <w:szCs w:val="22"/>
          <w:lang w:val="en-GB"/>
        </w:rPr>
        <w:t xml:space="preserve"> </w:t>
      </w:r>
      <w:r w:rsidRPr="00E177CA">
        <w:rPr>
          <w:rFonts w:ascii="Arial" w:hAnsi="Arial" w:cs="Arial"/>
          <w:sz w:val="22"/>
          <w:szCs w:val="22"/>
          <w:lang w:val="en-GB"/>
        </w:rPr>
        <w:t>and in patients receiving placebo in the pivotal GRID study.</w:t>
      </w:r>
      <w:r w:rsidR="001E2D60" w:rsidRPr="00E177CA">
        <w:rPr>
          <w:rFonts w:ascii="Arial" w:hAnsi="Arial" w:cs="Arial"/>
          <w:sz w:val="22"/>
          <w:szCs w:val="22"/>
          <w:lang w:val="en-GB"/>
        </w:rPr>
        <w:t xml:space="preserve"> </w:t>
      </w:r>
    </w:p>
    <w:p w14:paraId="57462684" w14:textId="77777777" w:rsidR="009E45A9" w:rsidRPr="00F4557E" w:rsidRDefault="009E45A9" w:rsidP="00E177CA">
      <w:pPr>
        <w:keepNext/>
        <w:rPr>
          <w:rFonts w:ascii="Arial" w:hAnsi="Arial" w:cs="Arial"/>
          <w:noProof/>
          <w:sz w:val="22"/>
          <w:szCs w:val="22"/>
        </w:rPr>
      </w:pPr>
    </w:p>
    <w:p w14:paraId="712C2AC8" w14:textId="4FF6F96C" w:rsidR="00CF5E09" w:rsidRPr="00F4557E" w:rsidRDefault="00CF5E09" w:rsidP="00E177CA">
      <w:pPr>
        <w:keepNext/>
        <w:tabs>
          <w:tab w:val="left" w:pos="540"/>
        </w:tabs>
        <w:autoSpaceDE w:val="0"/>
        <w:autoSpaceDN w:val="0"/>
        <w:adjustRightInd w:val="0"/>
        <w:rPr>
          <w:rFonts w:ascii="Arial" w:hAnsi="Arial" w:cs="Arial"/>
          <w:b/>
          <w:color w:val="000000"/>
          <w:sz w:val="22"/>
          <w:szCs w:val="22"/>
        </w:rPr>
      </w:pPr>
      <w:r w:rsidRPr="00F4557E">
        <w:rPr>
          <w:rFonts w:ascii="Arial" w:hAnsi="Arial" w:cs="Arial"/>
          <w:b/>
          <w:color w:val="000000"/>
          <w:sz w:val="22"/>
          <w:szCs w:val="22"/>
        </w:rPr>
        <w:t xml:space="preserve">Table </w:t>
      </w:r>
      <w:r w:rsidR="00871049" w:rsidRPr="00F4557E">
        <w:rPr>
          <w:rFonts w:ascii="Arial" w:hAnsi="Arial" w:cs="Arial"/>
          <w:b/>
          <w:color w:val="000000"/>
          <w:sz w:val="22"/>
          <w:szCs w:val="22"/>
        </w:rPr>
        <w:t>9</w:t>
      </w:r>
      <w:r w:rsidRPr="00F4557E">
        <w:rPr>
          <w:rFonts w:ascii="Arial" w:hAnsi="Arial" w:cs="Arial"/>
          <w:b/>
          <w:color w:val="000000"/>
          <w:sz w:val="22"/>
          <w:szCs w:val="22"/>
        </w:rPr>
        <w:t xml:space="preserve">: Treatment-emergent laboratory test abnormalities reported in placebo-controlled Phase III trial </w:t>
      </w:r>
      <w:r w:rsidR="004251BF" w:rsidRPr="00F4557E">
        <w:rPr>
          <w:rFonts w:ascii="Arial" w:hAnsi="Arial" w:cs="Arial"/>
          <w:b/>
          <w:color w:val="000000"/>
          <w:sz w:val="22"/>
          <w:szCs w:val="22"/>
        </w:rPr>
        <w:t xml:space="preserve">(double-blind phase) </w:t>
      </w:r>
      <w:r w:rsidRPr="00F4557E">
        <w:rPr>
          <w:rFonts w:ascii="Arial" w:hAnsi="Arial" w:cs="Arial"/>
          <w:b/>
          <w:color w:val="000000"/>
          <w:sz w:val="22"/>
          <w:szCs w:val="22"/>
        </w:rPr>
        <w:t xml:space="preserve">in patients with GIST (GRID). </w:t>
      </w:r>
    </w:p>
    <w:p w14:paraId="39406EF8" w14:textId="77777777" w:rsidR="009E45A9" w:rsidRPr="00F4557E" w:rsidRDefault="009E45A9" w:rsidP="00F4557E">
      <w:pPr>
        <w:rPr>
          <w:rFonts w:ascii="Arial" w:hAnsi="Arial" w:cs="Arial"/>
          <w:noProof/>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1080"/>
        <w:gridCol w:w="1080"/>
        <w:gridCol w:w="1074"/>
        <w:gridCol w:w="6"/>
        <w:gridCol w:w="1058"/>
        <w:gridCol w:w="1134"/>
        <w:gridCol w:w="1048"/>
      </w:tblGrid>
      <w:tr w:rsidR="001E2D60" w:rsidRPr="00F4557E" w14:paraId="712C2ACE" w14:textId="77777777" w:rsidTr="001578C7">
        <w:trPr>
          <w:trHeight w:val="740"/>
          <w:tblHeader/>
        </w:trPr>
        <w:tc>
          <w:tcPr>
            <w:tcW w:w="2898" w:type="dxa"/>
            <w:vMerge w:val="restart"/>
            <w:vAlign w:val="center"/>
          </w:tcPr>
          <w:p w14:paraId="76BF2F30" w14:textId="77777777" w:rsidR="005E2C3E" w:rsidRDefault="001E2D60" w:rsidP="00F4557E">
            <w:pPr>
              <w:rPr>
                <w:rFonts w:ascii="Arial" w:hAnsi="Arial" w:cs="Arial"/>
                <w:b/>
                <w:noProof/>
                <w:sz w:val="22"/>
                <w:szCs w:val="22"/>
              </w:rPr>
            </w:pPr>
            <w:r w:rsidRPr="00F4557E">
              <w:rPr>
                <w:rFonts w:ascii="Arial" w:hAnsi="Arial" w:cs="Arial"/>
                <w:b/>
                <w:noProof/>
                <w:sz w:val="22"/>
                <w:szCs w:val="22"/>
              </w:rPr>
              <w:t>Laboratory parameter</w:t>
            </w:r>
            <w:r w:rsidR="00712C81" w:rsidRPr="00F4557E">
              <w:rPr>
                <w:rFonts w:ascii="Arial" w:hAnsi="Arial" w:cs="Arial"/>
                <w:b/>
                <w:noProof/>
                <w:sz w:val="22"/>
                <w:szCs w:val="22"/>
              </w:rPr>
              <w:t xml:space="preserve"> </w:t>
            </w:r>
          </w:p>
          <w:p w14:paraId="712C2AC9" w14:textId="1F824671" w:rsidR="001E2D60" w:rsidRPr="00F4557E" w:rsidRDefault="00712C81" w:rsidP="00F4557E">
            <w:pPr>
              <w:rPr>
                <w:rFonts w:ascii="Arial" w:hAnsi="Arial" w:cs="Arial"/>
                <w:noProof/>
                <w:sz w:val="22"/>
                <w:szCs w:val="22"/>
              </w:rPr>
            </w:pPr>
            <w:r w:rsidRPr="00F4557E">
              <w:rPr>
                <w:rFonts w:ascii="Arial" w:hAnsi="Arial" w:cs="Arial"/>
                <w:b/>
                <w:noProof/>
                <w:sz w:val="22"/>
                <w:szCs w:val="22"/>
              </w:rPr>
              <w:t>(in % of samples investigated)</w:t>
            </w:r>
          </w:p>
        </w:tc>
        <w:tc>
          <w:tcPr>
            <w:tcW w:w="3240" w:type="dxa"/>
            <w:gridSpan w:val="4"/>
            <w:vAlign w:val="center"/>
          </w:tcPr>
          <w:p w14:paraId="712C2ACA" w14:textId="2A153121" w:rsidR="001E2D60" w:rsidRPr="00F4557E" w:rsidRDefault="00601DFC" w:rsidP="001578C7">
            <w:pPr>
              <w:jc w:val="center"/>
              <w:rPr>
                <w:rFonts w:ascii="Arial" w:hAnsi="Arial" w:cs="Arial"/>
                <w:noProof/>
                <w:sz w:val="22"/>
                <w:szCs w:val="22"/>
              </w:rPr>
            </w:pPr>
            <w:r w:rsidRPr="00F4557E">
              <w:rPr>
                <w:rFonts w:ascii="Arial" w:hAnsi="Arial" w:cs="Arial"/>
                <w:b/>
                <w:noProof/>
                <w:sz w:val="22"/>
                <w:szCs w:val="22"/>
              </w:rPr>
              <w:t>STIVARGA</w:t>
            </w:r>
            <w:r w:rsidR="005B16AA" w:rsidRPr="00F4557E">
              <w:rPr>
                <w:rFonts w:ascii="Arial" w:hAnsi="Arial" w:cs="Arial"/>
                <w:b/>
                <w:noProof/>
                <w:sz w:val="22"/>
                <w:szCs w:val="22"/>
              </w:rPr>
              <w:t xml:space="preserve"> </w:t>
            </w:r>
            <w:r w:rsidR="001E2D60" w:rsidRPr="00F4557E">
              <w:rPr>
                <w:rFonts w:ascii="Arial" w:hAnsi="Arial" w:cs="Arial"/>
                <w:b/>
                <w:noProof/>
                <w:sz w:val="22"/>
                <w:szCs w:val="22"/>
              </w:rPr>
              <w:t>plus BSC</w:t>
            </w:r>
            <w:r w:rsidR="005F3D99" w:rsidRPr="00F4557E">
              <w:rPr>
                <w:rFonts w:ascii="Arial" w:hAnsi="Arial" w:cs="Arial"/>
                <w:b/>
                <w:noProof/>
                <w:sz w:val="22"/>
                <w:szCs w:val="22"/>
              </w:rPr>
              <w:t>§</w:t>
            </w:r>
          </w:p>
          <w:p w14:paraId="712C2ACB" w14:textId="77777777" w:rsidR="001E2D60" w:rsidRPr="00F4557E" w:rsidRDefault="001E2D60" w:rsidP="001578C7">
            <w:pPr>
              <w:jc w:val="center"/>
              <w:rPr>
                <w:rFonts w:ascii="Arial" w:hAnsi="Arial" w:cs="Arial"/>
                <w:noProof/>
                <w:sz w:val="22"/>
                <w:szCs w:val="22"/>
              </w:rPr>
            </w:pPr>
            <w:r w:rsidRPr="00F4557E">
              <w:rPr>
                <w:rFonts w:ascii="Arial" w:hAnsi="Arial" w:cs="Arial"/>
                <w:b/>
                <w:noProof/>
                <w:sz w:val="22"/>
                <w:szCs w:val="22"/>
              </w:rPr>
              <w:t>(</w:t>
            </w:r>
            <w:r w:rsidR="00BE544D" w:rsidRPr="00F4557E">
              <w:rPr>
                <w:rFonts w:ascii="Arial" w:hAnsi="Arial" w:cs="Arial"/>
                <w:b/>
                <w:noProof/>
                <w:sz w:val="22"/>
                <w:szCs w:val="22"/>
              </w:rPr>
              <w:t>N</w:t>
            </w:r>
            <w:r w:rsidRPr="00F4557E">
              <w:rPr>
                <w:rFonts w:ascii="Arial" w:hAnsi="Arial" w:cs="Arial"/>
                <w:b/>
                <w:noProof/>
                <w:sz w:val="22"/>
                <w:szCs w:val="22"/>
              </w:rPr>
              <w:t>=132)</w:t>
            </w:r>
          </w:p>
        </w:tc>
        <w:tc>
          <w:tcPr>
            <w:tcW w:w="3240" w:type="dxa"/>
            <w:gridSpan w:val="3"/>
            <w:vAlign w:val="center"/>
          </w:tcPr>
          <w:p w14:paraId="712C2ACC" w14:textId="77777777" w:rsidR="001E2D60" w:rsidRPr="00F4557E" w:rsidRDefault="001E2D60" w:rsidP="001578C7">
            <w:pPr>
              <w:jc w:val="center"/>
              <w:rPr>
                <w:rFonts w:ascii="Arial" w:hAnsi="Arial" w:cs="Arial"/>
                <w:noProof/>
                <w:sz w:val="22"/>
                <w:szCs w:val="22"/>
              </w:rPr>
            </w:pPr>
            <w:r w:rsidRPr="00F4557E">
              <w:rPr>
                <w:rFonts w:ascii="Arial" w:hAnsi="Arial" w:cs="Arial"/>
                <w:b/>
                <w:noProof/>
                <w:sz w:val="22"/>
                <w:szCs w:val="22"/>
              </w:rPr>
              <w:t>Placebo plus BSC</w:t>
            </w:r>
            <w:r w:rsidR="005F3D99" w:rsidRPr="00F4557E">
              <w:rPr>
                <w:rFonts w:ascii="Arial" w:hAnsi="Arial" w:cs="Arial"/>
                <w:b/>
                <w:noProof/>
                <w:sz w:val="22"/>
                <w:szCs w:val="22"/>
              </w:rPr>
              <w:t>§</w:t>
            </w:r>
          </w:p>
          <w:p w14:paraId="712C2ACD" w14:textId="77777777" w:rsidR="001E2D60" w:rsidRPr="00F4557E" w:rsidRDefault="001E2D60" w:rsidP="001578C7">
            <w:pPr>
              <w:jc w:val="center"/>
              <w:rPr>
                <w:rFonts w:ascii="Arial" w:hAnsi="Arial" w:cs="Arial"/>
                <w:noProof/>
                <w:sz w:val="22"/>
                <w:szCs w:val="22"/>
              </w:rPr>
            </w:pPr>
            <w:r w:rsidRPr="00F4557E">
              <w:rPr>
                <w:rFonts w:ascii="Arial" w:hAnsi="Arial" w:cs="Arial"/>
                <w:b/>
                <w:noProof/>
                <w:sz w:val="22"/>
                <w:szCs w:val="22"/>
              </w:rPr>
              <w:t>(</w:t>
            </w:r>
            <w:r w:rsidR="00BE544D" w:rsidRPr="00F4557E">
              <w:rPr>
                <w:rFonts w:ascii="Arial" w:hAnsi="Arial" w:cs="Arial"/>
                <w:b/>
                <w:noProof/>
                <w:sz w:val="22"/>
                <w:szCs w:val="22"/>
              </w:rPr>
              <w:t>N</w:t>
            </w:r>
            <w:r w:rsidRPr="00F4557E">
              <w:rPr>
                <w:rFonts w:ascii="Arial" w:hAnsi="Arial" w:cs="Arial"/>
                <w:b/>
                <w:noProof/>
                <w:sz w:val="22"/>
                <w:szCs w:val="22"/>
              </w:rPr>
              <w:t>=66)</w:t>
            </w:r>
          </w:p>
        </w:tc>
      </w:tr>
      <w:tr w:rsidR="001E2D60" w:rsidRPr="00F4557E" w14:paraId="712C2ADC" w14:textId="77777777" w:rsidTr="001578C7">
        <w:trPr>
          <w:trHeight w:val="706"/>
          <w:tblHeader/>
        </w:trPr>
        <w:tc>
          <w:tcPr>
            <w:tcW w:w="2898" w:type="dxa"/>
            <w:vMerge/>
            <w:vAlign w:val="center"/>
          </w:tcPr>
          <w:p w14:paraId="712C2ACF" w14:textId="77777777" w:rsidR="001E2D60" w:rsidRPr="00F4557E" w:rsidRDefault="001E2D60" w:rsidP="00F4557E">
            <w:pPr>
              <w:rPr>
                <w:rFonts w:ascii="Arial" w:hAnsi="Arial" w:cs="Arial"/>
                <w:noProof/>
                <w:sz w:val="22"/>
                <w:szCs w:val="22"/>
              </w:rPr>
            </w:pPr>
          </w:p>
        </w:tc>
        <w:tc>
          <w:tcPr>
            <w:tcW w:w="1080" w:type="dxa"/>
            <w:vAlign w:val="center"/>
          </w:tcPr>
          <w:p w14:paraId="712C2AD1" w14:textId="714BD20D" w:rsidR="001E2D60" w:rsidRPr="00F4557E" w:rsidRDefault="001E2D60" w:rsidP="001578C7">
            <w:pPr>
              <w:jc w:val="center"/>
              <w:rPr>
                <w:rFonts w:ascii="Arial" w:hAnsi="Arial" w:cs="Arial"/>
                <w:noProof/>
                <w:sz w:val="22"/>
                <w:szCs w:val="22"/>
              </w:rPr>
            </w:pPr>
            <w:r w:rsidRPr="00F4557E">
              <w:rPr>
                <w:rFonts w:ascii="Arial" w:hAnsi="Arial" w:cs="Arial"/>
                <w:b/>
                <w:noProof/>
                <w:sz w:val="22"/>
                <w:szCs w:val="22"/>
              </w:rPr>
              <w:t>All</w:t>
            </w:r>
            <w:r w:rsidR="00712C81" w:rsidRPr="00F4557E">
              <w:rPr>
                <w:rFonts w:ascii="Arial" w:hAnsi="Arial" w:cs="Arial"/>
                <w:b/>
                <w:noProof/>
                <w:sz w:val="22"/>
                <w:szCs w:val="22"/>
              </w:rPr>
              <w:t xml:space="preserve"> Grades*</w:t>
            </w:r>
          </w:p>
        </w:tc>
        <w:tc>
          <w:tcPr>
            <w:tcW w:w="1080" w:type="dxa"/>
            <w:vAlign w:val="center"/>
          </w:tcPr>
          <w:p w14:paraId="712C2AD3" w14:textId="04C62C85" w:rsidR="001E2D60" w:rsidRPr="00F4557E" w:rsidRDefault="00712C81" w:rsidP="001578C7">
            <w:pPr>
              <w:jc w:val="center"/>
              <w:rPr>
                <w:rFonts w:ascii="Arial" w:hAnsi="Arial" w:cs="Arial"/>
                <w:noProof/>
                <w:sz w:val="22"/>
                <w:szCs w:val="22"/>
              </w:rPr>
            </w:pPr>
            <w:r w:rsidRPr="00F4557E">
              <w:rPr>
                <w:rFonts w:ascii="Arial" w:hAnsi="Arial" w:cs="Arial"/>
                <w:b/>
                <w:noProof/>
                <w:sz w:val="22"/>
                <w:szCs w:val="22"/>
              </w:rPr>
              <w:t xml:space="preserve">Grade </w:t>
            </w:r>
            <w:r w:rsidR="001E2D60" w:rsidRPr="00F4557E">
              <w:rPr>
                <w:rFonts w:ascii="Arial" w:hAnsi="Arial" w:cs="Arial"/>
                <w:b/>
                <w:noProof/>
                <w:sz w:val="22"/>
                <w:szCs w:val="22"/>
              </w:rPr>
              <w:t>3</w:t>
            </w:r>
            <w:r w:rsidRPr="00F4557E">
              <w:rPr>
                <w:rFonts w:ascii="Arial" w:hAnsi="Arial" w:cs="Arial"/>
                <w:b/>
                <w:noProof/>
                <w:sz w:val="22"/>
                <w:szCs w:val="22"/>
              </w:rPr>
              <w:t>*</w:t>
            </w:r>
          </w:p>
        </w:tc>
        <w:tc>
          <w:tcPr>
            <w:tcW w:w="1080" w:type="dxa"/>
            <w:gridSpan w:val="2"/>
            <w:vAlign w:val="center"/>
          </w:tcPr>
          <w:p w14:paraId="712C2AD5" w14:textId="41A69E18" w:rsidR="001E2D60" w:rsidRPr="00F4557E" w:rsidRDefault="00712C81" w:rsidP="001578C7">
            <w:pPr>
              <w:jc w:val="center"/>
              <w:rPr>
                <w:rFonts w:ascii="Arial" w:hAnsi="Arial" w:cs="Arial"/>
                <w:noProof/>
                <w:sz w:val="22"/>
                <w:szCs w:val="22"/>
              </w:rPr>
            </w:pPr>
            <w:r w:rsidRPr="00F4557E">
              <w:rPr>
                <w:rFonts w:ascii="Arial" w:hAnsi="Arial" w:cs="Arial"/>
                <w:b/>
                <w:noProof/>
                <w:sz w:val="22"/>
                <w:szCs w:val="22"/>
              </w:rPr>
              <w:t xml:space="preserve">Grade </w:t>
            </w:r>
            <w:r w:rsidR="001E2D60" w:rsidRPr="00F4557E">
              <w:rPr>
                <w:rFonts w:ascii="Arial" w:hAnsi="Arial" w:cs="Arial"/>
                <w:b/>
                <w:noProof/>
                <w:sz w:val="22"/>
                <w:szCs w:val="22"/>
              </w:rPr>
              <w:t>4</w:t>
            </w:r>
            <w:r w:rsidRPr="00F4557E">
              <w:rPr>
                <w:rFonts w:ascii="Arial" w:hAnsi="Arial" w:cs="Arial"/>
                <w:b/>
                <w:noProof/>
                <w:sz w:val="22"/>
                <w:szCs w:val="22"/>
              </w:rPr>
              <w:t>*</w:t>
            </w:r>
          </w:p>
        </w:tc>
        <w:tc>
          <w:tcPr>
            <w:tcW w:w="1058" w:type="dxa"/>
            <w:vAlign w:val="center"/>
          </w:tcPr>
          <w:p w14:paraId="712C2AD7" w14:textId="300BC5E7" w:rsidR="001E2D60" w:rsidRPr="00F4557E" w:rsidRDefault="001E2D60" w:rsidP="005E2C3E">
            <w:pPr>
              <w:ind w:left="-42" w:right="-108"/>
              <w:jc w:val="center"/>
              <w:rPr>
                <w:rFonts w:ascii="Arial" w:hAnsi="Arial" w:cs="Arial"/>
                <w:noProof/>
                <w:sz w:val="22"/>
                <w:szCs w:val="22"/>
              </w:rPr>
            </w:pPr>
            <w:r w:rsidRPr="00F4557E">
              <w:rPr>
                <w:rFonts w:ascii="Arial" w:hAnsi="Arial" w:cs="Arial"/>
                <w:b/>
                <w:noProof/>
                <w:sz w:val="22"/>
                <w:szCs w:val="22"/>
              </w:rPr>
              <w:t>All</w:t>
            </w:r>
            <w:r w:rsidR="00712C81" w:rsidRPr="00F4557E">
              <w:rPr>
                <w:rFonts w:ascii="Arial" w:hAnsi="Arial" w:cs="Arial"/>
                <w:b/>
                <w:noProof/>
                <w:sz w:val="22"/>
                <w:szCs w:val="22"/>
              </w:rPr>
              <w:t xml:space="preserve"> Grades*</w:t>
            </w:r>
          </w:p>
        </w:tc>
        <w:tc>
          <w:tcPr>
            <w:tcW w:w="1134" w:type="dxa"/>
            <w:vAlign w:val="center"/>
          </w:tcPr>
          <w:p w14:paraId="712C2AD9" w14:textId="4EB3F7D3" w:rsidR="001E2D60" w:rsidRPr="00F4557E" w:rsidRDefault="00712C81" w:rsidP="001578C7">
            <w:pPr>
              <w:jc w:val="center"/>
              <w:rPr>
                <w:rFonts w:ascii="Arial" w:hAnsi="Arial" w:cs="Arial"/>
                <w:noProof/>
                <w:sz w:val="22"/>
                <w:szCs w:val="22"/>
              </w:rPr>
            </w:pPr>
            <w:r w:rsidRPr="00F4557E">
              <w:rPr>
                <w:rFonts w:ascii="Arial" w:hAnsi="Arial" w:cs="Arial"/>
                <w:b/>
                <w:noProof/>
                <w:sz w:val="22"/>
                <w:szCs w:val="22"/>
              </w:rPr>
              <w:t xml:space="preserve">Grade </w:t>
            </w:r>
            <w:r w:rsidR="00EF0C8F">
              <w:rPr>
                <w:rFonts w:ascii="Arial" w:hAnsi="Arial" w:cs="Arial"/>
                <w:b/>
                <w:noProof/>
                <w:sz w:val="22"/>
                <w:szCs w:val="22"/>
              </w:rPr>
              <w:br/>
            </w:r>
            <w:r w:rsidR="001E2D60" w:rsidRPr="00F4557E">
              <w:rPr>
                <w:rFonts w:ascii="Arial" w:hAnsi="Arial" w:cs="Arial"/>
                <w:b/>
                <w:noProof/>
                <w:sz w:val="22"/>
                <w:szCs w:val="22"/>
              </w:rPr>
              <w:t>3</w:t>
            </w:r>
            <w:r w:rsidRPr="00F4557E">
              <w:rPr>
                <w:rFonts w:ascii="Arial" w:hAnsi="Arial" w:cs="Arial"/>
                <w:b/>
                <w:noProof/>
                <w:sz w:val="22"/>
                <w:szCs w:val="22"/>
              </w:rPr>
              <w:t>*</w:t>
            </w:r>
          </w:p>
        </w:tc>
        <w:tc>
          <w:tcPr>
            <w:tcW w:w="1048" w:type="dxa"/>
            <w:vAlign w:val="center"/>
          </w:tcPr>
          <w:p w14:paraId="712C2ADB" w14:textId="69372960" w:rsidR="001E2D60" w:rsidRPr="00F4557E" w:rsidRDefault="00712C81" w:rsidP="001578C7">
            <w:pPr>
              <w:jc w:val="center"/>
              <w:rPr>
                <w:rFonts w:ascii="Arial" w:hAnsi="Arial" w:cs="Arial"/>
                <w:noProof/>
                <w:sz w:val="22"/>
                <w:szCs w:val="22"/>
              </w:rPr>
            </w:pPr>
            <w:r w:rsidRPr="00F4557E">
              <w:rPr>
                <w:rFonts w:ascii="Arial" w:hAnsi="Arial" w:cs="Arial"/>
                <w:b/>
                <w:noProof/>
                <w:sz w:val="22"/>
                <w:szCs w:val="22"/>
              </w:rPr>
              <w:t xml:space="preserve">Grade </w:t>
            </w:r>
            <w:r w:rsidR="001E2D60" w:rsidRPr="00F4557E">
              <w:rPr>
                <w:rFonts w:ascii="Arial" w:hAnsi="Arial" w:cs="Arial"/>
                <w:b/>
                <w:noProof/>
                <w:sz w:val="22"/>
                <w:szCs w:val="22"/>
              </w:rPr>
              <w:t>4</w:t>
            </w:r>
            <w:r w:rsidRPr="00F4557E">
              <w:rPr>
                <w:rFonts w:ascii="Arial" w:hAnsi="Arial" w:cs="Arial"/>
                <w:b/>
                <w:noProof/>
                <w:sz w:val="22"/>
                <w:szCs w:val="22"/>
              </w:rPr>
              <w:t>*</w:t>
            </w:r>
          </w:p>
        </w:tc>
      </w:tr>
      <w:tr w:rsidR="001E2D60" w:rsidRPr="00F4557E" w14:paraId="712C2AE6"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696"/>
        </w:trPr>
        <w:tc>
          <w:tcPr>
            <w:tcW w:w="2898" w:type="dxa"/>
            <w:tcBorders>
              <w:top w:val="single" w:sz="6" w:space="0" w:color="000000"/>
              <w:left w:val="single" w:sz="6" w:space="0" w:color="000000"/>
              <w:bottom w:val="nil"/>
              <w:right w:val="single" w:sz="4" w:space="0" w:color="000000"/>
            </w:tcBorders>
          </w:tcPr>
          <w:p w14:paraId="712C2ADD" w14:textId="77777777" w:rsidR="001E2D60" w:rsidRPr="00F4557E" w:rsidRDefault="001E2D60" w:rsidP="00F4557E">
            <w:pPr>
              <w:rPr>
                <w:rFonts w:ascii="Arial" w:hAnsi="Arial" w:cs="Arial"/>
                <w:noProof/>
                <w:sz w:val="22"/>
                <w:szCs w:val="22"/>
              </w:rPr>
            </w:pPr>
            <w:r w:rsidRPr="00F4557E">
              <w:rPr>
                <w:rFonts w:ascii="Arial" w:hAnsi="Arial" w:cs="Arial"/>
                <w:b/>
                <w:noProof/>
                <w:sz w:val="22"/>
                <w:szCs w:val="22"/>
              </w:rPr>
              <w:t>Blood and</w:t>
            </w:r>
          </w:p>
          <w:p w14:paraId="712C2ADE" w14:textId="77777777" w:rsidR="001E2D60" w:rsidRPr="00F4557E" w:rsidRDefault="001E2D60" w:rsidP="00F4557E">
            <w:pPr>
              <w:rPr>
                <w:rFonts w:ascii="Arial" w:hAnsi="Arial" w:cs="Arial"/>
                <w:noProof/>
                <w:sz w:val="22"/>
                <w:szCs w:val="22"/>
              </w:rPr>
            </w:pPr>
            <w:r w:rsidRPr="00F4557E">
              <w:rPr>
                <w:rFonts w:ascii="Arial" w:hAnsi="Arial" w:cs="Arial"/>
                <w:b/>
                <w:noProof/>
                <w:sz w:val="22"/>
                <w:szCs w:val="22"/>
              </w:rPr>
              <w:t>lymphatic system</w:t>
            </w:r>
          </w:p>
          <w:p w14:paraId="712C2ADF" w14:textId="77777777" w:rsidR="001E2D60" w:rsidRPr="00F4557E" w:rsidRDefault="001E2D60" w:rsidP="00F4557E">
            <w:pPr>
              <w:rPr>
                <w:rFonts w:ascii="Arial" w:hAnsi="Arial" w:cs="Arial"/>
                <w:noProof/>
                <w:sz w:val="22"/>
                <w:szCs w:val="22"/>
              </w:rPr>
            </w:pPr>
            <w:r w:rsidRPr="00F4557E">
              <w:rPr>
                <w:rFonts w:ascii="Arial" w:hAnsi="Arial" w:cs="Arial"/>
                <w:b/>
                <w:noProof/>
                <w:sz w:val="22"/>
                <w:szCs w:val="22"/>
              </w:rPr>
              <w:t xml:space="preserve">disorders  </w:t>
            </w:r>
          </w:p>
        </w:tc>
        <w:tc>
          <w:tcPr>
            <w:tcW w:w="1080" w:type="dxa"/>
            <w:tcBorders>
              <w:top w:val="single" w:sz="6" w:space="0" w:color="000000"/>
              <w:left w:val="single" w:sz="4" w:space="0" w:color="000000"/>
              <w:bottom w:val="nil"/>
              <w:right w:val="single" w:sz="4" w:space="0" w:color="000000"/>
            </w:tcBorders>
          </w:tcPr>
          <w:p w14:paraId="712C2AE0" w14:textId="77777777" w:rsidR="001E2D60" w:rsidRPr="00F4557E" w:rsidRDefault="001E2D60" w:rsidP="001578C7">
            <w:pPr>
              <w:jc w:val="center"/>
              <w:rPr>
                <w:rFonts w:ascii="Arial" w:hAnsi="Arial" w:cs="Arial"/>
                <w:noProof/>
                <w:sz w:val="22"/>
                <w:szCs w:val="22"/>
              </w:rPr>
            </w:pPr>
          </w:p>
        </w:tc>
        <w:tc>
          <w:tcPr>
            <w:tcW w:w="1080" w:type="dxa"/>
            <w:tcBorders>
              <w:top w:val="single" w:sz="6" w:space="0" w:color="000000"/>
              <w:left w:val="single" w:sz="4" w:space="0" w:color="000000"/>
              <w:bottom w:val="nil"/>
              <w:right w:val="single" w:sz="4" w:space="0" w:color="000000"/>
            </w:tcBorders>
          </w:tcPr>
          <w:p w14:paraId="712C2AE1" w14:textId="77777777" w:rsidR="001E2D60" w:rsidRPr="00F4557E" w:rsidRDefault="001E2D60" w:rsidP="001578C7">
            <w:pPr>
              <w:jc w:val="center"/>
              <w:rPr>
                <w:rFonts w:ascii="Arial" w:hAnsi="Arial" w:cs="Arial"/>
                <w:noProof/>
                <w:sz w:val="22"/>
                <w:szCs w:val="22"/>
              </w:rPr>
            </w:pPr>
          </w:p>
        </w:tc>
        <w:tc>
          <w:tcPr>
            <w:tcW w:w="1074" w:type="dxa"/>
            <w:tcBorders>
              <w:top w:val="single" w:sz="6" w:space="0" w:color="000000"/>
              <w:left w:val="single" w:sz="4" w:space="0" w:color="000000"/>
              <w:bottom w:val="nil"/>
              <w:right w:val="single" w:sz="4" w:space="0" w:color="000000"/>
            </w:tcBorders>
          </w:tcPr>
          <w:p w14:paraId="712C2AE2" w14:textId="77777777" w:rsidR="001E2D60" w:rsidRPr="00F4557E" w:rsidRDefault="001E2D60" w:rsidP="001578C7">
            <w:pPr>
              <w:jc w:val="center"/>
              <w:rPr>
                <w:rFonts w:ascii="Arial" w:hAnsi="Arial" w:cs="Arial"/>
                <w:noProof/>
                <w:sz w:val="22"/>
                <w:szCs w:val="22"/>
              </w:rPr>
            </w:pPr>
          </w:p>
        </w:tc>
        <w:tc>
          <w:tcPr>
            <w:tcW w:w="1064" w:type="dxa"/>
            <w:gridSpan w:val="2"/>
            <w:tcBorders>
              <w:top w:val="single" w:sz="6" w:space="0" w:color="000000"/>
              <w:left w:val="single" w:sz="4" w:space="0" w:color="000000"/>
              <w:bottom w:val="nil"/>
              <w:right w:val="single" w:sz="4" w:space="0" w:color="000000"/>
            </w:tcBorders>
          </w:tcPr>
          <w:p w14:paraId="712C2AE3" w14:textId="77777777" w:rsidR="001E2D60" w:rsidRPr="00F4557E" w:rsidRDefault="001E2D60" w:rsidP="001578C7">
            <w:pPr>
              <w:jc w:val="center"/>
              <w:rPr>
                <w:rFonts w:ascii="Arial" w:hAnsi="Arial" w:cs="Arial"/>
                <w:noProof/>
                <w:sz w:val="22"/>
                <w:szCs w:val="22"/>
              </w:rPr>
            </w:pPr>
          </w:p>
        </w:tc>
        <w:tc>
          <w:tcPr>
            <w:tcW w:w="1134" w:type="dxa"/>
            <w:tcBorders>
              <w:top w:val="single" w:sz="6" w:space="0" w:color="000000"/>
              <w:left w:val="single" w:sz="4" w:space="0" w:color="000000"/>
              <w:bottom w:val="nil"/>
              <w:right w:val="single" w:sz="4" w:space="0" w:color="000000"/>
            </w:tcBorders>
          </w:tcPr>
          <w:p w14:paraId="712C2AE4" w14:textId="77777777" w:rsidR="001E2D60" w:rsidRPr="00F4557E" w:rsidRDefault="001E2D60" w:rsidP="001578C7">
            <w:pPr>
              <w:jc w:val="center"/>
              <w:rPr>
                <w:rFonts w:ascii="Arial" w:hAnsi="Arial" w:cs="Arial"/>
                <w:noProof/>
                <w:sz w:val="22"/>
                <w:szCs w:val="22"/>
              </w:rPr>
            </w:pPr>
          </w:p>
        </w:tc>
        <w:tc>
          <w:tcPr>
            <w:tcW w:w="1048" w:type="dxa"/>
            <w:tcBorders>
              <w:top w:val="single" w:sz="6" w:space="0" w:color="000000"/>
              <w:left w:val="single" w:sz="4" w:space="0" w:color="000000"/>
              <w:bottom w:val="nil"/>
              <w:right w:val="single" w:sz="4" w:space="0" w:color="000000"/>
            </w:tcBorders>
          </w:tcPr>
          <w:p w14:paraId="712C2AE5" w14:textId="77777777" w:rsidR="001E2D60" w:rsidRPr="00F4557E" w:rsidRDefault="001E2D60" w:rsidP="001578C7">
            <w:pPr>
              <w:jc w:val="center"/>
              <w:rPr>
                <w:rFonts w:ascii="Arial" w:hAnsi="Arial" w:cs="Arial"/>
                <w:noProof/>
                <w:sz w:val="22"/>
                <w:szCs w:val="22"/>
              </w:rPr>
            </w:pPr>
          </w:p>
        </w:tc>
      </w:tr>
      <w:tr w:rsidR="001E2D60" w:rsidRPr="00F4557E" w14:paraId="712C2AEE"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61"/>
        </w:trPr>
        <w:tc>
          <w:tcPr>
            <w:tcW w:w="2898" w:type="dxa"/>
            <w:tcBorders>
              <w:top w:val="nil"/>
              <w:left w:val="single" w:sz="6" w:space="0" w:color="000000"/>
              <w:bottom w:val="nil"/>
              <w:right w:val="single" w:sz="4" w:space="0" w:color="000000"/>
            </w:tcBorders>
          </w:tcPr>
          <w:p w14:paraId="712C2AE7"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An</w:t>
            </w:r>
            <w:r w:rsidR="00CF5E09" w:rsidRPr="00F4557E">
              <w:rPr>
                <w:rFonts w:ascii="Arial" w:hAnsi="Arial" w:cs="Arial"/>
                <w:noProof/>
                <w:sz w:val="22"/>
                <w:szCs w:val="22"/>
              </w:rPr>
              <w:t>a</w:t>
            </w:r>
            <w:r w:rsidRPr="00F4557E">
              <w:rPr>
                <w:rFonts w:ascii="Arial" w:hAnsi="Arial" w:cs="Arial"/>
                <w:noProof/>
                <w:sz w:val="22"/>
                <w:szCs w:val="22"/>
              </w:rPr>
              <w:t>emia</w:t>
            </w:r>
          </w:p>
        </w:tc>
        <w:tc>
          <w:tcPr>
            <w:tcW w:w="1080" w:type="dxa"/>
            <w:tcBorders>
              <w:top w:val="nil"/>
              <w:left w:val="single" w:sz="4" w:space="0" w:color="000000"/>
              <w:bottom w:val="nil"/>
              <w:right w:val="single" w:sz="4" w:space="0" w:color="000000"/>
            </w:tcBorders>
          </w:tcPr>
          <w:p w14:paraId="712C2AE8"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75</w:t>
            </w:r>
          </w:p>
        </w:tc>
        <w:tc>
          <w:tcPr>
            <w:tcW w:w="1080" w:type="dxa"/>
            <w:tcBorders>
              <w:top w:val="nil"/>
              <w:left w:val="single" w:sz="4" w:space="0" w:color="000000"/>
              <w:bottom w:val="nil"/>
              <w:right w:val="single" w:sz="4" w:space="0" w:color="000000"/>
            </w:tcBorders>
          </w:tcPr>
          <w:p w14:paraId="712C2AE9"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3</w:t>
            </w:r>
          </w:p>
        </w:tc>
        <w:tc>
          <w:tcPr>
            <w:tcW w:w="1074" w:type="dxa"/>
            <w:tcBorders>
              <w:top w:val="nil"/>
              <w:left w:val="single" w:sz="4" w:space="0" w:color="000000"/>
              <w:bottom w:val="nil"/>
              <w:right w:val="single" w:sz="4" w:space="0" w:color="000000"/>
            </w:tcBorders>
          </w:tcPr>
          <w:p w14:paraId="712C2AEA"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64" w:type="dxa"/>
            <w:gridSpan w:val="2"/>
            <w:tcBorders>
              <w:top w:val="nil"/>
              <w:left w:val="single" w:sz="4" w:space="0" w:color="000000"/>
              <w:bottom w:val="nil"/>
              <w:right w:val="single" w:sz="4" w:space="0" w:color="000000"/>
            </w:tcBorders>
          </w:tcPr>
          <w:p w14:paraId="712C2AEB"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73</w:t>
            </w:r>
          </w:p>
        </w:tc>
        <w:tc>
          <w:tcPr>
            <w:tcW w:w="1134" w:type="dxa"/>
            <w:tcBorders>
              <w:top w:val="nil"/>
              <w:left w:val="single" w:sz="4" w:space="0" w:color="000000"/>
              <w:bottom w:val="nil"/>
              <w:right w:val="single" w:sz="4" w:space="0" w:color="000000"/>
            </w:tcBorders>
          </w:tcPr>
          <w:p w14:paraId="712C2AEC"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048" w:type="dxa"/>
            <w:tcBorders>
              <w:top w:val="nil"/>
              <w:left w:val="single" w:sz="4" w:space="0" w:color="000000"/>
              <w:bottom w:val="nil"/>
              <w:right w:val="single" w:sz="4" w:space="0" w:color="000000"/>
            </w:tcBorders>
          </w:tcPr>
          <w:p w14:paraId="712C2AED"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r w:rsidR="001E2D60" w:rsidRPr="00F4557E" w14:paraId="712C2AF6"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75"/>
        </w:trPr>
        <w:tc>
          <w:tcPr>
            <w:tcW w:w="2898" w:type="dxa"/>
            <w:tcBorders>
              <w:top w:val="nil"/>
              <w:left w:val="single" w:sz="6" w:space="0" w:color="000000"/>
              <w:bottom w:val="nil"/>
              <w:right w:val="single" w:sz="4" w:space="0" w:color="000000"/>
            </w:tcBorders>
          </w:tcPr>
          <w:p w14:paraId="712C2AEF"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Thrombocytopenia</w:t>
            </w:r>
          </w:p>
        </w:tc>
        <w:tc>
          <w:tcPr>
            <w:tcW w:w="1080" w:type="dxa"/>
            <w:tcBorders>
              <w:top w:val="nil"/>
              <w:left w:val="single" w:sz="4" w:space="0" w:color="000000"/>
              <w:bottom w:val="nil"/>
              <w:right w:val="single" w:sz="4" w:space="0" w:color="000000"/>
            </w:tcBorders>
          </w:tcPr>
          <w:p w14:paraId="712C2AF0"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13</w:t>
            </w:r>
          </w:p>
        </w:tc>
        <w:tc>
          <w:tcPr>
            <w:tcW w:w="1080" w:type="dxa"/>
            <w:tcBorders>
              <w:top w:val="nil"/>
              <w:left w:val="single" w:sz="4" w:space="0" w:color="000000"/>
              <w:bottom w:val="nil"/>
              <w:right w:val="single" w:sz="4" w:space="0" w:color="000000"/>
            </w:tcBorders>
          </w:tcPr>
          <w:p w14:paraId="712C2AF1"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w:t>
            </w:r>
          </w:p>
        </w:tc>
        <w:tc>
          <w:tcPr>
            <w:tcW w:w="1074" w:type="dxa"/>
            <w:tcBorders>
              <w:top w:val="nil"/>
              <w:left w:val="single" w:sz="4" w:space="0" w:color="000000"/>
              <w:bottom w:val="nil"/>
              <w:right w:val="single" w:sz="4" w:space="0" w:color="000000"/>
            </w:tcBorders>
          </w:tcPr>
          <w:p w14:paraId="712C2AF2"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64" w:type="dxa"/>
            <w:gridSpan w:val="2"/>
            <w:tcBorders>
              <w:top w:val="nil"/>
              <w:left w:val="single" w:sz="4" w:space="0" w:color="000000"/>
              <w:bottom w:val="nil"/>
              <w:right w:val="single" w:sz="4" w:space="0" w:color="000000"/>
            </w:tcBorders>
          </w:tcPr>
          <w:p w14:paraId="712C2AF3"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134" w:type="dxa"/>
            <w:tcBorders>
              <w:top w:val="nil"/>
              <w:left w:val="single" w:sz="4" w:space="0" w:color="000000"/>
              <w:bottom w:val="nil"/>
              <w:right w:val="single" w:sz="4" w:space="0" w:color="000000"/>
            </w:tcBorders>
          </w:tcPr>
          <w:p w14:paraId="712C2AF4"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48" w:type="dxa"/>
            <w:tcBorders>
              <w:top w:val="nil"/>
              <w:left w:val="single" w:sz="4" w:space="0" w:color="000000"/>
              <w:bottom w:val="nil"/>
              <w:right w:val="single" w:sz="4" w:space="0" w:color="000000"/>
            </w:tcBorders>
          </w:tcPr>
          <w:p w14:paraId="712C2AF5"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r>
      <w:tr w:rsidR="001E2D60" w:rsidRPr="00F4557E" w14:paraId="712C2AFE"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78"/>
        </w:trPr>
        <w:tc>
          <w:tcPr>
            <w:tcW w:w="2898" w:type="dxa"/>
            <w:tcBorders>
              <w:top w:val="nil"/>
              <w:left w:val="single" w:sz="6" w:space="0" w:color="000000"/>
              <w:bottom w:val="nil"/>
              <w:right w:val="single" w:sz="4" w:space="0" w:color="000000"/>
            </w:tcBorders>
          </w:tcPr>
          <w:p w14:paraId="712C2AF7"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Neutrop</w:t>
            </w:r>
            <w:r w:rsidR="00C74B51" w:rsidRPr="00F4557E">
              <w:rPr>
                <w:rFonts w:ascii="Arial" w:hAnsi="Arial" w:cs="Arial"/>
                <w:noProof/>
                <w:sz w:val="22"/>
                <w:szCs w:val="22"/>
              </w:rPr>
              <w:t>a</w:t>
            </w:r>
            <w:r w:rsidRPr="00F4557E">
              <w:rPr>
                <w:rFonts w:ascii="Arial" w:hAnsi="Arial" w:cs="Arial"/>
                <w:noProof/>
                <w:sz w:val="22"/>
                <w:szCs w:val="22"/>
              </w:rPr>
              <w:t>enia</w:t>
            </w:r>
          </w:p>
        </w:tc>
        <w:tc>
          <w:tcPr>
            <w:tcW w:w="1080" w:type="dxa"/>
            <w:tcBorders>
              <w:top w:val="nil"/>
              <w:left w:val="single" w:sz="4" w:space="0" w:color="000000"/>
              <w:bottom w:val="nil"/>
              <w:right w:val="single" w:sz="4" w:space="0" w:color="000000"/>
            </w:tcBorders>
          </w:tcPr>
          <w:p w14:paraId="712C2AF8"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16</w:t>
            </w:r>
          </w:p>
        </w:tc>
        <w:tc>
          <w:tcPr>
            <w:tcW w:w="1080" w:type="dxa"/>
            <w:tcBorders>
              <w:top w:val="nil"/>
              <w:left w:val="single" w:sz="4" w:space="0" w:color="000000"/>
              <w:bottom w:val="nil"/>
              <w:right w:val="single" w:sz="4" w:space="0" w:color="000000"/>
            </w:tcBorders>
          </w:tcPr>
          <w:p w14:paraId="712C2AF9"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074" w:type="dxa"/>
            <w:tcBorders>
              <w:top w:val="nil"/>
              <w:left w:val="single" w:sz="4" w:space="0" w:color="000000"/>
              <w:bottom w:val="nil"/>
              <w:right w:val="single" w:sz="4" w:space="0" w:color="000000"/>
            </w:tcBorders>
          </w:tcPr>
          <w:p w14:paraId="712C2AFA"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64" w:type="dxa"/>
            <w:gridSpan w:val="2"/>
            <w:tcBorders>
              <w:top w:val="nil"/>
              <w:left w:val="single" w:sz="4" w:space="0" w:color="000000"/>
              <w:bottom w:val="nil"/>
              <w:right w:val="single" w:sz="4" w:space="0" w:color="000000"/>
            </w:tcBorders>
          </w:tcPr>
          <w:p w14:paraId="712C2AFB"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12</w:t>
            </w:r>
          </w:p>
        </w:tc>
        <w:tc>
          <w:tcPr>
            <w:tcW w:w="1134" w:type="dxa"/>
            <w:tcBorders>
              <w:top w:val="nil"/>
              <w:left w:val="single" w:sz="4" w:space="0" w:color="000000"/>
              <w:bottom w:val="nil"/>
              <w:right w:val="single" w:sz="4" w:space="0" w:color="000000"/>
            </w:tcBorders>
          </w:tcPr>
          <w:p w14:paraId="712C2AFC"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3</w:t>
            </w:r>
          </w:p>
        </w:tc>
        <w:tc>
          <w:tcPr>
            <w:tcW w:w="1048" w:type="dxa"/>
            <w:tcBorders>
              <w:top w:val="nil"/>
              <w:left w:val="single" w:sz="4" w:space="0" w:color="000000"/>
              <w:bottom w:val="nil"/>
              <w:right w:val="single" w:sz="4" w:space="0" w:color="000000"/>
            </w:tcBorders>
          </w:tcPr>
          <w:p w14:paraId="712C2AFD"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06"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79"/>
        </w:trPr>
        <w:tc>
          <w:tcPr>
            <w:tcW w:w="2898" w:type="dxa"/>
            <w:tcBorders>
              <w:top w:val="nil"/>
              <w:left w:val="single" w:sz="6" w:space="0" w:color="000000"/>
              <w:bottom w:val="nil"/>
              <w:right w:val="single" w:sz="4" w:space="0" w:color="000000"/>
            </w:tcBorders>
          </w:tcPr>
          <w:p w14:paraId="712C2AFF"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Lymphopenia</w:t>
            </w:r>
          </w:p>
        </w:tc>
        <w:tc>
          <w:tcPr>
            <w:tcW w:w="1080" w:type="dxa"/>
            <w:tcBorders>
              <w:top w:val="nil"/>
              <w:left w:val="single" w:sz="4" w:space="0" w:color="000000"/>
              <w:bottom w:val="nil"/>
              <w:right w:val="single" w:sz="4" w:space="0" w:color="000000"/>
            </w:tcBorders>
          </w:tcPr>
          <w:p w14:paraId="712C2B00"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30</w:t>
            </w:r>
          </w:p>
        </w:tc>
        <w:tc>
          <w:tcPr>
            <w:tcW w:w="1080" w:type="dxa"/>
            <w:tcBorders>
              <w:top w:val="nil"/>
              <w:left w:val="single" w:sz="4" w:space="0" w:color="000000"/>
              <w:bottom w:val="nil"/>
              <w:right w:val="single" w:sz="4" w:space="0" w:color="000000"/>
            </w:tcBorders>
          </w:tcPr>
          <w:p w14:paraId="712C2B01"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8</w:t>
            </w:r>
          </w:p>
        </w:tc>
        <w:tc>
          <w:tcPr>
            <w:tcW w:w="1074" w:type="dxa"/>
            <w:tcBorders>
              <w:top w:val="nil"/>
              <w:left w:val="single" w:sz="4" w:space="0" w:color="000000"/>
              <w:bottom w:val="nil"/>
              <w:right w:val="single" w:sz="4" w:space="0" w:color="000000"/>
            </w:tcBorders>
          </w:tcPr>
          <w:p w14:paraId="712C2B02"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64" w:type="dxa"/>
            <w:gridSpan w:val="2"/>
            <w:tcBorders>
              <w:top w:val="nil"/>
              <w:left w:val="single" w:sz="4" w:space="0" w:color="000000"/>
              <w:bottom w:val="nil"/>
              <w:right w:val="single" w:sz="4" w:space="0" w:color="000000"/>
            </w:tcBorders>
          </w:tcPr>
          <w:p w14:paraId="712C2B03" w14:textId="77777777" w:rsidR="001E2D60" w:rsidRPr="00F4557E" w:rsidRDefault="00A8631A" w:rsidP="001578C7">
            <w:pPr>
              <w:jc w:val="center"/>
              <w:rPr>
                <w:rFonts w:ascii="Arial" w:hAnsi="Arial" w:cs="Arial"/>
                <w:noProof/>
                <w:sz w:val="22"/>
                <w:szCs w:val="22"/>
              </w:rPr>
            </w:pPr>
            <w:r w:rsidRPr="00F4557E">
              <w:rPr>
                <w:rFonts w:ascii="Arial" w:hAnsi="Arial" w:cs="Arial"/>
                <w:noProof/>
                <w:sz w:val="22"/>
                <w:szCs w:val="22"/>
              </w:rPr>
              <w:t>24</w:t>
            </w:r>
          </w:p>
        </w:tc>
        <w:tc>
          <w:tcPr>
            <w:tcW w:w="1134" w:type="dxa"/>
            <w:tcBorders>
              <w:top w:val="nil"/>
              <w:left w:val="single" w:sz="4" w:space="0" w:color="000000"/>
              <w:bottom w:val="nil"/>
              <w:right w:val="single" w:sz="4" w:space="0" w:color="000000"/>
            </w:tcBorders>
          </w:tcPr>
          <w:p w14:paraId="712C2B04"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3</w:t>
            </w:r>
          </w:p>
        </w:tc>
        <w:tc>
          <w:tcPr>
            <w:tcW w:w="1048" w:type="dxa"/>
            <w:tcBorders>
              <w:top w:val="nil"/>
              <w:left w:val="single" w:sz="4" w:space="0" w:color="000000"/>
              <w:bottom w:val="nil"/>
              <w:right w:val="single" w:sz="4" w:space="0" w:color="000000"/>
            </w:tcBorders>
          </w:tcPr>
          <w:p w14:paraId="712C2B05"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0E"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16"/>
        </w:trPr>
        <w:tc>
          <w:tcPr>
            <w:tcW w:w="2898" w:type="dxa"/>
            <w:tcBorders>
              <w:top w:val="single" w:sz="6" w:space="0" w:color="000000"/>
              <w:left w:val="single" w:sz="6" w:space="0" w:color="000000"/>
              <w:bottom w:val="nil"/>
              <w:right w:val="single" w:sz="4" w:space="0" w:color="000000"/>
            </w:tcBorders>
          </w:tcPr>
          <w:p w14:paraId="712C2B07" w14:textId="77777777" w:rsidR="001E2D60" w:rsidRPr="00F4557E" w:rsidRDefault="001E2D60" w:rsidP="001578C7">
            <w:pPr>
              <w:keepNext/>
              <w:rPr>
                <w:rFonts w:ascii="Arial" w:hAnsi="Arial" w:cs="Arial"/>
                <w:noProof/>
                <w:sz w:val="22"/>
                <w:szCs w:val="22"/>
              </w:rPr>
            </w:pPr>
            <w:r w:rsidRPr="00F4557E">
              <w:rPr>
                <w:rFonts w:ascii="Arial" w:hAnsi="Arial" w:cs="Arial"/>
                <w:b/>
                <w:noProof/>
                <w:sz w:val="22"/>
                <w:szCs w:val="22"/>
              </w:rPr>
              <w:t>Metabolism and nutrition disorders</w:t>
            </w:r>
          </w:p>
        </w:tc>
        <w:tc>
          <w:tcPr>
            <w:tcW w:w="1080" w:type="dxa"/>
            <w:tcBorders>
              <w:top w:val="single" w:sz="6" w:space="0" w:color="000000"/>
              <w:left w:val="single" w:sz="4" w:space="0" w:color="000000"/>
              <w:bottom w:val="nil"/>
              <w:right w:val="single" w:sz="4" w:space="0" w:color="000000"/>
            </w:tcBorders>
          </w:tcPr>
          <w:p w14:paraId="712C2B08" w14:textId="77777777" w:rsidR="001E2D60" w:rsidRPr="00F4557E" w:rsidRDefault="001E2D60" w:rsidP="001578C7">
            <w:pPr>
              <w:keepNext/>
              <w:jc w:val="center"/>
              <w:rPr>
                <w:rFonts w:ascii="Arial" w:hAnsi="Arial" w:cs="Arial"/>
                <w:noProof/>
                <w:sz w:val="22"/>
                <w:szCs w:val="22"/>
              </w:rPr>
            </w:pPr>
          </w:p>
        </w:tc>
        <w:tc>
          <w:tcPr>
            <w:tcW w:w="1080" w:type="dxa"/>
            <w:tcBorders>
              <w:top w:val="single" w:sz="6" w:space="0" w:color="000000"/>
              <w:left w:val="single" w:sz="4" w:space="0" w:color="000000"/>
              <w:bottom w:val="nil"/>
              <w:right w:val="single" w:sz="4" w:space="0" w:color="000000"/>
            </w:tcBorders>
          </w:tcPr>
          <w:p w14:paraId="712C2B09" w14:textId="77777777" w:rsidR="001E2D60" w:rsidRPr="00F4557E" w:rsidRDefault="001E2D60" w:rsidP="001578C7">
            <w:pPr>
              <w:keepNext/>
              <w:jc w:val="center"/>
              <w:rPr>
                <w:rFonts w:ascii="Arial" w:hAnsi="Arial" w:cs="Arial"/>
                <w:noProof/>
                <w:sz w:val="22"/>
                <w:szCs w:val="22"/>
              </w:rPr>
            </w:pPr>
          </w:p>
        </w:tc>
        <w:tc>
          <w:tcPr>
            <w:tcW w:w="1074" w:type="dxa"/>
            <w:tcBorders>
              <w:top w:val="single" w:sz="6" w:space="0" w:color="000000"/>
              <w:left w:val="single" w:sz="4" w:space="0" w:color="000000"/>
              <w:bottom w:val="nil"/>
              <w:right w:val="single" w:sz="4" w:space="0" w:color="000000"/>
            </w:tcBorders>
          </w:tcPr>
          <w:p w14:paraId="712C2B0A" w14:textId="77777777" w:rsidR="001E2D60" w:rsidRPr="00F4557E" w:rsidRDefault="001E2D60" w:rsidP="001578C7">
            <w:pPr>
              <w:keepNext/>
              <w:jc w:val="center"/>
              <w:rPr>
                <w:rFonts w:ascii="Arial" w:hAnsi="Arial" w:cs="Arial"/>
                <w:noProof/>
                <w:sz w:val="22"/>
                <w:szCs w:val="22"/>
              </w:rPr>
            </w:pPr>
          </w:p>
        </w:tc>
        <w:tc>
          <w:tcPr>
            <w:tcW w:w="1064" w:type="dxa"/>
            <w:gridSpan w:val="2"/>
            <w:tcBorders>
              <w:top w:val="single" w:sz="6" w:space="0" w:color="000000"/>
              <w:left w:val="single" w:sz="4" w:space="0" w:color="000000"/>
              <w:bottom w:val="nil"/>
              <w:right w:val="single" w:sz="4" w:space="0" w:color="000000"/>
            </w:tcBorders>
          </w:tcPr>
          <w:p w14:paraId="712C2B0B" w14:textId="77777777" w:rsidR="001E2D60" w:rsidRPr="00F4557E" w:rsidRDefault="001E2D60" w:rsidP="001578C7">
            <w:pPr>
              <w:keepNext/>
              <w:jc w:val="center"/>
              <w:rPr>
                <w:rFonts w:ascii="Arial" w:hAnsi="Arial" w:cs="Arial"/>
                <w:noProof/>
                <w:sz w:val="22"/>
                <w:szCs w:val="22"/>
              </w:rPr>
            </w:pPr>
          </w:p>
        </w:tc>
        <w:tc>
          <w:tcPr>
            <w:tcW w:w="1134" w:type="dxa"/>
            <w:tcBorders>
              <w:top w:val="single" w:sz="6" w:space="0" w:color="000000"/>
              <w:left w:val="single" w:sz="4" w:space="0" w:color="000000"/>
              <w:bottom w:val="nil"/>
              <w:right w:val="single" w:sz="4" w:space="0" w:color="000000"/>
            </w:tcBorders>
          </w:tcPr>
          <w:p w14:paraId="712C2B0C" w14:textId="77777777" w:rsidR="001E2D60" w:rsidRPr="00F4557E" w:rsidRDefault="001E2D60" w:rsidP="001578C7">
            <w:pPr>
              <w:keepNext/>
              <w:jc w:val="center"/>
              <w:rPr>
                <w:rFonts w:ascii="Arial" w:hAnsi="Arial" w:cs="Arial"/>
                <w:noProof/>
                <w:sz w:val="22"/>
                <w:szCs w:val="22"/>
              </w:rPr>
            </w:pPr>
          </w:p>
        </w:tc>
        <w:tc>
          <w:tcPr>
            <w:tcW w:w="1048" w:type="dxa"/>
            <w:tcBorders>
              <w:top w:val="single" w:sz="6" w:space="0" w:color="000000"/>
              <w:left w:val="single" w:sz="4" w:space="0" w:color="000000"/>
              <w:bottom w:val="nil"/>
              <w:right w:val="single" w:sz="4" w:space="0" w:color="000000"/>
            </w:tcBorders>
          </w:tcPr>
          <w:p w14:paraId="712C2B0D" w14:textId="77777777" w:rsidR="001E2D60" w:rsidRPr="00F4557E" w:rsidRDefault="001E2D60" w:rsidP="001578C7">
            <w:pPr>
              <w:keepNext/>
              <w:jc w:val="center"/>
              <w:rPr>
                <w:rFonts w:ascii="Arial" w:hAnsi="Arial" w:cs="Arial"/>
                <w:noProof/>
                <w:sz w:val="22"/>
                <w:szCs w:val="22"/>
              </w:rPr>
            </w:pPr>
          </w:p>
        </w:tc>
      </w:tr>
      <w:tr w:rsidR="001E2D60" w:rsidRPr="00F4557E" w14:paraId="712C2B16"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61"/>
        </w:trPr>
        <w:tc>
          <w:tcPr>
            <w:tcW w:w="2898" w:type="dxa"/>
            <w:tcBorders>
              <w:top w:val="nil"/>
              <w:left w:val="single" w:sz="6" w:space="0" w:color="000000"/>
              <w:bottom w:val="nil"/>
              <w:right w:val="single" w:sz="4" w:space="0" w:color="000000"/>
            </w:tcBorders>
          </w:tcPr>
          <w:p w14:paraId="712C2B0F"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Hypocalcemia</w:t>
            </w:r>
          </w:p>
        </w:tc>
        <w:tc>
          <w:tcPr>
            <w:tcW w:w="1080" w:type="dxa"/>
            <w:tcBorders>
              <w:top w:val="nil"/>
              <w:left w:val="single" w:sz="4" w:space="0" w:color="000000"/>
              <w:bottom w:val="nil"/>
              <w:right w:val="single" w:sz="4" w:space="0" w:color="000000"/>
            </w:tcBorders>
          </w:tcPr>
          <w:p w14:paraId="712C2B10"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17</w:t>
            </w:r>
          </w:p>
        </w:tc>
        <w:tc>
          <w:tcPr>
            <w:tcW w:w="1080" w:type="dxa"/>
            <w:tcBorders>
              <w:top w:val="nil"/>
              <w:left w:val="single" w:sz="4" w:space="0" w:color="000000"/>
              <w:bottom w:val="nil"/>
              <w:right w:val="single" w:sz="4" w:space="0" w:color="000000"/>
            </w:tcBorders>
          </w:tcPr>
          <w:p w14:paraId="712C2B11"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074" w:type="dxa"/>
            <w:tcBorders>
              <w:top w:val="nil"/>
              <w:left w:val="single" w:sz="4" w:space="0" w:color="000000"/>
              <w:bottom w:val="nil"/>
              <w:right w:val="single" w:sz="4" w:space="0" w:color="000000"/>
            </w:tcBorders>
          </w:tcPr>
          <w:p w14:paraId="712C2B12"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64" w:type="dxa"/>
            <w:gridSpan w:val="2"/>
            <w:tcBorders>
              <w:top w:val="nil"/>
              <w:left w:val="single" w:sz="4" w:space="0" w:color="000000"/>
              <w:bottom w:val="nil"/>
              <w:right w:val="single" w:sz="4" w:space="0" w:color="000000"/>
            </w:tcBorders>
          </w:tcPr>
          <w:p w14:paraId="712C2B13"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5</w:t>
            </w:r>
          </w:p>
        </w:tc>
        <w:tc>
          <w:tcPr>
            <w:tcW w:w="1134" w:type="dxa"/>
            <w:tcBorders>
              <w:top w:val="nil"/>
              <w:left w:val="single" w:sz="4" w:space="0" w:color="000000"/>
              <w:bottom w:val="nil"/>
              <w:right w:val="single" w:sz="4" w:space="0" w:color="000000"/>
            </w:tcBorders>
          </w:tcPr>
          <w:p w14:paraId="712C2B14"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48" w:type="dxa"/>
            <w:tcBorders>
              <w:top w:val="nil"/>
              <w:left w:val="single" w:sz="4" w:space="0" w:color="000000"/>
              <w:bottom w:val="nil"/>
              <w:right w:val="single" w:sz="4" w:space="0" w:color="000000"/>
            </w:tcBorders>
          </w:tcPr>
          <w:p w14:paraId="712C2B15"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1E"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90"/>
        </w:trPr>
        <w:tc>
          <w:tcPr>
            <w:tcW w:w="2898" w:type="dxa"/>
            <w:tcBorders>
              <w:top w:val="nil"/>
              <w:left w:val="single" w:sz="6" w:space="0" w:color="000000"/>
              <w:bottom w:val="nil"/>
              <w:right w:val="single" w:sz="4" w:space="0" w:color="000000"/>
            </w:tcBorders>
          </w:tcPr>
          <w:p w14:paraId="712C2B17"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Hypokal</w:t>
            </w:r>
            <w:r w:rsidR="00F808D7" w:rsidRPr="00F4557E">
              <w:rPr>
                <w:rFonts w:ascii="Arial" w:hAnsi="Arial" w:cs="Arial"/>
                <w:noProof/>
                <w:sz w:val="22"/>
                <w:szCs w:val="22"/>
              </w:rPr>
              <w:t>a</w:t>
            </w:r>
            <w:r w:rsidRPr="00F4557E">
              <w:rPr>
                <w:rFonts w:ascii="Arial" w:hAnsi="Arial" w:cs="Arial"/>
                <w:noProof/>
                <w:sz w:val="22"/>
                <w:szCs w:val="22"/>
              </w:rPr>
              <w:t>emia</w:t>
            </w:r>
          </w:p>
        </w:tc>
        <w:tc>
          <w:tcPr>
            <w:tcW w:w="1080" w:type="dxa"/>
            <w:tcBorders>
              <w:top w:val="nil"/>
              <w:left w:val="single" w:sz="4" w:space="0" w:color="000000"/>
              <w:bottom w:val="nil"/>
              <w:right w:val="single" w:sz="4" w:space="0" w:color="000000"/>
            </w:tcBorders>
          </w:tcPr>
          <w:p w14:paraId="712C2B18"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21</w:t>
            </w:r>
          </w:p>
        </w:tc>
        <w:tc>
          <w:tcPr>
            <w:tcW w:w="1080" w:type="dxa"/>
            <w:tcBorders>
              <w:top w:val="nil"/>
              <w:left w:val="single" w:sz="4" w:space="0" w:color="000000"/>
              <w:bottom w:val="nil"/>
              <w:right w:val="single" w:sz="4" w:space="0" w:color="000000"/>
            </w:tcBorders>
          </w:tcPr>
          <w:p w14:paraId="712C2B19"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3</w:t>
            </w:r>
          </w:p>
        </w:tc>
        <w:tc>
          <w:tcPr>
            <w:tcW w:w="1074" w:type="dxa"/>
            <w:tcBorders>
              <w:top w:val="nil"/>
              <w:left w:val="single" w:sz="4" w:space="0" w:color="000000"/>
              <w:bottom w:val="nil"/>
              <w:right w:val="single" w:sz="4" w:space="0" w:color="000000"/>
            </w:tcBorders>
          </w:tcPr>
          <w:p w14:paraId="712C2B1A"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64" w:type="dxa"/>
            <w:gridSpan w:val="2"/>
            <w:tcBorders>
              <w:top w:val="nil"/>
              <w:left w:val="single" w:sz="4" w:space="0" w:color="000000"/>
              <w:bottom w:val="nil"/>
              <w:right w:val="single" w:sz="4" w:space="0" w:color="000000"/>
            </w:tcBorders>
          </w:tcPr>
          <w:p w14:paraId="712C2B1B"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3</w:t>
            </w:r>
          </w:p>
        </w:tc>
        <w:tc>
          <w:tcPr>
            <w:tcW w:w="1134" w:type="dxa"/>
            <w:tcBorders>
              <w:top w:val="nil"/>
              <w:left w:val="single" w:sz="4" w:space="0" w:color="000000"/>
              <w:bottom w:val="nil"/>
              <w:right w:val="single" w:sz="4" w:space="0" w:color="000000"/>
            </w:tcBorders>
          </w:tcPr>
          <w:p w14:paraId="712C2B1C"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48" w:type="dxa"/>
            <w:tcBorders>
              <w:top w:val="nil"/>
              <w:left w:val="single" w:sz="4" w:space="0" w:color="000000"/>
              <w:bottom w:val="nil"/>
              <w:right w:val="single" w:sz="4" w:space="0" w:color="000000"/>
            </w:tcBorders>
          </w:tcPr>
          <w:p w14:paraId="712C2B1D"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2D"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372"/>
        </w:trPr>
        <w:tc>
          <w:tcPr>
            <w:tcW w:w="2898" w:type="dxa"/>
            <w:tcBorders>
              <w:top w:val="nil"/>
              <w:left w:val="single" w:sz="6" w:space="0" w:color="000000"/>
              <w:bottom w:val="single" w:sz="4" w:space="0" w:color="000000"/>
              <w:right w:val="single" w:sz="4" w:space="0" w:color="000000"/>
            </w:tcBorders>
          </w:tcPr>
          <w:p w14:paraId="712C2B1F"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 xml:space="preserve">Hyponatremia </w:t>
            </w:r>
          </w:p>
          <w:p w14:paraId="712C2B20" w14:textId="77777777" w:rsidR="004F66B3" w:rsidRPr="00F4557E" w:rsidRDefault="001E2D60" w:rsidP="00F4557E">
            <w:pPr>
              <w:rPr>
                <w:rFonts w:ascii="Arial" w:hAnsi="Arial" w:cs="Arial"/>
                <w:noProof/>
                <w:sz w:val="22"/>
                <w:szCs w:val="22"/>
              </w:rPr>
            </w:pPr>
            <w:r w:rsidRPr="00F4557E">
              <w:rPr>
                <w:rFonts w:ascii="Arial" w:hAnsi="Arial" w:cs="Arial"/>
                <w:noProof/>
                <w:sz w:val="22"/>
                <w:szCs w:val="22"/>
              </w:rPr>
              <w:t>Hypophosphat</w:t>
            </w:r>
            <w:r w:rsidR="00C74B51" w:rsidRPr="00F4557E">
              <w:rPr>
                <w:rFonts w:ascii="Arial" w:hAnsi="Arial" w:cs="Arial"/>
                <w:noProof/>
                <w:sz w:val="22"/>
                <w:szCs w:val="22"/>
              </w:rPr>
              <w:t>a</w:t>
            </w:r>
            <w:r w:rsidRPr="00F4557E">
              <w:rPr>
                <w:rFonts w:ascii="Arial" w:hAnsi="Arial" w:cs="Arial"/>
                <w:noProof/>
                <w:sz w:val="22"/>
                <w:szCs w:val="22"/>
              </w:rPr>
              <w:t>emia</w:t>
            </w:r>
          </w:p>
        </w:tc>
        <w:tc>
          <w:tcPr>
            <w:tcW w:w="1080" w:type="dxa"/>
            <w:tcBorders>
              <w:top w:val="nil"/>
              <w:left w:val="single" w:sz="4" w:space="0" w:color="000000"/>
              <w:bottom w:val="single" w:sz="4" w:space="0" w:color="000000"/>
              <w:right w:val="single" w:sz="4" w:space="0" w:color="000000"/>
            </w:tcBorders>
          </w:tcPr>
          <w:p w14:paraId="712C2B21"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19</w:t>
            </w:r>
          </w:p>
          <w:p w14:paraId="712C2B22" w14:textId="77777777" w:rsidR="004F66B3" w:rsidRPr="00F4557E" w:rsidRDefault="001E2D60" w:rsidP="001578C7">
            <w:pPr>
              <w:jc w:val="center"/>
              <w:rPr>
                <w:rFonts w:ascii="Arial" w:hAnsi="Arial" w:cs="Arial"/>
                <w:noProof/>
                <w:sz w:val="22"/>
                <w:szCs w:val="22"/>
              </w:rPr>
            </w:pPr>
            <w:r w:rsidRPr="00F4557E">
              <w:rPr>
                <w:rFonts w:ascii="Arial" w:hAnsi="Arial" w:cs="Arial"/>
                <w:noProof/>
                <w:sz w:val="22"/>
                <w:szCs w:val="22"/>
              </w:rPr>
              <w:t>55</w:t>
            </w:r>
          </w:p>
        </w:tc>
        <w:tc>
          <w:tcPr>
            <w:tcW w:w="1080" w:type="dxa"/>
            <w:tcBorders>
              <w:top w:val="nil"/>
              <w:left w:val="single" w:sz="4" w:space="0" w:color="000000"/>
              <w:bottom w:val="single" w:sz="4" w:space="0" w:color="000000"/>
              <w:right w:val="single" w:sz="4" w:space="0" w:color="000000"/>
            </w:tcBorders>
          </w:tcPr>
          <w:p w14:paraId="712C2B23" w14:textId="77777777" w:rsidR="001E2D60" w:rsidRPr="00F4557E" w:rsidRDefault="001E2D60" w:rsidP="001578C7">
            <w:pPr>
              <w:ind w:right="-120"/>
              <w:jc w:val="center"/>
              <w:rPr>
                <w:rFonts w:ascii="Arial" w:hAnsi="Arial" w:cs="Arial"/>
                <w:noProof/>
                <w:sz w:val="22"/>
                <w:szCs w:val="22"/>
              </w:rPr>
            </w:pPr>
            <w:r w:rsidRPr="00F4557E">
              <w:rPr>
                <w:rFonts w:ascii="Arial" w:hAnsi="Arial" w:cs="Arial"/>
                <w:noProof/>
                <w:sz w:val="22"/>
                <w:szCs w:val="22"/>
              </w:rPr>
              <w:t>5</w:t>
            </w:r>
          </w:p>
          <w:p w14:paraId="712C2B24" w14:textId="77777777" w:rsidR="004F66B3" w:rsidRPr="00F4557E" w:rsidRDefault="001E2D60" w:rsidP="001578C7">
            <w:pPr>
              <w:jc w:val="center"/>
              <w:rPr>
                <w:rFonts w:ascii="Arial" w:hAnsi="Arial" w:cs="Arial"/>
                <w:noProof/>
                <w:sz w:val="22"/>
                <w:szCs w:val="22"/>
              </w:rPr>
            </w:pPr>
            <w:r w:rsidRPr="00F4557E">
              <w:rPr>
                <w:rFonts w:ascii="Arial" w:hAnsi="Arial" w:cs="Arial"/>
                <w:noProof/>
                <w:sz w:val="22"/>
                <w:szCs w:val="22"/>
              </w:rPr>
              <w:t>20</w:t>
            </w:r>
          </w:p>
        </w:tc>
        <w:tc>
          <w:tcPr>
            <w:tcW w:w="1074" w:type="dxa"/>
            <w:tcBorders>
              <w:top w:val="nil"/>
              <w:left w:val="single" w:sz="4" w:space="0" w:color="000000"/>
              <w:bottom w:val="single" w:sz="4" w:space="0" w:color="000000"/>
              <w:right w:val="single" w:sz="4" w:space="0" w:color="000000"/>
            </w:tcBorders>
          </w:tcPr>
          <w:p w14:paraId="712C2B25"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p w14:paraId="712C2B26" w14:textId="77777777" w:rsidR="004F66B3"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064" w:type="dxa"/>
            <w:gridSpan w:val="2"/>
            <w:tcBorders>
              <w:top w:val="nil"/>
              <w:left w:val="single" w:sz="4" w:space="0" w:color="000000"/>
              <w:bottom w:val="single" w:sz="4" w:space="0" w:color="000000"/>
              <w:right w:val="single" w:sz="4" w:space="0" w:color="000000"/>
            </w:tcBorders>
          </w:tcPr>
          <w:p w14:paraId="712C2B27" w14:textId="77777777" w:rsidR="001E2D60" w:rsidRPr="00F4557E" w:rsidRDefault="001E2D60" w:rsidP="001578C7">
            <w:pPr>
              <w:ind w:right="-108"/>
              <w:jc w:val="center"/>
              <w:rPr>
                <w:rFonts w:ascii="Arial" w:hAnsi="Arial" w:cs="Arial"/>
                <w:noProof/>
                <w:sz w:val="22"/>
                <w:szCs w:val="22"/>
              </w:rPr>
            </w:pPr>
            <w:r w:rsidRPr="00F4557E">
              <w:rPr>
                <w:rFonts w:ascii="Arial" w:hAnsi="Arial" w:cs="Arial"/>
                <w:noProof/>
                <w:sz w:val="22"/>
                <w:szCs w:val="22"/>
              </w:rPr>
              <w:t>18</w:t>
            </w:r>
          </w:p>
          <w:p w14:paraId="712C2B28" w14:textId="77777777" w:rsidR="004F66B3" w:rsidRPr="00F4557E" w:rsidRDefault="001E2D60" w:rsidP="001578C7">
            <w:pPr>
              <w:jc w:val="center"/>
              <w:rPr>
                <w:rFonts w:ascii="Arial" w:hAnsi="Arial" w:cs="Arial"/>
                <w:noProof/>
                <w:sz w:val="22"/>
                <w:szCs w:val="22"/>
              </w:rPr>
            </w:pPr>
            <w:r w:rsidRPr="00F4557E">
              <w:rPr>
                <w:rFonts w:ascii="Arial" w:hAnsi="Arial" w:cs="Arial"/>
                <w:noProof/>
                <w:sz w:val="22"/>
                <w:szCs w:val="22"/>
              </w:rPr>
              <w:t>3</w:t>
            </w:r>
          </w:p>
        </w:tc>
        <w:tc>
          <w:tcPr>
            <w:tcW w:w="1134" w:type="dxa"/>
            <w:tcBorders>
              <w:top w:val="nil"/>
              <w:left w:val="single" w:sz="4" w:space="0" w:color="000000"/>
              <w:bottom w:val="single" w:sz="4" w:space="0" w:color="000000"/>
              <w:right w:val="single" w:sz="4" w:space="0" w:color="000000"/>
            </w:tcBorders>
          </w:tcPr>
          <w:p w14:paraId="712C2B29"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5</w:t>
            </w:r>
          </w:p>
          <w:p w14:paraId="712C2B2A" w14:textId="77777777" w:rsidR="004F66B3"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048" w:type="dxa"/>
            <w:tcBorders>
              <w:top w:val="nil"/>
              <w:left w:val="single" w:sz="4" w:space="0" w:color="000000"/>
              <w:bottom w:val="single" w:sz="4" w:space="0" w:color="000000"/>
              <w:right w:val="single" w:sz="4" w:space="0" w:color="000000"/>
            </w:tcBorders>
          </w:tcPr>
          <w:p w14:paraId="712C2B2B"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p w14:paraId="712C2B2C" w14:textId="77777777" w:rsidR="004F66B3"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35"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81"/>
        </w:trPr>
        <w:tc>
          <w:tcPr>
            <w:tcW w:w="2898" w:type="dxa"/>
            <w:tcBorders>
              <w:top w:val="single" w:sz="4" w:space="0" w:color="000000"/>
              <w:left w:val="single" w:sz="6" w:space="0" w:color="000000"/>
              <w:bottom w:val="nil"/>
              <w:right w:val="single" w:sz="4" w:space="0" w:color="000000"/>
            </w:tcBorders>
          </w:tcPr>
          <w:p w14:paraId="712C2B2E" w14:textId="77777777" w:rsidR="001E2D60" w:rsidRPr="00F4557E" w:rsidRDefault="001E2D60" w:rsidP="001578C7">
            <w:pPr>
              <w:keepNext/>
              <w:rPr>
                <w:rFonts w:ascii="Arial" w:hAnsi="Arial" w:cs="Arial"/>
                <w:noProof/>
                <w:sz w:val="22"/>
                <w:szCs w:val="22"/>
              </w:rPr>
            </w:pPr>
            <w:r w:rsidRPr="00F4557E">
              <w:rPr>
                <w:rFonts w:ascii="Arial" w:hAnsi="Arial" w:cs="Arial"/>
                <w:b/>
                <w:noProof/>
                <w:sz w:val="22"/>
                <w:szCs w:val="22"/>
              </w:rPr>
              <w:t>Hepatobiliary disorders</w:t>
            </w:r>
          </w:p>
        </w:tc>
        <w:tc>
          <w:tcPr>
            <w:tcW w:w="1080" w:type="dxa"/>
            <w:tcBorders>
              <w:top w:val="single" w:sz="4" w:space="0" w:color="000000"/>
              <w:left w:val="single" w:sz="4" w:space="0" w:color="000000"/>
              <w:bottom w:val="nil"/>
              <w:right w:val="single" w:sz="4" w:space="0" w:color="000000"/>
            </w:tcBorders>
          </w:tcPr>
          <w:p w14:paraId="712C2B2F" w14:textId="77777777" w:rsidR="001E2D60" w:rsidRPr="00F4557E" w:rsidRDefault="001E2D60" w:rsidP="001578C7">
            <w:pPr>
              <w:keepNext/>
              <w:jc w:val="center"/>
              <w:rPr>
                <w:rFonts w:ascii="Arial" w:hAnsi="Arial" w:cs="Arial"/>
                <w:noProof/>
                <w:sz w:val="22"/>
                <w:szCs w:val="22"/>
              </w:rPr>
            </w:pPr>
          </w:p>
        </w:tc>
        <w:tc>
          <w:tcPr>
            <w:tcW w:w="1080" w:type="dxa"/>
            <w:tcBorders>
              <w:top w:val="single" w:sz="4" w:space="0" w:color="000000"/>
              <w:left w:val="single" w:sz="4" w:space="0" w:color="000000"/>
              <w:bottom w:val="nil"/>
              <w:right w:val="single" w:sz="4" w:space="0" w:color="000000"/>
            </w:tcBorders>
          </w:tcPr>
          <w:p w14:paraId="712C2B30" w14:textId="77777777" w:rsidR="001E2D60" w:rsidRPr="00F4557E" w:rsidRDefault="001E2D60" w:rsidP="001578C7">
            <w:pPr>
              <w:keepNext/>
              <w:jc w:val="center"/>
              <w:rPr>
                <w:rFonts w:ascii="Arial" w:hAnsi="Arial" w:cs="Arial"/>
                <w:noProof/>
                <w:sz w:val="22"/>
                <w:szCs w:val="22"/>
              </w:rPr>
            </w:pPr>
          </w:p>
        </w:tc>
        <w:tc>
          <w:tcPr>
            <w:tcW w:w="1074" w:type="dxa"/>
            <w:tcBorders>
              <w:top w:val="single" w:sz="4" w:space="0" w:color="000000"/>
              <w:left w:val="single" w:sz="4" w:space="0" w:color="000000"/>
              <w:bottom w:val="nil"/>
              <w:right w:val="single" w:sz="4" w:space="0" w:color="000000"/>
            </w:tcBorders>
          </w:tcPr>
          <w:p w14:paraId="712C2B31" w14:textId="77777777" w:rsidR="001E2D60" w:rsidRPr="00F4557E" w:rsidRDefault="001E2D60" w:rsidP="001578C7">
            <w:pPr>
              <w:keepNext/>
              <w:jc w:val="center"/>
              <w:rPr>
                <w:rFonts w:ascii="Arial" w:hAnsi="Arial" w:cs="Arial"/>
                <w:noProof/>
                <w:sz w:val="22"/>
                <w:szCs w:val="22"/>
              </w:rPr>
            </w:pPr>
          </w:p>
        </w:tc>
        <w:tc>
          <w:tcPr>
            <w:tcW w:w="1064" w:type="dxa"/>
            <w:gridSpan w:val="2"/>
            <w:tcBorders>
              <w:top w:val="single" w:sz="4" w:space="0" w:color="000000"/>
              <w:left w:val="single" w:sz="4" w:space="0" w:color="000000"/>
              <w:bottom w:val="nil"/>
              <w:right w:val="single" w:sz="4" w:space="0" w:color="000000"/>
            </w:tcBorders>
          </w:tcPr>
          <w:p w14:paraId="712C2B32" w14:textId="77777777" w:rsidR="001E2D60" w:rsidRPr="00F4557E" w:rsidRDefault="001E2D60" w:rsidP="001578C7">
            <w:pPr>
              <w:keepNext/>
              <w:jc w:val="center"/>
              <w:rPr>
                <w:rFonts w:ascii="Arial" w:hAnsi="Arial" w:cs="Arial"/>
                <w:noProof/>
                <w:sz w:val="22"/>
                <w:szCs w:val="22"/>
              </w:rPr>
            </w:pPr>
          </w:p>
        </w:tc>
        <w:tc>
          <w:tcPr>
            <w:tcW w:w="1134" w:type="dxa"/>
            <w:tcBorders>
              <w:top w:val="single" w:sz="4" w:space="0" w:color="000000"/>
              <w:left w:val="single" w:sz="4" w:space="0" w:color="000000"/>
              <w:bottom w:val="nil"/>
              <w:right w:val="single" w:sz="4" w:space="0" w:color="000000"/>
            </w:tcBorders>
          </w:tcPr>
          <w:p w14:paraId="712C2B33" w14:textId="77777777" w:rsidR="001E2D60" w:rsidRPr="00F4557E" w:rsidRDefault="001E2D60" w:rsidP="001578C7">
            <w:pPr>
              <w:keepNext/>
              <w:jc w:val="center"/>
              <w:rPr>
                <w:rFonts w:ascii="Arial" w:hAnsi="Arial" w:cs="Arial"/>
                <w:noProof/>
                <w:sz w:val="22"/>
                <w:szCs w:val="22"/>
              </w:rPr>
            </w:pPr>
          </w:p>
        </w:tc>
        <w:tc>
          <w:tcPr>
            <w:tcW w:w="1048" w:type="dxa"/>
            <w:tcBorders>
              <w:top w:val="single" w:sz="4" w:space="0" w:color="000000"/>
              <w:left w:val="single" w:sz="4" w:space="0" w:color="000000"/>
              <w:bottom w:val="nil"/>
              <w:right w:val="single" w:sz="4" w:space="0" w:color="000000"/>
            </w:tcBorders>
          </w:tcPr>
          <w:p w14:paraId="712C2B34" w14:textId="77777777" w:rsidR="001E2D60" w:rsidRPr="00F4557E" w:rsidRDefault="001E2D60" w:rsidP="001578C7">
            <w:pPr>
              <w:keepNext/>
              <w:jc w:val="center"/>
              <w:rPr>
                <w:rFonts w:ascii="Arial" w:hAnsi="Arial" w:cs="Arial"/>
                <w:noProof/>
                <w:sz w:val="22"/>
                <w:szCs w:val="22"/>
              </w:rPr>
            </w:pPr>
          </w:p>
        </w:tc>
      </w:tr>
      <w:tr w:rsidR="001E2D60" w:rsidRPr="00F4557E" w14:paraId="712C2B3D"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328"/>
        </w:trPr>
        <w:tc>
          <w:tcPr>
            <w:tcW w:w="2898" w:type="dxa"/>
            <w:tcBorders>
              <w:top w:val="nil"/>
              <w:left w:val="single" w:sz="6" w:space="0" w:color="000000"/>
              <w:bottom w:val="nil"/>
              <w:right w:val="single" w:sz="4" w:space="0" w:color="000000"/>
            </w:tcBorders>
          </w:tcPr>
          <w:p w14:paraId="712C2B36" w14:textId="77777777" w:rsidR="001E2D60" w:rsidRPr="00F4557E" w:rsidDel="00072184" w:rsidRDefault="001E2D60" w:rsidP="001578C7">
            <w:pPr>
              <w:keepNext/>
              <w:rPr>
                <w:rFonts w:ascii="Arial" w:hAnsi="Arial" w:cs="Arial"/>
                <w:noProof/>
                <w:sz w:val="22"/>
                <w:szCs w:val="22"/>
              </w:rPr>
            </w:pPr>
            <w:r w:rsidRPr="00F4557E">
              <w:rPr>
                <w:rFonts w:ascii="Arial" w:hAnsi="Arial" w:cs="Arial"/>
                <w:noProof/>
                <w:sz w:val="22"/>
                <w:szCs w:val="22"/>
              </w:rPr>
              <w:t>Hyperbilirubin</w:t>
            </w:r>
            <w:r w:rsidR="00F808D7" w:rsidRPr="00F4557E">
              <w:rPr>
                <w:rFonts w:ascii="Arial" w:hAnsi="Arial" w:cs="Arial"/>
                <w:noProof/>
                <w:sz w:val="22"/>
                <w:szCs w:val="22"/>
              </w:rPr>
              <w:t>a</w:t>
            </w:r>
            <w:r w:rsidRPr="00F4557E">
              <w:rPr>
                <w:rFonts w:ascii="Arial" w:hAnsi="Arial" w:cs="Arial"/>
                <w:noProof/>
                <w:sz w:val="22"/>
                <w:szCs w:val="22"/>
              </w:rPr>
              <w:t>emia</w:t>
            </w:r>
          </w:p>
        </w:tc>
        <w:tc>
          <w:tcPr>
            <w:tcW w:w="1080" w:type="dxa"/>
            <w:tcBorders>
              <w:top w:val="nil"/>
              <w:left w:val="single" w:sz="4" w:space="0" w:color="000000"/>
              <w:bottom w:val="nil"/>
              <w:right w:val="single" w:sz="4" w:space="0" w:color="000000"/>
            </w:tcBorders>
          </w:tcPr>
          <w:p w14:paraId="712C2B37"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33</w:t>
            </w:r>
          </w:p>
        </w:tc>
        <w:tc>
          <w:tcPr>
            <w:tcW w:w="1080" w:type="dxa"/>
            <w:tcBorders>
              <w:top w:val="nil"/>
              <w:left w:val="single" w:sz="4" w:space="0" w:color="000000"/>
              <w:bottom w:val="nil"/>
              <w:right w:val="single" w:sz="4" w:space="0" w:color="000000"/>
            </w:tcBorders>
          </w:tcPr>
          <w:p w14:paraId="712C2B38"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3</w:t>
            </w:r>
          </w:p>
        </w:tc>
        <w:tc>
          <w:tcPr>
            <w:tcW w:w="1074" w:type="dxa"/>
            <w:tcBorders>
              <w:top w:val="nil"/>
              <w:left w:val="single" w:sz="4" w:space="0" w:color="000000"/>
              <w:bottom w:val="nil"/>
              <w:right w:val="single" w:sz="4" w:space="0" w:color="000000"/>
            </w:tcBorders>
          </w:tcPr>
          <w:p w14:paraId="712C2B39"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1</w:t>
            </w:r>
          </w:p>
        </w:tc>
        <w:tc>
          <w:tcPr>
            <w:tcW w:w="1064" w:type="dxa"/>
            <w:gridSpan w:val="2"/>
            <w:tcBorders>
              <w:top w:val="nil"/>
              <w:left w:val="single" w:sz="4" w:space="0" w:color="000000"/>
              <w:bottom w:val="nil"/>
              <w:right w:val="single" w:sz="4" w:space="0" w:color="000000"/>
            </w:tcBorders>
          </w:tcPr>
          <w:p w14:paraId="712C2B3A"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12</w:t>
            </w:r>
          </w:p>
        </w:tc>
        <w:tc>
          <w:tcPr>
            <w:tcW w:w="1134" w:type="dxa"/>
            <w:tcBorders>
              <w:top w:val="nil"/>
              <w:left w:val="single" w:sz="4" w:space="0" w:color="000000"/>
              <w:bottom w:val="nil"/>
              <w:right w:val="single" w:sz="4" w:space="0" w:color="000000"/>
            </w:tcBorders>
          </w:tcPr>
          <w:p w14:paraId="712C2B3B"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2</w:t>
            </w:r>
          </w:p>
        </w:tc>
        <w:tc>
          <w:tcPr>
            <w:tcW w:w="1048" w:type="dxa"/>
            <w:tcBorders>
              <w:top w:val="nil"/>
              <w:left w:val="single" w:sz="4" w:space="0" w:color="000000"/>
              <w:bottom w:val="nil"/>
              <w:right w:val="single" w:sz="4" w:space="0" w:color="000000"/>
            </w:tcBorders>
          </w:tcPr>
          <w:p w14:paraId="712C2B3C"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45"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81"/>
        </w:trPr>
        <w:tc>
          <w:tcPr>
            <w:tcW w:w="2898" w:type="dxa"/>
            <w:tcBorders>
              <w:top w:val="nil"/>
              <w:left w:val="single" w:sz="6" w:space="0" w:color="000000"/>
              <w:bottom w:val="nil"/>
              <w:right w:val="single" w:sz="4" w:space="0" w:color="000000"/>
            </w:tcBorders>
          </w:tcPr>
          <w:p w14:paraId="712C2B3E" w14:textId="77777777" w:rsidR="001E2D60" w:rsidRPr="00F4557E" w:rsidRDefault="001E2D60" w:rsidP="001578C7">
            <w:pPr>
              <w:keepNext/>
              <w:rPr>
                <w:rFonts w:ascii="Arial" w:hAnsi="Arial" w:cs="Arial"/>
                <w:noProof/>
                <w:sz w:val="22"/>
                <w:szCs w:val="22"/>
              </w:rPr>
            </w:pPr>
            <w:r w:rsidRPr="00F4557E">
              <w:rPr>
                <w:rFonts w:ascii="Arial" w:hAnsi="Arial" w:cs="Arial"/>
                <w:noProof/>
                <w:sz w:val="22"/>
                <w:szCs w:val="22"/>
              </w:rPr>
              <w:t xml:space="preserve">Increased AST </w:t>
            </w:r>
          </w:p>
        </w:tc>
        <w:tc>
          <w:tcPr>
            <w:tcW w:w="1080" w:type="dxa"/>
            <w:tcBorders>
              <w:top w:val="nil"/>
              <w:left w:val="single" w:sz="4" w:space="0" w:color="000000"/>
              <w:bottom w:val="nil"/>
              <w:right w:val="single" w:sz="4" w:space="0" w:color="000000"/>
            </w:tcBorders>
          </w:tcPr>
          <w:p w14:paraId="712C2B3F"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58</w:t>
            </w:r>
          </w:p>
        </w:tc>
        <w:tc>
          <w:tcPr>
            <w:tcW w:w="1080" w:type="dxa"/>
            <w:tcBorders>
              <w:top w:val="nil"/>
              <w:left w:val="single" w:sz="4" w:space="0" w:color="000000"/>
              <w:bottom w:val="nil"/>
              <w:right w:val="single" w:sz="4" w:space="0" w:color="000000"/>
            </w:tcBorders>
          </w:tcPr>
          <w:p w14:paraId="712C2B40"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3</w:t>
            </w:r>
          </w:p>
        </w:tc>
        <w:tc>
          <w:tcPr>
            <w:tcW w:w="1074" w:type="dxa"/>
            <w:tcBorders>
              <w:top w:val="nil"/>
              <w:left w:val="single" w:sz="4" w:space="0" w:color="000000"/>
              <w:bottom w:val="nil"/>
              <w:right w:val="single" w:sz="4" w:space="0" w:color="000000"/>
            </w:tcBorders>
          </w:tcPr>
          <w:p w14:paraId="712C2B41"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1</w:t>
            </w:r>
          </w:p>
        </w:tc>
        <w:tc>
          <w:tcPr>
            <w:tcW w:w="1064" w:type="dxa"/>
            <w:gridSpan w:val="2"/>
            <w:tcBorders>
              <w:top w:val="nil"/>
              <w:left w:val="single" w:sz="4" w:space="0" w:color="000000"/>
              <w:bottom w:val="nil"/>
              <w:right w:val="single" w:sz="4" w:space="0" w:color="000000"/>
            </w:tcBorders>
          </w:tcPr>
          <w:p w14:paraId="712C2B42"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47</w:t>
            </w:r>
          </w:p>
        </w:tc>
        <w:tc>
          <w:tcPr>
            <w:tcW w:w="1134" w:type="dxa"/>
            <w:tcBorders>
              <w:top w:val="nil"/>
              <w:left w:val="single" w:sz="4" w:space="0" w:color="000000"/>
              <w:bottom w:val="nil"/>
              <w:right w:val="single" w:sz="4" w:space="0" w:color="000000"/>
            </w:tcBorders>
          </w:tcPr>
          <w:p w14:paraId="712C2B43"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3</w:t>
            </w:r>
          </w:p>
        </w:tc>
        <w:tc>
          <w:tcPr>
            <w:tcW w:w="1048" w:type="dxa"/>
            <w:tcBorders>
              <w:top w:val="nil"/>
              <w:left w:val="single" w:sz="4" w:space="0" w:color="000000"/>
              <w:bottom w:val="nil"/>
              <w:right w:val="single" w:sz="4" w:space="0" w:color="000000"/>
            </w:tcBorders>
          </w:tcPr>
          <w:p w14:paraId="712C2B44"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4D"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81"/>
        </w:trPr>
        <w:tc>
          <w:tcPr>
            <w:tcW w:w="2898" w:type="dxa"/>
            <w:tcBorders>
              <w:top w:val="nil"/>
              <w:left w:val="single" w:sz="6" w:space="0" w:color="000000"/>
              <w:bottom w:val="single" w:sz="4" w:space="0" w:color="000000"/>
              <w:right w:val="single" w:sz="4" w:space="0" w:color="000000"/>
            </w:tcBorders>
          </w:tcPr>
          <w:p w14:paraId="712C2B46" w14:textId="77777777" w:rsidR="001E2D60" w:rsidRPr="00F4557E" w:rsidRDefault="001E2D60" w:rsidP="001578C7">
            <w:pPr>
              <w:keepNext/>
              <w:rPr>
                <w:rFonts w:ascii="Arial" w:hAnsi="Arial" w:cs="Arial"/>
                <w:noProof/>
                <w:sz w:val="22"/>
                <w:szCs w:val="22"/>
              </w:rPr>
            </w:pPr>
            <w:r w:rsidRPr="00F4557E">
              <w:rPr>
                <w:rFonts w:ascii="Arial" w:hAnsi="Arial" w:cs="Arial"/>
                <w:noProof/>
                <w:sz w:val="22"/>
                <w:szCs w:val="22"/>
              </w:rPr>
              <w:t xml:space="preserve">Increased ALT </w:t>
            </w:r>
          </w:p>
        </w:tc>
        <w:tc>
          <w:tcPr>
            <w:tcW w:w="1080" w:type="dxa"/>
            <w:tcBorders>
              <w:top w:val="nil"/>
              <w:left w:val="single" w:sz="4" w:space="0" w:color="000000"/>
              <w:bottom w:val="single" w:sz="4" w:space="0" w:color="000000"/>
              <w:right w:val="single" w:sz="4" w:space="0" w:color="000000"/>
            </w:tcBorders>
          </w:tcPr>
          <w:p w14:paraId="712C2B47"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39</w:t>
            </w:r>
          </w:p>
        </w:tc>
        <w:tc>
          <w:tcPr>
            <w:tcW w:w="1080" w:type="dxa"/>
            <w:tcBorders>
              <w:top w:val="nil"/>
              <w:left w:val="single" w:sz="4" w:space="0" w:color="000000"/>
              <w:bottom w:val="single" w:sz="4" w:space="0" w:color="000000"/>
              <w:right w:val="single" w:sz="4" w:space="0" w:color="000000"/>
            </w:tcBorders>
          </w:tcPr>
          <w:p w14:paraId="712C2B48"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4</w:t>
            </w:r>
          </w:p>
        </w:tc>
        <w:tc>
          <w:tcPr>
            <w:tcW w:w="1074" w:type="dxa"/>
            <w:tcBorders>
              <w:top w:val="nil"/>
              <w:left w:val="single" w:sz="4" w:space="0" w:color="000000"/>
              <w:bottom w:val="single" w:sz="4" w:space="0" w:color="000000"/>
              <w:right w:val="single" w:sz="4" w:space="0" w:color="000000"/>
            </w:tcBorders>
          </w:tcPr>
          <w:p w14:paraId="712C2B49"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1</w:t>
            </w:r>
          </w:p>
        </w:tc>
        <w:tc>
          <w:tcPr>
            <w:tcW w:w="1064" w:type="dxa"/>
            <w:gridSpan w:val="2"/>
            <w:tcBorders>
              <w:top w:val="nil"/>
              <w:left w:val="single" w:sz="4" w:space="0" w:color="000000"/>
              <w:bottom w:val="single" w:sz="4" w:space="0" w:color="000000"/>
              <w:right w:val="single" w:sz="4" w:space="0" w:color="000000"/>
            </w:tcBorders>
          </w:tcPr>
          <w:p w14:paraId="712C2B4A"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39</w:t>
            </w:r>
          </w:p>
        </w:tc>
        <w:tc>
          <w:tcPr>
            <w:tcW w:w="1134" w:type="dxa"/>
            <w:tcBorders>
              <w:top w:val="nil"/>
              <w:left w:val="single" w:sz="4" w:space="0" w:color="000000"/>
              <w:bottom w:val="single" w:sz="4" w:space="0" w:color="000000"/>
              <w:right w:val="single" w:sz="4" w:space="0" w:color="000000"/>
            </w:tcBorders>
          </w:tcPr>
          <w:p w14:paraId="712C2B4B"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2</w:t>
            </w:r>
          </w:p>
        </w:tc>
        <w:tc>
          <w:tcPr>
            <w:tcW w:w="1048" w:type="dxa"/>
            <w:tcBorders>
              <w:top w:val="nil"/>
              <w:left w:val="single" w:sz="4" w:space="0" w:color="000000"/>
              <w:bottom w:val="single" w:sz="4" w:space="0" w:color="000000"/>
              <w:right w:val="single" w:sz="4" w:space="0" w:color="000000"/>
            </w:tcBorders>
          </w:tcPr>
          <w:p w14:paraId="712C2B4C" w14:textId="77777777" w:rsidR="001E2D60" w:rsidRPr="00F4557E" w:rsidRDefault="001E2D60" w:rsidP="001578C7">
            <w:pPr>
              <w:keepNext/>
              <w:jc w:val="center"/>
              <w:rPr>
                <w:rFonts w:ascii="Arial" w:hAnsi="Arial" w:cs="Arial"/>
                <w:noProof/>
                <w:sz w:val="22"/>
                <w:szCs w:val="22"/>
              </w:rPr>
            </w:pPr>
            <w:r w:rsidRPr="00F4557E">
              <w:rPr>
                <w:rFonts w:ascii="Arial" w:hAnsi="Arial" w:cs="Arial"/>
                <w:noProof/>
                <w:sz w:val="22"/>
                <w:szCs w:val="22"/>
              </w:rPr>
              <w:t>0</w:t>
            </w:r>
          </w:p>
        </w:tc>
      </w:tr>
      <w:tr w:rsidR="001E2D60" w:rsidRPr="00F4557E" w14:paraId="712C2B55"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318"/>
        </w:trPr>
        <w:tc>
          <w:tcPr>
            <w:tcW w:w="2898" w:type="dxa"/>
            <w:tcBorders>
              <w:top w:val="single" w:sz="4" w:space="0" w:color="000000"/>
              <w:left w:val="single" w:sz="6" w:space="0" w:color="000000"/>
              <w:bottom w:val="nil"/>
              <w:right w:val="single" w:sz="4" w:space="0" w:color="000000"/>
            </w:tcBorders>
          </w:tcPr>
          <w:p w14:paraId="712C2B4E" w14:textId="77777777" w:rsidR="001E2D60" w:rsidRPr="00F4557E" w:rsidRDefault="001E2D60" w:rsidP="00F4557E">
            <w:pPr>
              <w:rPr>
                <w:rFonts w:ascii="Arial" w:hAnsi="Arial" w:cs="Arial"/>
                <w:noProof/>
                <w:sz w:val="22"/>
                <w:szCs w:val="22"/>
              </w:rPr>
            </w:pPr>
            <w:r w:rsidRPr="00F4557E">
              <w:rPr>
                <w:rFonts w:ascii="Arial" w:hAnsi="Arial" w:cs="Arial"/>
                <w:b/>
                <w:noProof/>
                <w:sz w:val="22"/>
                <w:szCs w:val="22"/>
              </w:rPr>
              <w:t xml:space="preserve">Renal and urinary disorders </w:t>
            </w:r>
          </w:p>
        </w:tc>
        <w:tc>
          <w:tcPr>
            <w:tcW w:w="1080" w:type="dxa"/>
            <w:tcBorders>
              <w:top w:val="single" w:sz="4" w:space="0" w:color="000000"/>
              <w:left w:val="single" w:sz="4" w:space="0" w:color="000000"/>
              <w:bottom w:val="nil"/>
              <w:right w:val="single" w:sz="4" w:space="0" w:color="000000"/>
            </w:tcBorders>
          </w:tcPr>
          <w:p w14:paraId="712C2B4F" w14:textId="77777777" w:rsidR="001E2D60" w:rsidRPr="00F4557E" w:rsidRDefault="001E2D60" w:rsidP="001578C7">
            <w:pPr>
              <w:jc w:val="center"/>
              <w:rPr>
                <w:rFonts w:ascii="Arial" w:hAnsi="Arial" w:cs="Arial"/>
                <w:noProof/>
                <w:sz w:val="22"/>
                <w:szCs w:val="22"/>
              </w:rPr>
            </w:pPr>
          </w:p>
        </w:tc>
        <w:tc>
          <w:tcPr>
            <w:tcW w:w="1080" w:type="dxa"/>
            <w:tcBorders>
              <w:top w:val="single" w:sz="4" w:space="0" w:color="000000"/>
              <w:left w:val="single" w:sz="4" w:space="0" w:color="000000"/>
              <w:bottom w:val="nil"/>
              <w:right w:val="single" w:sz="4" w:space="0" w:color="000000"/>
            </w:tcBorders>
          </w:tcPr>
          <w:p w14:paraId="712C2B50" w14:textId="77777777" w:rsidR="001E2D60" w:rsidRPr="00F4557E" w:rsidRDefault="001E2D60" w:rsidP="001578C7">
            <w:pPr>
              <w:jc w:val="center"/>
              <w:rPr>
                <w:rFonts w:ascii="Arial" w:hAnsi="Arial" w:cs="Arial"/>
                <w:noProof/>
                <w:sz w:val="22"/>
                <w:szCs w:val="22"/>
              </w:rPr>
            </w:pPr>
          </w:p>
        </w:tc>
        <w:tc>
          <w:tcPr>
            <w:tcW w:w="1074" w:type="dxa"/>
            <w:tcBorders>
              <w:top w:val="single" w:sz="4" w:space="0" w:color="000000"/>
              <w:left w:val="single" w:sz="4" w:space="0" w:color="000000"/>
              <w:bottom w:val="nil"/>
              <w:right w:val="single" w:sz="4" w:space="0" w:color="000000"/>
            </w:tcBorders>
          </w:tcPr>
          <w:p w14:paraId="712C2B51" w14:textId="77777777" w:rsidR="001E2D60" w:rsidRPr="00F4557E" w:rsidRDefault="001E2D60" w:rsidP="001578C7">
            <w:pPr>
              <w:jc w:val="center"/>
              <w:rPr>
                <w:rFonts w:ascii="Arial" w:hAnsi="Arial" w:cs="Arial"/>
                <w:noProof/>
                <w:sz w:val="22"/>
                <w:szCs w:val="22"/>
              </w:rPr>
            </w:pPr>
          </w:p>
        </w:tc>
        <w:tc>
          <w:tcPr>
            <w:tcW w:w="1064" w:type="dxa"/>
            <w:gridSpan w:val="2"/>
            <w:tcBorders>
              <w:top w:val="single" w:sz="4" w:space="0" w:color="000000"/>
              <w:left w:val="single" w:sz="4" w:space="0" w:color="000000"/>
              <w:bottom w:val="nil"/>
              <w:right w:val="single" w:sz="4" w:space="0" w:color="000000"/>
            </w:tcBorders>
          </w:tcPr>
          <w:p w14:paraId="712C2B52" w14:textId="77777777" w:rsidR="001E2D60" w:rsidRPr="00F4557E" w:rsidRDefault="001E2D60" w:rsidP="001578C7">
            <w:pPr>
              <w:jc w:val="center"/>
              <w:rPr>
                <w:rFonts w:ascii="Arial" w:hAnsi="Arial" w:cs="Arial"/>
                <w:noProof/>
                <w:sz w:val="22"/>
                <w:szCs w:val="22"/>
              </w:rPr>
            </w:pPr>
          </w:p>
        </w:tc>
        <w:tc>
          <w:tcPr>
            <w:tcW w:w="1134" w:type="dxa"/>
            <w:tcBorders>
              <w:top w:val="single" w:sz="4" w:space="0" w:color="000000"/>
              <w:left w:val="single" w:sz="4" w:space="0" w:color="000000"/>
              <w:bottom w:val="nil"/>
              <w:right w:val="single" w:sz="4" w:space="0" w:color="000000"/>
            </w:tcBorders>
          </w:tcPr>
          <w:p w14:paraId="712C2B53" w14:textId="77777777" w:rsidR="001E2D60" w:rsidRPr="00F4557E" w:rsidRDefault="001E2D60" w:rsidP="001578C7">
            <w:pPr>
              <w:jc w:val="center"/>
              <w:rPr>
                <w:rFonts w:ascii="Arial" w:hAnsi="Arial" w:cs="Arial"/>
                <w:noProof/>
                <w:sz w:val="22"/>
                <w:szCs w:val="22"/>
              </w:rPr>
            </w:pPr>
          </w:p>
        </w:tc>
        <w:tc>
          <w:tcPr>
            <w:tcW w:w="1048" w:type="dxa"/>
            <w:tcBorders>
              <w:top w:val="single" w:sz="4" w:space="0" w:color="000000"/>
              <w:left w:val="single" w:sz="4" w:space="0" w:color="000000"/>
              <w:bottom w:val="nil"/>
              <w:right w:val="single" w:sz="4" w:space="0" w:color="000000"/>
            </w:tcBorders>
          </w:tcPr>
          <w:p w14:paraId="712C2B54" w14:textId="77777777" w:rsidR="001E2D60" w:rsidRPr="00F4557E" w:rsidRDefault="001E2D60" w:rsidP="001578C7">
            <w:pPr>
              <w:jc w:val="center"/>
              <w:rPr>
                <w:rFonts w:ascii="Arial" w:hAnsi="Arial" w:cs="Arial"/>
                <w:noProof/>
                <w:sz w:val="22"/>
                <w:szCs w:val="22"/>
              </w:rPr>
            </w:pPr>
          </w:p>
        </w:tc>
      </w:tr>
      <w:tr w:rsidR="001E2D60" w:rsidRPr="00F4557E" w14:paraId="712C2B5D"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315"/>
        </w:trPr>
        <w:tc>
          <w:tcPr>
            <w:tcW w:w="2898" w:type="dxa"/>
            <w:tcBorders>
              <w:top w:val="nil"/>
              <w:left w:val="single" w:sz="6" w:space="0" w:color="000000"/>
              <w:bottom w:val="single" w:sz="4" w:space="0" w:color="000000"/>
              <w:right w:val="single" w:sz="4" w:space="0" w:color="000000"/>
            </w:tcBorders>
          </w:tcPr>
          <w:p w14:paraId="712C2B56"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Proteinuria</w:t>
            </w:r>
          </w:p>
        </w:tc>
        <w:tc>
          <w:tcPr>
            <w:tcW w:w="1080" w:type="dxa"/>
            <w:tcBorders>
              <w:top w:val="nil"/>
              <w:left w:val="single" w:sz="4" w:space="0" w:color="000000"/>
              <w:bottom w:val="single" w:sz="4" w:space="0" w:color="000000"/>
              <w:right w:val="single" w:sz="4" w:space="0" w:color="000000"/>
            </w:tcBorders>
          </w:tcPr>
          <w:p w14:paraId="712C2B57" w14:textId="50CB8305" w:rsidR="001E2D60" w:rsidRPr="00F4557E" w:rsidRDefault="00655A93" w:rsidP="001578C7">
            <w:pPr>
              <w:jc w:val="center"/>
              <w:rPr>
                <w:rFonts w:ascii="Arial" w:hAnsi="Arial" w:cs="Arial"/>
                <w:noProof/>
                <w:sz w:val="22"/>
                <w:szCs w:val="22"/>
              </w:rPr>
            </w:pPr>
            <w:r w:rsidRPr="00F4557E">
              <w:rPr>
                <w:rFonts w:ascii="Arial" w:hAnsi="Arial" w:cs="Arial"/>
                <w:noProof/>
                <w:sz w:val="22"/>
                <w:szCs w:val="22"/>
              </w:rPr>
              <w:t>59</w:t>
            </w:r>
          </w:p>
        </w:tc>
        <w:tc>
          <w:tcPr>
            <w:tcW w:w="1080" w:type="dxa"/>
            <w:tcBorders>
              <w:top w:val="nil"/>
              <w:left w:val="single" w:sz="4" w:space="0" w:color="000000"/>
              <w:bottom w:val="single" w:sz="4" w:space="0" w:color="000000"/>
              <w:right w:val="single" w:sz="4" w:space="0" w:color="000000"/>
            </w:tcBorders>
          </w:tcPr>
          <w:p w14:paraId="712C2B58" w14:textId="2A6E280A" w:rsidR="001E2D60" w:rsidRPr="00F4557E" w:rsidRDefault="00655A93" w:rsidP="001578C7">
            <w:pPr>
              <w:jc w:val="center"/>
              <w:rPr>
                <w:rFonts w:ascii="Arial" w:hAnsi="Arial" w:cs="Arial"/>
                <w:noProof/>
                <w:sz w:val="22"/>
                <w:szCs w:val="22"/>
              </w:rPr>
            </w:pPr>
            <w:r w:rsidRPr="00F4557E">
              <w:rPr>
                <w:rFonts w:ascii="Arial" w:hAnsi="Arial" w:cs="Arial"/>
                <w:noProof/>
                <w:sz w:val="22"/>
                <w:szCs w:val="22"/>
              </w:rPr>
              <w:t>3</w:t>
            </w:r>
          </w:p>
        </w:tc>
        <w:tc>
          <w:tcPr>
            <w:tcW w:w="1074" w:type="dxa"/>
            <w:tcBorders>
              <w:top w:val="nil"/>
              <w:left w:val="single" w:sz="4" w:space="0" w:color="000000"/>
              <w:bottom w:val="single" w:sz="4" w:space="0" w:color="000000"/>
              <w:right w:val="single" w:sz="4" w:space="0" w:color="000000"/>
            </w:tcBorders>
          </w:tcPr>
          <w:p w14:paraId="712C2B59"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w:t>
            </w:r>
          </w:p>
        </w:tc>
        <w:tc>
          <w:tcPr>
            <w:tcW w:w="1064" w:type="dxa"/>
            <w:gridSpan w:val="2"/>
            <w:tcBorders>
              <w:top w:val="nil"/>
              <w:left w:val="single" w:sz="4" w:space="0" w:color="000000"/>
              <w:bottom w:val="single" w:sz="4" w:space="0" w:color="000000"/>
              <w:right w:val="single" w:sz="4" w:space="0" w:color="000000"/>
            </w:tcBorders>
          </w:tcPr>
          <w:p w14:paraId="712C2B5A" w14:textId="5F02DD93" w:rsidR="001E2D60" w:rsidRPr="00F4557E" w:rsidRDefault="00655A93" w:rsidP="001578C7">
            <w:pPr>
              <w:jc w:val="center"/>
              <w:rPr>
                <w:rFonts w:ascii="Arial" w:hAnsi="Arial" w:cs="Arial"/>
                <w:noProof/>
                <w:sz w:val="22"/>
                <w:szCs w:val="22"/>
              </w:rPr>
            </w:pPr>
            <w:r w:rsidRPr="00F4557E">
              <w:rPr>
                <w:rFonts w:ascii="Arial" w:hAnsi="Arial" w:cs="Arial"/>
                <w:noProof/>
                <w:sz w:val="22"/>
                <w:szCs w:val="22"/>
              </w:rPr>
              <w:t>52</w:t>
            </w:r>
          </w:p>
        </w:tc>
        <w:tc>
          <w:tcPr>
            <w:tcW w:w="1134" w:type="dxa"/>
            <w:tcBorders>
              <w:top w:val="nil"/>
              <w:left w:val="single" w:sz="4" w:space="0" w:color="000000"/>
              <w:bottom w:val="single" w:sz="4" w:space="0" w:color="000000"/>
              <w:right w:val="single" w:sz="4" w:space="0" w:color="000000"/>
            </w:tcBorders>
          </w:tcPr>
          <w:p w14:paraId="712C2B5B" w14:textId="0BFB375B" w:rsidR="001E2D60" w:rsidRPr="00F4557E" w:rsidRDefault="00655A93" w:rsidP="001578C7">
            <w:pPr>
              <w:jc w:val="center"/>
              <w:rPr>
                <w:rFonts w:ascii="Arial" w:hAnsi="Arial" w:cs="Arial"/>
                <w:noProof/>
                <w:sz w:val="22"/>
                <w:szCs w:val="22"/>
              </w:rPr>
            </w:pPr>
            <w:r w:rsidRPr="00F4557E">
              <w:rPr>
                <w:rFonts w:ascii="Arial" w:hAnsi="Arial" w:cs="Arial"/>
                <w:noProof/>
                <w:sz w:val="22"/>
                <w:szCs w:val="22"/>
              </w:rPr>
              <w:t>3</w:t>
            </w:r>
          </w:p>
        </w:tc>
        <w:tc>
          <w:tcPr>
            <w:tcW w:w="1048" w:type="dxa"/>
            <w:tcBorders>
              <w:top w:val="nil"/>
              <w:left w:val="single" w:sz="4" w:space="0" w:color="000000"/>
              <w:bottom w:val="single" w:sz="4" w:space="0" w:color="000000"/>
              <w:right w:val="single" w:sz="4" w:space="0" w:color="000000"/>
            </w:tcBorders>
          </w:tcPr>
          <w:p w14:paraId="712C2B5C"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w:t>
            </w:r>
          </w:p>
        </w:tc>
      </w:tr>
      <w:tr w:rsidR="001E2D60" w:rsidRPr="00F4557E" w14:paraId="712C2B65"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309"/>
        </w:trPr>
        <w:tc>
          <w:tcPr>
            <w:tcW w:w="2898" w:type="dxa"/>
            <w:tcBorders>
              <w:top w:val="single" w:sz="4" w:space="0" w:color="000000"/>
              <w:left w:val="single" w:sz="6" w:space="0" w:color="000000"/>
              <w:bottom w:val="nil"/>
              <w:right w:val="single" w:sz="4" w:space="0" w:color="000000"/>
            </w:tcBorders>
          </w:tcPr>
          <w:p w14:paraId="712C2B5E" w14:textId="77777777" w:rsidR="001E2D60" w:rsidRPr="00F4557E" w:rsidRDefault="001E2D60" w:rsidP="00F4557E">
            <w:pPr>
              <w:rPr>
                <w:rFonts w:ascii="Arial" w:hAnsi="Arial" w:cs="Arial"/>
                <w:noProof/>
                <w:sz w:val="22"/>
                <w:szCs w:val="22"/>
              </w:rPr>
            </w:pPr>
            <w:r w:rsidRPr="00F4557E">
              <w:rPr>
                <w:rFonts w:ascii="Arial" w:hAnsi="Arial" w:cs="Arial"/>
                <w:b/>
                <w:noProof/>
                <w:sz w:val="22"/>
                <w:szCs w:val="22"/>
              </w:rPr>
              <w:lastRenderedPageBreak/>
              <w:t xml:space="preserve">Investigations </w:t>
            </w:r>
          </w:p>
        </w:tc>
        <w:tc>
          <w:tcPr>
            <w:tcW w:w="1080" w:type="dxa"/>
            <w:tcBorders>
              <w:top w:val="single" w:sz="4" w:space="0" w:color="000000"/>
              <w:left w:val="single" w:sz="4" w:space="0" w:color="000000"/>
              <w:bottom w:val="nil"/>
              <w:right w:val="single" w:sz="4" w:space="0" w:color="000000"/>
            </w:tcBorders>
          </w:tcPr>
          <w:p w14:paraId="712C2B5F" w14:textId="77777777" w:rsidR="001E2D60" w:rsidRPr="00F4557E" w:rsidRDefault="001E2D60" w:rsidP="001578C7">
            <w:pPr>
              <w:jc w:val="center"/>
              <w:rPr>
                <w:rFonts w:ascii="Arial" w:hAnsi="Arial" w:cs="Arial"/>
                <w:noProof/>
                <w:sz w:val="22"/>
                <w:szCs w:val="22"/>
              </w:rPr>
            </w:pPr>
          </w:p>
        </w:tc>
        <w:tc>
          <w:tcPr>
            <w:tcW w:w="1080" w:type="dxa"/>
            <w:tcBorders>
              <w:top w:val="single" w:sz="4" w:space="0" w:color="000000"/>
              <w:left w:val="single" w:sz="4" w:space="0" w:color="000000"/>
              <w:bottom w:val="nil"/>
              <w:right w:val="single" w:sz="4" w:space="0" w:color="000000"/>
            </w:tcBorders>
          </w:tcPr>
          <w:p w14:paraId="712C2B60" w14:textId="77777777" w:rsidR="001E2D60" w:rsidRPr="00F4557E" w:rsidRDefault="001E2D60" w:rsidP="001578C7">
            <w:pPr>
              <w:jc w:val="center"/>
              <w:rPr>
                <w:rFonts w:ascii="Arial" w:hAnsi="Arial" w:cs="Arial"/>
                <w:noProof/>
                <w:sz w:val="22"/>
                <w:szCs w:val="22"/>
              </w:rPr>
            </w:pPr>
          </w:p>
        </w:tc>
        <w:tc>
          <w:tcPr>
            <w:tcW w:w="1074" w:type="dxa"/>
            <w:tcBorders>
              <w:top w:val="single" w:sz="4" w:space="0" w:color="000000"/>
              <w:left w:val="single" w:sz="4" w:space="0" w:color="000000"/>
              <w:bottom w:val="nil"/>
              <w:right w:val="single" w:sz="4" w:space="0" w:color="000000"/>
            </w:tcBorders>
          </w:tcPr>
          <w:p w14:paraId="712C2B61" w14:textId="77777777" w:rsidR="001E2D60" w:rsidRPr="00F4557E" w:rsidRDefault="001E2D60" w:rsidP="001578C7">
            <w:pPr>
              <w:jc w:val="center"/>
              <w:rPr>
                <w:rFonts w:ascii="Arial" w:hAnsi="Arial" w:cs="Arial"/>
                <w:noProof/>
                <w:sz w:val="22"/>
                <w:szCs w:val="22"/>
              </w:rPr>
            </w:pPr>
          </w:p>
        </w:tc>
        <w:tc>
          <w:tcPr>
            <w:tcW w:w="1064" w:type="dxa"/>
            <w:gridSpan w:val="2"/>
            <w:tcBorders>
              <w:top w:val="single" w:sz="4" w:space="0" w:color="000000"/>
              <w:left w:val="single" w:sz="4" w:space="0" w:color="000000"/>
              <w:bottom w:val="nil"/>
              <w:right w:val="single" w:sz="4" w:space="0" w:color="000000"/>
            </w:tcBorders>
          </w:tcPr>
          <w:p w14:paraId="712C2B62" w14:textId="77777777" w:rsidR="001E2D60" w:rsidRPr="00F4557E" w:rsidRDefault="001E2D60" w:rsidP="001578C7">
            <w:pPr>
              <w:jc w:val="center"/>
              <w:rPr>
                <w:rFonts w:ascii="Arial" w:hAnsi="Arial" w:cs="Arial"/>
                <w:noProof/>
                <w:sz w:val="22"/>
                <w:szCs w:val="22"/>
              </w:rPr>
            </w:pPr>
          </w:p>
        </w:tc>
        <w:tc>
          <w:tcPr>
            <w:tcW w:w="1134" w:type="dxa"/>
            <w:tcBorders>
              <w:top w:val="single" w:sz="4" w:space="0" w:color="000000"/>
              <w:left w:val="single" w:sz="4" w:space="0" w:color="000000"/>
              <w:bottom w:val="nil"/>
              <w:right w:val="single" w:sz="4" w:space="0" w:color="000000"/>
            </w:tcBorders>
          </w:tcPr>
          <w:p w14:paraId="712C2B63" w14:textId="77777777" w:rsidR="001E2D60" w:rsidRPr="00F4557E" w:rsidRDefault="001E2D60" w:rsidP="001578C7">
            <w:pPr>
              <w:jc w:val="center"/>
              <w:rPr>
                <w:rFonts w:ascii="Arial" w:hAnsi="Arial" w:cs="Arial"/>
                <w:noProof/>
                <w:sz w:val="22"/>
                <w:szCs w:val="22"/>
              </w:rPr>
            </w:pPr>
          </w:p>
        </w:tc>
        <w:tc>
          <w:tcPr>
            <w:tcW w:w="1048" w:type="dxa"/>
            <w:tcBorders>
              <w:top w:val="single" w:sz="4" w:space="0" w:color="000000"/>
              <w:left w:val="single" w:sz="4" w:space="0" w:color="000000"/>
              <w:bottom w:val="nil"/>
              <w:right w:val="single" w:sz="4" w:space="0" w:color="000000"/>
            </w:tcBorders>
          </w:tcPr>
          <w:p w14:paraId="712C2B64" w14:textId="77777777" w:rsidR="001E2D60" w:rsidRPr="00F4557E" w:rsidRDefault="001E2D60" w:rsidP="001578C7">
            <w:pPr>
              <w:jc w:val="center"/>
              <w:rPr>
                <w:rFonts w:ascii="Arial" w:hAnsi="Arial" w:cs="Arial"/>
                <w:noProof/>
                <w:sz w:val="22"/>
                <w:szCs w:val="22"/>
              </w:rPr>
            </w:pPr>
          </w:p>
        </w:tc>
      </w:tr>
      <w:tr w:rsidR="001E2D60" w:rsidRPr="00F4557E" w14:paraId="712C2B6D"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81"/>
        </w:trPr>
        <w:tc>
          <w:tcPr>
            <w:tcW w:w="2898" w:type="dxa"/>
            <w:tcBorders>
              <w:top w:val="nil"/>
              <w:left w:val="single" w:sz="6" w:space="0" w:color="000000"/>
              <w:bottom w:val="nil"/>
              <w:right w:val="single" w:sz="4" w:space="0" w:color="000000"/>
            </w:tcBorders>
          </w:tcPr>
          <w:p w14:paraId="712C2B66"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 xml:space="preserve">Increased INR** </w:t>
            </w:r>
          </w:p>
        </w:tc>
        <w:tc>
          <w:tcPr>
            <w:tcW w:w="1080" w:type="dxa"/>
            <w:tcBorders>
              <w:top w:val="nil"/>
              <w:left w:val="single" w:sz="4" w:space="0" w:color="000000"/>
              <w:bottom w:val="nil"/>
              <w:right w:val="single" w:sz="4" w:space="0" w:color="000000"/>
            </w:tcBorders>
          </w:tcPr>
          <w:p w14:paraId="712C2B67"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9</w:t>
            </w:r>
          </w:p>
        </w:tc>
        <w:tc>
          <w:tcPr>
            <w:tcW w:w="1080" w:type="dxa"/>
            <w:tcBorders>
              <w:top w:val="nil"/>
              <w:left w:val="single" w:sz="4" w:space="0" w:color="000000"/>
              <w:bottom w:val="nil"/>
              <w:right w:val="single" w:sz="4" w:space="0" w:color="000000"/>
            </w:tcBorders>
          </w:tcPr>
          <w:p w14:paraId="712C2B68"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2</w:t>
            </w:r>
          </w:p>
        </w:tc>
        <w:tc>
          <w:tcPr>
            <w:tcW w:w="1074" w:type="dxa"/>
            <w:tcBorders>
              <w:top w:val="nil"/>
              <w:left w:val="single" w:sz="4" w:space="0" w:color="000000"/>
              <w:bottom w:val="nil"/>
              <w:right w:val="single" w:sz="4" w:space="0" w:color="000000"/>
            </w:tcBorders>
          </w:tcPr>
          <w:p w14:paraId="712C2B69"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N/A</w:t>
            </w:r>
          </w:p>
        </w:tc>
        <w:tc>
          <w:tcPr>
            <w:tcW w:w="1064" w:type="dxa"/>
            <w:gridSpan w:val="2"/>
            <w:tcBorders>
              <w:top w:val="nil"/>
              <w:left w:val="single" w:sz="4" w:space="0" w:color="000000"/>
              <w:bottom w:val="nil"/>
              <w:right w:val="single" w:sz="4" w:space="0" w:color="000000"/>
            </w:tcBorders>
          </w:tcPr>
          <w:p w14:paraId="712C2B6A"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13</w:t>
            </w:r>
          </w:p>
        </w:tc>
        <w:tc>
          <w:tcPr>
            <w:tcW w:w="1134" w:type="dxa"/>
            <w:tcBorders>
              <w:top w:val="nil"/>
              <w:left w:val="single" w:sz="4" w:space="0" w:color="000000"/>
              <w:bottom w:val="nil"/>
              <w:right w:val="single" w:sz="4" w:space="0" w:color="000000"/>
            </w:tcBorders>
          </w:tcPr>
          <w:p w14:paraId="712C2B6B"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5</w:t>
            </w:r>
          </w:p>
        </w:tc>
        <w:tc>
          <w:tcPr>
            <w:tcW w:w="1048" w:type="dxa"/>
            <w:tcBorders>
              <w:top w:val="nil"/>
              <w:left w:val="single" w:sz="4" w:space="0" w:color="000000"/>
              <w:bottom w:val="nil"/>
              <w:right w:val="single" w:sz="4" w:space="0" w:color="000000"/>
            </w:tcBorders>
          </w:tcPr>
          <w:p w14:paraId="712C2B6C"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N/A</w:t>
            </w:r>
          </w:p>
        </w:tc>
      </w:tr>
      <w:tr w:rsidR="001E2D60" w:rsidRPr="00F4557E" w14:paraId="712C2B75" w14:textId="77777777" w:rsidTr="008515F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81"/>
        </w:trPr>
        <w:tc>
          <w:tcPr>
            <w:tcW w:w="2898" w:type="dxa"/>
            <w:tcBorders>
              <w:top w:val="nil"/>
              <w:left w:val="single" w:sz="6" w:space="0" w:color="000000"/>
              <w:bottom w:val="single" w:sz="4" w:space="0" w:color="auto"/>
              <w:right w:val="single" w:sz="4" w:space="0" w:color="000000"/>
            </w:tcBorders>
          </w:tcPr>
          <w:p w14:paraId="712C2B6E" w14:textId="77777777" w:rsidR="001E2D60" w:rsidRPr="00F4557E" w:rsidRDefault="001E2D60" w:rsidP="00F4557E">
            <w:pPr>
              <w:rPr>
                <w:rFonts w:ascii="Arial" w:hAnsi="Arial" w:cs="Arial"/>
                <w:noProof/>
                <w:sz w:val="22"/>
                <w:szCs w:val="22"/>
              </w:rPr>
            </w:pPr>
            <w:r w:rsidRPr="00F4557E">
              <w:rPr>
                <w:rFonts w:ascii="Arial" w:hAnsi="Arial" w:cs="Arial"/>
                <w:noProof/>
                <w:sz w:val="22"/>
                <w:szCs w:val="22"/>
              </w:rPr>
              <w:t xml:space="preserve">Increased Lipase </w:t>
            </w:r>
          </w:p>
        </w:tc>
        <w:tc>
          <w:tcPr>
            <w:tcW w:w="1080" w:type="dxa"/>
            <w:tcBorders>
              <w:top w:val="nil"/>
              <w:left w:val="single" w:sz="4" w:space="0" w:color="000000"/>
              <w:bottom w:val="single" w:sz="4" w:space="0" w:color="auto"/>
              <w:right w:val="single" w:sz="4" w:space="0" w:color="000000"/>
            </w:tcBorders>
          </w:tcPr>
          <w:p w14:paraId="712C2B6F"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14</w:t>
            </w:r>
          </w:p>
        </w:tc>
        <w:tc>
          <w:tcPr>
            <w:tcW w:w="1080" w:type="dxa"/>
            <w:tcBorders>
              <w:top w:val="nil"/>
              <w:left w:val="single" w:sz="4" w:space="0" w:color="000000"/>
              <w:bottom w:val="single" w:sz="4" w:space="0" w:color="auto"/>
              <w:right w:val="single" w:sz="4" w:space="0" w:color="000000"/>
            </w:tcBorders>
          </w:tcPr>
          <w:p w14:paraId="712C2B70"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74" w:type="dxa"/>
            <w:tcBorders>
              <w:top w:val="nil"/>
              <w:left w:val="single" w:sz="4" w:space="0" w:color="000000"/>
              <w:bottom w:val="single" w:sz="4" w:space="0" w:color="auto"/>
              <w:right w:val="single" w:sz="4" w:space="0" w:color="000000"/>
            </w:tcBorders>
          </w:tcPr>
          <w:p w14:paraId="712C2B71"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1</w:t>
            </w:r>
          </w:p>
        </w:tc>
        <w:tc>
          <w:tcPr>
            <w:tcW w:w="1064" w:type="dxa"/>
            <w:gridSpan w:val="2"/>
            <w:tcBorders>
              <w:top w:val="nil"/>
              <w:left w:val="single" w:sz="4" w:space="0" w:color="000000"/>
              <w:bottom w:val="single" w:sz="4" w:space="0" w:color="auto"/>
              <w:right w:val="single" w:sz="4" w:space="0" w:color="000000"/>
            </w:tcBorders>
          </w:tcPr>
          <w:p w14:paraId="712C2B72"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5</w:t>
            </w:r>
          </w:p>
        </w:tc>
        <w:tc>
          <w:tcPr>
            <w:tcW w:w="1134" w:type="dxa"/>
            <w:tcBorders>
              <w:top w:val="nil"/>
              <w:left w:val="single" w:sz="4" w:space="0" w:color="000000"/>
              <w:bottom w:val="single" w:sz="4" w:space="0" w:color="auto"/>
              <w:right w:val="single" w:sz="4" w:space="0" w:color="000000"/>
            </w:tcBorders>
          </w:tcPr>
          <w:p w14:paraId="712C2B73"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c>
          <w:tcPr>
            <w:tcW w:w="1048" w:type="dxa"/>
            <w:tcBorders>
              <w:top w:val="nil"/>
              <w:left w:val="single" w:sz="4" w:space="0" w:color="000000"/>
              <w:bottom w:val="single" w:sz="4" w:space="0" w:color="auto"/>
              <w:right w:val="single" w:sz="4" w:space="0" w:color="000000"/>
            </w:tcBorders>
          </w:tcPr>
          <w:p w14:paraId="712C2B74" w14:textId="77777777" w:rsidR="001E2D60" w:rsidRPr="00F4557E" w:rsidRDefault="001E2D60" w:rsidP="001578C7">
            <w:pPr>
              <w:jc w:val="center"/>
              <w:rPr>
                <w:rFonts w:ascii="Arial" w:hAnsi="Arial" w:cs="Arial"/>
                <w:noProof/>
                <w:sz w:val="22"/>
                <w:szCs w:val="22"/>
              </w:rPr>
            </w:pPr>
            <w:r w:rsidRPr="00F4557E">
              <w:rPr>
                <w:rFonts w:ascii="Arial" w:hAnsi="Arial" w:cs="Arial"/>
                <w:noProof/>
                <w:sz w:val="22"/>
                <w:szCs w:val="22"/>
              </w:rPr>
              <w:t>0</w:t>
            </w:r>
          </w:p>
        </w:tc>
      </w:tr>
    </w:tbl>
    <w:p w14:paraId="712C2B76" w14:textId="413B95AE" w:rsidR="00594470" w:rsidRPr="00EF0C8F" w:rsidRDefault="005F3D99" w:rsidP="00EF0C8F">
      <w:pPr>
        <w:spacing w:before="120"/>
        <w:rPr>
          <w:rFonts w:ascii="Arial" w:hAnsi="Arial" w:cs="Arial"/>
          <w:noProof/>
          <w:sz w:val="20"/>
          <w:szCs w:val="20"/>
        </w:rPr>
      </w:pPr>
      <w:r w:rsidRPr="00EF0C8F">
        <w:rPr>
          <w:rFonts w:ascii="Arial" w:hAnsi="Arial" w:cs="Arial"/>
          <w:noProof/>
          <w:sz w:val="20"/>
          <w:szCs w:val="20"/>
        </w:rPr>
        <w:t>§</w:t>
      </w:r>
      <w:r w:rsidR="008219CC" w:rsidRPr="00EF0C8F">
        <w:rPr>
          <w:rFonts w:ascii="Arial" w:hAnsi="Arial" w:cs="Arial"/>
          <w:noProof/>
          <w:sz w:val="20"/>
          <w:szCs w:val="20"/>
        </w:rPr>
        <w:tab/>
      </w:r>
      <w:r w:rsidR="00594470" w:rsidRPr="00EF0C8F">
        <w:rPr>
          <w:rFonts w:ascii="Arial" w:hAnsi="Arial" w:cs="Arial"/>
          <w:noProof/>
          <w:sz w:val="20"/>
          <w:szCs w:val="20"/>
        </w:rPr>
        <w:t>Best supportive care</w:t>
      </w:r>
    </w:p>
    <w:p w14:paraId="712C2B77" w14:textId="1DE7E8E2" w:rsidR="001E2D60" w:rsidRPr="00EF0C8F" w:rsidRDefault="001E2D60" w:rsidP="00EF0C8F">
      <w:pPr>
        <w:spacing w:before="120"/>
        <w:contextualSpacing/>
        <w:rPr>
          <w:rFonts w:ascii="Arial" w:hAnsi="Arial" w:cs="Arial"/>
          <w:noProof/>
          <w:sz w:val="20"/>
          <w:szCs w:val="20"/>
        </w:rPr>
      </w:pPr>
      <w:r w:rsidRPr="00EF0C8F">
        <w:rPr>
          <w:rFonts w:ascii="Arial" w:hAnsi="Arial" w:cs="Arial"/>
          <w:noProof/>
          <w:sz w:val="20"/>
          <w:szCs w:val="20"/>
        </w:rPr>
        <w:t>*</w:t>
      </w:r>
      <w:r w:rsidR="008219CC" w:rsidRPr="00EF0C8F">
        <w:rPr>
          <w:rFonts w:ascii="Arial" w:hAnsi="Arial" w:cs="Arial"/>
          <w:noProof/>
          <w:sz w:val="20"/>
          <w:szCs w:val="20"/>
        </w:rPr>
        <w:tab/>
      </w:r>
      <w:r w:rsidR="00712C81" w:rsidRPr="00EF0C8F">
        <w:rPr>
          <w:rFonts w:ascii="Arial" w:hAnsi="Arial" w:cs="Arial"/>
          <w:noProof/>
          <w:sz w:val="20"/>
          <w:szCs w:val="20"/>
        </w:rPr>
        <w:t xml:space="preserve">Common Terminology Criteria for Adverse Events (CTCAE), Version 4.0 </w:t>
      </w:r>
    </w:p>
    <w:p w14:paraId="712C2B78" w14:textId="0EF9093F" w:rsidR="001E2D60" w:rsidRPr="00EF0C8F" w:rsidRDefault="002239D7" w:rsidP="00EF0C8F">
      <w:pPr>
        <w:spacing w:before="120"/>
        <w:contextualSpacing/>
        <w:rPr>
          <w:rFonts w:ascii="Arial" w:hAnsi="Arial" w:cs="Arial"/>
          <w:noProof/>
          <w:sz w:val="20"/>
          <w:szCs w:val="20"/>
        </w:rPr>
      </w:pPr>
      <w:r w:rsidRPr="00EF0C8F">
        <w:rPr>
          <w:rFonts w:ascii="Arial" w:hAnsi="Arial" w:cs="Arial"/>
          <w:noProof/>
          <w:sz w:val="20"/>
          <w:szCs w:val="20"/>
        </w:rPr>
        <w:t>**</w:t>
      </w:r>
      <w:r w:rsidR="008219CC" w:rsidRPr="00EF0C8F">
        <w:rPr>
          <w:rFonts w:ascii="Arial" w:hAnsi="Arial" w:cs="Arial"/>
          <w:noProof/>
          <w:sz w:val="20"/>
          <w:szCs w:val="20"/>
        </w:rPr>
        <w:tab/>
      </w:r>
      <w:r w:rsidR="001E2D60" w:rsidRPr="00EF0C8F">
        <w:rPr>
          <w:rFonts w:ascii="Arial" w:hAnsi="Arial" w:cs="Arial"/>
          <w:noProof/>
          <w:sz w:val="20"/>
          <w:szCs w:val="20"/>
        </w:rPr>
        <w:t>International normalised ratio</w:t>
      </w:r>
    </w:p>
    <w:p w14:paraId="712C2B79" w14:textId="113D545B" w:rsidR="00FD48A1" w:rsidRPr="00EF0C8F" w:rsidRDefault="002239D7" w:rsidP="00EF0C8F">
      <w:pPr>
        <w:spacing w:before="120"/>
        <w:contextualSpacing/>
        <w:rPr>
          <w:rFonts w:ascii="Arial" w:hAnsi="Arial" w:cs="Arial"/>
          <w:noProof/>
          <w:sz w:val="20"/>
          <w:szCs w:val="20"/>
        </w:rPr>
      </w:pPr>
      <w:r w:rsidRPr="00EF0C8F">
        <w:rPr>
          <w:rFonts w:ascii="Arial" w:hAnsi="Arial" w:cs="Arial"/>
          <w:noProof/>
          <w:sz w:val="20"/>
          <w:szCs w:val="20"/>
        </w:rPr>
        <w:t>-</w:t>
      </w:r>
      <w:r w:rsidR="008219CC" w:rsidRPr="00EF0C8F">
        <w:rPr>
          <w:rFonts w:ascii="Arial" w:hAnsi="Arial" w:cs="Arial"/>
          <w:noProof/>
          <w:sz w:val="20"/>
          <w:szCs w:val="20"/>
        </w:rPr>
        <w:tab/>
      </w:r>
      <w:r w:rsidR="001E2D60" w:rsidRPr="00EF0C8F">
        <w:rPr>
          <w:rFonts w:ascii="Arial" w:hAnsi="Arial" w:cs="Arial"/>
          <w:noProof/>
          <w:sz w:val="20"/>
          <w:szCs w:val="20"/>
        </w:rPr>
        <w:t>No Grade 4 denoted in CTCAE, v4.0</w:t>
      </w:r>
    </w:p>
    <w:p w14:paraId="712C2B7A" w14:textId="77777777" w:rsidR="00A83092" w:rsidRPr="00F4557E" w:rsidRDefault="00A83092" w:rsidP="00F4557E">
      <w:pPr>
        <w:rPr>
          <w:rFonts w:ascii="Arial" w:hAnsi="Arial" w:cs="Arial"/>
          <w:noProof/>
          <w:sz w:val="22"/>
          <w:szCs w:val="22"/>
        </w:rPr>
      </w:pPr>
    </w:p>
    <w:p w14:paraId="09372B8E" w14:textId="0A0A78C3" w:rsidR="00A062BB" w:rsidRPr="00F4557E" w:rsidRDefault="002D079E" w:rsidP="00F4557E">
      <w:pPr>
        <w:rPr>
          <w:rFonts w:ascii="Arial" w:hAnsi="Arial" w:cs="Arial"/>
          <w:noProof/>
          <w:sz w:val="22"/>
          <w:szCs w:val="22"/>
        </w:rPr>
      </w:pPr>
      <w:r w:rsidRPr="00F4557E">
        <w:rPr>
          <w:rFonts w:ascii="Arial" w:hAnsi="Arial" w:cs="Arial"/>
          <w:noProof/>
          <w:sz w:val="22"/>
          <w:szCs w:val="22"/>
        </w:rPr>
        <w:t>Additional safety data is available from a post-registration phase III trial carried out in Asian patients with CRC (CONCUR). The safety profile in this study was generally consistent with the global phase III CRC trial (CORRECT). Of note, however, a higher incidence of liver enzyme increases was observed in STIVARGA-treated patients in the CONCUR trial (&gt;90% East Asian) compared to in the CORRECT trial (~80% Caucasian).</w:t>
      </w:r>
    </w:p>
    <w:p w14:paraId="28E58C89" w14:textId="77777777" w:rsidR="002D079E" w:rsidRPr="00F4557E" w:rsidRDefault="002D079E" w:rsidP="00F4557E">
      <w:pPr>
        <w:pStyle w:val="Heading2"/>
        <w:spacing w:before="0" w:after="0"/>
        <w:ind w:right="45"/>
        <w:jc w:val="left"/>
        <w:rPr>
          <w:rFonts w:ascii="Arial" w:hAnsi="Arial" w:cs="Arial"/>
          <w:i/>
          <w:noProof/>
          <w:sz w:val="22"/>
          <w:szCs w:val="22"/>
        </w:rPr>
      </w:pPr>
    </w:p>
    <w:p w14:paraId="7BB2FE69" w14:textId="2D7B9424" w:rsidR="00A32E88" w:rsidRPr="00D85E92" w:rsidRDefault="00A32E88" w:rsidP="00F4557E">
      <w:pPr>
        <w:pStyle w:val="Heading2"/>
        <w:spacing w:before="0" w:after="0"/>
        <w:ind w:right="45"/>
        <w:jc w:val="left"/>
        <w:rPr>
          <w:rFonts w:ascii="Arial" w:hAnsi="Arial" w:cs="Arial"/>
          <w:i/>
          <w:noProof/>
          <w:sz w:val="22"/>
          <w:szCs w:val="22"/>
        </w:rPr>
      </w:pPr>
      <w:bookmarkStart w:id="10" w:name="bookmark0"/>
      <w:bookmarkEnd w:id="10"/>
      <w:r w:rsidRPr="00F4557E">
        <w:rPr>
          <w:rFonts w:ascii="Arial" w:hAnsi="Arial" w:cs="Arial"/>
          <w:i/>
          <w:noProof/>
          <w:sz w:val="22"/>
          <w:szCs w:val="22"/>
        </w:rPr>
        <w:t>Hepatocellular Carcinoma</w:t>
      </w:r>
      <w:r w:rsidR="00E85863" w:rsidRPr="00F4557E">
        <w:rPr>
          <w:rFonts w:ascii="Arial" w:hAnsi="Arial" w:cs="Arial"/>
          <w:i/>
          <w:noProof/>
          <w:sz w:val="22"/>
          <w:szCs w:val="22"/>
        </w:rPr>
        <w:t xml:space="preserve"> (HCC)</w:t>
      </w:r>
    </w:p>
    <w:p w14:paraId="03B6399A" w14:textId="77777777" w:rsidR="00F576DE" w:rsidRPr="00F4557E" w:rsidRDefault="00F576DE" w:rsidP="00F4557E">
      <w:pPr>
        <w:rPr>
          <w:rFonts w:ascii="Arial" w:hAnsi="Arial" w:cs="Arial"/>
          <w:i/>
          <w:noProof/>
          <w:sz w:val="22"/>
          <w:szCs w:val="22"/>
        </w:rPr>
      </w:pPr>
    </w:p>
    <w:p w14:paraId="1CD6F9CF" w14:textId="76A3A296" w:rsidR="00A32E88" w:rsidRPr="00F4557E" w:rsidRDefault="00A32E88"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The data described below reflect exposure to S</w:t>
      </w:r>
      <w:r w:rsidR="007B5FBC" w:rsidRPr="00F4557E">
        <w:rPr>
          <w:rFonts w:ascii="Arial" w:hAnsi="Arial" w:cs="Arial"/>
          <w:snapToGrid w:val="0"/>
          <w:sz w:val="22"/>
          <w:szCs w:val="22"/>
          <w:lang w:val="en-GB"/>
        </w:rPr>
        <w:t>TIVARGA</w:t>
      </w:r>
      <w:r w:rsidRPr="00F4557E">
        <w:rPr>
          <w:rFonts w:ascii="Arial" w:hAnsi="Arial" w:cs="Arial"/>
          <w:snapToGrid w:val="0"/>
          <w:sz w:val="22"/>
          <w:szCs w:val="22"/>
          <w:lang w:val="en-GB"/>
        </w:rPr>
        <w:t xml:space="preserve"> in over 4,800 patients with different </w:t>
      </w:r>
      <w:r w:rsidR="007B5FBC" w:rsidRPr="00F4557E">
        <w:rPr>
          <w:rFonts w:ascii="Arial" w:hAnsi="Arial" w:cs="Arial"/>
          <w:snapToGrid w:val="0"/>
          <w:sz w:val="22"/>
          <w:szCs w:val="22"/>
          <w:lang w:val="en-GB"/>
        </w:rPr>
        <w:t>tumour</w:t>
      </w:r>
      <w:r w:rsidRPr="00F4557E">
        <w:rPr>
          <w:rFonts w:ascii="Arial" w:hAnsi="Arial" w:cs="Arial"/>
          <w:snapToGrid w:val="0"/>
          <w:sz w:val="22"/>
          <w:szCs w:val="22"/>
          <w:lang w:val="en-GB"/>
        </w:rPr>
        <w:t xml:space="preserve"> types, including 374 patients with HCC treated with S</w:t>
      </w:r>
      <w:r w:rsidR="007B5FBC" w:rsidRPr="00F4557E">
        <w:rPr>
          <w:rFonts w:ascii="Arial" w:hAnsi="Arial" w:cs="Arial"/>
          <w:snapToGrid w:val="0"/>
          <w:sz w:val="22"/>
          <w:szCs w:val="22"/>
          <w:lang w:val="en-GB"/>
        </w:rPr>
        <w:t>TIVARGA</w:t>
      </w:r>
      <w:r w:rsidRPr="00F4557E">
        <w:rPr>
          <w:rFonts w:ascii="Arial" w:hAnsi="Arial" w:cs="Arial"/>
          <w:snapToGrid w:val="0"/>
          <w:sz w:val="22"/>
          <w:szCs w:val="22"/>
          <w:lang w:val="en-GB"/>
        </w:rPr>
        <w:t xml:space="preserve"> in a </w:t>
      </w:r>
      <w:r w:rsidR="007B5FBC" w:rsidRPr="00F4557E">
        <w:rPr>
          <w:rFonts w:ascii="Arial" w:hAnsi="Arial" w:cs="Arial"/>
          <w:snapToGrid w:val="0"/>
          <w:sz w:val="22"/>
          <w:szCs w:val="22"/>
          <w:lang w:val="en-GB"/>
        </w:rPr>
        <w:t>randomised</w:t>
      </w:r>
      <w:r w:rsidRPr="00F4557E">
        <w:rPr>
          <w:rFonts w:ascii="Arial" w:hAnsi="Arial" w:cs="Arial"/>
          <w:snapToGrid w:val="0"/>
          <w:sz w:val="22"/>
          <w:szCs w:val="22"/>
          <w:lang w:val="en-GB"/>
        </w:rPr>
        <w:t>, double-blind, placebo controlled trial (</w:t>
      </w:r>
      <w:r w:rsidR="00E85863" w:rsidRPr="00F4557E">
        <w:rPr>
          <w:rFonts w:ascii="Arial" w:hAnsi="Arial" w:cs="Arial"/>
          <w:snapToGrid w:val="0"/>
          <w:sz w:val="22"/>
          <w:szCs w:val="22"/>
          <w:lang w:val="en-GB"/>
        </w:rPr>
        <w:t xml:space="preserve">RESORCE </w:t>
      </w:r>
      <w:r w:rsidRPr="00F4557E">
        <w:rPr>
          <w:rFonts w:ascii="Arial" w:hAnsi="Arial" w:cs="Arial"/>
          <w:snapToGrid w:val="0"/>
          <w:sz w:val="22"/>
          <w:szCs w:val="22"/>
          <w:lang w:val="en-GB"/>
        </w:rPr>
        <w:t>Study) with 193 patients receiving placebo.</w:t>
      </w:r>
    </w:p>
    <w:p w14:paraId="196FD217" w14:textId="77777777" w:rsidR="00A32E88" w:rsidRPr="00EF0C8F" w:rsidRDefault="00A32E88" w:rsidP="00F4557E">
      <w:pPr>
        <w:pStyle w:val="BayerBodyTextFull"/>
        <w:spacing w:before="0" w:after="0"/>
        <w:rPr>
          <w:rFonts w:ascii="Arial" w:hAnsi="Arial" w:cs="Arial"/>
          <w:snapToGrid w:val="0"/>
          <w:sz w:val="22"/>
          <w:szCs w:val="22"/>
          <w:lang w:val="en-GB"/>
        </w:rPr>
      </w:pPr>
    </w:p>
    <w:p w14:paraId="42EFE9E4" w14:textId="7C4113FF" w:rsidR="00A32E88" w:rsidRPr="00EF0C8F" w:rsidRDefault="00A32E88" w:rsidP="00F4557E">
      <w:pPr>
        <w:pStyle w:val="BayerBodyTextFull"/>
        <w:spacing w:before="0" w:after="0"/>
        <w:rPr>
          <w:rFonts w:ascii="Arial" w:hAnsi="Arial" w:cs="Arial"/>
          <w:b/>
          <w:color w:val="000000"/>
          <w:sz w:val="22"/>
          <w:szCs w:val="22"/>
          <w:lang w:val="en-GB"/>
        </w:rPr>
      </w:pPr>
      <w:r w:rsidRPr="00EF0C8F">
        <w:rPr>
          <w:rFonts w:ascii="Arial" w:hAnsi="Arial" w:cs="Arial"/>
          <w:b/>
          <w:color w:val="000000"/>
          <w:sz w:val="22"/>
          <w:szCs w:val="22"/>
          <w:lang w:val="en-GB"/>
        </w:rPr>
        <w:t xml:space="preserve">Table </w:t>
      </w:r>
      <w:r w:rsidR="00871049" w:rsidRPr="00EF0C8F">
        <w:rPr>
          <w:rFonts w:ascii="Arial" w:hAnsi="Arial" w:cs="Arial"/>
          <w:b/>
          <w:color w:val="000000"/>
          <w:sz w:val="22"/>
          <w:szCs w:val="22"/>
          <w:lang w:val="en-GB"/>
        </w:rPr>
        <w:t>10</w:t>
      </w:r>
      <w:r w:rsidRPr="00EF0C8F">
        <w:rPr>
          <w:rFonts w:ascii="Arial" w:hAnsi="Arial" w:cs="Arial"/>
          <w:b/>
          <w:color w:val="000000"/>
          <w:sz w:val="22"/>
          <w:szCs w:val="22"/>
          <w:lang w:val="en-GB"/>
        </w:rPr>
        <w:t>: Incidence of adverse drug reactions (≥10%) reported in patients treated with S</w:t>
      </w:r>
      <w:r w:rsidR="007B5FBC" w:rsidRPr="00EF0C8F">
        <w:rPr>
          <w:rFonts w:ascii="Arial" w:hAnsi="Arial" w:cs="Arial"/>
          <w:b/>
          <w:color w:val="000000"/>
          <w:sz w:val="22"/>
          <w:szCs w:val="22"/>
          <w:lang w:val="en-GB"/>
        </w:rPr>
        <w:t>TIVARGA</w:t>
      </w:r>
      <w:r w:rsidRPr="00EF0C8F">
        <w:rPr>
          <w:rFonts w:ascii="Arial" w:hAnsi="Arial" w:cs="Arial"/>
          <w:b/>
          <w:color w:val="000000"/>
          <w:sz w:val="22"/>
          <w:szCs w:val="22"/>
          <w:lang w:val="en-GB"/>
        </w:rPr>
        <w:t xml:space="preserve"> and reported more commonly than in patients receiving placebo</w:t>
      </w:r>
      <w:r w:rsidR="00E85863" w:rsidRPr="00EF0C8F">
        <w:rPr>
          <w:rFonts w:ascii="Arial" w:hAnsi="Arial" w:cs="Arial"/>
          <w:b/>
          <w:color w:val="000000"/>
          <w:sz w:val="22"/>
          <w:szCs w:val="22"/>
          <w:lang w:val="en-GB"/>
        </w:rPr>
        <w:t xml:space="preserve"> (RESORCE)</w:t>
      </w:r>
    </w:p>
    <w:p w14:paraId="292DD5DC" w14:textId="77777777" w:rsidR="004F1A1E" w:rsidRPr="00F4557E" w:rsidRDefault="004F1A1E" w:rsidP="00F4557E">
      <w:pPr>
        <w:pStyle w:val="BayerBodyTextFull"/>
        <w:spacing w:before="0" w:after="0"/>
        <w:rPr>
          <w:rFonts w:ascii="Arial" w:hAnsi="Arial" w:cs="Arial"/>
          <w:snapToGrid w:val="0"/>
          <w:sz w:val="22"/>
          <w:szCs w:val="22"/>
          <w:lang w:val="en-GB"/>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992"/>
        <w:gridCol w:w="1037"/>
        <w:gridCol w:w="1054"/>
        <w:gridCol w:w="1054"/>
        <w:gridCol w:w="1054"/>
      </w:tblGrid>
      <w:tr w:rsidR="005E2C3E" w:rsidRPr="00F4557E" w14:paraId="35411B51" w14:textId="77777777" w:rsidTr="0059558F">
        <w:trPr>
          <w:trHeight w:val="687"/>
          <w:tblHeader/>
        </w:trPr>
        <w:tc>
          <w:tcPr>
            <w:tcW w:w="1715" w:type="pct"/>
            <w:vMerge w:val="restart"/>
            <w:vAlign w:val="center"/>
          </w:tcPr>
          <w:p w14:paraId="286EAC06" w14:textId="37B0445B" w:rsidR="005E2C3E" w:rsidRPr="00EF0C8F" w:rsidRDefault="005E2C3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System Organ Class</w:t>
            </w:r>
            <w:r w:rsidR="008B739F">
              <w:rPr>
                <w:rFonts w:ascii="Arial" w:hAnsi="Arial" w:cs="Arial"/>
                <w:b/>
                <w:snapToGrid w:val="0"/>
                <w:sz w:val="22"/>
                <w:szCs w:val="22"/>
                <w:lang w:val="en-GB"/>
              </w:rPr>
              <w:t xml:space="preserve"> </w:t>
            </w:r>
            <w:r w:rsidRPr="00EF0C8F">
              <w:rPr>
                <w:rFonts w:ascii="Arial" w:hAnsi="Arial" w:cs="Arial"/>
                <w:b/>
                <w:snapToGrid w:val="0"/>
                <w:sz w:val="22"/>
                <w:szCs w:val="22"/>
                <w:lang w:val="en-GB"/>
              </w:rPr>
              <w:t>/</w:t>
            </w:r>
          </w:p>
          <w:p w14:paraId="38CA210C" w14:textId="77777777" w:rsidR="005E2C3E" w:rsidRPr="00EF0C8F" w:rsidRDefault="005E2C3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Preferred Term</w:t>
            </w:r>
          </w:p>
        </w:tc>
        <w:tc>
          <w:tcPr>
            <w:tcW w:w="1605" w:type="pct"/>
            <w:gridSpan w:val="3"/>
            <w:vAlign w:val="center"/>
          </w:tcPr>
          <w:p w14:paraId="3D628C0C" w14:textId="7D5DCE2A" w:rsidR="005E2C3E" w:rsidRPr="00EF0C8F" w:rsidRDefault="005E2C3E" w:rsidP="001578C7">
            <w:pPr>
              <w:pStyle w:val="BayerBodyTextFull"/>
              <w:spacing w:before="0" w:after="0"/>
              <w:jc w:val="center"/>
              <w:rPr>
                <w:rFonts w:ascii="Arial" w:hAnsi="Arial" w:cs="Arial"/>
                <w:b/>
                <w:snapToGrid w:val="0"/>
                <w:sz w:val="22"/>
                <w:szCs w:val="22"/>
                <w:lang w:val="en-GB"/>
              </w:rPr>
            </w:pPr>
            <w:proofErr w:type="spellStart"/>
            <w:r w:rsidRPr="00EF0C8F">
              <w:rPr>
                <w:rFonts w:ascii="Arial" w:hAnsi="Arial" w:cs="Arial"/>
                <w:b/>
                <w:snapToGrid w:val="0"/>
                <w:sz w:val="22"/>
                <w:szCs w:val="22"/>
                <w:lang w:val="en-GB"/>
              </w:rPr>
              <w:t>Stivarga</w:t>
            </w:r>
            <w:proofErr w:type="spellEnd"/>
          </w:p>
          <w:p w14:paraId="08A3752A"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(N=374)</w:t>
            </w:r>
          </w:p>
        </w:tc>
        <w:tc>
          <w:tcPr>
            <w:tcW w:w="1680" w:type="pct"/>
            <w:gridSpan w:val="3"/>
            <w:vAlign w:val="center"/>
          </w:tcPr>
          <w:p w14:paraId="01D286B5" w14:textId="12BB2B6E"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Placebo</w:t>
            </w:r>
          </w:p>
          <w:p w14:paraId="048674F2"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(N=193)</w:t>
            </w:r>
          </w:p>
        </w:tc>
      </w:tr>
      <w:tr w:rsidR="005E2C3E" w:rsidRPr="00F4557E" w14:paraId="3C02455A" w14:textId="77777777" w:rsidTr="0059558F">
        <w:trPr>
          <w:trHeight w:val="413"/>
          <w:tblHeader/>
        </w:trPr>
        <w:tc>
          <w:tcPr>
            <w:tcW w:w="1715" w:type="pct"/>
            <w:vMerge/>
            <w:vAlign w:val="center"/>
          </w:tcPr>
          <w:p w14:paraId="1DC1D421" w14:textId="77777777" w:rsidR="005E2C3E" w:rsidRPr="00EF0C8F" w:rsidRDefault="005E2C3E" w:rsidP="00F4557E">
            <w:pPr>
              <w:pStyle w:val="BayerBodyTextFull"/>
              <w:spacing w:before="0" w:after="0"/>
              <w:rPr>
                <w:rFonts w:ascii="Arial" w:hAnsi="Arial" w:cs="Arial"/>
                <w:b/>
                <w:snapToGrid w:val="0"/>
                <w:sz w:val="22"/>
                <w:szCs w:val="22"/>
                <w:lang w:val="en-GB"/>
              </w:rPr>
            </w:pPr>
          </w:p>
        </w:tc>
        <w:tc>
          <w:tcPr>
            <w:tcW w:w="1605" w:type="pct"/>
            <w:gridSpan w:val="3"/>
            <w:vAlign w:val="center"/>
          </w:tcPr>
          <w:p w14:paraId="2FF3C2CB"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Grade</w:t>
            </w:r>
          </w:p>
        </w:tc>
        <w:tc>
          <w:tcPr>
            <w:tcW w:w="1680" w:type="pct"/>
            <w:gridSpan w:val="3"/>
            <w:vAlign w:val="center"/>
          </w:tcPr>
          <w:p w14:paraId="3584A031"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Grade</w:t>
            </w:r>
          </w:p>
        </w:tc>
      </w:tr>
      <w:tr w:rsidR="005E2C3E" w:rsidRPr="00F4557E" w14:paraId="3F0A3053" w14:textId="77777777" w:rsidTr="0059558F">
        <w:trPr>
          <w:trHeight w:val="703"/>
          <w:tblHeader/>
        </w:trPr>
        <w:tc>
          <w:tcPr>
            <w:tcW w:w="1715" w:type="pct"/>
            <w:vMerge/>
            <w:vAlign w:val="center"/>
          </w:tcPr>
          <w:p w14:paraId="3E2B6776" w14:textId="77777777" w:rsidR="005E2C3E" w:rsidRPr="00EF0C8F" w:rsidRDefault="005E2C3E" w:rsidP="00F4557E">
            <w:pPr>
              <w:pStyle w:val="BayerBodyTextFull"/>
              <w:spacing w:before="0" w:after="0"/>
              <w:rPr>
                <w:rFonts w:ascii="Arial" w:hAnsi="Arial" w:cs="Arial"/>
                <w:b/>
                <w:snapToGrid w:val="0"/>
                <w:sz w:val="22"/>
                <w:szCs w:val="22"/>
                <w:lang w:val="en-GB"/>
              </w:rPr>
            </w:pPr>
          </w:p>
        </w:tc>
        <w:tc>
          <w:tcPr>
            <w:tcW w:w="527" w:type="pct"/>
            <w:vAlign w:val="center"/>
          </w:tcPr>
          <w:p w14:paraId="222CE493"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All</w:t>
            </w:r>
          </w:p>
          <w:p w14:paraId="2F49928D"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w:t>
            </w:r>
          </w:p>
        </w:tc>
        <w:tc>
          <w:tcPr>
            <w:tcW w:w="527" w:type="pct"/>
            <w:vAlign w:val="center"/>
          </w:tcPr>
          <w:p w14:paraId="3487F913"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3</w:t>
            </w:r>
          </w:p>
          <w:p w14:paraId="5F6B1D2D"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w:t>
            </w:r>
          </w:p>
        </w:tc>
        <w:tc>
          <w:tcPr>
            <w:tcW w:w="551" w:type="pct"/>
            <w:vAlign w:val="center"/>
          </w:tcPr>
          <w:p w14:paraId="2B4B27EF"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4</w:t>
            </w:r>
          </w:p>
          <w:p w14:paraId="7D47B477"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w:t>
            </w:r>
          </w:p>
        </w:tc>
        <w:tc>
          <w:tcPr>
            <w:tcW w:w="560" w:type="pct"/>
            <w:vAlign w:val="center"/>
          </w:tcPr>
          <w:p w14:paraId="42E345B9"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All</w:t>
            </w:r>
          </w:p>
          <w:p w14:paraId="23F693DD"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w:t>
            </w:r>
          </w:p>
        </w:tc>
        <w:tc>
          <w:tcPr>
            <w:tcW w:w="560" w:type="pct"/>
            <w:vAlign w:val="center"/>
          </w:tcPr>
          <w:p w14:paraId="45934DF7"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3</w:t>
            </w:r>
          </w:p>
          <w:p w14:paraId="3F22DDEA"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w:t>
            </w:r>
          </w:p>
        </w:tc>
        <w:tc>
          <w:tcPr>
            <w:tcW w:w="560" w:type="pct"/>
            <w:vAlign w:val="center"/>
          </w:tcPr>
          <w:p w14:paraId="37A8240A"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4</w:t>
            </w:r>
          </w:p>
          <w:p w14:paraId="487B58CB" w14:textId="77777777" w:rsidR="005E2C3E" w:rsidRPr="00EF0C8F" w:rsidRDefault="005E2C3E" w:rsidP="001578C7">
            <w:pPr>
              <w:pStyle w:val="BayerBodyTextFull"/>
              <w:spacing w:before="0" w:after="0"/>
              <w:jc w:val="center"/>
              <w:rPr>
                <w:rFonts w:ascii="Arial" w:hAnsi="Arial" w:cs="Arial"/>
                <w:b/>
                <w:snapToGrid w:val="0"/>
                <w:sz w:val="22"/>
                <w:szCs w:val="22"/>
                <w:lang w:val="en-GB"/>
              </w:rPr>
            </w:pPr>
            <w:r w:rsidRPr="00EF0C8F">
              <w:rPr>
                <w:rFonts w:ascii="Arial" w:hAnsi="Arial" w:cs="Arial"/>
                <w:b/>
                <w:snapToGrid w:val="0"/>
                <w:sz w:val="22"/>
                <w:szCs w:val="22"/>
                <w:lang w:val="en-GB"/>
              </w:rPr>
              <w:t>%</w:t>
            </w:r>
          </w:p>
        </w:tc>
      </w:tr>
      <w:tr w:rsidR="005E2C3E" w:rsidRPr="00F4557E" w14:paraId="4D70DA48" w14:textId="77777777" w:rsidTr="0059558F">
        <w:trPr>
          <w:trHeight w:val="432"/>
        </w:trPr>
        <w:tc>
          <w:tcPr>
            <w:tcW w:w="1715" w:type="pct"/>
            <w:vAlign w:val="bottom"/>
          </w:tcPr>
          <w:p w14:paraId="04ECAC0F"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General disorders and administration site conditions</w:t>
            </w:r>
          </w:p>
          <w:p w14:paraId="06916F01"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Asthenia/fatigue</w:t>
            </w:r>
          </w:p>
          <w:p w14:paraId="145C2BA5"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Pain </w:t>
            </w:r>
          </w:p>
          <w:p w14:paraId="2F0307D9"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Fever</w:t>
            </w:r>
          </w:p>
        </w:tc>
        <w:tc>
          <w:tcPr>
            <w:tcW w:w="527" w:type="pct"/>
            <w:vAlign w:val="bottom"/>
          </w:tcPr>
          <w:p w14:paraId="2250DE6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372108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9F1F55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25D2D8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42</w:t>
            </w:r>
          </w:p>
          <w:p w14:paraId="7BA916C4" w14:textId="622C584B" w:rsidR="004F1A1E" w:rsidRPr="00F4557E" w:rsidRDefault="0036047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56</w:t>
            </w:r>
          </w:p>
          <w:p w14:paraId="20DB655A"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20</w:t>
            </w:r>
          </w:p>
        </w:tc>
        <w:tc>
          <w:tcPr>
            <w:tcW w:w="527" w:type="pct"/>
            <w:vAlign w:val="bottom"/>
          </w:tcPr>
          <w:p w14:paraId="1BCBE2D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7C963C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406EE05"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8E5E5FF"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10</w:t>
            </w:r>
          </w:p>
          <w:p w14:paraId="46B5399C"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9</w:t>
            </w:r>
          </w:p>
          <w:p w14:paraId="316FE493"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51" w:type="pct"/>
            <w:vAlign w:val="bottom"/>
          </w:tcPr>
          <w:p w14:paraId="2CA09925"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81FEDB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BEE838D"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839B9C6"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1998BD0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p w14:paraId="1398255D"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vAlign w:val="bottom"/>
          </w:tcPr>
          <w:p w14:paraId="4EDE0B45"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7632F88"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3234999"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BCB609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33</w:t>
            </w:r>
          </w:p>
          <w:p w14:paraId="3444DA1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44</w:t>
            </w:r>
          </w:p>
          <w:p w14:paraId="50708E4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w:t>
            </w:r>
          </w:p>
        </w:tc>
        <w:tc>
          <w:tcPr>
            <w:tcW w:w="560" w:type="pct"/>
            <w:vAlign w:val="bottom"/>
          </w:tcPr>
          <w:p w14:paraId="090E604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78F752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58D52D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9AF2858"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w:t>
            </w:r>
          </w:p>
          <w:p w14:paraId="0FAB7A9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8</w:t>
            </w:r>
          </w:p>
          <w:p w14:paraId="408A6BF6"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vAlign w:val="bottom"/>
          </w:tcPr>
          <w:p w14:paraId="195CA14C"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1A4ADCA"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5ABD54D"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C22F0A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4376C59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3E869E3A"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689593DF" w14:textId="77777777" w:rsidTr="0059558F">
        <w:trPr>
          <w:trHeight w:val="432"/>
        </w:trPr>
        <w:tc>
          <w:tcPr>
            <w:tcW w:w="1715" w:type="pct"/>
          </w:tcPr>
          <w:p w14:paraId="7D72D35F"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 xml:space="preserve">Metabolism and nutrition disorders </w:t>
            </w:r>
          </w:p>
          <w:p w14:paraId="3923CDD6"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Decreased appetite and food intake </w:t>
            </w:r>
          </w:p>
        </w:tc>
        <w:tc>
          <w:tcPr>
            <w:tcW w:w="527" w:type="pct"/>
          </w:tcPr>
          <w:p w14:paraId="2D9C5AFE"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25B8A5A"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CD794D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576808F"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31</w:t>
            </w:r>
          </w:p>
        </w:tc>
        <w:tc>
          <w:tcPr>
            <w:tcW w:w="527" w:type="pct"/>
          </w:tcPr>
          <w:p w14:paraId="4E2EB01C"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0270AE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4DAD707"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A77F28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w:t>
            </w:r>
          </w:p>
        </w:tc>
        <w:tc>
          <w:tcPr>
            <w:tcW w:w="551" w:type="pct"/>
          </w:tcPr>
          <w:p w14:paraId="66A0B7E1"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EBB1678"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A59CA5E"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1B54AA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32FD754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0882C3C"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315C9AC"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5E6971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15</w:t>
            </w:r>
          </w:p>
        </w:tc>
        <w:tc>
          <w:tcPr>
            <w:tcW w:w="560" w:type="pct"/>
          </w:tcPr>
          <w:p w14:paraId="6A3F0B65"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FA50AD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99CC7B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EA5D45A"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c>
          <w:tcPr>
            <w:tcW w:w="560" w:type="pct"/>
          </w:tcPr>
          <w:p w14:paraId="5AD04E9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465000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1BE02D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17F380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7D59CF09" w14:textId="77777777" w:rsidTr="0059558F">
        <w:trPr>
          <w:trHeight w:val="432"/>
        </w:trPr>
        <w:tc>
          <w:tcPr>
            <w:tcW w:w="1715" w:type="pct"/>
          </w:tcPr>
          <w:p w14:paraId="4D56D3B6" w14:textId="77777777" w:rsidR="004F1A1E" w:rsidRPr="00EF0C8F" w:rsidRDefault="004F1A1E" w:rsidP="00EF0C8F">
            <w:pPr>
              <w:pStyle w:val="BayerBodyTextFull"/>
              <w:keepNext/>
              <w:spacing w:before="0" w:after="0"/>
              <w:rPr>
                <w:rFonts w:ascii="Arial" w:hAnsi="Arial" w:cs="Arial"/>
                <w:b/>
                <w:snapToGrid w:val="0"/>
                <w:sz w:val="22"/>
                <w:szCs w:val="22"/>
                <w:lang w:val="en-GB"/>
              </w:rPr>
            </w:pPr>
            <w:r w:rsidRPr="00EF0C8F">
              <w:rPr>
                <w:rFonts w:ascii="Arial" w:hAnsi="Arial" w:cs="Arial"/>
                <w:b/>
                <w:snapToGrid w:val="0"/>
                <w:sz w:val="22"/>
                <w:szCs w:val="22"/>
                <w:lang w:val="en-GB"/>
              </w:rPr>
              <w:t>Skin and subcutaneous tissue disorders</w:t>
            </w:r>
          </w:p>
          <w:p w14:paraId="1704D712" w14:textId="77777777" w:rsidR="004F1A1E" w:rsidRPr="00F4557E" w:rsidRDefault="004F1A1E" w:rsidP="00EF0C8F">
            <w:pPr>
              <w:pStyle w:val="BayerBodyTextFull"/>
              <w:keepNext/>
              <w:spacing w:before="0" w:after="0"/>
              <w:rPr>
                <w:rFonts w:ascii="Arial" w:hAnsi="Arial" w:cs="Arial"/>
                <w:snapToGrid w:val="0"/>
                <w:sz w:val="22"/>
                <w:szCs w:val="22"/>
                <w:lang w:val="en-GB"/>
              </w:rPr>
            </w:pPr>
            <w:r w:rsidRPr="00F4557E">
              <w:rPr>
                <w:rFonts w:ascii="Arial" w:hAnsi="Arial" w:cs="Arial"/>
                <w:snapToGrid w:val="0"/>
                <w:sz w:val="22"/>
                <w:szCs w:val="22"/>
                <w:lang w:val="en-GB"/>
              </w:rPr>
              <w:t>Hand</w:t>
            </w:r>
            <w:r w:rsidRPr="00F4557E">
              <w:rPr>
                <w:rFonts w:ascii="Arial" w:hAnsi="Arial" w:cs="Arial"/>
                <w:snapToGrid w:val="0"/>
                <w:sz w:val="22"/>
                <w:szCs w:val="22"/>
                <w:lang w:val="en-GB"/>
              </w:rPr>
              <w:noBreakHyphen/>
              <w:t>foot skin reaction/ Palmar</w:t>
            </w:r>
            <w:r w:rsidRPr="00F4557E">
              <w:rPr>
                <w:rFonts w:ascii="Arial" w:hAnsi="Arial" w:cs="Arial"/>
                <w:snapToGrid w:val="0"/>
                <w:sz w:val="22"/>
                <w:szCs w:val="22"/>
                <w:lang w:val="en-GB"/>
              </w:rPr>
              <w:noBreakHyphen/>
              <w:t xml:space="preserve">plantar </w:t>
            </w:r>
            <w:proofErr w:type="spellStart"/>
            <w:r w:rsidRPr="00F4557E">
              <w:rPr>
                <w:rFonts w:ascii="Arial" w:hAnsi="Arial" w:cs="Arial"/>
                <w:snapToGrid w:val="0"/>
                <w:sz w:val="22"/>
                <w:szCs w:val="22"/>
                <w:lang w:val="en-GB"/>
              </w:rPr>
              <w:t>erythrodysesthesia</w:t>
            </w:r>
            <w:proofErr w:type="spellEnd"/>
            <w:r w:rsidRPr="00F4557E">
              <w:rPr>
                <w:rFonts w:ascii="Arial" w:hAnsi="Arial" w:cs="Arial"/>
                <w:snapToGrid w:val="0"/>
                <w:sz w:val="22"/>
                <w:szCs w:val="22"/>
                <w:lang w:val="en-GB"/>
              </w:rPr>
              <w:t xml:space="preserve"> syndrome</w:t>
            </w:r>
          </w:p>
        </w:tc>
        <w:tc>
          <w:tcPr>
            <w:tcW w:w="527" w:type="pct"/>
          </w:tcPr>
          <w:p w14:paraId="2FBB7ADF"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466592BB"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41BAE1FB"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97C300D"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6C4C42B4" w14:textId="5A442650" w:rsidR="004F1A1E" w:rsidRPr="00F4557E" w:rsidRDefault="0036047E" w:rsidP="001578C7">
            <w:pPr>
              <w:pStyle w:val="BayerBodyTextFull"/>
              <w:keepNext/>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52</w:t>
            </w:r>
          </w:p>
        </w:tc>
        <w:tc>
          <w:tcPr>
            <w:tcW w:w="527" w:type="pct"/>
          </w:tcPr>
          <w:p w14:paraId="44A7E761"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786454F8"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C1C9B0A"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074AC85"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070B34A6"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12</w:t>
            </w:r>
          </w:p>
        </w:tc>
        <w:tc>
          <w:tcPr>
            <w:tcW w:w="551" w:type="pct"/>
          </w:tcPr>
          <w:p w14:paraId="53EF7EF9"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25E6F8EA"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28E7F669"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65E4E5F8"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19575468"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c>
          <w:tcPr>
            <w:tcW w:w="560" w:type="pct"/>
          </w:tcPr>
          <w:p w14:paraId="464DD02E"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238499B"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46C916E"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441405CC"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4F2F3EF9"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w:t>
            </w:r>
          </w:p>
        </w:tc>
        <w:tc>
          <w:tcPr>
            <w:tcW w:w="560" w:type="pct"/>
          </w:tcPr>
          <w:p w14:paraId="628FA475"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BA4F9B7"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430CB9D2"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5A418D0C"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1FCCE472"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tc>
        <w:tc>
          <w:tcPr>
            <w:tcW w:w="560" w:type="pct"/>
          </w:tcPr>
          <w:p w14:paraId="1264B026"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BC66744"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45745DCA"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1C3EF02B"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p>
          <w:p w14:paraId="359056AC" w14:textId="77777777" w:rsidR="004F1A1E" w:rsidRPr="00F4557E" w:rsidRDefault="004F1A1E" w:rsidP="001578C7">
            <w:pPr>
              <w:pStyle w:val="BayerBodyTextFull"/>
              <w:keepNext/>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r>
      <w:tr w:rsidR="005E2C3E" w:rsidRPr="00F4557E" w14:paraId="2BA7A6A6" w14:textId="77777777" w:rsidTr="0059558F">
        <w:trPr>
          <w:trHeight w:val="291"/>
        </w:trPr>
        <w:tc>
          <w:tcPr>
            <w:tcW w:w="1715" w:type="pct"/>
          </w:tcPr>
          <w:p w14:paraId="79688234" w14:textId="27D7AC2E" w:rsidR="004F1A1E" w:rsidRPr="00EF0C8F" w:rsidRDefault="004F1A1E" w:rsidP="00F4557E">
            <w:pPr>
              <w:pStyle w:val="BayerBodyTextFull"/>
              <w:spacing w:before="0" w:after="0"/>
              <w:rPr>
                <w:rFonts w:ascii="Arial" w:hAnsi="Arial" w:cs="Arial"/>
                <w:b/>
                <w:snapToGrid w:val="0"/>
                <w:sz w:val="22"/>
                <w:szCs w:val="22"/>
                <w:lang w:val="en-GB"/>
              </w:rPr>
            </w:pPr>
            <w:proofErr w:type="spellStart"/>
            <w:r w:rsidRPr="00EF0C8F">
              <w:rPr>
                <w:rFonts w:ascii="Arial" w:hAnsi="Arial" w:cs="Arial"/>
                <w:b/>
                <w:snapToGrid w:val="0"/>
                <w:sz w:val="22"/>
                <w:szCs w:val="22"/>
                <w:lang w:val="en-GB"/>
              </w:rPr>
              <w:t>Muscoloskeletal</w:t>
            </w:r>
            <w:proofErr w:type="spellEnd"/>
            <w:r w:rsidRPr="00EF0C8F">
              <w:rPr>
                <w:rFonts w:ascii="Arial" w:hAnsi="Arial" w:cs="Arial"/>
                <w:b/>
                <w:snapToGrid w:val="0"/>
                <w:sz w:val="22"/>
                <w:szCs w:val="22"/>
                <w:lang w:val="en-GB"/>
              </w:rPr>
              <w:t xml:space="preserve"> and </w:t>
            </w:r>
            <w:r w:rsidRPr="00EF0C8F">
              <w:rPr>
                <w:rFonts w:ascii="Arial" w:hAnsi="Arial" w:cs="Arial"/>
                <w:b/>
                <w:snapToGrid w:val="0"/>
                <w:sz w:val="22"/>
                <w:szCs w:val="22"/>
                <w:lang w:val="en-GB"/>
              </w:rPr>
              <w:lastRenderedPageBreak/>
              <w:t>connective tissue disorders</w:t>
            </w:r>
          </w:p>
          <w:p w14:paraId="39580159" w14:textId="7AD88496" w:rsidR="002F0D90" w:rsidRPr="00F4557E" w:rsidRDefault="002F0D90" w:rsidP="001578C7">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Muscle spa</w:t>
            </w:r>
            <w:r w:rsidR="001578C7">
              <w:rPr>
                <w:rFonts w:ascii="Arial" w:hAnsi="Arial" w:cs="Arial"/>
                <w:snapToGrid w:val="0"/>
                <w:sz w:val="22"/>
                <w:szCs w:val="22"/>
                <w:lang w:val="en-GB"/>
              </w:rPr>
              <w:t>s</w:t>
            </w:r>
            <w:r w:rsidRPr="00F4557E">
              <w:rPr>
                <w:rFonts w:ascii="Arial" w:hAnsi="Arial" w:cs="Arial"/>
                <w:snapToGrid w:val="0"/>
                <w:sz w:val="22"/>
                <w:szCs w:val="22"/>
                <w:lang w:val="en-GB"/>
              </w:rPr>
              <w:t>ms</w:t>
            </w:r>
          </w:p>
        </w:tc>
        <w:tc>
          <w:tcPr>
            <w:tcW w:w="527" w:type="pct"/>
          </w:tcPr>
          <w:p w14:paraId="003881F0"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2DD760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506D4D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10</w:t>
            </w:r>
          </w:p>
        </w:tc>
        <w:tc>
          <w:tcPr>
            <w:tcW w:w="527" w:type="pct"/>
          </w:tcPr>
          <w:p w14:paraId="021F6D6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AB5417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69E4B4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51" w:type="pct"/>
          </w:tcPr>
          <w:p w14:paraId="61BABEB8"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43384E4"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77DF5D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164C4EB6"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874524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185C73B" w14:textId="2D15DD41" w:rsidR="004F1A1E" w:rsidRPr="00F4557E" w:rsidRDefault="0036047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c>
          <w:tcPr>
            <w:tcW w:w="560" w:type="pct"/>
          </w:tcPr>
          <w:p w14:paraId="34392748"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FA4D0F2"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0F09AF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6975173E"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C09A3DA"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8DFC57A"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56AB6239" w14:textId="77777777" w:rsidTr="0059558F">
        <w:trPr>
          <w:trHeight w:val="291"/>
        </w:trPr>
        <w:tc>
          <w:tcPr>
            <w:tcW w:w="1715" w:type="pct"/>
          </w:tcPr>
          <w:p w14:paraId="59B0F32A"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lastRenderedPageBreak/>
              <w:t>Gastrointestinal disorders</w:t>
            </w:r>
          </w:p>
          <w:p w14:paraId="746D6952" w14:textId="77777777" w:rsidR="004F1A1E" w:rsidRPr="00F4557E" w:rsidRDefault="004F1A1E" w:rsidP="00F4557E">
            <w:pPr>
              <w:pStyle w:val="BayerBodyTextFull"/>
              <w:spacing w:before="0" w:after="0"/>
              <w:rPr>
                <w:rFonts w:ascii="Arial" w:hAnsi="Arial" w:cs="Arial"/>
                <w:snapToGrid w:val="0"/>
                <w:sz w:val="22"/>
                <w:szCs w:val="22"/>
                <w:lang w:val="en-GB"/>
              </w:rPr>
            </w:pPr>
            <w:proofErr w:type="spellStart"/>
            <w:r w:rsidRPr="00F4557E">
              <w:rPr>
                <w:rFonts w:ascii="Arial" w:hAnsi="Arial" w:cs="Arial"/>
                <w:snapToGrid w:val="0"/>
                <w:sz w:val="22"/>
                <w:szCs w:val="22"/>
                <w:lang w:val="en-GB"/>
              </w:rPr>
              <w:t>Diarrhea</w:t>
            </w:r>
            <w:proofErr w:type="spellEnd"/>
          </w:p>
          <w:p w14:paraId="246E718A"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Vomiting</w:t>
            </w:r>
          </w:p>
          <w:p w14:paraId="3C0693A0"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Nausea</w:t>
            </w:r>
          </w:p>
        </w:tc>
        <w:tc>
          <w:tcPr>
            <w:tcW w:w="527" w:type="pct"/>
          </w:tcPr>
          <w:p w14:paraId="635A2874"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4CEE759" w14:textId="3AD5D5E3" w:rsidR="004F1A1E" w:rsidRPr="00F4557E" w:rsidRDefault="0036047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42</w:t>
            </w:r>
          </w:p>
          <w:p w14:paraId="608E08D0"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13</w:t>
            </w:r>
          </w:p>
          <w:p w14:paraId="43F4F857" w14:textId="387B460C" w:rsidR="004F1A1E" w:rsidRPr="00F4557E" w:rsidRDefault="0036047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18</w:t>
            </w:r>
          </w:p>
        </w:tc>
        <w:tc>
          <w:tcPr>
            <w:tcW w:w="527" w:type="pct"/>
          </w:tcPr>
          <w:p w14:paraId="27E80736"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B6961C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w:t>
            </w:r>
          </w:p>
          <w:p w14:paraId="64D9143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p w14:paraId="76E964A8"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tc>
        <w:tc>
          <w:tcPr>
            <w:tcW w:w="551" w:type="pct"/>
          </w:tcPr>
          <w:p w14:paraId="72C789B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BFA7DDA"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03BB0EB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3A2FE8A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5AFC4F24"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C74EC13"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15</w:t>
            </w:r>
          </w:p>
          <w:p w14:paraId="4C916021"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w:t>
            </w:r>
          </w:p>
          <w:p w14:paraId="0021B9E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13</w:t>
            </w:r>
          </w:p>
        </w:tc>
        <w:tc>
          <w:tcPr>
            <w:tcW w:w="560" w:type="pct"/>
          </w:tcPr>
          <w:p w14:paraId="28E61D60"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F01BDC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20DA2B40"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p w14:paraId="6CB9F350"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34B845B1"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C5653EC"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36DE3630"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05D1A4C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2A15759B" w14:textId="77777777" w:rsidTr="0059558F">
        <w:trPr>
          <w:trHeight w:val="432"/>
        </w:trPr>
        <w:tc>
          <w:tcPr>
            <w:tcW w:w="1715" w:type="pct"/>
          </w:tcPr>
          <w:p w14:paraId="07E40F2F"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Investigations</w:t>
            </w:r>
          </w:p>
          <w:p w14:paraId="532735D2"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Weight loss</w:t>
            </w:r>
          </w:p>
        </w:tc>
        <w:tc>
          <w:tcPr>
            <w:tcW w:w="527" w:type="pct"/>
          </w:tcPr>
          <w:p w14:paraId="22489886"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6102159" w14:textId="6C3B195E" w:rsidR="004F1A1E" w:rsidRPr="00F4557E" w:rsidRDefault="00CC40DF"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14</w:t>
            </w:r>
          </w:p>
        </w:tc>
        <w:tc>
          <w:tcPr>
            <w:tcW w:w="527" w:type="pct"/>
          </w:tcPr>
          <w:p w14:paraId="43DC36E9"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23371D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c>
          <w:tcPr>
            <w:tcW w:w="551" w:type="pct"/>
          </w:tcPr>
          <w:p w14:paraId="3AA34635"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4C937E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56722175"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37A7A7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w:t>
            </w:r>
          </w:p>
        </w:tc>
        <w:tc>
          <w:tcPr>
            <w:tcW w:w="560" w:type="pct"/>
          </w:tcPr>
          <w:p w14:paraId="3CB915D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3871D6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117F41B9"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A09191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0B2942CA" w14:textId="77777777" w:rsidTr="0059558F">
        <w:trPr>
          <w:trHeight w:val="432"/>
        </w:trPr>
        <w:tc>
          <w:tcPr>
            <w:tcW w:w="1715" w:type="pct"/>
          </w:tcPr>
          <w:p w14:paraId="144D8FC1"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 xml:space="preserve">Infections and infestations </w:t>
            </w:r>
          </w:p>
          <w:p w14:paraId="7E90ADC9"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Infection*</w:t>
            </w:r>
          </w:p>
        </w:tc>
        <w:tc>
          <w:tcPr>
            <w:tcW w:w="527" w:type="pct"/>
            <w:vAlign w:val="bottom"/>
          </w:tcPr>
          <w:p w14:paraId="0F67ED96"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31</w:t>
            </w:r>
          </w:p>
        </w:tc>
        <w:tc>
          <w:tcPr>
            <w:tcW w:w="527" w:type="pct"/>
            <w:vAlign w:val="bottom"/>
          </w:tcPr>
          <w:p w14:paraId="211246D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w:t>
            </w:r>
          </w:p>
        </w:tc>
        <w:tc>
          <w:tcPr>
            <w:tcW w:w="551" w:type="pct"/>
            <w:vAlign w:val="bottom"/>
          </w:tcPr>
          <w:p w14:paraId="5533AA06"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tc>
        <w:tc>
          <w:tcPr>
            <w:tcW w:w="560" w:type="pct"/>
            <w:vAlign w:val="bottom"/>
          </w:tcPr>
          <w:p w14:paraId="3A0E89D0"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18</w:t>
            </w:r>
          </w:p>
        </w:tc>
        <w:tc>
          <w:tcPr>
            <w:tcW w:w="560" w:type="pct"/>
            <w:vAlign w:val="bottom"/>
          </w:tcPr>
          <w:p w14:paraId="5AC9BE0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w:t>
            </w:r>
          </w:p>
        </w:tc>
        <w:tc>
          <w:tcPr>
            <w:tcW w:w="560" w:type="pct"/>
            <w:vAlign w:val="bottom"/>
          </w:tcPr>
          <w:p w14:paraId="088C586F"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tc>
      </w:tr>
      <w:tr w:rsidR="005E2C3E" w:rsidRPr="00F4557E" w14:paraId="698A65D2" w14:textId="77777777" w:rsidTr="0059558F">
        <w:trPr>
          <w:trHeight w:val="775"/>
        </w:trPr>
        <w:tc>
          <w:tcPr>
            <w:tcW w:w="1715" w:type="pct"/>
          </w:tcPr>
          <w:p w14:paraId="48F3F628"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Vascular disorders</w:t>
            </w:r>
          </w:p>
          <w:p w14:paraId="52372DE7"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Hypertension</w:t>
            </w:r>
          </w:p>
          <w:p w14:paraId="29E8DACD" w14:textId="77777777" w:rsidR="004F1A1E" w:rsidRPr="00F4557E" w:rsidRDefault="004F1A1E" w:rsidP="00F4557E">
            <w:pPr>
              <w:pStyle w:val="BayerBodyTextFull"/>
              <w:spacing w:before="0" w:after="0"/>
              <w:rPr>
                <w:rFonts w:ascii="Arial" w:hAnsi="Arial" w:cs="Arial"/>
                <w:snapToGrid w:val="0"/>
                <w:sz w:val="22"/>
                <w:szCs w:val="22"/>
                <w:lang w:val="en-GB"/>
              </w:rPr>
            </w:pPr>
            <w:proofErr w:type="spellStart"/>
            <w:r w:rsidRPr="00F4557E">
              <w:rPr>
                <w:rFonts w:ascii="Arial" w:hAnsi="Arial" w:cs="Arial"/>
                <w:snapToGrid w:val="0"/>
                <w:sz w:val="22"/>
                <w:szCs w:val="22"/>
                <w:lang w:val="en-GB"/>
              </w:rPr>
              <w:t>Hemorrhage</w:t>
            </w:r>
            <w:proofErr w:type="spellEnd"/>
            <w:r w:rsidRPr="00F4557E">
              <w:rPr>
                <w:rFonts w:ascii="Arial" w:hAnsi="Arial" w:cs="Arial"/>
                <w:snapToGrid w:val="0"/>
                <w:sz w:val="22"/>
                <w:szCs w:val="22"/>
                <w:lang w:val="en-GB"/>
              </w:rPr>
              <w:t>*</w:t>
            </w:r>
          </w:p>
        </w:tc>
        <w:tc>
          <w:tcPr>
            <w:tcW w:w="527" w:type="pct"/>
            <w:vAlign w:val="bottom"/>
          </w:tcPr>
          <w:p w14:paraId="651EA2D1"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3591C8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31</w:t>
            </w:r>
          </w:p>
          <w:p w14:paraId="6CA8DA8F"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18</w:t>
            </w:r>
          </w:p>
        </w:tc>
        <w:tc>
          <w:tcPr>
            <w:tcW w:w="527" w:type="pct"/>
            <w:vAlign w:val="bottom"/>
          </w:tcPr>
          <w:p w14:paraId="24D58687"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E96B62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15</w:t>
            </w:r>
          </w:p>
          <w:p w14:paraId="66D67FC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c>
          <w:tcPr>
            <w:tcW w:w="551" w:type="pct"/>
            <w:vAlign w:val="bottom"/>
          </w:tcPr>
          <w:p w14:paraId="4DF018E8"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0EF8578C"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w:t>
            </w:r>
          </w:p>
        </w:tc>
        <w:tc>
          <w:tcPr>
            <w:tcW w:w="560" w:type="pct"/>
            <w:vAlign w:val="bottom"/>
          </w:tcPr>
          <w:p w14:paraId="68435279"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9BFEA2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w:t>
            </w:r>
          </w:p>
          <w:p w14:paraId="5286160F"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16</w:t>
            </w:r>
          </w:p>
        </w:tc>
        <w:tc>
          <w:tcPr>
            <w:tcW w:w="560" w:type="pct"/>
            <w:vAlign w:val="bottom"/>
          </w:tcPr>
          <w:p w14:paraId="7D091317"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02E4ACC"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w:t>
            </w:r>
          </w:p>
          <w:p w14:paraId="6AF84E1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w:t>
            </w:r>
          </w:p>
        </w:tc>
        <w:tc>
          <w:tcPr>
            <w:tcW w:w="560" w:type="pct"/>
            <w:vAlign w:val="bottom"/>
          </w:tcPr>
          <w:p w14:paraId="52D8F4B1"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82FFB7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13CE39C1"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r>
      <w:tr w:rsidR="005E2C3E" w:rsidRPr="00F4557E" w14:paraId="1DF79DF6" w14:textId="77777777" w:rsidTr="0059558F">
        <w:trPr>
          <w:trHeight w:val="576"/>
        </w:trPr>
        <w:tc>
          <w:tcPr>
            <w:tcW w:w="1715" w:type="pct"/>
          </w:tcPr>
          <w:p w14:paraId="7D7118C7"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Respiratory, thoracic and mediastinal disorders</w:t>
            </w:r>
          </w:p>
          <w:p w14:paraId="76D09548"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Dysphonia</w:t>
            </w:r>
          </w:p>
        </w:tc>
        <w:tc>
          <w:tcPr>
            <w:tcW w:w="527" w:type="pct"/>
          </w:tcPr>
          <w:p w14:paraId="3AFBE943" w14:textId="77777777" w:rsidR="004F1A1E" w:rsidRDefault="004F1A1E" w:rsidP="001578C7">
            <w:pPr>
              <w:pStyle w:val="BayerBodyTextFull"/>
              <w:spacing w:before="0" w:after="0"/>
              <w:jc w:val="center"/>
              <w:rPr>
                <w:rFonts w:ascii="Arial" w:hAnsi="Arial" w:cs="Arial"/>
                <w:snapToGrid w:val="0"/>
                <w:sz w:val="22"/>
                <w:szCs w:val="22"/>
                <w:lang w:val="en-GB"/>
              </w:rPr>
            </w:pPr>
          </w:p>
          <w:p w14:paraId="6D307DCA"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8568F0A"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18</w:t>
            </w:r>
          </w:p>
        </w:tc>
        <w:tc>
          <w:tcPr>
            <w:tcW w:w="527" w:type="pct"/>
          </w:tcPr>
          <w:p w14:paraId="2BBA589D"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0E0FE1D" w14:textId="77777777" w:rsidR="00EF0C8F" w:rsidRPr="00F4557E" w:rsidRDefault="00EF0C8F" w:rsidP="001578C7">
            <w:pPr>
              <w:pStyle w:val="BayerBodyTextFull"/>
              <w:spacing w:before="0" w:after="0"/>
              <w:jc w:val="center"/>
              <w:rPr>
                <w:rFonts w:ascii="Arial" w:hAnsi="Arial" w:cs="Arial"/>
                <w:snapToGrid w:val="0"/>
                <w:sz w:val="22"/>
                <w:szCs w:val="22"/>
                <w:lang w:val="en-GB"/>
              </w:rPr>
            </w:pPr>
          </w:p>
          <w:p w14:paraId="6968CF0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51" w:type="pct"/>
          </w:tcPr>
          <w:p w14:paraId="74DB6CB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E3FC2BF" w14:textId="77777777" w:rsidR="00EF0C8F" w:rsidRPr="00F4557E" w:rsidRDefault="00EF0C8F" w:rsidP="001578C7">
            <w:pPr>
              <w:pStyle w:val="BayerBodyTextFull"/>
              <w:spacing w:before="0" w:after="0"/>
              <w:jc w:val="center"/>
              <w:rPr>
                <w:rFonts w:ascii="Arial" w:hAnsi="Arial" w:cs="Arial"/>
                <w:snapToGrid w:val="0"/>
                <w:sz w:val="22"/>
                <w:szCs w:val="22"/>
                <w:lang w:val="en-GB"/>
              </w:rPr>
            </w:pPr>
          </w:p>
          <w:p w14:paraId="3392CB3D"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218BABFE"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F1EF685" w14:textId="77777777" w:rsidR="00EF0C8F" w:rsidRPr="00F4557E" w:rsidRDefault="00EF0C8F" w:rsidP="001578C7">
            <w:pPr>
              <w:pStyle w:val="BayerBodyTextFull"/>
              <w:spacing w:before="0" w:after="0"/>
              <w:jc w:val="center"/>
              <w:rPr>
                <w:rFonts w:ascii="Arial" w:hAnsi="Arial" w:cs="Arial"/>
                <w:snapToGrid w:val="0"/>
                <w:sz w:val="22"/>
                <w:szCs w:val="22"/>
                <w:lang w:val="en-GB"/>
              </w:rPr>
            </w:pPr>
          </w:p>
          <w:p w14:paraId="11A50CB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c>
          <w:tcPr>
            <w:tcW w:w="560" w:type="pct"/>
          </w:tcPr>
          <w:p w14:paraId="03E4CE9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1E4440D" w14:textId="77777777" w:rsidR="00EF0C8F" w:rsidRPr="00F4557E" w:rsidRDefault="00EF0C8F" w:rsidP="001578C7">
            <w:pPr>
              <w:pStyle w:val="BayerBodyTextFull"/>
              <w:spacing w:before="0" w:after="0"/>
              <w:jc w:val="center"/>
              <w:rPr>
                <w:rFonts w:ascii="Arial" w:hAnsi="Arial" w:cs="Arial"/>
                <w:snapToGrid w:val="0"/>
                <w:sz w:val="22"/>
                <w:szCs w:val="22"/>
                <w:lang w:val="en-GB"/>
              </w:rPr>
            </w:pPr>
          </w:p>
          <w:p w14:paraId="4DD89A3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560" w:type="pct"/>
          </w:tcPr>
          <w:p w14:paraId="09A21A4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D138A9A" w14:textId="77777777" w:rsidR="00EF0C8F" w:rsidRPr="00F4557E" w:rsidRDefault="00EF0C8F" w:rsidP="001578C7">
            <w:pPr>
              <w:pStyle w:val="BayerBodyTextFull"/>
              <w:spacing w:before="0" w:after="0"/>
              <w:jc w:val="center"/>
              <w:rPr>
                <w:rFonts w:ascii="Arial" w:hAnsi="Arial" w:cs="Arial"/>
                <w:snapToGrid w:val="0"/>
                <w:sz w:val="22"/>
                <w:szCs w:val="22"/>
                <w:lang w:val="en-GB"/>
              </w:rPr>
            </w:pPr>
          </w:p>
          <w:p w14:paraId="774B473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31707E15" w14:textId="77777777" w:rsidTr="0059558F">
        <w:trPr>
          <w:trHeight w:val="576"/>
        </w:trPr>
        <w:tc>
          <w:tcPr>
            <w:tcW w:w="1715" w:type="pct"/>
          </w:tcPr>
          <w:p w14:paraId="3F73BAD0"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 xml:space="preserve">Blood and lymphatic system disorders </w:t>
            </w:r>
          </w:p>
          <w:p w14:paraId="55D28C3C"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Thrombocytopenia</w:t>
            </w:r>
          </w:p>
          <w:p w14:paraId="095ACF5D" w14:textId="77777777" w:rsidR="004F1A1E" w:rsidRPr="00F4557E" w:rsidRDefault="004F1A1E" w:rsidP="00F4557E">
            <w:pPr>
              <w:pStyle w:val="BayerBodyTextFull"/>
              <w:spacing w:before="0" w:after="0"/>
              <w:rPr>
                <w:rFonts w:ascii="Arial" w:hAnsi="Arial" w:cs="Arial"/>
                <w:snapToGrid w:val="0"/>
                <w:sz w:val="22"/>
                <w:szCs w:val="22"/>
                <w:lang w:val="en-GB"/>
              </w:rPr>
            </w:pPr>
            <w:proofErr w:type="spellStart"/>
            <w:r w:rsidRPr="00F4557E">
              <w:rPr>
                <w:rFonts w:ascii="Arial" w:hAnsi="Arial" w:cs="Arial"/>
                <w:snapToGrid w:val="0"/>
                <w:sz w:val="22"/>
                <w:szCs w:val="22"/>
                <w:lang w:val="en-GB"/>
              </w:rPr>
              <w:t>Anemia</w:t>
            </w:r>
            <w:proofErr w:type="spellEnd"/>
          </w:p>
        </w:tc>
        <w:tc>
          <w:tcPr>
            <w:tcW w:w="527" w:type="pct"/>
            <w:vAlign w:val="bottom"/>
          </w:tcPr>
          <w:p w14:paraId="7BD1D608"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3C0CFA66"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8EF00E2"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10</w:t>
            </w:r>
          </w:p>
          <w:p w14:paraId="6401B22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16</w:t>
            </w:r>
          </w:p>
        </w:tc>
        <w:tc>
          <w:tcPr>
            <w:tcW w:w="527" w:type="pct"/>
            <w:vAlign w:val="bottom"/>
          </w:tcPr>
          <w:p w14:paraId="301D142F"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69C0C8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B98FBB3"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w:t>
            </w:r>
          </w:p>
          <w:p w14:paraId="06FCAA0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w:t>
            </w:r>
          </w:p>
        </w:tc>
        <w:tc>
          <w:tcPr>
            <w:tcW w:w="551" w:type="pct"/>
            <w:vAlign w:val="bottom"/>
          </w:tcPr>
          <w:p w14:paraId="26141B5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6C6902E3"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13A0A019"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p w14:paraId="142AACA3"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tc>
        <w:tc>
          <w:tcPr>
            <w:tcW w:w="560" w:type="pct"/>
            <w:vAlign w:val="bottom"/>
          </w:tcPr>
          <w:p w14:paraId="442D9C9E"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4DE241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91BD6F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w:t>
            </w:r>
          </w:p>
          <w:p w14:paraId="3C1242D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11</w:t>
            </w:r>
          </w:p>
        </w:tc>
        <w:tc>
          <w:tcPr>
            <w:tcW w:w="560" w:type="pct"/>
            <w:vAlign w:val="bottom"/>
          </w:tcPr>
          <w:p w14:paraId="239B9AE9"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3929DD6"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ABDCF4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6EC54A3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w:t>
            </w:r>
          </w:p>
        </w:tc>
        <w:tc>
          <w:tcPr>
            <w:tcW w:w="560" w:type="pct"/>
            <w:vAlign w:val="bottom"/>
          </w:tcPr>
          <w:p w14:paraId="21BC9950"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B52659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0310D97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3873116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5E2C3E" w:rsidRPr="00F4557E" w14:paraId="26CA7E69" w14:textId="77777777" w:rsidTr="0059558F">
        <w:trPr>
          <w:trHeight w:val="432"/>
        </w:trPr>
        <w:tc>
          <w:tcPr>
            <w:tcW w:w="1715" w:type="pct"/>
          </w:tcPr>
          <w:p w14:paraId="43A1C34C" w14:textId="77777777" w:rsidR="004F1A1E" w:rsidRPr="00EF0C8F" w:rsidRDefault="004F1A1E" w:rsidP="00F4557E">
            <w:pPr>
              <w:pStyle w:val="BayerBodyTextFull"/>
              <w:spacing w:before="0" w:after="0"/>
              <w:rPr>
                <w:rFonts w:ascii="Arial" w:hAnsi="Arial" w:cs="Arial"/>
                <w:b/>
                <w:snapToGrid w:val="0"/>
                <w:sz w:val="22"/>
                <w:szCs w:val="22"/>
                <w:lang w:val="en-GB"/>
              </w:rPr>
            </w:pPr>
            <w:r w:rsidRPr="00EF0C8F">
              <w:rPr>
                <w:rFonts w:ascii="Arial" w:hAnsi="Arial" w:cs="Arial"/>
                <w:b/>
                <w:snapToGrid w:val="0"/>
                <w:sz w:val="22"/>
                <w:szCs w:val="22"/>
                <w:lang w:val="en-GB"/>
              </w:rPr>
              <w:t>Hepatobiliary disorders</w:t>
            </w:r>
          </w:p>
          <w:p w14:paraId="2FCE0204"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Hyperbilirubinemia</w:t>
            </w:r>
          </w:p>
          <w:p w14:paraId="0D303144" w14:textId="77777777"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Increase in transaminases</w:t>
            </w:r>
          </w:p>
        </w:tc>
        <w:tc>
          <w:tcPr>
            <w:tcW w:w="527" w:type="pct"/>
          </w:tcPr>
          <w:p w14:paraId="0CDEC111"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58A167F7"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29</w:t>
            </w:r>
          </w:p>
          <w:p w14:paraId="431E50D0" w14:textId="32491147" w:rsidR="004F1A1E" w:rsidRPr="00F4557E" w:rsidRDefault="0036047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27</w:t>
            </w:r>
          </w:p>
        </w:tc>
        <w:tc>
          <w:tcPr>
            <w:tcW w:w="527" w:type="pct"/>
          </w:tcPr>
          <w:p w14:paraId="7D0F0C7B"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55ED17B"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10</w:t>
            </w:r>
          </w:p>
          <w:p w14:paraId="61972CD4" w14:textId="38289A73" w:rsidR="004F1A1E" w:rsidRPr="00F4557E" w:rsidRDefault="0036047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11</w:t>
            </w:r>
          </w:p>
        </w:tc>
        <w:tc>
          <w:tcPr>
            <w:tcW w:w="551" w:type="pct"/>
          </w:tcPr>
          <w:p w14:paraId="7F9FB65A"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2D2385C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&lt;1</w:t>
            </w:r>
          </w:p>
          <w:p w14:paraId="46CF9FC5"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w:t>
            </w:r>
          </w:p>
        </w:tc>
        <w:tc>
          <w:tcPr>
            <w:tcW w:w="560" w:type="pct"/>
          </w:tcPr>
          <w:p w14:paraId="2631342A"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48AB02CD"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18</w:t>
            </w:r>
          </w:p>
          <w:p w14:paraId="6397609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22</w:t>
            </w:r>
          </w:p>
        </w:tc>
        <w:tc>
          <w:tcPr>
            <w:tcW w:w="560" w:type="pct"/>
          </w:tcPr>
          <w:p w14:paraId="416267B0"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730A00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8</w:t>
            </w:r>
          </w:p>
          <w:p w14:paraId="1F79201D"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10</w:t>
            </w:r>
          </w:p>
        </w:tc>
        <w:tc>
          <w:tcPr>
            <w:tcW w:w="560" w:type="pct"/>
          </w:tcPr>
          <w:p w14:paraId="04D1C916" w14:textId="77777777" w:rsidR="004F1A1E" w:rsidRPr="00F4557E" w:rsidRDefault="004F1A1E" w:rsidP="001578C7">
            <w:pPr>
              <w:pStyle w:val="BayerBodyTextFull"/>
              <w:spacing w:before="0" w:after="0"/>
              <w:jc w:val="center"/>
              <w:rPr>
                <w:rFonts w:ascii="Arial" w:hAnsi="Arial" w:cs="Arial"/>
                <w:snapToGrid w:val="0"/>
                <w:sz w:val="22"/>
                <w:szCs w:val="22"/>
                <w:lang w:val="en-GB"/>
              </w:rPr>
            </w:pPr>
          </w:p>
          <w:p w14:paraId="7F1C0E94"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w:t>
            </w:r>
          </w:p>
          <w:p w14:paraId="72684FCE" w14:textId="77777777" w:rsidR="004F1A1E" w:rsidRPr="00F4557E" w:rsidRDefault="004F1A1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w:t>
            </w:r>
          </w:p>
        </w:tc>
      </w:tr>
    </w:tbl>
    <w:p w14:paraId="6AEB8FCD" w14:textId="77777777" w:rsidR="004F1A1E" w:rsidRPr="00CD4EDB" w:rsidRDefault="004F1A1E" w:rsidP="00CD4EDB">
      <w:pPr>
        <w:spacing w:before="120"/>
        <w:rPr>
          <w:rFonts w:ascii="Arial" w:hAnsi="Arial" w:cs="Arial"/>
          <w:noProof/>
          <w:sz w:val="20"/>
          <w:szCs w:val="20"/>
        </w:rPr>
      </w:pPr>
      <w:r w:rsidRPr="00CD4EDB">
        <w:rPr>
          <w:rFonts w:ascii="Arial" w:hAnsi="Arial" w:cs="Arial"/>
          <w:noProof/>
          <w:sz w:val="20"/>
          <w:szCs w:val="20"/>
        </w:rPr>
        <w:t>*</w:t>
      </w:r>
      <w:r w:rsidRPr="00CD4EDB">
        <w:rPr>
          <w:rFonts w:ascii="Arial" w:hAnsi="Arial" w:cs="Arial"/>
          <w:noProof/>
          <w:sz w:val="20"/>
          <w:szCs w:val="20"/>
        </w:rPr>
        <w:tab/>
        <w:t>fatal outcome has been observed</w:t>
      </w:r>
    </w:p>
    <w:p w14:paraId="69F8AA40" w14:textId="77777777" w:rsidR="004F1A1E" w:rsidRPr="00CD4EDB" w:rsidRDefault="004F1A1E" w:rsidP="00CD4EDB">
      <w:pPr>
        <w:spacing w:before="120"/>
        <w:contextualSpacing/>
        <w:rPr>
          <w:rFonts w:ascii="Arial" w:hAnsi="Arial" w:cs="Arial"/>
          <w:noProof/>
          <w:sz w:val="20"/>
          <w:szCs w:val="20"/>
        </w:rPr>
      </w:pPr>
      <w:r w:rsidRPr="00CD4EDB">
        <w:rPr>
          <w:rFonts w:ascii="Arial" w:hAnsi="Arial" w:cs="Arial"/>
          <w:noProof/>
          <w:sz w:val="20"/>
          <w:szCs w:val="20"/>
        </w:rPr>
        <w:t>-</w:t>
      </w:r>
      <w:r w:rsidRPr="00CD4EDB">
        <w:rPr>
          <w:rFonts w:ascii="Arial" w:hAnsi="Arial" w:cs="Arial"/>
          <w:noProof/>
          <w:sz w:val="20"/>
          <w:szCs w:val="20"/>
        </w:rPr>
        <w:tab/>
        <w:t>No Grade 4 denoted in CTCAE, Version 4.0</w:t>
      </w:r>
    </w:p>
    <w:p w14:paraId="03A83FFB" w14:textId="77777777" w:rsidR="004F1A1E" w:rsidRPr="00F4557E" w:rsidRDefault="004F1A1E" w:rsidP="00F4557E">
      <w:pPr>
        <w:pStyle w:val="BayerBodyTextFull"/>
        <w:spacing w:before="0" w:after="0"/>
        <w:rPr>
          <w:rFonts w:ascii="Arial" w:hAnsi="Arial" w:cs="Arial"/>
          <w:snapToGrid w:val="0"/>
          <w:sz w:val="22"/>
          <w:szCs w:val="22"/>
          <w:lang w:val="en-GB"/>
        </w:rPr>
      </w:pPr>
    </w:p>
    <w:p w14:paraId="68AB34C8" w14:textId="6130C7AF" w:rsidR="004F1A1E" w:rsidRDefault="004F1A1E" w:rsidP="0059558F">
      <w:pPr>
        <w:pStyle w:val="BayerBodyTextFull"/>
        <w:spacing w:before="0" w:after="0"/>
        <w:ind w:right="-201"/>
        <w:rPr>
          <w:rFonts w:ascii="Arial" w:hAnsi="Arial" w:cs="Arial"/>
          <w:snapToGrid w:val="0"/>
          <w:sz w:val="22"/>
          <w:szCs w:val="22"/>
          <w:lang w:val="en-GB"/>
        </w:rPr>
      </w:pPr>
      <w:r w:rsidRPr="00F4557E">
        <w:rPr>
          <w:rFonts w:ascii="Arial" w:hAnsi="Arial" w:cs="Arial"/>
          <w:snapToGrid w:val="0"/>
          <w:sz w:val="22"/>
          <w:szCs w:val="22"/>
          <w:lang w:val="en-GB"/>
        </w:rPr>
        <w:t>Other adverse reactions observed in less than 10% of S</w:t>
      </w:r>
      <w:r w:rsidR="00CF2FA3" w:rsidRPr="00F4557E">
        <w:rPr>
          <w:rFonts w:ascii="Arial" w:hAnsi="Arial" w:cs="Arial"/>
          <w:snapToGrid w:val="0"/>
          <w:sz w:val="22"/>
          <w:szCs w:val="22"/>
          <w:lang w:val="en-GB"/>
        </w:rPr>
        <w:t>TIVARGA</w:t>
      </w:r>
      <w:r w:rsidRPr="00F4557E">
        <w:rPr>
          <w:rFonts w:ascii="Arial" w:hAnsi="Arial" w:cs="Arial"/>
          <w:snapToGrid w:val="0"/>
          <w:sz w:val="22"/>
          <w:szCs w:val="22"/>
          <w:lang w:val="en-GB"/>
        </w:rPr>
        <w:t xml:space="preserve"> treated patients and at a higher incidence than placebo treated patients included the following: hypophosphatemia (9.9 vs. 2.1), leukopenia (8.8 vs. 3.6), proteinuria (8.8 vs. 1.6), rash (8.6 vs. 8.3), stomatitis (8.3 vs. 2.1), increase in lipase (7.2 vs. 3.1), alopecia (7.0 vs. 2.6), </w:t>
      </w:r>
      <w:proofErr w:type="spellStart"/>
      <w:r w:rsidRPr="00F4557E">
        <w:rPr>
          <w:rFonts w:ascii="Arial" w:hAnsi="Arial" w:cs="Arial"/>
          <w:snapToGrid w:val="0"/>
          <w:sz w:val="22"/>
          <w:szCs w:val="22"/>
          <w:lang w:val="en-GB"/>
        </w:rPr>
        <w:t>hypokalemia</w:t>
      </w:r>
      <w:proofErr w:type="spellEnd"/>
      <w:r w:rsidRPr="00F4557E">
        <w:rPr>
          <w:rFonts w:ascii="Arial" w:hAnsi="Arial" w:cs="Arial"/>
          <w:snapToGrid w:val="0"/>
          <w:sz w:val="22"/>
          <w:szCs w:val="22"/>
          <w:lang w:val="en-GB"/>
        </w:rPr>
        <w:t xml:space="preserve"> (7.0 vs. 2.6), hypothyroidism (</w:t>
      </w:r>
      <w:r w:rsidR="0036047E" w:rsidRPr="00F4557E">
        <w:rPr>
          <w:rFonts w:ascii="Arial" w:hAnsi="Arial" w:cs="Arial"/>
          <w:snapToGrid w:val="0"/>
          <w:sz w:val="22"/>
          <w:szCs w:val="22"/>
          <w:lang w:val="en-GB"/>
        </w:rPr>
        <w:t>6.7</w:t>
      </w:r>
      <w:r w:rsidRPr="00F4557E">
        <w:rPr>
          <w:rFonts w:ascii="Arial" w:hAnsi="Arial" w:cs="Arial"/>
          <w:snapToGrid w:val="0"/>
          <w:sz w:val="22"/>
          <w:szCs w:val="22"/>
          <w:lang w:val="en-GB"/>
        </w:rPr>
        <w:t xml:space="preserve"> vs. 0.0), headache (6.4 vs. 6.2), hyponatremia (5.9 vs. 3.1), dry mouth (5.9 vs. 4.7), </w:t>
      </w:r>
      <w:r w:rsidR="00CF2FA3" w:rsidRPr="00F4557E">
        <w:rPr>
          <w:rFonts w:ascii="Arial" w:hAnsi="Arial" w:cs="Arial"/>
          <w:snapToGrid w:val="0"/>
          <w:sz w:val="22"/>
          <w:szCs w:val="22"/>
          <w:lang w:val="en-GB"/>
        </w:rPr>
        <w:t>hypomagnesaemia</w:t>
      </w:r>
      <w:r w:rsidRPr="00F4557E">
        <w:rPr>
          <w:rFonts w:ascii="Arial" w:hAnsi="Arial" w:cs="Arial"/>
          <w:snapToGrid w:val="0"/>
          <w:sz w:val="22"/>
          <w:szCs w:val="22"/>
          <w:lang w:val="en-GB"/>
        </w:rPr>
        <w:t xml:space="preserve"> (3.2 vs. 0.0), taste disorder (3.2 vs. 1.0), increase in amylase (2.9 vs. 0.0), mucosal inflammation (2.9 vs. 0.0), </w:t>
      </w:r>
      <w:proofErr w:type="spellStart"/>
      <w:r w:rsidRPr="00F4557E">
        <w:rPr>
          <w:rFonts w:ascii="Arial" w:hAnsi="Arial" w:cs="Arial"/>
          <w:snapToGrid w:val="0"/>
          <w:sz w:val="22"/>
          <w:szCs w:val="22"/>
          <w:lang w:val="en-GB"/>
        </w:rPr>
        <w:t>hypocalcemia</w:t>
      </w:r>
      <w:proofErr w:type="spellEnd"/>
      <w:r w:rsidRPr="00F4557E">
        <w:rPr>
          <w:rFonts w:ascii="Arial" w:hAnsi="Arial" w:cs="Arial"/>
          <w:snapToGrid w:val="0"/>
          <w:sz w:val="22"/>
          <w:szCs w:val="22"/>
          <w:lang w:val="en-GB"/>
        </w:rPr>
        <w:t xml:space="preserve"> (2.4 vs. 0.0), pancreatitis (1.6 vs. 0.0), exfoliative rash (1.3 vs. 0.0), tremor (1.3 vs. 0.0), hyperuric</w:t>
      </w:r>
      <w:r w:rsidR="00CF2FA3" w:rsidRPr="00F4557E">
        <w:rPr>
          <w:rFonts w:ascii="Arial" w:hAnsi="Arial" w:cs="Arial"/>
          <w:snapToGrid w:val="0"/>
          <w:sz w:val="22"/>
          <w:szCs w:val="22"/>
          <w:lang w:val="en-GB"/>
        </w:rPr>
        <w:t>a</w:t>
      </w:r>
      <w:r w:rsidRPr="00F4557E">
        <w:rPr>
          <w:rFonts w:ascii="Arial" w:hAnsi="Arial" w:cs="Arial"/>
          <w:snapToGrid w:val="0"/>
          <w:sz w:val="22"/>
          <w:szCs w:val="22"/>
          <w:lang w:val="en-GB"/>
        </w:rPr>
        <w:t xml:space="preserve">emia (1.1 vs. 1.0), erythema </w:t>
      </w:r>
      <w:proofErr w:type="spellStart"/>
      <w:r w:rsidRPr="00F4557E">
        <w:rPr>
          <w:rFonts w:ascii="Arial" w:hAnsi="Arial" w:cs="Arial"/>
          <w:snapToGrid w:val="0"/>
          <w:sz w:val="22"/>
          <w:szCs w:val="22"/>
          <w:lang w:val="en-GB"/>
        </w:rPr>
        <w:t>multiforme</w:t>
      </w:r>
      <w:proofErr w:type="spellEnd"/>
      <w:r w:rsidRPr="00F4557E">
        <w:rPr>
          <w:rFonts w:ascii="Arial" w:hAnsi="Arial" w:cs="Arial"/>
          <w:snapToGrid w:val="0"/>
          <w:sz w:val="22"/>
          <w:szCs w:val="22"/>
          <w:lang w:val="en-GB"/>
        </w:rPr>
        <w:t xml:space="preserve"> (0.8 vs. 0.0), myocardial ischemia (0.8 vs. 0.0), gastroenteritis (0.5 vs. 0.0), gastrointestinal fistula (0.3 vs. 0.0), myocardial infarction (0.3 vs. 0.0), nail disorder (0.3 vs. 0.0).</w:t>
      </w:r>
    </w:p>
    <w:p w14:paraId="21B914A8" w14:textId="77777777" w:rsidR="00EF0C8F" w:rsidRPr="00F4557E" w:rsidRDefault="00EF0C8F" w:rsidP="00F4557E">
      <w:pPr>
        <w:pStyle w:val="BayerBodyTextFull"/>
        <w:spacing w:before="0" w:after="0"/>
        <w:rPr>
          <w:rFonts w:ascii="Arial" w:hAnsi="Arial" w:cs="Arial"/>
          <w:snapToGrid w:val="0"/>
          <w:sz w:val="22"/>
          <w:szCs w:val="22"/>
          <w:lang w:val="en-GB"/>
        </w:rPr>
      </w:pPr>
    </w:p>
    <w:p w14:paraId="105A92FD" w14:textId="13B91341" w:rsidR="004F1A1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The following events were reported with similar or lower frequencies in patients treated with </w:t>
      </w:r>
      <w:r w:rsidR="004F17F2" w:rsidRPr="00F4557E">
        <w:rPr>
          <w:rFonts w:ascii="Arial" w:hAnsi="Arial" w:cs="Arial"/>
          <w:snapToGrid w:val="0"/>
          <w:sz w:val="22"/>
          <w:szCs w:val="22"/>
          <w:lang w:val="en-GB"/>
        </w:rPr>
        <w:t>STIVARGA</w:t>
      </w:r>
      <w:r w:rsidRPr="00F4557E">
        <w:rPr>
          <w:rFonts w:ascii="Arial" w:hAnsi="Arial" w:cs="Arial"/>
          <w:snapToGrid w:val="0"/>
          <w:sz w:val="22"/>
          <w:szCs w:val="22"/>
          <w:lang w:val="en-GB"/>
        </w:rPr>
        <w:t xml:space="preserve"> than placebo but are considered as adverse reactions based on safety data from other placebo controlled clinical trials: dry skin (</w:t>
      </w:r>
      <w:r w:rsidR="0036047E" w:rsidRPr="00F4557E">
        <w:rPr>
          <w:rFonts w:ascii="Arial" w:hAnsi="Arial" w:cs="Arial"/>
          <w:snapToGrid w:val="0"/>
          <w:sz w:val="22"/>
          <w:szCs w:val="22"/>
          <w:lang w:val="en-GB"/>
        </w:rPr>
        <w:t>2.4</w:t>
      </w:r>
      <w:r w:rsidRPr="00F4557E">
        <w:rPr>
          <w:rFonts w:ascii="Arial" w:hAnsi="Arial" w:cs="Arial"/>
          <w:snapToGrid w:val="0"/>
          <w:sz w:val="22"/>
          <w:szCs w:val="22"/>
          <w:lang w:val="en-GB"/>
        </w:rPr>
        <w:t xml:space="preserve"> vs. 2.6), gastroesophageal reflux (0.8 vs. 1.6), abnormal international normali</w:t>
      </w:r>
      <w:r w:rsidR="004F17F2" w:rsidRPr="00F4557E">
        <w:rPr>
          <w:rFonts w:ascii="Arial" w:hAnsi="Arial" w:cs="Arial"/>
          <w:snapToGrid w:val="0"/>
          <w:sz w:val="22"/>
          <w:szCs w:val="22"/>
          <w:lang w:val="en-GB"/>
        </w:rPr>
        <w:t>s</w:t>
      </w:r>
      <w:r w:rsidRPr="00F4557E">
        <w:rPr>
          <w:rFonts w:ascii="Arial" w:hAnsi="Arial" w:cs="Arial"/>
          <w:snapToGrid w:val="0"/>
          <w:sz w:val="22"/>
          <w:szCs w:val="22"/>
          <w:lang w:val="en-GB"/>
        </w:rPr>
        <w:t>ed ratio (INR) (0.3 vs. 0.5).</w:t>
      </w:r>
    </w:p>
    <w:p w14:paraId="69F6A32D" w14:textId="77777777" w:rsidR="00EF0C8F" w:rsidRPr="00F4557E" w:rsidRDefault="00EF0C8F" w:rsidP="00F4557E">
      <w:pPr>
        <w:pStyle w:val="BayerBodyTextFull"/>
        <w:spacing w:before="0" w:after="0"/>
        <w:rPr>
          <w:rFonts w:ascii="Arial" w:hAnsi="Arial" w:cs="Arial"/>
          <w:snapToGrid w:val="0"/>
          <w:sz w:val="22"/>
          <w:szCs w:val="22"/>
          <w:lang w:val="en-GB"/>
        </w:rPr>
      </w:pPr>
    </w:p>
    <w:p w14:paraId="7DC5BA90" w14:textId="3239808F" w:rsidR="004F1A1E" w:rsidRPr="00F4557E" w:rsidRDefault="004F1A1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Other adverse reactions were observed in patients treated with S</w:t>
      </w:r>
      <w:r w:rsidR="00CF2FA3" w:rsidRPr="00F4557E">
        <w:rPr>
          <w:rFonts w:ascii="Arial" w:hAnsi="Arial" w:cs="Arial"/>
          <w:snapToGrid w:val="0"/>
          <w:sz w:val="22"/>
          <w:szCs w:val="22"/>
          <w:lang w:val="en-GB"/>
        </w:rPr>
        <w:t>TIVARGA</w:t>
      </w:r>
      <w:r w:rsidRPr="00F4557E">
        <w:rPr>
          <w:rFonts w:ascii="Arial" w:hAnsi="Arial" w:cs="Arial"/>
          <w:snapToGrid w:val="0"/>
          <w:sz w:val="22"/>
          <w:szCs w:val="22"/>
          <w:lang w:val="en-GB"/>
        </w:rPr>
        <w:t xml:space="preserve"> in open label or placebo controlled clinical trials (more than 4,800 S</w:t>
      </w:r>
      <w:r w:rsidR="00CF2FA3" w:rsidRPr="00F4557E">
        <w:rPr>
          <w:rFonts w:ascii="Arial" w:hAnsi="Arial" w:cs="Arial"/>
          <w:snapToGrid w:val="0"/>
          <w:sz w:val="22"/>
          <w:szCs w:val="22"/>
          <w:lang w:val="en-GB"/>
        </w:rPr>
        <w:t>TIVARGA</w:t>
      </w:r>
      <w:r w:rsidRPr="00F4557E">
        <w:rPr>
          <w:rFonts w:ascii="Arial" w:hAnsi="Arial" w:cs="Arial"/>
          <w:snapToGrid w:val="0"/>
          <w:sz w:val="22"/>
          <w:szCs w:val="22"/>
          <w:lang w:val="en-GB"/>
        </w:rPr>
        <w:t xml:space="preserve"> treated patients): gastrointestinal </w:t>
      </w:r>
      <w:r w:rsidRPr="00F4557E">
        <w:rPr>
          <w:rFonts w:ascii="Arial" w:hAnsi="Arial" w:cs="Arial"/>
          <w:snapToGrid w:val="0"/>
          <w:sz w:val="22"/>
          <w:szCs w:val="22"/>
          <w:lang w:val="en-GB"/>
        </w:rPr>
        <w:lastRenderedPageBreak/>
        <w:t xml:space="preserve">perforation* (0.63%), severe liver injury*° (0.10%), hypertensive crisis (0.17%), and reversible posterior leukoencephalopathy syndrome (RPLS) (0.02%). </w:t>
      </w:r>
    </w:p>
    <w:p w14:paraId="25933188" w14:textId="33FE3528" w:rsidR="004F1A1E" w:rsidRPr="00596803" w:rsidRDefault="004F1A1E" w:rsidP="00596803">
      <w:pPr>
        <w:spacing w:before="120"/>
        <w:rPr>
          <w:rFonts w:ascii="Arial" w:hAnsi="Arial" w:cs="Arial"/>
          <w:noProof/>
          <w:sz w:val="20"/>
          <w:szCs w:val="20"/>
        </w:rPr>
      </w:pPr>
      <w:r w:rsidRPr="00596803">
        <w:rPr>
          <w:rFonts w:ascii="Arial" w:hAnsi="Arial" w:cs="Arial"/>
          <w:noProof/>
          <w:sz w:val="20"/>
          <w:szCs w:val="20"/>
        </w:rPr>
        <w:t xml:space="preserve">* </w:t>
      </w:r>
      <w:r w:rsidR="008219CC" w:rsidRPr="00596803">
        <w:rPr>
          <w:rFonts w:ascii="Arial" w:hAnsi="Arial" w:cs="Arial"/>
          <w:noProof/>
          <w:sz w:val="20"/>
          <w:szCs w:val="20"/>
        </w:rPr>
        <w:tab/>
      </w:r>
      <w:r w:rsidRPr="00596803">
        <w:rPr>
          <w:rFonts w:ascii="Arial" w:hAnsi="Arial" w:cs="Arial"/>
          <w:noProof/>
          <w:sz w:val="20"/>
          <w:szCs w:val="20"/>
        </w:rPr>
        <w:t>fatal outcome has been observed</w:t>
      </w:r>
    </w:p>
    <w:p w14:paraId="1ADFF49E" w14:textId="1A211111" w:rsidR="004F1A1E" w:rsidRPr="00596803" w:rsidRDefault="008219CC" w:rsidP="00596803">
      <w:pPr>
        <w:spacing w:before="120"/>
        <w:contextualSpacing/>
        <w:rPr>
          <w:rFonts w:ascii="Arial" w:hAnsi="Arial" w:cs="Arial"/>
          <w:noProof/>
          <w:sz w:val="20"/>
          <w:szCs w:val="20"/>
        </w:rPr>
      </w:pPr>
      <w:r w:rsidRPr="00596803">
        <w:rPr>
          <w:rFonts w:ascii="Arial" w:hAnsi="Arial" w:cs="Arial"/>
          <w:noProof/>
          <w:sz w:val="20"/>
          <w:szCs w:val="20"/>
        </w:rPr>
        <w:t>°</w:t>
      </w:r>
      <w:r w:rsidRPr="00596803">
        <w:rPr>
          <w:rFonts w:ascii="Arial" w:hAnsi="Arial" w:cs="Arial"/>
          <w:noProof/>
          <w:sz w:val="20"/>
          <w:szCs w:val="20"/>
        </w:rPr>
        <w:tab/>
      </w:r>
      <w:r w:rsidR="004F1A1E" w:rsidRPr="00596803">
        <w:rPr>
          <w:rFonts w:ascii="Arial" w:hAnsi="Arial" w:cs="Arial"/>
          <w:noProof/>
          <w:sz w:val="20"/>
          <w:szCs w:val="20"/>
        </w:rPr>
        <w:t>according to drug induced liver injury (DILI) criteria of the international DILI expert working group</w:t>
      </w:r>
    </w:p>
    <w:p w14:paraId="1AB487D7" w14:textId="77777777" w:rsidR="009E45A9" w:rsidRPr="00F4557E" w:rsidRDefault="009E45A9" w:rsidP="00F4557E">
      <w:pPr>
        <w:pStyle w:val="BayerBodyTextFull"/>
        <w:spacing w:before="0" w:after="0"/>
        <w:rPr>
          <w:rFonts w:ascii="Arial" w:hAnsi="Arial" w:cs="Arial"/>
          <w:snapToGrid w:val="0"/>
          <w:sz w:val="22"/>
          <w:szCs w:val="22"/>
          <w:lang w:val="en-GB"/>
        </w:rPr>
      </w:pPr>
    </w:p>
    <w:p w14:paraId="6C9FA088" w14:textId="77777777" w:rsidR="009E45A9" w:rsidRPr="00EF0C8F" w:rsidRDefault="00F576DE" w:rsidP="005E2C3E">
      <w:pPr>
        <w:pStyle w:val="BayerBodyTextFull"/>
        <w:keepNext/>
        <w:spacing w:before="0" w:after="0"/>
        <w:rPr>
          <w:rFonts w:ascii="Arial" w:hAnsi="Arial" w:cs="Arial"/>
          <w:b/>
          <w:color w:val="000000"/>
          <w:sz w:val="22"/>
          <w:szCs w:val="22"/>
          <w:lang w:val="en-GB"/>
        </w:rPr>
      </w:pPr>
      <w:bookmarkStart w:id="11" w:name="Table6"/>
      <w:r w:rsidRPr="00EF0C8F">
        <w:rPr>
          <w:rFonts w:ascii="Arial" w:hAnsi="Arial" w:cs="Arial"/>
          <w:b/>
          <w:color w:val="000000"/>
          <w:sz w:val="22"/>
          <w:szCs w:val="22"/>
          <w:lang w:val="en-GB"/>
        </w:rPr>
        <w:t>Table </w:t>
      </w:r>
      <w:bookmarkEnd w:id="11"/>
      <w:r w:rsidR="00537750" w:rsidRPr="00EF0C8F">
        <w:rPr>
          <w:rFonts w:ascii="Arial" w:hAnsi="Arial" w:cs="Arial"/>
          <w:b/>
          <w:color w:val="000000"/>
          <w:sz w:val="22"/>
          <w:szCs w:val="22"/>
          <w:lang w:val="en-GB"/>
        </w:rPr>
        <w:t>1</w:t>
      </w:r>
      <w:r w:rsidR="00871049" w:rsidRPr="00EF0C8F">
        <w:rPr>
          <w:rFonts w:ascii="Arial" w:hAnsi="Arial" w:cs="Arial"/>
          <w:b/>
          <w:color w:val="000000"/>
          <w:sz w:val="22"/>
          <w:szCs w:val="22"/>
          <w:lang w:val="en-GB"/>
        </w:rPr>
        <w:t>1</w:t>
      </w:r>
      <w:r w:rsidRPr="00EF0C8F">
        <w:rPr>
          <w:rFonts w:ascii="Arial" w:hAnsi="Arial" w:cs="Arial"/>
          <w:b/>
          <w:color w:val="000000"/>
          <w:sz w:val="22"/>
          <w:szCs w:val="22"/>
          <w:lang w:val="en-GB"/>
        </w:rPr>
        <w:t>: Treatment</w:t>
      </w:r>
      <w:r w:rsidRPr="00EF0C8F">
        <w:rPr>
          <w:rFonts w:ascii="Arial" w:hAnsi="Arial" w:cs="Arial"/>
          <w:b/>
          <w:color w:val="000000"/>
          <w:sz w:val="22"/>
          <w:szCs w:val="22"/>
          <w:lang w:val="en-GB"/>
        </w:rPr>
        <w:noBreakHyphen/>
        <w:t>emergent laboratory test abnormalities reported in placebo</w:t>
      </w:r>
      <w:r w:rsidRPr="00EF0C8F">
        <w:rPr>
          <w:rFonts w:ascii="Arial" w:hAnsi="Arial" w:cs="Arial"/>
          <w:b/>
          <w:color w:val="000000"/>
          <w:sz w:val="22"/>
          <w:szCs w:val="22"/>
          <w:lang w:val="en-GB"/>
        </w:rPr>
        <w:noBreakHyphen/>
        <w:t>controlled phase III trial in patients with HCC (RESORCE)</w:t>
      </w:r>
    </w:p>
    <w:p w14:paraId="178FED48" w14:textId="42DE7E03" w:rsidR="00F576DE" w:rsidRPr="00F4557E" w:rsidRDefault="00F576DE" w:rsidP="005E2C3E">
      <w:pPr>
        <w:pStyle w:val="BayerBodyTextFull"/>
        <w:keepNext/>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 </w:t>
      </w:r>
    </w:p>
    <w:tbl>
      <w:tblPr>
        <w:tblW w:w="9322" w:type="dxa"/>
        <w:tblBorders>
          <w:top w:val="nil"/>
          <w:left w:val="nil"/>
          <w:bottom w:val="nil"/>
          <w:right w:val="nil"/>
        </w:tblBorders>
        <w:tblLayout w:type="fixed"/>
        <w:tblLook w:val="0000" w:firstRow="0" w:lastRow="0" w:firstColumn="0" w:lastColumn="0" w:noHBand="0" w:noVBand="0"/>
      </w:tblPr>
      <w:tblGrid>
        <w:gridCol w:w="3227"/>
        <w:gridCol w:w="1015"/>
        <w:gridCol w:w="1016"/>
        <w:gridCol w:w="1016"/>
        <w:gridCol w:w="1016"/>
        <w:gridCol w:w="1016"/>
        <w:gridCol w:w="1016"/>
      </w:tblGrid>
      <w:tr w:rsidR="0059558F" w:rsidRPr="00F4557E" w14:paraId="0707BDC2" w14:textId="77777777" w:rsidTr="0059558F">
        <w:trPr>
          <w:trHeight w:val="646"/>
          <w:tblHeader/>
        </w:trPr>
        <w:tc>
          <w:tcPr>
            <w:tcW w:w="3227" w:type="dxa"/>
            <w:vMerge w:val="restart"/>
            <w:tcBorders>
              <w:top w:val="single" w:sz="6" w:space="0" w:color="000000"/>
              <w:left w:val="single" w:sz="6" w:space="0" w:color="000000"/>
              <w:right w:val="single" w:sz="4" w:space="0" w:color="000000"/>
            </w:tcBorders>
            <w:vAlign w:val="center"/>
          </w:tcPr>
          <w:p w14:paraId="078E9FA1" w14:textId="77777777" w:rsidR="0059558F" w:rsidRPr="00596803" w:rsidRDefault="0059558F" w:rsidP="005E2C3E">
            <w:pPr>
              <w:pStyle w:val="BayerBodyTextFull"/>
              <w:keepNext/>
              <w:spacing w:before="0" w:after="0"/>
              <w:rPr>
                <w:rFonts w:ascii="Arial" w:hAnsi="Arial" w:cs="Arial"/>
                <w:b/>
                <w:snapToGrid w:val="0"/>
                <w:sz w:val="22"/>
                <w:szCs w:val="22"/>
                <w:lang w:val="en-GB"/>
              </w:rPr>
            </w:pPr>
            <w:r w:rsidRPr="00596803">
              <w:rPr>
                <w:rFonts w:ascii="Arial" w:hAnsi="Arial" w:cs="Arial"/>
                <w:b/>
                <w:snapToGrid w:val="0"/>
                <w:sz w:val="22"/>
                <w:szCs w:val="22"/>
                <w:lang w:val="en-GB"/>
              </w:rPr>
              <w:t xml:space="preserve">Laboratory parameter, </w:t>
            </w:r>
            <w:r w:rsidRPr="00596803">
              <w:rPr>
                <w:rFonts w:ascii="Arial" w:hAnsi="Arial" w:cs="Arial"/>
                <w:b/>
                <w:snapToGrid w:val="0"/>
                <w:sz w:val="22"/>
                <w:szCs w:val="22"/>
                <w:lang w:val="en-GB"/>
              </w:rPr>
              <w:br/>
              <w:t>(in % of samples investigated)</w:t>
            </w:r>
          </w:p>
        </w:tc>
        <w:tc>
          <w:tcPr>
            <w:tcW w:w="3047" w:type="dxa"/>
            <w:gridSpan w:val="3"/>
            <w:tcBorders>
              <w:top w:val="single" w:sz="6" w:space="0" w:color="000000"/>
              <w:left w:val="single" w:sz="4" w:space="0" w:color="000000"/>
              <w:bottom w:val="single" w:sz="4" w:space="0" w:color="000000"/>
              <w:right w:val="single" w:sz="4" w:space="0" w:color="000000"/>
            </w:tcBorders>
            <w:vAlign w:val="center"/>
          </w:tcPr>
          <w:p w14:paraId="058E8702" w14:textId="087873F4"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STIVARGA plus BSC§</w:t>
            </w:r>
          </w:p>
          <w:p w14:paraId="47DE0EF3"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(N=374)</w:t>
            </w:r>
          </w:p>
        </w:tc>
        <w:tc>
          <w:tcPr>
            <w:tcW w:w="3048" w:type="dxa"/>
            <w:gridSpan w:val="3"/>
            <w:tcBorders>
              <w:top w:val="single" w:sz="6" w:space="0" w:color="000000"/>
              <w:left w:val="single" w:sz="4" w:space="0" w:color="000000"/>
              <w:bottom w:val="single" w:sz="4" w:space="0" w:color="000000"/>
              <w:right w:val="single" w:sz="4" w:space="0" w:color="000000"/>
            </w:tcBorders>
            <w:vAlign w:val="center"/>
          </w:tcPr>
          <w:p w14:paraId="2CF05519"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Placebo plus BSC§</w:t>
            </w:r>
          </w:p>
          <w:p w14:paraId="1AFD6B3D"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(N=193)</w:t>
            </w:r>
          </w:p>
        </w:tc>
      </w:tr>
      <w:tr w:rsidR="0059558F" w:rsidRPr="00F4557E" w14:paraId="131A40C9" w14:textId="77777777" w:rsidTr="0059558F">
        <w:trPr>
          <w:trHeight w:val="714"/>
          <w:tblHeader/>
        </w:trPr>
        <w:tc>
          <w:tcPr>
            <w:tcW w:w="3227" w:type="dxa"/>
            <w:vMerge/>
            <w:tcBorders>
              <w:left w:val="single" w:sz="6" w:space="0" w:color="000000"/>
              <w:bottom w:val="single" w:sz="4" w:space="0" w:color="000000"/>
              <w:right w:val="single" w:sz="4" w:space="0" w:color="000000"/>
            </w:tcBorders>
          </w:tcPr>
          <w:p w14:paraId="4F07709A" w14:textId="77777777" w:rsidR="0059558F" w:rsidRPr="00596803" w:rsidRDefault="0059558F" w:rsidP="005E2C3E">
            <w:pPr>
              <w:pStyle w:val="BayerBodyTextFull"/>
              <w:keepNext/>
              <w:spacing w:before="0" w:after="0"/>
              <w:rPr>
                <w:rFonts w:ascii="Arial" w:hAnsi="Arial" w:cs="Arial"/>
                <w:b/>
                <w:snapToGrid w:val="0"/>
                <w:sz w:val="22"/>
                <w:szCs w:val="22"/>
                <w:lang w:val="en-GB"/>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5BABEAE6" w14:textId="5F636853"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All Grades*</w:t>
            </w:r>
          </w:p>
        </w:tc>
        <w:tc>
          <w:tcPr>
            <w:tcW w:w="1016" w:type="dxa"/>
            <w:tcBorders>
              <w:top w:val="single" w:sz="4" w:space="0" w:color="000000"/>
              <w:left w:val="single" w:sz="4" w:space="0" w:color="000000"/>
              <w:bottom w:val="single" w:sz="4" w:space="0" w:color="000000"/>
              <w:right w:val="single" w:sz="4" w:space="0" w:color="000000"/>
            </w:tcBorders>
            <w:vAlign w:val="center"/>
          </w:tcPr>
          <w:p w14:paraId="6D5F71E3"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Grade 3*</w:t>
            </w:r>
          </w:p>
        </w:tc>
        <w:tc>
          <w:tcPr>
            <w:tcW w:w="1016" w:type="dxa"/>
            <w:tcBorders>
              <w:top w:val="single" w:sz="4" w:space="0" w:color="000000"/>
              <w:left w:val="single" w:sz="4" w:space="0" w:color="000000"/>
              <w:bottom w:val="single" w:sz="4" w:space="0" w:color="000000"/>
              <w:right w:val="single" w:sz="4" w:space="0" w:color="000000"/>
            </w:tcBorders>
            <w:vAlign w:val="center"/>
          </w:tcPr>
          <w:p w14:paraId="01A106BB"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Grade 4*</w:t>
            </w:r>
          </w:p>
        </w:tc>
        <w:tc>
          <w:tcPr>
            <w:tcW w:w="1016" w:type="dxa"/>
            <w:tcBorders>
              <w:top w:val="single" w:sz="4" w:space="0" w:color="000000"/>
              <w:left w:val="single" w:sz="4" w:space="0" w:color="000000"/>
              <w:bottom w:val="single" w:sz="4" w:space="0" w:color="000000"/>
              <w:right w:val="single" w:sz="4" w:space="0" w:color="000000"/>
            </w:tcBorders>
            <w:vAlign w:val="center"/>
          </w:tcPr>
          <w:p w14:paraId="198BF1C1"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All Grades*</w:t>
            </w:r>
          </w:p>
        </w:tc>
        <w:tc>
          <w:tcPr>
            <w:tcW w:w="1016" w:type="dxa"/>
            <w:tcBorders>
              <w:top w:val="single" w:sz="4" w:space="0" w:color="000000"/>
              <w:left w:val="single" w:sz="4" w:space="0" w:color="000000"/>
              <w:bottom w:val="single" w:sz="4" w:space="0" w:color="000000"/>
              <w:right w:val="single" w:sz="4" w:space="0" w:color="000000"/>
            </w:tcBorders>
            <w:vAlign w:val="center"/>
          </w:tcPr>
          <w:p w14:paraId="28C626F9"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Grade 3*</w:t>
            </w:r>
          </w:p>
        </w:tc>
        <w:tc>
          <w:tcPr>
            <w:tcW w:w="1016" w:type="dxa"/>
            <w:tcBorders>
              <w:top w:val="single" w:sz="4" w:space="0" w:color="000000"/>
              <w:left w:val="single" w:sz="4" w:space="0" w:color="000000"/>
              <w:bottom w:val="single" w:sz="4" w:space="0" w:color="000000"/>
              <w:right w:val="single" w:sz="4" w:space="0" w:color="000000"/>
            </w:tcBorders>
            <w:vAlign w:val="center"/>
          </w:tcPr>
          <w:p w14:paraId="54D1E3BA" w14:textId="77777777" w:rsidR="0059558F" w:rsidRPr="00596803" w:rsidRDefault="0059558F" w:rsidP="005E2C3E">
            <w:pPr>
              <w:pStyle w:val="BayerBodyTextFull"/>
              <w:keepNext/>
              <w:spacing w:before="0" w:after="0"/>
              <w:jc w:val="center"/>
              <w:rPr>
                <w:rFonts w:ascii="Arial" w:hAnsi="Arial" w:cs="Arial"/>
                <w:b/>
                <w:snapToGrid w:val="0"/>
                <w:sz w:val="22"/>
                <w:szCs w:val="22"/>
                <w:lang w:val="en-GB"/>
              </w:rPr>
            </w:pPr>
            <w:r w:rsidRPr="00596803">
              <w:rPr>
                <w:rFonts w:ascii="Arial" w:hAnsi="Arial" w:cs="Arial"/>
                <w:b/>
                <w:snapToGrid w:val="0"/>
                <w:sz w:val="22"/>
                <w:szCs w:val="22"/>
                <w:lang w:val="en-GB"/>
              </w:rPr>
              <w:t>Grade 4*</w:t>
            </w:r>
          </w:p>
        </w:tc>
      </w:tr>
      <w:tr w:rsidR="00F576DE" w:rsidRPr="00F4557E" w14:paraId="1E02EF24" w14:textId="77777777" w:rsidTr="0059558F">
        <w:trPr>
          <w:trHeight w:val="300"/>
        </w:trPr>
        <w:tc>
          <w:tcPr>
            <w:tcW w:w="3227" w:type="dxa"/>
            <w:tcBorders>
              <w:top w:val="single" w:sz="6" w:space="0" w:color="000000"/>
              <w:left w:val="single" w:sz="6" w:space="0" w:color="000000"/>
              <w:bottom w:val="nil"/>
              <w:right w:val="single" w:sz="4" w:space="0" w:color="000000"/>
            </w:tcBorders>
          </w:tcPr>
          <w:p w14:paraId="45D2DEE7" w14:textId="6CA2BB6A" w:rsidR="00F576DE" w:rsidRPr="00F4557E" w:rsidRDefault="00F576DE" w:rsidP="0059558F">
            <w:pPr>
              <w:pStyle w:val="BayerBodyTextFull"/>
              <w:keepNext/>
              <w:spacing w:before="0" w:after="0"/>
              <w:rPr>
                <w:rFonts w:ascii="Arial" w:hAnsi="Arial" w:cs="Arial"/>
                <w:snapToGrid w:val="0"/>
                <w:sz w:val="22"/>
                <w:szCs w:val="22"/>
                <w:lang w:val="en-GB"/>
              </w:rPr>
            </w:pPr>
            <w:r w:rsidRPr="00596803">
              <w:rPr>
                <w:rFonts w:ascii="Arial" w:hAnsi="Arial" w:cs="Arial"/>
                <w:b/>
                <w:snapToGrid w:val="0"/>
                <w:sz w:val="22"/>
                <w:szCs w:val="22"/>
                <w:lang w:val="en-GB"/>
              </w:rPr>
              <w:t>Blood and</w:t>
            </w:r>
            <w:r w:rsidR="0059558F">
              <w:rPr>
                <w:rFonts w:ascii="Arial" w:hAnsi="Arial" w:cs="Arial"/>
                <w:b/>
                <w:snapToGrid w:val="0"/>
                <w:sz w:val="22"/>
                <w:szCs w:val="22"/>
                <w:lang w:val="en-GB"/>
              </w:rPr>
              <w:t xml:space="preserve"> </w:t>
            </w:r>
            <w:r w:rsidRPr="00596803">
              <w:rPr>
                <w:rFonts w:ascii="Arial" w:hAnsi="Arial" w:cs="Arial"/>
                <w:b/>
                <w:snapToGrid w:val="0"/>
                <w:sz w:val="22"/>
                <w:szCs w:val="22"/>
                <w:lang w:val="en-GB"/>
              </w:rPr>
              <w:t>lymphatic system</w:t>
            </w:r>
            <w:r w:rsidR="0059558F">
              <w:rPr>
                <w:rFonts w:ascii="Arial" w:hAnsi="Arial" w:cs="Arial"/>
                <w:b/>
                <w:snapToGrid w:val="0"/>
                <w:sz w:val="22"/>
                <w:szCs w:val="22"/>
                <w:lang w:val="en-GB"/>
              </w:rPr>
              <w:t xml:space="preserve"> </w:t>
            </w:r>
            <w:r w:rsidRPr="00596803">
              <w:rPr>
                <w:rFonts w:ascii="Arial" w:hAnsi="Arial" w:cs="Arial"/>
                <w:b/>
                <w:snapToGrid w:val="0"/>
                <w:sz w:val="22"/>
                <w:szCs w:val="22"/>
                <w:lang w:val="en-GB"/>
              </w:rPr>
              <w:t>disorders</w:t>
            </w:r>
          </w:p>
        </w:tc>
        <w:tc>
          <w:tcPr>
            <w:tcW w:w="1015" w:type="dxa"/>
            <w:tcBorders>
              <w:top w:val="single" w:sz="6" w:space="0" w:color="000000"/>
              <w:left w:val="single" w:sz="4" w:space="0" w:color="000000"/>
              <w:bottom w:val="nil"/>
              <w:right w:val="single" w:sz="4" w:space="0" w:color="000000"/>
            </w:tcBorders>
          </w:tcPr>
          <w:p w14:paraId="45BE0DB9" w14:textId="77777777" w:rsidR="00F576DE" w:rsidRPr="00F4557E" w:rsidRDefault="00F576DE" w:rsidP="005E2C3E">
            <w:pPr>
              <w:pStyle w:val="BayerBodyTextFull"/>
              <w:keepNext/>
              <w:spacing w:before="0" w:after="0"/>
              <w:jc w:val="center"/>
              <w:rPr>
                <w:rFonts w:ascii="Arial" w:hAnsi="Arial" w:cs="Arial"/>
                <w:snapToGrid w:val="0"/>
                <w:sz w:val="22"/>
                <w:szCs w:val="22"/>
                <w:lang w:val="en-GB"/>
              </w:rPr>
            </w:pPr>
          </w:p>
        </w:tc>
        <w:tc>
          <w:tcPr>
            <w:tcW w:w="1016" w:type="dxa"/>
            <w:tcBorders>
              <w:top w:val="single" w:sz="6" w:space="0" w:color="000000"/>
              <w:left w:val="single" w:sz="4" w:space="0" w:color="000000"/>
              <w:bottom w:val="nil"/>
              <w:right w:val="single" w:sz="4" w:space="0" w:color="000000"/>
            </w:tcBorders>
          </w:tcPr>
          <w:p w14:paraId="272148D3" w14:textId="77777777" w:rsidR="00F576DE" w:rsidRPr="00F4557E" w:rsidRDefault="00F576DE" w:rsidP="005E2C3E">
            <w:pPr>
              <w:pStyle w:val="BayerBodyTextFull"/>
              <w:keepNext/>
              <w:spacing w:before="0" w:after="0"/>
              <w:jc w:val="center"/>
              <w:rPr>
                <w:rFonts w:ascii="Arial" w:hAnsi="Arial" w:cs="Arial"/>
                <w:snapToGrid w:val="0"/>
                <w:sz w:val="22"/>
                <w:szCs w:val="22"/>
                <w:lang w:val="en-GB"/>
              </w:rPr>
            </w:pPr>
          </w:p>
        </w:tc>
        <w:tc>
          <w:tcPr>
            <w:tcW w:w="1016" w:type="dxa"/>
            <w:tcBorders>
              <w:top w:val="single" w:sz="6" w:space="0" w:color="000000"/>
              <w:left w:val="single" w:sz="4" w:space="0" w:color="000000"/>
              <w:bottom w:val="nil"/>
              <w:right w:val="single" w:sz="4" w:space="0" w:color="000000"/>
            </w:tcBorders>
          </w:tcPr>
          <w:p w14:paraId="42F39F98" w14:textId="77777777" w:rsidR="00F576DE" w:rsidRPr="00F4557E" w:rsidRDefault="00F576DE" w:rsidP="005E2C3E">
            <w:pPr>
              <w:pStyle w:val="BayerBodyTextFull"/>
              <w:keepNext/>
              <w:spacing w:before="0" w:after="0"/>
              <w:jc w:val="center"/>
              <w:rPr>
                <w:rFonts w:ascii="Arial" w:hAnsi="Arial" w:cs="Arial"/>
                <w:snapToGrid w:val="0"/>
                <w:sz w:val="22"/>
                <w:szCs w:val="22"/>
                <w:lang w:val="en-GB"/>
              </w:rPr>
            </w:pPr>
          </w:p>
        </w:tc>
        <w:tc>
          <w:tcPr>
            <w:tcW w:w="1016" w:type="dxa"/>
            <w:tcBorders>
              <w:top w:val="single" w:sz="6" w:space="0" w:color="000000"/>
              <w:left w:val="single" w:sz="4" w:space="0" w:color="000000"/>
              <w:bottom w:val="nil"/>
              <w:right w:val="single" w:sz="4" w:space="0" w:color="000000"/>
            </w:tcBorders>
          </w:tcPr>
          <w:p w14:paraId="173E5500" w14:textId="77777777" w:rsidR="00F576DE" w:rsidRPr="00F4557E" w:rsidRDefault="00F576DE" w:rsidP="005E2C3E">
            <w:pPr>
              <w:pStyle w:val="BayerBodyTextFull"/>
              <w:keepNext/>
              <w:spacing w:before="0" w:after="0"/>
              <w:jc w:val="center"/>
              <w:rPr>
                <w:rFonts w:ascii="Arial" w:hAnsi="Arial" w:cs="Arial"/>
                <w:snapToGrid w:val="0"/>
                <w:sz w:val="22"/>
                <w:szCs w:val="22"/>
                <w:lang w:val="en-GB"/>
              </w:rPr>
            </w:pPr>
          </w:p>
        </w:tc>
        <w:tc>
          <w:tcPr>
            <w:tcW w:w="1016" w:type="dxa"/>
            <w:tcBorders>
              <w:top w:val="single" w:sz="6" w:space="0" w:color="000000"/>
              <w:left w:val="single" w:sz="4" w:space="0" w:color="000000"/>
              <w:bottom w:val="nil"/>
              <w:right w:val="single" w:sz="4" w:space="0" w:color="000000"/>
            </w:tcBorders>
          </w:tcPr>
          <w:p w14:paraId="4D4F9F1D" w14:textId="77777777" w:rsidR="00F576DE" w:rsidRPr="00F4557E" w:rsidRDefault="00F576DE" w:rsidP="005E2C3E">
            <w:pPr>
              <w:pStyle w:val="BayerBodyTextFull"/>
              <w:keepNext/>
              <w:spacing w:before="0" w:after="0"/>
              <w:jc w:val="center"/>
              <w:rPr>
                <w:rFonts w:ascii="Arial" w:hAnsi="Arial" w:cs="Arial"/>
                <w:snapToGrid w:val="0"/>
                <w:sz w:val="22"/>
                <w:szCs w:val="22"/>
                <w:lang w:val="en-GB"/>
              </w:rPr>
            </w:pPr>
          </w:p>
        </w:tc>
        <w:tc>
          <w:tcPr>
            <w:tcW w:w="1016" w:type="dxa"/>
            <w:tcBorders>
              <w:top w:val="single" w:sz="6" w:space="0" w:color="000000"/>
              <w:left w:val="single" w:sz="4" w:space="0" w:color="000000"/>
              <w:bottom w:val="nil"/>
              <w:right w:val="single" w:sz="4" w:space="0" w:color="000000"/>
            </w:tcBorders>
          </w:tcPr>
          <w:p w14:paraId="02980BA2" w14:textId="77777777" w:rsidR="00F576DE" w:rsidRPr="00F4557E" w:rsidRDefault="00F576DE" w:rsidP="005E2C3E">
            <w:pPr>
              <w:pStyle w:val="BayerBodyTextFull"/>
              <w:keepNext/>
              <w:spacing w:before="0" w:after="0"/>
              <w:jc w:val="center"/>
              <w:rPr>
                <w:rFonts w:ascii="Arial" w:hAnsi="Arial" w:cs="Arial"/>
                <w:snapToGrid w:val="0"/>
                <w:sz w:val="22"/>
                <w:szCs w:val="22"/>
                <w:lang w:val="en-GB"/>
              </w:rPr>
            </w:pPr>
          </w:p>
        </w:tc>
      </w:tr>
      <w:tr w:rsidR="00F576DE" w:rsidRPr="00F4557E" w14:paraId="5304CD2A" w14:textId="77777777" w:rsidTr="0059558F">
        <w:trPr>
          <w:trHeight w:val="261"/>
        </w:trPr>
        <w:tc>
          <w:tcPr>
            <w:tcW w:w="3227" w:type="dxa"/>
            <w:tcBorders>
              <w:top w:val="nil"/>
              <w:left w:val="single" w:sz="6" w:space="0" w:color="000000"/>
              <w:bottom w:val="nil"/>
              <w:right w:val="single" w:sz="4" w:space="0" w:color="000000"/>
            </w:tcBorders>
          </w:tcPr>
          <w:p w14:paraId="719CEEC7" w14:textId="0E20BA6D"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H</w:t>
            </w:r>
            <w:r w:rsidR="004F17F2" w:rsidRPr="00F4557E">
              <w:rPr>
                <w:rFonts w:ascii="Arial" w:hAnsi="Arial" w:cs="Arial"/>
                <w:snapToGrid w:val="0"/>
                <w:sz w:val="22"/>
                <w:szCs w:val="22"/>
                <w:lang w:val="en-GB"/>
              </w:rPr>
              <w:t>a</w:t>
            </w:r>
            <w:r w:rsidRPr="00F4557E">
              <w:rPr>
                <w:rFonts w:ascii="Arial" w:hAnsi="Arial" w:cs="Arial"/>
                <w:snapToGrid w:val="0"/>
                <w:sz w:val="22"/>
                <w:szCs w:val="22"/>
                <w:lang w:val="en-GB"/>
              </w:rPr>
              <w:t>emoglobin decreased</w:t>
            </w:r>
          </w:p>
        </w:tc>
        <w:tc>
          <w:tcPr>
            <w:tcW w:w="1015" w:type="dxa"/>
            <w:tcBorders>
              <w:top w:val="nil"/>
              <w:left w:val="single" w:sz="4" w:space="0" w:color="000000"/>
              <w:bottom w:val="nil"/>
              <w:right w:val="single" w:sz="4" w:space="0" w:color="000000"/>
            </w:tcBorders>
          </w:tcPr>
          <w:p w14:paraId="2C8129B4"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72.5</w:t>
            </w:r>
          </w:p>
        </w:tc>
        <w:tc>
          <w:tcPr>
            <w:tcW w:w="1016" w:type="dxa"/>
            <w:tcBorders>
              <w:top w:val="nil"/>
              <w:left w:val="single" w:sz="4" w:space="0" w:color="000000"/>
              <w:bottom w:val="nil"/>
              <w:right w:val="single" w:sz="4" w:space="0" w:color="000000"/>
            </w:tcBorders>
          </w:tcPr>
          <w:p w14:paraId="722996F5"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6.0</w:t>
            </w:r>
          </w:p>
        </w:tc>
        <w:tc>
          <w:tcPr>
            <w:tcW w:w="1016" w:type="dxa"/>
            <w:tcBorders>
              <w:top w:val="nil"/>
              <w:left w:val="single" w:sz="4" w:space="0" w:color="000000"/>
              <w:bottom w:val="nil"/>
              <w:right w:val="single" w:sz="4" w:space="0" w:color="000000"/>
            </w:tcBorders>
          </w:tcPr>
          <w:p w14:paraId="40913A8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c>
          <w:tcPr>
            <w:tcW w:w="1016" w:type="dxa"/>
            <w:tcBorders>
              <w:top w:val="nil"/>
              <w:left w:val="single" w:sz="4" w:space="0" w:color="000000"/>
              <w:bottom w:val="nil"/>
              <w:right w:val="single" w:sz="4" w:space="0" w:color="000000"/>
            </w:tcBorders>
          </w:tcPr>
          <w:p w14:paraId="1E7F1ABF"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71.3</w:t>
            </w:r>
          </w:p>
        </w:tc>
        <w:tc>
          <w:tcPr>
            <w:tcW w:w="1016" w:type="dxa"/>
            <w:tcBorders>
              <w:top w:val="nil"/>
              <w:left w:val="single" w:sz="4" w:space="0" w:color="000000"/>
              <w:bottom w:val="nil"/>
              <w:right w:val="single" w:sz="4" w:space="0" w:color="000000"/>
            </w:tcBorders>
          </w:tcPr>
          <w:p w14:paraId="0D31D2B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4.8</w:t>
            </w:r>
          </w:p>
        </w:tc>
        <w:tc>
          <w:tcPr>
            <w:tcW w:w="1016" w:type="dxa"/>
            <w:tcBorders>
              <w:top w:val="nil"/>
              <w:left w:val="single" w:sz="4" w:space="0" w:color="000000"/>
              <w:bottom w:val="nil"/>
              <w:right w:val="single" w:sz="4" w:space="0" w:color="000000"/>
            </w:tcBorders>
          </w:tcPr>
          <w:p w14:paraId="4B6DEC0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r>
      <w:tr w:rsidR="00F576DE" w:rsidRPr="00F4557E" w14:paraId="3CDEF9FD" w14:textId="77777777" w:rsidTr="0059558F">
        <w:trPr>
          <w:trHeight w:val="275"/>
        </w:trPr>
        <w:tc>
          <w:tcPr>
            <w:tcW w:w="3227" w:type="dxa"/>
            <w:tcBorders>
              <w:top w:val="nil"/>
              <w:left w:val="single" w:sz="6" w:space="0" w:color="000000"/>
              <w:bottom w:val="nil"/>
              <w:right w:val="single" w:sz="4" w:space="0" w:color="000000"/>
            </w:tcBorders>
          </w:tcPr>
          <w:p w14:paraId="7A3FB16D"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Platelet count decreased</w:t>
            </w:r>
          </w:p>
        </w:tc>
        <w:tc>
          <w:tcPr>
            <w:tcW w:w="1015" w:type="dxa"/>
            <w:tcBorders>
              <w:top w:val="nil"/>
              <w:left w:val="single" w:sz="4" w:space="0" w:color="000000"/>
              <w:bottom w:val="nil"/>
              <w:right w:val="single" w:sz="4" w:space="0" w:color="000000"/>
            </w:tcBorders>
          </w:tcPr>
          <w:p w14:paraId="78869562"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63.1</w:t>
            </w:r>
          </w:p>
        </w:tc>
        <w:tc>
          <w:tcPr>
            <w:tcW w:w="1016" w:type="dxa"/>
            <w:tcBorders>
              <w:top w:val="nil"/>
              <w:left w:val="single" w:sz="4" w:space="0" w:color="000000"/>
              <w:bottom w:val="nil"/>
              <w:right w:val="single" w:sz="4" w:space="0" w:color="000000"/>
            </w:tcBorders>
          </w:tcPr>
          <w:p w14:paraId="5E1DDB4B"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4.6</w:t>
            </w:r>
          </w:p>
        </w:tc>
        <w:tc>
          <w:tcPr>
            <w:tcW w:w="1016" w:type="dxa"/>
            <w:tcBorders>
              <w:top w:val="nil"/>
              <w:left w:val="single" w:sz="4" w:space="0" w:color="000000"/>
              <w:bottom w:val="nil"/>
              <w:right w:val="single" w:sz="4" w:space="0" w:color="000000"/>
            </w:tcBorders>
          </w:tcPr>
          <w:p w14:paraId="3A72AE7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0.8</w:t>
            </w:r>
          </w:p>
        </w:tc>
        <w:tc>
          <w:tcPr>
            <w:tcW w:w="1016" w:type="dxa"/>
            <w:tcBorders>
              <w:top w:val="nil"/>
              <w:left w:val="single" w:sz="4" w:space="0" w:color="000000"/>
              <w:bottom w:val="nil"/>
              <w:right w:val="single" w:sz="4" w:space="0" w:color="000000"/>
            </w:tcBorders>
          </w:tcPr>
          <w:p w14:paraId="5C9C5D2E"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50.0</w:t>
            </w:r>
          </w:p>
        </w:tc>
        <w:tc>
          <w:tcPr>
            <w:tcW w:w="1016" w:type="dxa"/>
            <w:tcBorders>
              <w:top w:val="nil"/>
              <w:left w:val="single" w:sz="4" w:space="0" w:color="000000"/>
              <w:bottom w:val="nil"/>
              <w:right w:val="single" w:sz="4" w:space="0" w:color="000000"/>
            </w:tcBorders>
          </w:tcPr>
          <w:p w14:paraId="75AF85E6"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1016" w:type="dxa"/>
            <w:tcBorders>
              <w:top w:val="nil"/>
              <w:left w:val="single" w:sz="4" w:space="0" w:color="000000"/>
              <w:bottom w:val="nil"/>
              <w:right w:val="single" w:sz="4" w:space="0" w:color="000000"/>
            </w:tcBorders>
          </w:tcPr>
          <w:p w14:paraId="69B0C0BD"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F576DE" w:rsidRPr="00F4557E" w14:paraId="192DCEA1" w14:textId="77777777" w:rsidTr="0059558F">
        <w:trPr>
          <w:trHeight w:val="278"/>
        </w:trPr>
        <w:tc>
          <w:tcPr>
            <w:tcW w:w="3227" w:type="dxa"/>
            <w:tcBorders>
              <w:top w:val="nil"/>
              <w:left w:val="single" w:sz="6" w:space="0" w:color="000000"/>
              <w:bottom w:val="nil"/>
              <w:right w:val="single" w:sz="4" w:space="0" w:color="000000"/>
            </w:tcBorders>
          </w:tcPr>
          <w:p w14:paraId="512924E4"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Neutrophil count decreased</w:t>
            </w:r>
          </w:p>
        </w:tc>
        <w:tc>
          <w:tcPr>
            <w:tcW w:w="1015" w:type="dxa"/>
            <w:tcBorders>
              <w:top w:val="nil"/>
              <w:left w:val="single" w:sz="4" w:space="0" w:color="000000"/>
              <w:bottom w:val="nil"/>
              <w:right w:val="single" w:sz="4" w:space="0" w:color="000000"/>
            </w:tcBorders>
          </w:tcPr>
          <w:p w14:paraId="327931B2"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13.6</w:t>
            </w:r>
          </w:p>
        </w:tc>
        <w:tc>
          <w:tcPr>
            <w:tcW w:w="1016" w:type="dxa"/>
            <w:tcBorders>
              <w:top w:val="nil"/>
              <w:left w:val="single" w:sz="4" w:space="0" w:color="000000"/>
              <w:bottom w:val="nil"/>
              <w:right w:val="single" w:sz="4" w:space="0" w:color="000000"/>
            </w:tcBorders>
          </w:tcPr>
          <w:p w14:paraId="6E743E9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3.0</w:t>
            </w:r>
          </w:p>
        </w:tc>
        <w:tc>
          <w:tcPr>
            <w:tcW w:w="1016" w:type="dxa"/>
            <w:tcBorders>
              <w:top w:val="nil"/>
              <w:left w:val="single" w:sz="4" w:space="0" w:color="000000"/>
              <w:bottom w:val="nil"/>
              <w:right w:val="single" w:sz="4" w:space="0" w:color="000000"/>
            </w:tcBorders>
          </w:tcPr>
          <w:p w14:paraId="7C92519D"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1016" w:type="dxa"/>
            <w:tcBorders>
              <w:top w:val="nil"/>
              <w:left w:val="single" w:sz="4" w:space="0" w:color="000000"/>
              <w:bottom w:val="nil"/>
              <w:right w:val="single" w:sz="4" w:space="0" w:color="000000"/>
            </w:tcBorders>
          </w:tcPr>
          <w:p w14:paraId="1451F2BE"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14.9</w:t>
            </w:r>
          </w:p>
        </w:tc>
        <w:tc>
          <w:tcPr>
            <w:tcW w:w="1016" w:type="dxa"/>
            <w:tcBorders>
              <w:top w:val="nil"/>
              <w:left w:val="single" w:sz="4" w:space="0" w:color="000000"/>
              <w:bottom w:val="nil"/>
              <w:right w:val="single" w:sz="4" w:space="0" w:color="000000"/>
            </w:tcBorders>
          </w:tcPr>
          <w:p w14:paraId="26DA1C7F"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0.5</w:t>
            </w:r>
          </w:p>
        </w:tc>
        <w:tc>
          <w:tcPr>
            <w:tcW w:w="1016" w:type="dxa"/>
            <w:tcBorders>
              <w:top w:val="nil"/>
              <w:left w:val="single" w:sz="4" w:space="0" w:color="000000"/>
              <w:bottom w:val="nil"/>
              <w:right w:val="single" w:sz="4" w:space="0" w:color="000000"/>
            </w:tcBorders>
          </w:tcPr>
          <w:p w14:paraId="1883F3D4"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0.5</w:t>
            </w:r>
          </w:p>
        </w:tc>
      </w:tr>
      <w:tr w:rsidR="00F576DE" w:rsidRPr="00F4557E" w14:paraId="6B7DD5D3" w14:textId="77777777" w:rsidTr="0059558F">
        <w:trPr>
          <w:trHeight w:val="279"/>
        </w:trPr>
        <w:tc>
          <w:tcPr>
            <w:tcW w:w="3227" w:type="dxa"/>
            <w:tcBorders>
              <w:top w:val="nil"/>
              <w:left w:val="single" w:sz="6" w:space="0" w:color="000000"/>
              <w:bottom w:val="single" w:sz="4" w:space="0" w:color="auto"/>
              <w:right w:val="single" w:sz="4" w:space="0" w:color="000000"/>
            </w:tcBorders>
          </w:tcPr>
          <w:p w14:paraId="0D5CBC53"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Lymphocyte count decreased</w:t>
            </w:r>
          </w:p>
        </w:tc>
        <w:tc>
          <w:tcPr>
            <w:tcW w:w="1015" w:type="dxa"/>
            <w:tcBorders>
              <w:top w:val="nil"/>
              <w:left w:val="single" w:sz="4" w:space="0" w:color="000000"/>
              <w:bottom w:val="single" w:sz="4" w:space="0" w:color="auto"/>
              <w:right w:val="single" w:sz="4" w:space="0" w:color="000000"/>
            </w:tcBorders>
          </w:tcPr>
          <w:p w14:paraId="39B17AB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67.8</w:t>
            </w:r>
          </w:p>
        </w:tc>
        <w:tc>
          <w:tcPr>
            <w:tcW w:w="1016" w:type="dxa"/>
            <w:tcBorders>
              <w:top w:val="nil"/>
              <w:left w:val="single" w:sz="4" w:space="0" w:color="000000"/>
              <w:bottom w:val="single" w:sz="4" w:space="0" w:color="auto"/>
              <w:right w:val="single" w:sz="4" w:space="0" w:color="000000"/>
            </w:tcBorders>
          </w:tcPr>
          <w:p w14:paraId="68BDB205"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15.5</w:t>
            </w:r>
          </w:p>
        </w:tc>
        <w:tc>
          <w:tcPr>
            <w:tcW w:w="1016" w:type="dxa"/>
            <w:tcBorders>
              <w:top w:val="nil"/>
              <w:left w:val="single" w:sz="4" w:space="0" w:color="000000"/>
              <w:bottom w:val="single" w:sz="4" w:space="0" w:color="auto"/>
              <w:right w:val="single" w:sz="4" w:space="0" w:color="000000"/>
            </w:tcBorders>
          </w:tcPr>
          <w:p w14:paraId="5063471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1.9</w:t>
            </w:r>
          </w:p>
        </w:tc>
        <w:tc>
          <w:tcPr>
            <w:tcW w:w="1016" w:type="dxa"/>
            <w:tcBorders>
              <w:top w:val="nil"/>
              <w:left w:val="single" w:sz="4" w:space="0" w:color="000000"/>
              <w:bottom w:val="single" w:sz="4" w:space="0" w:color="auto"/>
              <w:right w:val="single" w:sz="4" w:space="0" w:color="000000"/>
            </w:tcBorders>
          </w:tcPr>
          <w:p w14:paraId="0BAB8FC2"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58.5</w:t>
            </w:r>
          </w:p>
        </w:tc>
        <w:tc>
          <w:tcPr>
            <w:tcW w:w="1016" w:type="dxa"/>
            <w:tcBorders>
              <w:top w:val="nil"/>
              <w:left w:val="single" w:sz="4" w:space="0" w:color="000000"/>
              <w:bottom w:val="single" w:sz="4" w:space="0" w:color="auto"/>
              <w:right w:val="single" w:sz="4" w:space="0" w:color="000000"/>
            </w:tcBorders>
          </w:tcPr>
          <w:p w14:paraId="4FB6BAC0"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11.2</w:t>
            </w:r>
          </w:p>
        </w:tc>
        <w:tc>
          <w:tcPr>
            <w:tcW w:w="1016" w:type="dxa"/>
            <w:tcBorders>
              <w:top w:val="nil"/>
              <w:left w:val="single" w:sz="4" w:space="0" w:color="000000"/>
              <w:bottom w:val="single" w:sz="4" w:space="0" w:color="auto"/>
              <w:right w:val="single" w:sz="4" w:space="0" w:color="000000"/>
            </w:tcBorders>
          </w:tcPr>
          <w:p w14:paraId="30273736"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0.5</w:t>
            </w:r>
          </w:p>
        </w:tc>
      </w:tr>
      <w:tr w:rsidR="00F576DE" w:rsidRPr="00F4557E" w14:paraId="69D51B0F" w14:textId="77777777" w:rsidTr="0059558F">
        <w:trPr>
          <w:trHeight w:val="516"/>
        </w:trPr>
        <w:tc>
          <w:tcPr>
            <w:tcW w:w="3227" w:type="dxa"/>
            <w:tcBorders>
              <w:top w:val="single" w:sz="4" w:space="0" w:color="auto"/>
              <w:left w:val="single" w:sz="6" w:space="0" w:color="000000"/>
              <w:bottom w:val="nil"/>
              <w:right w:val="single" w:sz="4" w:space="0" w:color="000000"/>
            </w:tcBorders>
          </w:tcPr>
          <w:p w14:paraId="5580FD3B" w14:textId="77777777" w:rsidR="00F576DE" w:rsidRPr="00596803" w:rsidRDefault="00F576DE" w:rsidP="00F4557E">
            <w:pPr>
              <w:pStyle w:val="BayerBodyTextFull"/>
              <w:spacing w:before="0" w:after="0"/>
              <w:rPr>
                <w:rFonts w:ascii="Arial" w:hAnsi="Arial" w:cs="Arial"/>
                <w:b/>
                <w:snapToGrid w:val="0"/>
                <w:sz w:val="22"/>
                <w:szCs w:val="22"/>
                <w:lang w:val="en-GB"/>
              </w:rPr>
            </w:pPr>
            <w:r w:rsidRPr="00596803">
              <w:rPr>
                <w:rFonts w:ascii="Arial" w:hAnsi="Arial" w:cs="Arial"/>
                <w:b/>
                <w:snapToGrid w:val="0"/>
                <w:sz w:val="22"/>
                <w:szCs w:val="22"/>
                <w:lang w:val="en-GB"/>
              </w:rPr>
              <w:t>Metabolism and nutrition disorders</w:t>
            </w:r>
          </w:p>
        </w:tc>
        <w:tc>
          <w:tcPr>
            <w:tcW w:w="1015" w:type="dxa"/>
            <w:tcBorders>
              <w:top w:val="single" w:sz="4" w:space="0" w:color="auto"/>
              <w:left w:val="single" w:sz="4" w:space="0" w:color="000000"/>
              <w:bottom w:val="nil"/>
              <w:right w:val="single" w:sz="4" w:space="0" w:color="000000"/>
            </w:tcBorders>
          </w:tcPr>
          <w:p w14:paraId="507FAAC2"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auto"/>
              <w:left w:val="single" w:sz="4" w:space="0" w:color="000000"/>
              <w:bottom w:val="nil"/>
              <w:right w:val="single" w:sz="4" w:space="0" w:color="000000"/>
            </w:tcBorders>
          </w:tcPr>
          <w:p w14:paraId="4CC6A4A6"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auto"/>
              <w:left w:val="single" w:sz="4" w:space="0" w:color="000000"/>
              <w:bottom w:val="nil"/>
              <w:right w:val="single" w:sz="4" w:space="0" w:color="000000"/>
            </w:tcBorders>
          </w:tcPr>
          <w:p w14:paraId="7BA75BC7"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auto"/>
              <w:left w:val="single" w:sz="4" w:space="0" w:color="000000"/>
              <w:bottom w:val="nil"/>
              <w:right w:val="single" w:sz="4" w:space="0" w:color="000000"/>
            </w:tcBorders>
          </w:tcPr>
          <w:p w14:paraId="5E78DB93"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auto"/>
              <w:left w:val="single" w:sz="4" w:space="0" w:color="000000"/>
              <w:bottom w:val="nil"/>
              <w:right w:val="single" w:sz="4" w:space="0" w:color="000000"/>
            </w:tcBorders>
          </w:tcPr>
          <w:p w14:paraId="5D8C8106"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auto"/>
              <w:left w:val="single" w:sz="4" w:space="0" w:color="000000"/>
              <w:bottom w:val="nil"/>
              <w:right w:val="single" w:sz="4" w:space="0" w:color="000000"/>
            </w:tcBorders>
          </w:tcPr>
          <w:p w14:paraId="723EAF39"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r>
      <w:tr w:rsidR="00F576DE" w:rsidRPr="00F4557E" w14:paraId="1895BC91" w14:textId="77777777" w:rsidTr="0059558F">
        <w:trPr>
          <w:trHeight w:val="295"/>
        </w:trPr>
        <w:tc>
          <w:tcPr>
            <w:tcW w:w="3227" w:type="dxa"/>
            <w:tcBorders>
              <w:top w:val="nil"/>
              <w:left w:val="single" w:sz="6" w:space="0" w:color="000000"/>
              <w:bottom w:val="nil"/>
              <w:right w:val="single" w:sz="4" w:space="0" w:color="000000"/>
            </w:tcBorders>
          </w:tcPr>
          <w:p w14:paraId="2F7C0A4F"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Calcium decreased</w:t>
            </w:r>
          </w:p>
        </w:tc>
        <w:tc>
          <w:tcPr>
            <w:tcW w:w="1015" w:type="dxa"/>
            <w:tcBorders>
              <w:top w:val="nil"/>
              <w:left w:val="single" w:sz="4" w:space="0" w:color="000000"/>
              <w:bottom w:val="nil"/>
              <w:right w:val="single" w:sz="4" w:space="0" w:color="000000"/>
            </w:tcBorders>
          </w:tcPr>
          <w:p w14:paraId="44A435D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23.4</w:t>
            </w:r>
          </w:p>
        </w:tc>
        <w:tc>
          <w:tcPr>
            <w:tcW w:w="1016" w:type="dxa"/>
            <w:tcBorders>
              <w:top w:val="nil"/>
              <w:left w:val="single" w:sz="4" w:space="0" w:color="000000"/>
              <w:bottom w:val="nil"/>
              <w:right w:val="single" w:sz="4" w:space="0" w:color="000000"/>
            </w:tcBorders>
          </w:tcPr>
          <w:p w14:paraId="6AB25B56"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0.3</w:t>
            </w:r>
          </w:p>
        </w:tc>
        <w:tc>
          <w:tcPr>
            <w:tcW w:w="1016" w:type="dxa"/>
            <w:tcBorders>
              <w:top w:val="nil"/>
              <w:left w:val="single" w:sz="4" w:space="0" w:color="000000"/>
              <w:bottom w:val="nil"/>
              <w:right w:val="single" w:sz="4" w:space="0" w:color="000000"/>
            </w:tcBorders>
          </w:tcPr>
          <w:p w14:paraId="5766D11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1016" w:type="dxa"/>
            <w:tcBorders>
              <w:top w:val="nil"/>
              <w:left w:val="single" w:sz="4" w:space="0" w:color="000000"/>
              <w:bottom w:val="nil"/>
              <w:right w:val="single" w:sz="4" w:space="0" w:color="000000"/>
            </w:tcBorders>
          </w:tcPr>
          <w:p w14:paraId="1E70AAA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10.1</w:t>
            </w:r>
          </w:p>
        </w:tc>
        <w:tc>
          <w:tcPr>
            <w:tcW w:w="1016" w:type="dxa"/>
            <w:tcBorders>
              <w:top w:val="nil"/>
              <w:left w:val="single" w:sz="4" w:space="0" w:color="000000"/>
              <w:bottom w:val="nil"/>
              <w:right w:val="single" w:sz="4" w:space="0" w:color="000000"/>
            </w:tcBorders>
          </w:tcPr>
          <w:p w14:paraId="634F0109"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c>
          <w:tcPr>
            <w:tcW w:w="1016" w:type="dxa"/>
            <w:tcBorders>
              <w:top w:val="nil"/>
              <w:left w:val="single" w:sz="4" w:space="0" w:color="000000"/>
              <w:bottom w:val="nil"/>
              <w:right w:val="single" w:sz="4" w:space="0" w:color="000000"/>
            </w:tcBorders>
          </w:tcPr>
          <w:p w14:paraId="68E79D9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F576DE" w:rsidRPr="00F4557E" w14:paraId="54C7992E" w14:textId="77777777" w:rsidTr="0059558F">
        <w:trPr>
          <w:trHeight w:val="290"/>
        </w:trPr>
        <w:tc>
          <w:tcPr>
            <w:tcW w:w="3227" w:type="dxa"/>
            <w:tcBorders>
              <w:top w:val="nil"/>
              <w:left w:val="single" w:sz="6" w:space="0" w:color="000000"/>
              <w:bottom w:val="single" w:sz="4" w:space="0" w:color="000000"/>
              <w:right w:val="single" w:sz="4" w:space="0" w:color="000000"/>
            </w:tcBorders>
          </w:tcPr>
          <w:p w14:paraId="436FD32D"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Potassium decreased </w:t>
            </w:r>
          </w:p>
          <w:p w14:paraId="340550A5"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Phosphate decreased</w:t>
            </w:r>
          </w:p>
        </w:tc>
        <w:tc>
          <w:tcPr>
            <w:tcW w:w="1015" w:type="dxa"/>
            <w:tcBorders>
              <w:top w:val="nil"/>
              <w:left w:val="single" w:sz="4" w:space="0" w:color="000000"/>
              <w:bottom w:val="single" w:sz="4" w:space="0" w:color="000000"/>
              <w:right w:val="single" w:sz="4" w:space="0" w:color="000000"/>
            </w:tcBorders>
          </w:tcPr>
          <w:p w14:paraId="4AF3A7F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30.7</w:t>
            </w:r>
          </w:p>
          <w:p w14:paraId="007FFA1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70.4</w:t>
            </w:r>
          </w:p>
        </w:tc>
        <w:tc>
          <w:tcPr>
            <w:tcW w:w="1016" w:type="dxa"/>
            <w:tcBorders>
              <w:top w:val="nil"/>
              <w:left w:val="single" w:sz="4" w:space="0" w:color="000000"/>
              <w:bottom w:val="single" w:sz="4" w:space="0" w:color="000000"/>
              <w:right w:val="single" w:sz="4" w:space="0" w:color="000000"/>
            </w:tcBorders>
          </w:tcPr>
          <w:p w14:paraId="48A9F6C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3.8</w:t>
            </w:r>
          </w:p>
          <w:p w14:paraId="3B6D39DD"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32.3</w:t>
            </w:r>
          </w:p>
        </w:tc>
        <w:tc>
          <w:tcPr>
            <w:tcW w:w="1016" w:type="dxa"/>
            <w:tcBorders>
              <w:top w:val="nil"/>
              <w:left w:val="single" w:sz="4" w:space="0" w:color="000000"/>
              <w:bottom w:val="single" w:sz="4" w:space="0" w:color="000000"/>
              <w:right w:val="single" w:sz="4" w:space="0" w:color="000000"/>
            </w:tcBorders>
          </w:tcPr>
          <w:p w14:paraId="6851A51B"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0.5</w:t>
            </w:r>
          </w:p>
          <w:p w14:paraId="1F37E42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1.6</w:t>
            </w:r>
          </w:p>
        </w:tc>
        <w:tc>
          <w:tcPr>
            <w:tcW w:w="1016" w:type="dxa"/>
            <w:tcBorders>
              <w:top w:val="nil"/>
              <w:left w:val="single" w:sz="4" w:space="0" w:color="000000"/>
              <w:bottom w:val="single" w:sz="4" w:space="0" w:color="000000"/>
              <w:right w:val="single" w:sz="4" w:space="0" w:color="000000"/>
            </w:tcBorders>
          </w:tcPr>
          <w:p w14:paraId="3E37D8B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9.0</w:t>
            </w:r>
          </w:p>
          <w:p w14:paraId="7F81178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31.4</w:t>
            </w:r>
          </w:p>
        </w:tc>
        <w:tc>
          <w:tcPr>
            <w:tcW w:w="1016" w:type="dxa"/>
            <w:tcBorders>
              <w:top w:val="nil"/>
              <w:left w:val="single" w:sz="4" w:space="0" w:color="000000"/>
              <w:bottom w:val="single" w:sz="4" w:space="0" w:color="000000"/>
              <w:right w:val="single" w:sz="4" w:space="0" w:color="000000"/>
            </w:tcBorders>
          </w:tcPr>
          <w:p w14:paraId="1670815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2.1</w:t>
            </w:r>
          </w:p>
          <w:p w14:paraId="751EC4A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6.9</w:t>
            </w:r>
          </w:p>
        </w:tc>
        <w:tc>
          <w:tcPr>
            <w:tcW w:w="1016" w:type="dxa"/>
            <w:tcBorders>
              <w:top w:val="nil"/>
              <w:left w:val="single" w:sz="4" w:space="0" w:color="000000"/>
              <w:bottom w:val="single" w:sz="4" w:space="0" w:color="000000"/>
              <w:right w:val="single" w:sz="4" w:space="0" w:color="000000"/>
            </w:tcBorders>
          </w:tcPr>
          <w:p w14:paraId="386A9FD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p w14:paraId="6D82FA42"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F576DE" w:rsidRPr="00F4557E" w14:paraId="5B8A9AF6" w14:textId="77777777" w:rsidTr="0059558F">
        <w:trPr>
          <w:trHeight w:val="281"/>
        </w:trPr>
        <w:tc>
          <w:tcPr>
            <w:tcW w:w="3227" w:type="dxa"/>
            <w:tcBorders>
              <w:top w:val="single" w:sz="4" w:space="0" w:color="000000"/>
              <w:left w:val="single" w:sz="6" w:space="0" w:color="000000"/>
              <w:bottom w:val="nil"/>
              <w:right w:val="single" w:sz="4" w:space="0" w:color="000000"/>
            </w:tcBorders>
          </w:tcPr>
          <w:p w14:paraId="084C6670" w14:textId="77777777" w:rsidR="00F576DE" w:rsidRPr="00596803" w:rsidRDefault="00F576DE" w:rsidP="00F4557E">
            <w:pPr>
              <w:pStyle w:val="BayerBodyTextFull"/>
              <w:spacing w:before="0" w:after="0"/>
              <w:rPr>
                <w:rFonts w:ascii="Arial" w:hAnsi="Arial" w:cs="Arial"/>
                <w:b/>
                <w:snapToGrid w:val="0"/>
                <w:sz w:val="22"/>
                <w:szCs w:val="22"/>
                <w:lang w:val="en-GB"/>
              </w:rPr>
            </w:pPr>
            <w:r w:rsidRPr="00596803">
              <w:rPr>
                <w:rFonts w:ascii="Arial" w:hAnsi="Arial" w:cs="Arial"/>
                <w:b/>
                <w:snapToGrid w:val="0"/>
                <w:sz w:val="22"/>
                <w:szCs w:val="22"/>
                <w:lang w:val="en-GB"/>
              </w:rPr>
              <w:t>Hepatobiliary disorders</w:t>
            </w:r>
          </w:p>
        </w:tc>
        <w:tc>
          <w:tcPr>
            <w:tcW w:w="1015" w:type="dxa"/>
            <w:tcBorders>
              <w:top w:val="single" w:sz="4" w:space="0" w:color="000000"/>
              <w:left w:val="single" w:sz="4" w:space="0" w:color="000000"/>
              <w:bottom w:val="nil"/>
              <w:right w:val="single" w:sz="4" w:space="0" w:color="000000"/>
            </w:tcBorders>
          </w:tcPr>
          <w:p w14:paraId="7602794D"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57F47C07"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5946F886"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12B920AC"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632720DA"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6F243823"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r>
      <w:tr w:rsidR="00F576DE" w:rsidRPr="00F4557E" w14:paraId="54D243CB" w14:textId="77777777" w:rsidTr="0059558F">
        <w:trPr>
          <w:trHeight w:val="328"/>
        </w:trPr>
        <w:tc>
          <w:tcPr>
            <w:tcW w:w="3227" w:type="dxa"/>
            <w:tcBorders>
              <w:top w:val="nil"/>
              <w:left w:val="single" w:sz="6" w:space="0" w:color="000000"/>
              <w:bottom w:val="nil"/>
              <w:right w:val="single" w:sz="4" w:space="0" w:color="000000"/>
            </w:tcBorders>
          </w:tcPr>
          <w:p w14:paraId="6F67C022" w14:textId="77777777" w:rsidR="00F576DE" w:rsidRPr="00F4557E" w:rsidDel="00072184"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Bilirubin increased </w:t>
            </w:r>
          </w:p>
        </w:tc>
        <w:tc>
          <w:tcPr>
            <w:tcW w:w="1015" w:type="dxa"/>
            <w:tcBorders>
              <w:top w:val="nil"/>
              <w:left w:val="single" w:sz="4" w:space="0" w:color="000000"/>
              <w:bottom w:val="nil"/>
              <w:right w:val="single" w:sz="4" w:space="0" w:color="000000"/>
            </w:tcBorders>
          </w:tcPr>
          <w:p w14:paraId="7A42C059"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78.2</w:t>
            </w:r>
          </w:p>
        </w:tc>
        <w:tc>
          <w:tcPr>
            <w:tcW w:w="1016" w:type="dxa"/>
            <w:tcBorders>
              <w:top w:val="nil"/>
              <w:left w:val="single" w:sz="4" w:space="0" w:color="000000"/>
              <w:bottom w:val="nil"/>
              <w:right w:val="single" w:sz="4" w:space="0" w:color="000000"/>
            </w:tcBorders>
          </w:tcPr>
          <w:p w14:paraId="6DDA1B0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12.9</w:t>
            </w:r>
          </w:p>
        </w:tc>
        <w:tc>
          <w:tcPr>
            <w:tcW w:w="1016" w:type="dxa"/>
            <w:tcBorders>
              <w:top w:val="nil"/>
              <w:left w:val="single" w:sz="4" w:space="0" w:color="000000"/>
              <w:bottom w:val="nil"/>
              <w:right w:val="single" w:sz="4" w:space="0" w:color="000000"/>
            </w:tcBorders>
          </w:tcPr>
          <w:p w14:paraId="634BCFC1"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3.0</w:t>
            </w:r>
          </w:p>
        </w:tc>
        <w:tc>
          <w:tcPr>
            <w:tcW w:w="1016" w:type="dxa"/>
            <w:tcBorders>
              <w:top w:val="nil"/>
              <w:left w:val="single" w:sz="4" w:space="0" w:color="000000"/>
              <w:bottom w:val="nil"/>
              <w:right w:val="single" w:sz="4" w:space="0" w:color="000000"/>
            </w:tcBorders>
          </w:tcPr>
          <w:p w14:paraId="6E6E14D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54.5</w:t>
            </w:r>
          </w:p>
        </w:tc>
        <w:tc>
          <w:tcPr>
            <w:tcW w:w="1016" w:type="dxa"/>
            <w:tcBorders>
              <w:top w:val="nil"/>
              <w:left w:val="single" w:sz="4" w:space="0" w:color="000000"/>
              <w:bottom w:val="nil"/>
              <w:right w:val="single" w:sz="4" w:space="0" w:color="000000"/>
            </w:tcBorders>
          </w:tcPr>
          <w:p w14:paraId="1021CA35"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11.0</w:t>
            </w:r>
          </w:p>
        </w:tc>
        <w:tc>
          <w:tcPr>
            <w:tcW w:w="1016" w:type="dxa"/>
            <w:tcBorders>
              <w:top w:val="nil"/>
              <w:left w:val="single" w:sz="4" w:space="0" w:color="000000"/>
              <w:bottom w:val="nil"/>
              <w:right w:val="single" w:sz="4" w:space="0" w:color="000000"/>
            </w:tcBorders>
          </w:tcPr>
          <w:p w14:paraId="7B5707C6"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4.7</w:t>
            </w:r>
          </w:p>
        </w:tc>
      </w:tr>
      <w:tr w:rsidR="00F576DE" w:rsidRPr="00F4557E" w14:paraId="71303E87" w14:textId="77777777" w:rsidTr="0059558F">
        <w:trPr>
          <w:trHeight w:val="281"/>
        </w:trPr>
        <w:tc>
          <w:tcPr>
            <w:tcW w:w="3227" w:type="dxa"/>
            <w:tcBorders>
              <w:top w:val="nil"/>
              <w:left w:val="single" w:sz="6" w:space="0" w:color="000000"/>
              <w:bottom w:val="nil"/>
              <w:right w:val="single" w:sz="4" w:space="0" w:color="000000"/>
            </w:tcBorders>
          </w:tcPr>
          <w:p w14:paraId="217FAF2B"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AST increased</w:t>
            </w:r>
          </w:p>
        </w:tc>
        <w:tc>
          <w:tcPr>
            <w:tcW w:w="1015" w:type="dxa"/>
            <w:tcBorders>
              <w:top w:val="nil"/>
              <w:left w:val="single" w:sz="4" w:space="0" w:color="000000"/>
              <w:bottom w:val="nil"/>
              <w:right w:val="single" w:sz="4" w:space="0" w:color="000000"/>
            </w:tcBorders>
          </w:tcPr>
          <w:p w14:paraId="3A6FD818"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92.7</w:t>
            </w:r>
          </w:p>
        </w:tc>
        <w:tc>
          <w:tcPr>
            <w:tcW w:w="1016" w:type="dxa"/>
            <w:tcBorders>
              <w:top w:val="nil"/>
              <w:left w:val="single" w:sz="4" w:space="0" w:color="000000"/>
              <w:bottom w:val="nil"/>
              <w:right w:val="single" w:sz="4" w:space="0" w:color="000000"/>
            </w:tcBorders>
          </w:tcPr>
          <w:p w14:paraId="6FC1D18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16.2</w:t>
            </w:r>
          </w:p>
        </w:tc>
        <w:tc>
          <w:tcPr>
            <w:tcW w:w="1016" w:type="dxa"/>
            <w:tcBorders>
              <w:top w:val="nil"/>
              <w:left w:val="single" w:sz="4" w:space="0" w:color="000000"/>
              <w:bottom w:val="nil"/>
              <w:right w:val="single" w:sz="4" w:space="0" w:color="000000"/>
            </w:tcBorders>
          </w:tcPr>
          <w:p w14:paraId="79902CD0"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1.6</w:t>
            </w:r>
          </w:p>
        </w:tc>
        <w:tc>
          <w:tcPr>
            <w:tcW w:w="1016" w:type="dxa"/>
            <w:tcBorders>
              <w:top w:val="nil"/>
              <w:left w:val="single" w:sz="4" w:space="0" w:color="000000"/>
              <w:bottom w:val="nil"/>
              <w:right w:val="single" w:sz="4" w:space="0" w:color="000000"/>
            </w:tcBorders>
          </w:tcPr>
          <w:p w14:paraId="2B1422AC"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84.3</w:t>
            </w:r>
          </w:p>
        </w:tc>
        <w:tc>
          <w:tcPr>
            <w:tcW w:w="1016" w:type="dxa"/>
            <w:tcBorders>
              <w:top w:val="nil"/>
              <w:left w:val="single" w:sz="4" w:space="0" w:color="000000"/>
              <w:bottom w:val="nil"/>
              <w:right w:val="single" w:sz="4" w:space="0" w:color="000000"/>
            </w:tcBorders>
          </w:tcPr>
          <w:p w14:paraId="3E82E4BF"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17.3</w:t>
            </w:r>
          </w:p>
        </w:tc>
        <w:tc>
          <w:tcPr>
            <w:tcW w:w="1016" w:type="dxa"/>
            <w:tcBorders>
              <w:top w:val="nil"/>
              <w:left w:val="single" w:sz="4" w:space="0" w:color="000000"/>
              <w:bottom w:val="nil"/>
              <w:right w:val="single" w:sz="4" w:space="0" w:color="000000"/>
            </w:tcBorders>
          </w:tcPr>
          <w:p w14:paraId="3E8E3912"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2.6</w:t>
            </w:r>
          </w:p>
        </w:tc>
      </w:tr>
      <w:tr w:rsidR="00F576DE" w:rsidRPr="00F4557E" w14:paraId="307C9E1D" w14:textId="77777777" w:rsidTr="0059558F">
        <w:trPr>
          <w:trHeight w:val="281"/>
        </w:trPr>
        <w:tc>
          <w:tcPr>
            <w:tcW w:w="3227" w:type="dxa"/>
            <w:tcBorders>
              <w:top w:val="nil"/>
              <w:left w:val="single" w:sz="6" w:space="0" w:color="000000"/>
              <w:bottom w:val="single" w:sz="4" w:space="0" w:color="000000"/>
              <w:right w:val="single" w:sz="4" w:space="0" w:color="000000"/>
            </w:tcBorders>
          </w:tcPr>
          <w:p w14:paraId="62DBBCD3"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ALT increased</w:t>
            </w:r>
          </w:p>
        </w:tc>
        <w:tc>
          <w:tcPr>
            <w:tcW w:w="1015" w:type="dxa"/>
            <w:tcBorders>
              <w:top w:val="nil"/>
              <w:left w:val="single" w:sz="4" w:space="0" w:color="000000"/>
              <w:bottom w:val="single" w:sz="4" w:space="0" w:color="000000"/>
              <w:right w:val="single" w:sz="4" w:space="0" w:color="000000"/>
            </w:tcBorders>
          </w:tcPr>
          <w:p w14:paraId="22E7C731"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70.4</w:t>
            </w:r>
          </w:p>
        </w:tc>
        <w:tc>
          <w:tcPr>
            <w:tcW w:w="1016" w:type="dxa"/>
            <w:tcBorders>
              <w:top w:val="nil"/>
              <w:left w:val="single" w:sz="4" w:space="0" w:color="000000"/>
              <w:bottom w:val="single" w:sz="4" w:space="0" w:color="000000"/>
              <w:right w:val="single" w:sz="4" w:space="0" w:color="000000"/>
            </w:tcBorders>
          </w:tcPr>
          <w:p w14:paraId="30D162C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5.7</w:t>
            </w:r>
          </w:p>
        </w:tc>
        <w:tc>
          <w:tcPr>
            <w:tcW w:w="1016" w:type="dxa"/>
            <w:tcBorders>
              <w:top w:val="nil"/>
              <w:left w:val="single" w:sz="4" w:space="0" w:color="000000"/>
              <w:bottom w:val="single" w:sz="4" w:space="0" w:color="000000"/>
              <w:right w:val="single" w:sz="4" w:space="0" w:color="000000"/>
            </w:tcBorders>
          </w:tcPr>
          <w:p w14:paraId="6BC7BDDD"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0.5</w:t>
            </w:r>
          </w:p>
        </w:tc>
        <w:tc>
          <w:tcPr>
            <w:tcW w:w="1016" w:type="dxa"/>
            <w:tcBorders>
              <w:top w:val="nil"/>
              <w:left w:val="single" w:sz="4" w:space="0" w:color="000000"/>
              <w:bottom w:val="single" w:sz="4" w:space="0" w:color="000000"/>
              <w:right w:val="single" w:sz="4" w:space="0" w:color="000000"/>
            </w:tcBorders>
          </w:tcPr>
          <w:p w14:paraId="68CBC95C"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58.6</w:t>
            </w:r>
          </w:p>
        </w:tc>
        <w:tc>
          <w:tcPr>
            <w:tcW w:w="1016" w:type="dxa"/>
            <w:tcBorders>
              <w:top w:val="nil"/>
              <w:left w:val="single" w:sz="4" w:space="0" w:color="000000"/>
              <w:bottom w:val="single" w:sz="4" w:space="0" w:color="000000"/>
              <w:right w:val="single" w:sz="4" w:space="0" w:color="000000"/>
            </w:tcBorders>
          </w:tcPr>
          <w:p w14:paraId="6CF8B4D9"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4.7</w:t>
            </w:r>
          </w:p>
        </w:tc>
        <w:tc>
          <w:tcPr>
            <w:tcW w:w="1016" w:type="dxa"/>
            <w:tcBorders>
              <w:top w:val="nil"/>
              <w:left w:val="single" w:sz="4" w:space="0" w:color="000000"/>
              <w:bottom w:val="single" w:sz="4" w:space="0" w:color="000000"/>
              <w:right w:val="single" w:sz="4" w:space="0" w:color="000000"/>
            </w:tcBorders>
          </w:tcPr>
          <w:p w14:paraId="1C3ECE4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w:t>
            </w:r>
          </w:p>
        </w:tc>
      </w:tr>
      <w:tr w:rsidR="00F576DE" w:rsidRPr="00F4557E" w14:paraId="1CD2505A" w14:textId="77777777" w:rsidTr="0059558F">
        <w:trPr>
          <w:trHeight w:val="318"/>
        </w:trPr>
        <w:tc>
          <w:tcPr>
            <w:tcW w:w="3227" w:type="dxa"/>
            <w:tcBorders>
              <w:top w:val="single" w:sz="4" w:space="0" w:color="000000"/>
              <w:left w:val="single" w:sz="6" w:space="0" w:color="000000"/>
              <w:bottom w:val="nil"/>
              <w:right w:val="single" w:sz="4" w:space="0" w:color="000000"/>
            </w:tcBorders>
          </w:tcPr>
          <w:p w14:paraId="37CA7EF9" w14:textId="77777777" w:rsidR="00F576DE" w:rsidRPr="00596803" w:rsidRDefault="00F576DE" w:rsidP="00F4557E">
            <w:pPr>
              <w:pStyle w:val="BayerBodyTextFull"/>
              <w:spacing w:before="0" w:after="0"/>
              <w:rPr>
                <w:rFonts w:ascii="Arial" w:hAnsi="Arial" w:cs="Arial"/>
                <w:b/>
                <w:snapToGrid w:val="0"/>
                <w:sz w:val="22"/>
                <w:szCs w:val="22"/>
                <w:lang w:val="en-GB"/>
              </w:rPr>
            </w:pPr>
            <w:r w:rsidRPr="00596803">
              <w:rPr>
                <w:rFonts w:ascii="Arial" w:hAnsi="Arial" w:cs="Arial"/>
                <w:b/>
                <w:snapToGrid w:val="0"/>
                <w:sz w:val="22"/>
                <w:szCs w:val="22"/>
                <w:lang w:val="en-GB"/>
              </w:rPr>
              <w:t xml:space="preserve">Renal and urinary disorders </w:t>
            </w:r>
          </w:p>
        </w:tc>
        <w:tc>
          <w:tcPr>
            <w:tcW w:w="1015" w:type="dxa"/>
            <w:tcBorders>
              <w:top w:val="single" w:sz="4" w:space="0" w:color="000000"/>
              <w:left w:val="single" w:sz="4" w:space="0" w:color="000000"/>
              <w:bottom w:val="nil"/>
              <w:right w:val="single" w:sz="4" w:space="0" w:color="000000"/>
            </w:tcBorders>
          </w:tcPr>
          <w:p w14:paraId="6E75F863"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3EC6D750"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6D3F00BC"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250C22FC"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5DA6EC98"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67CF7542"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r>
      <w:tr w:rsidR="00F576DE" w:rsidRPr="00F4557E" w14:paraId="5DD7AA8E" w14:textId="77777777" w:rsidTr="0059558F">
        <w:trPr>
          <w:trHeight w:val="315"/>
        </w:trPr>
        <w:tc>
          <w:tcPr>
            <w:tcW w:w="3227" w:type="dxa"/>
            <w:tcBorders>
              <w:top w:val="nil"/>
              <w:left w:val="single" w:sz="6" w:space="0" w:color="000000"/>
              <w:bottom w:val="single" w:sz="4" w:space="0" w:color="000000"/>
              <w:right w:val="single" w:sz="4" w:space="0" w:color="000000"/>
            </w:tcBorders>
          </w:tcPr>
          <w:p w14:paraId="4B614B56"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Proteinuria</w:t>
            </w:r>
          </w:p>
        </w:tc>
        <w:tc>
          <w:tcPr>
            <w:tcW w:w="1015" w:type="dxa"/>
            <w:tcBorders>
              <w:top w:val="nil"/>
              <w:left w:val="single" w:sz="4" w:space="0" w:color="000000"/>
              <w:bottom w:val="single" w:sz="4" w:space="0" w:color="000000"/>
              <w:right w:val="single" w:sz="4" w:space="0" w:color="000000"/>
            </w:tcBorders>
          </w:tcPr>
          <w:p w14:paraId="6E93F662" w14:textId="3E247131" w:rsidR="00F576DE" w:rsidRPr="00F4557E" w:rsidRDefault="002F0D90"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51.0</w:t>
            </w:r>
          </w:p>
        </w:tc>
        <w:tc>
          <w:tcPr>
            <w:tcW w:w="1016" w:type="dxa"/>
            <w:tcBorders>
              <w:top w:val="nil"/>
              <w:left w:val="single" w:sz="4" w:space="0" w:color="000000"/>
              <w:bottom w:val="single" w:sz="4" w:space="0" w:color="000000"/>
              <w:right w:val="single" w:sz="4" w:space="0" w:color="000000"/>
            </w:tcBorders>
          </w:tcPr>
          <w:p w14:paraId="3D600D21"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16.7</w:t>
            </w:r>
          </w:p>
        </w:tc>
        <w:tc>
          <w:tcPr>
            <w:tcW w:w="1016" w:type="dxa"/>
            <w:tcBorders>
              <w:top w:val="nil"/>
              <w:left w:val="single" w:sz="4" w:space="0" w:color="000000"/>
              <w:bottom w:val="single" w:sz="4" w:space="0" w:color="000000"/>
              <w:right w:val="single" w:sz="4" w:space="0" w:color="000000"/>
            </w:tcBorders>
          </w:tcPr>
          <w:p w14:paraId="28E48AAC"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c>
          <w:tcPr>
            <w:tcW w:w="1016" w:type="dxa"/>
            <w:tcBorders>
              <w:top w:val="nil"/>
              <w:left w:val="single" w:sz="4" w:space="0" w:color="000000"/>
              <w:bottom w:val="single" w:sz="4" w:space="0" w:color="000000"/>
              <w:right w:val="single" w:sz="4" w:space="0" w:color="000000"/>
            </w:tcBorders>
          </w:tcPr>
          <w:p w14:paraId="62A8C099" w14:textId="171730B5"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36.</w:t>
            </w:r>
            <w:r w:rsidR="002F0D90" w:rsidRPr="00F4557E">
              <w:rPr>
                <w:rFonts w:ascii="Arial" w:hAnsi="Arial" w:cs="Arial"/>
                <w:snapToGrid w:val="0"/>
                <w:sz w:val="22"/>
                <w:szCs w:val="22"/>
                <w:lang w:val="en-GB"/>
              </w:rPr>
              <w:t>5</w:t>
            </w:r>
          </w:p>
        </w:tc>
        <w:tc>
          <w:tcPr>
            <w:tcW w:w="1016" w:type="dxa"/>
            <w:tcBorders>
              <w:top w:val="nil"/>
              <w:left w:val="single" w:sz="4" w:space="0" w:color="000000"/>
              <w:bottom w:val="single" w:sz="4" w:space="0" w:color="000000"/>
              <w:right w:val="single" w:sz="4" w:space="0" w:color="000000"/>
            </w:tcBorders>
          </w:tcPr>
          <w:p w14:paraId="7EF19ECC" w14:textId="6FB4434D"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w:t>
            </w:r>
            <w:r w:rsidR="002F0D90" w:rsidRPr="00F4557E">
              <w:rPr>
                <w:rFonts w:ascii="Arial" w:hAnsi="Arial" w:cs="Arial"/>
                <w:snapToGrid w:val="0"/>
                <w:sz w:val="22"/>
                <w:szCs w:val="22"/>
                <w:lang w:val="en-GB"/>
              </w:rPr>
              <w:t>1</w:t>
            </w:r>
          </w:p>
        </w:tc>
        <w:tc>
          <w:tcPr>
            <w:tcW w:w="1016" w:type="dxa"/>
            <w:tcBorders>
              <w:top w:val="nil"/>
              <w:left w:val="single" w:sz="4" w:space="0" w:color="000000"/>
              <w:bottom w:val="single" w:sz="4" w:space="0" w:color="000000"/>
              <w:right w:val="single" w:sz="4" w:space="0" w:color="000000"/>
            </w:tcBorders>
          </w:tcPr>
          <w:p w14:paraId="1665E38F"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r>
      <w:tr w:rsidR="00F576DE" w:rsidRPr="00F4557E" w14:paraId="17402441" w14:textId="77777777" w:rsidTr="0059558F">
        <w:trPr>
          <w:trHeight w:val="309"/>
        </w:trPr>
        <w:tc>
          <w:tcPr>
            <w:tcW w:w="3227" w:type="dxa"/>
            <w:tcBorders>
              <w:top w:val="single" w:sz="4" w:space="0" w:color="000000"/>
              <w:left w:val="single" w:sz="6" w:space="0" w:color="000000"/>
              <w:bottom w:val="nil"/>
              <w:right w:val="single" w:sz="4" w:space="0" w:color="000000"/>
            </w:tcBorders>
          </w:tcPr>
          <w:p w14:paraId="35B6FFF9" w14:textId="77777777" w:rsidR="00F576DE" w:rsidRPr="00596803" w:rsidRDefault="00F576DE" w:rsidP="00F4557E">
            <w:pPr>
              <w:pStyle w:val="BayerBodyTextFull"/>
              <w:spacing w:before="0" w:after="0"/>
              <w:rPr>
                <w:rFonts w:ascii="Arial" w:hAnsi="Arial" w:cs="Arial"/>
                <w:b/>
                <w:snapToGrid w:val="0"/>
                <w:sz w:val="22"/>
                <w:szCs w:val="22"/>
                <w:lang w:val="en-GB"/>
              </w:rPr>
            </w:pPr>
            <w:r w:rsidRPr="00596803">
              <w:rPr>
                <w:rFonts w:ascii="Arial" w:hAnsi="Arial" w:cs="Arial"/>
                <w:b/>
                <w:snapToGrid w:val="0"/>
                <w:sz w:val="22"/>
                <w:szCs w:val="22"/>
                <w:lang w:val="en-GB"/>
              </w:rPr>
              <w:t xml:space="preserve">Investigations </w:t>
            </w:r>
          </w:p>
        </w:tc>
        <w:tc>
          <w:tcPr>
            <w:tcW w:w="1015" w:type="dxa"/>
            <w:tcBorders>
              <w:top w:val="single" w:sz="4" w:space="0" w:color="000000"/>
              <w:left w:val="single" w:sz="4" w:space="0" w:color="000000"/>
              <w:bottom w:val="nil"/>
              <w:right w:val="single" w:sz="4" w:space="0" w:color="000000"/>
            </w:tcBorders>
          </w:tcPr>
          <w:p w14:paraId="4886CCFF"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76732ECC"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3BD731FC"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49A55D59"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67FB0023"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c>
          <w:tcPr>
            <w:tcW w:w="1016" w:type="dxa"/>
            <w:tcBorders>
              <w:top w:val="single" w:sz="4" w:space="0" w:color="000000"/>
              <w:left w:val="single" w:sz="4" w:space="0" w:color="000000"/>
              <w:bottom w:val="nil"/>
              <w:right w:val="single" w:sz="4" w:space="0" w:color="000000"/>
            </w:tcBorders>
          </w:tcPr>
          <w:p w14:paraId="234132A2" w14:textId="77777777" w:rsidR="00F576DE" w:rsidRPr="00F4557E" w:rsidRDefault="00F576DE" w:rsidP="001578C7">
            <w:pPr>
              <w:pStyle w:val="BayerBodyTextFull"/>
              <w:spacing w:before="0" w:after="0"/>
              <w:jc w:val="center"/>
              <w:rPr>
                <w:rFonts w:ascii="Arial" w:hAnsi="Arial" w:cs="Arial"/>
                <w:snapToGrid w:val="0"/>
                <w:sz w:val="22"/>
                <w:szCs w:val="22"/>
                <w:lang w:val="en-GB"/>
              </w:rPr>
            </w:pPr>
          </w:p>
        </w:tc>
      </w:tr>
      <w:tr w:rsidR="00F576DE" w:rsidRPr="00F4557E" w14:paraId="4F260158" w14:textId="77777777" w:rsidTr="0059558F">
        <w:trPr>
          <w:trHeight w:val="281"/>
        </w:trPr>
        <w:tc>
          <w:tcPr>
            <w:tcW w:w="3227" w:type="dxa"/>
            <w:tcBorders>
              <w:top w:val="nil"/>
              <w:left w:val="single" w:sz="6" w:space="0" w:color="000000"/>
              <w:bottom w:val="nil"/>
              <w:right w:val="single" w:sz="4" w:space="0" w:color="000000"/>
            </w:tcBorders>
          </w:tcPr>
          <w:p w14:paraId="12BB9C52"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INR increased** </w:t>
            </w:r>
          </w:p>
        </w:tc>
        <w:tc>
          <w:tcPr>
            <w:tcW w:w="1015" w:type="dxa"/>
            <w:tcBorders>
              <w:top w:val="nil"/>
              <w:left w:val="single" w:sz="4" w:space="0" w:color="000000"/>
              <w:bottom w:val="nil"/>
              <w:right w:val="single" w:sz="4" w:space="0" w:color="000000"/>
            </w:tcBorders>
          </w:tcPr>
          <w:p w14:paraId="4268ACF0" w14:textId="7186DFF9"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44.</w:t>
            </w:r>
            <w:r w:rsidR="002F0D90" w:rsidRPr="00F4557E">
              <w:rPr>
                <w:rFonts w:ascii="Arial" w:hAnsi="Arial" w:cs="Arial"/>
                <w:snapToGrid w:val="0"/>
                <w:sz w:val="22"/>
                <w:szCs w:val="22"/>
                <w:lang w:val="en-GB"/>
              </w:rPr>
              <w:t>4</w:t>
            </w:r>
          </w:p>
        </w:tc>
        <w:tc>
          <w:tcPr>
            <w:tcW w:w="1016" w:type="dxa"/>
            <w:tcBorders>
              <w:top w:val="nil"/>
              <w:left w:val="single" w:sz="4" w:space="0" w:color="000000"/>
              <w:bottom w:val="nil"/>
              <w:right w:val="single" w:sz="4" w:space="0" w:color="000000"/>
            </w:tcBorders>
          </w:tcPr>
          <w:p w14:paraId="44BF410A"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0.7</w:t>
            </w:r>
          </w:p>
        </w:tc>
        <w:tc>
          <w:tcPr>
            <w:tcW w:w="1016" w:type="dxa"/>
            <w:tcBorders>
              <w:top w:val="nil"/>
              <w:left w:val="single" w:sz="4" w:space="0" w:color="000000"/>
              <w:bottom w:val="nil"/>
              <w:right w:val="single" w:sz="4" w:space="0" w:color="000000"/>
            </w:tcBorders>
          </w:tcPr>
          <w:p w14:paraId="782EEBE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c>
          <w:tcPr>
            <w:tcW w:w="1016" w:type="dxa"/>
            <w:tcBorders>
              <w:top w:val="nil"/>
              <w:left w:val="single" w:sz="4" w:space="0" w:color="000000"/>
              <w:bottom w:val="nil"/>
              <w:right w:val="single" w:sz="4" w:space="0" w:color="000000"/>
            </w:tcBorders>
          </w:tcPr>
          <w:p w14:paraId="3B1D03DD"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35.4</w:t>
            </w:r>
          </w:p>
        </w:tc>
        <w:tc>
          <w:tcPr>
            <w:tcW w:w="1016" w:type="dxa"/>
            <w:tcBorders>
              <w:top w:val="nil"/>
              <w:left w:val="single" w:sz="4" w:space="0" w:color="000000"/>
              <w:bottom w:val="nil"/>
              <w:right w:val="single" w:sz="4" w:space="0" w:color="000000"/>
            </w:tcBorders>
          </w:tcPr>
          <w:p w14:paraId="632A145E"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2.1</w:t>
            </w:r>
          </w:p>
        </w:tc>
        <w:tc>
          <w:tcPr>
            <w:tcW w:w="1016" w:type="dxa"/>
            <w:tcBorders>
              <w:top w:val="nil"/>
              <w:left w:val="single" w:sz="4" w:space="0" w:color="000000"/>
              <w:bottom w:val="nil"/>
              <w:right w:val="single" w:sz="4" w:space="0" w:color="000000"/>
            </w:tcBorders>
          </w:tcPr>
          <w:p w14:paraId="605C473E"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w:t>
            </w:r>
          </w:p>
        </w:tc>
      </w:tr>
      <w:tr w:rsidR="00F576DE" w:rsidRPr="00F4557E" w14:paraId="3EA2528D" w14:textId="77777777" w:rsidTr="0059558F">
        <w:trPr>
          <w:trHeight w:val="281"/>
        </w:trPr>
        <w:tc>
          <w:tcPr>
            <w:tcW w:w="3227" w:type="dxa"/>
            <w:tcBorders>
              <w:top w:val="nil"/>
              <w:left w:val="single" w:sz="6" w:space="0" w:color="000000"/>
              <w:bottom w:val="nil"/>
              <w:right w:val="single" w:sz="4" w:space="0" w:color="000000"/>
            </w:tcBorders>
          </w:tcPr>
          <w:p w14:paraId="000E756C"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Lipase increased </w:t>
            </w:r>
          </w:p>
        </w:tc>
        <w:tc>
          <w:tcPr>
            <w:tcW w:w="1015" w:type="dxa"/>
            <w:tcBorders>
              <w:top w:val="nil"/>
              <w:left w:val="single" w:sz="4" w:space="0" w:color="000000"/>
              <w:bottom w:val="nil"/>
              <w:right w:val="single" w:sz="4" w:space="0" w:color="000000"/>
            </w:tcBorders>
          </w:tcPr>
          <w:p w14:paraId="45BB6BA7"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40.5</w:t>
            </w:r>
          </w:p>
        </w:tc>
        <w:tc>
          <w:tcPr>
            <w:tcW w:w="1016" w:type="dxa"/>
            <w:tcBorders>
              <w:top w:val="nil"/>
              <w:left w:val="single" w:sz="4" w:space="0" w:color="000000"/>
              <w:bottom w:val="nil"/>
              <w:right w:val="single" w:sz="4" w:space="0" w:color="000000"/>
            </w:tcBorders>
          </w:tcPr>
          <w:p w14:paraId="421DC115"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11.2</w:t>
            </w:r>
          </w:p>
        </w:tc>
        <w:tc>
          <w:tcPr>
            <w:tcW w:w="1016" w:type="dxa"/>
            <w:tcBorders>
              <w:top w:val="nil"/>
              <w:left w:val="single" w:sz="4" w:space="0" w:color="000000"/>
              <w:bottom w:val="nil"/>
              <w:right w:val="single" w:sz="4" w:space="0" w:color="000000"/>
            </w:tcBorders>
          </w:tcPr>
          <w:p w14:paraId="0A851AD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3.0</w:t>
            </w:r>
          </w:p>
        </w:tc>
        <w:tc>
          <w:tcPr>
            <w:tcW w:w="1016" w:type="dxa"/>
            <w:tcBorders>
              <w:top w:val="nil"/>
              <w:left w:val="single" w:sz="4" w:space="0" w:color="000000"/>
              <w:bottom w:val="nil"/>
              <w:right w:val="single" w:sz="4" w:space="0" w:color="000000"/>
            </w:tcBorders>
          </w:tcPr>
          <w:p w14:paraId="2F62BC1D"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27.0</w:t>
            </w:r>
          </w:p>
        </w:tc>
        <w:tc>
          <w:tcPr>
            <w:tcW w:w="1016" w:type="dxa"/>
            <w:tcBorders>
              <w:top w:val="nil"/>
              <w:left w:val="single" w:sz="4" w:space="0" w:color="000000"/>
              <w:bottom w:val="nil"/>
              <w:right w:val="single" w:sz="4" w:space="0" w:color="000000"/>
            </w:tcBorders>
          </w:tcPr>
          <w:p w14:paraId="79D7657F"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7.6</w:t>
            </w:r>
          </w:p>
        </w:tc>
        <w:tc>
          <w:tcPr>
            <w:tcW w:w="1016" w:type="dxa"/>
            <w:tcBorders>
              <w:top w:val="nil"/>
              <w:left w:val="single" w:sz="4" w:space="0" w:color="000000"/>
              <w:bottom w:val="nil"/>
              <w:right w:val="single" w:sz="4" w:space="0" w:color="000000"/>
            </w:tcBorders>
          </w:tcPr>
          <w:p w14:paraId="575DA57B"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1.1</w:t>
            </w:r>
          </w:p>
        </w:tc>
      </w:tr>
      <w:tr w:rsidR="00F576DE" w:rsidRPr="00F4557E" w14:paraId="7DCA1513" w14:textId="77777777" w:rsidTr="0059558F">
        <w:trPr>
          <w:trHeight w:val="281"/>
        </w:trPr>
        <w:tc>
          <w:tcPr>
            <w:tcW w:w="3227" w:type="dxa"/>
            <w:tcBorders>
              <w:top w:val="nil"/>
              <w:left w:val="single" w:sz="6" w:space="0" w:color="000000"/>
              <w:bottom w:val="single" w:sz="4" w:space="0" w:color="auto"/>
              <w:right w:val="single" w:sz="4" w:space="0" w:color="000000"/>
            </w:tcBorders>
          </w:tcPr>
          <w:p w14:paraId="7445B027" w14:textId="77777777" w:rsidR="00F576DE" w:rsidRPr="00F4557E" w:rsidRDefault="00F576DE"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Amylase increased</w:t>
            </w:r>
          </w:p>
        </w:tc>
        <w:tc>
          <w:tcPr>
            <w:tcW w:w="1015" w:type="dxa"/>
            <w:tcBorders>
              <w:top w:val="nil"/>
              <w:left w:val="single" w:sz="4" w:space="0" w:color="000000"/>
              <w:bottom w:val="single" w:sz="4" w:space="0" w:color="auto"/>
              <w:right w:val="single" w:sz="4" w:space="0" w:color="000000"/>
            </w:tcBorders>
          </w:tcPr>
          <w:p w14:paraId="3083CC91"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23.0</w:t>
            </w:r>
          </w:p>
        </w:tc>
        <w:tc>
          <w:tcPr>
            <w:tcW w:w="1016" w:type="dxa"/>
            <w:tcBorders>
              <w:top w:val="nil"/>
              <w:left w:val="single" w:sz="4" w:space="0" w:color="000000"/>
              <w:bottom w:val="single" w:sz="4" w:space="0" w:color="auto"/>
              <w:right w:val="single" w:sz="4" w:space="0" w:color="000000"/>
            </w:tcBorders>
          </w:tcPr>
          <w:p w14:paraId="4B4BAF04"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2.5</w:t>
            </w:r>
          </w:p>
        </w:tc>
        <w:tc>
          <w:tcPr>
            <w:tcW w:w="1016" w:type="dxa"/>
            <w:tcBorders>
              <w:top w:val="nil"/>
              <w:left w:val="single" w:sz="4" w:space="0" w:color="000000"/>
              <w:bottom w:val="single" w:sz="4" w:space="0" w:color="auto"/>
              <w:right w:val="single" w:sz="4" w:space="0" w:color="000000"/>
            </w:tcBorders>
          </w:tcPr>
          <w:p w14:paraId="31860C36"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0.3</w:t>
            </w:r>
          </w:p>
        </w:tc>
        <w:tc>
          <w:tcPr>
            <w:tcW w:w="1016" w:type="dxa"/>
            <w:tcBorders>
              <w:top w:val="nil"/>
              <w:left w:val="single" w:sz="4" w:space="0" w:color="000000"/>
              <w:bottom w:val="single" w:sz="4" w:space="0" w:color="auto"/>
              <w:right w:val="single" w:sz="4" w:space="0" w:color="000000"/>
            </w:tcBorders>
          </w:tcPr>
          <w:p w14:paraId="7E8F52B3"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19.0</w:t>
            </w:r>
          </w:p>
        </w:tc>
        <w:tc>
          <w:tcPr>
            <w:tcW w:w="1016" w:type="dxa"/>
            <w:tcBorders>
              <w:top w:val="nil"/>
              <w:left w:val="single" w:sz="4" w:space="0" w:color="000000"/>
              <w:bottom w:val="single" w:sz="4" w:space="0" w:color="auto"/>
              <w:right w:val="single" w:sz="4" w:space="0" w:color="000000"/>
            </w:tcBorders>
          </w:tcPr>
          <w:p w14:paraId="5B648A1F"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2.2</w:t>
            </w:r>
          </w:p>
        </w:tc>
        <w:tc>
          <w:tcPr>
            <w:tcW w:w="1016" w:type="dxa"/>
            <w:tcBorders>
              <w:top w:val="nil"/>
              <w:left w:val="single" w:sz="4" w:space="0" w:color="000000"/>
              <w:bottom w:val="single" w:sz="4" w:space="0" w:color="auto"/>
              <w:right w:val="single" w:sz="4" w:space="0" w:color="000000"/>
            </w:tcBorders>
          </w:tcPr>
          <w:p w14:paraId="3B13B316" w14:textId="77777777" w:rsidR="00F576DE" w:rsidRPr="00F4557E" w:rsidRDefault="00F576DE" w:rsidP="001578C7">
            <w:pPr>
              <w:pStyle w:val="BayerBodyTextFull"/>
              <w:spacing w:before="0" w:after="0"/>
              <w:jc w:val="center"/>
              <w:rPr>
                <w:rFonts w:ascii="Arial" w:hAnsi="Arial" w:cs="Arial"/>
                <w:snapToGrid w:val="0"/>
                <w:sz w:val="22"/>
                <w:szCs w:val="22"/>
                <w:lang w:val="en-GB"/>
              </w:rPr>
            </w:pPr>
            <w:r w:rsidRPr="00F4557E">
              <w:rPr>
                <w:rFonts w:ascii="Arial" w:hAnsi="Arial" w:cs="Arial"/>
                <w:snapToGrid w:val="0"/>
                <w:sz w:val="22"/>
                <w:szCs w:val="22"/>
                <w:lang w:val="en-GB"/>
              </w:rPr>
              <w:t>0.5</w:t>
            </w:r>
          </w:p>
        </w:tc>
      </w:tr>
    </w:tbl>
    <w:p w14:paraId="4C97820C" w14:textId="77777777" w:rsidR="00F576DE" w:rsidRPr="00C61DE1" w:rsidRDefault="00F576DE" w:rsidP="00C61DE1">
      <w:pPr>
        <w:spacing w:before="120"/>
        <w:rPr>
          <w:rFonts w:ascii="Arial" w:hAnsi="Arial" w:cs="Arial"/>
          <w:noProof/>
          <w:sz w:val="20"/>
          <w:szCs w:val="20"/>
        </w:rPr>
      </w:pPr>
      <w:r w:rsidRPr="00C61DE1">
        <w:rPr>
          <w:rFonts w:ascii="Arial" w:hAnsi="Arial" w:cs="Arial"/>
          <w:noProof/>
          <w:sz w:val="20"/>
          <w:szCs w:val="20"/>
        </w:rPr>
        <w:t>§</w:t>
      </w:r>
      <w:r w:rsidRPr="00C61DE1">
        <w:rPr>
          <w:rFonts w:ascii="Arial" w:hAnsi="Arial" w:cs="Arial"/>
          <w:noProof/>
          <w:sz w:val="20"/>
          <w:szCs w:val="20"/>
        </w:rPr>
        <w:tab/>
        <w:t>Best Supportive Care</w:t>
      </w:r>
    </w:p>
    <w:p w14:paraId="6B64E1D8" w14:textId="77777777" w:rsidR="00F576DE" w:rsidRPr="00C61DE1" w:rsidRDefault="00F576DE" w:rsidP="00C61DE1">
      <w:pPr>
        <w:spacing w:before="120"/>
        <w:contextualSpacing/>
        <w:rPr>
          <w:rFonts w:ascii="Arial" w:hAnsi="Arial" w:cs="Arial"/>
          <w:noProof/>
          <w:sz w:val="20"/>
          <w:szCs w:val="20"/>
        </w:rPr>
      </w:pPr>
      <w:r w:rsidRPr="00C61DE1">
        <w:rPr>
          <w:rFonts w:ascii="Arial" w:hAnsi="Arial" w:cs="Arial"/>
          <w:noProof/>
          <w:sz w:val="20"/>
          <w:szCs w:val="20"/>
        </w:rPr>
        <w:t xml:space="preserve">* </w:t>
      </w:r>
      <w:r w:rsidRPr="00C61DE1">
        <w:rPr>
          <w:rFonts w:ascii="Arial" w:hAnsi="Arial" w:cs="Arial"/>
          <w:noProof/>
          <w:sz w:val="20"/>
          <w:szCs w:val="20"/>
        </w:rPr>
        <w:tab/>
        <w:t xml:space="preserve">Common Terminology Criteria for Adverse Events (CTCAE), Version 4.0 </w:t>
      </w:r>
    </w:p>
    <w:p w14:paraId="1839135B" w14:textId="77777777" w:rsidR="00F576DE" w:rsidRPr="00C61DE1" w:rsidRDefault="00F576DE" w:rsidP="00C61DE1">
      <w:pPr>
        <w:spacing w:before="120"/>
        <w:contextualSpacing/>
        <w:rPr>
          <w:rFonts w:ascii="Arial" w:hAnsi="Arial" w:cs="Arial"/>
          <w:noProof/>
          <w:sz w:val="20"/>
          <w:szCs w:val="20"/>
        </w:rPr>
      </w:pPr>
      <w:r w:rsidRPr="00C61DE1">
        <w:rPr>
          <w:rFonts w:ascii="Arial" w:hAnsi="Arial" w:cs="Arial"/>
          <w:noProof/>
          <w:sz w:val="20"/>
          <w:szCs w:val="20"/>
        </w:rPr>
        <w:t xml:space="preserve">** </w:t>
      </w:r>
      <w:r w:rsidRPr="00C61DE1">
        <w:rPr>
          <w:rFonts w:ascii="Arial" w:hAnsi="Arial" w:cs="Arial"/>
          <w:noProof/>
          <w:sz w:val="20"/>
          <w:szCs w:val="20"/>
        </w:rPr>
        <w:tab/>
        <w:t>International normalized ratio</w:t>
      </w:r>
    </w:p>
    <w:p w14:paraId="60A85582" w14:textId="77777777" w:rsidR="00F576DE" w:rsidRPr="00C61DE1" w:rsidRDefault="00F576DE" w:rsidP="00C61DE1">
      <w:pPr>
        <w:spacing w:before="120"/>
        <w:contextualSpacing/>
        <w:rPr>
          <w:rFonts w:ascii="Arial" w:hAnsi="Arial" w:cs="Arial"/>
          <w:noProof/>
          <w:sz w:val="20"/>
          <w:szCs w:val="20"/>
        </w:rPr>
      </w:pPr>
      <w:r w:rsidRPr="00C61DE1">
        <w:rPr>
          <w:rFonts w:ascii="Arial" w:hAnsi="Arial" w:cs="Arial"/>
          <w:noProof/>
          <w:sz w:val="20"/>
          <w:szCs w:val="20"/>
        </w:rPr>
        <w:t>-</w:t>
      </w:r>
      <w:r w:rsidRPr="00C61DE1">
        <w:rPr>
          <w:rFonts w:ascii="Arial" w:hAnsi="Arial" w:cs="Arial"/>
          <w:noProof/>
          <w:sz w:val="20"/>
          <w:szCs w:val="20"/>
        </w:rPr>
        <w:tab/>
        <w:t>No Grade 4 (laboratory threshold value) denoted in CTCAE, Version 4.0</w:t>
      </w:r>
    </w:p>
    <w:p w14:paraId="712C2B7B" w14:textId="77777777" w:rsidR="00A83092" w:rsidRPr="00C61DE1" w:rsidRDefault="00A83092" w:rsidP="00C61DE1">
      <w:pPr>
        <w:pStyle w:val="Heading2"/>
        <w:spacing w:after="240"/>
        <w:rPr>
          <w:rFonts w:ascii="Arial" w:eastAsia="PMingLiU" w:hAnsi="Arial" w:cs="Arial"/>
          <w:i/>
          <w:color w:val="000000"/>
          <w:sz w:val="22"/>
          <w:szCs w:val="22"/>
          <w:lang w:eastAsia="zh-TW"/>
        </w:rPr>
      </w:pPr>
      <w:r w:rsidRPr="00C61DE1">
        <w:rPr>
          <w:rFonts w:ascii="Arial" w:eastAsia="PMingLiU" w:hAnsi="Arial" w:cs="Arial"/>
          <w:i/>
          <w:color w:val="000000"/>
          <w:sz w:val="22"/>
          <w:szCs w:val="22"/>
          <w:lang w:eastAsia="zh-TW"/>
        </w:rPr>
        <w:t xml:space="preserve">Clinical Trials experience – Other </w:t>
      </w:r>
    </w:p>
    <w:p w14:paraId="712C2B7C" w14:textId="4BC61E8C" w:rsidR="00A83092" w:rsidRPr="00F4557E" w:rsidRDefault="00A83092"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Other adverse reactions were observed in patients treated with </w:t>
      </w:r>
      <w:r w:rsidR="00601DFC" w:rsidRPr="00F4557E">
        <w:rPr>
          <w:rFonts w:ascii="Arial" w:hAnsi="Arial" w:cs="Arial"/>
          <w:snapToGrid w:val="0"/>
          <w:sz w:val="22"/>
          <w:szCs w:val="22"/>
          <w:lang w:val="en-GB"/>
        </w:rPr>
        <w:t>STIVARGA</w:t>
      </w:r>
      <w:r w:rsidR="005B16AA" w:rsidRPr="00F4557E">
        <w:rPr>
          <w:rFonts w:ascii="Arial" w:hAnsi="Arial" w:cs="Arial"/>
          <w:snapToGrid w:val="0"/>
          <w:sz w:val="22"/>
          <w:szCs w:val="22"/>
          <w:lang w:val="en-GB"/>
        </w:rPr>
        <w:t xml:space="preserve"> </w:t>
      </w:r>
      <w:r w:rsidRPr="00F4557E">
        <w:rPr>
          <w:rFonts w:ascii="Arial" w:hAnsi="Arial" w:cs="Arial"/>
          <w:snapToGrid w:val="0"/>
          <w:sz w:val="22"/>
          <w:szCs w:val="22"/>
          <w:lang w:val="en-GB"/>
        </w:rPr>
        <w:t>in open-label or placebo-controlled clinical trials: gastrointestinal perforation* (0.</w:t>
      </w:r>
      <w:r w:rsidR="00233D33" w:rsidRPr="00F4557E">
        <w:rPr>
          <w:rFonts w:ascii="Arial" w:hAnsi="Arial" w:cs="Arial"/>
          <w:snapToGrid w:val="0"/>
          <w:sz w:val="22"/>
          <w:szCs w:val="22"/>
          <w:lang w:val="en-GB"/>
        </w:rPr>
        <w:t>58</w:t>
      </w:r>
      <w:r w:rsidRPr="00F4557E">
        <w:rPr>
          <w:rFonts w:ascii="Arial" w:hAnsi="Arial" w:cs="Arial"/>
          <w:snapToGrid w:val="0"/>
          <w:sz w:val="22"/>
          <w:szCs w:val="22"/>
          <w:lang w:val="en-GB"/>
        </w:rPr>
        <w:t>%), severe liver injury*¥ (0.</w:t>
      </w:r>
      <w:r w:rsidR="00233D33" w:rsidRPr="00F4557E">
        <w:rPr>
          <w:rFonts w:ascii="Arial" w:hAnsi="Arial" w:cs="Arial"/>
          <w:snapToGrid w:val="0"/>
          <w:sz w:val="22"/>
          <w:szCs w:val="22"/>
          <w:lang w:val="en-GB"/>
        </w:rPr>
        <w:t>25</w:t>
      </w:r>
      <w:r w:rsidRPr="00F4557E">
        <w:rPr>
          <w:rFonts w:ascii="Arial" w:hAnsi="Arial" w:cs="Arial"/>
          <w:snapToGrid w:val="0"/>
          <w:sz w:val="22"/>
          <w:szCs w:val="22"/>
          <w:lang w:val="en-GB"/>
        </w:rPr>
        <w:t>%), hypertensive crisis (0.2</w:t>
      </w:r>
      <w:r w:rsidR="00233D33" w:rsidRPr="00F4557E">
        <w:rPr>
          <w:rFonts w:ascii="Arial" w:hAnsi="Arial" w:cs="Arial"/>
          <w:snapToGrid w:val="0"/>
          <w:sz w:val="22"/>
          <w:szCs w:val="22"/>
          <w:lang w:val="en-GB"/>
        </w:rPr>
        <w:t>5</w:t>
      </w:r>
      <w:r w:rsidRPr="00F4557E">
        <w:rPr>
          <w:rFonts w:ascii="Arial" w:hAnsi="Arial" w:cs="Arial"/>
          <w:snapToGrid w:val="0"/>
          <w:sz w:val="22"/>
          <w:szCs w:val="22"/>
          <w:lang w:val="en-GB"/>
        </w:rPr>
        <w:t xml:space="preserve">%), </w:t>
      </w:r>
      <w:r w:rsidR="00233D33" w:rsidRPr="00F4557E">
        <w:rPr>
          <w:rFonts w:ascii="Arial" w:hAnsi="Arial" w:cs="Arial"/>
          <w:snapToGrid w:val="0"/>
          <w:sz w:val="22"/>
          <w:szCs w:val="22"/>
          <w:lang w:val="en-GB"/>
        </w:rPr>
        <w:t>hypersensitivity reaction (0.</w:t>
      </w:r>
      <w:r w:rsidR="00642F10" w:rsidRPr="00F4557E">
        <w:rPr>
          <w:rFonts w:ascii="Arial" w:hAnsi="Arial" w:cs="Arial"/>
          <w:snapToGrid w:val="0"/>
          <w:sz w:val="22"/>
          <w:szCs w:val="22"/>
          <w:lang w:val="en-GB"/>
        </w:rPr>
        <w:t>44</w:t>
      </w:r>
      <w:r w:rsidR="00233D33" w:rsidRPr="00F4557E">
        <w:rPr>
          <w:rFonts w:ascii="Arial" w:hAnsi="Arial" w:cs="Arial"/>
          <w:snapToGrid w:val="0"/>
          <w:sz w:val="22"/>
          <w:szCs w:val="22"/>
          <w:lang w:val="en-GB"/>
        </w:rPr>
        <w:t xml:space="preserve">%), </w:t>
      </w:r>
      <w:r w:rsidRPr="00F4557E">
        <w:rPr>
          <w:rFonts w:ascii="Arial" w:hAnsi="Arial" w:cs="Arial"/>
          <w:snapToGrid w:val="0"/>
          <w:sz w:val="22"/>
          <w:szCs w:val="22"/>
          <w:lang w:val="en-GB"/>
        </w:rPr>
        <w:t>toxic epidermal necrolysis (TEN) (0.</w:t>
      </w:r>
      <w:r w:rsidR="00642F10" w:rsidRPr="00F4557E">
        <w:rPr>
          <w:rFonts w:ascii="Arial" w:hAnsi="Arial" w:cs="Arial"/>
          <w:snapToGrid w:val="0"/>
          <w:sz w:val="22"/>
          <w:szCs w:val="22"/>
          <w:lang w:val="en-GB"/>
        </w:rPr>
        <w:t>02</w:t>
      </w:r>
      <w:r w:rsidRPr="00F4557E">
        <w:rPr>
          <w:rFonts w:ascii="Arial" w:hAnsi="Arial" w:cs="Arial"/>
          <w:snapToGrid w:val="0"/>
          <w:sz w:val="22"/>
          <w:szCs w:val="22"/>
          <w:lang w:val="en-GB"/>
        </w:rPr>
        <w:t>%), reversible posterior leukoencephalopathy syndrome (RPLS) (0.08%), Stevens-Johnson syndrome (SJS) (0.</w:t>
      </w:r>
      <w:r w:rsidR="00642F10" w:rsidRPr="00F4557E">
        <w:rPr>
          <w:rFonts w:ascii="Arial" w:hAnsi="Arial" w:cs="Arial"/>
          <w:snapToGrid w:val="0"/>
          <w:sz w:val="22"/>
          <w:szCs w:val="22"/>
          <w:lang w:val="en-GB"/>
        </w:rPr>
        <w:t>02</w:t>
      </w:r>
      <w:r w:rsidRPr="00F4557E">
        <w:rPr>
          <w:rFonts w:ascii="Arial" w:hAnsi="Arial" w:cs="Arial"/>
          <w:snapToGrid w:val="0"/>
          <w:sz w:val="22"/>
          <w:szCs w:val="22"/>
          <w:lang w:val="en-GB"/>
        </w:rPr>
        <w:t xml:space="preserve">%) and </w:t>
      </w:r>
      <w:proofErr w:type="spellStart"/>
      <w:r w:rsidRPr="00F4557E">
        <w:rPr>
          <w:rFonts w:ascii="Arial" w:hAnsi="Arial" w:cs="Arial"/>
          <w:snapToGrid w:val="0"/>
          <w:sz w:val="22"/>
          <w:szCs w:val="22"/>
          <w:lang w:val="en-GB"/>
        </w:rPr>
        <w:t>keratoacanthoma</w:t>
      </w:r>
      <w:proofErr w:type="spellEnd"/>
      <w:r w:rsidRPr="00F4557E">
        <w:rPr>
          <w:rFonts w:ascii="Arial" w:hAnsi="Arial" w:cs="Arial"/>
          <w:snapToGrid w:val="0"/>
          <w:sz w:val="22"/>
          <w:szCs w:val="22"/>
          <w:lang w:val="en-GB"/>
        </w:rPr>
        <w:t>/squamous cell carcinoma of the skin (0.</w:t>
      </w:r>
      <w:r w:rsidR="00642F10" w:rsidRPr="00F4557E">
        <w:rPr>
          <w:rFonts w:ascii="Arial" w:hAnsi="Arial" w:cs="Arial"/>
          <w:snapToGrid w:val="0"/>
          <w:sz w:val="22"/>
          <w:szCs w:val="22"/>
          <w:lang w:val="en-GB"/>
        </w:rPr>
        <w:t>04</w:t>
      </w:r>
      <w:r w:rsidRPr="00F4557E">
        <w:rPr>
          <w:rFonts w:ascii="Arial" w:hAnsi="Arial" w:cs="Arial"/>
          <w:snapToGrid w:val="0"/>
          <w:sz w:val="22"/>
          <w:szCs w:val="22"/>
          <w:lang w:val="en-GB"/>
        </w:rPr>
        <w:t>%).</w:t>
      </w:r>
    </w:p>
    <w:p w14:paraId="31FD7A97" w14:textId="4B6758AB" w:rsidR="00D85E92" w:rsidRPr="00C61DE1" w:rsidRDefault="00D85E92" w:rsidP="00C61DE1">
      <w:pPr>
        <w:spacing w:before="120"/>
        <w:contextualSpacing/>
        <w:rPr>
          <w:rFonts w:ascii="Arial" w:hAnsi="Arial" w:cs="Arial"/>
          <w:noProof/>
          <w:sz w:val="20"/>
          <w:szCs w:val="20"/>
        </w:rPr>
      </w:pPr>
      <w:r w:rsidRPr="00C61DE1">
        <w:rPr>
          <w:rFonts w:ascii="Arial" w:hAnsi="Arial" w:cs="Arial"/>
          <w:noProof/>
          <w:sz w:val="20"/>
          <w:szCs w:val="20"/>
        </w:rPr>
        <w:t>*</w:t>
      </w:r>
      <w:r w:rsidR="008219CC" w:rsidRPr="00C61DE1">
        <w:rPr>
          <w:rFonts w:ascii="Arial" w:hAnsi="Arial" w:cs="Arial"/>
          <w:noProof/>
          <w:sz w:val="20"/>
          <w:szCs w:val="20"/>
        </w:rPr>
        <w:tab/>
      </w:r>
      <w:r w:rsidRPr="00C61DE1">
        <w:rPr>
          <w:rFonts w:ascii="Arial" w:hAnsi="Arial" w:cs="Arial"/>
          <w:noProof/>
          <w:sz w:val="20"/>
          <w:szCs w:val="20"/>
        </w:rPr>
        <w:t xml:space="preserve">fatal outcome has been observed </w:t>
      </w:r>
    </w:p>
    <w:p w14:paraId="6C6DB39C" w14:textId="30F9D841" w:rsidR="00D85E92" w:rsidRPr="00C61DE1" w:rsidRDefault="00D85E92" w:rsidP="00C61DE1">
      <w:pPr>
        <w:spacing w:before="120"/>
        <w:contextualSpacing/>
        <w:rPr>
          <w:rFonts w:ascii="Arial" w:hAnsi="Arial" w:cs="Arial"/>
          <w:noProof/>
          <w:sz w:val="20"/>
          <w:szCs w:val="20"/>
        </w:rPr>
      </w:pPr>
      <w:r w:rsidRPr="00C61DE1">
        <w:rPr>
          <w:rFonts w:ascii="Arial" w:hAnsi="Arial" w:cs="Arial"/>
          <w:noProof/>
          <w:sz w:val="20"/>
          <w:szCs w:val="20"/>
        </w:rPr>
        <w:t>¥</w:t>
      </w:r>
      <w:r w:rsidR="008219CC" w:rsidRPr="00C61DE1">
        <w:rPr>
          <w:rFonts w:ascii="Arial" w:hAnsi="Arial" w:cs="Arial"/>
          <w:noProof/>
          <w:sz w:val="20"/>
          <w:szCs w:val="20"/>
        </w:rPr>
        <w:tab/>
      </w:r>
      <w:r w:rsidRPr="00C61DE1">
        <w:rPr>
          <w:rFonts w:ascii="Arial" w:hAnsi="Arial" w:cs="Arial"/>
          <w:noProof/>
          <w:sz w:val="20"/>
          <w:szCs w:val="20"/>
        </w:rPr>
        <w:t>According to drug-induced liver injury (DILI) criteria of the international DILI expert working group.</w:t>
      </w:r>
    </w:p>
    <w:p w14:paraId="712C2B80" w14:textId="77777777" w:rsidR="00962F5B" w:rsidRPr="00C61DE1" w:rsidRDefault="001E2167" w:rsidP="00C61DE1">
      <w:pPr>
        <w:pStyle w:val="Heading2"/>
        <w:spacing w:after="240"/>
        <w:rPr>
          <w:rFonts w:ascii="Arial" w:eastAsia="PMingLiU" w:hAnsi="Arial" w:cs="Arial"/>
          <w:color w:val="000000"/>
          <w:sz w:val="22"/>
          <w:szCs w:val="22"/>
          <w:lang w:eastAsia="zh-TW"/>
        </w:rPr>
      </w:pPr>
      <w:r w:rsidRPr="00C61DE1">
        <w:rPr>
          <w:rFonts w:ascii="Arial" w:eastAsia="PMingLiU" w:hAnsi="Arial" w:cs="Arial"/>
          <w:color w:val="000000"/>
          <w:sz w:val="22"/>
          <w:szCs w:val="22"/>
          <w:lang w:eastAsia="zh-TW"/>
        </w:rPr>
        <w:lastRenderedPageBreak/>
        <w:t xml:space="preserve">Description of selected adverse reactions </w:t>
      </w:r>
    </w:p>
    <w:p w14:paraId="712C2B82" w14:textId="77777777" w:rsidR="00E16D20" w:rsidRPr="00C61DE1" w:rsidRDefault="00E16D20" w:rsidP="00C61DE1">
      <w:pPr>
        <w:pStyle w:val="Heading3"/>
        <w:spacing w:after="240"/>
        <w:rPr>
          <w:rFonts w:ascii="Arial" w:hAnsi="Arial" w:cs="Arial"/>
          <w:sz w:val="22"/>
          <w:szCs w:val="22"/>
        </w:rPr>
      </w:pPr>
      <w:r w:rsidRPr="00C61DE1">
        <w:rPr>
          <w:rFonts w:ascii="Arial" w:hAnsi="Arial" w:cs="Arial"/>
          <w:sz w:val="22"/>
          <w:szCs w:val="22"/>
        </w:rPr>
        <w:t>Haemorrhage</w:t>
      </w:r>
    </w:p>
    <w:p w14:paraId="712C2B83" w14:textId="57673FC8" w:rsidR="00FE77A5" w:rsidRPr="00F4557E" w:rsidRDefault="001A77C2"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In the placebo-controlled P</w:t>
      </w:r>
      <w:r w:rsidR="00FE77A5" w:rsidRPr="00F4557E">
        <w:rPr>
          <w:rFonts w:ascii="Arial" w:hAnsi="Arial" w:cs="Arial"/>
          <w:snapToGrid w:val="0"/>
          <w:sz w:val="22"/>
          <w:szCs w:val="22"/>
          <w:lang w:val="en-GB"/>
        </w:rPr>
        <w:t>hase III trial</w:t>
      </w:r>
      <w:r w:rsidR="002239D7" w:rsidRPr="00F4557E">
        <w:rPr>
          <w:rFonts w:ascii="Arial" w:hAnsi="Arial" w:cs="Arial"/>
          <w:snapToGrid w:val="0"/>
          <w:sz w:val="22"/>
          <w:szCs w:val="22"/>
          <w:lang w:val="en-GB"/>
        </w:rPr>
        <w:t>s</w:t>
      </w:r>
      <w:r w:rsidR="00FE77A5" w:rsidRPr="00F4557E">
        <w:rPr>
          <w:rFonts w:ascii="Arial" w:hAnsi="Arial" w:cs="Arial"/>
          <w:snapToGrid w:val="0"/>
          <w:sz w:val="22"/>
          <w:szCs w:val="22"/>
          <w:lang w:val="en-GB"/>
        </w:rPr>
        <w:t>, the overall incidence of h</w:t>
      </w:r>
      <w:r w:rsidRPr="00F4557E">
        <w:rPr>
          <w:rFonts w:ascii="Arial" w:hAnsi="Arial" w:cs="Arial"/>
          <w:snapToGrid w:val="0"/>
          <w:sz w:val="22"/>
          <w:szCs w:val="22"/>
          <w:lang w:val="en-GB"/>
        </w:rPr>
        <w:t>a</w:t>
      </w:r>
      <w:r w:rsidR="00FE77A5" w:rsidRPr="00F4557E">
        <w:rPr>
          <w:rFonts w:ascii="Arial" w:hAnsi="Arial" w:cs="Arial"/>
          <w:snapToGrid w:val="0"/>
          <w:sz w:val="22"/>
          <w:szCs w:val="22"/>
          <w:lang w:val="en-GB"/>
        </w:rPr>
        <w:t xml:space="preserve">emorrhage was </w:t>
      </w:r>
      <w:r w:rsidR="00435111" w:rsidRPr="00F4557E">
        <w:rPr>
          <w:rFonts w:ascii="Arial" w:hAnsi="Arial" w:cs="Arial"/>
          <w:snapToGrid w:val="0"/>
          <w:sz w:val="22"/>
          <w:szCs w:val="22"/>
          <w:lang w:val="en-GB"/>
        </w:rPr>
        <w:t>18.2</w:t>
      </w:r>
      <w:r w:rsidR="00FE77A5" w:rsidRPr="00F4557E">
        <w:rPr>
          <w:rFonts w:ascii="Arial" w:hAnsi="Arial" w:cs="Arial"/>
          <w:snapToGrid w:val="0"/>
          <w:sz w:val="22"/>
          <w:szCs w:val="22"/>
          <w:lang w:val="en-GB"/>
        </w:rPr>
        <w:t xml:space="preserve">% in patients treated with </w:t>
      </w:r>
      <w:r w:rsidR="005B16AA" w:rsidRPr="00F4557E">
        <w:rPr>
          <w:rFonts w:ascii="Arial" w:hAnsi="Arial" w:cs="Arial"/>
          <w:snapToGrid w:val="0"/>
          <w:sz w:val="22"/>
          <w:szCs w:val="22"/>
          <w:lang w:val="en-GB"/>
        </w:rPr>
        <w:t>STIVARGA</w:t>
      </w:r>
      <w:r w:rsidR="00435111" w:rsidRPr="00F4557E">
        <w:rPr>
          <w:rFonts w:ascii="Arial" w:hAnsi="Arial" w:cs="Arial"/>
          <w:snapToGrid w:val="0"/>
          <w:sz w:val="22"/>
          <w:szCs w:val="22"/>
          <w:lang w:val="en-GB"/>
        </w:rPr>
        <w:t xml:space="preserve"> and 9.5% in patients receiving placebo</w:t>
      </w:r>
      <w:r w:rsidR="00FE77A5" w:rsidRPr="00F4557E">
        <w:rPr>
          <w:rFonts w:ascii="Arial" w:hAnsi="Arial" w:cs="Arial"/>
          <w:snapToGrid w:val="0"/>
          <w:sz w:val="22"/>
          <w:szCs w:val="22"/>
          <w:lang w:val="en-GB"/>
        </w:rPr>
        <w:t xml:space="preserve">. </w:t>
      </w:r>
      <w:proofErr w:type="gramStart"/>
      <w:r w:rsidR="00FE77A5" w:rsidRPr="00F4557E">
        <w:rPr>
          <w:rFonts w:ascii="Arial" w:hAnsi="Arial" w:cs="Arial"/>
          <w:snapToGrid w:val="0"/>
          <w:sz w:val="22"/>
          <w:szCs w:val="22"/>
          <w:lang w:val="en-GB"/>
        </w:rPr>
        <w:t xml:space="preserve">Most cases of bleeding events were mild to moderate in severity (Grades 1 and 2: </w:t>
      </w:r>
      <w:r w:rsidR="00435111" w:rsidRPr="00F4557E">
        <w:rPr>
          <w:rFonts w:ascii="Arial" w:hAnsi="Arial" w:cs="Arial"/>
          <w:snapToGrid w:val="0"/>
          <w:sz w:val="22"/>
          <w:szCs w:val="22"/>
          <w:lang w:val="en-GB"/>
        </w:rPr>
        <w:t>15.2</w:t>
      </w:r>
      <w:r w:rsidR="00FE77A5" w:rsidRPr="00F4557E">
        <w:rPr>
          <w:rFonts w:ascii="Arial" w:hAnsi="Arial" w:cs="Arial"/>
          <w:snapToGrid w:val="0"/>
          <w:sz w:val="22"/>
          <w:szCs w:val="22"/>
          <w:lang w:val="en-GB"/>
        </w:rPr>
        <w:t>%), most notably epistaxis (</w:t>
      </w:r>
      <w:r w:rsidR="00435111" w:rsidRPr="00F4557E">
        <w:rPr>
          <w:rFonts w:ascii="Arial" w:hAnsi="Arial" w:cs="Arial"/>
          <w:snapToGrid w:val="0"/>
          <w:sz w:val="22"/>
          <w:szCs w:val="22"/>
          <w:lang w:val="en-GB"/>
        </w:rPr>
        <w:t>6.1</w:t>
      </w:r>
      <w:r w:rsidR="00FE77A5" w:rsidRPr="00F4557E">
        <w:rPr>
          <w:rFonts w:ascii="Arial" w:hAnsi="Arial" w:cs="Arial"/>
          <w:snapToGrid w:val="0"/>
          <w:sz w:val="22"/>
          <w:szCs w:val="22"/>
          <w:lang w:val="en-GB"/>
        </w:rPr>
        <w:t>%).</w:t>
      </w:r>
      <w:proofErr w:type="gramEnd"/>
      <w:r w:rsidR="00FE77A5" w:rsidRPr="00F4557E">
        <w:rPr>
          <w:rFonts w:ascii="Arial" w:hAnsi="Arial" w:cs="Arial"/>
          <w:snapToGrid w:val="0"/>
          <w:sz w:val="22"/>
          <w:szCs w:val="22"/>
          <w:lang w:val="en-GB"/>
        </w:rPr>
        <w:t xml:space="preserve"> Fatal </w:t>
      </w:r>
      <w:r w:rsidR="00435111" w:rsidRPr="00F4557E">
        <w:rPr>
          <w:rFonts w:ascii="Arial" w:hAnsi="Arial" w:cs="Arial"/>
          <w:snapToGrid w:val="0"/>
          <w:sz w:val="22"/>
          <w:szCs w:val="22"/>
          <w:lang w:val="en-GB"/>
        </w:rPr>
        <w:t xml:space="preserve">outcome was </w:t>
      </w:r>
      <w:r w:rsidR="00FE77A5" w:rsidRPr="00F4557E">
        <w:rPr>
          <w:rFonts w:ascii="Arial" w:hAnsi="Arial" w:cs="Arial"/>
          <w:snapToGrid w:val="0"/>
          <w:sz w:val="22"/>
          <w:szCs w:val="22"/>
          <w:lang w:val="en-GB"/>
        </w:rPr>
        <w:t>uncommon (</w:t>
      </w:r>
      <w:r w:rsidR="00435111" w:rsidRPr="00F4557E">
        <w:rPr>
          <w:rFonts w:ascii="Arial" w:hAnsi="Arial" w:cs="Arial"/>
          <w:snapToGrid w:val="0"/>
          <w:sz w:val="22"/>
          <w:szCs w:val="22"/>
          <w:lang w:val="en-GB"/>
        </w:rPr>
        <w:t>0.7</w:t>
      </w:r>
      <w:r w:rsidR="00FE77A5" w:rsidRPr="00F4557E">
        <w:rPr>
          <w:rFonts w:ascii="Arial" w:hAnsi="Arial" w:cs="Arial"/>
          <w:snapToGrid w:val="0"/>
          <w:sz w:val="22"/>
          <w:szCs w:val="22"/>
          <w:lang w:val="en-GB"/>
        </w:rPr>
        <w:t xml:space="preserve">%), and </w:t>
      </w:r>
      <w:r w:rsidR="00435111" w:rsidRPr="00F4557E">
        <w:rPr>
          <w:rFonts w:ascii="Arial" w:hAnsi="Arial" w:cs="Arial"/>
          <w:snapToGrid w:val="0"/>
          <w:sz w:val="22"/>
          <w:szCs w:val="22"/>
          <w:lang w:val="en-GB"/>
        </w:rPr>
        <w:t>included cerebral,</w:t>
      </w:r>
      <w:r w:rsidR="00FE77A5" w:rsidRPr="00F4557E">
        <w:rPr>
          <w:rFonts w:ascii="Arial" w:hAnsi="Arial" w:cs="Arial"/>
          <w:snapToGrid w:val="0"/>
          <w:sz w:val="22"/>
          <w:szCs w:val="22"/>
          <w:lang w:val="en-GB"/>
        </w:rPr>
        <w:t xml:space="preserve"> respiratory, gastrointestinal and genitourinary </w:t>
      </w:r>
      <w:r w:rsidR="00435111" w:rsidRPr="00F4557E">
        <w:rPr>
          <w:rFonts w:ascii="Arial" w:hAnsi="Arial" w:cs="Arial"/>
          <w:snapToGrid w:val="0"/>
          <w:sz w:val="22"/>
          <w:szCs w:val="22"/>
          <w:lang w:val="en-GB"/>
        </w:rPr>
        <w:t>events</w:t>
      </w:r>
      <w:r w:rsidR="00FE77A5" w:rsidRPr="00F4557E">
        <w:rPr>
          <w:rFonts w:ascii="Arial" w:hAnsi="Arial" w:cs="Arial"/>
          <w:snapToGrid w:val="0"/>
          <w:sz w:val="22"/>
          <w:szCs w:val="22"/>
          <w:lang w:val="en-GB"/>
        </w:rPr>
        <w:t>.</w:t>
      </w:r>
    </w:p>
    <w:p w14:paraId="712C2B84" w14:textId="77777777" w:rsidR="009D03ED" w:rsidRPr="00F4557E" w:rsidRDefault="009D03ED" w:rsidP="00F4557E">
      <w:pPr>
        <w:rPr>
          <w:rFonts w:ascii="Arial" w:hAnsi="Arial" w:cs="Arial"/>
          <w:i/>
          <w:noProof/>
          <w:sz w:val="22"/>
          <w:szCs w:val="22"/>
          <w:lang w:val="en-AU"/>
        </w:rPr>
      </w:pPr>
    </w:p>
    <w:p w14:paraId="712C2B85" w14:textId="77777777" w:rsidR="00E16D20" w:rsidRPr="00C61DE1" w:rsidRDefault="00E16D20" w:rsidP="00C61DE1">
      <w:pPr>
        <w:pStyle w:val="Heading3"/>
        <w:spacing w:after="240"/>
        <w:rPr>
          <w:rFonts w:ascii="Arial" w:hAnsi="Arial" w:cs="Arial"/>
          <w:sz w:val="22"/>
          <w:szCs w:val="22"/>
        </w:rPr>
      </w:pPr>
      <w:r w:rsidRPr="00C61DE1">
        <w:rPr>
          <w:rFonts w:ascii="Arial" w:hAnsi="Arial" w:cs="Arial"/>
          <w:sz w:val="22"/>
          <w:szCs w:val="22"/>
        </w:rPr>
        <w:t>Infection</w:t>
      </w:r>
    </w:p>
    <w:p w14:paraId="712C2B86" w14:textId="414E2321" w:rsidR="00FE77A5" w:rsidRPr="00F4557E" w:rsidRDefault="002239D7"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In the placebo-controlled Phase III trials, i</w:t>
      </w:r>
      <w:r w:rsidR="00FE77A5" w:rsidRPr="00F4557E">
        <w:rPr>
          <w:rFonts w:ascii="Arial" w:hAnsi="Arial" w:cs="Arial"/>
          <w:snapToGrid w:val="0"/>
          <w:sz w:val="22"/>
          <w:szCs w:val="22"/>
          <w:lang w:val="en-GB"/>
        </w:rPr>
        <w:t xml:space="preserve">nfections were more often observed in patients treated with </w:t>
      </w:r>
      <w:r w:rsidR="00601DFC" w:rsidRPr="00F4557E">
        <w:rPr>
          <w:rFonts w:ascii="Arial" w:hAnsi="Arial" w:cs="Arial"/>
          <w:snapToGrid w:val="0"/>
          <w:sz w:val="22"/>
          <w:szCs w:val="22"/>
          <w:lang w:val="en-GB"/>
        </w:rPr>
        <w:t xml:space="preserve">STIVARGA </w:t>
      </w:r>
      <w:r w:rsidR="00FE77A5" w:rsidRPr="00F4557E">
        <w:rPr>
          <w:rFonts w:ascii="Arial" w:hAnsi="Arial" w:cs="Arial"/>
          <w:snapToGrid w:val="0"/>
          <w:sz w:val="22"/>
          <w:szCs w:val="22"/>
          <w:lang w:val="en-GB"/>
        </w:rPr>
        <w:t xml:space="preserve">compared to patients receiving placebo (all grades: </w:t>
      </w:r>
      <w:r w:rsidR="00435111" w:rsidRPr="00F4557E">
        <w:rPr>
          <w:rFonts w:ascii="Arial" w:hAnsi="Arial" w:cs="Arial"/>
          <w:snapToGrid w:val="0"/>
          <w:sz w:val="22"/>
          <w:szCs w:val="22"/>
          <w:lang w:val="en-GB"/>
        </w:rPr>
        <w:t>31.6</w:t>
      </w:r>
      <w:r w:rsidR="00FE77A5" w:rsidRPr="00F4557E">
        <w:rPr>
          <w:rFonts w:ascii="Arial" w:hAnsi="Arial" w:cs="Arial"/>
          <w:snapToGrid w:val="0"/>
          <w:sz w:val="22"/>
          <w:szCs w:val="22"/>
          <w:lang w:val="en-GB"/>
        </w:rPr>
        <w:t xml:space="preserve">% vs. </w:t>
      </w:r>
      <w:r w:rsidR="00435111" w:rsidRPr="00F4557E">
        <w:rPr>
          <w:rFonts w:ascii="Arial" w:hAnsi="Arial" w:cs="Arial"/>
          <w:snapToGrid w:val="0"/>
          <w:sz w:val="22"/>
          <w:szCs w:val="22"/>
          <w:lang w:val="en-GB"/>
        </w:rPr>
        <w:t>17.2</w:t>
      </w:r>
      <w:r w:rsidR="00FE77A5" w:rsidRPr="00F4557E">
        <w:rPr>
          <w:rFonts w:ascii="Arial" w:hAnsi="Arial" w:cs="Arial"/>
          <w:snapToGrid w:val="0"/>
          <w:sz w:val="22"/>
          <w:szCs w:val="22"/>
          <w:lang w:val="en-GB"/>
        </w:rPr>
        <w:t xml:space="preserve">%). Most infections in patients treated with </w:t>
      </w:r>
      <w:r w:rsidR="00601DFC" w:rsidRPr="00F4557E">
        <w:rPr>
          <w:rFonts w:ascii="Arial" w:hAnsi="Arial" w:cs="Arial"/>
          <w:snapToGrid w:val="0"/>
          <w:sz w:val="22"/>
          <w:szCs w:val="22"/>
          <w:lang w:val="en-GB"/>
        </w:rPr>
        <w:t xml:space="preserve">STIVARGA </w:t>
      </w:r>
      <w:r w:rsidR="00FE77A5" w:rsidRPr="00F4557E">
        <w:rPr>
          <w:rFonts w:ascii="Arial" w:hAnsi="Arial" w:cs="Arial"/>
          <w:snapToGrid w:val="0"/>
          <w:sz w:val="22"/>
          <w:szCs w:val="22"/>
          <w:lang w:val="en-GB"/>
        </w:rPr>
        <w:t xml:space="preserve">were mild to moderate in severity (Grades 1 and 2: </w:t>
      </w:r>
      <w:r w:rsidR="00435111" w:rsidRPr="00F4557E">
        <w:rPr>
          <w:rFonts w:ascii="Arial" w:hAnsi="Arial" w:cs="Arial"/>
          <w:snapToGrid w:val="0"/>
          <w:sz w:val="22"/>
          <w:szCs w:val="22"/>
          <w:lang w:val="en-GB"/>
        </w:rPr>
        <w:t>23.0</w:t>
      </w:r>
      <w:r w:rsidR="00FE77A5" w:rsidRPr="00F4557E">
        <w:rPr>
          <w:rFonts w:ascii="Arial" w:hAnsi="Arial" w:cs="Arial"/>
          <w:snapToGrid w:val="0"/>
          <w:sz w:val="22"/>
          <w:szCs w:val="22"/>
          <w:lang w:val="en-GB"/>
        </w:rPr>
        <w:t>%), and included urinary tract infections (</w:t>
      </w:r>
      <w:r w:rsidR="00435111" w:rsidRPr="00F4557E">
        <w:rPr>
          <w:rFonts w:ascii="Arial" w:hAnsi="Arial" w:cs="Arial"/>
          <w:snapToGrid w:val="0"/>
          <w:sz w:val="22"/>
          <w:szCs w:val="22"/>
          <w:lang w:val="en-GB"/>
        </w:rPr>
        <w:t>5.7</w:t>
      </w:r>
      <w:r w:rsidR="00FE77A5" w:rsidRPr="00F4557E">
        <w:rPr>
          <w:rFonts w:ascii="Arial" w:hAnsi="Arial" w:cs="Arial"/>
          <w:snapToGrid w:val="0"/>
          <w:sz w:val="22"/>
          <w:szCs w:val="22"/>
          <w:lang w:val="en-GB"/>
        </w:rPr>
        <w:t>%)</w:t>
      </w:r>
      <w:r w:rsidR="00435111" w:rsidRPr="00F4557E">
        <w:rPr>
          <w:rFonts w:ascii="Arial" w:hAnsi="Arial" w:cs="Arial"/>
          <w:snapToGrid w:val="0"/>
          <w:sz w:val="22"/>
          <w:szCs w:val="22"/>
          <w:lang w:val="en-GB"/>
        </w:rPr>
        <w:t xml:space="preserve">, </w:t>
      </w:r>
      <w:proofErr w:type="spellStart"/>
      <w:r w:rsidR="00435111" w:rsidRPr="00F4557E">
        <w:rPr>
          <w:rFonts w:ascii="Arial" w:hAnsi="Arial" w:cs="Arial"/>
          <w:snapToGrid w:val="0"/>
          <w:sz w:val="22"/>
          <w:szCs w:val="22"/>
          <w:lang w:val="en-GB"/>
        </w:rPr>
        <w:t>nasopharyngitis</w:t>
      </w:r>
      <w:proofErr w:type="spellEnd"/>
      <w:r w:rsidR="00435111" w:rsidRPr="00F4557E">
        <w:rPr>
          <w:rFonts w:ascii="Arial" w:hAnsi="Arial" w:cs="Arial"/>
          <w:snapToGrid w:val="0"/>
          <w:sz w:val="22"/>
          <w:szCs w:val="22"/>
          <w:lang w:val="en-GB"/>
        </w:rPr>
        <w:t xml:space="preserve"> (4.0%)</w:t>
      </w:r>
      <w:proofErr w:type="gramStart"/>
      <w:r w:rsidR="00435111" w:rsidRPr="00F4557E">
        <w:rPr>
          <w:rFonts w:ascii="Arial" w:hAnsi="Arial" w:cs="Arial"/>
          <w:snapToGrid w:val="0"/>
          <w:sz w:val="22"/>
          <w:szCs w:val="22"/>
          <w:lang w:val="en-GB"/>
        </w:rPr>
        <w:t>,</w:t>
      </w:r>
      <w:r w:rsidR="00FE77A5" w:rsidRPr="00F4557E">
        <w:rPr>
          <w:rFonts w:ascii="Arial" w:hAnsi="Arial" w:cs="Arial"/>
          <w:snapToGrid w:val="0"/>
          <w:sz w:val="22"/>
          <w:szCs w:val="22"/>
          <w:lang w:val="en-GB"/>
        </w:rPr>
        <w:t xml:space="preserve">  </w:t>
      </w:r>
      <w:proofErr w:type="spellStart"/>
      <w:r w:rsidR="00FE77A5" w:rsidRPr="00F4557E">
        <w:rPr>
          <w:rFonts w:ascii="Arial" w:hAnsi="Arial" w:cs="Arial"/>
          <w:snapToGrid w:val="0"/>
          <w:sz w:val="22"/>
          <w:szCs w:val="22"/>
          <w:lang w:val="en-GB"/>
        </w:rPr>
        <w:t>mucocutaneous</w:t>
      </w:r>
      <w:proofErr w:type="spellEnd"/>
      <w:proofErr w:type="gramEnd"/>
      <w:r w:rsidR="00FE77A5" w:rsidRPr="00F4557E">
        <w:rPr>
          <w:rFonts w:ascii="Arial" w:hAnsi="Arial" w:cs="Arial"/>
          <w:snapToGrid w:val="0"/>
          <w:sz w:val="22"/>
          <w:szCs w:val="22"/>
          <w:lang w:val="en-GB"/>
        </w:rPr>
        <w:t xml:space="preserve"> and systemic fungal infections (</w:t>
      </w:r>
      <w:r w:rsidR="00435111" w:rsidRPr="00F4557E">
        <w:rPr>
          <w:rFonts w:ascii="Arial" w:hAnsi="Arial" w:cs="Arial"/>
          <w:snapToGrid w:val="0"/>
          <w:sz w:val="22"/>
          <w:szCs w:val="22"/>
          <w:lang w:val="en-GB"/>
        </w:rPr>
        <w:t>3.3</w:t>
      </w:r>
      <w:r w:rsidR="00FE77A5" w:rsidRPr="00F4557E">
        <w:rPr>
          <w:rFonts w:ascii="Arial" w:hAnsi="Arial" w:cs="Arial"/>
          <w:snapToGrid w:val="0"/>
          <w:sz w:val="22"/>
          <w:szCs w:val="22"/>
          <w:lang w:val="en-GB"/>
        </w:rPr>
        <w:t>%)</w:t>
      </w:r>
      <w:r w:rsidR="00435111" w:rsidRPr="00F4557E">
        <w:rPr>
          <w:rFonts w:ascii="Arial" w:hAnsi="Arial" w:cs="Arial"/>
          <w:snapToGrid w:val="0"/>
          <w:sz w:val="22"/>
          <w:szCs w:val="22"/>
          <w:lang w:val="en-GB"/>
        </w:rPr>
        <w:t xml:space="preserve"> as well as pneumonia (2.6%).</w:t>
      </w:r>
      <w:r w:rsidR="00FE77A5" w:rsidRPr="00F4557E">
        <w:rPr>
          <w:rFonts w:ascii="Arial" w:hAnsi="Arial" w:cs="Arial"/>
          <w:snapToGrid w:val="0"/>
          <w:sz w:val="22"/>
          <w:szCs w:val="22"/>
          <w:lang w:val="en-GB"/>
        </w:rPr>
        <w:t xml:space="preserve"> </w:t>
      </w:r>
      <w:r w:rsidR="00435111" w:rsidRPr="00F4557E">
        <w:rPr>
          <w:rFonts w:ascii="Arial" w:hAnsi="Arial" w:cs="Arial"/>
          <w:snapToGrid w:val="0"/>
          <w:sz w:val="22"/>
          <w:szCs w:val="22"/>
          <w:lang w:val="en-GB"/>
        </w:rPr>
        <w:t xml:space="preserve"> Fatal outcomes associated with infection were observed more often in patients treated with S</w:t>
      </w:r>
      <w:r w:rsidR="001160C9" w:rsidRPr="00F4557E">
        <w:rPr>
          <w:rFonts w:ascii="Arial" w:hAnsi="Arial" w:cs="Arial"/>
          <w:snapToGrid w:val="0"/>
          <w:sz w:val="22"/>
          <w:szCs w:val="22"/>
          <w:lang w:val="en-GB"/>
        </w:rPr>
        <w:t>TIVARGA</w:t>
      </w:r>
      <w:r w:rsidR="00435111" w:rsidRPr="00F4557E">
        <w:rPr>
          <w:rFonts w:ascii="Arial" w:hAnsi="Arial" w:cs="Arial"/>
          <w:snapToGrid w:val="0"/>
          <w:sz w:val="22"/>
          <w:szCs w:val="22"/>
          <w:lang w:val="en-GB"/>
        </w:rPr>
        <w:t xml:space="preserve"> (1.0%) as compared to patients receiving placebo (0.3%), and were mainly respiratory events.</w:t>
      </w:r>
    </w:p>
    <w:p w14:paraId="712C2B87" w14:textId="77777777" w:rsidR="001A77C2" w:rsidRPr="00F4557E" w:rsidRDefault="001A77C2" w:rsidP="00F4557E">
      <w:pPr>
        <w:rPr>
          <w:rFonts w:ascii="Arial" w:hAnsi="Arial" w:cs="Arial"/>
          <w:i/>
          <w:noProof/>
          <w:sz w:val="22"/>
          <w:szCs w:val="22"/>
          <w:lang w:val="en-AU"/>
        </w:rPr>
      </w:pPr>
    </w:p>
    <w:p w14:paraId="712C2B88" w14:textId="77777777" w:rsidR="00E16D20" w:rsidRPr="00C61DE1" w:rsidRDefault="00E16D20" w:rsidP="00C61DE1">
      <w:pPr>
        <w:pStyle w:val="Heading3"/>
        <w:spacing w:after="240"/>
        <w:rPr>
          <w:rFonts w:ascii="Arial" w:hAnsi="Arial" w:cs="Arial"/>
          <w:sz w:val="22"/>
          <w:szCs w:val="22"/>
        </w:rPr>
      </w:pPr>
      <w:r w:rsidRPr="00C61DE1">
        <w:rPr>
          <w:rFonts w:ascii="Arial" w:hAnsi="Arial" w:cs="Arial"/>
          <w:sz w:val="22"/>
          <w:szCs w:val="22"/>
        </w:rPr>
        <w:t>Hand-foot skin reaction</w:t>
      </w:r>
    </w:p>
    <w:p w14:paraId="712C2B89" w14:textId="6F6D3ACF" w:rsidR="00F34FCB" w:rsidRPr="00F4557E" w:rsidRDefault="00D86A28"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In the placebo-controlled phase III trials, </w:t>
      </w:r>
      <w:r w:rsidR="00E62BDB" w:rsidRPr="00F4557E">
        <w:rPr>
          <w:rFonts w:ascii="Arial" w:hAnsi="Arial" w:cs="Arial"/>
          <w:snapToGrid w:val="0"/>
          <w:sz w:val="22"/>
          <w:szCs w:val="22"/>
          <w:lang w:val="en-GB"/>
        </w:rPr>
        <w:t>HFSR</w:t>
      </w:r>
      <w:r w:rsidRPr="00F4557E">
        <w:rPr>
          <w:rFonts w:ascii="Arial" w:hAnsi="Arial" w:cs="Arial"/>
          <w:snapToGrid w:val="0"/>
          <w:sz w:val="22"/>
          <w:szCs w:val="22"/>
          <w:lang w:val="en-GB"/>
        </w:rPr>
        <w:t xml:space="preserve"> were observed </w:t>
      </w:r>
      <w:r w:rsidR="00605473" w:rsidRPr="00F4557E">
        <w:rPr>
          <w:rFonts w:ascii="Arial" w:hAnsi="Arial" w:cs="Arial"/>
          <w:snapToGrid w:val="0"/>
          <w:sz w:val="22"/>
          <w:szCs w:val="22"/>
          <w:lang w:val="en-GB"/>
        </w:rPr>
        <w:t xml:space="preserve">more often </w:t>
      </w:r>
      <w:r w:rsidRPr="00F4557E">
        <w:rPr>
          <w:rFonts w:ascii="Arial" w:hAnsi="Arial" w:cs="Arial"/>
          <w:snapToGrid w:val="0"/>
          <w:sz w:val="22"/>
          <w:szCs w:val="22"/>
          <w:lang w:val="en-GB"/>
        </w:rPr>
        <w:t xml:space="preserve">in patients treated with </w:t>
      </w:r>
      <w:r w:rsidR="00113808" w:rsidRPr="00F4557E">
        <w:rPr>
          <w:rFonts w:ascii="Arial" w:hAnsi="Arial" w:cs="Arial"/>
          <w:snapToGrid w:val="0"/>
          <w:sz w:val="22"/>
          <w:szCs w:val="22"/>
          <w:lang w:val="en-GB"/>
        </w:rPr>
        <w:t>STIVARGA</w:t>
      </w:r>
      <w:r w:rsidRPr="00F4557E">
        <w:rPr>
          <w:rFonts w:ascii="Arial" w:hAnsi="Arial" w:cs="Arial"/>
          <w:snapToGrid w:val="0"/>
          <w:sz w:val="22"/>
          <w:szCs w:val="22"/>
          <w:lang w:val="en-GB"/>
        </w:rPr>
        <w:t xml:space="preserve"> as compared to patients receiving placebo (all grades: </w:t>
      </w:r>
      <w:r w:rsidR="00435111" w:rsidRPr="00F4557E">
        <w:rPr>
          <w:rFonts w:ascii="Arial" w:hAnsi="Arial" w:cs="Arial"/>
          <w:snapToGrid w:val="0"/>
          <w:sz w:val="22"/>
          <w:szCs w:val="22"/>
          <w:lang w:val="en-GB"/>
        </w:rPr>
        <w:t>51.4</w:t>
      </w:r>
      <w:r w:rsidRPr="00F4557E">
        <w:rPr>
          <w:rFonts w:ascii="Arial" w:hAnsi="Arial" w:cs="Arial"/>
          <w:snapToGrid w:val="0"/>
          <w:sz w:val="22"/>
          <w:szCs w:val="22"/>
          <w:lang w:val="en-GB"/>
        </w:rPr>
        <w:t xml:space="preserve">% vs. </w:t>
      </w:r>
      <w:r w:rsidR="00435111" w:rsidRPr="00F4557E">
        <w:rPr>
          <w:rFonts w:ascii="Arial" w:hAnsi="Arial" w:cs="Arial"/>
          <w:snapToGrid w:val="0"/>
          <w:sz w:val="22"/>
          <w:szCs w:val="22"/>
          <w:lang w:val="en-GB"/>
        </w:rPr>
        <w:t>6.5</w:t>
      </w:r>
      <w:r w:rsidRPr="00F4557E">
        <w:rPr>
          <w:rFonts w:ascii="Arial" w:hAnsi="Arial" w:cs="Arial"/>
          <w:snapToGrid w:val="0"/>
          <w:sz w:val="22"/>
          <w:szCs w:val="22"/>
          <w:lang w:val="en-GB"/>
        </w:rPr>
        <w:t>%, CRC</w:t>
      </w:r>
      <w:r w:rsidR="00435111" w:rsidRPr="00F4557E">
        <w:rPr>
          <w:rFonts w:ascii="Arial" w:hAnsi="Arial" w:cs="Arial"/>
          <w:snapToGrid w:val="0"/>
          <w:sz w:val="22"/>
          <w:szCs w:val="22"/>
          <w:lang w:val="en-GB"/>
        </w:rPr>
        <w:t>,</w:t>
      </w:r>
      <w:r w:rsidRPr="00F4557E">
        <w:rPr>
          <w:rFonts w:ascii="Arial" w:hAnsi="Arial" w:cs="Arial"/>
          <w:snapToGrid w:val="0"/>
          <w:sz w:val="22"/>
          <w:szCs w:val="22"/>
          <w:lang w:val="en-GB"/>
        </w:rPr>
        <w:t xml:space="preserve"> 66.7% vs 15.2%, GIST</w:t>
      </w:r>
      <w:r w:rsidR="00435111" w:rsidRPr="00F4557E">
        <w:rPr>
          <w:rFonts w:ascii="Arial" w:hAnsi="Arial" w:cs="Arial"/>
          <w:snapToGrid w:val="0"/>
          <w:sz w:val="22"/>
          <w:szCs w:val="22"/>
          <w:lang w:val="en-GB"/>
        </w:rPr>
        <w:t xml:space="preserve"> and </w:t>
      </w:r>
      <w:r w:rsidR="002F0D90" w:rsidRPr="00F4557E">
        <w:rPr>
          <w:rFonts w:ascii="Arial" w:hAnsi="Arial" w:cs="Arial"/>
          <w:snapToGrid w:val="0"/>
          <w:sz w:val="22"/>
          <w:szCs w:val="22"/>
          <w:lang w:val="en-GB"/>
        </w:rPr>
        <w:t>51.6</w:t>
      </w:r>
      <w:r w:rsidR="00435111" w:rsidRPr="00F4557E">
        <w:rPr>
          <w:rFonts w:ascii="Arial" w:hAnsi="Arial" w:cs="Arial"/>
          <w:snapToGrid w:val="0"/>
          <w:sz w:val="22"/>
          <w:szCs w:val="22"/>
          <w:lang w:val="en-GB"/>
        </w:rPr>
        <w:t>% vs. 7.3% HCC</w:t>
      </w:r>
      <w:r w:rsidRPr="00F4557E">
        <w:rPr>
          <w:rFonts w:ascii="Arial" w:hAnsi="Arial" w:cs="Arial"/>
          <w:snapToGrid w:val="0"/>
          <w:sz w:val="22"/>
          <w:szCs w:val="22"/>
          <w:lang w:val="en-GB"/>
        </w:rPr>
        <w:t xml:space="preserve">). </w:t>
      </w:r>
      <w:r w:rsidR="00435111" w:rsidRPr="00F4557E">
        <w:rPr>
          <w:rFonts w:ascii="Arial" w:hAnsi="Arial" w:cs="Arial"/>
          <w:snapToGrid w:val="0"/>
          <w:sz w:val="22"/>
          <w:szCs w:val="22"/>
          <w:lang w:val="en-GB"/>
        </w:rPr>
        <w:t>M</w:t>
      </w:r>
      <w:r w:rsidR="00FE77A5" w:rsidRPr="00F4557E">
        <w:rPr>
          <w:rFonts w:ascii="Arial" w:hAnsi="Arial" w:cs="Arial"/>
          <w:snapToGrid w:val="0"/>
          <w:sz w:val="22"/>
          <w:szCs w:val="22"/>
          <w:lang w:val="en-GB"/>
        </w:rPr>
        <w:t xml:space="preserve">ost cases of </w:t>
      </w:r>
      <w:r w:rsidR="005E4F4F" w:rsidRPr="00F4557E">
        <w:rPr>
          <w:rFonts w:ascii="Arial" w:hAnsi="Arial" w:cs="Arial"/>
          <w:snapToGrid w:val="0"/>
          <w:sz w:val="22"/>
          <w:szCs w:val="22"/>
          <w:lang w:val="en-GB"/>
        </w:rPr>
        <w:t>HFSR</w:t>
      </w:r>
      <w:r w:rsidR="00FE77A5" w:rsidRPr="00F4557E">
        <w:rPr>
          <w:rFonts w:ascii="Arial" w:hAnsi="Arial" w:cs="Arial"/>
          <w:snapToGrid w:val="0"/>
          <w:sz w:val="22"/>
          <w:szCs w:val="22"/>
          <w:lang w:val="en-GB"/>
        </w:rPr>
        <w:t xml:space="preserve"> </w:t>
      </w:r>
      <w:r w:rsidR="00F765D4" w:rsidRPr="00F4557E">
        <w:rPr>
          <w:rFonts w:ascii="Arial" w:hAnsi="Arial" w:cs="Arial"/>
          <w:snapToGrid w:val="0"/>
          <w:sz w:val="22"/>
          <w:szCs w:val="22"/>
          <w:lang w:val="en-GB"/>
        </w:rPr>
        <w:t xml:space="preserve">in patients treated with </w:t>
      </w:r>
      <w:r w:rsidR="00601DFC" w:rsidRPr="00F4557E">
        <w:rPr>
          <w:rFonts w:ascii="Arial" w:hAnsi="Arial" w:cs="Arial"/>
          <w:snapToGrid w:val="0"/>
          <w:sz w:val="22"/>
          <w:szCs w:val="22"/>
          <w:lang w:val="en-GB"/>
        </w:rPr>
        <w:t>STIVARGA</w:t>
      </w:r>
      <w:r w:rsidR="005B16AA" w:rsidRPr="00F4557E">
        <w:rPr>
          <w:rFonts w:ascii="Arial" w:hAnsi="Arial" w:cs="Arial"/>
          <w:snapToGrid w:val="0"/>
          <w:sz w:val="22"/>
          <w:szCs w:val="22"/>
          <w:lang w:val="en-GB"/>
        </w:rPr>
        <w:t xml:space="preserve"> </w:t>
      </w:r>
      <w:r w:rsidR="00F765D4" w:rsidRPr="00F4557E">
        <w:rPr>
          <w:rFonts w:ascii="Arial" w:hAnsi="Arial" w:cs="Arial"/>
          <w:snapToGrid w:val="0"/>
          <w:sz w:val="22"/>
          <w:szCs w:val="22"/>
          <w:lang w:val="en-GB"/>
        </w:rPr>
        <w:t xml:space="preserve">appeared during the first cycle of treatment and </w:t>
      </w:r>
      <w:r w:rsidR="00FE77A5" w:rsidRPr="00F4557E">
        <w:rPr>
          <w:rFonts w:ascii="Arial" w:hAnsi="Arial" w:cs="Arial"/>
          <w:snapToGrid w:val="0"/>
          <w:sz w:val="22"/>
          <w:szCs w:val="22"/>
          <w:lang w:val="en-GB"/>
        </w:rPr>
        <w:t xml:space="preserve">were mild to moderate in severity (Grades 1 and 2: </w:t>
      </w:r>
      <w:r w:rsidR="00435111" w:rsidRPr="00F4557E">
        <w:rPr>
          <w:rFonts w:ascii="Arial" w:hAnsi="Arial" w:cs="Arial"/>
          <w:snapToGrid w:val="0"/>
          <w:sz w:val="22"/>
          <w:szCs w:val="22"/>
          <w:lang w:val="en-GB"/>
        </w:rPr>
        <w:t>34.3</w:t>
      </w:r>
      <w:r w:rsidR="00FE77A5" w:rsidRPr="00F4557E">
        <w:rPr>
          <w:rFonts w:ascii="Arial" w:hAnsi="Arial" w:cs="Arial"/>
          <w:snapToGrid w:val="0"/>
          <w:sz w:val="22"/>
          <w:szCs w:val="22"/>
          <w:lang w:val="en-GB"/>
        </w:rPr>
        <w:t>%</w:t>
      </w:r>
      <w:r w:rsidR="00F765D4" w:rsidRPr="00F4557E">
        <w:rPr>
          <w:rFonts w:ascii="Arial" w:hAnsi="Arial" w:cs="Arial"/>
          <w:snapToGrid w:val="0"/>
          <w:sz w:val="22"/>
          <w:szCs w:val="22"/>
          <w:lang w:val="en-GB"/>
        </w:rPr>
        <w:t>, CRC</w:t>
      </w:r>
      <w:r w:rsidR="00435111" w:rsidRPr="00F4557E">
        <w:rPr>
          <w:rFonts w:ascii="Arial" w:hAnsi="Arial" w:cs="Arial"/>
          <w:snapToGrid w:val="0"/>
          <w:sz w:val="22"/>
          <w:szCs w:val="22"/>
          <w:lang w:val="en-GB"/>
        </w:rPr>
        <w:t>,</w:t>
      </w:r>
      <w:r w:rsidR="00F765D4" w:rsidRPr="00F4557E">
        <w:rPr>
          <w:rFonts w:ascii="Arial" w:hAnsi="Arial" w:cs="Arial"/>
          <w:snapToGrid w:val="0"/>
          <w:sz w:val="22"/>
          <w:szCs w:val="22"/>
          <w:lang w:val="en-GB"/>
        </w:rPr>
        <w:t xml:space="preserve"> </w:t>
      </w:r>
      <w:r w:rsidR="00C268FE" w:rsidRPr="00F4557E">
        <w:rPr>
          <w:rFonts w:ascii="Arial" w:hAnsi="Arial" w:cs="Arial"/>
          <w:snapToGrid w:val="0"/>
          <w:sz w:val="22"/>
          <w:szCs w:val="22"/>
          <w:lang w:val="en-GB"/>
        </w:rPr>
        <w:t>44.7%, GIST</w:t>
      </w:r>
      <w:r w:rsidR="00435111" w:rsidRPr="00F4557E">
        <w:rPr>
          <w:rFonts w:ascii="Arial" w:hAnsi="Arial" w:cs="Arial"/>
          <w:snapToGrid w:val="0"/>
          <w:sz w:val="22"/>
          <w:szCs w:val="22"/>
          <w:lang w:val="en-GB"/>
        </w:rPr>
        <w:t xml:space="preserve"> and </w:t>
      </w:r>
      <w:r w:rsidR="002F0D90" w:rsidRPr="00F4557E">
        <w:rPr>
          <w:rFonts w:ascii="Arial" w:hAnsi="Arial" w:cs="Arial"/>
          <w:snapToGrid w:val="0"/>
          <w:sz w:val="22"/>
          <w:szCs w:val="22"/>
          <w:lang w:val="en-GB"/>
        </w:rPr>
        <w:t>39.3</w:t>
      </w:r>
      <w:r w:rsidR="00435111" w:rsidRPr="00F4557E">
        <w:rPr>
          <w:rFonts w:ascii="Arial" w:hAnsi="Arial" w:cs="Arial"/>
          <w:snapToGrid w:val="0"/>
          <w:sz w:val="22"/>
          <w:szCs w:val="22"/>
          <w:lang w:val="en-GB"/>
        </w:rPr>
        <w:t>% HCC</w:t>
      </w:r>
      <w:r w:rsidR="00FE77A5" w:rsidRPr="00F4557E">
        <w:rPr>
          <w:rFonts w:ascii="Arial" w:hAnsi="Arial" w:cs="Arial"/>
          <w:snapToGrid w:val="0"/>
          <w:sz w:val="22"/>
          <w:szCs w:val="22"/>
          <w:lang w:val="en-GB"/>
        </w:rPr>
        <w:t>)</w:t>
      </w:r>
      <w:r w:rsidR="00C268FE" w:rsidRPr="00F4557E">
        <w:rPr>
          <w:rFonts w:ascii="Arial" w:hAnsi="Arial" w:cs="Arial"/>
          <w:snapToGrid w:val="0"/>
          <w:sz w:val="22"/>
          <w:szCs w:val="22"/>
          <w:lang w:val="en-GB"/>
        </w:rPr>
        <w:t>.</w:t>
      </w:r>
      <w:r w:rsidR="00FE77A5" w:rsidRPr="00F4557E">
        <w:rPr>
          <w:rFonts w:ascii="Arial" w:hAnsi="Arial" w:cs="Arial"/>
          <w:snapToGrid w:val="0"/>
          <w:sz w:val="22"/>
          <w:szCs w:val="22"/>
          <w:lang w:val="en-GB"/>
        </w:rPr>
        <w:t xml:space="preserve"> </w:t>
      </w:r>
      <w:r w:rsidR="00056379" w:rsidRPr="00F4557E">
        <w:rPr>
          <w:rFonts w:ascii="Arial" w:hAnsi="Arial" w:cs="Arial"/>
          <w:snapToGrid w:val="0"/>
          <w:sz w:val="22"/>
          <w:szCs w:val="22"/>
          <w:lang w:val="en-GB"/>
        </w:rPr>
        <w:t xml:space="preserve">The incidence of Grade 3 </w:t>
      </w:r>
      <w:r w:rsidR="005E4F4F" w:rsidRPr="00F4557E">
        <w:rPr>
          <w:rFonts w:ascii="Arial" w:hAnsi="Arial" w:cs="Arial"/>
          <w:snapToGrid w:val="0"/>
          <w:sz w:val="22"/>
          <w:szCs w:val="22"/>
          <w:lang w:val="en-GB"/>
        </w:rPr>
        <w:t>HFSR</w:t>
      </w:r>
      <w:r w:rsidR="00F42475" w:rsidRPr="00F4557E">
        <w:rPr>
          <w:rFonts w:ascii="Arial" w:hAnsi="Arial" w:cs="Arial"/>
          <w:snapToGrid w:val="0"/>
          <w:sz w:val="22"/>
          <w:szCs w:val="22"/>
          <w:lang w:val="en-GB"/>
        </w:rPr>
        <w:t xml:space="preserve"> </w:t>
      </w:r>
      <w:r w:rsidR="00056379" w:rsidRPr="00F4557E">
        <w:rPr>
          <w:rFonts w:ascii="Arial" w:hAnsi="Arial" w:cs="Arial"/>
          <w:snapToGrid w:val="0"/>
          <w:sz w:val="22"/>
          <w:szCs w:val="22"/>
          <w:lang w:val="en-GB"/>
        </w:rPr>
        <w:t xml:space="preserve">was </w:t>
      </w:r>
      <w:r w:rsidR="00435111" w:rsidRPr="00F4557E">
        <w:rPr>
          <w:rFonts w:ascii="Arial" w:hAnsi="Arial" w:cs="Arial"/>
          <w:snapToGrid w:val="0"/>
          <w:sz w:val="22"/>
          <w:szCs w:val="22"/>
          <w:lang w:val="en-GB"/>
        </w:rPr>
        <w:t>17.1</w:t>
      </w:r>
      <w:r w:rsidR="00056379" w:rsidRPr="00F4557E">
        <w:rPr>
          <w:rFonts w:ascii="Arial" w:hAnsi="Arial" w:cs="Arial"/>
          <w:snapToGrid w:val="0"/>
          <w:sz w:val="22"/>
          <w:szCs w:val="22"/>
          <w:lang w:val="en-GB"/>
        </w:rPr>
        <w:t>%</w:t>
      </w:r>
      <w:r w:rsidR="00C268FE" w:rsidRPr="00F4557E">
        <w:rPr>
          <w:rFonts w:ascii="Arial" w:hAnsi="Arial" w:cs="Arial"/>
          <w:snapToGrid w:val="0"/>
          <w:sz w:val="22"/>
          <w:szCs w:val="22"/>
          <w:lang w:val="en-GB"/>
        </w:rPr>
        <w:t xml:space="preserve"> (CRC)</w:t>
      </w:r>
      <w:r w:rsidR="00435111" w:rsidRPr="00F4557E">
        <w:rPr>
          <w:rFonts w:ascii="Arial" w:hAnsi="Arial" w:cs="Arial"/>
          <w:snapToGrid w:val="0"/>
          <w:sz w:val="22"/>
          <w:szCs w:val="22"/>
          <w:lang w:val="en-GB"/>
        </w:rPr>
        <w:t>,</w:t>
      </w:r>
      <w:r w:rsidR="00C268FE" w:rsidRPr="00F4557E">
        <w:rPr>
          <w:rFonts w:ascii="Arial" w:hAnsi="Arial" w:cs="Arial"/>
          <w:snapToGrid w:val="0"/>
          <w:sz w:val="22"/>
          <w:szCs w:val="22"/>
          <w:lang w:val="en-GB"/>
        </w:rPr>
        <w:t xml:space="preserve"> 22.0% (GIST)</w:t>
      </w:r>
      <w:r w:rsidR="00435111" w:rsidRPr="00F4557E">
        <w:rPr>
          <w:rFonts w:ascii="Arial" w:hAnsi="Arial" w:cs="Arial"/>
          <w:snapToGrid w:val="0"/>
          <w:sz w:val="22"/>
          <w:szCs w:val="22"/>
          <w:lang w:val="en-GB"/>
        </w:rPr>
        <w:t xml:space="preserve"> and 12.3% (HCC)</w:t>
      </w:r>
      <w:r w:rsidR="00056379" w:rsidRPr="00F4557E">
        <w:rPr>
          <w:rFonts w:ascii="Arial" w:hAnsi="Arial" w:cs="Arial"/>
          <w:snapToGrid w:val="0"/>
          <w:sz w:val="22"/>
          <w:szCs w:val="22"/>
          <w:lang w:val="en-GB"/>
        </w:rPr>
        <w:t>.</w:t>
      </w:r>
      <w:r w:rsidR="0084372E" w:rsidRPr="00F4557E">
        <w:rPr>
          <w:rFonts w:ascii="Arial" w:hAnsi="Arial" w:cs="Arial"/>
          <w:snapToGrid w:val="0"/>
          <w:sz w:val="22"/>
          <w:szCs w:val="22"/>
          <w:lang w:val="en-GB"/>
        </w:rPr>
        <w:t xml:space="preserve"> </w:t>
      </w:r>
      <w:r w:rsidR="00435111" w:rsidRPr="00F4557E">
        <w:rPr>
          <w:rFonts w:ascii="Arial" w:hAnsi="Arial" w:cs="Arial"/>
          <w:snapToGrid w:val="0"/>
          <w:sz w:val="22"/>
          <w:szCs w:val="22"/>
          <w:lang w:val="en-GB"/>
        </w:rPr>
        <w:t>A higher</w:t>
      </w:r>
      <w:r w:rsidR="004F4040" w:rsidRPr="00F4557E">
        <w:rPr>
          <w:rFonts w:ascii="Arial" w:hAnsi="Arial" w:cs="Arial"/>
          <w:snapToGrid w:val="0"/>
          <w:sz w:val="22"/>
          <w:szCs w:val="22"/>
          <w:lang w:val="en-GB"/>
        </w:rPr>
        <w:t xml:space="preserve"> incidence of </w:t>
      </w:r>
      <w:r w:rsidR="005E4F4F" w:rsidRPr="00F4557E">
        <w:rPr>
          <w:rFonts w:ascii="Arial" w:hAnsi="Arial" w:cs="Arial"/>
          <w:snapToGrid w:val="0"/>
          <w:sz w:val="22"/>
          <w:szCs w:val="22"/>
          <w:lang w:val="en-GB"/>
        </w:rPr>
        <w:t xml:space="preserve">HFSR </w:t>
      </w:r>
      <w:r w:rsidR="004F4040" w:rsidRPr="00F4557E">
        <w:rPr>
          <w:rFonts w:ascii="Arial" w:hAnsi="Arial" w:cs="Arial"/>
          <w:snapToGrid w:val="0"/>
          <w:sz w:val="22"/>
          <w:szCs w:val="22"/>
          <w:lang w:val="en-GB"/>
        </w:rPr>
        <w:t xml:space="preserve">was </w:t>
      </w:r>
      <w:r w:rsidR="00435111" w:rsidRPr="00F4557E">
        <w:rPr>
          <w:rFonts w:ascii="Arial" w:hAnsi="Arial" w:cs="Arial"/>
          <w:snapToGrid w:val="0"/>
          <w:sz w:val="22"/>
          <w:szCs w:val="22"/>
          <w:lang w:val="en-GB"/>
        </w:rPr>
        <w:t xml:space="preserve">observed </w:t>
      </w:r>
      <w:r w:rsidR="004F4040" w:rsidRPr="00F4557E">
        <w:rPr>
          <w:rFonts w:ascii="Arial" w:hAnsi="Arial" w:cs="Arial"/>
          <w:snapToGrid w:val="0"/>
          <w:sz w:val="22"/>
          <w:szCs w:val="22"/>
          <w:lang w:val="en-GB"/>
        </w:rPr>
        <w:t xml:space="preserve">in STIVARGA treated Asian patients compared to other </w:t>
      </w:r>
      <w:r w:rsidR="00E34812" w:rsidRPr="00F4557E">
        <w:rPr>
          <w:rFonts w:ascii="Arial" w:hAnsi="Arial" w:cs="Arial"/>
          <w:snapToGrid w:val="0"/>
          <w:sz w:val="22"/>
          <w:szCs w:val="22"/>
          <w:lang w:val="en-GB"/>
        </w:rPr>
        <w:t xml:space="preserve">racial groups </w:t>
      </w:r>
      <w:r w:rsidR="008E22D7" w:rsidRPr="00F4557E">
        <w:rPr>
          <w:rFonts w:ascii="Arial" w:hAnsi="Arial" w:cs="Arial"/>
          <w:snapToGrid w:val="0"/>
          <w:sz w:val="22"/>
          <w:szCs w:val="22"/>
          <w:lang w:val="en-GB"/>
        </w:rPr>
        <w:t>(</w:t>
      </w:r>
      <w:r w:rsidR="00435111" w:rsidRPr="00F4557E">
        <w:rPr>
          <w:rFonts w:ascii="Arial" w:hAnsi="Arial" w:cs="Arial"/>
          <w:snapToGrid w:val="0"/>
          <w:sz w:val="22"/>
          <w:szCs w:val="22"/>
          <w:lang w:val="en-GB"/>
        </w:rPr>
        <w:t>74.8</w:t>
      </w:r>
      <w:r w:rsidR="008E22D7" w:rsidRPr="00F4557E">
        <w:rPr>
          <w:rFonts w:ascii="Arial" w:hAnsi="Arial" w:cs="Arial"/>
          <w:snapToGrid w:val="0"/>
          <w:sz w:val="22"/>
          <w:szCs w:val="22"/>
          <w:lang w:val="en-GB"/>
        </w:rPr>
        <w:t>%</w:t>
      </w:r>
      <w:r w:rsidR="00E81D9A" w:rsidRPr="00F4557E">
        <w:rPr>
          <w:rFonts w:ascii="Arial" w:hAnsi="Arial" w:cs="Arial"/>
          <w:snapToGrid w:val="0"/>
          <w:sz w:val="22"/>
          <w:szCs w:val="22"/>
          <w:lang w:val="en-GB"/>
        </w:rPr>
        <w:t xml:space="preserve"> vs. 39.2%</w:t>
      </w:r>
      <w:r w:rsidR="008E22D7" w:rsidRPr="00F4557E">
        <w:rPr>
          <w:rFonts w:ascii="Arial" w:hAnsi="Arial" w:cs="Arial"/>
          <w:snapToGrid w:val="0"/>
          <w:sz w:val="22"/>
          <w:szCs w:val="22"/>
          <w:lang w:val="en-GB"/>
        </w:rPr>
        <w:t xml:space="preserve"> CRC</w:t>
      </w:r>
      <w:r w:rsidR="006C6BFE">
        <w:rPr>
          <w:rFonts w:ascii="Arial" w:hAnsi="Arial" w:cs="Arial"/>
          <w:snapToGrid w:val="0"/>
          <w:sz w:val="22"/>
          <w:szCs w:val="22"/>
          <w:lang w:val="en-GB"/>
        </w:rPr>
        <w:t>,</w:t>
      </w:r>
      <w:r w:rsidR="008E22D7" w:rsidRPr="00F4557E">
        <w:rPr>
          <w:rFonts w:ascii="Arial" w:hAnsi="Arial" w:cs="Arial"/>
          <w:snapToGrid w:val="0"/>
          <w:sz w:val="22"/>
          <w:szCs w:val="22"/>
          <w:lang w:val="en-GB"/>
        </w:rPr>
        <w:t xml:space="preserve"> 88.2%</w:t>
      </w:r>
      <w:r w:rsidR="0038008F" w:rsidRPr="00F4557E">
        <w:rPr>
          <w:rFonts w:ascii="Arial" w:hAnsi="Arial" w:cs="Arial"/>
          <w:snapToGrid w:val="0"/>
          <w:sz w:val="22"/>
          <w:szCs w:val="22"/>
          <w:lang w:val="en-GB"/>
        </w:rPr>
        <w:t xml:space="preserve"> </w:t>
      </w:r>
      <w:r w:rsidR="00E81D9A" w:rsidRPr="00F4557E">
        <w:rPr>
          <w:rFonts w:ascii="Arial" w:hAnsi="Arial" w:cs="Arial"/>
          <w:snapToGrid w:val="0"/>
          <w:sz w:val="22"/>
          <w:szCs w:val="22"/>
          <w:lang w:val="en-GB"/>
        </w:rPr>
        <w:t xml:space="preserve">vs. 59.6% </w:t>
      </w:r>
      <w:r w:rsidR="0038008F" w:rsidRPr="00F4557E">
        <w:rPr>
          <w:rFonts w:ascii="Arial" w:hAnsi="Arial" w:cs="Arial"/>
          <w:snapToGrid w:val="0"/>
          <w:sz w:val="22"/>
          <w:szCs w:val="22"/>
          <w:lang w:val="en-GB"/>
        </w:rPr>
        <w:t>GIST</w:t>
      </w:r>
      <w:r w:rsidR="006C6BFE">
        <w:rPr>
          <w:rFonts w:ascii="Arial" w:hAnsi="Arial" w:cs="Arial"/>
          <w:snapToGrid w:val="0"/>
          <w:sz w:val="22"/>
          <w:szCs w:val="22"/>
          <w:lang w:val="en-GB"/>
        </w:rPr>
        <w:t xml:space="preserve"> and 67.1% HCC</w:t>
      </w:r>
      <w:r w:rsidR="0038008F" w:rsidRPr="00F4557E">
        <w:rPr>
          <w:rFonts w:ascii="Arial" w:hAnsi="Arial" w:cs="Arial"/>
          <w:snapToGrid w:val="0"/>
          <w:sz w:val="22"/>
          <w:szCs w:val="22"/>
          <w:lang w:val="en-GB"/>
        </w:rPr>
        <w:t>)</w:t>
      </w:r>
      <w:r w:rsidR="004F4040" w:rsidRPr="00F4557E">
        <w:rPr>
          <w:rFonts w:ascii="Arial" w:hAnsi="Arial" w:cs="Arial"/>
          <w:snapToGrid w:val="0"/>
          <w:sz w:val="22"/>
          <w:szCs w:val="22"/>
          <w:lang w:val="en-GB"/>
        </w:rPr>
        <w:t xml:space="preserve">. The incidence of Grade 3 </w:t>
      </w:r>
      <w:r w:rsidR="005E4F4F" w:rsidRPr="00F4557E">
        <w:rPr>
          <w:rFonts w:ascii="Arial" w:hAnsi="Arial" w:cs="Arial"/>
          <w:snapToGrid w:val="0"/>
          <w:sz w:val="22"/>
          <w:szCs w:val="22"/>
          <w:lang w:val="en-GB"/>
        </w:rPr>
        <w:t xml:space="preserve">HFSR </w:t>
      </w:r>
      <w:r w:rsidR="00E81D9A" w:rsidRPr="00F4557E">
        <w:rPr>
          <w:rFonts w:ascii="Arial" w:hAnsi="Arial" w:cs="Arial"/>
          <w:snapToGrid w:val="0"/>
          <w:sz w:val="22"/>
          <w:szCs w:val="22"/>
          <w:lang w:val="en-GB"/>
        </w:rPr>
        <w:t xml:space="preserve">in Asians was </w:t>
      </w:r>
      <w:r w:rsidR="00435111" w:rsidRPr="00F4557E">
        <w:rPr>
          <w:rFonts w:ascii="Arial" w:hAnsi="Arial" w:cs="Arial"/>
          <w:snapToGrid w:val="0"/>
          <w:sz w:val="22"/>
          <w:szCs w:val="22"/>
          <w:lang w:val="en-GB"/>
        </w:rPr>
        <w:t>20.5</w:t>
      </w:r>
      <w:r w:rsidR="00E81D9A" w:rsidRPr="00F4557E">
        <w:rPr>
          <w:rFonts w:ascii="Arial" w:hAnsi="Arial" w:cs="Arial"/>
          <w:snapToGrid w:val="0"/>
          <w:sz w:val="22"/>
          <w:szCs w:val="22"/>
          <w:lang w:val="en-GB"/>
        </w:rPr>
        <w:t>% (CRC)</w:t>
      </w:r>
      <w:proofErr w:type="gramStart"/>
      <w:r w:rsidR="00435111" w:rsidRPr="00F4557E">
        <w:rPr>
          <w:rFonts w:ascii="Arial" w:hAnsi="Arial" w:cs="Arial"/>
          <w:snapToGrid w:val="0"/>
          <w:sz w:val="22"/>
          <w:szCs w:val="22"/>
          <w:lang w:val="en-GB"/>
        </w:rPr>
        <w:t>,</w:t>
      </w:r>
      <w:r w:rsidR="004F4040" w:rsidRPr="00F4557E">
        <w:rPr>
          <w:rFonts w:ascii="Arial" w:hAnsi="Arial" w:cs="Arial"/>
          <w:snapToGrid w:val="0"/>
          <w:sz w:val="22"/>
          <w:szCs w:val="22"/>
          <w:lang w:val="en-GB"/>
        </w:rPr>
        <w:t xml:space="preserve">  23.5</w:t>
      </w:r>
      <w:proofErr w:type="gramEnd"/>
      <w:r w:rsidR="004F4040" w:rsidRPr="00F4557E">
        <w:rPr>
          <w:rFonts w:ascii="Arial" w:hAnsi="Arial" w:cs="Arial"/>
          <w:snapToGrid w:val="0"/>
          <w:sz w:val="22"/>
          <w:szCs w:val="22"/>
          <w:lang w:val="en-GB"/>
        </w:rPr>
        <w:t>% (GIST)</w:t>
      </w:r>
      <w:r w:rsidR="00435111" w:rsidRPr="00F4557E">
        <w:rPr>
          <w:rFonts w:ascii="Arial" w:hAnsi="Arial" w:cs="Arial"/>
          <w:snapToGrid w:val="0"/>
          <w:sz w:val="22"/>
          <w:szCs w:val="22"/>
          <w:lang w:val="en-GB"/>
        </w:rPr>
        <w:t xml:space="preserve"> and 13.5% (HCC)</w:t>
      </w:r>
      <w:r w:rsidR="004F4040" w:rsidRPr="00F4557E">
        <w:rPr>
          <w:rFonts w:ascii="Arial" w:hAnsi="Arial" w:cs="Arial"/>
          <w:snapToGrid w:val="0"/>
          <w:sz w:val="22"/>
          <w:szCs w:val="22"/>
          <w:lang w:val="en-GB"/>
        </w:rPr>
        <w:t>.</w:t>
      </w:r>
      <w:r w:rsidRPr="00F4557E">
        <w:rPr>
          <w:rFonts w:ascii="Arial" w:hAnsi="Arial" w:cs="Arial"/>
          <w:snapToGrid w:val="0"/>
          <w:sz w:val="22"/>
          <w:szCs w:val="22"/>
          <w:lang w:val="en-GB"/>
        </w:rPr>
        <w:t xml:space="preserve"> </w:t>
      </w:r>
    </w:p>
    <w:p w14:paraId="712C2B8A" w14:textId="77777777" w:rsidR="0036132D" w:rsidRPr="00F4557E" w:rsidRDefault="0036132D" w:rsidP="00F4557E">
      <w:pPr>
        <w:rPr>
          <w:rFonts w:ascii="Arial" w:hAnsi="Arial" w:cs="Arial"/>
          <w:i/>
          <w:noProof/>
          <w:sz w:val="22"/>
          <w:szCs w:val="22"/>
          <w:lang w:val="en-AU"/>
        </w:rPr>
      </w:pPr>
    </w:p>
    <w:p w14:paraId="712C2B8B" w14:textId="77777777" w:rsidR="0036132D" w:rsidRPr="00C61DE1" w:rsidRDefault="0036132D" w:rsidP="00C61DE1">
      <w:pPr>
        <w:pStyle w:val="Heading3"/>
        <w:spacing w:after="240"/>
        <w:rPr>
          <w:rFonts w:ascii="Arial" w:hAnsi="Arial" w:cs="Arial"/>
          <w:sz w:val="22"/>
          <w:szCs w:val="22"/>
        </w:rPr>
      </w:pPr>
      <w:r w:rsidRPr="00C61DE1">
        <w:rPr>
          <w:rFonts w:ascii="Arial" w:hAnsi="Arial" w:cs="Arial"/>
          <w:sz w:val="22"/>
          <w:szCs w:val="22"/>
        </w:rPr>
        <w:t>Hypertension</w:t>
      </w:r>
    </w:p>
    <w:p w14:paraId="712C2B8C" w14:textId="2695FD5E" w:rsidR="005B16AA" w:rsidRPr="00F4557E" w:rsidRDefault="00415471"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 xml:space="preserve">In the placebo-controlled phase III trials, the overall incidence of hypertension was higher in patients treated with STIVARGA as compared to patients receiving placebo (29.6% vs. 7.5% CRC, </w:t>
      </w:r>
      <w:r w:rsidR="002F0D90" w:rsidRPr="00F4557E">
        <w:rPr>
          <w:rFonts w:ascii="Arial" w:hAnsi="Arial" w:cs="Arial"/>
          <w:snapToGrid w:val="0"/>
          <w:sz w:val="22"/>
          <w:szCs w:val="22"/>
          <w:lang w:val="en-GB"/>
        </w:rPr>
        <w:t>60.6</w:t>
      </w:r>
      <w:r w:rsidRPr="00F4557E">
        <w:rPr>
          <w:rFonts w:ascii="Arial" w:hAnsi="Arial" w:cs="Arial"/>
          <w:snapToGrid w:val="0"/>
          <w:sz w:val="22"/>
          <w:szCs w:val="22"/>
          <w:lang w:val="en-GB"/>
        </w:rPr>
        <w:t xml:space="preserve">% vs. </w:t>
      </w:r>
      <w:r w:rsidR="002F0D90" w:rsidRPr="00F4557E">
        <w:rPr>
          <w:rFonts w:ascii="Arial" w:hAnsi="Arial" w:cs="Arial"/>
          <w:snapToGrid w:val="0"/>
          <w:sz w:val="22"/>
          <w:szCs w:val="22"/>
          <w:lang w:val="en-GB"/>
        </w:rPr>
        <w:t>25.8</w:t>
      </w:r>
      <w:r w:rsidRPr="00F4557E">
        <w:rPr>
          <w:rFonts w:ascii="Arial" w:hAnsi="Arial" w:cs="Arial"/>
          <w:snapToGrid w:val="0"/>
          <w:sz w:val="22"/>
          <w:szCs w:val="22"/>
          <w:lang w:val="en-GB"/>
        </w:rPr>
        <w:t>% GIST and 31.0% vs. 6.2% HCC).M</w:t>
      </w:r>
      <w:r w:rsidR="00056379" w:rsidRPr="00F4557E">
        <w:rPr>
          <w:rFonts w:ascii="Arial" w:hAnsi="Arial" w:cs="Arial"/>
          <w:snapToGrid w:val="0"/>
          <w:sz w:val="22"/>
          <w:szCs w:val="22"/>
          <w:lang w:val="en-GB"/>
        </w:rPr>
        <w:t xml:space="preserve">ost cases of hypertension in patients treated with </w:t>
      </w:r>
      <w:r w:rsidR="00601DFC" w:rsidRPr="00F4557E">
        <w:rPr>
          <w:rFonts w:ascii="Arial" w:hAnsi="Arial" w:cs="Arial"/>
          <w:snapToGrid w:val="0"/>
          <w:sz w:val="22"/>
          <w:szCs w:val="22"/>
          <w:lang w:val="en-GB"/>
        </w:rPr>
        <w:t xml:space="preserve">STIVARGA </w:t>
      </w:r>
      <w:r w:rsidR="00056379" w:rsidRPr="00F4557E">
        <w:rPr>
          <w:rFonts w:ascii="Arial" w:hAnsi="Arial" w:cs="Arial"/>
          <w:snapToGrid w:val="0"/>
          <w:sz w:val="22"/>
          <w:szCs w:val="22"/>
          <w:lang w:val="en-GB"/>
        </w:rPr>
        <w:t xml:space="preserve">appeared during the first cycle of treatment and were mild to moderate in severity (Grades 1 and 2: </w:t>
      </w:r>
      <w:r w:rsidRPr="00F4557E">
        <w:rPr>
          <w:rFonts w:ascii="Arial" w:hAnsi="Arial" w:cs="Arial"/>
          <w:snapToGrid w:val="0"/>
          <w:sz w:val="22"/>
          <w:szCs w:val="22"/>
          <w:lang w:val="en-GB"/>
        </w:rPr>
        <w:t>20.9</w:t>
      </w:r>
      <w:r w:rsidR="00056379" w:rsidRPr="00F4557E">
        <w:rPr>
          <w:rFonts w:ascii="Arial" w:hAnsi="Arial" w:cs="Arial"/>
          <w:snapToGrid w:val="0"/>
          <w:sz w:val="22"/>
          <w:szCs w:val="22"/>
          <w:lang w:val="en-GB"/>
        </w:rPr>
        <w:t>%</w:t>
      </w:r>
      <w:r w:rsidR="00E37F22" w:rsidRPr="00F4557E">
        <w:rPr>
          <w:rFonts w:ascii="Arial" w:hAnsi="Arial" w:cs="Arial"/>
          <w:snapToGrid w:val="0"/>
          <w:sz w:val="22"/>
          <w:szCs w:val="22"/>
          <w:lang w:val="en-GB"/>
        </w:rPr>
        <w:t>, CRC</w:t>
      </w:r>
      <w:r w:rsidRPr="00F4557E">
        <w:rPr>
          <w:rFonts w:ascii="Arial" w:hAnsi="Arial" w:cs="Arial"/>
          <w:snapToGrid w:val="0"/>
          <w:sz w:val="22"/>
          <w:szCs w:val="22"/>
          <w:lang w:val="en-GB"/>
        </w:rPr>
        <w:t>,</w:t>
      </w:r>
      <w:r w:rsidR="00F4557E">
        <w:rPr>
          <w:rFonts w:ascii="Arial" w:hAnsi="Arial" w:cs="Arial"/>
          <w:snapToGrid w:val="0"/>
          <w:sz w:val="22"/>
          <w:szCs w:val="22"/>
          <w:lang w:val="en-GB"/>
        </w:rPr>
        <w:t xml:space="preserve"> </w:t>
      </w:r>
      <w:r w:rsidR="002F0D90" w:rsidRPr="00F4557E">
        <w:rPr>
          <w:rFonts w:ascii="Arial" w:hAnsi="Arial" w:cs="Arial"/>
          <w:snapToGrid w:val="0"/>
          <w:sz w:val="22"/>
          <w:szCs w:val="22"/>
          <w:lang w:val="en-GB"/>
        </w:rPr>
        <w:t>31.8</w:t>
      </w:r>
      <w:r w:rsidR="00E37F22" w:rsidRPr="00F4557E">
        <w:rPr>
          <w:rFonts w:ascii="Arial" w:hAnsi="Arial" w:cs="Arial"/>
          <w:snapToGrid w:val="0"/>
          <w:sz w:val="22"/>
          <w:szCs w:val="22"/>
          <w:lang w:val="en-GB"/>
        </w:rPr>
        <w:t xml:space="preserve">% </w:t>
      </w:r>
      <w:r w:rsidR="00390E0E" w:rsidRPr="00F4557E">
        <w:rPr>
          <w:rFonts w:ascii="Arial" w:hAnsi="Arial" w:cs="Arial"/>
          <w:snapToGrid w:val="0"/>
          <w:sz w:val="22"/>
          <w:szCs w:val="22"/>
          <w:lang w:val="en-GB"/>
        </w:rPr>
        <w:t>GIST</w:t>
      </w:r>
      <w:r w:rsidRPr="00F4557E">
        <w:rPr>
          <w:rFonts w:ascii="Arial" w:hAnsi="Arial" w:cs="Arial"/>
          <w:snapToGrid w:val="0"/>
          <w:sz w:val="22"/>
          <w:szCs w:val="22"/>
          <w:lang w:val="en-GB"/>
        </w:rPr>
        <w:t xml:space="preserve"> and 15.8% HCC</w:t>
      </w:r>
      <w:r w:rsidR="00056379" w:rsidRPr="00F4557E">
        <w:rPr>
          <w:rFonts w:ascii="Arial" w:hAnsi="Arial" w:cs="Arial"/>
          <w:snapToGrid w:val="0"/>
          <w:sz w:val="22"/>
          <w:szCs w:val="22"/>
          <w:lang w:val="en-GB"/>
        </w:rPr>
        <w:t xml:space="preserve">). The incidence of Grade 3 hypertension was </w:t>
      </w:r>
      <w:r w:rsidRPr="00F4557E">
        <w:rPr>
          <w:rFonts w:ascii="Arial" w:hAnsi="Arial" w:cs="Arial"/>
          <w:snapToGrid w:val="0"/>
          <w:sz w:val="22"/>
          <w:szCs w:val="22"/>
          <w:lang w:val="en-GB"/>
        </w:rPr>
        <w:t>8.7</w:t>
      </w:r>
      <w:r w:rsidR="00056379" w:rsidRPr="00F4557E">
        <w:rPr>
          <w:rFonts w:ascii="Arial" w:hAnsi="Arial" w:cs="Arial"/>
          <w:snapToGrid w:val="0"/>
          <w:sz w:val="22"/>
          <w:szCs w:val="22"/>
          <w:lang w:val="en-GB"/>
        </w:rPr>
        <w:t>%</w:t>
      </w:r>
      <w:r w:rsidR="00390E0E" w:rsidRPr="00F4557E">
        <w:rPr>
          <w:rFonts w:ascii="Arial" w:hAnsi="Arial" w:cs="Arial"/>
          <w:snapToGrid w:val="0"/>
          <w:sz w:val="22"/>
          <w:szCs w:val="22"/>
          <w:lang w:val="en-GB"/>
        </w:rPr>
        <w:t xml:space="preserve"> (CRC)</w:t>
      </w:r>
      <w:proofErr w:type="gramStart"/>
      <w:r w:rsidRPr="00F4557E">
        <w:rPr>
          <w:rFonts w:ascii="Arial" w:hAnsi="Arial" w:cs="Arial"/>
          <w:snapToGrid w:val="0"/>
          <w:sz w:val="22"/>
          <w:szCs w:val="22"/>
          <w:lang w:val="en-GB"/>
        </w:rPr>
        <w:t>,</w:t>
      </w:r>
      <w:r w:rsidR="00390E0E" w:rsidRPr="00F4557E">
        <w:rPr>
          <w:rFonts w:ascii="Arial" w:hAnsi="Arial" w:cs="Arial"/>
          <w:snapToGrid w:val="0"/>
          <w:sz w:val="22"/>
          <w:szCs w:val="22"/>
          <w:lang w:val="en-GB"/>
        </w:rPr>
        <w:t xml:space="preserve">  </w:t>
      </w:r>
      <w:r w:rsidR="002F0D90" w:rsidRPr="00F4557E">
        <w:rPr>
          <w:rFonts w:ascii="Arial" w:hAnsi="Arial" w:cs="Arial"/>
          <w:snapToGrid w:val="0"/>
          <w:sz w:val="22"/>
          <w:szCs w:val="22"/>
          <w:lang w:val="en-GB"/>
        </w:rPr>
        <w:t>28.0</w:t>
      </w:r>
      <w:proofErr w:type="gramEnd"/>
      <w:r w:rsidR="00390E0E" w:rsidRPr="00F4557E">
        <w:rPr>
          <w:rFonts w:ascii="Arial" w:hAnsi="Arial" w:cs="Arial"/>
          <w:snapToGrid w:val="0"/>
          <w:sz w:val="22"/>
          <w:szCs w:val="22"/>
          <w:lang w:val="en-GB"/>
        </w:rPr>
        <w:t>% (GIST)</w:t>
      </w:r>
      <w:r w:rsidRPr="00F4557E">
        <w:rPr>
          <w:rFonts w:ascii="Arial" w:hAnsi="Arial" w:cs="Arial"/>
          <w:snapToGrid w:val="0"/>
          <w:sz w:val="22"/>
          <w:szCs w:val="22"/>
          <w:lang w:val="en-GB"/>
        </w:rPr>
        <w:t xml:space="preserve"> and 15.2% (HCC)</w:t>
      </w:r>
      <w:r w:rsidR="00056379" w:rsidRPr="00F4557E">
        <w:rPr>
          <w:rFonts w:ascii="Arial" w:hAnsi="Arial" w:cs="Arial"/>
          <w:snapToGrid w:val="0"/>
          <w:sz w:val="22"/>
          <w:szCs w:val="22"/>
          <w:lang w:val="en-GB"/>
        </w:rPr>
        <w:t>.</w:t>
      </w:r>
      <w:r w:rsidR="002239D7" w:rsidRPr="00F4557E">
        <w:rPr>
          <w:rFonts w:ascii="Arial" w:hAnsi="Arial" w:cs="Arial"/>
          <w:snapToGrid w:val="0"/>
          <w:sz w:val="22"/>
          <w:szCs w:val="22"/>
          <w:lang w:val="en-GB"/>
        </w:rPr>
        <w:t xml:space="preserve"> On</w:t>
      </w:r>
      <w:r w:rsidR="00390E0E" w:rsidRPr="00F4557E">
        <w:rPr>
          <w:rFonts w:ascii="Arial" w:hAnsi="Arial" w:cs="Arial"/>
          <w:snapToGrid w:val="0"/>
          <w:sz w:val="22"/>
          <w:szCs w:val="22"/>
          <w:lang w:val="en-GB"/>
        </w:rPr>
        <w:t>e case of Grade 4 hypertension was reported in the GIST trial</w:t>
      </w:r>
      <w:r w:rsidR="005F3D99" w:rsidRPr="00F4557E">
        <w:rPr>
          <w:rFonts w:ascii="Arial" w:hAnsi="Arial" w:cs="Arial"/>
          <w:snapToGrid w:val="0"/>
          <w:sz w:val="22"/>
          <w:szCs w:val="22"/>
          <w:lang w:val="en-GB"/>
        </w:rPr>
        <w:t xml:space="preserve"> and associated with RPLS</w:t>
      </w:r>
      <w:r w:rsidR="00390E0E" w:rsidRPr="00F4557E">
        <w:rPr>
          <w:rFonts w:ascii="Arial" w:hAnsi="Arial" w:cs="Arial"/>
          <w:snapToGrid w:val="0"/>
          <w:sz w:val="22"/>
          <w:szCs w:val="22"/>
          <w:lang w:val="en-GB"/>
        </w:rPr>
        <w:t>.</w:t>
      </w:r>
      <w:r w:rsidR="00056379" w:rsidRPr="00F4557E">
        <w:rPr>
          <w:rFonts w:ascii="Arial" w:hAnsi="Arial" w:cs="Arial"/>
          <w:snapToGrid w:val="0"/>
          <w:sz w:val="22"/>
          <w:szCs w:val="22"/>
          <w:lang w:val="en-GB"/>
        </w:rPr>
        <w:t xml:space="preserve"> </w:t>
      </w:r>
    </w:p>
    <w:p w14:paraId="1C686BEA" w14:textId="77777777" w:rsidR="00D86A28" w:rsidRPr="00F4557E" w:rsidRDefault="00D86A28" w:rsidP="00F4557E">
      <w:pPr>
        <w:rPr>
          <w:rFonts w:ascii="Arial" w:hAnsi="Arial" w:cs="Arial"/>
          <w:i/>
          <w:noProof/>
          <w:sz w:val="22"/>
          <w:szCs w:val="22"/>
        </w:rPr>
      </w:pPr>
    </w:p>
    <w:p w14:paraId="3FE73991" w14:textId="77777777" w:rsidR="00D86A28" w:rsidRPr="00C61DE1" w:rsidRDefault="00D86A28" w:rsidP="00C61DE1">
      <w:pPr>
        <w:pStyle w:val="Heading3"/>
        <w:spacing w:after="240"/>
        <w:rPr>
          <w:rFonts w:ascii="Arial" w:hAnsi="Arial" w:cs="Arial"/>
          <w:sz w:val="22"/>
          <w:szCs w:val="22"/>
        </w:rPr>
      </w:pPr>
      <w:r w:rsidRPr="00C61DE1">
        <w:rPr>
          <w:rFonts w:ascii="Arial" w:hAnsi="Arial" w:cs="Arial"/>
          <w:sz w:val="22"/>
          <w:szCs w:val="22"/>
        </w:rPr>
        <w:t>Severe liver injury</w:t>
      </w:r>
    </w:p>
    <w:p w14:paraId="6D00A308" w14:textId="4D061B21" w:rsidR="00D86A28" w:rsidRPr="00F4557E" w:rsidRDefault="00D86A28" w:rsidP="00F4557E">
      <w:pPr>
        <w:pStyle w:val="BayerBodyTextFull"/>
        <w:spacing w:before="0" w:after="0"/>
        <w:rPr>
          <w:rFonts w:ascii="Arial" w:hAnsi="Arial" w:cs="Arial"/>
          <w:snapToGrid w:val="0"/>
          <w:sz w:val="22"/>
          <w:szCs w:val="22"/>
          <w:lang w:val="en-GB"/>
        </w:rPr>
      </w:pPr>
      <w:r w:rsidRPr="00F4557E">
        <w:rPr>
          <w:rFonts w:ascii="Arial" w:hAnsi="Arial" w:cs="Arial"/>
          <w:snapToGrid w:val="0"/>
          <w:sz w:val="22"/>
          <w:szCs w:val="22"/>
          <w:lang w:val="en-GB"/>
        </w:rPr>
        <w:t>In most cases of severe liver injury, liver dysfunction had an onset within the first 2 months of therapy, and was characteri</w:t>
      </w:r>
      <w:r w:rsidR="005E4F4F" w:rsidRPr="00F4557E">
        <w:rPr>
          <w:rFonts w:ascii="Arial" w:hAnsi="Arial" w:cs="Arial"/>
          <w:snapToGrid w:val="0"/>
          <w:sz w:val="22"/>
          <w:szCs w:val="22"/>
          <w:lang w:val="en-GB"/>
        </w:rPr>
        <w:t>s</w:t>
      </w:r>
      <w:r w:rsidRPr="00F4557E">
        <w:rPr>
          <w:rFonts w:ascii="Arial" w:hAnsi="Arial" w:cs="Arial"/>
          <w:snapToGrid w:val="0"/>
          <w:sz w:val="22"/>
          <w:szCs w:val="22"/>
          <w:lang w:val="en-GB"/>
        </w:rPr>
        <w:t xml:space="preserve">ed by a hepatocellular pattern of injury with transaminase elevations &gt;20xULN, followed by </w:t>
      </w:r>
      <w:r w:rsidR="00E62BDB" w:rsidRPr="00F4557E">
        <w:rPr>
          <w:rFonts w:ascii="Arial" w:hAnsi="Arial" w:cs="Arial"/>
          <w:snapToGrid w:val="0"/>
          <w:sz w:val="22"/>
          <w:szCs w:val="22"/>
          <w:lang w:val="en-GB"/>
        </w:rPr>
        <w:t xml:space="preserve">an increase in </w:t>
      </w:r>
      <w:r w:rsidRPr="00F4557E">
        <w:rPr>
          <w:rFonts w:ascii="Arial" w:hAnsi="Arial" w:cs="Arial"/>
          <w:snapToGrid w:val="0"/>
          <w:sz w:val="22"/>
          <w:szCs w:val="22"/>
          <w:lang w:val="en-GB"/>
        </w:rPr>
        <w:t xml:space="preserve">bilirubin. In clinical trials, a higher incidence of severe liver injury with fatal outcome was observed in Japanese patients (~1.5%) treated with </w:t>
      </w:r>
      <w:r w:rsidR="00113808" w:rsidRPr="00F4557E">
        <w:rPr>
          <w:rFonts w:ascii="Arial" w:hAnsi="Arial" w:cs="Arial"/>
          <w:snapToGrid w:val="0"/>
          <w:sz w:val="22"/>
          <w:szCs w:val="22"/>
          <w:lang w:val="en-GB"/>
        </w:rPr>
        <w:t>STIVARGA</w:t>
      </w:r>
      <w:r w:rsidRPr="00F4557E">
        <w:rPr>
          <w:rFonts w:ascii="Arial" w:hAnsi="Arial" w:cs="Arial"/>
          <w:snapToGrid w:val="0"/>
          <w:sz w:val="22"/>
          <w:szCs w:val="22"/>
          <w:lang w:val="en-GB"/>
        </w:rPr>
        <w:t xml:space="preserve"> compared with non-Japanese patients</w:t>
      </w:r>
      <w:r w:rsidR="00540C90" w:rsidRPr="00F4557E">
        <w:rPr>
          <w:rFonts w:ascii="Arial" w:hAnsi="Arial" w:cs="Arial"/>
          <w:snapToGrid w:val="0"/>
          <w:sz w:val="22"/>
          <w:szCs w:val="22"/>
          <w:lang w:val="en-GB"/>
        </w:rPr>
        <w:t xml:space="preserve"> </w:t>
      </w:r>
      <w:r w:rsidRPr="00F4557E">
        <w:rPr>
          <w:rFonts w:ascii="Arial" w:hAnsi="Arial" w:cs="Arial"/>
          <w:snapToGrid w:val="0"/>
          <w:sz w:val="22"/>
          <w:szCs w:val="22"/>
          <w:lang w:val="en-GB"/>
        </w:rPr>
        <w:t>(&lt;0.1%).</w:t>
      </w:r>
    </w:p>
    <w:p w14:paraId="7D5A5B0D" w14:textId="77777777" w:rsidR="00D86A28" w:rsidRPr="00F4557E" w:rsidRDefault="00D86A28" w:rsidP="00F4557E">
      <w:pPr>
        <w:rPr>
          <w:rFonts w:ascii="Arial" w:hAnsi="Arial" w:cs="Arial"/>
          <w:i/>
          <w:noProof/>
          <w:sz w:val="22"/>
          <w:szCs w:val="22"/>
        </w:rPr>
      </w:pPr>
    </w:p>
    <w:p w14:paraId="712C2B8E" w14:textId="77777777" w:rsidR="0060094A" w:rsidRDefault="0060094A" w:rsidP="005E2C3E">
      <w:pPr>
        <w:pStyle w:val="Heading1"/>
        <w:spacing w:before="0" w:after="0"/>
        <w:ind w:right="45"/>
        <w:jc w:val="left"/>
      </w:pPr>
      <w:r w:rsidRPr="009C7DDF">
        <w:lastRenderedPageBreak/>
        <w:t>DOSAGE AND ADMINISTRATION</w:t>
      </w:r>
    </w:p>
    <w:p w14:paraId="712C2B8F" w14:textId="77777777" w:rsidR="0060094A" w:rsidRPr="003A5EE1" w:rsidRDefault="0060094A" w:rsidP="005E2C3E">
      <w:pPr>
        <w:keepNext/>
        <w:rPr>
          <w:lang w:val="en-AU"/>
        </w:rPr>
      </w:pPr>
    </w:p>
    <w:p w14:paraId="712C2B90" w14:textId="7E4B932E" w:rsidR="00E4702E" w:rsidRPr="003A5EE1" w:rsidRDefault="00116C14" w:rsidP="005E2C3E">
      <w:pPr>
        <w:pStyle w:val="BayerBodyTextFull"/>
        <w:keepNext/>
        <w:spacing w:before="0" w:after="0"/>
        <w:rPr>
          <w:rFonts w:ascii="Arial" w:hAnsi="Arial" w:cs="Arial"/>
          <w:snapToGrid w:val="0"/>
          <w:sz w:val="22"/>
          <w:szCs w:val="22"/>
          <w:lang w:val="en-GB"/>
        </w:rPr>
      </w:pPr>
      <w:r w:rsidRPr="003A5EE1">
        <w:rPr>
          <w:rFonts w:ascii="Arial" w:hAnsi="Arial" w:cs="Arial"/>
          <w:snapToGrid w:val="0"/>
          <w:sz w:val="22"/>
          <w:szCs w:val="22"/>
          <w:lang w:val="en-GB"/>
        </w:rPr>
        <w:t xml:space="preserve">Take </w:t>
      </w:r>
      <w:r w:rsidR="007B431E" w:rsidRPr="003A5EE1">
        <w:rPr>
          <w:rFonts w:ascii="Arial" w:hAnsi="Arial" w:cs="Arial"/>
          <w:snapToGrid w:val="0"/>
          <w:sz w:val="22"/>
          <w:szCs w:val="22"/>
          <w:lang w:val="en-GB"/>
        </w:rPr>
        <w:t>four</w:t>
      </w:r>
      <w:r w:rsidRPr="003A5EE1">
        <w:rPr>
          <w:rFonts w:ascii="Arial" w:hAnsi="Arial" w:cs="Arial"/>
          <w:snapToGrid w:val="0"/>
          <w:sz w:val="22"/>
          <w:szCs w:val="22"/>
          <w:lang w:val="en-GB"/>
        </w:rPr>
        <w:t xml:space="preserve"> </w:t>
      </w:r>
      <w:r w:rsidR="00601DFC">
        <w:rPr>
          <w:rFonts w:ascii="Arial" w:hAnsi="Arial" w:cs="Arial"/>
          <w:snapToGrid w:val="0"/>
          <w:sz w:val="22"/>
          <w:szCs w:val="22"/>
          <w:lang w:val="en-GB"/>
        </w:rPr>
        <w:t xml:space="preserve">STIVARGA </w:t>
      </w:r>
      <w:r w:rsidR="00AF1100" w:rsidRPr="003A5EE1">
        <w:rPr>
          <w:rFonts w:ascii="Arial" w:hAnsi="Arial" w:cs="Arial"/>
          <w:snapToGrid w:val="0"/>
          <w:sz w:val="22"/>
          <w:szCs w:val="22"/>
          <w:lang w:val="en-GB"/>
        </w:rPr>
        <w:t>(</w:t>
      </w:r>
      <w:r w:rsidRPr="003A5EE1">
        <w:rPr>
          <w:rFonts w:ascii="Arial" w:hAnsi="Arial" w:cs="Arial"/>
          <w:snapToGrid w:val="0"/>
          <w:sz w:val="22"/>
          <w:szCs w:val="22"/>
          <w:lang w:val="en-GB"/>
        </w:rPr>
        <w:t>40 mg</w:t>
      </w:r>
      <w:r w:rsidR="00AF1100" w:rsidRPr="003A5EE1">
        <w:rPr>
          <w:rFonts w:ascii="Arial" w:hAnsi="Arial" w:cs="Arial"/>
          <w:snapToGrid w:val="0"/>
          <w:sz w:val="22"/>
          <w:szCs w:val="22"/>
          <w:lang w:val="en-GB"/>
        </w:rPr>
        <w:t>)</w:t>
      </w:r>
      <w:r w:rsidRPr="003A5EE1">
        <w:rPr>
          <w:rFonts w:ascii="Arial" w:hAnsi="Arial" w:cs="Arial"/>
          <w:snapToGrid w:val="0"/>
          <w:sz w:val="22"/>
          <w:szCs w:val="22"/>
          <w:lang w:val="en-GB"/>
        </w:rPr>
        <w:t xml:space="preserve"> tablet</w:t>
      </w:r>
      <w:r w:rsidR="009E63D5" w:rsidRPr="003A5EE1">
        <w:rPr>
          <w:rFonts w:ascii="Arial" w:hAnsi="Arial" w:cs="Arial"/>
          <w:snapToGrid w:val="0"/>
          <w:sz w:val="22"/>
          <w:szCs w:val="22"/>
          <w:lang w:val="en-GB"/>
        </w:rPr>
        <w:t>s</w:t>
      </w:r>
      <w:r w:rsidRPr="003A5EE1">
        <w:rPr>
          <w:rFonts w:ascii="Arial" w:hAnsi="Arial" w:cs="Arial"/>
          <w:snapToGrid w:val="0"/>
          <w:sz w:val="22"/>
          <w:szCs w:val="22"/>
          <w:lang w:val="en-GB"/>
        </w:rPr>
        <w:t xml:space="preserve"> daily at the same time each day for </w:t>
      </w:r>
      <w:r w:rsidR="007B431E" w:rsidRPr="003A5EE1">
        <w:rPr>
          <w:rFonts w:ascii="Arial" w:hAnsi="Arial" w:cs="Arial"/>
          <w:snapToGrid w:val="0"/>
          <w:sz w:val="22"/>
          <w:szCs w:val="22"/>
          <w:lang w:val="en-GB"/>
        </w:rPr>
        <w:t>three</w:t>
      </w:r>
      <w:r w:rsidRPr="003A5EE1">
        <w:rPr>
          <w:rFonts w:ascii="Arial" w:hAnsi="Arial" w:cs="Arial"/>
          <w:snapToGrid w:val="0"/>
          <w:sz w:val="22"/>
          <w:szCs w:val="22"/>
          <w:lang w:val="en-GB"/>
        </w:rPr>
        <w:t xml:space="preserve"> </w:t>
      </w:r>
      <w:r w:rsidR="00D8674D" w:rsidRPr="003A5EE1">
        <w:rPr>
          <w:rFonts w:ascii="Arial" w:hAnsi="Arial" w:cs="Arial"/>
          <w:snapToGrid w:val="0"/>
          <w:sz w:val="22"/>
          <w:szCs w:val="22"/>
          <w:lang w:val="en-GB"/>
        </w:rPr>
        <w:t>weeks on</w:t>
      </w:r>
      <w:r w:rsidRPr="003A5EE1">
        <w:rPr>
          <w:rFonts w:ascii="Arial" w:hAnsi="Arial" w:cs="Arial"/>
          <w:snapToGrid w:val="0"/>
          <w:sz w:val="22"/>
          <w:szCs w:val="22"/>
          <w:lang w:val="en-GB"/>
        </w:rPr>
        <w:t xml:space="preserve"> therapy </w:t>
      </w:r>
      <w:r w:rsidR="00F44B4B" w:rsidRPr="003A5EE1">
        <w:rPr>
          <w:rFonts w:ascii="Arial" w:hAnsi="Arial" w:cs="Arial"/>
          <w:snapToGrid w:val="0"/>
          <w:sz w:val="22"/>
          <w:szCs w:val="22"/>
          <w:lang w:val="en-GB"/>
        </w:rPr>
        <w:t xml:space="preserve">(21 days) </w:t>
      </w:r>
      <w:r w:rsidRPr="003A5EE1">
        <w:rPr>
          <w:rFonts w:ascii="Arial" w:hAnsi="Arial" w:cs="Arial"/>
          <w:snapToGrid w:val="0"/>
          <w:sz w:val="22"/>
          <w:szCs w:val="22"/>
          <w:lang w:val="en-GB"/>
        </w:rPr>
        <w:t xml:space="preserve">followed by </w:t>
      </w:r>
      <w:r w:rsidR="007B431E" w:rsidRPr="003A5EE1">
        <w:rPr>
          <w:rFonts w:ascii="Arial" w:hAnsi="Arial" w:cs="Arial"/>
          <w:snapToGrid w:val="0"/>
          <w:sz w:val="22"/>
          <w:szCs w:val="22"/>
          <w:lang w:val="en-GB"/>
        </w:rPr>
        <w:t>one</w:t>
      </w:r>
      <w:r w:rsidRPr="003A5EE1">
        <w:rPr>
          <w:rFonts w:ascii="Arial" w:hAnsi="Arial" w:cs="Arial"/>
          <w:snapToGrid w:val="0"/>
          <w:sz w:val="22"/>
          <w:szCs w:val="22"/>
          <w:lang w:val="en-GB"/>
        </w:rPr>
        <w:t xml:space="preserve"> week off therapy </w:t>
      </w:r>
      <w:r w:rsidR="00F44B4B" w:rsidRPr="003A5EE1">
        <w:rPr>
          <w:rFonts w:ascii="Arial" w:hAnsi="Arial" w:cs="Arial"/>
          <w:snapToGrid w:val="0"/>
          <w:sz w:val="22"/>
          <w:szCs w:val="22"/>
          <w:lang w:val="en-GB"/>
        </w:rPr>
        <w:t xml:space="preserve">(7 days) </w:t>
      </w:r>
      <w:r w:rsidRPr="003A5EE1">
        <w:rPr>
          <w:rFonts w:ascii="Arial" w:hAnsi="Arial" w:cs="Arial"/>
          <w:snapToGrid w:val="0"/>
          <w:sz w:val="22"/>
          <w:szCs w:val="22"/>
          <w:lang w:val="en-GB"/>
        </w:rPr>
        <w:t xml:space="preserve">to comprise a cycle of </w:t>
      </w:r>
      <w:r w:rsidR="007B431E" w:rsidRPr="003A5EE1">
        <w:rPr>
          <w:rFonts w:ascii="Arial" w:hAnsi="Arial" w:cs="Arial"/>
          <w:snapToGrid w:val="0"/>
          <w:sz w:val="22"/>
          <w:szCs w:val="22"/>
          <w:lang w:val="en-GB"/>
        </w:rPr>
        <w:t>four</w:t>
      </w:r>
      <w:r w:rsidRPr="003A5EE1">
        <w:rPr>
          <w:rFonts w:ascii="Arial" w:hAnsi="Arial" w:cs="Arial"/>
          <w:snapToGrid w:val="0"/>
          <w:sz w:val="22"/>
          <w:szCs w:val="22"/>
          <w:lang w:val="en-GB"/>
        </w:rPr>
        <w:t xml:space="preserve"> weeks </w:t>
      </w:r>
      <w:r w:rsidR="00BB3DF3" w:rsidRPr="003A5EE1">
        <w:rPr>
          <w:rFonts w:ascii="Arial" w:hAnsi="Arial" w:cs="Arial"/>
          <w:snapToGrid w:val="0"/>
          <w:sz w:val="22"/>
          <w:szCs w:val="22"/>
          <w:lang w:val="en-GB"/>
        </w:rPr>
        <w:t xml:space="preserve">(28 days) </w:t>
      </w:r>
      <w:r w:rsidRPr="003A5EE1">
        <w:rPr>
          <w:rFonts w:ascii="Arial" w:hAnsi="Arial" w:cs="Arial"/>
          <w:snapToGrid w:val="0"/>
          <w:sz w:val="22"/>
          <w:szCs w:val="22"/>
          <w:lang w:val="en-GB"/>
        </w:rPr>
        <w:t>(</w:t>
      </w:r>
      <w:r w:rsidR="00415012" w:rsidRPr="003A5EE1">
        <w:rPr>
          <w:rFonts w:ascii="Arial" w:hAnsi="Arial" w:cs="Arial"/>
          <w:snapToGrid w:val="0"/>
          <w:sz w:val="22"/>
          <w:szCs w:val="22"/>
          <w:lang w:val="en-GB"/>
        </w:rPr>
        <w:t>see</w:t>
      </w:r>
      <w:r w:rsidRPr="003A5EE1">
        <w:rPr>
          <w:rFonts w:ascii="Arial" w:hAnsi="Arial" w:cs="Arial"/>
          <w:snapToGrid w:val="0"/>
          <w:sz w:val="22"/>
          <w:szCs w:val="22"/>
          <w:lang w:val="en-GB"/>
        </w:rPr>
        <w:t xml:space="preserve"> Pharmacokinetic</w:t>
      </w:r>
      <w:r w:rsidR="00762FB9" w:rsidRPr="003A5EE1">
        <w:rPr>
          <w:rFonts w:ascii="Arial" w:hAnsi="Arial" w:cs="Arial"/>
          <w:snapToGrid w:val="0"/>
          <w:sz w:val="22"/>
          <w:szCs w:val="22"/>
          <w:lang w:val="en-GB"/>
        </w:rPr>
        <w:t>s</w:t>
      </w:r>
      <w:r w:rsidR="009E63D5" w:rsidRPr="003A5EE1">
        <w:rPr>
          <w:rFonts w:ascii="Arial" w:hAnsi="Arial" w:cs="Arial"/>
          <w:snapToGrid w:val="0"/>
          <w:sz w:val="22"/>
          <w:szCs w:val="22"/>
          <w:lang w:val="en-GB"/>
        </w:rPr>
        <w:t xml:space="preserve"> </w:t>
      </w:r>
      <w:r w:rsidRPr="003A5EE1">
        <w:rPr>
          <w:rFonts w:ascii="Arial" w:hAnsi="Arial" w:cs="Arial"/>
          <w:snapToGrid w:val="0"/>
          <w:sz w:val="22"/>
          <w:szCs w:val="22"/>
          <w:lang w:val="en-GB"/>
        </w:rPr>
        <w:t>– Absorption)</w:t>
      </w:r>
      <w:r w:rsidRPr="003A5EE1">
        <w:rPr>
          <w:rFonts w:ascii="Arial" w:hAnsi="Arial" w:cs="Arial"/>
          <w:i/>
          <w:snapToGrid w:val="0"/>
          <w:color w:val="0000FF"/>
          <w:sz w:val="22"/>
          <w:szCs w:val="22"/>
          <w:lang w:val="en-GB"/>
        </w:rPr>
        <w:t xml:space="preserve">. </w:t>
      </w:r>
      <w:r w:rsidR="00A61CA6" w:rsidRPr="003A5EE1">
        <w:rPr>
          <w:rFonts w:ascii="Arial" w:hAnsi="Arial" w:cs="Arial"/>
          <w:snapToGrid w:val="0"/>
          <w:sz w:val="22"/>
          <w:szCs w:val="22"/>
          <w:lang w:val="en-GB"/>
        </w:rPr>
        <w:t>The tablets should be swallowed whole with water after a low fat meal (ideally at breakfast) that contains less than 30% fat. Example</w:t>
      </w:r>
      <w:r w:rsidR="00461711" w:rsidRPr="003A5EE1">
        <w:rPr>
          <w:rFonts w:ascii="Arial" w:hAnsi="Arial" w:cs="Arial"/>
          <w:snapToGrid w:val="0"/>
          <w:sz w:val="22"/>
          <w:szCs w:val="22"/>
          <w:lang w:val="en-GB"/>
        </w:rPr>
        <w:t xml:space="preserve"> of a low fat meal include one cup of cereal, 250 mL or one glass of skimmed milk, one slice of toast with jam, apple juice and one cup of coffee or tea</w:t>
      </w:r>
      <w:r w:rsidR="00407CD2" w:rsidRPr="003A5EE1">
        <w:rPr>
          <w:rFonts w:ascii="Arial" w:hAnsi="Arial" w:cs="Arial"/>
          <w:snapToGrid w:val="0"/>
          <w:sz w:val="22"/>
          <w:szCs w:val="22"/>
          <w:lang w:val="en-GB"/>
        </w:rPr>
        <w:t xml:space="preserve"> (520 calories, 2 g fat, 17 g protein, 93 g of carbohydrate)</w:t>
      </w:r>
      <w:r w:rsidR="00461711" w:rsidRPr="003A5EE1">
        <w:rPr>
          <w:rFonts w:ascii="Arial" w:hAnsi="Arial" w:cs="Arial"/>
          <w:snapToGrid w:val="0"/>
          <w:sz w:val="22"/>
          <w:szCs w:val="22"/>
          <w:lang w:val="en-GB"/>
        </w:rPr>
        <w:t xml:space="preserve">. </w:t>
      </w:r>
    </w:p>
    <w:p w14:paraId="712C2B91" w14:textId="77777777" w:rsidR="00461711" w:rsidRPr="003A5EE1" w:rsidRDefault="00461711" w:rsidP="00CF7423">
      <w:pPr>
        <w:pStyle w:val="BayerBodyTextFull"/>
        <w:spacing w:before="0" w:after="0"/>
        <w:rPr>
          <w:rFonts w:ascii="Arial" w:hAnsi="Arial" w:cs="Arial"/>
          <w:i/>
          <w:snapToGrid w:val="0"/>
          <w:color w:val="000000"/>
          <w:sz w:val="22"/>
          <w:szCs w:val="22"/>
          <w:lang w:val="en-GB"/>
        </w:rPr>
      </w:pPr>
    </w:p>
    <w:p w14:paraId="712C2B92" w14:textId="77777777" w:rsidR="00461711" w:rsidRPr="003A5EE1" w:rsidRDefault="00461711" w:rsidP="00461711">
      <w:pPr>
        <w:pStyle w:val="BayerBodyTextFull"/>
        <w:spacing w:before="0" w:after="0"/>
        <w:rPr>
          <w:rFonts w:ascii="Arial" w:hAnsi="Arial" w:cs="Arial"/>
          <w:i/>
          <w:snapToGrid w:val="0"/>
          <w:color w:val="000000"/>
          <w:sz w:val="22"/>
          <w:szCs w:val="22"/>
          <w:lang w:val="en-GB"/>
        </w:rPr>
      </w:pPr>
      <w:r w:rsidRPr="003A5EE1">
        <w:rPr>
          <w:rFonts w:ascii="Arial" w:hAnsi="Arial" w:cs="Arial"/>
          <w:snapToGrid w:val="0"/>
          <w:color w:val="000000"/>
          <w:sz w:val="22"/>
          <w:szCs w:val="22"/>
          <w:lang w:val="en-GB"/>
        </w:rPr>
        <w:t xml:space="preserve">The recommended </w:t>
      </w:r>
      <w:r w:rsidR="00A61CA6" w:rsidRPr="003A5EE1">
        <w:rPr>
          <w:rFonts w:ascii="Arial" w:hAnsi="Arial" w:cs="Arial"/>
          <w:snapToGrid w:val="0"/>
          <w:color w:val="000000"/>
          <w:sz w:val="22"/>
          <w:szCs w:val="22"/>
          <w:lang w:val="en-GB"/>
        </w:rPr>
        <w:t xml:space="preserve">daily </w:t>
      </w:r>
      <w:r w:rsidRPr="003A5EE1">
        <w:rPr>
          <w:rFonts w:ascii="Arial" w:hAnsi="Arial" w:cs="Arial"/>
          <w:snapToGrid w:val="0"/>
          <w:color w:val="000000"/>
          <w:sz w:val="22"/>
          <w:szCs w:val="22"/>
          <w:lang w:val="en-GB"/>
        </w:rPr>
        <w:t xml:space="preserve">dose is 160 mg and contains 2.427 </w:t>
      </w:r>
      <w:proofErr w:type="spellStart"/>
      <w:r w:rsidRPr="003A5EE1">
        <w:rPr>
          <w:rFonts w:ascii="Arial" w:hAnsi="Arial" w:cs="Arial"/>
          <w:snapToGrid w:val="0"/>
          <w:color w:val="000000"/>
          <w:sz w:val="22"/>
          <w:szCs w:val="22"/>
          <w:lang w:val="en-GB"/>
        </w:rPr>
        <w:t>mmol</w:t>
      </w:r>
      <w:proofErr w:type="spellEnd"/>
      <w:r w:rsidRPr="003A5EE1">
        <w:rPr>
          <w:rFonts w:ascii="Arial" w:hAnsi="Arial" w:cs="Arial"/>
          <w:snapToGrid w:val="0"/>
          <w:color w:val="000000"/>
          <w:sz w:val="22"/>
          <w:szCs w:val="22"/>
          <w:lang w:val="en-GB"/>
        </w:rPr>
        <w:t xml:space="preserve"> (equivalent to 55.8 mg) of sodium per daily dose. </w:t>
      </w:r>
    </w:p>
    <w:p w14:paraId="712C2B93" w14:textId="77777777" w:rsidR="00116C14" w:rsidRPr="003A5EE1" w:rsidRDefault="00116C14" w:rsidP="002E54D9">
      <w:pPr>
        <w:pStyle w:val="BayerBodyTextFull"/>
        <w:spacing w:before="0" w:after="0"/>
        <w:rPr>
          <w:rFonts w:ascii="Arial" w:hAnsi="Arial" w:cs="Arial"/>
          <w:snapToGrid w:val="0"/>
          <w:sz w:val="22"/>
          <w:szCs w:val="22"/>
          <w:lang w:val="en-GB"/>
        </w:rPr>
      </w:pPr>
    </w:p>
    <w:p w14:paraId="712C2B94" w14:textId="345A55E1" w:rsidR="00FE77A5" w:rsidRPr="003A5EE1" w:rsidRDefault="00FE77A5" w:rsidP="002E54D9">
      <w:pPr>
        <w:pStyle w:val="BayerBodyTextFull"/>
        <w:spacing w:before="0" w:after="0"/>
        <w:rPr>
          <w:rFonts w:ascii="Arial" w:hAnsi="Arial" w:cs="Arial"/>
          <w:sz w:val="22"/>
          <w:szCs w:val="22"/>
        </w:rPr>
      </w:pPr>
      <w:r w:rsidRPr="003A5EE1">
        <w:rPr>
          <w:rFonts w:ascii="Arial" w:hAnsi="Arial" w:cs="Arial"/>
          <w:sz w:val="22"/>
          <w:szCs w:val="22"/>
        </w:rPr>
        <w:t xml:space="preserve">If a dose of </w:t>
      </w:r>
      <w:r w:rsidR="00601DFC">
        <w:rPr>
          <w:rFonts w:ascii="Arial" w:hAnsi="Arial" w:cs="Arial"/>
          <w:sz w:val="22"/>
          <w:szCs w:val="22"/>
        </w:rPr>
        <w:t xml:space="preserve">STIVARGA </w:t>
      </w:r>
      <w:r w:rsidRPr="003A5EE1">
        <w:rPr>
          <w:rFonts w:ascii="Arial" w:hAnsi="Arial" w:cs="Arial"/>
          <w:sz w:val="22"/>
          <w:szCs w:val="22"/>
        </w:rPr>
        <w:t>is missed, then it should be taken on the same day as soon as the patient remembers. The patient should not take two doses on the same day to make up for a missed dose.</w:t>
      </w:r>
    </w:p>
    <w:p w14:paraId="712C2B95" w14:textId="77777777" w:rsidR="00116C14" w:rsidRPr="003A5EE1" w:rsidRDefault="00116C14" w:rsidP="002E54D9">
      <w:pPr>
        <w:pStyle w:val="BayerBodyTextFull"/>
        <w:spacing w:before="0" w:after="0"/>
        <w:rPr>
          <w:rFonts w:ascii="Arial" w:hAnsi="Arial" w:cs="Arial"/>
          <w:snapToGrid w:val="0"/>
          <w:sz w:val="22"/>
          <w:szCs w:val="22"/>
          <w:lang w:val="en-GB"/>
        </w:rPr>
      </w:pPr>
    </w:p>
    <w:p w14:paraId="712C2B96" w14:textId="77777777" w:rsidR="0033195B" w:rsidRPr="003A5EE1" w:rsidRDefault="00FE77A5" w:rsidP="002E54D9">
      <w:pPr>
        <w:pStyle w:val="BayerBodyTextFull"/>
        <w:spacing w:before="0" w:after="0"/>
        <w:rPr>
          <w:rFonts w:ascii="Arial" w:hAnsi="Arial" w:cs="Arial"/>
          <w:i/>
          <w:sz w:val="22"/>
          <w:szCs w:val="22"/>
        </w:rPr>
      </w:pPr>
      <w:r w:rsidRPr="003A5EE1">
        <w:rPr>
          <w:rFonts w:ascii="Arial" w:hAnsi="Arial" w:cs="Arial"/>
          <w:sz w:val="22"/>
          <w:szCs w:val="22"/>
        </w:rPr>
        <w:t>Treatment should continue as long as benefit is observed or until unacceptable toxicity occurs (</w:t>
      </w:r>
      <w:r w:rsidR="00493702" w:rsidRPr="003A5EE1">
        <w:rPr>
          <w:rFonts w:ascii="Arial" w:hAnsi="Arial" w:cs="Arial"/>
          <w:sz w:val="22"/>
          <w:szCs w:val="22"/>
        </w:rPr>
        <w:t>see</w:t>
      </w:r>
      <w:r w:rsidR="00116C14" w:rsidRPr="003A5EE1">
        <w:rPr>
          <w:rFonts w:ascii="Arial" w:hAnsi="Arial" w:cs="Arial"/>
          <w:sz w:val="22"/>
          <w:szCs w:val="22"/>
        </w:rPr>
        <w:t xml:space="preserve"> </w:t>
      </w:r>
      <w:r w:rsidR="00F00CDC">
        <w:rPr>
          <w:rFonts w:ascii="Arial" w:hAnsi="Arial" w:cs="Arial"/>
          <w:sz w:val="22"/>
          <w:szCs w:val="22"/>
        </w:rPr>
        <w:t>PRECAUTIONS</w:t>
      </w:r>
      <w:r w:rsidRPr="003A5EE1">
        <w:rPr>
          <w:rFonts w:ascii="Arial" w:hAnsi="Arial" w:cs="Arial"/>
          <w:sz w:val="22"/>
          <w:szCs w:val="22"/>
        </w:rPr>
        <w:t>)</w:t>
      </w:r>
      <w:r w:rsidRPr="003A5EE1">
        <w:rPr>
          <w:rFonts w:ascii="Arial" w:hAnsi="Arial" w:cs="Arial"/>
          <w:i/>
          <w:sz w:val="22"/>
          <w:szCs w:val="22"/>
        </w:rPr>
        <w:t>.</w:t>
      </w:r>
    </w:p>
    <w:p w14:paraId="712C2B97" w14:textId="77777777" w:rsidR="0033195B" w:rsidRPr="003A5EE1" w:rsidRDefault="0033195B" w:rsidP="002E54D9">
      <w:pPr>
        <w:pStyle w:val="BayerBodyTextFull"/>
        <w:spacing w:before="0" w:after="0"/>
        <w:rPr>
          <w:rFonts w:ascii="Arial" w:hAnsi="Arial" w:cs="Arial"/>
          <w:i/>
          <w:sz w:val="22"/>
          <w:szCs w:val="22"/>
        </w:rPr>
      </w:pPr>
    </w:p>
    <w:p w14:paraId="712C2B98" w14:textId="77777777" w:rsidR="00FE77A5" w:rsidRPr="00504EA0" w:rsidRDefault="00FE77A5" w:rsidP="00F4557E">
      <w:pPr>
        <w:pStyle w:val="Heading2"/>
        <w:spacing w:before="0" w:after="0"/>
        <w:ind w:right="45"/>
        <w:jc w:val="left"/>
        <w:rPr>
          <w:rFonts w:ascii="Arial" w:hAnsi="Arial" w:cs="Arial"/>
          <w:sz w:val="22"/>
          <w:szCs w:val="22"/>
        </w:rPr>
      </w:pPr>
      <w:r w:rsidRPr="00F4557E">
        <w:rPr>
          <w:rFonts w:ascii="Arial" w:hAnsi="Arial" w:cs="Arial"/>
          <w:i/>
          <w:noProof/>
          <w:sz w:val="22"/>
          <w:szCs w:val="22"/>
        </w:rPr>
        <w:t>Dose modification</w:t>
      </w:r>
      <w:r w:rsidR="00493702" w:rsidRPr="00F4557E">
        <w:rPr>
          <w:rFonts w:ascii="Arial" w:hAnsi="Arial" w:cs="Arial"/>
          <w:i/>
          <w:noProof/>
          <w:sz w:val="22"/>
          <w:szCs w:val="22"/>
        </w:rPr>
        <w:t>/discontinuations</w:t>
      </w:r>
    </w:p>
    <w:p w14:paraId="712C2B99" w14:textId="77777777" w:rsidR="00116C14" w:rsidRPr="003A5EE1" w:rsidRDefault="00116C14" w:rsidP="009B62F1">
      <w:pPr>
        <w:pStyle w:val="BayerBodyTextFull"/>
        <w:keepNext/>
        <w:spacing w:before="0" w:after="0"/>
        <w:rPr>
          <w:rFonts w:ascii="Arial" w:hAnsi="Arial" w:cs="Arial"/>
          <w:b/>
          <w:i/>
          <w:sz w:val="22"/>
          <w:szCs w:val="22"/>
        </w:rPr>
      </w:pPr>
    </w:p>
    <w:p w14:paraId="712C2B9A" w14:textId="77777777" w:rsidR="00FE77A5" w:rsidRDefault="00FE77A5" w:rsidP="009B62F1">
      <w:pPr>
        <w:pStyle w:val="BayerBodyTextFull"/>
        <w:keepNext/>
        <w:spacing w:before="0" w:after="0"/>
        <w:rPr>
          <w:rFonts w:ascii="Arial" w:hAnsi="Arial" w:cs="Arial"/>
          <w:sz w:val="22"/>
          <w:szCs w:val="22"/>
        </w:rPr>
      </w:pPr>
      <w:r w:rsidRPr="003A5EE1">
        <w:rPr>
          <w:rFonts w:ascii="Arial" w:hAnsi="Arial" w:cs="Arial"/>
          <w:sz w:val="22"/>
          <w:szCs w:val="22"/>
        </w:rPr>
        <w:t>Dose interruptions and/or dose reductions</w:t>
      </w:r>
      <w:r w:rsidR="00C51EF6">
        <w:rPr>
          <w:rFonts w:ascii="Arial" w:hAnsi="Arial" w:cs="Arial"/>
          <w:sz w:val="22"/>
          <w:szCs w:val="22"/>
        </w:rPr>
        <w:t xml:space="preserve"> or dose discontinuations</w:t>
      </w:r>
      <w:r w:rsidRPr="003A5EE1">
        <w:rPr>
          <w:rFonts w:ascii="Arial" w:hAnsi="Arial" w:cs="Arial"/>
          <w:sz w:val="22"/>
          <w:szCs w:val="22"/>
        </w:rPr>
        <w:t xml:space="preserve"> may be required based on individual safety and tolerability. Dose modifications are to be applied in 40 mg (one tablet) steps. The lowest recommended daily dose is 80 mg. The maximum daily dose is 160 mg.</w:t>
      </w:r>
    </w:p>
    <w:p w14:paraId="74C11D27" w14:textId="77777777" w:rsidR="00DF3A5A" w:rsidRDefault="00DF3A5A" w:rsidP="00F34FCB">
      <w:pPr>
        <w:pStyle w:val="BayerBodyTextFull"/>
        <w:spacing w:before="0"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74770A" w:rsidRPr="00304CB3" w14:paraId="712C2B9D" w14:textId="77777777" w:rsidTr="00304CB3">
        <w:tc>
          <w:tcPr>
            <w:tcW w:w="9428" w:type="dxa"/>
            <w:tcBorders>
              <w:left w:val="nil"/>
              <w:right w:val="nil"/>
            </w:tcBorders>
            <w:shd w:val="pct12" w:color="auto" w:fill="auto"/>
          </w:tcPr>
          <w:p w14:paraId="712C2B9C" w14:textId="089D707C" w:rsidR="0074770A" w:rsidRPr="00304CB3" w:rsidRDefault="0074770A" w:rsidP="00CD4EDB">
            <w:pPr>
              <w:pStyle w:val="BayerBodyTextFull"/>
              <w:keepNext/>
              <w:tabs>
                <w:tab w:val="left" w:pos="567"/>
              </w:tabs>
              <w:spacing w:before="0" w:after="0" w:line="260" w:lineRule="exact"/>
              <w:rPr>
                <w:rFonts w:ascii="Arial" w:hAnsi="Arial" w:cs="Arial"/>
                <w:sz w:val="22"/>
                <w:szCs w:val="22"/>
              </w:rPr>
            </w:pPr>
            <w:r w:rsidRPr="00304CB3">
              <w:rPr>
                <w:rFonts w:ascii="Arial" w:hAnsi="Arial" w:cs="Arial"/>
                <w:sz w:val="22"/>
                <w:szCs w:val="22"/>
              </w:rPr>
              <w:t xml:space="preserve">Discontinue </w:t>
            </w:r>
            <w:r w:rsidR="00601DFC">
              <w:rPr>
                <w:rFonts w:ascii="Arial" w:hAnsi="Arial" w:cs="Arial"/>
                <w:sz w:val="22"/>
                <w:szCs w:val="22"/>
              </w:rPr>
              <w:t xml:space="preserve">STIVARGA </w:t>
            </w:r>
            <w:r w:rsidRPr="00304CB3">
              <w:rPr>
                <w:rFonts w:ascii="Arial" w:hAnsi="Arial" w:cs="Arial"/>
                <w:sz w:val="22"/>
                <w:szCs w:val="22"/>
              </w:rPr>
              <w:t xml:space="preserve">permanently for (see </w:t>
            </w:r>
            <w:r w:rsidR="00F00CDC">
              <w:rPr>
                <w:rFonts w:ascii="Arial" w:hAnsi="Arial" w:cs="Arial"/>
                <w:sz w:val="22"/>
                <w:szCs w:val="22"/>
              </w:rPr>
              <w:t>PRECAUTIONS</w:t>
            </w:r>
            <w:r w:rsidRPr="00304CB3">
              <w:rPr>
                <w:rFonts w:ascii="Arial" w:hAnsi="Arial" w:cs="Arial"/>
                <w:sz w:val="22"/>
                <w:szCs w:val="22"/>
              </w:rPr>
              <w:t>):</w:t>
            </w:r>
          </w:p>
        </w:tc>
      </w:tr>
      <w:tr w:rsidR="0074770A" w:rsidRPr="00304CB3" w14:paraId="712C2BAA" w14:textId="77777777" w:rsidTr="00304CB3">
        <w:tc>
          <w:tcPr>
            <w:tcW w:w="9428" w:type="dxa"/>
            <w:tcBorders>
              <w:left w:val="nil"/>
              <w:bottom w:val="single" w:sz="4" w:space="0" w:color="auto"/>
              <w:right w:val="nil"/>
            </w:tcBorders>
            <w:shd w:val="clear" w:color="auto" w:fill="auto"/>
          </w:tcPr>
          <w:p w14:paraId="712C2B9E" w14:textId="77777777" w:rsidR="0074770A"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Severe and persistent hepatotoxicity</w:t>
            </w:r>
          </w:p>
          <w:p w14:paraId="712C2B9F" w14:textId="77777777" w:rsidR="0074770A" w:rsidRPr="00304CB3"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Severe or life-threatening haemorrhage</w:t>
            </w:r>
          </w:p>
          <w:p w14:paraId="712C2BA0" w14:textId="77777777" w:rsidR="0074770A" w:rsidRPr="00304CB3"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Severe and persistent HFSR</w:t>
            </w:r>
          </w:p>
          <w:p w14:paraId="712C2BA1" w14:textId="77777777" w:rsidR="0074770A" w:rsidRPr="00304CB3"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Hypertensive crisis</w:t>
            </w:r>
          </w:p>
          <w:p w14:paraId="712C2BA2" w14:textId="77777777" w:rsidR="0074770A" w:rsidRPr="00304CB3"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RPLS</w:t>
            </w:r>
          </w:p>
          <w:p w14:paraId="712C2BA3" w14:textId="77777777" w:rsidR="0074770A"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Gastrointestinal perforation or fistula</w:t>
            </w:r>
          </w:p>
          <w:p w14:paraId="712C2BA4" w14:textId="77777777" w:rsidR="003C449E" w:rsidRDefault="003C449E" w:rsidP="00CD4EDB">
            <w:pPr>
              <w:pStyle w:val="BayerBodyTextFull"/>
              <w:keepNext/>
              <w:numPr>
                <w:ilvl w:val="0"/>
                <w:numId w:val="32"/>
              </w:numPr>
              <w:spacing w:before="0" w:after="0" w:line="260" w:lineRule="exact"/>
              <w:ind w:left="426" w:hanging="295"/>
              <w:rPr>
                <w:rFonts w:ascii="Arial" w:hAnsi="Arial" w:cs="Arial"/>
                <w:sz w:val="22"/>
                <w:szCs w:val="22"/>
              </w:rPr>
            </w:pPr>
            <w:r>
              <w:rPr>
                <w:rFonts w:ascii="Arial" w:hAnsi="Arial" w:cs="Arial"/>
                <w:sz w:val="22"/>
                <w:szCs w:val="22"/>
              </w:rPr>
              <w:t xml:space="preserve">Development of new or acute onset cardiac ischaemia and/or infarction if not resolved after interruption </w:t>
            </w:r>
          </w:p>
          <w:p w14:paraId="712C2BA5" w14:textId="77777777" w:rsidR="0074770A" w:rsidRPr="00304CB3"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rPr>
              <w:t>Wound dehiscence</w:t>
            </w:r>
          </w:p>
          <w:p w14:paraId="712C2BA6" w14:textId="77777777" w:rsidR="0074770A" w:rsidRPr="00304CB3" w:rsidRDefault="0074770A" w:rsidP="00CD4EDB">
            <w:pPr>
              <w:keepNext/>
              <w:numPr>
                <w:ilvl w:val="0"/>
                <w:numId w:val="32"/>
              </w:numPr>
              <w:autoSpaceDE w:val="0"/>
              <w:autoSpaceDN w:val="0"/>
              <w:adjustRightInd w:val="0"/>
              <w:spacing w:line="260" w:lineRule="exact"/>
              <w:ind w:left="426" w:hanging="295"/>
              <w:rPr>
                <w:rFonts w:ascii="Arial" w:hAnsi="Arial" w:cs="Arial"/>
                <w:bCs/>
                <w:color w:val="000000"/>
                <w:sz w:val="22"/>
                <w:szCs w:val="22"/>
                <w:lang w:val="en-AU" w:eastAsia="en-AU"/>
              </w:rPr>
            </w:pPr>
            <w:r w:rsidRPr="00304CB3">
              <w:rPr>
                <w:rFonts w:ascii="Arial" w:hAnsi="Arial" w:cs="Arial"/>
                <w:sz w:val="22"/>
                <w:szCs w:val="22"/>
                <w:lang w:val="en-AU" w:eastAsia="en-AU"/>
              </w:rPr>
              <w:t xml:space="preserve">Significant </w:t>
            </w:r>
            <w:r w:rsidRPr="00304CB3">
              <w:rPr>
                <w:rFonts w:ascii="Arial" w:hAnsi="Arial" w:cs="Arial"/>
                <w:bCs/>
                <w:color w:val="000000"/>
                <w:sz w:val="22"/>
                <w:szCs w:val="22"/>
                <w:lang w:val="en-AU" w:eastAsia="en-AU"/>
              </w:rPr>
              <w:t xml:space="preserve">biochemical and metabolic abnormalities </w:t>
            </w:r>
          </w:p>
          <w:p w14:paraId="712C2BA7" w14:textId="77777777" w:rsidR="0074770A" w:rsidRPr="00304CB3" w:rsidRDefault="0074770A" w:rsidP="00CD4EDB">
            <w:pPr>
              <w:pStyle w:val="BayerBodyTextFull"/>
              <w:keepNext/>
              <w:numPr>
                <w:ilvl w:val="0"/>
                <w:numId w:val="32"/>
              </w:numPr>
              <w:spacing w:before="0" w:after="0" w:line="260" w:lineRule="exact"/>
              <w:ind w:left="426" w:hanging="295"/>
              <w:rPr>
                <w:rFonts w:ascii="Arial" w:hAnsi="Arial" w:cs="Arial"/>
                <w:sz w:val="22"/>
                <w:szCs w:val="22"/>
              </w:rPr>
            </w:pPr>
            <w:r w:rsidRPr="00304CB3">
              <w:rPr>
                <w:rFonts w:ascii="Arial" w:hAnsi="Arial" w:cs="Arial"/>
                <w:sz w:val="22"/>
                <w:szCs w:val="22"/>
                <w:lang w:val="en-AU" w:eastAsia="en-AU"/>
              </w:rPr>
              <w:t>Failure to tolerate 80 mg dose</w:t>
            </w:r>
          </w:p>
          <w:p w14:paraId="712C2BA8" w14:textId="77777777" w:rsidR="0074770A" w:rsidRPr="00304CB3" w:rsidRDefault="0074770A" w:rsidP="00CD4EDB">
            <w:pPr>
              <w:pStyle w:val="BayerBodyTextFull"/>
              <w:keepNext/>
              <w:numPr>
                <w:ilvl w:val="0"/>
                <w:numId w:val="32"/>
              </w:numPr>
              <w:spacing w:before="0" w:after="0" w:line="260" w:lineRule="exact"/>
              <w:ind w:left="426" w:right="-144" w:hanging="295"/>
              <w:rPr>
                <w:rFonts w:ascii="Arial" w:hAnsi="Arial" w:cs="Arial"/>
                <w:sz w:val="22"/>
                <w:szCs w:val="22"/>
              </w:rPr>
            </w:pPr>
            <w:r w:rsidRPr="00304CB3">
              <w:rPr>
                <w:rFonts w:ascii="Arial" w:hAnsi="Arial" w:cs="Arial"/>
                <w:sz w:val="22"/>
                <w:szCs w:val="22"/>
                <w:lang w:val="en-AU" w:eastAsia="en-AU"/>
              </w:rPr>
              <w:t>For any Grade 4 adverse reaction; only resume if the potential benefit outweighs the risks</w:t>
            </w:r>
          </w:p>
          <w:p w14:paraId="712C2BA9" w14:textId="77777777" w:rsidR="0074770A" w:rsidRPr="00304CB3" w:rsidRDefault="0074770A" w:rsidP="00CD4EDB">
            <w:pPr>
              <w:pStyle w:val="BayerBodyTextFull"/>
              <w:keepNext/>
              <w:spacing w:before="0" w:after="0" w:line="260" w:lineRule="exact"/>
              <w:ind w:left="426" w:hanging="295"/>
              <w:rPr>
                <w:rFonts w:ascii="Arial" w:hAnsi="Arial" w:cs="Arial"/>
                <w:sz w:val="22"/>
                <w:szCs w:val="22"/>
              </w:rPr>
            </w:pPr>
          </w:p>
        </w:tc>
      </w:tr>
      <w:tr w:rsidR="0074770A" w:rsidRPr="00304CB3" w14:paraId="712C2BAC" w14:textId="77777777" w:rsidTr="00304CB3">
        <w:tc>
          <w:tcPr>
            <w:tcW w:w="9428" w:type="dxa"/>
            <w:tcBorders>
              <w:left w:val="nil"/>
              <w:right w:val="nil"/>
            </w:tcBorders>
            <w:shd w:val="pct12" w:color="auto" w:fill="auto"/>
          </w:tcPr>
          <w:p w14:paraId="712C2BAB" w14:textId="1AF0ED10" w:rsidR="0074770A" w:rsidRPr="00304CB3" w:rsidRDefault="0074770A" w:rsidP="00304CB3">
            <w:pPr>
              <w:pStyle w:val="BayerBodyTextFull"/>
              <w:keepNext/>
              <w:tabs>
                <w:tab w:val="left" w:pos="567"/>
              </w:tabs>
              <w:spacing w:before="0" w:after="0" w:line="260" w:lineRule="exact"/>
              <w:rPr>
                <w:rFonts w:ascii="Arial" w:hAnsi="Arial" w:cs="Arial"/>
                <w:sz w:val="22"/>
                <w:szCs w:val="22"/>
              </w:rPr>
            </w:pPr>
            <w:r w:rsidRPr="00304CB3">
              <w:rPr>
                <w:rFonts w:ascii="Arial" w:hAnsi="Arial" w:cs="Arial"/>
                <w:sz w:val="22"/>
                <w:szCs w:val="22"/>
              </w:rPr>
              <w:t xml:space="preserve">Interrupt </w:t>
            </w:r>
            <w:r w:rsidR="00601DFC">
              <w:rPr>
                <w:rFonts w:ascii="Arial" w:hAnsi="Arial" w:cs="Arial"/>
                <w:sz w:val="22"/>
                <w:szCs w:val="22"/>
              </w:rPr>
              <w:t xml:space="preserve">STIVARGA </w:t>
            </w:r>
            <w:r w:rsidRPr="00304CB3">
              <w:rPr>
                <w:rFonts w:ascii="Arial" w:hAnsi="Arial" w:cs="Arial"/>
                <w:sz w:val="22"/>
                <w:szCs w:val="22"/>
              </w:rPr>
              <w:t>for the following:</w:t>
            </w:r>
          </w:p>
        </w:tc>
      </w:tr>
      <w:tr w:rsidR="0074770A" w:rsidRPr="00304CB3" w14:paraId="712C2BB1" w14:textId="77777777" w:rsidTr="00304CB3">
        <w:tc>
          <w:tcPr>
            <w:tcW w:w="9428" w:type="dxa"/>
            <w:tcBorders>
              <w:left w:val="nil"/>
              <w:bottom w:val="nil"/>
              <w:right w:val="nil"/>
            </w:tcBorders>
            <w:shd w:val="clear" w:color="auto" w:fill="auto"/>
          </w:tcPr>
          <w:p w14:paraId="712C2BAD" w14:textId="77777777" w:rsidR="0074770A" w:rsidRPr="00304CB3" w:rsidRDefault="0074770A" w:rsidP="009B499F">
            <w:pPr>
              <w:numPr>
                <w:ilvl w:val="0"/>
                <w:numId w:val="33"/>
              </w:numPr>
              <w:autoSpaceDE w:val="0"/>
              <w:autoSpaceDN w:val="0"/>
              <w:adjustRightInd w:val="0"/>
              <w:spacing w:line="260" w:lineRule="exact"/>
              <w:ind w:left="426" w:hanging="284"/>
              <w:rPr>
                <w:rFonts w:ascii="Arial" w:hAnsi="Arial" w:cs="Arial"/>
                <w:sz w:val="22"/>
                <w:szCs w:val="22"/>
                <w:lang w:val="en-AU" w:eastAsia="en-AU"/>
              </w:rPr>
            </w:pPr>
            <w:r w:rsidRPr="00304CB3">
              <w:rPr>
                <w:rFonts w:ascii="Arial" w:hAnsi="Arial" w:cs="Arial"/>
                <w:sz w:val="22"/>
                <w:szCs w:val="22"/>
                <w:lang w:val="en-AU" w:eastAsia="en-AU"/>
              </w:rPr>
              <w:t>Symptomatic Grade 2 hypertension</w:t>
            </w:r>
          </w:p>
          <w:p w14:paraId="712C2BAE" w14:textId="77777777" w:rsidR="0074770A" w:rsidRPr="0047783E" w:rsidRDefault="0074770A" w:rsidP="009B499F">
            <w:pPr>
              <w:pStyle w:val="BayerBodyTextFull"/>
              <w:numPr>
                <w:ilvl w:val="0"/>
                <w:numId w:val="33"/>
              </w:numPr>
              <w:spacing w:before="0" w:after="0" w:line="260" w:lineRule="exact"/>
              <w:ind w:left="426" w:hanging="284"/>
              <w:rPr>
                <w:rFonts w:ascii="Arial" w:hAnsi="Arial" w:cs="Arial"/>
                <w:sz w:val="22"/>
                <w:szCs w:val="22"/>
              </w:rPr>
            </w:pPr>
            <w:r w:rsidRPr="00304CB3">
              <w:rPr>
                <w:rFonts w:ascii="Arial" w:hAnsi="Arial" w:cs="Arial"/>
                <w:sz w:val="22"/>
                <w:szCs w:val="22"/>
                <w:lang w:val="en-AU" w:eastAsia="en-AU"/>
              </w:rPr>
              <w:t>Any Grade 3 or 4 adverse reaction</w:t>
            </w:r>
          </w:p>
          <w:p w14:paraId="712C2BAF" w14:textId="77777777" w:rsidR="003C449E" w:rsidRPr="0047783E" w:rsidRDefault="00082837" w:rsidP="009B499F">
            <w:pPr>
              <w:pStyle w:val="BayerBodyTextFull"/>
              <w:numPr>
                <w:ilvl w:val="0"/>
                <w:numId w:val="33"/>
              </w:numPr>
              <w:spacing w:before="0" w:after="0" w:line="260" w:lineRule="exact"/>
              <w:ind w:left="426" w:hanging="284"/>
              <w:rPr>
                <w:rFonts w:ascii="Arial" w:hAnsi="Arial" w:cs="Arial"/>
                <w:sz w:val="22"/>
                <w:szCs w:val="22"/>
              </w:rPr>
            </w:pPr>
            <w:r>
              <w:rPr>
                <w:rFonts w:ascii="Arial" w:hAnsi="Arial" w:cs="Arial"/>
                <w:sz w:val="22"/>
                <w:szCs w:val="22"/>
                <w:lang w:val="en-AU" w:eastAsia="en-AU"/>
              </w:rPr>
              <w:t>S</w:t>
            </w:r>
            <w:r w:rsidR="003C449E">
              <w:rPr>
                <w:rFonts w:ascii="Arial" w:hAnsi="Arial" w:cs="Arial"/>
                <w:sz w:val="22"/>
                <w:szCs w:val="22"/>
                <w:lang w:val="en-AU" w:eastAsia="en-AU"/>
              </w:rPr>
              <w:t>urgical procedures</w:t>
            </w:r>
          </w:p>
          <w:p w14:paraId="712C2BB0" w14:textId="77777777" w:rsidR="003C449E" w:rsidRPr="00304CB3" w:rsidRDefault="003C449E" w:rsidP="009B499F">
            <w:pPr>
              <w:pStyle w:val="BayerBodyTextFull"/>
              <w:numPr>
                <w:ilvl w:val="0"/>
                <w:numId w:val="33"/>
              </w:numPr>
              <w:spacing w:before="0" w:after="0" w:line="260" w:lineRule="exact"/>
              <w:ind w:left="426" w:hanging="284"/>
              <w:rPr>
                <w:rFonts w:ascii="Arial" w:hAnsi="Arial" w:cs="Arial"/>
                <w:sz w:val="22"/>
                <w:szCs w:val="22"/>
              </w:rPr>
            </w:pPr>
            <w:r>
              <w:rPr>
                <w:rFonts w:ascii="Arial" w:hAnsi="Arial" w:cs="Arial"/>
                <w:sz w:val="22"/>
                <w:szCs w:val="22"/>
              </w:rPr>
              <w:t>Development of new or acute onset cardiac ischaemia and/or infarction</w:t>
            </w:r>
          </w:p>
        </w:tc>
      </w:tr>
      <w:tr w:rsidR="0074770A" w:rsidRPr="00304CB3" w14:paraId="712C2BB3" w14:textId="77777777" w:rsidTr="00304CB3">
        <w:tc>
          <w:tcPr>
            <w:tcW w:w="9428" w:type="dxa"/>
            <w:tcBorders>
              <w:top w:val="nil"/>
              <w:left w:val="nil"/>
              <w:bottom w:val="single" w:sz="4" w:space="0" w:color="auto"/>
              <w:right w:val="nil"/>
            </w:tcBorders>
            <w:shd w:val="clear" w:color="auto" w:fill="auto"/>
          </w:tcPr>
          <w:p w14:paraId="712C2BB2" w14:textId="77777777" w:rsidR="0074770A" w:rsidRPr="00304CB3" w:rsidRDefault="0074770A" w:rsidP="00304CB3">
            <w:pPr>
              <w:pStyle w:val="BayerBodyTextFull"/>
              <w:tabs>
                <w:tab w:val="left" w:pos="567"/>
              </w:tabs>
              <w:spacing w:before="0" w:after="0" w:line="260" w:lineRule="exact"/>
              <w:rPr>
                <w:rFonts w:ascii="Arial" w:hAnsi="Arial" w:cs="Arial"/>
                <w:sz w:val="22"/>
                <w:szCs w:val="22"/>
              </w:rPr>
            </w:pPr>
          </w:p>
        </w:tc>
      </w:tr>
      <w:tr w:rsidR="0074770A" w:rsidRPr="00304CB3" w14:paraId="712C2BB5" w14:textId="77777777" w:rsidTr="00304CB3">
        <w:tc>
          <w:tcPr>
            <w:tcW w:w="9428" w:type="dxa"/>
            <w:tcBorders>
              <w:left w:val="nil"/>
              <w:bottom w:val="single" w:sz="4" w:space="0" w:color="auto"/>
              <w:right w:val="nil"/>
            </w:tcBorders>
            <w:shd w:val="pct12" w:color="auto" w:fill="auto"/>
          </w:tcPr>
          <w:p w14:paraId="712C2BB4" w14:textId="27C33224" w:rsidR="0074770A" w:rsidRPr="00304CB3" w:rsidRDefault="0074770A" w:rsidP="00C61DE1">
            <w:pPr>
              <w:pStyle w:val="BayerBodyTextFull"/>
              <w:keepNext/>
              <w:tabs>
                <w:tab w:val="left" w:pos="567"/>
              </w:tabs>
              <w:spacing w:before="0" w:after="0" w:line="260" w:lineRule="exact"/>
              <w:rPr>
                <w:rFonts w:ascii="Arial" w:hAnsi="Arial" w:cs="Arial"/>
                <w:sz w:val="22"/>
                <w:szCs w:val="22"/>
              </w:rPr>
            </w:pPr>
            <w:r w:rsidRPr="00304CB3">
              <w:rPr>
                <w:rFonts w:ascii="Arial" w:hAnsi="Arial" w:cs="Arial"/>
                <w:sz w:val="22"/>
                <w:szCs w:val="22"/>
              </w:rPr>
              <w:t xml:space="preserve">Reduce the dose of </w:t>
            </w:r>
            <w:r w:rsidR="00601DFC">
              <w:rPr>
                <w:rFonts w:ascii="Arial" w:hAnsi="Arial" w:cs="Arial"/>
                <w:sz w:val="22"/>
                <w:szCs w:val="22"/>
              </w:rPr>
              <w:t xml:space="preserve">STIVARGA </w:t>
            </w:r>
            <w:r w:rsidRPr="00304CB3">
              <w:rPr>
                <w:rFonts w:ascii="Arial" w:hAnsi="Arial" w:cs="Arial"/>
                <w:sz w:val="22"/>
                <w:szCs w:val="22"/>
              </w:rPr>
              <w:t>to 120 mg:</w:t>
            </w:r>
          </w:p>
        </w:tc>
      </w:tr>
      <w:tr w:rsidR="0074770A" w:rsidRPr="00304CB3" w14:paraId="712C2BB7" w14:textId="77777777" w:rsidTr="00304CB3">
        <w:tc>
          <w:tcPr>
            <w:tcW w:w="9428" w:type="dxa"/>
            <w:tcBorders>
              <w:top w:val="single" w:sz="4" w:space="0" w:color="auto"/>
              <w:left w:val="nil"/>
              <w:bottom w:val="nil"/>
              <w:right w:val="nil"/>
            </w:tcBorders>
            <w:shd w:val="clear" w:color="auto" w:fill="auto"/>
          </w:tcPr>
          <w:p w14:paraId="712C2BB6" w14:textId="77777777" w:rsidR="0074770A" w:rsidRPr="00304CB3" w:rsidRDefault="0074770A" w:rsidP="009B499F">
            <w:pPr>
              <w:pStyle w:val="BayerBodyTextFull"/>
              <w:numPr>
                <w:ilvl w:val="0"/>
                <w:numId w:val="33"/>
              </w:numPr>
              <w:spacing w:before="0" w:after="0" w:line="260" w:lineRule="exact"/>
              <w:ind w:left="426" w:hanging="284"/>
              <w:rPr>
                <w:rFonts w:ascii="Arial" w:hAnsi="Arial" w:cs="Arial"/>
                <w:sz w:val="22"/>
                <w:szCs w:val="22"/>
              </w:rPr>
            </w:pPr>
            <w:r w:rsidRPr="009B499F">
              <w:rPr>
                <w:rFonts w:ascii="Arial" w:hAnsi="Arial" w:cs="Arial"/>
                <w:sz w:val="22"/>
                <w:szCs w:val="22"/>
                <w:lang w:val="en-AU" w:eastAsia="en-AU"/>
              </w:rPr>
              <w:t>After recovery of any Grade 3 or 4 adverse reaction</w:t>
            </w:r>
          </w:p>
        </w:tc>
      </w:tr>
      <w:tr w:rsidR="0074770A" w:rsidRPr="00304CB3" w14:paraId="712C2BB9" w14:textId="77777777" w:rsidTr="00304CB3">
        <w:tc>
          <w:tcPr>
            <w:tcW w:w="9428" w:type="dxa"/>
            <w:tcBorders>
              <w:top w:val="nil"/>
              <w:left w:val="nil"/>
              <w:bottom w:val="single" w:sz="4" w:space="0" w:color="auto"/>
              <w:right w:val="nil"/>
            </w:tcBorders>
            <w:shd w:val="clear" w:color="auto" w:fill="auto"/>
          </w:tcPr>
          <w:p w14:paraId="712C2BB8" w14:textId="77777777" w:rsidR="0074770A" w:rsidRPr="00304CB3" w:rsidRDefault="0074770A" w:rsidP="00304CB3">
            <w:pPr>
              <w:pStyle w:val="BayerBodyTextFull"/>
              <w:tabs>
                <w:tab w:val="left" w:pos="567"/>
              </w:tabs>
              <w:spacing w:before="0" w:after="0" w:line="260" w:lineRule="exact"/>
              <w:rPr>
                <w:rFonts w:ascii="Arial" w:hAnsi="Arial" w:cs="Arial"/>
                <w:sz w:val="22"/>
                <w:szCs w:val="22"/>
              </w:rPr>
            </w:pPr>
          </w:p>
        </w:tc>
      </w:tr>
      <w:tr w:rsidR="0074770A" w:rsidRPr="00304CB3" w14:paraId="712C2BBB" w14:textId="77777777" w:rsidTr="00304CB3">
        <w:tc>
          <w:tcPr>
            <w:tcW w:w="9428" w:type="dxa"/>
            <w:tcBorders>
              <w:top w:val="single" w:sz="4" w:space="0" w:color="auto"/>
              <w:left w:val="nil"/>
              <w:right w:val="nil"/>
            </w:tcBorders>
            <w:shd w:val="pct12" w:color="auto" w:fill="auto"/>
          </w:tcPr>
          <w:p w14:paraId="712C2BBA" w14:textId="066752D1" w:rsidR="0074770A" w:rsidRPr="00304CB3" w:rsidRDefault="0074770A" w:rsidP="00304CB3">
            <w:pPr>
              <w:pStyle w:val="BayerBodyTextFull"/>
              <w:tabs>
                <w:tab w:val="left" w:pos="567"/>
              </w:tabs>
              <w:spacing w:before="0" w:after="0" w:line="260" w:lineRule="exact"/>
              <w:rPr>
                <w:rFonts w:ascii="Arial" w:hAnsi="Arial" w:cs="Arial"/>
                <w:sz w:val="22"/>
                <w:szCs w:val="22"/>
              </w:rPr>
            </w:pPr>
            <w:r w:rsidRPr="00304CB3">
              <w:rPr>
                <w:rFonts w:ascii="Arial" w:hAnsi="Arial" w:cs="Arial"/>
                <w:sz w:val="22"/>
                <w:szCs w:val="22"/>
              </w:rPr>
              <w:t xml:space="preserve">Reduce the dose of </w:t>
            </w:r>
            <w:r w:rsidR="00601DFC">
              <w:rPr>
                <w:rFonts w:ascii="Arial" w:hAnsi="Arial" w:cs="Arial"/>
                <w:sz w:val="22"/>
                <w:szCs w:val="22"/>
              </w:rPr>
              <w:t xml:space="preserve">STIVARGA </w:t>
            </w:r>
            <w:r w:rsidRPr="00304CB3">
              <w:rPr>
                <w:rFonts w:ascii="Arial" w:hAnsi="Arial" w:cs="Arial"/>
                <w:sz w:val="22"/>
                <w:szCs w:val="22"/>
              </w:rPr>
              <w:t>to 80 mg:</w:t>
            </w:r>
          </w:p>
        </w:tc>
      </w:tr>
      <w:tr w:rsidR="0074770A" w:rsidRPr="00304CB3" w14:paraId="712C2BBD" w14:textId="77777777" w:rsidTr="00304CB3">
        <w:tc>
          <w:tcPr>
            <w:tcW w:w="9428" w:type="dxa"/>
            <w:tcBorders>
              <w:left w:val="nil"/>
              <w:bottom w:val="nil"/>
              <w:right w:val="nil"/>
            </w:tcBorders>
            <w:shd w:val="clear" w:color="auto" w:fill="auto"/>
          </w:tcPr>
          <w:p w14:paraId="712C2BBC" w14:textId="77777777" w:rsidR="0074770A" w:rsidRPr="00304CB3" w:rsidRDefault="0074770A" w:rsidP="009B499F">
            <w:pPr>
              <w:pStyle w:val="BayerBodyTextFull"/>
              <w:numPr>
                <w:ilvl w:val="0"/>
                <w:numId w:val="33"/>
              </w:numPr>
              <w:spacing w:before="0" w:after="0" w:line="260" w:lineRule="exact"/>
              <w:ind w:left="426" w:right="-427" w:hanging="284"/>
              <w:rPr>
                <w:rFonts w:ascii="Arial" w:hAnsi="Arial" w:cs="Arial"/>
                <w:sz w:val="22"/>
                <w:szCs w:val="22"/>
              </w:rPr>
            </w:pPr>
            <w:r w:rsidRPr="009B499F">
              <w:rPr>
                <w:rFonts w:ascii="Arial" w:hAnsi="Arial" w:cs="Arial"/>
                <w:sz w:val="22"/>
                <w:szCs w:val="22"/>
                <w:lang w:val="en-AU" w:eastAsia="en-AU"/>
              </w:rPr>
              <w:t>After recovery of any Grade 3 or 4 adverse reaction at the 120 mg dose (except hepa</w:t>
            </w:r>
            <w:r w:rsidR="0047783E" w:rsidRPr="009B499F">
              <w:rPr>
                <w:rFonts w:ascii="Arial" w:hAnsi="Arial" w:cs="Arial"/>
                <w:sz w:val="22"/>
                <w:szCs w:val="22"/>
                <w:lang w:val="en-AU" w:eastAsia="en-AU"/>
              </w:rPr>
              <w:t>to</w:t>
            </w:r>
            <w:r w:rsidRPr="009B499F">
              <w:rPr>
                <w:rFonts w:ascii="Arial" w:hAnsi="Arial" w:cs="Arial"/>
                <w:sz w:val="22"/>
                <w:szCs w:val="22"/>
                <w:lang w:val="en-AU" w:eastAsia="en-AU"/>
              </w:rPr>
              <w:t>toxicity)</w:t>
            </w:r>
          </w:p>
        </w:tc>
      </w:tr>
    </w:tbl>
    <w:p w14:paraId="712C2BBE" w14:textId="77777777" w:rsidR="00415012" w:rsidRPr="003A5EE1" w:rsidRDefault="00415012" w:rsidP="00C32BA7">
      <w:pPr>
        <w:pStyle w:val="BayerBodyTextFull"/>
        <w:spacing w:before="0" w:after="0"/>
        <w:rPr>
          <w:rFonts w:ascii="Arial" w:hAnsi="Arial" w:cs="Arial"/>
          <w:color w:val="0000FF"/>
          <w:sz w:val="22"/>
          <w:szCs w:val="22"/>
        </w:rPr>
      </w:pPr>
    </w:p>
    <w:p w14:paraId="712C2BBF" w14:textId="71DFF326" w:rsidR="00FE77A5" w:rsidRPr="003A5EE1" w:rsidRDefault="00FE77A5" w:rsidP="00F34FCB">
      <w:pPr>
        <w:pStyle w:val="BayerBodyTextFull"/>
        <w:spacing w:before="0" w:after="0"/>
        <w:rPr>
          <w:rFonts w:ascii="Arial" w:hAnsi="Arial" w:cs="Arial"/>
          <w:sz w:val="22"/>
          <w:szCs w:val="22"/>
        </w:rPr>
      </w:pPr>
      <w:r w:rsidRPr="003A5EE1">
        <w:rPr>
          <w:rFonts w:ascii="Arial" w:hAnsi="Arial" w:cs="Arial"/>
          <w:sz w:val="22"/>
          <w:szCs w:val="22"/>
        </w:rPr>
        <w:t xml:space="preserve">For </w:t>
      </w:r>
      <w:r w:rsidR="00BB3DF3" w:rsidRPr="003A5EE1">
        <w:rPr>
          <w:rFonts w:ascii="Arial" w:hAnsi="Arial" w:cs="Arial"/>
          <w:sz w:val="22"/>
          <w:szCs w:val="22"/>
        </w:rPr>
        <w:t xml:space="preserve">recommended </w:t>
      </w:r>
      <w:r w:rsidRPr="003A5EE1">
        <w:rPr>
          <w:rFonts w:ascii="Arial" w:hAnsi="Arial" w:cs="Arial"/>
          <w:sz w:val="22"/>
          <w:szCs w:val="22"/>
        </w:rPr>
        <w:t xml:space="preserve">dose modifications and measures in case of hand-foot skin reaction (HFSR/palmar-plantar </w:t>
      </w:r>
      <w:proofErr w:type="spellStart"/>
      <w:r w:rsidRPr="003A5EE1">
        <w:rPr>
          <w:rFonts w:ascii="Arial" w:hAnsi="Arial" w:cs="Arial"/>
          <w:sz w:val="22"/>
          <w:szCs w:val="22"/>
        </w:rPr>
        <w:t>erythrodysesthesia</w:t>
      </w:r>
      <w:proofErr w:type="spellEnd"/>
      <w:r w:rsidRPr="003A5EE1">
        <w:rPr>
          <w:rFonts w:ascii="Arial" w:hAnsi="Arial" w:cs="Arial"/>
          <w:sz w:val="22"/>
          <w:szCs w:val="22"/>
        </w:rPr>
        <w:t xml:space="preserve"> syndrome</w:t>
      </w:r>
      <w:r w:rsidR="00520D28">
        <w:rPr>
          <w:rFonts w:ascii="Arial" w:hAnsi="Arial" w:cs="Arial"/>
          <w:sz w:val="22"/>
          <w:szCs w:val="22"/>
        </w:rPr>
        <w:t xml:space="preserve"> (PPE)</w:t>
      </w:r>
      <w:r w:rsidRPr="003A5EE1">
        <w:rPr>
          <w:rFonts w:ascii="Arial" w:hAnsi="Arial" w:cs="Arial"/>
          <w:sz w:val="22"/>
          <w:szCs w:val="22"/>
        </w:rPr>
        <w:t>) see</w:t>
      </w:r>
      <w:r w:rsidR="007E4AA5" w:rsidRPr="003A5EE1">
        <w:rPr>
          <w:rFonts w:ascii="Arial" w:hAnsi="Arial" w:cs="Arial"/>
          <w:sz w:val="22"/>
          <w:szCs w:val="22"/>
        </w:rPr>
        <w:t xml:space="preserve"> Table </w:t>
      </w:r>
      <w:r w:rsidR="00537750">
        <w:rPr>
          <w:rFonts w:ascii="Arial" w:hAnsi="Arial" w:cs="Arial"/>
          <w:sz w:val="22"/>
          <w:szCs w:val="22"/>
        </w:rPr>
        <w:t>1</w:t>
      </w:r>
      <w:r w:rsidR="00871049">
        <w:rPr>
          <w:rFonts w:ascii="Arial" w:hAnsi="Arial" w:cs="Arial"/>
          <w:sz w:val="22"/>
          <w:szCs w:val="22"/>
        </w:rPr>
        <w:t>2</w:t>
      </w:r>
      <w:r w:rsidRPr="003A5EE1">
        <w:rPr>
          <w:rFonts w:ascii="Arial" w:hAnsi="Arial" w:cs="Arial"/>
          <w:sz w:val="22"/>
          <w:szCs w:val="22"/>
        </w:rPr>
        <w:t>.</w:t>
      </w:r>
    </w:p>
    <w:p w14:paraId="712C2BC0" w14:textId="377FFCE7" w:rsidR="00FE77A5" w:rsidRDefault="00FE77A5" w:rsidP="009E45A9">
      <w:pPr>
        <w:pStyle w:val="Caption"/>
        <w:keepNext/>
        <w:rPr>
          <w:rFonts w:ascii="Arial" w:hAnsi="Arial" w:cs="Arial"/>
          <w:bCs w:val="0"/>
          <w:sz w:val="22"/>
          <w:szCs w:val="22"/>
        </w:rPr>
      </w:pPr>
      <w:bookmarkStart w:id="12" w:name="table1"/>
      <w:r w:rsidRPr="003A5EE1">
        <w:rPr>
          <w:rFonts w:ascii="Arial" w:hAnsi="Arial" w:cs="Arial"/>
          <w:bCs w:val="0"/>
          <w:sz w:val="22"/>
          <w:szCs w:val="22"/>
        </w:rPr>
        <w:t xml:space="preserve">Table </w:t>
      </w:r>
      <w:r w:rsidR="00537750">
        <w:rPr>
          <w:rFonts w:ascii="Arial" w:hAnsi="Arial" w:cs="Arial"/>
          <w:bCs w:val="0"/>
          <w:sz w:val="22"/>
          <w:szCs w:val="22"/>
        </w:rPr>
        <w:t>1</w:t>
      </w:r>
      <w:r w:rsidR="00871049">
        <w:rPr>
          <w:rFonts w:ascii="Arial" w:hAnsi="Arial" w:cs="Arial"/>
          <w:bCs w:val="0"/>
          <w:sz w:val="22"/>
          <w:szCs w:val="22"/>
        </w:rPr>
        <w:t>2</w:t>
      </w:r>
      <w:r w:rsidRPr="003A5EE1">
        <w:rPr>
          <w:rFonts w:ascii="Arial" w:hAnsi="Arial" w:cs="Arial"/>
          <w:bCs w:val="0"/>
          <w:sz w:val="22"/>
          <w:szCs w:val="22"/>
        </w:rPr>
        <w:t>: Recommended dose modifications and measures for HFSR</w:t>
      </w:r>
    </w:p>
    <w:p w14:paraId="4371DABB" w14:textId="77777777" w:rsidR="00234E48" w:rsidRPr="00234E48" w:rsidRDefault="00234E48" w:rsidP="009E45A9">
      <w:pPr>
        <w:keepNext/>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1984"/>
        <w:gridCol w:w="5954"/>
      </w:tblGrid>
      <w:tr w:rsidR="00FE77A5" w:rsidRPr="003A5EE1" w14:paraId="712C2BC5" w14:textId="77777777" w:rsidTr="008913AB">
        <w:trPr>
          <w:cantSplit/>
          <w:tblHeader/>
        </w:trPr>
        <w:tc>
          <w:tcPr>
            <w:tcW w:w="1668" w:type="dxa"/>
            <w:vAlign w:val="center"/>
          </w:tcPr>
          <w:bookmarkEnd w:id="12"/>
          <w:p w14:paraId="712C2BC1" w14:textId="77777777" w:rsidR="00FE77A5" w:rsidRPr="003A5EE1" w:rsidRDefault="00FE77A5" w:rsidP="008913AB">
            <w:pPr>
              <w:pStyle w:val="BayerTableColumnHeadings"/>
              <w:keepNext/>
              <w:widowControl w:val="0"/>
              <w:rPr>
                <w:rFonts w:ascii="Arial" w:hAnsi="Arial" w:cs="Arial"/>
                <w:szCs w:val="22"/>
              </w:rPr>
            </w:pPr>
            <w:r w:rsidRPr="003A5EE1">
              <w:rPr>
                <w:rFonts w:ascii="Arial" w:hAnsi="Arial" w:cs="Arial"/>
                <w:szCs w:val="22"/>
              </w:rPr>
              <w:t>Skin toxicity grade</w:t>
            </w:r>
          </w:p>
        </w:tc>
        <w:tc>
          <w:tcPr>
            <w:tcW w:w="1984" w:type="dxa"/>
            <w:vAlign w:val="center"/>
          </w:tcPr>
          <w:p w14:paraId="712C2BC2" w14:textId="77777777" w:rsidR="00FE77A5" w:rsidRPr="003A5EE1" w:rsidRDefault="00FE77A5" w:rsidP="008913AB">
            <w:pPr>
              <w:pStyle w:val="BayerTableColumnHeadings"/>
              <w:keepNext/>
              <w:widowControl w:val="0"/>
              <w:rPr>
                <w:rFonts w:ascii="Arial" w:hAnsi="Arial" w:cs="Arial"/>
                <w:szCs w:val="22"/>
              </w:rPr>
            </w:pPr>
            <w:r w:rsidRPr="003A5EE1">
              <w:rPr>
                <w:rFonts w:ascii="Arial" w:hAnsi="Arial" w:cs="Arial"/>
                <w:szCs w:val="22"/>
              </w:rPr>
              <w:t>Occurrence</w:t>
            </w:r>
          </w:p>
        </w:tc>
        <w:tc>
          <w:tcPr>
            <w:tcW w:w="5954" w:type="dxa"/>
            <w:vAlign w:val="center"/>
          </w:tcPr>
          <w:p w14:paraId="712C2BC4" w14:textId="003B2969" w:rsidR="00FE77A5" w:rsidRPr="003A5EE1" w:rsidRDefault="00FE77A5" w:rsidP="008B739F">
            <w:pPr>
              <w:pStyle w:val="BayerTableColumnHeadings"/>
              <w:keepNext/>
              <w:widowControl w:val="0"/>
              <w:rPr>
                <w:rFonts w:ascii="Arial" w:hAnsi="Arial" w:cs="Arial"/>
                <w:szCs w:val="22"/>
              </w:rPr>
            </w:pPr>
            <w:r w:rsidRPr="003A5EE1">
              <w:rPr>
                <w:rFonts w:ascii="Arial" w:hAnsi="Arial" w:cs="Arial"/>
                <w:szCs w:val="22"/>
              </w:rPr>
              <w:t>Recommended dose modification and measures</w:t>
            </w:r>
          </w:p>
        </w:tc>
      </w:tr>
      <w:tr w:rsidR="00FE77A5" w:rsidRPr="003A5EE1" w14:paraId="712C2BC9" w14:textId="77777777" w:rsidTr="006603B9">
        <w:trPr>
          <w:cantSplit/>
        </w:trPr>
        <w:tc>
          <w:tcPr>
            <w:tcW w:w="1668" w:type="dxa"/>
            <w:tcBorders>
              <w:bottom w:val="single" w:sz="6" w:space="0" w:color="000000"/>
            </w:tcBorders>
          </w:tcPr>
          <w:p w14:paraId="712C2BC6" w14:textId="77777777" w:rsidR="00FE77A5" w:rsidRPr="003A5EE1" w:rsidRDefault="00FE77A5" w:rsidP="00BE4D21">
            <w:pPr>
              <w:pStyle w:val="BayerTableStyleCentered"/>
              <w:rPr>
                <w:rFonts w:ascii="Arial" w:hAnsi="Arial" w:cs="Arial"/>
                <w:szCs w:val="22"/>
              </w:rPr>
            </w:pPr>
            <w:r w:rsidRPr="003A5EE1">
              <w:rPr>
                <w:rFonts w:ascii="Arial" w:hAnsi="Arial" w:cs="Arial"/>
                <w:szCs w:val="22"/>
              </w:rPr>
              <w:t>Grade 1</w:t>
            </w:r>
          </w:p>
        </w:tc>
        <w:tc>
          <w:tcPr>
            <w:tcW w:w="1984" w:type="dxa"/>
          </w:tcPr>
          <w:p w14:paraId="712C2BC7" w14:textId="77777777" w:rsidR="00FE77A5" w:rsidRPr="003A5EE1" w:rsidRDefault="00FE77A5" w:rsidP="00BE4D21">
            <w:pPr>
              <w:pStyle w:val="BayerTableStyleLeftJustified"/>
              <w:keepNext/>
              <w:rPr>
                <w:rFonts w:ascii="Arial" w:hAnsi="Arial" w:cs="Arial"/>
                <w:szCs w:val="22"/>
              </w:rPr>
            </w:pPr>
            <w:r w:rsidRPr="003A5EE1">
              <w:rPr>
                <w:rFonts w:ascii="Arial" w:hAnsi="Arial" w:cs="Arial"/>
                <w:szCs w:val="22"/>
              </w:rPr>
              <w:t>Any</w:t>
            </w:r>
          </w:p>
        </w:tc>
        <w:tc>
          <w:tcPr>
            <w:tcW w:w="5954" w:type="dxa"/>
          </w:tcPr>
          <w:p w14:paraId="712C2BC8" w14:textId="77777777" w:rsidR="00FE77A5" w:rsidRPr="003A5EE1" w:rsidRDefault="00FE77A5" w:rsidP="00BE4D21">
            <w:pPr>
              <w:pStyle w:val="BayerTableStyleLeftJustified"/>
              <w:keepNext/>
              <w:rPr>
                <w:rFonts w:ascii="Arial" w:hAnsi="Arial" w:cs="Arial"/>
                <w:szCs w:val="22"/>
              </w:rPr>
            </w:pPr>
            <w:r w:rsidRPr="003A5EE1">
              <w:rPr>
                <w:rFonts w:ascii="Arial" w:hAnsi="Arial" w:cs="Arial"/>
                <w:szCs w:val="22"/>
              </w:rPr>
              <w:t xml:space="preserve">Maintain dose level and immediately institute supportive measures for symptomatic relief. </w:t>
            </w:r>
          </w:p>
        </w:tc>
      </w:tr>
      <w:tr w:rsidR="00FE77A5" w:rsidRPr="003A5EE1" w14:paraId="712C2BCF" w14:textId="77777777" w:rsidTr="006603B9">
        <w:trPr>
          <w:cantSplit/>
        </w:trPr>
        <w:tc>
          <w:tcPr>
            <w:tcW w:w="1668" w:type="dxa"/>
            <w:tcBorders>
              <w:bottom w:val="nil"/>
            </w:tcBorders>
          </w:tcPr>
          <w:p w14:paraId="712C2BCA" w14:textId="77777777" w:rsidR="00FE77A5" w:rsidRPr="003A5EE1" w:rsidRDefault="00FE77A5" w:rsidP="00BE4D21">
            <w:pPr>
              <w:pStyle w:val="BayerTableStyleCentered"/>
              <w:rPr>
                <w:rFonts w:ascii="Arial" w:hAnsi="Arial" w:cs="Arial"/>
                <w:szCs w:val="22"/>
              </w:rPr>
            </w:pPr>
            <w:r w:rsidRPr="003A5EE1">
              <w:rPr>
                <w:rFonts w:ascii="Arial" w:hAnsi="Arial" w:cs="Arial"/>
                <w:szCs w:val="22"/>
              </w:rPr>
              <w:t>Grade 2</w:t>
            </w:r>
          </w:p>
        </w:tc>
        <w:tc>
          <w:tcPr>
            <w:tcW w:w="1984" w:type="dxa"/>
          </w:tcPr>
          <w:p w14:paraId="712C2BCB" w14:textId="77777777" w:rsidR="00FE77A5" w:rsidRPr="003A5EE1" w:rsidRDefault="00FE77A5" w:rsidP="00BE4D21">
            <w:pPr>
              <w:pStyle w:val="BayerTableStyleLeftJustified"/>
              <w:keepNext/>
              <w:rPr>
                <w:rFonts w:ascii="Arial" w:hAnsi="Arial" w:cs="Arial"/>
                <w:szCs w:val="22"/>
              </w:rPr>
            </w:pPr>
            <w:r w:rsidRPr="003A5EE1">
              <w:rPr>
                <w:rFonts w:ascii="Arial" w:hAnsi="Arial" w:cs="Arial"/>
                <w:szCs w:val="22"/>
              </w:rPr>
              <w:t>1st occurrence</w:t>
            </w:r>
          </w:p>
        </w:tc>
        <w:tc>
          <w:tcPr>
            <w:tcW w:w="5954" w:type="dxa"/>
          </w:tcPr>
          <w:p w14:paraId="712C2BCC" w14:textId="77777777" w:rsidR="00FE77A5" w:rsidRPr="003A5EE1" w:rsidRDefault="00FE77A5" w:rsidP="00BE4D21">
            <w:pPr>
              <w:pStyle w:val="BayerTableStyleLeftJustified"/>
              <w:keepNext/>
              <w:spacing w:after="120"/>
              <w:rPr>
                <w:rFonts w:ascii="Arial" w:hAnsi="Arial" w:cs="Arial"/>
                <w:szCs w:val="22"/>
              </w:rPr>
            </w:pPr>
            <w:r w:rsidRPr="003A5EE1">
              <w:rPr>
                <w:rFonts w:ascii="Arial" w:hAnsi="Arial" w:cs="Arial"/>
                <w:szCs w:val="22"/>
              </w:rPr>
              <w:t xml:space="preserve">Decrease dose by 40 mg (one tablet) and immediately institute supportive measures. </w:t>
            </w:r>
          </w:p>
          <w:p w14:paraId="712C2BCD" w14:textId="77777777" w:rsidR="00FE77A5" w:rsidRPr="003A5EE1" w:rsidRDefault="00FE77A5" w:rsidP="00BE4D21">
            <w:pPr>
              <w:pStyle w:val="BayerTableStyleLeftJustified"/>
              <w:keepNext/>
              <w:spacing w:after="120"/>
              <w:rPr>
                <w:rFonts w:ascii="Arial" w:hAnsi="Arial" w:cs="Arial"/>
                <w:szCs w:val="22"/>
              </w:rPr>
            </w:pPr>
            <w:r w:rsidRPr="003A5EE1">
              <w:rPr>
                <w:rFonts w:ascii="Arial" w:hAnsi="Arial" w:cs="Arial"/>
                <w:szCs w:val="22"/>
              </w:rPr>
              <w:t xml:space="preserve">If no improvement occurs despite dose reduction, interrupt therapy for a minimum of 7 days, until toxicity resolves to Grade 0-1. </w:t>
            </w:r>
          </w:p>
          <w:p w14:paraId="712C2BCE" w14:textId="77777777" w:rsidR="00FE77A5" w:rsidRPr="003A5EE1" w:rsidRDefault="00FE77A5" w:rsidP="00BE4D21">
            <w:pPr>
              <w:pStyle w:val="BayerTableStyleLeftJustified"/>
              <w:keepNext/>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w:t>
            </w:r>
          </w:p>
        </w:tc>
      </w:tr>
      <w:tr w:rsidR="00FE77A5" w:rsidRPr="003A5EE1" w14:paraId="712C2BD5" w14:textId="77777777" w:rsidTr="00113808">
        <w:trPr>
          <w:cantSplit/>
        </w:trPr>
        <w:tc>
          <w:tcPr>
            <w:tcW w:w="1668" w:type="dxa"/>
            <w:tcBorders>
              <w:top w:val="nil"/>
              <w:bottom w:val="single" w:sz="6" w:space="0" w:color="000000"/>
            </w:tcBorders>
          </w:tcPr>
          <w:p w14:paraId="712C2BD0" w14:textId="77777777" w:rsidR="00FE77A5" w:rsidRPr="003A5EE1" w:rsidRDefault="00FE77A5" w:rsidP="006603B9">
            <w:pPr>
              <w:pStyle w:val="BayerTableStyleCentered"/>
              <w:keepNext w:val="0"/>
              <w:rPr>
                <w:rFonts w:ascii="Arial" w:hAnsi="Arial" w:cs="Arial"/>
                <w:szCs w:val="22"/>
              </w:rPr>
            </w:pPr>
          </w:p>
        </w:tc>
        <w:tc>
          <w:tcPr>
            <w:tcW w:w="1984" w:type="dxa"/>
            <w:tcBorders>
              <w:bottom w:val="single" w:sz="6" w:space="0" w:color="000000"/>
            </w:tcBorders>
          </w:tcPr>
          <w:p w14:paraId="712C2BD1"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No improvement within 7 days or 2nd occurrence</w:t>
            </w:r>
          </w:p>
        </w:tc>
        <w:tc>
          <w:tcPr>
            <w:tcW w:w="5954" w:type="dxa"/>
            <w:tcBorders>
              <w:bottom w:val="single" w:sz="6" w:space="0" w:color="000000"/>
            </w:tcBorders>
          </w:tcPr>
          <w:p w14:paraId="712C2BD2"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Interrupt therapy until toxicity resolves to Grade 0-1. </w:t>
            </w:r>
          </w:p>
          <w:p w14:paraId="712C2BD3"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When resuming treatment, decrease dose by 40 mg</w:t>
            </w:r>
            <w:r w:rsidRPr="003A5EE1" w:rsidDel="00116D1F">
              <w:rPr>
                <w:rFonts w:ascii="Arial" w:hAnsi="Arial" w:cs="Arial"/>
                <w:szCs w:val="22"/>
              </w:rPr>
              <w:t xml:space="preserve"> </w:t>
            </w:r>
            <w:r w:rsidRPr="003A5EE1">
              <w:rPr>
                <w:rFonts w:ascii="Arial" w:hAnsi="Arial" w:cs="Arial"/>
                <w:szCs w:val="22"/>
              </w:rPr>
              <w:t xml:space="preserve">(one tablet). </w:t>
            </w:r>
          </w:p>
          <w:p w14:paraId="712C2BD4"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 xml:space="preserve">. </w:t>
            </w:r>
          </w:p>
        </w:tc>
      </w:tr>
      <w:tr w:rsidR="00FE77A5" w:rsidRPr="003A5EE1" w14:paraId="712C2BDB" w14:textId="77777777" w:rsidTr="00113808">
        <w:trPr>
          <w:cantSplit/>
        </w:trPr>
        <w:tc>
          <w:tcPr>
            <w:tcW w:w="1668" w:type="dxa"/>
            <w:tcBorders>
              <w:top w:val="single" w:sz="6" w:space="0" w:color="000000"/>
              <w:bottom w:val="nil"/>
            </w:tcBorders>
          </w:tcPr>
          <w:p w14:paraId="712C2BD6" w14:textId="77777777" w:rsidR="00FE77A5" w:rsidRPr="003A5EE1" w:rsidRDefault="00FE77A5" w:rsidP="006603B9">
            <w:pPr>
              <w:pStyle w:val="BayerTableStyleCentered"/>
              <w:keepNext w:val="0"/>
              <w:rPr>
                <w:rFonts w:ascii="Arial" w:hAnsi="Arial" w:cs="Arial"/>
                <w:szCs w:val="22"/>
              </w:rPr>
            </w:pPr>
          </w:p>
        </w:tc>
        <w:tc>
          <w:tcPr>
            <w:tcW w:w="1984" w:type="dxa"/>
            <w:tcBorders>
              <w:top w:val="single" w:sz="6" w:space="0" w:color="000000"/>
            </w:tcBorders>
          </w:tcPr>
          <w:p w14:paraId="712C2BD7"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3rd occurrence</w:t>
            </w:r>
          </w:p>
        </w:tc>
        <w:tc>
          <w:tcPr>
            <w:tcW w:w="5954" w:type="dxa"/>
            <w:tcBorders>
              <w:top w:val="single" w:sz="6" w:space="0" w:color="000000"/>
            </w:tcBorders>
          </w:tcPr>
          <w:p w14:paraId="712C2BD8"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Interrupt therapy until toxicity resolves to Grade 0-1. </w:t>
            </w:r>
          </w:p>
          <w:p w14:paraId="712C2BD9"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When resuming treatment, decrease dose by 40 mg</w:t>
            </w:r>
            <w:r w:rsidRPr="003A5EE1" w:rsidDel="00116D1F">
              <w:rPr>
                <w:rFonts w:ascii="Arial" w:hAnsi="Arial" w:cs="Arial"/>
                <w:szCs w:val="22"/>
              </w:rPr>
              <w:t xml:space="preserve"> </w:t>
            </w:r>
            <w:r w:rsidRPr="003A5EE1">
              <w:rPr>
                <w:rFonts w:ascii="Arial" w:hAnsi="Arial" w:cs="Arial"/>
                <w:szCs w:val="22"/>
              </w:rPr>
              <w:t xml:space="preserve">(one tablet). </w:t>
            </w:r>
          </w:p>
          <w:p w14:paraId="712C2BDA"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w:t>
            </w:r>
          </w:p>
        </w:tc>
      </w:tr>
      <w:tr w:rsidR="00FE77A5" w:rsidRPr="003A5EE1" w14:paraId="712C2BDF" w14:textId="77777777" w:rsidTr="006603B9">
        <w:trPr>
          <w:cantSplit/>
        </w:trPr>
        <w:tc>
          <w:tcPr>
            <w:tcW w:w="1668" w:type="dxa"/>
            <w:tcBorders>
              <w:top w:val="nil"/>
              <w:bottom w:val="single" w:sz="6" w:space="0" w:color="000000"/>
            </w:tcBorders>
          </w:tcPr>
          <w:p w14:paraId="712C2BDC" w14:textId="77777777" w:rsidR="00FE77A5" w:rsidRPr="003A5EE1" w:rsidRDefault="00FE77A5" w:rsidP="006603B9">
            <w:pPr>
              <w:pStyle w:val="BayerTableStyleCentered"/>
              <w:keepNext w:val="0"/>
              <w:rPr>
                <w:rFonts w:ascii="Arial" w:hAnsi="Arial" w:cs="Arial"/>
                <w:szCs w:val="22"/>
              </w:rPr>
            </w:pPr>
          </w:p>
        </w:tc>
        <w:tc>
          <w:tcPr>
            <w:tcW w:w="1984" w:type="dxa"/>
          </w:tcPr>
          <w:p w14:paraId="712C2BDD"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4th occurrence</w:t>
            </w:r>
          </w:p>
        </w:tc>
        <w:tc>
          <w:tcPr>
            <w:tcW w:w="5954" w:type="dxa"/>
          </w:tcPr>
          <w:p w14:paraId="712C2BDE"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Discontinue treatment.</w:t>
            </w:r>
          </w:p>
        </w:tc>
      </w:tr>
      <w:tr w:rsidR="00FE77A5" w:rsidRPr="003A5EE1" w14:paraId="712C2BE5" w14:textId="77777777" w:rsidTr="006603B9">
        <w:trPr>
          <w:cantSplit/>
        </w:trPr>
        <w:tc>
          <w:tcPr>
            <w:tcW w:w="1668" w:type="dxa"/>
            <w:tcBorders>
              <w:bottom w:val="nil"/>
            </w:tcBorders>
          </w:tcPr>
          <w:p w14:paraId="712C2BE0" w14:textId="77777777" w:rsidR="00FE77A5" w:rsidRPr="003A5EE1" w:rsidRDefault="00FE77A5" w:rsidP="006603B9">
            <w:pPr>
              <w:pStyle w:val="BayerTableStyleCentered"/>
              <w:keepNext w:val="0"/>
              <w:rPr>
                <w:rFonts w:ascii="Arial" w:hAnsi="Arial" w:cs="Arial"/>
                <w:szCs w:val="22"/>
              </w:rPr>
            </w:pPr>
            <w:r w:rsidRPr="003A5EE1">
              <w:rPr>
                <w:rFonts w:ascii="Arial" w:hAnsi="Arial" w:cs="Arial"/>
                <w:szCs w:val="22"/>
              </w:rPr>
              <w:t>Grade 3</w:t>
            </w:r>
          </w:p>
        </w:tc>
        <w:tc>
          <w:tcPr>
            <w:tcW w:w="1984" w:type="dxa"/>
          </w:tcPr>
          <w:p w14:paraId="712C2BE1"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1st occurrence</w:t>
            </w:r>
          </w:p>
        </w:tc>
        <w:tc>
          <w:tcPr>
            <w:tcW w:w="5954" w:type="dxa"/>
          </w:tcPr>
          <w:p w14:paraId="712C2BE2"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Institute supportive measures immediately. Interrupt therapy for a minimum of 7 days until toxicity resolves to Grade 0-1. </w:t>
            </w:r>
          </w:p>
          <w:p w14:paraId="712C2BE3"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When resuming treatment, decrease dose by 40 mg</w:t>
            </w:r>
            <w:r w:rsidRPr="003A5EE1" w:rsidDel="000F2452">
              <w:rPr>
                <w:rFonts w:ascii="Arial" w:hAnsi="Arial" w:cs="Arial"/>
                <w:szCs w:val="22"/>
              </w:rPr>
              <w:t xml:space="preserve"> </w:t>
            </w:r>
            <w:r w:rsidRPr="003A5EE1">
              <w:rPr>
                <w:rFonts w:ascii="Arial" w:hAnsi="Arial" w:cs="Arial"/>
                <w:szCs w:val="22"/>
              </w:rPr>
              <w:t xml:space="preserve">(one tablet). </w:t>
            </w:r>
          </w:p>
          <w:p w14:paraId="712C2BE4"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 xml:space="preserve">. </w:t>
            </w:r>
          </w:p>
        </w:tc>
      </w:tr>
      <w:tr w:rsidR="00FE77A5" w:rsidRPr="003A5EE1" w14:paraId="712C2BEA" w14:textId="77777777" w:rsidTr="006603B9">
        <w:trPr>
          <w:cantSplit/>
        </w:trPr>
        <w:tc>
          <w:tcPr>
            <w:tcW w:w="1668" w:type="dxa"/>
            <w:tcBorders>
              <w:top w:val="nil"/>
              <w:bottom w:val="nil"/>
            </w:tcBorders>
          </w:tcPr>
          <w:p w14:paraId="712C2BE6" w14:textId="77777777" w:rsidR="00FE77A5" w:rsidRPr="003A5EE1" w:rsidRDefault="00FE77A5" w:rsidP="006603B9">
            <w:pPr>
              <w:pStyle w:val="BayerTableStyleLeftJustified"/>
              <w:rPr>
                <w:rFonts w:ascii="Arial" w:hAnsi="Arial" w:cs="Arial"/>
                <w:szCs w:val="22"/>
              </w:rPr>
            </w:pPr>
          </w:p>
        </w:tc>
        <w:tc>
          <w:tcPr>
            <w:tcW w:w="1984" w:type="dxa"/>
          </w:tcPr>
          <w:p w14:paraId="712C2BE7"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2nd occurrence</w:t>
            </w:r>
          </w:p>
        </w:tc>
        <w:tc>
          <w:tcPr>
            <w:tcW w:w="5954" w:type="dxa"/>
          </w:tcPr>
          <w:p w14:paraId="712C2BE8"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Institute supportive measures immediately. Interrupt therapy for a minimum of 7 days until toxicity resolves to Grade 0-1. </w:t>
            </w:r>
          </w:p>
          <w:p w14:paraId="712C2BE9"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When resuming treatment, decrease dose by 40 mg (one tablet). </w:t>
            </w:r>
          </w:p>
        </w:tc>
      </w:tr>
      <w:tr w:rsidR="00FE77A5" w:rsidRPr="003A5EE1" w14:paraId="712C2BEE" w14:textId="77777777" w:rsidTr="006603B9">
        <w:trPr>
          <w:cantSplit/>
        </w:trPr>
        <w:tc>
          <w:tcPr>
            <w:tcW w:w="1668" w:type="dxa"/>
            <w:tcBorders>
              <w:top w:val="nil"/>
            </w:tcBorders>
          </w:tcPr>
          <w:p w14:paraId="712C2BEB" w14:textId="77777777" w:rsidR="00FE77A5" w:rsidRPr="003A5EE1" w:rsidRDefault="00FE77A5" w:rsidP="006603B9">
            <w:pPr>
              <w:pStyle w:val="BayerTableStyleLeftJustified"/>
              <w:rPr>
                <w:rFonts w:ascii="Arial" w:hAnsi="Arial" w:cs="Arial"/>
                <w:szCs w:val="22"/>
              </w:rPr>
            </w:pPr>
          </w:p>
        </w:tc>
        <w:tc>
          <w:tcPr>
            <w:tcW w:w="1984" w:type="dxa"/>
          </w:tcPr>
          <w:p w14:paraId="712C2BEC"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3rd occurrence</w:t>
            </w:r>
          </w:p>
        </w:tc>
        <w:tc>
          <w:tcPr>
            <w:tcW w:w="5954" w:type="dxa"/>
          </w:tcPr>
          <w:p w14:paraId="712C2BED"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Discontinue treatment.</w:t>
            </w:r>
          </w:p>
        </w:tc>
      </w:tr>
    </w:tbl>
    <w:p w14:paraId="712C2BEF" w14:textId="77777777" w:rsidR="00FE77A5" w:rsidRPr="003A5EE1" w:rsidRDefault="00FE77A5" w:rsidP="00FE77A5">
      <w:pPr>
        <w:rPr>
          <w:rFonts w:ascii="Arial" w:hAnsi="Arial" w:cs="Arial"/>
          <w:sz w:val="22"/>
          <w:szCs w:val="22"/>
        </w:rPr>
      </w:pPr>
    </w:p>
    <w:p w14:paraId="712C2BF0" w14:textId="44160CC0" w:rsidR="00FE77A5" w:rsidRPr="003A5EE1" w:rsidRDefault="00FE77A5" w:rsidP="001578C7">
      <w:pPr>
        <w:keepNext/>
        <w:rPr>
          <w:rFonts w:ascii="Arial" w:hAnsi="Arial" w:cs="Arial"/>
          <w:sz w:val="22"/>
          <w:szCs w:val="22"/>
        </w:rPr>
      </w:pPr>
      <w:r w:rsidRPr="003A5EE1">
        <w:rPr>
          <w:rFonts w:ascii="Arial" w:hAnsi="Arial" w:cs="Arial"/>
          <w:sz w:val="22"/>
          <w:szCs w:val="22"/>
        </w:rPr>
        <w:lastRenderedPageBreak/>
        <w:t xml:space="preserve">For recommended measures and dose modifications in case of worsening of liver function tests considered related to treatment with </w:t>
      </w:r>
      <w:r w:rsidR="00601DFC">
        <w:rPr>
          <w:rFonts w:ascii="Arial" w:hAnsi="Arial" w:cs="Arial"/>
          <w:sz w:val="22"/>
          <w:szCs w:val="22"/>
        </w:rPr>
        <w:t xml:space="preserve">STIVARGA </w:t>
      </w:r>
      <w:r w:rsidRPr="003A5EE1">
        <w:rPr>
          <w:rFonts w:ascii="Arial" w:hAnsi="Arial" w:cs="Arial"/>
          <w:sz w:val="22"/>
          <w:szCs w:val="22"/>
        </w:rPr>
        <w:t xml:space="preserve">see </w:t>
      </w:r>
      <w:r w:rsidR="007E4AA5" w:rsidRPr="003A5EE1">
        <w:rPr>
          <w:rFonts w:ascii="Arial" w:hAnsi="Arial" w:cs="Arial"/>
          <w:sz w:val="22"/>
          <w:szCs w:val="22"/>
        </w:rPr>
        <w:t xml:space="preserve">Table </w:t>
      </w:r>
      <w:r w:rsidR="00537750">
        <w:rPr>
          <w:rFonts w:ascii="Arial" w:hAnsi="Arial" w:cs="Arial"/>
          <w:sz w:val="22"/>
          <w:szCs w:val="22"/>
        </w:rPr>
        <w:t>1</w:t>
      </w:r>
      <w:r w:rsidR="00871049">
        <w:rPr>
          <w:rFonts w:ascii="Arial" w:hAnsi="Arial" w:cs="Arial"/>
          <w:sz w:val="22"/>
          <w:szCs w:val="22"/>
        </w:rPr>
        <w:t>3</w:t>
      </w:r>
      <w:r w:rsidR="007E4AA5" w:rsidRPr="003A5EE1">
        <w:rPr>
          <w:rStyle w:val="Hyperlink"/>
          <w:rFonts w:ascii="Arial" w:hAnsi="Arial" w:cs="Arial"/>
          <w:color w:val="auto"/>
          <w:sz w:val="22"/>
          <w:szCs w:val="22"/>
          <w:u w:val="none"/>
        </w:rPr>
        <w:t xml:space="preserve"> </w:t>
      </w:r>
      <w:r w:rsidR="00BB0856" w:rsidRPr="003A5EE1">
        <w:rPr>
          <w:rFonts w:ascii="Arial" w:hAnsi="Arial" w:cs="Arial"/>
          <w:sz w:val="22"/>
          <w:szCs w:val="22"/>
        </w:rPr>
        <w:t>(</w:t>
      </w:r>
      <w:r w:rsidR="00AB7282">
        <w:rPr>
          <w:rFonts w:ascii="Arial" w:hAnsi="Arial" w:cs="Arial"/>
          <w:sz w:val="22"/>
          <w:szCs w:val="22"/>
        </w:rPr>
        <w:t>see</w:t>
      </w:r>
      <w:r w:rsidR="00BB0856" w:rsidRPr="003A5EE1">
        <w:rPr>
          <w:rFonts w:ascii="Arial" w:hAnsi="Arial" w:cs="Arial"/>
          <w:sz w:val="22"/>
          <w:szCs w:val="22"/>
        </w:rPr>
        <w:t xml:space="preserve"> </w:t>
      </w:r>
      <w:r w:rsidR="00F00CDC">
        <w:rPr>
          <w:rFonts w:ascii="Arial" w:hAnsi="Arial" w:cs="Arial"/>
          <w:sz w:val="22"/>
          <w:szCs w:val="22"/>
        </w:rPr>
        <w:t>PRECAUTIONS</w:t>
      </w:r>
      <w:r w:rsidRPr="003A5EE1">
        <w:rPr>
          <w:rFonts w:ascii="Arial" w:hAnsi="Arial" w:cs="Arial"/>
          <w:sz w:val="22"/>
          <w:szCs w:val="22"/>
        </w:rPr>
        <w:t>).</w:t>
      </w:r>
    </w:p>
    <w:p w14:paraId="712C2BF1" w14:textId="77777777" w:rsidR="00FE77A5" w:rsidRPr="003A5EE1" w:rsidRDefault="00FE77A5" w:rsidP="001578C7">
      <w:pPr>
        <w:keepNext/>
        <w:rPr>
          <w:rFonts w:ascii="Arial" w:hAnsi="Arial" w:cs="Arial"/>
          <w:sz w:val="22"/>
          <w:szCs w:val="22"/>
        </w:rPr>
      </w:pPr>
    </w:p>
    <w:p w14:paraId="712C2BF2" w14:textId="1CF3EBA2" w:rsidR="00FE77A5" w:rsidRPr="003A5EE1" w:rsidRDefault="00FE77A5" w:rsidP="005E2C3E">
      <w:pPr>
        <w:pStyle w:val="Caption"/>
        <w:keepNext/>
        <w:rPr>
          <w:rFonts w:ascii="Arial" w:hAnsi="Arial" w:cs="Arial"/>
          <w:bCs w:val="0"/>
          <w:sz w:val="22"/>
          <w:szCs w:val="22"/>
        </w:rPr>
      </w:pPr>
      <w:r w:rsidRPr="003A5EE1">
        <w:rPr>
          <w:rFonts w:ascii="Arial" w:hAnsi="Arial" w:cs="Arial"/>
          <w:bCs w:val="0"/>
          <w:sz w:val="22"/>
          <w:szCs w:val="22"/>
        </w:rPr>
        <w:t xml:space="preserve">Table </w:t>
      </w:r>
      <w:r w:rsidR="00537750">
        <w:rPr>
          <w:rFonts w:ascii="Arial" w:hAnsi="Arial" w:cs="Arial"/>
          <w:bCs w:val="0"/>
          <w:sz w:val="22"/>
          <w:szCs w:val="22"/>
        </w:rPr>
        <w:t>1</w:t>
      </w:r>
      <w:r w:rsidR="00871049">
        <w:rPr>
          <w:rFonts w:ascii="Arial" w:hAnsi="Arial" w:cs="Arial"/>
          <w:bCs w:val="0"/>
          <w:sz w:val="22"/>
          <w:szCs w:val="22"/>
        </w:rPr>
        <w:t>3</w:t>
      </w:r>
      <w:r w:rsidRPr="003A5EE1">
        <w:rPr>
          <w:rFonts w:ascii="Arial" w:hAnsi="Arial" w:cs="Arial"/>
          <w:bCs w:val="0"/>
          <w:sz w:val="22"/>
          <w:szCs w:val="22"/>
        </w:rPr>
        <w:t xml:space="preserve">: Recommended measures and dose modifications in case of drug-related liver function test abnormalities </w:t>
      </w:r>
    </w:p>
    <w:p w14:paraId="712C2BF3" w14:textId="77777777" w:rsidR="00F34FCB" w:rsidRPr="00F34FCB" w:rsidRDefault="00F34FCB" w:rsidP="005E2C3E">
      <w:pPr>
        <w:keepNext/>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985"/>
        <w:gridCol w:w="5245"/>
      </w:tblGrid>
      <w:tr w:rsidR="00FE77A5" w:rsidRPr="003A5EE1" w14:paraId="712C2BF9" w14:textId="77777777" w:rsidTr="008913AB">
        <w:trPr>
          <w:cantSplit/>
          <w:trHeight w:val="278"/>
          <w:tblHeader/>
        </w:trPr>
        <w:tc>
          <w:tcPr>
            <w:tcW w:w="2376" w:type="dxa"/>
            <w:vAlign w:val="center"/>
          </w:tcPr>
          <w:p w14:paraId="712C2BF4" w14:textId="77777777" w:rsidR="00FE77A5" w:rsidRPr="003A5EE1" w:rsidRDefault="00FE77A5" w:rsidP="008913AB">
            <w:pPr>
              <w:pStyle w:val="BayerTableColumnHeadings"/>
              <w:keepNext/>
              <w:rPr>
                <w:rFonts w:ascii="Arial" w:hAnsi="Arial" w:cs="Arial"/>
                <w:szCs w:val="22"/>
              </w:rPr>
            </w:pPr>
            <w:r w:rsidRPr="003A5EE1">
              <w:rPr>
                <w:rFonts w:ascii="Arial" w:hAnsi="Arial" w:cs="Arial"/>
                <w:szCs w:val="22"/>
              </w:rPr>
              <w:t>Observed elevations</w:t>
            </w:r>
          </w:p>
          <w:p w14:paraId="712C2BF5" w14:textId="77777777" w:rsidR="00FE77A5" w:rsidRPr="003A5EE1" w:rsidRDefault="00FE77A5" w:rsidP="008913AB">
            <w:pPr>
              <w:pStyle w:val="BayerTableColumnHeadings"/>
              <w:keepNext/>
              <w:widowControl w:val="0"/>
              <w:rPr>
                <w:rFonts w:ascii="Arial" w:hAnsi="Arial" w:cs="Arial"/>
                <w:szCs w:val="22"/>
              </w:rPr>
            </w:pPr>
            <w:r w:rsidRPr="003A5EE1">
              <w:rPr>
                <w:rFonts w:ascii="Arial" w:hAnsi="Arial" w:cs="Arial"/>
                <w:szCs w:val="22"/>
              </w:rPr>
              <w:t>of ALT and/or AST</w:t>
            </w:r>
          </w:p>
        </w:tc>
        <w:tc>
          <w:tcPr>
            <w:tcW w:w="1985" w:type="dxa"/>
            <w:vAlign w:val="center"/>
          </w:tcPr>
          <w:p w14:paraId="712C2BF6" w14:textId="77777777" w:rsidR="00FE77A5" w:rsidRPr="003A5EE1" w:rsidRDefault="00FE77A5" w:rsidP="008913AB">
            <w:pPr>
              <w:pStyle w:val="BayerTableColumnHeadings"/>
              <w:keepNext/>
              <w:widowControl w:val="0"/>
              <w:rPr>
                <w:rFonts w:ascii="Arial" w:hAnsi="Arial" w:cs="Arial"/>
                <w:szCs w:val="22"/>
              </w:rPr>
            </w:pPr>
            <w:r w:rsidRPr="003A5EE1">
              <w:rPr>
                <w:rFonts w:ascii="Arial" w:hAnsi="Arial" w:cs="Arial"/>
                <w:szCs w:val="22"/>
              </w:rPr>
              <w:t>Occurrence</w:t>
            </w:r>
          </w:p>
        </w:tc>
        <w:tc>
          <w:tcPr>
            <w:tcW w:w="5245" w:type="dxa"/>
            <w:vAlign w:val="center"/>
          </w:tcPr>
          <w:p w14:paraId="712C2BF8" w14:textId="58524540" w:rsidR="00FE77A5" w:rsidRPr="003A5EE1" w:rsidRDefault="00FE77A5" w:rsidP="008913AB">
            <w:pPr>
              <w:pStyle w:val="BayerTableColumnHeadings"/>
              <w:keepNext/>
              <w:widowControl w:val="0"/>
              <w:rPr>
                <w:rFonts w:ascii="Arial" w:hAnsi="Arial" w:cs="Arial"/>
                <w:szCs w:val="22"/>
              </w:rPr>
            </w:pPr>
            <w:r w:rsidRPr="003A5EE1">
              <w:rPr>
                <w:rFonts w:ascii="Arial" w:hAnsi="Arial" w:cs="Arial"/>
                <w:szCs w:val="22"/>
              </w:rPr>
              <w:t>Recommended measures and dose modification</w:t>
            </w:r>
          </w:p>
        </w:tc>
      </w:tr>
      <w:tr w:rsidR="00FE77A5" w:rsidRPr="003A5EE1" w14:paraId="712C2BFE" w14:textId="77777777" w:rsidTr="006603B9">
        <w:trPr>
          <w:cantSplit/>
        </w:trPr>
        <w:tc>
          <w:tcPr>
            <w:tcW w:w="2376" w:type="dxa"/>
            <w:tcBorders>
              <w:bottom w:val="single" w:sz="6" w:space="0" w:color="000000"/>
            </w:tcBorders>
          </w:tcPr>
          <w:p w14:paraId="712C2BFA" w14:textId="77777777" w:rsidR="00FE77A5" w:rsidRPr="003A5EE1" w:rsidRDefault="00FE77A5" w:rsidP="005E2C3E">
            <w:pPr>
              <w:pStyle w:val="BayerTableRowHeadings"/>
              <w:keepNext/>
              <w:rPr>
                <w:rFonts w:ascii="Arial" w:hAnsi="Arial" w:cs="Arial"/>
                <w:szCs w:val="22"/>
              </w:rPr>
            </w:pPr>
            <w:r w:rsidRPr="003A5EE1">
              <w:rPr>
                <w:rFonts w:ascii="Arial" w:hAnsi="Arial" w:cs="Arial"/>
                <w:szCs w:val="22"/>
              </w:rPr>
              <w:t>≤ 5 times upper limit of normal (ULN) </w:t>
            </w:r>
          </w:p>
          <w:p w14:paraId="712C2BFB" w14:textId="77777777" w:rsidR="00FE77A5" w:rsidRPr="003A5EE1" w:rsidRDefault="00FE77A5" w:rsidP="005E2C3E">
            <w:pPr>
              <w:pStyle w:val="BayerTableStyleCentered"/>
              <w:jc w:val="left"/>
              <w:rPr>
                <w:rFonts w:ascii="Arial" w:hAnsi="Arial" w:cs="Arial"/>
                <w:szCs w:val="22"/>
              </w:rPr>
            </w:pPr>
            <w:r w:rsidRPr="003A5EE1">
              <w:rPr>
                <w:rFonts w:ascii="Arial" w:hAnsi="Arial" w:cs="Arial"/>
                <w:szCs w:val="22"/>
              </w:rPr>
              <w:t>(maximum Grade 2)</w:t>
            </w:r>
          </w:p>
        </w:tc>
        <w:tc>
          <w:tcPr>
            <w:tcW w:w="1985" w:type="dxa"/>
            <w:tcBorders>
              <w:bottom w:val="single" w:sz="6" w:space="0" w:color="000000"/>
            </w:tcBorders>
          </w:tcPr>
          <w:p w14:paraId="712C2BFC" w14:textId="77777777" w:rsidR="00FE77A5" w:rsidRPr="003A5EE1" w:rsidRDefault="00FE77A5" w:rsidP="005E2C3E">
            <w:pPr>
              <w:pStyle w:val="BayerTableStyleLeftJustified"/>
              <w:keepNext/>
              <w:rPr>
                <w:rFonts w:ascii="Arial" w:hAnsi="Arial" w:cs="Arial"/>
                <w:szCs w:val="22"/>
              </w:rPr>
            </w:pPr>
            <w:r w:rsidRPr="003A5EE1">
              <w:rPr>
                <w:rFonts w:ascii="Arial" w:hAnsi="Arial" w:cs="Arial"/>
                <w:szCs w:val="22"/>
              </w:rPr>
              <w:t>Any occurrence</w:t>
            </w:r>
          </w:p>
        </w:tc>
        <w:tc>
          <w:tcPr>
            <w:tcW w:w="5245" w:type="dxa"/>
            <w:tcBorders>
              <w:bottom w:val="single" w:sz="6" w:space="0" w:color="000000"/>
            </w:tcBorders>
          </w:tcPr>
          <w:p w14:paraId="712C2BFD" w14:textId="00AC66A5" w:rsidR="00FE77A5" w:rsidRPr="003A5EE1" w:rsidRDefault="00FE77A5" w:rsidP="005E2C3E">
            <w:pPr>
              <w:pStyle w:val="BayerTableStyleLeftJustified"/>
              <w:keepNext/>
              <w:rPr>
                <w:rFonts w:ascii="Arial" w:hAnsi="Arial" w:cs="Arial"/>
                <w:szCs w:val="22"/>
              </w:rPr>
            </w:pPr>
            <w:r w:rsidRPr="003A5EE1">
              <w:rPr>
                <w:rFonts w:ascii="Arial" w:hAnsi="Arial" w:cs="Arial"/>
                <w:szCs w:val="22"/>
              </w:rPr>
              <w:t xml:space="preserve">Continue </w:t>
            </w:r>
            <w:r w:rsidR="00601DFC">
              <w:rPr>
                <w:rFonts w:ascii="Arial" w:hAnsi="Arial" w:cs="Arial"/>
                <w:szCs w:val="22"/>
              </w:rPr>
              <w:t xml:space="preserve">STIVARGA </w:t>
            </w:r>
            <w:r w:rsidRPr="003A5EE1">
              <w:rPr>
                <w:rFonts w:ascii="Arial" w:hAnsi="Arial" w:cs="Arial"/>
                <w:szCs w:val="22"/>
              </w:rPr>
              <w:t xml:space="preserve">treatment. </w:t>
            </w:r>
            <w:r w:rsidRPr="003A5EE1">
              <w:rPr>
                <w:rFonts w:ascii="Arial" w:hAnsi="Arial" w:cs="Arial"/>
                <w:szCs w:val="22"/>
              </w:rPr>
              <w:br/>
              <w:t>Monitor liver function weekly until transaminases return to &lt; 3 times ULN (Grade 1) or baseline.</w:t>
            </w:r>
          </w:p>
        </w:tc>
      </w:tr>
      <w:tr w:rsidR="00FE77A5" w:rsidRPr="003A5EE1" w14:paraId="712C2C02" w14:textId="77777777" w:rsidTr="006603B9">
        <w:trPr>
          <w:cantSplit/>
          <w:trHeight w:val="878"/>
        </w:trPr>
        <w:tc>
          <w:tcPr>
            <w:tcW w:w="2376" w:type="dxa"/>
            <w:tcBorders>
              <w:bottom w:val="nil"/>
            </w:tcBorders>
          </w:tcPr>
          <w:p w14:paraId="712C2BFF" w14:textId="77777777" w:rsidR="00FE77A5" w:rsidRPr="003A5EE1" w:rsidRDefault="00FE77A5" w:rsidP="006603B9">
            <w:pPr>
              <w:pStyle w:val="BayerTableStyleCentered"/>
              <w:keepNext w:val="0"/>
              <w:jc w:val="left"/>
              <w:rPr>
                <w:rFonts w:ascii="Arial" w:hAnsi="Arial" w:cs="Arial"/>
                <w:szCs w:val="22"/>
              </w:rPr>
            </w:pPr>
            <w:r w:rsidRPr="003A5EE1">
              <w:rPr>
                <w:rFonts w:ascii="Arial" w:hAnsi="Arial" w:cs="Arial"/>
                <w:szCs w:val="22"/>
              </w:rPr>
              <w:t xml:space="preserve">&gt; 5 times ULN </w:t>
            </w:r>
            <w:r w:rsidR="00E16D20" w:rsidRPr="003A5EE1">
              <w:rPr>
                <w:rFonts w:ascii="Arial" w:hAnsi="Arial" w:cs="Arial"/>
                <w:szCs w:val="22"/>
              </w:rPr>
              <w:t>to ≤ 20 times ULN</w:t>
            </w:r>
            <w:r w:rsidRPr="003A5EE1">
              <w:rPr>
                <w:rFonts w:ascii="Arial" w:hAnsi="Arial" w:cs="Arial"/>
                <w:szCs w:val="22"/>
              </w:rPr>
              <w:br/>
              <w:t>(Grade 3)</w:t>
            </w:r>
          </w:p>
        </w:tc>
        <w:tc>
          <w:tcPr>
            <w:tcW w:w="1985" w:type="dxa"/>
            <w:tcBorders>
              <w:bottom w:val="nil"/>
            </w:tcBorders>
          </w:tcPr>
          <w:p w14:paraId="712C2C00"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1st occurrence</w:t>
            </w:r>
          </w:p>
        </w:tc>
        <w:tc>
          <w:tcPr>
            <w:tcW w:w="5245" w:type="dxa"/>
            <w:tcBorders>
              <w:bottom w:val="nil"/>
            </w:tcBorders>
          </w:tcPr>
          <w:p w14:paraId="712C2C01" w14:textId="70EA745F"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Interrupt </w:t>
            </w:r>
            <w:r w:rsidR="00601DFC">
              <w:rPr>
                <w:rFonts w:ascii="Arial" w:hAnsi="Arial" w:cs="Arial"/>
                <w:szCs w:val="22"/>
              </w:rPr>
              <w:t xml:space="preserve">STIVARGA </w:t>
            </w:r>
            <w:r w:rsidRPr="003A5EE1">
              <w:rPr>
                <w:rFonts w:ascii="Arial" w:hAnsi="Arial" w:cs="Arial"/>
                <w:szCs w:val="22"/>
              </w:rPr>
              <w:t xml:space="preserve">treatment. </w:t>
            </w:r>
            <w:r w:rsidRPr="003A5EE1">
              <w:rPr>
                <w:rFonts w:ascii="Arial" w:hAnsi="Arial" w:cs="Arial"/>
                <w:szCs w:val="22"/>
              </w:rPr>
              <w:br/>
              <w:t>Monitor transaminases weekly until return to &lt; 3 times ULN or baseline.</w:t>
            </w:r>
          </w:p>
        </w:tc>
      </w:tr>
      <w:tr w:rsidR="00FE77A5" w:rsidRPr="003A5EE1" w14:paraId="712C2C06" w14:textId="77777777" w:rsidTr="006603B9">
        <w:trPr>
          <w:cantSplit/>
        </w:trPr>
        <w:tc>
          <w:tcPr>
            <w:tcW w:w="2376" w:type="dxa"/>
            <w:tcBorders>
              <w:top w:val="nil"/>
              <w:bottom w:val="nil"/>
            </w:tcBorders>
          </w:tcPr>
          <w:p w14:paraId="712C2C03" w14:textId="77777777" w:rsidR="00FE77A5" w:rsidRPr="003A5EE1" w:rsidRDefault="00FE77A5" w:rsidP="006603B9">
            <w:pPr>
              <w:pStyle w:val="BayerTableStyleCentered"/>
              <w:keepNext w:val="0"/>
              <w:jc w:val="left"/>
              <w:rPr>
                <w:rFonts w:ascii="Arial" w:hAnsi="Arial" w:cs="Arial"/>
                <w:szCs w:val="22"/>
              </w:rPr>
            </w:pPr>
          </w:p>
        </w:tc>
        <w:tc>
          <w:tcPr>
            <w:tcW w:w="1985" w:type="dxa"/>
            <w:tcBorders>
              <w:top w:val="nil"/>
            </w:tcBorders>
          </w:tcPr>
          <w:p w14:paraId="712C2C04" w14:textId="77777777" w:rsidR="00FE77A5" w:rsidRPr="003A5EE1" w:rsidRDefault="00FE77A5" w:rsidP="006603B9">
            <w:pPr>
              <w:pStyle w:val="BayerTableStyleLeftJustified"/>
              <w:rPr>
                <w:rFonts w:ascii="Arial" w:hAnsi="Arial" w:cs="Arial"/>
                <w:szCs w:val="22"/>
              </w:rPr>
            </w:pPr>
          </w:p>
        </w:tc>
        <w:tc>
          <w:tcPr>
            <w:tcW w:w="5245" w:type="dxa"/>
            <w:tcBorders>
              <w:top w:val="nil"/>
            </w:tcBorders>
          </w:tcPr>
          <w:p w14:paraId="712C2C05" w14:textId="6D7F55B3"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Restart: If the potential benefit outweighs the risk of hepatotoxicity, re-initiate </w:t>
            </w:r>
            <w:r w:rsidR="00601DFC">
              <w:rPr>
                <w:rFonts w:ascii="Arial" w:hAnsi="Arial" w:cs="Arial"/>
                <w:szCs w:val="22"/>
              </w:rPr>
              <w:t xml:space="preserve">STIVARGA </w:t>
            </w:r>
            <w:r w:rsidRPr="003A5EE1">
              <w:rPr>
                <w:rFonts w:ascii="Arial" w:hAnsi="Arial" w:cs="Arial"/>
                <w:szCs w:val="22"/>
              </w:rPr>
              <w:t xml:space="preserve">treatment, reduce dose by 40 mg (one tablet), and monitor liver function weekly for at least 4 weeks. </w:t>
            </w:r>
          </w:p>
        </w:tc>
      </w:tr>
      <w:tr w:rsidR="00FE77A5" w:rsidRPr="003A5EE1" w14:paraId="712C2C0A" w14:textId="77777777" w:rsidTr="006603B9">
        <w:trPr>
          <w:cantSplit/>
        </w:trPr>
        <w:tc>
          <w:tcPr>
            <w:tcW w:w="2376" w:type="dxa"/>
            <w:tcBorders>
              <w:top w:val="nil"/>
              <w:bottom w:val="nil"/>
            </w:tcBorders>
          </w:tcPr>
          <w:p w14:paraId="712C2C07" w14:textId="77777777" w:rsidR="00FE77A5" w:rsidRPr="003A5EE1" w:rsidRDefault="00FE77A5" w:rsidP="006603B9">
            <w:pPr>
              <w:pStyle w:val="BayerTableStyleCentered"/>
              <w:keepNext w:val="0"/>
              <w:jc w:val="left"/>
              <w:rPr>
                <w:rFonts w:ascii="Arial" w:hAnsi="Arial" w:cs="Arial"/>
                <w:szCs w:val="22"/>
              </w:rPr>
            </w:pPr>
          </w:p>
        </w:tc>
        <w:tc>
          <w:tcPr>
            <w:tcW w:w="1985" w:type="dxa"/>
          </w:tcPr>
          <w:p w14:paraId="712C2C08"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Re-occurrence</w:t>
            </w:r>
          </w:p>
        </w:tc>
        <w:tc>
          <w:tcPr>
            <w:tcW w:w="5245" w:type="dxa"/>
          </w:tcPr>
          <w:p w14:paraId="712C2C09" w14:textId="49079CB4"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Discontinue treatment with </w:t>
            </w:r>
            <w:r w:rsidR="00601DFC">
              <w:rPr>
                <w:rFonts w:ascii="Arial" w:hAnsi="Arial" w:cs="Arial"/>
                <w:szCs w:val="22"/>
              </w:rPr>
              <w:t xml:space="preserve">STIVARGA </w:t>
            </w:r>
            <w:r w:rsidRPr="003A5EE1">
              <w:rPr>
                <w:rFonts w:ascii="Arial" w:hAnsi="Arial" w:cs="Arial"/>
                <w:szCs w:val="22"/>
              </w:rPr>
              <w:t>permanently.</w:t>
            </w:r>
          </w:p>
        </w:tc>
      </w:tr>
      <w:tr w:rsidR="00FE77A5" w:rsidRPr="003A5EE1" w14:paraId="712C2C0E" w14:textId="77777777" w:rsidTr="006603B9">
        <w:trPr>
          <w:cantSplit/>
          <w:trHeight w:val="247"/>
        </w:trPr>
        <w:tc>
          <w:tcPr>
            <w:tcW w:w="2376" w:type="dxa"/>
            <w:tcBorders>
              <w:bottom w:val="single" w:sz="6" w:space="0" w:color="000000"/>
            </w:tcBorders>
          </w:tcPr>
          <w:p w14:paraId="712C2C0B" w14:textId="77777777" w:rsidR="00FE77A5" w:rsidRPr="003A5EE1" w:rsidRDefault="00FE77A5" w:rsidP="006603B9">
            <w:pPr>
              <w:pStyle w:val="BayerTableStyleCentered"/>
              <w:keepNext w:val="0"/>
              <w:jc w:val="left"/>
              <w:rPr>
                <w:rFonts w:ascii="Arial" w:hAnsi="Arial" w:cs="Arial"/>
                <w:szCs w:val="22"/>
              </w:rPr>
            </w:pPr>
            <w:r w:rsidRPr="003A5EE1">
              <w:rPr>
                <w:rFonts w:ascii="Arial" w:hAnsi="Arial" w:cs="Arial"/>
                <w:szCs w:val="22"/>
              </w:rPr>
              <w:t xml:space="preserve">&gt; 20 times ULN </w:t>
            </w:r>
            <w:r w:rsidRPr="003A5EE1">
              <w:rPr>
                <w:rFonts w:ascii="Arial" w:hAnsi="Arial" w:cs="Arial"/>
                <w:szCs w:val="22"/>
              </w:rPr>
              <w:br/>
              <w:t>(Grade 4)</w:t>
            </w:r>
          </w:p>
        </w:tc>
        <w:tc>
          <w:tcPr>
            <w:tcW w:w="1985" w:type="dxa"/>
            <w:tcBorders>
              <w:bottom w:val="single" w:sz="6" w:space="0" w:color="000000"/>
            </w:tcBorders>
          </w:tcPr>
          <w:p w14:paraId="712C2C0C"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Any occurrence</w:t>
            </w:r>
          </w:p>
        </w:tc>
        <w:tc>
          <w:tcPr>
            <w:tcW w:w="5245" w:type="dxa"/>
            <w:tcBorders>
              <w:bottom w:val="single" w:sz="6" w:space="0" w:color="000000"/>
            </w:tcBorders>
          </w:tcPr>
          <w:p w14:paraId="712C2C0D" w14:textId="441375CA"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Discontinue treatment with </w:t>
            </w:r>
            <w:r w:rsidR="00601DFC">
              <w:rPr>
                <w:rFonts w:ascii="Arial" w:hAnsi="Arial" w:cs="Arial"/>
                <w:szCs w:val="22"/>
              </w:rPr>
              <w:t xml:space="preserve">STIVARGA </w:t>
            </w:r>
            <w:r w:rsidRPr="003A5EE1">
              <w:rPr>
                <w:rFonts w:ascii="Arial" w:hAnsi="Arial" w:cs="Arial"/>
                <w:szCs w:val="22"/>
              </w:rPr>
              <w:t>permanently.</w:t>
            </w:r>
          </w:p>
        </w:tc>
      </w:tr>
      <w:tr w:rsidR="00FE77A5" w:rsidRPr="003A5EE1" w14:paraId="712C2C14" w14:textId="77777777" w:rsidTr="006603B9">
        <w:trPr>
          <w:cantSplit/>
          <w:trHeight w:val="247"/>
        </w:trPr>
        <w:tc>
          <w:tcPr>
            <w:tcW w:w="2376" w:type="dxa"/>
            <w:tcBorders>
              <w:bottom w:val="single" w:sz="4" w:space="0" w:color="auto"/>
            </w:tcBorders>
          </w:tcPr>
          <w:p w14:paraId="712C2C0F" w14:textId="77777777" w:rsidR="00FE77A5" w:rsidRPr="003A5EE1" w:rsidRDefault="00FE77A5" w:rsidP="006603B9">
            <w:pPr>
              <w:pStyle w:val="BayerTableRowHeadings"/>
              <w:rPr>
                <w:rFonts w:ascii="Arial" w:hAnsi="Arial" w:cs="Arial"/>
                <w:szCs w:val="22"/>
              </w:rPr>
            </w:pPr>
            <w:r w:rsidRPr="003A5EE1">
              <w:rPr>
                <w:rFonts w:ascii="Arial" w:hAnsi="Arial" w:cs="Arial"/>
                <w:szCs w:val="22"/>
              </w:rPr>
              <w:t>&gt; 3 times ULN (Grade 2 or higher) with concurrent bilirubin &gt; 2 times ULN</w:t>
            </w:r>
          </w:p>
        </w:tc>
        <w:tc>
          <w:tcPr>
            <w:tcW w:w="1985" w:type="dxa"/>
            <w:tcBorders>
              <w:bottom w:val="single" w:sz="4" w:space="0" w:color="auto"/>
            </w:tcBorders>
          </w:tcPr>
          <w:p w14:paraId="712C2C10" w14:textId="77777777" w:rsidR="00FE77A5" w:rsidRPr="003A5EE1" w:rsidRDefault="00FE77A5" w:rsidP="006603B9">
            <w:pPr>
              <w:pStyle w:val="BayerTableStyleLeftJustified"/>
              <w:rPr>
                <w:rFonts w:ascii="Arial" w:hAnsi="Arial" w:cs="Arial"/>
                <w:szCs w:val="22"/>
              </w:rPr>
            </w:pPr>
            <w:r w:rsidRPr="003A5EE1">
              <w:rPr>
                <w:rFonts w:ascii="Arial" w:hAnsi="Arial" w:cs="Arial"/>
                <w:szCs w:val="22"/>
              </w:rPr>
              <w:t>Any occurrence</w:t>
            </w:r>
          </w:p>
        </w:tc>
        <w:tc>
          <w:tcPr>
            <w:tcW w:w="5245" w:type="dxa"/>
            <w:tcBorders>
              <w:bottom w:val="single" w:sz="4" w:space="0" w:color="auto"/>
            </w:tcBorders>
          </w:tcPr>
          <w:p w14:paraId="712C2C11" w14:textId="399A9C6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Discontinue treatment with </w:t>
            </w:r>
            <w:r w:rsidR="00601DFC">
              <w:rPr>
                <w:rFonts w:ascii="Arial" w:hAnsi="Arial" w:cs="Arial"/>
                <w:szCs w:val="22"/>
              </w:rPr>
              <w:t xml:space="preserve">STIVARGA </w:t>
            </w:r>
            <w:r w:rsidRPr="003A5EE1">
              <w:rPr>
                <w:rFonts w:ascii="Arial" w:hAnsi="Arial" w:cs="Arial"/>
                <w:szCs w:val="22"/>
              </w:rPr>
              <w:t xml:space="preserve">permanently. </w:t>
            </w:r>
          </w:p>
          <w:p w14:paraId="712C2C12"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Monitor liver function weekly until resolution or return to baseline. </w:t>
            </w:r>
          </w:p>
          <w:p w14:paraId="712C2C13" w14:textId="77777777"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u w:val="single"/>
              </w:rPr>
              <w:t>Exception</w:t>
            </w:r>
            <w:r w:rsidRPr="003A5EE1">
              <w:rPr>
                <w:rFonts w:ascii="Arial" w:hAnsi="Arial" w:cs="Arial"/>
                <w:szCs w:val="22"/>
              </w:rPr>
              <w:t>: patients with Gilbert’s syndrome who develop elevated transaminases should be managed as per the above outlined recommendations for the respective observed elevation of ALT and/or AST.</w:t>
            </w:r>
          </w:p>
        </w:tc>
      </w:tr>
    </w:tbl>
    <w:p w14:paraId="712C2C15" w14:textId="77777777" w:rsidR="00FE77A5" w:rsidRPr="00B964DD" w:rsidRDefault="00FE77A5" w:rsidP="00FE77A5">
      <w:pPr>
        <w:rPr>
          <w:rFonts w:ascii="Arial" w:hAnsi="Arial" w:cs="Arial"/>
        </w:rPr>
      </w:pPr>
    </w:p>
    <w:p w14:paraId="712C2C16" w14:textId="77777777" w:rsidR="001D1004" w:rsidRPr="003A5EE1" w:rsidRDefault="001D1004" w:rsidP="00CF7423">
      <w:pPr>
        <w:pStyle w:val="Heading1"/>
        <w:spacing w:before="0" w:after="0" w:line="240" w:lineRule="auto"/>
        <w:ind w:right="45"/>
        <w:jc w:val="left"/>
      </w:pPr>
      <w:r w:rsidRPr="003A5EE1">
        <w:t>OVERDOSAGE</w:t>
      </w:r>
    </w:p>
    <w:p w14:paraId="712C2C17" w14:textId="77777777" w:rsidR="00BB0856" w:rsidRDefault="00BB0856" w:rsidP="00CF7423">
      <w:pPr>
        <w:rPr>
          <w:lang w:val="en-AU"/>
        </w:rPr>
      </w:pPr>
    </w:p>
    <w:p w14:paraId="712C2C18" w14:textId="7B6EE2F9" w:rsidR="00BB0856" w:rsidRPr="003A5EE1" w:rsidRDefault="00BB0856" w:rsidP="00CF7423">
      <w:pPr>
        <w:rPr>
          <w:rFonts w:ascii="Arial" w:hAnsi="Arial" w:cs="Arial"/>
          <w:sz w:val="22"/>
          <w:szCs w:val="22"/>
        </w:rPr>
      </w:pPr>
      <w:r w:rsidRPr="003A5EE1">
        <w:rPr>
          <w:rFonts w:ascii="Arial" w:hAnsi="Arial" w:cs="Arial"/>
          <w:sz w:val="22"/>
          <w:szCs w:val="22"/>
        </w:rPr>
        <w:t xml:space="preserve">There is no specific antidote for </w:t>
      </w:r>
      <w:r w:rsidR="00601DFC">
        <w:rPr>
          <w:rFonts w:ascii="Arial" w:hAnsi="Arial" w:cs="Arial"/>
          <w:sz w:val="22"/>
          <w:szCs w:val="22"/>
        </w:rPr>
        <w:t xml:space="preserve">STIVARGA </w:t>
      </w:r>
      <w:r w:rsidRPr="003A5EE1">
        <w:rPr>
          <w:rFonts w:ascii="Arial" w:hAnsi="Arial" w:cs="Arial"/>
          <w:sz w:val="22"/>
          <w:szCs w:val="22"/>
        </w:rPr>
        <w:t>overdose.</w:t>
      </w:r>
    </w:p>
    <w:p w14:paraId="712C2C19" w14:textId="77777777" w:rsidR="00BB0856" w:rsidRPr="003A5EE1" w:rsidRDefault="00BB0856" w:rsidP="002E54D9">
      <w:pPr>
        <w:rPr>
          <w:sz w:val="22"/>
          <w:szCs w:val="22"/>
          <w:lang w:val="en-AU"/>
        </w:rPr>
      </w:pPr>
    </w:p>
    <w:p w14:paraId="712C2C1A" w14:textId="68065634" w:rsidR="005A7159" w:rsidRPr="003A5EE1" w:rsidRDefault="00BB0856" w:rsidP="002E54D9">
      <w:pPr>
        <w:pStyle w:val="BayerBodyTextFull"/>
        <w:spacing w:before="0" w:after="0"/>
        <w:rPr>
          <w:rFonts w:ascii="Arial" w:hAnsi="Arial" w:cs="Arial"/>
          <w:sz w:val="22"/>
          <w:szCs w:val="22"/>
        </w:rPr>
      </w:pPr>
      <w:r w:rsidRPr="003A5EE1">
        <w:rPr>
          <w:rFonts w:ascii="Arial" w:hAnsi="Arial" w:cs="Arial"/>
          <w:sz w:val="22"/>
          <w:szCs w:val="22"/>
        </w:rPr>
        <w:t xml:space="preserve">The highest dose of </w:t>
      </w:r>
      <w:r w:rsidR="00601DFC">
        <w:rPr>
          <w:rFonts w:ascii="Arial" w:hAnsi="Arial" w:cs="Arial"/>
          <w:sz w:val="22"/>
          <w:szCs w:val="22"/>
        </w:rPr>
        <w:t xml:space="preserve">STIVARGA </w:t>
      </w:r>
      <w:r w:rsidRPr="003A5EE1">
        <w:rPr>
          <w:rFonts w:ascii="Arial" w:hAnsi="Arial" w:cs="Arial"/>
          <w:sz w:val="22"/>
          <w:szCs w:val="22"/>
        </w:rPr>
        <w:t xml:space="preserve">studied clinically </w:t>
      </w:r>
      <w:r w:rsidR="005A7159" w:rsidRPr="003A5EE1">
        <w:rPr>
          <w:rFonts w:ascii="Arial" w:hAnsi="Arial" w:cs="Arial"/>
          <w:sz w:val="22"/>
          <w:szCs w:val="22"/>
        </w:rPr>
        <w:t>is 220 mg per day. The most frequently observed adverse drug reactions at this dose were dermatological events, dysphonia, diarrh</w:t>
      </w:r>
      <w:r w:rsidRPr="003A5EE1">
        <w:rPr>
          <w:rFonts w:ascii="Arial" w:hAnsi="Arial" w:cs="Arial"/>
          <w:sz w:val="22"/>
          <w:szCs w:val="22"/>
        </w:rPr>
        <w:t>o</w:t>
      </w:r>
      <w:r w:rsidR="005A7159" w:rsidRPr="003A5EE1">
        <w:rPr>
          <w:rFonts w:ascii="Arial" w:hAnsi="Arial" w:cs="Arial"/>
          <w:sz w:val="22"/>
          <w:szCs w:val="22"/>
        </w:rPr>
        <w:t>ea, mucosal inflammation, dry mouth, decreased appetite, hypertension, and fatigue.</w:t>
      </w:r>
    </w:p>
    <w:p w14:paraId="712C2C1B" w14:textId="77777777" w:rsidR="00CC1E83" w:rsidRPr="003A5EE1" w:rsidRDefault="00CC1E83" w:rsidP="002E54D9">
      <w:pPr>
        <w:pStyle w:val="BayerBodyTextFull"/>
        <w:spacing w:before="0" w:after="0"/>
        <w:rPr>
          <w:rFonts w:ascii="Arial" w:hAnsi="Arial" w:cs="Arial"/>
          <w:sz w:val="22"/>
          <w:szCs w:val="22"/>
        </w:rPr>
      </w:pPr>
    </w:p>
    <w:p w14:paraId="712C2C1C" w14:textId="5625EA5F" w:rsidR="005A7159" w:rsidRPr="003A5EE1" w:rsidRDefault="005A7159" w:rsidP="002E54D9">
      <w:pPr>
        <w:pStyle w:val="BayerBodyTextFull"/>
        <w:spacing w:before="0" w:after="0"/>
        <w:rPr>
          <w:rFonts w:ascii="Arial" w:hAnsi="Arial" w:cs="Arial"/>
          <w:sz w:val="22"/>
          <w:szCs w:val="22"/>
          <w:lang w:val="en-GB"/>
        </w:rPr>
      </w:pPr>
      <w:r w:rsidRPr="003A5EE1">
        <w:rPr>
          <w:rFonts w:ascii="Arial" w:hAnsi="Arial" w:cs="Arial"/>
          <w:sz w:val="22"/>
          <w:szCs w:val="22"/>
          <w:lang w:val="en-GB"/>
        </w:rPr>
        <w:t xml:space="preserve">In the event of suspected overdose, </w:t>
      </w:r>
      <w:r w:rsidR="00601DFC">
        <w:rPr>
          <w:rFonts w:ascii="Arial" w:hAnsi="Arial" w:cs="Arial"/>
          <w:sz w:val="22"/>
          <w:szCs w:val="22"/>
          <w:lang w:val="en-GB"/>
        </w:rPr>
        <w:t xml:space="preserve">STIVARGA </w:t>
      </w:r>
      <w:r w:rsidRPr="003A5EE1">
        <w:rPr>
          <w:rFonts w:ascii="Arial" w:hAnsi="Arial" w:cs="Arial"/>
          <w:sz w:val="22"/>
          <w:szCs w:val="22"/>
          <w:lang w:val="en-GB"/>
        </w:rPr>
        <w:t xml:space="preserve">should be </w:t>
      </w:r>
      <w:r w:rsidR="00BB0856" w:rsidRPr="003A5EE1">
        <w:rPr>
          <w:rFonts w:ascii="Arial" w:hAnsi="Arial" w:cs="Arial"/>
          <w:sz w:val="22"/>
          <w:szCs w:val="22"/>
          <w:lang w:val="en-GB"/>
        </w:rPr>
        <w:t>withheld</w:t>
      </w:r>
      <w:r w:rsidR="00EC5D69" w:rsidRPr="003A5EE1">
        <w:rPr>
          <w:rFonts w:ascii="Arial" w:hAnsi="Arial" w:cs="Arial"/>
          <w:sz w:val="22"/>
          <w:szCs w:val="22"/>
          <w:lang w:val="en-GB"/>
        </w:rPr>
        <w:t xml:space="preserve"> immediately with</w:t>
      </w:r>
      <w:r w:rsidR="00BB0856" w:rsidRPr="003A5EE1">
        <w:rPr>
          <w:rFonts w:ascii="Arial" w:hAnsi="Arial" w:cs="Arial"/>
          <w:sz w:val="22"/>
          <w:szCs w:val="22"/>
          <w:lang w:val="en-GB"/>
        </w:rPr>
        <w:t xml:space="preserve"> </w:t>
      </w:r>
      <w:r w:rsidRPr="003A5EE1">
        <w:rPr>
          <w:rFonts w:ascii="Arial" w:hAnsi="Arial" w:cs="Arial"/>
          <w:sz w:val="22"/>
          <w:szCs w:val="22"/>
          <w:lang w:val="en-GB"/>
        </w:rPr>
        <w:t>best supportive care</w:t>
      </w:r>
      <w:r w:rsidR="00E15013" w:rsidRPr="003A5EE1">
        <w:rPr>
          <w:rFonts w:ascii="Arial" w:hAnsi="Arial" w:cs="Arial"/>
          <w:sz w:val="22"/>
          <w:szCs w:val="22"/>
          <w:lang w:val="en-GB"/>
        </w:rPr>
        <w:t xml:space="preserve"> </w:t>
      </w:r>
      <w:r w:rsidR="00EC5D69" w:rsidRPr="003A5EE1">
        <w:rPr>
          <w:rFonts w:ascii="Arial" w:hAnsi="Arial" w:cs="Arial"/>
          <w:sz w:val="22"/>
          <w:szCs w:val="22"/>
          <w:lang w:val="en-GB"/>
        </w:rPr>
        <w:t>initiated</w:t>
      </w:r>
      <w:r w:rsidR="00BB0856" w:rsidRPr="003A5EE1">
        <w:rPr>
          <w:rFonts w:ascii="Arial" w:hAnsi="Arial" w:cs="Arial"/>
          <w:sz w:val="22"/>
          <w:szCs w:val="22"/>
          <w:lang w:val="en-GB"/>
        </w:rPr>
        <w:t xml:space="preserve"> by a doctor. T</w:t>
      </w:r>
      <w:r w:rsidRPr="003A5EE1">
        <w:rPr>
          <w:rFonts w:ascii="Arial" w:hAnsi="Arial" w:cs="Arial"/>
          <w:sz w:val="22"/>
          <w:szCs w:val="22"/>
          <w:lang w:val="en-GB"/>
        </w:rPr>
        <w:t>he patient should be observed until clinical stabilisation.</w:t>
      </w:r>
    </w:p>
    <w:p w14:paraId="712C2C1D" w14:textId="77777777" w:rsidR="00BB0856" w:rsidRPr="003A5EE1" w:rsidRDefault="00BB0856" w:rsidP="002E54D9">
      <w:pPr>
        <w:pStyle w:val="BayerBodyTextFull"/>
        <w:spacing w:before="0" w:after="0"/>
        <w:rPr>
          <w:rFonts w:ascii="Arial" w:hAnsi="Arial" w:cs="Arial"/>
          <w:sz w:val="22"/>
          <w:szCs w:val="22"/>
          <w:lang w:val="en-GB"/>
        </w:rPr>
      </w:pPr>
    </w:p>
    <w:p w14:paraId="712C2C1E" w14:textId="77777777"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Contact Poisons Information Centre 131126 for advice on management.</w:t>
      </w:r>
    </w:p>
    <w:p w14:paraId="712C2C1F" w14:textId="77777777" w:rsidR="00BB0856" w:rsidRPr="00BB0856" w:rsidRDefault="00BB0856" w:rsidP="00CF7423">
      <w:pPr>
        <w:ind w:right="45"/>
        <w:rPr>
          <w:rFonts w:ascii="Arial" w:hAnsi="Arial" w:cs="Arial"/>
          <w:lang w:val="en-AU"/>
        </w:rPr>
      </w:pPr>
    </w:p>
    <w:p w14:paraId="712C2C20" w14:textId="77777777" w:rsidR="001D1004" w:rsidRPr="003A5EE1" w:rsidRDefault="001D1004" w:rsidP="00CF7423">
      <w:pPr>
        <w:pStyle w:val="Heading1"/>
        <w:spacing w:before="0" w:after="0" w:line="240" w:lineRule="auto"/>
        <w:ind w:right="46"/>
        <w:jc w:val="left"/>
      </w:pPr>
      <w:r w:rsidRPr="003A5EE1">
        <w:t>PRESENTATION AND STORAGE CONDITIONS</w:t>
      </w:r>
    </w:p>
    <w:p w14:paraId="712C2C21" w14:textId="77777777" w:rsidR="00BB0856" w:rsidRPr="00BB0856" w:rsidRDefault="00BB0856" w:rsidP="00CF7423">
      <w:pPr>
        <w:rPr>
          <w:lang w:val="en-AU"/>
        </w:rPr>
      </w:pPr>
    </w:p>
    <w:p w14:paraId="712C2C22" w14:textId="079D246B" w:rsidR="00873EF0" w:rsidRPr="003A5EE1" w:rsidRDefault="00601DFC" w:rsidP="00CF7423">
      <w:pPr>
        <w:ind w:right="46"/>
        <w:rPr>
          <w:rFonts w:ascii="Arial" w:hAnsi="Arial" w:cs="Arial"/>
          <w:noProof/>
          <w:sz w:val="22"/>
          <w:szCs w:val="22"/>
          <w:lang w:val="en-AU"/>
        </w:rPr>
      </w:pPr>
      <w:r>
        <w:rPr>
          <w:rFonts w:ascii="Arial" w:hAnsi="Arial" w:cs="Arial"/>
          <w:noProof/>
          <w:sz w:val="22"/>
          <w:szCs w:val="22"/>
          <w:lang w:val="en-AU"/>
        </w:rPr>
        <w:lastRenderedPageBreak/>
        <w:t xml:space="preserve">STIVARGA </w:t>
      </w:r>
      <w:r w:rsidR="00761CE6" w:rsidRPr="003A5EE1">
        <w:rPr>
          <w:rFonts w:ascii="Arial" w:hAnsi="Arial" w:cs="Arial"/>
          <w:noProof/>
          <w:sz w:val="22"/>
          <w:szCs w:val="22"/>
          <w:lang w:val="en-AU"/>
        </w:rPr>
        <w:t xml:space="preserve">tablets </w:t>
      </w:r>
      <w:r w:rsidR="00BB0856" w:rsidRPr="003A5EE1">
        <w:rPr>
          <w:rFonts w:ascii="Arial" w:hAnsi="Arial" w:cs="Arial"/>
          <w:noProof/>
          <w:sz w:val="22"/>
          <w:szCs w:val="22"/>
          <w:lang w:val="en-AU"/>
        </w:rPr>
        <w:t xml:space="preserve">contain 40 mg regorafenib (as 41.49 mg regorafenib monohydrate). The tablets </w:t>
      </w:r>
      <w:r w:rsidR="00761CE6" w:rsidRPr="003A5EE1">
        <w:rPr>
          <w:rFonts w:ascii="Arial" w:hAnsi="Arial" w:cs="Arial"/>
          <w:noProof/>
          <w:sz w:val="22"/>
          <w:szCs w:val="22"/>
          <w:lang w:val="en-AU"/>
        </w:rPr>
        <w:t xml:space="preserve">are light pink, oval </w:t>
      </w:r>
      <w:r w:rsidR="0047701A">
        <w:rPr>
          <w:rFonts w:ascii="Arial" w:hAnsi="Arial" w:cs="Arial"/>
          <w:noProof/>
          <w:sz w:val="22"/>
          <w:szCs w:val="22"/>
          <w:lang w:val="en-AU"/>
        </w:rPr>
        <w:t>marked</w:t>
      </w:r>
      <w:r w:rsidR="00761CE6" w:rsidRPr="003A5EE1">
        <w:rPr>
          <w:rFonts w:ascii="Arial" w:hAnsi="Arial" w:cs="Arial"/>
          <w:noProof/>
          <w:sz w:val="22"/>
          <w:szCs w:val="22"/>
          <w:lang w:val="en-AU"/>
        </w:rPr>
        <w:t xml:space="preserve"> with ‘BAYER’ on one side and ‘40’ on the other side. </w:t>
      </w:r>
      <w:r w:rsidR="00781BAA" w:rsidRPr="003A5EE1">
        <w:rPr>
          <w:rFonts w:ascii="Arial" w:hAnsi="Arial" w:cs="Arial"/>
          <w:noProof/>
          <w:sz w:val="22"/>
          <w:szCs w:val="22"/>
          <w:lang w:val="en-AU"/>
        </w:rPr>
        <w:t>The tablets</w:t>
      </w:r>
      <w:r w:rsidR="00873EF0" w:rsidRPr="003A5EE1">
        <w:rPr>
          <w:rFonts w:ascii="Arial" w:hAnsi="Arial" w:cs="Arial"/>
          <w:noProof/>
          <w:sz w:val="22"/>
          <w:szCs w:val="22"/>
          <w:lang w:val="en-AU"/>
        </w:rPr>
        <w:t xml:space="preserve"> are packed</w:t>
      </w:r>
      <w:r w:rsidR="001D1004" w:rsidRPr="003A5EE1">
        <w:rPr>
          <w:rFonts w:ascii="Arial" w:hAnsi="Arial" w:cs="Arial"/>
          <w:noProof/>
          <w:sz w:val="22"/>
          <w:szCs w:val="22"/>
          <w:lang w:val="en-AU"/>
        </w:rPr>
        <w:t xml:space="preserve"> in </w:t>
      </w:r>
      <w:r w:rsidR="00781BAA" w:rsidRPr="003A5EE1">
        <w:rPr>
          <w:rFonts w:ascii="Arial" w:hAnsi="Arial" w:cs="Arial"/>
          <w:noProof/>
          <w:sz w:val="22"/>
          <w:szCs w:val="22"/>
          <w:lang w:val="en-AU"/>
        </w:rPr>
        <w:t xml:space="preserve">a </w:t>
      </w:r>
      <w:r w:rsidR="00873EF0" w:rsidRPr="003A5EE1">
        <w:rPr>
          <w:rFonts w:ascii="Arial" w:hAnsi="Arial" w:cs="Arial"/>
          <w:noProof/>
          <w:sz w:val="22"/>
          <w:szCs w:val="22"/>
          <w:lang w:val="en-AU"/>
        </w:rPr>
        <w:t>white HDPE bottle containing</w:t>
      </w:r>
      <w:r w:rsidR="00761CE6" w:rsidRPr="003A5EE1">
        <w:rPr>
          <w:rFonts w:ascii="Arial" w:hAnsi="Arial" w:cs="Arial"/>
          <w:noProof/>
          <w:sz w:val="22"/>
          <w:szCs w:val="22"/>
          <w:lang w:val="en-AU"/>
        </w:rPr>
        <w:t xml:space="preserve"> a </w:t>
      </w:r>
      <w:r w:rsidR="00781BAA" w:rsidRPr="003A5EE1">
        <w:rPr>
          <w:rFonts w:ascii="Arial" w:hAnsi="Arial" w:cs="Arial"/>
          <w:noProof/>
          <w:sz w:val="22"/>
          <w:szCs w:val="22"/>
          <w:lang w:val="en-AU"/>
        </w:rPr>
        <w:t xml:space="preserve">molecular sieve </w:t>
      </w:r>
      <w:r w:rsidR="00761CE6" w:rsidRPr="003A5EE1">
        <w:rPr>
          <w:rFonts w:ascii="Arial" w:hAnsi="Arial" w:cs="Arial"/>
          <w:noProof/>
          <w:sz w:val="22"/>
          <w:szCs w:val="22"/>
          <w:lang w:val="en-AU"/>
        </w:rPr>
        <w:t>desiccant</w:t>
      </w:r>
      <w:r w:rsidR="00781BAA" w:rsidRPr="003A5EE1">
        <w:rPr>
          <w:rFonts w:ascii="Arial" w:hAnsi="Arial" w:cs="Arial"/>
          <w:noProof/>
          <w:sz w:val="22"/>
          <w:szCs w:val="22"/>
          <w:lang w:val="en-AU"/>
        </w:rPr>
        <w:t xml:space="preserve"> capsule</w:t>
      </w:r>
      <w:r w:rsidR="00761CE6" w:rsidRPr="003A5EE1">
        <w:rPr>
          <w:rFonts w:ascii="Arial" w:hAnsi="Arial" w:cs="Arial"/>
          <w:noProof/>
          <w:sz w:val="22"/>
          <w:szCs w:val="22"/>
          <w:lang w:val="en-AU"/>
        </w:rPr>
        <w:t xml:space="preserve">. </w:t>
      </w:r>
    </w:p>
    <w:p w14:paraId="712C2C23" w14:textId="77777777" w:rsidR="00AC7017" w:rsidRPr="003A5EE1" w:rsidRDefault="00AC7017" w:rsidP="00CF7423">
      <w:pPr>
        <w:ind w:right="46"/>
        <w:rPr>
          <w:rFonts w:ascii="Arial" w:hAnsi="Arial" w:cs="Arial"/>
          <w:noProof/>
          <w:sz w:val="22"/>
          <w:szCs w:val="22"/>
          <w:lang w:val="en-AU"/>
        </w:rPr>
      </w:pPr>
    </w:p>
    <w:p w14:paraId="712C2C24" w14:textId="328AD18C" w:rsidR="00BB0856" w:rsidRPr="00BB0856" w:rsidRDefault="00AC7017" w:rsidP="00BD0B72">
      <w:pPr>
        <w:spacing w:after="120"/>
        <w:rPr>
          <w:rFonts w:ascii="Arial" w:hAnsi="Arial" w:cs="Arial"/>
          <w:noProof/>
          <w:lang w:val="en-AU"/>
        </w:rPr>
      </w:pPr>
      <w:proofErr w:type="gramStart"/>
      <w:r w:rsidRPr="003A5EE1">
        <w:rPr>
          <w:rFonts w:ascii="Arial" w:hAnsi="Arial" w:cs="Arial"/>
          <w:sz w:val="22"/>
          <w:szCs w:val="22"/>
        </w:rPr>
        <w:t xml:space="preserve">Store </w:t>
      </w:r>
      <w:r w:rsidR="00601DFC">
        <w:rPr>
          <w:rFonts w:ascii="Arial" w:hAnsi="Arial" w:cs="Arial"/>
          <w:sz w:val="22"/>
          <w:szCs w:val="22"/>
        </w:rPr>
        <w:t xml:space="preserve">STIVARGA </w:t>
      </w:r>
      <w:r w:rsidRPr="003A5EE1">
        <w:rPr>
          <w:rFonts w:ascii="Arial" w:hAnsi="Arial" w:cs="Arial"/>
          <w:sz w:val="22"/>
          <w:szCs w:val="22"/>
        </w:rPr>
        <w:t>in the original package.</w:t>
      </w:r>
      <w:proofErr w:type="gramEnd"/>
      <w:r w:rsidRPr="003A5EE1">
        <w:rPr>
          <w:rFonts w:ascii="Arial" w:hAnsi="Arial" w:cs="Arial"/>
          <w:sz w:val="22"/>
          <w:szCs w:val="22"/>
        </w:rPr>
        <w:t xml:space="preserve"> Do not remove the desiccant. Keep the bottle tightly closed after first opening. Once the bottle is opened the tablets are to be discarded after 28 days.</w:t>
      </w:r>
    </w:p>
    <w:p w14:paraId="712C2C25" w14:textId="1295B5F0" w:rsidR="00873EF0" w:rsidRDefault="00601DFC" w:rsidP="00CF7423">
      <w:pPr>
        <w:ind w:right="46"/>
        <w:rPr>
          <w:rFonts w:ascii="Arial" w:hAnsi="Arial" w:cs="Arial"/>
          <w:noProof/>
          <w:sz w:val="22"/>
          <w:szCs w:val="22"/>
          <w:lang w:val="en-AU"/>
        </w:rPr>
      </w:pPr>
      <w:r>
        <w:rPr>
          <w:rFonts w:ascii="Arial" w:hAnsi="Arial" w:cs="Arial"/>
          <w:noProof/>
          <w:sz w:val="22"/>
          <w:szCs w:val="22"/>
          <w:lang w:val="en-AU"/>
        </w:rPr>
        <w:t xml:space="preserve">STIVARGA </w:t>
      </w:r>
      <w:r w:rsidR="0047783E">
        <w:rPr>
          <w:rFonts w:ascii="Arial" w:hAnsi="Arial" w:cs="Arial"/>
          <w:noProof/>
          <w:sz w:val="22"/>
          <w:szCs w:val="22"/>
          <w:lang w:val="en-AU"/>
        </w:rPr>
        <w:t>is a</w:t>
      </w:r>
      <w:r w:rsidR="00873EF0" w:rsidRPr="003A5EE1">
        <w:rPr>
          <w:rFonts w:ascii="Arial" w:hAnsi="Arial" w:cs="Arial"/>
          <w:noProof/>
          <w:sz w:val="22"/>
          <w:szCs w:val="22"/>
          <w:lang w:val="en-AU"/>
        </w:rPr>
        <w:t>vailable in pack sizes of 28</w:t>
      </w:r>
      <w:r w:rsidR="0047783E">
        <w:rPr>
          <w:rFonts w:ascii="Arial" w:hAnsi="Arial" w:cs="Arial"/>
          <w:noProof/>
          <w:sz w:val="22"/>
          <w:szCs w:val="22"/>
          <w:lang w:val="en-AU"/>
        </w:rPr>
        <w:t>, 28 (starter pack)</w:t>
      </w:r>
      <w:r w:rsidR="00873EF0" w:rsidRPr="003A5EE1">
        <w:rPr>
          <w:rFonts w:ascii="Arial" w:hAnsi="Arial" w:cs="Arial"/>
          <w:noProof/>
          <w:sz w:val="22"/>
          <w:szCs w:val="22"/>
          <w:lang w:val="en-AU"/>
        </w:rPr>
        <w:t xml:space="preserve"> and </w:t>
      </w:r>
      <w:r w:rsidR="00D1409A" w:rsidRPr="003A5EE1">
        <w:rPr>
          <w:rFonts w:ascii="Arial" w:hAnsi="Arial" w:cs="Arial"/>
          <w:noProof/>
          <w:sz w:val="22"/>
          <w:szCs w:val="22"/>
          <w:lang w:val="en-AU"/>
        </w:rPr>
        <w:t>84 (</w:t>
      </w:r>
      <w:r w:rsidR="00F56621" w:rsidRPr="003A5EE1">
        <w:rPr>
          <w:rFonts w:ascii="Arial" w:hAnsi="Arial" w:cs="Arial"/>
          <w:noProof/>
          <w:sz w:val="22"/>
          <w:szCs w:val="22"/>
          <w:lang w:val="en-AU"/>
        </w:rPr>
        <w:t>3 bottles of</w:t>
      </w:r>
      <w:r w:rsidR="00AF1100" w:rsidRPr="003A5EE1">
        <w:rPr>
          <w:rFonts w:ascii="Arial" w:hAnsi="Arial" w:cs="Arial"/>
          <w:noProof/>
          <w:sz w:val="22"/>
          <w:szCs w:val="22"/>
          <w:lang w:val="en-AU"/>
        </w:rPr>
        <w:t xml:space="preserve"> 28</w:t>
      </w:r>
      <w:r w:rsidR="00D1409A" w:rsidRPr="003A5EE1">
        <w:rPr>
          <w:rFonts w:ascii="Arial" w:hAnsi="Arial" w:cs="Arial"/>
          <w:noProof/>
          <w:sz w:val="22"/>
          <w:szCs w:val="22"/>
          <w:lang w:val="en-AU"/>
        </w:rPr>
        <w:t>)</w:t>
      </w:r>
      <w:r w:rsidR="00873EF0" w:rsidRPr="003A5EE1">
        <w:rPr>
          <w:rFonts w:ascii="Arial" w:hAnsi="Arial" w:cs="Arial"/>
          <w:noProof/>
          <w:sz w:val="22"/>
          <w:szCs w:val="22"/>
          <w:lang w:val="en-AU"/>
        </w:rPr>
        <w:t xml:space="preserve"> tablets. </w:t>
      </w:r>
    </w:p>
    <w:p w14:paraId="712C2C26" w14:textId="77777777" w:rsidR="0047783E" w:rsidRPr="003A5EE1" w:rsidRDefault="0047783E" w:rsidP="00CF7423">
      <w:pPr>
        <w:ind w:right="46"/>
        <w:rPr>
          <w:rFonts w:ascii="Arial" w:hAnsi="Arial" w:cs="Arial"/>
          <w:noProof/>
          <w:sz w:val="22"/>
          <w:szCs w:val="22"/>
          <w:lang w:val="en-AU"/>
        </w:rPr>
      </w:pPr>
    </w:p>
    <w:p w14:paraId="712C2C27" w14:textId="77777777" w:rsidR="001D1004" w:rsidRDefault="00823894" w:rsidP="00CF7423">
      <w:pPr>
        <w:ind w:right="46"/>
        <w:rPr>
          <w:rFonts w:ascii="Arial" w:hAnsi="Arial" w:cs="Arial"/>
          <w:sz w:val="22"/>
          <w:szCs w:val="22"/>
          <w:lang w:val="en-AU"/>
        </w:rPr>
      </w:pPr>
      <w:r w:rsidRPr="003A5EE1">
        <w:rPr>
          <w:rFonts w:ascii="Arial" w:hAnsi="Arial" w:cs="Arial"/>
          <w:sz w:val="22"/>
          <w:szCs w:val="22"/>
          <w:lang w:val="en-AU"/>
        </w:rPr>
        <w:t xml:space="preserve">Store </w:t>
      </w:r>
      <w:r w:rsidR="00761CE6" w:rsidRPr="003A5EE1">
        <w:rPr>
          <w:rFonts w:ascii="Arial" w:hAnsi="Arial" w:cs="Arial"/>
          <w:sz w:val="22"/>
          <w:szCs w:val="22"/>
          <w:lang w:val="en-AU"/>
        </w:rPr>
        <w:t>below 25</w:t>
      </w:r>
      <w:r w:rsidR="001D1004" w:rsidRPr="003A5EE1">
        <w:rPr>
          <w:rFonts w:ascii="Arial" w:hAnsi="Arial" w:cs="Arial"/>
          <w:sz w:val="22"/>
          <w:szCs w:val="22"/>
          <w:lang w:val="en-AU"/>
        </w:rPr>
        <w:t>°C.</w:t>
      </w:r>
    </w:p>
    <w:p w14:paraId="712C2C28" w14:textId="77777777" w:rsidR="00BE4D21" w:rsidRPr="003A5EE1" w:rsidRDefault="00BE4D21" w:rsidP="00CF7423">
      <w:pPr>
        <w:ind w:right="46"/>
        <w:rPr>
          <w:rFonts w:ascii="Arial" w:hAnsi="Arial" w:cs="Arial"/>
          <w:sz w:val="22"/>
          <w:szCs w:val="22"/>
          <w:lang w:val="en-AU"/>
        </w:rPr>
      </w:pPr>
    </w:p>
    <w:p w14:paraId="712C2C29" w14:textId="77777777" w:rsidR="001D1004" w:rsidRPr="003A5EE1" w:rsidRDefault="001D1004" w:rsidP="009E45A9">
      <w:pPr>
        <w:pStyle w:val="Heading1"/>
        <w:keepLines/>
        <w:spacing w:before="0" w:after="0" w:line="240" w:lineRule="auto"/>
        <w:ind w:right="45"/>
        <w:jc w:val="left"/>
      </w:pPr>
      <w:r w:rsidRPr="003A5EE1">
        <w:t>NAME AND ADDRESS OF THE SPONSOR</w:t>
      </w:r>
    </w:p>
    <w:p w14:paraId="712C2C2A" w14:textId="77777777" w:rsidR="00BB0856" w:rsidRPr="00BB0856" w:rsidRDefault="00BB0856" w:rsidP="009E45A9">
      <w:pPr>
        <w:keepNext/>
        <w:rPr>
          <w:lang w:val="en-AU"/>
        </w:rPr>
      </w:pPr>
    </w:p>
    <w:p w14:paraId="712C2C2B" w14:textId="1A3676B9"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BAYER AUSTRALIA LTD</w:t>
      </w:r>
    </w:p>
    <w:p w14:paraId="712C2C2C" w14:textId="77777777"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ABN 22 000 138 714</w:t>
      </w:r>
    </w:p>
    <w:p w14:paraId="712C2C2D" w14:textId="77777777"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875 Pacific Highway</w:t>
      </w:r>
    </w:p>
    <w:p w14:paraId="712C2C2E" w14:textId="77777777" w:rsidR="001D1004" w:rsidRPr="003A5EE1" w:rsidRDefault="00BB0856" w:rsidP="00CF7423">
      <w:pPr>
        <w:ind w:right="45"/>
        <w:rPr>
          <w:rFonts w:ascii="Arial" w:hAnsi="Arial" w:cs="Arial"/>
          <w:sz w:val="22"/>
          <w:szCs w:val="22"/>
          <w:lang w:val="en-AU"/>
        </w:rPr>
      </w:pPr>
      <w:r w:rsidRPr="003A5EE1">
        <w:rPr>
          <w:rFonts w:ascii="Arial" w:hAnsi="Arial" w:cs="Arial"/>
          <w:sz w:val="22"/>
          <w:szCs w:val="22"/>
          <w:lang w:val="en-AU"/>
        </w:rPr>
        <w:t xml:space="preserve">PYMBLE </w:t>
      </w:r>
      <w:r w:rsidR="001D1004" w:rsidRPr="003A5EE1">
        <w:rPr>
          <w:rFonts w:ascii="Arial" w:hAnsi="Arial" w:cs="Arial"/>
          <w:sz w:val="22"/>
          <w:szCs w:val="22"/>
          <w:lang w:val="en-AU"/>
        </w:rPr>
        <w:t>NSW 2073</w:t>
      </w:r>
    </w:p>
    <w:p w14:paraId="712C2C2F" w14:textId="77777777" w:rsidR="00BB0856" w:rsidRPr="00BB0856" w:rsidRDefault="00BB0856" w:rsidP="00CF7423">
      <w:pPr>
        <w:ind w:right="45"/>
        <w:rPr>
          <w:rFonts w:ascii="Arial" w:hAnsi="Arial" w:cs="Arial"/>
          <w:lang w:val="en-AU"/>
        </w:rPr>
      </w:pPr>
    </w:p>
    <w:p w14:paraId="712C2C30" w14:textId="77777777" w:rsidR="001D1004" w:rsidRPr="003A5EE1" w:rsidRDefault="001D1004" w:rsidP="005F1132">
      <w:pPr>
        <w:pStyle w:val="Heading1"/>
        <w:spacing w:before="0" w:after="0" w:line="240" w:lineRule="auto"/>
        <w:ind w:right="46"/>
        <w:jc w:val="left"/>
      </w:pPr>
      <w:r w:rsidRPr="003A5EE1">
        <w:t>POISON SCHEDULE</w:t>
      </w:r>
      <w:r w:rsidR="00B077AD" w:rsidRPr="003A5EE1">
        <w:t xml:space="preserve"> of the medicine</w:t>
      </w:r>
    </w:p>
    <w:p w14:paraId="712C2C31" w14:textId="77777777" w:rsidR="00BB0856" w:rsidRPr="00BB0856" w:rsidRDefault="00BB0856" w:rsidP="0047783E">
      <w:pPr>
        <w:keepNext/>
        <w:rPr>
          <w:lang w:val="en-AU"/>
        </w:rPr>
      </w:pPr>
    </w:p>
    <w:p w14:paraId="712C2C32" w14:textId="77777777" w:rsidR="001D1004" w:rsidRPr="003A5EE1" w:rsidRDefault="001D1004" w:rsidP="008913AB">
      <w:pPr>
        <w:ind w:right="45"/>
        <w:rPr>
          <w:rFonts w:ascii="Arial" w:hAnsi="Arial" w:cs="Arial"/>
          <w:sz w:val="22"/>
          <w:szCs w:val="22"/>
          <w:lang w:val="en-AU"/>
        </w:rPr>
      </w:pPr>
      <w:r w:rsidRPr="003A5EE1">
        <w:rPr>
          <w:rFonts w:ascii="Arial" w:hAnsi="Arial" w:cs="Arial"/>
          <w:sz w:val="22"/>
          <w:szCs w:val="22"/>
          <w:lang w:val="en-AU"/>
        </w:rPr>
        <w:t>PRESCRIPTION ONLY MEDICINE</w:t>
      </w:r>
    </w:p>
    <w:p w14:paraId="712C2C33" w14:textId="77777777" w:rsidR="00627448" w:rsidRPr="00504EA0" w:rsidRDefault="001D1004" w:rsidP="00504EA0">
      <w:pPr>
        <w:pStyle w:val="Heading1"/>
      </w:pPr>
      <w:r w:rsidRPr="00504EA0">
        <w:t xml:space="preserve">DATE OF </w:t>
      </w:r>
      <w:r w:rsidR="00BB0856" w:rsidRPr="00504EA0">
        <w:t xml:space="preserve">FIRST INCLUSION IN THE ARTG </w:t>
      </w:r>
    </w:p>
    <w:p w14:paraId="712C2C34" w14:textId="77777777" w:rsidR="00E961A9" w:rsidRDefault="00E961A9" w:rsidP="008913AB">
      <w:pPr>
        <w:ind w:right="45"/>
        <w:rPr>
          <w:rFonts w:ascii="Arial" w:hAnsi="Arial" w:cs="Arial"/>
          <w:sz w:val="22"/>
          <w:szCs w:val="22"/>
          <w:lang w:val="en-AU"/>
        </w:rPr>
      </w:pPr>
      <w:r w:rsidRPr="00E961A9">
        <w:rPr>
          <w:rFonts w:ascii="Arial" w:hAnsi="Arial" w:cs="Arial"/>
          <w:sz w:val="22"/>
          <w:szCs w:val="22"/>
          <w:lang w:val="en-AU"/>
        </w:rPr>
        <w:t>29 November 2013</w:t>
      </w:r>
    </w:p>
    <w:p w14:paraId="712C2C35" w14:textId="77777777" w:rsidR="00520D28" w:rsidRDefault="00520D28" w:rsidP="00504EA0">
      <w:pPr>
        <w:pStyle w:val="Heading1"/>
      </w:pPr>
      <w:r w:rsidRPr="00504EA0">
        <w:t xml:space="preserve">DATE OF MOST RECENT AMENDMENT </w:t>
      </w:r>
    </w:p>
    <w:p w14:paraId="712C2C37" w14:textId="1B015C48" w:rsidR="00504EA0" w:rsidRDefault="000711F7" w:rsidP="002E54D9">
      <w:pPr>
        <w:ind w:right="46"/>
        <w:rPr>
          <w:rFonts w:ascii="Arial" w:hAnsi="Arial" w:cs="Arial"/>
          <w:sz w:val="22"/>
          <w:szCs w:val="22"/>
          <w:lang w:val="en-AU"/>
        </w:rPr>
      </w:pPr>
      <w:r>
        <w:rPr>
          <w:rFonts w:ascii="Arial" w:hAnsi="Arial" w:cs="Arial"/>
          <w:sz w:val="22"/>
          <w:szCs w:val="22"/>
          <w:lang w:val="en-AU"/>
        </w:rPr>
        <w:t>18 December 2017</w:t>
      </w:r>
    </w:p>
    <w:p w14:paraId="442F43F3" w14:textId="77777777" w:rsidR="00E33892" w:rsidRDefault="00E33892" w:rsidP="002E54D9">
      <w:pPr>
        <w:ind w:right="46"/>
        <w:rPr>
          <w:rFonts w:ascii="Arial" w:hAnsi="Arial" w:cs="Arial"/>
          <w:sz w:val="22"/>
          <w:szCs w:val="22"/>
          <w:lang w:val="en-AU"/>
        </w:rPr>
      </w:pPr>
    </w:p>
    <w:p w14:paraId="712C2C38" w14:textId="38991A9E" w:rsidR="001D1004" w:rsidRPr="003A5EE1" w:rsidRDefault="001D1004" w:rsidP="002E54D9">
      <w:pPr>
        <w:ind w:right="46"/>
        <w:rPr>
          <w:rFonts w:ascii="Arial" w:hAnsi="Arial" w:cs="Arial"/>
          <w:sz w:val="22"/>
          <w:szCs w:val="22"/>
          <w:lang w:val="en-AU"/>
        </w:rPr>
      </w:pPr>
      <w:r w:rsidRPr="003A5EE1">
        <w:rPr>
          <w:rFonts w:ascii="Arial" w:hAnsi="Arial" w:cs="Arial"/>
          <w:sz w:val="22"/>
          <w:szCs w:val="22"/>
          <w:vertAlign w:val="superscript"/>
          <w:lang w:val="en-AU"/>
        </w:rPr>
        <w:t>®</w:t>
      </w:r>
      <w:r w:rsidRPr="003A5EE1">
        <w:rPr>
          <w:rFonts w:ascii="Arial" w:hAnsi="Arial" w:cs="Arial"/>
          <w:sz w:val="22"/>
          <w:szCs w:val="22"/>
          <w:lang w:val="en-AU"/>
        </w:rPr>
        <w:t xml:space="preserve">Registered Trademark of </w:t>
      </w:r>
      <w:r w:rsidR="00DF3A5A">
        <w:rPr>
          <w:rFonts w:ascii="Arial" w:hAnsi="Arial" w:cs="Arial"/>
          <w:sz w:val="22"/>
          <w:szCs w:val="22"/>
          <w:lang w:val="en-AU"/>
        </w:rPr>
        <w:t xml:space="preserve">the </w:t>
      </w:r>
      <w:r w:rsidRPr="003A5EE1">
        <w:rPr>
          <w:rFonts w:ascii="Arial" w:hAnsi="Arial" w:cs="Arial"/>
          <w:sz w:val="22"/>
          <w:szCs w:val="22"/>
          <w:lang w:val="en-AU"/>
        </w:rPr>
        <w:t xml:space="preserve">Bayer </w:t>
      </w:r>
      <w:r w:rsidR="00E961A9">
        <w:rPr>
          <w:rFonts w:ascii="Arial" w:hAnsi="Arial" w:cs="Arial"/>
          <w:sz w:val="22"/>
          <w:szCs w:val="22"/>
          <w:lang w:val="en-AU"/>
        </w:rPr>
        <w:t>Group, Germany</w:t>
      </w:r>
      <w:bookmarkStart w:id="13" w:name="_PictureBullets"/>
      <w:bookmarkEnd w:id="13"/>
    </w:p>
    <w:sectPr w:rsidR="001D1004" w:rsidRPr="003A5EE1" w:rsidSect="00B40C13">
      <w:headerReference w:type="default" r:id="rId24"/>
      <w:footerReference w:type="default" r:id="rId25"/>
      <w:pgSz w:w="11906" w:h="16838" w:code="9"/>
      <w:pgMar w:top="1276" w:right="1191" w:bottom="1276"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BB34" w14:textId="77777777" w:rsidR="00F4557E" w:rsidRDefault="00F4557E">
      <w:r>
        <w:separator/>
      </w:r>
    </w:p>
  </w:endnote>
  <w:endnote w:type="continuationSeparator" w:id="0">
    <w:p w14:paraId="27A229DC" w14:textId="77777777" w:rsidR="00F4557E" w:rsidRDefault="00F4557E">
      <w:r>
        <w:continuationSeparator/>
      </w:r>
    </w:p>
  </w:endnote>
  <w:endnote w:type="continuationNotice" w:id="1">
    <w:p w14:paraId="3197F49D" w14:textId="77777777" w:rsidR="00F4557E" w:rsidRDefault="00F45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roman"/>
    <w:notTrueType/>
    <w:pitch w:val="default"/>
    <w:sig w:usb0="00000003" w:usb1="00000000" w:usb2="00000000" w:usb3="00000000" w:csb0="00000001" w:csb1="00000000"/>
  </w:font>
  <w:font w:name="TimesNewRomanPSMT">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C2C44" w14:textId="4C75FF33" w:rsidR="00F4557E" w:rsidRPr="00CB29CA" w:rsidRDefault="00F4557E" w:rsidP="00CB29CA">
    <w:pPr>
      <w:pStyle w:val="Footer"/>
      <w:tabs>
        <w:tab w:val="clear" w:pos="8306"/>
        <w:tab w:val="right" w:pos="9214"/>
      </w:tabs>
      <w:ind w:right="360"/>
      <w:rPr>
        <w:rFonts w:ascii="Arial" w:hAnsi="Arial" w:cs="Arial"/>
        <w:sz w:val="18"/>
        <w:szCs w:val="18"/>
      </w:rPr>
    </w:pPr>
    <w:r>
      <w:rPr>
        <w:rFonts w:ascii="Arial" w:hAnsi="Arial" w:cs="Arial"/>
        <w:sz w:val="18"/>
        <w:szCs w:val="18"/>
      </w:rPr>
      <w:t>17</w:t>
    </w:r>
    <w:r w:rsidR="000711F7">
      <w:rPr>
        <w:rFonts w:ascii="Arial" w:hAnsi="Arial" w:cs="Arial"/>
        <w:sz w:val="18"/>
        <w:szCs w:val="18"/>
      </w:rPr>
      <w:t>1218</w:t>
    </w:r>
    <w:r>
      <w:rPr>
        <w:rFonts w:ascii="Arial" w:hAnsi="Arial" w:cs="Arial"/>
        <w:sz w:val="18"/>
        <w:szCs w:val="18"/>
      </w:rPr>
      <w:t xml:space="preserve"> STIVARGA PI </w:t>
    </w:r>
    <w:r>
      <w:rPr>
        <w:rFonts w:ascii="Arial" w:hAnsi="Arial" w:cs="Arial"/>
        <w:sz w:val="18"/>
        <w:szCs w:val="18"/>
      </w:rPr>
      <w:tab/>
    </w:r>
    <w:r>
      <w:rPr>
        <w:rFonts w:ascii="Arial" w:hAnsi="Arial" w:cs="Arial"/>
        <w:sz w:val="18"/>
        <w:szCs w:val="18"/>
      </w:rPr>
      <w:tab/>
    </w:r>
    <w:r w:rsidRPr="00CB29CA">
      <w:rPr>
        <w:rFonts w:ascii="Arial" w:hAnsi="Arial" w:cs="Arial"/>
        <w:sz w:val="18"/>
        <w:szCs w:val="18"/>
      </w:rPr>
      <w:t xml:space="preserve">Page </w:t>
    </w:r>
    <w:r w:rsidRPr="00CB29CA">
      <w:rPr>
        <w:rFonts w:ascii="Arial" w:hAnsi="Arial" w:cs="Arial"/>
        <w:bCs/>
        <w:sz w:val="18"/>
        <w:szCs w:val="18"/>
      </w:rPr>
      <w:fldChar w:fldCharType="begin"/>
    </w:r>
    <w:r w:rsidRPr="00CB29CA">
      <w:rPr>
        <w:rFonts w:ascii="Arial" w:hAnsi="Arial" w:cs="Arial"/>
        <w:bCs/>
        <w:sz w:val="18"/>
        <w:szCs w:val="18"/>
      </w:rPr>
      <w:instrText xml:space="preserve"> PAGE </w:instrText>
    </w:r>
    <w:r w:rsidRPr="00CB29CA">
      <w:rPr>
        <w:rFonts w:ascii="Arial" w:hAnsi="Arial" w:cs="Arial"/>
        <w:bCs/>
        <w:sz w:val="18"/>
        <w:szCs w:val="18"/>
      </w:rPr>
      <w:fldChar w:fldCharType="separate"/>
    </w:r>
    <w:r w:rsidR="00E2525A">
      <w:rPr>
        <w:rFonts w:ascii="Arial" w:hAnsi="Arial" w:cs="Arial"/>
        <w:bCs/>
        <w:noProof/>
        <w:sz w:val="18"/>
        <w:szCs w:val="18"/>
      </w:rPr>
      <w:t>2</w:t>
    </w:r>
    <w:r w:rsidRPr="00CB29CA">
      <w:rPr>
        <w:rFonts w:ascii="Arial" w:hAnsi="Arial" w:cs="Arial"/>
        <w:bCs/>
        <w:sz w:val="18"/>
        <w:szCs w:val="18"/>
      </w:rPr>
      <w:fldChar w:fldCharType="end"/>
    </w:r>
    <w:r w:rsidRPr="00CB29CA">
      <w:rPr>
        <w:rFonts w:ascii="Arial" w:hAnsi="Arial" w:cs="Arial"/>
        <w:sz w:val="18"/>
        <w:szCs w:val="18"/>
      </w:rPr>
      <w:t xml:space="preserve"> of </w:t>
    </w:r>
    <w:r w:rsidRPr="00CB29CA">
      <w:rPr>
        <w:rFonts w:ascii="Arial" w:hAnsi="Arial" w:cs="Arial"/>
        <w:bCs/>
        <w:sz w:val="18"/>
        <w:szCs w:val="18"/>
      </w:rPr>
      <w:fldChar w:fldCharType="begin"/>
    </w:r>
    <w:r w:rsidRPr="00CB29CA">
      <w:rPr>
        <w:rFonts w:ascii="Arial" w:hAnsi="Arial" w:cs="Arial"/>
        <w:bCs/>
        <w:sz w:val="18"/>
        <w:szCs w:val="18"/>
      </w:rPr>
      <w:instrText xml:space="preserve"> NUMPAGES  </w:instrText>
    </w:r>
    <w:r w:rsidRPr="00CB29CA">
      <w:rPr>
        <w:rFonts w:ascii="Arial" w:hAnsi="Arial" w:cs="Arial"/>
        <w:bCs/>
        <w:sz w:val="18"/>
        <w:szCs w:val="18"/>
      </w:rPr>
      <w:fldChar w:fldCharType="separate"/>
    </w:r>
    <w:r w:rsidR="00E2525A">
      <w:rPr>
        <w:rFonts w:ascii="Arial" w:hAnsi="Arial" w:cs="Arial"/>
        <w:bCs/>
        <w:noProof/>
        <w:sz w:val="18"/>
        <w:szCs w:val="18"/>
      </w:rPr>
      <w:t>34</w:t>
    </w:r>
    <w:r w:rsidRPr="00CB29CA">
      <w:rPr>
        <w:rFonts w:ascii="Arial" w:hAnsi="Arial" w:cs="Arial"/>
        <w:bCs/>
        <w:sz w:val="18"/>
        <w:szCs w:val="18"/>
      </w:rPr>
      <w:fldChar w:fldCharType="end"/>
    </w:r>
  </w:p>
  <w:p w14:paraId="27C5ABC8" w14:textId="77777777" w:rsidR="00F4557E" w:rsidRDefault="00F4557E"/>
  <w:p w14:paraId="304BC237" w14:textId="77777777" w:rsidR="00F4557E" w:rsidRDefault="00F4557E"/>
  <w:p w14:paraId="309ED2FE" w14:textId="77777777" w:rsidR="00000000" w:rsidRDefault="00E252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0D284" w14:textId="77777777" w:rsidR="00F4557E" w:rsidRDefault="00F4557E">
      <w:r>
        <w:separator/>
      </w:r>
    </w:p>
  </w:footnote>
  <w:footnote w:type="continuationSeparator" w:id="0">
    <w:p w14:paraId="70EA474C" w14:textId="77777777" w:rsidR="00F4557E" w:rsidRDefault="00F4557E">
      <w:r>
        <w:continuationSeparator/>
      </w:r>
    </w:p>
  </w:footnote>
  <w:footnote w:type="continuationNotice" w:id="1">
    <w:p w14:paraId="246AE91C" w14:textId="77777777" w:rsidR="00F4557E" w:rsidRDefault="00F455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E2525A" w:rsidRPr="002E7F61" w14:paraId="4AD05616" w14:textId="77777777" w:rsidTr="004A20B5">
      <w:trPr>
        <w:trHeight w:val="590"/>
      </w:trPr>
      <w:tc>
        <w:tcPr>
          <w:tcW w:w="8720" w:type="dxa"/>
          <w:shd w:val="clear" w:color="auto" w:fill="E4F2E0"/>
        </w:tcPr>
        <w:p w14:paraId="0D3BD112" w14:textId="77777777" w:rsidR="00E2525A" w:rsidRPr="002E7F61" w:rsidRDefault="00E2525A" w:rsidP="004A20B5">
          <w:pPr>
            <w:pStyle w:val="Footer"/>
            <w:rPr>
              <w:b/>
              <w:sz w:val="18"/>
              <w:szCs w:val="18"/>
            </w:rPr>
          </w:pPr>
          <w:r w:rsidRPr="002E7F61">
            <w:rPr>
              <w:b/>
              <w:sz w:val="18"/>
              <w:szCs w:val="18"/>
            </w:rPr>
            <w:t xml:space="preserve">Attachment 1: Product information </w:t>
          </w:r>
          <w:r w:rsidRPr="00C75165">
            <w:rPr>
              <w:b/>
              <w:sz w:val="18"/>
              <w:szCs w:val="18"/>
            </w:rPr>
            <w:t xml:space="preserve">AusPAR </w:t>
          </w:r>
          <w:proofErr w:type="spellStart"/>
          <w:r w:rsidRPr="00C75165">
            <w:rPr>
              <w:b/>
              <w:sz w:val="18"/>
              <w:szCs w:val="18"/>
            </w:rPr>
            <w:t>Stivarga</w:t>
          </w:r>
          <w:proofErr w:type="spellEnd"/>
          <w:r w:rsidRPr="00C75165">
            <w:rPr>
              <w:b/>
              <w:sz w:val="18"/>
              <w:szCs w:val="18"/>
            </w:rPr>
            <w:t xml:space="preserve"> </w:t>
          </w:r>
          <w:proofErr w:type="spellStart"/>
          <w:r w:rsidRPr="00C75165">
            <w:rPr>
              <w:b/>
              <w:sz w:val="18"/>
              <w:szCs w:val="18"/>
            </w:rPr>
            <w:t>Regorafenib</w:t>
          </w:r>
          <w:proofErr w:type="spellEnd"/>
          <w:r w:rsidRPr="00C75165">
            <w:rPr>
              <w:b/>
              <w:sz w:val="18"/>
              <w:szCs w:val="18"/>
            </w:rPr>
            <w:t xml:space="preserve"> Bayer Australia Pty Ltd PM-2016-04269-1-4 - Final 4 April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7AC07730" w14:textId="77777777" w:rsidR="00E2525A" w:rsidRDefault="00E25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7ADCCE"/>
    <w:lvl w:ilvl="0">
      <w:numFmt w:val="bullet"/>
      <w:lvlText w:val="*"/>
      <w:lvlJc w:val="left"/>
    </w:lvl>
  </w:abstractNum>
  <w:abstractNum w:abstractNumId="1">
    <w:nsid w:val="00E86FE0"/>
    <w:multiLevelType w:val="hybridMultilevel"/>
    <w:tmpl w:val="72FA3FFE"/>
    <w:lvl w:ilvl="0" w:tplc="FB9087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D78EC"/>
    <w:multiLevelType w:val="hybridMultilevel"/>
    <w:tmpl w:val="8BDA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E4DEF"/>
    <w:multiLevelType w:val="hybridMultilevel"/>
    <w:tmpl w:val="3ABA6E50"/>
    <w:lvl w:ilvl="0" w:tplc="63A8AB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61FB8"/>
    <w:multiLevelType w:val="multilevel"/>
    <w:tmpl w:val="7D1657F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8526C78"/>
    <w:multiLevelType w:val="hybridMultilevel"/>
    <w:tmpl w:val="E7123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9619FB"/>
    <w:multiLevelType w:val="hybridMultilevel"/>
    <w:tmpl w:val="EA90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D71CFA"/>
    <w:multiLevelType w:val="hybridMultilevel"/>
    <w:tmpl w:val="AE9E5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3F0B7E"/>
    <w:multiLevelType w:val="hybridMultilevel"/>
    <w:tmpl w:val="1FD4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9C3466"/>
    <w:multiLevelType w:val="hybridMultilevel"/>
    <w:tmpl w:val="D46E1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BE6FA1"/>
    <w:multiLevelType w:val="hybridMultilevel"/>
    <w:tmpl w:val="1FE4B30A"/>
    <w:lvl w:ilvl="0" w:tplc="5BD8C7B2">
      <w:start w:val="1"/>
      <w:numFmt w:val="bullet"/>
      <w:pStyle w:val="BulletIndent4"/>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F13DEF"/>
    <w:multiLevelType w:val="hybridMultilevel"/>
    <w:tmpl w:val="81586BD0"/>
    <w:lvl w:ilvl="0" w:tplc="FB9087F4">
      <w:start w:val="1"/>
      <w:numFmt w:val="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38182A"/>
    <w:multiLevelType w:val="hybridMultilevel"/>
    <w:tmpl w:val="5D9EEC5C"/>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21A0526"/>
    <w:multiLevelType w:val="hybridMultilevel"/>
    <w:tmpl w:val="4304512E"/>
    <w:lvl w:ilvl="0" w:tplc="BF4C6310">
      <w:start w:val="1"/>
      <w:numFmt w:val="bullet"/>
      <w:lvlText w:val="–"/>
      <w:lvlJc w:val="left"/>
      <w:pPr>
        <w:tabs>
          <w:tab w:val="num" w:pos="720"/>
        </w:tabs>
        <w:ind w:left="720" w:hanging="360"/>
      </w:pPr>
      <w:rPr>
        <w:rFonts w:ascii="Times New Roman" w:hAnsi="Times New Roman" w:hint="default"/>
      </w:rPr>
    </w:lvl>
    <w:lvl w:ilvl="1" w:tplc="D93A3082" w:tentative="1">
      <w:start w:val="1"/>
      <w:numFmt w:val="bullet"/>
      <w:lvlText w:val="–"/>
      <w:lvlJc w:val="left"/>
      <w:pPr>
        <w:tabs>
          <w:tab w:val="num" w:pos="1440"/>
        </w:tabs>
        <w:ind w:left="1440" w:hanging="360"/>
      </w:pPr>
      <w:rPr>
        <w:rFonts w:ascii="Times New Roman" w:hAnsi="Times New Roman" w:hint="default"/>
      </w:rPr>
    </w:lvl>
    <w:lvl w:ilvl="2" w:tplc="41024E2E">
      <w:start w:val="1"/>
      <w:numFmt w:val="bullet"/>
      <w:lvlText w:val="–"/>
      <w:lvlJc w:val="left"/>
      <w:pPr>
        <w:tabs>
          <w:tab w:val="num" w:pos="2160"/>
        </w:tabs>
        <w:ind w:left="2160" w:hanging="360"/>
      </w:pPr>
      <w:rPr>
        <w:rFonts w:ascii="Times New Roman" w:hAnsi="Times New Roman" w:hint="default"/>
      </w:rPr>
    </w:lvl>
    <w:lvl w:ilvl="3" w:tplc="A3600B10" w:tentative="1">
      <w:start w:val="1"/>
      <w:numFmt w:val="bullet"/>
      <w:lvlText w:val="–"/>
      <w:lvlJc w:val="left"/>
      <w:pPr>
        <w:tabs>
          <w:tab w:val="num" w:pos="2880"/>
        </w:tabs>
        <w:ind w:left="2880" w:hanging="360"/>
      </w:pPr>
      <w:rPr>
        <w:rFonts w:ascii="Times New Roman" w:hAnsi="Times New Roman" w:hint="default"/>
      </w:rPr>
    </w:lvl>
    <w:lvl w:ilvl="4" w:tplc="B8FA005A" w:tentative="1">
      <w:start w:val="1"/>
      <w:numFmt w:val="bullet"/>
      <w:lvlText w:val="–"/>
      <w:lvlJc w:val="left"/>
      <w:pPr>
        <w:tabs>
          <w:tab w:val="num" w:pos="3600"/>
        </w:tabs>
        <w:ind w:left="3600" w:hanging="360"/>
      </w:pPr>
      <w:rPr>
        <w:rFonts w:ascii="Times New Roman" w:hAnsi="Times New Roman" w:hint="default"/>
      </w:rPr>
    </w:lvl>
    <w:lvl w:ilvl="5" w:tplc="E8F81CBE" w:tentative="1">
      <w:start w:val="1"/>
      <w:numFmt w:val="bullet"/>
      <w:lvlText w:val="–"/>
      <w:lvlJc w:val="left"/>
      <w:pPr>
        <w:tabs>
          <w:tab w:val="num" w:pos="4320"/>
        </w:tabs>
        <w:ind w:left="4320" w:hanging="360"/>
      </w:pPr>
      <w:rPr>
        <w:rFonts w:ascii="Times New Roman" w:hAnsi="Times New Roman" w:hint="default"/>
      </w:rPr>
    </w:lvl>
    <w:lvl w:ilvl="6" w:tplc="E9A893AC" w:tentative="1">
      <w:start w:val="1"/>
      <w:numFmt w:val="bullet"/>
      <w:lvlText w:val="–"/>
      <w:lvlJc w:val="left"/>
      <w:pPr>
        <w:tabs>
          <w:tab w:val="num" w:pos="5040"/>
        </w:tabs>
        <w:ind w:left="5040" w:hanging="360"/>
      </w:pPr>
      <w:rPr>
        <w:rFonts w:ascii="Times New Roman" w:hAnsi="Times New Roman" w:hint="default"/>
      </w:rPr>
    </w:lvl>
    <w:lvl w:ilvl="7" w:tplc="B9B27B6A" w:tentative="1">
      <w:start w:val="1"/>
      <w:numFmt w:val="bullet"/>
      <w:lvlText w:val="–"/>
      <w:lvlJc w:val="left"/>
      <w:pPr>
        <w:tabs>
          <w:tab w:val="num" w:pos="5760"/>
        </w:tabs>
        <w:ind w:left="5760" w:hanging="360"/>
      </w:pPr>
      <w:rPr>
        <w:rFonts w:ascii="Times New Roman" w:hAnsi="Times New Roman" w:hint="default"/>
      </w:rPr>
    </w:lvl>
    <w:lvl w:ilvl="8" w:tplc="108C4FB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B00317"/>
    <w:multiLevelType w:val="hybridMultilevel"/>
    <w:tmpl w:val="89CE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CF0AF2"/>
    <w:multiLevelType w:val="hybridMultilevel"/>
    <w:tmpl w:val="312A75C4"/>
    <w:lvl w:ilvl="0" w:tplc="F3602EF8">
      <w:start w:val="1"/>
      <w:numFmt w:val="bullet"/>
      <w:lvlText w:val="o"/>
      <w:lvlJc w:val="left"/>
      <w:pPr>
        <w:tabs>
          <w:tab w:val="num" w:pos="360"/>
        </w:tabs>
        <w:ind w:left="360" w:hanging="360"/>
      </w:pPr>
      <w:rPr>
        <w:rFonts w:ascii="Courier New" w:hAnsi="Courier New"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25CBF"/>
    <w:multiLevelType w:val="hybridMultilevel"/>
    <w:tmpl w:val="9E0E0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53C0A95"/>
    <w:multiLevelType w:val="hybridMultilevel"/>
    <w:tmpl w:val="8848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4D6C5D"/>
    <w:multiLevelType w:val="hybridMultilevel"/>
    <w:tmpl w:val="E6A8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511992"/>
    <w:multiLevelType w:val="hybridMultilevel"/>
    <w:tmpl w:val="34BCA1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C9258E"/>
    <w:multiLevelType w:val="hybridMultilevel"/>
    <w:tmpl w:val="EC94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E36691"/>
    <w:multiLevelType w:val="hybridMultilevel"/>
    <w:tmpl w:val="E124D8A8"/>
    <w:lvl w:ilvl="0" w:tplc="1870D722">
      <w:start w:val="3414"/>
      <w:numFmt w:val="bullet"/>
      <w:lvlText w:val=""/>
      <w:lvlJc w:val="left"/>
      <w:pPr>
        <w:ind w:left="720" w:hanging="360"/>
      </w:pPr>
      <w:rPr>
        <w:rFonts w:ascii="Wingdings" w:eastAsia="PMingLiU"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C96DB3"/>
    <w:multiLevelType w:val="multilevel"/>
    <w:tmpl w:val="0ED0B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210306"/>
    <w:multiLevelType w:val="hybridMultilevel"/>
    <w:tmpl w:val="307EBC28"/>
    <w:lvl w:ilvl="0" w:tplc="7E527D58">
      <w:numFmt w:val="bullet"/>
      <w:lvlText w:val="-"/>
      <w:lvlJc w:val="left"/>
      <w:pPr>
        <w:ind w:left="720" w:hanging="360"/>
      </w:pPr>
      <w:rPr>
        <w:rFonts w:ascii="Arial" w:eastAsia="TimesNew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755F49"/>
    <w:multiLevelType w:val="multilevel"/>
    <w:tmpl w:val="0ED0B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344116A"/>
    <w:multiLevelType w:val="hybridMultilevel"/>
    <w:tmpl w:val="EB4E9244"/>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7DD0F30"/>
    <w:multiLevelType w:val="hybridMultilevel"/>
    <w:tmpl w:val="70502650"/>
    <w:lvl w:ilvl="0" w:tplc="FB9087F4">
      <w:start w:val="1"/>
      <w:numFmt w:val="bullet"/>
      <w:lvlText w:val=""/>
      <w:lvlJc w:val="left"/>
      <w:pPr>
        <w:tabs>
          <w:tab w:val="num" w:pos="720"/>
        </w:tabs>
        <w:ind w:left="720" w:hanging="360"/>
      </w:pPr>
      <w:rPr>
        <w:rFonts w:ascii="Symbol" w:hAnsi="Symbol" w:hint="default"/>
        <w:color w:val="auto"/>
      </w:rPr>
    </w:lvl>
    <w:lvl w:ilvl="1" w:tplc="3D64879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F823B5"/>
    <w:multiLevelType w:val="hybridMultilevel"/>
    <w:tmpl w:val="3AF4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D707B0"/>
    <w:multiLevelType w:val="hybridMultilevel"/>
    <w:tmpl w:val="BFE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73DE7"/>
    <w:multiLevelType w:val="hybridMultilevel"/>
    <w:tmpl w:val="DBE8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350359"/>
    <w:multiLevelType w:val="multilevel"/>
    <w:tmpl w:val="9F425962"/>
    <w:lvl w:ilvl="0">
      <w:start w:val="3"/>
      <w:numFmt w:val="decimal"/>
      <w:lvlText w:val="%1"/>
      <w:lvlJc w:val="left"/>
      <w:pPr>
        <w:ind w:left="269" w:hanging="270"/>
      </w:pPr>
      <w:rPr>
        <w:rFonts w:hint="default"/>
      </w:rPr>
    </w:lvl>
    <w:lvl w:ilvl="1">
      <w:start w:val="1"/>
      <w:numFmt w:val="decimal"/>
      <w:lvlText w:val="%1.%2"/>
      <w:lvlJc w:val="left"/>
      <w:pPr>
        <w:ind w:left="269" w:hanging="270"/>
      </w:pPr>
      <w:rPr>
        <w:rFonts w:ascii="Times New Roman" w:eastAsia="Times New Roman" w:hAnsi="Times New Roman" w:hint="default"/>
        <w:color w:val="FF0000"/>
        <w:w w:val="99"/>
        <w:sz w:val="18"/>
        <w:szCs w:val="18"/>
      </w:rPr>
    </w:lvl>
    <w:lvl w:ilvl="2">
      <w:start w:val="1"/>
      <w:numFmt w:val="bullet"/>
      <w:lvlText w:val="•"/>
      <w:lvlJc w:val="left"/>
      <w:pPr>
        <w:ind w:left="841" w:hanging="270"/>
      </w:pPr>
      <w:rPr>
        <w:rFonts w:hint="default"/>
      </w:rPr>
    </w:lvl>
    <w:lvl w:ilvl="3">
      <w:start w:val="1"/>
      <w:numFmt w:val="bullet"/>
      <w:lvlText w:val="•"/>
      <w:lvlJc w:val="left"/>
      <w:pPr>
        <w:ind w:left="1128" w:hanging="270"/>
      </w:pPr>
      <w:rPr>
        <w:rFonts w:hint="default"/>
      </w:rPr>
    </w:lvl>
    <w:lvl w:ilvl="4">
      <w:start w:val="1"/>
      <w:numFmt w:val="bullet"/>
      <w:lvlText w:val="•"/>
      <w:lvlJc w:val="left"/>
      <w:pPr>
        <w:ind w:left="1414" w:hanging="270"/>
      </w:pPr>
      <w:rPr>
        <w:rFonts w:hint="default"/>
      </w:rPr>
    </w:lvl>
    <w:lvl w:ilvl="5">
      <w:start w:val="1"/>
      <w:numFmt w:val="bullet"/>
      <w:lvlText w:val="•"/>
      <w:lvlJc w:val="left"/>
      <w:pPr>
        <w:ind w:left="1700" w:hanging="270"/>
      </w:pPr>
      <w:rPr>
        <w:rFonts w:hint="default"/>
      </w:rPr>
    </w:lvl>
    <w:lvl w:ilvl="6">
      <w:start w:val="1"/>
      <w:numFmt w:val="bullet"/>
      <w:lvlText w:val="•"/>
      <w:lvlJc w:val="left"/>
      <w:pPr>
        <w:ind w:left="1986" w:hanging="270"/>
      </w:pPr>
      <w:rPr>
        <w:rFonts w:hint="default"/>
      </w:rPr>
    </w:lvl>
    <w:lvl w:ilvl="7">
      <w:start w:val="1"/>
      <w:numFmt w:val="bullet"/>
      <w:lvlText w:val="•"/>
      <w:lvlJc w:val="left"/>
      <w:pPr>
        <w:ind w:left="2272" w:hanging="270"/>
      </w:pPr>
      <w:rPr>
        <w:rFonts w:hint="default"/>
      </w:rPr>
    </w:lvl>
    <w:lvl w:ilvl="8">
      <w:start w:val="1"/>
      <w:numFmt w:val="bullet"/>
      <w:lvlText w:val="•"/>
      <w:lvlJc w:val="left"/>
      <w:pPr>
        <w:ind w:left="2558" w:hanging="270"/>
      </w:pPr>
      <w:rPr>
        <w:rFonts w:hint="default"/>
      </w:rPr>
    </w:lvl>
  </w:abstractNum>
  <w:abstractNum w:abstractNumId="32">
    <w:nsid w:val="6DAB18C8"/>
    <w:multiLevelType w:val="hybridMultilevel"/>
    <w:tmpl w:val="D35E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4C258F"/>
    <w:multiLevelType w:val="hybridMultilevel"/>
    <w:tmpl w:val="C6BA5D56"/>
    <w:lvl w:ilvl="0" w:tplc="A7387AC8">
      <w:numFmt w:val="bullet"/>
      <w:lvlText w:val="•"/>
      <w:lvlJc w:val="left"/>
      <w:pPr>
        <w:ind w:left="1290" w:hanging="93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E0098C"/>
    <w:multiLevelType w:val="hybridMultilevel"/>
    <w:tmpl w:val="632CFBD2"/>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9D07AD7"/>
    <w:multiLevelType w:val="hybridMultilevel"/>
    <w:tmpl w:val="202C7E60"/>
    <w:lvl w:ilvl="0" w:tplc="2F32005E">
      <w:start w:val="1"/>
      <w:numFmt w:val="bullet"/>
      <w:lvlText w:val=""/>
      <w:lvlJc w:val="left"/>
      <w:pPr>
        <w:tabs>
          <w:tab w:val="num" w:pos="1440"/>
        </w:tabs>
        <w:ind w:left="144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E9313D3"/>
    <w:multiLevelType w:val="hybridMultilevel"/>
    <w:tmpl w:val="7D1657F8"/>
    <w:lvl w:ilvl="0" w:tplc="3D648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13"/>
  </w:num>
  <w:num w:numId="4">
    <w:abstractNumId w:val="0"/>
    <w:lvlOverride w:ilvl="0">
      <w:lvl w:ilvl="0">
        <w:numFmt w:val="bullet"/>
        <w:lvlText w:val="•"/>
        <w:legacy w:legacy="1" w:legacySpace="0" w:legacyIndent="0"/>
        <w:lvlJc w:val="left"/>
        <w:rPr>
          <w:rFonts w:ascii="Helv" w:hAnsi="Helv" w:hint="default"/>
        </w:rPr>
      </w:lvl>
    </w:lvlOverride>
  </w:num>
  <w:num w:numId="5">
    <w:abstractNumId w:val="35"/>
  </w:num>
  <w:num w:numId="6">
    <w:abstractNumId w:val="36"/>
  </w:num>
  <w:num w:numId="7">
    <w:abstractNumId w:val="4"/>
  </w:num>
  <w:num w:numId="8">
    <w:abstractNumId w:val="1"/>
  </w:num>
  <w:num w:numId="9">
    <w:abstractNumId w:val="27"/>
  </w:num>
  <w:num w:numId="10">
    <w:abstractNumId w:val="7"/>
  </w:num>
  <w:num w:numId="11">
    <w:abstractNumId w:val="33"/>
  </w:num>
  <w:num w:numId="12">
    <w:abstractNumId w:val="10"/>
  </w:num>
  <w:num w:numId="13">
    <w:abstractNumId w:val="15"/>
  </w:num>
  <w:num w:numId="14">
    <w:abstractNumId w:val="11"/>
  </w:num>
  <w:num w:numId="15">
    <w:abstractNumId w:val="24"/>
  </w:num>
  <w:num w:numId="16">
    <w:abstractNumId w:val="25"/>
  </w:num>
  <w:num w:numId="17">
    <w:abstractNumId w:val="23"/>
  </w:num>
  <w:num w:numId="18">
    <w:abstractNumId w:val="16"/>
  </w:num>
  <w:num w:numId="19">
    <w:abstractNumId w:val="21"/>
  </w:num>
  <w:num w:numId="20">
    <w:abstractNumId w:val="26"/>
  </w:num>
  <w:num w:numId="21">
    <w:abstractNumId w:val="34"/>
  </w:num>
  <w:num w:numId="22">
    <w:abstractNumId w:val="12"/>
  </w:num>
  <w:num w:numId="23">
    <w:abstractNumId w:val="5"/>
  </w:num>
  <w:num w:numId="24">
    <w:abstractNumId w:val="2"/>
  </w:num>
  <w:num w:numId="25">
    <w:abstractNumId w:val="32"/>
  </w:num>
  <w:num w:numId="26">
    <w:abstractNumId w:val="18"/>
  </w:num>
  <w:num w:numId="27">
    <w:abstractNumId w:val="28"/>
  </w:num>
  <w:num w:numId="28">
    <w:abstractNumId w:val="20"/>
  </w:num>
  <w:num w:numId="29">
    <w:abstractNumId w:val="9"/>
  </w:num>
  <w:num w:numId="30">
    <w:abstractNumId w:val="19"/>
  </w:num>
  <w:num w:numId="31">
    <w:abstractNumId w:val="6"/>
  </w:num>
  <w:num w:numId="32">
    <w:abstractNumId w:val="8"/>
  </w:num>
  <w:num w:numId="33">
    <w:abstractNumId w:val="14"/>
  </w:num>
  <w:num w:numId="34">
    <w:abstractNumId w:val="30"/>
  </w:num>
  <w:num w:numId="35">
    <w:abstractNumId w:val="17"/>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567"/>
  <w:characterSpacingControl w:val="doNotCompress"/>
  <w:hdrShapeDefaults>
    <o:shapedefaults v:ext="edit" spidmax="190465"/>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004"/>
    <w:rsid w:val="00000110"/>
    <w:rsid w:val="00001E61"/>
    <w:rsid w:val="00001E7E"/>
    <w:rsid w:val="00003811"/>
    <w:rsid w:val="00003DFE"/>
    <w:rsid w:val="00004AA6"/>
    <w:rsid w:val="00004C30"/>
    <w:rsid w:val="00005F71"/>
    <w:rsid w:val="00007826"/>
    <w:rsid w:val="00010356"/>
    <w:rsid w:val="000114B6"/>
    <w:rsid w:val="00012360"/>
    <w:rsid w:val="00012ECA"/>
    <w:rsid w:val="000135CE"/>
    <w:rsid w:val="00013775"/>
    <w:rsid w:val="00014E40"/>
    <w:rsid w:val="000155B2"/>
    <w:rsid w:val="000168C5"/>
    <w:rsid w:val="00016A45"/>
    <w:rsid w:val="000214C2"/>
    <w:rsid w:val="0002260D"/>
    <w:rsid w:val="00022A39"/>
    <w:rsid w:val="00025B3F"/>
    <w:rsid w:val="00025BDA"/>
    <w:rsid w:val="00026653"/>
    <w:rsid w:val="00026FFA"/>
    <w:rsid w:val="00027373"/>
    <w:rsid w:val="000278D2"/>
    <w:rsid w:val="00027C0C"/>
    <w:rsid w:val="00030DAB"/>
    <w:rsid w:val="000326F2"/>
    <w:rsid w:val="000335B7"/>
    <w:rsid w:val="0003372E"/>
    <w:rsid w:val="000337A6"/>
    <w:rsid w:val="0003473B"/>
    <w:rsid w:val="00034BD1"/>
    <w:rsid w:val="00034E70"/>
    <w:rsid w:val="000355F5"/>
    <w:rsid w:val="000358BE"/>
    <w:rsid w:val="00036AEB"/>
    <w:rsid w:val="000370B3"/>
    <w:rsid w:val="00037ED6"/>
    <w:rsid w:val="00040A68"/>
    <w:rsid w:val="00040BA0"/>
    <w:rsid w:val="00042071"/>
    <w:rsid w:val="00042564"/>
    <w:rsid w:val="0004395C"/>
    <w:rsid w:val="00043A39"/>
    <w:rsid w:val="00044B1D"/>
    <w:rsid w:val="00046278"/>
    <w:rsid w:val="00054FA2"/>
    <w:rsid w:val="00056379"/>
    <w:rsid w:val="00056464"/>
    <w:rsid w:val="00062162"/>
    <w:rsid w:val="00062983"/>
    <w:rsid w:val="00062F65"/>
    <w:rsid w:val="0006389F"/>
    <w:rsid w:val="0006400E"/>
    <w:rsid w:val="000640C3"/>
    <w:rsid w:val="00064C94"/>
    <w:rsid w:val="000667BE"/>
    <w:rsid w:val="000667F9"/>
    <w:rsid w:val="00066949"/>
    <w:rsid w:val="000711F7"/>
    <w:rsid w:val="00072B26"/>
    <w:rsid w:val="00081AE5"/>
    <w:rsid w:val="00081C34"/>
    <w:rsid w:val="00081E00"/>
    <w:rsid w:val="000825A9"/>
    <w:rsid w:val="00082837"/>
    <w:rsid w:val="00087A77"/>
    <w:rsid w:val="00094518"/>
    <w:rsid w:val="00095244"/>
    <w:rsid w:val="000964CC"/>
    <w:rsid w:val="000A164E"/>
    <w:rsid w:val="000A2C71"/>
    <w:rsid w:val="000A4A5F"/>
    <w:rsid w:val="000A67BF"/>
    <w:rsid w:val="000A6C33"/>
    <w:rsid w:val="000B04C8"/>
    <w:rsid w:val="000B0E6E"/>
    <w:rsid w:val="000B587F"/>
    <w:rsid w:val="000C0A01"/>
    <w:rsid w:val="000C11AA"/>
    <w:rsid w:val="000C2863"/>
    <w:rsid w:val="000C2EE4"/>
    <w:rsid w:val="000C32E9"/>
    <w:rsid w:val="000C4062"/>
    <w:rsid w:val="000C4D35"/>
    <w:rsid w:val="000C7269"/>
    <w:rsid w:val="000D00C8"/>
    <w:rsid w:val="000D1D2E"/>
    <w:rsid w:val="000D2E7E"/>
    <w:rsid w:val="000D407F"/>
    <w:rsid w:val="000D4DD1"/>
    <w:rsid w:val="000E2D3B"/>
    <w:rsid w:val="000E2D40"/>
    <w:rsid w:val="000E3535"/>
    <w:rsid w:val="000E3BDA"/>
    <w:rsid w:val="000E52DF"/>
    <w:rsid w:val="000E5CCD"/>
    <w:rsid w:val="000E68FE"/>
    <w:rsid w:val="000F0A4A"/>
    <w:rsid w:val="000F2BC3"/>
    <w:rsid w:val="000F2F4F"/>
    <w:rsid w:val="000F46C5"/>
    <w:rsid w:val="00101466"/>
    <w:rsid w:val="001036B1"/>
    <w:rsid w:val="00103BB6"/>
    <w:rsid w:val="00105CE3"/>
    <w:rsid w:val="00105EC7"/>
    <w:rsid w:val="001062F5"/>
    <w:rsid w:val="00110401"/>
    <w:rsid w:val="00111455"/>
    <w:rsid w:val="00111D29"/>
    <w:rsid w:val="00112125"/>
    <w:rsid w:val="00112F79"/>
    <w:rsid w:val="00113808"/>
    <w:rsid w:val="00113B56"/>
    <w:rsid w:val="00115A4C"/>
    <w:rsid w:val="001160C9"/>
    <w:rsid w:val="00116C14"/>
    <w:rsid w:val="00117697"/>
    <w:rsid w:val="0012039C"/>
    <w:rsid w:val="00120470"/>
    <w:rsid w:val="00121695"/>
    <w:rsid w:val="00121EBA"/>
    <w:rsid w:val="00123855"/>
    <w:rsid w:val="00123FC3"/>
    <w:rsid w:val="001249DE"/>
    <w:rsid w:val="00124D32"/>
    <w:rsid w:val="00126623"/>
    <w:rsid w:val="00126CE4"/>
    <w:rsid w:val="00127330"/>
    <w:rsid w:val="001273A7"/>
    <w:rsid w:val="00127CD3"/>
    <w:rsid w:val="00132E4F"/>
    <w:rsid w:val="001351CD"/>
    <w:rsid w:val="00136073"/>
    <w:rsid w:val="00137089"/>
    <w:rsid w:val="001419E9"/>
    <w:rsid w:val="0014282A"/>
    <w:rsid w:val="00143F13"/>
    <w:rsid w:val="0014547B"/>
    <w:rsid w:val="001504FD"/>
    <w:rsid w:val="001537C5"/>
    <w:rsid w:val="0015411E"/>
    <w:rsid w:val="0015424B"/>
    <w:rsid w:val="00156B0A"/>
    <w:rsid w:val="001578C7"/>
    <w:rsid w:val="00157EDA"/>
    <w:rsid w:val="00161E9A"/>
    <w:rsid w:val="0016446F"/>
    <w:rsid w:val="001652FC"/>
    <w:rsid w:val="00165ADC"/>
    <w:rsid w:val="00165E77"/>
    <w:rsid w:val="00167159"/>
    <w:rsid w:val="00167849"/>
    <w:rsid w:val="00167C8D"/>
    <w:rsid w:val="00167FEE"/>
    <w:rsid w:val="0017194B"/>
    <w:rsid w:val="00172895"/>
    <w:rsid w:val="00181158"/>
    <w:rsid w:val="00181A35"/>
    <w:rsid w:val="00181B02"/>
    <w:rsid w:val="00182005"/>
    <w:rsid w:val="00182832"/>
    <w:rsid w:val="0018597F"/>
    <w:rsid w:val="00187B61"/>
    <w:rsid w:val="00190FAF"/>
    <w:rsid w:val="0019439C"/>
    <w:rsid w:val="00196D01"/>
    <w:rsid w:val="00197C70"/>
    <w:rsid w:val="001A1B15"/>
    <w:rsid w:val="001A32B8"/>
    <w:rsid w:val="001A3433"/>
    <w:rsid w:val="001A38F8"/>
    <w:rsid w:val="001A3BAD"/>
    <w:rsid w:val="001A49F2"/>
    <w:rsid w:val="001A4DDB"/>
    <w:rsid w:val="001A4EE3"/>
    <w:rsid w:val="001A4F26"/>
    <w:rsid w:val="001A6F57"/>
    <w:rsid w:val="001A77C2"/>
    <w:rsid w:val="001A77F5"/>
    <w:rsid w:val="001B0787"/>
    <w:rsid w:val="001B1D95"/>
    <w:rsid w:val="001B1FEC"/>
    <w:rsid w:val="001B257F"/>
    <w:rsid w:val="001B2F50"/>
    <w:rsid w:val="001B4B7E"/>
    <w:rsid w:val="001C0F90"/>
    <w:rsid w:val="001C19A7"/>
    <w:rsid w:val="001C1D8D"/>
    <w:rsid w:val="001C2437"/>
    <w:rsid w:val="001C2582"/>
    <w:rsid w:val="001C3AE5"/>
    <w:rsid w:val="001C5848"/>
    <w:rsid w:val="001C592E"/>
    <w:rsid w:val="001C62F0"/>
    <w:rsid w:val="001C696B"/>
    <w:rsid w:val="001D04E1"/>
    <w:rsid w:val="001D0964"/>
    <w:rsid w:val="001D0FE3"/>
    <w:rsid w:val="001D1004"/>
    <w:rsid w:val="001D1F4A"/>
    <w:rsid w:val="001D2FFD"/>
    <w:rsid w:val="001D39DB"/>
    <w:rsid w:val="001D3B6B"/>
    <w:rsid w:val="001D4ACF"/>
    <w:rsid w:val="001D607B"/>
    <w:rsid w:val="001D647B"/>
    <w:rsid w:val="001D6F80"/>
    <w:rsid w:val="001D7A36"/>
    <w:rsid w:val="001E0EFC"/>
    <w:rsid w:val="001E1524"/>
    <w:rsid w:val="001E1758"/>
    <w:rsid w:val="001E2167"/>
    <w:rsid w:val="001E2D60"/>
    <w:rsid w:val="001E64E6"/>
    <w:rsid w:val="001E6D4E"/>
    <w:rsid w:val="001E7812"/>
    <w:rsid w:val="001E7E69"/>
    <w:rsid w:val="001F2D3D"/>
    <w:rsid w:val="001F3445"/>
    <w:rsid w:val="001F55B3"/>
    <w:rsid w:val="001F5A79"/>
    <w:rsid w:val="001F5FE5"/>
    <w:rsid w:val="001F622E"/>
    <w:rsid w:val="001F6AFF"/>
    <w:rsid w:val="001F6FF9"/>
    <w:rsid w:val="00203591"/>
    <w:rsid w:val="002049CB"/>
    <w:rsid w:val="00206FAC"/>
    <w:rsid w:val="00207817"/>
    <w:rsid w:val="002104CD"/>
    <w:rsid w:val="002115E5"/>
    <w:rsid w:val="00211B5B"/>
    <w:rsid w:val="00212ADE"/>
    <w:rsid w:val="002131EB"/>
    <w:rsid w:val="002145BE"/>
    <w:rsid w:val="002149CB"/>
    <w:rsid w:val="00217C2B"/>
    <w:rsid w:val="00221DE9"/>
    <w:rsid w:val="0022366B"/>
    <w:rsid w:val="002239D7"/>
    <w:rsid w:val="0022662B"/>
    <w:rsid w:val="00226ACF"/>
    <w:rsid w:val="002274AA"/>
    <w:rsid w:val="00233040"/>
    <w:rsid w:val="002332E1"/>
    <w:rsid w:val="00233D33"/>
    <w:rsid w:val="00234E48"/>
    <w:rsid w:val="00243C3E"/>
    <w:rsid w:val="00254164"/>
    <w:rsid w:val="00256385"/>
    <w:rsid w:val="0025690F"/>
    <w:rsid w:val="0025780C"/>
    <w:rsid w:val="00261C64"/>
    <w:rsid w:val="002623D3"/>
    <w:rsid w:val="002626F2"/>
    <w:rsid w:val="002644BC"/>
    <w:rsid w:val="002656AD"/>
    <w:rsid w:val="00272710"/>
    <w:rsid w:val="002728A4"/>
    <w:rsid w:val="002742A2"/>
    <w:rsid w:val="00274E46"/>
    <w:rsid w:val="00274FD1"/>
    <w:rsid w:val="0027560A"/>
    <w:rsid w:val="00275FBB"/>
    <w:rsid w:val="002768CE"/>
    <w:rsid w:val="00277121"/>
    <w:rsid w:val="00277319"/>
    <w:rsid w:val="00277DF9"/>
    <w:rsid w:val="002800BD"/>
    <w:rsid w:val="00285131"/>
    <w:rsid w:val="00285769"/>
    <w:rsid w:val="00285C55"/>
    <w:rsid w:val="002875F2"/>
    <w:rsid w:val="002905A0"/>
    <w:rsid w:val="00290EC1"/>
    <w:rsid w:val="00291832"/>
    <w:rsid w:val="00293396"/>
    <w:rsid w:val="00296132"/>
    <w:rsid w:val="0029655A"/>
    <w:rsid w:val="00296851"/>
    <w:rsid w:val="00296A60"/>
    <w:rsid w:val="0029723D"/>
    <w:rsid w:val="002A0AFA"/>
    <w:rsid w:val="002A11D0"/>
    <w:rsid w:val="002A19A1"/>
    <w:rsid w:val="002A2DF8"/>
    <w:rsid w:val="002A439C"/>
    <w:rsid w:val="002A44B5"/>
    <w:rsid w:val="002A655C"/>
    <w:rsid w:val="002A7E2C"/>
    <w:rsid w:val="002A7E59"/>
    <w:rsid w:val="002B1D85"/>
    <w:rsid w:val="002B299D"/>
    <w:rsid w:val="002B3ADE"/>
    <w:rsid w:val="002B4E5C"/>
    <w:rsid w:val="002B4F32"/>
    <w:rsid w:val="002B58D5"/>
    <w:rsid w:val="002B5D7D"/>
    <w:rsid w:val="002B70DA"/>
    <w:rsid w:val="002B7912"/>
    <w:rsid w:val="002C02F7"/>
    <w:rsid w:val="002C1799"/>
    <w:rsid w:val="002C1E8E"/>
    <w:rsid w:val="002C275E"/>
    <w:rsid w:val="002C2F1E"/>
    <w:rsid w:val="002C399C"/>
    <w:rsid w:val="002C3D7E"/>
    <w:rsid w:val="002C4056"/>
    <w:rsid w:val="002C4764"/>
    <w:rsid w:val="002C4E78"/>
    <w:rsid w:val="002C5EDD"/>
    <w:rsid w:val="002C6F99"/>
    <w:rsid w:val="002C7E73"/>
    <w:rsid w:val="002D079E"/>
    <w:rsid w:val="002D07E4"/>
    <w:rsid w:val="002D210A"/>
    <w:rsid w:val="002D2820"/>
    <w:rsid w:val="002D3CDF"/>
    <w:rsid w:val="002D7BAA"/>
    <w:rsid w:val="002E0641"/>
    <w:rsid w:val="002E54D9"/>
    <w:rsid w:val="002E56E5"/>
    <w:rsid w:val="002E6E35"/>
    <w:rsid w:val="002E7059"/>
    <w:rsid w:val="002E74B6"/>
    <w:rsid w:val="002E7D63"/>
    <w:rsid w:val="002F0D90"/>
    <w:rsid w:val="002F1BE8"/>
    <w:rsid w:val="002F3AAC"/>
    <w:rsid w:val="002F7B32"/>
    <w:rsid w:val="00300796"/>
    <w:rsid w:val="00300B04"/>
    <w:rsid w:val="00301103"/>
    <w:rsid w:val="00301BBE"/>
    <w:rsid w:val="00301D78"/>
    <w:rsid w:val="00303539"/>
    <w:rsid w:val="00303894"/>
    <w:rsid w:val="003044C0"/>
    <w:rsid w:val="00304CB3"/>
    <w:rsid w:val="003051BF"/>
    <w:rsid w:val="00305FF7"/>
    <w:rsid w:val="00306BA9"/>
    <w:rsid w:val="00307B9D"/>
    <w:rsid w:val="0031071C"/>
    <w:rsid w:val="00310EA2"/>
    <w:rsid w:val="00312BEA"/>
    <w:rsid w:val="00312CB0"/>
    <w:rsid w:val="0031334C"/>
    <w:rsid w:val="0031389E"/>
    <w:rsid w:val="00313A75"/>
    <w:rsid w:val="0031461E"/>
    <w:rsid w:val="00315266"/>
    <w:rsid w:val="00316779"/>
    <w:rsid w:val="0032066B"/>
    <w:rsid w:val="003209D5"/>
    <w:rsid w:val="00321F87"/>
    <w:rsid w:val="003231AF"/>
    <w:rsid w:val="003260E8"/>
    <w:rsid w:val="0032747F"/>
    <w:rsid w:val="00330383"/>
    <w:rsid w:val="003307EC"/>
    <w:rsid w:val="00330F97"/>
    <w:rsid w:val="00331188"/>
    <w:rsid w:val="0033195B"/>
    <w:rsid w:val="00331FFB"/>
    <w:rsid w:val="0033345F"/>
    <w:rsid w:val="0033494F"/>
    <w:rsid w:val="00334D6F"/>
    <w:rsid w:val="00334E12"/>
    <w:rsid w:val="00336A4E"/>
    <w:rsid w:val="00336BD8"/>
    <w:rsid w:val="00337BDE"/>
    <w:rsid w:val="00340999"/>
    <w:rsid w:val="00340FBF"/>
    <w:rsid w:val="00342AB4"/>
    <w:rsid w:val="003432F8"/>
    <w:rsid w:val="00345714"/>
    <w:rsid w:val="0034700C"/>
    <w:rsid w:val="00347F07"/>
    <w:rsid w:val="003523BA"/>
    <w:rsid w:val="00352B90"/>
    <w:rsid w:val="0035410F"/>
    <w:rsid w:val="00356E34"/>
    <w:rsid w:val="003579DD"/>
    <w:rsid w:val="00357C1B"/>
    <w:rsid w:val="00360185"/>
    <w:rsid w:val="00360219"/>
    <w:rsid w:val="0036047E"/>
    <w:rsid w:val="003606AC"/>
    <w:rsid w:val="0036132D"/>
    <w:rsid w:val="00361B0A"/>
    <w:rsid w:val="0036260A"/>
    <w:rsid w:val="003652FC"/>
    <w:rsid w:val="00365EC5"/>
    <w:rsid w:val="003728DE"/>
    <w:rsid w:val="00372B15"/>
    <w:rsid w:val="0037349A"/>
    <w:rsid w:val="00373EE7"/>
    <w:rsid w:val="00375464"/>
    <w:rsid w:val="0037565F"/>
    <w:rsid w:val="003762CC"/>
    <w:rsid w:val="0037777C"/>
    <w:rsid w:val="00377B90"/>
    <w:rsid w:val="00377E82"/>
    <w:rsid w:val="0038008F"/>
    <w:rsid w:val="0038067C"/>
    <w:rsid w:val="00380BA7"/>
    <w:rsid w:val="003812C2"/>
    <w:rsid w:val="003815A4"/>
    <w:rsid w:val="003819CD"/>
    <w:rsid w:val="00382B10"/>
    <w:rsid w:val="00382E66"/>
    <w:rsid w:val="00383A6B"/>
    <w:rsid w:val="00383D55"/>
    <w:rsid w:val="00385B0A"/>
    <w:rsid w:val="00385B0B"/>
    <w:rsid w:val="00386290"/>
    <w:rsid w:val="00387E2B"/>
    <w:rsid w:val="00390E0E"/>
    <w:rsid w:val="00390F78"/>
    <w:rsid w:val="003912A5"/>
    <w:rsid w:val="00393A5F"/>
    <w:rsid w:val="003945EB"/>
    <w:rsid w:val="00396999"/>
    <w:rsid w:val="003A2D60"/>
    <w:rsid w:val="003A3364"/>
    <w:rsid w:val="003A5842"/>
    <w:rsid w:val="003A5EE1"/>
    <w:rsid w:val="003A74BE"/>
    <w:rsid w:val="003A783F"/>
    <w:rsid w:val="003B076A"/>
    <w:rsid w:val="003B157D"/>
    <w:rsid w:val="003B19A9"/>
    <w:rsid w:val="003B38BD"/>
    <w:rsid w:val="003B41B2"/>
    <w:rsid w:val="003B5FEC"/>
    <w:rsid w:val="003B6723"/>
    <w:rsid w:val="003B7219"/>
    <w:rsid w:val="003C1640"/>
    <w:rsid w:val="003C1B5E"/>
    <w:rsid w:val="003C1EB6"/>
    <w:rsid w:val="003C2312"/>
    <w:rsid w:val="003C38E8"/>
    <w:rsid w:val="003C3E96"/>
    <w:rsid w:val="003C3FE9"/>
    <w:rsid w:val="003C449E"/>
    <w:rsid w:val="003C46BE"/>
    <w:rsid w:val="003C5D6D"/>
    <w:rsid w:val="003C64D2"/>
    <w:rsid w:val="003D16C3"/>
    <w:rsid w:val="003D3376"/>
    <w:rsid w:val="003D6192"/>
    <w:rsid w:val="003D6DF0"/>
    <w:rsid w:val="003D74A4"/>
    <w:rsid w:val="003D755B"/>
    <w:rsid w:val="003E0D48"/>
    <w:rsid w:val="003E1478"/>
    <w:rsid w:val="003E3921"/>
    <w:rsid w:val="003E44A2"/>
    <w:rsid w:val="003E4B2C"/>
    <w:rsid w:val="003E5C65"/>
    <w:rsid w:val="003E5CEB"/>
    <w:rsid w:val="003E661C"/>
    <w:rsid w:val="003F1AF1"/>
    <w:rsid w:val="003F1BE3"/>
    <w:rsid w:val="003F1C9A"/>
    <w:rsid w:val="003F323D"/>
    <w:rsid w:val="003F49D9"/>
    <w:rsid w:val="003F4B76"/>
    <w:rsid w:val="003F6C07"/>
    <w:rsid w:val="003F73F3"/>
    <w:rsid w:val="003F786F"/>
    <w:rsid w:val="00400D5C"/>
    <w:rsid w:val="00401A69"/>
    <w:rsid w:val="00401BDD"/>
    <w:rsid w:val="0040482A"/>
    <w:rsid w:val="00407538"/>
    <w:rsid w:val="0040790E"/>
    <w:rsid w:val="00407CD2"/>
    <w:rsid w:val="00407D10"/>
    <w:rsid w:val="004100D9"/>
    <w:rsid w:val="00413A01"/>
    <w:rsid w:val="00414A7B"/>
    <w:rsid w:val="00415012"/>
    <w:rsid w:val="00415471"/>
    <w:rsid w:val="00415527"/>
    <w:rsid w:val="00417541"/>
    <w:rsid w:val="004175C9"/>
    <w:rsid w:val="00417DDC"/>
    <w:rsid w:val="004230B3"/>
    <w:rsid w:val="004251BF"/>
    <w:rsid w:val="004265A9"/>
    <w:rsid w:val="00427094"/>
    <w:rsid w:val="0043011D"/>
    <w:rsid w:val="00430F66"/>
    <w:rsid w:val="004317C7"/>
    <w:rsid w:val="00431F4D"/>
    <w:rsid w:val="004331A8"/>
    <w:rsid w:val="00433E04"/>
    <w:rsid w:val="0043475A"/>
    <w:rsid w:val="00435111"/>
    <w:rsid w:val="00435DB1"/>
    <w:rsid w:val="00436BFF"/>
    <w:rsid w:val="0043776A"/>
    <w:rsid w:val="004445B3"/>
    <w:rsid w:val="00446A9B"/>
    <w:rsid w:val="00446AAA"/>
    <w:rsid w:val="00446CDA"/>
    <w:rsid w:val="004516BF"/>
    <w:rsid w:val="004518F9"/>
    <w:rsid w:val="00451C10"/>
    <w:rsid w:val="00451C5D"/>
    <w:rsid w:val="004528C4"/>
    <w:rsid w:val="004538C6"/>
    <w:rsid w:val="00454F0A"/>
    <w:rsid w:val="0045621B"/>
    <w:rsid w:val="00456BB6"/>
    <w:rsid w:val="00457524"/>
    <w:rsid w:val="004615B2"/>
    <w:rsid w:val="00461711"/>
    <w:rsid w:val="00461C1D"/>
    <w:rsid w:val="00467C62"/>
    <w:rsid w:val="0047062D"/>
    <w:rsid w:val="00473556"/>
    <w:rsid w:val="004745DE"/>
    <w:rsid w:val="00475346"/>
    <w:rsid w:val="00475A17"/>
    <w:rsid w:val="00476046"/>
    <w:rsid w:val="00476327"/>
    <w:rsid w:val="0047701A"/>
    <w:rsid w:val="004771F6"/>
    <w:rsid w:val="0047783E"/>
    <w:rsid w:val="0048224C"/>
    <w:rsid w:val="0048284A"/>
    <w:rsid w:val="004849F8"/>
    <w:rsid w:val="00485416"/>
    <w:rsid w:val="00485B52"/>
    <w:rsid w:val="00487B8E"/>
    <w:rsid w:val="0049000C"/>
    <w:rsid w:val="0049240F"/>
    <w:rsid w:val="00493702"/>
    <w:rsid w:val="00496101"/>
    <w:rsid w:val="004962F4"/>
    <w:rsid w:val="0049774E"/>
    <w:rsid w:val="004A455F"/>
    <w:rsid w:val="004A4BDF"/>
    <w:rsid w:val="004A54C0"/>
    <w:rsid w:val="004A6FCE"/>
    <w:rsid w:val="004B01B8"/>
    <w:rsid w:val="004B69F2"/>
    <w:rsid w:val="004B715B"/>
    <w:rsid w:val="004B7EBB"/>
    <w:rsid w:val="004C125B"/>
    <w:rsid w:val="004C1303"/>
    <w:rsid w:val="004C1932"/>
    <w:rsid w:val="004C1DAA"/>
    <w:rsid w:val="004C2F4D"/>
    <w:rsid w:val="004C3BF8"/>
    <w:rsid w:val="004C448C"/>
    <w:rsid w:val="004C6CA6"/>
    <w:rsid w:val="004D22FB"/>
    <w:rsid w:val="004D5793"/>
    <w:rsid w:val="004D606E"/>
    <w:rsid w:val="004D7198"/>
    <w:rsid w:val="004E009F"/>
    <w:rsid w:val="004E0911"/>
    <w:rsid w:val="004E14C3"/>
    <w:rsid w:val="004E15B6"/>
    <w:rsid w:val="004E2938"/>
    <w:rsid w:val="004E2F55"/>
    <w:rsid w:val="004E3595"/>
    <w:rsid w:val="004E4C11"/>
    <w:rsid w:val="004F17F2"/>
    <w:rsid w:val="004F1A1E"/>
    <w:rsid w:val="004F1DB3"/>
    <w:rsid w:val="004F2204"/>
    <w:rsid w:val="004F4040"/>
    <w:rsid w:val="004F501C"/>
    <w:rsid w:val="004F5D5A"/>
    <w:rsid w:val="004F60FE"/>
    <w:rsid w:val="004F657B"/>
    <w:rsid w:val="004F66B3"/>
    <w:rsid w:val="004F6C49"/>
    <w:rsid w:val="004F6CD6"/>
    <w:rsid w:val="004F6F2D"/>
    <w:rsid w:val="004F73DE"/>
    <w:rsid w:val="00500365"/>
    <w:rsid w:val="00501513"/>
    <w:rsid w:val="00504EA0"/>
    <w:rsid w:val="00504F51"/>
    <w:rsid w:val="0050738C"/>
    <w:rsid w:val="005074FE"/>
    <w:rsid w:val="00510253"/>
    <w:rsid w:val="00510905"/>
    <w:rsid w:val="00511B29"/>
    <w:rsid w:val="00512D26"/>
    <w:rsid w:val="005132B1"/>
    <w:rsid w:val="00513572"/>
    <w:rsid w:val="00514532"/>
    <w:rsid w:val="0051586F"/>
    <w:rsid w:val="00515E3C"/>
    <w:rsid w:val="005177BD"/>
    <w:rsid w:val="00520D28"/>
    <w:rsid w:val="00521E4D"/>
    <w:rsid w:val="005241CE"/>
    <w:rsid w:val="005242C4"/>
    <w:rsid w:val="0052553D"/>
    <w:rsid w:val="005274C4"/>
    <w:rsid w:val="00532729"/>
    <w:rsid w:val="005335EA"/>
    <w:rsid w:val="00533605"/>
    <w:rsid w:val="0053441C"/>
    <w:rsid w:val="00537750"/>
    <w:rsid w:val="00537998"/>
    <w:rsid w:val="00537C02"/>
    <w:rsid w:val="00540C90"/>
    <w:rsid w:val="0054169A"/>
    <w:rsid w:val="005447EA"/>
    <w:rsid w:val="00545167"/>
    <w:rsid w:val="00545B87"/>
    <w:rsid w:val="005470BE"/>
    <w:rsid w:val="005477E1"/>
    <w:rsid w:val="00547B2A"/>
    <w:rsid w:val="00550F9C"/>
    <w:rsid w:val="0055169D"/>
    <w:rsid w:val="00552893"/>
    <w:rsid w:val="00552929"/>
    <w:rsid w:val="0055387E"/>
    <w:rsid w:val="00553E1C"/>
    <w:rsid w:val="00554164"/>
    <w:rsid w:val="005541C7"/>
    <w:rsid w:val="00555275"/>
    <w:rsid w:val="0055539D"/>
    <w:rsid w:val="005560A9"/>
    <w:rsid w:val="005566EF"/>
    <w:rsid w:val="0055688E"/>
    <w:rsid w:val="005568D7"/>
    <w:rsid w:val="00560611"/>
    <w:rsid w:val="00561394"/>
    <w:rsid w:val="00561969"/>
    <w:rsid w:val="00562029"/>
    <w:rsid w:val="005623F5"/>
    <w:rsid w:val="00562F4F"/>
    <w:rsid w:val="00563BE2"/>
    <w:rsid w:val="00564840"/>
    <w:rsid w:val="0056504A"/>
    <w:rsid w:val="00565110"/>
    <w:rsid w:val="005651AA"/>
    <w:rsid w:val="005702DF"/>
    <w:rsid w:val="005716D9"/>
    <w:rsid w:val="00571B7A"/>
    <w:rsid w:val="00571EC9"/>
    <w:rsid w:val="00572388"/>
    <w:rsid w:val="00572B87"/>
    <w:rsid w:val="005754A2"/>
    <w:rsid w:val="00576485"/>
    <w:rsid w:val="00576A0B"/>
    <w:rsid w:val="00580084"/>
    <w:rsid w:val="00580500"/>
    <w:rsid w:val="005806EE"/>
    <w:rsid w:val="00580B8A"/>
    <w:rsid w:val="005818DE"/>
    <w:rsid w:val="00581F76"/>
    <w:rsid w:val="00582132"/>
    <w:rsid w:val="005826C2"/>
    <w:rsid w:val="00584403"/>
    <w:rsid w:val="00584FE0"/>
    <w:rsid w:val="0058573D"/>
    <w:rsid w:val="005858BF"/>
    <w:rsid w:val="005877C7"/>
    <w:rsid w:val="00590CF5"/>
    <w:rsid w:val="00590D95"/>
    <w:rsid w:val="00590F35"/>
    <w:rsid w:val="005911BE"/>
    <w:rsid w:val="005912D6"/>
    <w:rsid w:val="00591995"/>
    <w:rsid w:val="00591FDE"/>
    <w:rsid w:val="005931B7"/>
    <w:rsid w:val="005933A9"/>
    <w:rsid w:val="0059376C"/>
    <w:rsid w:val="00594470"/>
    <w:rsid w:val="00594807"/>
    <w:rsid w:val="005949A1"/>
    <w:rsid w:val="00594E32"/>
    <w:rsid w:val="0059558F"/>
    <w:rsid w:val="005959A2"/>
    <w:rsid w:val="00595DDE"/>
    <w:rsid w:val="00596786"/>
    <w:rsid w:val="00596803"/>
    <w:rsid w:val="00596CD4"/>
    <w:rsid w:val="00597745"/>
    <w:rsid w:val="00597EAA"/>
    <w:rsid w:val="005A1A3E"/>
    <w:rsid w:val="005A24A2"/>
    <w:rsid w:val="005A2A87"/>
    <w:rsid w:val="005A5D4E"/>
    <w:rsid w:val="005A7159"/>
    <w:rsid w:val="005A733C"/>
    <w:rsid w:val="005B0DFD"/>
    <w:rsid w:val="005B1229"/>
    <w:rsid w:val="005B165A"/>
    <w:rsid w:val="005B16A5"/>
    <w:rsid w:val="005B16AA"/>
    <w:rsid w:val="005B1834"/>
    <w:rsid w:val="005B1DAC"/>
    <w:rsid w:val="005B335D"/>
    <w:rsid w:val="005B3DB0"/>
    <w:rsid w:val="005B3E62"/>
    <w:rsid w:val="005B4EB5"/>
    <w:rsid w:val="005B7BB7"/>
    <w:rsid w:val="005C296E"/>
    <w:rsid w:val="005C2C47"/>
    <w:rsid w:val="005C3369"/>
    <w:rsid w:val="005C3B17"/>
    <w:rsid w:val="005C5461"/>
    <w:rsid w:val="005D1E0B"/>
    <w:rsid w:val="005D30F5"/>
    <w:rsid w:val="005D3817"/>
    <w:rsid w:val="005D3BB3"/>
    <w:rsid w:val="005D448F"/>
    <w:rsid w:val="005D4B74"/>
    <w:rsid w:val="005D4F46"/>
    <w:rsid w:val="005E0497"/>
    <w:rsid w:val="005E107B"/>
    <w:rsid w:val="005E2C3E"/>
    <w:rsid w:val="005E3602"/>
    <w:rsid w:val="005E41F0"/>
    <w:rsid w:val="005E4F4F"/>
    <w:rsid w:val="005E7B2A"/>
    <w:rsid w:val="005F0151"/>
    <w:rsid w:val="005F1132"/>
    <w:rsid w:val="005F271A"/>
    <w:rsid w:val="005F2822"/>
    <w:rsid w:val="005F3302"/>
    <w:rsid w:val="005F3408"/>
    <w:rsid w:val="005F3D99"/>
    <w:rsid w:val="005F4395"/>
    <w:rsid w:val="005F4F25"/>
    <w:rsid w:val="005F7FF7"/>
    <w:rsid w:val="006002A2"/>
    <w:rsid w:val="0060094A"/>
    <w:rsid w:val="00601DFC"/>
    <w:rsid w:val="0060350E"/>
    <w:rsid w:val="00604ED5"/>
    <w:rsid w:val="00605473"/>
    <w:rsid w:val="00606374"/>
    <w:rsid w:val="00607285"/>
    <w:rsid w:val="00607B3E"/>
    <w:rsid w:val="006100A1"/>
    <w:rsid w:val="006107FE"/>
    <w:rsid w:val="00613825"/>
    <w:rsid w:val="00613E9A"/>
    <w:rsid w:val="00613FC4"/>
    <w:rsid w:val="00614A2E"/>
    <w:rsid w:val="00614C4D"/>
    <w:rsid w:val="00614DBE"/>
    <w:rsid w:val="006151BB"/>
    <w:rsid w:val="006157CF"/>
    <w:rsid w:val="00616185"/>
    <w:rsid w:val="00616721"/>
    <w:rsid w:val="00616C33"/>
    <w:rsid w:val="00617A74"/>
    <w:rsid w:val="00620DCF"/>
    <w:rsid w:val="006217C3"/>
    <w:rsid w:val="00621C71"/>
    <w:rsid w:val="00623698"/>
    <w:rsid w:val="006250D2"/>
    <w:rsid w:val="00625616"/>
    <w:rsid w:val="00626BED"/>
    <w:rsid w:val="00627448"/>
    <w:rsid w:val="00636A34"/>
    <w:rsid w:val="00637CED"/>
    <w:rsid w:val="00640146"/>
    <w:rsid w:val="00642F10"/>
    <w:rsid w:val="00644316"/>
    <w:rsid w:val="006459F4"/>
    <w:rsid w:val="00647F7A"/>
    <w:rsid w:val="0065053A"/>
    <w:rsid w:val="00650B4F"/>
    <w:rsid w:val="00651DF0"/>
    <w:rsid w:val="00652E49"/>
    <w:rsid w:val="006536F3"/>
    <w:rsid w:val="00653EA8"/>
    <w:rsid w:val="006546A3"/>
    <w:rsid w:val="006548B2"/>
    <w:rsid w:val="00655A93"/>
    <w:rsid w:val="0065671E"/>
    <w:rsid w:val="00656B6B"/>
    <w:rsid w:val="006576FF"/>
    <w:rsid w:val="0066030F"/>
    <w:rsid w:val="006603B9"/>
    <w:rsid w:val="006616AF"/>
    <w:rsid w:val="00661A2D"/>
    <w:rsid w:val="00664935"/>
    <w:rsid w:val="006668B0"/>
    <w:rsid w:val="00667F56"/>
    <w:rsid w:val="00670EC3"/>
    <w:rsid w:val="0067104F"/>
    <w:rsid w:val="006721F7"/>
    <w:rsid w:val="0067263D"/>
    <w:rsid w:val="00672EAE"/>
    <w:rsid w:val="00673D58"/>
    <w:rsid w:val="00676CAA"/>
    <w:rsid w:val="006805C0"/>
    <w:rsid w:val="0068146B"/>
    <w:rsid w:val="00682D66"/>
    <w:rsid w:val="00682E22"/>
    <w:rsid w:val="00683426"/>
    <w:rsid w:val="00684823"/>
    <w:rsid w:val="0068544D"/>
    <w:rsid w:val="006871A1"/>
    <w:rsid w:val="00687808"/>
    <w:rsid w:val="00687C12"/>
    <w:rsid w:val="00692328"/>
    <w:rsid w:val="006923BD"/>
    <w:rsid w:val="0069345E"/>
    <w:rsid w:val="00693A65"/>
    <w:rsid w:val="00693F34"/>
    <w:rsid w:val="0069465A"/>
    <w:rsid w:val="00695760"/>
    <w:rsid w:val="006974D1"/>
    <w:rsid w:val="00697DCB"/>
    <w:rsid w:val="006A251C"/>
    <w:rsid w:val="006A51CE"/>
    <w:rsid w:val="006A54F6"/>
    <w:rsid w:val="006B087B"/>
    <w:rsid w:val="006B1320"/>
    <w:rsid w:val="006B1A56"/>
    <w:rsid w:val="006B2101"/>
    <w:rsid w:val="006B2395"/>
    <w:rsid w:val="006B2A67"/>
    <w:rsid w:val="006B3C50"/>
    <w:rsid w:val="006B568E"/>
    <w:rsid w:val="006B66A9"/>
    <w:rsid w:val="006B769C"/>
    <w:rsid w:val="006B7A11"/>
    <w:rsid w:val="006B7F9F"/>
    <w:rsid w:val="006C0D0D"/>
    <w:rsid w:val="006C1FF6"/>
    <w:rsid w:val="006C241A"/>
    <w:rsid w:val="006C3E63"/>
    <w:rsid w:val="006C507E"/>
    <w:rsid w:val="006C6558"/>
    <w:rsid w:val="006C6A9D"/>
    <w:rsid w:val="006C6BFE"/>
    <w:rsid w:val="006C7D43"/>
    <w:rsid w:val="006C7D82"/>
    <w:rsid w:val="006D0923"/>
    <w:rsid w:val="006D260D"/>
    <w:rsid w:val="006D3F21"/>
    <w:rsid w:val="006D42DD"/>
    <w:rsid w:val="006D4932"/>
    <w:rsid w:val="006D6887"/>
    <w:rsid w:val="006D70F0"/>
    <w:rsid w:val="006E09EF"/>
    <w:rsid w:val="006E2297"/>
    <w:rsid w:val="006E243F"/>
    <w:rsid w:val="006E3BB7"/>
    <w:rsid w:val="006E4481"/>
    <w:rsid w:val="006E4A91"/>
    <w:rsid w:val="006E70D2"/>
    <w:rsid w:val="006E7343"/>
    <w:rsid w:val="006F07A6"/>
    <w:rsid w:val="006F0EB6"/>
    <w:rsid w:val="006F23B8"/>
    <w:rsid w:val="006F4FCF"/>
    <w:rsid w:val="006F5293"/>
    <w:rsid w:val="00701A0C"/>
    <w:rsid w:val="00702520"/>
    <w:rsid w:val="007045AA"/>
    <w:rsid w:val="00704E79"/>
    <w:rsid w:val="00707238"/>
    <w:rsid w:val="0070764F"/>
    <w:rsid w:val="00711A10"/>
    <w:rsid w:val="00712318"/>
    <w:rsid w:val="00712C81"/>
    <w:rsid w:val="00712DD4"/>
    <w:rsid w:val="00713D7C"/>
    <w:rsid w:val="007147C4"/>
    <w:rsid w:val="00716508"/>
    <w:rsid w:val="00716E57"/>
    <w:rsid w:val="0072004A"/>
    <w:rsid w:val="00720DDF"/>
    <w:rsid w:val="00722B06"/>
    <w:rsid w:val="00724BFB"/>
    <w:rsid w:val="0072677F"/>
    <w:rsid w:val="007267A9"/>
    <w:rsid w:val="007308FE"/>
    <w:rsid w:val="007340F3"/>
    <w:rsid w:val="00734659"/>
    <w:rsid w:val="00734B2C"/>
    <w:rsid w:val="00734EB8"/>
    <w:rsid w:val="0073590C"/>
    <w:rsid w:val="00735C2D"/>
    <w:rsid w:val="00736FD2"/>
    <w:rsid w:val="00740E73"/>
    <w:rsid w:val="0074216D"/>
    <w:rsid w:val="007431FC"/>
    <w:rsid w:val="00743676"/>
    <w:rsid w:val="00743EDE"/>
    <w:rsid w:val="0074584F"/>
    <w:rsid w:val="0074697A"/>
    <w:rsid w:val="0074770A"/>
    <w:rsid w:val="00747F65"/>
    <w:rsid w:val="00752515"/>
    <w:rsid w:val="00753EE0"/>
    <w:rsid w:val="0075540B"/>
    <w:rsid w:val="00760491"/>
    <w:rsid w:val="00760AA5"/>
    <w:rsid w:val="00761293"/>
    <w:rsid w:val="00761490"/>
    <w:rsid w:val="00761CE6"/>
    <w:rsid w:val="00762FB9"/>
    <w:rsid w:val="00764873"/>
    <w:rsid w:val="00765DA5"/>
    <w:rsid w:val="0076613B"/>
    <w:rsid w:val="00767502"/>
    <w:rsid w:val="00767722"/>
    <w:rsid w:val="007704C1"/>
    <w:rsid w:val="007709B0"/>
    <w:rsid w:val="00770A87"/>
    <w:rsid w:val="00770FA0"/>
    <w:rsid w:val="0077274A"/>
    <w:rsid w:val="00775586"/>
    <w:rsid w:val="007757B8"/>
    <w:rsid w:val="007812E5"/>
    <w:rsid w:val="00781473"/>
    <w:rsid w:val="007814F5"/>
    <w:rsid w:val="00781990"/>
    <w:rsid w:val="00781BAA"/>
    <w:rsid w:val="00783FDC"/>
    <w:rsid w:val="0078438A"/>
    <w:rsid w:val="00784411"/>
    <w:rsid w:val="00785BF0"/>
    <w:rsid w:val="0078633F"/>
    <w:rsid w:val="00791B8B"/>
    <w:rsid w:val="0079213D"/>
    <w:rsid w:val="00792339"/>
    <w:rsid w:val="00794C1D"/>
    <w:rsid w:val="0079578C"/>
    <w:rsid w:val="00796F79"/>
    <w:rsid w:val="007A4092"/>
    <w:rsid w:val="007A45D1"/>
    <w:rsid w:val="007A6455"/>
    <w:rsid w:val="007A73F2"/>
    <w:rsid w:val="007A7603"/>
    <w:rsid w:val="007B146B"/>
    <w:rsid w:val="007B182D"/>
    <w:rsid w:val="007B1ACE"/>
    <w:rsid w:val="007B1C84"/>
    <w:rsid w:val="007B23BC"/>
    <w:rsid w:val="007B2915"/>
    <w:rsid w:val="007B431E"/>
    <w:rsid w:val="007B4398"/>
    <w:rsid w:val="007B5FBC"/>
    <w:rsid w:val="007B604B"/>
    <w:rsid w:val="007B6C3B"/>
    <w:rsid w:val="007B6D79"/>
    <w:rsid w:val="007C0813"/>
    <w:rsid w:val="007C170B"/>
    <w:rsid w:val="007C2353"/>
    <w:rsid w:val="007C3D03"/>
    <w:rsid w:val="007C4EB4"/>
    <w:rsid w:val="007C5C9D"/>
    <w:rsid w:val="007D3665"/>
    <w:rsid w:val="007D72A7"/>
    <w:rsid w:val="007E132B"/>
    <w:rsid w:val="007E1FE9"/>
    <w:rsid w:val="007E39A8"/>
    <w:rsid w:val="007E3F76"/>
    <w:rsid w:val="007E409D"/>
    <w:rsid w:val="007E475A"/>
    <w:rsid w:val="007E499E"/>
    <w:rsid w:val="007E4AA5"/>
    <w:rsid w:val="007E5799"/>
    <w:rsid w:val="007F15DD"/>
    <w:rsid w:val="007F2079"/>
    <w:rsid w:val="007F2478"/>
    <w:rsid w:val="007F2BB8"/>
    <w:rsid w:val="007F5125"/>
    <w:rsid w:val="007F7311"/>
    <w:rsid w:val="008001F9"/>
    <w:rsid w:val="00800944"/>
    <w:rsid w:val="008010C4"/>
    <w:rsid w:val="008022EE"/>
    <w:rsid w:val="00802BFD"/>
    <w:rsid w:val="00802D89"/>
    <w:rsid w:val="00802FD5"/>
    <w:rsid w:val="00803616"/>
    <w:rsid w:val="00803B6A"/>
    <w:rsid w:val="00804687"/>
    <w:rsid w:val="00804F67"/>
    <w:rsid w:val="00805466"/>
    <w:rsid w:val="0080645A"/>
    <w:rsid w:val="00806BF4"/>
    <w:rsid w:val="008074CE"/>
    <w:rsid w:val="00807A76"/>
    <w:rsid w:val="00807AB6"/>
    <w:rsid w:val="00807D3F"/>
    <w:rsid w:val="00810C89"/>
    <w:rsid w:val="0081185C"/>
    <w:rsid w:val="00812330"/>
    <w:rsid w:val="00812FFE"/>
    <w:rsid w:val="00814AAB"/>
    <w:rsid w:val="008215FF"/>
    <w:rsid w:val="008219CC"/>
    <w:rsid w:val="00822788"/>
    <w:rsid w:val="00823894"/>
    <w:rsid w:val="00823DEA"/>
    <w:rsid w:val="00823ED3"/>
    <w:rsid w:val="008259D7"/>
    <w:rsid w:val="008269CC"/>
    <w:rsid w:val="00826D22"/>
    <w:rsid w:val="00827AA1"/>
    <w:rsid w:val="0083064D"/>
    <w:rsid w:val="00830D6D"/>
    <w:rsid w:val="00832400"/>
    <w:rsid w:val="008331D0"/>
    <w:rsid w:val="008335B8"/>
    <w:rsid w:val="00833D4B"/>
    <w:rsid w:val="00833F59"/>
    <w:rsid w:val="0083432A"/>
    <w:rsid w:val="00834736"/>
    <w:rsid w:val="00835DEB"/>
    <w:rsid w:val="008368FC"/>
    <w:rsid w:val="00836C2D"/>
    <w:rsid w:val="00836E60"/>
    <w:rsid w:val="00837950"/>
    <w:rsid w:val="008405A6"/>
    <w:rsid w:val="0084372E"/>
    <w:rsid w:val="00843C3E"/>
    <w:rsid w:val="00843CA8"/>
    <w:rsid w:val="0084731C"/>
    <w:rsid w:val="00850522"/>
    <w:rsid w:val="00850C93"/>
    <w:rsid w:val="00850D46"/>
    <w:rsid w:val="008515FD"/>
    <w:rsid w:val="008524BC"/>
    <w:rsid w:val="00854EED"/>
    <w:rsid w:val="00855EC2"/>
    <w:rsid w:val="00856DC2"/>
    <w:rsid w:val="00861C6E"/>
    <w:rsid w:val="008629B6"/>
    <w:rsid w:val="00862AC7"/>
    <w:rsid w:val="00863BC9"/>
    <w:rsid w:val="00863BD7"/>
    <w:rsid w:val="00864DE7"/>
    <w:rsid w:val="0086572E"/>
    <w:rsid w:val="00867B66"/>
    <w:rsid w:val="00867DE1"/>
    <w:rsid w:val="00871049"/>
    <w:rsid w:val="00871C01"/>
    <w:rsid w:val="00873400"/>
    <w:rsid w:val="00873551"/>
    <w:rsid w:val="00873EF0"/>
    <w:rsid w:val="00875DFB"/>
    <w:rsid w:val="00876BCC"/>
    <w:rsid w:val="00877C61"/>
    <w:rsid w:val="008801D2"/>
    <w:rsid w:val="008814B4"/>
    <w:rsid w:val="008814B7"/>
    <w:rsid w:val="0088228A"/>
    <w:rsid w:val="0088236D"/>
    <w:rsid w:val="00884D30"/>
    <w:rsid w:val="008858AB"/>
    <w:rsid w:val="00885F6B"/>
    <w:rsid w:val="00890C65"/>
    <w:rsid w:val="008913AB"/>
    <w:rsid w:val="00894F9D"/>
    <w:rsid w:val="00896B3F"/>
    <w:rsid w:val="008A097D"/>
    <w:rsid w:val="008A1AA2"/>
    <w:rsid w:val="008A2669"/>
    <w:rsid w:val="008A3EE8"/>
    <w:rsid w:val="008A6EF1"/>
    <w:rsid w:val="008A6F85"/>
    <w:rsid w:val="008A735E"/>
    <w:rsid w:val="008A7D15"/>
    <w:rsid w:val="008B0242"/>
    <w:rsid w:val="008B2687"/>
    <w:rsid w:val="008B2829"/>
    <w:rsid w:val="008B4BC5"/>
    <w:rsid w:val="008B4CC6"/>
    <w:rsid w:val="008B739F"/>
    <w:rsid w:val="008B78FC"/>
    <w:rsid w:val="008B7C64"/>
    <w:rsid w:val="008C1362"/>
    <w:rsid w:val="008C18D1"/>
    <w:rsid w:val="008C2BDA"/>
    <w:rsid w:val="008C3F70"/>
    <w:rsid w:val="008C43FF"/>
    <w:rsid w:val="008C47D9"/>
    <w:rsid w:val="008C5926"/>
    <w:rsid w:val="008C6314"/>
    <w:rsid w:val="008C7826"/>
    <w:rsid w:val="008C7CB9"/>
    <w:rsid w:val="008D33B4"/>
    <w:rsid w:val="008D35F4"/>
    <w:rsid w:val="008D45AD"/>
    <w:rsid w:val="008D4A25"/>
    <w:rsid w:val="008D4DC7"/>
    <w:rsid w:val="008D5C56"/>
    <w:rsid w:val="008D650B"/>
    <w:rsid w:val="008D74F3"/>
    <w:rsid w:val="008D79FC"/>
    <w:rsid w:val="008E2013"/>
    <w:rsid w:val="008E22D7"/>
    <w:rsid w:val="008E257A"/>
    <w:rsid w:val="008E6D12"/>
    <w:rsid w:val="008F0C05"/>
    <w:rsid w:val="008F1432"/>
    <w:rsid w:val="008F1BFB"/>
    <w:rsid w:val="008F2268"/>
    <w:rsid w:val="008F4460"/>
    <w:rsid w:val="008F6E40"/>
    <w:rsid w:val="008F72FB"/>
    <w:rsid w:val="008F73BE"/>
    <w:rsid w:val="008F7A0B"/>
    <w:rsid w:val="00902686"/>
    <w:rsid w:val="009027D6"/>
    <w:rsid w:val="00902FF2"/>
    <w:rsid w:val="0090345C"/>
    <w:rsid w:val="0090599E"/>
    <w:rsid w:val="0091073E"/>
    <w:rsid w:val="0091087B"/>
    <w:rsid w:val="00911293"/>
    <w:rsid w:val="00912008"/>
    <w:rsid w:val="00912276"/>
    <w:rsid w:val="00914E52"/>
    <w:rsid w:val="00914F01"/>
    <w:rsid w:val="00914F70"/>
    <w:rsid w:val="0091634E"/>
    <w:rsid w:val="00917D70"/>
    <w:rsid w:val="00922D92"/>
    <w:rsid w:val="00922FA6"/>
    <w:rsid w:val="0092337A"/>
    <w:rsid w:val="00923A6F"/>
    <w:rsid w:val="0092411A"/>
    <w:rsid w:val="009242E9"/>
    <w:rsid w:val="00925940"/>
    <w:rsid w:val="00926399"/>
    <w:rsid w:val="0093044B"/>
    <w:rsid w:val="00930478"/>
    <w:rsid w:val="00930D9A"/>
    <w:rsid w:val="00930FAF"/>
    <w:rsid w:val="00931421"/>
    <w:rsid w:val="00931CFF"/>
    <w:rsid w:val="00933E88"/>
    <w:rsid w:val="0093513E"/>
    <w:rsid w:val="009369FF"/>
    <w:rsid w:val="00937732"/>
    <w:rsid w:val="00942D67"/>
    <w:rsid w:val="009439B1"/>
    <w:rsid w:val="00943A21"/>
    <w:rsid w:val="00943DEC"/>
    <w:rsid w:val="00943EF7"/>
    <w:rsid w:val="009441CF"/>
    <w:rsid w:val="00946883"/>
    <w:rsid w:val="00951AB6"/>
    <w:rsid w:val="00951C01"/>
    <w:rsid w:val="00951E60"/>
    <w:rsid w:val="009528BB"/>
    <w:rsid w:val="009533F9"/>
    <w:rsid w:val="0095355E"/>
    <w:rsid w:val="00953627"/>
    <w:rsid w:val="00953A49"/>
    <w:rsid w:val="0095415D"/>
    <w:rsid w:val="00954D55"/>
    <w:rsid w:val="00955644"/>
    <w:rsid w:val="00956633"/>
    <w:rsid w:val="00956662"/>
    <w:rsid w:val="00960BC9"/>
    <w:rsid w:val="00962F5B"/>
    <w:rsid w:val="00963DBF"/>
    <w:rsid w:val="009647C9"/>
    <w:rsid w:val="0097062A"/>
    <w:rsid w:val="00971883"/>
    <w:rsid w:val="00971A4A"/>
    <w:rsid w:val="00971B58"/>
    <w:rsid w:val="009727AF"/>
    <w:rsid w:val="0097456E"/>
    <w:rsid w:val="009761A5"/>
    <w:rsid w:val="009802E3"/>
    <w:rsid w:val="00981E7B"/>
    <w:rsid w:val="00984752"/>
    <w:rsid w:val="00985128"/>
    <w:rsid w:val="00986740"/>
    <w:rsid w:val="00991435"/>
    <w:rsid w:val="00992340"/>
    <w:rsid w:val="00992991"/>
    <w:rsid w:val="009954BE"/>
    <w:rsid w:val="0099571B"/>
    <w:rsid w:val="00995D2E"/>
    <w:rsid w:val="009961EE"/>
    <w:rsid w:val="009962C4"/>
    <w:rsid w:val="00996B07"/>
    <w:rsid w:val="009A02E6"/>
    <w:rsid w:val="009A0D1D"/>
    <w:rsid w:val="009A0EB2"/>
    <w:rsid w:val="009A106E"/>
    <w:rsid w:val="009A1419"/>
    <w:rsid w:val="009A20B6"/>
    <w:rsid w:val="009A297F"/>
    <w:rsid w:val="009A38AC"/>
    <w:rsid w:val="009A3AEE"/>
    <w:rsid w:val="009A4839"/>
    <w:rsid w:val="009A6EDB"/>
    <w:rsid w:val="009B0564"/>
    <w:rsid w:val="009B1CF9"/>
    <w:rsid w:val="009B2B5E"/>
    <w:rsid w:val="009B499F"/>
    <w:rsid w:val="009B62F1"/>
    <w:rsid w:val="009B6F11"/>
    <w:rsid w:val="009B7259"/>
    <w:rsid w:val="009C178C"/>
    <w:rsid w:val="009C25C6"/>
    <w:rsid w:val="009C294B"/>
    <w:rsid w:val="009C68E1"/>
    <w:rsid w:val="009C7011"/>
    <w:rsid w:val="009C74A1"/>
    <w:rsid w:val="009D02C9"/>
    <w:rsid w:val="009D03ED"/>
    <w:rsid w:val="009D1AC1"/>
    <w:rsid w:val="009D3CE9"/>
    <w:rsid w:val="009D41A6"/>
    <w:rsid w:val="009D5B7B"/>
    <w:rsid w:val="009D623A"/>
    <w:rsid w:val="009D62D2"/>
    <w:rsid w:val="009D6EF0"/>
    <w:rsid w:val="009D7998"/>
    <w:rsid w:val="009E0303"/>
    <w:rsid w:val="009E2764"/>
    <w:rsid w:val="009E45A9"/>
    <w:rsid w:val="009E4740"/>
    <w:rsid w:val="009E52C1"/>
    <w:rsid w:val="009E5437"/>
    <w:rsid w:val="009E568A"/>
    <w:rsid w:val="009E6264"/>
    <w:rsid w:val="009E63D5"/>
    <w:rsid w:val="009F01ED"/>
    <w:rsid w:val="009F04E9"/>
    <w:rsid w:val="009F05C0"/>
    <w:rsid w:val="009F0D4D"/>
    <w:rsid w:val="009F2133"/>
    <w:rsid w:val="009F5712"/>
    <w:rsid w:val="009F67EF"/>
    <w:rsid w:val="009F69B1"/>
    <w:rsid w:val="009F72FD"/>
    <w:rsid w:val="009F78D1"/>
    <w:rsid w:val="009F7DBF"/>
    <w:rsid w:val="009F7DCF"/>
    <w:rsid w:val="00A05235"/>
    <w:rsid w:val="00A062BB"/>
    <w:rsid w:val="00A0636B"/>
    <w:rsid w:val="00A07B8B"/>
    <w:rsid w:val="00A07EA2"/>
    <w:rsid w:val="00A10063"/>
    <w:rsid w:val="00A10EEB"/>
    <w:rsid w:val="00A149EB"/>
    <w:rsid w:val="00A15279"/>
    <w:rsid w:val="00A165BD"/>
    <w:rsid w:val="00A22280"/>
    <w:rsid w:val="00A2371A"/>
    <w:rsid w:val="00A23E4E"/>
    <w:rsid w:val="00A24801"/>
    <w:rsid w:val="00A24CF7"/>
    <w:rsid w:val="00A26055"/>
    <w:rsid w:val="00A26555"/>
    <w:rsid w:val="00A30963"/>
    <w:rsid w:val="00A3266F"/>
    <w:rsid w:val="00A32E88"/>
    <w:rsid w:val="00A35644"/>
    <w:rsid w:val="00A369C6"/>
    <w:rsid w:val="00A372FE"/>
    <w:rsid w:val="00A37E80"/>
    <w:rsid w:val="00A40112"/>
    <w:rsid w:val="00A41563"/>
    <w:rsid w:val="00A416A4"/>
    <w:rsid w:val="00A44C23"/>
    <w:rsid w:val="00A468FD"/>
    <w:rsid w:val="00A4745D"/>
    <w:rsid w:val="00A5096B"/>
    <w:rsid w:val="00A51DAB"/>
    <w:rsid w:val="00A53632"/>
    <w:rsid w:val="00A560D7"/>
    <w:rsid w:val="00A56C1F"/>
    <w:rsid w:val="00A6010F"/>
    <w:rsid w:val="00A6096D"/>
    <w:rsid w:val="00A60D4F"/>
    <w:rsid w:val="00A61CA6"/>
    <w:rsid w:val="00A61D7F"/>
    <w:rsid w:val="00A63A9C"/>
    <w:rsid w:val="00A642F9"/>
    <w:rsid w:val="00A66494"/>
    <w:rsid w:val="00A66A67"/>
    <w:rsid w:val="00A6789A"/>
    <w:rsid w:val="00A70927"/>
    <w:rsid w:val="00A71C14"/>
    <w:rsid w:val="00A71D68"/>
    <w:rsid w:val="00A71DFA"/>
    <w:rsid w:val="00A71E9F"/>
    <w:rsid w:val="00A749C5"/>
    <w:rsid w:val="00A810CB"/>
    <w:rsid w:val="00A81BB7"/>
    <w:rsid w:val="00A82721"/>
    <w:rsid w:val="00A83092"/>
    <w:rsid w:val="00A836D1"/>
    <w:rsid w:val="00A85291"/>
    <w:rsid w:val="00A8631A"/>
    <w:rsid w:val="00A867E8"/>
    <w:rsid w:val="00A943A4"/>
    <w:rsid w:val="00A94474"/>
    <w:rsid w:val="00A95829"/>
    <w:rsid w:val="00A9732B"/>
    <w:rsid w:val="00AA0555"/>
    <w:rsid w:val="00AA0A44"/>
    <w:rsid w:val="00AA1C90"/>
    <w:rsid w:val="00AA38F4"/>
    <w:rsid w:val="00AA41C1"/>
    <w:rsid w:val="00AA75DC"/>
    <w:rsid w:val="00AA7E91"/>
    <w:rsid w:val="00AB0B29"/>
    <w:rsid w:val="00AB222D"/>
    <w:rsid w:val="00AB3B28"/>
    <w:rsid w:val="00AB579D"/>
    <w:rsid w:val="00AB638A"/>
    <w:rsid w:val="00AB7282"/>
    <w:rsid w:val="00AC0CF2"/>
    <w:rsid w:val="00AC122D"/>
    <w:rsid w:val="00AC202B"/>
    <w:rsid w:val="00AC41E7"/>
    <w:rsid w:val="00AC4B74"/>
    <w:rsid w:val="00AC58AE"/>
    <w:rsid w:val="00AC5AE6"/>
    <w:rsid w:val="00AC5BA7"/>
    <w:rsid w:val="00AC7017"/>
    <w:rsid w:val="00AC7A06"/>
    <w:rsid w:val="00AD0C77"/>
    <w:rsid w:val="00AD1C0A"/>
    <w:rsid w:val="00AD1E13"/>
    <w:rsid w:val="00AD593C"/>
    <w:rsid w:val="00AD7258"/>
    <w:rsid w:val="00AD77E5"/>
    <w:rsid w:val="00AE0377"/>
    <w:rsid w:val="00AE385F"/>
    <w:rsid w:val="00AE40E9"/>
    <w:rsid w:val="00AE474A"/>
    <w:rsid w:val="00AE4CB5"/>
    <w:rsid w:val="00AE5D62"/>
    <w:rsid w:val="00AE6932"/>
    <w:rsid w:val="00AE73A1"/>
    <w:rsid w:val="00AF086C"/>
    <w:rsid w:val="00AF1100"/>
    <w:rsid w:val="00AF197E"/>
    <w:rsid w:val="00AF2D6E"/>
    <w:rsid w:val="00AF774E"/>
    <w:rsid w:val="00B01029"/>
    <w:rsid w:val="00B010F7"/>
    <w:rsid w:val="00B01765"/>
    <w:rsid w:val="00B01AF9"/>
    <w:rsid w:val="00B01B01"/>
    <w:rsid w:val="00B054BC"/>
    <w:rsid w:val="00B0664F"/>
    <w:rsid w:val="00B06948"/>
    <w:rsid w:val="00B077AD"/>
    <w:rsid w:val="00B11374"/>
    <w:rsid w:val="00B113BA"/>
    <w:rsid w:val="00B11826"/>
    <w:rsid w:val="00B11E9F"/>
    <w:rsid w:val="00B11F06"/>
    <w:rsid w:val="00B17D1F"/>
    <w:rsid w:val="00B2030A"/>
    <w:rsid w:val="00B2072B"/>
    <w:rsid w:val="00B20A74"/>
    <w:rsid w:val="00B21533"/>
    <w:rsid w:val="00B21540"/>
    <w:rsid w:val="00B2180A"/>
    <w:rsid w:val="00B21E8D"/>
    <w:rsid w:val="00B26D0F"/>
    <w:rsid w:val="00B27BED"/>
    <w:rsid w:val="00B31362"/>
    <w:rsid w:val="00B332BF"/>
    <w:rsid w:val="00B34081"/>
    <w:rsid w:val="00B34899"/>
    <w:rsid w:val="00B36172"/>
    <w:rsid w:val="00B37633"/>
    <w:rsid w:val="00B37DB2"/>
    <w:rsid w:val="00B37FAB"/>
    <w:rsid w:val="00B40C13"/>
    <w:rsid w:val="00B411D6"/>
    <w:rsid w:val="00B413B2"/>
    <w:rsid w:val="00B423FB"/>
    <w:rsid w:val="00B44841"/>
    <w:rsid w:val="00B44E36"/>
    <w:rsid w:val="00B469CA"/>
    <w:rsid w:val="00B47055"/>
    <w:rsid w:val="00B523DE"/>
    <w:rsid w:val="00B53A6A"/>
    <w:rsid w:val="00B540C0"/>
    <w:rsid w:val="00B55C05"/>
    <w:rsid w:val="00B55CE9"/>
    <w:rsid w:val="00B563CA"/>
    <w:rsid w:val="00B56DE4"/>
    <w:rsid w:val="00B60AD6"/>
    <w:rsid w:val="00B6140B"/>
    <w:rsid w:val="00B61E81"/>
    <w:rsid w:val="00B64178"/>
    <w:rsid w:val="00B66FBF"/>
    <w:rsid w:val="00B67C05"/>
    <w:rsid w:val="00B70BB6"/>
    <w:rsid w:val="00B711DC"/>
    <w:rsid w:val="00B71A15"/>
    <w:rsid w:val="00B75251"/>
    <w:rsid w:val="00B77B3D"/>
    <w:rsid w:val="00B803D9"/>
    <w:rsid w:val="00B81A1F"/>
    <w:rsid w:val="00B81CA1"/>
    <w:rsid w:val="00B829F6"/>
    <w:rsid w:val="00B83475"/>
    <w:rsid w:val="00B84B24"/>
    <w:rsid w:val="00B855C1"/>
    <w:rsid w:val="00B8729C"/>
    <w:rsid w:val="00B87A06"/>
    <w:rsid w:val="00B9035A"/>
    <w:rsid w:val="00B931B3"/>
    <w:rsid w:val="00B94846"/>
    <w:rsid w:val="00B9544A"/>
    <w:rsid w:val="00B964DD"/>
    <w:rsid w:val="00B96DB3"/>
    <w:rsid w:val="00BA1965"/>
    <w:rsid w:val="00BA2A8A"/>
    <w:rsid w:val="00BA3B85"/>
    <w:rsid w:val="00BA6421"/>
    <w:rsid w:val="00BA648E"/>
    <w:rsid w:val="00BA7D7D"/>
    <w:rsid w:val="00BB0856"/>
    <w:rsid w:val="00BB0B03"/>
    <w:rsid w:val="00BB1044"/>
    <w:rsid w:val="00BB1656"/>
    <w:rsid w:val="00BB1EA7"/>
    <w:rsid w:val="00BB23BD"/>
    <w:rsid w:val="00BB3117"/>
    <w:rsid w:val="00BB3288"/>
    <w:rsid w:val="00BB37D5"/>
    <w:rsid w:val="00BB3A00"/>
    <w:rsid w:val="00BB3DF3"/>
    <w:rsid w:val="00BC05C5"/>
    <w:rsid w:val="00BC075E"/>
    <w:rsid w:val="00BC183B"/>
    <w:rsid w:val="00BC256C"/>
    <w:rsid w:val="00BC2C72"/>
    <w:rsid w:val="00BC4DF0"/>
    <w:rsid w:val="00BC67A4"/>
    <w:rsid w:val="00BD0B72"/>
    <w:rsid w:val="00BD2051"/>
    <w:rsid w:val="00BD3047"/>
    <w:rsid w:val="00BD4F5F"/>
    <w:rsid w:val="00BD5181"/>
    <w:rsid w:val="00BE03F8"/>
    <w:rsid w:val="00BE09A1"/>
    <w:rsid w:val="00BE1E59"/>
    <w:rsid w:val="00BE48E6"/>
    <w:rsid w:val="00BE4D21"/>
    <w:rsid w:val="00BE521C"/>
    <w:rsid w:val="00BE544D"/>
    <w:rsid w:val="00BE74BC"/>
    <w:rsid w:val="00BF10D1"/>
    <w:rsid w:val="00BF338F"/>
    <w:rsid w:val="00BF3438"/>
    <w:rsid w:val="00BF511B"/>
    <w:rsid w:val="00BF595A"/>
    <w:rsid w:val="00BF5DEF"/>
    <w:rsid w:val="00BF6D9F"/>
    <w:rsid w:val="00BF7775"/>
    <w:rsid w:val="00BF7776"/>
    <w:rsid w:val="00C003A7"/>
    <w:rsid w:val="00C01F59"/>
    <w:rsid w:val="00C02009"/>
    <w:rsid w:val="00C03B6E"/>
    <w:rsid w:val="00C0481C"/>
    <w:rsid w:val="00C04E8F"/>
    <w:rsid w:val="00C0710D"/>
    <w:rsid w:val="00C072D4"/>
    <w:rsid w:val="00C07898"/>
    <w:rsid w:val="00C078E8"/>
    <w:rsid w:val="00C11810"/>
    <w:rsid w:val="00C13157"/>
    <w:rsid w:val="00C13403"/>
    <w:rsid w:val="00C13FD3"/>
    <w:rsid w:val="00C14601"/>
    <w:rsid w:val="00C1584B"/>
    <w:rsid w:val="00C16199"/>
    <w:rsid w:val="00C162D8"/>
    <w:rsid w:val="00C16827"/>
    <w:rsid w:val="00C16DE5"/>
    <w:rsid w:val="00C21355"/>
    <w:rsid w:val="00C224B9"/>
    <w:rsid w:val="00C23506"/>
    <w:rsid w:val="00C23C12"/>
    <w:rsid w:val="00C23E1F"/>
    <w:rsid w:val="00C245A0"/>
    <w:rsid w:val="00C2472B"/>
    <w:rsid w:val="00C2474A"/>
    <w:rsid w:val="00C2531B"/>
    <w:rsid w:val="00C262BF"/>
    <w:rsid w:val="00C268FE"/>
    <w:rsid w:val="00C26BC4"/>
    <w:rsid w:val="00C2705D"/>
    <w:rsid w:val="00C32154"/>
    <w:rsid w:val="00C32BA7"/>
    <w:rsid w:val="00C33D68"/>
    <w:rsid w:val="00C33FB9"/>
    <w:rsid w:val="00C346EA"/>
    <w:rsid w:val="00C34AF3"/>
    <w:rsid w:val="00C4028B"/>
    <w:rsid w:val="00C40A29"/>
    <w:rsid w:val="00C41379"/>
    <w:rsid w:val="00C43375"/>
    <w:rsid w:val="00C44723"/>
    <w:rsid w:val="00C447A9"/>
    <w:rsid w:val="00C47242"/>
    <w:rsid w:val="00C51EF6"/>
    <w:rsid w:val="00C53144"/>
    <w:rsid w:val="00C53189"/>
    <w:rsid w:val="00C536C4"/>
    <w:rsid w:val="00C547E2"/>
    <w:rsid w:val="00C56E4B"/>
    <w:rsid w:val="00C574FE"/>
    <w:rsid w:val="00C57A69"/>
    <w:rsid w:val="00C606DC"/>
    <w:rsid w:val="00C61A3D"/>
    <w:rsid w:val="00C61DD5"/>
    <w:rsid w:val="00C61DE1"/>
    <w:rsid w:val="00C625A5"/>
    <w:rsid w:val="00C62964"/>
    <w:rsid w:val="00C63489"/>
    <w:rsid w:val="00C63B03"/>
    <w:rsid w:val="00C63DF2"/>
    <w:rsid w:val="00C6587F"/>
    <w:rsid w:val="00C66F87"/>
    <w:rsid w:val="00C70275"/>
    <w:rsid w:val="00C7176D"/>
    <w:rsid w:val="00C7279D"/>
    <w:rsid w:val="00C72F73"/>
    <w:rsid w:val="00C73849"/>
    <w:rsid w:val="00C74B51"/>
    <w:rsid w:val="00C74D9C"/>
    <w:rsid w:val="00C750FE"/>
    <w:rsid w:val="00C757E5"/>
    <w:rsid w:val="00C77E27"/>
    <w:rsid w:val="00C802FD"/>
    <w:rsid w:val="00C80578"/>
    <w:rsid w:val="00C82037"/>
    <w:rsid w:val="00C82C97"/>
    <w:rsid w:val="00C831E4"/>
    <w:rsid w:val="00C83809"/>
    <w:rsid w:val="00C84151"/>
    <w:rsid w:val="00C849A0"/>
    <w:rsid w:val="00C8681C"/>
    <w:rsid w:val="00C87428"/>
    <w:rsid w:val="00C90A47"/>
    <w:rsid w:val="00C9202C"/>
    <w:rsid w:val="00C925B4"/>
    <w:rsid w:val="00C92ED6"/>
    <w:rsid w:val="00C935BC"/>
    <w:rsid w:val="00C97590"/>
    <w:rsid w:val="00C97600"/>
    <w:rsid w:val="00C977DE"/>
    <w:rsid w:val="00CA0F5A"/>
    <w:rsid w:val="00CA5D2F"/>
    <w:rsid w:val="00CB0938"/>
    <w:rsid w:val="00CB143F"/>
    <w:rsid w:val="00CB29CA"/>
    <w:rsid w:val="00CB375A"/>
    <w:rsid w:val="00CB3CE4"/>
    <w:rsid w:val="00CB4BC2"/>
    <w:rsid w:val="00CB50C9"/>
    <w:rsid w:val="00CB6D09"/>
    <w:rsid w:val="00CB7A15"/>
    <w:rsid w:val="00CC1E83"/>
    <w:rsid w:val="00CC1EEA"/>
    <w:rsid w:val="00CC23EE"/>
    <w:rsid w:val="00CC2675"/>
    <w:rsid w:val="00CC40DF"/>
    <w:rsid w:val="00CC5813"/>
    <w:rsid w:val="00CC6256"/>
    <w:rsid w:val="00CC6978"/>
    <w:rsid w:val="00CD03F4"/>
    <w:rsid w:val="00CD059F"/>
    <w:rsid w:val="00CD27D6"/>
    <w:rsid w:val="00CD3088"/>
    <w:rsid w:val="00CD329C"/>
    <w:rsid w:val="00CD4EDB"/>
    <w:rsid w:val="00CD5641"/>
    <w:rsid w:val="00CD5A9A"/>
    <w:rsid w:val="00CD79ED"/>
    <w:rsid w:val="00CE095A"/>
    <w:rsid w:val="00CE1910"/>
    <w:rsid w:val="00CE3C45"/>
    <w:rsid w:val="00CE417D"/>
    <w:rsid w:val="00CE5225"/>
    <w:rsid w:val="00CE5E6F"/>
    <w:rsid w:val="00CE74C1"/>
    <w:rsid w:val="00CF2684"/>
    <w:rsid w:val="00CF2AB8"/>
    <w:rsid w:val="00CF2BD8"/>
    <w:rsid w:val="00CF2FA3"/>
    <w:rsid w:val="00CF393A"/>
    <w:rsid w:val="00CF5E09"/>
    <w:rsid w:val="00CF7088"/>
    <w:rsid w:val="00CF7220"/>
    <w:rsid w:val="00CF7423"/>
    <w:rsid w:val="00CF7F7D"/>
    <w:rsid w:val="00D04B81"/>
    <w:rsid w:val="00D0660C"/>
    <w:rsid w:val="00D068E3"/>
    <w:rsid w:val="00D10BA3"/>
    <w:rsid w:val="00D111D0"/>
    <w:rsid w:val="00D13105"/>
    <w:rsid w:val="00D1409A"/>
    <w:rsid w:val="00D1513A"/>
    <w:rsid w:val="00D168E1"/>
    <w:rsid w:val="00D20160"/>
    <w:rsid w:val="00D21415"/>
    <w:rsid w:val="00D21E8C"/>
    <w:rsid w:val="00D22C5E"/>
    <w:rsid w:val="00D22E15"/>
    <w:rsid w:val="00D2596B"/>
    <w:rsid w:val="00D2613E"/>
    <w:rsid w:val="00D261D1"/>
    <w:rsid w:val="00D32E12"/>
    <w:rsid w:val="00D342AE"/>
    <w:rsid w:val="00D353C7"/>
    <w:rsid w:val="00D36EC8"/>
    <w:rsid w:val="00D40E47"/>
    <w:rsid w:val="00D42174"/>
    <w:rsid w:val="00D423E3"/>
    <w:rsid w:val="00D424D1"/>
    <w:rsid w:val="00D42C29"/>
    <w:rsid w:val="00D42EB7"/>
    <w:rsid w:val="00D4365F"/>
    <w:rsid w:val="00D44213"/>
    <w:rsid w:val="00D44332"/>
    <w:rsid w:val="00D443DD"/>
    <w:rsid w:val="00D449C1"/>
    <w:rsid w:val="00D44BE2"/>
    <w:rsid w:val="00D46320"/>
    <w:rsid w:val="00D47056"/>
    <w:rsid w:val="00D50B68"/>
    <w:rsid w:val="00D53152"/>
    <w:rsid w:val="00D54392"/>
    <w:rsid w:val="00D557DD"/>
    <w:rsid w:val="00D55F1B"/>
    <w:rsid w:val="00D60AFE"/>
    <w:rsid w:val="00D61EB4"/>
    <w:rsid w:val="00D648B3"/>
    <w:rsid w:val="00D64C7C"/>
    <w:rsid w:val="00D6677A"/>
    <w:rsid w:val="00D70BFD"/>
    <w:rsid w:val="00D70FEB"/>
    <w:rsid w:val="00D7139A"/>
    <w:rsid w:val="00D71AF9"/>
    <w:rsid w:val="00D739FD"/>
    <w:rsid w:val="00D74C3A"/>
    <w:rsid w:val="00D759F5"/>
    <w:rsid w:val="00D76E5B"/>
    <w:rsid w:val="00D76F43"/>
    <w:rsid w:val="00D770BC"/>
    <w:rsid w:val="00D8329B"/>
    <w:rsid w:val="00D83B05"/>
    <w:rsid w:val="00D85E92"/>
    <w:rsid w:val="00D8674D"/>
    <w:rsid w:val="00D86A28"/>
    <w:rsid w:val="00D86A98"/>
    <w:rsid w:val="00D9053D"/>
    <w:rsid w:val="00D905F5"/>
    <w:rsid w:val="00D93840"/>
    <w:rsid w:val="00D93DAB"/>
    <w:rsid w:val="00D94130"/>
    <w:rsid w:val="00D94E65"/>
    <w:rsid w:val="00D96E44"/>
    <w:rsid w:val="00D96FE5"/>
    <w:rsid w:val="00D97581"/>
    <w:rsid w:val="00DA2305"/>
    <w:rsid w:val="00DA36C6"/>
    <w:rsid w:val="00DB1B2F"/>
    <w:rsid w:val="00DB2512"/>
    <w:rsid w:val="00DB3BAD"/>
    <w:rsid w:val="00DB4035"/>
    <w:rsid w:val="00DB4FE1"/>
    <w:rsid w:val="00DB5841"/>
    <w:rsid w:val="00DB606A"/>
    <w:rsid w:val="00DB645C"/>
    <w:rsid w:val="00DB7DE6"/>
    <w:rsid w:val="00DC103A"/>
    <w:rsid w:val="00DC150F"/>
    <w:rsid w:val="00DC2986"/>
    <w:rsid w:val="00DC40E5"/>
    <w:rsid w:val="00DC420A"/>
    <w:rsid w:val="00DC4328"/>
    <w:rsid w:val="00DC4635"/>
    <w:rsid w:val="00DC4A91"/>
    <w:rsid w:val="00DC55B9"/>
    <w:rsid w:val="00DC5DA9"/>
    <w:rsid w:val="00DD0811"/>
    <w:rsid w:val="00DD0ED2"/>
    <w:rsid w:val="00DE0A31"/>
    <w:rsid w:val="00DE1B91"/>
    <w:rsid w:val="00DE1C74"/>
    <w:rsid w:val="00DE2521"/>
    <w:rsid w:val="00DE6AB3"/>
    <w:rsid w:val="00DE6CC0"/>
    <w:rsid w:val="00DE7007"/>
    <w:rsid w:val="00DF3957"/>
    <w:rsid w:val="00DF3A3B"/>
    <w:rsid w:val="00DF3A5A"/>
    <w:rsid w:val="00DF643F"/>
    <w:rsid w:val="00DF6C7B"/>
    <w:rsid w:val="00DF6D96"/>
    <w:rsid w:val="00E01419"/>
    <w:rsid w:val="00E03A8B"/>
    <w:rsid w:val="00E05734"/>
    <w:rsid w:val="00E06906"/>
    <w:rsid w:val="00E0757D"/>
    <w:rsid w:val="00E10770"/>
    <w:rsid w:val="00E1134D"/>
    <w:rsid w:val="00E12CA3"/>
    <w:rsid w:val="00E12E26"/>
    <w:rsid w:val="00E13914"/>
    <w:rsid w:val="00E13FE4"/>
    <w:rsid w:val="00E15013"/>
    <w:rsid w:val="00E16AE7"/>
    <w:rsid w:val="00E16D20"/>
    <w:rsid w:val="00E177CA"/>
    <w:rsid w:val="00E20CEA"/>
    <w:rsid w:val="00E2525A"/>
    <w:rsid w:val="00E25615"/>
    <w:rsid w:val="00E263F7"/>
    <w:rsid w:val="00E26425"/>
    <w:rsid w:val="00E266B7"/>
    <w:rsid w:val="00E3020E"/>
    <w:rsid w:val="00E31BC3"/>
    <w:rsid w:val="00E32AF8"/>
    <w:rsid w:val="00E33810"/>
    <w:rsid w:val="00E33892"/>
    <w:rsid w:val="00E344A8"/>
    <w:rsid w:val="00E3458F"/>
    <w:rsid w:val="00E34812"/>
    <w:rsid w:val="00E3555A"/>
    <w:rsid w:val="00E35A8B"/>
    <w:rsid w:val="00E35DE4"/>
    <w:rsid w:val="00E374CE"/>
    <w:rsid w:val="00E37F22"/>
    <w:rsid w:val="00E40501"/>
    <w:rsid w:val="00E41508"/>
    <w:rsid w:val="00E437F6"/>
    <w:rsid w:val="00E4431A"/>
    <w:rsid w:val="00E4702E"/>
    <w:rsid w:val="00E50F0D"/>
    <w:rsid w:val="00E51888"/>
    <w:rsid w:val="00E523F6"/>
    <w:rsid w:val="00E52710"/>
    <w:rsid w:val="00E5317E"/>
    <w:rsid w:val="00E53FAA"/>
    <w:rsid w:val="00E55A9C"/>
    <w:rsid w:val="00E6004A"/>
    <w:rsid w:val="00E60177"/>
    <w:rsid w:val="00E60951"/>
    <w:rsid w:val="00E60D59"/>
    <w:rsid w:val="00E6234F"/>
    <w:rsid w:val="00E624CA"/>
    <w:rsid w:val="00E62BDB"/>
    <w:rsid w:val="00E6349F"/>
    <w:rsid w:val="00E648A0"/>
    <w:rsid w:val="00E66246"/>
    <w:rsid w:val="00E66549"/>
    <w:rsid w:val="00E66832"/>
    <w:rsid w:val="00E66C63"/>
    <w:rsid w:val="00E677F6"/>
    <w:rsid w:val="00E7096F"/>
    <w:rsid w:val="00E70F61"/>
    <w:rsid w:val="00E7171A"/>
    <w:rsid w:val="00E72DAF"/>
    <w:rsid w:val="00E73DD5"/>
    <w:rsid w:val="00E75920"/>
    <w:rsid w:val="00E764BB"/>
    <w:rsid w:val="00E77923"/>
    <w:rsid w:val="00E77ED4"/>
    <w:rsid w:val="00E77EEF"/>
    <w:rsid w:val="00E80126"/>
    <w:rsid w:val="00E80237"/>
    <w:rsid w:val="00E80DAF"/>
    <w:rsid w:val="00E81A33"/>
    <w:rsid w:val="00E81D9A"/>
    <w:rsid w:val="00E821A0"/>
    <w:rsid w:val="00E84084"/>
    <w:rsid w:val="00E8487E"/>
    <w:rsid w:val="00E85863"/>
    <w:rsid w:val="00E86230"/>
    <w:rsid w:val="00E86E46"/>
    <w:rsid w:val="00E906BF"/>
    <w:rsid w:val="00E919B1"/>
    <w:rsid w:val="00E9234F"/>
    <w:rsid w:val="00E93740"/>
    <w:rsid w:val="00E95328"/>
    <w:rsid w:val="00E9548B"/>
    <w:rsid w:val="00E961A9"/>
    <w:rsid w:val="00E96814"/>
    <w:rsid w:val="00EA06B8"/>
    <w:rsid w:val="00EA0C01"/>
    <w:rsid w:val="00EA1D51"/>
    <w:rsid w:val="00EA22FD"/>
    <w:rsid w:val="00EA26B3"/>
    <w:rsid w:val="00EA48C2"/>
    <w:rsid w:val="00EA623B"/>
    <w:rsid w:val="00EA6AC7"/>
    <w:rsid w:val="00EA74F1"/>
    <w:rsid w:val="00EA7722"/>
    <w:rsid w:val="00EB155C"/>
    <w:rsid w:val="00EB173E"/>
    <w:rsid w:val="00EB1F69"/>
    <w:rsid w:val="00EB23BC"/>
    <w:rsid w:val="00EB2BA3"/>
    <w:rsid w:val="00EB6DBB"/>
    <w:rsid w:val="00EB7DB3"/>
    <w:rsid w:val="00EC0A1F"/>
    <w:rsid w:val="00EC4674"/>
    <w:rsid w:val="00EC4F15"/>
    <w:rsid w:val="00EC5470"/>
    <w:rsid w:val="00EC5D69"/>
    <w:rsid w:val="00EC6BCC"/>
    <w:rsid w:val="00EC7680"/>
    <w:rsid w:val="00EC7853"/>
    <w:rsid w:val="00ED0554"/>
    <w:rsid w:val="00ED1646"/>
    <w:rsid w:val="00ED1BB4"/>
    <w:rsid w:val="00ED28A2"/>
    <w:rsid w:val="00ED3642"/>
    <w:rsid w:val="00ED54C7"/>
    <w:rsid w:val="00ED69DB"/>
    <w:rsid w:val="00EE0283"/>
    <w:rsid w:val="00EE0573"/>
    <w:rsid w:val="00EE0863"/>
    <w:rsid w:val="00EE223D"/>
    <w:rsid w:val="00EE24CC"/>
    <w:rsid w:val="00EE2583"/>
    <w:rsid w:val="00EE4340"/>
    <w:rsid w:val="00EE455D"/>
    <w:rsid w:val="00EE5376"/>
    <w:rsid w:val="00EE54E1"/>
    <w:rsid w:val="00EE78AC"/>
    <w:rsid w:val="00EE7B8C"/>
    <w:rsid w:val="00EF04A1"/>
    <w:rsid w:val="00EF0C83"/>
    <w:rsid w:val="00EF0C8F"/>
    <w:rsid w:val="00EF1D3C"/>
    <w:rsid w:val="00EF33B6"/>
    <w:rsid w:val="00EF53B2"/>
    <w:rsid w:val="00EF5B7C"/>
    <w:rsid w:val="00EF63EC"/>
    <w:rsid w:val="00EF7A96"/>
    <w:rsid w:val="00F009FB"/>
    <w:rsid w:val="00F00CDC"/>
    <w:rsid w:val="00F013CE"/>
    <w:rsid w:val="00F02086"/>
    <w:rsid w:val="00F02D64"/>
    <w:rsid w:val="00F03F26"/>
    <w:rsid w:val="00F04522"/>
    <w:rsid w:val="00F04C47"/>
    <w:rsid w:val="00F053A6"/>
    <w:rsid w:val="00F05E07"/>
    <w:rsid w:val="00F10BAD"/>
    <w:rsid w:val="00F1594D"/>
    <w:rsid w:val="00F159F4"/>
    <w:rsid w:val="00F16EBD"/>
    <w:rsid w:val="00F17613"/>
    <w:rsid w:val="00F21B5E"/>
    <w:rsid w:val="00F22380"/>
    <w:rsid w:val="00F223CB"/>
    <w:rsid w:val="00F24007"/>
    <w:rsid w:val="00F2428F"/>
    <w:rsid w:val="00F24DEA"/>
    <w:rsid w:val="00F252B9"/>
    <w:rsid w:val="00F25E0A"/>
    <w:rsid w:val="00F2786A"/>
    <w:rsid w:val="00F3176B"/>
    <w:rsid w:val="00F31AF6"/>
    <w:rsid w:val="00F31DDC"/>
    <w:rsid w:val="00F33B80"/>
    <w:rsid w:val="00F345E3"/>
    <w:rsid w:val="00F34FCB"/>
    <w:rsid w:val="00F40B7E"/>
    <w:rsid w:val="00F42475"/>
    <w:rsid w:val="00F431E0"/>
    <w:rsid w:val="00F44210"/>
    <w:rsid w:val="00F44B4B"/>
    <w:rsid w:val="00F4557E"/>
    <w:rsid w:val="00F518EF"/>
    <w:rsid w:val="00F51D62"/>
    <w:rsid w:val="00F53143"/>
    <w:rsid w:val="00F537E9"/>
    <w:rsid w:val="00F548A0"/>
    <w:rsid w:val="00F56621"/>
    <w:rsid w:val="00F576DE"/>
    <w:rsid w:val="00F60893"/>
    <w:rsid w:val="00F619CD"/>
    <w:rsid w:val="00F63D3F"/>
    <w:rsid w:val="00F65298"/>
    <w:rsid w:val="00F657D9"/>
    <w:rsid w:val="00F65B34"/>
    <w:rsid w:val="00F66AEF"/>
    <w:rsid w:val="00F66B61"/>
    <w:rsid w:val="00F6712B"/>
    <w:rsid w:val="00F70408"/>
    <w:rsid w:val="00F71510"/>
    <w:rsid w:val="00F7181C"/>
    <w:rsid w:val="00F72F6F"/>
    <w:rsid w:val="00F75683"/>
    <w:rsid w:val="00F7606E"/>
    <w:rsid w:val="00F76367"/>
    <w:rsid w:val="00F765D4"/>
    <w:rsid w:val="00F76694"/>
    <w:rsid w:val="00F767C3"/>
    <w:rsid w:val="00F76EA4"/>
    <w:rsid w:val="00F77258"/>
    <w:rsid w:val="00F808D7"/>
    <w:rsid w:val="00F824A1"/>
    <w:rsid w:val="00F8323A"/>
    <w:rsid w:val="00F8331F"/>
    <w:rsid w:val="00F8345E"/>
    <w:rsid w:val="00F84BAC"/>
    <w:rsid w:val="00F858FD"/>
    <w:rsid w:val="00F86102"/>
    <w:rsid w:val="00F868A2"/>
    <w:rsid w:val="00F91C7A"/>
    <w:rsid w:val="00F92152"/>
    <w:rsid w:val="00F94FA7"/>
    <w:rsid w:val="00F958EB"/>
    <w:rsid w:val="00F95B66"/>
    <w:rsid w:val="00F961CB"/>
    <w:rsid w:val="00F97A39"/>
    <w:rsid w:val="00FA23D0"/>
    <w:rsid w:val="00FA2A2B"/>
    <w:rsid w:val="00FA30B7"/>
    <w:rsid w:val="00FA4DC8"/>
    <w:rsid w:val="00FA5740"/>
    <w:rsid w:val="00FA5F7F"/>
    <w:rsid w:val="00FA684F"/>
    <w:rsid w:val="00FA761F"/>
    <w:rsid w:val="00FB06D4"/>
    <w:rsid w:val="00FB1811"/>
    <w:rsid w:val="00FB2DD4"/>
    <w:rsid w:val="00FB30B1"/>
    <w:rsid w:val="00FB33DA"/>
    <w:rsid w:val="00FB370A"/>
    <w:rsid w:val="00FB4390"/>
    <w:rsid w:val="00FB4ECA"/>
    <w:rsid w:val="00FB62DC"/>
    <w:rsid w:val="00FB6A9C"/>
    <w:rsid w:val="00FB7F96"/>
    <w:rsid w:val="00FC03B4"/>
    <w:rsid w:val="00FC0CC4"/>
    <w:rsid w:val="00FD1BE6"/>
    <w:rsid w:val="00FD3A47"/>
    <w:rsid w:val="00FD48A1"/>
    <w:rsid w:val="00FD7539"/>
    <w:rsid w:val="00FE0012"/>
    <w:rsid w:val="00FE0295"/>
    <w:rsid w:val="00FE4664"/>
    <w:rsid w:val="00FE4A56"/>
    <w:rsid w:val="00FE51DC"/>
    <w:rsid w:val="00FE5B25"/>
    <w:rsid w:val="00FE77A5"/>
    <w:rsid w:val="00FF0B8E"/>
    <w:rsid w:val="00FF11E1"/>
    <w:rsid w:val="00FF279C"/>
    <w:rsid w:val="00FF3365"/>
    <w:rsid w:val="00FF423E"/>
    <w:rsid w:val="00FF4854"/>
    <w:rsid w:val="00FF49E0"/>
    <w:rsid w:val="00FF61DF"/>
    <w:rsid w:val="00FF7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712C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ECA"/>
    <w:rPr>
      <w:sz w:val="24"/>
      <w:szCs w:val="24"/>
      <w:lang w:val="en-GB" w:eastAsia="en-US"/>
    </w:rPr>
  </w:style>
  <w:style w:type="paragraph" w:styleId="Heading1">
    <w:name w:val="heading 1"/>
    <w:basedOn w:val="Normal"/>
    <w:next w:val="Normal"/>
    <w:qFormat/>
    <w:rsid w:val="00504EA0"/>
    <w:pPr>
      <w:keepNext/>
      <w:spacing w:before="360" w:after="240" w:line="280" w:lineRule="exact"/>
      <w:jc w:val="both"/>
      <w:outlineLvl w:val="0"/>
    </w:pPr>
    <w:rPr>
      <w:rFonts w:ascii="Arial" w:hAnsi="Arial" w:cs="Arial"/>
      <w:b/>
      <w:caps/>
      <w:kern w:val="28"/>
      <w:lang w:val="en-AU"/>
    </w:rPr>
  </w:style>
  <w:style w:type="paragraph" w:styleId="Heading2">
    <w:name w:val="heading 2"/>
    <w:basedOn w:val="Normal"/>
    <w:next w:val="Normal"/>
    <w:link w:val="Heading2Char"/>
    <w:qFormat/>
    <w:rsid w:val="001D1004"/>
    <w:pPr>
      <w:keepNext/>
      <w:spacing w:before="240" w:after="120" w:line="280" w:lineRule="exact"/>
      <w:jc w:val="both"/>
      <w:outlineLvl w:val="1"/>
    </w:pPr>
    <w:rPr>
      <w:b/>
      <w:szCs w:val="20"/>
      <w:lang w:val="en-AU"/>
    </w:rPr>
  </w:style>
  <w:style w:type="paragraph" w:styleId="Heading3">
    <w:name w:val="heading 3"/>
    <w:basedOn w:val="Normal"/>
    <w:next w:val="Normal"/>
    <w:qFormat/>
    <w:rsid w:val="001D1004"/>
    <w:pPr>
      <w:keepNext/>
      <w:jc w:val="both"/>
      <w:outlineLvl w:val="2"/>
    </w:pPr>
    <w:rPr>
      <w:b/>
      <w:bCs/>
      <w:i/>
      <w:iCs/>
    </w:rPr>
  </w:style>
  <w:style w:type="paragraph" w:styleId="Heading4">
    <w:name w:val="heading 4"/>
    <w:basedOn w:val="Normal"/>
    <w:next w:val="Normal"/>
    <w:qFormat/>
    <w:rsid w:val="005B4EB5"/>
    <w:pPr>
      <w:keepNext/>
      <w:ind w:right="45"/>
      <w:outlineLvl w:val="3"/>
    </w:pPr>
    <w:rPr>
      <w:rFonts w:ascii="Arial" w:hAnsi="Arial" w:cs="Arial"/>
      <w:b/>
      <w:bCs/>
      <w: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004"/>
    <w:pPr>
      <w:tabs>
        <w:tab w:val="center" w:pos="4153"/>
        <w:tab w:val="right" w:pos="8306"/>
      </w:tabs>
    </w:pPr>
  </w:style>
  <w:style w:type="character" w:styleId="PageNumber">
    <w:name w:val="page number"/>
    <w:basedOn w:val="DefaultParagraphFont"/>
    <w:rsid w:val="001D1004"/>
  </w:style>
  <w:style w:type="paragraph" w:styleId="BodyText2">
    <w:name w:val="Body Text 2"/>
    <w:basedOn w:val="Normal"/>
    <w:rsid w:val="001D1004"/>
    <w:pPr>
      <w:spacing w:after="240"/>
      <w:jc w:val="both"/>
    </w:pPr>
    <w:rPr>
      <w:b/>
      <w:bCs/>
      <w:szCs w:val="20"/>
      <w:lang w:val="en-AU"/>
    </w:rPr>
  </w:style>
  <w:style w:type="character" w:customStyle="1" w:styleId="Heading2Char">
    <w:name w:val="Heading 2 Char"/>
    <w:link w:val="Heading2"/>
    <w:rsid w:val="001D1004"/>
    <w:rPr>
      <w:b/>
      <w:sz w:val="24"/>
      <w:lang w:val="en-AU" w:eastAsia="en-US" w:bidi="ar-SA"/>
    </w:rPr>
  </w:style>
  <w:style w:type="paragraph" w:customStyle="1" w:styleId="BulletIndent1">
    <w:name w:val="Bullet Indent 1"/>
    <w:basedOn w:val="Normal"/>
    <w:rsid w:val="001D1004"/>
    <w:pPr>
      <w:numPr>
        <w:numId w:val="1"/>
      </w:numPr>
      <w:spacing w:line="260" w:lineRule="exact"/>
    </w:pPr>
    <w:rPr>
      <w:sz w:val="22"/>
      <w:szCs w:val="20"/>
    </w:rPr>
  </w:style>
  <w:style w:type="paragraph" w:customStyle="1" w:styleId="Default">
    <w:name w:val="Default"/>
    <w:rsid w:val="001D1004"/>
    <w:pPr>
      <w:widowControl w:val="0"/>
      <w:autoSpaceDE w:val="0"/>
      <w:autoSpaceDN w:val="0"/>
      <w:adjustRightInd w:val="0"/>
    </w:pPr>
    <w:rPr>
      <w:rFonts w:eastAsia="PMingLiU"/>
      <w:color w:val="000000"/>
      <w:sz w:val="24"/>
      <w:szCs w:val="24"/>
      <w:lang w:val="en-US" w:eastAsia="zh-TW"/>
    </w:rPr>
  </w:style>
  <w:style w:type="table" w:styleId="TableGrid">
    <w:name w:val="Table Grid"/>
    <w:basedOn w:val="TableNormal"/>
    <w:uiPriority w:val="59"/>
    <w:rsid w:val="001D1004"/>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rm1">
    <w:name w:val="txtnrm1"/>
    <w:rsid w:val="001D1004"/>
    <w:rPr>
      <w:rFonts w:ascii="Arial" w:hAnsi="Arial" w:cs="Arial" w:hint="default"/>
      <w:sz w:val="18"/>
      <w:szCs w:val="18"/>
    </w:rPr>
  </w:style>
  <w:style w:type="paragraph" w:customStyle="1" w:styleId="BayerSubscript">
    <w:name w:val="Bayer Subscript"/>
    <w:basedOn w:val="Normal"/>
    <w:link w:val="BayerSubscriptChar"/>
    <w:rsid w:val="001D1004"/>
    <w:rPr>
      <w:rFonts w:eastAsia="PMingLiU"/>
      <w:vertAlign w:val="subscript"/>
      <w:lang w:val="en-US"/>
    </w:rPr>
  </w:style>
  <w:style w:type="character" w:customStyle="1" w:styleId="BayerSubscriptChar">
    <w:name w:val="Bayer Subscript Char"/>
    <w:link w:val="BayerSubscript"/>
    <w:rsid w:val="001D1004"/>
    <w:rPr>
      <w:rFonts w:eastAsia="PMingLiU"/>
      <w:sz w:val="24"/>
      <w:szCs w:val="24"/>
      <w:vertAlign w:val="subscript"/>
      <w:lang w:val="en-US" w:eastAsia="en-US" w:bidi="ar-SA"/>
    </w:rPr>
  </w:style>
  <w:style w:type="character" w:styleId="EndnoteReference">
    <w:name w:val="endnote reference"/>
    <w:uiPriority w:val="99"/>
    <w:semiHidden/>
    <w:rsid w:val="001D1004"/>
    <w:rPr>
      <w:vertAlign w:val="superscript"/>
    </w:rPr>
  </w:style>
  <w:style w:type="paragraph" w:customStyle="1" w:styleId="BayerBodytext">
    <w:name w:val="Bayer Body text"/>
    <w:basedOn w:val="Normal"/>
    <w:rsid w:val="001D1004"/>
    <w:pPr>
      <w:widowControl w:val="0"/>
      <w:adjustRightInd w:val="0"/>
      <w:spacing w:after="240" w:line="360" w:lineRule="auto"/>
      <w:ind w:left="907"/>
      <w:jc w:val="both"/>
      <w:textAlignment w:val="baseline"/>
    </w:pPr>
    <w:rPr>
      <w:szCs w:val="20"/>
      <w:lang w:val="en-US" w:eastAsia="de-DE"/>
    </w:rPr>
  </w:style>
  <w:style w:type="paragraph" w:styleId="Header">
    <w:name w:val="header"/>
    <w:basedOn w:val="Normal"/>
    <w:link w:val="HeaderChar"/>
    <w:uiPriority w:val="99"/>
    <w:rsid w:val="001D1004"/>
    <w:pPr>
      <w:tabs>
        <w:tab w:val="center" w:pos="4153"/>
        <w:tab w:val="right" w:pos="8306"/>
      </w:tabs>
    </w:pPr>
  </w:style>
  <w:style w:type="paragraph" w:styleId="BalloonText">
    <w:name w:val="Balloon Text"/>
    <w:basedOn w:val="Normal"/>
    <w:semiHidden/>
    <w:rsid w:val="009027D6"/>
    <w:rPr>
      <w:rFonts w:ascii="Tahoma" w:hAnsi="Tahoma" w:cs="Tahoma"/>
      <w:sz w:val="16"/>
      <w:szCs w:val="16"/>
    </w:rPr>
  </w:style>
  <w:style w:type="character" w:styleId="CommentReference">
    <w:name w:val="annotation reference"/>
    <w:rsid w:val="00D068E3"/>
    <w:rPr>
      <w:sz w:val="16"/>
      <w:szCs w:val="16"/>
    </w:rPr>
  </w:style>
  <w:style w:type="paragraph" w:styleId="CommentText">
    <w:name w:val="annotation text"/>
    <w:basedOn w:val="Normal"/>
    <w:link w:val="CommentTextChar"/>
    <w:rsid w:val="00D068E3"/>
    <w:rPr>
      <w:sz w:val="20"/>
      <w:szCs w:val="20"/>
    </w:rPr>
  </w:style>
  <w:style w:type="paragraph" w:styleId="CommentSubject">
    <w:name w:val="annotation subject"/>
    <w:basedOn w:val="CommentText"/>
    <w:next w:val="CommentText"/>
    <w:semiHidden/>
    <w:rsid w:val="00D068E3"/>
    <w:rPr>
      <w:b/>
      <w:bCs/>
    </w:rPr>
  </w:style>
  <w:style w:type="paragraph" w:styleId="TOC1">
    <w:name w:val="toc 1"/>
    <w:basedOn w:val="Normal"/>
    <w:next w:val="Normal"/>
    <w:semiHidden/>
    <w:rsid w:val="00C23506"/>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G Times" w:hAnsi="CG Times"/>
      <w:szCs w:val="20"/>
      <w:lang w:val="en-US" w:eastAsia="ja-JP"/>
    </w:rPr>
  </w:style>
  <w:style w:type="character" w:styleId="FollowedHyperlink">
    <w:name w:val="FollowedHyperlink"/>
    <w:rsid w:val="005A1A3E"/>
    <w:rPr>
      <w:color w:val="800080"/>
      <w:u w:val="single"/>
    </w:rPr>
  </w:style>
  <w:style w:type="paragraph" w:styleId="Caption">
    <w:name w:val="caption"/>
    <w:aliases w:val="Bayer Caption"/>
    <w:basedOn w:val="Normal"/>
    <w:next w:val="Normal"/>
    <w:qFormat/>
    <w:rsid w:val="005C296E"/>
    <w:rPr>
      <w:b/>
      <w:bCs/>
      <w:sz w:val="20"/>
      <w:szCs w:val="20"/>
    </w:rPr>
  </w:style>
  <w:style w:type="paragraph" w:customStyle="1" w:styleId="BayerBodyTextFull">
    <w:name w:val="Bayer Body Text Full"/>
    <w:basedOn w:val="Normal"/>
    <w:link w:val="BayerBodyTextFullChar"/>
    <w:qFormat/>
    <w:rsid w:val="00C62964"/>
    <w:pPr>
      <w:spacing w:before="120" w:after="120"/>
    </w:pPr>
    <w:rPr>
      <w:szCs w:val="20"/>
      <w:lang w:val="en-US"/>
    </w:rPr>
  </w:style>
  <w:style w:type="character" w:customStyle="1" w:styleId="BayerBodyTextFullChar">
    <w:name w:val="Bayer Body Text Full Char"/>
    <w:link w:val="BayerBodyTextFull"/>
    <w:rsid w:val="00C62964"/>
    <w:rPr>
      <w:sz w:val="24"/>
      <w:lang w:val="en-US" w:eastAsia="en-US" w:bidi="ar-SA"/>
    </w:rPr>
  </w:style>
  <w:style w:type="paragraph" w:customStyle="1" w:styleId="BayerTableRowHeadings">
    <w:name w:val="Bayer Table Row Headings"/>
    <w:basedOn w:val="Normal"/>
    <w:rsid w:val="00B66FBF"/>
    <w:pPr>
      <w:widowControl w:val="0"/>
      <w:spacing w:after="120"/>
    </w:pPr>
    <w:rPr>
      <w:sz w:val="22"/>
      <w:szCs w:val="20"/>
      <w:lang w:val="en-US"/>
    </w:rPr>
  </w:style>
  <w:style w:type="paragraph" w:customStyle="1" w:styleId="BayerTableColumnHeadings">
    <w:name w:val="Bayer Table Column Headings"/>
    <w:basedOn w:val="Normal"/>
    <w:rsid w:val="00B66FBF"/>
    <w:pPr>
      <w:jc w:val="center"/>
    </w:pPr>
    <w:rPr>
      <w:b/>
      <w:sz w:val="22"/>
      <w:szCs w:val="20"/>
      <w:lang w:val="en-US"/>
    </w:rPr>
  </w:style>
  <w:style w:type="paragraph" w:styleId="NormalWeb">
    <w:name w:val="Normal (Web)"/>
    <w:basedOn w:val="Normal"/>
    <w:uiPriority w:val="99"/>
    <w:rsid w:val="00B66FBF"/>
    <w:pPr>
      <w:jc w:val="both"/>
    </w:pPr>
    <w:rPr>
      <w:lang w:val="de-DE" w:eastAsia="de-DE"/>
    </w:rPr>
  </w:style>
  <w:style w:type="table" w:customStyle="1" w:styleId="TableGrid1">
    <w:name w:val="Table Grid1"/>
    <w:basedOn w:val="TableNormal"/>
    <w:next w:val="TableGrid"/>
    <w:rsid w:val="0070723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dyTextChar">
    <w:name w:val="Normal Body Text Char"/>
    <w:link w:val="NormalBodyText"/>
    <w:locked/>
    <w:rsid w:val="00FE5B25"/>
  </w:style>
  <w:style w:type="paragraph" w:customStyle="1" w:styleId="NormalBodyText">
    <w:name w:val="Normal Body Text"/>
    <w:basedOn w:val="Normal"/>
    <w:link w:val="NormalBodyTextChar"/>
    <w:rsid w:val="00FE5B25"/>
    <w:pPr>
      <w:spacing w:before="120" w:after="120"/>
    </w:pPr>
    <w:rPr>
      <w:sz w:val="20"/>
      <w:szCs w:val="20"/>
      <w:lang w:val="en-AU" w:eastAsia="zh-CN"/>
    </w:rPr>
  </w:style>
  <w:style w:type="paragraph" w:styleId="Revision">
    <w:name w:val="Revision"/>
    <w:hidden/>
    <w:uiPriority w:val="99"/>
    <w:semiHidden/>
    <w:rsid w:val="00296A60"/>
    <w:rPr>
      <w:sz w:val="24"/>
      <w:szCs w:val="24"/>
      <w:lang w:val="en-GB" w:eastAsia="en-US"/>
    </w:rPr>
  </w:style>
  <w:style w:type="character" w:styleId="Hyperlink">
    <w:name w:val="Hyperlink"/>
    <w:uiPriority w:val="99"/>
    <w:rsid w:val="00664935"/>
    <w:rPr>
      <w:color w:val="0000FF"/>
      <w:u w:val="single"/>
    </w:rPr>
  </w:style>
  <w:style w:type="paragraph" w:customStyle="1" w:styleId="BulletIndent4">
    <w:name w:val="Bullet Indent 4 (•)"/>
    <w:rsid w:val="005F4395"/>
    <w:pPr>
      <w:numPr>
        <w:numId w:val="12"/>
      </w:numPr>
      <w:spacing w:after="120"/>
      <w:jc w:val="both"/>
    </w:pPr>
    <w:rPr>
      <w:sz w:val="24"/>
      <w:lang w:val="en-US" w:eastAsia="en-US"/>
    </w:rPr>
  </w:style>
  <w:style w:type="paragraph" w:styleId="ListParagraph">
    <w:name w:val="List Paragraph"/>
    <w:basedOn w:val="Normal"/>
    <w:uiPriority w:val="34"/>
    <w:qFormat/>
    <w:rsid w:val="004445B3"/>
    <w:pPr>
      <w:ind w:left="720"/>
    </w:pPr>
    <w:rPr>
      <w:rFonts w:ascii="Calibri" w:eastAsia="Calibri" w:hAnsi="Calibri" w:cs="Calibri"/>
      <w:sz w:val="22"/>
      <w:szCs w:val="22"/>
      <w:lang w:val="en-AU"/>
    </w:rPr>
  </w:style>
  <w:style w:type="character" w:customStyle="1" w:styleId="CommentTextChar">
    <w:name w:val="Comment Text Char"/>
    <w:link w:val="CommentText"/>
    <w:rsid w:val="00616C33"/>
    <w:rPr>
      <w:lang w:val="en-GB" w:eastAsia="en-US"/>
    </w:rPr>
  </w:style>
  <w:style w:type="character" w:customStyle="1" w:styleId="FooterChar">
    <w:name w:val="Footer Char"/>
    <w:link w:val="Footer"/>
    <w:rsid w:val="006D6887"/>
    <w:rPr>
      <w:sz w:val="24"/>
      <w:szCs w:val="24"/>
      <w:lang w:val="en-GB" w:eastAsia="en-US"/>
    </w:rPr>
  </w:style>
  <w:style w:type="paragraph" w:customStyle="1" w:styleId="BayerBibliography">
    <w:name w:val="Bayer Bibliography"/>
    <w:basedOn w:val="Normal"/>
    <w:rsid w:val="000370B3"/>
    <w:pPr>
      <w:spacing w:after="120"/>
      <w:ind w:left="1627" w:hanging="720"/>
    </w:pPr>
    <w:rPr>
      <w:rFonts w:eastAsia="MS Mincho"/>
      <w:szCs w:val="20"/>
      <w:lang w:val="en-US"/>
    </w:rPr>
  </w:style>
  <w:style w:type="paragraph" w:styleId="EndnoteText">
    <w:name w:val="endnote text"/>
    <w:basedOn w:val="Normal"/>
    <w:link w:val="EndnoteTextChar"/>
    <w:rsid w:val="000370B3"/>
    <w:rPr>
      <w:rFonts w:eastAsia="MS Mincho"/>
      <w:sz w:val="20"/>
      <w:szCs w:val="20"/>
      <w:lang w:val="en-US"/>
    </w:rPr>
  </w:style>
  <w:style w:type="character" w:customStyle="1" w:styleId="EndnoteTextChar">
    <w:name w:val="Endnote Text Char"/>
    <w:link w:val="EndnoteText"/>
    <w:rsid w:val="000370B3"/>
    <w:rPr>
      <w:rFonts w:eastAsia="MS Mincho"/>
      <w:lang w:val="en-US" w:eastAsia="en-US"/>
    </w:rPr>
  </w:style>
  <w:style w:type="paragraph" w:customStyle="1" w:styleId="BayerTableStyleLeftJustified">
    <w:name w:val="Bayer TableStyle Left Justified"/>
    <w:basedOn w:val="Normal"/>
    <w:rsid w:val="00B855C1"/>
    <w:pPr>
      <w:widowControl w:val="0"/>
    </w:pPr>
    <w:rPr>
      <w:rFonts w:eastAsia="MS Mincho"/>
      <w:sz w:val="22"/>
      <w:szCs w:val="20"/>
      <w:lang w:val="en-US"/>
    </w:rPr>
  </w:style>
  <w:style w:type="paragraph" w:customStyle="1" w:styleId="GlobalBayerBodyText">
    <w:name w:val="Global Bayer Body Text"/>
    <w:basedOn w:val="BayerBodytext"/>
    <w:link w:val="GlobalBayerBodyTextChar"/>
    <w:rsid w:val="003F6C07"/>
    <w:pPr>
      <w:widowControl/>
      <w:tabs>
        <w:tab w:val="left" w:pos="11174"/>
        <w:tab w:val="left" w:pos="15142"/>
      </w:tabs>
      <w:suppressAutoHyphens/>
      <w:adjustRightInd/>
      <w:spacing w:before="120" w:line="240" w:lineRule="auto"/>
      <w:ind w:left="0"/>
      <w:jc w:val="left"/>
      <w:textAlignment w:val="auto"/>
    </w:pPr>
    <w:rPr>
      <w:rFonts w:eastAsia="MS Mincho"/>
      <w:sz w:val="22"/>
    </w:rPr>
  </w:style>
  <w:style w:type="character" w:customStyle="1" w:styleId="GlobalBayerBodyTextChar">
    <w:name w:val="Global Bayer Body Text Char"/>
    <w:link w:val="GlobalBayerBodyText"/>
    <w:rsid w:val="003F6C07"/>
    <w:rPr>
      <w:rFonts w:eastAsia="MS Mincho"/>
      <w:sz w:val="22"/>
      <w:lang w:val="en-US" w:eastAsia="de-DE"/>
    </w:rPr>
  </w:style>
  <w:style w:type="paragraph" w:styleId="TOC3">
    <w:name w:val="toc 3"/>
    <w:basedOn w:val="Normal"/>
    <w:next w:val="Normal"/>
    <w:autoRedefine/>
    <w:rsid w:val="007E132B"/>
    <w:pPr>
      <w:ind w:left="480"/>
    </w:pPr>
  </w:style>
  <w:style w:type="paragraph" w:customStyle="1" w:styleId="BayerTableStyleCentered">
    <w:name w:val="Bayer TableStyle Centered"/>
    <w:basedOn w:val="Normal"/>
    <w:rsid w:val="00FE77A5"/>
    <w:pPr>
      <w:keepNext/>
      <w:widowControl w:val="0"/>
      <w:jc w:val="center"/>
    </w:pPr>
    <w:rPr>
      <w:rFonts w:eastAsia="MS Mincho"/>
      <w:sz w:val="22"/>
      <w:szCs w:val="20"/>
      <w:lang w:val="en-US"/>
    </w:rPr>
  </w:style>
  <w:style w:type="paragraph" w:customStyle="1" w:styleId="BayerSuperscript">
    <w:name w:val="Bayer Superscript"/>
    <w:basedOn w:val="Normal"/>
    <w:rsid w:val="00E7171A"/>
    <w:rPr>
      <w:rFonts w:eastAsia="MS Mincho"/>
      <w:szCs w:val="20"/>
      <w:vertAlign w:val="superscript"/>
      <w:lang w:val="en-US"/>
    </w:rPr>
  </w:style>
  <w:style w:type="paragraph" w:customStyle="1" w:styleId="BayerTableFootnote">
    <w:name w:val="Bayer Table Footnote"/>
    <w:basedOn w:val="Normal"/>
    <w:rsid w:val="00F576DE"/>
    <w:pPr>
      <w:keepNext/>
      <w:widowControl w:val="0"/>
      <w:ind w:left="360" w:hanging="360"/>
    </w:pPr>
    <w:rPr>
      <w:rFonts w:eastAsia="MS Mincho"/>
      <w:sz w:val="22"/>
      <w:szCs w:val="20"/>
      <w:lang w:val="en-US"/>
    </w:rPr>
  </w:style>
  <w:style w:type="character" w:customStyle="1" w:styleId="HeaderChar">
    <w:name w:val="Header Char"/>
    <w:basedOn w:val="DefaultParagraphFont"/>
    <w:link w:val="Header"/>
    <w:uiPriority w:val="99"/>
    <w:rsid w:val="00E2525A"/>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ECA"/>
    <w:rPr>
      <w:sz w:val="24"/>
      <w:szCs w:val="24"/>
      <w:lang w:val="en-GB" w:eastAsia="en-US"/>
    </w:rPr>
  </w:style>
  <w:style w:type="paragraph" w:styleId="Heading1">
    <w:name w:val="heading 1"/>
    <w:basedOn w:val="Normal"/>
    <w:next w:val="Normal"/>
    <w:qFormat/>
    <w:rsid w:val="00504EA0"/>
    <w:pPr>
      <w:keepNext/>
      <w:spacing w:before="360" w:after="240" w:line="280" w:lineRule="exact"/>
      <w:jc w:val="both"/>
      <w:outlineLvl w:val="0"/>
    </w:pPr>
    <w:rPr>
      <w:rFonts w:ascii="Arial" w:hAnsi="Arial" w:cs="Arial"/>
      <w:b/>
      <w:caps/>
      <w:kern w:val="28"/>
      <w:lang w:val="en-AU"/>
    </w:rPr>
  </w:style>
  <w:style w:type="paragraph" w:styleId="Heading2">
    <w:name w:val="heading 2"/>
    <w:basedOn w:val="Normal"/>
    <w:next w:val="Normal"/>
    <w:link w:val="Heading2Char"/>
    <w:qFormat/>
    <w:rsid w:val="001D1004"/>
    <w:pPr>
      <w:keepNext/>
      <w:spacing w:before="240" w:after="120" w:line="280" w:lineRule="exact"/>
      <w:jc w:val="both"/>
      <w:outlineLvl w:val="1"/>
    </w:pPr>
    <w:rPr>
      <w:b/>
      <w:szCs w:val="20"/>
      <w:lang w:val="en-AU"/>
    </w:rPr>
  </w:style>
  <w:style w:type="paragraph" w:styleId="Heading3">
    <w:name w:val="heading 3"/>
    <w:basedOn w:val="Normal"/>
    <w:next w:val="Normal"/>
    <w:qFormat/>
    <w:rsid w:val="001D1004"/>
    <w:pPr>
      <w:keepNext/>
      <w:jc w:val="both"/>
      <w:outlineLvl w:val="2"/>
    </w:pPr>
    <w:rPr>
      <w:b/>
      <w:bCs/>
      <w:i/>
      <w:iCs/>
    </w:rPr>
  </w:style>
  <w:style w:type="paragraph" w:styleId="Heading4">
    <w:name w:val="heading 4"/>
    <w:basedOn w:val="Normal"/>
    <w:next w:val="Normal"/>
    <w:qFormat/>
    <w:rsid w:val="005B4EB5"/>
    <w:pPr>
      <w:keepNext/>
      <w:ind w:right="45"/>
      <w:outlineLvl w:val="3"/>
    </w:pPr>
    <w:rPr>
      <w:rFonts w:ascii="Arial" w:hAnsi="Arial" w:cs="Arial"/>
      <w:b/>
      <w:bCs/>
      <w: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004"/>
    <w:pPr>
      <w:tabs>
        <w:tab w:val="center" w:pos="4153"/>
        <w:tab w:val="right" w:pos="8306"/>
      </w:tabs>
    </w:pPr>
  </w:style>
  <w:style w:type="character" w:styleId="PageNumber">
    <w:name w:val="page number"/>
    <w:basedOn w:val="DefaultParagraphFont"/>
    <w:rsid w:val="001D1004"/>
  </w:style>
  <w:style w:type="paragraph" w:styleId="BodyText2">
    <w:name w:val="Body Text 2"/>
    <w:basedOn w:val="Normal"/>
    <w:rsid w:val="001D1004"/>
    <w:pPr>
      <w:spacing w:after="240"/>
      <w:jc w:val="both"/>
    </w:pPr>
    <w:rPr>
      <w:b/>
      <w:bCs/>
      <w:szCs w:val="20"/>
      <w:lang w:val="en-AU"/>
    </w:rPr>
  </w:style>
  <w:style w:type="character" w:customStyle="1" w:styleId="Heading2Char">
    <w:name w:val="Heading 2 Char"/>
    <w:link w:val="Heading2"/>
    <w:rsid w:val="001D1004"/>
    <w:rPr>
      <w:b/>
      <w:sz w:val="24"/>
      <w:lang w:val="en-AU" w:eastAsia="en-US" w:bidi="ar-SA"/>
    </w:rPr>
  </w:style>
  <w:style w:type="paragraph" w:customStyle="1" w:styleId="BulletIndent1">
    <w:name w:val="Bullet Indent 1"/>
    <w:basedOn w:val="Normal"/>
    <w:rsid w:val="001D1004"/>
    <w:pPr>
      <w:numPr>
        <w:numId w:val="1"/>
      </w:numPr>
      <w:spacing w:line="260" w:lineRule="exact"/>
    </w:pPr>
    <w:rPr>
      <w:sz w:val="22"/>
      <w:szCs w:val="20"/>
    </w:rPr>
  </w:style>
  <w:style w:type="paragraph" w:customStyle="1" w:styleId="Default">
    <w:name w:val="Default"/>
    <w:rsid w:val="001D1004"/>
    <w:pPr>
      <w:widowControl w:val="0"/>
      <w:autoSpaceDE w:val="0"/>
      <w:autoSpaceDN w:val="0"/>
      <w:adjustRightInd w:val="0"/>
    </w:pPr>
    <w:rPr>
      <w:rFonts w:eastAsia="PMingLiU"/>
      <w:color w:val="000000"/>
      <w:sz w:val="24"/>
      <w:szCs w:val="24"/>
      <w:lang w:val="en-US" w:eastAsia="zh-TW"/>
    </w:rPr>
  </w:style>
  <w:style w:type="table" w:styleId="TableGrid">
    <w:name w:val="Table Grid"/>
    <w:basedOn w:val="TableNormal"/>
    <w:uiPriority w:val="59"/>
    <w:rsid w:val="001D1004"/>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rm1">
    <w:name w:val="txtnrm1"/>
    <w:rsid w:val="001D1004"/>
    <w:rPr>
      <w:rFonts w:ascii="Arial" w:hAnsi="Arial" w:cs="Arial" w:hint="default"/>
      <w:sz w:val="18"/>
      <w:szCs w:val="18"/>
    </w:rPr>
  </w:style>
  <w:style w:type="paragraph" w:customStyle="1" w:styleId="BayerSubscript">
    <w:name w:val="Bayer Subscript"/>
    <w:basedOn w:val="Normal"/>
    <w:link w:val="BayerSubscriptChar"/>
    <w:rsid w:val="001D1004"/>
    <w:rPr>
      <w:rFonts w:eastAsia="PMingLiU"/>
      <w:vertAlign w:val="subscript"/>
      <w:lang w:val="en-US"/>
    </w:rPr>
  </w:style>
  <w:style w:type="character" w:customStyle="1" w:styleId="BayerSubscriptChar">
    <w:name w:val="Bayer Subscript Char"/>
    <w:link w:val="BayerSubscript"/>
    <w:rsid w:val="001D1004"/>
    <w:rPr>
      <w:rFonts w:eastAsia="PMingLiU"/>
      <w:sz w:val="24"/>
      <w:szCs w:val="24"/>
      <w:vertAlign w:val="subscript"/>
      <w:lang w:val="en-US" w:eastAsia="en-US" w:bidi="ar-SA"/>
    </w:rPr>
  </w:style>
  <w:style w:type="character" w:styleId="EndnoteReference">
    <w:name w:val="endnote reference"/>
    <w:uiPriority w:val="99"/>
    <w:semiHidden/>
    <w:rsid w:val="001D1004"/>
    <w:rPr>
      <w:vertAlign w:val="superscript"/>
    </w:rPr>
  </w:style>
  <w:style w:type="paragraph" w:customStyle="1" w:styleId="BayerBodytext">
    <w:name w:val="Bayer Body text"/>
    <w:basedOn w:val="Normal"/>
    <w:rsid w:val="001D1004"/>
    <w:pPr>
      <w:widowControl w:val="0"/>
      <w:adjustRightInd w:val="0"/>
      <w:spacing w:after="240" w:line="360" w:lineRule="auto"/>
      <w:ind w:left="907"/>
      <w:jc w:val="both"/>
      <w:textAlignment w:val="baseline"/>
    </w:pPr>
    <w:rPr>
      <w:szCs w:val="20"/>
      <w:lang w:val="en-US" w:eastAsia="de-DE"/>
    </w:rPr>
  </w:style>
  <w:style w:type="paragraph" w:styleId="Header">
    <w:name w:val="header"/>
    <w:basedOn w:val="Normal"/>
    <w:link w:val="HeaderChar"/>
    <w:uiPriority w:val="99"/>
    <w:rsid w:val="001D1004"/>
    <w:pPr>
      <w:tabs>
        <w:tab w:val="center" w:pos="4153"/>
        <w:tab w:val="right" w:pos="8306"/>
      </w:tabs>
    </w:pPr>
  </w:style>
  <w:style w:type="paragraph" w:styleId="BalloonText">
    <w:name w:val="Balloon Text"/>
    <w:basedOn w:val="Normal"/>
    <w:semiHidden/>
    <w:rsid w:val="009027D6"/>
    <w:rPr>
      <w:rFonts w:ascii="Tahoma" w:hAnsi="Tahoma" w:cs="Tahoma"/>
      <w:sz w:val="16"/>
      <w:szCs w:val="16"/>
    </w:rPr>
  </w:style>
  <w:style w:type="character" w:styleId="CommentReference">
    <w:name w:val="annotation reference"/>
    <w:rsid w:val="00D068E3"/>
    <w:rPr>
      <w:sz w:val="16"/>
      <w:szCs w:val="16"/>
    </w:rPr>
  </w:style>
  <w:style w:type="paragraph" w:styleId="CommentText">
    <w:name w:val="annotation text"/>
    <w:basedOn w:val="Normal"/>
    <w:link w:val="CommentTextChar"/>
    <w:rsid w:val="00D068E3"/>
    <w:rPr>
      <w:sz w:val="20"/>
      <w:szCs w:val="20"/>
    </w:rPr>
  </w:style>
  <w:style w:type="paragraph" w:styleId="CommentSubject">
    <w:name w:val="annotation subject"/>
    <w:basedOn w:val="CommentText"/>
    <w:next w:val="CommentText"/>
    <w:semiHidden/>
    <w:rsid w:val="00D068E3"/>
    <w:rPr>
      <w:b/>
      <w:bCs/>
    </w:rPr>
  </w:style>
  <w:style w:type="paragraph" w:styleId="TOC1">
    <w:name w:val="toc 1"/>
    <w:basedOn w:val="Normal"/>
    <w:next w:val="Normal"/>
    <w:semiHidden/>
    <w:rsid w:val="00C23506"/>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G Times" w:hAnsi="CG Times"/>
      <w:szCs w:val="20"/>
      <w:lang w:val="en-US" w:eastAsia="ja-JP"/>
    </w:rPr>
  </w:style>
  <w:style w:type="character" w:styleId="FollowedHyperlink">
    <w:name w:val="FollowedHyperlink"/>
    <w:rsid w:val="005A1A3E"/>
    <w:rPr>
      <w:color w:val="800080"/>
      <w:u w:val="single"/>
    </w:rPr>
  </w:style>
  <w:style w:type="paragraph" w:styleId="Caption">
    <w:name w:val="caption"/>
    <w:aliases w:val="Bayer Caption"/>
    <w:basedOn w:val="Normal"/>
    <w:next w:val="Normal"/>
    <w:qFormat/>
    <w:rsid w:val="005C296E"/>
    <w:rPr>
      <w:b/>
      <w:bCs/>
      <w:sz w:val="20"/>
      <w:szCs w:val="20"/>
    </w:rPr>
  </w:style>
  <w:style w:type="paragraph" w:customStyle="1" w:styleId="BayerBodyTextFull">
    <w:name w:val="Bayer Body Text Full"/>
    <w:basedOn w:val="Normal"/>
    <w:link w:val="BayerBodyTextFullChar"/>
    <w:qFormat/>
    <w:rsid w:val="00C62964"/>
    <w:pPr>
      <w:spacing w:before="120" w:after="120"/>
    </w:pPr>
    <w:rPr>
      <w:szCs w:val="20"/>
      <w:lang w:val="en-US"/>
    </w:rPr>
  </w:style>
  <w:style w:type="character" w:customStyle="1" w:styleId="BayerBodyTextFullChar">
    <w:name w:val="Bayer Body Text Full Char"/>
    <w:link w:val="BayerBodyTextFull"/>
    <w:rsid w:val="00C62964"/>
    <w:rPr>
      <w:sz w:val="24"/>
      <w:lang w:val="en-US" w:eastAsia="en-US" w:bidi="ar-SA"/>
    </w:rPr>
  </w:style>
  <w:style w:type="paragraph" w:customStyle="1" w:styleId="BayerTableRowHeadings">
    <w:name w:val="Bayer Table Row Headings"/>
    <w:basedOn w:val="Normal"/>
    <w:rsid w:val="00B66FBF"/>
    <w:pPr>
      <w:widowControl w:val="0"/>
      <w:spacing w:after="120"/>
    </w:pPr>
    <w:rPr>
      <w:sz w:val="22"/>
      <w:szCs w:val="20"/>
      <w:lang w:val="en-US"/>
    </w:rPr>
  </w:style>
  <w:style w:type="paragraph" w:customStyle="1" w:styleId="BayerTableColumnHeadings">
    <w:name w:val="Bayer Table Column Headings"/>
    <w:basedOn w:val="Normal"/>
    <w:rsid w:val="00B66FBF"/>
    <w:pPr>
      <w:jc w:val="center"/>
    </w:pPr>
    <w:rPr>
      <w:b/>
      <w:sz w:val="22"/>
      <w:szCs w:val="20"/>
      <w:lang w:val="en-US"/>
    </w:rPr>
  </w:style>
  <w:style w:type="paragraph" w:styleId="NormalWeb">
    <w:name w:val="Normal (Web)"/>
    <w:basedOn w:val="Normal"/>
    <w:uiPriority w:val="99"/>
    <w:rsid w:val="00B66FBF"/>
    <w:pPr>
      <w:jc w:val="both"/>
    </w:pPr>
    <w:rPr>
      <w:lang w:val="de-DE" w:eastAsia="de-DE"/>
    </w:rPr>
  </w:style>
  <w:style w:type="table" w:customStyle="1" w:styleId="TableGrid1">
    <w:name w:val="Table Grid1"/>
    <w:basedOn w:val="TableNormal"/>
    <w:next w:val="TableGrid"/>
    <w:rsid w:val="0070723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dyTextChar">
    <w:name w:val="Normal Body Text Char"/>
    <w:link w:val="NormalBodyText"/>
    <w:locked/>
    <w:rsid w:val="00FE5B25"/>
  </w:style>
  <w:style w:type="paragraph" w:customStyle="1" w:styleId="NormalBodyText">
    <w:name w:val="Normal Body Text"/>
    <w:basedOn w:val="Normal"/>
    <w:link w:val="NormalBodyTextChar"/>
    <w:rsid w:val="00FE5B25"/>
    <w:pPr>
      <w:spacing w:before="120" w:after="120"/>
    </w:pPr>
    <w:rPr>
      <w:sz w:val="20"/>
      <w:szCs w:val="20"/>
      <w:lang w:val="en-AU" w:eastAsia="zh-CN"/>
    </w:rPr>
  </w:style>
  <w:style w:type="paragraph" w:styleId="Revision">
    <w:name w:val="Revision"/>
    <w:hidden/>
    <w:uiPriority w:val="99"/>
    <w:semiHidden/>
    <w:rsid w:val="00296A60"/>
    <w:rPr>
      <w:sz w:val="24"/>
      <w:szCs w:val="24"/>
      <w:lang w:val="en-GB" w:eastAsia="en-US"/>
    </w:rPr>
  </w:style>
  <w:style w:type="character" w:styleId="Hyperlink">
    <w:name w:val="Hyperlink"/>
    <w:uiPriority w:val="99"/>
    <w:rsid w:val="00664935"/>
    <w:rPr>
      <w:color w:val="0000FF"/>
      <w:u w:val="single"/>
    </w:rPr>
  </w:style>
  <w:style w:type="paragraph" w:customStyle="1" w:styleId="BulletIndent4">
    <w:name w:val="Bullet Indent 4 (•)"/>
    <w:rsid w:val="005F4395"/>
    <w:pPr>
      <w:numPr>
        <w:numId w:val="12"/>
      </w:numPr>
      <w:spacing w:after="120"/>
      <w:jc w:val="both"/>
    </w:pPr>
    <w:rPr>
      <w:sz w:val="24"/>
      <w:lang w:val="en-US" w:eastAsia="en-US"/>
    </w:rPr>
  </w:style>
  <w:style w:type="paragraph" w:styleId="ListParagraph">
    <w:name w:val="List Paragraph"/>
    <w:basedOn w:val="Normal"/>
    <w:uiPriority w:val="34"/>
    <w:qFormat/>
    <w:rsid w:val="004445B3"/>
    <w:pPr>
      <w:ind w:left="720"/>
    </w:pPr>
    <w:rPr>
      <w:rFonts w:ascii="Calibri" w:eastAsia="Calibri" w:hAnsi="Calibri" w:cs="Calibri"/>
      <w:sz w:val="22"/>
      <w:szCs w:val="22"/>
      <w:lang w:val="en-AU"/>
    </w:rPr>
  </w:style>
  <w:style w:type="character" w:customStyle="1" w:styleId="CommentTextChar">
    <w:name w:val="Comment Text Char"/>
    <w:link w:val="CommentText"/>
    <w:rsid w:val="00616C33"/>
    <w:rPr>
      <w:lang w:val="en-GB" w:eastAsia="en-US"/>
    </w:rPr>
  </w:style>
  <w:style w:type="character" w:customStyle="1" w:styleId="FooterChar">
    <w:name w:val="Footer Char"/>
    <w:link w:val="Footer"/>
    <w:rsid w:val="006D6887"/>
    <w:rPr>
      <w:sz w:val="24"/>
      <w:szCs w:val="24"/>
      <w:lang w:val="en-GB" w:eastAsia="en-US"/>
    </w:rPr>
  </w:style>
  <w:style w:type="paragraph" w:customStyle="1" w:styleId="BayerBibliography">
    <w:name w:val="Bayer Bibliography"/>
    <w:basedOn w:val="Normal"/>
    <w:rsid w:val="000370B3"/>
    <w:pPr>
      <w:spacing w:after="120"/>
      <w:ind w:left="1627" w:hanging="720"/>
    </w:pPr>
    <w:rPr>
      <w:rFonts w:eastAsia="MS Mincho"/>
      <w:szCs w:val="20"/>
      <w:lang w:val="en-US"/>
    </w:rPr>
  </w:style>
  <w:style w:type="paragraph" w:styleId="EndnoteText">
    <w:name w:val="endnote text"/>
    <w:basedOn w:val="Normal"/>
    <w:link w:val="EndnoteTextChar"/>
    <w:rsid w:val="000370B3"/>
    <w:rPr>
      <w:rFonts w:eastAsia="MS Mincho"/>
      <w:sz w:val="20"/>
      <w:szCs w:val="20"/>
      <w:lang w:val="en-US"/>
    </w:rPr>
  </w:style>
  <w:style w:type="character" w:customStyle="1" w:styleId="EndnoteTextChar">
    <w:name w:val="Endnote Text Char"/>
    <w:link w:val="EndnoteText"/>
    <w:rsid w:val="000370B3"/>
    <w:rPr>
      <w:rFonts w:eastAsia="MS Mincho"/>
      <w:lang w:val="en-US" w:eastAsia="en-US"/>
    </w:rPr>
  </w:style>
  <w:style w:type="paragraph" w:customStyle="1" w:styleId="BayerTableStyleLeftJustified">
    <w:name w:val="Bayer TableStyle Left Justified"/>
    <w:basedOn w:val="Normal"/>
    <w:rsid w:val="00B855C1"/>
    <w:pPr>
      <w:widowControl w:val="0"/>
    </w:pPr>
    <w:rPr>
      <w:rFonts w:eastAsia="MS Mincho"/>
      <w:sz w:val="22"/>
      <w:szCs w:val="20"/>
      <w:lang w:val="en-US"/>
    </w:rPr>
  </w:style>
  <w:style w:type="paragraph" w:customStyle="1" w:styleId="GlobalBayerBodyText">
    <w:name w:val="Global Bayer Body Text"/>
    <w:basedOn w:val="BayerBodytext"/>
    <w:link w:val="GlobalBayerBodyTextChar"/>
    <w:rsid w:val="003F6C07"/>
    <w:pPr>
      <w:widowControl/>
      <w:tabs>
        <w:tab w:val="left" w:pos="11174"/>
        <w:tab w:val="left" w:pos="15142"/>
      </w:tabs>
      <w:suppressAutoHyphens/>
      <w:adjustRightInd/>
      <w:spacing w:before="120" w:line="240" w:lineRule="auto"/>
      <w:ind w:left="0"/>
      <w:jc w:val="left"/>
      <w:textAlignment w:val="auto"/>
    </w:pPr>
    <w:rPr>
      <w:rFonts w:eastAsia="MS Mincho"/>
      <w:sz w:val="22"/>
    </w:rPr>
  </w:style>
  <w:style w:type="character" w:customStyle="1" w:styleId="GlobalBayerBodyTextChar">
    <w:name w:val="Global Bayer Body Text Char"/>
    <w:link w:val="GlobalBayerBodyText"/>
    <w:rsid w:val="003F6C07"/>
    <w:rPr>
      <w:rFonts w:eastAsia="MS Mincho"/>
      <w:sz w:val="22"/>
      <w:lang w:val="en-US" w:eastAsia="de-DE"/>
    </w:rPr>
  </w:style>
  <w:style w:type="paragraph" w:styleId="TOC3">
    <w:name w:val="toc 3"/>
    <w:basedOn w:val="Normal"/>
    <w:next w:val="Normal"/>
    <w:autoRedefine/>
    <w:rsid w:val="007E132B"/>
    <w:pPr>
      <w:ind w:left="480"/>
    </w:pPr>
  </w:style>
  <w:style w:type="paragraph" w:customStyle="1" w:styleId="BayerTableStyleCentered">
    <w:name w:val="Bayer TableStyle Centered"/>
    <w:basedOn w:val="Normal"/>
    <w:rsid w:val="00FE77A5"/>
    <w:pPr>
      <w:keepNext/>
      <w:widowControl w:val="0"/>
      <w:jc w:val="center"/>
    </w:pPr>
    <w:rPr>
      <w:rFonts w:eastAsia="MS Mincho"/>
      <w:sz w:val="22"/>
      <w:szCs w:val="20"/>
      <w:lang w:val="en-US"/>
    </w:rPr>
  </w:style>
  <w:style w:type="paragraph" w:customStyle="1" w:styleId="BayerSuperscript">
    <w:name w:val="Bayer Superscript"/>
    <w:basedOn w:val="Normal"/>
    <w:rsid w:val="00E7171A"/>
    <w:rPr>
      <w:rFonts w:eastAsia="MS Mincho"/>
      <w:szCs w:val="20"/>
      <w:vertAlign w:val="superscript"/>
      <w:lang w:val="en-US"/>
    </w:rPr>
  </w:style>
  <w:style w:type="paragraph" w:customStyle="1" w:styleId="BayerTableFootnote">
    <w:name w:val="Bayer Table Footnote"/>
    <w:basedOn w:val="Normal"/>
    <w:rsid w:val="00F576DE"/>
    <w:pPr>
      <w:keepNext/>
      <w:widowControl w:val="0"/>
      <w:ind w:left="360" w:hanging="360"/>
    </w:pPr>
    <w:rPr>
      <w:rFonts w:eastAsia="MS Mincho"/>
      <w:sz w:val="22"/>
      <w:szCs w:val="20"/>
      <w:lang w:val="en-US"/>
    </w:rPr>
  </w:style>
  <w:style w:type="character" w:customStyle="1" w:styleId="HeaderChar">
    <w:name w:val="Header Char"/>
    <w:basedOn w:val="DefaultParagraphFont"/>
    <w:link w:val="Header"/>
    <w:uiPriority w:val="99"/>
    <w:rsid w:val="00E2525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9201">
      <w:bodyDiv w:val="1"/>
      <w:marLeft w:val="0"/>
      <w:marRight w:val="0"/>
      <w:marTop w:val="0"/>
      <w:marBottom w:val="0"/>
      <w:divBdr>
        <w:top w:val="none" w:sz="0" w:space="0" w:color="auto"/>
        <w:left w:val="none" w:sz="0" w:space="0" w:color="auto"/>
        <w:bottom w:val="none" w:sz="0" w:space="0" w:color="auto"/>
        <w:right w:val="none" w:sz="0" w:space="0" w:color="auto"/>
      </w:divBdr>
    </w:div>
    <w:div w:id="93668126">
      <w:bodyDiv w:val="1"/>
      <w:marLeft w:val="0"/>
      <w:marRight w:val="0"/>
      <w:marTop w:val="0"/>
      <w:marBottom w:val="0"/>
      <w:divBdr>
        <w:top w:val="none" w:sz="0" w:space="0" w:color="auto"/>
        <w:left w:val="none" w:sz="0" w:space="0" w:color="auto"/>
        <w:bottom w:val="none" w:sz="0" w:space="0" w:color="auto"/>
        <w:right w:val="none" w:sz="0" w:space="0" w:color="auto"/>
      </w:divBdr>
    </w:div>
    <w:div w:id="214049434">
      <w:bodyDiv w:val="1"/>
      <w:marLeft w:val="0"/>
      <w:marRight w:val="0"/>
      <w:marTop w:val="0"/>
      <w:marBottom w:val="0"/>
      <w:divBdr>
        <w:top w:val="none" w:sz="0" w:space="0" w:color="auto"/>
        <w:left w:val="none" w:sz="0" w:space="0" w:color="auto"/>
        <w:bottom w:val="none" w:sz="0" w:space="0" w:color="auto"/>
        <w:right w:val="none" w:sz="0" w:space="0" w:color="auto"/>
      </w:divBdr>
    </w:div>
    <w:div w:id="219172626">
      <w:bodyDiv w:val="1"/>
      <w:marLeft w:val="0"/>
      <w:marRight w:val="0"/>
      <w:marTop w:val="0"/>
      <w:marBottom w:val="0"/>
      <w:divBdr>
        <w:top w:val="none" w:sz="0" w:space="0" w:color="auto"/>
        <w:left w:val="none" w:sz="0" w:space="0" w:color="auto"/>
        <w:bottom w:val="none" w:sz="0" w:space="0" w:color="auto"/>
        <w:right w:val="none" w:sz="0" w:space="0" w:color="auto"/>
      </w:divBdr>
    </w:div>
    <w:div w:id="3071715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12">
          <w:marLeft w:val="0"/>
          <w:marRight w:val="0"/>
          <w:marTop w:val="0"/>
          <w:marBottom w:val="0"/>
          <w:divBdr>
            <w:top w:val="none" w:sz="0" w:space="0" w:color="auto"/>
            <w:left w:val="none" w:sz="0" w:space="0" w:color="auto"/>
            <w:bottom w:val="none" w:sz="0" w:space="0" w:color="auto"/>
            <w:right w:val="none" w:sz="0" w:space="0" w:color="auto"/>
          </w:divBdr>
        </w:div>
      </w:divsChild>
    </w:div>
    <w:div w:id="331227140">
      <w:bodyDiv w:val="1"/>
      <w:marLeft w:val="0"/>
      <w:marRight w:val="0"/>
      <w:marTop w:val="0"/>
      <w:marBottom w:val="0"/>
      <w:divBdr>
        <w:top w:val="none" w:sz="0" w:space="0" w:color="auto"/>
        <w:left w:val="none" w:sz="0" w:space="0" w:color="auto"/>
        <w:bottom w:val="none" w:sz="0" w:space="0" w:color="auto"/>
        <w:right w:val="none" w:sz="0" w:space="0" w:color="auto"/>
      </w:divBdr>
    </w:div>
    <w:div w:id="344018536">
      <w:bodyDiv w:val="1"/>
      <w:marLeft w:val="0"/>
      <w:marRight w:val="0"/>
      <w:marTop w:val="0"/>
      <w:marBottom w:val="0"/>
      <w:divBdr>
        <w:top w:val="none" w:sz="0" w:space="0" w:color="auto"/>
        <w:left w:val="none" w:sz="0" w:space="0" w:color="auto"/>
        <w:bottom w:val="none" w:sz="0" w:space="0" w:color="auto"/>
        <w:right w:val="none" w:sz="0" w:space="0" w:color="auto"/>
      </w:divBdr>
    </w:div>
    <w:div w:id="366761211">
      <w:bodyDiv w:val="1"/>
      <w:marLeft w:val="0"/>
      <w:marRight w:val="0"/>
      <w:marTop w:val="0"/>
      <w:marBottom w:val="0"/>
      <w:divBdr>
        <w:top w:val="none" w:sz="0" w:space="0" w:color="auto"/>
        <w:left w:val="none" w:sz="0" w:space="0" w:color="auto"/>
        <w:bottom w:val="none" w:sz="0" w:space="0" w:color="auto"/>
        <w:right w:val="none" w:sz="0" w:space="0" w:color="auto"/>
      </w:divBdr>
    </w:div>
    <w:div w:id="434402719">
      <w:bodyDiv w:val="1"/>
      <w:marLeft w:val="0"/>
      <w:marRight w:val="0"/>
      <w:marTop w:val="0"/>
      <w:marBottom w:val="0"/>
      <w:divBdr>
        <w:top w:val="none" w:sz="0" w:space="0" w:color="auto"/>
        <w:left w:val="none" w:sz="0" w:space="0" w:color="auto"/>
        <w:bottom w:val="none" w:sz="0" w:space="0" w:color="auto"/>
        <w:right w:val="none" w:sz="0" w:space="0" w:color="auto"/>
      </w:divBdr>
    </w:div>
    <w:div w:id="442313497">
      <w:bodyDiv w:val="1"/>
      <w:marLeft w:val="0"/>
      <w:marRight w:val="0"/>
      <w:marTop w:val="0"/>
      <w:marBottom w:val="0"/>
      <w:divBdr>
        <w:top w:val="none" w:sz="0" w:space="0" w:color="auto"/>
        <w:left w:val="none" w:sz="0" w:space="0" w:color="auto"/>
        <w:bottom w:val="none" w:sz="0" w:space="0" w:color="auto"/>
        <w:right w:val="none" w:sz="0" w:space="0" w:color="auto"/>
      </w:divBdr>
    </w:div>
    <w:div w:id="480122334">
      <w:bodyDiv w:val="1"/>
      <w:marLeft w:val="0"/>
      <w:marRight w:val="0"/>
      <w:marTop w:val="0"/>
      <w:marBottom w:val="0"/>
      <w:divBdr>
        <w:top w:val="none" w:sz="0" w:space="0" w:color="auto"/>
        <w:left w:val="none" w:sz="0" w:space="0" w:color="auto"/>
        <w:bottom w:val="none" w:sz="0" w:space="0" w:color="auto"/>
        <w:right w:val="none" w:sz="0" w:space="0" w:color="auto"/>
      </w:divBdr>
      <w:divsChild>
        <w:div w:id="555437756">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280">
      <w:bodyDiv w:val="1"/>
      <w:marLeft w:val="0"/>
      <w:marRight w:val="0"/>
      <w:marTop w:val="0"/>
      <w:marBottom w:val="0"/>
      <w:divBdr>
        <w:top w:val="none" w:sz="0" w:space="0" w:color="auto"/>
        <w:left w:val="none" w:sz="0" w:space="0" w:color="auto"/>
        <w:bottom w:val="none" w:sz="0" w:space="0" w:color="auto"/>
        <w:right w:val="none" w:sz="0" w:space="0" w:color="auto"/>
      </w:divBdr>
    </w:div>
    <w:div w:id="1609315146">
      <w:bodyDiv w:val="1"/>
      <w:marLeft w:val="0"/>
      <w:marRight w:val="0"/>
      <w:marTop w:val="0"/>
      <w:marBottom w:val="0"/>
      <w:divBdr>
        <w:top w:val="none" w:sz="0" w:space="0" w:color="auto"/>
        <w:left w:val="none" w:sz="0" w:space="0" w:color="auto"/>
        <w:bottom w:val="none" w:sz="0" w:space="0" w:color="auto"/>
        <w:right w:val="none" w:sz="0" w:space="0" w:color="auto"/>
      </w:divBdr>
    </w:div>
    <w:div w:id="1712656181">
      <w:bodyDiv w:val="1"/>
      <w:marLeft w:val="0"/>
      <w:marRight w:val="0"/>
      <w:marTop w:val="0"/>
      <w:marBottom w:val="0"/>
      <w:divBdr>
        <w:top w:val="none" w:sz="0" w:space="0" w:color="auto"/>
        <w:left w:val="none" w:sz="0" w:space="0" w:color="auto"/>
        <w:bottom w:val="none" w:sz="0" w:space="0" w:color="auto"/>
        <w:right w:val="none" w:sz="0" w:space="0" w:color="auto"/>
      </w:divBdr>
      <w:divsChild>
        <w:div w:id="546649351">
          <w:marLeft w:val="0"/>
          <w:marRight w:val="0"/>
          <w:marTop w:val="0"/>
          <w:marBottom w:val="0"/>
          <w:divBdr>
            <w:top w:val="none" w:sz="0" w:space="0" w:color="auto"/>
            <w:left w:val="none" w:sz="0" w:space="0" w:color="auto"/>
            <w:bottom w:val="none" w:sz="0" w:space="0" w:color="auto"/>
            <w:right w:val="none" w:sz="0" w:space="0" w:color="auto"/>
          </w:divBdr>
          <w:divsChild>
            <w:div w:id="11434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8107">
      <w:bodyDiv w:val="1"/>
      <w:marLeft w:val="0"/>
      <w:marRight w:val="0"/>
      <w:marTop w:val="0"/>
      <w:marBottom w:val="0"/>
      <w:divBdr>
        <w:top w:val="none" w:sz="0" w:space="0" w:color="auto"/>
        <w:left w:val="none" w:sz="0" w:space="0" w:color="auto"/>
        <w:bottom w:val="none" w:sz="0" w:space="0" w:color="auto"/>
        <w:right w:val="none" w:sz="0" w:space="0" w:color="auto"/>
      </w:divBdr>
      <w:divsChild>
        <w:div w:id="1440027368">
          <w:marLeft w:val="0"/>
          <w:marRight w:val="0"/>
          <w:marTop w:val="0"/>
          <w:marBottom w:val="0"/>
          <w:divBdr>
            <w:top w:val="none" w:sz="0" w:space="0" w:color="auto"/>
            <w:left w:val="none" w:sz="0" w:space="0" w:color="auto"/>
            <w:bottom w:val="none" w:sz="0" w:space="0" w:color="auto"/>
            <w:right w:val="none" w:sz="0" w:space="0" w:color="auto"/>
          </w:divBdr>
          <w:divsChild>
            <w:div w:id="103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839">
      <w:bodyDiv w:val="1"/>
      <w:marLeft w:val="0"/>
      <w:marRight w:val="0"/>
      <w:marTop w:val="0"/>
      <w:marBottom w:val="0"/>
      <w:divBdr>
        <w:top w:val="none" w:sz="0" w:space="0" w:color="auto"/>
        <w:left w:val="none" w:sz="0" w:space="0" w:color="auto"/>
        <w:bottom w:val="none" w:sz="0" w:space="0" w:color="auto"/>
        <w:right w:val="none" w:sz="0" w:space="0" w:color="auto"/>
      </w:divBdr>
      <w:divsChild>
        <w:div w:id="180631502">
          <w:marLeft w:val="0"/>
          <w:marRight w:val="0"/>
          <w:marTop w:val="0"/>
          <w:marBottom w:val="0"/>
          <w:divBdr>
            <w:top w:val="none" w:sz="0" w:space="0" w:color="auto"/>
            <w:left w:val="none" w:sz="0" w:space="0" w:color="auto"/>
            <w:bottom w:val="none" w:sz="0" w:space="0" w:color="auto"/>
            <w:right w:val="none" w:sz="0" w:space="0" w:color="auto"/>
          </w:divBdr>
          <w:divsChild>
            <w:div w:id="3072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736">
      <w:bodyDiv w:val="1"/>
      <w:marLeft w:val="0"/>
      <w:marRight w:val="0"/>
      <w:marTop w:val="0"/>
      <w:marBottom w:val="0"/>
      <w:divBdr>
        <w:top w:val="none" w:sz="0" w:space="0" w:color="auto"/>
        <w:left w:val="none" w:sz="0" w:space="0" w:color="auto"/>
        <w:bottom w:val="none" w:sz="0" w:space="0" w:color="auto"/>
        <w:right w:val="none" w:sz="0" w:space="0" w:color="auto"/>
      </w:divBdr>
    </w:div>
    <w:div w:id="1892571476">
      <w:bodyDiv w:val="1"/>
      <w:marLeft w:val="0"/>
      <w:marRight w:val="0"/>
      <w:marTop w:val="0"/>
      <w:marBottom w:val="0"/>
      <w:divBdr>
        <w:top w:val="none" w:sz="0" w:space="0" w:color="auto"/>
        <w:left w:val="none" w:sz="0" w:space="0" w:color="auto"/>
        <w:bottom w:val="none" w:sz="0" w:space="0" w:color="auto"/>
        <w:right w:val="none" w:sz="0" w:space="0" w:color="auto"/>
      </w:divBdr>
    </w:div>
    <w:div w:id="1978338221">
      <w:bodyDiv w:val="1"/>
      <w:marLeft w:val="0"/>
      <w:marRight w:val="0"/>
      <w:marTop w:val="0"/>
      <w:marBottom w:val="0"/>
      <w:divBdr>
        <w:top w:val="none" w:sz="0" w:space="0" w:color="auto"/>
        <w:left w:val="none" w:sz="0" w:space="0" w:color="auto"/>
        <w:bottom w:val="none" w:sz="0" w:space="0" w:color="auto"/>
        <w:right w:val="none" w:sz="0" w:space="0" w:color="auto"/>
      </w:divBdr>
      <w:divsChild>
        <w:div w:id="803231543">
          <w:marLeft w:val="0"/>
          <w:marRight w:val="0"/>
          <w:marTop w:val="0"/>
          <w:marBottom w:val="0"/>
          <w:divBdr>
            <w:top w:val="none" w:sz="0" w:space="0" w:color="auto"/>
            <w:left w:val="none" w:sz="0" w:space="0" w:color="auto"/>
            <w:bottom w:val="none" w:sz="0" w:space="0" w:color="auto"/>
            <w:right w:val="none" w:sz="0" w:space="0" w:color="auto"/>
          </w:divBdr>
        </w:div>
      </w:divsChild>
    </w:div>
    <w:div w:id="1985348911">
      <w:bodyDiv w:val="1"/>
      <w:marLeft w:val="0"/>
      <w:marRight w:val="0"/>
      <w:marTop w:val="0"/>
      <w:marBottom w:val="0"/>
      <w:divBdr>
        <w:top w:val="none" w:sz="0" w:space="0" w:color="auto"/>
        <w:left w:val="none" w:sz="0" w:space="0" w:color="auto"/>
        <w:bottom w:val="none" w:sz="0" w:space="0" w:color="auto"/>
        <w:right w:val="none" w:sz="0" w:space="0" w:color="auto"/>
      </w:divBdr>
      <w:divsChild>
        <w:div w:id="14647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7.png"/><Relationship Id="rId10" Type="http://schemas.openxmlformats.org/officeDocument/2006/relationships/styles" Target="styl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e941b624-166c-4987-9ed6-d539972f16a8">
      <Value>2</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Long-Term</TermName>
          <TermId xmlns="http://schemas.microsoft.com/office/infopath/2007/PartnerControls">450f2ec9-198b-4bf0-b08c-74a80f1899d3</TermId>
        </TermInfo>
      </Terms>
    </gbbd9102adcd43839cd73b51972a464c>
    <Request_x0020_for_x0020_Approval xmlns="16b34d67-a1ca-495e-8fb4-11565d8c4918">true</Request_x0020_for_x0020_Approval>
    <_dlc_ExpireDate xmlns="http://schemas.microsoft.com/sharepoint/v3">2028-11-13T23:34:16+00:00</_dlc_ExpireDate>
    <_dlc_ExpireDateSaved xmlns="http://schemas.microsoft.com/sharepoint/v3" xsi:nil="true"/>
    <_dlc_DocId xmlns="b5647cf4-06b1-43f0-b1e3-8226c5e31ab4">QWXPN24VAEQZ-88-59</_dlc_DocId>
    <_dlc_DocIdUrl xmlns="b5647cf4-06b1-43f0-b1e3-8226c5e31ab4">
      <Url>http://sp-coll-bhc.ap.bayer.cnb/sites/200134/LPD/Specialty Medicine/_layouts/15/DocIdRedir.aspx?ID=QWXPN24VAEQZ-88-59</Url>
      <Description>QWXPN24VAEQZ-88-59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08E6599B1A1C409873AA9D45E2BFFC" ma:contentTypeVersion="27" ma:contentTypeDescription="Create a new document." ma:contentTypeScope="" ma:versionID="e0c068314989cd79d3a7c73b80147a7b">
  <xsd:schema xmlns:xsd="http://www.w3.org/2001/XMLSchema" xmlns:xs="http://www.w3.org/2001/XMLSchema" xmlns:p="http://schemas.microsoft.com/office/2006/metadata/properties" xmlns:ns1="http://schemas.microsoft.com/sharepoint/v3" xmlns:ns2="e941b624-166c-4987-9ed6-d539972f16a8" xmlns:ns3="16b34d67-a1ca-495e-8fb4-11565d8c4918" xmlns:ns5="b5647cf4-06b1-43f0-b1e3-8226c5e31ab4" targetNamespace="http://schemas.microsoft.com/office/2006/metadata/properties" ma:root="true" ma:fieldsID="5ff7e7a5345cb8a39ec84409600e7ade" ns1:_="" ns2:_="" ns3:_="" ns5:_="">
    <xsd:import namespace="http://schemas.microsoft.com/sharepoint/v3"/>
    <xsd:import namespace="e941b624-166c-4987-9ed6-d539972f16a8"/>
    <xsd:import namespace="16b34d67-a1ca-495e-8fb4-11565d8c4918"/>
    <xsd:import namespace="b5647cf4-06b1-43f0-b1e3-8226c5e31ab4"/>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Request_x0020_for_x0020_Approva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9b36b4f-26ab-4e3e-a976-9d786c30e454}" ma:internalName="TaxCatchAll" ma:showField="CatchAllData" ma:web="b5647cf4-06b1-43f0-b1e3-8226c5e31ab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e9b36b4f-26ab-4e3e-a976-9d786c30e454}" ma:internalName="TaxCatchAllLabel" ma:readOnly="true" ma:showField="CatchAllDataLabel" ma:web="b5647cf4-06b1-43f0-b1e3-8226c5e31ab4">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nillable="true" ma:taxonomy="true" ma:internalName="gbbd9102adcd43839cd73b51972a464c" ma:taxonomyFieldName="DataClassBayerRetention" ma:displayName="Data Class"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34d67-a1ca-495e-8fb4-11565d8c4918" elementFormDefault="qualified">
    <xsd:import namespace="http://schemas.microsoft.com/office/2006/documentManagement/types"/>
    <xsd:import namespace="http://schemas.microsoft.com/office/infopath/2007/PartnerControls"/>
    <xsd:element name="Request_x0020_for_x0020_Approval" ma:index="15" nillable="true" ma:displayName="Request for Approval" ma:default="1" ma:internalName="Request_x0020_for_x0020_Approval"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647cf4-06b1-43f0-b1e3-8226c5e31ab4"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c593367-9bb5-4764-945e-f6a26d2260c4"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4D5E-3AF3-4009-83AF-EAC2BC072EEA}">
  <ds:schemaRefs>
    <ds:schemaRef ds:uri="http://schemas.microsoft.com/sharepoint/events"/>
  </ds:schemaRefs>
</ds:datastoreItem>
</file>

<file path=customXml/itemProps2.xml><?xml version="1.0" encoding="utf-8"?>
<ds:datastoreItem xmlns:ds="http://schemas.openxmlformats.org/officeDocument/2006/customXml" ds:itemID="{51BCB4F4-29D8-429A-8634-5977944E8C51}">
  <ds:schemaRefs>
    <ds:schemaRef ds:uri="http://schemas.microsoft.com/office/2006/metadata/longProperties"/>
  </ds:schemaRefs>
</ds:datastoreItem>
</file>

<file path=customXml/itemProps3.xml><?xml version="1.0" encoding="utf-8"?>
<ds:datastoreItem xmlns:ds="http://schemas.openxmlformats.org/officeDocument/2006/customXml" ds:itemID="{7DD5537C-EA8D-459F-8460-8E1848156A3F}">
  <ds:schemaRefs>
    <ds:schemaRef ds:uri="office.server.policy"/>
  </ds:schemaRefs>
</ds:datastoreItem>
</file>

<file path=customXml/itemProps4.xml><?xml version="1.0" encoding="utf-8"?>
<ds:datastoreItem xmlns:ds="http://schemas.openxmlformats.org/officeDocument/2006/customXml" ds:itemID="{2DE6792A-F3CB-4701-9C3F-80BCB7DCB6B3}">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sharepoint/v3"/>
    <ds:schemaRef ds:uri="b5647cf4-06b1-43f0-b1e3-8226c5e31ab4"/>
    <ds:schemaRef ds:uri="16b34d67-a1ca-495e-8fb4-11565d8c4918"/>
    <ds:schemaRef ds:uri="e941b624-166c-4987-9ed6-d539972f16a8"/>
  </ds:schemaRefs>
</ds:datastoreItem>
</file>

<file path=customXml/itemProps5.xml><?xml version="1.0" encoding="utf-8"?>
<ds:datastoreItem xmlns:ds="http://schemas.openxmlformats.org/officeDocument/2006/customXml" ds:itemID="{F2255807-22DB-4FCA-B494-A02C9DEC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16b34d67-a1ca-495e-8fb4-11565d8c4918"/>
    <ds:schemaRef ds:uri="b5647cf4-06b1-43f0-b1e3-8226c5e31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20AE41-971A-42CE-A4F6-4E6A39E8A265}">
  <ds:schemaRefs>
    <ds:schemaRef ds:uri="Microsoft.SharePoint.Taxonomy.ContentTypeSync"/>
  </ds:schemaRefs>
</ds:datastoreItem>
</file>

<file path=customXml/itemProps7.xml><?xml version="1.0" encoding="utf-8"?>
<ds:datastoreItem xmlns:ds="http://schemas.openxmlformats.org/officeDocument/2006/customXml" ds:itemID="{B3657045-BD3F-4D4B-8C0A-DBAB593CD98B}">
  <ds:schemaRefs>
    <ds:schemaRef ds:uri="http://schemas.microsoft.com/sharepoint/v3/contenttype/forms"/>
  </ds:schemaRefs>
</ds:datastoreItem>
</file>

<file path=customXml/itemProps8.xml><?xml version="1.0" encoding="utf-8"?>
<ds:datastoreItem xmlns:ds="http://schemas.openxmlformats.org/officeDocument/2006/customXml" ds:itemID="{918E5953-FBF7-42A3-BB64-0EC69763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9944</Words>
  <Characters>57562</Characters>
  <Application>Microsoft Office Word</Application>
  <DocSecurity>0</DocSecurity>
  <Lines>1279</Lines>
  <Paragraphs>613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Attachment: Product Information: Regorafenib</vt:lpstr>
      <vt:lpstr>DRAFT PRODUCT INFORMATION</vt:lpstr>
    </vt:vector>
  </TitlesOfParts>
  <Company>Bayer</Company>
  <LinksUpToDate>false</LinksUpToDate>
  <CharactersWithSpaces>66893</CharactersWithSpaces>
  <SharedDoc>false</SharedDoc>
  <HLinks>
    <vt:vector size="18" baseType="variant">
      <vt:variant>
        <vt:i4>4259906</vt:i4>
      </vt:variant>
      <vt:variant>
        <vt:i4>9</vt:i4>
      </vt:variant>
      <vt:variant>
        <vt:i4>0</vt:i4>
      </vt:variant>
      <vt:variant>
        <vt:i4>5</vt:i4>
      </vt:variant>
      <vt:variant>
        <vt:lpwstr/>
      </vt:variant>
      <vt:variant>
        <vt:lpwstr>_Dose_modification</vt:lpwstr>
      </vt:variant>
      <vt:variant>
        <vt:i4>4456571</vt:i4>
      </vt:variant>
      <vt:variant>
        <vt:i4>6</vt:i4>
      </vt:variant>
      <vt:variant>
        <vt:i4>0</vt:i4>
      </vt:variant>
      <vt:variant>
        <vt:i4>5</vt:i4>
      </vt:variant>
      <vt:variant>
        <vt:lpwstr/>
      </vt:variant>
      <vt:variant>
        <vt:lpwstr>_Patients_with_hepatic</vt:lpwstr>
      </vt:variant>
      <vt:variant>
        <vt:i4>7798855</vt:i4>
      </vt:variant>
      <vt:variant>
        <vt:i4>3</vt:i4>
      </vt:variant>
      <vt:variant>
        <vt:i4>0</vt:i4>
      </vt:variant>
      <vt:variant>
        <vt:i4>5</vt:i4>
      </vt:variant>
      <vt:variant>
        <vt:lpwstr/>
      </vt:variant>
      <vt:variant>
        <vt:lpwstr>_Dosage_and_method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Regorafenib</dc:title>
  <dc:subject>prescription medicines</dc:subject>
  <cp:lastPrinted>2016-11-14T01:33:00Z</cp:lastPrinted>
  <dcterms:created xsi:type="dcterms:W3CDTF">2019-06-24T00:11:00Z</dcterms:created>
  <dcterms:modified xsi:type="dcterms:W3CDTF">2019-06-24T00:13:00Z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bbd9102adcd43839cd73b51972a464c">
    <vt:lpwstr>Long-Term|450f2ec9-198b-4bf0-b08c-74a80f1899d3</vt:lpwstr>
  </property>
  <property fmtid="{D5CDD505-2E9C-101B-9397-08002B2CF9AE}" pid="4" name="TaxCatchAll">
    <vt:lpwstr>3;#Long-Term|450f2ec9-198b-4bf0-b08c-74a80f1899d3</vt:lpwstr>
  </property>
  <property fmtid="{D5CDD505-2E9C-101B-9397-08002B2CF9AE}" pid="5" name="_dlc_ExpireDate">
    <vt:lpwstr>2026-09-24T03:55:35Z</vt:lpwstr>
  </property>
  <property fmtid="{D5CDD505-2E9C-101B-9397-08002B2CF9AE}" pid="6" name="ItemRetentionFormula">
    <vt:lpwstr>&lt;formula id="Bayer SharePoint Retention Policy 2.1" /&gt;</vt:lpwstr>
  </property>
  <property fmtid="{D5CDD505-2E9C-101B-9397-08002B2CF9AE}" pid="7" name="_dlc_policyId">
    <vt:lpwstr>0x0101|-2126682137</vt:lpwstr>
  </property>
  <property fmtid="{D5CDD505-2E9C-101B-9397-08002B2CF9AE}" pid="8" name="DataClassBayerRetention">
    <vt:lpwstr>2;#Long-Term|450f2ec9-198b-4bf0-b08c-74a80f1899d3</vt:lpwstr>
  </property>
  <property fmtid="{D5CDD505-2E9C-101B-9397-08002B2CF9AE}" pid="9" name="ContentTypeId">
    <vt:lpwstr>0x0101003D08E6599B1A1C409873AA9D45E2BFFC</vt:lpwstr>
  </property>
  <property fmtid="{D5CDD505-2E9C-101B-9397-08002B2CF9AE}" pid="10" name="_dlc_DocIdItemGuid">
    <vt:lpwstr>c084a96e-c45b-49fb-8e08-f200d594aaa4</vt:lpwstr>
  </property>
  <property fmtid="{D5CDD505-2E9C-101B-9397-08002B2CF9AE}" pid="11" name="_dlc_DocId">
    <vt:lpwstr>QWXPN24VAEQZ-88-46</vt:lpwstr>
  </property>
  <property fmtid="{D5CDD505-2E9C-101B-9397-08002B2CF9AE}" pid="12" name="_dlc_DocIdUrl">
    <vt:lpwstr>http://sp-coll-bhc.ap.bayer.cnb/sites/200134/LPD/Specialty%20Medicine/_layouts/DocIdRedir.aspx?ID=QWXPN24VAEQZ-88-46, QWXPN24VAEQZ-88-46</vt:lpwstr>
  </property>
</Properties>
</file>