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B10A9" w:rsidP="00096AA7">
            <w:pPr>
              <w:rPr>
                <w:rFonts w:ascii="Arial" w:hAnsi="Arial" w:cs="Arial"/>
                <w:b/>
                <w:color w:val="002C47"/>
                <w:sz w:val="36"/>
                <w:szCs w:val="36"/>
              </w:rPr>
            </w:pPr>
            <w:r>
              <w:rPr>
                <w:rFonts w:ascii="Arial" w:hAnsi="Arial" w:cs="Arial"/>
                <w:b/>
                <w:color w:val="002C47"/>
                <w:sz w:val="36"/>
                <w:szCs w:val="36"/>
              </w:rPr>
              <w:t>April</w:t>
            </w:r>
            <w:r w:rsidR="006F1F9E">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F1F9E">
            <w:pPr>
              <w:pStyle w:val="Title"/>
              <w:rPr>
                <w:color w:val="FFFFFF" w:themeColor="background1"/>
              </w:rPr>
            </w:pPr>
            <w:r w:rsidRPr="00A964D1">
              <w:rPr>
                <w:color w:val="FFFFFF" w:themeColor="background1"/>
              </w:rPr>
              <w:t xml:space="preserve">Australian Public Assessment Report for </w:t>
            </w:r>
            <w:r w:rsidR="006F1F9E">
              <w:rPr>
                <w:color w:val="FFFFFF" w:themeColor="background1"/>
              </w:rPr>
              <w:t>Regorafenib</w:t>
            </w:r>
          </w:p>
        </w:tc>
      </w:tr>
      <w:tr w:rsidR="0032583B" w:rsidRPr="00B64760" w:rsidTr="0032583B">
        <w:tc>
          <w:tcPr>
            <w:tcW w:w="9079" w:type="dxa"/>
          </w:tcPr>
          <w:p w:rsidR="0032583B" w:rsidRPr="008E7846" w:rsidRDefault="0032583B" w:rsidP="006F1F9E">
            <w:pPr>
              <w:pStyle w:val="Subtitle"/>
              <w:rPr>
                <w:color w:val="FFFFFF" w:themeColor="background1"/>
              </w:rPr>
            </w:pPr>
            <w:r w:rsidRPr="008E7846">
              <w:rPr>
                <w:color w:val="FFFFFF" w:themeColor="background1"/>
              </w:rPr>
              <w:t xml:space="preserve">Proprietary Product Name: </w:t>
            </w:r>
            <w:r w:rsidR="006F1F9E">
              <w:rPr>
                <w:color w:val="FFFFFF" w:themeColor="background1"/>
              </w:rPr>
              <w:t>Stivarga</w:t>
            </w:r>
          </w:p>
        </w:tc>
      </w:tr>
      <w:tr w:rsidR="0032583B" w:rsidRPr="00B64760" w:rsidTr="0032583B">
        <w:trPr>
          <w:trHeight w:val="486"/>
        </w:trPr>
        <w:tc>
          <w:tcPr>
            <w:tcW w:w="9079" w:type="dxa"/>
          </w:tcPr>
          <w:p w:rsidR="0032583B" w:rsidRPr="008E7846" w:rsidRDefault="0032583B" w:rsidP="006F1F9E">
            <w:pPr>
              <w:pStyle w:val="Subtitle"/>
              <w:rPr>
                <w:color w:val="FFFFFF" w:themeColor="background1"/>
              </w:rPr>
            </w:pPr>
            <w:r w:rsidRPr="008E7846">
              <w:rPr>
                <w:color w:val="FFFFFF" w:themeColor="background1"/>
              </w:rPr>
              <w:t xml:space="preserve">Sponsor: </w:t>
            </w:r>
            <w:r w:rsidR="006F1F9E">
              <w:rPr>
                <w:color w:val="FFFFFF" w:themeColor="background1"/>
              </w:rPr>
              <w:t>Bayer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A2E7B">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B12A5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2263446" w:history="1">
            <w:r w:rsidR="00B12A57" w:rsidRPr="00F86F3A">
              <w:rPr>
                <w:rStyle w:val="Hyperlink"/>
                <w:noProof/>
              </w:rPr>
              <w:t>Common abbreviations</w:t>
            </w:r>
            <w:r w:rsidR="00B12A57">
              <w:rPr>
                <w:noProof/>
                <w:webHidden/>
              </w:rPr>
              <w:tab/>
            </w:r>
            <w:r w:rsidR="00B12A57">
              <w:rPr>
                <w:noProof/>
                <w:webHidden/>
              </w:rPr>
              <w:fldChar w:fldCharType="begin"/>
            </w:r>
            <w:r w:rsidR="00B12A57">
              <w:rPr>
                <w:noProof/>
                <w:webHidden/>
              </w:rPr>
              <w:instrText xml:space="preserve"> PAGEREF _Toc12263446 \h </w:instrText>
            </w:r>
            <w:r w:rsidR="00B12A57">
              <w:rPr>
                <w:noProof/>
                <w:webHidden/>
              </w:rPr>
            </w:r>
            <w:r w:rsidR="00B12A57">
              <w:rPr>
                <w:noProof/>
                <w:webHidden/>
              </w:rPr>
              <w:fldChar w:fldCharType="separate"/>
            </w:r>
            <w:r w:rsidR="00B12A57">
              <w:rPr>
                <w:noProof/>
                <w:webHidden/>
              </w:rPr>
              <w:t>4</w:t>
            </w:r>
            <w:r w:rsidR="00B12A57">
              <w:rPr>
                <w:noProof/>
                <w:webHidden/>
              </w:rPr>
              <w:fldChar w:fldCharType="end"/>
            </w:r>
          </w:hyperlink>
        </w:p>
        <w:p w:rsidR="00B12A57" w:rsidRDefault="00B12A57">
          <w:pPr>
            <w:pStyle w:val="TOC2"/>
            <w:rPr>
              <w:rFonts w:asciiTheme="minorHAnsi" w:eastAsiaTheme="minorEastAsia" w:hAnsiTheme="minorHAnsi" w:cstheme="minorBidi"/>
              <w:b w:val="0"/>
              <w:noProof/>
              <w:sz w:val="22"/>
              <w:lang w:eastAsia="en-AU"/>
            </w:rPr>
          </w:pPr>
          <w:hyperlink w:anchor="_Toc12263447" w:history="1">
            <w:r w:rsidRPr="00F86F3A">
              <w:rPr>
                <w:rStyle w:val="Hyperlink"/>
                <w:noProof/>
              </w:rPr>
              <w:t>I. Introduction to product submission</w:t>
            </w:r>
            <w:r>
              <w:rPr>
                <w:noProof/>
                <w:webHidden/>
              </w:rPr>
              <w:tab/>
            </w:r>
            <w:r>
              <w:rPr>
                <w:noProof/>
                <w:webHidden/>
              </w:rPr>
              <w:fldChar w:fldCharType="begin"/>
            </w:r>
            <w:r>
              <w:rPr>
                <w:noProof/>
                <w:webHidden/>
              </w:rPr>
              <w:instrText xml:space="preserve"> PAGEREF _Toc12263447 \h </w:instrText>
            </w:r>
            <w:r>
              <w:rPr>
                <w:noProof/>
                <w:webHidden/>
              </w:rPr>
            </w:r>
            <w:r>
              <w:rPr>
                <w:noProof/>
                <w:webHidden/>
              </w:rPr>
              <w:fldChar w:fldCharType="separate"/>
            </w:r>
            <w:r>
              <w:rPr>
                <w:noProof/>
                <w:webHidden/>
              </w:rPr>
              <w:t>8</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48" w:history="1">
            <w:r w:rsidRPr="00F86F3A">
              <w:rPr>
                <w:rStyle w:val="Hyperlink"/>
                <w:noProof/>
                <w:lang w:eastAsia="en-AU"/>
              </w:rPr>
              <w:t>Submission details</w:t>
            </w:r>
            <w:r>
              <w:rPr>
                <w:noProof/>
                <w:webHidden/>
              </w:rPr>
              <w:tab/>
            </w:r>
            <w:r>
              <w:rPr>
                <w:noProof/>
                <w:webHidden/>
              </w:rPr>
              <w:fldChar w:fldCharType="begin"/>
            </w:r>
            <w:r>
              <w:rPr>
                <w:noProof/>
                <w:webHidden/>
              </w:rPr>
              <w:instrText xml:space="preserve"> PAGEREF _Toc12263448 \h </w:instrText>
            </w:r>
            <w:r>
              <w:rPr>
                <w:noProof/>
                <w:webHidden/>
              </w:rPr>
            </w:r>
            <w:r>
              <w:rPr>
                <w:noProof/>
                <w:webHidden/>
              </w:rPr>
              <w:fldChar w:fldCharType="separate"/>
            </w:r>
            <w:r>
              <w:rPr>
                <w:noProof/>
                <w:webHidden/>
              </w:rPr>
              <w:t>8</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49" w:history="1">
            <w:r w:rsidRPr="00F86F3A">
              <w:rPr>
                <w:rStyle w:val="Hyperlink"/>
                <w:noProof/>
              </w:rPr>
              <w:t>Product background</w:t>
            </w:r>
            <w:r>
              <w:rPr>
                <w:noProof/>
                <w:webHidden/>
              </w:rPr>
              <w:tab/>
            </w:r>
            <w:r>
              <w:rPr>
                <w:noProof/>
                <w:webHidden/>
              </w:rPr>
              <w:fldChar w:fldCharType="begin"/>
            </w:r>
            <w:r>
              <w:rPr>
                <w:noProof/>
                <w:webHidden/>
              </w:rPr>
              <w:instrText xml:space="preserve"> PAGEREF _Toc12263449 \h </w:instrText>
            </w:r>
            <w:r>
              <w:rPr>
                <w:noProof/>
                <w:webHidden/>
              </w:rPr>
            </w:r>
            <w:r>
              <w:rPr>
                <w:noProof/>
                <w:webHidden/>
              </w:rPr>
              <w:fldChar w:fldCharType="separate"/>
            </w:r>
            <w:r>
              <w:rPr>
                <w:noProof/>
                <w:webHidden/>
              </w:rPr>
              <w:t>8</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50" w:history="1">
            <w:r w:rsidRPr="00F86F3A">
              <w:rPr>
                <w:rStyle w:val="Hyperlink"/>
                <w:noProof/>
              </w:rPr>
              <w:t>Regulatory status</w:t>
            </w:r>
            <w:r>
              <w:rPr>
                <w:noProof/>
                <w:webHidden/>
              </w:rPr>
              <w:tab/>
            </w:r>
            <w:r>
              <w:rPr>
                <w:noProof/>
                <w:webHidden/>
              </w:rPr>
              <w:fldChar w:fldCharType="begin"/>
            </w:r>
            <w:r>
              <w:rPr>
                <w:noProof/>
                <w:webHidden/>
              </w:rPr>
              <w:instrText xml:space="preserve"> PAGEREF _Toc12263450 \h </w:instrText>
            </w:r>
            <w:r>
              <w:rPr>
                <w:noProof/>
                <w:webHidden/>
              </w:rPr>
            </w:r>
            <w:r>
              <w:rPr>
                <w:noProof/>
                <w:webHidden/>
              </w:rPr>
              <w:fldChar w:fldCharType="separate"/>
            </w:r>
            <w:r>
              <w:rPr>
                <w:noProof/>
                <w:webHidden/>
              </w:rPr>
              <w:t>11</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51" w:history="1">
            <w:r w:rsidRPr="00F86F3A">
              <w:rPr>
                <w:rStyle w:val="Hyperlink"/>
                <w:noProof/>
              </w:rPr>
              <w:t>Product Information</w:t>
            </w:r>
            <w:r>
              <w:rPr>
                <w:noProof/>
                <w:webHidden/>
              </w:rPr>
              <w:tab/>
            </w:r>
            <w:r>
              <w:rPr>
                <w:noProof/>
                <w:webHidden/>
              </w:rPr>
              <w:fldChar w:fldCharType="begin"/>
            </w:r>
            <w:r>
              <w:rPr>
                <w:noProof/>
                <w:webHidden/>
              </w:rPr>
              <w:instrText xml:space="preserve"> PAGEREF _Toc12263451 \h </w:instrText>
            </w:r>
            <w:r>
              <w:rPr>
                <w:noProof/>
                <w:webHidden/>
              </w:rPr>
            </w:r>
            <w:r>
              <w:rPr>
                <w:noProof/>
                <w:webHidden/>
              </w:rPr>
              <w:fldChar w:fldCharType="separate"/>
            </w:r>
            <w:r>
              <w:rPr>
                <w:noProof/>
                <w:webHidden/>
              </w:rPr>
              <w:t>12</w:t>
            </w:r>
            <w:r>
              <w:rPr>
                <w:noProof/>
                <w:webHidden/>
              </w:rPr>
              <w:fldChar w:fldCharType="end"/>
            </w:r>
          </w:hyperlink>
        </w:p>
        <w:p w:rsidR="00B12A57" w:rsidRDefault="00B12A57">
          <w:pPr>
            <w:pStyle w:val="TOC2"/>
            <w:rPr>
              <w:rFonts w:asciiTheme="minorHAnsi" w:eastAsiaTheme="minorEastAsia" w:hAnsiTheme="minorHAnsi" w:cstheme="minorBidi"/>
              <w:b w:val="0"/>
              <w:noProof/>
              <w:sz w:val="22"/>
              <w:lang w:eastAsia="en-AU"/>
            </w:rPr>
          </w:pPr>
          <w:hyperlink w:anchor="_Toc12263452" w:history="1">
            <w:r w:rsidRPr="00F86F3A">
              <w:rPr>
                <w:rStyle w:val="Hyperlink"/>
                <w:noProof/>
              </w:rPr>
              <w:t>II. Registration time line</w:t>
            </w:r>
            <w:r>
              <w:rPr>
                <w:noProof/>
                <w:webHidden/>
              </w:rPr>
              <w:tab/>
            </w:r>
            <w:r>
              <w:rPr>
                <w:noProof/>
                <w:webHidden/>
              </w:rPr>
              <w:fldChar w:fldCharType="begin"/>
            </w:r>
            <w:r>
              <w:rPr>
                <w:noProof/>
                <w:webHidden/>
              </w:rPr>
              <w:instrText xml:space="preserve"> PAGEREF _Toc12263452 \h </w:instrText>
            </w:r>
            <w:r>
              <w:rPr>
                <w:noProof/>
                <w:webHidden/>
              </w:rPr>
            </w:r>
            <w:r>
              <w:rPr>
                <w:noProof/>
                <w:webHidden/>
              </w:rPr>
              <w:fldChar w:fldCharType="separate"/>
            </w:r>
            <w:r>
              <w:rPr>
                <w:noProof/>
                <w:webHidden/>
              </w:rPr>
              <w:t>12</w:t>
            </w:r>
            <w:r>
              <w:rPr>
                <w:noProof/>
                <w:webHidden/>
              </w:rPr>
              <w:fldChar w:fldCharType="end"/>
            </w:r>
          </w:hyperlink>
        </w:p>
        <w:p w:rsidR="00B12A57" w:rsidRDefault="00B12A57">
          <w:pPr>
            <w:pStyle w:val="TOC2"/>
            <w:rPr>
              <w:rFonts w:asciiTheme="minorHAnsi" w:eastAsiaTheme="minorEastAsia" w:hAnsiTheme="minorHAnsi" w:cstheme="minorBidi"/>
              <w:b w:val="0"/>
              <w:noProof/>
              <w:sz w:val="22"/>
              <w:lang w:eastAsia="en-AU"/>
            </w:rPr>
          </w:pPr>
          <w:hyperlink w:anchor="_Toc12263453" w:history="1">
            <w:r w:rsidRPr="00F86F3A">
              <w:rPr>
                <w:rStyle w:val="Hyperlink"/>
                <w:noProof/>
              </w:rPr>
              <w:t>III. Quality findings</w:t>
            </w:r>
            <w:r>
              <w:rPr>
                <w:noProof/>
                <w:webHidden/>
              </w:rPr>
              <w:tab/>
            </w:r>
            <w:r>
              <w:rPr>
                <w:noProof/>
                <w:webHidden/>
              </w:rPr>
              <w:fldChar w:fldCharType="begin"/>
            </w:r>
            <w:r>
              <w:rPr>
                <w:noProof/>
                <w:webHidden/>
              </w:rPr>
              <w:instrText xml:space="preserve"> PAGEREF _Toc12263453 \h </w:instrText>
            </w:r>
            <w:r>
              <w:rPr>
                <w:noProof/>
                <w:webHidden/>
              </w:rPr>
            </w:r>
            <w:r>
              <w:rPr>
                <w:noProof/>
                <w:webHidden/>
              </w:rPr>
              <w:fldChar w:fldCharType="separate"/>
            </w:r>
            <w:r>
              <w:rPr>
                <w:noProof/>
                <w:webHidden/>
              </w:rPr>
              <w:t>13</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54" w:history="1">
            <w:r w:rsidRPr="00F86F3A">
              <w:rPr>
                <w:rStyle w:val="Hyperlink"/>
                <w:noProof/>
              </w:rPr>
              <w:t>Drug substance (active ingredient)</w:t>
            </w:r>
            <w:r>
              <w:rPr>
                <w:noProof/>
                <w:webHidden/>
              </w:rPr>
              <w:tab/>
            </w:r>
            <w:r>
              <w:rPr>
                <w:noProof/>
                <w:webHidden/>
              </w:rPr>
              <w:fldChar w:fldCharType="begin"/>
            </w:r>
            <w:r>
              <w:rPr>
                <w:noProof/>
                <w:webHidden/>
              </w:rPr>
              <w:instrText xml:space="preserve"> PAGEREF _Toc12263454 \h </w:instrText>
            </w:r>
            <w:r>
              <w:rPr>
                <w:noProof/>
                <w:webHidden/>
              </w:rPr>
            </w:r>
            <w:r>
              <w:rPr>
                <w:noProof/>
                <w:webHidden/>
              </w:rPr>
              <w:fldChar w:fldCharType="separate"/>
            </w:r>
            <w:r>
              <w:rPr>
                <w:noProof/>
                <w:webHidden/>
              </w:rPr>
              <w:t>13</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55" w:history="1">
            <w:r w:rsidRPr="00F86F3A">
              <w:rPr>
                <w:rStyle w:val="Hyperlink"/>
                <w:noProof/>
              </w:rPr>
              <w:t>Drug product</w:t>
            </w:r>
            <w:r>
              <w:rPr>
                <w:noProof/>
                <w:webHidden/>
              </w:rPr>
              <w:tab/>
            </w:r>
            <w:r>
              <w:rPr>
                <w:noProof/>
                <w:webHidden/>
              </w:rPr>
              <w:fldChar w:fldCharType="begin"/>
            </w:r>
            <w:r>
              <w:rPr>
                <w:noProof/>
                <w:webHidden/>
              </w:rPr>
              <w:instrText xml:space="preserve"> PAGEREF _Toc12263455 \h </w:instrText>
            </w:r>
            <w:r>
              <w:rPr>
                <w:noProof/>
                <w:webHidden/>
              </w:rPr>
            </w:r>
            <w:r>
              <w:rPr>
                <w:noProof/>
                <w:webHidden/>
              </w:rPr>
              <w:fldChar w:fldCharType="separate"/>
            </w:r>
            <w:r>
              <w:rPr>
                <w:noProof/>
                <w:webHidden/>
              </w:rPr>
              <w:t>13</w:t>
            </w:r>
            <w:r>
              <w:rPr>
                <w:noProof/>
                <w:webHidden/>
              </w:rPr>
              <w:fldChar w:fldCharType="end"/>
            </w:r>
          </w:hyperlink>
        </w:p>
        <w:p w:rsidR="00B12A57" w:rsidRDefault="00B12A57">
          <w:pPr>
            <w:pStyle w:val="TOC2"/>
            <w:rPr>
              <w:rFonts w:asciiTheme="minorHAnsi" w:eastAsiaTheme="minorEastAsia" w:hAnsiTheme="minorHAnsi" w:cstheme="minorBidi"/>
              <w:b w:val="0"/>
              <w:noProof/>
              <w:sz w:val="22"/>
              <w:lang w:eastAsia="en-AU"/>
            </w:rPr>
          </w:pPr>
          <w:hyperlink w:anchor="_Toc12263456" w:history="1">
            <w:r w:rsidRPr="00F86F3A">
              <w:rPr>
                <w:rStyle w:val="Hyperlink"/>
                <w:noProof/>
              </w:rPr>
              <w:t>IV. Nonclinical findings</w:t>
            </w:r>
            <w:r>
              <w:rPr>
                <w:noProof/>
                <w:webHidden/>
              </w:rPr>
              <w:tab/>
            </w:r>
            <w:r>
              <w:rPr>
                <w:noProof/>
                <w:webHidden/>
              </w:rPr>
              <w:fldChar w:fldCharType="begin"/>
            </w:r>
            <w:r>
              <w:rPr>
                <w:noProof/>
                <w:webHidden/>
              </w:rPr>
              <w:instrText xml:space="preserve"> PAGEREF _Toc12263456 \h </w:instrText>
            </w:r>
            <w:r>
              <w:rPr>
                <w:noProof/>
                <w:webHidden/>
              </w:rPr>
            </w:r>
            <w:r>
              <w:rPr>
                <w:noProof/>
                <w:webHidden/>
              </w:rPr>
              <w:fldChar w:fldCharType="separate"/>
            </w:r>
            <w:r>
              <w:rPr>
                <w:noProof/>
                <w:webHidden/>
              </w:rPr>
              <w:t>13</w:t>
            </w:r>
            <w:r>
              <w:rPr>
                <w:noProof/>
                <w:webHidden/>
              </w:rPr>
              <w:fldChar w:fldCharType="end"/>
            </w:r>
          </w:hyperlink>
        </w:p>
        <w:p w:rsidR="00B12A57" w:rsidRDefault="00B12A57">
          <w:pPr>
            <w:pStyle w:val="TOC2"/>
            <w:rPr>
              <w:rFonts w:asciiTheme="minorHAnsi" w:eastAsiaTheme="minorEastAsia" w:hAnsiTheme="minorHAnsi" w:cstheme="minorBidi"/>
              <w:b w:val="0"/>
              <w:noProof/>
              <w:sz w:val="22"/>
              <w:lang w:eastAsia="en-AU"/>
            </w:rPr>
          </w:pPr>
          <w:hyperlink w:anchor="_Toc12263457" w:history="1">
            <w:r w:rsidRPr="00F86F3A">
              <w:rPr>
                <w:rStyle w:val="Hyperlink"/>
                <w:noProof/>
              </w:rPr>
              <w:t>V. Clinical findings</w:t>
            </w:r>
            <w:r>
              <w:rPr>
                <w:noProof/>
                <w:webHidden/>
              </w:rPr>
              <w:tab/>
            </w:r>
            <w:r>
              <w:rPr>
                <w:noProof/>
                <w:webHidden/>
              </w:rPr>
              <w:fldChar w:fldCharType="begin"/>
            </w:r>
            <w:r>
              <w:rPr>
                <w:noProof/>
                <w:webHidden/>
              </w:rPr>
              <w:instrText xml:space="preserve"> PAGEREF _Toc12263457 \h </w:instrText>
            </w:r>
            <w:r>
              <w:rPr>
                <w:noProof/>
                <w:webHidden/>
              </w:rPr>
            </w:r>
            <w:r>
              <w:rPr>
                <w:noProof/>
                <w:webHidden/>
              </w:rPr>
              <w:fldChar w:fldCharType="separate"/>
            </w:r>
            <w:r>
              <w:rPr>
                <w:noProof/>
                <w:webHidden/>
              </w:rPr>
              <w:t>14</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58" w:history="1">
            <w:r w:rsidRPr="00F86F3A">
              <w:rPr>
                <w:rStyle w:val="Hyperlink"/>
                <w:noProof/>
              </w:rPr>
              <w:t>Introduction</w:t>
            </w:r>
            <w:r>
              <w:rPr>
                <w:noProof/>
                <w:webHidden/>
              </w:rPr>
              <w:tab/>
            </w:r>
            <w:r>
              <w:rPr>
                <w:noProof/>
                <w:webHidden/>
              </w:rPr>
              <w:fldChar w:fldCharType="begin"/>
            </w:r>
            <w:r>
              <w:rPr>
                <w:noProof/>
                <w:webHidden/>
              </w:rPr>
              <w:instrText xml:space="preserve"> PAGEREF _Toc12263458 \h </w:instrText>
            </w:r>
            <w:r>
              <w:rPr>
                <w:noProof/>
                <w:webHidden/>
              </w:rPr>
            </w:r>
            <w:r>
              <w:rPr>
                <w:noProof/>
                <w:webHidden/>
              </w:rPr>
              <w:fldChar w:fldCharType="separate"/>
            </w:r>
            <w:r>
              <w:rPr>
                <w:noProof/>
                <w:webHidden/>
              </w:rPr>
              <w:t>14</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59" w:history="1">
            <w:r w:rsidRPr="00F86F3A">
              <w:rPr>
                <w:rStyle w:val="Hyperlink"/>
                <w:noProof/>
              </w:rPr>
              <w:t>Pharmacokinetics</w:t>
            </w:r>
            <w:r>
              <w:rPr>
                <w:noProof/>
                <w:webHidden/>
              </w:rPr>
              <w:tab/>
            </w:r>
            <w:r>
              <w:rPr>
                <w:noProof/>
                <w:webHidden/>
              </w:rPr>
              <w:fldChar w:fldCharType="begin"/>
            </w:r>
            <w:r>
              <w:rPr>
                <w:noProof/>
                <w:webHidden/>
              </w:rPr>
              <w:instrText xml:space="preserve"> PAGEREF _Toc12263459 \h </w:instrText>
            </w:r>
            <w:r>
              <w:rPr>
                <w:noProof/>
                <w:webHidden/>
              </w:rPr>
            </w:r>
            <w:r>
              <w:rPr>
                <w:noProof/>
                <w:webHidden/>
              </w:rPr>
              <w:fldChar w:fldCharType="separate"/>
            </w:r>
            <w:r>
              <w:rPr>
                <w:noProof/>
                <w:webHidden/>
              </w:rPr>
              <w:t>15</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60" w:history="1">
            <w:r w:rsidRPr="00F86F3A">
              <w:rPr>
                <w:rStyle w:val="Hyperlink"/>
                <w:noProof/>
              </w:rPr>
              <w:t>Pharmacodynamics</w:t>
            </w:r>
            <w:r>
              <w:rPr>
                <w:noProof/>
                <w:webHidden/>
              </w:rPr>
              <w:tab/>
            </w:r>
            <w:r>
              <w:rPr>
                <w:noProof/>
                <w:webHidden/>
              </w:rPr>
              <w:fldChar w:fldCharType="begin"/>
            </w:r>
            <w:r>
              <w:rPr>
                <w:noProof/>
                <w:webHidden/>
              </w:rPr>
              <w:instrText xml:space="preserve"> PAGEREF _Toc12263460 \h </w:instrText>
            </w:r>
            <w:r>
              <w:rPr>
                <w:noProof/>
                <w:webHidden/>
              </w:rPr>
            </w:r>
            <w:r>
              <w:rPr>
                <w:noProof/>
                <w:webHidden/>
              </w:rPr>
              <w:fldChar w:fldCharType="separate"/>
            </w:r>
            <w:r>
              <w:rPr>
                <w:noProof/>
                <w:webHidden/>
              </w:rPr>
              <w:t>17</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61" w:history="1">
            <w:r w:rsidRPr="00F86F3A">
              <w:rPr>
                <w:rStyle w:val="Hyperlink"/>
                <w:noProof/>
              </w:rPr>
              <w:t>Dosage selection for the pivotal studies</w:t>
            </w:r>
            <w:r>
              <w:rPr>
                <w:noProof/>
                <w:webHidden/>
              </w:rPr>
              <w:tab/>
            </w:r>
            <w:r>
              <w:rPr>
                <w:noProof/>
                <w:webHidden/>
              </w:rPr>
              <w:fldChar w:fldCharType="begin"/>
            </w:r>
            <w:r>
              <w:rPr>
                <w:noProof/>
                <w:webHidden/>
              </w:rPr>
              <w:instrText xml:space="preserve"> PAGEREF _Toc12263461 \h </w:instrText>
            </w:r>
            <w:r>
              <w:rPr>
                <w:noProof/>
                <w:webHidden/>
              </w:rPr>
            </w:r>
            <w:r>
              <w:rPr>
                <w:noProof/>
                <w:webHidden/>
              </w:rPr>
              <w:fldChar w:fldCharType="separate"/>
            </w:r>
            <w:r>
              <w:rPr>
                <w:noProof/>
                <w:webHidden/>
              </w:rPr>
              <w:t>18</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62" w:history="1">
            <w:r w:rsidRPr="00F86F3A">
              <w:rPr>
                <w:rStyle w:val="Hyperlink"/>
                <w:noProof/>
              </w:rPr>
              <w:t>Efficacy</w:t>
            </w:r>
            <w:r>
              <w:rPr>
                <w:noProof/>
                <w:webHidden/>
              </w:rPr>
              <w:tab/>
            </w:r>
            <w:r>
              <w:rPr>
                <w:noProof/>
                <w:webHidden/>
              </w:rPr>
              <w:fldChar w:fldCharType="begin"/>
            </w:r>
            <w:r>
              <w:rPr>
                <w:noProof/>
                <w:webHidden/>
              </w:rPr>
              <w:instrText xml:space="preserve"> PAGEREF _Toc12263462 \h </w:instrText>
            </w:r>
            <w:r>
              <w:rPr>
                <w:noProof/>
                <w:webHidden/>
              </w:rPr>
            </w:r>
            <w:r>
              <w:rPr>
                <w:noProof/>
                <w:webHidden/>
              </w:rPr>
              <w:fldChar w:fldCharType="separate"/>
            </w:r>
            <w:r>
              <w:rPr>
                <w:noProof/>
                <w:webHidden/>
              </w:rPr>
              <w:t>18</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63" w:history="1">
            <w:r w:rsidRPr="00F86F3A">
              <w:rPr>
                <w:rStyle w:val="Hyperlink"/>
                <w:noProof/>
              </w:rPr>
              <w:t>Safety</w:t>
            </w:r>
            <w:r>
              <w:rPr>
                <w:noProof/>
                <w:webHidden/>
              </w:rPr>
              <w:tab/>
            </w:r>
            <w:r>
              <w:rPr>
                <w:noProof/>
                <w:webHidden/>
              </w:rPr>
              <w:fldChar w:fldCharType="begin"/>
            </w:r>
            <w:r>
              <w:rPr>
                <w:noProof/>
                <w:webHidden/>
              </w:rPr>
              <w:instrText xml:space="preserve"> PAGEREF _Toc12263463 \h </w:instrText>
            </w:r>
            <w:r>
              <w:rPr>
                <w:noProof/>
                <w:webHidden/>
              </w:rPr>
            </w:r>
            <w:r>
              <w:rPr>
                <w:noProof/>
                <w:webHidden/>
              </w:rPr>
              <w:fldChar w:fldCharType="separate"/>
            </w:r>
            <w:r>
              <w:rPr>
                <w:noProof/>
                <w:webHidden/>
              </w:rPr>
              <w:t>20</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64" w:history="1">
            <w:r w:rsidRPr="00F86F3A">
              <w:rPr>
                <w:rStyle w:val="Hyperlink"/>
                <w:noProof/>
              </w:rPr>
              <w:t>First round benefit-risk assessment</w:t>
            </w:r>
            <w:r>
              <w:rPr>
                <w:noProof/>
                <w:webHidden/>
              </w:rPr>
              <w:tab/>
            </w:r>
            <w:r>
              <w:rPr>
                <w:noProof/>
                <w:webHidden/>
              </w:rPr>
              <w:fldChar w:fldCharType="begin"/>
            </w:r>
            <w:r>
              <w:rPr>
                <w:noProof/>
                <w:webHidden/>
              </w:rPr>
              <w:instrText xml:space="preserve"> PAGEREF _Toc12263464 \h </w:instrText>
            </w:r>
            <w:r>
              <w:rPr>
                <w:noProof/>
                <w:webHidden/>
              </w:rPr>
            </w:r>
            <w:r>
              <w:rPr>
                <w:noProof/>
                <w:webHidden/>
              </w:rPr>
              <w:fldChar w:fldCharType="separate"/>
            </w:r>
            <w:r>
              <w:rPr>
                <w:noProof/>
                <w:webHidden/>
              </w:rPr>
              <w:t>36</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65" w:history="1">
            <w:r w:rsidRPr="00F86F3A">
              <w:rPr>
                <w:rStyle w:val="Hyperlink"/>
                <w:noProof/>
              </w:rPr>
              <w:t>Clinical questions</w:t>
            </w:r>
            <w:r>
              <w:rPr>
                <w:noProof/>
                <w:webHidden/>
              </w:rPr>
              <w:tab/>
            </w:r>
            <w:r>
              <w:rPr>
                <w:noProof/>
                <w:webHidden/>
              </w:rPr>
              <w:fldChar w:fldCharType="begin"/>
            </w:r>
            <w:r>
              <w:rPr>
                <w:noProof/>
                <w:webHidden/>
              </w:rPr>
              <w:instrText xml:space="preserve"> PAGEREF _Toc12263465 \h </w:instrText>
            </w:r>
            <w:r>
              <w:rPr>
                <w:noProof/>
                <w:webHidden/>
              </w:rPr>
            </w:r>
            <w:r>
              <w:rPr>
                <w:noProof/>
                <w:webHidden/>
              </w:rPr>
              <w:fldChar w:fldCharType="separate"/>
            </w:r>
            <w:r>
              <w:rPr>
                <w:noProof/>
                <w:webHidden/>
              </w:rPr>
              <w:t>37</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66" w:history="1">
            <w:r w:rsidRPr="00F86F3A">
              <w:rPr>
                <w:rStyle w:val="Hyperlink"/>
                <w:noProof/>
              </w:rPr>
              <w:t>Second round evaluation</w:t>
            </w:r>
            <w:r>
              <w:rPr>
                <w:noProof/>
                <w:webHidden/>
              </w:rPr>
              <w:tab/>
            </w:r>
            <w:r>
              <w:rPr>
                <w:noProof/>
                <w:webHidden/>
              </w:rPr>
              <w:fldChar w:fldCharType="begin"/>
            </w:r>
            <w:r>
              <w:rPr>
                <w:noProof/>
                <w:webHidden/>
              </w:rPr>
              <w:instrText xml:space="preserve"> PAGEREF _Toc12263466 \h </w:instrText>
            </w:r>
            <w:r>
              <w:rPr>
                <w:noProof/>
                <w:webHidden/>
              </w:rPr>
            </w:r>
            <w:r>
              <w:rPr>
                <w:noProof/>
                <w:webHidden/>
              </w:rPr>
              <w:fldChar w:fldCharType="separate"/>
            </w:r>
            <w:r>
              <w:rPr>
                <w:noProof/>
                <w:webHidden/>
              </w:rPr>
              <w:t>37</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67" w:history="1">
            <w:r w:rsidRPr="00F86F3A">
              <w:rPr>
                <w:rStyle w:val="Hyperlink"/>
                <w:noProof/>
              </w:rPr>
              <w:t>Second round benefit-risk assessment</w:t>
            </w:r>
            <w:r>
              <w:rPr>
                <w:noProof/>
                <w:webHidden/>
              </w:rPr>
              <w:tab/>
            </w:r>
            <w:r>
              <w:rPr>
                <w:noProof/>
                <w:webHidden/>
              </w:rPr>
              <w:fldChar w:fldCharType="begin"/>
            </w:r>
            <w:r>
              <w:rPr>
                <w:noProof/>
                <w:webHidden/>
              </w:rPr>
              <w:instrText xml:space="preserve"> PAGEREF _Toc12263467 \h </w:instrText>
            </w:r>
            <w:r>
              <w:rPr>
                <w:noProof/>
                <w:webHidden/>
              </w:rPr>
            </w:r>
            <w:r>
              <w:rPr>
                <w:noProof/>
                <w:webHidden/>
              </w:rPr>
              <w:fldChar w:fldCharType="separate"/>
            </w:r>
            <w:r>
              <w:rPr>
                <w:noProof/>
                <w:webHidden/>
              </w:rPr>
              <w:t>39</w:t>
            </w:r>
            <w:r>
              <w:rPr>
                <w:noProof/>
                <w:webHidden/>
              </w:rPr>
              <w:fldChar w:fldCharType="end"/>
            </w:r>
          </w:hyperlink>
        </w:p>
        <w:p w:rsidR="00B12A57" w:rsidRDefault="00B12A57">
          <w:pPr>
            <w:pStyle w:val="TOC2"/>
            <w:rPr>
              <w:rFonts w:asciiTheme="minorHAnsi" w:eastAsiaTheme="minorEastAsia" w:hAnsiTheme="minorHAnsi" w:cstheme="minorBidi"/>
              <w:b w:val="0"/>
              <w:noProof/>
              <w:sz w:val="22"/>
              <w:lang w:eastAsia="en-AU"/>
            </w:rPr>
          </w:pPr>
          <w:hyperlink w:anchor="_Toc12263468" w:history="1">
            <w:r w:rsidRPr="00F86F3A">
              <w:rPr>
                <w:rStyle w:val="Hyperlink"/>
                <w:noProof/>
              </w:rPr>
              <w:t>VI. Pharmacovigilance findings</w:t>
            </w:r>
            <w:r>
              <w:rPr>
                <w:noProof/>
                <w:webHidden/>
              </w:rPr>
              <w:tab/>
            </w:r>
            <w:r>
              <w:rPr>
                <w:noProof/>
                <w:webHidden/>
              </w:rPr>
              <w:fldChar w:fldCharType="begin"/>
            </w:r>
            <w:r>
              <w:rPr>
                <w:noProof/>
                <w:webHidden/>
              </w:rPr>
              <w:instrText xml:space="preserve"> PAGEREF _Toc12263468 \h </w:instrText>
            </w:r>
            <w:r>
              <w:rPr>
                <w:noProof/>
                <w:webHidden/>
              </w:rPr>
            </w:r>
            <w:r>
              <w:rPr>
                <w:noProof/>
                <w:webHidden/>
              </w:rPr>
              <w:fldChar w:fldCharType="separate"/>
            </w:r>
            <w:r>
              <w:rPr>
                <w:noProof/>
                <w:webHidden/>
              </w:rPr>
              <w:t>40</w:t>
            </w:r>
            <w:r>
              <w:rPr>
                <w:noProof/>
                <w:webHidden/>
              </w:rPr>
              <w:fldChar w:fldCharType="end"/>
            </w:r>
          </w:hyperlink>
        </w:p>
        <w:p w:rsidR="00B12A57" w:rsidRDefault="00B12A57">
          <w:pPr>
            <w:pStyle w:val="TOC2"/>
            <w:rPr>
              <w:rFonts w:asciiTheme="minorHAnsi" w:eastAsiaTheme="minorEastAsia" w:hAnsiTheme="minorHAnsi" w:cstheme="minorBidi"/>
              <w:b w:val="0"/>
              <w:noProof/>
              <w:sz w:val="22"/>
              <w:lang w:eastAsia="en-AU"/>
            </w:rPr>
          </w:pPr>
          <w:hyperlink w:anchor="_Toc12263469" w:history="1">
            <w:r w:rsidRPr="00F86F3A">
              <w:rPr>
                <w:rStyle w:val="Hyperlink"/>
                <w:noProof/>
              </w:rPr>
              <w:t>VII. Overall conclusion and risk/benefit assessment</w:t>
            </w:r>
            <w:r>
              <w:rPr>
                <w:noProof/>
                <w:webHidden/>
              </w:rPr>
              <w:tab/>
            </w:r>
            <w:r>
              <w:rPr>
                <w:noProof/>
                <w:webHidden/>
              </w:rPr>
              <w:fldChar w:fldCharType="begin"/>
            </w:r>
            <w:r>
              <w:rPr>
                <w:noProof/>
                <w:webHidden/>
              </w:rPr>
              <w:instrText xml:space="preserve"> PAGEREF _Toc12263469 \h </w:instrText>
            </w:r>
            <w:r>
              <w:rPr>
                <w:noProof/>
                <w:webHidden/>
              </w:rPr>
            </w:r>
            <w:r>
              <w:rPr>
                <w:noProof/>
                <w:webHidden/>
              </w:rPr>
              <w:fldChar w:fldCharType="separate"/>
            </w:r>
            <w:r>
              <w:rPr>
                <w:noProof/>
                <w:webHidden/>
              </w:rPr>
              <w:t>40</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70" w:history="1">
            <w:r w:rsidRPr="00F86F3A">
              <w:rPr>
                <w:rStyle w:val="Hyperlink"/>
                <w:noProof/>
              </w:rPr>
              <w:t>Quality</w:t>
            </w:r>
            <w:r>
              <w:rPr>
                <w:noProof/>
                <w:webHidden/>
              </w:rPr>
              <w:tab/>
            </w:r>
            <w:r>
              <w:rPr>
                <w:noProof/>
                <w:webHidden/>
              </w:rPr>
              <w:fldChar w:fldCharType="begin"/>
            </w:r>
            <w:r>
              <w:rPr>
                <w:noProof/>
                <w:webHidden/>
              </w:rPr>
              <w:instrText xml:space="preserve"> PAGEREF _Toc12263470 \h </w:instrText>
            </w:r>
            <w:r>
              <w:rPr>
                <w:noProof/>
                <w:webHidden/>
              </w:rPr>
            </w:r>
            <w:r>
              <w:rPr>
                <w:noProof/>
                <w:webHidden/>
              </w:rPr>
              <w:fldChar w:fldCharType="separate"/>
            </w:r>
            <w:r>
              <w:rPr>
                <w:noProof/>
                <w:webHidden/>
              </w:rPr>
              <w:t>40</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71" w:history="1">
            <w:r w:rsidRPr="00F86F3A">
              <w:rPr>
                <w:rStyle w:val="Hyperlink"/>
                <w:noProof/>
              </w:rPr>
              <w:t>Nonclinical</w:t>
            </w:r>
            <w:r>
              <w:rPr>
                <w:noProof/>
                <w:webHidden/>
              </w:rPr>
              <w:tab/>
            </w:r>
            <w:r>
              <w:rPr>
                <w:noProof/>
                <w:webHidden/>
              </w:rPr>
              <w:fldChar w:fldCharType="begin"/>
            </w:r>
            <w:r>
              <w:rPr>
                <w:noProof/>
                <w:webHidden/>
              </w:rPr>
              <w:instrText xml:space="preserve"> PAGEREF _Toc12263471 \h </w:instrText>
            </w:r>
            <w:r>
              <w:rPr>
                <w:noProof/>
                <w:webHidden/>
              </w:rPr>
            </w:r>
            <w:r>
              <w:rPr>
                <w:noProof/>
                <w:webHidden/>
              </w:rPr>
              <w:fldChar w:fldCharType="separate"/>
            </w:r>
            <w:r>
              <w:rPr>
                <w:noProof/>
                <w:webHidden/>
              </w:rPr>
              <w:t>40</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72" w:history="1">
            <w:r w:rsidRPr="00F86F3A">
              <w:rPr>
                <w:rStyle w:val="Hyperlink"/>
                <w:noProof/>
              </w:rPr>
              <w:t>Clinical</w:t>
            </w:r>
            <w:r>
              <w:rPr>
                <w:noProof/>
                <w:webHidden/>
              </w:rPr>
              <w:tab/>
            </w:r>
            <w:r>
              <w:rPr>
                <w:noProof/>
                <w:webHidden/>
              </w:rPr>
              <w:fldChar w:fldCharType="begin"/>
            </w:r>
            <w:r>
              <w:rPr>
                <w:noProof/>
                <w:webHidden/>
              </w:rPr>
              <w:instrText xml:space="preserve"> PAGEREF _Toc12263472 \h </w:instrText>
            </w:r>
            <w:r>
              <w:rPr>
                <w:noProof/>
                <w:webHidden/>
              </w:rPr>
            </w:r>
            <w:r>
              <w:rPr>
                <w:noProof/>
                <w:webHidden/>
              </w:rPr>
              <w:fldChar w:fldCharType="separate"/>
            </w:r>
            <w:r>
              <w:rPr>
                <w:noProof/>
                <w:webHidden/>
              </w:rPr>
              <w:t>40</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73" w:history="1">
            <w:r w:rsidRPr="00F86F3A">
              <w:rPr>
                <w:rStyle w:val="Hyperlink"/>
                <w:noProof/>
                <w:lang w:eastAsia="en-AU"/>
              </w:rPr>
              <w:t>Risk management plan</w:t>
            </w:r>
            <w:r>
              <w:rPr>
                <w:noProof/>
                <w:webHidden/>
              </w:rPr>
              <w:tab/>
            </w:r>
            <w:r>
              <w:rPr>
                <w:noProof/>
                <w:webHidden/>
              </w:rPr>
              <w:fldChar w:fldCharType="begin"/>
            </w:r>
            <w:r>
              <w:rPr>
                <w:noProof/>
                <w:webHidden/>
              </w:rPr>
              <w:instrText xml:space="preserve"> PAGEREF _Toc12263473 \h </w:instrText>
            </w:r>
            <w:r>
              <w:rPr>
                <w:noProof/>
                <w:webHidden/>
              </w:rPr>
            </w:r>
            <w:r>
              <w:rPr>
                <w:noProof/>
                <w:webHidden/>
              </w:rPr>
              <w:fldChar w:fldCharType="separate"/>
            </w:r>
            <w:r>
              <w:rPr>
                <w:noProof/>
                <w:webHidden/>
              </w:rPr>
              <w:t>48</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74" w:history="1">
            <w:r w:rsidRPr="00F86F3A">
              <w:rPr>
                <w:rStyle w:val="Hyperlink"/>
                <w:noProof/>
              </w:rPr>
              <w:t>Risk-benefit analysis</w:t>
            </w:r>
            <w:r>
              <w:rPr>
                <w:noProof/>
                <w:webHidden/>
              </w:rPr>
              <w:tab/>
            </w:r>
            <w:r>
              <w:rPr>
                <w:noProof/>
                <w:webHidden/>
              </w:rPr>
              <w:fldChar w:fldCharType="begin"/>
            </w:r>
            <w:r>
              <w:rPr>
                <w:noProof/>
                <w:webHidden/>
              </w:rPr>
              <w:instrText xml:space="preserve"> PAGEREF _Toc12263474 \h </w:instrText>
            </w:r>
            <w:r>
              <w:rPr>
                <w:noProof/>
                <w:webHidden/>
              </w:rPr>
            </w:r>
            <w:r>
              <w:rPr>
                <w:noProof/>
                <w:webHidden/>
              </w:rPr>
              <w:fldChar w:fldCharType="separate"/>
            </w:r>
            <w:r>
              <w:rPr>
                <w:noProof/>
                <w:webHidden/>
              </w:rPr>
              <w:t>49</w:t>
            </w:r>
            <w:r>
              <w:rPr>
                <w:noProof/>
                <w:webHidden/>
              </w:rPr>
              <w:fldChar w:fldCharType="end"/>
            </w:r>
          </w:hyperlink>
        </w:p>
        <w:p w:rsidR="00B12A57" w:rsidRDefault="00B12A57">
          <w:pPr>
            <w:pStyle w:val="TOC3"/>
            <w:rPr>
              <w:rFonts w:asciiTheme="minorHAnsi" w:eastAsiaTheme="minorEastAsia" w:hAnsiTheme="minorHAnsi" w:cstheme="minorBidi"/>
              <w:noProof/>
              <w:lang w:eastAsia="en-AU"/>
            </w:rPr>
          </w:pPr>
          <w:hyperlink w:anchor="_Toc12263475" w:history="1">
            <w:r w:rsidRPr="00F86F3A">
              <w:rPr>
                <w:rStyle w:val="Hyperlink"/>
                <w:noProof/>
              </w:rPr>
              <w:t>Outcome</w:t>
            </w:r>
            <w:r>
              <w:rPr>
                <w:noProof/>
                <w:webHidden/>
              </w:rPr>
              <w:tab/>
            </w:r>
            <w:r>
              <w:rPr>
                <w:noProof/>
                <w:webHidden/>
              </w:rPr>
              <w:fldChar w:fldCharType="begin"/>
            </w:r>
            <w:r>
              <w:rPr>
                <w:noProof/>
                <w:webHidden/>
              </w:rPr>
              <w:instrText xml:space="preserve"> PAGEREF _Toc12263475 \h </w:instrText>
            </w:r>
            <w:r>
              <w:rPr>
                <w:noProof/>
                <w:webHidden/>
              </w:rPr>
            </w:r>
            <w:r>
              <w:rPr>
                <w:noProof/>
                <w:webHidden/>
              </w:rPr>
              <w:fldChar w:fldCharType="separate"/>
            </w:r>
            <w:r>
              <w:rPr>
                <w:noProof/>
                <w:webHidden/>
              </w:rPr>
              <w:t>51</w:t>
            </w:r>
            <w:r>
              <w:rPr>
                <w:noProof/>
                <w:webHidden/>
              </w:rPr>
              <w:fldChar w:fldCharType="end"/>
            </w:r>
          </w:hyperlink>
        </w:p>
        <w:p w:rsidR="00B12A57" w:rsidRDefault="00B12A57">
          <w:pPr>
            <w:pStyle w:val="TOC2"/>
            <w:rPr>
              <w:rFonts w:asciiTheme="minorHAnsi" w:eastAsiaTheme="minorEastAsia" w:hAnsiTheme="minorHAnsi" w:cstheme="minorBidi"/>
              <w:b w:val="0"/>
              <w:noProof/>
              <w:sz w:val="22"/>
              <w:lang w:eastAsia="en-AU"/>
            </w:rPr>
          </w:pPr>
          <w:hyperlink w:anchor="_Toc12263476" w:history="1">
            <w:r w:rsidRPr="00F86F3A">
              <w:rPr>
                <w:rStyle w:val="Hyperlink"/>
                <w:noProof/>
              </w:rPr>
              <w:t>Attachment 1. Product Information</w:t>
            </w:r>
            <w:r>
              <w:rPr>
                <w:noProof/>
                <w:webHidden/>
              </w:rPr>
              <w:tab/>
            </w:r>
            <w:r>
              <w:rPr>
                <w:noProof/>
                <w:webHidden/>
              </w:rPr>
              <w:fldChar w:fldCharType="begin"/>
            </w:r>
            <w:r>
              <w:rPr>
                <w:noProof/>
                <w:webHidden/>
              </w:rPr>
              <w:instrText xml:space="preserve"> PAGEREF _Toc12263476 \h </w:instrText>
            </w:r>
            <w:r>
              <w:rPr>
                <w:noProof/>
                <w:webHidden/>
              </w:rPr>
            </w:r>
            <w:r>
              <w:rPr>
                <w:noProof/>
                <w:webHidden/>
              </w:rPr>
              <w:fldChar w:fldCharType="separate"/>
            </w:r>
            <w:r>
              <w:rPr>
                <w:noProof/>
                <w:webHidden/>
              </w:rPr>
              <w:t>51</w:t>
            </w:r>
            <w:r>
              <w:rPr>
                <w:noProof/>
                <w:webHidden/>
              </w:rPr>
              <w:fldChar w:fldCharType="end"/>
            </w:r>
          </w:hyperlink>
        </w:p>
        <w:p w:rsidR="003A7F6C" w:rsidRPr="00B811C6" w:rsidRDefault="00DB6124" w:rsidP="006241FD">
          <w:pPr>
            <w:pStyle w:val="TOC2"/>
            <w:ind w:left="0"/>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1226344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F17CA0"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17CA0" w:rsidRDefault="00FD119B" w:rsidP="006241FD">
            <w:pPr>
              <w:rPr>
                <w:szCs w:val="22"/>
                <w:lang w:eastAsia="en-US"/>
              </w:rPr>
            </w:pPr>
            <w:r w:rsidRPr="00F17CA0">
              <w:rPr>
                <w:szCs w:val="22"/>
                <w:lang w:eastAsia="en-US"/>
              </w:rPr>
              <w:t>Abbreviation</w:t>
            </w:r>
          </w:p>
        </w:tc>
        <w:tc>
          <w:tcPr>
            <w:tcW w:w="6911" w:type="dxa"/>
          </w:tcPr>
          <w:p w:rsidR="00FD119B" w:rsidRPr="00F17CA0" w:rsidRDefault="00FD119B" w:rsidP="006241FD">
            <w:pPr>
              <w:rPr>
                <w:szCs w:val="22"/>
                <w:lang w:eastAsia="en-US"/>
              </w:rPr>
            </w:pPr>
            <w:r w:rsidRPr="00F17CA0">
              <w:rPr>
                <w:szCs w:val="22"/>
                <w:lang w:eastAsia="en-US"/>
              </w:rPr>
              <w:t>Meaning</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sym w:font="Symbol" w:char="F0B3"/>
            </w:r>
          </w:p>
        </w:tc>
        <w:tc>
          <w:tcPr>
            <w:tcW w:w="6911" w:type="dxa"/>
          </w:tcPr>
          <w:p w:rsidR="006241FD" w:rsidRPr="00F17CA0" w:rsidRDefault="000A2E7B" w:rsidP="006241FD">
            <w:pPr>
              <w:rPr>
                <w:color w:val="auto"/>
                <w:szCs w:val="22"/>
                <w:lang w:val="en-GB"/>
              </w:rPr>
            </w:pPr>
            <w:r w:rsidRPr="00F17CA0">
              <w:rPr>
                <w:color w:val="auto"/>
                <w:szCs w:val="22"/>
                <w:lang w:val="en-GB"/>
              </w:rPr>
              <w:t>Greater than or equal to</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sym w:font="Symbol" w:char="F0A3"/>
            </w:r>
          </w:p>
        </w:tc>
        <w:tc>
          <w:tcPr>
            <w:tcW w:w="6911" w:type="dxa"/>
          </w:tcPr>
          <w:p w:rsidR="006241FD" w:rsidRPr="00F17CA0" w:rsidRDefault="000A2E7B" w:rsidP="006241FD">
            <w:pPr>
              <w:rPr>
                <w:color w:val="auto"/>
                <w:szCs w:val="22"/>
                <w:lang w:val="en-GB"/>
              </w:rPr>
            </w:pPr>
            <w:r w:rsidRPr="00F17CA0">
              <w:rPr>
                <w:color w:val="auto"/>
                <w:szCs w:val="22"/>
                <w:lang w:val="en-GB"/>
              </w:rPr>
              <w:t>Less than or equal to</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&lt;</w:t>
            </w:r>
          </w:p>
        </w:tc>
        <w:tc>
          <w:tcPr>
            <w:tcW w:w="6911" w:type="dxa"/>
          </w:tcPr>
          <w:p w:rsidR="006241FD" w:rsidRPr="00F17CA0" w:rsidRDefault="006241FD" w:rsidP="006241FD">
            <w:pPr>
              <w:rPr>
                <w:color w:val="auto"/>
                <w:szCs w:val="22"/>
                <w:lang w:val="en-GB"/>
              </w:rPr>
            </w:pPr>
            <w:r w:rsidRPr="00F17CA0">
              <w:rPr>
                <w:color w:val="auto"/>
                <w:szCs w:val="22"/>
                <w:lang w:val="en-GB"/>
              </w:rPr>
              <w:t>Less than</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&gt;</w:t>
            </w:r>
          </w:p>
        </w:tc>
        <w:tc>
          <w:tcPr>
            <w:tcW w:w="6911" w:type="dxa"/>
          </w:tcPr>
          <w:p w:rsidR="006241FD" w:rsidRPr="00F17CA0" w:rsidRDefault="006241FD" w:rsidP="006241FD">
            <w:pPr>
              <w:rPr>
                <w:color w:val="auto"/>
                <w:szCs w:val="22"/>
                <w:lang w:val="en-GB"/>
              </w:rPr>
            </w:pPr>
            <w:r w:rsidRPr="00F17CA0">
              <w:rPr>
                <w:color w:val="auto"/>
                <w:szCs w:val="22"/>
                <w:lang w:val="en-GB"/>
              </w:rPr>
              <w:t>Greater than</w:t>
            </w:r>
          </w:p>
        </w:tc>
      </w:tr>
      <w:tr w:rsidR="006241FD" w:rsidRPr="00F17CA0" w:rsidTr="006241FD">
        <w:tc>
          <w:tcPr>
            <w:tcW w:w="1809" w:type="dxa"/>
          </w:tcPr>
          <w:p w:rsidR="006241FD" w:rsidRPr="00F17CA0" w:rsidRDefault="006241FD" w:rsidP="006241FD">
            <w:pPr>
              <w:rPr>
                <w:bCs/>
                <w:color w:val="auto"/>
                <w:szCs w:val="22"/>
              </w:rPr>
            </w:pPr>
            <w:r w:rsidRPr="00F17CA0">
              <w:rPr>
                <w:bCs/>
                <w:color w:val="auto"/>
                <w:szCs w:val="22"/>
              </w:rPr>
              <w:t>AASLD</w:t>
            </w:r>
          </w:p>
        </w:tc>
        <w:tc>
          <w:tcPr>
            <w:tcW w:w="6911" w:type="dxa"/>
          </w:tcPr>
          <w:p w:rsidR="006241FD" w:rsidRPr="00F17CA0" w:rsidRDefault="006241FD" w:rsidP="006241FD">
            <w:pPr>
              <w:rPr>
                <w:rStyle w:val="st1"/>
                <w:rFonts w:cs="Arial"/>
                <w:color w:val="auto"/>
                <w:sz w:val="22"/>
                <w:szCs w:val="22"/>
              </w:rPr>
            </w:pPr>
            <w:r w:rsidRPr="00F17CA0">
              <w:rPr>
                <w:color w:val="auto"/>
                <w:szCs w:val="22"/>
              </w:rPr>
              <w:t>American Association for the Study of Liver Diseases</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AE</w:t>
            </w:r>
          </w:p>
        </w:tc>
        <w:tc>
          <w:tcPr>
            <w:tcW w:w="6911" w:type="dxa"/>
          </w:tcPr>
          <w:p w:rsidR="006241FD" w:rsidRPr="00F17CA0" w:rsidRDefault="006241FD" w:rsidP="006241FD">
            <w:pPr>
              <w:rPr>
                <w:rFonts w:eastAsia="TimesNewRoman"/>
                <w:color w:val="auto"/>
                <w:szCs w:val="22"/>
              </w:rPr>
            </w:pPr>
            <w:r w:rsidRPr="00F17CA0">
              <w:rPr>
                <w:rFonts w:eastAsia="TimesNewRoman"/>
                <w:color w:val="auto"/>
                <w:szCs w:val="22"/>
              </w:rPr>
              <w:t>Adverse event</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AFP</w:t>
            </w:r>
          </w:p>
        </w:tc>
        <w:tc>
          <w:tcPr>
            <w:tcW w:w="6911" w:type="dxa"/>
          </w:tcPr>
          <w:p w:rsidR="006241FD" w:rsidRPr="00F17CA0" w:rsidRDefault="006241FD" w:rsidP="006241FD">
            <w:pPr>
              <w:rPr>
                <w:rStyle w:val="st1"/>
                <w:rFonts w:cs="Arial"/>
                <w:color w:val="auto"/>
                <w:sz w:val="22"/>
                <w:szCs w:val="22"/>
              </w:rPr>
            </w:pPr>
            <w:r w:rsidRPr="00F17CA0">
              <w:rPr>
                <w:color w:val="auto"/>
                <w:szCs w:val="22"/>
                <w:lang w:eastAsia="ja-JP"/>
              </w:rPr>
              <w:t>Alpha-fetoprotein</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ALB</w:t>
            </w:r>
            <w:r w:rsidRPr="00F17CA0">
              <w:rPr>
                <w:rFonts w:cstheme="minorHAnsi"/>
                <w:color w:val="auto"/>
                <w:szCs w:val="22"/>
                <w:vertAlign w:val="subscript"/>
              </w:rPr>
              <w:t>0</w:t>
            </w:r>
          </w:p>
        </w:tc>
        <w:tc>
          <w:tcPr>
            <w:tcW w:w="6911" w:type="dxa"/>
          </w:tcPr>
          <w:p w:rsidR="006241FD" w:rsidRPr="00F17CA0" w:rsidRDefault="001D3B71" w:rsidP="006241FD">
            <w:pPr>
              <w:rPr>
                <w:rFonts w:eastAsia="TimesNewRoman"/>
                <w:color w:val="auto"/>
                <w:szCs w:val="22"/>
              </w:rPr>
            </w:pPr>
            <w:r w:rsidRPr="00F17CA0">
              <w:rPr>
                <w:color w:val="auto"/>
                <w:szCs w:val="22"/>
              </w:rPr>
              <w:t>P</w:t>
            </w:r>
            <w:r w:rsidR="006241FD" w:rsidRPr="00F17CA0">
              <w:rPr>
                <w:color w:val="auto"/>
                <w:szCs w:val="22"/>
              </w:rPr>
              <w:t>lasma albumin at baseline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ALT</w:t>
            </w:r>
          </w:p>
        </w:tc>
        <w:tc>
          <w:tcPr>
            <w:tcW w:w="6911" w:type="dxa"/>
          </w:tcPr>
          <w:p w:rsidR="006241FD" w:rsidRPr="00F17CA0" w:rsidRDefault="001D3B71" w:rsidP="006241FD">
            <w:pPr>
              <w:rPr>
                <w:rFonts w:eastAsia="TimesNewRoman"/>
                <w:color w:val="auto"/>
                <w:szCs w:val="22"/>
              </w:rPr>
            </w:pPr>
            <w:r w:rsidRPr="00F17CA0">
              <w:rPr>
                <w:rFonts w:eastAsia="TimesNewRoman"/>
                <w:color w:val="auto"/>
                <w:szCs w:val="22"/>
              </w:rPr>
              <w:t>A</w:t>
            </w:r>
            <w:r w:rsidR="006241FD" w:rsidRPr="00F17CA0">
              <w:rPr>
                <w:rFonts w:eastAsia="TimesNewRoman"/>
                <w:color w:val="auto"/>
                <w:szCs w:val="22"/>
              </w:rPr>
              <w:t>lanine aminotransferase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ANC</w:t>
            </w:r>
          </w:p>
        </w:tc>
        <w:tc>
          <w:tcPr>
            <w:tcW w:w="6911" w:type="dxa"/>
          </w:tcPr>
          <w:p w:rsidR="006241FD" w:rsidRPr="00F17CA0" w:rsidRDefault="001D3B71" w:rsidP="006241FD">
            <w:pPr>
              <w:rPr>
                <w:rFonts w:cstheme="minorHAnsi"/>
                <w:color w:val="auto"/>
                <w:szCs w:val="22"/>
              </w:rPr>
            </w:pPr>
            <w:r w:rsidRPr="00F17CA0">
              <w:rPr>
                <w:rFonts w:eastAsia="TimesNewRoman"/>
                <w:color w:val="auto"/>
                <w:szCs w:val="22"/>
              </w:rPr>
              <w:t>A</w:t>
            </w:r>
            <w:r w:rsidR="006241FD" w:rsidRPr="00F17CA0">
              <w:rPr>
                <w:rFonts w:eastAsia="TimesNewRoman"/>
                <w:color w:val="auto"/>
                <w:szCs w:val="22"/>
              </w:rPr>
              <w:t>bsolute neutrophil count</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A</w:t>
            </w:r>
            <w:r w:rsidR="00DA0C28" w:rsidRPr="00F17CA0">
              <w:rPr>
                <w:rFonts w:cstheme="minorHAnsi"/>
                <w:color w:val="auto"/>
                <w:szCs w:val="22"/>
              </w:rPr>
              <w:t>L</w:t>
            </w:r>
            <w:r w:rsidRPr="00F17CA0">
              <w:rPr>
                <w:rFonts w:cstheme="minorHAnsi"/>
                <w:color w:val="auto"/>
                <w:szCs w:val="22"/>
              </w:rPr>
              <w:t>P</w:t>
            </w:r>
          </w:p>
        </w:tc>
        <w:tc>
          <w:tcPr>
            <w:tcW w:w="6911" w:type="dxa"/>
          </w:tcPr>
          <w:p w:rsidR="006241FD" w:rsidRPr="00F17CA0" w:rsidRDefault="001D3B71" w:rsidP="006241FD">
            <w:pPr>
              <w:rPr>
                <w:rFonts w:cstheme="minorHAnsi"/>
                <w:color w:val="auto"/>
                <w:szCs w:val="22"/>
              </w:rPr>
            </w:pPr>
            <w:r w:rsidRPr="00F17CA0">
              <w:rPr>
                <w:rFonts w:eastAsia="TimesNewRoman"/>
                <w:color w:val="auto"/>
                <w:szCs w:val="22"/>
              </w:rPr>
              <w:t>A</w:t>
            </w:r>
            <w:r w:rsidR="006241FD" w:rsidRPr="00F17CA0">
              <w:rPr>
                <w:rFonts w:eastAsia="TimesNewRoman"/>
                <w:color w:val="auto"/>
                <w:szCs w:val="22"/>
              </w:rPr>
              <w:t>lkaline phosphatase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AST</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A</w:t>
            </w:r>
            <w:r w:rsidR="006241FD" w:rsidRPr="00F17CA0">
              <w:rPr>
                <w:rFonts w:cstheme="minorHAnsi"/>
                <w:color w:val="auto"/>
                <w:szCs w:val="22"/>
              </w:rPr>
              <w:t>spartate aminotransferase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AUC</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A</w:t>
            </w:r>
            <w:r w:rsidR="006241FD" w:rsidRPr="00F17CA0">
              <w:rPr>
                <w:rFonts w:cstheme="minorHAnsi"/>
                <w:color w:val="auto"/>
                <w:szCs w:val="22"/>
              </w:rPr>
              <w:t>rea under the plasma concentration-time curve</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BCLC</w:t>
            </w:r>
          </w:p>
        </w:tc>
        <w:tc>
          <w:tcPr>
            <w:tcW w:w="6911" w:type="dxa"/>
          </w:tcPr>
          <w:p w:rsidR="006241FD" w:rsidRPr="00F17CA0" w:rsidRDefault="006241FD" w:rsidP="006241FD">
            <w:pPr>
              <w:rPr>
                <w:rStyle w:val="Style2"/>
                <w:color w:val="auto"/>
                <w:szCs w:val="22"/>
              </w:rPr>
            </w:pPr>
            <w:r w:rsidRPr="00F17CA0">
              <w:rPr>
                <w:color w:val="auto"/>
                <w:szCs w:val="22"/>
              </w:rPr>
              <w:t>Barcelona Clinic Liver Cancer</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BCRP</w:t>
            </w:r>
          </w:p>
        </w:tc>
        <w:tc>
          <w:tcPr>
            <w:tcW w:w="6911" w:type="dxa"/>
          </w:tcPr>
          <w:p w:rsidR="006241FD" w:rsidRPr="00F17CA0" w:rsidRDefault="001D3B71" w:rsidP="006241FD">
            <w:pPr>
              <w:rPr>
                <w:rFonts w:cstheme="minorHAnsi"/>
                <w:color w:val="auto"/>
                <w:szCs w:val="22"/>
              </w:rPr>
            </w:pPr>
            <w:r w:rsidRPr="00F17CA0">
              <w:rPr>
                <w:rFonts w:eastAsia="TimesNewRoman" w:cstheme="minorHAnsi"/>
                <w:color w:val="auto"/>
                <w:szCs w:val="22"/>
              </w:rPr>
              <w:t>B</w:t>
            </w:r>
            <w:r w:rsidR="006241FD" w:rsidRPr="00F17CA0">
              <w:rPr>
                <w:rFonts w:eastAsia="TimesNewRoman" w:cstheme="minorHAnsi"/>
                <w:color w:val="auto"/>
                <w:szCs w:val="22"/>
              </w:rPr>
              <w:t>reast cancer resistant protein</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BMI</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B</w:t>
            </w:r>
            <w:r w:rsidR="006241FD" w:rsidRPr="00F17CA0">
              <w:rPr>
                <w:rFonts w:cstheme="minorHAnsi"/>
                <w:color w:val="auto"/>
                <w:szCs w:val="22"/>
              </w:rPr>
              <w:t>ody mass index</w:t>
            </w:r>
          </w:p>
        </w:tc>
      </w:tr>
      <w:tr w:rsidR="006241FD" w:rsidRPr="00F17CA0" w:rsidTr="006241FD">
        <w:tc>
          <w:tcPr>
            <w:tcW w:w="1809" w:type="dxa"/>
          </w:tcPr>
          <w:p w:rsidR="006241FD" w:rsidRPr="00F17CA0" w:rsidRDefault="006241FD" w:rsidP="006241FD">
            <w:pPr>
              <w:rPr>
                <w:bCs/>
                <w:color w:val="auto"/>
                <w:kern w:val="16"/>
                <w:szCs w:val="22"/>
                <w:lang w:val="en-GB"/>
              </w:rPr>
            </w:pPr>
            <w:r w:rsidRPr="00F17CA0">
              <w:rPr>
                <w:bCs/>
                <w:color w:val="auto"/>
                <w:szCs w:val="22"/>
                <w:lang w:val="en-GB"/>
              </w:rPr>
              <w:t>BP</w:t>
            </w:r>
          </w:p>
        </w:tc>
        <w:tc>
          <w:tcPr>
            <w:tcW w:w="6911" w:type="dxa"/>
          </w:tcPr>
          <w:p w:rsidR="006241FD" w:rsidRPr="00F17CA0" w:rsidRDefault="006241FD" w:rsidP="006241FD">
            <w:pPr>
              <w:rPr>
                <w:color w:val="auto"/>
                <w:kern w:val="16"/>
                <w:szCs w:val="22"/>
                <w:lang w:val="en-GB"/>
              </w:rPr>
            </w:pPr>
            <w:r w:rsidRPr="00F17CA0">
              <w:rPr>
                <w:color w:val="auto"/>
                <w:szCs w:val="22"/>
                <w:lang w:val="en-GB"/>
              </w:rPr>
              <w:t>Blood pressure</w:t>
            </w:r>
          </w:p>
        </w:tc>
      </w:tr>
      <w:tr w:rsidR="006241FD" w:rsidRPr="00F17CA0" w:rsidTr="006241FD">
        <w:tc>
          <w:tcPr>
            <w:tcW w:w="1809" w:type="dxa"/>
          </w:tcPr>
          <w:p w:rsidR="006241FD" w:rsidRPr="00F17CA0" w:rsidRDefault="006241FD" w:rsidP="006241FD">
            <w:pPr>
              <w:rPr>
                <w:bCs/>
                <w:color w:val="auto"/>
                <w:kern w:val="16"/>
                <w:szCs w:val="22"/>
                <w:lang w:val="en-GB"/>
              </w:rPr>
            </w:pPr>
            <w:r w:rsidRPr="00F17CA0">
              <w:rPr>
                <w:bCs/>
                <w:color w:val="auto"/>
                <w:kern w:val="16"/>
                <w:szCs w:val="22"/>
                <w:lang w:val="en-GB"/>
              </w:rPr>
              <w:t>BSC</w:t>
            </w:r>
          </w:p>
        </w:tc>
        <w:tc>
          <w:tcPr>
            <w:tcW w:w="6911" w:type="dxa"/>
          </w:tcPr>
          <w:p w:rsidR="006241FD" w:rsidRPr="00F17CA0" w:rsidRDefault="006241FD" w:rsidP="006241FD">
            <w:pPr>
              <w:rPr>
                <w:color w:val="auto"/>
                <w:kern w:val="16"/>
                <w:szCs w:val="22"/>
                <w:lang w:val="en-GB"/>
              </w:rPr>
            </w:pPr>
            <w:r w:rsidRPr="00F17CA0">
              <w:rPr>
                <w:color w:val="auto"/>
                <w:szCs w:val="22"/>
              </w:rPr>
              <w:t>Best supportive care</w:t>
            </w:r>
          </w:p>
        </w:tc>
      </w:tr>
      <w:tr w:rsidR="006241FD" w:rsidRPr="00F17CA0" w:rsidTr="006241FD">
        <w:tc>
          <w:tcPr>
            <w:tcW w:w="1809" w:type="dxa"/>
          </w:tcPr>
          <w:p w:rsidR="006241FD" w:rsidRPr="00F17CA0" w:rsidRDefault="00686D30" w:rsidP="006241FD">
            <w:pPr>
              <w:rPr>
                <w:rFonts w:cstheme="minorHAnsi"/>
                <w:color w:val="auto"/>
                <w:szCs w:val="22"/>
              </w:rPr>
            </w:pPr>
            <w:proofErr w:type="spellStart"/>
            <w:r w:rsidRPr="00F17CA0">
              <w:rPr>
                <w:bCs/>
                <w:iCs/>
                <w:szCs w:val="22"/>
              </w:rPr>
              <w:t>C</w:t>
            </w:r>
            <w:r w:rsidRPr="00F17CA0">
              <w:rPr>
                <w:bCs/>
                <w:iCs/>
                <w:szCs w:val="22"/>
                <w:vertAlign w:val="subscript"/>
              </w:rPr>
              <w:t>av,md,p</w:t>
            </w:r>
            <w:proofErr w:type="spellEnd"/>
          </w:p>
        </w:tc>
        <w:tc>
          <w:tcPr>
            <w:tcW w:w="6911" w:type="dxa"/>
          </w:tcPr>
          <w:p w:rsidR="006241FD" w:rsidRPr="00F17CA0" w:rsidRDefault="001D3B71" w:rsidP="006241FD">
            <w:pPr>
              <w:rPr>
                <w:rFonts w:eastAsia="TimesNewRoman"/>
                <w:color w:val="auto"/>
                <w:szCs w:val="22"/>
              </w:rPr>
            </w:pPr>
            <w:r w:rsidRPr="00F17CA0">
              <w:rPr>
                <w:rFonts w:cs="TeXGyreTermes-Regular"/>
                <w:color w:val="auto"/>
                <w:szCs w:val="22"/>
              </w:rPr>
              <w:t>A</w:t>
            </w:r>
            <w:r w:rsidR="006241FD" w:rsidRPr="00F17CA0">
              <w:rPr>
                <w:rFonts w:cs="TeXGyreTermes-Regular"/>
                <w:color w:val="auto"/>
                <w:szCs w:val="22"/>
              </w:rPr>
              <w:t>verage concentration over 24</w:t>
            </w:r>
            <w:r w:rsidR="00CB10A9" w:rsidRPr="00F17CA0">
              <w:rPr>
                <w:rFonts w:cs="TeXGyreTermes-Regular"/>
                <w:color w:val="auto"/>
                <w:szCs w:val="22"/>
              </w:rPr>
              <w:t xml:space="preserve"> </w:t>
            </w:r>
            <w:r w:rsidR="006241FD" w:rsidRPr="00F17CA0">
              <w:rPr>
                <w:rFonts w:cs="TeXGyreTermes-Regular"/>
                <w:color w:val="auto"/>
                <w:szCs w:val="22"/>
              </w:rPr>
              <w:t>h after multiple doses( 21 daily doses) of 160 mg for parent</w:t>
            </w:r>
          </w:p>
        </w:tc>
      </w:tr>
      <w:tr w:rsidR="006241FD" w:rsidRPr="00F17CA0" w:rsidTr="006241FD">
        <w:tc>
          <w:tcPr>
            <w:tcW w:w="1809" w:type="dxa"/>
          </w:tcPr>
          <w:p w:rsidR="006241FD" w:rsidRPr="00F17CA0" w:rsidRDefault="00686D30" w:rsidP="006241FD">
            <w:pPr>
              <w:rPr>
                <w:rFonts w:cstheme="minorHAnsi"/>
                <w:color w:val="auto"/>
                <w:szCs w:val="22"/>
              </w:rPr>
            </w:pPr>
            <w:proofErr w:type="spellStart"/>
            <w:r w:rsidRPr="00F17CA0">
              <w:rPr>
                <w:bCs/>
                <w:iCs/>
                <w:szCs w:val="22"/>
              </w:rPr>
              <w:t>C</w:t>
            </w:r>
            <w:r w:rsidRPr="00F17CA0">
              <w:rPr>
                <w:bCs/>
                <w:iCs/>
                <w:szCs w:val="22"/>
                <w:vertAlign w:val="subscript"/>
              </w:rPr>
              <w:t>av,md,tot</w:t>
            </w:r>
            <w:proofErr w:type="spellEnd"/>
          </w:p>
        </w:tc>
        <w:tc>
          <w:tcPr>
            <w:tcW w:w="6911" w:type="dxa"/>
          </w:tcPr>
          <w:p w:rsidR="006241FD" w:rsidRPr="00F17CA0" w:rsidRDefault="001D3B71" w:rsidP="006241FD">
            <w:pPr>
              <w:rPr>
                <w:rFonts w:eastAsia="TimesNewRoman"/>
                <w:color w:val="auto"/>
                <w:szCs w:val="22"/>
              </w:rPr>
            </w:pPr>
            <w:r w:rsidRPr="00F17CA0">
              <w:rPr>
                <w:rFonts w:cs="TeXGyreTermes-Regular"/>
                <w:color w:val="auto"/>
                <w:szCs w:val="22"/>
              </w:rPr>
              <w:t>A</w:t>
            </w:r>
            <w:r w:rsidR="006241FD" w:rsidRPr="00F17CA0">
              <w:rPr>
                <w:rFonts w:cs="TeXGyreTermes-Regular"/>
                <w:color w:val="auto"/>
                <w:szCs w:val="22"/>
              </w:rPr>
              <w:t>verage concentration over 24h after multiple doses (21 daily doses) of 160 mg for the sum of parent and the pharmacological active metabolites M-2 and M-5</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CI</w:t>
            </w:r>
          </w:p>
        </w:tc>
        <w:tc>
          <w:tcPr>
            <w:tcW w:w="6911" w:type="dxa"/>
          </w:tcPr>
          <w:p w:rsidR="006241FD" w:rsidRPr="00F17CA0" w:rsidRDefault="006241FD" w:rsidP="006241FD">
            <w:pPr>
              <w:rPr>
                <w:rFonts w:cstheme="minorHAnsi"/>
                <w:color w:val="auto"/>
                <w:szCs w:val="22"/>
              </w:rPr>
            </w:pPr>
            <w:r w:rsidRPr="00F17CA0">
              <w:rPr>
                <w:rFonts w:cstheme="minorHAnsi"/>
                <w:color w:val="auto"/>
                <w:szCs w:val="22"/>
              </w:rPr>
              <w:t>Confidence interval</w:t>
            </w:r>
          </w:p>
        </w:tc>
      </w:tr>
      <w:tr w:rsidR="006241FD" w:rsidRPr="00F17CA0" w:rsidTr="006241FD">
        <w:tc>
          <w:tcPr>
            <w:tcW w:w="1809" w:type="dxa"/>
          </w:tcPr>
          <w:p w:rsidR="006241FD" w:rsidRPr="00F17CA0" w:rsidRDefault="00126F1A" w:rsidP="006241FD">
            <w:pPr>
              <w:rPr>
                <w:rFonts w:cstheme="minorHAnsi"/>
                <w:color w:val="auto"/>
                <w:szCs w:val="22"/>
              </w:rPr>
            </w:pPr>
            <w:r w:rsidRPr="00F17CA0">
              <w:rPr>
                <w:rFonts w:eastAsiaTheme="minorHAnsi" w:cstheme="minorHAnsi"/>
                <w:szCs w:val="22"/>
              </w:rPr>
              <w:t>C</w:t>
            </w:r>
            <w:r w:rsidRPr="00F17CA0">
              <w:rPr>
                <w:rFonts w:eastAsiaTheme="minorHAnsi" w:cstheme="minorHAnsi"/>
                <w:szCs w:val="22"/>
                <w:vertAlign w:val="subscript"/>
              </w:rPr>
              <w:t>max</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 xml:space="preserve">Maximum drug concentration in plasma after </w:t>
            </w:r>
            <w:r w:rsidR="006241FD" w:rsidRPr="00F17CA0">
              <w:rPr>
                <w:rFonts w:cstheme="minorHAnsi"/>
                <w:color w:val="auto"/>
                <w:szCs w:val="22"/>
              </w:rPr>
              <w:t>single dose administration</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CR</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Complete response</w:t>
            </w:r>
          </w:p>
        </w:tc>
      </w:tr>
      <w:tr w:rsidR="006241FD" w:rsidRPr="00F17CA0" w:rsidTr="006241FD">
        <w:tc>
          <w:tcPr>
            <w:tcW w:w="1809" w:type="dxa"/>
          </w:tcPr>
          <w:p w:rsidR="006241FD" w:rsidRPr="00F17CA0" w:rsidRDefault="006241FD" w:rsidP="006241FD">
            <w:pPr>
              <w:rPr>
                <w:bCs/>
                <w:color w:val="auto"/>
                <w:szCs w:val="22"/>
                <w:lang w:val="en-GB"/>
              </w:rPr>
            </w:pPr>
            <w:r w:rsidRPr="00F17CA0">
              <w:rPr>
                <w:rFonts w:eastAsiaTheme="minorHAnsi" w:cs="ArialMT"/>
                <w:color w:val="auto"/>
                <w:szCs w:val="22"/>
              </w:rPr>
              <w:lastRenderedPageBreak/>
              <w:t>CRC</w:t>
            </w:r>
          </w:p>
        </w:tc>
        <w:tc>
          <w:tcPr>
            <w:tcW w:w="6911" w:type="dxa"/>
          </w:tcPr>
          <w:p w:rsidR="006241FD" w:rsidRPr="00F17CA0" w:rsidRDefault="006241FD" w:rsidP="006241FD">
            <w:pPr>
              <w:rPr>
                <w:color w:val="auto"/>
                <w:szCs w:val="22"/>
                <w:lang w:val="en-GB"/>
              </w:rPr>
            </w:pPr>
            <w:r w:rsidRPr="00F17CA0">
              <w:rPr>
                <w:rFonts w:eastAsiaTheme="minorHAnsi" w:cs="ArialMT"/>
                <w:color w:val="auto"/>
                <w:szCs w:val="22"/>
              </w:rPr>
              <w:t>Colorectal cancer</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DBP</w:t>
            </w:r>
          </w:p>
        </w:tc>
        <w:tc>
          <w:tcPr>
            <w:tcW w:w="6911" w:type="dxa"/>
          </w:tcPr>
          <w:p w:rsidR="006241FD" w:rsidRPr="00F17CA0" w:rsidRDefault="006241FD" w:rsidP="006241FD">
            <w:pPr>
              <w:rPr>
                <w:color w:val="auto"/>
                <w:szCs w:val="22"/>
                <w:lang w:val="en-GB"/>
              </w:rPr>
            </w:pPr>
            <w:r w:rsidRPr="00F17CA0">
              <w:rPr>
                <w:color w:val="auto"/>
                <w:szCs w:val="22"/>
                <w:lang w:val="en-GB"/>
              </w:rPr>
              <w:t>Diastolic blood pressure</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DCR</w:t>
            </w:r>
          </w:p>
        </w:tc>
        <w:tc>
          <w:tcPr>
            <w:tcW w:w="6911" w:type="dxa"/>
          </w:tcPr>
          <w:p w:rsidR="006241FD" w:rsidRPr="00F17CA0" w:rsidRDefault="006241FD" w:rsidP="006241FD">
            <w:pPr>
              <w:rPr>
                <w:color w:val="auto"/>
                <w:szCs w:val="22"/>
              </w:rPr>
            </w:pPr>
            <w:r w:rsidRPr="00F17CA0">
              <w:rPr>
                <w:color w:val="auto"/>
                <w:szCs w:val="22"/>
                <w:lang w:eastAsia="ja-JP"/>
              </w:rPr>
              <w:t>Disease control rate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ECG</w:t>
            </w:r>
          </w:p>
        </w:tc>
        <w:tc>
          <w:tcPr>
            <w:tcW w:w="6911" w:type="dxa"/>
          </w:tcPr>
          <w:p w:rsidR="006241FD" w:rsidRPr="00F17CA0" w:rsidRDefault="001D3B71" w:rsidP="006241FD">
            <w:pPr>
              <w:rPr>
                <w:rFonts w:cstheme="minorHAnsi"/>
                <w:color w:val="auto"/>
                <w:szCs w:val="22"/>
              </w:rPr>
            </w:pPr>
            <w:r w:rsidRPr="00F17CA0">
              <w:rPr>
                <w:rFonts w:eastAsia="TimesNewRoman"/>
                <w:color w:val="auto"/>
                <w:szCs w:val="22"/>
              </w:rPr>
              <w:t>E</w:t>
            </w:r>
            <w:r w:rsidR="006241FD" w:rsidRPr="00F17CA0">
              <w:rPr>
                <w:rFonts w:eastAsia="TimesNewRoman"/>
                <w:color w:val="auto"/>
                <w:szCs w:val="22"/>
              </w:rPr>
              <w:t>lectrocardiogram</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ECOG</w:t>
            </w:r>
          </w:p>
        </w:tc>
        <w:tc>
          <w:tcPr>
            <w:tcW w:w="6911" w:type="dxa"/>
          </w:tcPr>
          <w:p w:rsidR="006241FD" w:rsidRPr="00F17CA0" w:rsidRDefault="006241FD" w:rsidP="006241FD">
            <w:pPr>
              <w:rPr>
                <w:rFonts w:cstheme="minorHAnsi"/>
                <w:color w:val="auto"/>
                <w:szCs w:val="22"/>
              </w:rPr>
            </w:pPr>
            <w:r w:rsidRPr="00F17CA0">
              <w:rPr>
                <w:rFonts w:cstheme="minorHAnsi"/>
                <w:color w:val="auto"/>
                <w:szCs w:val="22"/>
              </w:rPr>
              <w:t>Eastern Cooperative Oncology Group</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ECOG-PS</w:t>
            </w:r>
          </w:p>
        </w:tc>
        <w:tc>
          <w:tcPr>
            <w:tcW w:w="6911" w:type="dxa"/>
          </w:tcPr>
          <w:p w:rsidR="006241FD" w:rsidRPr="00F17CA0" w:rsidRDefault="006241FD" w:rsidP="006241FD">
            <w:pPr>
              <w:rPr>
                <w:rFonts w:cstheme="minorHAnsi"/>
                <w:color w:val="auto"/>
                <w:szCs w:val="22"/>
              </w:rPr>
            </w:pPr>
            <w:r w:rsidRPr="00F17CA0">
              <w:rPr>
                <w:color w:val="auto"/>
                <w:szCs w:val="22"/>
                <w:lang w:eastAsia="en-US"/>
              </w:rPr>
              <w:t>Eastern Cooperative Oncology Group Performance Status</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EU</w:t>
            </w:r>
          </w:p>
        </w:tc>
        <w:tc>
          <w:tcPr>
            <w:tcW w:w="6911" w:type="dxa"/>
          </w:tcPr>
          <w:p w:rsidR="006241FD" w:rsidRPr="00F17CA0" w:rsidRDefault="006241FD" w:rsidP="006241FD">
            <w:pPr>
              <w:rPr>
                <w:color w:val="auto"/>
                <w:szCs w:val="22"/>
                <w:lang w:val="en-GB"/>
              </w:rPr>
            </w:pPr>
            <w:r w:rsidRPr="00F17CA0">
              <w:rPr>
                <w:color w:val="auto"/>
                <w:szCs w:val="22"/>
                <w:lang w:val="en-GB"/>
              </w:rPr>
              <w:t>European Union</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FDA</w:t>
            </w:r>
          </w:p>
        </w:tc>
        <w:tc>
          <w:tcPr>
            <w:tcW w:w="6911" w:type="dxa"/>
          </w:tcPr>
          <w:p w:rsidR="006241FD" w:rsidRPr="00F17CA0" w:rsidRDefault="006241FD" w:rsidP="006241FD">
            <w:pPr>
              <w:rPr>
                <w:rFonts w:eastAsia="SimSun"/>
                <w:color w:val="auto"/>
                <w:szCs w:val="22"/>
                <w:lang w:val="en-US" w:eastAsia="zh-CN"/>
              </w:rPr>
            </w:pPr>
            <w:r w:rsidRPr="00F17CA0">
              <w:rPr>
                <w:color w:val="auto"/>
                <w:szCs w:val="22"/>
              </w:rPr>
              <w:t>Food and Drug Administration</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FGFR</w:t>
            </w:r>
          </w:p>
        </w:tc>
        <w:tc>
          <w:tcPr>
            <w:tcW w:w="6911" w:type="dxa"/>
          </w:tcPr>
          <w:p w:rsidR="006241FD" w:rsidRPr="00F17CA0" w:rsidRDefault="00DA0C28" w:rsidP="006241FD">
            <w:pPr>
              <w:rPr>
                <w:rFonts w:cstheme="minorHAnsi"/>
                <w:color w:val="auto"/>
                <w:szCs w:val="22"/>
              </w:rPr>
            </w:pPr>
            <w:r w:rsidRPr="00F17CA0">
              <w:rPr>
                <w:color w:val="auto"/>
                <w:szCs w:val="22"/>
              </w:rPr>
              <w:t>F</w:t>
            </w:r>
            <w:r w:rsidR="006241FD" w:rsidRPr="00F17CA0">
              <w:rPr>
                <w:color w:val="auto"/>
                <w:szCs w:val="22"/>
              </w:rPr>
              <w:t>ibroblast growth-factor receptor</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GCP</w:t>
            </w:r>
          </w:p>
        </w:tc>
        <w:tc>
          <w:tcPr>
            <w:tcW w:w="6911" w:type="dxa"/>
          </w:tcPr>
          <w:p w:rsidR="006241FD" w:rsidRPr="00F17CA0" w:rsidRDefault="006241FD" w:rsidP="006241FD">
            <w:pPr>
              <w:rPr>
                <w:color w:val="auto"/>
                <w:szCs w:val="22"/>
                <w:lang w:val="en-GB"/>
              </w:rPr>
            </w:pPr>
            <w:r w:rsidRPr="00F17CA0">
              <w:rPr>
                <w:color w:val="auto"/>
                <w:szCs w:val="22"/>
                <w:lang w:val="en-GB"/>
              </w:rPr>
              <w:t>Good Clinical Practice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GIST</w:t>
            </w:r>
          </w:p>
        </w:tc>
        <w:tc>
          <w:tcPr>
            <w:tcW w:w="6911" w:type="dxa"/>
          </w:tcPr>
          <w:p w:rsidR="006241FD" w:rsidRPr="00F17CA0" w:rsidRDefault="001D3B71" w:rsidP="00F01955">
            <w:pPr>
              <w:rPr>
                <w:rFonts w:eastAsia="TimesNewRoman"/>
                <w:color w:val="auto"/>
                <w:szCs w:val="22"/>
              </w:rPr>
            </w:pPr>
            <w:r w:rsidRPr="00F17CA0">
              <w:rPr>
                <w:rFonts w:eastAsiaTheme="minorHAnsi" w:cs="TeXGyreTermes-Regular"/>
                <w:color w:val="auto"/>
                <w:szCs w:val="22"/>
              </w:rPr>
              <w:t>Gastrointestinal stromal tumour</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Hb</w:t>
            </w:r>
          </w:p>
        </w:tc>
        <w:tc>
          <w:tcPr>
            <w:tcW w:w="6911" w:type="dxa"/>
          </w:tcPr>
          <w:p w:rsidR="006241FD" w:rsidRPr="00F17CA0" w:rsidRDefault="001D3B71" w:rsidP="006241FD">
            <w:pPr>
              <w:rPr>
                <w:rFonts w:cstheme="minorHAnsi"/>
                <w:color w:val="auto"/>
                <w:szCs w:val="22"/>
              </w:rPr>
            </w:pPr>
            <w:r w:rsidRPr="00F17CA0">
              <w:rPr>
                <w:rFonts w:eastAsia="TimesNewRoman"/>
                <w:color w:val="auto"/>
                <w:szCs w:val="22"/>
              </w:rPr>
              <w:t>Haemoglobin</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HB</w:t>
            </w:r>
            <w:r w:rsidRPr="00F17CA0">
              <w:rPr>
                <w:rFonts w:cstheme="minorHAnsi"/>
                <w:color w:val="auto"/>
                <w:szCs w:val="22"/>
                <w:vertAlign w:val="subscript"/>
              </w:rPr>
              <w:t>0</w:t>
            </w:r>
          </w:p>
        </w:tc>
        <w:tc>
          <w:tcPr>
            <w:tcW w:w="6911" w:type="dxa"/>
          </w:tcPr>
          <w:p w:rsidR="006241FD" w:rsidRPr="00F17CA0" w:rsidRDefault="001D3B71" w:rsidP="006241FD">
            <w:pPr>
              <w:rPr>
                <w:rFonts w:cstheme="minorHAnsi"/>
                <w:color w:val="auto"/>
                <w:szCs w:val="22"/>
              </w:rPr>
            </w:pPr>
            <w:r w:rsidRPr="00F17CA0">
              <w:rPr>
                <w:color w:val="auto"/>
                <w:szCs w:val="22"/>
              </w:rPr>
              <w:t>Haemoglobin at baseline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HCC</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Hepatocellular carcinoma</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HFSR</w:t>
            </w:r>
          </w:p>
        </w:tc>
        <w:tc>
          <w:tcPr>
            <w:tcW w:w="6911" w:type="dxa"/>
          </w:tcPr>
          <w:p w:rsidR="006241FD" w:rsidRPr="00F17CA0" w:rsidRDefault="006241FD" w:rsidP="006241FD">
            <w:pPr>
              <w:rPr>
                <w:bCs/>
                <w:color w:val="auto"/>
                <w:szCs w:val="22"/>
                <w:lang w:val="en-GB"/>
              </w:rPr>
            </w:pPr>
            <w:r w:rsidRPr="00F17CA0">
              <w:rPr>
                <w:color w:val="auto"/>
                <w:szCs w:val="22"/>
              </w:rPr>
              <w:t>Hand-foot skin reaction</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HR</w:t>
            </w:r>
          </w:p>
        </w:tc>
        <w:tc>
          <w:tcPr>
            <w:tcW w:w="6911" w:type="dxa"/>
          </w:tcPr>
          <w:p w:rsidR="006241FD" w:rsidRPr="00F17CA0" w:rsidRDefault="006241FD" w:rsidP="006241FD">
            <w:pPr>
              <w:rPr>
                <w:bCs/>
                <w:color w:val="auto"/>
                <w:szCs w:val="22"/>
                <w:lang w:val="en-GB"/>
              </w:rPr>
            </w:pPr>
            <w:r w:rsidRPr="00F17CA0">
              <w:rPr>
                <w:bCs/>
                <w:color w:val="auto"/>
                <w:szCs w:val="22"/>
                <w:lang w:val="en-GB"/>
              </w:rPr>
              <w:t>Hazard ratio</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INR</w:t>
            </w:r>
          </w:p>
        </w:tc>
        <w:tc>
          <w:tcPr>
            <w:tcW w:w="6911" w:type="dxa"/>
          </w:tcPr>
          <w:p w:rsidR="006241FD" w:rsidRPr="00F17CA0" w:rsidRDefault="006241FD" w:rsidP="006241FD">
            <w:pPr>
              <w:rPr>
                <w:rFonts w:cstheme="minorHAnsi"/>
                <w:color w:val="auto"/>
                <w:szCs w:val="22"/>
              </w:rPr>
            </w:pPr>
            <w:r w:rsidRPr="00F17CA0">
              <w:rPr>
                <w:rFonts w:eastAsia="TimesNewRoman"/>
                <w:color w:val="auto"/>
                <w:szCs w:val="22"/>
              </w:rPr>
              <w:t>International normalised ratio</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ITT</w:t>
            </w:r>
          </w:p>
        </w:tc>
        <w:tc>
          <w:tcPr>
            <w:tcW w:w="6911" w:type="dxa"/>
          </w:tcPr>
          <w:p w:rsidR="006241FD" w:rsidRPr="00F17CA0" w:rsidRDefault="006241FD" w:rsidP="006241FD">
            <w:pPr>
              <w:rPr>
                <w:color w:val="auto"/>
                <w:szCs w:val="22"/>
              </w:rPr>
            </w:pPr>
            <w:r w:rsidRPr="00F17CA0">
              <w:rPr>
                <w:color w:val="auto"/>
                <w:szCs w:val="22"/>
              </w:rPr>
              <w:t>Intent-to-treat</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L</w:t>
            </w:r>
          </w:p>
        </w:tc>
        <w:tc>
          <w:tcPr>
            <w:tcW w:w="6911" w:type="dxa"/>
          </w:tcPr>
          <w:p w:rsidR="006241FD" w:rsidRPr="00F17CA0" w:rsidRDefault="006241FD" w:rsidP="006241FD">
            <w:pPr>
              <w:rPr>
                <w:bCs/>
                <w:color w:val="auto"/>
                <w:szCs w:val="22"/>
                <w:lang w:val="en-GB"/>
              </w:rPr>
            </w:pPr>
            <w:r w:rsidRPr="00F17CA0">
              <w:rPr>
                <w:bCs/>
                <w:color w:val="auto"/>
                <w:szCs w:val="22"/>
                <w:lang w:val="en-GB"/>
              </w:rPr>
              <w:t>Litre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MAPK</w:t>
            </w:r>
          </w:p>
        </w:tc>
        <w:tc>
          <w:tcPr>
            <w:tcW w:w="6911" w:type="dxa"/>
          </w:tcPr>
          <w:p w:rsidR="006241FD" w:rsidRPr="00F17CA0" w:rsidRDefault="001D3B71" w:rsidP="006241FD">
            <w:pPr>
              <w:rPr>
                <w:rFonts w:eastAsia="TimesNewRoman"/>
                <w:color w:val="auto"/>
                <w:szCs w:val="22"/>
              </w:rPr>
            </w:pPr>
            <w:r w:rsidRPr="00F17CA0">
              <w:rPr>
                <w:color w:val="auto"/>
                <w:szCs w:val="22"/>
              </w:rPr>
              <w:t>M</w:t>
            </w:r>
            <w:r w:rsidR="006241FD" w:rsidRPr="00F17CA0">
              <w:rPr>
                <w:color w:val="auto"/>
                <w:szCs w:val="22"/>
              </w:rPr>
              <w:t>itogen activated protein kinase</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mCRC</w:t>
            </w:r>
          </w:p>
        </w:tc>
        <w:tc>
          <w:tcPr>
            <w:tcW w:w="6911" w:type="dxa"/>
          </w:tcPr>
          <w:p w:rsidR="006241FD" w:rsidRPr="00F17CA0" w:rsidRDefault="006241FD" w:rsidP="006241FD">
            <w:pPr>
              <w:rPr>
                <w:bCs/>
                <w:color w:val="auto"/>
                <w:szCs w:val="22"/>
                <w:lang w:val="en-GB"/>
              </w:rPr>
            </w:pPr>
            <w:r w:rsidRPr="00F17CA0">
              <w:rPr>
                <w:rFonts w:eastAsiaTheme="minorHAnsi" w:cs="ArialMT"/>
                <w:color w:val="auto"/>
                <w:szCs w:val="22"/>
              </w:rPr>
              <w:t>Metastatic colorectal cancer</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mg</w:t>
            </w:r>
          </w:p>
        </w:tc>
        <w:tc>
          <w:tcPr>
            <w:tcW w:w="6911" w:type="dxa"/>
          </w:tcPr>
          <w:p w:rsidR="006241FD" w:rsidRPr="00F17CA0" w:rsidRDefault="006241FD" w:rsidP="006241FD">
            <w:pPr>
              <w:rPr>
                <w:bCs/>
                <w:color w:val="auto"/>
                <w:szCs w:val="22"/>
                <w:lang w:val="en-GB"/>
              </w:rPr>
            </w:pPr>
            <w:r w:rsidRPr="00F17CA0">
              <w:rPr>
                <w:bCs/>
                <w:color w:val="auto"/>
                <w:szCs w:val="22"/>
                <w:lang w:val="en-GB"/>
              </w:rPr>
              <w:t>Milligram</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mL</w:t>
            </w:r>
          </w:p>
        </w:tc>
        <w:tc>
          <w:tcPr>
            <w:tcW w:w="6911" w:type="dxa"/>
          </w:tcPr>
          <w:p w:rsidR="006241FD" w:rsidRPr="00F17CA0" w:rsidRDefault="006241FD" w:rsidP="006241FD">
            <w:pPr>
              <w:rPr>
                <w:bCs/>
                <w:color w:val="auto"/>
                <w:szCs w:val="22"/>
                <w:lang w:val="en-GB"/>
              </w:rPr>
            </w:pPr>
            <w:r w:rsidRPr="00F17CA0">
              <w:rPr>
                <w:bCs/>
                <w:color w:val="auto"/>
                <w:szCs w:val="22"/>
                <w:lang w:val="en-GB"/>
              </w:rPr>
              <w:t>Millilitre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mRECIST</w:t>
            </w:r>
          </w:p>
        </w:tc>
        <w:tc>
          <w:tcPr>
            <w:tcW w:w="6911" w:type="dxa"/>
          </w:tcPr>
          <w:p w:rsidR="006241FD" w:rsidRPr="00F17CA0" w:rsidRDefault="001D3B71" w:rsidP="006241FD">
            <w:pPr>
              <w:rPr>
                <w:rFonts w:eastAsia="TimesNewRoman"/>
                <w:color w:val="auto"/>
                <w:szCs w:val="22"/>
              </w:rPr>
            </w:pPr>
            <w:r w:rsidRPr="00F17CA0">
              <w:rPr>
                <w:color w:val="auto"/>
                <w:szCs w:val="22"/>
                <w:lang w:eastAsia="en-US"/>
              </w:rPr>
              <w:t>M</w:t>
            </w:r>
            <w:r w:rsidR="006241FD" w:rsidRPr="00F17CA0">
              <w:rPr>
                <w:color w:val="auto"/>
                <w:szCs w:val="22"/>
                <w:lang w:eastAsia="en-US"/>
              </w:rPr>
              <w:t>odified Response Evaluation Criteria in Solid Tumours for Hepatocellular Carcinoma</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NCI-CTCAE</w:t>
            </w:r>
          </w:p>
        </w:tc>
        <w:tc>
          <w:tcPr>
            <w:tcW w:w="6911" w:type="dxa"/>
          </w:tcPr>
          <w:p w:rsidR="006241FD" w:rsidRPr="00F17CA0" w:rsidRDefault="006241FD" w:rsidP="006241FD">
            <w:pPr>
              <w:rPr>
                <w:color w:val="auto"/>
                <w:szCs w:val="22"/>
                <w:lang w:eastAsia="ja-JP"/>
              </w:rPr>
            </w:pPr>
            <w:r w:rsidRPr="00F17CA0">
              <w:rPr>
                <w:color w:val="auto"/>
                <w:szCs w:val="22"/>
              </w:rPr>
              <w:t>National Cancer Institute Common Terminology Criteria for adverse events</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lastRenderedPageBreak/>
              <w:t>NSCLC</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N</w:t>
            </w:r>
            <w:r w:rsidR="006241FD" w:rsidRPr="00F17CA0">
              <w:rPr>
                <w:rFonts w:cstheme="minorHAnsi"/>
                <w:color w:val="auto"/>
                <w:szCs w:val="22"/>
              </w:rPr>
              <w:t>on-small cell lung cancer</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OD</w:t>
            </w:r>
          </w:p>
        </w:tc>
        <w:tc>
          <w:tcPr>
            <w:tcW w:w="6911" w:type="dxa"/>
          </w:tcPr>
          <w:p w:rsidR="006241FD" w:rsidRPr="00F17CA0" w:rsidRDefault="001D3B71" w:rsidP="00F01955">
            <w:pPr>
              <w:rPr>
                <w:rFonts w:cstheme="minorHAnsi"/>
                <w:color w:val="auto"/>
                <w:szCs w:val="22"/>
              </w:rPr>
            </w:pPr>
            <w:r w:rsidRPr="00F17CA0">
              <w:rPr>
                <w:rFonts w:cstheme="minorHAnsi"/>
                <w:color w:val="auto"/>
                <w:szCs w:val="22"/>
              </w:rPr>
              <w:t>O</w:t>
            </w:r>
            <w:r w:rsidR="006241FD" w:rsidRPr="00F17CA0">
              <w:rPr>
                <w:rFonts w:cstheme="minorHAnsi"/>
                <w:color w:val="auto"/>
                <w:szCs w:val="22"/>
              </w:rPr>
              <w:t>nce</w:t>
            </w:r>
            <w:r w:rsidR="00F01955" w:rsidRPr="00F17CA0">
              <w:rPr>
                <w:rFonts w:cstheme="minorHAnsi"/>
                <w:color w:val="auto"/>
                <w:szCs w:val="22"/>
              </w:rPr>
              <w:t xml:space="preserve"> </w:t>
            </w:r>
            <w:r w:rsidR="006241FD" w:rsidRPr="00F17CA0">
              <w:rPr>
                <w:rFonts w:cstheme="minorHAnsi"/>
                <w:color w:val="auto"/>
                <w:szCs w:val="22"/>
              </w:rPr>
              <w:t>daily</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ORR</w:t>
            </w:r>
          </w:p>
        </w:tc>
        <w:tc>
          <w:tcPr>
            <w:tcW w:w="6911" w:type="dxa"/>
          </w:tcPr>
          <w:p w:rsidR="006241FD" w:rsidRPr="00F17CA0" w:rsidRDefault="006241FD" w:rsidP="006241FD">
            <w:pPr>
              <w:rPr>
                <w:color w:val="auto"/>
                <w:szCs w:val="22"/>
                <w:lang w:eastAsia="ja-JP"/>
              </w:rPr>
            </w:pPr>
            <w:r w:rsidRPr="00F17CA0">
              <w:rPr>
                <w:color w:val="auto"/>
                <w:szCs w:val="22"/>
                <w:lang w:eastAsia="ja-JP"/>
              </w:rPr>
              <w:t>Objective tumour response rate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OS</w:t>
            </w:r>
          </w:p>
        </w:tc>
        <w:tc>
          <w:tcPr>
            <w:tcW w:w="6911" w:type="dxa"/>
          </w:tcPr>
          <w:p w:rsidR="006241FD" w:rsidRPr="00F17CA0" w:rsidRDefault="001D3B71" w:rsidP="006241FD">
            <w:pPr>
              <w:rPr>
                <w:color w:val="auto"/>
                <w:szCs w:val="22"/>
              </w:rPr>
            </w:pPr>
            <w:r w:rsidRPr="00F17CA0">
              <w:rPr>
                <w:color w:val="auto"/>
                <w:szCs w:val="22"/>
              </w:rPr>
              <w:t>O</w:t>
            </w:r>
            <w:r w:rsidR="006241FD" w:rsidRPr="00F17CA0">
              <w:rPr>
                <w:color w:val="auto"/>
                <w:szCs w:val="22"/>
              </w:rPr>
              <w:t>verall survival</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PD</w:t>
            </w:r>
          </w:p>
        </w:tc>
        <w:tc>
          <w:tcPr>
            <w:tcW w:w="6911" w:type="dxa"/>
          </w:tcPr>
          <w:p w:rsidR="006241FD" w:rsidRPr="00F17CA0" w:rsidRDefault="001D3B71" w:rsidP="00407613">
            <w:pPr>
              <w:rPr>
                <w:color w:val="auto"/>
                <w:szCs w:val="22"/>
              </w:rPr>
            </w:pPr>
            <w:r w:rsidRPr="00F17CA0">
              <w:rPr>
                <w:color w:val="auto"/>
                <w:szCs w:val="22"/>
              </w:rPr>
              <w:t>P</w:t>
            </w:r>
            <w:r w:rsidR="00407613" w:rsidRPr="00F17CA0">
              <w:rPr>
                <w:color w:val="auto"/>
                <w:szCs w:val="22"/>
              </w:rPr>
              <w:t>harmacodynamic</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PDGF</w:t>
            </w:r>
          </w:p>
        </w:tc>
        <w:tc>
          <w:tcPr>
            <w:tcW w:w="6911" w:type="dxa"/>
          </w:tcPr>
          <w:p w:rsidR="006241FD" w:rsidRPr="00F17CA0" w:rsidRDefault="001D3B71" w:rsidP="006241FD">
            <w:pPr>
              <w:rPr>
                <w:rFonts w:eastAsia="TimesNewRoman" w:cstheme="minorHAnsi"/>
                <w:color w:val="auto"/>
                <w:szCs w:val="22"/>
              </w:rPr>
            </w:pPr>
            <w:r w:rsidRPr="00F17CA0">
              <w:rPr>
                <w:color w:val="auto"/>
                <w:szCs w:val="22"/>
              </w:rPr>
              <w:t>P</w:t>
            </w:r>
            <w:r w:rsidR="006241FD" w:rsidRPr="00F17CA0">
              <w:rPr>
                <w:color w:val="auto"/>
                <w:szCs w:val="22"/>
              </w:rPr>
              <w:t>latelet-derived growth factor</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PFS</w:t>
            </w:r>
          </w:p>
        </w:tc>
        <w:tc>
          <w:tcPr>
            <w:tcW w:w="6911" w:type="dxa"/>
          </w:tcPr>
          <w:p w:rsidR="006241FD" w:rsidRPr="00F17CA0" w:rsidRDefault="006241FD" w:rsidP="00407613">
            <w:pPr>
              <w:rPr>
                <w:rStyle w:val="Style2"/>
                <w:color w:val="auto"/>
                <w:szCs w:val="22"/>
              </w:rPr>
            </w:pPr>
            <w:r w:rsidRPr="00F17CA0">
              <w:rPr>
                <w:color w:val="auto"/>
                <w:szCs w:val="22"/>
                <w:lang w:eastAsia="ja-JP"/>
              </w:rPr>
              <w:t>Progression</w:t>
            </w:r>
            <w:r w:rsidR="00407613" w:rsidRPr="00F17CA0">
              <w:rPr>
                <w:color w:val="auto"/>
                <w:szCs w:val="22"/>
                <w:lang w:eastAsia="ja-JP"/>
              </w:rPr>
              <w:t xml:space="preserve"> </w:t>
            </w:r>
            <w:r w:rsidRPr="00F17CA0">
              <w:rPr>
                <w:color w:val="auto"/>
                <w:szCs w:val="22"/>
                <w:lang w:eastAsia="ja-JP"/>
              </w:rPr>
              <w:t>free survival</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P-gp</w:t>
            </w:r>
          </w:p>
        </w:tc>
        <w:tc>
          <w:tcPr>
            <w:tcW w:w="6911" w:type="dxa"/>
          </w:tcPr>
          <w:p w:rsidR="006241FD" w:rsidRPr="00F17CA0" w:rsidRDefault="006241FD" w:rsidP="006241FD">
            <w:pPr>
              <w:rPr>
                <w:rFonts w:cstheme="minorHAnsi"/>
                <w:color w:val="auto"/>
                <w:szCs w:val="22"/>
              </w:rPr>
            </w:pPr>
            <w:r w:rsidRPr="00F17CA0">
              <w:rPr>
                <w:rFonts w:eastAsia="TimesNewRoman" w:cstheme="minorHAnsi"/>
                <w:color w:val="auto"/>
                <w:szCs w:val="22"/>
              </w:rPr>
              <w:t>P-glycoprotein</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PI</w:t>
            </w:r>
          </w:p>
        </w:tc>
        <w:tc>
          <w:tcPr>
            <w:tcW w:w="6911" w:type="dxa"/>
          </w:tcPr>
          <w:p w:rsidR="006241FD" w:rsidRPr="00F17CA0" w:rsidRDefault="006241FD" w:rsidP="006241FD">
            <w:pPr>
              <w:rPr>
                <w:color w:val="auto"/>
                <w:szCs w:val="22"/>
                <w:lang w:val="en-GB"/>
              </w:rPr>
            </w:pPr>
            <w:r w:rsidRPr="00F17CA0">
              <w:rPr>
                <w:color w:val="auto"/>
                <w:szCs w:val="22"/>
                <w:lang w:eastAsia="ja-JP"/>
              </w:rPr>
              <w:t>Product Information</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 xml:space="preserve">PK </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P</w:t>
            </w:r>
            <w:r w:rsidR="006241FD" w:rsidRPr="00F17CA0">
              <w:rPr>
                <w:rFonts w:cstheme="minorHAnsi"/>
                <w:color w:val="auto"/>
                <w:szCs w:val="22"/>
              </w:rPr>
              <w:t>harmacokinetics</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PPES</w:t>
            </w:r>
          </w:p>
        </w:tc>
        <w:tc>
          <w:tcPr>
            <w:tcW w:w="6911" w:type="dxa"/>
          </w:tcPr>
          <w:p w:rsidR="006241FD" w:rsidRPr="00F17CA0" w:rsidRDefault="006241FD" w:rsidP="006241FD">
            <w:pPr>
              <w:rPr>
                <w:color w:val="auto"/>
                <w:szCs w:val="22"/>
                <w:lang w:eastAsia="ja-JP"/>
              </w:rPr>
            </w:pPr>
            <w:r w:rsidRPr="00F17CA0">
              <w:rPr>
                <w:color w:val="auto"/>
                <w:szCs w:val="22"/>
              </w:rPr>
              <w:t xml:space="preserve">Palmar-plantar </w:t>
            </w:r>
            <w:r w:rsidR="004151AE" w:rsidRPr="00F17CA0">
              <w:rPr>
                <w:color w:val="auto"/>
                <w:szCs w:val="22"/>
              </w:rPr>
              <w:t>erythrodysaesthesia</w:t>
            </w:r>
            <w:r w:rsidRPr="00F17CA0">
              <w:rPr>
                <w:color w:val="auto"/>
                <w:szCs w:val="22"/>
              </w:rPr>
              <w:t xml:space="preserve"> syndrome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PPT</w:t>
            </w:r>
          </w:p>
        </w:tc>
        <w:tc>
          <w:tcPr>
            <w:tcW w:w="6911" w:type="dxa"/>
          </w:tcPr>
          <w:p w:rsidR="006241FD" w:rsidRPr="00F17CA0" w:rsidRDefault="001D3B71" w:rsidP="006241FD">
            <w:pPr>
              <w:rPr>
                <w:rFonts w:cstheme="minorHAnsi"/>
                <w:color w:val="auto"/>
                <w:szCs w:val="22"/>
              </w:rPr>
            </w:pPr>
            <w:r w:rsidRPr="00F17CA0">
              <w:rPr>
                <w:rFonts w:eastAsia="TimesNewRoman"/>
                <w:color w:val="auto"/>
                <w:szCs w:val="22"/>
              </w:rPr>
              <w:t>Partial Thromboplastin Time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PR</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Partial Response</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PT</w:t>
            </w:r>
          </w:p>
        </w:tc>
        <w:tc>
          <w:tcPr>
            <w:tcW w:w="6911" w:type="dxa"/>
          </w:tcPr>
          <w:p w:rsidR="006241FD" w:rsidRPr="00F17CA0" w:rsidRDefault="006241FD" w:rsidP="006241FD">
            <w:pPr>
              <w:rPr>
                <w:color w:val="auto"/>
                <w:szCs w:val="22"/>
                <w:lang w:val="en-GB"/>
              </w:rPr>
            </w:pPr>
            <w:r w:rsidRPr="00F17CA0">
              <w:rPr>
                <w:color w:val="auto"/>
                <w:szCs w:val="22"/>
                <w:lang w:val="en-GB"/>
              </w:rPr>
              <w:t>Preferred term</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QD</w:t>
            </w:r>
          </w:p>
        </w:tc>
        <w:tc>
          <w:tcPr>
            <w:tcW w:w="6911" w:type="dxa"/>
          </w:tcPr>
          <w:p w:rsidR="006241FD" w:rsidRPr="00F17CA0" w:rsidRDefault="001D3B71" w:rsidP="000C6E94">
            <w:pPr>
              <w:rPr>
                <w:rFonts w:cstheme="minorHAnsi"/>
                <w:color w:val="auto"/>
                <w:szCs w:val="22"/>
              </w:rPr>
            </w:pPr>
            <w:r w:rsidRPr="00F17CA0">
              <w:rPr>
                <w:color w:val="auto"/>
                <w:szCs w:val="22"/>
              </w:rPr>
              <w:t>O</w:t>
            </w:r>
            <w:r w:rsidR="006241FD" w:rsidRPr="00F17CA0">
              <w:rPr>
                <w:color w:val="auto"/>
                <w:szCs w:val="22"/>
              </w:rPr>
              <w:t>nce</w:t>
            </w:r>
            <w:r w:rsidR="000C6E94" w:rsidRPr="00F17CA0">
              <w:rPr>
                <w:color w:val="auto"/>
                <w:szCs w:val="22"/>
              </w:rPr>
              <w:t xml:space="preserve"> </w:t>
            </w:r>
            <w:r w:rsidR="006241FD" w:rsidRPr="00F17CA0">
              <w:rPr>
                <w:color w:val="auto"/>
                <w:szCs w:val="22"/>
              </w:rPr>
              <w:t>daily</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QoL</w:t>
            </w:r>
          </w:p>
        </w:tc>
        <w:tc>
          <w:tcPr>
            <w:tcW w:w="6911" w:type="dxa"/>
          </w:tcPr>
          <w:p w:rsidR="006241FD" w:rsidRPr="00F17CA0" w:rsidRDefault="006241FD" w:rsidP="006241FD">
            <w:pPr>
              <w:rPr>
                <w:color w:val="auto"/>
                <w:szCs w:val="22"/>
                <w:lang w:val="en-GB"/>
              </w:rPr>
            </w:pPr>
            <w:r w:rsidRPr="00F17CA0">
              <w:rPr>
                <w:color w:val="auto"/>
                <w:szCs w:val="22"/>
                <w:lang w:val="en-GB"/>
              </w:rPr>
              <w:t>Quality of Life</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RECIST</w:t>
            </w:r>
          </w:p>
        </w:tc>
        <w:tc>
          <w:tcPr>
            <w:tcW w:w="6911" w:type="dxa"/>
          </w:tcPr>
          <w:p w:rsidR="006241FD" w:rsidRPr="00F17CA0" w:rsidRDefault="006241FD" w:rsidP="006241FD">
            <w:pPr>
              <w:rPr>
                <w:color w:val="auto"/>
                <w:szCs w:val="22"/>
                <w:lang w:val="en-GB"/>
              </w:rPr>
            </w:pPr>
            <w:r w:rsidRPr="00F17CA0">
              <w:rPr>
                <w:color w:val="auto"/>
                <w:szCs w:val="22"/>
              </w:rPr>
              <w:t xml:space="preserve">Response Evaluation Criteria in Solid Tumours </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RECIST v1.1</w:t>
            </w:r>
          </w:p>
        </w:tc>
        <w:tc>
          <w:tcPr>
            <w:tcW w:w="6911" w:type="dxa"/>
          </w:tcPr>
          <w:p w:rsidR="006241FD" w:rsidRPr="00F17CA0" w:rsidRDefault="006241FD" w:rsidP="006241FD">
            <w:pPr>
              <w:rPr>
                <w:rFonts w:cstheme="minorHAnsi"/>
                <w:color w:val="auto"/>
                <w:szCs w:val="22"/>
              </w:rPr>
            </w:pPr>
            <w:r w:rsidRPr="00F17CA0">
              <w:rPr>
                <w:rFonts w:cstheme="minorHAnsi"/>
                <w:color w:val="auto"/>
                <w:szCs w:val="22"/>
              </w:rPr>
              <w:t>Response Evaluation Criteria in Solid Tumours, Version 1.1</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ROW</w:t>
            </w:r>
          </w:p>
        </w:tc>
        <w:tc>
          <w:tcPr>
            <w:tcW w:w="6911" w:type="dxa"/>
          </w:tcPr>
          <w:p w:rsidR="006241FD" w:rsidRPr="00F17CA0" w:rsidRDefault="006241FD" w:rsidP="006241FD">
            <w:pPr>
              <w:rPr>
                <w:color w:val="auto"/>
                <w:szCs w:val="22"/>
                <w:lang w:val="en-GB"/>
              </w:rPr>
            </w:pPr>
            <w:r w:rsidRPr="00F17CA0">
              <w:rPr>
                <w:color w:val="auto"/>
                <w:szCs w:val="22"/>
                <w:lang w:eastAsia="ja-JP"/>
              </w:rPr>
              <w:t>Rest of the world</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SAE</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S</w:t>
            </w:r>
            <w:r w:rsidR="006241FD" w:rsidRPr="00F17CA0">
              <w:rPr>
                <w:rFonts w:cstheme="minorHAnsi"/>
                <w:color w:val="auto"/>
                <w:szCs w:val="22"/>
              </w:rPr>
              <w:t>erious adverse event</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SAF</w:t>
            </w:r>
          </w:p>
        </w:tc>
        <w:tc>
          <w:tcPr>
            <w:tcW w:w="6911" w:type="dxa"/>
          </w:tcPr>
          <w:p w:rsidR="006241FD" w:rsidRPr="00F17CA0" w:rsidRDefault="006241FD" w:rsidP="006241FD">
            <w:pPr>
              <w:rPr>
                <w:color w:val="auto"/>
                <w:szCs w:val="22"/>
                <w:lang w:val="en-GB"/>
              </w:rPr>
            </w:pPr>
            <w:r w:rsidRPr="00F17CA0">
              <w:rPr>
                <w:color w:val="auto"/>
                <w:szCs w:val="22"/>
              </w:rPr>
              <w:t>Safety analysis set</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SBP</w:t>
            </w:r>
          </w:p>
        </w:tc>
        <w:tc>
          <w:tcPr>
            <w:tcW w:w="6911" w:type="dxa"/>
          </w:tcPr>
          <w:p w:rsidR="006241FD" w:rsidRPr="00F17CA0" w:rsidRDefault="006241FD" w:rsidP="006241FD">
            <w:pPr>
              <w:rPr>
                <w:color w:val="auto"/>
                <w:szCs w:val="22"/>
                <w:lang w:val="en-GB"/>
              </w:rPr>
            </w:pPr>
            <w:r w:rsidRPr="00F17CA0">
              <w:rPr>
                <w:color w:val="auto"/>
                <w:szCs w:val="22"/>
                <w:lang w:val="en-GB"/>
              </w:rPr>
              <w:t>Systolic blood pressure</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SD</w:t>
            </w:r>
          </w:p>
        </w:tc>
        <w:tc>
          <w:tcPr>
            <w:tcW w:w="6911" w:type="dxa"/>
          </w:tcPr>
          <w:p w:rsidR="006241FD" w:rsidRPr="00F17CA0" w:rsidRDefault="006241FD" w:rsidP="006241FD">
            <w:pPr>
              <w:rPr>
                <w:color w:val="auto"/>
                <w:szCs w:val="22"/>
                <w:lang w:val="en-GB"/>
              </w:rPr>
            </w:pPr>
            <w:r w:rsidRPr="00F17CA0">
              <w:rPr>
                <w:color w:val="auto"/>
                <w:szCs w:val="22"/>
                <w:lang w:eastAsia="ja-JP"/>
              </w:rPr>
              <w:t>Stable Disease</w:t>
            </w:r>
          </w:p>
        </w:tc>
      </w:tr>
      <w:tr w:rsidR="006241FD" w:rsidRPr="00F17CA0" w:rsidTr="006241FD">
        <w:tc>
          <w:tcPr>
            <w:tcW w:w="1809" w:type="dxa"/>
          </w:tcPr>
          <w:p w:rsidR="006241FD" w:rsidRPr="00F17CA0" w:rsidRDefault="006241FD" w:rsidP="006241FD">
            <w:pPr>
              <w:rPr>
                <w:color w:val="auto"/>
                <w:szCs w:val="22"/>
              </w:rPr>
            </w:pPr>
            <w:r w:rsidRPr="00F17CA0">
              <w:rPr>
                <w:color w:val="auto"/>
                <w:szCs w:val="22"/>
              </w:rPr>
              <w:t>SMQ</w:t>
            </w:r>
          </w:p>
        </w:tc>
        <w:tc>
          <w:tcPr>
            <w:tcW w:w="6911" w:type="dxa"/>
          </w:tcPr>
          <w:p w:rsidR="006241FD" w:rsidRPr="00F17CA0" w:rsidRDefault="006241FD" w:rsidP="006241FD">
            <w:pPr>
              <w:rPr>
                <w:color w:val="auto"/>
                <w:szCs w:val="22"/>
              </w:rPr>
            </w:pPr>
            <w:r w:rsidRPr="00F17CA0">
              <w:rPr>
                <w:color w:val="auto"/>
                <w:szCs w:val="22"/>
              </w:rPr>
              <w:t>Standardised MedDRA queries</w:t>
            </w:r>
          </w:p>
        </w:tc>
      </w:tr>
      <w:tr w:rsidR="006241FD" w:rsidRPr="00F17CA0" w:rsidTr="006241FD">
        <w:tc>
          <w:tcPr>
            <w:tcW w:w="1809" w:type="dxa"/>
          </w:tcPr>
          <w:p w:rsidR="006241FD" w:rsidRPr="00F17CA0" w:rsidRDefault="006241FD" w:rsidP="006241FD">
            <w:pPr>
              <w:rPr>
                <w:color w:val="auto"/>
                <w:szCs w:val="22"/>
              </w:rPr>
            </w:pPr>
            <w:r w:rsidRPr="00F17CA0">
              <w:rPr>
                <w:color w:val="auto"/>
                <w:szCs w:val="22"/>
              </w:rPr>
              <w:t>SOC</w:t>
            </w:r>
          </w:p>
        </w:tc>
        <w:tc>
          <w:tcPr>
            <w:tcW w:w="6911" w:type="dxa"/>
          </w:tcPr>
          <w:p w:rsidR="006241FD" w:rsidRPr="00F17CA0" w:rsidRDefault="006241FD" w:rsidP="006241FD">
            <w:pPr>
              <w:rPr>
                <w:color w:val="auto"/>
                <w:szCs w:val="22"/>
              </w:rPr>
            </w:pPr>
            <w:r w:rsidRPr="00F17CA0">
              <w:rPr>
                <w:color w:val="auto"/>
                <w:szCs w:val="22"/>
              </w:rPr>
              <w:t>System Organ Class</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SRI</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S</w:t>
            </w:r>
            <w:r w:rsidR="006241FD" w:rsidRPr="00F17CA0">
              <w:rPr>
                <w:rFonts w:cstheme="minorHAnsi"/>
                <w:color w:val="auto"/>
                <w:szCs w:val="22"/>
              </w:rPr>
              <w:t>evere renal impairment</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lastRenderedPageBreak/>
              <w:t>TACE</w:t>
            </w:r>
          </w:p>
        </w:tc>
        <w:tc>
          <w:tcPr>
            <w:tcW w:w="6911" w:type="dxa"/>
          </w:tcPr>
          <w:p w:rsidR="006241FD" w:rsidRPr="00F17CA0" w:rsidRDefault="006241FD" w:rsidP="006241FD">
            <w:pPr>
              <w:rPr>
                <w:color w:val="auto"/>
                <w:szCs w:val="22"/>
                <w:lang w:val="en-GB"/>
              </w:rPr>
            </w:pPr>
            <w:r w:rsidRPr="00F17CA0">
              <w:rPr>
                <w:color w:val="auto"/>
                <w:szCs w:val="22"/>
                <w:lang w:eastAsia="ja-JP"/>
              </w:rPr>
              <w:t>Trans-arterial chemoembolisation</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TEAE</w:t>
            </w:r>
          </w:p>
        </w:tc>
        <w:tc>
          <w:tcPr>
            <w:tcW w:w="6911" w:type="dxa"/>
          </w:tcPr>
          <w:p w:rsidR="006241FD" w:rsidRPr="00F17CA0" w:rsidRDefault="001D3B71" w:rsidP="00CB10A9">
            <w:pPr>
              <w:rPr>
                <w:rFonts w:cstheme="minorHAnsi"/>
                <w:color w:val="auto"/>
                <w:szCs w:val="22"/>
              </w:rPr>
            </w:pPr>
            <w:r w:rsidRPr="00F17CA0">
              <w:rPr>
                <w:rFonts w:cstheme="minorHAnsi"/>
                <w:color w:val="auto"/>
                <w:szCs w:val="22"/>
              </w:rPr>
              <w:t>Treatment-</w:t>
            </w:r>
            <w:r w:rsidR="00CB10A9" w:rsidRPr="00F17CA0">
              <w:rPr>
                <w:rFonts w:cstheme="minorHAnsi"/>
                <w:color w:val="auto"/>
                <w:szCs w:val="22"/>
              </w:rPr>
              <w:t>emergent adverse event</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TID</w:t>
            </w:r>
          </w:p>
        </w:tc>
        <w:tc>
          <w:tcPr>
            <w:tcW w:w="6911" w:type="dxa"/>
          </w:tcPr>
          <w:p w:rsidR="006241FD" w:rsidRPr="00F17CA0" w:rsidRDefault="001D3B71" w:rsidP="006241FD">
            <w:pPr>
              <w:rPr>
                <w:rFonts w:cstheme="minorHAnsi"/>
                <w:color w:val="auto"/>
                <w:szCs w:val="22"/>
              </w:rPr>
            </w:pPr>
            <w:proofErr w:type="spellStart"/>
            <w:r w:rsidRPr="00F17CA0">
              <w:rPr>
                <w:rFonts w:cstheme="minorHAnsi"/>
                <w:i/>
                <w:iCs/>
                <w:color w:val="auto"/>
                <w:szCs w:val="22"/>
              </w:rPr>
              <w:t>T</w:t>
            </w:r>
            <w:r w:rsidR="006241FD" w:rsidRPr="00F17CA0">
              <w:rPr>
                <w:rFonts w:cstheme="minorHAnsi"/>
                <w:i/>
                <w:iCs/>
                <w:color w:val="auto"/>
                <w:szCs w:val="22"/>
              </w:rPr>
              <w:t>er</w:t>
            </w:r>
            <w:proofErr w:type="spellEnd"/>
            <w:r w:rsidR="006241FD" w:rsidRPr="00F17CA0">
              <w:rPr>
                <w:rFonts w:cstheme="minorHAnsi"/>
                <w:i/>
                <w:iCs/>
                <w:color w:val="auto"/>
                <w:szCs w:val="22"/>
              </w:rPr>
              <w:t xml:space="preserve"> in die </w:t>
            </w:r>
            <w:r w:rsidR="006241FD" w:rsidRPr="00F17CA0">
              <w:rPr>
                <w:rFonts w:cstheme="minorHAnsi"/>
                <w:color w:val="auto"/>
                <w:szCs w:val="22"/>
              </w:rPr>
              <w:t>(three</w:t>
            </w:r>
            <w:r w:rsidR="00CB10A9" w:rsidRPr="00F17CA0">
              <w:rPr>
                <w:rFonts w:cstheme="minorHAnsi"/>
                <w:color w:val="auto"/>
                <w:szCs w:val="22"/>
              </w:rPr>
              <w:t xml:space="preserve"> </w:t>
            </w:r>
            <w:r w:rsidR="006241FD" w:rsidRPr="00F17CA0">
              <w:rPr>
                <w:rFonts w:cstheme="minorHAnsi"/>
                <w:color w:val="auto"/>
                <w:szCs w:val="22"/>
              </w:rPr>
              <w:t>times daily)</w:t>
            </w:r>
          </w:p>
        </w:tc>
      </w:tr>
      <w:tr w:rsidR="006241FD" w:rsidRPr="00F17CA0" w:rsidTr="006241FD">
        <w:tc>
          <w:tcPr>
            <w:tcW w:w="1809" w:type="dxa"/>
          </w:tcPr>
          <w:p w:rsidR="006241FD" w:rsidRPr="00F17CA0" w:rsidRDefault="00686D30" w:rsidP="006241FD">
            <w:pPr>
              <w:rPr>
                <w:rFonts w:cstheme="minorHAnsi"/>
                <w:color w:val="auto"/>
                <w:szCs w:val="22"/>
              </w:rPr>
            </w:pPr>
            <w:r w:rsidRPr="00F17CA0">
              <w:rPr>
                <w:rFonts w:eastAsia="TimesNewRoman"/>
                <w:szCs w:val="22"/>
              </w:rPr>
              <w:t>T</w:t>
            </w:r>
            <w:r w:rsidRPr="00F17CA0">
              <w:rPr>
                <w:rFonts w:eastAsia="TimesNewRoman"/>
                <w:szCs w:val="22"/>
                <w:vertAlign w:val="subscript"/>
              </w:rPr>
              <w:t>max</w:t>
            </w:r>
          </w:p>
        </w:tc>
        <w:tc>
          <w:tcPr>
            <w:tcW w:w="6911" w:type="dxa"/>
          </w:tcPr>
          <w:p w:rsidR="006241FD" w:rsidRPr="00F17CA0" w:rsidRDefault="001D3B71" w:rsidP="00DA0C28">
            <w:pPr>
              <w:rPr>
                <w:rFonts w:cstheme="minorHAnsi"/>
                <w:color w:val="auto"/>
                <w:szCs w:val="22"/>
              </w:rPr>
            </w:pPr>
            <w:r w:rsidRPr="00F17CA0">
              <w:rPr>
                <w:rFonts w:cstheme="minorHAnsi"/>
                <w:color w:val="auto"/>
                <w:szCs w:val="22"/>
              </w:rPr>
              <w:t>T</w:t>
            </w:r>
            <w:r w:rsidR="006241FD" w:rsidRPr="00F17CA0">
              <w:rPr>
                <w:rFonts w:cstheme="minorHAnsi"/>
                <w:color w:val="auto"/>
                <w:szCs w:val="22"/>
              </w:rPr>
              <w:t xml:space="preserve">ime to reach </w:t>
            </w:r>
            <w:r w:rsidR="00DA0C28" w:rsidRPr="00F17CA0">
              <w:rPr>
                <w:rFonts w:cstheme="minorHAnsi"/>
                <w:color w:val="auto"/>
                <w:szCs w:val="22"/>
              </w:rPr>
              <w:t>peak</w:t>
            </w:r>
            <w:r w:rsidR="006241FD" w:rsidRPr="00F17CA0">
              <w:rPr>
                <w:rFonts w:cstheme="minorHAnsi"/>
                <w:color w:val="auto"/>
                <w:szCs w:val="22"/>
              </w:rPr>
              <w:t xml:space="preserve"> drug concentration in plasma after single (first) dose</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TTP</w:t>
            </w:r>
          </w:p>
        </w:tc>
        <w:tc>
          <w:tcPr>
            <w:tcW w:w="6911" w:type="dxa"/>
          </w:tcPr>
          <w:p w:rsidR="006241FD" w:rsidRPr="00F17CA0" w:rsidRDefault="001D3B71" w:rsidP="006241FD">
            <w:pPr>
              <w:rPr>
                <w:rFonts w:cstheme="minorHAnsi"/>
                <w:color w:val="auto"/>
                <w:szCs w:val="22"/>
              </w:rPr>
            </w:pPr>
            <w:r w:rsidRPr="00F17CA0">
              <w:rPr>
                <w:rFonts w:cstheme="minorHAnsi"/>
                <w:color w:val="auto"/>
                <w:szCs w:val="22"/>
              </w:rPr>
              <w:t xml:space="preserve">Time </w:t>
            </w:r>
            <w:r w:rsidR="00CB10A9" w:rsidRPr="00F17CA0">
              <w:rPr>
                <w:rFonts w:cstheme="minorHAnsi"/>
                <w:color w:val="auto"/>
                <w:szCs w:val="22"/>
              </w:rPr>
              <w:t>t</w:t>
            </w:r>
            <w:r w:rsidRPr="00F17CA0">
              <w:rPr>
                <w:rFonts w:cstheme="minorHAnsi"/>
                <w:color w:val="auto"/>
                <w:szCs w:val="22"/>
              </w:rPr>
              <w:t xml:space="preserve">o </w:t>
            </w:r>
            <w:r w:rsidR="00CB10A9" w:rsidRPr="00F17CA0">
              <w:rPr>
                <w:rFonts w:cstheme="minorHAnsi"/>
                <w:color w:val="auto"/>
                <w:szCs w:val="22"/>
              </w:rPr>
              <w:t>p</w:t>
            </w:r>
            <w:r w:rsidRPr="00F17CA0">
              <w:rPr>
                <w:rFonts w:cstheme="minorHAnsi"/>
                <w:color w:val="auto"/>
                <w:szCs w:val="22"/>
              </w:rPr>
              <w:t>rogression</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U</w:t>
            </w:r>
          </w:p>
        </w:tc>
        <w:tc>
          <w:tcPr>
            <w:tcW w:w="6911" w:type="dxa"/>
          </w:tcPr>
          <w:p w:rsidR="006241FD" w:rsidRPr="00F17CA0" w:rsidRDefault="006241FD" w:rsidP="006241FD">
            <w:pPr>
              <w:rPr>
                <w:color w:val="auto"/>
                <w:szCs w:val="22"/>
                <w:lang w:val="en-GB"/>
              </w:rPr>
            </w:pPr>
            <w:r w:rsidRPr="00F17CA0">
              <w:rPr>
                <w:color w:val="auto"/>
                <w:szCs w:val="22"/>
                <w:lang w:val="en-GB"/>
              </w:rPr>
              <w:t>Unit</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ULN</w:t>
            </w:r>
          </w:p>
        </w:tc>
        <w:tc>
          <w:tcPr>
            <w:tcW w:w="6911" w:type="dxa"/>
          </w:tcPr>
          <w:p w:rsidR="006241FD" w:rsidRPr="00F17CA0" w:rsidRDefault="006241FD" w:rsidP="006241FD">
            <w:pPr>
              <w:rPr>
                <w:color w:val="auto"/>
                <w:szCs w:val="22"/>
                <w:lang w:val="en-GB"/>
              </w:rPr>
            </w:pPr>
            <w:r w:rsidRPr="00F17CA0">
              <w:rPr>
                <w:color w:val="auto"/>
                <w:szCs w:val="22"/>
                <w:lang w:val="en-GB"/>
              </w:rPr>
              <w:t>Upper limit</w:t>
            </w:r>
            <w:r w:rsidR="00CB10A9" w:rsidRPr="00F17CA0">
              <w:rPr>
                <w:color w:val="auto"/>
                <w:szCs w:val="22"/>
                <w:lang w:val="en-GB"/>
              </w:rPr>
              <w:t xml:space="preserve"> of</w:t>
            </w:r>
            <w:r w:rsidRPr="00F17CA0">
              <w:rPr>
                <w:color w:val="auto"/>
                <w:szCs w:val="22"/>
                <w:lang w:val="en-GB"/>
              </w:rPr>
              <w:t xml:space="preserve"> normal</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lang w:val="en-GB"/>
              </w:rPr>
              <w:t>US</w:t>
            </w:r>
            <w:r w:rsidR="001D3B71" w:rsidRPr="00F17CA0">
              <w:rPr>
                <w:bCs/>
                <w:color w:val="auto"/>
                <w:szCs w:val="22"/>
                <w:lang w:val="en-GB"/>
              </w:rPr>
              <w:t>A</w:t>
            </w:r>
          </w:p>
        </w:tc>
        <w:tc>
          <w:tcPr>
            <w:tcW w:w="6911" w:type="dxa"/>
          </w:tcPr>
          <w:p w:rsidR="006241FD" w:rsidRPr="00F17CA0" w:rsidRDefault="006241FD" w:rsidP="006241FD">
            <w:pPr>
              <w:rPr>
                <w:color w:val="auto"/>
                <w:szCs w:val="22"/>
                <w:lang w:val="en-GB"/>
              </w:rPr>
            </w:pPr>
            <w:r w:rsidRPr="00F17CA0">
              <w:rPr>
                <w:color w:val="auto"/>
                <w:szCs w:val="22"/>
                <w:lang w:val="en-GB"/>
              </w:rPr>
              <w:t xml:space="preserve">United States </w:t>
            </w:r>
            <w:r w:rsidR="001D3B71" w:rsidRPr="00F17CA0">
              <w:rPr>
                <w:color w:val="auto"/>
                <w:szCs w:val="22"/>
                <w:lang w:val="en-GB"/>
              </w:rPr>
              <w:t>of America</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VEGF</w:t>
            </w:r>
          </w:p>
        </w:tc>
        <w:tc>
          <w:tcPr>
            <w:tcW w:w="6911" w:type="dxa"/>
          </w:tcPr>
          <w:p w:rsidR="006241FD" w:rsidRPr="00F17CA0" w:rsidRDefault="00CB10A9" w:rsidP="006241FD">
            <w:pPr>
              <w:rPr>
                <w:rFonts w:cstheme="minorHAnsi"/>
                <w:color w:val="auto"/>
                <w:szCs w:val="22"/>
              </w:rPr>
            </w:pPr>
            <w:r w:rsidRPr="00F17CA0">
              <w:rPr>
                <w:color w:val="auto"/>
                <w:szCs w:val="22"/>
              </w:rPr>
              <w:t>V</w:t>
            </w:r>
            <w:r w:rsidR="006241FD" w:rsidRPr="00F17CA0">
              <w:rPr>
                <w:color w:val="auto"/>
                <w:szCs w:val="22"/>
              </w:rPr>
              <w:t>ascular endothelial growth factor</w:t>
            </w:r>
          </w:p>
        </w:tc>
      </w:tr>
      <w:tr w:rsidR="006241FD" w:rsidRPr="00F17CA0" w:rsidTr="006241FD">
        <w:tc>
          <w:tcPr>
            <w:tcW w:w="1809" w:type="dxa"/>
          </w:tcPr>
          <w:p w:rsidR="006241FD" w:rsidRPr="00F17CA0" w:rsidRDefault="006241FD" w:rsidP="006241FD">
            <w:pPr>
              <w:rPr>
                <w:rFonts w:cstheme="minorHAnsi"/>
                <w:color w:val="auto"/>
                <w:szCs w:val="22"/>
              </w:rPr>
            </w:pPr>
            <w:r w:rsidRPr="00F17CA0">
              <w:rPr>
                <w:rFonts w:cstheme="minorHAnsi"/>
                <w:color w:val="auto"/>
                <w:szCs w:val="22"/>
              </w:rPr>
              <w:t>VEGFR</w:t>
            </w:r>
          </w:p>
        </w:tc>
        <w:tc>
          <w:tcPr>
            <w:tcW w:w="6911" w:type="dxa"/>
          </w:tcPr>
          <w:p w:rsidR="006241FD" w:rsidRPr="00F17CA0" w:rsidRDefault="00CB10A9" w:rsidP="006241FD">
            <w:pPr>
              <w:rPr>
                <w:rFonts w:cstheme="minorHAnsi"/>
                <w:color w:val="auto"/>
                <w:szCs w:val="22"/>
              </w:rPr>
            </w:pPr>
            <w:r w:rsidRPr="00F17CA0">
              <w:rPr>
                <w:color w:val="auto"/>
                <w:szCs w:val="22"/>
              </w:rPr>
              <w:t xml:space="preserve">Vascular </w:t>
            </w:r>
            <w:r w:rsidR="006241FD" w:rsidRPr="00F17CA0">
              <w:rPr>
                <w:color w:val="auto"/>
                <w:szCs w:val="22"/>
              </w:rPr>
              <w:t>endothelial growth factor receptor</w:t>
            </w:r>
          </w:p>
        </w:tc>
      </w:tr>
      <w:tr w:rsidR="006241FD" w:rsidRPr="00F17CA0" w:rsidTr="006241FD">
        <w:tc>
          <w:tcPr>
            <w:tcW w:w="1809" w:type="dxa"/>
          </w:tcPr>
          <w:p w:rsidR="006241FD" w:rsidRPr="00F17CA0" w:rsidRDefault="006241FD" w:rsidP="006241FD">
            <w:pPr>
              <w:rPr>
                <w:bCs/>
                <w:color w:val="auto"/>
                <w:szCs w:val="22"/>
                <w:lang w:val="en-GB"/>
              </w:rPr>
            </w:pPr>
            <w:r w:rsidRPr="00F17CA0">
              <w:rPr>
                <w:bCs/>
                <w:color w:val="auto"/>
                <w:szCs w:val="22"/>
              </w:rPr>
              <w:t>μg</w:t>
            </w:r>
          </w:p>
        </w:tc>
        <w:tc>
          <w:tcPr>
            <w:tcW w:w="6911" w:type="dxa"/>
          </w:tcPr>
          <w:p w:rsidR="006241FD" w:rsidRPr="00F17CA0" w:rsidRDefault="006241FD" w:rsidP="006241FD">
            <w:pPr>
              <w:rPr>
                <w:color w:val="auto"/>
                <w:szCs w:val="22"/>
                <w:lang w:val="en-GB"/>
              </w:rPr>
            </w:pPr>
            <w:r w:rsidRPr="00F17CA0">
              <w:rPr>
                <w:color w:val="auto"/>
                <w:szCs w:val="22"/>
                <w:lang w:val="en-GB"/>
              </w:rPr>
              <w:t>Microgram</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12263447"/>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12263448"/>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3735BC">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6F1F9E" w:rsidP="001B5C90">
            <w:r>
              <w:t>Extension of indications</w:t>
            </w:r>
          </w:p>
        </w:tc>
      </w:tr>
      <w:tr w:rsidR="008E7846" w:rsidRPr="003D1E62" w:rsidTr="003735BC">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6F1F9E" w:rsidP="006F1F9E">
            <w:r>
              <w:t>Approved</w:t>
            </w:r>
          </w:p>
        </w:tc>
      </w:tr>
      <w:tr w:rsidR="008E7846" w:rsidRPr="003D1E62" w:rsidTr="003735BC">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566890" w:rsidP="001B5C90">
            <w:r>
              <w:t>18 December 2017</w:t>
            </w:r>
          </w:p>
        </w:tc>
      </w:tr>
      <w:tr w:rsidR="00ED2922" w:rsidRPr="003D1E62" w:rsidTr="003735BC">
        <w:tc>
          <w:tcPr>
            <w:tcW w:w="2907" w:type="dxa"/>
          </w:tcPr>
          <w:p w:rsidR="00ED2922" w:rsidRPr="00441C3F" w:rsidRDefault="00ED2922" w:rsidP="001B5C90">
            <w:pPr>
              <w:rPr>
                <w:i/>
              </w:rPr>
            </w:pPr>
            <w:r w:rsidRPr="00441C3F">
              <w:rPr>
                <w:i/>
              </w:rPr>
              <w:t>Date of entry onto ARTG</w:t>
            </w:r>
            <w:r w:rsidR="00500337">
              <w:rPr>
                <w:i/>
              </w:rPr>
              <w:t>:</w:t>
            </w:r>
          </w:p>
        </w:tc>
        <w:tc>
          <w:tcPr>
            <w:tcW w:w="6307" w:type="dxa"/>
          </w:tcPr>
          <w:p w:rsidR="00ED2922" w:rsidRPr="00441C3F" w:rsidRDefault="00566890" w:rsidP="00EC463D">
            <w:pPr>
              <w:rPr>
                <w:i/>
              </w:rPr>
            </w:pPr>
            <w:r>
              <w:t>21 December 2017</w:t>
            </w:r>
          </w:p>
        </w:tc>
      </w:tr>
      <w:tr w:rsidR="00500337" w:rsidRPr="003D1E62" w:rsidTr="003735BC">
        <w:tc>
          <w:tcPr>
            <w:tcW w:w="2907" w:type="dxa"/>
          </w:tcPr>
          <w:p w:rsidR="00500337" w:rsidRPr="00441C3F" w:rsidRDefault="00500337" w:rsidP="001B5C90">
            <w:pPr>
              <w:rPr>
                <w:i/>
              </w:rPr>
            </w:pPr>
            <w:r>
              <w:rPr>
                <w:i/>
              </w:rPr>
              <w:t>ARTG number:</w:t>
            </w:r>
          </w:p>
        </w:tc>
        <w:tc>
          <w:tcPr>
            <w:tcW w:w="6307" w:type="dxa"/>
          </w:tcPr>
          <w:p w:rsidR="00500337" w:rsidRPr="00441C3F" w:rsidRDefault="00566890" w:rsidP="00EC463D">
            <w:r>
              <w:rPr>
                <w:rFonts w:eastAsiaTheme="minorHAnsi" w:cs="Cambria"/>
              </w:rPr>
              <w:t>200553</w:t>
            </w:r>
          </w:p>
        </w:tc>
      </w:tr>
      <w:tr w:rsidR="003735BC" w:rsidRPr="003D1E62" w:rsidTr="003735BC">
        <w:tc>
          <w:tcPr>
            <w:tcW w:w="2907" w:type="dxa"/>
          </w:tcPr>
          <w:p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rsidR="003735BC" w:rsidRPr="00487162" w:rsidRDefault="006F1F9E" w:rsidP="006F1F9E">
            <w:r>
              <w:t>No</w:t>
            </w:r>
          </w:p>
        </w:tc>
      </w:tr>
      <w:tr w:rsidR="008E7846" w:rsidRPr="00487162" w:rsidTr="00BF1190">
        <w:tc>
          <w:tcPr>
            <w:tcW w:w="2907" w:type="dxa"/>
          </w:tcPr>
          <w:p w:rsidR="008E7846" w:rsidRPr="00487162" w:rsidRDefault="001B5C90" w:rsidP="00E45619">
            <w:pPr>
              <w:rPr>
                <w:i/>
              </w:rPr>
            </w:pPr>
            <w:r>
              <w:rPr>
                <w:i/>
              </w:rPr>
              <w:t>Active ingredient:</w:t>
            </w:r>
          </w:p>
        </w:tc>
        <w:tc>
          <w:tcPr>
            <w:tcW w:w="6307" w:type="dxa"/>
          </w:tcPr>
          <w:p w:rsidR="008E7846" w:rsidRPr="00487162" w:rsidRDefault="006F1F9E" w:rsidP="006F1F9E">
            <w:r>
              <w:t>Regorafenib</w:t>
            </w:r>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name:</w:t>
            </w:r>
          </w:p>
        </w:tc>
        <w:tc>
          <w:tcPr>
            <w:tcW w:w="6307" w:type="dxa"/>
          </w:tcPr>
          <w:p w:rsidR="008E7846" w:rsidRPr="00487162" w:rsidRDefault="006F1F9E" w:rsidP="00E45619">
            <w:r>
              <w:t>Stivarga</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B44733" w:rsidRDefault="00B44733" w:rsidP="00B44733">
            <w:r w:rsidRPr="00B44733">
              <w:t>Bayer Australia Pty Ltd</w:t>
            </w:r>
          </w:p>
          <w:p w:rsidR="00B44733" w:rsidRPr="00B44733" w:rsidRDefault="00B44733" w:rsidP="00B44733">
            <w:r w:rsidRPr="00B44733">
              <w:t>875 Pacific Highway Pymble NSW 2073</w:t>
            </w:r>
          </w:p>
        </w:tc>
      </w:tr>
      <w:tr w:rsidR="008E7846" w:rsidRPr="00487162" w:rsidTr="00BF1190">
        <w:tc>
          <w:tcPr>
            <w:tcW w:w="2907" w:type="dxa"/>
          </w:tcPr>
          <w:p w:rsidR="008E7846" w:rsidRPr="00487162" w:rsidRDefault="001B5C90" w:rsidP="00E45619">
            <w:pPr>
              <w:rPr>
                <w:i/>
              </w:rPr>
            </w:pPr>
            <w:r>
              <w:rPr>
                <w:i/>
              </w:rPr>
              <w:t>Dose form:</w:t>
            </w:r>
          </w:p>
        </w:tc>
        <w:tc>
          <w:tcPr>
            <w:tcW w:w="6307" w:type="dxa"/>
          </w:tcPr>
          <w:p w:rsidR="008E7846" w:rsidRPr="00487162" w:rsidRDefault="008F4993" w:rsidP="00E45619">
            <w:r>
              <w:t>Tablet</w:t>
            </w:r>
          </w:p>
        </w:tc>
      </w:tr>
      <w:tr w:rsidR="008E7846" w:rsidRPr="00487162" w:rsidTr="00BF1190">
        <w:tc>
          <w:tcPr>
            <w:tcW w:w="2907" w:type="dxa"/>
          </w:tcPr>
          <w:p w:rsidR="008E7846" w:rsidRPr="00487162" w:rsidRDefault="008E7846" w:rsidP="00E45619">
            <w:pPr>
              <w:rPr>
                <w:i/>
              </w:rPr>
            </w:pPr>
            <w:r w:rsidRPr="00487162">
              <w:rPr>
                <w:i/>
              </w:rPr>
              <w:t xml:space="preserve">Strength: </w:t>
            </w:r>
          </w:p>
        </w:tc>
        <w:tc>
          <w:tcPr>
            <w:tcW w:w="6307" w:type="dxa"/>
          </w:tcPr>
          <w:p w:rsidR="008E7846" w:rsidRPr="00487162" w:rsidRDefault="008F4993" w:rsidP="00E45619">
            <w:r>
              <w:t>40 mg</w:t>
            </w:r>
          </w:p>
        </w:tc>
      </w:tr>
      <w:tr w:rsidR="008E7846" w:rsidRPr="00487162" w:rsidTr="00BF1190">
        <w:tc>
          <w:tcPr>
            <w:tcW w:w="2907" w:type="dxa"/>
          </w:tcPr>
          <w:p w:rsidR="008E7846" w:rsidRPr="00487162" w:rsidRDefault="008E7846" w:rsidP="00E45619">
            <w:pPr>
              <w:rPr>
                <w:i/>
              </w:rPr>
            </w:pPr>
            <w:r w:rsidRPr="00487162">
              <w:rPr>
                <w:i/>
              </w:rPr>
              <w:t>Container:</w:t>
            </w:r>
          </w:p>
        </w:tc>
        <w:tc>
          <w:tcPr>
            <w:tcW w:w="6307" w:type="dxa"/>
          </w:tcPr>
          <w:p w:rsidR="008E7846" w:rsidRPr="00487162" w:rsidRDefault="00C5152D" w:rsidP="00E45619">
            <w:r>
              <w:t>Bottle</w:t>
            </w:r>
          </w:p>
        </w:tc>
      </w:tr>
      <w:tr w:rsidR="008E7846" w:rsidRPr="00487162" w:rsidTr="00BF1190">
        <w:tc>
          <w:tcPr>
            <w:tcW w:w="2907" w:type="dxa"/>
          </w:tcPr>
          <w:p w:rsidR="008E7846" w:rsidRPr="00487162" w:rsidRDefault="008E7846" w:rsidP="00E45619">
            <w:pPr>
              <w:rPr>
                <w:i/>
              </w:rPr>
            </w:pPr>
            <w:r w:rsidRPr="00487162">
              <w:rPr>
                <w:i/>
              </w:rPr>
              <w:t>Pack sizes:</w:t>
            </w:r>
          </w:p>
        </w:tc>
        <w:tc>
          <w:tcPr>
            <w:tcW w:w="6307" w:type="dxa"/>
          </w:tcPr>
          <w:p w:rsidR="008E7846" w:rsidRPr="00487162" w:rsidRDefault="00C5152D" w:rsidP="00C5152D">
            <w:r>
              <w:t>28, 28 (starter pack) and 84 (3 bottles of 28) 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841ECD" w:rsidRDefault="00566890" w:rsidP="00566890">
            <w:pPr>
              <w:rPr>
                <w:i/>
              </w:rPr>
            </w:pPr>
            <w:r w:rsidRPr="00841ECD">
              <w:rPr>
                <w:i/>
              </w:rPr>
              <w:t>Stivarga is indicated for the treatment of patients with hepatocellular carcinoma (HCC) who have been previously treated with sorafenib.</w:t>
            </w:r>
          </w:p>
        </w:tc>
      </w:tr>
      <w:tr w:rsidR="008E7846" w:rsidRPr="00487162" w:rsidTr="00BF1190">
        <w:tc>
          <w:tcPr>
            <w:tcW w:w="2907" w:type="dxa"/>
          </w:tcPr>
          <w:p w:rsidR="008E7846" w:rsidRPr="00487162" w:rsidRDefault="008E7846" w:rsidP="00E45619">
            <w:pPr>
              <w:rPr>
                <w:i/>
              </w:rPr>
            </w:pPr>
            <w:r w:rsidRPr="00487162">
              <w:rPr>
                <w:i/>
              </w:rPr>
              <w:t>Route of administration:</w:t>
            </w:r>
          </w:p>
        </w:tc>
        <w:tc>
          <w:tcPr>
            <w:tcW w:w="6307" w:type="dxa"/>
          </w:tcPr>
          <w:p w:rsidR="008E7846" w:rsidRPr="00487162" w:rsidRDefault="00566890" w:rsidP="00E45619">
            <w:r>
              <w:t>Oral (PO)</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C5152D" w:rsidP="00C5152D">
            <w:r>
              <w:t>The recommended daily dose is 160 mg and contains 2.427</w:t>
            </w:r>
            <w:r w:rsidR="00CB10A9">
              <w:t> </w:t>
            </w:r>
            <w:proofErr w:type="spellStart"/>
            <w:r>
              <w:t>mmol</w:t>
            </w:r>
            <w:proofErr w:type="spellEnd"/>
            <w:r>
              <w:t xml:space="preserve"> (equivalent to 55.8 mg) of sodium per daily dose. Take four Stivarga (40 mg) tablets daily at the same time each day for three weeks on therapy (21 days) followed by one week off therapy (7 days) to comprise a cycle of four weeks (28 days).</w:t>
            </w:r>
          </w:p>
        </w:tc>
      </w:tr>
    </w:tbl>
    <w:p w:rsidR="008E7846" w:rsidRDefault="008E7846" w:rsidP="008E7846">
      <w:pPr>
        <w:pStyle w:val="Heading3"/>
      </w:pPr>
      <w:bookmarkStart w:id="13" w:name="_Toc247691503"/>
      <w:bookmarkStart w:id="14" w:name="_Toc314842484"/>
      <w:bookmarkStart w:id="15" w:name="_Toc12263449"/>
      <w:r>
        <w:t>Product background</w:t>
      </w:r>
      <w:bookmarkEnd w:id="13"/>
      <w:bookmarkEnd w:id="14"/>
      <w:bookmarkEnd w:id="15"/>
    </w:p>
    <w:p w:rsidR="001D3B71" w:rsidRDefault="006241FD" w:rsidP="00940A89">
      <w:pPr>
        <w:rPr>
          <w:lang w:eastAsia="ja-JP"/>
        </w:rPr>
      </w:pPr>
      <w:r w:rsidRPr="00BA24C8">
        <w:rPr>
          <w:lang w:eastAsia="ja-JP"/>
        </w:rPr>
        <w:t xml:space="preserve">This </w:t>
      </w:r>
      <w:r w:rsidR="001D3B71" w:rsidRPr="00940A89">
        <w:t xml:space="preserve">AusPAR describes </w:t>
      </w:r>
      <w:r w:rsidR="001D3B71">
        <w:t>the</w:t>
      </w:r>
      <w:r w:rsidRPr="00BA24C8">
        <w:rPr>
          <w:lang w:eastAsia="ja-JP"/>
        </w:rPr>
        <w:t xml:space="preserve"> submission to </w:t>
      </w:r>
      <w:r w:rsidRPr="00BA24C8">
        <w:t xml:space="preserve">extend the indication of Stivarga </w:t>
      </w:r>
      <w:r w:rsidR="001D3B71">
        <w:t xml:space="preserve">(regorafenib) </w:t>
      </w:r>
      <w:r w:rsidRPr="00BA24C8">
        <w:rPr>
          <w:lang w:eastAsia="ja-JP"/>
        </w:rPr>
        <w:t>to include the treatment of patients with hepatocellular carcinoma (HCC) who have been previously treated with one systemic therapy</w:t>
      </w:r>
      <w:r w:rsidR="001D3B71">
        <w:rPr>
          <w:lang w:eastAsia="ja-JP"/>
        </w:rPr>
        <w:t xml:space="preserve"> as follows:</w:t>
      </w:r>
    </w:p>
    <w:p w:rsidR="001D3B71" w:rsidRPr="001D3B71" w:rsidRDefault="001D3B71" w:rsidP="001D3B71">
      <w:pPr>
        <w:ind w:left="720"/>
        <w:rPr>
          <w:i/>
        </w:rPr>
      </w:pPr>
      <w:r w:rsidRPr="001D3B71">
        <w:rPr>
          <w:i/>
        </w:rPr>
        <w:t>Stivarga is indicated for the treatment of patients with hepatocellular carcinoma (HCC) who have been previously treated with sorafenib.</w:t>
      </w:r>
    </w:p>
    <w:p w:rsidR="006241FD" w:rsidRDefault="001D3B71" w:rsidP="00940A89">
      <w:pPr>
        <w:rPr>
          <w:lang w:eastAsia="ja-JP"/>
        </w:rPr>
      </w:pPr>
      <w:r>
        <w:rPr>
          <w:lang w:eastAsia="ja-JP"/>
        </w:rPr>
        <w:lastRenderedPageBreak/>
        <w:t xml:space="preserve">The sponsor has also proposed </w:t>
      </w:r>
      <w:r w:rsidR="006241FD" w:rsidRPr="00BA24C8">
        <w:rPr>
          <w:lang w:eastAsia="ja-JP"/>
        </w:rPr>
        <w:t>update</w:t>
      </w:r>
      <w:r>
        <w:rPr>
          <w:lang w:eastAsia="ja-JP"/>
        </w:rPr>
        <w:t>s</w:t>
      </w:r>
      <w:r w:rsidR="006241FD" w:rsidRPr="00BA24C8">
        <w:rPr>
          <w:lang w:eastAsia="ja-JP"/>
        </w:rPr>
        <w:t xml:space="preserve"> the Product Information (PI) with changes in the </w:t>
      </w:r>
      <w:r w:rsidR="006241FD" w:rsidRPr="000A2E7B">
        <w:rPr>
          <w:lang w:eastAsia="ja-JP"/>
        </w:rPr>
        <w:t xml:space="preserve">Pharmacokinetics, Clinical Trials, Precautions, </w:t>
      </w:r>
      <w:proofErr w:type="gramStart"/>
      <w:r w:rsidR="006241FD" w:rsidRPr="000A2E7B">
        <w:rPr>
          <w:lang w:eastAsia="ja-JP"/>
        </w:rPr>
        <w:t>Interactions</w:t>
      </w:r>
      <w:proofErr w:type="gramEnd"/>
      <w:r w:rsidR="006241FD" w:rsidRPr="000A2E7B">
        <w:rPr>
          <w:lang w:eastAsia="ja-JP"/>
        </w:rPr>
        <w:t xml:space="preserve"> with other </w:t>
      </w:r>
      <w:r w:rsidR="00F01955" w:rsidRPr="000A2E7B">
        <w:rPr>
          <w:lang w:eastAsia="ja-JP"/>
        </w:rPr>
        <w:t>m</w:t>
      </w:r>
      <w:r w:rsidR="006241FD" w:rsidRPr="000A2E7B">
        <w:rPr>
          <w:lang w:eastAsia="ja-JP"/>
        </w:rPr>
        <w:t xml:space="preserve">edicines </w:t>
      </w:r>
      <w:r w:rsidR="006241FD" w:rsidRPr="00CB10A9">
        <w:rPr>
          <w:lang w:eastAsia="ja-JP"/>
        </w:rPr>
        <w:t xml:space="preserve">and </w:t>
      </w:r>
      <w:r w:rsidR="006241FD" w:rsidRPr="000A2E7B">
        <w:rPr>
          <w:lang w:eastAsia="ja-JP"/>
        </w:rPr>
        <w:t>Adverse Effects</w:t>
      </w:r>
      <w:r w:rsidR="006241FD" w:rsidRPr="00BA24C8">
        <w:rPr>
          <w:lang w:eastAsia="ja-JP"/>
        </w:rPr>
        <w:t xml:space="preserve"> sections to include results from several clinical studies</w:t>
      </w:r>
      <w:r>
        <w:rPr>
          <w:lang w:eastAsia="ja-JP"/>
        </w:rPr>
        <w:t xml:space="preserve"> as follows:</w:t>
      </w:r>
    </w:p>
    <w:p w:rsidR="00566890" w:rsidRDefault="00566890" w:rsidP="001D3B71">
      <w:pPr>
        <w:pStyle w:val="ListBullet"/>
      </w:pPr>
      <w:r>
        <w:t>include the results from a drug-drug interaction between regorafenib and neomycin (</w:t>
      </w:r>
      <w:r w:rsidR="00CB10A9">
        <w:t xml:space="preserve">Study </w:t>
      </w:r>
      <w:r>
        <w:t xml:space="preserve">16675, </w:t>
      </w:r>
      <w:r w:rsidR="00CB10A9">
        <w:t>R</w:t>
      </w:r>
      <w:r>
        <w:t>eport PH-38212)</w:t>
      </w:r>
    </w:p>
    <w:p w:rsidR="00566890" w:rsidRDefault="00566890" w:rsidP="001D3B71">
      <w:pPr>
        <w:pStyle w:val="ListBullet"/>
      </w:pPr>
      <w:r>
        <w:t xml:space="preserve">update the information on renal impaired patients (CSR </w:t>
      </w:r>
      <w:r w:rsidR="00CB10A9">
        <w:t xml:space="preserve">Study </w:t>
      </w:r>
      <w:r>
        <w:t>16653)</w:t>
      </w:r>
    </w:p>
    <w:p w:rsidR="00566890" w:rsidRDefault="00566890" w:rsidP="001D3B71">
      <w:pPr>
        <w:pStyle w:val="ListBullet"/>
      </w:pPr>
      <w:r>
        <w:t xml:space="preserve">include the results from a study on </w:t>
      </w:r>
      <w:r w:rsidR="00CB10A9">
        <w:t xml:space="preserve">breast cancer resistance protein </w:t>
      </w:r>
      <w:r>
        <w:t>(BCRP) and P</w:t>
      </w:r>
      <w:r w:rsidR="00CB10A9">
        <w:noBreakHyphen/>
      </w:r>
      <w:r>
        <w:t xml:space="preserve">glycoprotein substrates (CSR </w:t>
      </w:r>
      <w:r w:rsidR="00CB10A9">
        <w:t xml:space="preserve">Study </w:t>
      </w:r>
      <w:r>
        <w:t>16674)</w:t>
      </w:r>
    </w:p>
    <w:p w:rsidR="00566890" w:rsidRDefault="00566890" w:rsidP="001D3B71">
      <w:pPr>
        <w:pStyle w:val="ListBullet"/>
      </w:pPr>
      <w:proofErr w:type="gramStart"/>
      <w:r>
        <w:t>include</w:t>
      </w:r>
      <w:proofErr w:type="gramEnd"/>
      <w:r>
        <w:t xml:space="preserve"> information on CONSIGN study data (CSR </w:t>
      </w:r>
      <w:r w:rsidR="00CB10A9">
        <w:t xml:space="preserve">Study </w:t>
      </w:r>
      <w:r>
        <w:t>15967).</w:t>
      </w:r>
    </w:p>
    <w:p w:rsidR="00566890" w:rsidRPr="001D3B71" w:rsidRDefault="00566890" w:rsidP="001D3B71">
      <w:r w:rsidRPr="001D3B71">
        <w:t xml:space="preserve">The CONSIGN study was a prospective, open-label, single-arm, </w:t>
      </w:r>
      <w:r w:rsidR="004151AE" w:rsidRPr="001D3B71">
        <w:t>multicentre</w:t>
      </w:r>
      <w:r w:rsidRPr="001D3B71">
        <w:t xml:space="preserve">, </w:t>
      </w:r>
      <w:r w:rsidR="001D3B71">
        <w:t>P</w:t>
      </w:r>
      <w:r w:rsidRPr="001D3B71">
        <w:t>hase IIIB study conducted in patients with metastatic colorectal cancer whose disease had progressed after treatment with standard therapies to confirm the safety of Stivarga in a large cohort of patients (n</w:t>
      </w:r>
      <w:r w:rsidR="00EC67F6">
        <w:t xml:space="preserve"> </w:t>
      </w:r>
      <w:r w:rsidRPr="001D3B71">
        <w:t>= 2872).</w:t>
      </w:r>
    </w:p>
    <w:p w:rsidR="008F4993" w:rsidRDefault="009C6C3F" w:rsidP="00940A89">
      <w:r>
        <w:t>The sponsor has p</w:t>
      </w:r>
      <w:r w:rsidR="008F4993">
        <w:t xml:space="preserve">roposed </w:t>
      </w:r>
      <w:r>
        <w:t>the following d</w:t>
      </w:r>
      <w:r w:rsidR="008F4993">
        <w:t>osage</w:t>
      </w:r>
      <w:r>
        <w:t xml:space="preserve"> regimen:</w:t>
      </w:r>
    </w:p>
    <w:p w:rsidR="008F4993" w:rsidRPr="00CB10A9" w:rsidRDefault="008F4993" w:rsidP="009C6C3F">
      <w:pPr>
        <w:ind w:left="720"/>
      </w:pPr>
      <w:r w:rsidRPr="00CB10A9">
        <w:t xml:space="preserve">Four </w:t>
      </w:r>
      <w:r w:rsidR="004151AE" w:rsidRPr="00CB10A9">
        <w:t>regorafenib</w:t>
      </w:r>
      <w:r w:rsidRPr="00CB10A9">
        <w:t xml:space="preserve"> 40</w:t>
      </w:r>
      <w:r w:rsidR="00EC67F6">
        <w:t xml:space="preserve"> </w:t>
      </w:r>
      <w:r w:rsidRPr="00CB10A9">
        <w:t>mg tablets daily (</w:t>
      </w:r>
      <w:r w:rsidR="00F17CA0">
        <w:t>that is,</w:t>
      </w:r>
      <w:r w:rsidRPr="00CB10A9">
        <w:t xml:space="preserve"> 160</w:t>
      </w:r>
      <w:r w:rsidR="00EC67F6">
        <w:t xml:space="preserve"> </w:t>
      </w:r>
      <w:r w:rsidRPr="00CB10A9">
        <w:t>mg daily) at the same time each day for 3 weeks on therapy (21 days) followed by 1 week off therapy (7 days) to comprise a cycle of 4 weeks (28 days).</w:t>
      </w:r>
    </w:p>
    <w:p w:rsidR="008F4993" w:rsidRDefault="008F4993" w:rsidP="009C6C3F">
      <w:pPr>
        <w:rPr>
          <w:lang w:eastAsia="ja-JP"/>
        </w:rPr>
      </w:pPr>
      <w:r w:rsidRPr="00BA24C8">
        <w:rPr>
          <w:lang w:eastAsia="ja-JP"/>
        </w:rPr>
        <w:t xml:space="preserve">Regorafenib is an oral anti-tumour agent that acts as a </w:t>
      </w:r>
      <w:r w:rsidR="005555C9">
        <w:rPr>
          <w:lang w:eastAsia="ja-JP"/>
        </w:rPr>
        <w:t>multi-kinase</w:t>
      </w:r>
      <w:r w:rsidRPr="00BA24C8">
        <w:rPr>
          <w:lang w:eastAsia="ja-JP"/>
        </w:rPr>
        <w:t xml:space="preserve"> inhibitor. It blocks multiple protein kinases including kinases involved in tumour angiogenesis (</w:t>
      </w:r>
      <w:r w:rsidR="009C6C3F" w:rsidRPr="00BA24C8">
        <w:t>vascular endothelial growth factor receptor</w:t>
      </w:r>
      <w:r w:rsidR="009C6C3F" w:rsidRPr="00BA24C8">
        <w:rPr>
          <w:lang w:eastAsia="ja-JP"/>
        </w:rPr>
        <w:t xml:space="preserve"> </w:t>
      </w:r>
      <w:r w:rsidR="008D235E">
        <w:rPr>
          <w:lang w:eastAsia="ja-JP"/>
        </w:rPr>
        <w:t>(</w:t>
      </w:r>
      <w:r w:rsidRPr="00BA24C8">
        <w:rPr>
          <w:lang w:eastAsia="ja-JP"/>
        </w:rPr>
        <w:t>VEGFR</w:t>
      </w:r>
      <w:r w:rsidR="008D235E">
        <w:rPr>
          <w:lang w:eastAsia="ja-JP"/>
        </w:rPr>
        <w:t>)</w:t>
      </w:r>
      <w:r w:rsidRPr="00BA24C8">
        <w:rPr>
          <w:lang w:eastAsia="ja-JP"/>
        </w:rPr>
        <w:t>-1, -2, -3, TIE2</w:t>
      </w:r>
      <w:r w:rsidR="00D750DF">
        <w:rPr>
          <w:lang w:eastAsia="ja-JP"/>
        </w:rPr>
        <w:t xml:space="preserve"> (an </w:t>
      </w:r>
      <w:hyperlink r:id="rId14" w:tooltip="Angiopoietin receptor" w:history="1">
        <w:r w:rsidR="00D750DF" w:rsidRPr="00D750DF">
          <w:rPr>
            <w:rStyle w:val="Hyperlink"/>
            <w:color w:val="auto"/>
            <w:u w:val="none"/>
          </w:rPr>
          <w:t>angiopoietin receptor</w:t>
        </w:r>
      </w:hyperlink>
      <w:r w:rsidR="00D750DF">
        <w:rPr>
          <w:lang w:val="en"/>
        </w:rPr>
        <w:t>)</w:t>
      </w:r>
      <w:r w:rsidRPr="00BA24C8">
        <w:rPr>
          <w:lang w:eastAsia="ja-JP"/>
        </w:rPr>
        <w:t>), oncogenesis (</w:t>
      </w:r>
      <w:r w:rsidR="00D750DF">
        <w:rPr>
          <w:lang w:eastAsia="ja-JP"/>
        </w:rPr>
        <w:t>KIT</w:t>
      </w:r>
      <w:r w:rsidR="00CB10A9">
        <w:rPr>
          <w:lang w:eastAsia="ja-JP"/>
        </w:rPr>
        <w:t>,</w:t>
      </w:r>
      <w:r w:rsidR="00D750DF">
        <w:rPr>
          <w:rStyle w:val="FootnoteReference"/>
          <w:lang w:eastAsia="ja-JP"/>
        </w:rPr>
        <w:footnoteReference w:id="1"/>
      </w:r>
      <w:r w:rsidRPr="00BA24C8">
        <w:rPr>
          <w:lang w:eastAsia="ja-JP"/>
        </w:rPr>
        <w:t xml:space="preserve"> </w:t>
      </w:r>
      <w:r w:rsidRPr="008D235E">
        <w:t>RET</w:t>
      </w:r>
      <w:r w:rsidR="00CB10A9">
        <w:t>,</w:t>
      </w:r>
      <w:r w:rsidR="008D235E">
        <w:rPr>
          <w:rStyle w:val="FootnoteReference"/>
        </w:rPr>
        <w:footnoteReference w:id="2"/>
      </w:r>
      <w:r w:rsidRPr="008D235E">
        <w:t xml:space="preserve"> </w:t>
      </w:r>
      <w:r w:rsidR="00CB10A9">
        <w:t>r</w:t>
      </w:r>
      <w:r w:rsidR="00CB10A9" w:rsidRPr="008D235E">
        <w:t xml:space="preserve">apidly </w:t>
      </w:r>
      <w:r w:rsidR="00CB10A9">
        <w:t>a</w:t>
      </w:r>
      <w:r w:rsidR="00CB10A9" w:rsidRPr="008D235E">
        <w:t xml:space="preserve">ccelerated </w:t>
      </w:r>
      <w:r w:rsidR="00CB10A9">
        <w:t>f</w:t>
      </w:r>
      <w:r w:rsidR="00CB10A9" w:rsidRPr="008D235E">
        <w:t xml:space="preserve">ibro </w:t>
      </w:r>
      <w:r w:rsidR="004151AE" w:rsidRPr="008D235E">
        <w:t>sarcoma</w:t>
      </w:r>
      <w:r w:rsidR="008D235E" w:rsidRPr="008D235E">
        <w:t xml:space="preserve"> (</w:t>
      </w:r>
      <w:r w:rsidRPr="008D235E">
        <w:t>RAF-1</w:t>
      </w:r>
      <w:r w:rsidR="008D235E" w:rsidRPr="008D235E">
        <w:t>)</w:t>
      </w:r>
      <w:r w:rsidRPr="008D235E">
        <w:t>, BRAF</w:t>
      </w:r>
      <w:r w:rsidR="008D235E">
        <w:rPr>
          <w:rStyle w:val="FootnoteReference"/>
        </w:rPr>
        <w:footnoteReference w:id="3"/>
      </w:r>
      <w:r w:rsidRPr="008D235E">
        <w:t xml:space="preserve">), metastasis (VEGFR3, </w:t>
      </w:r>
      <w:r w:rsidR="008D235E" w:rsidRPr="008D235E">
        <w:t>platelet-derived g</w:t>
      </w:r>
      <w:r w:rsidR="008D235E" w:rsidRPr="00BA24C8">
        <w:t>rowth factor</w:t>
      </w:r>
      <w:r w:rsidR="008D235E" w:rsidRPr="00BA24C8">
        <w:rPr>
          <w:lang w:eastAsia="ja-JP"/>
        </w:rPr>
        <w:t xml:space="preserve"> </w:t>
      </w:r>
      <w:r w:rsidR="008D235E">
        <w:rPr>
          <w:lang w:eastAsia="ja-JP"/>
        </w:rPr>
        <w:t>(</w:t>
      </w:r>
      <w:r w:rsidRPr="00BA24C8">
        <w:rPr>
          <w:lang w:eastAsia="ja-JP"/>
        </w:rPr>
        <w:t>PDGFR</w:t>
      </w:r>
      <w:r w:rsidR="008D235E">
        <w:rPr>
          <w:lang w:eastAsia="ja-JP"/>
        </w:rPr>
        <w:t>)</w:t>
      </w:r>
      <w:r w:rsidRPr="00BA24C8">
        <w:rPr>
          <w:lang w:eastAsia="ja-JP"/>
        </w:rPr>
        <w:t xml:space="preserve">, </w:t>
      </w:r>
      <w:r w:rsidR="008D235E" w:rsidRPr="00BA24C8">
        <w:t>fibroblast growth-factor receptor</w:t>
      </w:r>
      <w:r w:rsidR="008D235E" w:rsidRPr="00BA24C8">
        <w:rPr>
          <w:lang w:eastAsia="ja-JP"/>
        </w:rPr>
        <w:t xml:space="preserve"> </w:t>
      </w:r>
      <w:r w:rsidR="008D235E">
        <w:rPr>
          <w:lang w:eastAsia="ja-JP"/>
        </w:rPr>
        <w:t>(</w:t>
      </w:r>
      <w:r w:rsidRPr="00BA24C8">
        <w:rPr>
          <w:lang w:eastAsia="ja-JP"/>
        </w:rPr>
        <w:t>FGFR</w:t>
      </w:r>
      <w:r w:rsidR="008D235E">
        <w:rPr>
          <w:lang w:eastAsia="ja-JP"/>
        </w:rPr>
        <w:t>)</w:t>
      </w:r>
      <w:r w:rsidRPr="00BA24C8">
        <w:rPr>
          <w:lang w:eastAsia="ja-JP"/>
        </w:rPr>
        <w:t>) and tumour immunity (</w:t>
      </w:r>
      <w:r w:rsidR="00D750DF" w:rsidRPr="00D750DF">
        <w:t>colony stimulating factor 1 receptor</w:t>
      </w:r>
      <w:r w:rsidR="00D750DF" w:rsidRPr="00D750DF">
        <w:rPr>
          <w:rFonts w:ascii="Arial" w:hAnsi="Arial" w:cs="Arial"/>
          <w:color w:val="545454"/>
        </w:rPr>
        <w:t xml:space="preserve"> </w:t>
      </w:r>
      <w:r w:rsidR="00D750DF">
        <w:rPr>
          <w:rFonts w:ascii="Arial" w:hAnsi="Arial" w:cs="Arial"/>
          <w:color w:val="545454"/>
        </w:rPr>
        <w:t>(</w:t>
      </w:r>
      <w:r w:rsidRPr="00BA24C8">
        <w:rPr>
          <w:lang w:eastAsia="ja-JP"/>
        </w:rPr>
        <w:t>CSF1R</w:t>
      </w:r>
      <w:r w:rsidR="00D750DF">
        <w:rPr>
          <w:lang w:eastAsia="ja-JP"/>
        </w:rPr>
        <w:t>)</w:t>
      </w:r>
      <w:r w:rsidRPr="00BA24C8">
        <w:rPr>
          <w:lang w:eastAsia="ja-JP"/>
        </w:rPr>
        <w:t xml:space="preserve">). </w:t>
      </w:r>
      <w:r>
        <w:rPr>
          <w:lang w:eastAsia="ja-JP"/>
        </w:rPr>
        <w:t xml:space="preserve">Regorafenib shares a similar chemical structure, mechanism of action and toxicities with sorafenib, which was first </w:t>
      </w:r>
      <w:r w:rsidRPr="00C6021C">
        <w:rPr>
          <w:lang w:eastAsia="en-AU"/>
        </w:rPr>
        <w:t xml:space="preserve">approved </w:t>
      </w:r>
      <w:r>
        <w:rPr>
          <w:lang w:eastAsia="en-AU"/>
        </w:rPr>
        <w:t xml:space="preserve">in Australia </w:t>
      </w:r>
      <w:r w:rsidRPr="00C6021C">
        <w:rPr>
          <w:lang w:eastAsia="en-AU"/>
        </w:rPr>
        <w:t xml:space="preserve">for </w:t>
      </w:r>
      <w:r w:rsidR="00387426">
        <w:rPr>
          <w:lang w:eastAsia="en-AU"/>
        </w:rPr>
        <w:t>first line</w:t>
      </w:r>
      <w:r w:rsidRPr="00C6021C">
        <w:rPr>
          <w:lang w:eastAsia="en-AU"/>
        </w:rPr>
        <w:t xml:space="preserve"> </w:t>
      </w:r>
      <w:r>
        <w:rPr>
          <w:lang w:eastAsia="en-AU"/>
        </w:rPr>
        <w:t xml:space="preserve">systemic </w:t>
      </w:r>
      <w:r w:rsidRPr="00C6021C">
        <w:rPr>
          <w:lang w:eastAsia="en-AU"/>
        </w:rPr>
        <w:t xml:space="preserve">treatment of advanced, unresectable </w:t>
      </w:r>
      <w:r>
        <w:rPr>
          <w:lang w:eastAsia="en-AU"/>
        </w:rPr>
        <w:t>hepatocellular carcinoma (</w:t>
      </w:r>
      <w:r w:rsidRPr="00C6021C">
        <w:rPr>
          <w:lang w:eastAsia="en-AU"/>
        </w:rPr>
        <w:t>HCC</w:t>
      </w:r>
      <w:r>
        <w:rPr>
          <w:lang w:eastAsia="en-AU"/>
        </w:rPr>
        <w:t>) in 2007</w:t>
      </w:r>
      <w:r>
        <w:rPr>
          <w:lang w:eastAsia="ja-JP"/>
        </w:rPr>
        <w:t>.</w:t>
      </w:r>
    </w:p>
    <w:p w:rsidR="00DA0C28" w:rsidRPr="00DA0C28" w:rsidRDefault="00DA0C28" w:rsidP="00DA0C28">
      <w:pPr>
        <w:pStyle w:val="Heading4"/>
      </w:pPr>
      <w:bookmarkStart w:id="16" w:name="_Toc488837769"/>
      <w:r w:rsidRPr="00DA0C28">
        <w:t>Information on the condition being treated</w:t>
      </w:r>
      <w:bookmarkEnd w:id="16"/>
    </w:p>
    <w:p w:rsidR="00DA0C28" w:rsidRPr="00DA0C28" w:rsidRDefault="00DA0C28" w:rsidP="00DA0C28">
      <w:pPr>
        <w:rPr>
          <w:lang w:eastAsia="ja-JP"/>
        </w:rPr>
      </w:pPr>
      <w:r w:rsidRPr="00DA0C28">
        <w:rPr>
          <w:lang w:eastAsia="ja-JP"/>
        </w:rPr>
        <w:t>HCC is the third</w:t>
      </w:r>
      <w:r w:rsidR="00F01955">
        <w:rPr>
          <w:lang w:eastAsia="ja-JP"/>
        </w:rPr>
        <w:t xml:space="preserve"> </w:t>
      </w:r>
      <w:r w:rsidRPr="00DA0C28">
        <w:rPr>
          <w:lang w:eastAsia="ja-JP"/>
        </w:rPr>
        <w:t>leading cause of cancer</w:t>
      </w:r>
      <w:r>
        <w:rPr>
          <w:lang w:eastAsia="ja-JP"/>
        </w:rPr>
        <w:t xml:space="preserve"> </w:t>
      </w:r>
      <w:r w:rsidRPr="00DA0C28">
        <w:rPr>
          <w:lang w:eastAsia="ja-JP"/>
        </w:rPr>
        <w:t>related death. It is currently the tumour with the second highest increase in global incidence and with the highest increase in death rates over the last 10 years. HCC usually occurs in the setting of liver cirrhosis secondary to chronic infections with hepatitis B virus or hepatitis C virus, alcohol consumption, non-alcoholic steatohepatitis, or diabetes. The incidence of HCC varies geographically largely due to variations in the incidences of hepatitis B and C infection, with the majority of the cases (&gt; 80%) occurring in sub-Saharan Africa and eastern Asia.</w:t>
      </w:r>
    </w:p>
    <w:p w:rsidR="00DA0C28" w:rsidRDefault="00DA0C28" w:rsidP="00DA0C28">
      <w:r w:rsidRPr="00C73765">
        <w:rPr>
          <w:lang w:eastAsia="ja-JP"/>
        </w:rPr>
        <w:t>At present, sorafenib</w:t>
      </w:r>
      <w:r w:rsidR="00CB10A9">
        <w:rPr>
          <w:lang w:eastAsia="ja-JP"/>
        </w:rPr>
        <w:t>,</w:t>
      </w:r>
      <w:r w:rsidRPr="00C73765">
        <w:rPr>
          <w:rStyle w:val="FootnoteReference"/>
          <w:lang w:eastAsia="ja-JP"/>
        </w:rPr>
        <w:footnoteReference w:id="4"/>
      </w:r>
      <w:r w:rsidRPr="00C73765">
        <w:rPr>
          <w:lang w:eastAsia="ja-JP"/>
        </w:rPr>
        <w:t xml:space="preserve"> a multi kinase inhibitor, is the only drug approved for systemic first line treatment of advanced, unresectable HCC. Currently, there is no second line treatment approved for HCC patients whose disease has progressed under first line treatment. According to the sponsor, all recent global Phase III trials investigating the use of drugs (brivanib, everolimus and ramucirumab)</w:t>
      </w:r>
      <w:r w:rsidRPr="00C73765">
        <w:rPr>
          <w:rStyle w:val="FootnoteReference"/>
          <w:lang w:eastAsia="ja-JP"/>
        </w:rPr>
        <w:footnoteReference w:id="5"/>
      </w:r>
      <w:r w:rsidRPr="00C73765">
        <w:rPr>
          <w:lang w:eastAsia="ja-JP"/>
        </w:rPr>
        <w:t xml:space="preserve"> in second line systemic treatment of patients </w:t>
      </w:r>
      <w:r w:rsidRPr="00C73765">
        <w:rPr>
          <w:lang w:eastAsia="ja-JP"/>
        </w:rPr>
        <w:lastRenderedPageBreak/>
        <w:t>with advanced HCC who had progressed during sorafenib treatment have failed to demonstrate a statistically significant life-prolonging effect. Based on the placebo</w:t>
      </w:r>
      <w:r w:rsidR="00C73765" w:rsidRPr="00C73765">
        <w:rPr>
          <w:lang w:eastAsia="ja-JP"/>
        </w:rPr>
        <w:t xml:space="preserve"> </w:t>
      </w:r>
      <w:r w:rsidRPr="00C73765">
        <w:rPr>
          <w:lang w:eastAsia="ja-JP"/>
        </w:rPr>
        <w:t>arm data from these trials, it is estimated that patients with disease progression under sorafenib treatment have a median life expectancy of about 7</w:t>
      </w:r>
      <w:r w:rsidR="00F01955">
        <w:rPr>
          <w:lang w:eastAsia="ja-JP"/>
        </w:rPr>
        <w:t xml:space="preserve"> to </w:t>
      </w:r>
      <w:r w:rsidRPr="00C73765">
        <w:rPr>
          <w:lang w:eastAsia="ja-JP"/>
        </w:rPr>
        <w:t>8 months if left untreated. The sponsor noted that in some countries, loco-regional treatm</w:t>
      </w:r>
      <w:r w:rsidR="00F17CA0">
        <w:rPr>
          <w:lang w:eastAsia="ja-JP"/>
        </w:rPr>
        <w:t>ents such as resection or trans</w:t>
      </w:r>
      <w:r w:rsidR="00F17CA0">
        <w:rPr>
          <w:lang w:eastAsia="ja-JP"/>
        </w:rPr>
        <w:noBreakHyphen/>
      </w:r>
      <w:r w:rsidRPr="00C73765">
        <w:rPr>
          <w:lang w:eastAsia="ja-JP"/>
        </w:rPr>
        <w:t>arterial chemoembolisation (TACE) are used for patients with advanced or metastatic HCC, but remarked that this practice is inconsistent with evidence based guidelines, because these loco-regional treatments have not been shown in prospective, well</w:t>
      </w:r>
      <w:r w:rsidR="00F01955">
        <w:rPr>
          <w:lang w:eastAsia="ja-JP"/>
        </w:rPr>
        <w:t xml:space="preserve"> </w:t>
      </w:r>
      <w:r w:rsidRPr="00C73765">
        <w:rPr>
          <w:lang w:eastAsia="ja-JP"/>
        </w:rPr>
        <w:t>designed clinical trials to have a life</w:t>
      </w:r>
      <w:r w:rsidR="00F01955">
        <w:rPr>
          <w:lang w:eastAsia="ja-JP"/>
        </w:rPr>
        <w:t xml:space="preserve"> </w:t>
      </w:r>
      <w:r w:rsidRPr="00C73765">
        <w:rPr>
          <w:lang w:eastAsia="ja-JP"/>
        </w:rPr>
        <w:t>prolonging effect in HCC patients with advanced or metastatic disease.</w:t>
      </w:r>
    </w:p>
    <w:p w:rsidR="008F4993" w:rsidRDefault="008F4993" w:rsidP="009C6C3F">
      <w:pPr>
        <w:rPr>
          <w:lang w:eastAsia="en-AU"/>
        </w:rPr>
      </w:pPr>
      <w:r w:rsidRPr="00C6021C">
        <w:rPr>
          <w:lang w:eastAsia="en-AU"/>
        </w:rPr>
        <w:t xml:space="preserve">Individual treatment decisions depend on the stage of the patient’s disease and not on its aetiology. </w:t>
      </w:r>
      <w:r>
        <w:rPr>
          <w:lang w:eastAsia="en-AU"/>
        </w:rPr>
        <w:t xml:space="preserve">A proposed treatment algorithm for HCC is outlined in </w:t>
      </w:r>
      <w:r w:rsidR="009C6C3F">
        <w:rPr>
          <w:lang w:eastAsia="en-AU"/>
        </w:rPr>
        <w:t>Figure 1</w:t>
      </w:r>
      <w:bookmarkStart w:id="17" w:name="_Ref252602"/>
      <w:r w:rsidR="007F2846">
        <w:rPr>
          <w:lang w:eastAsia="en-AU"/>
        </w:rPr>
        <w:t>.</w:t>
      </w:r>
      <w:r>
        <w:rPr>
          <w:rStyle w:val="FootnoteReference"/>
          <w:lang w:eastAsia="en-AU"/>
        </w:rPr>
        <w:footnoteReference w:id="6"/>
      </w:r>
      <w:bookmarkEnd w:id="17"/>
      <w:r>
        <w:rPr>
          <w:lang w:eastAsia="en-AU"/>
        </w:rPr>
        <w:t xml:space="preserve"> </w:t>
      </w:r>
      <w:r w:rsidRPr="00C6021C">
        <w:rPr>
          <w:lang w:eastAsia="en-AU"/>
        </w:rPr>
        <w:t>In most patients</w:t>
      </w:r>
      <w:r>
        <w:rPr>
          <w:lang w:eastAsia="en-AU"/>
        </w:rPr>
        <w:t xml:space="preserve"> with HCC</w:t>
      </w:r>
      <w:r w:rsidRPr="00C6021C">
        <w:rPr>
          <w:lang w:eastAsia="en-AU"/>
        </w:rPr>
        <w:t>, the disease is diagnosed at advanced stages, when curative treatments (including resection, liver transplantation, and ablation) are no longer suitable</w:t>
      </w:r>
      <w:r>
        <w:rPr>
          <w:lang w:eastAsia="en-AU"/>
        </w:rPr>
        <w:t xml:space="preserve"> (circled in red)</w:t>
      </w:r>
      <w:r w:rsidRPr="00C6021C">
        <w:rPr>
          <w:lang w:eastAsia="en-AU"/>
        </w:rPr>
        <w:t xml:space="preserve">. </w:t>
      </w:r>
      <w:r>
        <w:rPr>
          <w:lang w:eastAsia="en-AU"/>
        </w:rPr>
        <w:t>Median survival at diagnosis is estimated to be six to twenty months. Lenvatinib</w:t>
      </w:r>
      <w:r w:rsidRPr="00C6021C">
        <w:rPr>
          <w:lang w:eastAsia="en-AU"/>
        </w:rPr>
        <w:t xml:space="preserve"> </w:t>
      </w:r>
      <w:r>
        <w:rPr>
          <w:lang w:eastAsia="en-AU"/>
        </w:rPr>
        <w:t>is included in the algorithm but is not currently approved or available in Australia for HCC</w:t>
      </w:r>
      <w:r w:rsidRPr="00C6021C">
        <w:rPr>
          <w:lang w:eastAsia="en-AU"/>
        </w:rPr>
        <w:t>.</w:t>
      </w:r>
    </w:p>
    <w:p w:rsidR="009C6C3F" w:rsidRDefault="00F17CA0" w:rsidP="00F17CA0">
      <w:pPr>
        <w:pStyle w:val="FigureTitle"/>
        <w:numPr>
          <w:ilvl w:val="0"/>
          <w:numId w:val="0"/>
        </w:numPr>
        <w:rPr>
          <w:vertAlign w:val="superscript"/>
        </w:rPr>
      </w:pPr>
      <w:r>
        <w:t xml:space="preserve">Figure 1: </w:t>
      </w:r>
      <w:r w:rsidR="009C6C3F" w:rsidRPr="000F6B90">
        <w:t>Treatment algorithm for hepatocellular carcinoma</w:t>
      </w:r>
      <w:r w:rsidR="009C6C3F" w:rsidRPr="009C6C3F">
        <w:rPr>
          <w:vertAlign w:val="superscript"/>
        </w:rPr>
        <w:fldChar w:fldCharType="begin"/>
      </w:r>
      <w:r w:rsidR="009C6C3F" w:rsidRPr="009C6C3F">
        <w:rPr>
          <w:vertAlign w:val="superscript"/>
        </w:rPr>
        <w:instrText xml:space="preserve"> NOTEREF _Ref252602 \h </w:instrText>
      </w:r>
      <w:r w:rsidR="009C6C3F">
        <w:rPr>
          <w:vertAlign w:val="superscript"/>
        </w:rPr>
        <w:instrText xml:space="preserve"> \* MERGEFORMAT </w:instrText>
      </w:r>
      <w:r w:rsidR="009C6C3F" w:rsidRPr="009C6C3F">
        <w:rPr>
          <w:vertAlign w:val="superscript"/>
        </w:rPr>
      </w:r>
      <w:r w:rsidR="009C6C3F" w:rsidRPr="009C6C3F">
        <w:rPr>
          <w:vertAlign w:val="superscript"/>
        </w:rPr>
        <w:fldChar w:fldCharType="separate"/>
      </w:r>
      <w:r w:rsidR="002E1220">
        <w:rPr>
          <w:vertAlign w:val="superscript"/>
        </w:rPr>
        <w:t>6</w:t>
      </w:r>
      <w:r w:rsidR="009C6C3F" w:rsidRPr="009C6C3F">
        <w:rPr>
          <w:vertAlign w:val="superscript"/>
        </w:rPr>
        <w:fldChar w:fldCharType="end"/>
      </w:r>
    </w:p>
    <w:p w:rsidR="009C6C3F" w:rsidRPr="00DE066D" w:rsidRDefault="009C6C3F" w:rsidP="00B12A57">
      <w:r>
        <w:rPr>
          <w:noProof/>
          <w:lang w:eastAsia="en-AU"/>
        </w:rPr>
        <w:drawing>
          <wp:inline distT="0" distB="0" distL="0" distR="0" wp14:anchorId="0DAD6E41" wp14:editId="516B68F6">
            <wp:extent cx="4564316" cy="4114800"/>
            <wp:effectExtent l="0" t="0" r="8255" b="0"/>
            <wp:docPr id="4" name="Picture 4" descr="Figure 1: Treatment algorithm for hepatocellular carcinom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rcRect r="2463"/>
                    <a:stretch/>
                  </pic:blipFill>
                  <pic:spPr bwMode="auto">
                    <a:xfrm>
                      <a:off x="0" y="0"/>
                      <a:ext cx="4564316" cy="4114800"/>
                    </a:xfrm>
                    <a:prstGeom prst="rect">
                      <a:avLst/>
                    </a:prstGeom>
                    <a:ln>
                      <a:noFill/>
                    </a:ln>
                    <a:extLst>
                      <a:ext uri="{53640926-AAD7-44D8-BBD7-CCE9431645EC}">
                        <a14:shadowObscured xmlns:a14="http://schemas.microsoft.com/office/drawing/2010/main"/>
                      </a:ext>
                    </a:extLst>
                  </pic:spPr>
                </pic:pic>
              </a:graphicData>
            </a:graphic>
          </wp:inline>
        </w:drawing>
      </w:r>
    </w:p>
    <w:p w:rsidR="008F4993" w:rsidRPr="00DE066D" w:rsidRDefault="008F4993" w:rsidP="009C6C3F">
      <w:pPr>
        <w:pStyle w:val="FigureDescription"/>
      </w:pPr>
      <w:r w:rsidRPr="00DE066D">
        <w:rPr>
          <w:lang w:eastAsia="en-AU"/>
        </w:rPr>
        <w:t xml:space="preserve">PVE: portal vein </w:t>
      </w:r>
      <w:proofErr w:type="spellStart"/>
      <w:r w:rsidRPr="00DE066D">
        <w:rPr>
          <w:lang w:eastAsia="en-AU"/>
        </w:rPr>
        <w:t>emboli</w:t>
      </w:r>
      <w:r w:rsidR="006D7374">
        <w:rPr>
          <w:lang w:eastAsia="en-AU"/>
        </w:rPr>
        <w:t>sation</w:t>
      </w:r>
      <w:proofErr w:type="spellEnd"/>
      <w:r w:rsidRPr="00DE066D">
        <w:rPr>
          <w:lang w:eastAsia="en-AU"/>
        </w:rPr>
        <w:t xml:space="preserve">; TACE: </w:t>
      </w:r>
      <w:proofErr w:type="spellStart"/>
      <w:r w:rsidRPr="00DE066D">
        <w:rPr>
          <w:lang w:eastAsia="en-AU"/>
        </w:rPr>
        <w:t>transcatheter</w:t>
      </w:r>
      <w:proofErr w:type="spellEnd"/>
      <w:r w:rsidRPr="00DE066D">
        <w:rPr>
          <w:lang w:eastAsia="en-AU"/>
        </w:rPr>
        <w:t xml:space="preserve"> arterial chemoemboli</w:t>
      </w:r>
      <w:r w:rsidR="006D7374">
        <w:rPr>
          <w:lang w:eastAsia="en-AU"/>
        </w:rPr>
        <w:t>sation</w:t>
      </w:r>
      <w:r w:rsidRPr="00DE066D">
        <w:rPr>
          <w:lang w:eastAsia="en-AU"/>
        </w:rPr>
        <w:t>.* Suitability of patients with Child-Pugh B cirrhosis for surgical resection is highly controversial. If not a liver transplantation candidate because disease is outside transplant (Milan) criteria, down</w:t>
      </w:r>
      <w:r w:rsidR="0036454F">
        <w:rPr>
          <w:lang w:eastAsia="en-AU"/>
        </w:rPr>
        <w:t xml:space="preserve"> </w:t>
      </w:r>
      <w:r w:rsidRPr="00DE066D">
        <w:rPr>
          <w:lang w:eastAsia="en-AU"/>
        </w:rPr>
        <w:t>staging therapy (ablation, TACE) could be considered, followed by reasses</w:t>
      </w:r>
      <w:r>
        <w:rPr>
          <w:lang w:eastAsia="en-AU"/>
        </w:rPr>
        <w:t>sment for liver transplantation</w:t>
      </w:r>
      <w:r w:rsidR="009C6C3F">
        <w:rPr>
          <w:lang w:eastAsia="en-AU"/>
        </w:rPr>
        <w:t xml:space="preserve">. </w:t>
      </w:r>
      <w:r w:rsidRPr="00DE066D">
        <w:rPr>
          <w:lang w:eastAsia="en-AU"/>
        </w:rPr>
        <w:t>Δ Systemic therapy options include participation in a clinical trial (preferred), sorafenib, lenvatinib, or cytotoxic chemotherapy</w:t>
      </w:r>
      <w:r w:rsidR="0036454F">
        <w:rPr>
          <w:lang w:eastAsia="en-AU"/>
        </w:rPr>
        <w:t>.</w:t>
      </w:r>
    </w:p>
    <w:p w:rsidR="009C6C3F" w:rsidRDefault="008F4993" w:rsidP="009C6C3F">
      <w:pPr>
        <w:spacing w:before="240"/>
        <w:rPr>
          <w:lang w:eastAsia="en-AU"/>
        </w:rPr>
      </w:pPr>
      <w:r>
        <w:rPr>
          <w:lang w:eastAsia="en-AU"/>
        </w:rPr>
        <w:lastRenderedPageBreak/>
        <w:t xml:space="preserve">Sorafenib is subsidised by the </w:t>
      </w:r>
      <w:r w:rsidR="009C6C3F">
        <w:rPr>
          <w:lang w:eastAsia="en-AU"/>
        </w:rPr>
        <w:t>Australian Pharmaceutical Benefits Scheme (</w:t>
      </w:r>
      <w:r>
        <w:rPr>
          <w:lang w:eastAsia="en-AU"/>
        </w:rPr>
        <w:t>PBS</w:t>
      </w:r>
      <w:r w:rsidR="009C6C3F">
        <w:rPr>
          <w:lang w:eastAsia="en-AU"/>
        </w:rPr>
        <w:t>)</w:t>
      </w:r>
      <w:r>
        <w:rPr>
          <w:lang w:eastAsia="en-AU"/>
        </w:rPr>
        <w:t xml:space="preserve"> for the initial treatment of </w:t>
      </w:r>
      <w:r w:rsidR="00715CEC">
        <w:rPr>
          <w:lang w:eastAsia="en-AU"/>
        </w:rPr>
        <w:t xml:space="preserve">advanced Barcelona clinic liver cancer </w:t>
      </w:r>
      <w:r>
        <w:rPr>
          <w:lang w:eastAsia="en-AU"/>
        </w:rPr>
        <w:t>(BCLC) Stage C HCC, subject to the conditions:</w:t>
      </w:r>
    </w:p>
    <w:p w:rsidR="008F4993" w:rsidRPr="009C6C3F" w:rsidRDefault="00715CEC" w:rsidP="009C6C3F">
      <w:pPr>
        <w:pStyle w:val="ListBullet"/>
      </w:pPr>
      <w:r>
        <w:t>t</w:t>
      </w:r>
      <w:r w:rsidRPr="009C6C3F">
        <w:t xml:space="preserve">he </w:t>
      </w:r>
      <w:r w:rsidR="008F4993" w:rsidRPr="009C6C3F">
        <w:t>treatment must be the sole PBS-subsidised therapy for this condition, and</w:t>
      </w:r>
    </w:p>
    <w:p w:rsidR="008F4993" w:rsidRPr="009C6C3F" w:rsidRDefault="00715CEC" w:rsidP="009C6C3F">
      <w:pPr>
        <w:pStyle w:val="ListBullet"/>
      </w:pPr>
      <w:r>
        <w:t>t</w:t>
      </w:r>
      <w:r w:rsidRPr="009C6C3F">
        <w:t xml:space="preserve">he </w:t>
      </w:r>
      <w:r w:rsidR="008F4993" w:rsidRPr="009C6C3F">
        <w:t xml:space="preserve">patient must have a </w:t>
      </w:r>
      <w:r>
        <w:t>World Health Organization (</w:t>
      </w:r>
      <w:r w:rsidR="008F4993" w:rsidRPr="009C6C3F">
        <w:t>WHO</w:t>
      </w:r>
      <w:r>
        <w:t>)</w:t>
      </w:r>
      <w:r w:rsidR="008F4993" w:rsidRPr="009C6C3F">
        <w:t xml:space="preserve"> </w:t>
      </w:r>
      <w:r w:rsidR="009C6C3F" w:rsidRPr="009C6C3F">
        <w:t>P</w:t>
      </w:r>
      <w:r w:rsidR="008F4993" w:rsidRPr="009C6C3F">
        <w:t>erformance status</w:t>
      </w:r>
      <w:r w:rsidR="009C6C3F" w:rsidRPr="00715370">
        <w:rPr>
          <w:rStyle w:val="FootnoteReference"/>
        </w:rPr>
        <w:footnoteReference w:id="7"/>
      </w:r>
      <w:r w:rsidR="008F4993" w:rsidRPr="00715370">
        <w:rPr>
          <w:vertAlign w:val="superscript"/>
        </w:rPr>
        <w:t xml:space="preserve"> </w:t>
      </w:r>
      <w:r w:rsidR="008F4993" w:rsidRPr="009C6C3F">
        <w:t>of 2 or less</w:t>
      </w:r>
      <w:r>
        <w:t>;</w:t>
      </w:r>
      <w:r w:rsidR="008F4993" w:rsidRPr="009C6C3F">
        <w:t xml:space="preserve"> and</w:t>
      </w:r>
    </w:p>
    <w:p w:rsidR="008F4993" w:rsidRPr="009C6C3F" w:rsidRDefault="008F4993" w:rsidP="009C6C3F">
      <w:pPr>
        <w:pStyle w:val="ListBullet"/>
      </w:pPr>
      <w:r w:rsidRPr="009C6C3F">
        <w:t>The patient must have Child</w:t>
      </w:r>
      <w:r w:rsidR="00715CEC">
        <w:t>-</w:t>
      </w:r>
      <w:r w:rsidRPr="009C6C3F">
        <w:t xml:space="preserve">Pugh </w:t>
      </w:r>
      <w:r w:rsidR="0036454F">
        <w:t>C</w:t>
      </w:r>
      <w:r w:rsidRPr="009C6C3F">
        <w:t>lass</w:t>
      </w:r>
      <w:r w:rsidR="00715CEC">
        <w:t xml:space="preserve"> </w:t>
      </w:r>
      <w:r w:rsidRPr="009C6C3F">
        <w:t>A</w:t>
      </w:r>
      <w:r w:rsidR="009C6C3F" w:rsidRPr="00715370">
        <w:rPr>
          <w:rStyle w:val="FootnoteReference"/>
        </w:rPr>
        <w:footnoteReference w:id="8"/>
      </w:r>
      <w:r w:rsidRPr="00715370">
        <w:rPr>
          <w:vertAlign w:val="superscript"/>
        </w:rPr>
        <w:t xml:space="preserve"> </w:t>
      </w:r>
      <w:r w:rsidRPr="009C6C3F">
        <w:t>hepatic impairment.</w:t>
      </w:r>
    </w:p>
    <w:p w:rsidR="008F4993" w:rsidRDefault="008F4993" w:rsidP="008F4993">
      <w:pPr>
        <w:spacing w:before="240"/>
        <w:rPr>
          <w:lang w:eastAsia="en-AU"/>
        </w:rPr>
      </w:pPr>
      <w:r>
        <w:rPr>
          <w:lang w:eastAsia="en-AU"/>
        </w:rPr>
        <w:t>Sorafenib is also subsidised by the PBS for the continuing treatment of BCLC Stage C HCC, subject to the conditions:</w:t>
      </w:r>
    </w:p>
    <w:p w:rsidR="008F4993" w:rsidRDefault="00715CEC" w:rsidP="00715370">
      <w:pPr>
        <w:pStyle w:val="ListBullet"/>
        <w:rPr>
          <w:lang w:eastAsia="en-AU"/>
        </w:rPr>
      </w:pPr>
      <w:r>
        <w:rPr>
          <w:lang w:eastAsia="en-AU"/>
        </w:rPr>
        <w:t xml:space="preserve">the </w:t>
      </w:r>
      <w:r w:rsidR="008F4993">
        <w:rPr>
          <w:lang w:eastAsia="en-AU"/>
        </w:rPr>
        <w:t>treatment must be the sole PBS</w:t>
      </w:r>
      <w:r>
        <w:rPr>
          <w:lang w:eastAsia="en-AU"/>
        </w:rPr>
        <w:t>-</w:t>
      </w:r>
      <w:r w:rsidR="008F4993">
        <w:rPr>
          <w:lang w:eastAsia="en-AU"/>
        </w:rPr>
        <w:t>subsidised therapy for this condition</w:t>
      </w:r>
      <w:r>
        <w:rPr>
          <w:lang w:eastAsia="en-AU"/>
        </w:rPr>
        <w:t xml:space="preserve">; </w:t>
      </w:r>
      <w:r w:rsidR="008F4993">
        <w:rPr>
          <w:lang w:eastAsia="en-AU"/>
        </w:rPr>
        <w:t>and</w:t>
      </w:r>
    </w:p>
    <w:p w:rsidR="008F4993" w:rsidRDefault="00715CEC" w:rsidP="00715370">
      <w:pPr>
        <w:pStyle w:val="ListBullet"/>
        <w:rPr>
          <w:lang w:eastAsia="en-AU"/>
        </w:rPr>
      </w:pPr>
      <w:r>
        <w:rPr>
          <w:lang w:eastAsia="en-AU"/>
        </w:rPr>
        <w:t xml:space="preserve">the </w:t>
      </w:r>
      <w:r w:rsidR="008F4993">
        <w:rPr>
          <w:lang w:eastAsia="en-AU"/>
        </w:rPr>
        <w:t xml:space="preserve">patient must have previously been treated with PBS-subsidised </w:t>
      </w:r>
      <w:proofErr w:type="spellStart"/>
      <w:r w:rsidR="008F4993">
        <w:rPr>
          <w:lang w:eastAsia="en-AU"/>
        </w:rPr>
        <w:t>sorafenib</w:t>
      </w:r>
      <w:proofErr w:type="spellEnd"/>
      <w:r>
        <w:rPr>
          <w:lang w:eastAsia="en-AU"/>
        </w:rPr>
        <w:t xml:space="preserve">; </w:t>
      </w:r>
      <w:r w:rsidR="008F4993">
        <w:rPr>
          <w:lang w:eastAsia="en-AU"/>
        </w:rPr>
        <w:t>and</w:t>
      </w:r>
    </w:p>
    <w:p w:rsidR="008F4993" w:rsidRDefault="00715CEC" w:rsidP="00715370">
      <w:pPr>
        <w:pStyle w:val="ListBullet"/>
        <w:rPr>
          <w:lang w:eastAsia="en-AU"/>
        </w:rPr>
      </w:pPr>
      <w:proofErr w:type="gramStart"/>
      <w:r>
        <w:rPr>
          <w:lang w:eastAsia="en-AU"/>
        </w:rPr>
        <w:t>the</w:t>
      </w:r>
      <w:proofErr w:type="gramEnd"/>
      <w:r>
        <w:rPr>
          <w:lang w:eastAsia="en-AU"/>
        </w:rPr>
        <w:t xml:space="preserve"> </w:t>
      </w:r>
      <w:r w:rsidR="008F4993">
        <w:rPr>
          <w:lang w:eastAsia="en-AU"/>
        </w:rPr>
        <w:t>patient must not have progressive disease.</w:t>
      </w:r>
    </w:p>
    <w:p w:rsidR="006241FD" w:rsidRPr="00BA24C8" w:rsidRDefault="006241FD" w:rsidP="0036454F">
      <w:pPr>
        <w:rPr>
          <w:lang w:eastAsia="ja-JP"/>
        </w:rPr>
      </w:pPr>
      <w:r w:rsidRPr="00BA24C8">
        <w:rPr>
          <w:lang w:eastAsia="ja-JP"/>
        </w:rPr>
        <w:t xml:space="preserve">The currently approved indication </w:t>
      </w:r>
      <w:r w:rsidR="00C73765">
        <w:rPr>
          <w:lang w:eastAsia="ja-JP"/>
        </w:rPr>
        <w:t>for Stivarga</w:t>
      </w:r>
      <w:r w:rsidRPr="00BA24C8">
        <w:rPr>
          <w:lang w:eastAsia="ja-JP"/>
        </w:rPr>
        <w:t xml:space="preserve"> in Australia is</w:t>
      </w:r>
      <w:r w:rsidR="00C73765">
        <w:rPr>
          <w:lang w:eastAsia="ja-JP"/>
        </w:rPr>
        <w:t>:</w:t>
      </w:r>
    </w:p>
    <w:p w:rsidR="006241FD" w:rsidRPr="00715370" w:rsidRDefault="00715370" w:rsidP="00715370">
      <w:pPr>
        <w:autoSpaceDE w:val="0"/>
        <w:autoSpaceDN w:val="0"/>
        <w:adjustRightInd w:val="0"/>
        <w:spacing w:before="0" w:line="240" w:lineRule="auto"/>
        <w:ind w:left="720"/>
        <w:rPr>
          <w:rFonts w:asciiTheme="minorHAnsi" w:eastAsiaTheme="minorHAnsi" w:hAnsiTheme="minorHAnsi" w:cs="ArialMT"/>
          <w:i/>
        </w:rPr>
      </w:pPr>
      <w:r w:rsidRPr="00715370">
        <w:rPr>
          <w:rFonts w:asciiTheme="minorHAnsi" w:eastAsiaTheme="minorHAnsi" w:hAnsiTheme="minorHAnsi" w:cs="ArialMT"/>
          <w:i/>
        </w:rPr>
        <w:t>Stivarga</w:t>
      </w:r>
      <w:r w:rsidR="006241FD" w:rsidRPr="00715370">
        <w:rPr>
          <w:rFonts w:asciiTheme="minorHAnsi" w:eastAsiaTheme="minorHAnsi" w:hAnsiTheme="minorHAnsi" w:cs="ArialMT"/>
          <w:i/>
        </w:rPr>
        <w:t xml:space="preserve"> is indicated for the treatment of patients with metastatic colorectal cancer (CRC) who have been previously treated with fluoropyrimidine-, oxaliplatin- and irinotecan-based chemotherapy, an anti-VEGF therapy, and, if RAS wild type, an anti-EGFR therapy.</w:t>
      </w:r>
    </w:p>
    <w:p w:rsidR="006241FD" w:rsidRPr="00715370" w:rsidRDefault="00715370" w:rsidP="00715370">
      <w:pPr>
        <w:autoSpaceDE w:val="0"/>
        <w:autoSpaceDN w:val="0"/>
        <w:adjustRightInd w:val="0"/>
        <w:spacing w:before="0" w:after="0" w:line="240" w:lineRule="auto"/>
        <w:ind w:left="720"/>
        <w:rPr>
          <w:rFonts w:asciiTheme="minorHAnsi" w:eastAsiaTheme="minorHAnsi" w:hAnsiTheme="minorHAnsi" w:cs="ArialMT"/>
          <w:i/>
        </w:rPr>
      </w:pPr>
      <w:r w:rsidRPr="00715370">
        <w:rPr>
          <w:rFonts w:asciiTheme="minorHAnsi" w:eastAsiaTheme="minorHAnsi" w:hAnsiTheme="minorHAnsi" w:cs="ArialMT"/>
          <w:i/>
        </w:rPr>
        <w:t>Stivarga</w:t>
      </w:r>
      <w:r w:rsidR="006241FD" w:rsidRPr="00715370">
        <w:rPr>
          <w:rFonts w:asciiTheme="minorHAnsi" w:eastAsiaTheme="minorHAnsi" w:hAnsiTheme="minorHAnsi" w:cs="ArialMT"/>
          <w:i/>
        </w:rPr>
        <w:t xml:space="preserve"> is indicated for the treatment of patients with unresectable or metastatic gastrointestinal stromal tumours (GIST) who progressed on or </w:t>
      </w:r>
      <w:proofErr w:type="gramStart"/>
      <w:r w:rsidR="006241FD" w:rsidRPr="00715370">
        <w:rPr>
          <w:rFonts w:asciiTheme="minorHAnsi" w:eastAsiaTheme="minorHAnsi" w:hAnsiTheme="minorHAnsi" w:cs="ArialMT"/>
          <w:i/>
        </w:rPr>
        <w:t>are</w:t>
      </w:r>
      <w:proofErr w:type="gramEnd"/>
      <w:r w:rsidR="006241FD" w:rsidRPr="00715370">
        <w:rPr>
          <w:rFonts w:asciiTheme="minorHAnsi" w:eastAsiaTheme="minorHAnsi" w:hAnsiTheme="minorHAnsi" w:cs="ArialMT"/>
          <w:i/>
        </w:rPr>
        <w:t xml:space="preserve"> intolerant to prior treatm</w:t>
      </w:r>
      <w:r w:rsidRPr="00715370">
        <w:rPr>
          <w:rFonts w:asciiTheme="minorHAnsi" w:eastAsiaTheme="minorHAnsi" w:hAnsiTheme="minorHAnsi" w:cs="ArialMT"/>
          <w:i/>
        </w:rPr>
        <w:t>ent with imatinib and sunitinib</w:t>
      </w:r>
      <w:r w:rsidR="006241FD" w:rsidRPr="00715370">
        <w:rPr>
          <w:rStyle w:val="FootnoteReference"/>
          <w:i/>
          <w:lang w:eastAsia="ja-JP"/>
        </w:rPr>
        <w:footnoteReference w:id="9"/>
      </w:r>
    </w:p>
    <w:p w:rsidR="008E7846" w:rsidRPr="003F31A2" w:rsidRDefault="00386150" w:rsidP="008E7846">
      <w:pPr>
        <w:pStyle w:val="Heading3"/>
      </w:pPr>
      <w:bookmarkStart w:id="18" w:name="_Toc314842485"/>
      <w:bookmarkStart w:id="19" w:name="_Toc247691504"/>
      <w:bookmarkStart w:id="20" w:name="_Toc12263450"/>
      <w:r>
        <w:t>Regulatory s</w:t>
      </w:r>
      <w:r w:rsidR="008E7846">
        <w:t>tatus</w:t>
      </w:r>
      <w:bookmarkEnd w:id="18"/>
      <w:bookmarkEnd w:id="19"/>
      <w:bookmarkEnd w:id="20"/>
    </w:p>
    <w:p w:rsidR="00715370" w:rsidRDefault="00715370" w:rsidP="00715370">
      <w:bookmarkStart w:id="21" w:name="_Toc247691505"/>
      <w:bookmarkStart w:id="22" w:name="_Toc314842486"/>
      <w:r w:rsidRPr="00715370">
        <w:t>Stivarga</w:t>
      </w:r>
      <w:r w:rsidR="00566890" w:rsidRPr="00715370">
        <w:t xml:space="preserve"> was first registered on 29 November 2013 by the T</w:t>
      </w:r>
      <w:r w:rsidR="00F17CA0">
        <w:t>GA for the following indication:</w:t>
      </w:r>
    </w:p>
    <w:p w:rsidR="00566890" w:rsidRPr="00715370" w:rsidRDefault="00715370" w:rsidP="00715370">
      <w:pPr>
        <w:ind w:left="720"/>
      </w:pPr>
      <w:r>
        <w:rPr>
          <w:i/>
        </w:rPr>
        <w:t>T</w:t>
      </w:r>
      <w:r w:rsidR="00566890" w:rsidRPr="00715370">
        <w:rPr>
          <w:i/>
        </w:rPr>
        <w:t>reatment of patients with metastatic colorectal cancer (CRC) who have been previously treated with fluoropyrimidine-, oxaliplatin- and irinotecan-based chemotherapy, an anti-VEGF therapy, and, if KRAS wild type, an anti-EGFR therapy</w:t>
      </w:r>
      <w:r>
        <w:t>.</w:t>
      </w:r>
    </w:p>
    <w:p w:rsidR="00715370" w:rsidRDefault="00715370" w:rsidP="00F17CA0">
      <w:pPr>
        <w:rPr>
          <w:lang w:eastAsia="en-AU"/>
        </w:rPr>
      </w:pPr>
      <w:r w:rsidRPr="004B5A49">
        <w:rPr>
          <w:lang w:eastAsia="en-AU"/>
        </w:rPr>
        <w:t xml:space="preserve">An application </w:t>
      </w:r>
      <w:r>
        <w:rPr>
          <w:lang w:eastAsia="en-AU"/>
        </w:rPr>
        <w:t>to</w:t>
      </w:r>
      <w:r w:rsidRPr="004B5A49">
        <w:rPr>
          <w:lang w:eastAsia="en-AU"/>
        </w:rPr>
        <w:t xml:space="preserve"> exten</w:t>
      </w:r>
      <w:r>
        <w:rPr>
          <w:lang w:eastAsia="en-AU"/>
        </w:rPr>
        <w:t>d</w:t>
      </w:r>
      <w:r w:rsidRPr="004B5A49">
        <w:rPr>
          <w:lang w:eastAsia="en-AU"/>
        </w:rPr>
        <w:t xml:space="preserve"> </w:t>
      </w:r>
      <w:r>
        <w:rPr>
          <w:lang w:eastAsia="en-AU"/>
        </w:rPr>
        <w:t>the</w:t>
      </w:r>
      <w:r w:rsidRPr="004B5A49">
        <w:rPr>
          <w:lang w:eastAsia="en-AU"/>
        </w:rPr>
        <w:t xml:space="preserve"> indication to include the treatment of patients with unresectable or metastatic gastrointestinal stromal tumours (GIST) was approved by the TGA in March 2015.</w:t>
      </w:r>
    </w:p>
    <w:p w:rsidR="00715370" w:rsidRDefault="00715370" w:rsidP="00F17CA0">
      <w:pPr>
        <w:rPr>
          <w:lang w:eastAsia="en-AU"/>
        </w:rPr>
      </w:pPr>
      <w:r>
        <w:rPr>
          <w:lang w:eastAsia="en-AU"/>
        </w:rPr>
        <w:t>The recommended dosage of Stivarga for currently approved indications and for the proposed indication in HCC is 160 mg daily at the same time each day for three weeks of therapy, followed by one week off therapy, to comprise a four week cycle.</w:t>
      </w:r>
    </w:p>
    <w:p w:rsidR="00715370" w:rsidRDefault="00715370" w:rsidP="00F17CA0">
      <w:pPr>
        <w:rPr>
          <w:lang w:eastAsia="en-AU"/>
        </w:rPr>
      </w:pPr>
      <w:r>
        <w:rPr>
          <w:lang w:eastAsia="en-AU"/>
        </w:rPr>
        <w:t xml:space="preserve">Stivarga was granted orphan status for the </w:t>
      </w:r>
      <w:r w:rsidR="00864644">
        <w:rPr>
          <w:lang w:eastAsia="en-AU"/>
        </w:rPr>
        <w:t>second line</w:t>
      </w:r>
      <w:r>
        <w:rPr>
          <w:lang w:eastAsia="en-AU"/>
        </w:rPr>
        <w:t xml:space="preserve"> treatment of HCC in July 2016.</w:t>
      </w:r>
    </w:p>
    <w:p w:rsidR="008F4993" w:rsidRDefault="00715370" w:rsidP="00715370">
      <w:pPr>
        <w:pStyle w:val="Heading4"/>
        <w:rPr>
          <w:lang w:eastAsia="en-AU"/>
        </w:rPr>
      </w:pPr>
      <w:r>
        <w:rPr>
          <w:lang w:eastAsia="en-AU"/>
        </w:rPr>
        <w:lastRenderedPageBreak/>
        <w:t>International</w:t>
      </w:r>
      <w:r w:rsidR="008F4993" w:rsidRPr="00F27DE1">
        <w:rPr>
          <w:lang w:eastAsia="en-AU"/>
        </w:rPr>
        <w:t xml:space="preserve"> regulatory status</w:t>
      </w:r>
    </w:p>
    <w:p w:rsidR="008F4993" w:rsidRDefault="008F4993" w:rsidP="00F17CA0">
      <w:pPr>
        <w:rPr>
          <w:lang w:eastAsia="en-AU"/>
        </w:rPr>
      </w:pPr>
      <w:r>
        <w:rPr>
          <w:lang w:eastAsia="en-AU"/>
        </w:rPr>
        <w:t xml:space="preserve">The </w:t>
      </w:r>
      <w:r w:rsidR="00715CEC">
        <w:rPr>
          <w:lang w:eastAsia="en-AU"/>
        </w:rPr>
        <w:t>United States Food and Drug Administration (</w:t>
      </w:r>
      <w:r>
        <w:rPr>
          <w:lang w:eastAsia="en-AU"/>
        </w:rPr>
        <w:t>FDA</w:t>
      </w:r>
      <w:r w:rsidR="00715CEC">
        <w:rPr>
          <w:lang w:eastAsia="en-AU"/>
        </w:rPr>
        <w:t>)</w:t>
      </w:r>
      <w:r>
        <w:rPr>
          <w:lang w:eastAsia="en-AU"/>
        </w:rPr>
        <w:t xml:space="preserve"> have approved both regorafenib (April 2017) and nivolumab (September 2017) as </w:t>
      </w:r>
      <w:r w:rsidR="00864644">
        <w:rPr>
          <w:lang w:eastAsia="en-AU"/>
        </w:rPr>
        <w:t>second line</w:t>
      </w:r>
      <w:r>
        <w:rPr>
          <w:lang w:eastAsia="en-AU"/>
        </w:rPr>
        <w:t xml:space="preserve"> therapy for HCC</w:t>
      </w:r>
      <w:r w:rsidRPr="00C6021C">
        <w:rPr>
          <w:lang w:eastAsia="en-AU"/>
        </w:rPr>
        <w:t xml:space="preserve">. </w:t>
      </w:r>
      <w:r>
        <w:rPr>
          <w:lang w:eastAsia="en-AU"/>
        </w:rPr>
        <w:t xml:space="preserve">The </w:t>
      </w:r>
      <w:r w:rsidR="00715370">
        <w:rPr>
          <w:lang w:eastAsia="en-AU"/>
        </w:rPr>
        <w:t>European Union (</w:t>
      </w:r>
      <w:r>
        <w:rPr>
          <w:lang w:eastAsia="en-AU"/>
        </w:rPr>
        <w:t>EU</w:t>
      </w:r>
      <w:r w:rsidR="00715370">
        <w:rPr>
          <w:lang w:eastAsia="en-AU"/>
        </w:rPr>
        <w:t>)</w:t>
      </w:r>
      <w:r>
        <w:rPr>
          <w:lang w:eastAsia="en-AU"/>
        </w:rPr>
        <w:t xml:space="preserve"> approved regorafenib as </w:t>
      </w:r>
      <w:r w:rsidR="00864644">
        <w:rPr>
          <w:lang w:eastAsia="en-AU"/>
        </w:rPr>
        <w:t>second line</w:t>
      </w:r>
      <w:r>
        <w:rPr>
          <w:lang w:eastAsia="en-AU"/>
        </w:rPr>
        <w:t xml:space="preserve"> therapy for HCC in September</w:t>
      </w:r>
      <w:r w:rsidR="0074435C">
        <w:rPr>
          <w:lang w:eastAsia="en-AU"/>
        </w:rPr>
        <w:t> </w:t>
      </w:r>
      <w:r>
        <w:rPr>
          <w:lang w:eastAsia="en-AU"/>
        </w:rPr>
        <w:t>2017 (</w:t>
      </w:r>
      <w:r w:rsidR="00715370">
        <w:rPr>
          <w:lang w:eastAsia="en-AU"/>
        </w:rPr>
        <w:t>Table 1</w:t>
      </w:r>
      <w:r>
        <w:rPr>
          <w:lang w:eastAsia="en-AU"/>
        </w:rPr>
        <w:t>).</w:t>
      </w:r>
    </w:p>
    <w:p w:rsidR="008F4993" w:rsidRPr="00C73765" w:rsidRDefault="00F17CA0" w:rsidP="00F17CA0">
      <w:pPr>
        <w:pStyle w:val="TableTitle"/>
        <w:numPr>
          <w:ilvl w:val="0"/>
          <w:numId w:val="0"/>
        </w:numPr>
      </w:pPr>
      <w:r>
        <w:t xml:space="preserve">Table 1: </w:t>
      </w:r>
      <w:r w:rsidR="00715370" w:rsidRPr="00C73765">
        <w:t>International</w:t>
      </w:r>
      <w:r w:rsidR="008F4993" w:rsidRPr="00C73765">
        <w:t xml:space="preserve"> regulatory status</w:t>
      </w:r>
    </w:p>
    <w:tbl>
      <w:tblPr>
        <w:tblStyle w:val="TableTGAblue"/>
        <w:tblW w:w="8505" w:type="dxa"/>
        <w:tblInd w:w="108" w:type="dxa"/>
        <w:tblLayout w:type="fixed"/>
        <w:tblLook w:val="04A0" w:firstRow="1" w:lastRow="0" w:firstColumn="1" w:lastColumn="0" w:noHBand="0" w:noVBand="1"/>
      </w:tblPr>
      <w:tblGrid>
        <w:gridCol w:w="1701"/>
        <w:gridCol w:w="1701"/>
        <w:gridCol w:w="5103"/>
      </w:tblGrid>
      <w:tr w:rsidR="008F4993" w:rsidTr="00715370">
        <w:trPr>
          <w:cnfStyle w:val="100000000000" w:firstRow="1" w:lastRow="0" w:firstColumn="0" w:lastColumn="0" w:oddVBand="0" w:evenVBand="0" w:oddHBand="0" w:evenHBand="0" w:firstRowFirstColumn="0" w:firstRowLastColumn="0" w:lastRowFirstColumn="0" w:lastRowLastColumn="0"/>
          <w:cantSplit/>
        </w:trPr>
        <w:tc>
          <w:tcPr>
            <w:tcW w:w="1701" w:type="dxa"/>
          </w:tcPr>
          <w:p w:rsidR="008F4993" w:rsidRPr="00715370" w:rsidRDefault="008F4993" w:rsidP="00715370">
            <w:pPr>
              <w:rPr>
                <w:sz w:val="20"/>
                <w:szCs w:val="20"/>
              </w:rPr>
            </w:pPr>
            <w:r w:rsidRPr="00715370">
              <w:rPr>
                <w:sz w:val="20"/>
                <w:szCs w:val="20"/>
              </w:rPr>
              <w:t>Country/ region</w:t>
            </w:r>
          </w:p>
        </w:tc>
        <w:tc>
          <w:tcPr>
            <w:tcW w:w="1701" w:type="dxa"/>
          </w:tcPr>
          <w:p w:rsidR="008F4993" w:rsidRPr="00715370" w:rsidRDefault="008F4993" w:rsidP="00715370">
            <w:pPr>
              <w:rPr>
                <w:sz w:val="20"/>
                <w:szCs w:val="20"/>
              </w:rPr>
            </w:pPr>
            <w:r w:rsidRPr="00715370">
              <w:rPr>
                <w:sz w:val="20"/>
                <w:szCs w:val="20"/>
              </w:rPr>
              <w:t>Date of submission</w:t>
            </w:r>
          </w:p>
        </w:tc>
        <w:tc>
          <w:tcPr>
            <w:tcW w:w="5103" w:type="dxa"/>
          </w:tcPr>
          <w:p w:rsidR="008F4993" w:rsidRPr="00715370" w:rsidRDefault="008F4993" w:rsidP="00715370">
            <w:pPr>
              <w:rPr>
                <w:i/>
                <w:sz w:val="20"/>
                <w:szCs w:val="20"/>
              </w:rPr>
            </w:pPr>
            <w:r w:rsidRPr="00715370">
              <w:rPr>
                <w:sz w:val="20"/>
                <w:szCs w:val="20"/>
              </w:rPr>
              <w:t>Indication approved</w:t>
            </w:r>
          </w:p>
        </w:tc>
      </w:tr>
      <w:tr w:rsidR="008F4993" w:rsidTr="00715370">
        <w:tc>
          <w:tcPr>
            <w:tcW w:w="1701" w:type="dxa"/>
          </w:tcPr>
          <w:p w:rsidR="008F4993" w:rsidRPr="00715370" w:rsidRDefault="0074435C" w:rsidP="00715370">
            <w:pPr>
              <w:rPr>
                <w:sz w:val="20"/>
                <w:szCs w:val="20"/>
              </w:rPr>
            </w:pPr>
            <w:r>
              <w:rPr>
                <w:sz w:val="20"/>
                <w:szCs w:val="20"/>
              </w:rPr>
              <w:t>USA</w:t>
            </w:r>
            <w:r w:rsidR="00F17CA0">
              <w:rPr>
                <w:sz w:val="20"/>
                <w:szCs w:val="20"/>
              </w:rPr>
              <w:t xml:space="preserve"> (FDA)</w:t>
            </w:r>
          </w:p>
        </w:tc>
        <w:tc>
          <w:tcPr>
            <w:tcW w:w="1701" w:type="dxa"/>
          </w:tcPr>
          <w:p w:rsidR="008F4993" w:rsidRPr="00715370" w:rsidRDefault="008F4993" w:rsidP="00715370">
            <w:pPr>
              <w:rPr>
                <w:sz w:val="20"/>
                <w:szCs w:val="20"/>
              </w:rPr>
            </w:pPr>
            <w:r w:rsidRPr="00715370">
              <w:rPr>
                <w:sz w:val="20"/>
                <w:szCs w:val="20"/>
              </w:rPr>
              <w:t>31 October 2016</w:t>
            </w:r>
          </w:p>
        </w:tc>
        <w:tc>
          <w:tcPr>
            <w:tcW w:w="5103" w:type="dxa"/>
          </w:tcPr>
          <w:p w:rsidR="008F4993" w:rsidRPr="00715370" w:rsidRDefault="008F4993" w:rsidP="00715370">
            <w:pPr>
              <w:rPr>
                <w:sz w:val="20"/>
                <w:szCs w:val="20"/>
              </w:rPr>
            </w:pPr>
            <w:r w:rsidRPr="00715370">
              <w:rPr>
                <w:sz w:val="20"/>
                <w:szCs w:val="20"/>
              </w:rPr>
              <w:t>Treatment of patients with hepatocellular carcinoma (HCC) who have been previously treated with sorafenib (April 2017)</w:t>
            </w:r>
          </w:p>
        </w:tc>
      </w:tr>
      <w:tr w:rsidR="008F4993" w:rsidTr="00715370">
        <w:tc>
          <w:tcPr>
            <w:tcW w:w="1701" w:type="dxa"/>
          </w:tcPr>
          <w:p w:rsidR="008F4993" w:rsidRPr="00715370" w:rsidRDefault="008F4993" w:rsidP="00715370">
            <w:pPr>
              <w:rPr>
                <w:sz w:val="20"/>
                <w:szCs w:val="20"/>
              </w:rPr>
            </w:pPr>
            <w:r w:rsidRPr="00715370">
              <w:rPr>
                <w:sz w:val="20"/>
                <w:szCs w:val="20"/>
              </w:rPr>
              <w:t>EU</w:t>
            </w:r>
          </w:p>
        </w:tc>
        <w:tc>
          <w:tcPr>
            <w:tcW w:w="1701" w:type="dxa"/>
          </w:tcPr>
          <w:p w:rsidR="008F4993" w:rsidRPr="00715370" w:rsidRDefault="008F4993" w:rsidP="00715370">
            <w:pPr>
              <w:rPr>
                <w:sz w:val="20"/>
                <w:szCs w:val="20"/>
              </w:rPr>
            </w:pPr>
            <w:r w:rsidRPr="00715370">
              <w:rPr>
                <w:sz w:val="20"/>
                <w:szCs w:val="20"/>
              </w:rPr>
              <w:t>3 November 2016</w:t>
            </w:r>
          </w:p>
        </w:tc>
        <w:tc>
          <w:tcPr>
            <w:tcW w:w="5103" w:type="dxa"/>
          </w:tcPr>
          <w:p w:rsidR="008F4993" w:rsidRPr="00715370" w:rsidRDefault="008F4993" w:rsidP="00715370">
            <w:pPr>
              <w:rPr>
                <w:sz w:val="20"/>
                <w:szCs w:val="20"/>
              </w:rPr>
            </w:pPr>
            <w:r w:rsidRPr="00715370">
              <w:rPr>
                <w:sz w:val="20"/>
                <w:szCs w:val="20"/>
              </w:rPr>
              <w:t>As monotherapy for the treatment of adult patients with hepatocellular carcinoma (HCC) who have been previously treated with sorafenib (September 2017)</w:t>
            </w:r>
          </w:p>
        </w:tc>
      </w:tr>
    </w:tbl>
    <w:p w:rsidR="008E7846" w:rsidRDefault="008E7846" w:rsidP="00940A89">
      <w:pPr>
        <w:pStyle w:val="Heading3"/>
      </w:pPr>
      <w:bookmarkStart w:id="23" w:name="_Toc12263451"/>
      <w:r>
        <w:t>Product Information</w:t>
      </w:r>
      <w:bookmarkEnd w:id="21"/>
      <w:bookmarkEnd w:id="22"/>
      <w:bookmarkEnd w:id="23"/>
    </w:p>
    <w:p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rsidR="00500337" w:rsidRDefault="00500337" w:rsidP="00500337">
      <w:pPr>
        <w:pStyle w:val="Heading2"/>
      </w:pPr>
      <w:bookmarkStart w:id="26" w:name="_Toc504480011"/>
      <w:bookmarkStart w:id="27" w:name="_Toc12263452"/>
      <w:r>
        <w:t>II. Registration time line</w:t>
      </w:r>
      <w:bookmarkEnd w:id="26"/>
      <w:bookmarkEnd w:id="27"/>
    </w:p>
    <w:p w:rsidR="00500337" w:rsidRDefault="00500337" w:rsidP="00500337">
      <w:r>
        <w:t>The following table captures the key steps and dates for this application and which are detailed and discussed in this AusPAR.</w:t>
      </w:r>
    </w:p>
    <w:p w:rsidR="00715370" w:rsidRPr="00C73765" w:rsidRDefault="00F17CA0" w:rsidP="00F17CA0">
      <w:pPr>
        <w:pStyle w:val="TableTitle"/>
        <w:numPr>
          <w:ilvl w:val="0"/>
          <w:numId w:val="0"/>
        </w:numPr>
      </w:pPr>
      <w:r>
        <w:t xml:space="preserve">Table 2: </w:t>
      </w:r>
      <w:r w:rsidR="00715370" w:rsidRPr="00C73765">
        <w:t>Registration timeline</w:t>
      </w:r>
    </w:p>
    <w:tbl>
      <w:tblPr>
        <w:tblStyle w:val="TableTGAblue"/>
        <w:tblW w:w="0" w:type="auto"/>
        <w:tblLook w:val="04A0" w:firstRow="1" w:lastRow="0" w:firstColumn="1" w:lastColumn="0" w:noHBand="0" w:noVBand="1"/>
      </w:tblPr>
      <w:tblGrid>
        <w:gridCol w:w="4360"/>
        <w:gridCol w:w="4360"/>
      </w:tblGrid>
      <w:tr w:rsidR="0050033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500337">
        <w:tc>
          <w:tcPr>
            <w:tcW w:w="4360" w:type="dxa"/>
          </w:tcPr>
          <w:p w:rsidR="00500337" w:rsidRDefault="00500337" w:rsidP="00500337">
            <w:pPr>
              <w:ind w:left="0" w:right="0"/>
            </w:pPr>
            <w:r>
              <w:t>Submission dossier accepted and first round evaluation commenced</w:t>
            </w:r>
          </w:p>
        </w:tc>
        <w:tc>
          <w:tcPr>
            <w:tcW w:w="4360" w:type="dxa"/>
          </w:tcPr>
          <w:p w:rsidR="00500337" w:rsidRDefault="001B3299" w:rsidP="00500337">
            <w:pPr>
              <w:ind w:left="0" w:right="0"/>
            </w:pPr>
            <w:r>
              <w:t>28 February 2017</w:t>
            </w:r>
          </w:p>
        </w:tc>
      </w:tr>
      <w:tr w:rsidR="00500337" w:rsidTr="00500337">
        <w:tc>
          <w:tcPr>
            <w:tcW w:w="4360" w:type="dxa"/>
          </w:tcPr>
          <w:p w:rsidR="00500337" w:rsidRDefault="00500337" w:rsidP="00500337">
            <w:pPr>
              <w:ind w:left="0" w:right="0"/>
            </w:pPr>
            <w:r>
              <w:t>First round evaluation completed</w:t>
            </w:r>
          </w:p>
        </w:tc>
        <w:tc>
          <w:tcPr>
            <w:tcW w:w="4360" w:type="dxa"/>
          </w:tcPr>
          <w:p w:rsidR="00500337" w:rsidRDefault="001B3299" w:rsidP="00500337">
            <w:pPr>
              <w:ind w:left="0" w:right="0"/>
            </w:pPr>
            <w:r>
              <w:t>31 July 2017</w:t>
            </w:r>
          </w:p>
        </w:tc>
      </w:tr>
      <w:tr w:rsidR="00500337" w:rsidTr="00500337">
        <w:tc>
          <w:tcPr>
            <w:tcW w:w="4360" w:type="dxa"/>
          </w:tcPr>
          <w:p w:rsidR="00500337" w:rsidRDefault="00500337" w:rsidP="00500337">
            <w:pPr>
              <w:ind w:left="0" w:right="0"/>
            </w:pPr>
            <w:r>
              <w:t>Sponsor provides responses on questions raised in first round evaluation</w:t>
            </w:r>
          </w:p>
        </w:tc>
        <w:tc>
          <w:tcPr>
            <w:tcW w:w="4360" w:type="dxa"/>
          </w:tcPr>
          <w:p w:rsidR="00500337" w:rsidRDefault="001B3299" w:rsidP="00500337">
            <w:pPr>
              <w:ind w:left="0" w:right="0"/>
            </w:pPr>
            <w:r>
              <w:t>31 August 2017</w:t>
            </w:r>
          </w:p>
        </w:tc>
      </w:tr>
      <w:tr w:rsidR="00500337" w:rsidTr="00500337">
        <w:tc>
          <w:tcPr>
            <w:tcW w:w="4360" w:type="dxa"/>
          </w:tcPr>
          <w:p w:rsidR="00500337" w:rsidRDefault="00500337" w:rsidP="00500337">
            <w:pPr>
              <w:ind w:left="0" w:right="0"/>
            </w:pPr>
            <w:r>
              <w:t>Second round evaluation completed</w:t>
            </w:r>
          </w:p>
        </w:tc>
        <w:tc>
          <w:tcPr>
            <w:tcW w:w="4360" w:type="dxa"/>
          </w:tcPr>
          <w:p w:rsidR="00500337" w:rsidRDefault="001B3299" w:rsidP="00500337">
            <w:pPr>
              <w:ind w:left="0" w:right="0"/>
            </w:pPr>
            <w:r>
              <w:t>29 September 2017</w:t>
            </w:r>
          </w:p>
        </w:tc>
      </w:tr>
      <w:tr w:rsidR="00566890" w:rsidTr="00500337">
        <w:tc>
          <w:tcPr>
            <w:tcW w:w="4360" w:type="dxa"/>
          </w:tcPr>
          <w:p w:rsidR="00566890" w:rsidRDefault="00566890" w:rsidP="00500337">
            <w:pPr>
              <w:ind w:left="0" w:right="0"/>
            </w:pPr>
            <w:r>
              <w:t>Delegate’s Overall benefit-risk assessment and request for Advisory Committee advice</w:t>
            </w:r>
          </w:p>
        </w:tc>
        <w:tc>
          <w:tcPr>
            <w:tcW w:w="4360" w:type="dxa"/>
          </w:tcPr>
          <w:p w:rsidR="00566890" w:rsidRDefault="00566890" w:rsidP="001B3299">
            <w:pPr>
              <w:ind w:left="0" w:right="0"/>
            </w:pPr>
            <w:r>
              <w:t>2</w:t>
            </w:r>
            <w:r w:rsidR="001B3299">
              <w:t>5 October</w:t>
            </w:r>
            <w:r>
              <w:t xml:space="preserve"> 2017</w:t>
            </w:r>
          </w:p>
        </w:tc>
      </w:tr>
      <w:tr w:rsidR="00566890" w:rsidTr="00500337">
        <w:tc>
          <w:tcPr>
            <w:tcW w:w="4360" w:type="dxa"/>
          </w:tcPr>
          <w:p w:rsidR="00566890" w:rsidRDefault="00566890" w:rsidP="00500337">
            <w:pPr>
              <w:ind w:left="0" w:right="0"/>
            </w:pPr>
            <w:r>
              <w:t>Sponsor’s pre-Advisory Committee response</w:t>
            </w:r>
          </w:p>
        </w:tc>
        <w:tc>
          <w:tcPr>
            <w:tcW w:w="4360" w:type="dxa"/>
          </w:tcPr>
          <w:p w:rsidR="00566890" w:rsidRDefault="00566890" w:rsidP="001D3B71">
            <w:pPr>
              <w:ind w:left="0" w:right="0"/>
            </w:pPr>
            <w:r>
              <w:t>Not applicable</w:t>
            </w:r>
          </w:p>
        </w:tc>
      </w:tr>
      <w:tr w:rsidR="00566890" w:rsidTr="00500337">
        <w:tc>
          <w:tcPr>
            <w:tcW w:w="4360" w:type="dxa"/>
          </w:tcPr>
          <w:p w:rsidR="00566890" w:rsidRDefault="00566890" w:rsidP="00500337">
            <w:pPr>
              <w:ind w:left="0" w:right="0"/>
            </w:pPr>
            <w:r>
              <w:t>Advisory Committee meeting</w:t>
            </w:r>
          </w:p>
        </w:tc>
        <w:tc>
          <w:tcPr>
            <w:tcW w:w="4360" w:type="dxa"/>
          </w:tcPr>
          <w:p w:rsidR="00566890" w:rsidRDefault="00566890" w:rsidP="001D3B71">
            <w:pPr>
              <w:ind w:left="0" w:right="0"/>
            </w:pPr>
            <w:r>
              <w:t>Not applicable</w:t>
            </w:r>
          </w:p>
        </w:tc>
      </w:tr>
      <w:tr w:rsidR="00566890" w:rsidTr="00500337">
        <w:tc>
          <w:tcPr>
            <w:tcW w:w="4360" w:type="dxa"/>
          </w:tcPr>
          <w:p w:rsidR="00566890" w:rsidRDefault="00566890" w:rsidP="00500337">
            <w:pPr>
              <w:ind w:left="0" w:right="0"/>
            </w:pPr>
            <w:r>
              <w:t>Registration decision (Outcome)</w:t>
            </w:r>
          </w:p>
        </w:tc>
        <w:tc>
          <w:tcPr>
            <w:tcW w:w="4360" w:type="dxa"/>
          </w:tcPr>
          <w:p w:rsidR="00566890" w:rsidRDefault="00566890" w:rsidP="001D3B71">
            <w:pPr>
              <w:ind w:left="0" w:right="0"/>
            </w:pPr>
            <w:r>
              <w:t>18 December 2017</w:t>
            </w:r>
          </w:p>
        </w:tc>
      </w:tr>
      <w:tr w:rsidR="00566890" w:rsidTr="00500337">
        <w:tc>
          <w:tcPr>
            <w:tcW w:w="4360" w:type="dxa"/>
          </w:tcPr>
          <w:p w:rsidR="00566890" w:rsidRDefault="00566890" w:rsidP="00500337">
            <w:pPr>
              <w:ind w:left="0" w:right="0"/>
            </w:pPr>
            <w:r>
              <w:lastRenderedPageBreak/>
              <w:t>Completion of administrative activities and registration on ARTG</w:t>
            </w:r>
          </w:p>
        </w:tc>
        <w:tc>
          <w:tcPr>
            <w:tcW w:w="4360" w:type="dxa"/>
          </w:tcPr>
          <w:p w:rsidR="00566890" w:rsidRDefault="00566890" w:rsidP="001D3B71">
            <w:pPr>
              <w:ind w:left="0" w:right="0"/>
            </w:pPr>
            <w:r>
              <w:t>21 December 2017</w:t>
            </w:r>
          </w:p>
        </w:tc>
      </w:tr>
      <w:tr w:rsidR="00566890" w:rsidTr="00500337">
        <w:tc>
          <w:tcPr>
            <w:tcW w:w="4360" w:type="dxa"/>
          </w:tcPr>
          <w:p w:rsidR="00566890" w:rsidRDefault="00566890" w:rsidP="00500337">
            <w:pPr>
              <w:ind w:left="0" w:right="0"/>
            </w:pPr>
            <w:r>
              <w:t>Number of working days from submission dossier acceptance to registration decision*</w:t>
            </w:r>
          </w:p>
        </w:tc>
        <w:tc>
          <w:tcPr>
            <w:tcW w:w="4360" w:type="dxa"/>
          </w:tcPr>
          <w:p w:rsidR="00566890" w:rsidRDefault="001B3299" w:rsidP="00500337">
            <w:pPr>
              <w:ind w:left="0" w:right="0"/>
            </w:pPr>
            <w:r>
              <w:t>179</w:t>
            </w:r>
          </w:p>
        </w:tc>
      </w:tr>
    </w:tbl>
    <w:p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rsidR="008E7846" w:rsidRPr="003602A9" w:rsidRDefault="00500337" w:rsidP="008E7846">
      <w:pPr>
        <w:pStyle w:val="Heading2"/>
        <w:ind w:left="-11"/>
      </w:pPr>
      <w:bookmarkStart w:id="28" w:name="_Toc12263453"/>
      <w:r>
        <w:t>I</w:t>
      </w:r>
      <w:r w:rsidR="008E7846">
        <w:t>II. Quality</w:t>
      </w:r>
      <w:bookmarkEnd w:id="1"/>
      <w:r w:rsidR="008E7846">
        <w:t xml:space="preserve"> findings</w:t>
      </w:r>
      <w:bookmarkEnd w:id="24"/>
      <w:bookmarkEnd w:id="25"/>
      <w:bookmarkEnd w:id="28"/>
    </w:p>
    <w:p w:rsidR="00940A89" w:rsidRPr="00940A89" w:rsidRDefault="00940A89" w:rsidP="00940A89">
      <w:bookmarkStart w:id="29" w:name="_Toc247691507"/>
      <w:bookmarkStart w:id="30" w:name="_Toc314842488"/>
      <w:r w:rsidRPr="00940A89">
        <w:t>There was no requirement for a quality evaluation in a submission of this type.</w:t>
      </w:r>
    </w:p>
    <w:p w:rsidR="008E7846" w:rsidRDefault="008E7846" w:rsidP="00940A89">
      <w:pPr>
        <w:pStyle w:val="Heading3"/>
      </w:pPr>
      <w:bookmarkStart w:id="31" w:name="_Toc12263454"/>
      <w:r w:rsidRPr="008751DC">
        <w:t xml:space="preserve">Drug </w:t>
      </w:r>
      <w:r>
        <w:t>s</w:t>
      </w:r>
      <w:r w:rsidRPr="008751DC">
        <w:t>ubstance</w:t>
      </w:r>
      <w:r>
        <w:t xml:space="preserve"> (active ingredient)</w:t>
      </w:r>
      <w:bookmarkEnd w:id="29"/>
      <w:bookmarkEnd w:id="30"/>
      <w:bookmarkEnd w:id="31"/>
    </w:p>
    <w:p w:rsidR="008E7846" w:rsidRDefault="00566890" w:rsidP="00864644">
      <w:r>
        <w:t>Regorafenib (as monohydrate) is 4-[4-({[4-chloro-3-(trifluoromethyl</w:t>
      </w:r>
      <w:proofErr w:type="gramStart"/>
      <w:r>
        <w:t>)phenyl</w:t>
      </w:r>
      <w:proofErr w:type="gramEnd"/>
      <w:r>
        <w:t>]carbamoyl}amino)-3-fluorophenoxy]-</w:t>
      </w:r>
      <w:r>
        <w:rPr>
          <w:i/>
          <w:iCs/>
        </w:rPr>
        <w:t>N</w:t>
      </w:r>
      <w:r w:rsidR="0074435C">
        <w:rPr>
          <w:i/>
          <w:iCs/>
        </w:rPr>
        <w:t xml:space="preserve"> </w:t>
      </w:r>
      <w:r>
        <w:t xml:space="preserve">methylpyridine-2-carboxamide monohydrate. </w:t>
      </w:r>
      <w:r w:rsidR="00715370">
        <w:t>The structural formula of r</w:t>
      </w:r>
      <w:r>
        <w:t xml:space="preserve">egorafenib </w:t>
      </w:r>
      <w:r w:rsidR="00715370">
        <w:t>is shown in Figure 2 below.</w:t>
      </w:r>
    </w:p>
    <w:p w:rsidR="00715370" w:rsidRDefault="00F17CA0" w:rsidP="00F17CA0">
      <w:pPr>
        <w:pStyle w:val="FigureTitle"/>
        <w:numPr>
          <w:ilvl w:val="0"/>
          <w:numId w:val="0"/>
        </w:numPr>
        <w:ind w:left="360" w:hanging="360"/>
      </w:pPr>
      <w:r>
        <w:t xml:space="preserve">Figure 2: </w:t>
      </w:r>
      <w:r w:rsidR="00715370">
        <w:t>Chemical structure of regorafenib</w:t>
      </w:r>
    </w:p>
    <w:p w:rsidR="00566890" w:rsidRDefault="00566890" w:rsidP="00566890">
      <w:pPr>
        <w:autoSpaceDE w:val="0"/>
        <w:autoSpaceDN w:val="0"/>
        <w:adjustRightInd w:val="0"/>
        <w:spacing w:before="0" w:after="0" w:line="240" w:lineRule="auto"/>
      </w:pPr>
      <w:r>
        <w:rPr>
          <w:noProof/>
          <w:lang w:eastAsia="en-AU"/>
        </w:rPr>
        <w:drawing>
          <wp:inline distT="0" distB="0" distL="0" distR="0" wp14:anchorId="43CE58D6" wp14:editId="5E32F45D">
            <wp:extent cx="3913909" cy="1350966"/>
            <wp:effectExtent l="0" t="0" r="0" b="1905"/>
            <wp:docPr id="2" name="Picture 2" descr="Chemical structure of reg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7404"/>
                    <a:stretch/>
                  </pic:blipFill>
                  <pic:spPr bwMode="auto">
                    <a:xfrm>
                      <a:off x="0" y="0"/>
                      <a:ext cx="3913909" cy="1350966"/>
                    </a:xfrm>
                    <a:prstGeom prst="rect">
                      <a:avLst/>
                    </a:prstGeom>
                    <a:ln>
                      <a:noFill/>
                    </a:ln>
                    <a:extLst>
                      <a:ext uri="{53640926-AAD7-44D8-BBD7-CCE9431645EC}">
                        <a14:shadowObscured xmlns:a14="http://schemas.microsoft.com/office/drawing/2010/main"/>
                      </a:ext>
                    </a:extLst>
                  </pic:spPr>
                </pic:pic>
              </a:graphicData>
            </a:graphic>
          </wp:inline>
        </w:drawing>
      </w:r>
    </w:p>
    <w:p w:rsidR="00566890" w:rsidRDefault="00566890" w:rsidP="00715370">
      <w:pPr>
        <w:pStyle w:val="FigureDescription"/>
      </w:pPr>
      <w:r>
        <w:t>Molecular formula: C</w:t>
      </w:r>
      <w:r>
        <w:rPr>
          <w:sz w:val="14"/>
          <w:szCs w:val="14"/>
        </w:rPr>
        <w:t>21</w:t>
      </w:r>
      <w:r>
        <w:t>H</w:t>
      </w:r>
      <w:r>
        <w:rPr>
          <w:sz w:val="14"/>
          <w:szCs w:val="14"/>
        </w:rPr>
        <w:t>15</w:t>
      </w:r>
      <w:r>
        <w:t>ClF</w:t>
      </w:r>
      <w:r>
        <w:rPr>
          <w:sz w:val="14"/>
          <w:szCs w:val="14"/>
        </w:rPr>
        <w:t>4</w:t>
      </w:r>
      <w:r>
        <w:t>N</w:t>
      </w:r>
      <w:r>
        <w:rPr>
          <w:sz w:val="14"/>
          <w:szCs w:val="14"/>
        </w:rPr>
        <w:t>4</w:t>
      </w:r>
      <w:r>
        <w:t>O</w:t>
      </w:r>
      <w:r>
        <w:rPr>
          <w:sz w:val="14"/>
          <w:szCs w:val="14"/>
        </w:rPr>
        <w:t>3</w:t>
      </w:r>
      <w:r w:rsidR="00715370">
        <w:rPr>
          <w:sz w:val="14"/>
          <w:szCs w:val="14"/>
        </w:rPr>
        <w:t xml:space="preserve"> </w:t>
      </w:r>
      <w:r>
        <w:t>CAS number: 755037-03-7</w:t>
      </w:r>
    </w:p>
    <w:p w:rsidR="008E7846" w:rsidRDefault="008E7846" w:rsidP="008E7846">
      <w:pPr>
        <w:pStyle w:val="Heading3"/>
      </w:pPr>
      <w:bookmarkStart w:id="32" w:name="_Toc247691508"/>
      <w:bookmarkStart w:id="33" w:name="_Toc314842490"/>
      <w:bookmarkStart w:id="34" w:name="_Toc12263455"/>
      <w:r w:rsidRPr="008751DC">
        <w:t xml:space="preserve">Drug </w:t>
      </w:r>
      <w:r>
        <w:t>p</w:t>
      </w:r>
      <w:r w:rsidRPr="008751DC">
        <w:t>roduct</w:t>
      </w:r>
      <w:bookmarkEnd w:id="32"/>
      <w:bookmarkEnd w:id="33"/>
      <w:bookmarkEnd w:id="34"/>
    </w:p>
    <w:p w:rsidR="006241FD" w:rsidRPr="00715370" w:rsidRDefault="006241FD" w:rsidP="00715370">
      <w:r w:rsidRPr="00715370">
        <w:t>Stivarga is presented as light pink, oval tablets each containing 40</w:t>
      </w:r>
      <w:r w:rsidR="00864644">
        <w:t xml:space="preserve"> </w:t>
      </w:r>
      <w:r w:rsidRPr="00715370">
        <w:t>mg regorafenib (as 41.49</w:t>
      </w:r>
      <w:r w:rsidR="00864644">
        <w:t xml:space="preserve"> </w:t>
      </w:r>
      <w:r w:rsidRPr="00715370">
        <w:t xml:space="preserve">mg regorafenib monohydrate). The tablets are marked with </w:t>
      </w:r>
      <w:r w:rsidR="00864644">
        <w:t>‘</w:t>
      </w:r>
      <w:r w:rsidRPr="00715370">
        <w:t>BAYER</w:t>
      </w:r>
      <w:r w:rsidR="00864644">
        <w:t>’</w:t>
      </w:r>
      <w:r w:rsidRPr="00715370">
        <w:t xml:space="preserve"> on one side and </w:t>
      </w:r>
      <w:r w:rsidR="00864644">
        <w:t>‘</w:t>
      </w:r>
      <w:r w:rsidRPr="00715370">
        <w:t>40</w:t>
      </w:r>
      <w:r w:rsidR="00864644">
        <w:t>’</w:t>
      </w:r>
      <w:r w:rsidRPr="00715370">
        <w:t xml:space="preserve"> on the other side.</w:t>
      </w:r>
      <w:r w:rsidR="00864644" w:rsidRPr="00864644">
        <w:t xml:space="preserve"> </w:t>
      </w:r>
      <w:r w:rsidR="00864644">
        <w:t xml:space="preserve">The tablets have </w:t>
      </w:r>
      <w:r w:rsidR="00864644" w:rsidRPr="00715370">
        <w:t>the following excipients croscarmellose sodium, magnesium stearate, microcrystalline cellulose, povidone, silica colloidal anhydrous, iron oxide red, iron oxide yellow, lecithin, macrogol 3350, polyvinyl alcohol, purified talc and titanium dioxide.</w:t>
      </w:r>
    </w:p>
    <w:p w:rsidR="008E7846" w:rsidRDefault="008E7846" w:rsidP="008E7846">
      <w:pPr>
        <w:pStyle w:val="Heading2"/>
      </w:pPr>
      <w:bookmarkStart w:id="35" w:name="_Toc196046439"/>
      <w:bookmarkStart w:id="36" w:name="_Toc247691510"/>
      <w:bookmarkStart w:id="37" w:name="_Toc314842494"/>
      <w:bookmarkStart w:id="38" w:name="_Toc12263456"/>
      <w:r>
        <w:t>I</w:t>
      </w:r>
      <w:r w:rsidR="00500337">
        <w:t>V</w:t>
      </w:r>
      <w:r>
        <w:t>. Nonclinical</w:t>
      </w:r>
      <w:bookmarkEnd w:id="35"/>
      <w:r>
        <w:t xml:space="preserve"> findings</w:t>
      </w:r>
      <w:bookmarkEnd w:id="36"/>
      <w:bookmarkEnd w:id="37"/>
      <w:bookmarkEnd w:id="38"/>
    </w:p>
    <w:p w:rsidR="00864644" w:rsidRDefault="00940A89" w:rsidP="00864644">
      <w:pPr>
        <w:pStyle w:val="Standard"/>
      </w:pPr>
      <w:bookmarkStart w:id="39" w:name="_Toc247691511"/>
      <w:bookmarkStart w:id="40" w:name="_Toc314842495"/>
      <w:r>
        <w:t xml:space="preserve">There was no requirement for a </w:t>
      </w:r>
      <w:r w:rsidR="00864644">
        <w:t xml:space="preserve">full </w:t>
      </w:r>
      <w:r>
        <w:t>nonclinical evaluation in a submission of this type.</w:t>
      </w:r>
      <w:r w:rsidR="00864644">
        <w:t xml:space="preserve"> The sponsor proposed to update the nonclinical sections of the current PI. Additional statements based on nonclinical data were proposed for inclusion in the </w:t>
      </w:r>
      <w:r w:rsidR="00864644" w:rsidRPr="00864644">
        <w:rPr>
          <w:i/>
        </w:rPr>
        <w:t>Pharmacodynamic effects</w:t>
      </w:r>
      <w:r w:rsidR="00864644" w:rsidRPr="00DB2FBB">
        <w:rPr>
          <w:b/>
        </w:rPr>
        <w:t xml:space="preserve"> </w:t>
      </w:r>
      <w:r w:rsidR="00864644">
        <w:t xml:space="preserve">section under </w:t>
      </w:r>
      <w:r w:rsidR="00864644" w:rsidRPr="00864644">
        <w:rPr>
          <w:i/>
        </w:rPr>
        <w:t>Pharmacology</w:t>
      </w:r>
      <w:r w:rsidR="00864644">
        <w:t>.</w:t>
      </w:r>
    </w:p>
    <w:p w:rsidR="008F4993" w:rsidRDefault="008F4993" w:rsidP="008F4993">
      <w:pPr>
        <w:pStyle w:val="Standard"/>
      </w:pPr>
      <w:r>
        <w:t xml:space="preserve">There </w:t>
      </w:r>
      <w:r w:rsidR="006241FD">
        <w:t>were</w:t>
      </w:r>
      <w:r>
        <w:t xml:space="preserve"> no nonclinical objections to the proposed extension of indication and the </w:t>
      </w:r>
      <w:r w:rsidR="0036454F">
        <w:t xml:space="preserve">revised </w:t>
      </w:r>
      <w:r w:rsidR="00864644">
        <w:t>PI</w:t>
      </w:r>
      <w:r>
        <w:t xml:space="preserve"> document is considered to be acceptable from a nonclinical perspective.</w:t>
      </w:r>
    </w:p>
    <w:p w:rsidR="008E7846" w:rsidRPr="00254787" w:rsidRDefault="008E7846" w:rsidP="008E7846">
      <w:pPr>
        <w:pStyle w:val="Heading2"/>
      </w:pPr>
      <w:bookmarkStart w:id="41" w:name="_Toc196046462"/>
      <w:bookmarkStart w:id="42" w:name="_Toc247691516"/>
      <w:bookmarkStart w:id="43" w:name="_Toc314842500"/>
      <w:bookmarkStart w:id="44" w:name="_Toc163441353"/>
      <w:bookmarkStart w:id="45" w:name="_Toc163441348"/>
      <w:bookmarkStart w:id="46" w:name="_Toc12263457"/>
      <w:bookmarkEnd w:id="39"/>
      <w:bookmarkEnd w:id="40"/>
      <w:r>
        <w:lastRenderedPageBreak/>
        <w:t xml:space="preserve">V. </w:t>
      </w:r>
      <w:r w:rsidRPr="00254787">
        <w:t>Clinical</w:t>
      </w:r>
      <w:bookmarkEnd w:id="41"/>
      <w:r>
        <w:t xml:space="preserve"> </w:t>
      </w:r>
      <w:r w:rsidR="003A7F6C">
        <w:t>f</w:t>
      </w:r>
      <w:r>
        <w:t>indings</w:t>
      </w:r>
      <w:bookmarkEnd w:id="42"/>
      <w:bookmarkEnd w:id="43"/>
      <w:bookmarkEnd w:id="46"/>
    </w:p>
    <w:p w:rsidR="00C80137" w:rsidRDefault="00C80137" w:rsidP="00D425BB">
      <w:bookmarkStart w:id="47" w:name="_Toc196046463"/>
      <w:r>
        <w:t xml:space="preserve">A summary of the </w:t>
      </w:r>
      <w:r w:rsidRPr="00FD70B8">
        <w:t>clinical findings is presented in this section.</w:t>
      </w:r>
    </w:p>
    <w:p w:rsidR="008E7846" w:rsidRDefault="008E7846" w:rsidP="008E7846">
      <w:pPr>
        <w:pStyle w:val="Heading3"/>
      </w:pPr>
      <w:bookmarkStart w:id="48" w:name="_Toc247691517"/>
      <w:bookmarkStart w:id="49" w:name="_Toc314842501"/>
      <w:bookmarkStart w:id="50" w:name="_Toc12263458"/>
      <w:r w:rsidRPr="00254787">
        <w:t>Introduction</w:t>
      </w:r>
      <w:bookmarkEnd w:id="47"/>
      <w:bookmarkEnd w:id="48"/>
      <w:bookmarkEnd w:id="49"/>
      <w:bookmarkEnd w:id="50"/>
    </w:p>
    <w:p w:rsidR="006241FD" w:rsidRDefault="006241FD" w:rsidP="006241FD">
      <w:pPr>
        <w:pStyle w:val="Heading4"/>
      </w:pPr>
      <w:r w:rsidRPr="00605AD4">
        <w:t xml:space="preserve">Clinical </w:t>
      </w:r>
      <w:r>
        <w:t>r</w:t>
      </w:r>
      <w:r w:rsidRPr="00605AD4">
        <w:t>ationale</w:t>
      </w:r>
    </w:p>
    <w:p w:rsidR="006241FD" w:rsidRPr="00BA24C8" w:rsidRDefault="00864644" w:rsidP="006241FD">
      <w:pPr>
        <w:rPr>
          <w:lang w:eastAsia="ja-JP"/>
        </w:rPr>
      </w:pPr>
      <w:r>
        <w:rPr>
          <w:lang w:eastAsia="ja-JP"/>
        </w:rPr>
        <w:t>T</w:t>
      </w:r>
      <w:r w:rsidR="006241FD" w:rsidRPr="00BA24C8">
        <w:rPr>
          <w:lang w:eastAsia="ja-JP"/>
        </w:rPr>
        <w:t>here are no current effective and proven therapies available for patients with advanced HCC who experience disease progression during treatment with sorafenib. This therefore represents an unmet medical need in view of an untreated life expectancy of approximately 7</w:t>
      </w:r>
      <w:r>
        <w:rPr>
          <w:lang w:eastAsia="ja-JP"/>
        </w:rPr>
        <w:t xml:space="preserve"> to </w:t>
      </w:r>
      <w:r w:rsidR="006241FD" w:rsidRPr="00BA24C8">
        <w:rPr>
          <w:lang w:eastAsia="ja-JP"/>
        </w:rPr>
        <w:t xml:space="preserve">8 months. The sponsor is therefore seeking to address this unmet medical need with the proposed use of Stivarga as </w:t>
      </w:r>
      <w:r>
        <w:rPr>
          <w:lang w:eastAsia="ja-JP"/>
        </w:rPr>
        <w:t>second line</w:t>
      </w:r>
      <w:r w:rsidR="006241FD" w:rsidRPr="00BA24C8">
        <w:rPr>
          <w:lang w:eastAsia="ja-JP"/>
        </w:rPr>
        <w:t xml:space="preserve"> systemic treatment in these patients.</w:t>
      </w:r>
    </w:p>
    <w:p w:rsidR="006241FD" w:rsidRPr="00BA24C8" w:rsidRDefault="006241FD" w:rsidP="00864644">
      <w:pPr>
        <w:pStyle w:val="Heading4"/>
      </w:pPr>
      <w:bookmarkStart w:id="51" w:name="_Toc488837773"/>
      <w:r w:rsidRPr="00BA24C8">
        <w:t>Formulation development</w:t>
      </w:r>
      <w:bookmarkEnd w:id="51"/>
    </w:p>
    <w:p w:rsidR="006241FD" w:rsidRPr="00BA24C8" w:rsidRDefault="006241FD" w:rsidP="006241FD">
      <w:pPr>
        <w:rPr>
          <w:lang w:eastAsia="ja-JP"/>
        </w:rPr>
      </w:pPr>
      <w:r w:rsidRPr="00BA24C8">
        <w:rPr>
          <w:lang w:eastAsia="ja-JP"/>
        </w:rPr>
        <w:t>No change is proposed from the currently available formulation.</w:t>
      </w:r>
    </w:p>
    <w:p w:rsidR="006241FD" w:rsidRPr="00BA24C8" w:rsidRDefault="006241FD" w:rsidP="00864644">
      <w:pPr>
        <w:pStyle w:val="Heading4"/>
      </w:pPr>
      <w:bookmarkStart w:id="52" w:name="_Toc488837780"/>
      <w:bookmarkStart w:id="53" w:name="_Toc196046464"/>
      <w:bookmarkStart w:id="54" w:name="_Toc247691518"/>
      <w:bookmarkStart w:id="55" w:name="_Toc314842502"/>
      <w:r w:rsidRPr="00BA24C8">
        <w:t>Evaluator’s commentary on the background</w:t>
      </w:r>
      <w:r w:rsidRPr="0074435C">
        <w:t xml:space="preserve"> </w:t>
      </w:r>
      <w:r w:rsidRPr="00BA24C8">
        <w:t>information</w:t>
      </w:r>
      <w:bookmarkEnd w:id="52"/>
    </w:p>
    <w:p w:rsidR="006241FD" w:rsidRPr="00BA24C8" w:rsidRDefault="006241FD" w:rsidP="006241FD">
      <w:pPr>
        <w:rPr>
          <w:lang w:eastAsia="ja-JP"/>
        </w:rPr>
      </w:pPr>
      <w:r w:rsidRPr="00BA24C8">
        <w:rPr>
          <w:lang w:eastAsia="ja-JP"/>
        </w:rPr>
        <w:t xml:space="preserve">Evaluation of the background information did not raise any concerns. </w:t>
      </w:r>
      <w:r w:rsidRPr="00BA24C8">
        <w:t>The clinical rationale is sound.</w:t>
      </w:r>
    </w:p>
    <w:p w:rsidR="00605AD4" w:rsidRDefault="00605AD4" w:rsidP="00605AD4">
      <w:pPr>
        <w:pStyle w:val="Heading4"/>
      </w:pPr>
      <w:r w:rsidRPr="00605AD4">
        <w:t>Contents of the clinical dossier</w:t>
      </w:r>
    </w:p>
    <w:p w:rsidR="006241FD" w:rsidRPr="00BA24C8" w:rsidRDefault="006241FD" w:rsidP="00864644">
      <w:pPr>
        <w:pStyle w:val="Heading5"/>
      </w:pPr>
      <w:bookmarkStart w:id="56" w:name="_Toc488837782"/>
      <w:r w:rsidRPr="00BA24C8">
        <w:t>Scope of the clinical dossier</w:t>
      </w:r>
      <w:bookmarkEnd w:id="56"/>
    </w:p>
    <w:p w:rsidR="006241FD" w:rsidRPr="00BA24C8" w:rsidRDefault="006241FD" w:rsidP="006241FD">
      <w:r w:rsidRPr="00BA24C8">
        <w:t>The submission contained the following clinical information:</w:t>
      </w:r>
    </w:p>
    <w:p w:rsidR="006241FD" w:rsidRPr="00BA24C8" w:rsidRDefault="006241FD" w:rsidP="00864644">
      <w:pPr>
        <w:pStyle w:val="ListBullet"/>
      </w:pPr>
      <w:r w:rsidRPr="00BA24C8">
        <w:rPr>
          <w:lang w:eastAsia="ja-JP"/>
        </w:rPr>
        <w:t xml:space="preserve">The present submission contains 6 new </w:t>
      </w:r>
      <w:r w:rsidR="00864644">
        <w:rPr>
          <w:lang w:eastAsia="ja-JP"/>
        </w:rPr>
        <w:t>pharmacokinetic (</w:t>
      </w:r>
      <w:r w:rsidRPr="00BA24C8">
        <w:rPr>
          <w:lang w:eastAsia="ja-JP"/>
        </w:rPr>
        <w:t>PK</w:t>
      </w:r>
      <w:r w:rsidR="00864644">
        <w:rPr>
          <w:lang w:eastAsia="ja-JP"/>
        </w:rPr>
        <w:t>)</w:t>
      </w:r>
      <w:r w:rsidRPr="00BA24C8">
        <w:rPr>
          <w:lang w:eastAsia="ja-JP"/>
        </w:rPr>
        <w:t>/</w:t>
      </w:r>
      <w:r w:rsidR="00864644">
        <w:rPr>
          <w:lang w:eastAsia="ja-JP"/>
        </w:rPr>
        <w:t>pharmacodynamic (</w:t>
      </w:r>
      <w:r w:rsidRPr="00BA24C8">
        <w:rPr>
          <w:lang w:eastAsia="ja-JP"/>
        </w:rPr>
        <w:t>PD</w:t>
      </w:r>
      <w:r w:rsidR="00864644">
        <w:rPr>
          <w:lang w:eastAsia="ja-JP"/>
        </w:rPr>
        <w:t>)</w:t>
      </w:r>
      <w:r w:rsidRPr="00BA24C8">
        <w:rPr>
          <w:lang w:eastAsia="ja-JP"/>
        </w:rPr>
        <w:t xml:space="preserve"> studies. One of these studies was undertaken in healthy subjects, whereas, the remaining 5 were undertaken in patients with cancer. In addition, the submission contains one </w:t>
      </w:r>
      <w:r w:rsidR="00864644">
        <w:rPr>
          <w:lang w:eastAsia="ja-JP"/>
        </w:rPr>
        <w:t>population PK (</w:t>
      </w:r>
      <w:r w:rsidRPr="00BA24C8">
        <w:rPr>
          <w:lang w:eastAsia="ja-JP"/>
        </w:rPr>
        <w:t>popPK</w:t>
      </w:r>
      <w:r w:rsidR="00864644">
        <w:rPr>
          <w:lang w:eastAsia="ja-JP"/>
        </w:rPr>
        <w:t>)</w:t>
      </w:r>
      <w:r w:rsidRPr="00BA24C8">
        <w:rPr>
          <w:lang w:eastAsia="ja-JP"/>
        </w:rPr>
        <w:t xml:space="preserve"> analysis as well as 2 PK/PD analyses, which examine the relationship between regorafenib exposure and efficacy outcomes.</w:t>
      </w:r>
    </w:p>
    <w:p w:rsidR="006241FD" w:rsidRPr="00BA24C8" w:rsidRDefault="006241FD" w:rsidP="00864644">
      <w:pPr>
        <w:pStyle w:val="ListBullet"/>
      </w:pPr>
      <w:r w:rsidRPr="00BA24C8">
        <w:t>1 pivotal efficacy/safety study (</w:t>
      </w:r>
      <w:r w:rsidR="00864644">
        <w:t>S</w:t>
      </w:r>
      <w:r w:rsidRPr="00BA24C8">
        <w:t xml:space="preserve">tudy 15982 </w:t>
      </w:r>
      <w:r w:rsidR="0074435C">
        <w:t xml:space="preserve">(also called the </w:t>
      </w:r>
      <w:r w:rsidRPr="00BA24C8">
        <w:t>RESORCE</w:t>
      </w:r>
      <w:r w:rsidR="0074435C">
        <w:t xml:space="preserve"> trial)</w:t>
      </w:r>
      <w:r w:rsidRPr="00BA24C8">
        <w:t>)</w:t>
      </w:r>
    </w:p>
    <w:p w:rsidR="006241FD" w:rsidRPr="00BA24C8" w:rsidRDefault="006241FD" w:rsidP="00864644">
      <w:pPr>
        <w:pStyle w:val="ListBullet"/>
      </w:pPr>
      <w:r w:rsidRPr="00BA24C8">
        <w:t>2 other efficacy/safety studies (</w:t>
      </w:r>
      <w:r w:rsidR="00864644">
        <w:t>S</w:t>
      </w:r>
      <w:r w:rsidRPr="00BA24C8">
        <w:t xml:space="preserve">tudy report PH-37288 </w:t>
      </w:r>
      <w:r w:rsidR="0074435C">
        <w:t>(</w:t>
      </w:r>
      <w:r w:rsidRPr="00BA24C8">
        <w:t xml:space="preserve">addendum 2 to previously evaluated </w:t>
      </w:r>
      <w:r w:rsidR="00864644">
        <w:t>S</w:t>
      </w:r>
      <w:r w:rsidRPr="00BA24C8">
        <w:t>tudy A51601/14596; HCC patients</w:t>
      </w:r>
      <w:r w:rsidR="0074435C">
        <w:t>)</w:t>
      </w:r>
      <w:r w:rsidRPr="00BA24C8">
        <w:t xml:space="preserve"> and </w:t>
      </w:r>
      <w:r w:rsidR="00864644">
        <w:t>S</w:t>
      </w:r>
      <w:r w:rsidRPr="00BA24C8">
        <w:t xml:space="preserve">tudy15967 </w:t>
      </w:r>
      <w:r w:rsidR="0074435C">
        <w:t xml:space="preserve">(also called the </w:t>
      </w:r>
      <w:r w:rsidRPr="00BA24C8">
        <w:t>CONSIGN</w:t>
      </w:r>
      <w:r w:rsidR="0074435C">
        <w:t xml:space="preserve"> trial</w:t>
      </w:r>
      <w:r w:rsidRPr="00BA24C8">
        <w:t xml:space="preserve">; safety study in </w:t>
      </w:r>
      <w:proofErr w:type="spellStart"/>
      <w:r w:rsidRPr="00BA24C8">
        <w:t>mCRC</w:t>
      </w:r>
      <w:proofErr w:type="spellEnd"/>
      <w:r w:rsidRPr="00BA24C8">
        <w:t xml:space="preserve"> patients</w:t>
      </w:r>
      <w:r w:rsidR="0074435C">
        <w:t>)</w:t>
      </w:r>
      <w:r w:rsidRPr="00BA24C8">
        <w:t>)</w:t>
      </w:r>
    </w:p>
    <w:p w:rsidR="006241FD" w:rsidRPr="00BA24C8" w:rsidRDefault="006241FD" w:rsidP="00864644">
      <w:pPr>
        <w:pStyle w:val="ListBullet"/>
      </w:pPr>
      <w:r w:rsidRPr="00BA24C8">
        <w:rPr>
          <w:iCs/>
        </w:rPr>
        <w:t>Integrated Summary of Safety</w:t>
      </w:r>
    </w:p>
    <w:p w:rsidR="006241FD" w:rsidRPr="00BA24C8" w:rsidRDefault="006241FD" w:rsidP="006241FD">
      <w:r w:rsidRPr="00BA24C8">
        <w:t xml:space="preserve">In this evaluation report, Study 15982 (RESORCE) will be evaluated as the pivotal efficacy/ safety study and </w:t>
      </w:r>
      <w:r w:rsidR="00864644">
        <w:t>Study PH</w:t>
      </w:r>
      <w:r w:rsidRPr="00BA24C8">
        <w:t>-37288 will be evaluated as supportive study. Study</w:t>
      </w:r>
      <w:r w:rsidR="00903EE0">
        <w:t> </w:t>
      </w:r>
      <w:r w:rsidRPr="00BA24C8">
        <w:t xml:space="preserve">15967 (CONSIGN) </w:t>
      </w:r>
      <w:r w:rsidRPr="00BA24C8">
        <w:rPr>
          <w:rStyle w:val="Style2"/>
        </w:rPr>
        <w:t xml:space="preserve">was an open-label, single-arm, multi-centre, </w:t>
      </w:r>
      <w:r w:rsidR="00126F1A">
        <w:rPr>
          <w:rStyle w:val="Style2"/>
        </w:rPr>
        <w:t>Phase III</w:t>
      </w:r>
      <w:r w:rsidRPr="00BA24C8">
        <w:rPr>
          <w:rStyle w:val="Style2"/>
        </w:rPr>
        <w:t xml:space="preserve">b study conducted in patients with mCRC </w:t>
      </w:r>
      <w:r w:rsidRPr="00BA24C8">
        <w:t>and is included in this submission to support the safety of Stivarga in a large cohort of patients (N</w:t>
      </w:r>
      <w:r w:rsidR="00EC67F6">
        <w:t xml:space="preserve"> </w:t>
      </w:r>
      <w:r w:rsidRPr="00BA24C8">
        <w:t>=</w:t>
      </w:r>
      <w:r w:rsidR="00EC67F6">
        <w:t xml:space="preserve"> </w:t>
      </w:r>
      <w:r w:rsidRPr="00BA24C8">
        <w:t>2872), and it will therefore be evaluated in the safety section of this report as providing supportive safety data.</w:t>
      </w:r>
    </w:p>
    <w:p w:rsidR="00605AD4" w:rsidRDefault="00605AD4" w:rsidP="00605AD4">
      <w:pPr>
        <w:pStyle w:val="Heading4"/>
      </w:pPr>
      <w:r w:rsidRPr="00605AD4">
        <w:t>Paediatric data</w:t>
      </w:r>
    </w:p>
    <w:p w:rsidR="00500337" w:rsidRPr="00500337" w:rsidRDefault="006241FD" w:rsidP="00500337">
      <w:r w:rsidRPr="00BA24C8">
        <w:t xml:space="preserve">This submission does not include paediatric data. The sponsor is not using data in this submission to support the use of Stivarga in a paediatric population. The sponsor has also stated that Stivarga has waiver from having to present a Paediatric Investigation Plan in Europe and </w:t>
      </w:r>
      <w:r w:rsidRPr="00BA24C8">
        <w:rPr>
          <w:lang w:eastAsia="ja-JP"/>
        </w:rPr>
        <w:t>from having to submit a Paediatric Assessment in</w:t>
      </w:r>
      <w:r w:rsidRPr="00BA24C8">
        <w:t xml:space="preserve"> </w:t>
      </w:r>
      <w:r w:rsidRPr="00BA24C8">
        <w:rPr>
          <w:lang w:eastAsia="ja-JP"/>
        </w:rPr>
        <w:t>the US</w:t>
      </w:r>
      <w:r w:rsidR="00864644">
        <w:rPr>
          <w:lang w:eastAsia="ja-JP"/>
        </w:rPr>
        <w:t>A</w:t>
      </w:r>
      <w:r w:rsidRPr="00BA24C8">
        <w:rPr>
          <w:lang w:eastAsia="ja-JP"/>
        </w:rPr>
        <w:t>.</w:t>
      </w:r>
    </w:p>
    <w:p w:rsidR="00605AD4" w:rsidRDefault="00605AD4" w:rsidP="00605AD4">
      <w:pPr>
        <w:pStyle w:val="Heading4"/>
      </w:pPr>
      <w:r w:rsidRPr="00605AD4">
        <w:lastRenderedPageBreak/>
        <w:t>Good clinical practice</w:t>
      </w:r>
    </w:p>
    <w:p w:rsidR="006241FD" w:rsidRPr="00BA24C8" w:rsidRDefault="006241FD" w:rsidP="006241FD">
      <w:bookmarkStart w:id="57" w:name="_Toc241374282"/>
      <w:r w:rsidRPr="00BA24C8">
        <w:t xml:space="preserve">The clinical studies </w:t>
      </w:r>
      <w:r w:rsidRPr="00BA24C8">
        <w:rPr>
          <w:lang w:val="en-GB"/>
        </w:rPr>
        <w:t xml:space="preserve">reviewed in this evaluation </w:t>
      </w:r>
      <w:r w:rsidRPr="00BA24C8">
        <w:t xml:space="preserve">were in compliance with </w:t>
      </w:r>
      <w:r w:rsidR="00864644">
        <w:t>the relevant EU guideline.</w:t>
      </w:r>
      <w:bookmarkEnd w:id="57"/>
      <w:r w:rsidR="00864644">
        <w:rPr>
          <w:rStyle w:val="FootnoteReference"/>
        </w:rPr>
        <w:footnoteReference w:id="10"/>
      </w:r>
    </w:p>
    <w:p w:rsidR="006241FD" w:rsidRPr="00BA24C8" w:rsidRDefault="006241FD" w:rsidP="00864644">
      <w:pPr>
        <w:pStyle w:val="Heading4"/>
      </w:pPr>
      <w:bookmarkStart w:id="58" w:name="_Toc488837785"/>
      <w:r w:rsidRPr="00BA24C8">
        <w:t>Evaluator’s commentary on the clinical dossier</w:t>
      </w:r>
      <w:bookmarkEnd w:id="58"/>
    </w:p>
    <w:p w:rsidR="006241FD" w:rsidRPr="00BA24C8" w:rsidRDefault="006241FD" w:rsidP="006241FD">
      <w:pPr>
        <w:rPr>
          <w:lang w:eastAsia="ja-JP"/>
        </w:rPr>
      </w:pPr>
      <w:r w:rsidRPr="00BA24C8">
        <w:rPr>
          <w:lang w:eastAsia="ja-JP"/>
        </w:rPr>
        <w:t>Evaluation of the scope of the clinical dossier did not raise any concerns.</w:t>
      </w:r>
    </w:p>
    <w:p w:rsidR="008E7846" w:rsidRDefault="008E7846" w:rsidP="00605AD4">
      <w:pPr>
        <w:pStyle w:val="Heading3"/>
      </w:pPr>
      <w:bookmarkStart w:id="59" w:name="_Toc12263459"/>
      <w:r w:rsidRPr="00254787">
        <w:t>Pharmacokinetics</w:t>
      </w:r>
      <w:bookmarkEnd w:id="44"/>
      <w:bookmarkEnd w:id="53"/>
      <w:bookmarkEnd w:id="54"/>
      <w:bookmarkEnd w:id="55"/>
      <w:bookmarkEnd w:id="59"/>
    </w:p>
    <w:p w:rsidR="00605AD4" w:rsidRDefault="00605AD4" w:rsidP="00605AD4">
      <w:pPr>
        <w:pStyle w:val="Heading4"/>
      </w:pPr>
      <w:r>
        <w:t>Studies</w:t>
      </w:r>
      <w:r w:rsidR="00500337">
        <w:t xml:space="preserve"> providing pharmacokinetic data</w:t>
      </w:r>
    </w:p>
    <w:p w:rsidR="00864644" w:rsidRDefault="00864644" w:rsidP="00864644">
      <w:r>
        <w:t>The submitted PK studies are described in Table 3 below.</w:t>
      </w:r>
      <w:bookmarkStart w:id="60" w:name="_Toc453839419"/>
      <w:bookmarkStart w:id="61" w:name="_Toc483989487"/>
      <w:bookmarkStart w:id="62" w:name="_Ref483989610"/>
    </w:p>
    <w:p w:rsidR="006241FD" w:rsidRPr="00C73765" w:rsidRDefault="00F17CA0" w:rsidP="00F17CA0">
      <w:pPr>
        <w:pStyle w:val="TableTitle"/>
        <w:numPr>
          <w:ilvl w:val="0"/>
          <w:numId w:val="0"/>
        </w:numPr>
      </w:pPr>
      <w:r>
        <w:t xml:space="preserve">Table 3: </w:t>
      </w:r>
      <w:r w:rsidR="006241FD" w:rsidRPr="00C73765">
        <w:t>Submitted pharmacokinetic studies</w:t>
      </w:r>
      <w:bookmarkEnd w:id="60"/>
      <w:bookmarkEnd w:id="61"/>
      <w:bookmarkEnd w:id="62"/>
    </w:p>
    <w:tbl>
      <w:tblPr>
        <w:tblStyle w:val="TableTGAblue"/>
        <w:tblW w:w="9039" w:type="dxa"/>
        <w:tblLayout w:type="fixed"/>
        <w:tblLook w:val="04A0" w:firstRow="1" w:lastRow="0" w:firstColumn="1" w:lastColumn="0" w:noHBand="0" w:noVBand="1"/>
      </w:tblPr>
      <w:tblGrid>
        <w:gridCol w:w="1809"/>
        <w:gridCol w:w="1701"/>
        <w:gridCol w:w="1843"/>
        <w:gridCol w:w="3686"/>
      </w:tblGrid>
      <w:tr w:rsidR="00864644" w:rsidRPr="00BA24C8" w:rsidTr="002E1220">
        <w:trPr>
          <w:cnfStyle w:val="100000000000" w:firstRow="1" w:lastRow="0" w:firstColumn="0" w:lastColumn="0" w:oddVBand="0" w:evenVBand="0" w:oddHBand="0" w:evenHBand="0" w:firstRowFirstColumn="0" w:firstRowLastColumn="0" w:lastRowFirstColumn="0" w:lastRowLastColumn="0"/>
        </w:trPr>
        <w:tc>
          <w:tcPr>
            <w:tcW w:w="1809" w:type="dxa"/>
          </w:tcPr>
          <w:p w:rsidR="00864644" w:rsidRPr="00864644" w:rsidRDefault="00864644" w:rsidP="00EC67F6">
            <w:pPr>
              <w:ind w:left="0" w:right="0"/>
              <w:rPr>
                <w:b w:val="0"/>
                <w:sz w:val="20"/>
                <w:szCs w:val="20"/>
              </w:rPr>
            </w:pPr>
            <w:r w:rsidRPr="00864644">
              <w:rPr>
                <w:sz w:val="20"/>
                <w:szCs w:val="20"/>
              </w:rPr>
              <w:t>PK topic</w:t>
            </w:r>
          </w:p>
        </w:tc>
        <w:tc>
          <w:tcPr>
            <w:tcW w:w="1701" w:type="dxa"/>
          </w:tcPr>
          <w:p w:rsidR="00864644" w:rsidRPr="00864644" w:rsidRDefault="00864644" w:rsidP="00EC67F6">
            <w:pPr>
              <w:ind w:left="0" w:right="0"/>
              <w:rPr>
                <w:b w:val="0"/>
                <w:sz w:val="20"/>
                <w:szCs w:val="20"/>
              </w:rPr>
            </w:pPr>
            <w:r w:rsidRPr="00864644">
              <w:rPr>
                <w:sz w:val="20"/>
                <w:szCs w:val="20"/>
              </w:rPr>
              <w:t>Subtopic</w:t>
            </w:r>
          </w:p>
        </w:tc>
        <w:tc>
          <w:tcPr>
            <w:tcW w:w="1843" w:type="dxa"/>
          </w:tcPr>
          <w:p w:rsidR="00864644" w:rsidRPr="00864644" w:rsidRDefault="00864644" w:rsidP="00EC67F6">
            <w:pPr>
              <w:ind w:left="0" w:right="0"/>
              <w:rPr>
                <w:b w:val="0"/>
                <w:sz w:val="20"/>
                <w:szCs w:val="20"/>
              </w:rPr>
            </w:pPr>
            <w:r w:rsidRPr="00864644">
              <w:rPr>
                <w:sz w:val="20"/>
                <w:szCs w:val="20"/>
              </w:rPr>
              <w:t>Study ID</w:t>
            </w:r>
          </w:p>
        </w:tc>
        <w:tc>
          <w:tcPr>
            <w:tcW w:w="3686" w:type="dxa"/>
          </w:tcPr>
          <w:p w:rsidR="00864644" w:rsidRPr="00864644" w:rsidRDefault="00864644" w:rsidP="00EC67F6">
            <w:pPr>
              <w:ind w:left="0" w:right="0"/>
              <w:rPr>
                <w:b w:val="0"/>
                <w:sz w:val="20"/>
                <w:szCs w:val="20"/>
              </w:rPr>
            </w:pPr>
            <w:r w:rsidRPr="00864644">
              <w:rPr>
                <w:sz w:val="20"/>
                <w:szCs w:val="20"/>
              </w:rPr>
              <w:t>*</w:t>
            </w:r>
          </w:p>
        </w:tc>
      </w:tr>
      <w:tr w:rsidR="00864644" w:rsidRPr="00BA24C8" w:rsidTr="002E1220">
        <w:tc>
          <w:tcPr>
            <w:tcW w:w="1809" w:type="dxa"/>
          </w:tcPr>
          <w:p w:rsidR="00864644" w:rsidRPr="00864644" w:rsidRDefault="00864644" w:rsidP="00EC67F6">
            <w:pPr>
              <w:ind w:left="0" w:right="0"/>
              <w:rPr>
                <w:sz w:val="20"/>
                <w:szCs w:val="20"/>
              </w:rPr>
            </w:pPr>
            <w:r w:rsidRPr="00864644">
              <w:rPr>
                <w:sz w:val="20"/>
                <w:szCs w:val="20"/>
              </w:rPr>
              <w:t>PK interaction in healthy adults</w:t>
            </w:r>
          </w:p>
        </w:tc>
        <w:tc>
          <w:tcPr>
            <w:tcW w:w="1701" w:type="dxa"/>
          </w:tcPr>
          <w:p w:rsidR="00864644" w:rsidRPr="00864644" w:rsidRDefault="00864644" w:rsidP="00EC67F6">
            <w:pPr>
              <w:ind w:left="0" w:right="0"/>
              <w:rPr>
                <w:sz w:val="20"/>
                <w:szCs w:val="20"/>
              </w:rPr>
            </w:pPr>
            <w:r w:rsidRPr="00864644">
              <w:rPr>
                <w:sz w:val="20"/>
                <w:szCs w:val="20"/>
              </w:rPr>
              <w:t>Neomycin</w:t>
            </w:r>
          </w:p>
        </w:tc>
        <w:tc>
          <w:tcPr>
            <w:tcW w:w="1843" w:type="dxa"/>
          </w:tcPr>
          <w:p w:rsidR="00864644" w:rsidRPr="00864644" w:rsidRDefault="00864644" w:rsidP="00EC67F6">
            <w:pPr>
              <w:ind w:left="0" w:right="0"/>
              <w:rPr>
                <w:sz w:val="20"/>
                <w:szCs w:val="20"/>
              </w:rPr>
            </w:pPr>
            <w:r w:rsidRPr="00864644">
              <w:rPr>
                <w:rFonts w:eastAsiaTheme="minorHAnsi"/>
                <w:sz w:val="20"/>
                <w:szCs w:val="20"/>
              </w:rPr>
              <w:t>PH-38212</w:t>
            </w:r>
          </w:p>
        </w:tc>
        <w:tc>
          <w:tcPr>
            <w:tcW w:w="3686" w:type="dxa"/>
          </w:tcPr>
          <w:p w:rsidR="00864644" w:rsidRPr="00864644" w:rsidRDefault="00864644" w:rsidP="00EC67F6">
            <w:pPr>
              <w:ind w:left="0" w:right="0"/>
              <w:rPr>
                <w:sz w:val="20"/>
                <w:szCs w:val="20"/>
              </w:rPr>
            </w:pPr>
            <w:r w:rsidRPr="00864644">
              <w:rPr>
                <w:rFonts w:eastAsiaTheme="minorHAnsi"/>
                <w:sz w:val="20"/>
                <w:szCs w:val="20"/>
                <w:lang w:eastAsia="en-US"/>
              </w:rPr>
              <w:t>Effect of neomycin on the PK of regorafenib</w:t>
            </w:r>
          </w:p>
        </w:tc>
      </w:tr>
      <w:tr w:rsidR="00864644" w:rsidRPr="00BA24C8" w:rsidTr="002E1220">
        <w:tc>
          <w:tcPr>
            <w:tcW w:w="1809" w:type="dxa"/>
            <w:vMerge w:val="restart"/>
          </w:tcPr>
          <w:p w:rsidR="00864644" w:rsidRPr="00864644" w:rsidRDefault="00864644" w:rsidP="00EC67F6">
            <w:pPr>
              <w:ind w:left="0" w:right="0"/>
              <w:rPr>
                <w:sz w:val="20"/>
                <w:szCs w:val="20"/>
              </w:rPr>
            </w:pPr>
            <w:r w:rsidRPr="00864644">
              <w:rPr>
                <w:sz w:val="20"/>
                <w:szCs w:val="20"/>
              </w:rPr>
              <w:t>PK in Target population</w:t>
            </w:r>
            <w:r w:rsidRPr="00864644">
              <w:rPr>
                <w:i/>
                <w:sz w:val="20"/>
                <w:szCs w:val="20"/>
                <w:vertAlign w:val="superscript"/>
              </w:rPr>
              <w:t>§</w:t>
            </w:r>
          </w:p>
        </w:tc>
        <w:tc>
          <w:tcPr>
            <w:tcW w:w="1701" w:type="dxa"/>
          </w:tcPr>
          <w:p w:rsidR="00864644" w:rsidRPr="00864644" w:rsidRDefault="00864644" w:rsidP="00EC67F6">
            <w:pPr>
              <w:ind w:left="0" w:right="0"/>
              <w:rPr>
                <w:sz w:val="20"/>
                <w:szCs w:val="20"/>
              </w:rPr>
            </w:pPr>
            <w:r w:rsidRPr="00864644">
              <w:rPr>
                <w:sz w:val="20"/>
                <w:szCs w:val="20"/>
              </w:rPr>
              <w:t>Severe renal impairment</w:t>
            </w:r>
          </w:p>
        </w:tc>
        <w:tc>
          <w:tcPr>
            <w:tcW w:w="1843" w:type="dxa"/>
          </w:tcPr>
          <w:p w:rsidR="00864644" w:rsidRPr="00864644" w:rsidRDefault="00864644" w:rsidP="00EC67F6">
            <w:pPr>
              <w:ind w:left="0" w:right="0"/>
              <w:rPr>
                <w:sz w:val="20"/>
                <w:szCs w:val="20"/>
              </w:rPr>
            </w:pPr>
            <w:r w:rsidRPr="00864644">
              <w:rPr>
                <w:rFonts w:eastAsiaTheme="minorHAnsi"/>
                <w:sz w:val="20"/>
                <w:szCs w:val="20"/>
              </w:rPr>
              <w:t>PH-38801</w:t>
            </w:r>
          </w:p>
        </w:tc>
        <w:tc>
          <w:tcPr>
            <w:tcW w:w="3686" w:type="dxa"/>
          </w:tcPr>
          <w:p w:rsidR="00864644" w:rsidRPr="00864644" w:rsidRDefault="00864644" w:rsidP="00EC67F6">
            <w:pPr>
              <w:ind w:left="0" w:right="0"/>
              <w:rPr>
                <w:sz w:val="20"/>
                <w:szCs w:val="20"/>
              </w:rPr>
            </w:pPr>
            <w:r w:rsidRPr="00864644">
              <w:rPr>
                <w:rFonts w:eastAsiaTheme="minorHAnsi"/>
                <w:sz w:val="20"/>
                <w:szCs w:val="20"/>
                <w:lang w:eastAsia="en-US"/>
              </w:rPr>
              <w:t>PKs of regorafenib and its 2 pharmacologically active to measure amount of drug excreted in urine in cancer subjects with severe renal impairment</w:t>
            </w:r>
          </w:p>
        </w:tc>
      </w:tr>
      <w:tr w:rsidR="00864644" w:rsidRPr="00BA24C8" w:rsidTr="002E1220">
        <w:tc>
          <w:tcPr>
            <w:tcW w:w="1809" w:type="dxa"/>
            <w:vMerge/>
          </w:tcPr>
          <w:p w:rsidR="00864644" w:rsidRPr="00864644" w:rsidRDefault="00864644" w:rsidP="00EC67F6">
            <w:pPr>
              <w:ind w:left="0" w:right="0"/>
              <w:rPr>
                <w:sz w:val="20"/>
                <w:szCs w:val="20"/>
              </w:rPr>
            </w:pPr>
          </w:p>
        </w:tc>
        <w:tc>
          <w:tcPr>
            <w:tcW w:w="1701" w:type="dxa"/>
          </w:tcPr>
          <w:p w:rsidR="00864644" w:rsidRPr="00864644" w:rsidRDefault="00864644" w:rsidP="00EC67F6">
            <w:pPr>
              <w:ind w:left="0" w:right="0"/>
              <w:rPr>
                <w:sz w:val="20"/>
                <w:szCs w:val="20"/>
              </w:rPr>
            </w:pPr>
            <w:r w:rsidRPr="00864644">
              <w:rPr>
                <w:sz w:val="20"/>
                <w:szCs w:val="20"/>
              </w:rPr>
              <w:t>Japanese</w:t>
            </w:r>
          </w:p>
        </w:tc>
        <w:tc>
          <w:tcPr>
            <w:tcW w:w="1843" w:type="dxa"/>
          </w:tcPr>
          <w:p w:rsidR="00864644" w:rsidRPr="00864644" w:rsidRDefault="00864644" w:rsidP="00EC67F6">
            <w:pPr>
              <w:ind w:left="0" w:right="0"/>
              <w:rPr>
                <w:sz w:val="20"/>
                <w:szCs w:val="20"/>
              </w:rPr>
            </w:pPr>
            <w:r w:rsidRPr="00864644">
              <w:rPr>
                <w:rFonts w:eastAsiaTheme="minorHAnsi"/>
                <w:sz w:val="20"/>
                <w:szCs w:val="20"/>
              </w:rPr>
              <w:t>PH-37596</w:t>
            </w:r>
          </w:p>
        </w:tc>
        <w:tc>
          <w:tcPr>
            <w:tcW w:w="3686" w:type="dxa"/>
          </w:tcPr>
          <w:p w:rsidR="00864644" w:rsidRPr="00864644" w:rsidRDefault="00864644" w:rsidP="00EC67F6">
            <w:pPr>
              <w:ind w:left="0" w:right="0"/>
              <w:rPr>
                <w:sz w:val="20"/>
                <w:szCs w:val="20"/>
              </w:rPr>
            </w:pPr>
            <w:r w:rsidRPr="00864644">
              <w:rPr>
                <w:rFonts w:eastAsia="TimesNewRoman"/>
                <w:sz w:val="20"/>
                <w:szCs w:val="20"/>
                <w:lang w:eastAsia="en-US"/>
              </w:rPr>
              <w:t>PKs of regorafenib 160 mg QD administered orally as a single agent in Japanese patients with advanced solid tumours</w:t>
            </w:r>
          </w:p>
        </w:tc>
      </w:tr>
      <w:tr w:rsidR="00864644" w:rsidRPr="00BA24C8" w:rsidTr="002E1220">
        <w:tc>
          <w:tcPr>
            <w:tcW w:w="1809" w:type="dxa"/>
            <w:vMerge/>
          </w:tcPr>
          <w:p w:rsidR="00864644" w:rsidRPr="00864644" w:rsidRDefault="00864644" w:rsidP="00EC67F6">
            <w:pPr>
              <w:ind w:left="0" w:right="0"/>
              <w:rPr>
                <w:sz w:val="20"/>
                <w:szCs w:val="20"/>
              </w:rPr>
            </w:pPr>
          </w:p>
        </w:tc>
        <w:tc>
          <w:tcPr>
            <w:tcW w:w="1701" w:type="dxa"/>
          </w:tcPr>
          <w:p w:rsidR="00864644" w:rsidRPr="00864644" w:rsidRDefault="00864644" w:rsidP="00EC67F6">
            <w:pPr>
              <w:ind w:left="0" w:right="0"/>
              <w:rPr>
                <w:sz w:val="20"/>
                <w:szCs w:val="20"/>
              </w:rPr>
            </w:pPr>
            <w:r w:rsidRPr="00864644">
              <w:rPr>
                <w:sz w:val="20"/>
                <w:szCs w:val="20"/>
              </w:rPr>
              <w:t>Chinese</w:t>
            </w:r>
          </w:p>
        </w:tc>
        <w:tc>
          <w:tcPr>
            <w:tcW w:w="1843" w:type="dxa"/>
          </w:tcPr>
          <w:p w:rsidR="00864644" w:rsidRPr="00864644" w:rsidRDefault="00864644" w:rsidP="00EC67F6">
            <w:pPr>
              <w:ind w:left="0" w:right="0"/>
              <w:rPr>
                <w:sz w:val="20"/>
                <w:szCs w:val="20"/>
              </w:rPr>
            </w:pPr>
            <w:r w:rsidRPr="00864644">
              <w:rPr>
                <w:rFonts w:eastAsia="TimesNewRoman"/>
                <w:sz w:val="20"/>
                <w:szCs w:val="20"/>
              </w:rPr>
              <w:t>PH-37270</w:t>
            </w:r>
          </w:p>
        </w:tc>
        <w:tc>
          <w:tcPr>
            <w:tcW w:w="3686" w:type="dxa"/>
          </w:tcPr>
          <w:p w:rsidR="00864644" w:rsidRPr="00864644" w:rsidRDefault="00864644" w:rsidP="00EC67F6">
            <w:pPr>
              <w:ind w:left="0" w:right="0"/>
              <w:rPr>
                <w:sz w:val="20"/>
                <w:szCs w:val="20"/>
              </w:rPr>
            </w:pPr>
            <w:r w:rsidRPr="00864644">
              <w:rPr>
                <w:rFonts w:eastAsia="TimesNewRoman"/>
                <w:sz w:val="20"/>
                <w:szCs w:val="20"/>
                <w:lang w:eastAsia="en-US"/>
              </w:rPr>
              <w:t>PKs of regorafenib administered orally as a single agent in Chinese patients with advanced solid tumours</w:t>
            </w:r>
          </w:p>
        </w:tc>
      </w:tr>
      <w:tr w:rsidR="00864644" w:rsidRPr="00BA24C8" w:rsidTr="002E1220">
        <w:tc>
          <w:tcPr>
            <w:tcW w:w="1809" w:type="dxa"/>
          </w:tcPr>
          <w:p w:rsidR="00864644" w:rsidRPr="00864644" w:rsidRDefault="00864644" w:rsidP="00EC67F6">
            <w:pPr>
              <w:ind w:left="0" w:right="0"/>
              <w:rPr>
                <w:sz w:val="20"/>
                <w:szCs w:val="20"/>
              </w:rPr>
            </w:pPr>
            <w:r w:rsidRPr="00864644">
              <w:rPr>
                <w:sz w:val="20"/>
                <w:szCs w:val="20"/>
              </w:rPr>
              <w:t>Population PK analyses</w:t>
            </w:r>
          </w:p>
        </w:tc>
        <w:tc>
          <w:tcPr>
            <w:tcW w:w="1701" w:type="dxa"/>
          </w:tcPr>
          <w:p w:rsidR="00864644" w:rsidRPr="00864644" w:rsidRDefault="00864644" w:rsidP="00EC67F6">
            <w:pPr>
              <w:ind w:left="0" w:right="0"/>
              <w:rPr>
                <w:rFonts w:eastAsia="TimesNewRoman"/>
                <w:sz w:val="20"/>
                <w:szCs w:val="20"/>
              </w:rPr>
            </w:pPr>
            <w:r w:rsidRPr="00864644">
              <w:rPr>
                <w:rFonts w:eastAsia="TimesNewRoman"/>
                <w:sz w:val="20"/>
                <w:szCs w:val="20"/>
              </w:rPr>
              <w:t>Target population</w:t>
            </w:r>
          </w:p>
        </w:tc>
        <w:tc>
          <w:tcPr>
            <w:tcW w:w="1843" w:type="dxa"/>
          </w:tcPr>
          <w:p w:rsidR="00864644" w:rsidRPr="00864644" w:rsidRDefault="00864644" w:rsidP="00EC67F6">
            <w:pPr>
              <w:ind w:left="0" w:right="0"/>
              <w:rPr>
                <w:rFonts w:eastAsia="TimesNewRoman"/>
                <w:sz w:val="20"/>
                <w:szCs w:val="20"/>
              </w:rPr>
            </w:pPr>
            <w:r w:rsidRPr="00864644">
              <w:rPr>
                <w:rFonts w:eastAsiaTheme="minorHAnsi"/>
                <w:sz w:val="20"/>
                <w:szCs w:val="20"/>
              </w:rPr>
              <w:t>R-11104</w:t>
            </w:r>
          </w:p>
        </w:tc>
        <w:tc>
          <w:tcPr>
            <w:tcW w:w="3686" w:type="dxa"/>
          </w:tcPr>
          <w:p w:rsidR="00864644" w:rsidRPr="00864644" w:rsidRDefault="00864644" w:rsidP="00EC67F6">
            <w:pPr>
              <w:ind w:left="0" w:right="0"/>
              <w:rPr>
                <w:rFonts w:eastAsia="TimesNewRoman"/>
                <w:sz w:val="20"/>
                <w:szCs w:val="20"/>
              </w:rPr>
            </w:pPr>
            <w:r w:rsidRPr="00864644">
              <w:rPr>
                <w:rFonts w:eastAsiaTheme="minorHAnsi"/>
                <w:sz w:val="20"/>
                <w:szCs w:val="20"/>
                <w:lang w:eastAsia="en-US"/>
              </w:rPr>
              <w:t>Analysis of regorafenib PKs in HCC patients from the RESORCE study who progressed on sorafenib based on a previously developed popPK model</w:t>
            </w:r>
          </w:p>
        </w:tc>
      </w:tr>
      <w:tr w:rsidR="00864644" w:rsidRPr="00BA24C8" w:rsidTr="002E1220">
        <w:tc>
          <w:tcPr>
            <w:tcW w:w="1809" w:type="dxa"/>
          </w:tcPr>
          <w:p w:rsidR="00864644" w:rsidRPr="00864644" w:rsidRDefault="00864644" w:rsidP="00EC67F6">
            <w:pPr>
              <w:ind w:left="0" w:right="0"/>
              <w:rPr>
                <w:sz w:val="20"/>
                <w:szCs w:val="20"/>
              </w:rPr>
            </w:pPr>
            <w:r w:rsidRPr="00864644">
              <w:rPr>
                <w:sz w:val="20"/>
                <w:szCs w:val="20"/>
              </w:rPr>
              <w:t>PK interactions in Target population</w:t>
            </w:r>
          </w:p>
        </w:tc>
        <w:tc>
          <w:tcPr>
            <w:tcW w:w="1701" w:type="dxa"/>
          </w:tcPr>
          <w:p w:rsidR="00864644" w:rsidRPr="00864644" w:rsidRDefault="00864644" w:rsidP="00EC67F6">
            <w:pPr>
              <w:ind w:left="0" w:right="0"/>
              <w:rPr>
                <w:sz w:val="20"/>
                <w:szCs w:val="20"/>
              </w:rPr>
            </w:pPr>
            <w:r w:rsidRPr="00864644">
              <w:rPr>
                <w:rFonts w:eastAsia="TimesNewRoman"/>
                <w:sz w:val="20"/>
                <w:szCs w:val="20"/>
                <w:lang w:eastAsia="en-US"/>
              </w:rPr>
              <w:t>Digoxin and rosuvastatin</w:t>
            </w:r>
          </w:p>
        </w:tc>
        <w:tc>
          <w:tcPr>
            <w:tcW w:w="1843" w:type="dxa"/>
          </w:tcPr>
          <w:p w:rsidR="00864644" w:rsidRPr="00864644" w:rsidRDefault="00864644" w:rsidP="00EC67F6">
            <w:pPr>
              <w:ind w:left="0" w:right="0"/>
              <w:rPr>
                <w:sz w:val="20"/>
                <w:szCs w:val="20"/>
              </w:rPr>
            </w:pPr>
            <w:r w:rsidRPr="00864644">
              <w:rPr>
                <w:rFonts w:eastAsia="TimesNewRoman"/>
                <w:sz w:val="20"/>
                <w:szCs w:val="20"/>
              </w:rPr>
              <w:t>PH-38823</w:t>
            </w:r>
          </w:p>
        </w:tc>
        <w:tc>
          <w:tcPr>
            <w:tcW w:w="3686" w:type="dxa"/>
          </w:tcPr>
          <w:p w:rsidR="00864644" w:rsidRPr="00864644" w:rsidRDefault="00864644" w:rsidP="00EC67F6">
            <w:pPr>
              <w:ind w:left="0" w:right="0"/>
              <w:rPr>
                <w:sz w:val="20"/>
                <w:szCs w:val="20"/>
              </w:rPr>
            </w:pPr>
            <w:r w:rsidRPr="00864644">
              <w:rPr>
                <w:rFonts w:eastAsia="TimesNewRoman"/>
                <w:sz w:val="20"/>
                <w:szCs w:val="20"/>
                <w:lang w:eastAsia="en-US"/>
              </w:rPr>
              <w:t>Potential for a DDI between regorafenib and M-2 and M-5 with digoxin (P-gp-substrate) and rosuvastatin (BCRP-substrate)</w:t>
            </w:r>
          </w:p>
        </w:tc>
      </w:tr>
    </w:tbl>
    <w:p w:rsidR="006241FD" w:rsidRPr="000C6E94" w:rsidRDefault="006241FD" w:rsidP="000C6E94">
      <w:pPr>
        <w:pStyle w:val="TableDescription"/>
      </w:pPr>
      <w:r w:rsidRPr="00864644">
        <w:rPr>
          <w:vertAlign w:val="superscript"/>
        </w:rPr>
        <w:t>*</w:t>
      </w:r>
      <w:r w:rsidRPr="00864644">
        <w:t xml:space="preserve"> Indicates the primary PK aim of the study.</w:t>
      </w:r>
      <w:r w:rsidR="00864644">
        <w:t xml:space="preserve"> </w:t>
      </w:r>
      <w:r w:rsidRPr="00864644">
        <w:rPr>
          <w:vertAlign w:val="superscript"/>
        </w:rPr>
        <w:t>§</w:t>
      </w:r>
      <w:r w:rsidRPr="00864644">
        <w:t xml:space="preserve"> Subjects who would be eligible to receive the drug if approved for the proposed indication.</w:t>
      </w:r>
      <w:r w:rsidR="000C6E94">
        <w:t xml:space="preserve"> QD=</w:t>
      </w:r>
      <w:r w:rsidR="000C6E94" w:rsidRPr="000C6E94">
        <w:rPr>
          <w:sz w:val="20"/>
          <w:szCs w:val="20"/>
        </w:rPr>
        <w:t xml:space="preserve"> </w:t>
      </w:r>
      <w:r w:rsidR="000C6E94">
        <w:rPr>
          <w:sz w:val="20"/>
          <w:szCs w:val="20"/>
        </w:rPr>
        <w:t>O</w:t>
      </w:r>
      <w:r w:rsidR="000C6E94" w:rsidRPr="006241FD">
        <w:rPr>
          <w:sz w:val="20"/>
          <w:szCs w:val="20"/>
        </w:rPr>
        <w:t>nce</w:t>
      </w:r>
      <w:r w:rsidR="000C6E94">
        <w:rPr>
          <w:sz w:val="20"/>
          <w:szCs w:val="20"/>
        </w:rPr>
        <w:t xml:space="preserve"> </w:t>
      </w:r>
      <w:r w:rsidR="000C6E94" w:rsidRPr="006241FD">
        <w:rPr>
          <w:sz w:val="20"/>
          <w:szCs w:val="20"/>
        </w:rPr>
        <w:t>daily</w:t>
      </w:r>
    </w:p>
    <w:p w:rsidR="00605AD4" w:rsidRDefault="00605AD4" w:rsidP="00605AD4">
      <w:pPr>
        <w:pStyle w:val="Heading4"/>
      </w:pPr>
      <w:r>
        <w:lastRenderedPageBreak/>
        <w:t>Evaluator’s conclusions on pharmacokinetics</w:t>
      </w:r>
    </w:p>
    <w:p w:rsidR="006241FD" w:rsidRPr="00BA24C8" w:rsidRDefault="006241FD" w:rsidP="006241FD">
      <w:r w:rsidRPr="00BA24C8">
        <w:rPr>
          <w:lang w:eastAsia="ja-JP"/>
        </w:rPr>
        <w:t xml:space="preserve">Following a single oral administration of </w:t>
      </w:r>
      <w:r w:rsidRPr="00BA24C8">
        <w:rPr>
          <w:rFonts w:eastAsia="TimesNewRoman"/>
        </w:rPr>
        <w:t xml:space="preserve">160 mg </w:t>
      </w:r>
      <w:r w:rsidRPr="00BA24C8">
        <w:rPr>
          <w:lang w:eastAsia="ja-JP"/>
        </w:rPr>
        <w:t xml:space="preserve">regorafenib to healthy Caucasian males, the median </w:t>
      </w:r>
      <w:r w:rsidR="00686D30">
        <w:rPr>
          <w:lang w:eastAsia="ja-JP"/>
        </w:rPr>
        <w:t>time to peak plasma concentration (</w:t>
      </w:r>
      <w:r w:rsidR="00686D30" w:rsidRPr="00BA24C8">
        <w:rPr>
          <w:rFonts w:eastAsia="TimesNewRoman"/>
        </w:rPr>
        <w:t>T</w:t>
      </w:r>
      <w:r w:rsidR="00686D30" w:rsidRPr="00686D30">
        <w:rPr>
          <w:rFonts w:eastAsia="TimesNewRoman"/>
          <w:vertAlign w:val="subscript"/>
        </w:rPr>
        <w:t>max</w:t>
      </w:r>
      <w:r w:rsidR="00686D30">
        <w:rPr>
          <w:lang w:eastAsia="ja-JP"/>
        </w:rPr>
        <w:t xml:space="preserve">) </w:t>
      </w:r>
      <w:r w:rsidRPr="00BA24C8">
        <w:rPr>
          <w:lang w:eastAsia="ja-JP"/>
        </w:rPr>
        <w:t>values for regorafenib and its two active metabolites M-2 and M- 5 were 3.98 h, 4.00 h and 36 h, respectively</w:t>
      </w:r>
      <w:r w:rsidRPr="00BA24C8">
        <w:t>.</w:t>
      </w:r>
    </w:p>
    <w:p w:rsidR="006241FD" w:rsidRPr="00BA24C8" w:rsidRDefault="006241FD" w:rsidP="006241FD">
      <w:r w:rsidRPr="00BA24C8">
        <w:t xml:space="preserve">PopPK analysis indicated that </w:t>
      </w:r>
      <w:proofErr w:type="spellStart"/>
      <w:r w:rsidR="00686D30" w:rsidRPr="00BA24C8">
        <w:rPr>
          <w:bCs/>
          <w:iCs/>
        </w:rPr>
        <w:t>C</w:t>
      </w:r>
      <w:r w:rsidR="00686D30" w:rsidRPr="00686D30">
        <w:rPr>
          <w:bCs/>
          <w:iCs/>
          <w:vertAlign w:val="subscript"/>
        </w:rPr>
        <w:t>av</w:t>
      </w:r>
      <w:proofErr w:type="gramStart"/>
      <w:r w:rsidR="00686D30" w:rsidRPr="00686D30">
        <w:rPr>
          <w:bCs/>
          <w:iCs/>
          <w:vertAlign w:val="subscript"/>
        </w:rPr>
        <w:t>,md,p</w:t>
      </w:r>
      <w:proofErr w:type="spellEnd"/>
      <w:proofErr w:type="gramEnd"/>
      <w:r w:rsidR="00903EE0">
        <w:rPr>
          <w:bCs/>
          <w:iCs/>
        </w:rPr>
        <w:t>;</w:t>
      </w:r>
      <w:r w:rsidR="00686D30">
        <w:rPr>
          <w:rStyle w:val="FootnoteReference"/>
          <w:bCs/>
          <w:iCs/>
        </w:rPr>
        <w:footnoteReference w:id="11"/>
      </w:r>
      <w:r w:rsidR="00686D30">
        <w:rPr>
          <w:bCs/>
          <w:iCs/>
        </w:rPr>
        <w:t xml:space="preserve"> </w:t>
      </w:r>
      <w:r w:rsidRPr="00BA24C8">
        <w:rPr>
          <w:bCs/>
          <w:iCs/>
        </w:rPr>
        <w:t xml:space="preserve">and </w:t>
      </w:r>
      <w:proofErr w:type="spellStart"/>
      <w:r w:rsidR="00686D30" w:rsidRPr="00BA24C8">
        <w:rPr>
          <w:bCs/>
          <w:iCs/>
        </w:rPr>
        <w:t>C</w:t>
      </w:r>
      <w:r w:rsidR="00686D30" w:rsidRPr="00686D30">
        <w:rPr>
          <w:bCs/>
          <w:iCs/>
          <w:vertAlign w:val="subscript"/>
        </w:rPr>
        <w:t>av,md,tot</w:t>
      </w:r>
      <w:proofErr w:type="spellEnd"/>
      <w:r w:rsidR="00903EE0">
        <w:rPr>
          <w:bCs/>
          <w:iCs/>
        </w:rPr>
        <w:t>,</w:t>
      </w:r>
      <w:r w:rsidR="00686D30">
        <w:rPr>
          <w:rStyle w:val="FootnoteReference"/>
          <w:bCs/>
          <w:iCs/>
        </w:rPr>
        <w:footnoteReference w:id="12"/>
      </w:r>
      <w:r w:rsidRPr="00BA24C8">
        <w:rPr>
          <w:bCs/>
          <w:iCs/>
        </w:rPr>
        <w:t xml:space="preserve"> values were similar in patients with HCC and CRC and slightly lower in GIST patients.</w:t>
      </w:r>
    </w:p>
    <w:p w:rsidR="006241FD" w:rsidRPr="00BA24C8" w:rsidRDefault="006241FD" w:rsidP="006241FD">
      <w:pPr>
        <w:rPr>
          <w:rFonts w:eastAsiaTheme="minorHAnsi" w:cstheme="minorHAnsi"/>
        </w:rPr>
      </w:pPr>
      <w:r w:rsidRPr="00BA24C8">
        <w:rPr>
          <w:rFonts w:eastAsiaTheme="minorHAnsi" w:cstheme="minorHAnsi"/>
        </w:rPr>
        <w:t xml:space="preserve">Following a single 160 mg dose, regorafenib </w:t>
      </w:r>
      <w:r w:rsidR="00686D30">
        <w:rPr>
          <w:rFonts w:eastAsiaTheme="minorHAnsi" w:cstheme="minorHAnsi"/>
        </w:rPr>
        <w:t>the area under the plasma concentration versus time curve from time 0 to the last time point (</w:t>
      </w:r>
      <w:proofErr w:type="gramStart"/>
      <w:r w:rsidRPr="00BA24C8">
        <w:rPr>
          <w:rFonts w:eastAsiaTheme="minorHAnsi" w:cstheme="minorHAnsi"/>
        </w:rPr>
        <w:t>AUC</w:t>
      </w:r>
      <w:r w:rsidRPr="00BA24C8">
        <w:rPr>
          <w:rFonts w:eastAsiaTheme="minorHAnsi" w:cstheme="minorHAnsi"/>
          <w:vertAlign w:val="subscript"/>
        </w:rPr>
        <w:t>(</w:t>
      </w:r>
      <w:proofErr w:type="gramEnd"/>
      <w:r w:rsidRPr="00BA24C8">
        <w:rPr>
          <w:rFonts w:eastAsiaTheme="minorHAnsi" w:cstheme="minorHAnsi"/>
          <w:vertAlign w:val="subscript"/>
        </w:rPr>
        <w:t>0-tlast)</w:t>
      </w:r>
      <w:r w:rsidR="00686D30" w:rsidRPr="00686D30">
        <w:rPr>
          <w:rFonts w:eastAsiaTheme="minorHAnsi" w:cstheme="minorHAnsi"/>
        </w:rPr>
        <w:t>)</w:t>
      </w:r>
      <w:r w:rsidRPr="00BA24C8">
        <w:rPr>
          <w:rFonts w:eastAsiaTheme="minorHAnsi" w:cstheme="minorHAnsi"/>
        </w:rPr>
        <w:t xml:space="preserve">, </w:t>
      </w:r>
      <w:r w:rsidR="00686D30">
        <w:rPr>
          <w:rFonts w:eastAsiaTheme="minorHAnsi" w:cstheme="minorHAnsi"/>
        </w:rPr>
        <w:t>peak plasma concentration (</w:t>
      </w:r>
      <w:r w:rsidR="00126F1A" w:rsidRPr="00BA24C8">
        <w:rPr>
          <w:rFonts w:eastAsiaTheme="minorHAnsi" w:cstheme="minorHAnsi"/>
        </w:rPr>
        <w:t>C</w:t>
      </w:r>
      <w:r w:rsidR="00126F1A" w:rsidRPr="00126F1A">
        <w:rPr>
          <w:rFonts w:eastAsiaTheme="minorHAnsi" w:cstheme="minorHAnsi"/>
          <w:vertAlign w:val="subscript"/>
        </w:rPr>
        <w:t>max</w:t>
      </w:r>
      <w:r w:rsidR="00686D30">
        <w:rPr>
          <w:rFonts w:eastAsiaTheme="minorHAnsi" w:cstheme="minorHAnsi"/>
        </w:rPr>
        <w:t xml:space="preserve">) </w:t>
      </w:r>
      <w:r w:rsidRPr="00BA24C8">
        <w:rPr>
          <w:rFonts w:eastAsiaTheme="minorHAnsi" w:cstheme="minorHAnsi"/>
        </w:rPr>
        <w:t xml:space="preserve">and </w:t>
      </w:r>
      <w:r w:rsidR="00686D30" w:rsidRPr="00BA24C8">
        <w:rPr>
          <w:rFonts w:eastAsia="TimesNewRoman"/>
        </w:rPr>
        <w:t>T</w:t>
      </w:r>
      <w:r w:rsidR="00686D30" w:rsidRPr="00686D30">
        <w:rPr>
          <w:rFonts w:eastAsia="TimesNewRoman"/>
          <w:vertAlign w:val="subscript"/>
        </w:rPr>
        <w:t>max</w:t>
      </w:r>
      <w:r w:rsidRPr="00BA24C8">
        <w:rPr>
          <w:rFonts w:eastAsiaTheme="minorHAnsi" w:cstheme="minorHAnsi"/>
        </w:rPr>
        <w:t xml:space="preserve"> values were similar in cancer subjects with </w:t>
      </w:r>
      <w:r w:rsidR="00686D30" w:rsidRPr="00BA24C8">
        <w:rPr>
          <w:rFonts w:cstheme="minorHAnsi"/>
        </w:rPr>
        <w:t>severe renal impairment</w:t>
      </w:r>
      <w:r w:rsidR="00686D30" w:rsidRPr="00BA24C8">
        <w:rPr>
          <w:rFonts w:eastAsiaTheme="minorHAnsi" w:cstheme="minorHAnsi"/>
        </w:rPr>
        <w:t xml:space="preserve"> </w:t>
      </w:r>
      <w:r w:rsidR="00686D30">
        <w:rPr>
          <w:rFonts w:eastAsiaTheme="minorHAnsi" w:cstheme="minorHAnsi"/>
        </w:rPr>
        <w:t>(</w:t>
      </w:r>
      <w:r w:rsidRPr="00BA24C8">
        <w:rPr>
          <w:rFonts w:eastAsiaTheme="minorHAnsi" w:cstheme="minorHAnsi"/>
        </w:rPr>
        <w:t>SRI</w:t>
      </w:r>
      <w:r w:rsidR="00686D30">
        <w:rPr>
          <w:rFonts w:eastAsiaTheme="minorHAnsi" w:cstheme="minorHAnsi"/>
        </w:rPr>
        <w:t>)</w:t>
      </w:r>
      <w:r w:rsidRPr="00BA24C8">
        <w:rPr>
          <w:rFonts w:eastAsiaTheme="minorHAnsi" w:cstheme="minorHAnsi"/>
        </w:rPr>
        <w:t xml:space="preserve"> and cancer subjects with normal or mildly impaired renal function. For the M-2 and M-5 metabolites the </w:t>
      </w:r>
      <w:proofErr w:type="gramStart"/>
      <w:r w:rsidRPr="00BA24C8">
        <w:rPr>
          <w:rFonts w:eastAsiaTheme="minorHAnsi" w:cstheme="minorHAnsi"/>
        </w:rPr>
        <w:t>AUC</w:t>
      </w:r>
      <w:r w:rsidRPr="00BA24C8">
        <w:rPr>
          <w:rFonts w:eastAsiaTheme="minorHAnsi" w:cstheme="minorHAnsi"/>
          <w:vertAlign w:val="subscript"/>
        </w:rPr>
        <w:t>(</w:t>
      </w:r>
      <w:proofErr w:type="gramEnd"/>
      <w:r w:rsidRPr="00BA24C8">
        <w:rPr>
          <w:rFonts w:eastAsiaTheme="minorHAnsi" w:cstheme="minorHAnsi"/>
          <w:vertAlign w:val="subscript"/>
        </w:rPr>
        <w:t xml:space="preserve">0-tlast) </w:t>
      </w:r>
      <w:r w:rsidRPr="00BA24C8">
        <w:t>values were approximately 30% and 55% lower in the SRI group.</w:t>
      </w:r>
    </w:p>
    <w:p w:rsidR="006241FD" w:rsidRPr="00BA24C8" w:rsidRDefault="006241FD" w:rsidP="006241FD">
      <w:pPr>
        <w:rPr>
          <w:rFonts w:eastAsia="TimesNewRoman"/>
        </w:rPr>
      </w:pPr>
      <w:r w:rsidRPr="00BA24C8">
        <w:rPr>
          <w:rFonts w:eastAsia="TimesNewRoman"/>
        </w:rPr>
        <w:t>Following a single, oral, 160 mg dose of regorafenib to Japanese or Chinese subjects with advanced solid tumours</w:t>
      </w:r>
      <w:r w:rsidRPr="00BA24C8">
        <w:rPr>
          <w:rFonts w:eastAsiaTheme="minorHAnsi"/>
        </w:rPr>
        <w:t>, t</w:t>
      </w:r>
      <w:r w:rsidRPr="00BA24C8">
        <w:rPr>
          <w:rFonts w:eastAsia="TimesNewRoman"/>
        </w:rPr>
        <w:t xml:space="preserve">he median </w:t>
      </w:r>
      <w:r w:rsidR="00686D30" w:rsidRPr="00BA24C8">
        <w:rPr>
          <w:rFonts w:eastAsia="TimesNewRoman"/>
        </w:rPr>
        <w:t>T</w:t>
      </w:r>
      <w:r w:rsidR="00686D30" w:rsidRPr="00686D30">
        <w:rPr>
          <w:rFonts w:eastAsia="TimesNewRoman"/>
          <w:vertAlign w:val="subscript"/>
        </w:rPr>
        <w:t>max</w:t>
      </w:r>
      <w:r w:rsidRPr="00BA24C8">
        <w:rPr>
          <w:rFonts w:eastAsia="TimesNewRoman"/>
        </w:rPr>
        <w:t xml:space="preserve"> values for regorafenib and M-2 were similarly (3</w:t>
      </w:r>
      <w:r w:rsidR="00903EE0">
        <w:rPr>
          <w:rFonts w:eastAsia="TimesNewRoman"/>
        </w:rPr>
        <w:t xml:space="preserve"> to </w:t>
      </w:r>
      <w:r w:rsidRPr="00BA24C8">
        <w:rPr>
          <w:rFonts w:eastAsia="TimesNewRoman"/>
        </w:rPr>
        <w:t xml:space="preserve">4 h), whereas, M5 </w:t>
      </w:r>
      <w:r w:rsidR="00686D30" w:rsidRPr="00BA24C8">
        <w:rPr>
          <w:rFonts w:eastAsia="TimesNewRoman"/>
        </w:rPr>
        <w:t>T</w:t>
      </w:r>
      <w:r w:rsidR="00686D30" w:rsidRPr="00686D30">
        <w:rPr>
          <w:rFonts w:eastAsia="TimesNewRoman"/>
          <w:vertAlign w:val="subscript"/>
        </w:rPr>
        <w:t>max</w:t>
      </w:r>
      <w:r w:rsidRPr="00BA24C8">
        <w:rPr>
          <w:rFonts w:eastAsia="TimesNewRoman"/>
        </w:rPr>
        <w:t xml:space="preserve"> was 24 h in the Japanese and 48 h in the Chinese group. The geometric mean AUC</w:t>
      </w:r>
      <w:r w:rsidRPr="00BA24C8">
        <w:rPr>
          <w:rFonts w:eastAsia="TimesNewRoman"/>
          <w:vertAlign w:val="subscript"/>
        </w:rPr>
        <w:t>(0-24)</w:t>
      </w:r>
      <w:r w:rsidRPr="00BA24C8">
        <w:rPr>
          <w:rFonts w:eastAsia="TimesNewRoman"/>
        </w:rPr>
        <w:t xml:space="preserve"> values for regorafenib, M-2, and M-5 in Japanese subjects were 16.4 mg h/L, 3.70 mg h/L and 0.38 mg h/L, respectively, whereas, in Chinese subjects AUC</w:t>
      </w:r>
      <w:r w:rsidRPr="00BA24C8">
        <w:rPr>
          <w:rFonts w:eastAsia="TimesNewRoman"/>
          <w:vertAlign w:val="subscript"/>
        </w:rPr>
        <w:t>(0-24)</w:t>
      </w:r>
      <w:r w:rsidRPr="00BA24C8">
        <w:rPr>
          <w:rFonts w:eastAsia="TimesNewRoman"/>
        </w:rPr>
        <w:t xml:space="preserve"> values were 1.45</w:t>
      </w:r>
      <w:r w:rsidR="00686D30">
        <w:rPr>
          <w:rFonts w:eastAsia="TimesNewRoman"/>
        </w:rPr>
        <w:t xml:space="preserve"> fold</w:t>
      </w:r>
      <w:r w:rsidRPr="00BA24C8">
        <w:rPr>
          <w:rFonts w:eastAsia="TimesNewRoman"/>
        </w:rPr>
        <w:t>, 3.65</w:t>
      </w:r>
      <w:r w:rsidR="00686D30">
        <w:rPr>
          <w:rFonts w:eastAsia="TimesNewRoman"/>
        </w:rPr>
        <w:t xml:space="preserve"> fold</w:t>
      </w:r>
      <w:r w:rsidRPr="00BA24C8">
        <w:rPr>
          <w:rFonts w:eastAsia="TimesNewRoman"/>
        </w:rPr>
        <w:t xml:space="preserve"> and 3.9</w:t>
      </w:r>
      <w:r w:rsidR="00686D30">
        <w:rPr>
          <w:rFonts w:eastAsia="TimesNewRoman"/>
        </w:rPr>
        <w:t xml:space="preserve"> fold</w:t>
      </w:r>
      <w:r w:rsidRPr="00BA24C8">
        <w:rPr>
          <w:rFonts w:eastAsia="TimesNewRoman"/>
        </w:rPr>
        <w:t xml:space="preserve"> higher, respectively</w:t>
      </w:r>
      <w:r w:rsidR="00686D30">
        <w:rPr>
          <w:rFonts w:eastAsia="TimesNewRoman"/>
        </w:rPr>
        <w:t>,</w:t>
      </w:r>
      <w:r w:rsidRPr="00BA24C8">
        <w:rPr>
          <w:rFonts w:eastAsia="TimesNewRoman"/>
        </w:rPr>
        <w:t xml:space="preserve"> than in the Japanese group.</w:t>
      </w:r>
    </w:p>
    <w:p w:rsidR="006241FD" w:rsidRPr="00BA24C8" w:rsidRDefault="006241FD" w:rsidP="00903EE0">
      <w:r w:rsidRPr="00BA24C8">
        <w:t xml:space="preserve">Following multiple doses of 160 mg </w:t>
      </w:r>
      <w:r w:rsidR="00903EE0">
        <w:t>o</w:t>
      </w:r>
      <w:r w:rsidR="00903EE0" w:rsidRPr="00F17CA0">
        <w:t>nce</w:t>
      </w:r>
      <w:r w:rsidR="00903EE0">
        <w:rPr>
          <w:sz w:val="20"/>
          <w:szCs w:val="20"/>
        </w:rPr>
        <w:t xml:space="preserve"> </w:t>
      </w:r>
      <w:r w:rsidR="000C6E94" w:rsidRPr="00F17CA0">
        <w:t>daily</w:t>
      </w:r>
      <w:r w:rsidR="000C6E94" w:rsidRPr="00BA24C8">
        <w:t xml:space="preserve"> </w:t>
      </w:r>
      <w:r w:rsidR="000C6E94">
        <w:t>(</w:t>
      </w:r>
      <w:r w:rsidRPr="00BA24C8">
        <w:t>QD</w:t>
      </w:r>
      <w:r w:rsidR="000C6E94">
        <w:t>)</w:t>
      </w:r>
      <w:r w:rsidRPr="00BA24C8">
        <w:t xml:space="preserve">, in Japanese subjects with solid tumours, the </w:t>
      </w:r>
      <w:r w:rsidR="00686D30" w:rsidRPr="00BA24C8">
        <w:t>T</w:t>
      </w:r>
      <w:r w:rsidR="00686D30" w:rsidRPr="00686D30">
        <w:rPr>
          <w:vertAlign w:val="subscript"/>
        </w:rPr>
        <w:t>max</w:t>
      </w:r>
      <w:r w:rsidRPr="00BA24C8">
        <w:t xml:space="preserve"> values for regorafenib and M-2 were similar (4 h), whereas, </w:t>
      </w:r>
      <w:r w:rsidR="00686D30" w:rsidRPr="00BA24C8">
        <w:t>T</w:t>
      </w:r>
      <w:r w:rsidR="00686D30" w:rsidRPr="00686D30">
        <w:rPr>
          <w:vertAlign w:val="subscript"/>
        </w:rPr>
        <w:t>max</w:t>
      </w:r>
      <w:r w:rsidRPr="00BA24C8">
        <w:t xml:space="preserve"> for M-5 was 36 h, whereas, the mean AUC</w:t>
      </w:r>
      <w:r w:rsidRPr="00BA24C8">
        <w:rPr>
          <w:vertAlign w:val="subscript"/>
        </w:rPr>
        <w:t>(0-24)</w:t>
      </w:r>
      <w:r w:rsidRPr="00BA24C8">
        <w:t xml:space="preserve"> values for reg</w:t>
      </w:r>
      <w:r w:rsidR="00686D30">
        <w:t>orafenib, M-2, and M-5 were 2.1</w:t>
      </w:r>
      <w:r w:rsidRPr="00BA24C8">
        <w:t>, 5.2 and 37.3</w:t>
      </w:r>
      <w:r w:rsidR="00686D30">
        <w:t xml:space="preserve"> fold</w:t>
      </w:r>
      <w:r w:rsidRPr="00BA24C8">
        <w:t xml:space="preserve"> higher, respectively, following multiple doses than following a single dose. The linearity factor, dividing </w:t>
      </w:r>
      <w:proofErr w:type="gramStart"/>
      <w:r w:rsidRPr="00BA24C8">
        <w:t>AUC</w:t>
      </w:r>
      <w:r w:rsidRPr="00BA24C8">
        <w:rPr>
          <w:vertAlign w:val="subscript"/>
        </w:rPr>
        <w:t>(</w:t>
      </w:r>
      <w:proofErr w:type="gramEnd"/>
      <w:r w:rsidRPr="00BA24C8">
        <w:rPr>
          <w:vertAlign w:val="subscript"/>
        </w:rPr>
        <w:t>0-24)</w:t>
      </w:r>
      <w:r w:rsidRPr="00BA24C8">
        <w:t xml:space="preserve"> after multiple dosing by AUC after single dose, was 1.0 for regorafenib, 2.4 for M-2 and 4.0.</w:t>
      </w:r>
    </w:p>
    <w:p w:rsidR="006241FD" w:rsidRPr="00BA24C8" w:rsidRDefault="006241FD" w:rsidP="006241FD">
      <w:pPr>
        <w:rPr>
          <w:rFonts w:eastAsia="TimesNewRoman"/>
        </w:rPr>
      </w:pPr>
      <w:r w:rsidRPr="00BA24C8">
        <w:rPr>
          <w:rFonts w:eastAsia="TimesNewRoman"/>
        </w:rPr>
        <w:t>Following multiple administrations of a range of regorafenib doses QD (80 mg, 120 mg and 160 mg) to Chinese subjects with advanced solid tumours, regorafenib exposure increased with increasing dose from 80 mg to 160 mg, though non-proportionally, and appeared to reach a plateau at 160 mg dose. Plasma exposure of M-5 (and to a lesser extent M-2) increased with dose in a more than proportional manner.</w:t>
      </w:r>
    </w:p>
    <w:p w:rsidR="006241FD" w:rsidRPr="00BA24C8" w:rsidRDefault="006241FD" w:rsidP="006241FD">
      <w:r w:rsidRPr="00BA24C8">
        <w:t>Consistent with previous reports, popPK analyses in patients with HCC can be characterised by first order absorption followed by a two compartmental disposition. M</w:t>
      </w:r>
      <w:r w:rsidR="00EC67F6">
        <w:noBreakHyphen/>
      </w:r>
      <w:r w:rsidRPr="00BA24C8">
        <w:t>2 and M-5 are also formed in a concentration-dependent, non-linear, manner and follow a two-compartmental disposition.</w:t>
      </w:r>
    </w:p>
    <w:p w:rsidR="006241FD" w:rsidRPr="00126F1A" w:rsidRDefault="006241FD" w:rsidP="006241FD">
      <w:r w:rsidRPr="00BA24C8">
        <w:t xml:space="preserve">For </w:t>
      </w:r>
      <w:proofErr w:type="spellStart"/>
      <w:r w:rsidR="00686D30" w:rsidRPr="00BA24C8">
        <w:rPr>
          <w:bCs/>
          <w:iCs/>
        </w:rPr>
        <w:t>C</w:t>
      </w:r>
      <w:r w:rsidR="00686D30" w:rsidRPr="00686D30">
        <w:rPr>
          <w:bCs/>
          <w:iCs/>
          <w:vertAlign w:val="subscript"/>
        </w:rPr>
        <w:t>av</w:t>
      </w:r>
      <w:proofErr w:type="gramStart"/>
      <w:r w:rsidR="00686D30" w:rsidRPr="00686D30">
        <w:rPr>
          <w:bCs/>
          <w:iCs/>
          <w:vertAlign w:val="subscript"/>
        </w:rPr>
        <w:t>,md,p</w:t>
      </w:r>
      <w:proofErr w:type="spellEnd"/>
      <w:proofErr w:type="gramEnd"/>
      <w:r w:rsidR="00903EE0">
        <w:rPr>
          <w:bCs/>
          <w:iCs/>
        </w:rPr>
        <w:t xml:space="preserve">, </w:t>
      </w:r>
      <w:r w:rsidRPr="00BA24C8">
        <w:rPr>
          <w:bCs/>
          <w:iCs/>
        </w:rPr>
        <w:t>a number of significant covariates were identified, including:</w:t>
      </w:r>
      <w:r w:rsidRPr="00BA24C8">
        <w:rPr>
          <w:bCs/>
        </w:rPr>
        <w:t xml:space="preserve"> </w:t>
      </w:r>
      <w:r w:rsidRPr="00BA24C8">
        <w:t xml:space="preserve">volunteer health; gender; age; </w:t>
      </w:r>
      <w:r w:rsidR="000C6E94" w:rsidRPr="000C6E94">
        <w:t>haemoglobin at baseline</w:t>
      </w:r>
      <w:r w:rsidR="000C6E94" w:rsidRPr="00BA24C8">
        <w:t xml:space="preserve"> </w:t>
      </w:r>
      <w:r w:rsidR="000C6E94">
        <w:t>(</w:t>
      </w:r>
      <w:r w:rsidRPr="00BA24C8">
        <w:t>H</w:t>
      </w:r>
      <w:r w:rsidR="00903EE0">
        <w:t>b</w:t>
      </w:r>
      <w:r w:rsidRPr="00F17CA0">
        <w:rPr>
          <w:vertAlign w:val="subscript"/>
        </w:rPr>
        <w:t>0</w:t>
      </w:r>
      <w:r w:rsidR="000C6E94">
        <w:t>)</w:t>
      </w:r>
      <w:r w:rsidRPr="00BA24C8">
        <w:t xml:space="preserve">; </w:t>
      </w:r>
      <w:r w:rsidR="00F01955" w:rsidRPr="00F01955">
        <w:t>Plasma albumin at baseline</w:t>
      </w:r>
      <w:r w:rsidR="00F01955" w:rsidRPr="00BA24C8">
        <w:t xml:space="preserve"> </w:t>
      </w:r>
      <w:r w:rsidR="00F01955">
        <w:t>(</w:t>
      </w:r>
      <w:r w:rsidRPr="00BA24C8">
        <w:t>ALB</w:t>
      </w:r>
      <w:r w:rsidRPr="00F17CA0">
        <w:rPr>
          <w:vertAlign w:val="subscript"/>
        </w:rPr>
        <w:t>0</w:t>
      </w:r>
      <w:r w:rsidR="00F01955">
        <w:t>)</w:t>
      </w:r>
      <w:r w:rsidRPr="00BA24C8">
        <w:t xml:space="preserve"> </w:t>
      </w:r>
      <w:r w:rsidRPr="00F01955">
        <w:t xml:space="preserve">and </w:t>
      </w:r>
      <w:r w:rsidR="00F01955" w:rsidRPr="00F01955">
        <w:rPr>
          <w:rFonts w:cstheme="minorHAnsi"/>
        </w:rPr>
        <w:t>Body mass index</w:t>
      </w:r>
      <w:r w:rsidR="00F01955" w:rsidRPr="00F01955">
        <w:t xml:space="preserve"> (</w:t>
      </w:r>
      <w:r w:rsidRPr="00F01955">
        <w:t>BMI</w:t>
      </w:r>
      <w:r w:rsidR="00F01955" w:rsidRPr="00F01955">
        <w:t>)</w:t>
      </w:r>
      <w:r w:rsidRPr="00F01955">
        <w:t xml:space="preserve">. For </w:t>
      </w:r>
      <w:proofErr w:type="spellStart"/>
      <w:r w:rsidR="00686D30" w:rsidRPr="00F01955">
        <w:rPr>
          <w:bCs/>
          <w:iCs/>
        </w:rPr>
        <w:t>C</w:t>
      </w:r>
      <w:r w:rsidR="00686D30" w:rsidRPr="00F01955">
        <w:rPr>
          <w:bCs/>
          <w:iCs/>
          <w:vertAlign w:val="subscript"/>
        </w:rPr>
        <w:t>av</w:t>
      </w:r>
      <w:proofErr w:type="gramStart"/>
      <w:r w:rsidR="00686D30" w:rsidRPr="00F01955">
        <w:rPr>
          <w:bCs/>
          <w:iCs/>
          <w:vertAlign w:val="subscript"/>
        </w:rPr>
        <w:t>,md,tot</w:t>
      </w:r>
      <w:proofErr w:type="spellEnd"/>
      <w:proofErr w:type="gramEnd"/>
      <w:r w:rsidR="00903EE0">
        <w:rPr>
          <w:bCs/>
          <w:iCs/>
        </w:rPr>
        <w:t>,</w:t>
      </w:r>
      <w:r w:rsidR="00686D30" w:rsidRPr="00F01955">
        <w:rPr>
          <w:bCs/>
        </w:rPr>
        <w:t xml:space="preserve"> </w:t>
      </w:r>
      <w:r w:rsidRPr="00F01955">
        <w:rPr>
          <w:bCs/>
        </w:rPr>
        <w:t xml:space="preserve">the covariates were similar and included </w:t>
      </w:r>
      <w:r w:rsidRPr="00F01955">
        <w:t xml:space="preserve">volunteer health, gender, age, </w:t>
      </w:r>
      <w:r w:rsidR="00903EE0" w:rsidRPr="00F01955">
        <w:t>H</w:t>
      </w:r>
      <w:r w:rsidR="00903EE0">
        <w:t>b</w:t>
      </w:r>
      <w:r w:rsidR="00903EE0" w:rsidRPr="00F17CA0">
        <w:rPr>
          <w:vertAlign w:val="subscript"/>
        </w:rPr>
        <w:t>0</w:t>
      </w:r>
      <w:r w:rsidRPr="00F01955">
        <w:t xml:space="preserve">, </w:t>
      </w:r>
      <w:r w:rsidR="000C6E94" w:rsidRPr="00F01955">
        <w:t>alanine aminotransferase at baseline (</w:t>
      </w:r>
      <w:r w:rsidRPr="00F01955">
        <w:t>ALT</w:t>
      </w:r>
      <w:r w:rsidRPr="00F01955">
        <w:rPr>
          <w:vertAlign w:val="subscript"/>
        </w:rPr>
        <w:t>0</w:t>
      </w:r>
      <w:r w:rsidR="000C6E94" w:rsidRPr="00F01955">
        <w:t>)</w:t>
      </w:r>
      <w:r w:rsidRPr="00F01955">
        <w:t xml:space="preserve"> and weight. The following</w:t>
      </w:r>
      <w:r w:rsidRPr="00BA24C8">
        <w:t xml:space="preserve"> covariates were found to have no significant (p</w:t>
      </w:r>
      <w:r w:rsidR="00EC67F6">
        <w:t xml:space="preserve"> </w:t>
      </w:r>
      <w:r w:rsidRPr="00BA24C8">
        <w:t>&lt;</w:t>
      </w:r>
      <w:r w:rsidR="00EC67F6">
        <w:t xml:space="preserve"> </w:t>
      </w:r>
      <w:r w:rsidRPr="00BA24C8">
        <w:t xml:space="preserve">0.05) impact on regorafenib exposure: estimated glomerular filtration rate, total plasma protein, haematocrit, total bilirubin and the liver enzymes </w:t>
      </w:r>
      <w:r w:rsidRPr="00BA24C8">
        <w:rPr>
          <w:rFonts w:cstheme="minorHAnsi"/>
        </w:rPr>
        <w:t xml:space="preserve">aspartate </w:t>
      </w:r>
      <w:r w:rsidR="00686D30">
        <w:rPr>
          <w:rFonts w:cstheme="minorHAnsi"/>
        </w:rPr>
        <w:t>aminotransferase (</w:t>
      </w:r>
      <w:r w:rsidRPr="00BA24C8">
        <w:t>AST</w:t>
      </w:r>
      <w:r w:rsidR="00686D30">
        <w:t>)</w:t>
      </w:r>
      <w:r w:rsidRPr="00BA24C8">
        <w:t xml:space="preserve"> and alkaline phosphatase </w:t>
      </w:r>
      <w:r w:rsidR="00686D30">
        <w:t xml:space="preserve">(ALP) </w:t>
      </w:r>
      <w:r w:rsidRPr="00BA24C8">
        <w:t xml:space="preserve">as well as the covariate ethnic group RACE3 (Asian and non-Asian), whereas, </w:t>
      </w:r>
      <w:r w:rsidRPr="00126F1A">
        <w:t xml:space="preserve">the covariates of ethnic group (RACE), co-treatment with inducers or inhibitors of </w:t>
      </w:r>
      <w:r w:rsidR="00686D30" w:rsidRPr="00126F1A">
        <w:t xml:space="preserve">cytochrome P450 (CYP) isozyme </w:t>
      </w:r>
      <w:r w:rsidRPr="00126F1A">
        <w:t xml:space="preserve">CYP3A4 and co-treatment with inducers or inhibitors of </w:t>
      </w:r>
      <w:r w:rsidR="00686D30" w:rsidRPr="00126F1A">
        <w:t>UDP-</w:t>
      </w:r>
      <w:r w:rsidR="00903EE0">
        <w:t>g</w:t>
      </w:r>
      <w:r w:rsidR="00903EE0" w:rsidRPr="00126F1A">
        <w:t xml:space="preserve">lucuronosyltransferase </w:t>
      </w:r>
      <w:r w:rsidR="00126F1A" w:rsidRPr="00126F1A">
        <w:t>1A9 (</w:t>
      </w:r>
      <w:r w:rsidRPr="00126F1A">
        <w:t>UGT1A9</w:t>
      </w:r>
      <w:r w:rsidR="00126F1A" w:rsidRPr="00126F1A">
        <w:t>)</w:t>
      </w:r>
      <w:r w:rsidRPr="00126F1A">
        <w:t xml:space="preserve"> were not included in the analysis as these categories contained &lt; 15 % of the subjects.</w:t>
      </w:r>
    </w:p>
    <w:p w:rsidR="006241FD" w:rsidRPr="00BA24C8" w:rsidRDefault="006241FD" w:rsidP="006241FD">
      <w:pPr>
        <w:rPr>
          <w:lang w:eastAsia="ja-JP"/>
        </w:rPr>
      </w:pPr>
      <w:r w:rsidRPr="00BA24C8">
        <w:rPr>
          <w:rFonts w:eastAsiaTheme="minorHAnsi"/>
        </w:rPr>
        <w:lastRenderedPageBreak/>
        <w:t>The individual impact of the significant covariates on exposure was generally low (&lt;</w:t>
      </w:r>
      <w:r w:rsidR="00EC67F6">
        <w:rPr>
          <w:rFonts w:eastAsiaTheme="minorHAnsi"/>
        </w:rPr>
        <w:t xml:space="preserve"> </w:t>
      </w:r>
      <w:r w:rsidRPr="00BA24C8">
        <w:rPr>
          <w:rFonts w:eastAsiaTheme="minorHAnsi"/>
        </w:rPr>
        <w:t xml:space="preserve">5%); however, </w:t>
      </w:r>
      <w:proofErr w:type="spellStart"/>
      <w:r w:rsidR="00686D30" w:rsidRPr="00BA24C8">
        <w:rPr>
          <w:bCs/>
          <w:iCs/>
        </w:rPr>
        <w:t>C</w:t>
      </w:r>
      <w:r w:rsidR="00686D30" w:rsidRPr="00686D30">
        <w:rPr>
          <w:bCs/>
          <w:iCs/>
          <w:vertAlign w:val="subscript"/>
        </w:rPr>
        <w:t>av,md,p</w:t>
      </w:r>
      <w:proofErr w:type="spellEnd"/>
      <w:r w:rsidR="00686D30">
        <w:rPr>
          <w:bCs/>
          <w:iCs/>
        </w:rPr>
        <w:t xml:space="preserve"> </w:t>
      </w:r>
      <w:r w:rsidRPr="00BA24C8">
        <w:rPr>
          <w:rFonts w:eastAsiaTheme="minorHAnsi"/>
        </w:rPr>
        <w:t xml:space="preserve">and </w:t>
      </w:r>
      <w:proofErr w:type="spellStart"/>
      <w:r w:rsidR="00686D30" w:rsidRPr="00BA24C8">
        <w:rPr>
          <w:bCs/>
          <w:iCs/>
        </w:rPr>
        <w:t>C</w:t>
      </w:r>
      <w:r w:rsidR="00686D30" w:rsidRPr="00686D30">
        <w:rPr>
          <w:bCs/>
          <w:iCs/>
          <w:vertAlign w:val="subscript"/>
        </w:rPr>
        <w:t>av,md,tot</w:t>
      </w:r>
      <w:proofErr w:type="spellEnd"/>
      <w:r w:rsidR="00686D30">
        <w:rPr>
          <w:bCs/>
        </w:rPr>
        <w:t xml:space="preserve"> </w:t>
      </w:r>
      <w:r w:rsidRPr="00BA24C8">
        <w:rPr>
          <w:rFonts w:eastAsiaTheme="minorHAnsi"/>
          <w:iCs/>
        </w:rPr>
        <w:t xml:space="preserve">values were 46% and 41% lower, respectively, in </w:t>
      </w:r>
      <w:r w:rsidRPr="00BA24C8">
        <w:rPr>
          <w:rFonts w:eastAsiaTheme="minorHAnsi"/>
        </w:rPr>
        <w:t xml:space="preserve">young healthy male volunteers than in cancer patients, whereas, </w:t>
      </w:r>
      <w:r w:rsidR="00686D30" w:rsidRPr="00BA24C8">
        <w:rPr>
          <w:bCs/>
          <w:iCs/>
        </w:rPr>
        <w:t>C</w:t>
      </w:r>
      <w:r w:rsidR="00686D30" w:rsidRPr="00686D30">
        <w:rPr>
          <w:bCs/>
          <w:iCs/>
          <w:vertAlign w:val="subscript"/>
        </w:rPr>
        <w:t>av,md,p</w:t>
      </w:r>
      <w:r w:rsidR="00686D30">
        <w:rPr>
          <w:bCs/>
          <w:iCs/>
        </w:rPr>
        <w:t xml:space="preserve"> </w:t>
      </w:r>
      <w:r w:rsidRPr="00BA24C8">
        <w:rPr>
          <w:rFonts w:eastAsiaTheme="minorHAnsi"/>
        </w:rPr>
        <w:t xml:space="preserve">and </w:t>
      </w:r>
      <w:r w:rsidR="00686D30" w:rsidRPr="00BA24C8">
        <w:rPr>
          <w:bCs/>
          <w:iCs/>
        </w:rPr>
        <w:t>C</w:t>
      </w:r>
      <w:r w:rsidR="00686D30" w:rsidRPr="00686D30">
        <w:rPr>
          <w:bCs/>
          <w:iCs/>
          <w:vertAlign w:val="subscript"/>
        </w:rPr>
        <w:t>av,md,tot</w:t>
      </w:r>
      <w:r w:rsidR="00686D30">
        <w:rPr>
          <w:bCs/>
        </w:rPr>
        <w:t xml:space="preserve"> </w:t>
      </w:r>
      <w:r w:rsidRPr="00BA24C8">
        <w:rPr>
          <w:rFonts w:eastAsiaTheme="minorHAnsi"/>
          <w:iCs/>
        </w:rPr>
        <w:t>values</w:t>
      </w:r>
      <w:r w:rsidRPr="00BA24C8">
        <w:rPr>
          <w:rFonts w:eastAsiaTheme="minorHAnsi"/>
        </w:rPr>
        <w:t xml:space="preserve"> were 9.3% and 29% higher, respectively, in female than in male subjects.</w:t>
      </w:r>
    </w:p>
    <w:p w:rsidR="006241FD" w:rsidRPr="00BA24C8" w:rsidRDefault="006241FD" w:rsidP="006241FD">
      <w:pPr>
        <w:rPr>
          <w:rFonts w:eastAsiaTheme="minorHAnsi" w:cstheme="minorHAnsi"/>
        </w:rPr>
      </w:pPr>
      <w:r w:rsidRPr="00BA24C8">
        <w:rPr>
          <w:rFonts w:eastAsia="TimesNewRoman"/>
        </w:rPr>
        <w:t>T</w:t>
      </w:r>
      <w:r w:rsidRPr="00BA24C8">
        <w:rPr>
          <w:rFonts w:eastAsiaTheme="minorHAnsi" w:cstheme="minorHAnsi"/>
        </w:rPr>
        <w:t xml:space="preserve">here was little to no difference in mean regorafenib AUC, </w:t>
      </w:r>
      <w:r w:rsidR="00126F1A" w:rsidRPr="00BA24C8">
        <w:rPr>
          <w:rFonts w:eastAsiaTheme="minorHAnsi" w:cstheme="minorHAnsi"/>
        </w:rPr>
        <w:t>C</w:t>
      </w:r>
      <w:r w:rsidR="00126F1A" w:rsidRPr="00126F1A">
        <w:rPr>
          <w:rFonts w:eastAsiaTheme="minorHAnsi" w:cstheme="minorHAnsi"/>
          <w:vertAlign w:val="subscript"/>
        </w:rPr>
        <w:t>max</w:t>
      </w:r>
      <w:r w:rsidRPr="00BA24C8">
        <w:rPr>
          <w:rFonts w:eastAsiaTheme="minorHAnsi" w:cstheme="minorHAnsi"/>
        </w:rPr>
        <w:t xml:space="preserve"> and </w:t>
      </w:r>
      <w:r w:rsidR="00126F1A">
        <w:rPr>
          <w:rFonts w:eastAsiaTheme="minorHAnsi" w:cstheme="minorHAnsi"/>
        </w:rPr>
        <w:t>half-life (</w:t>
      </w:r>
      <w:r w:rsidRPr="00BA24C8">
        <w:rPr>
          <w:rFonts w:eastAsiaTheme="minorHAnsi" w:cstheme="minorHAnsi"/>
        </w:rPr>
        <w:t>t</w:t>
      </w:r>
      <w:r w:rsidRPr="00BA24C8">
        <w:rPr>
          <w:rFonts w:eastAsiaTheme="minorHAnsi" w:cstheme="minorHAnsi"/>
          <w:vertAlign w:val="subscript"/>
        </w:rPr>
        <w:t>1/2</w:t>
      </w:r>
      <w:r w:rsidR="00126F1A">
        <w:rPr>
          <w:rFonts w:eastAsiaTheme="minorHAnsi" w:cstheme="minorHAnsi"/>
        </w:rPr>
        <w:t xml:space="preserve">) </w:t>
      </w:r>
      <w:r w:rsidRPr="00BA24C8">
        <w:rPr>
          <w:rFonts w:eastAsiaTheme="minorHAnsi" w:cstheme="minorHAnsi"/>
        </w:rPr>
        <w:t>values (&lt;</w:t>
      </w:r>
      <w:r w:rsidR="00EC67F6">
        <w:rPr>
          <w:rFonts w:eastAsiaTheme="minorHAnsi" w:cstheme="minorHAnsi"/>
        </w:rPr>
        <w:t> </w:t>
      </w:r>
      <w:r w:rsidRPr="00BA24C8">
        <w:rPr>
          <w:rFonts w:eastAsiaTheme="minorHAnsi" w:cstheme="minorHAnsi"/>
        </w:rPr>
        <w:t xml:space="preserve">10% decrease) when a single dose of 160 mg regorafenib was administered with and without neomycin </w:t>
      </w:r>
      <w:r w:rsidRPr="00BA24C8">
        <w:rPr>
          <w:rFonts w:eastAsia="TimesNewRoman"/>
        </w:rPr>
        <w:t xml:space="preserve">1 g </w:t>
      </w:r>
      <w:r w:rsidR="00126F1A">
        <w:rPr>
          <w:rFonts w:eastAsia="TimesNewRoman"/>
        </w:rPr>
        <w:t>three times a day (</w:t>
      </w:r>
      <w:r w:rsidRPr="00BA24C8">
        <w:rPr>
          <w:rFonts w:eastAsia="TimesNewRoman"/>
        </w:rPr>
        <w:t>TID</w:t>
      </w:r>
      <w:r w:rsidR="00126F1A">
        <w:rPr>
          <w:rFonts w:eastAsia="TimesNewRoman"/>
        </w:rPr>
        <w:t>)</w:t>
      </w:r>
      <w:r w:rsidRPr="00BA24C8">
        <w:rPr>
          <w:rFonts w:eastAsia="TimesNewRoman"/>
        </w:rPr>
        <w:t xml:space="preserve"> to healthy subjects</w:t>
      </w:r>
      <w:r w:rsidRPr="00BA24C8">
        <w:rPr>
          <w:rFonts w:eastAsiaTheme="minorHAnsi" w:cstheme="minorHAnsi"/>
        </w:rPr>
        <w:t xml:space="preserve">. By contrast, M-2 and </w:t>
      </w:r>
      <w:r w:rsidR="00126F1A">
        <w:rPr>
          <w:rFonts w:eastAsiaTheme="minorHAnsi" w:cstheme="minorHAnsi"/>
        </w:rPr>
        <w:t>M</w:t>
      </w:r>
      <w:r w:rsidR="00126F1A">
        <w:rPr>
          <w:rFonts w:eastAsiaTheme="minorHAnsi" w:cstheme="minorHAnsi"/>
        </w:rPr>
        <w:noBreakHyphen/>
      </w:r>
      <w:r w:rsidRPr="00BA24C8">
        <w:rPr>
          <w:rFonts w:eastAsiaTheme="minorHAnsi" w:cstheme="minorHAnsi"/>
        </w:rPr>
        <w:t>5 AUC values were decreased by 77% and more than 80%, respectively, in the presence of neomycin</w:t>
      </w:r>
    </w:p>
    <w:p w:rsidR="006241FD" w:rsidRPr="00BA24C8" w:rsidRDefault="006241FD" w:rsidP="006241FD">
      <w:pPr>
        <w:rPr>
          <w:rFonts w:eastAsia="TimesNewRoman"/>
        </w:rPr>
      </w:pPr>
      <w:r w:rsidRPr="00BA24C8">
        <w:rPr>
          <w:rFonts w:eastAsia="TimesNewRoman"/>
        </w:rPr>
        <w:t xml:space="preserve">Following the administration of a single dose of 0.5 mg digoxin, the presence of regorafenib 160 mg QD had little to no effect on the </w:t>
      </w:r>
      <w:r w:rsidR="00126F1A" w:rsidRPr="00BA24C8">
        <w:rPr>
          <w:rFonts w:eastAsiaTheme="minorHAnsi" w:cstheme="minorHAnsi"/>
        </w:rPr>
        <w:t>C</w:t>
      </w:r>
      <w:r w:rsidR="00126F1A" w:rsidRPr="00126F1A">
        <w:rPr>
          <w:rFonts w:eastAsiaTheme="minorHAnsi" w:cstheme="minorHAnsi"/>
          <w:vertAlign w:val="subscript"/>
        </w:rPr>
        <w:t>max</w:t>
      </w:r>
      <w:r w:rsidRPr="00BA24C8">
        <w:rPr>
          <w:rFonts w:eastAsia="TimesNewRoman"/>
        </w:rPr>
        <w:t xml:space="preserve">, </w:t>
      </w:r>
      <w:proofErr w:type="gramStart"/>
      <w:r w:rsidRPr="00BA24C8">
        <w:rPr>
          <w:rFonts w:eastAsia="TimesNewRoman"/>
        </w:rPr>
        <w:t>AUC</w:t>
      </w:r>
      <w:r w:rsidRPr="00BA24C8">
        <w:rPr>
          <w:rFonts w:eastAsia="TimesNewRoman"/>
          <w:vertAlign w:val="subscript"/>
        </w:rPr>
        <w:t>(</w:t>
      </w:r>
      <w:proofErr w:type="gramEnd"/>
      <w:r w:rsidRPr="00BA24C8">
        <w:rPr>
          <w:rFonts w:eastAsia="TimesNewRoman"/>
          <w:vertAlign w:val="subscript"/>
        </w:rPr>
        <w:t>0-24)</w:t>
      </w:r>
      <w:r w:rsidRPr="00BA24C8">
        <w:rPr>
          <w:rFonts w:eastAsia="TimesNewRoman"/>
        </w:rPr>
        <w:t xml:space="preserve"> and </w:t>
      </w:r>
      <w:r w:rsidR="00686D30" w:rsidRPr="00BA24C8">
        <w:rPr>
          <w:rFonts w:eastAsia="TimesNewRoman"/>
        </w:rPr>
        <w:t>T</w:t>
      </w:r>
      <w:r w:rsidR="00686D30" w:rsidRPr="00686D30">
        <w:rPr>
          <w:rFonts w:eastAsia="TimesNewRoman"/>
          <w:vertAlign w:val="subscript"/>
        </w:rPr>
        <w:t>max</w:t>
      </w:r>
      <w:r w:rsidRPr="00BA24C8">
        <w:rPr>
          <w:rFonts w:eastAsia="TimesNewRoman"/>
        </w:rPr>
        <w:t xml:space="preserve"> values for digoxin in patients with cancer. By contrast, following a single dose of 5 mg rosuvastatin, the presence of regorafenib 160 mg QD significantly increased rosuvastatin </w:t>
      </w:r>
      <w:r w:rsidR="00126F1A" w:rsidRPr="00BA24C8">
        <w:rPr>
          <w:rFonts w:eastAsiaTheme="minorHAnsi" w:cstheme="minorHAnsi"/>
        </w:rPr>
        <w:t>C</w:t>
      </w:r>
      <w:r w:rsidR="00126F1A" w:rsidRPr="00126F1A">
        <w:rPr>
          <w:rFonts w:eastAsiaTheme="minorHAnsi" w:cstheme="minorHAnsi"/>
          <w:vertAlign w:val="subscript"/>
        </w:rPr>
        <w:t>max</w:t>
      </w:r>
      <w:r w:rsidRPr="00BA24C8">
        <w:rPr>
          <w:rFonts w:eastAsia="TimesNewRoman"/>
        </w:rPr>
        <w:t xml:space="preserve"> and AUC values by 4.6 and 3.8</w:t>
      </w:r>
      <w:r w:rsidR="00686D30">
        <w:rPr>
          <w:rFonts w:eastAsia="TimesNewRoman"/>
        </w:rPr>
        <w:t xml:space="preserve"> fold</w:t>
      </w:r>
      <w:r w:rsidRPr="00BA24C8">
        <w:rPr>
          <w:rFonts w:eastAsia="TimesNewRoman"/>
        </w:rPr>
        <w:t xml:space="preserve">, respectively, compared to when rosuvastatin was administered alone. </w:t>
      </w:r>
    </w:p>
    <w:p w:rsidR="006241FD" w:rsidRPr="00BA24C8" w:rsidRDefault="006241FD" w:rsidP="00126F1A">
      <w:pPr>
        <w:pStyle w:val="Heading5"/>
        <w:rPr>
          <w:rFonts w:eastAsia="TimesNewRoman"/>
        </w:rPr>
      </w:pPr>
      <w:r w:rsidRPr="00BA24C8">
        <w:rPr>
          <w:rFonts w:eastAsia="TimesNewRoman"/>
        </w:rPr>
        <w:t>Limitations of the PK studies</w:t>
      </w:r>
    </w:p>
    <w:p w:rsidR="00500337" w:rsidRPr="00500337" w:rsidRDefault="006241FD" w:rsidP="006241FD">
      <w:r w:rsidRPr="00BA24C8">
        <w:rPr>
          <w:rFonts w:eastAsia="TimesNewRoman"/>
        </w:rPr>
        <w:t>No dedicated PK studies were undertaken that specifically examined the PKs of regorafenib in patients with HCC.</w:t>
      </w:r>
    </w:p>
    <w:p w:rsidR="008E7846" w:rsidRDefault="008E7846" w:rsidP="008E7846">
      <w:pPr>
        <w:pStyle w:val="Heading3"/>
      </w:pPr>
      <w:bookmarkStart w:id="63" w:name="_Toc196046481"/>
      <w:bookmarkStart w:id="64" w:name="_Toc247691520"/>
      <w:bookmarkStart w:id="65" w:name="_Toc314842503"/>
      <w:bookmarkStart w:id="66" w:name="_Toc12263460"/>
      <w:r w:rsidRPr="00254787">
        <w:t>Pharmacodynamics</w:t>
      </w:r>
      <w:bookmarkEnd w:id="45"/>
      <w:bookmarkEnd w:id="63"/>
      <w:bookmarkEnd w:id="64"/>
      <w:bookmarkEnd w:id="65"/>
      <w:bookmarkEnd w:id="66"/>
    </w:p>
    <w:p w:rsidR="00605AD4" w:rsidRDefault="00605AD4" w:rsidP="00605AD4">
      <w:pPr>
        <w:pStyle w:val="Heading4"/>
      </w:pPr>
      <w:r>
        <w:t>Studies providing pharmacodynamic data</w:t>
      </w:r>
    </w:p>
    <w:p w:rsidR="00126F1A" w:rsidRDefault="00126F1A" w:rsidP="00126F1A">
      <w:r>
        <w:t>The submitted PD studies are described in Table 4 below.</w:t>
      </w:r>
    </w:p>
    <w:p w:rsidR="006241FD" w:rsidRPr="00C73765" w:rsidRDefault="00F17CA0" w:rsidP="00F17CA0">
      <w:pPr>
        <w:pStyle w:val="TableTitle"/>
        <w:numPr>
          <w:ilvl w:val="0"/>
          <w:numId w:val="0"/>
        </w:numPr>
      </w:pPr>
      <w:bookmarkStart w:id="67" w:name="_Toc453839421"/>
      <w:bookmarkStart w:id="68" w:name="_Toc483989488"/>
      <w:r>
        <w:t xml:space="preserve">Table 4: </w:t>
      </w:r>
      <w:r w:rsidR="006241FD" w:rsidRPr="00C73765">
        <w:t>Submitted pharmacodynamic studies</w:t>
      </w:r>
      <w:bookmarkEnd w:id="67"/>
      <w:bookmarkEnd w:id="68"/>
    </w:p>
    <w:tbl>
      <w:tblPr>
        <w:tblStyle w:val="TableTGAblue"/>
        <w:tblW w:w="8613" w:type="dxa"/>
        <w:tblLayout w:type="fixed"/>
        <w:tblLook w:val="04A0" w:firstRow="1" w:lastRow="0" w:firstColumn="1" w:lastColumn="0" w:noHBand="0" w:noVBand="1"/>
      </w:tblPr>
      <w:tblGrid>
        <w:gridCol w:w="1809"/>
        <w:gridCol w:w="1418"/>
        <w:gridCol w:w="1417"/>
        <w:gridCol w:w="3969"/>
      </w:tblGrid>
      <w:tr w:rsidR="00126F1A" w:rsidRPr="00BA24C8" w:rsidTr="002E1220">
        <w:trPr>
          <w:cnfStyle w:val="100000000000" w:firstRow="1" w:lastRow="0" w:firstColumn="0" w:lastColumn="0" w:oddVBand="0" w:evenVBand="0" w:oddHBand="0" w:evenHBand="0" w:firstRowFirstColumn="0" w:firstRowLastColumn="0" w:lastRowFirstColumn="0" w:lastRowLastColumn="0"/>
        </w:trPr>
        <w:tc>
          <w:tcPr>
            <w:tcW w:w="1809" w:type="dxa"/>
          </w:tcPr>
          <w:p w:rsidR="00126F1A" w:rsidRPr="00126F1A" w:rsidRDefault="00126F1A" w:rsidP="00407613">
            <w:pPr>
              <w:rPr>
                <w:b w:val="0"/>
                <w:sz w:val="20"/>
                <w:szCs w:val="20"/>
              </w:rPr>
            </w:pPr>
            <w:r w:rsidRPr="00126F1A">
              <w:rPr>
                <w:sz w:val="20"/>
                <w:szCs w:val="20"/>
              </w:rPr>
              <w:t>PD Topic</w:t>
            </w:r>
          </w:p>
        </w:tc>
        <w:tc>
          <w:tcPr>
            <w:tcW w:w="1418" w:type="dxa"/>
          </w:tcPr>
          <w:p w:rsidR="00126F1A" w:rsidRPr="00126F1A" w:rsidRDefault="00126F1A" w:rsidP="00126F1A">
            <w:pPr>
              <w:rPr>
                <w:b w:val="0"/>
                <w:sz w:val="20"/>
                <w:szCs w:val="20"/>
              </w:rPr>
            </w:pPr>
            <w:r w:rsidRPr="00126F1A">
              <w:rPr>
                <w:sz w:val="20"/>
                <w:szCs w:val="20"/>
              </w:rPr>
              <w:t>Subtopic</w:t>
            </w:r>
          </w:p>
        </w:tc>
        <w:tc>
          <w:tcPr>
            <w:tcW w:w="1417" w:type="dxa"/>
          </w:tcPr>
          <w:p w:rsidR="00126F1A" w:rsidRPr="00126F1A" w:rsidRDefault="00126F1A" w:rsidP="00126F1A">
            <w:pPr>
              <w:rPr>
                <w:b w:val="0"/>
                <w:sz w:val="20"/>
                <w:szCs w:val="20"/>
              </w:rPr>
            </w:pPr>
            <w:r w:rsidRPr="00126F1A">
              <w:rPr>
                <w:sz w:val="20"/>
                <w:szCs w:val="20"/>
              </w:rPr>
              <w:t>Study ID</w:t>
            </w:r>
          </w:p>
        </w:tc>
        <w:tc>
          <w:tcPr>
            <w:tcW w:w="3969" w:type="dxa"/>
          </w:tcPr>
          <w:p w:rsidR="00126F1A" w:rsidRPr="00126F1A" w:rsidRDefault="00126F1A" w:rsidP="00126F1A">
            <w:pPr>
              <w:rPr>
                <w:b w:val="0"/>
                <w:sz w:val="20"/>
                <w:szCs w:val="20"/>
              </w:rPr>
            </w:pPr>
            <w:r w:rsidRPr="00126F1A">
              <w:rPr>
                <w:sz w:val="20"/>
                <w:szCs w:val="20"/>
              </w:rPr>
              <w:t>*</w:t>
            </w:r>
          </w:p>
        </w:tc>
      </w:tr>
      <w:tr w:rsidR="00126F1A" w:rsidRPr="00BA24C8" w:rsidTr="002E1220">
        <w:tc>
          <w:tcPr>
            <w:tcW w:w="1809" w:type="dxa"/>
          </w:tcPr>
          <w:p w:rsidR="00126F1A" w:rsidRPr="00126F1A" w:rsidRDefault="00126F1A" w:rsidP="00126F1A">
            <w:pPr>
              <w:rPr>
                <w:sz w:val="20"/>
                <w:szCs w:val="20"/>
              </w:rPr>
            </w:pPr>
            <w:r w:rsidRPr="00126F1A">
              <w:rPr>
                <w:sz w:val="20"/>
                <w:szCs w:val="20"/>
              </w:rPr>
              <w:t>Primary Pharmacology</w:t>
            </w:r>
          </w:p>
        </w:tc>
        <w:tc>
          <w:tcPr>
            <w:tcW w:w="1418" w:type="dxa"/>
          </w:tcPr>
          <w:p w:rsidR="00126F1A" w:rsidRPr="00126F1A" w:rsidRDefault="00126F1A" w:rsidP="00126F1A">
            <w:pPr>
              <w:rPr>
                <w:sz w:val="20"/>
                <w:szCs w:val="20"/>
              </w:rPr>
            </w:pPr>
            <w:r w:rsidRPr="00126F1A">
              <w:rPr>
                <w:sz w:val="20"/>
                <w:szCs w:val="20"/>
              </w:rPr>
              <w:t>Effect on tumour response</w:t>
            </w:r>
          </w:p>
        </w:tc>
        <w:tc>
          <w:tcPr>
            <w:tcW w:w="1417" w:type="dxa"/>
          </w:tcPr>
          <w:p w:rsidR="00126F1A" w:rsidRPr="00126F1A" w:rsidRDefault="00126F1A" w:rsidP="00126F1A">
            <w:pPr>
              <w:rPr>
                <w:sz w:val="20"/>
                <w:szCs w:val="20"/>
              </w:rPr>
            </w:pPr>
            <w:r w:rsidRPr="00126F1A">
              <w:rPr>
                <w:rFonts w:eastAsiaTheme="minorHAnsi"/>
                <w:sz w:val="20"/>
                <w:szCs w:val="20"/>
              </w:rPr>
              <w:t>PH-38094</w:t>
            </w:r>
          </w:p>
        </w:tc>
        <w:tc>
          <w:tcPr>
            <w:tcW w:w="3969" w:type="dxa"/>
          </w:tcPr>
          <w:p w:rsidR="00126F1A" w:rsidRPr="00126F1A" w:rsidRDefault="00126F1A" w:rsidP="00126F1A">
            <w:pPr>
              <w:rPr>
                <w:sz w:val="20"/>
                <w:szCs w:val="20"/>
              </w:rPr>
            </w:pPr>
            <w:r w:rsidRPr="00126F1A">
              <w:rPr>
                <w:sz w:val="20"/>
                <w:szCs w:val="20"/>
                <w:lang w:eastAsia="en-US"/>
              </w:rPr>
              <w:t>Addendum to Report PH-36742 concerning 6 patients with adenocarcinoma or HCC who remained on treatment after the cut-off date.</w:t>
            </w:r>
          </w:p>
        </w:tc>
      </w:tr>
      <w:tr w:rsidR="00126F1A" w:rsidRPr="00BA24C8" w:rsidTr="002E1220">
        <w:tc>
          <w:tcPr>
            <w:tcW w:w="1809" w:type="dxa"/>
            <w:vMerge w:val="restart"/>
          </w:tcPr>
          <w:p w:rsidR="00126F1A" w:rsidRPr="00126F1A" w:rsidRDefault="00126F1A" w:rsidP="00407613">
            <w:pPr>
              <w:rPr>
                <w:sz w:val="20"/>
                <w:szCs w:val="20"/>
              </w:rPr>
            </w:pPr>
            <w:r w:rsidRPr="00126F1A">
              <w:rPr>
                <w:sz w:val="20"/>
                <w:szCs w:val="20"/>
              </w:rPr>
              <w:t>PK/PD analysis</w:t>
            </w:r>
          </w:p>
        </w:tc>
        <w:tc>
          <w:tcPr>
            <w:tcW w:w="1418" w:type="dxa"/>
            <w:vMerge w:val="restart"/>
          </w:tcPr>
          <w:p w:rsidR="00126F1A" w:rsidRPr="00126F1A" w:rsidRDefault="00126F1A" w:rsidP="00126F1A">
            <w:pPr>
              <w:rPr>
                <w:sz w:val="20"/>
                <w:szCs w:val="20"/>
              </w:rPr>
            </w:pPr>
            <w:r w:rsidRPr="00126F1A">
              <w:rPr>
                <w:sz w:val="20"/>
                <w:szCs w:val="20"/>
              </w:rPr>
              <w:t>Exposure-efficacy</w:t>
            </w:r>
          </w:p>
        </w:tc>
        <w:tc>
          <w:tcPr>
            <w:tcW w:w="1417" w:type="dxa"/>
          </w:tcPr>
          <w:p w:rsidR="00126F1A" w:rsidRPr="00126F1A" w:rsidRDefault="00126F1A" w:rsidP="00126F1A">
            <w:pPr>
              <w:rPr>
                <w:rFonts w:eastAsiaTheme="minorHAnsi"/>
                <w:sz w:val="20"/>
                <w:szCs w:val="20"/>
              </w:rPr>
            </w:pPr>
            <w:r w:rsidRPr="00126F1A">
              <w:rPr>
                <w:rFonts w:eastAsia="TimesNewRoman"/>
                <w:sz w:val="20"/>
                <w:szCs w:val="20"/>
                <w:lang w:eastAsia="en-US"/>
              </w:rPr>
              <w:t>PH-39209</w:t>
            </w:r>
          </w:p>
        </w:tc>
        <w:tc>
          <w:tcPr>
            <w:tcW w:w="3969" w:type="dxa"/>
          </w:tcPr>
          <w:p w:rsidR="00126F1A" w:rsidRPr="00126F1A" w:rsidRDefault="00126F1A" w:rsidP="00126F1A">
            <w:pPr>
              <w:rPr>
                <w:sz w:val="20"/>
                <w:szCs w:val="20"/>
              </w:rPr>
            </w:pPr>
            <w:r w:rsidRPr="00126F1A">
              <w:rPr>
                <w:sz w:val="20"/>
                <w:szCs w:val="20"/>
                <w:lang w:eastAsia="en-US"/>
              </w:rPr>
              <w:t>Examine the relationship between exposure to regorafenib, M-2 and M-5 with relevant efficacy and safety data in patients with HCC</w:t>
            </w:r>
          </w:p>
        </w:tc>
      </w:tr>
      <w:tr w:rsidR="00126F1A" w:rsidRPr="00BA24C8" w:rsidTr="00F17CA0">
        <w:trPr>
          <w:cantSplit/>
        </w:trPr>
        <w:tc>
          <w:tcPr>
            <w:tcW w:w="1809" w:type="dxa"/>
            <w:vMerge/>
          </w:tcPr>
          <w:p w:rsidR="00126F1A" w:rsidRPr="00126F1A" w:rsidRDefault="00126F1A" w:rsidP="00126F1A">
            <w:pPr>
              <w:rPr>
                <w:sz w:val="20"/>
                <w:szCs w:val="20"/>
              </w:rPr>
            </w:pPr>
          </w:p>
        </w:tc>
        <w:tc>
          <w:tcPr>
            <w:tcW w:w="1418" w:type="dxa"/>
            <w:vMerge/>
          </w:tcPr>
          <w:p w:rsidR="00126F1A" w:rsidRPr="00126F1A" w:rsidRDefault="00126F1A" w:rsidP="00126F1A">
            <w:pPr>
              <w:rPr>
                <w:sz w:val="20"/>
                <w:szCs w:val="20"/>
              </w:rPr>
            </w:pPr>
          </w:p>
        </w:tc>
        <w:tc>
          <w:tcPr>
            <w:tcW w:w="1417" w:type="dxa"/>
          </w:tcPr>
          <w:p w:rsidR="00126F1A" w:rsidRPr="00126F1A" w:rsidRDefault="00126F1A" w:rsidP="00126F1A">
            <w:pPr>
              <w:rPr>
                <w:rFonts w:eastAsiaTheme="minorHAnsi"/>
                <w:sz w:val="20"/>
                <w:szCs w:val="20"/>
              </w:rPr>
            </w:pPr>
            <w:r w:rsidRPr="00126F1A">
              <w:rPr>
                <w:rFonts w:eastAsia="TimesNewRoman"/>
                <w:sz w:val="20"/>
                <w:szCs w:val="20"/>
                <w:lang w:eastAsia="en-US"/>
              </w:rPr>
              <w:t>PH-39309</w:t>
            </w:r>
          </w:p>
        </w:tc>
        <w:tc>
          <w:tcPr>
            <w:tcW w:w="3969" w:type="dxa"/>
          </w:tcPr>
          <w:p w:rsidR="00126F1A" w:rsidRPr="00126F1A" w:rsidRDefault="00126F1A" w:rsidP="00126F1A">
            <w:pPr>
              <w:rPr>
                <w:sz w:val="20"/>
                <w:szCs w:val="20"/>
              </w:rPr>
            </w:pPr>
            <w:r w:rsidRPr="00126F1A">
              <w:rPr>
                <w:sz w:val="20"/>
                <w:szCs w:val="20"/>
                <w:lang w:eastAsia="en-US"/>
              </w:rPr>
              <w:t>Examine the relationship between exposure of regorafenib, M-2 and M-5 and OS taking the possible effect of predefined baseline covariates into consideration</w:t>
            </w:r>
          </w:p>
        </w:tc>
      </w:tr>
    </w:tbl>
    <w:p w:rsidR="006241FD" w:rsidRPr="00BA24C8" w:rsidRDefault="006241FD" w:rsidP="00126F1A">
      <w:pPr>
        <w:pStyle w:val="TableDescription"/>
      </w:pPr>
      <w:r w:rsidRPr="00BA24C8">
        <w:t>* Indicates the primary PD aim of the study.</w:t>
      </w:r>
      <w:r w:rsidR="00126F1A">
        <w:t xml:space="preserve"> </w:t>
      </w:r>
      <w:r w:rsidR="000C6E94">
        <w:t>OS</w:t>
      </w:r>
      <w:r w:rsidR="00903EE0">
        <w:t xml:space="preserve"> </w:t>
      </w:r>
      <w:r w:rsidR="000C6E94">
        <w:t>=</w:t>
      </w:r>
      <w:r w:rsidR="00903EE0">
        <w:t xml:space="preserve"> </w:t>
      </w:r>
      <w:r w:rsidR="000C6E94">
        <w:t>Overall survival</w:t>
      </w:r>
      <w:r w:rsidR="00903EE0">
        <w:t>.</w:t>
      </w:r>
    </w:p>
    <w:p w:rsidR="00500337" w:rsidRPr="00500337" w:rsidRDefault="006241FD" w:rsidP="00126F1A">
      <w:r w:rsidRPr="00BA24C8">
        <w:rPr>
          <w:lang w:eastAsia="ja-JP"/>
        </w:rPr>
        <w:t xml:space="preserve">Several other new studies also examined tumour response; however, as these studies also contained new PK data they have been included in </w:t>
      </w:r>
      <w:r w:rsidR="00126F1A">
        <w:rPr>
          <w:lang w:eastAsia="ja-JP"/>
        </w:rPr>
        <w:t>Table 3 above</w:t>
      </w:r>
      <w:r w:rsidRPr="00BA24C8">
        <w:rPr>
          <w:lang w:eastAsia="ja-JP"/>
        </w:rPr>
        <w:t>.</w:t>
      </w:r>
    </w:p>
    <w:p w:rsidR="00605AD4" w:rsidRDefault="00605AD4" w:rsidP="00605AD4">
      <w:pPr>
        <w:pStyle w:val="Heading4"/>
      </w:pPr>
      <w:r>
        <w:t>Evaluator’s conclusions on pharmacodynamics</w:t>
      </w:r>
    </w:p>
    <w:p w:rsidR="006241FD" w:rsidRPr="00BA24C8" w:rsidRDefault="006241FD" w:rsidP="006241FD">
      <w:r w:rsidRPr="00BA24C8">
        <w:t>Regorafenib is a novel bi-aryl urea that targets kinases involved in tumour-cell proliferation/surv</w:t>
      </w:r>
      <w:r w:rsidR="00EC67F6">
        <w:t>ival and in tumour vasculature.</w:t>
      </w:r>
    </w:p>
    <w:p w:rsidR="006241FD" w:rsidRPr="00BA24C8" w:rsidRDefault="006241FD" w:rsidP="006241FD">
      <w:pPr>
        <w:rPr>
          <w:rFonts w:ascii="Calibri" w:hAnsi="Calibri" w:cs="Calibri"/>
        </w:rPr>
      </w:pPr>
      <w:r w:rsidRPr="00BA24C8">
        <w:lastRenderedPageBreak/>
        <w:t>In a population of 6 cancer patients, including 4 diagnosed with HCC, who underwent long</w:t>
      </w:r>
      <w:r w:rsidR="00903EE0">
        <w:t> </w:t>
      </w:r>
      <w:r w:rsidRPr="00BA24C8">
        <w:t xml:space="preserve">term treatment with regorafenib 160 mg QD, </w:t>
      </w:r>
      <w:r w:rsidRPr="00BA24C8">
        <w:rPr>
          <w:rFonts w:eastAsia="TimesNewRoman"/>
        </w:rPr>
        <w:t xml:space="preserve">3 subjects had </w:t>
      </w:r>
      <w:r w:rsidR="0036454F" w:rsidRPr="0036454F">
        <w:t xml:space="preserve">partial </w:t>
      </w:r>
      <w:r w:rsidR="0036454F">
        <w:t>r</w:t>
      </w:r>
      <w:r w:rsidR="0036454F" w:rsidRPr="0036454F">
        <w:t>esponse</w:t>
      </w:r>
      <w:r w:rsidR="0036454F" w:rsidRPr="00BA24C8">
        <w:rPr>
          <w:rFonts w:eastAsia="TimesNewRoman"/>
        </w:rPr>
        <w:t xml:space="preserve"> </w:t>
      </w:r>
      <w:r w:rsidR="0036454F">
        <w:rPr>
          <w:rFonts w:eastAsia="TimesNewRoman"/>
        </w:rPr>
        <w:t>(</w:t>
      </w:r>
      <w:r w:rsidRPr="00BA24C8">
        <w:rPr>
          <w:rFonts w:eastAsia="TimesNewRoman"/>
        </w:rPr>
        <w:t>PR</w:t>
      </w:r>
      <w:r w:rsidR="0036454F">
        <w:rPr>
          <w:rFonts w:eastAsia="TimesNewRoman"/>
        </w:rPr>
        <w:t>)</w:t>
      </w:r>
      <w:r w:rsidRPr="00BA24C8">
        <w:rPr>
          <w:rFonts w:eastAsia="TimesNewRoman"/>
        </w:rPr>
        <w:t xml:space="preserve"> and 1 subject had </w:t>
      </w:r>
      <w:r w:rsidR="0036454F">
        <w:rPr>
          <w:rFonts w:eastAsia="TimesNewRoman"/>
        </w:rPr>
        <w:t>stable disease (</w:t>
      </w:r>
      <w:r w:rsidRPr="00BA24C8">
        <w:rPr>
          <w:rFonts w:eastAsia="TimesNewRoman"/>
        </w:rPr>
        <w:t>SD</w:t>
      </w:r>
      <w:r w:rsidR="0036454F">
        <w:rPr>
          <w:rFonts w:eastAsia="TimesNewRoman"/>
        </w:rPr>
        <w:t>)</w:t>
      </w:r>
      <w:r w:rsidRPr="00BA24C8">
        <w:rPr>
          <w:rFonts w:eastAsia="TimesNewRoman"/>
        </w:rPr>
        <w:t xml:space="preserve"> as best response</w:t>
      </w:r>
      <w:r w:rsidRPr="00BA24C8">
        <w:t>.</w:t>
      </w:r>
    </w:p>
    <w:p w:rsidR="006241FD" w:rsidRPr="00BA24C8" w:rsidRDefault="006241FD" w:rsidP="006241FD">
      <w:pPr>
        <w:rPr>
          <w:rFonts w:eastAsia="TimesNewRoman"/>
        </w:rPr>
      </w:pPr>
      <w:r w:rsidRPr="00BA24C8">
        <w:rPr>
          <w:rFonts w:eastAsia="TimesNewRoman"/>
        </w:rPr>
        <w:t>Based on PK/PD analyses of data from patients with HCC, there were no significant relationships between regorafenib, M-2 and/or M-5 exposure and efficacy or safety outcomes.</w:t>
      </w:r>
    </w:p>
    <w:p w:rsidR="006241FD" w:rsidRPr="00BA24C8" w:rsidRDefault="006241FD" w:rsidP="00126F1A">
      <w:pPr>
        <w:pStyle w:val="Heading5"/>
        <w:rPr>
          <w:rFonts w:eastAsia="TimesNewRoman"/>
        </w:rPr>
      </w:pPr>
      <w:r w:rsidRPr="00BA24C8">
        <w:rPr>
          <w:rFonts w:eastAsia="TimesNewRoman"/>
        </w:rPr>
        <w:t>Limitations of PD studies</w:t>
      </w:r>
    </w:p>
    <w:p w:rsidR="00500337" w:rsidRPr="00500337" w:rsidRDefault="006241FD" w:rsidP="006241FD">
      <w:r w:rsidRPr="00BA24C8">
        <w:t>Little information is provided regarding the PD effects of regorafenib in patients with HCC.</w:t>
      </w:r>
    </w:p>
    <w:p w:rsidR="008E7846" w:rsidRDefault="00605AD4" w:rsidP="00605AD4">
      <w:pPr>
        <w:pStyle w:val="Heading3"/>
      </w:pPr>
      <w:bookmarkStart w:id="69" w:name="_Toc12263461"/>
      <w:r>
        <w:t>Dosage selection for the pivotal studies</w:t>
      </w:r>
      <w:bookmarkEnd w:id="69"/>
    </w:p>
    <w:p w:rsidR="006241FD" w:rsidRPr="00BA24C8" w:rsidRDefault="006241FD" w:rsidP="006241FD">
      <w:pPr>
        <w:rPr>
          <w:lang w:eastAsia="ja-JP"/>
        </w:rPr>
      </w:pPr>
      <w:r w:rsidRPr="00BA24C8">
        <w:rPr>
          <w:lang w:eastAsia="ja-JP"/>
        </w:rPr>
        <w:t xml:space="preserve">Dose selection for regorafenib in the pivotal </w:t>
      </w:r>
      <w:r w:rsidR="00126F1A">
        <w:rPr>
          <w:lang w:eastAsia="ja-JP"/>
        </w:rPr>
        <w:t>Phase III</w:t>
      </w:r>
      <w:r w:rsidRPr="00BA24C8">
        <w:rPr>
          <w:lang w:eastAsia="ja-JP"/>
        </w:rPr>
        <w:t xml:space="preserve"> study, </w:t>
      </w:r>
      <w:r w:rsidR="00903EE0">
        <w:rPr>
          <w:lang w:eastAsia="ja-JP"/>
        </w:rPr>
        <w:t xml:space="preserve">the </w:t>
      </w:r>
      <w:r w:rsidRPr="00BA24C8">
        <w:rPr>
          <w:lang w:eastAsia="ja-JP"/>
        </w:rPr>
        <w:t>RESORCE trial, was based on Phase</w:t>
      </w:r>
      <w:r w:rsidR="00126F1A">
        <w:rPr>
          <w:lang w:eastAsia="ja-JP"/>
        </w:rPr>
        <w:t xml:space="preserve"> I, II</w:t>
      </w:r>
      <w:r w:rsidRPr="00BA24C8">
        <w:rPr>
          <w:lang w:eastAsia="ja-JP"/>
        </w:rPr>
        <w:t xml:space="preserve"> and </w:t>
      </w:r>
      <w:r w:rsidR="00126F1A">
        <w:rPr>
          <w:lang w:eastAsia="ja-JP"/>
        </w:rPr>
        <w:t>III</w:t>
      </w:r>
      <w:r w:rsidRPr="00BA24C8">
        <w:rPr>
          <w:lang w:eastAsia="ja-JP"/>
        </w:rPr>
        <w:t xml:space="preserve"> data for the mCRC and GIST indications as well as the </w:t>
      </w:r>
      <w:r w:rsidR="004F75EF">
        <w:rPr>
          <w:lang w:eastAsia="ja-JP"/>
        </w:rPr>
        <w:t>Phase II</w:t>
      </w:r>
      <w:r w:rsidRPr="00BA24C8">
        <w:rPr>
          <w:lang w:eastAsia="ja-JP"/>
        </w:rPr>
        <w:t xml:space="preserve"> study in HCC patients, </w:t>
      </w:r>
      <w:r w:rsidR="00903EE0">
        <w:rPr>
          <w:lang w:eastAsia="ja-JP"/>
        </w:rPr>
        <w:t>S</w:t>
      </w:r>
      <w:r w:rsidR="00903EE0" w:rsidRPr="00BA24C8">
        <w:rPr>
          <w:lang w:eastAsia="ja-JP"/>
        </w:rPr>
        <w:t xml:space="preserve">tudy </w:t>
      </w:r>
      <w:r w:rsidRPr="00BA24C8">
        <w:rPr>
          <w:lang w:eastAsia="ja-JP"/>
        </w:rPr>
        <w:t xml:space="preserve">14596 (previously evaluated by TGA). Based on the results in 2 dose escalation studies in patients with different types of cancer, </w:t>
      </w:r>
      <w:r w:rsidR="004F75EF">
        <w:rPr>
          <w:lang w:eastAsia="ja-JP"/>
        </w:rPr>
        <w:t>S</w:t>
      </w:r>
      <w:r w:rsidRPr="00BA24C8">
        <w:rPr>
          <w:lang w:eastAsia="ja-JP"/>
        </w:rPr>
        <w:t xml:space="preserve">tudy 11650 (once daily dosing for 3 weeks of every 4 week cycle </w:t>
      </w:r>
      <w:r w:rsidR="00903EE0">
        <w:rPr>
          <w:lang w:eastAsia="ja-JP"/>
        </w:rPr>
        <w:t>(</w:t>
      </w:r>
      <w:r w:rsidRPr="00BA24C8">
        <w:rPr>
          <w:lang w:eastAsia="ja-JP"/>
        </w:rPr>
        <w:t>3 weeks on / 1 week off</w:t>
      </w:r>
      <w:r w:rsidR="00903EE0">
        <w:rPr>
          <w:lang w:eastAsia="ja-JP"/>
        </w:rPr>
        <w:t>)</w:t>
      </w:r>
      <w:r w:rsidRPr="00BA24C8">
        <w:rPr>
          <w:lang w:eastAsia="ja-JP"/>
        </w:rPr>
        <w:t xml:space="preserve">) and </w:t>
      </w:r>
      <w:r w:rsidR="004F75EF">
        <w:rPr>
          <w:lang w:eastAsia="ja-JP"/>
        </w:rPr>
        <w:t>S</w:t>
      </w:r>
      <w:r w:rsidRPr="00BA24C8">
        <w:rPr>
          <w:lang w:eastAsia="ja-JP"/>
        </w:rPr>
        <w:t>tudy 11651 (continuous treatment regimens), the dosing regimen of regorafenib 160 mg once daily for 3 weeks of every 4</w:t>
      </w:r>
      <w:r w:rsidR="004F75EF">
        <w:rPr>
          <w:lang w:eastAsia="ja-JP"/>
        </w:rPr>
        <w:t xml:space="preserve"> </w:t>
      </w:r>
      <w:r w:rsidRPr="00BA24C8">
        <w:rPr>
          <w:lang w:eastAsia="ja-JP"/>
        </w:rPr>
        <w:t>week cycle was chosen over the continuous dosing regimen of regorafenib 100 mg once daily for subsequent clinical development of regorafenib for the indications of mCRC and GIST (already currently approved) as well as for the proposed indication of HCC.</w:t>
      </w:r>
    </w:p>
    <w:p w:rsidR="006241FD" w:rsidRPr="00BA24C8" w:rsidRDefault="006241FD" w:rsidP="004F75EF">
      <w:pPr>
        <w:pStyle w:val="Heading4"/>
      </w:pPr>
      <w:bookmarkStart w:id="70" w:name="_Toc416353713"/>
      <w:bookmarkStart w:id="71" w:name="_Toc421005266"/>
      <w:bookmarkStart w:id="72" w:name="_Toc432079148"/>
      <w:bookmarkStart w:id="73" w:name="_Toc432080721"/>
      <w:bookmarkStart w:id="74" w:name="_Toc488837809"/>
      <w:r w:rsidRPr="00BA24C8">
        <w:t>Evaluator’s conclusions on dose finding for the pivotal studies</w:t>
      </w:r>
      <w:bookmarkEnd w:id="70"/>
      <w:bookmarkEnd w:id="71"/>
      <w:bookmarkEnd w:id="72"/>
      <w:bookmarkEnd w:id="73"/>
      <w:bookmarkEnd w:id="74"/>
    </w:p>
    <w:p w:rsidR="006241FD" w:rsidRPr="006241FD" w:rsidRDefault="006241FD" w:rsidP="006241FD">
      <w:r w:rsidRPr="00BA24C8">
        <w:t xml:space="preserve">The rationale for the dose selection and dosing regimen for the pivotal </w:t>
      </w:r>
      <w:r w:rsidR="00126F1A">
        <w:t>Phase III</w:t>
      </w:r>
      <w:r w:rsidR="0036454F">
        <w:t xml:space="preserve"> trial wa</w:t>
      </w:r>
      <w:r w:rsidRPr="00BA24C8">
        <w:t xml:space="preserve">s </w:t>
      </w:r>
      <w:r w:rsidR="0036454F">
        <w:t xml:space="preserve">considered to be </w:t>
      </w:r>
      <w:r w:rsidRPr="00BA24C8">
        <w:t>sound.</w:t>
      </w:r>
    </w:p>
    <w:p w:rsidR="008E7846" w:rsidRPr="00254787" w:rsidRDefault="008E7846" w:rsidP="008E7846">
      <w:pPr>
        <w:pStyle w:val="Heading3"/>
      </w:pPr>
      <w:bookmarkStart w:id="75" w:name="_Toc163441372"/>
      <w:bookmarkStart w:id="76" w:name="_Toc196046485"/>
      <w:bookmarkStart w:id="77" w:name="_Toc247691521"/>
      <w:bookmarkStart w:id="78" w:name="_Toc314842504"/>
      <w:bookmarkStart w:id="79" w:name="_Toc12263462"/>
      <w:r w:rsidRPr="00254787">
        <w:t>Efficacy</w:t>
      </w:r>
      <w:bookmarkEnd w:id="75"/>
      <w:bookmarkEnd w:id="76"/>
      <w:bookmarkEnd w:id="77"/>
      <w:bookmarkEnd w:id="78"/>
      <w:bookmarkEnd w:id="79"/>
    </w:p>
    <w:p w:rsidR="00605AD4" w:rsidRDefault="00605AD4" w:rsidP="00605AD4">
      <w:pPr>
        <w:pStyle w:val="Heading4"/>
      </w:pPr>
      <w:bookmarkStart w:id="80" w:name="_Toc184439992"/>
      <w:bookmarkStart w:id="81" w:name="_Toc184440279"/>
      <w:bookmarkStart w:id="82" w:name="_Toc184444657"/>
      <w:bookmarkStart w:id="83" w:name="_Toc196046487"/>
      <w:r>
        <w:t>Studies providing efficacy data</w:t>
      </w:r>
    </w:p>
    <w:p w:rsidR="00500337" w:rsidRPr="00500337" w:rsidRDefault="006241FD" w:rsidP="00500337">
      <w:r w:rsidRPr="00BA24C8">
        <w:t xml:space="preserve">Support for the efficacy of </w:t>
      </w:r>
      <w:r w:rsidRPr="00BA24C8">
        <w:rPr>
          <w:lang w:eastAsia="ja-JP"/>
        </w:rPr>
        <w:t>regorafenib</w:t>
      </w:r>
      <w:r w:rsidRPr="00BA24C8">
        <w:t xml:space="preserve"> for the proposed indication is based on the results of a single </w:t>
      </w:r>
      <w:r w:rsidR="00126F1A">
        <w:rPr>
          <w:lang w:eastAsia="ja-JP"/>
        </w:rPr>
        <w:t>Phase III</w:t>
      </w:r>
      <w:r w:rsidRPr="00BA24C8">
        <w:rPr>
          <w:lang w:eastAsia="ja-JP"/>
        </w:rPr>
        <w:t>, randomised,</w:t>
      </w:r>
      <w:r w:rsidRPr="00BA24C8">
        <w:t xml:space="preserve"> </w:t>
      </w:r>
      <w:r w:rsidR="00462820">
        <w:rPr>
          <w:lang w:eastAsia="ja-JP"/>
        </w:rPr>
        <w:t>placebo controlled</w:t>
      </w:r>
      <w:r w:rsidRPr="00BA24C8">
        <w:rPr>
          <w:lang w:eastAsia="ja-JP"/>
        </w:rPr>
        <w:t xml:space="preserve">, </w:t>
      </w:r>
      <w:r w:rsidR="00462820">
        <w:rPr>
          <w:lang w:eastAsia="ja-JP"/>
        </w:rPr>
        <w:t>double blind</w:t>
      </w:r>
      <w:r w:rsidRPr="00BA24C8">
        <w:rPr>
          <w:lang w:eastAsia="ja-JP"/>
        </w:rPr>
        <w:t xml:space="preserve"> study (</w:t>
      </w:r>
      <w:r w:rsidR="004F75EF">
        <w:rPr>
          <w:lang w:eastAsia="ja-JP"/>
        </w:rPr>
        <w:t xml:space="preserve">Study </w:t>
      </w:r>
      <w:r w:rsidRPr="00BA24C8">
        <w:rPr>
          <w:lang w:eastAsia="ja-JP"/>
        </w:rPr>
        <w:t xml:space="preserve">15982 </w:t>
      </w:r>
      <w:r w:rsidR="00903EE0">
        <w:rPr>
          <w:lang w:eastAsia="ja-JP"/>
        </w:rPr>
        <w:t xml:space="preserve">(the </w:t>
      </w:r>
      <w:r w:rsidRPr="00BA24C8">
        <w:rPr>
          <w:lang w:eastAsia="ja-JP"/>
        </w:rPr>
        <w:t>RESORCE</w:t>
      </w:r>
      <w:r w:rsidR="00903EE0">
        <w:rPr>
          <w:lang w:eastAsia="ja-JP"/>
        </w:rPr>
        <w:t xml:space="preserve"> trial)</w:t>
      </w:r>
      <w:r w:rsidRPr="00BA24C8">
        <w:rPr>
          <w:lang w:eastAsia="ja-JP"/>
        </w:rPr>
        <w:t>).</w:t>
      </w:r>
      <w:r w:rsidRPr="00BA24C8">
        <w:t xml:space="preserve"> </w:t>
      </w:r>
      <w:r w:rsidRPr="00BA24C8">
        <w:rPr>
          <w:lang w:eastAsia="ja-JP"/>
        </w:rPr>
        <w:t xml:space="preserve">Supportive data is provided by an addendum 2 report of a </w:t>
      </w:r>
      <w:r w:rsidR="004F75EF">
        <w:rPr>
          <w:lang w:eastAsia="ja-JP"/>
        </w:rPr>
        <w:t>Phase II</w:t>
      </w:r>
      <w:r w:rsidRPr="00BA24C8">
        <w:rPr>
          <w:lang w:eastAsia="ja-JP"/>
        </w:rPr>
        <w:t xml:space="preserve"> open-labelled, uncontrolled study (</w:t>
      </w:r>
      <w:r w:rsidR="00903EE0">
        <w:rPr>
          <w:lang w:eastAsia="ja-JP"/>
        </w:rPr>
        <w:t>R</w:t>
      </w:r>
      <w:r w:rsidR="00903EE0" w:rsidRPr="00BA24C8">
        <w:rPr>
          <w:lang w:eastAsia="ja-JP"/>
        </w:rPr>
        <w:t xml:space="preserve">eport </w:t>
      </w:r>
      <w:r w:rsidRPr="00BA24C8">
        <w:rPr>
          <w:lang w:eastAsia="ja-JP"/>
        </w:rPr>
        <w:t xml:space="preserve">PH-37288 of </w:t>
      </w:r>
      <w:r w:rsidR="004F75EF">
        <w:rPr>
          <w:lang w:eastAsia="ja-JP"/>
        </w:rPr>
        <w:t>S</w:t>
      </w:r>
      <w:r w:rsidRPr="00BA24C8">
        <w:rPr>
          <w:lang w:eastAsia="ja-JP"/>
        </w:rPr>
        <w:t>tudy 14596/A51601). The sponsor has presented the results of these 2 studies separately and no integrated summary of efficacy is submitted. This is considered acceptable as these 2 studies have different study designs.</w:t>
      </w:r>
    </w:p>
    <w:p w:rsidR="008E7846" w:rsidRDefault="00605AD4" w:rsidP="00605AD4">
      <w:pPr>
        <w:pStyle w:val="Heading4"/>
      </w:pPr>
      <w:r>
        <w:t>Evaluator’s conclusions on efficacy</w:t>
      </w:r>
    </w:p>
    <w:p w:rsidR="006241FD" w:rsidRPr="00BA24C8" w:rsidRDefault="006241FD" w:rsidP="006241FD">
      <w:r w:rsidRPr="00BA24C8">
        <w:t xml:space="preserve">Overall, the study design, inclusion and exclusion criteria, and study endpoints of the pivotal </w:t>
      </w:r>
      <w:r w:rsidR="00126F1A">
        <w:t>Phase III</w:t>
      </w:r>
      <w:r w:rsidRPr="00BA24C8">
        <w:t xml:space="preserve"> study (RESORCE</w:t>
      </w:r>
      <w:r w:rsidR="00903EE0">
        <w:t xml:space="preserve"> trial</w:t>
      </w:r>
      <w:r w:rsidRPr="00BA24C8">
        <w:t>) were appropriate and in line with the recommendations of the TGA</w:t>
      </w:r>
      <w:r w:rsidR="00EB28B3">
        <w:t xml:space="preserve"> </w:t>
      </w:r>
      <w:r w:rsidRPr="00BA24C8">
        <w:t>adopted E</w:t>
      </w:r>
      <w:r w:rsidR="00EB28B3">
        <w:t>U</w:t>
      </w:r>
      <w:r w:rsidRPr="00BA24C8">
        <w:t xml:space="preserve"> guidelines on the evaluation of anticancer medicinal products in man. The primary efficacy endpoint allowed assessment of the effect of </w:t>
      </w:r>
      <w:r w:rsidRPr="00BA24C8">
        <w:rPr>
          <w:lang w:eastAsia="ja-JP"/>
        </w:rPr>
        <w:t xml:space="preserve">regorafenib on survival time while </w:t>
      </w:r>
      <w:r w:rsidRPr="00BA24C8">
        <w:t xml:space="preserve">secondary efficacy endpoints allowed assessment of the effect on </w:t>
      </w:r>
      <w:r w:rsidRPr="00BA24C8">
        <w:rPr>
          <w:lang w:eastAsia="ja-JP"/>
        </w:rPr>
        <w:t>disease progression</w:t>
      </w:r>
      <w:r w:rsidR="00407613">
        <w:rPr>
          <w:lang w:eastAsia="ja-JP"/>
        </w:rPr>
        <w:t xml:space="preserve"> </w:t>
      </w:r>
      <w:r w:rsidRPr="00BA24C8">
        <w:rPr>
          <w:lang w:eastAsia="ja-JP"/>
        </w:rPr>
        <w:t xml:space="preserve">free survival </w:t>
      </w:r>
      <w:r w:rsidR="00EB28B3">
        <w:rPr>
          <w:lang w:eastAsia="ja-JP"/>
        </w:rPr>
        <w:t xml:space="preserve">(PFS) </w:t>
      </w:r>
      <w:r w:rsidRPr="00BA24C8">
        <w:rPr>
          <w:lang w:eastAsia="ja-JP"/>
        </w:rPr>
        <w:t>time, time to disease progression and rate of radiological responses (complete response, partial response, stable disease).</w:t>
      </w:r>
      <w:r w:rsidRPr="00BA24C8">
        <w:t xml:space="preserve"> Baseline demographic and disease characteristics were comparable between treatment groups, and were generally consistent with the target patient population.</w:t>
      </w:r>
    </w:p>
    <w:p w:rsidR="006241FD" w:rsidRPr="00BA24C8" w:rsidRDefault="006241FD" w:rsidP="006241FD">
      <w:r w:rsidRPr="00BA24C8">
        <w:t xml:space="preserve">Analysis of the primary efficacy endpoint showed that there was a statistically significant reduced risk of death of 37% with </w:t>
      </w:r>
      <w:r w:rsidRPr="00BA24C8">
        <w:rPr>
          <w:lang w:eastAsia="ja-JP"/>
        </w:rPr>
        <w:t>regorafenib compared with placebo (</w:t>
      </w:r>
      <w:r w:rsidR="00387426">
        <w:rPr>
          <w:lang w:eastAsia="ja-JP"/>
        </w:rPr>
        <w:t>Hazard ratio (</w:t>
      </w:r>
      <w:r w:rsidR="00EB28B3">
        <w:rPr>
          <w:lang w:eastAsia="ja-JP"/>
        </w:rPr>
        <w:t>HR</w:t>
      </w:r>
      <w:r w:rsidR="00387426">
        <w:rPr>
          <w:lang w:eastAsia="ja-JP"/>
        </w:rPr>
        <w:t>)</w:t>
      </w:r>
      <w:r w:rsidRPr="00BA24C8">
        <w:rPr>
          <w:lang w:eastAsia="ja-JP"/>
        </w:rPr>
        <w:t xml:space="preserve"> </w:t>
      </w:r>
      <w:r w:rsidRPr="00BA24C8">
        <w:rPr>
          <w:lang w:eastAsia="ja-JP"/>
        </w:rPr>
        <w:lastRenderedPageBreak/>
        <w:t xml:space="preserve">of 0.627; 95% </w:t>
      </w:r>
      <w:r w:rsidR="00EB28B3">
        <w:rPr>
          <w:lang w:eastAsia="ja-JP"/>
        </w:rPr>
        <w:t>confidence interval (</w:t>
      </w:r>
      <w:r w:rsidRPr="00BA24C8">
        <w:rPr>
          <w:lang w:eastAsia="ja-JP"/>
        </w:rPr>
        <w:t>CI</w:t>
      </w:r>
      <w:r w:rsidR="00EB28B3">
        <w:rPr>
          <w:lang w:eastAsia="ja-JP"/>
        </w:rPr>
        <w:t>)</w:t>
      </w:r>
      <w:r w:rsidRPr="00BA24C8">
        <w:rPr>
          <w:lang w:eastAsia="ja-JP"/>
        </w:rPr>
        <w:t>: 0.500, 0.785; p</w:t>
      </w:r>
      <w:r w:rsidR="00EC67F6">
        <w:rPr>
          <w:lang w:eastAsia="ja-JP"/>
        </w:rPr>
        <w:t xml:space="preserve"> </w:t>
      </w:r>
      <w:r w:rsidRPr="00BA24C8">
        <w:rPr>
          <w:lang w:eastAsia="ja-JP"/>
        </w:rPr>
        <w:t>=</w:t>
      </w:r>
      <w:r w:rsidR="00EC67F6">
        <w:rPr>
          <w:lang w:eastAsia="ja-JP"/>
        </w:rPr>
        <w:t xml:space="preserve"> </w:t>
      </w:r>
      <w:r w:rsidRPr="00BA24C8">
        <w:rPr>
          <w:lang w:eastAsia="ja-JP"/>
        </w:rPr>
        <w:t xml:space="preserve">0.000020). The median overall survival </w:t>
      </w:r>
      <w:r w:rsidR="000C6E94">
        <w:rPr>
          <w:lang w:eastAsia="ja-JP"/>
        </w:rPr>
        <w:t xml:space="preserve">(OS) </w:t>
      </w:r>
      <w:r w:rsidRPr="00BA24C8">
        <w:rPr>
          <w:lang w:eastAsia="ja-JP"/>
        </w:rPr>
        <w:t>time was 10.6 months (95% CI: 9.1, 12.1 months) with regorafenib versus 7.8 months (95% CI: 6.3, 8.8 months) with placebo.</w:t>
      </w:r>
      <w:r w:rsidRPr="00BA24C8">
        <w:t xml:space="preserve"> Analysis of secondary endpoint of </w:t>
      </w:r>
      <w:r w:rsidR="00EB28B3">
        <w:rPr>
          <w:lang w:eastAsia="ja-JP"/>
        </w:rPr>
        <w:t>PFS</w:t>
      </w:r>
      <w:r w:rsidRPr="00BA24C8">
        <w:rPr>
          <w:lang w:eastAsia="ja-JP"/>
        </w:rPr>
        <w:t xml:space="preserve"> </w:t>
      </w:r>
      <w:r w:rsidRPr="00BA24C8">
        <w:t xml:space="preserve">showed that there was a statistically significant reduced risk of </w:t>
      </w:r>
      <w:r w:rsidRPr="00BA24C8">
        <w:rPr>
          <w:lang w:eastAsia="ja-JP"/>
        </w:rPr>
        <w:t>disease progression or death</w:t>
      </w:r>
      <w:r w:rsidRPr="00BA24C8">
        <w:t xml:space="preserve"> of 55% with </w:t>
      </w:r>
      <w:r w:rsidRPr="00BA24C8">
        <w:rPr>
          <w:lang w:eastAsia="ja-JP"/>
        </w:rPr>
        <w:t>regorafenib compared with placebo (</w:t>
      </w:r>
      <w:r w:rsidR="00EB28B3">
        <w:rPr>
          <w:lang w:eastAsia="ja-JP"/>
        </w:rPr>
        <w:t>HR</w:t>
      </w:r>
      <w:r w:rsidRPr="00BA24C8">
        <w:rPr>
          <w:lang w:eastAsia="ja-JP"/>
        </w:rPr>
        <w:t xml:space="preserve"> of 0.455; 95% CI: 0.371, 0.558; p</w:t>
      </w:r>
      <w:r w:rsidR="00EC67F6">
        <w:rPr>
          <w:lang w:eastAsia="ja-JP"/>
        </w:rPr>
        <w:t xml:space="preserve"> </w:t>
      </w:r>
      <w:r w:rsidRPr="00BA24C8">
        <w:rPr>
          <w:lang w:eastAsia="ja-JP"/>
        </w:rPr>
        <w:t>&lt;</w:t>
      </w:r>
      <w:r w:rsidR="00EC67F6">
        <w:rPr>
          <w:lang w:eastAsia="ja-JP"/>
        </w:rPr>
        <w:t xml:space="preserve"> </w:t>
      </w:r>
      <w:r w:rsidRPr="00BA24C8">
        <w:rPr>
          <w:lang w:eastAsia="ja-JP"/>
        </w:rPr>
        <w:t>0.000001).</w:t>
      </w:r>
      <w:r w:rsidRPr="00BA24C8">
        <w:t xml:space="preserve"> </w:t>
      </w:r>
      <w:r w:rsidRPr="00BA24C8">
        <w:rPr>
          <w:lang w:eastAsia="ja-JP"/>
        </w:rPr>
        <w:t xml:space="preserve">The median </w:t>
      </w:r>
      <w:r w:rsidR="00EB28B3">
        <w:rPr>
          <w:lang w:eastAsia="ja-JP"/>
        </w:rPr>
        <w:t>PFS</w:t>
      </w:r>
      <w:r w:rsidRPr="00BA24C8">
        <w:rPr>
          <w:lang w:eastAsia="ja-JP"/>
        </w:rPr>
        <w:t xml:space="preserve"> time was 3.1 months (95% CI: 2.8, 4.2) with regorafenib versus 1.5 months (95% CI: 1.4, 1.6) with placebo. There </w:t>
      </w:r>
      <w:r w:rsidRPr="00BA24C8">
        <w:t xml:space="preserve">was also a statistically significant reduced risk of </w:t>
      </w:r>
      <w:r w:rsidRPr="00BA24C8">
        <w:rPr>
          <w:lang w:eastAsia="ja-JP"/>
        </w:rPr>
        <w:t xml:space="preserve">time to progression </w:t>
      </w:r>
      <w:r w:rsidR="00407613">
        <w:rPr>
          <w:lang w:eastAsia="ja-JP"/>
        </w:rPr>
        <w:t xml:space="preserve">(TTP) </w:t>
      </w:r>
      <w:r w:rsidRPr="00BA24C8">
        <w:t xml:space="preserve">of 56% with </w:t>
      </w:r>
      <w:r w:rsidRPr="00BA24C8">
        <w:rPr>
          <w:lang w:eastAsia="ja-JP"/>
        </w:rPr>
        <w:t>regorafenib compared with placebo (</w:t>
      </w:r>
      <w:r w:rsidR="00EB28B3">
        <w:rPr>
          <w:lang w:eastAsia="ja-JP"/>
        </w:rPr>
        <w:t>HR</w:t>
      </w:r>
      <w:r w:rsidRPr="00BA24C8">
        <w:rPr>
          <w:lang w:eastAsia="ja-JP"/>
        </w:rPr>
        <w:t xml:space="preserve"> of 0.442; 95% CI: 0.358, 0.545; p</w:t>
      </w:r>
      <w:r w:rsidR="00EC67F6">
        <w:rPr>
          <w:lang w:eastAsia="ja-JP"/>
        </w:rPr>
        <w:t xml:space="preserve"> </w:t>
      </w:r>
      <w:r w:rsidRPr="00BA24C8">
        <w:rPr>
          <w:lang w:eastAsia="ja-JP"/>
        </w:rPr>
        <w:t>&lt;</w:t>
      </w:r>
      <w:r w:rsidR="00EC67F6">
        <w:rPr>
          <w:lang w:eastAsia="ja-JP"/>
        </w:rPr>
        <w:t xml:space="preserve"> </w:t>
      </w:r>
      <w:r w:rsidRPr="00BA24C8">
        <w:rPr>
          <w:lang w:eastAsia="ja-JP"/>
        </w:rPr>
        <w:t xml:space="preserve">0.000001). The median </w:t>
      </w:r>
      <w:r w:rsidR="00407613">
        <w:rPr>
          <w:lang w:eastAsia="ja-JP"/>
        </w:rPr>
        <w:t>TTP</w:t>
      </w:r>
      <w:r w:rsidRPr="00BA24C8">
        <w:rPr>
          <w:lang w:eastAsia="ja-JP"/>
        </w:rPr>
        <w:t xml:space="preserve"> was 3.2 months (95% CI: 2.9, 4.2) with regorafenib versus 1.5 months (95% CI: 1.4, 1.6) with placebo. </w:t>
      </w:r>
      <w:r w:rsidRPr="00BA24C8">
        <w:t xml:space="preserve">Subgroup analyses of </w:t>
      </w:r>
      <w:r w:rsidR="000C6E94">
        <w:rPr>
          <w:lang w:eastAsia="ja-JP"/>
        </w:rPr>
        <w:t>OS</w:t>
      </w:r>
      <w:r w:rsidRPr="00BA24C8">
        <w:rPr>
          <w:lang w:eastAsia="ja-JP"/>
        </w:rPr>
        <w:t xml:space="preserve">, </w:t>
      </w:r>
      <w:r w:rsidR="00407613">
        <w:rPr>
          <w:lang w:eastAsia="ja-JP"/>
        </w:rPr>
        <w:t>PFS</w:t>
      </w:r>
      <w:r w:rsidRPr="00BA24C8">
        <w:rPr>
          <w:lang w:eastAsia="ja-JP"/>
        </w:rPr>
        <w:t xml:space="preserve"> and </w:t>
      </w:r>
      <w:r w:rsidR="00407613">
        <w:rPr>
          <w:lang w:eastAsia="ja-JP"/>
        </w:rPr>
        <w:t>TTP</w:t>
      </w:r>
      <w:r w:rsidRPr="00BA24C8">
        <w:rPr>
          <w:lang w:eastAsia="ja-JP"/>
        </w:rPr>
        <w:t xml:space="preserve"> were supportive of consistent benefit for regorafenib over placebo across the subgroups assessed.</w:t>
      </w:r>
    </w:p>
    <w:p w:rsidR="006241FD" w:rsidRPr="00BA24C8" w:rsidRDefault="006241FD" w:rsidP="006241FD">
      <w:pPr>
        <w:rPr>
          <w:lang w:eastAsia="ja-JP"/>
        </w:rPr>
      </w:pPr>
      <w:r w:rsidRPr="00BA24C8">
        <w:rPr>
          <w:lang w:eastAsia="ja-JP"/>
        </w:rPr>
        <w:t>The percentage of all</w:t>
      </w:r>
      <w:r w:rsidR="00EB28B3">
        <w:rPr>
          <w:lang w:eastAsia="ja-JP"/>
        </w:rPr>
        <w:t xml:space="preserve"> </w:t>
      </w:r>
      <w:r w:rsidRPr="00BA24C8">
        <w:rPr>
          <w:lang w:eastAsia="ja-JP"/>
        </w:rPr>
        <w:t>randomised subjects with complete response or partial response (objective tumour response rate) was higher with regorafenib than with placebo (10.6%</w:t>
      </w:r>
      <w:r w:rsidR="00EB28B3">
        <w:rPr>
          <w:lang w:eastAsia="ja-JP"/>
        </w:rPr>
        <w:t xml:space="preserve"> versus </w:t>
      </w:r>
      <w:r w:rsidRPr="00BA24C8">
        <w:rPr>
          <w:lang w:eastAsia="ja-JP"/>
        </w:rPr>
        <w:t xml:space="preserve">4.1% </w:t>
      </w:r>
      <w:r w:rsidR="00903EE0">
        <w:rPr>
          <w:lang w:eastAsia="ja-JP"/>
        </w:rPr>
        <w:t>(</w:t>
      </w:r>
      <w:proofErr w:type="spellStart"/>
      <w:r w:rsidRPr="00BA24C8">
        <w:rPr>
          <w:lang w:eastAsia="ja-JP"/>
        </w:rPr>
        <w:t>mRECIST</w:t>
      </w:r>
      <w:proofErr w:type="spellEnd"/>
      <w:r w:rsidRPr="00BA24C8">
        <w:rPr>
          <w:lang w:eastAsia="ja-JP"/>
        </w:rPr>
        <w:t xml:space="preserve"> criteria</w:t>
      </w:r>
      <w:r w:rsidR="00903EE0">
        <w:rPr>
          <w:lang w:eastAsia="ja-JP"/>
        </w:rPr>
        <w:t>)</w:t>
      </w:r>
      <w:r w:rsidRPr="00BA24C8">
        <w:rPr>
          <w:lang w:eastAsia="ja-JP"/>
        </w:rPr>
        <w:t>). The proportion of all</w:t>
      </w:r>
      <w:r w:rsidR="00EB28B3">
        <w:rPr>
          <w:lang w:eastAsia="ja-JP"/>
        </w:rPr>
        <w:t xml:space="preserve"> </w:t>
      </w:r>
      <w:r w:rsidRPr="00BA24C8">
        <w:rPr>
          <w:lang w:eastAsia="ja-JP"/>
        </w:rPr>
        <w:t>treated patients whose best response was complete response, partial response or stable disease (disease control rate) was also higher with regorafenib than with placebo (65.2%</w:t>
      </w:r>
      <w:r w:rsidR="00EB28B3">
        <w:rPr>
          <w:lang w:eastAsia="ja-JP"/>
        </w:rPr>
        <w:t xml:space="preserve"> versus </w:t>
      </w:r>
      <w:r w:rsidRPr="00BA24C8">
        <w:rPr>
          <w:lang w:eastAsia="ja-JP"/>
        </w:rPr>
        <w:t xml:space="preserve">36.1% </w:t>
      </w:r>
      <w:r w:rsidR="00903EE0">
        <w:rPr>
          <w:lang w:eastAsia="ja-JP"/>
        </w:rPr>
        <w:t>(</w:t>
      </w:r>
      <w:proofErr w:type="spellStart"/>
      <w:r w:rsidRPr="00BA24C8">
        <w:rPr>
          <w:lang w:eastAsia="ja-JP"/>
        </w:rPr>
        <w:t>mRECIST</w:t>
      </w:r>
      <w:proofErr w:type="spellEnd"/>
      <w:r w:rsidRPr="00BA24C8">
        <w:rPr>
          <w:lang w:eastAsia="ja-JP"/>
        </w:rPr>
        <w:t xml:space="preserve"> criteria</w:t>
      </w:r>
      <w:r w:rsidR="00903EE0">
        <w:rPr>
          <w:lang w:eastAsia="ja-JP"/>
        </w:rPr>
        <w:t>)</w:t>
      </w:r>
      <w:r w:rsidRPr="00BA24C8">
        <w:rPr>
          <w:lang w:eastAsia="ja-JP"/>
        </w:rPr>
        <w:t>). Overall, the percentages of subjects with complete response, partial response and stable disease were higher in the regorafenib group compared to the placebo group (mRECIST criteria: complete response 0.5%</w:t>
      </w:r>
      <w:r w:rsidR="00EB28B3">
        <w:rPr>
          <w:lang w:eastAsia="ja-JP"/>
        </w:rPr>
        <w:t xml:space="preserve"> versus </w:t>
      </w:r>
      <w:r w:rsidRPr="00BA24C8">
        <w:rPr>
          <w:lang w:eastAsia="ja-JP"/>
        </w:rPr>
        <w:t>0%; partial response 10.0%</w:t>
      </w:r>
      <w:r w:rsidR="00EB28B3">
        <w:rPr>
          <w:lang w:eastAsia="ja-JP"/>
        </w:rPr>
        <w:t xml:space="preserve"> versus </w:t>
      </w:r>
      <w:r w:rsidRPr="00BA24C8">
        <w:rPr>
          <w:lang w:eastAsia="ja-JP"/>
        </w:rPr>
        <w:t>4.1%; stable disease 54.4%</w:t>
      </w:r>
      <w:r w:rsidR="00EB28B3">
        <w:rPr>
          <w:lang w:eastAsia="ja-JP"/>
        </w:rPr>
        <w:t xml:space="preserve"> versus </w:t>
      </w:r>
      <w:r w:rsidRPr="00BA24C8">
        <w:rPr>
          <w:lang w:eastAsia="ja-JP"/>
        </w:rPr>
        <w:t>32.0%).</w:t>
      </w:r>
    </w:p>
    <w:p w:rsidR="006241FD" w:rsidRPr="00BA24C8" w:rsidRDefault="006241FD" w:rsidP="006241FD">
      <w:pPr>
        <w:rPr>
          <w:lang w:eastAsia="ja-JP"/>
        </w:rPr>
      </w:pPr>
      <w:r w:rsidRPr="00BA24C8">
        <w:rPr>
          <w:lang w:eastAsia="ja-JP"/>
        </w:rPr>
        <w:t>Results of the single</w:t>
      </w:r>
      <w:r w:rsidR="0036454F">
        <w:rPr>
          <w:lang w:eastAsia="ja-JP"/>
        </w:rPr>
        <w:t xml:space="preserve"> </w:t>
      </w:r>
      <w:r w:rsidRPr="00BA24C8">
        <w:rPr>
          <w:lang w:eastAsia="ja-JP"/>
        </w:rPr>
        <w:t>arm, open</w:t>
      </w:r>
      <w:r w:rsidR="0036454F">
        <w:rPr>
          <w:lang w:eastAsia="ja-JP"/>
        </w:rPr>
        <w:t xml:space="preserve"> </w:t>
      </w:r>
      <w:r w:rsidRPr="00BA24C8">
        <w:rPr>
          <w:lang w:eastAsia="ja-JP"/>
        </w:rPr>
        <w:t xml:space="preserve">label Phase </w:t>
      </w:r>
      <w:r w:rsidR="00EB28B3">
        <w:rPr>
          <w:lang w:eastAsia="ja-JP"/>
        </w:rPr>
        <w:t>II</w:t>
      </w:r>
      <w:r w:rsidRPr="00BA24C8">
        <w:rPr>
          <w:lang w:eastAsia="ja-JP"/>
        </w:rPr>
        <w:t xml:space="preserve"> </w:t>
      </w:r>
      <w:r w:rsidR="00864644">
        <w:rPr>
          <w:lang w:eastAsia="ja-JP"/>
        </w:rPr>
        <w:t>Study PH</w:t>
      </w:r>
      <w:r w:rsidRPr="00BA24C8">
        <w:rPr>
          <w:lang w:eastAsia="ja-JP"/>
        </w:rPr>
        <w:t xml:space="preserve">-37288 were generally supportive of the results of the RESORCE </w:t>
      </w:r>
      <w:r w:rsidR="00903EE0">
        <w:rPr>
          <w:lang w:eastAsia="ja-JP"/>
        </w:rPr>
        <w:t>trial</w:t>
      </w:r>
      <w:r w:rsidRPr="00BA24C8">
        <w:rPr>
          <w:lang w:eastAsia="ja-JP"/>
        </w:rPr>
        <w:t xml:space="preserve">. Median </w:t>
      </w:r>
      <w:r w:rsidR="000C6E94">
        <w:rPr>
          <w:lang w:eastAsia="ja-JP"/>
        </w:rPr>
        <w:t>OS</w:t>
      </w:r>
      <w:r w:rsidRPr="00BA24C8">
        <w:rPr>
          <w:lang w:eastAsia="ja-JP"/>
        </w:rPr>
        <w:t xml:space="preserve"> time was 13.8 months. </w:t>
      </w:r>
      <w:r w:rsidR="00387426">
        <w:rPr>
          <w:lang w:eastAsia="ja-JP"/>
        </w:rPr>
        <w:t>M</w:t>
      </w:r>
      <w:r w:rsidRPr="00BA24C8">
        <w:rPr>
          <w:lang w:eastAsia="ja-JP"/>
        </w:rPr>
        <w:t xml:space="preserve">edian </w:t>
      </w:r>
      <w:r w:rsidR="00407613">
        <w:rPr>
          <w:lang w:eastAsia="ja-JP"/>
        </w:rPr>
        <w:t>TTP</w:t>
      </w:r>
      <w:r w:rsidR="00EC67F6">
        <w:rPr>
          <w:lang w:eastAsia="ja-JP"/>
        </w:rPr>
        <w:t xml:space="preserve"> was 4.3 </w:t>
      </w:r>
      <w:r w:rsidRPr="00BA24C8">
        <w:rPr>
          <w:lang w:eastAsia="ja-JP"/>
        </w:rPr>
        <w:t xml:space="preserve">months. Objective tumour response rate was 2.8% and </w:t>
      </w:r>
      <w:r w:rsidR="00DA0C28">
        <w:rPr>
          <w:lang w:eastAsia="ja-JP"/>
        </w:rPr>
        <w:t>DCR</w:t>
      </w:r>
      <w:r w:rsidRPr="00BA24C8">
        <w:rPr>
          <w:lang w:eastAsia="ja-JP"/>
        </w:rPr>
        <w:t xml:space="preserve"> was 72.2%. The percentage of subjects with complete response, partial response and stable disease were 0%, 2.8% and 69.4%, respectively.</w:t>
      </w:r>
    </w:p>
    <w:p w:rsidR="006241FD" w:rsidRPr="00BA24C8" w:rsidRDefault="006241FD" w:rsidP="006241FD">
      <w:pPr>
        <w:rPr>
          <w:lang w:eastAsia="ja-JP"/>
        </w:rPr>
      </w:pPr>
      <w:r w:rsidRPr="00BA24C8">
        <w:rPr>
          <w:lang w:eastAsia="ja-JP"/>
        </w:rPr>
        <w:t>The support for the efficacy claims in HCC is based exclusively on patients who had previously been treated with sorafenib, the only currently approved first</w:t>
      </w:r>
      <w:r w:rsidR="00387426">
        <w:rPr>
          <w:lang w:eastAsia="ja-JP"/>
        </w:rPr>
        <w:t xml:space="preserve"> </w:t>
      </w:r>
      <w:r w:rsidRPr="00BA24C8">
        <w:rPr>
          <w:lang w:eastAsia="ja-JP"/>
        </w:rPr>
        <w:t xml:space="preserve">line systemic treatment for HCC. However, the proposed indication is for the </w:t>
      </w:r>
      <w:r w:rsidR="00864644">
        <w:rPr>
          <w:lang w:eastAsia="ja-JP"/>
        </w:rPr>
        <w:t>‘</w:t>
      </w:r>
      <w:r w:rsidRPr="00387426">
        <w:rPr>
          <w:i/>
          <w:lang w:eastAsia="ja-JP"/>
        </w:rPr>
        <w:t>treatment of patients with HCC who have been previously treated with one systemic therapy</w:t>
      </w:r>
      <w:r w:rsidR="00864644">
        <w:rPr>
          <w:lang w:eastAsia="ja-JP"/>
        </w:rPr>
        <w:t>’</w:t>
      </w:r>
      <w:r w:rsidRPr="00BA24C8">
        <w:rPr>
          <w:lang w:eastAsia="ja-JP"/>
        </w:rPr>
        <w:t xml:space="preserve"> and therefore does not restrict the first</w:t>
      </w:r>
      <w:r w:rsidR="00387426">
        <w:rPr>
          <w:lang w:eastAsia="ja-JP"/>
        </w:rPr>
        <w:t xml:space="preserve"> </w:t>
      </w:r>
      <w:r w:rsidRPr="00BA24C8">
        <w:rPr>
          <w:lang w:eastAsia="ja-JP"/>
        </w:rPr>
        <w:t xml:space="preserve">line systemic treatment to sorafenib. The sponsor has submitted justification for this broader indication, which is mainly based on considerations of the anticipated impact of potential alternative </w:t>
      </w:r>
      <w:r w:rsidR="00387426">
        <w:rPr>
          <w:lang w:eastAsia="ja-JP"/>
        </w:rPr>
        <w:t>first line</w:t>
      </w:r>
      <w:r w:rsidRPr="00BA24C8">
        <w:rPr>
          <w:lang w:eastAsia="ja-JP"/>
        </w:rPr>
        <w:t xml:space="preserve"> treatments on the efficacy and safety of </w:t>
      </w:r>
      <w:r w:rsidR="00864644">
        <w:rPr>
          <w:lang w:eastAsia="ja-JP"/>
        </w:rPr>
        <w:t>second line</w:t>
      </w:r>
      <w:r w:rsidRPr="00BA24C8">
        <w:rPr>
          <w:lang w:eastAsia="ja-JP"/>
        </w:rPr>
        <w:t xml:space="preserve"> regorafenib. The parts relevant to efficacy will be discussed here, while those pertaining to safety will be discussed </w:t>
      </w:r>
      <w:r w:rsidR="00387426">
        <w:rPr>
          <w:lang w:eastAsia="ja-JP"/>
        </w:rPr>
        <w:t xml:space="preserve">later under </w:t>
      </w:r>
      <w:r w:rsidR="00387426" w:rsidRPr="00387426">
        <w:rPr>
          <w:i/>
          <w:lang w:eastAsia="ja-JP"/>
        </w:rPr>
        <w:t>Safety</w:t>
      </w:r>
      <w:r w:rsidRPr="00BA24C8">
        <w:rPr>
          <w:lang w:eastAsia="ja-JP"/>
        </w:rPr>
        <w:t>.</w:t>
      </w:r>
    </w:p>
    <w:p w:rsidR="006241FD" w:rsidRPr="00BA24C8" w:rsidRDefault="006241FD" w:rsidP="006241FD">
      <w:pPr>
        <w:rPr>
          <w:lang w:eastAsia="ja-JP"/>
        </w:rPr>
      </w:pPr>
      <w:r w:rsidRPr="00BA24C8">
        <w:rPr>
          <w:lang w:eastAsia="ja-JP"/>
        </w:rPr>
        <w:t xml:space="preserve">As sorafenib is the only currently approved </w:t>
      </w:r>
      <w:r w:rsidR="00387426">
        <w:rPr>
          <w:lang w:eastAsia="ja-JP"/>
        </w:rPr>
        <w:t>first line</w:t>
      </w:r>
      <w:r w:rsidRPr="00BA24C8">
        <w:rPr>
          <w:lang w:eastAsia="ja-JP"/>
        </w:rPr>
        <w:t xml:space="preserve"> systemic treatment for HCC, and is the current global standard of care for HCC patients who have failed, or are not candidates for, curative and/or loco-regional treatments, this precluded the RESORCE study from enrolling HCC patients who had been previously treated with any </w:t>
      </w:r>
      <w:r w:rsidR="00387426">
        <w:rPr>
          <w:lang w:eastAsia="ja-JP"/>
        </w:rPr>
        <w:t>first line</w:t>
      </w:r>
      <w:r w:rsidRPr="00BA24C8">
        <w:rPr>
          <w:lang w:eastAsia="ja-JP"/>
        </w:rPr>
        <w:t xml:space="preserve"> systemic treatment other than sorafenib. Based on currently ongoing </w:t>
      </w:r>
      <w:r w:rsidR="004F75EF">
        <w:rPr>
          <w:lang w:eastAsia="ja-JP"/>
        </w:rPr>
        <w:t>Phase III</w:t>
      </w:r>
      <w:r w:rsidRPr="00BA24C8">
        <w:rPr>
          <w:lang w:eastAsia="ja-JP"/>
        </w:rPr>
        <w:t xml:space="preserve"> trials on pharmacological </w:t>
      </w:r>
      <w:r w:rsidR="00387426">
        <w:rPr>
          <w:lang w:eastAsia="ja-JP"/>
        </w:rPr>
        <w:t>first line</w:t>
      </w:r>
      <w:r w:rsidRPr="00BA24C8">
        <w:rPr>
          <w:lang w:eastAsia="ja-JP"/>
        </w:rPr>
        <w:t xml:space="preserve"> treatment of HCC, the sponsor considered two different potential future treatment sequence scenarios for the use of </w:t>
      </w:r>
      <w:r w:rsidR="00864644">
        <w:rPr>
          <w:lang w:eastAsia="ja-JP"/>
        </w:rPr>
        <w:t>second line</w:t>
      </w:r>
      <w:r w:rsidRPr="00BA24C8">
        <w:rPr>
          <w:lang w:eastAsia="ja-JP"/>
        </w:rPr>
        <w:t xml:space="preserve"> regorafenib: (i) prior </w:t>
      </w:r>
      <w:r w:rsidR="00387426">
        <w:rPr>
          <w:lang w:eastAsia="ja-JP"/>
        </w:rPr>
        <w:t>first line</w:t>
      </w:r>
      <w:r w:rsidRPr="00BA24C8">
        <w:rPr>
          <w:lang w:eastAsia="ja-JP"/>
        </w:rPr>
        <w:t xml:space="preserve"> treatment with kinase inhibitors with a similar mechanism of action as sorafenib</w:t>
      </w:r>
      <w:r w:rsidR="00903EE0">
        <w:rPr>
          <w:lang w:eastAsia="ja-JP"/>
        </w:rPr>
        <w:t>;</w:t>
      </w:r>
      <w:r w:rsidRPr="00BA24C8">
        <w:rPr>
          <w:rStyle w:val="FootnoteReference"/>
          <w:lang w:eastAsia="ja-JP"/>
        </w:rPr>
        <w:footnoteReference w:id="13"/>
      </w:r>
      <w:r w:rsidRPr="00BA24C8">
        <w:rPr>
          <w:lang w:eastAsia="ja-JP"/>
        </w:rPr>
        <w:t xml:space="preserve"> or (ii) prior </w:t>
      </w:r>
      <w:r w:rsidR="00387426">
        <w:rPr>
          <w:lang w:eastAsia="ja-JP"/>
        </w:rPr>
        <w:t>first line</w:t>
      </w:r>
      <w:r w:rsidRPr="00BA24C8">
        <w:rPr>
          <w:lang w:eastAsia="ja-JP"/>
        </w:rPr>
        <w:t xml:space="preserve"> treatment with non-kinase inhibitor agents such as immune checkpoint inhibitors</w:t>
      </w:r>
      <w:r w:rsidR="00903EE0">
        <w:rPr>
          <w:lang w:eastAsia="ja-JP"/>
        </w:rPr>
        <w:t>.</w:t>
      </w:r>
      <w:r w:rsidRPr="00BA24C8">
        <w:rPr>
          <w:rStyle w:val="FootnoteReference"/>
          <w:lang w:eastAsia="ja-JP"/>
        </w:rPr>
        <w:footnoteReference w:id="14"/>
      </w:r>
    </w:p>
    <w:p w:rsidR="006241FD" w:rsidRPr="00BA24C8" w:rsidRDefault="006241FD" w:rsidP="0036454F">
      <w:pPr>
        <w:rPr>
          <w:lang w:eastAsia="ja-JP"/>
        </w:rPr>
      </w:pPr>
      <w:r w:rsidRPr="00BA24C8">
        <w:rPr>
          <w:lang w:eastAsia="ja-JP"/>
        </w:rPr>
        <w:lastRenderedPageBreak/>
        <w:t xml:space="preserve">Looking at the anticipated impact on regorafenib’s efficacy of the use of prior </w:t>
      </w:r>
      <w:r w:rsidR="00387426">
        <w:rPr>
          <w:lang w:eastAsia="ja-JP"/>
        </w:rPr>
        <w:t>first line</w:t>
      </w:r>
      <w:r w:rsidRPr="00BA24C8">
        <w:rPr>
          <w:lang w:eastAsia="ja-JP"/>
        </w:rPr>
        <w:t xml:space="preserve"> treatment with a kinase inhibitor, the sponsor cited the sequential use of </w:t>
      </w:r>
      <w:r w:rsidR="005555C9">
        <w:rPr>
          <w:lang w:eastAsia="ja-JP"/>
        </w:rPr>
        <w:t>multi-kinase</w:t>
      </w:r>
      <w:r w:rsidRPr="00BA24C8">
        <w:rPr>
          <w:lang w:eastAsia="ja-JP"/>
        </w:rPr>
        <w:t xml:space="preserve"> inhibitors in renal cell cancer, thyroid cancer and GIST as evidence that, despite previous concerns about cross-resistance, sequential use of </w:t>
      </w:r>
      <w:r w:rsidR="005555C9">
        <w:rPr>
          <w:lang w:eastAsia="ja-JP"/>
        </w:rPr>
        <w:t>multi-kinase</w:t>
      </w:r>
      <w:r w:rsidRPr="00BA24C8">
        <w:rPr>
          <w:lang w:eastAsia="ja-JP"/>
        </w:rPr>
        <w:t xml:space="preserve"> inhibitors with partially overlapping but distinct kinase inhibitor profiles is associated with clinical benefit and prolongation of survival. For instance, in renal cell cancer, sequential use of several </w:t>
      </w:r>
      <w:r w:rsidR="005555C9">
        <w:rPr>
          <w:lang w:eastAsia="ja-JP"/>
        </w:rPr>
        <w:t>multi-kinase</w:t>
      </w:r>
      <w:r w:rsidRPr="00BA24C8">
        <w:rPr>
          <w:lang w:eastAsia="ja-JP"/>
        </w:rPr>
        <w:t xml:space="preserve"> inhibitors such as sorafenib, sunitinib or axitinib has become standard of care. In GIST, sunitinib was approved for treatment of GIST patients after progression on imatinib therapy, based on results showing clinical benefit. The sponsor also cited the positive efficacy findings of RESORCE trial as providing consistent evidence on the clinical benefit of </w:t>
      </w:r>
      <w:r w:rsidR="005555C9">
        <w:rPr>
          <w:lang w:eastAsia="ja-JP"/>
        </w:rPr>
        <w:t>multi-kinase</w:t>
      </w:r>
      <w:r w:rsidRPr="00BA24C8">
        <w:rPr>
          <w:lang w:eastAsia="ja-JP"/>
        </w:rPr>
        <w:t xml:space="preserve"> inhibitor sequence treatmen</w:t>
      </w:r>
      <w:r w:rsidR="00EC67F6">
        <w:rPr>
          <w:lang w:eastAsia="ja-JP"/>
        </w:rPr>
        <w:t>ts in the various tumour types.</w:t>
      </w:r>
    </w:p>
    <w:p w:rsidR="006241FD" w:rsidRPr="00BA24C8" w:rsidRDefault="006241FD" w:rsidP="0036454F">
      <w:pPr>
        <w:rPr>
          <w:lang w:eastAsia="ja-JP"/>
        </w:rPr>
      </w:pPr>
      <w:r w:rsidRPr="00BA24C8">
        <w:rPr>
          <w:lang w:eastAsia="ja-JP"/>
        </w:rPr>
        <w:t xml:space="preserve">With regards to the anticipated impact on regorafenib’s efficacy of the use of prior </w:t>
      </w:r>
      <w:r w:rsidR="00387426">
        <w:rPr>
          <w:lang w:eastAsia="ja-JP"/>
        </w:rPr>
        <w:t>first line</w:t>
      </w:r>
      <w:r w:rsidRPr="00BA24C8">
        <w:rPr>
          <w:lang w:eastAsia="ja-JP"/>
        </w:rPr>
        <w:t xml:space="preserve"> treatment with immunological checkpoint inhibitors, the sponsor reasoned that given their different modes of action, it would be reasonable to assume that in patients failing treatment with immunological checkpoint inhibitors (</w:t>
      </w:r>
      <w:r w:rsidR="005555C9">
        <w:rPr>
          <w:lang w:eastAsia="ja-JP"/>
        </w:rPr>
        <w:t>for example,</w:t>
      </w:r>
      <w:r w:rsidRPr="00BA24C8">
        <w:rPr>
          <w:lang w:eastAsia="ja-JP"/>
        </w:rPr>
        <w:t xml:space="preserve"> PD-1 inhibitors), subsequent </w:t>
      </w:r>
      <w:r w:rsidR="005555C9">
        <w:rPr>
          <w:lang w:eastAsia="ja-JP"/>
        </w:rPr>
        <w:t>multi-kinase</w:t>
      </w:r>
      <w:r w:rsidRPr="00BA24C8">
        <w:rPr>
          <w:lang w:eastAsia="ja-JP"/>
        </w:rPr>
        <w:t xml:space="preserve"> inhibitors should still be efficacious as they target proteins involved in signalling pathways not known to be directly affected by the immunological checkpoint inhibitors (</w:t>
      </w:r>
      <w:r w:rsidR="005555C9">
        <w:rPr>
          <w:lang w:eastAsia="ja-JP"/>
        </w:rPr>
        <w:t>such as</w:t>
      </w:r>
      <w:r w:rsidRPr="00BA24C8">
        <w:rPr>
          <w:lang w:eastAsia="ja-JP"/>
        </w:rPr>
        <w:t xml:space="preserve"> angiogenesis and tumour proliferation). The sponsor cited studies in renal cell cancer showing clinical efficacy when </w:t>
      </w:r>
      <w:r w:rsidR="005555C9">
        <w:rPr>
          <w:lang w:eastAsia="ja-JP"/>
        </w:rPr>
        <w:t>multi-kinase</w:t>
      </w:r>
      <w:r w:rsidRPr="00BA24C8">
        <w:rPr>
          <w:lang w:eastAsia="ja-JP"/>
        </w:rPr>
        <w:t xml:space="preserve"> inhibitors were used in patients who had previously received a PD-1 inhibitor treatment.</w:t>
      </w:r>
    </w:p>
    <w:p w:rsidR="00500337" w:rsidRPr="00500337" w:rsidRDefault="006241FD" w:rsidP="006241FD">
      <w:r w:rsidRPr="00BA24C8">
        <w:rPr>
          <w:lang w:eastAsia="ja-JP"/>
        </w:rPr>
        <w:t xml:space="preserve">Overall, the justification for the proposed indication text of not restricting the </w:t>
      </w:r>
      <w:r w:rsidR="00387426">
        <w:rPr>
          <w:lang w:eastAsia="ja-JP"/>
        </w:rPr>
        <w:t>first line</w:t>
      </w:r>
      <w:r w:rsidRPr="00BA24C8">
        <w:rPr>
          <w:lang w:eastAsia="ja-JP"/>
        </w:rPr>
        <w:t xml:space="preserve"> systemic treatment to sorafenib is reasonable, with regards to the anticipated impact of potential alternative </w:t>
      </w:r>
      <w:r w:rsidR="00387426">
        <w:rPr>
          <w:lang w:eastAsia="ja-JP"/>
        </w:rPr>
        <w:t>first line</w:t>
      </w:r>
      <w:r w:rsidRPr="00BA24C8">
        <w:rPr>
          <w:lang w:eastAsia="ja-JP"/>
        </w:rPr>
        <w:t xml:space="preserve"> treatments on the efficacy of </w:t>
      </w:r>
      <w:r w:rsidR="00864644">
        <w:rPr>
          <w:lang w:eastAsia="ja-JP"/>
        </w:rPr>
        <w:t>second line</w:t>
      </w:r>
      <w:r w:rsidRPr="00BA24C8">
        <w:rPr>
          <w:lang w:eastAsia="ja-JP"/>
        </w:rPr>
        <w:t xml:space="preserve"> regorafenib.</w:t>
      </w:r>
    </w:p>
    <w:p w:rsidR="008E7846" w:rsidRPr="002E238E" w:rsidRDefault="008E7846" w:rsidP="008E7846">
      <w:pPr>
        <w:pStyle w:val="Heading3"/>
      </w:pPr>
      <w:bookmarkStart w:id="84" w:name="_Toc163441378"/>
      <w:bookmarkStart w:id="85" w:name="_Toc196046495"/>
      <w:bookmarkStart w:id="86" w:name="_Toc247691522"/>
      <w:bookmarkStart w:id="87" w:name="_Toc314842505"/>
      <w:bookmarkStart w:id="88" w:name="_Toc12263463"/>
      <w:bookmarkEnd w:id="80"/>
      <w:bookmarkEnd w:id="81"/>
      <w:bookmarkEnd w:id="82"/>
      <w:bookmarkEnd w:id="83"/>
      <w:r w:rsidRPr="002E238E">
        <w:t>Safety</w:t>
      </w:r>
      <w:bookmarkEnd w:id="84"/>
      <w:bookmarkEnd w:id="85"/>
      <w:bookmarkEnd w:id="86"/>
      <w:bookmarkEnd w:id="87"/>
      <w:bookmarkEnd w:id="88"/>
    </w:p>
    <w:p w:rsidR="00605AD4" w:rsidRDefault="00605AD4" w:rsidP="00605AD4">
      <w:pPr>
        <w:pStyle w:val="Heading4"/>
      </w:pPr>
      <w:bookmarkStart w:id="89" w:name="_Toc247691524"/>
      <w:bookmarkStart w:id="90" w:name="_Toc314842508"/>
      <w:bookmarkStart w:id="91" w:name="_Toc196046504"/>
      <w:bookmarkStart w:id="92" w:name="_Toc163441390"/>
      <w:r w:rsidRPr="00605AD4">
        <w:t>Studies providing safety data</w:t>
      </w:r>
    </w:p>
    <w:p w:rsidR="006241FD" w:rsidRDefault="006241FD" w:rsidP="006241FD">
      <w:pPr>
        <w:rPr>
          <w:lang w:eastAsia="ja-JP"/>
        </w:rPr>
      </w:pPr>
      <w:r w:rsidRPr="00BA24C8">
        <w:rPr>
          <w:lang w:eastAsia="ja-JP"/>
        </w:rPr>
        <w:t>The safety analyses in support of the HCC indication are based on data in three data pools from 15 completed (final or interim clean database available) company</w:t>
      </w:r>
      <w:r w:rsidR="004151AE">
        <w:rPr>
          <w:lang w:eastAsia="ja-JP"/>
        </w:rPr>
        <w:t xml:space="preserve"> </w:t>
      </w:r>
      <w:r w:rsidRPr="00BA24C8">
        <w:rPr>
          <w:lang w:eastAsia="ja-JP"/>
        </w:rPr>
        <w:t>sponsored monotherapy trials in subjects with cancer in any indication (</w:t>
      </w:r>
      <w:r w:rsidR="005555C9">
        <w:rPr>
          <w:lang w:eastAsia="ja-JP"/>
        </w:rPr>
        <w:t>Table 5).</w:t>
      </w:r>
      <w:r w:rsidRPr="00BA24C8">
        <w:rPr>
          <w:lang w:eastAsia="ja-JP"/>
        </w:rPr>
        <w:t xml:space="preserve"> Pool 1 (Overall Pool) comprises integrated safety data from all subjects exposed to regorafenib monotherapy in uncontrolled or controlled Phase </w:t>
      </w:r>
      <w:r w:rsidR="005555C9">
        <w:rPr>
          <w:lang w:eastAsia="ja-JP"/>
        </w:rPr>
        <w:t>I</w:t>
      </w:r>
      <w:r w:rsidRPr="00BA24C8">
        <w:rPr>
          <w:lang w:eastAsia="ja-JP"/>
        </w:rPr>
        <w:t xml:space="preserve"> to </w:t>
      </w:r>
      <w:r w:rsidR="00126F1A">
        <w:rPr>
          <w:lang w:eastAsia="ja-JP"/>
        </w:rPr>
        <w:t>Phase III</w:t>
      </w:r>
      <w:r w:rsidRPr="00BA24C8">
        <w:rPr>
          <w:lang w:eastAsia="ja-JP"/>
        </w:rPr>
        <w:t xml:space="preserve"> studies (this includes data from subjects randomised to placebo after their cross-over to regorafenib following unblinding). In total, 4518 </w:t>
      </w:r>
      <w:r w:rsidR="00462820">
        <w:rPr>
          <w:lang w:eastAsia="ja-JP"/>
        </w:rPr>
        <w:t>regorafenib treated</w:t>
      </w:r>
      <w:r w:rsidRPr="00BA24C8">
        <w:rPr>
          <w:lang w:eastAsia="ja-JP"/>
        </w:rPr>
        <w:t xml:space="preserve"> subjects are included in this pool, of which 2864 (63.4%) subjects were from one study, Study 15967 (CONSIGN</w:t>
      </w:r>
      <w:r w:rsidR="00903EE0">
        <w:rPr>
          <w:lang w:eastAsia="ja-JP"/>
        </w:rPr>
        <w:t xml:space="preserve"> trial</w:t>
      </w:r>
      <w:r w:rsidRPr="00BA24C8">
        <w:rPr>
          <w:lang w:eastAsia="ja-JP"/>
        </w:rPr>
        <w:t>), an open</w:t>
      </w:r>
      <w:r w:rsidR="00903EE0">
        <w:rPr>
          <w:lang w:eastAsia="ja-JP"/>
        </w:rPr>
        <w:t xml:space="preserve"> </w:t>
      </w:r>
      <w:r w:rsidRPr="00BA24C8">
        <w:rPr>
          <w:lang w:eastAsia="ja-JP"/>
        </w:rPr>
        <w:t>labelled, multinational, single</w:t>
      </w:r>
      <w:r w:rsidR="00903EE0">
        <w:rPr>
          <w:lang w:eastAsia="ja-JP"/>
        </w:rPr>
        <w:t xml:space="preserve"> </w:t>
      </w:r>
      <w:r w:rsidRPr="00BA24C8">
        <w:rPr>
          <w:lang w:eastAsia="ja-JP"/>
        </w:rPr>
        <w:t xml:space="preserve">arm </w:t>
      </w:r>
      <w:r w:rsidR="00126F1A">
        <w:rPr>
          <w:lang w:eastAsia="ja-JP"/>
        </w:rPr>
        <w:t xml:space="preserve">Phase </w:t>
      </w:r>
      <w:proofErr w:type="spellStart"/>
      <w:r w:rsidR="00126F1A">
        <w:rPr>
          <w:lang w:eastAsia="ja-JP"/>
        </w:rPr>
        <w:t>III</w:t>
      </w:r>
      <w:r w:rsidRPr="00BA24C8">
        <w:rPr>
          <w:lang w:eastAsia="ja-JP"/>
        </w:rPr>
        <w:t>b</w:t>
      </w:r>
      <w:proofErr w:type="spellEnd"/>
      <w:r w:rsidRPr="00BA24C8">
        <w:rPr>
          <w:lang w:eastAsia="ja-JP"/>
        </w:rPr>
        <w:t xml:space="preserve"> study of </w:t>
      </w:r>
      <w:proofErr w:type="spellStart"/>
      <w:r w:rsidR="00F17CA0">
        <w:rPr>
          <w:lang w:eastAsia="ja-JP"/>
        </w:rPr>
        <w:t>regorafenib</w:t>
      </w:r>
      <w:proofErr w:type="spellEnd"/>
      <w:r w:rsidRPr="00BA24C8">
        <w:rPr>
          <w:lang w:eastAsia="ja-JP"/>
        </w:rPr>
        <w:t xml:space="preserve"> in subjects with metastatic CRC who had progressed after all approved standard therapy. Pool 2 comprises safety data from the pivotal </w:t>
      </w:r>
      <w:r w:rsidR="00126F1A">
        <w:rPr>
          <w:lang w:eastAsia="ja-JP"/>
        </w:rPr>
        <w:t>Phase III</w:t>
      </w:r>
      <w:r w:rsidRPr="00BA24C8">
        <w:rPr>
          <w:lang w:eastAsia="ja-JP"/>
        </w:rPr>
        <w:t xml:space="preserve"> HCC </w:t>
      </w:r>
      <w:r w:rsidR="00864644">
        <w:rPr>
          <w:lang w:eastAsia="ja-JP"/>
        </w:rPr>
        <w:t>Study 159</w:t>
      </w:r>
      <w:r w:rsidRPr="00BA24C8">
        <w:rPr>
          <w:lang w:eastAsia="ja-JP"/>
        </w:rPr>
        <w:t>82 (RESORCE</w:t>
      </w:r>
      <w:r w:rsidR="00903EE0">
        <w:rPr>
          <w:lang w:eastAsia="ja-JP"/>
        </w:rPr>
        <w:t xml:space="preserve"> trial</w:t>
      </w:r>
      <w:r w:rsidRPr="00BA24C8">
        <w:rPr>
          <w:lang w:eastAsia="ja-JP"/>
        </w:rPr>
        <w:t>). Pool 3 (</w:t>
      </w:r>
      <w:r w:rsidR="00903EE0">
        <w:rPr>
          <w:lang w:eastAsia="ja-JP"/>
        </w:rPr>
        <w:t>p</w:t>
      </w:r>
      <w:r w:rsidR="00903EE0" w:rsidRPr="00BA24C8">
        <w:rPr>
          <w:lang w:eastAsia="ja-JP"/>
        </w:rPr>
        <w:t>lacebo</w:t>
      </w:r>
      <w:r w:rsidR="00903EE0">
        <w:rPr>
          <w:lang w:eastAsia="ja-JP"/>
        </w:rPr>
        <w:t xml:space="preserve"> </w:t>
      </w:r>
      <w:r w:rsidRPr="00BA24C8">
        <w:rPr>
          <w:lang w:eastAsia="ja-JP"/>
        </w:rPr>
        <w:t xml:space="preserve">controlled </w:t>
      </w:r>
      <w:r w:rsidR="00903EE0">
        <w:rPr>
          <w:lang w:eastAsia="ja-JP"/>
        </w:rPr>
        <w:t>p</w:t>
      </w:r>
      <w:r w:rsidR="00903EE0" w:rsidRPr="00BA24C8">
        <w:rPr>
          <w:lang w:eastAsia="ja-JP"/>
        </w:rPr>
        <w:t>ool</w:t>
      </w:r>
      <w:r w:rsidRPr="00BA24C8">
        <w:rPr>
          <w:lang w:eastAsia="ja-JP"/>
        </w:rPr>
        <w:t>) comprises integrated safety data (regorafenib</w:t>
      </w:r>
      <w:r w:rsidR="00EB28B3">
        <w:rPr>
          <w:lang w:eastAsia="ja-JP"/>
        </w:rPr>
        <w:t xml:space="preserve"> versus </w:t>
      </w:r>
      <w:r w:rsidRPr="00BA24C8">
        <w:rPr>
          <w:lang w:eastAsia="ja-JP"/>
        </w:rPr>
        <w:t xml:space="preserve">placebo) from 4 randomised, </w:t>
      </w:r>
      <w:r w:rsidR="00462820">
        <w:rPr>
          <w:lang w:eastAsia="ja-JP"/>
        </w:rPr>
        <w:t>double blind</w:t>
      </w:r>
      <w:r w:rsidRPr="00BA24C8">
        <w:rPr>
          <w:lang w:eastAsia="ja-JP"/>
        </w:rPr>
        <w:t xml:space="preserve">, </w:t>
      </w:r>
      <w:r w:rsidR="00462820">
        <w:rPr>
          <w:lang w:eastAsia="ja-JP"/>
        </w:rPr>
        <w:t>placebo controlled</w:t>
      </w:r>
      <w:r w:rsidRPr="00BA24C8">
        <w:rPr>
          <w:lang w:eastAsia="ja-JP"/>
        </w:rPr>
        <w:t xml:space="preserve"> </w:t>
      </w:r>
      <w:r w:rsidR="00126F1A">
        <w:rPr>
          <w:lang w:eastAsia="ja-JP"/>
        </w:rPr>
        <w:t>Phase III</w:t>
      </w:r>
      <w:r w:rsidRPr="00BA24C8">
        <w:rPr>
          <w:lang w:eastAsia="ja-JP"/>
        </w:rPr>
        <w:t xml:space="preserve"> studies (</w:t>
      </w:r>
      <w:r w:rsidR="005555C9">
        <w:rPr>
          <w:lang w:eastAsia="ja-JP"/>
        </w:rPr>
        <w:t>S</w:t>
      </w:r>
      <w:r w:rsidRPr="00BA24C8">
        <w:rPr>
          <w:lang w:eastAsia="ja-JP"/>
        </w:rPr>
        <w:t>tudy 14387 [CORRECT</w:t>
      </w:r>
      <w:r w:rsidR="00903EE0">
        <w:rPr>
          <w:lang w:eastAsia="ja-JP"/>
        </w:rPr>
        <w:t xml:space="preserve"> trial</w:t>
      </w:r>
      <w:r w:rsidRPr="00BA24C8">
        <w:rPr>
          <w:lang w:eastAsia="ja-JP"/>
        </w:rPr>
        <w:t xml:space="preserve">; CRC patients], </w:t>
      </w:r>
      <w:r w:rsidR="00903EE0">
        <w:rPr>
          <w:lang w:eastAsia="ja-JP"/>
        </w:rPr>
        <w:t xml:space="preserve">Study </w:t>
      </w:r>
      <w:r w:rsidRPr="00BA24C8">
        <w:rPr>
          <w:lang w:eastAsia="ja-JP"/>
        </w:rPr>
        <w:t xml:space="preserve">14874 </w:t>
      </w:r>
      <w:r w:rsidR="00903EE0">
        <w:rPr>
          <w:lang w:eastAsia="ja-JP"/>
        </w:rPr>
        <w:t>(G</w:t>
      </w:r>
      <w:r w:rsidRPr="00BA24C8">
        <w:rPr>
          <w:lang w:eastAsia="ja-JP"/>
        </w:rPr>
        <w:t>RID; GIST patients</w:t>
      </w:r>
      <w:r w:rsidR="00903EE0">
        <w:rPr>
          <w:lang w:eastAsia="ja-JP"/>
        </w:rPr>
        <w:t>)</w:t>
      </w:r>
      <w:r w:rsidRPr="00BA24C8">
        <w:rPr>
          <w:lang w:eastAsia="ja-JP"/>
        </w:rPr>
        <w:t xml:space="preserve">, </w:t>
      </w:r>
      <w:r w:rsidR="00903EE0">
        <w:rPr>
          <w:lang w:eastAsia="ja-JP"/>
        </w:rPr>
        <w:t xml:space="preserve">Study </w:t>
      </w:r>
      <w:r w:rsidRPr="00BA24C8">
        <w:rPr>
          <w:lang w:eastAsia="ja-JP"/>
        </w:rPr>
        <w:t xml:space="preserve">15808 </w:t>
      </w:r>
      <w:r w:rsidR="00903EE0">
        <w:rPr>
          <w:lang w:eastAsia="ja-JP"/>
        </w:rPr>
        <w:t>(</w:t>
      </w:r>
      <w:r w:rsidRPr="00BA24C8">
        <w:rPr>
          <w:lang w:eastAsia="ja-JP"/>
        </w:rPr>
        <w:t>CONCUR</w:t>
      </w:r>
      <w:r w:rsidR="00903EE0">
        <w:rPr>
          <w:lang w:eastAsia="ja-JP"/>
        </w:rPr>
        <w:t xml:space="preserve"> trial</w:t>
      </w:r>
      <w:r w:rsidRPr="00BA24C8">
        <w:rPr>
          <w:lang w:eastAsia="ja-JP"/>
        </w:rPr>
        <w:t>; CRC patients</w:t>
      </w:r>
      <w:r w:rsidR="00903EE0">
        <w:rPr>
          <w:lang w:eastAsia="ja-JP"/>
        </w:rPr>
        <w:t>)</w:t>
      </w:r>
      <w:r w:rsidRPr="00BA24C8">
        <w:rPr>
          <w:lang w:eastAsia="ja-JP"/>
        </w:rPr>
        <w:t xml:space="preserve"> and </w:t>
      </w:r>
      <w:r w:rsidR="00903EE0">
        <w:rPr>
          <w:lang w:eastAsia="ja-JP"/>
        </w:rPr>
        <w:t xml:space="preserve">Study </w:t>
      </w:r>
      <w:r w:rsidRPr="00BA24C8">
        <w:rPr>
          <w:lang w:eastAsia="ja-JP"/>
        </w:rPr>
        <w:t xml:space="preserve">15982 </w:t>
      </w:r>
      <w:r w:rsidR="00903EE0">
        <w:rPr>
          <w:lang w:eastAsia="ja-JP"/>
        </w:rPr>
        <w:t>(</w:t>
      </w:r>
      <w:r w:rsidRPr="00BA24C8">
        <w:rPr>
          <w:lang w:eastAsia="ja-JP"/>
        </w:rPr>
        <w:t>RESORCE</w:t>
      </w:r>
      <w:r w:rsidR="00903EE0">
        <w:rPr>
          <w:lang w:eastAsia="ja-JP"/>
        </w:rPr>
        <w:t xml:space="preserve"> trial</w:t>
      </w:r>
      <w:r w:rsidRPr="00BA24C8">
        <w:rPr>
          <w:lang w:eastAsia="ja-JP"/>
        </w:rPr>
        <w:t>; HCC patients</w:t>
      </w:r>
      <w:r w:rsidR="00903EE0">
        <w:rPr>
          <w:lang w:eastAsia="ja-JP"/>
        </w:rPr>
        <w:t>)</w:t>
      </w:r>
      <w:r w:rsidRPr="00BA24C8">
        <w:rPr>
          <w:lang w:eastAsia="ja-JP"/>
        </w:rPr>
        <w:t xml:space="preserve">) (only data from the blinded study phases are included). In total, 1142 </w:t>
      </w:r>
      <w:r w:rsidR="00462820">
        <w:rPr>
          <w:lang w:eastAsia="ja-JP"/>
        </w:rPr>
        <w:t>regorafenib treated</w:t>
      </w:r>
      <w:r w:rsidRPr="00BA24C8">
        <w:rPr>
          <w:lang w:eastAsia="ja-JP"/>
        </w:rPr>
        <w:t xml:space="preserve"> subjects and 580 placebo subjects are included in this pool which comprises CRC, GIST and HCC subjects.</w:t>
      </w:r>
    </w:p>
    <w:p w:rsidR="005555C9" w:rsidRPr="00C73765" w:rsidRDefault="00F17CA0" w:rsidP="00F17CA0">
      <w:pPr>
        <w:pStyle w:val="TableTitle"/>
        <w:numPr>
          <w:ilvl w:val="0"/>
          <w:numId w:val="0"/>
        </w:numPr>
      </w:pPr>
      <w:bookmarkStart w:id="93" w:name="_Toc483989582"/>
      <w:bookmarkStart w:id="94" w:name="_Ref483989831"/>
      <w:r>
        <w:lastRenderedPageBreak/>
        <w:t xml:space="preserve">Table 5: </w:t>
      </w:r>
      <w:r w:rsidR="005555C9" w:rsidRPr="00C73765">
        <w:t>Overview of clinical studies to support the safety of regorafenib in subjects with hepatocellular carcinoma</w:t>
      </w:r>
      <w:bookmarkEnd w:id="93"/>
      <w:bookmarkEnd w:id="94"/>
    </w:p>
    <w:p w:rsidR="005555C9" w:rsidRPr="00EC67F6" w:rsidRDefault="005555C9" w:rsidP="005555C9">
      <w:pPr>
        <w:spacing w:before="0" w:after="0" w:line="240" w:lineRule="auto"/>
      </w:pPr>
      <w:r>
        <w:rPr>
          <w:noProof/>
          <w:lang w:eastAsia="en-AU"/>
        </w:rPr>
        <w:drawing>
          <wp:inline distT="0" distB="0" distL="0" distR="0" wp14:anchorId="63D57FD4" wp14:editId="1095E560">
            <wp:extent cx="3736785" cy="4616970"/>
            <wp:effectExtent l="0" t="0" r="0" b="0"/>
            <wp:docPr id="1" name="Picture 1" descr="Overview of clinical studies to support the safety of regorafenib in subjects with hepatocellular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t="1677" r="1685" b="1510"/>
                    <a:stretch/>
                  </pic:blipFill>
                  <pic:spPr bwMode="auto">
                    <a:xfrm>
                      <a:off x="0" y="0"/>
                      <a:ext cx="3736235" cy="4616290"/>
                    </a:xfrm>
                    <a:prstGeom prst="rect">
                      <a:avLst/>
                    </a:prstGeom>
                    <a:ln>
                      <a:noFill/>
                    </a:ln>
                    <a:extLst>
                      <a:ext uri="{53640926-AAD7-44D8-BBD7-CCE9431645EC}">
                        <a14:shadowObscured xmlns:a14="http://schemas.microsoft.com/office/drawing/2010/main"/>
                      </a:ext>
                    </a:extLst>
                  </pic:spPr>
                </pic:pic>
              </a:graphicData>
            </a:graphic>
          </wp:inline>
        </w:drawing>
      </w:r>
    </w:p>
    <w:p w:rsidR="006241FD" w:rsidRPr="00BA24C8" w:rsidRDefault="006241FD" w:rsidP="006241FD">
      <w:r w:rsidRPr="00BA24C8">
        <w:rPr>
          <w:lang w:eastAsia="ja-JP"/>
        </w:rPr>
        <w:t xml:space="preserve">The studies in the integrated analyses have been previously evaluated by TGA in prior submissions except </w:t>
      </w:r>
      <w:r w:rsidR="005555C9">
        <w:rPr>
          <w:lang w:eastAsia="ja-JP"/>
        </w:rPr>
        <w:t>for S</w:t>
      </w:r>
      <w:r w:rsidRPr="00BA24C8">
        <w:rPr>
          <w:lang w:eastAsia="ja-JP"/>
        </w:rPr>
        <w:t xml:space="preserve">tudy RESORCE (pivotal </w:t>
      </w:r>
      <w:r w:rsidR="005555C9">
        <w:rPr>
          <w:lang w:eastAsia="ja-JP"/>
        </w:rPr>
        <w:t>P</w:t>
      </w:r>
      <w:r w:rsidRPr="00BA24C8">
        <w:rPr>
          <w:lang w:eastAsia="ja-JP"/>
        </w:rPr>
        <w:t xml:space="preserve">hase </w:t>
      </w:r>
      <w:r w:rsidR="005555C9">
        <w:rPr>
          <w:lang w:eastAsia="ja-JP"/>
        </w:rPr>
        <w:t>III</w:t>
      </w:r>
      <w:r w:rsidRPr="00BA24C8">
        <w:rPr>
          <w:lang w:eastAsia="ja-JP"/>
        </w:rPr>
        <w:t xml:space="preserve"> study for HCC; Pool 2), </w:t>
      </w:r>
      <w:r w:rsidR="005555C9">
        <w:rPr>
          <w:lang w:eastAsia="ja-JP"/>
        </w:rPr>
        <w:t>S</w:t>
      </w:r>
      <w:r w:rsidRPr="00BA24C8">
        <w:rPr>
          <w:lang w:eastAsia="ja-JP"/>
        </w:rPr>
        <w:t>tudy</w:t>
      </w:r>
      <w:r w:rsidR="003C60D3">
        <w:rPr>
          <w:lang w:eastAsia="ja-JP"/>
        </w:rPr>
        <w:t> </w:t>
      </w:r>
      <w:r w:rsidR="00903EE0">
        <w:rPr>
          <w:lang w:eastAsia="ja-JP"/>
        </w:rPr>
        <w:t xml:space="preserve"> </w:t>
      </w:r>
      <w:r w:rsidRPr="00BA24C8">
        <w:rPr>
          <w:lang w:eastAsia="ja-JP"/>
        </w:rPr>
        <w:t xml:space="preserve">CONSIGN (part of Pool 1) and </w:t>
      </w:r>
      <w:r w:rsidR="00864644">
        <w:rPr>
          <w:lang w:eastAsia="ja-JP"/>
        </w:rPr>
        <w:t>Study PH</w:t>
      </w:r>
      <w:r w:rsidRPr="00BA24C8">
        <w:rPr>
          <w:lang w:eastAsia="ja-JP"/>
        </w:rPr>
        <w:t xml:space="preserve">-37288 (addendum 2 of </w:t>
      </w:r>
      <w:r w:rsidR="00903EE0">
        <w:rPr>
          <w:lang w:eastAsia="ja-JP"/>
        </w:rPr>
        <w:t>S</w:t>
      </w:r>
      <w:r w:rsidRPr="00BA24C8">
        <w:rPr>
          <w:lang w:eastAsia="ja-JP"/>
        </w:rPr>
        <w:t>tudy 14596; N</w:t>
      </w:r>
      <w:r w:rsidR="00EC67F6">
        <w:rPr>
          <w:lang w:eastAsia="ja-JP"/>
        </w:rPr>
        <w:t> </w:t>
      </w:r>
      <w:r w:rsidRPr="00BA24C8">
        <w:rPr>
          <w:lang w:eastAsia="ja-JP"/>
        </w:rPr>
        <w:t>=</w:t>
      </w:r>
      <w:r w:rsidR="00EC67F6">
        <w:rPr>
          <w:lang w:eastAsia="ja-JP"/>
        </w:rPr>
        <w:t> </w:t>
      </w:r>
      <w:r w:rsidRPr="00BA24C8">
        <w:rPr>
          <w:lang w:eastAsia="ja-JP"/>
        </w:rPr>
        <w:t xml:space="preserve">36; part of Pool 1). Studies RESORCE and PH-37288 have been described in the </w:t>
      </w:r>
      <w:r w:rsidR="005555C9">
        <w:rPr>
          <w:lang w:eastAsia="ja-JP"/>
        </w:rPr>
        <w:t>E</w:t>
      </w:r>
      <w:r w:rsidRPr="00BA24C8">
        <w:rPr>
          <w:lang w:eastAsia="ja-JP"/>
        </w:rPr>
        <w:t xml:space="preserve">fficacy section </w:t>
      </w:r>
      <w:r w:rsidR="005555C9">
        <w:rPr>
          <w:lang w:eastAsia="ja-JP"/>
        </w:rPr>
        <w:t>above</w:t>
      </w:r>
      <w:r w:rsidRPr="00BA24C8">
        <w:rPr>
          <w:lang w:eastAsia="ja-JP"/>
        </w:rPr>
        <w:t xml:space="preserve">. In this evaluation report, safety data in the pivotal </w:t>
      </w:r>
      <w:r w:rsidR="00126F1A">
        <w:rPr>
          <w:lang w:eastAsia="ja-JP"/>
        </w:rPr>
        <w:t>Phase III</w:t>
      </w:r>
      <w:r w:rsidRPr="00BA24C8">
        <w:rPr>
          <w:lang w:eastAsia="ja-JP"/>
        </w:rPr>
        <w:t xml:space="preserve"> study (RESORCE) will be evaluated as providing primary safety data for the current HCC indication, with data in Pools 1 and 3 evaluated as providing supporting safety data. The safety data of individual </w:t>
      </w:r>
      <w:r w:rsidR="003C60D3">
        <w:rPr>
          <w:lang w:eastAsia="ja-JP"/>
        </w:rPr>
        <w:t>S</w:t>
      </w:r>
      <w:r w:rsidR="003C60D3" w:rsidRPr="00BA24C8">
        <w:rPr>
          <w:lang w:eastAsia="ja-JP"/>
        </w:rPr>
        <w:t xml:space="preserve">tudies </w:t>
      </w:r>
      <w:r w:rsidRPr="00BA24C8">
        <w:rPr>
          <w:lang w:eastAsia="ja-JP"/>
        </w:rPr>
        <w:t xml:space="preserve">CONSIGN and PH-37288 were also evaluated separately </w:t>
      </w:r>
      <w:r w:rsidRPr="00BA24C8">
        <w:t>for the purpose of this submission, and results were found to be consistent with the safety findings in the pivotal study and pooled analyses, and did not raise any additional safety concerns.</w:t>
      </w:r>
    </w:p>
    <w:p w:rsidR="00605AD4" w:rsidRDefault="00605AD4" w:rsidP="00605AD4">
      <w:pPr>
        <w:pStyle w:val="Heading4"/>
      </w:pPr>
      <w:r w:rsidRPr="00605AD4">
        <w:t>Patient exposure</w:t>
      </w:r>
    </w:p>
    <w:p w:rsidR="006241FD" w:rsidRDefault="006241FD" w:rsidP="006241FD">
      <w:r w:rsidRPr="00BA24C8">
        <w:t xml:space="preserve">In </w:t>
      </w:r>
      <w:r w:rsidR="00864644">
        <w:t>Study 159</w:t>
      </w:r>
      <w:r w:rsidRPr="00BA24C8">
        <w:t>82 (RESORCE</w:t>
      </w:r>
      <w:r w:rsidR="003C60D3">
        <w:t xml:space="preserve"> trial</w:t>
      </w:r>
      <w:r w:rsidRPr="00BA24C8">
        <w:t>), the median duration of study treatment (including dose interruptions) was longer in the regorafenib group (15.6 weeks) than in the placebo group (8.4 weeks) (</w:t>
      </w:r>
      <w:r w:rsidR="005555C9">
        <w:t>Table 6</w:t>
      </w:r>
      <w:r w:rsidR="00D540DA">
        <w:t>).</w:t>
      </w:r>
      <w:r w:rsidRPr="00BA24C8">
        <w:t xml:space="preserve"> In the regorafenib group, the mean daily dose (standard deviation) was 144.1 </w:t>
      </w:r>
      <w:r w:rsidR="00EC67F6">
        <w:t xml:space="preserve">mg </w:t>
      </w:r>
      <w:r w:rsidRPr="00BA24C8">
        <w:t>(21.3</w:t>
      </w:r>
      <w:r w:rsidR="00EC67F6">
        <w:t xml:space="preserve"> mg)</w:t>
      </w:r>
      <w:r w:rsidRPr="00BA24C8">
        <w:t xml:space="preserve">; median daily dose was 159.3 mg, with approximately half of the subjects (49.2%) receiving 160 mg/day. In the placebo group, the mean daily dose (standard deviation) was 157.4 </w:t>
      </w:r>
      <w:r w:rsidR="00EC67F6">
        <w:t xml:space="preserve">mg </w:t>
      </w:r>
      <w:r w:rsidRPr="00BA24C8">
        <w:t>(10.3</w:t>
      </w:r>
      <w:r w:rsidR="00EC67F6">
        <w:t xml:space="preserve"> mg)</w:t>
      </w:r>
      <w:r w:rsidRPr="00BA24C8">
        <w:t>; median daily dose was 160.0 mg. The majority of subjects (88.6%) received 160 mg/day.</w:t>
      </w:r>
    </w:p>
    <w:p w:rsidR="005555C9" w:rsidRPr="00C73765" w:rsidRDefault="00F17CA0" w:rsidP="00F17CA0">
      <w:pPr>
        <w:pStyle w:val="TableTitle"/>
        <w:numPr>
          <w:ilvl w:val="0"/>
          <w:numId w:val="0"/>
        </w:numPr>
      </w:pPr>
      <w:r>
        <w:lastRenderedPageBreak/>
        <w:t xml:space="preserve">Table 6: </w:t>
      </w:r>
      <w:r w:rsidR="005555C9" w:rsidRPr="00C73765">
        <w:t>Extent of exposure to treatment</w:t>
      </w:r>
      <w:r w:rsidR="003C60D3">
        <w:t>;</w:t>
      </w:r>
      <w:r w:rsidR="005555C9" w:rsidRPr="00C73765">
        <w:t xml:space="preserve"> Safety</w:t>
      </w:r>
      <w:r w:rsidR="003C60D3">
        <w:t> </w:t>
      </w:r>
      <w:r w:rsidR="005555C9" w:rsidRPr="00C73765">
        <w:t>Pools 1, 2 and 3</w:t>
      </w:r>
    </w:p>
    <w:p w:rsidR="005555C9" w:rsidRPr="00F17CA0" w:rsidRDefault="005555C9" w:rsidP="005555C9">
      <w:pPr>
        <w:spacing w:after="0" w:line="240" w:lineRule="auto"/>
      </w:pPr>
      <w:r w:rsidRPr="00BA24C8">
        <w:rPr>
          <w:noProof/>
          <w:lang w:eastAsia="en-AU"/>
        </w:rPr>
        <w:drawing>
          <wp:inline distT="0" distB="0" distL="0" distR="0" wp14:anchorId="618D42EE" wp14:editId="034D8100">
            <wp:extent cx="3878833" cy="3837482"/>
            <wp:effectExtent l="0" t="0" r="7620" b="0"/>
            <wp:docPr id="84" name="Picture 84" descr="Extent of exposure to treatment, Safety Pool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878968" cy="3837616"/>
                    </a:xfrm>
                    <a:prstGeom prst="rect">
                      <a:avLst/>
                    </a:prstGeom>
                  </pic:spPr>
                </pic:pic>
              </a:graphicData>
            </a:graphic>
          </wp:inline>
        </w:drawing>
      </w:r>
    </w:p>
    <w:p w:rsidR="006241FD" w:rsidRPr="00BA24C8" w:rsidRDefault="006241FD" w:rsidP="00F17CA0">
      <w:r w:rsidRPr="00BA24C8">
        <w:t>In Pool 1, the median duration of regorafenib treatment was 11.0 weeks, with a median daily dose of 159.0 mg. In Pool 2, the median duration of study treatment was 11.5 weeks in the pooled regorafenib group and 7.0 weeks in the pooled placebo group. In the pooled regorafenib group, the median daily dose was 160.0 mg.</w:t>
      </w:r>
    </w:p>
    <w:p w:rsidR="006241FD" w:rsidRPr="00BA24C8" w:rsidRDefault="006241FD" w:rsidP="00F17CA0">
      <w:r w:rsidRPr="00BA24C8">
        <w:t>Overall, the study drug exposure is adequate to assess the safety profile of regorafenib.</w:t>
      </w:r>
    </w:p>
    <w:p w:rsidR="00605AD4" w:rsidRDefault="00605AD4" w:rsidP="00605AD4">
      <w:pPr>
        <w:pStyle w:val="Heading4"/>
      </w:pPr>
      <w:r w:rsidRPr="00605AD4">
        <w:t>Safety issues with the potential for major regulatory impact</w:t>
      </w:r>
    </w:p>
    <w:p w:rsidR="006241FD" w:rsidRPr="00BA24C8" w:rsidRDefault="006241FD" w:rsidP="005555C9">
      <w:pPr>
        <w:pStyle w:val="Heading5"/>
      </w:pPr>
      <w:bookmarkStart w:id="95" w:name="_Toc272414669"/>
      <w:bookmarkStart w:id="96" w:name="_Toc290888533"/>
      <w:bookmarkStart w:id="97" w:name="_Toc416353749"/>
      <w:bookmarkStart w:id="98" w:name="_Toc421005292"/>
      <w:bookmarkStart w:id="99" w:name="_Toc432079169"/>
      <w:bookmarkStart w:id="100" w:name="_Toc432080742"/>
      <w:bookmarkStart w:id="101" w:name="_Toc488837831"/>
      <w:r w:rsidRPr="00BA24C8">
        <w:t>Liver function</w:t>
      </w:r>
      <w:bookmarkEnd w:id="95"/>
      <w:bookmarkEnd w:id="96"/>
      <w:bookmarkEnd w:id="97"/>
      <w:bookmarkEnd w:id="98"/>
      <w:r w:rsidRPr="00BA24C8">
        <w:t xml:space="preserve"> and liver toxicity</w:t>
      </w:r>
      <w:bookmarkEnd w:id="99"/>
      <w:bookmarkEnd w:id="100"/>
      <w:bookmarkEnd w:id="101"/>
    </w:p>
    <w:p w:rsidR="006241FD" w:rsidRPr="00BA24C8" w:rsidRDefault="006241FD" w:rsidP="005555C9">
      <w:pPr>
        <w:pStyle w:val="Heading6"/>
      </w:pPr>
      <w:r w:rsidRPr="00BA24C8">
        <w:t>Pivotal and/or main efficacy study (RESORCE</w:t>
      </w:r>
      <w:r w:rsidR="003C60D3">
        <w:t xml:space="preserve"> trial</w:t>
      </w:r>
      <w:r w:rsidRPr="00BA24C8">
        <w:t>)</w:t>
      </w:r>
    </w:p>
    <w:p w:rsidR="006241FD" w:rsidRDefault="005555C9" w:rsidP="006241FD">
      <w:pPr>
        <w:rPr>
          <w:lang w:eastAsia="ja-JP"/>
        </w:rPr>
      </w:pPr>
      <w:r>
        <w:rPr>
          <w:lang w:eastAsia="ja-JP"/>
        </w:rPr>
        <w:t>Treatment emergent adverse events (</w:t>
      </w:r>
      <w:r w:rsidR="006241FD" w:rsidRPr="00BA24C8">
        <w:rPr>
          <w:lang w:eastAsia="ja-JP"/>
        </w:rPr>
        <w:t>TEAEs</w:t>
      </w:r>
      <w:r>
        <w:rPr>
          <w:lang w:eastAsia="ja-JP"/>
        </w:rPr>
        <w:t>)</w:t>
      </w:r>
      <w:r w:rsidR="006241FD" w:rsidRPr="00BA24C8">
        <w:rPr>
          <w:lang w:eastAsia="ja-JP"/>
        </w:rPr>
        <w:t xml:space="preserve"> in the </w:t>
      </w:r>
      <w:r w:rsidR="003C60D3" w:rsidRPr="00BA24C8">
        <w:rPr>
          <w:lang w:eastAsia="ja-JP"/>
        </w:rPr>
        <w:t xml:space="preserve">System Organ Class </w:t>
      </w:r>
      <w:r w:rsidR="006241FD" w:rsidRPr="00BA24C8">
        <w:rPr>
          <w:lang w:eastAsia="ja-JP"/>
        </w:rPr>
        <w:t xml:space="preserve">(SOC) of </w:t>
      </w:r>
      <w:r w:rsidR="00864644">
        <w:rPr>
          <w:lang w:eastAsia="ja-JP"/>
        </w:rPr>
        <w:t>‘</w:t>
      </w:r>
      <w:r w:rsidR="006241FD" w:rsidRPr="00BA24C8">
        <w:rPr>
          <w:lang w:eastAsia="ja-JP"/>
        </w:rPr>
        <w:t>hepatobiliary disorders</w:t>
      </w:r>
      <w:r w:rsidR="00864644">
        <w:rPr>
          <w:lang w:eastAsia="ja-JP"/>
        </w:rPr>
        <w:t>’</w:t>
      </w:r>
      <w:r w:rsidR="006241FD" w:rsidRPr="00BA24C8">
        <w:rPr>
          <w:lang w:eastAsia="ja-JP"/>
        </w:rPr>
        <w:t xml:space="preserve"> were reported in a similar percentage of subjects in both treatment groups (14.7% in the regorafenib group</w:t>
      </w:r>
      <w:r w:rsidR="00EB28B3">
        <w:rPr>
          <w:lang w:eastAsia="ja-JP"/>
        </w:rPr>
        <w:t xml:space="preserve"> versus </w:t>
      </w:r>
      <w:r w:rsidR="006241FD" w:rsidRPr="00BA24C8">
        <w:rPr>
          <w:lang w:eastAsia="ja-JP"/>
        </w:rPr>
        <w:t xml:space="preserve">16.1% in the placebo group) </w:t>
      </w:r>
      <w:r w:rsidR="006241FD" w:rsidRPr="00BA24C8">
        <w:t>(</w:t>
      </w:r>
      <w:r w:rsidRPr="0098482D">
        <w:t>Table 7</w:t>
      </w:r>
      <w:r w:rsidR="006241FD" w:rsidRPr="00BA24C8">
        <w:t>).</w:t>
      </w:r>
      <w:r w:rsidR="00686D30">
        <w:t xml:space="preserve"> </w:t>
      </w:r>
      <w:r w:rsidR="006241FD" w:rsidRPr="00BA24C8">
        <w:rPr>
          <w:lang w:eastAsia="ja-JP"/>
        </w:rPr>
        <w:t>In the regorafenib group, the most commonly reported TEAEs were hyperbilirubinaemia (3.7%</w:t>
      </w:r>
      <w:r w:rsidR="00EB28B3">
        <w:rPr>
          <w:lang w:eastAsia="ja-JP"/>
        </w:rPr>
        <w:t xml:space="preserve"> versus </w:t>
      </w:r>
      <w:r w:rsidR="006241FD" w:rsidRPr="00BA24C8">
        <w:rPr>
          <w:lang w:eastAsia="ja-JP"/>
        </w:rPr>
        <w:t>1.6% in the placebo group), hepatic failure (2.4%</w:t>
      </w:r>
      <w:r w:rsidR="00EC67F6">
        <w:rPr>
          <w:lang w:eastAsia="ja-JP"/>
        </w:rPr>
        <w:t> </w:t>
      </w:r>
      <w:r w:rsidR="00EB28B3">
        <w:rPr>
          <w:lang w:eastAsia="ja-JP"/>
        </w:rPr>
        <w:t xml:space="preserve">versus </w:t>
      </w:r>
      <w:r w:rsidR="006241FD" w:rsidRPr="00BA24C8">
        <w:rPr>
          <w:lang w:eastAsia="ja-JP"/>
        </w:rPr>
        <w:t>4.7%) and jaundice (2.1%</w:t>
      </w:r>
      <w:r w:rsidR="00EB28B3">
        <w:rPr>
          <w:lang w:eastAsia="ja-JP"/>
        </w:rPr>
        <w:t xml:space="preserve"> versus </w:t>
      </w:r>
      <w:r>
        <w:rPr>
          <w:lang w:eastAsia="ja-JP"/>
        </w:rPr>
        <w:t>1.6%).</w:t>
      </w:r>
    </w:p>
    <w:p w:rsidR="005555C9" w:rsidRPr="00C73765" w:rsidRDefault="00F17CA0" w:rsidP="00F17CA0">
      <w:pPr>
        <w:pStyle w:val="TableTitle"/>
        <w:numPr>
          <w:ilvl w:val="0"/>
          <w:numId w:val="0"/>
        </w:numPr>
      </w:pPr>
      <w:bookmarkStart w:id="102" w:name="_Toc483989596"/>
      <w:bookmarkStart w:id="103" w:name="_Ref483989983"/>
      <w:bookmarkStart w:id="104" w:name="_Ref483989993"/>
      <w:bookmarkStart w:id="105" w:name="_Ref483990000"/>
      <w:bookmarkStart w:id="106" w:name="_Ref483990086"/>
      <w:r>
        <w:lastRenderedPageBreak/>
        <w:t xml:space="preserve">Table 7: </w:t>
      </w:r>
      <w:r w:rsidR="005555C9" w:rsidRPr="00C73765">
        <w:t xml:space="preserve">Frequent hepatobiliary TEAEs in Safety </w:t>
      </w:r>
      <w:r w:rsidR="003C60D3">
        <w:t>P</w:t>
      </w:r>
      <w:r w:rsidR="003C60D3" w:rsidRPr="00C73765">
        <w:t xml:space="preserve">ools </w:t>
      </w:r>
      <w:r w:rsidR="005555C9" w:rsidRPr="00C73765">
        <w:t>1, 2 and 3</w:t>
      </w:r>
      <w:bookmarkEnd w:id="102"/>
      <w:bookmarkEnd w:id="103"/>
      <w:bookmarkEnd w:id="104"/>
      <w:bookmarkEnd w:id="105"/>
      <w:bookmarkEnd w:id="106"/>
    </w:p>
    <w:p w:rsidR="005555C9" w:rsidRPr="00BA24C8" w:rsidRDefault="005555C9" w:rsidP="005555C9">
      <w:pPr>
        <w:spacing w:after="0" w:line="240" w:lineRule="auto"/>
        <w:rPr>
          <w:rFonts w:asciiTheme="majorHAnsi" w:hAnsiTheme="majorHAnsi"/>
        </w:rPr>
      </w:pPr>
      <w:r w:rsidRPr="00BA24C8">
        <w:rPr>
          <w:noProof/>
          <w:lang w:eastAsia="en-AU"/>
        </w:rPr>
        <w:drawing>
          <wp:inline distT="0" distB="0" distL="0" distR="0" wp14:anchorId="4F5A9CFD" wp14:editId="62457465">
            <wp:extent cx="4819338" cy="1828800"/>
            <wp:effectExtent l="0" t="0" r="635" b="0"/>
            <wp:docPr id="91" name="Picture 91" descr="Frequent hepatobiliary TEAEs, safety pools 1, 2 and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4820351" cy="1829184"/>
                    </a:xfrm>
                    <a:prstGeom prst="rect">
                      <a:avLst/>
                    </a:prstGeom>
                  </pic:spPr>
                </pic:pic>
              </a:graphicData>
            </a:graphic>
          </wp:inline>
        </w:drawing>
      </w:r>
    </w:p>
    <w:p w:rsidR="006241FD" w:rsidRPr="00BA24C8" w:rsidRDefault="006241FD" w:rsidP="006241FD">
      <w:pPr>
        <w:rPr>
          <w:lang w:eastAsia="ja-JP"/>
        </w:rPr>
      </w:pPr>
      <w:r w:rsidRPr="00BA24C8">
        <w:rPr>
          <w:lang w:eastAsia="ja-JP"/>
        </w:rPr>
        <w:t xml:space="preserve">In </w:t>
      </w:r>
      <w:r w:rsidR="003C60D3">
        <w:rPr>
          <w:lang w:eastAsia="ja-JP"/>
        </w:rPr>
        <w:t xml:space="preserve">the </w:t>
      </w:r>
      <w:r w:rsidRPr="00BA24C8">
        <w:rPr>
          <w:lang w:eastAsia="ja-JP"/>
        </w:rPr>
        <w:t xml:space="preserve">RESORCE </w:t>
      </w:r>
      <w:r w:rsidR="003C60D3">
        <w:rPr>
          <w:lang w:eastAsia="ja-JP"/>
        </w:rPr>
        <w:t>trial</w:t>
      </w:r>
      <w:r w:rsidRPr="00BA24C8">
        <w:rPr>
          <w:lang w:eastAsia="ja-JP"/>
        </w:rPr>
        <w:t xml:space="preserve">, the TEAEs </w:t>
      </w:r>
      <w:r w:rsidRPr="0098482D">
        <w:t xml:space="preserve">of interest were those of </w:t>
      </w:r>
      <w:r w:rsidR="00864644" w:rsidRPr="0098482D">
        <w:t>‘</w:t>
      </w:r>
      <w:r w:rsidRPr="0098482D">
        <w:t>hepatic failure</w:t>
      </w:r>
      <w:r w:rsidR="00864644" w:rsidRPr="0098482D">
        <w:t>’</w:t>
      </w:r>
      <w:r w:rsidRPr="0098482D">
        <w:t xml:space="preserve">, and drug-related </w:t>
      </w:r>
      <w:r w:rsidR="0098482D" w:rsidRPr="0098482D">
        <w:t>serious adverse events (</w:t>
      </w:r>
      <w:r w:rsidRPr="0098482D">
        <w:t>SAEs</w:t>
      </w:r>
      <w:r w:rsidR="0098482D" w:rsidRPr="0098482D">
        <w:t>)</w:t>
      </w:r>
      <w:r w:rsidRPr="0098482D">
        <w:t xml:space="preserve"> of </w:t>
      </w:r>
      <w:r w:rsidR="0098482D" w:rsidRPr="0098482D">
        <w:t>Medical Dictionary for Regulatory Activities (</w:t>
      </w:r>
      <w:r w:rsidRPr="0098482D">
        <w:t>MedDRA</w:t>
      </w:r>
      <w:r w:rsidR="0098482D" w:rsidRPr="0098482D">
        <w:t>)</w:t>
      </w:r>
      <w:r w:rsidRPr="0098482D">
        <w:t xml:space="preserve"> SOC </w:t>
      </w:r>
      <w:r w:rsidR="00864644" w:rsidRPr="0098482D">
        <w:t>‘</w:t>
      </w:r>
      <w:r w:rsidRPr="0098482D">
        <w:t>hepatobiliary disorders</w:t>
      </w:r>
      <w:r w:rsidR="00864644" w:rsidRPr="0098482D">
        <w:t>’</w:t>
      </w:r>
      <w:r w:rsidRPr="0098482D">
        <w:t xml:space="preserve"> </w:t>
      </w:r>
      <w:r w:rsidR="0098482D" w:rsidRPr="0098482D">
        <w:t>G</w:t>
      </w:r>
      <w:r w:rsidRPr="0098482D">
        <w:t>rades 4 and</w:t>
      </w:r>
      <w:r w:rsidRPr="00BA24C8">
        <w:rPr>
          <w:lang w:eastAsia="ja-JP"/>
        </w:rPr>
        <w:t xml:space="preserve"> 5. Overall, the incidence of hepatic failure was lower in the regorafenib group than in the placebo group (2.4%</w:t>
      </w:r>
      <w:r w:rsidR="00EB28B3">
        <w:rPr>
          <w:lang w:eastAsia="ja-JP"/>
        </w:rPr>
        <w:t xml:space="preserve"> versus </w:t>
      </w:r>
      <w:r w:rsidRPr="00BA24C8">
        <w:rPr>
          <w:lang w:eastAsia="ja-JP"/>
        </w:rPr>
        <w:t>4.7%). There were two drug</w:t>
      </w:r>
      <w:r w:rsidR="0098482D">
        <w:rPr>
          <w:lang w:eastAsia="ja-JP"/>
        </w:rPr>
        <w:t xml:space="preserve"> </w:t>
      </w:r>
      <w:r w:rsidRPr="00BA24C8">
        <w:rPr>
          <w:lang w:eastAsia="ja-JP"/>
        </w:rPr>
        <w:t xml:space="preserve">related </w:t>
      </w:r>
      <w:r w:rsidR="0098482D">
        <w:rPr>
          <w:lang w:eastAsia="ja-JP"/>
        </w:rPr>
        <w:t>G</w:t>
      </w:r>
      <w:r w:rsidRPr="00BA24C8">
        <w:rPr>
          <w:lang w:eastAsia="ja-JP"/>
        </w:rPr>
        <w:t>rade 4 hepatobiliary disorders events in the regorafenib group (hyperbilirubinaemia and hepatic failure), and none in the placebo group. There were two drug</w:t>
      </w:r>
      <w:r w:rsidR="0098482D">
        <w:rPr>
          <w:lang w:eastAsia="ja-JP"/>
        </w:rPr>
        <w:t xml:space="preserve"> </w:t>
      </w:r>
      <w:r w:rsidRPr="00BA24C8">
        <w:rPr>
          <w:lang w:eastAsia="ja-JP"/>
        </w:rPr>
        <w:t xml:space="preserve">related </w:t>
      </w:r>
      <w:r w:rsidR="0098482D">
        <w:rPr>
          <w:lang w:eastAsia="ja-JP"/>
        </w:rPr>
        <w:t>G</w:t>
      </w:r>
      <w:r w:rsidRPr="00BA24C8">
        <w:rPr>
          <w:lang w:eastAsia="ja-JP"/>
        </w:rPr>
        <w:t>rade 5 hepatobiliary disorders event in the placebo group (both hepatic failure) and none in the regorafenib group.</w:t>
      </w:r>
    </w:p>
    <w:p w:rsidR="006241FD" w:rsidRDefault="006241FD" w:rsidP="006241FD">
      <w:pPr>
        <w:rPr>
          <w:b/>
          <w:lang w:eastAsia="ja-JP"/>
        </w:rPr>
      </w:pPr>
      <w:r w:rsidRPr="00BA24C8">
        <w:rPr>
          <w:lang w:eastAsia="ja-JP"/>
        </w:rPr>
        <w:t>Analyses of liver function tests (LFT) showed that incidences were higher in the regorafenib group compared to the placebo group for AST increased (92.7%</w:t>
      </w:r>
      <w:r w:rsidR="00EB28B3">
        <w:rPr>
          <w:lang w:eastAsia="ja-JP"/>
        </w:rPr>
        <w:t xml:space="preserve"> versus </w:t>
      </w:r>
      <w:r w:rsidRPr="00BA24C8">
        <w:rPr>
          <w:lang w:eastAsia="ja-JP"/>
        </w:rPr>
        <w:t xml:space="preserve">84.3%), </w:t>
      </w:r>
      <w:r w:rsidR="000C6E94">
        <w:rPr>
          <w:lang w:eastAsia="ja-JP"/>
        </w:rPr>
        <w:t>alanine aminotransferase (</w:t>
      </w:r>
      <w:r w:rsidRPr="00BA24C8">
        <w:rPr>
          <w:lang w:eastAsia="ja-JP"/>
        </w:rPr>
        <w:t>ALT</w:t>
      </w:r>
      <w:r w:rsidR="000C6E94">
        <w:rPr>
          <w:lang w:eastAsia="ja-JP"/>
        </w:rPr>
        <w:t>)</w:t>
      </w:r>
      <w:r w:rsidRPr="00BA24C8">
        <w:rPr>
          <w:lang w:eastAsia="ja-JP"/>
        </w:rPr>
        <w:t xml:space="preserve"> increased (70.4%</w:t>
      </w:r>
      <w:r w:rsidR="00EB28B3">
        <w:rPr>
          <w:lang w:eastAsia="ja-JP"/>
        </w:rPr>
        <w:t xml:space="preserve"> versus </w:t>
      </w:r>
      <w:r w:rsidRPr="00BA24C8">
        <w:rPr>
          <w:lang w:eastAsia="ja-JP"/>
        </w:rPr>
        <w:t>58.6%), ALP increased (78.8%</w:t>
      </w:r>
      <w:r w:rsidR="00EB28B3">
        <w:rPr>
          <w:lang w:eastAsia="ja-JP"/>
        </w:rPr>
        <w:t xml:space="preserve"> versus </w:t>
      </w:r>
      <w:r w:rsidRPr="00BA24C8">
        <w:rPr>
          <w:lang w:eastAsia="ja-JP"/>
        </w:rPr>
        <w:t>72.9%) and blood bilirubin increased (78.2%</w:t>
      </w:r>
      <w:r w:rsidR="00EB28B3">
        <w:rPr>
          <w:lang w:eastAsia="ja-JP"/>
        </w:rPr>
        <w:t xml:space="preserve"> versus </w:t>
      </w:r>
      <w:r w:rsidR="00EC67F6">
        <w:rPr>
          <w:lang w:eastAsia="ja-JP"/>
        </w:rPr>
        <w:t xml:space="preserve">54.5%) </w:t>
      </w:r>
      <w:proofErr w:type="gramStart"/>
      <w:r w:rsidRPr="00BA24C8">
        <w:rPr>
          <w:lang w:eastAsia="ja-JP"/>
        </w:rPr>
        <w:t>(</w:t>
      </w:r>
      <w:r w:rsidR="0098482D">
        <w:rPr>
          <w:lang w:eastAsia="ja-JP"/>
        </w:rPr>
        <w:t>Table 8</w:t>
      </w:r>
      <w:r w:rsidRPr="00BA24C8">
        <w:rPr>
          <w:lang w:eastAsia="ja-JP"/>
        </w:rPr>
        <w:t>)</w:t>
      </w:r>
      <w:r w:rsidR="0098482D">
        <w:rPr>
          <w:lang w:eastAsia="ja-JP"/>
        </w:rPr>
        <w:t>.</w:t>
      </w:r>
      <w:proofErr w:type="gramEnd"/>
      <w:r w:rsidRPr="00BA24C8">
        <w:rPr>
          <w:lang w:eastAsia="ja-JP"/>
        </w:rPr>
        <w:t xml:space="preserve"> Most of these increases were of </w:t>
      </w:r>
      <w:r w:rsidR="004151AE">
        <w:rPr>
          <w:lang w:eastAsia="ja-JP"/>
        </w:rPr>
        <w:t xml:space="preserve">a </w:t>
      </w:r>
      <w:r w:rsidR="0098482D">
        <w:rPr>
          <w:lang w:eastAsia="ja-JP"/>
        </w:rPr>
        <w:t>G</w:t>
      </w:r>
      <w:r w:rsidRPr="00BA24C8">
        <w:rPr>
          <w:lang w:eastAsia="ja-JP"/>
        </w:rPr>
        <w:t xml:space="preserve">rade 1 or 2 </w:t>
      </w:r>
      <w:proofErr w:type="gramStart"/>
      <w:r w:rsidRPr="00BA24C8">
        <w:rPr>
          <w:lang w:eastAsia="ja-JP"/>
        </w:rPr>
        <w:t>severity</w:t>
      </w:r>
      <w:proofErr w:type="gramEnd"/>
      <w:r w:rsidRPr="00BA24C8">
        <w:rPr>
          <w:lang w:eastAsia="ja-JP"/>
        </w:rPr>
        <w:t xml:space="preserve">. There were no </w:t>
      </w:r>
      <w:r w:rsidR="0098482D">
        <w:rPr>
          <w:lang w:eastAsia="ja-JP"/>
        </w:rPr>
        <w:t>G</w:t>
      </w:r>
      <w:r w:rsidRPr="00BA24C8">
        <w:rPr>
          <w:lang w:eastAsia="ja-JP"/>
        </w:rPr>
        <w:t xml:space="preserve">rade 5 abnormalities in LFT. Worst </w:t>
      </w:r>
      <w:r w:rsidR="0098482D">
        <w:rPr>
          <w:lang w:eastAsia="ja-JP"/>
        </w:rPr>
        <w:t>G</w:t>
      </w:r>
      <w:r w:rsidRPr="00BA24C8">
        <w:rPr>
          <w:lang w:eastAsia="ja-JP"/>
        </w:rPr>
        <w:t xml:space="preserve">rade 3 or 4 LFT parameters which had higher incidence in the regorafenib group compared to placebo group were </w:t>
      </w:r>
      <w:r w:rsidR="0098482D">
        <w:rPr>
          <w:lang w:eastAsia="ja-JP"/>
        </w:rPr>
        <w:t>G</w:t>
      </w:r>
      <w:r w:rsidRPr="00BA24C8">
        <w:rPr>
          <w:lang w:eastAsia="ja-JP"/>
        </w:rPr>
        <w:t>rade 3 ALT increased (5.7%</w:t>
      </w:r>
      <w:r w:rsidR="00EB28B3">
        <w:rPr>
          <w:lang w:eastAsia="ja-JP"/>
        </w:rPr>
        <w:t xml:space="preserve"> versus </w:t>
      </w:r>
      <w:r w:rsidRPr="00BA24C8">
        <w:rPr>
          <w:lang w:eastAsia="ja-JP"/>
        </w:rPr>
        <w:t xml:space="preserve">4.7%), </w:t>
      </w:r>
      <w:r w:rsidR="0098482D">
        <w:rPr>
          <w:lang w:eastAsia="ja-JP"/>
        </w:rPr>
        <w:t>G</w:t>
      </w:r>
      <w:r w:rsidRPr="00BA24C8">
        <w:rPr>
          <w:lang w:eastAsia="ja-JP"/>
        </w:rPr>
        <w:t>rade 3 blood bilirubin increased (12.9%</w:t>
      </w:r>
      <w:r w:rsidR="00EB28B3">
        <w:rPr>
          <w:lang w:eastAsia="ja-JP"/>
        </w:rPr>
        <w:t xml:space="preserve"> versus </w:t>
      </w:r>
      <w:r w:rsidRPr="00BA24C8">
        <w:rPr>
          <w:lang w:eastAsia="ja-JP"/>
        </w:rPr>
        <w:t xml:space="preserve">11.0%), </w:t>
      </w:r>
      <w:r w:rsidR="0098482D">
        <w:rPr>
          <w:lang w:eastAsia="ja-JP"/>
        </w:rPr>
        <w:t>G</w:t>
      </w:r>
      <w:r w:rsidRPr="00BA24C8">
        <w:rPr>
          <w:lang w:eastAsia="ja-JP"/>
        </w:rPr>
        <w:t>rade 4 gamma</w:t>
      </w:r>
      <w:r w:rsidRPr="00BA24C8">
        <w:rPr>
          <w:b/>
          <w:lang w:eastAsia="ja-JP"/>
        </w:rPr>
        <w:t xml:space="preserve"> </w:t>
      </w:r>
      <w:r w:rsidRPr="00BA24C8">
        <w:rPr>
          <w:lang w:eastAsia="ja-JP"/>
        </w:rPr>
        <w:t>glutamyl transferase (GGT) increased (3.5%</w:t>
      </w:r>
      <w:r w:rsidR="00EB28B3">
        <w:rPr>
          <w:lang w:eastAsia="ja-JP"/>
        </w:rPr>
        <w:t xml:space="preserve"> versus </w:t>
      </w:r>
      <w:r w:rsidRPr="00BA24C8">
        <w:rPr>
          <w:lang w:eastAsia="ja-JP"/>
        </w:rPr>
        <w:t xml:space="preserve">2.7%) and </w:t>
      </w:r>
      <w:r w:rsidR="0098482D">
        <w:rPr>
          <w:lang w:eastAsia="ja-JP"/>
        </w:rPr>
        <w:t>G</w:t>
      </w:r>
      <w:r w:rsidRPr="00BA24C8">
        <w:rPr>
          <w:lang w:eastAsia="ja-JP"/>
        </w:rPr>
        <w:t>rade 4 ALT increased (0.5%</w:t>
      </w:r>
      <w:r w:rsidR="00EB28B3">
        <w:rPr>
          <w:lang w:eastAsia="ja-JP"/>
        </w:rPr>
        <w:t xml:space="preserve"> versus </w:t>
      </w:r>
      <w:r w:rsidRPr="00BA24C8">
        <w:rPr>
          <w:lang w:eastAsia="ja-JP"/>
        </w:rPr>
        <w:t xml:space="preserve">0%) </w:t>
      </w:r>
      <w:proofErr w:type="gramStart"/>
      <w:r w:rsidRPr="00BA24C8">
        <w:rPr>
          <w:lang w:eastAsia="ja-JP"/>
        </w:rPr>
        <w:t>(</w:t>
      </w:r>
      <w:r w:rsidR="0098482D">
        <w:rPr>
          <w:lang w:eastAsia="ja-JP"/>
        </w:rPr>
        <w:t>Table 9</w:t>
      </w:r>
      <w:r w:rsidRPr="00BA24C8">
        <w:rPr>
          <w:lang w:eastAsia="ja-JP"/>
        </w:rPr>
        <w:t>)</w:t>
      </w:r>
      <w:r w:rsidR="0098482D">
        <w:rPr>
          <w:lang w:eastAsia="ja-JP"/>
        </w:rPr>
        <w:t>.</w:t>
      </w:r>
      <w:proofErr w:type="gramEnd"/>
    </w:p>
    <w:p w:rsidR="0098482D" w:rsidRPr="00C73765" w:rsidRDefault="00F17CA0" w:rsidP="00F17CA0">
      <w:pPr>
        <w:pStyle w:val="TableTitle"/>
        <w:numPr>
          <w:ilvl w:val="0"/>
          <w:numId w:val="0"/>
        </w:numPr>
      </w:pPr>
      <w:bookmarkStart w:id="107" w:name="_Toc483989597"/>
      <w:bookmarkStart w:id="108" w:name="_Ref483989986"/>
      <w:bookmarkStart w:id="109" w:name="_Ref483989996"/>
      <w:bookmarkStart w:id="110" w:name="_Ref483990003"/>
      <w:bookmarkStart w:id="111" w:name="_Ref483990009"/>
      <w:bookmarkStart w:id="112" w:name="_Ref483990015"/>
      <w:bookmarkStart w:id="113" w:name="_Ref483990088"/>
      <w:r>
        <w:lastRenderedPageBreak/>
        <w:t xml:space="preserve">Table 8: </w:t>
      </w:r>
      <w:r w:rsidR="0098482D" w:rsidRPr="00C73765">
        <w:t xml:space="preserve">All grades (worst </w:t>
      </w:r>
      <w:r w:rsidR="003C60D3">
        <w:t>G</w:t>
      </w:r>
      <w:r w:rsidR="0098482D" w:rsidRPr="00C73765">
        <w:t xml:space="preserve">rade 1 </w:t>
      </w:r>
      <w:r w:rsidR="003C60D3">
        <w:t>to</w:t>
      </w:r>
      <w:r w:rsidR="0098482D" w:rsidRPr="00C73765">
        <w:t xml:space="preserve"> 4) haematological and biochemical toxicities after start of treatment in ≥</w:t>
      </w:r>
      <w:r w:rsidR="00EC67F6">
        <w:t xml:space="preserve"> </w:t>
      </w:r>
      <w:r w:rsidR="0098482D" w:rsidRPr="00C73765">
        <w:t xml:space="preserve">30% of subjects in any treatment group by CTCAE (SAF) </w:t>
      </w:r>
      <w:r w:rsidR="004151AE">
        <w:t xml:space="preserve">in </w:t>
      </w:r>
      <w:r w:rsidR="0098482D" w:rsidRPr="00C73765">
        <w:t xml:space="preserve">Safety </w:t>
      </w:r>
      <w:r w:rsidR="004151AE">
        <w:t>P</w:t>
      </w:r>
      <w:r w:rsidR="0098482D" w:rsidRPr="00C73765">
        <w:t>ools 1, 2 and 3</w:t>
      </w:r>
      <w:bookmarkEnd w:id="107"/>
      <w:bookmarkEnd w:id="108"/>
      <w:bookmarkEnd w:id="109"/>
      <w:bookmarkEnd w:id="110"/>
      <w:bookmarkEnd w:id="111"/>
      <w:bookmarkEnd w:id="112"/>
      <w:bookmarkEnd w:id="113"/>
    </w:p>
    <w:p w:rsidR="0098482D" w:rsidRDefault="0098482D" w:rsidP="0098482D">
      <w:pPr>
        <w:spacing w:after="0" w:line="240" w:lineRule="auto"/>
        <w:rPr>
          <w:rFonts w:asciiTheme="majorHAnsi" w:hAnsiTheme="majorHAnsi"/>
        </w:rPr>
      </w:pPr>
      <w:r>
        <w:rPr>
          <w:noProof/>
          <w:lang w:eastAsia="en-AU"/>
        </w:rPr>
        <w:drawing>
          <wp:inline distT="0" distB="0" distL="0" distR="0" wp14:anchorId="1D8F3969" wp14:editId="1A9A2825">
            <wp:extent cx="4099810" cy="8249863"/>
            <wp:effectExtent l="0" t="0" r="0" b="0"/>
            <wp:docPr id="6" name="Picture 6" descr="All grades (worst grade 1 – 4) haematological and biochemical toxicities after start of treatment in ≥30% of subjects in any treatment group by CTCAE (SAF) Safety pool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097274" cy="8244760"/>
                    </a:xfrm>
                    <a:prstGeom prst="rect">
                      <a:avLst/>
                    </a:prstGeom>
                  </pic:spPr>
                </pic:pic>
              </a:graphicData>
            </a:graphic>
          </wp:inline>
        </w:drawing>
      </w:r>
    </w:p>
    <w:p w:rsidR="0098482D" w:rsidRPr="00C73765" w:rsidRDefault="00F17CA0" w:rsidP="00F17CA0">
      <w:pPr>
        <w:pStyle w:val="TableTitle"/>
        <w:numPr>
          <w:ilvl w:val="0"/>
          <w:numId w:val="0"/>
        </w:numPr>
      </w:pPr>
      <w:bookmarkStart w:id="114" w:name="_Toc483989599"/>
      <w:bookmarkStart w:id="115" w:name="_Ref483989989"/>
      <w:bookmarkStart w:id="116" w:name="_Ref483990012"/>
      <w:bookmarkStart w:id="117" w:name="_Ref483990023"/>
      <w:bookmarkStart w:id="118" w:name="_Ref483990031"/>
      <w:bookmarkStart w:id="119" w:name="_Ref483990091"/>
      <w:r>
        <w:lastRenderedPageBreak/>
        <w:t xml:space="preserve">Table 9: </w:t>
      </w:r>
      <w:r w:rsidR="0098482D" w:rsidRPr="00C73765">
        <w:t xml:space="preserve">Incidence of worst Grade 3 or 4 haematological and biochemical abnormalities in at least 2 </w:t>
      </w:r>
      <w:r w:rsidR="00462820" w:rsidRPr="00C73765">
        <w:t>regorafenib treated</w:t>
      </w:r>
      <w:r w:rsidR="0098482D" w:rsidRPr="00C73765">
        <w:t xml:space="preserve"> subjects during the </w:t>
      </w:r>
      <w:r w:rsidR="00462820" w:rsidRPr="00C73765">
        <w:t>double blind</w:t>
      </w:r>
      <w:r w:rsidR="0098482D" w:rsidRPr="00C73765">
        <w:t xml:space="preserve"> treatment period, Study 15982 </w:t>
      </w:r>
      <w:r w:rsidR="004151AE">
        <w:t xml:space="preserve">in </w:t>
      </w:r>
      <w:r w:rsidR="0098482D" w:rsidRPr="00C73765">
        <w:t>Pool 2</w:t>
      </w:r>
      <w:r w:rsidR="004151AE">
        <w:t xml:space="preserve"> </w:t>
      </w:r>
      <w:r w:rsidR="0098482D" w:rsidRPr="00C73765">
        <w:t>SAF</w:t>
      </w:r>
      <w:bookmarkEnd w:id="114"/>
      <w:bookmarkEnd w:id="115"/>
      <w:bookmarkEnd w:id="116"/>
      <w:bookmarkEnd w:id="117"/>
      <w:bookmarkEnd w:id="118"/>
      <w:bookmarkEnd w:id="119"/>
    </w:p>
    <w:p w:rsidR="0098482D" w:rsidRPr="00BA24C8" w:rsidRDefault="007C579E" w:rsidP="0098482D">
      <w:pPr>
        <w:spacing w:before="0" w:after="0" w:line="240" w:lineRule="auto"/>
        <w:rPr>
          <w:rFonts w:asciiTheme="majorHAnsi" w:hAnsiTheme="majorHAnsi"/>
        </w:rPr>
      </w:pPr>
      <w:r>
        <w:rPr>
          <w:noProof/>
          <w:lang w:eastAsia="en-AU"/>
        </w:rPr>
        <w:drawing>
          <wp:inline distT="0" distB="0" distL="0" distR="0" wp14:anchorId="2702D35B" wp14:editId="32732193">
            <wp:extent cx="4261551" cy="6145967"/>
            <wp:effectExtent l="0" t="0" r="5715" b="7620"/>
            <wp:docPr id="7" name="Picture 7" descr="Incidence of worst Grade 3 or 4 haematological and biochemical abnormalities in at least 2 regorafenib-treated subjects during the double-blind treatment period, Study 15982 (Pool 2)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259488" cy="6142992"/>
                    </a:xfrm>
                    <a:prstGeom prst="rect">
                      <a:avLst/>
                    </a:prstGeom>
                  </pic:spPr>
                </pic:pic>
              </a:graphicData>
            </a:graphic>
          </wp:inline>
        </w:drawing>
      </w:r>
    </w:p>
    <w:p w:rsidR="006241FD" w:rsidRPr="00BA24C8" w:rsidRDefault="006241FD" w:rsidP="007C579E">
      <w:pPr>
        <w:pStyle w:val="Heading6"/>
      </w:pPr>
      <w:r w:rsidRPr="00BA24C8">
        <w:t>Other studies</w:t>
      </w:r>
    </w:p>
    <w:p w:rsidR="006241FD" w:rsidRPr="00E83D7A" w:rsidRDefault="006241FD" w:rsidP="00F17CA0">
      <w:pPr>
        <w:pStyle w:val="ListBullet"/>
      </w:pPr>
      <w:r w:rsidRPr="00E83D7A">
        <w:t>Pool 1</w:t>
      </w:r>
    </w:p>
    <w:p w:rsidR="006241FD" w:rsidRPr="007C579E" w:rsidRDefault="006241FD" w:rsidP="00F17CA0">
      <w:pPr>
        <w:rPr>
          <w:lang w:eastAsia="ja-JP"/>
        </w:rPr>
      </w:pPr>
      <w:proofErr w:type="gramStart"/>
      <w:r w:rsidRPr="00BA24C8">
        <w:rPr>
          <w:lang w:eastAsia="ja-JP"/>
        </w:rPr>
        <w:t xml:space="preserve">TEAEs in the SOC of </w:t>
      </w:r>
      <w:r w:rsidR="00864644">
        <w:rPr>
          <w:lang w:eastAsia="ja-JP"/>
        </w:rPr>
        <w:t>‘</w:t>
      </w:r>
      <w:r w:rsidRPr="00BA24C8">
        <w:rPr>
          <w:lang w:eastAsia="ja-JP"/>
        </w:rPr>
        <w:t>hepatobiliary disorders</w:t>
      </w:r>
      <w:r w:rsidR="00864644">
        <w:rPr>
          <w:lang w:eastAsia="ja-JP"/>
        </w:rPr>
        <w:t>’</w:t>
      </w:r>
      <w:r w:rsidRPr="00BA24C8">
        <w:rPr>
          <w:lang w:eastAsia="ja-JP"/>
        </w:rPr>
        <w:t xml:space="preserve"> w</w:t>
      </w:r>
      <w:r w:rsidR="004151AE">
        <w:rPr>
          <w:lang w:eastAsia="ja-JP"/>
        </w:rPr>
        <w:t>ere</w:t>
      </w:r>
      <w:r w:rsidRPr="00BA24C8">
        <w:rPr>
          <w:lang w:eastAsia="ja-JP"/>
        </w:rPr>
        <w:t xml:space="preserve"> reported in 12.8% (579/4518) of </w:t>
      </w:r>
      <w:r w:rsidR="007C579E">
        <w:rPr>
          <w:lang w:eastAsia="ja-JP"/>
        </w:rPr>
        <w:t xml:space="preserve">the </w:t>
      </w:r>
      <w:r w:rsidRPr="00BA24C8">
        <w:rPr>
          <w:lang w:eastAsia="ja-JP"/>
        </w:rPr>
        <w:t>regorafenib</w:t>
      </w:r>
      <w:r w:rsidR="007C579E">
        <w:rPr>
          <w:lang w:eastAsia="ja-JP"/>
        </w:rPr>
        <w:t xml:space="preserve"> </w:t>
      </w:r>
      <w:r w:rsidRPr="00BA24C8">
        <w:rPr>
          <w:lang w:eastAsia="ja-JP"/>
        </w:rPr>
        <w:t>treated subjects.</w:t>
      </w:r>
      <w:proofErr w:type="gramEnd"/>
      <w:r w:rsidRPr="00BA24C8">
        <w:rPr>
          <w:lang w:eastAsia="ja-JP"/>
        </w:rPr>
        <w:t xml:space="preserve"> The most commonly reported TEAEs were hyperbilirubinaemia (5.8%), hepatic pain (1.5%), and hepatic failure (1.4%</w:t>
      </w:r>
      <w:proofErr w:type="gramStart"/>
      <w:r w:rsidRPr="00BA24C8">
        <w:rPr>
          <w:lang w:eastAsia="ja-JP"/>
        </w:rPr>
        <w:t>)</w:t>
      </w:r>
      <w:r w:rsidR="00F26FD4" w:rsidRPr="00BA24C8">
        <w:t>(</w:t>
      </w:r>
      <w:proofErr w:type="gramEnd"/>
      <w:r w:rsidR="00F26FD4">
        <w:t>Table 7</w:t>
      </w:r>
      <w:r w:rsidR="00F26FD4" w:rsidRPr="00BA24C8">
        <w:t>)</w:t>
      </w:r>
      <w:r w:rsidRPr="00BA24C8">
        <w:rPr>
          <w:lang w:eastAsia="ja-JP"/>
        </w:rPr>
        <w:t>.</w:t>
      </w:r>
      <w:r w:rsidR="00686D30">
        <w:rPr>
          <w:lang w:eastAsia="ja-JP"/>
        </w:rPr>
        <w:t xml:space="preserve"> </w:t>
      </w:r>
      <w:r w:rsidRPr="00BA24C8">
        <w:rPr>
          <w:lang w:eastAsia="ja-JP"/>
        </w:rPr>
        <w:t xml:space="preserve">Analyses of liver function tests showed that incidences of AST increased, ALT increased, ALP increased, </w:t>
      </w:r>
      <w:proofErr w:type="gramStart"/>
      <w:r w:rsidRPr="00BA24C8">
        <w:rPr>
          <w:lang w:eastAsia="ja-JP"/>
        </w:rPr>
        <w:t>GGT</w:t>
      </w:r>
      <w:proofErr w:type="gramEnd"/>
      <w:r w:rsidRPr="00BA24C8">
        <w:rPr>
          <w:lang w:eastAsia="ja-JP"/>
        </w:rPr>
        <w:t xml:space="preserve"> increased and blood bilirubin increased were 73.5%, 52.2%, 75.1%, 85.7% and 57.7%, </w:t>
      </w:r>
      <w:r w:rsidRPr="007C579E">
        <w:rPr>
          <w:lang w:eastAsia="ja-JP"/>
        </w:rPr>
        <w:t>respectively (</w:t>
      </w:r>
      <w:r w:rsidR="007C579E" w:rsidRPr="007C579E">
        <w:rPr>
          <w:lang w:eastAsia="ja-JP"/>
        </w:rPr>
        <w:t>Table 8</w:t>
      </w:r>
      <w:r w:rsidRPr="007C579E">
        <w:rPr>
          <w:lang w:eastAsia="ja-JP"/>
        </w:rPr>
        <w:t>).</w:t>
      </w:r>
    </w:p>
    <w:p w:rsidR="006241FD" w:rsidRPr="00BA24C8" w:rsidRDefault="006241FD" w:rsidP="00F17CA0">
      <w:pPr>
        <w:pStyle w:val="ListBullet"/>
      </w:pPr>
      <w:r w:rsidRPr="00BA24C8">
        <w:t>Pool 3</w:t>
      </w:r>
    </w:p>
    <w:p w:rsidR="006241FD" w:rsidRPr="00BA24C8" w:rsidRDefault="006241FD" w:rsidP="00F17CA0">
      <w:pPr>
        <w:rPr>
          <w:lang w:eastAsia="ja-JP"/>
        </w:rPr>
      </w:pPr>
      <w:r w:rsidRPr="00BA24C8">
        <w:rPr>
          <w:lang w:eastAsia="ja-JP"/>
        </w:rPr>
        <w:t xml:space="preserve">Incidence of TEAEs in the SOC of </w:t>
      </w:r>
      <w:r w:rsidR="00864644">
        <w:rPr>
          <w:lang w:eastAsia="ja-JP"/>
        </w:rPr>
        <w:t>‘</w:t>
      </w:r>
      <w:r w:rsidRPr="00BA24C8">
        <w:rPr>
          <w:lang w:eastAsia="ja-JP"/>
        </w:rPr>
        <w:t>hepatobiliary disorders</w:t>
      </w:r>
      <w:r w:rsidR="00864644">
        <w:rPr>
          <w:lang w:eastAsia="ja-JP"/>
        </w:rPr>
        <w:t>’</w:t>
      </w:r>
      <w:r w:rsidRPr="00BA24C8">
        <w:rPr>
          <w:lang w:eastAsia="ja-JP"/>
        </w:rPr>
        <w:t xml:space="preserve"> were higher in the pooled regorafenib group compared to the pooled placebo group (15.2%</w:t>
      </w:r>
      <w:r w:rsidR="00EB28B3">
        <w:rPr>
          <w:lang w:eastAsia="ja-JP"/>
        </w:rPr>
        <w:t xml:space="preserve"> versus </w:t>
      </w:r>
      <w:r w:rsidRPr="00BA24C8">
        <w:rPr>
          <w:lang w:eastAsia="ja-JP"/>
        </w:rPr>
        <w:t xml:space="preserve">11.2%) </w:t>
      </w:r>
      <w:proofErr w:type="gramStart"/>
      <w:r w:rsidRPr="00BA24C8">
        <w:t>(</w:t>
      </w:r>
      <w:r w:rsidR="007C579E">
        <w:t>Table 7</w:t>
      </w:r>
      <w:r w:rsidRPr="00BA24C8">
        <w:t>).</w:t>
      </w:r>
      <w:proofErr w:type="gramEnd"/>
      <w:r w:rsidRPr="00BA24C8">
        <w:rPr>
          <w:lang w:eastAsia="ja-JP"/>
        </w:rPr>
        <w:t xml:space="preserve"> </w:t>
      </w:r>
      <w:r w:rsidRPr="00BA24C8">
        <w:rPr>
          <w:lang w:eastAsia="ja-JP"/>
        </w:rPr>
        <w:lastRenderedPageBreak/>
        <w:t>In the pooled regorafenib group, the most commonly reported TEAEs were hyperbilirubinaemia (7.5%</w:t>
      </w:r>
      <w:r w:rsidR="00EB28B3">
        <w:rPr>
          <w:lang w:eastAsia="ja-JP"/>
        </w:rPr>
        <w:t xml:space="preserve"> versus </w:t>
      </w:r>
      <w:r w:rsidRPr="00BA24C8">
        <w:rPr>
          <w:lang w:eastAsia="ja-JP"/>
        </w:rPr>
        <w:t>3.4% in the placebo group), hepatic failure (1.4%</w:t>
      </w:r>
      <w:r w:rsidR="00EB28B3">
        <w:rPr>
          <w:lang w:eastAsia="ja-JP"/>
        </w:rPr>
        <w:t xml:space="preserve"> versus </w:t>
      </w:r>
      <w:r w:rsidRPr="00BA24C8">
        <w:rPr>
          <w:lang w:eastAsia="ja-JP"/>
        </w:rPr>
        <w:t>2.2%) and hepatic function abnormal (1.4%</w:t>
      </w:r>
      <w:r w:rsidR="00EB28B3">
        <w:rPr>
          <w:lang w:eastAsia="ja-JP"/>
        </w:rPr>
        <w:t xml:space="preserve"> versus </w:t>
      </w:r>
      <w:r w:rsidRPr="00BA24C8">
        <w:rPr>
          <w:lang w:eastAsia="ja-JP"/>
        </w:rPr>
        <w:t>1.7%).</w:t>
      </w:r>
    </w:p>
    <w:p w:rsidR="006241FD" w:rsidRDefault="006241FD" w:rsidP="00F17CA0">
      <w:pPr>
        <w:rPr>
          <w:b/>
          <w:lang w:eastAsia="ja-JP"/>
        </w:rPr>
      </w:pPr>
      <w:r w:rsidRPr="00BA24C8">
        <w:rPr>
          <w:lang w:eastAsia="ja-JP"/>
        </w:rPr>
        <w:t>Analyses of liver function tests showed that incidences were higher in the pooled regorafenib group compared to the pooled placebo group for AST increased (74.1%</w:t>
      </w:r>
      <w:r w:rsidR="00EB28B3">
        <w:rPr>
          <w:lang w:eastAsia="ja-JP"/>
        </w:rPr>
        <w:t xml:space="preserve"> versus </w:t>
      </w:r>
      <w:r w:rsidRPr="00BA24C8">
        <w:rPr>
          <w:lang w:eastAsia="ja-JP"/>
        </w:rPr>
        <w:t>59.2%), ALT increased (54.3%</w:t>
      </w:r>
      <w:r w:rsidR="00EB28B3">
        <w:rPr>
          <w:lang w:eastAsia="ja-JP"/>
        </w:rPr>
        <w:t xml:space="preserve"> versus </w:t>
      </w:r>
      <w:r w:rsidRPr="00BA24C8">
        <w:rPr>
          <w:lang w:eastAsia="ja-JP"/>
        </w:rPr>
        <w:t>70.4%), ALP increased (72.2%</w:t>
      </w:r>
      <w:r w:rsidR="00EB28B3">
        <w:rPr>
          <w:lang w:eastAsia="ja-JP"/>
        </w:rPr>
        <w:t xml:space="preserve"> versus </w:t>
      </w:r>
      <w:r w:rsidRPr="00BA24C8">
        <w:rPr>
          <w:lang w:eastAsia="ja-JP"/>
        </w:rPr>
        <w:t>65.7%), and blood bilirubin increased (57.3%</w:t>
      </w:r>
      <w:r w:rsidR="00EB28B3">
        <w:rPr>
          <w:lang w:eastAsia="ja-JP"/>
        </w:rPr>
        <w:t xml:space="preserve"> versus </w:t>
      </w:r>
      <w:r w:rsidRPr="00BA24C8">
        <w:rPr>
          <w:lang w:eastAsia="ja-JP"/>
        </w:rPr>
        <w:t xml:space="preserve">30.7%) </w:t>
      </w:r>
      <w:proofErr w:type="gramStart"/>
      <w:r w:rsidRPr="00BA24C8">
        <w:rPr>
          <w:lang w:eastAsia="ja-JP"/>
        </w:rPr>
        <w:t>(</w:t>
      </w:r>
      <w:r w:rsidR="007C579E">
        <w:rPr>
          <w:lang w:eastAsia="ja-JP"/>
        </w:rPr>
        <w:t>Table 8</w:t>
      </w:r>
      <w:r w:rsidRPr="00BA24C8">
        <w:rPr>
          <w:lang w:eastAsia="ja-JP"/>
        </w:rPr>
        <w:t>)</w:t>
      </w:r>
      <w:r w:rsidR="007C579E">
        <w:rPr>
          <w:lang w:eastAsia="ja-JP"/>
        </w:rPr>
        <w:t>.</w:t>
      </w:r>
      <w:proofErr w:type="gramEnd"/>
      <w:r w:rsidRPr="00BA24C8">
        <w:rPr>
          <w:b/>
          <w:lang w:eastAsia="ja-JP"/>
        </w:rPr>
        <w:t xml:space="preserve"> </w:t>
      </w:r>
      <w:r w:rsidRPr="00BA24C8">
        <w:rPr>
          <w:lang w:eastAsia="ja-JP"/>
        </w:rPr>
        <w:t xml:space="preserve">Most of these increases were of </w:t>
      </w:r>
      <w:r w:rsidR="007C579E">
        <w:rPr>
          <w:lang w:eastAsia="ja-JP"/>
        </w:rPr>
        <w:t>G</w:t>
      </w:r>
      <w:r w:rsidRPr="00BA24C8">
        <w:rPr>
          <w:lang w:eastAsia="ja-JP"/>
        </w:rPr>
        <w:t xml:space="preserve">rade 1 or 2 </w:t>
      </w:r>
      <w:proofErr w:type="gramStart"/>
      <w:r w:rsidRPr="00BA24C8">
        <w:rPr>
          <w:lang w:eastAsia="ja-JP"/>
        </w:rPr>
        <w:t>severity</w:t>
      </w:r>
      <w:proofErr w:type="gramEnd"/>
      <w:r w:rsidRPr="00BA24C8">
        <w:rPr>
          <w:lang w:eastAsia="ja-JP"/>
        </w:rPr>
        <w:t xml:space="preserve">. There were no </w:t>
      </w:r>
      <w:r w:rsidR="007C579E">
        <w:rPr>
          <w:lang w:eastAsia="ja-JP"/>
        </w:rPr>
        <w:t>G</w:t>
      </w:r>
      <w:r w:rsidRPr="00BA24C8">
        <w:rPr>
          <w:lang w:eastAsia="ja-JP"/>
        </w:rPr>
        <w:t xml:space="preserve">rade 5 abnormalities in LFT. Worst </w:t>
      </w:r>
      <w:r w:rsidR="007C579E">
        <w:rPr>
          <w:lang w:eastAsia="ja-JP"/>
        </w:rPr>
        <w:t>G</w:t>
      </w:r>
      <w:r w:rsidRPr="00BA24C8">
        <w:rPr>
          <w:lang w:eastAsia="ja-JP"/>
        </w:rPr>
        <w:t>rade 3 or 4 LFT parameters which had higher incidence in the regorafenib group compared to placebo group were</w:t>
      </w:r>
      <w:r w:rsidR="007C579E">
        <w:rPr>
          <w:lang w:eastAsia="ja-JP"/>
        </w:rPr>
        <w:t xml:space="preserve"> Grade 3 </w:t>
      </w:r>
      <w:r w:rsidRPr="00BA24C8">
        <w:rPr>
          <w:lang w:eastAsia="ja-JP"/>
        </w:rPr>
        <w:t>ALT increased (5.5%</w:t>
      </w:r>
      <w:r w:rsidR="00EB28B3">
        <w:rPr>
          <w:lang w:eastAsia="ja-JP"/>
        </w:rPr>
        <w:t xml:space="preserve"> versus </w:t>
      </w:r>
      <w:r w:rsidRPr="00BA24C8">
        <w:rPr>
          <w:lang w:eastAsia="ja-JP"/>
        </w:rPr>
        <w:t>3.3%),</w:t>
      </w:r>
      <w:r w:rsidR="007C579E">
        <w:rPr>
          <w:lang w:eastAsia="ja-JP"/>
        </w:rPr>
        <w:t xml:space="preserve"> Grade 3 </w:t>
      </w:r>
      <w:r w:rsidRPr="00BA24C8">
        <w:rPr>
          <w:lang w:eastAsia="ja-JP"/>
        </w:rPr>
        <w:t>AST increased (9.2%</w:t>
      </w:r>
      <w:r w:rsidR="00EB28B3">
        <w:rPr>
          <w:lang w:eastAsia="ja-JP"/>
        </w:rPr>
        <w:t xml:space="preserve"> versus </w:t>
      </w:r>
      <w:r w:rsidRPr="00BA24C8">
        <w:rPr>
          <w:lang w:eastAsia="ja-JP"/>
        </w:rPr>
        <w:t>8.3%),</w:t>
      </w:r>
      <w:r w:rsidR="007C579E">
        <w:rPr>
          <w:lang w:eastAsia="ja-JP"/>
        </w:rPr>
        <w:t xml:space="preserve"> Grade 3 </w:t>
      </w:r>
      <w:r w:rsidRPr="00BA24C8">
        <w:rPr>
          <w:lang w:eastAsia="ja-JP"/>
        </w:rPr>
        <w:t>blood bilirubin increased (9.5%</w:t>
      </w:r>
      <w:r w:rsidR="00EB28B3">
        <w:rPr>
          <w:lang w:eastAsia="ja-JP"/>
        </w:rPr>
        <w:t xml:space="preserve"> versus </w:t>
      </w:r>
      <w:r w:rsidRPr="00BA24C8">
        <w:rPr>
          <w:lang w:eastAsia="ja-JP"/>
        </w:rPr>
        <w:t>6.6%),</w:t>
      </w:r>
      <w:r w:rsidR="007C579E">
        <w:rPr>
          <w:lang w:eastAsia="ja-JP"/>
        </w:rPr>
        <w:t xml:space="preserve"> Grade 4</w:t>
      </w:r>
      <w:r w:rsidRPr="00BA24C8">
        <w:rPr>
          <w:lang w:eastAsia="ja-JP"/>
        </w:rPr>
        <w:t xml:space="preserve"> GGT increased (3.5%</w:t>
      </w:r>
      <w:r w:rsidR="00EB28B3">
        <w:rPr>
          <w:lang w:eastAsia="ja-JP"/>
        </w:rPr>
        <w:t xml:space="preserve"> versus </w:t>
      </w:r>
      <w:r w:rsidRPr="00BA24C8">
        <w:rPr>
          <w:lang w:eastAsia="ja-JP"/>
        </w:rPr>
        <w:t>2.7%) and</w:t>
      </w:r>
      <w:r w:rsidR="007C579E">
        <w:rPr>
          <w:lang w:eastAsia="ja-JP"/>
        </w:rPr>
        <w:t xml:space="preserve"> Grade 4</w:t>
      </w:r>
      <w:r w:rsidRPr="00BA24C8">
        <w:rPr>
          <w:lang w:eastAsia="ja-JP"/>
        </w:rPr>
        <w:t xml:space="preserve"> ALT increased (0.5%</w:t>
      </w:r>
      <w:r w:rsidR="00EB28B3">
        <w:rPr>
          <w:lang w:eastAsia="ja-JP"/>
        </w:rPr>
        <w:t xml:space="preserve"> versus </w:t>
      </w:r>
      <w:r w:rsidRPr="00BA24C8">
        <w:rPr>
          <w:lang w:eastAsia="ja-JP"/>
        </w:rPr>
        <w:t xml:space="preserve">0.2%) </w:t>
      </w:r>
      <w:proofErr w:type="gramStart"/>
      <w:r w:rsidRPr="00BA24C8">
        <w:rPr>
          <w:lang w:eastAsia="ja-JP"/>
        </w:rPr>
        <w:t>(</w:t>
      </w:r>
      <w:r w:rsidR="007C579E">
        <w:rPr>
          <w:lang w:eastAsia="ja-JP"/>
        </w:rPr>
        <w:t>Table 10</w:t>
      </w:r>
      <w:r w:rsidRPr="00BA24C8">
        <w:rPr>
          <w:lang w:eastAsia="ja-JP"/>
        </w:rPr>
        <w:t>)</w:t>
      </w:r>
      <w:r w:rsidR="007C579E">
        <w:rPr>
          <w:lang w:eastAsia="ja-JP"/>
        </w:rPr>
        <w:t>.</w:t>
      </w:r>
      <w:proofErr w:type="gramEnd"/>
    </w:p>
    <w:p w:rsidR="007C579E" w:rsidRPr="00C73765" w:rsidRDefault="00F17CA0" w:rsidP="00F17CA0">
      <w:pPr>
        <w:pStyle w:val="TableTitle"/>
        <w:numPr>
          <w:ilvl w:val="0"/>
          <w:numId w:val="0"/>
        </w:numPr>
      </w:pPr>
      <w:bookmarkStart w:id="120" w:name="_Toc483989600"/>
      <w:bookmarkStart w:id="121" w:name="_Ref483990006"/>
      <w:bookmarkStart w:id="122" w:name="_Ref483990019"/>
      <w:bookmarkStart w:id="123" w:name="_Ref483990027"/>
      <w:bookmarkStart w:id="124" w:name="_Ref483990093"/>
      <w:r>
        <w:lastRenderedPageBreak/>
        <w:t xml:space="preserve">Table 10: </w:t>
      </w:r>
      <w:r w:rsidR="007C579E" w:rsidRPr="00C73765">
        <w:t xml:space="preserve">Incidence of worst Grade 3 or 4 haematological and biochemical abnormalities in at least 1% of </w:t>
      </w:r>
      <w:r w:rsidR="00462820" w:rsidRPr="00C73765">
        <w:t>regorafenib treated</w:t>
      </w:r>
      <w:r w:rsidR="007C579E" w:rsidRPr="00C73765">
        <w:t xml:space="preserve"> subjects, </w:t>
      </w:r>
      <w:r w:rsidR="00462820" w:rsidRPr="00C73765">
        <w:t>placebo controlled</w:t>
      </w:r>
      <w:r w:rsidR="007C579E" w:rsidRPr="00C73765">
        <w:t xml:space="preserve"> studies </w:t>
      </w:r>
      <w:r w:rsidR="004151AE">
        <w:t xml:space="preserve">in Pool 3 </w:t>
      </w:r>
      <w:r w:rsidR="007C579E" w:rsidRPr="00C73765">
        <w:t>SAF</w:t>
      </w:r>
      <w:bookmarkEnd w:id="120"/>
      <w:bookmarkEnd w:id="121"/>
      <w:bookmarkEnd w:id="122"/>
      <w:bookmarkEnd w:id="123"/>
      <w:bookmarkEnd w:id="124"/>
    </w:p>
    <w:p w:rsidR="007C579E" w:rsidRPr="00BA24C8" w:rsidRDefault="007C579E" w:rsidP="00F17CA0">
      <w:pPr>
        <w:rPr>
          <w:lang w:eastAsia="ja-JP"/>
        </w:rPr>
      </w:pPr>
      <w:r>
        <w:rPr>
          <w:noProof/>
          <w:lang w:eastAsia="en-AU"/>
        </w:rPr>
        <w:drawing>
          <wp:inline distT="0" distB="0" distL="0" distR="0" wp14:anchorId="48A1CDDC" wp14:editId="02634E70">
            <wp:extent cx="4107305" cy="6978155"/>
            <wp:effectExtent l="0" t="0" r="7620" b="0"/>
            <wp:docPr id="8" name="Picture 8" descr="Incidence of worst Grade 3 or 4 haematological and biochemical abnormalities in at least 1% of regorafenib-treated subjects, placebo-controlled studies (Pool 3)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r="1511" b="2519"/>
                    <a:stretch/>
                  </pic:blipFill>
                  <pic:spPr bwMode="auto">
                    <a:xfrm>
                      <a:off x="0" y="0"/>
                      <a:ext cx="4112530" cy="6987032"/>
                    </a:xfrm>
                    <a:prstGeom prst="rect">
                      <a:avLst/>
                    </a:prstGeom>
                    <a:ln>
                      <a:noFill/>
                    </a:ln>
                    <a:extLst>
                      <a:ext uri="{53640926-AAD7-44D8-BBD7-CCE9431645EC}">
                        <a14:shadowObscured xmlns:a14="http://schemas.microsoft.com/office/drawing/2010/main"/>
                      </a:ext>
                    </a:extLst>
                  </pic:spPr>
                </pic:pic>
              </a:graphicData>
            </a:graphic>
          </wp:inline>
        </w:drawing>
      </w:r>
    </w:p>
    <w:p w:rsidR="006241FD" w:rsidRPr="00BA24C8" w:rsidRDefault="006241FD" w:rsidP="007C579E">
      <w:pPr>
        <w:pStyle w:val="Heading5"/>
      </w:pPr>
      <w:bookmarkStart w:id="125" w:name="_Toc272414671"/>
      <w:bookmarkStart w:id="126" w:name="_Toc290888535"/>
      <w:bookmarkStart w:id="127" w:name="_Toc416353751"/>
      <w:bookmarkStart w:id="128" w:name="_Toc421005294"/>
      <w:bookmarkStart w:id="129" w:name="_Toc432079171"/>
      <w:bookmarkStart w:id="130" w:name="_Toc432080744"/>
      <w:bookmarkStart w:id="131" w:name="_Toc488837832"/>
      <w:r w:rsidRPr="00BA24C8">
        <w:t>Other clinical chemistry</w:t>
      </w:r>
      <w:bookmarkEnd w:id="125"/>
      <w:bookmarkEnd w:id="126"/>
      <w:bookmarkEnd w:id="127"/>
      <w:bookmarkEnd w:id="128"/>
      <w:bookmarkEnd w:id="129"/>
      <w:bookmarkEnd w:id="130"/>
      <w:bookmarkEnd w:id="131"/>
    </w:p>
    <w:p w:rsidR="006241FD" w:rsidRPr="00BA24C8" w:rsidRDefault="006241FD" w:rsidP="007C579E">
      <w:pPr>
        <w:pStyle w:val="Heading6"/>
      </w:pPr>
      <w:r w:rsidRPr="00BA24C8">
        <w:t>Pivotal and/or main efficacy study (RESORCE)</w:t>
      </w:r>
    </w:p>
    <w:p w:rsidR="006241FD" w:rsidRPr="00BA24C8" w:rsidRDefault="006241FD" w:rsidP="00F17CA0">
      <w:pPr>
        <w:rPr>
          <w:lang w:eastAsia="ja-JP"/>
        </w:rPr>
      </w:pPr>
      <w:r w:rsidRPr="00BA24C8">
        <w:rPr>
          <w:lang w:eastAsia="ja-JP"/>
        </w:rPr>
        <w:t xml:space="preserve">Evaluation of other laboratory chemistry parameters showed results consistent with the known safety profile of regorafenib and did not trigger any additional safety concerns. The most commonly occurring laboratory chemistry parameter abnormalities were in the liver function test </w:t>
      </w:r>
      <w:r w:rsidRPr="007C579E">
        <w:rPr>
          <w:lang w:eastAsia="ja-JP"/>
        </w:rPr>
        <w:t>parameters.</w:t>
      </w:r>
      <w:r w:rsidRPr="00BA24C8">
        <w:rPr>
          <w:lang w:eastAsia="ja-JP"/>
        </w:rPr>
        <w:t xml:space="preserve"> The most commonly reported worst</w:t>
      </w:r>
      <w:r w:rsidR="007C579E">
        <w:rPr>
          <w:lang w:eastAsia="ja-JP"/>
        </w:rPr>
        <w:t xml:space="preserve"> Grade 3 </w:t>
      </w:r>
      <w:r w:rsidRPr="00BA24C8">
        <w:rPr>
          <w:lang w:eastAsia="ja-JP"/>
        </w:rPr>
        <w:t>chemistry abnormalities in the regorafenib group were GGT increased (34.8% with regorafenib</w:t>
      </w:r>
      <w:r w:rsidR="00EB28B3">
        <w:rPr>
          <w:lang w:eastAsia="ja-JP"/>
        </w:rPr>
        <w:t xml:space="preserve"> </w:t>
      </w:r>
      <w:r w:rsidR="00EB28B3">
        <w:rPr>
          <w:lang w:eastAsia="ja-JP"/>
        </w:rPr>
        <w:lastRenderedPageBreak/>
        <w:t xml:space="preserve">versus </w:t>
      </w:r>
      <w:r w:rsidRPr="00BA24C8">
        <w:rPr>
          <w:lang w:eastAsia="ja-JP"/>
        </w:rPr>
        <w:t>40.4% with placebo) and hypophosphatemia (32.3%</w:t>
      </w:r>
      <w:r w:rsidR="00EB28B3">
        <w:rPr>
          <w:lang w:eastAsia="ja-JP"/>
        </w:rPr>
        <w:t xml:space="preserve"> versus </w:t>
      </w:r>
      <w:r w:rsidRPr="00BA24C8">
        <w:rPr>
          <w:lang w:eastAsia="ja-JP"/>
        </w:rPr>
        <w:t xml:space="preserve">6.9%) </w:t>
      </w:r>
      <w:proofErr w:type="gramStart"/>
      <w:r w:rsidRPr="00BA24C8">
        <w:rPr>
          <w:lang w:eastAsia="ja-JP"/>
        </w:rPr>
        <w:t>(</w:t>
      </w:r>
      <w:r w:rsidR="00605841">
        <w:rPr>
          <w:lang w:eastAsia="ja-JP"/>
        </w:rPr>
        <w:t xml:space="preserve">Table </w:t>
      </w:r>
      <w:r w:rsidR="00D540DA">
        <w:rPr>
          <w:lang w:eastAsia="ja-JP"/>
        </w:rPr>
        <w:t>9</w:t>
      </w:r>
      <w:r w:rsidRPr="00BA24C8">
        <w:rPr>
          <w:lang w:eastAsia="ja-JP"/>
        </w:rPr>
        <w:t>).</w:t>
      </w:r>
      <w:proofErr w:type="gramEnd"/>
      <w:r w:rsidRPr="00BA24C8">
        <w:rPr>
          <w:lang w:eastAsia="ja-JP"/>
        </w:rPr>
        <w:t xml:space="preserve"> The only</w:t>
      </w:r>
      <w:r w:rsidR="007C579E">
        <w:rPr>
          <w:lang w:eastAsia="ja-JP"/>
        </w:rPr>
        <w:t xml:space="preserve"> Grade 4</w:t>
      </w:r>
      <w:r w:rsidRPr="00BA24C8">
        <w:rPr>
          <w:lang w:eastAsia="ja-JP"/>
        </w:rPr>
        <w:t xml:space="preserve"> clinical chemistry abnormality reported in ≥</w:t>
      </w:r>
      <w:r w:rsidR="00EC67F6">
        <w:rPr>
          <w:lang w:eastAsia="ja-JP"/>
        </w:rPr>
        <w:t xml:space="preserve"> </w:t>
      </w:r>
      <w:r w:rsidRPr="00BA24C8">
        <w:rPr>
          <w:lang w:eastAsia="ja-JP"/>
        </w:rPr>
        <w:t xml:space="preserve">5% of </w:t>
      </w:r>
      <w:r w:rsidR="00462820">
        <w:rPr>
          <w:lang w:eastAsia="ja-JP"/>
        </w:rPr>
        <w:t>regorafenib treated</w:t>
      </w:r>
      <w:r w:rsidRPr="00BA24C8">
        <w:rPr>
          <w:lang w:eastAsia="ja-JP"/>
        </w:rPr>
        <w:t xml:space="preserve"> subjects was hyperuri</w:t>
      </w:r>
      <w:r w:rsidR="006D7374">
        <w:rPr>
          <w:lang w:eastAsia="ja-JP"/>
        </w:rPr>
        <w:t>caemia</w:t>
      </w:r>
      <w:r w:rsidRPr="00BA24C8">
        <w:rPr>
          <w:lang w:eastAsia="ja-JP"/>
        </w:rPr>
        <w:t xml:space="preserve"> (5.2% with regorafenib</w:t>
      </w:r>
      <w:r w:rsidR="00EB28B3">
        <w:rPr>
          <w:lang w:eastAsia="ja-JP"/>
        </w:rPr>
        <w:t xml:space="preserve"> versus </w:t>
      </w:r>
      <w:r w:rsidRPr="00BA24C8">
        <w:rPr>
          <w:lang w:eastAsia="ja-JP"/>
        </w:rPr>
        <w:t>6.4% with placebo).</w:t>
      </w:r>
    </w:p>
    <w:p w:rsidR="006241FD" w:rsidRPr="00BA24C8" w:rsidRDefault="006241FD" w:rsidP="00605841">
      <w:pPr>
        <w:pStyle w:val="Heading6"/>
      </w:pPr>
      <w:r w:rsidRPr="00BA24C8">
        <w:t>Other studies</w:t>
      </w:r>
    </w:p>
    <w:p w:rsidR="006241FD" w:rsidRPr="00BA24C8" w:rsidRDefault="006241FD" w:rsidP="00F17CA0">
      <w:pPr>
        <w:pStyle w:val="ListBullet"/>
      </w:pPr>
      <w:r w:rsidRPr="00BA24C8">
        <w:t>Pool 1</w:t>
      </w:r>
    </w:p>
    <w:p w:rsidR="006241FD" w:rsidRPr="00BA24C8" w:rsidRDefault="006241FD" w:rsidP="00F17CA0">
      <w:pPr>
        <w:rPr>
          <w:lang w:eastAsia="ja-JP"/>
        </w:rPr>
      </w:pPr>
      <w:r w:rsidRPr="00BA24C8">
        <w:rPr>
          <w:lang w:eastAsia="ja-JP"/>
        </w:rPr>
        <w:t>Evaluation of other laboratory chemistry parameters showed results consistent with the known safety profile of regorafenib and did not trigger any additional safety concerns.</w:t>
      </w:r>
    </w:p>
    <w:p w:rsidR="006241FD" w:rsidRPr="00BA24C8" w:rsidRDefault="006241FD" w:rsidP="00F17CA0">
      <w:pPr>
        <w:pStyle w:val="ListBullet"/>
      </w:pPr>
      <w:r w:rsidRPr="00BA24C8">
        <w:t>Pool 3</w:t>
      </w:r>
    </w:p>
    <w:p w:rsidR="006241FD" w:rsidRPr="00BA24C8" w:rsidRDefault="006241FD" w:rsidP="00F17CA0">
      <w:pPr>
        <w:rPr>
          <w:lang w:eastAsia="ja-JP"/>
        </w:rPr>
      </w:pPr>
      <w:r w:rsidRPr="00BA24C8">
        <w:rPr>
          <w:lang w:eastAsia="ja-JP"/>
        </w:rPr>
        <w:t xml:space="preserve">Evaluation of other laboratory chemistry parameters showed results consistent with the known safety profile of regorafenib and did not trigger any additional safety concerns. The most commonly occurring laboratory chemistry parameter abnormalities were in the liver function test parameters as described </w:t>
      </w:r>
      <w:r w:rsidR="00605841">
        <w:rPr>
          <w:lang w:eastAsia="ja-JP"/>
        </w:rPr>
        <w:t>in Table 9</w:t>
      </w:r>
      <w:r w:rsidRPr="00BA24C8">
        <w:rPr>
          <w:lang w:eastAsia="ja-JP"/>
        </w:rPr>
        <w:t>. The most commonly reported worst</w:t>
      </w:r>
      <w:r w:rsidR="007C579E">
        <w:rPr>
          <w:lang w:eastAsia="ja-JP"/>
        </w:rPr>
        <w:t xml:space="preserve"> Grade 3 </w:t>
      </w:r>
      <w:r w:rsidRPr="00BA24C8">
        <w:rPr>
          <w:lang w:eastAsia="ja-JP"/>
        </w:rPr>
        <w:t>chemistry abnormalities in the regorafenib group were GGT increased (34.8%</w:t>
      </w:r>
      <w:r w:rsidR="00EB28B3">
        <w:rPr>
          <w:lang w:eastAsia="ja-JP"/>
        </w:rPr>
        <w:t xml:space="preserve"> versus </w:t>
      </w:r>
      <w:r w:rsidRPr="00BA24C8">
        <w:rPr>
          <w:lang w:eastAsia="ja-JP"/>
        </w:rPr>
        <w:t>40.4% with placebo) and hypophosphatemia (30.9%</w:t>
      </w:r>
      <w:r w:rsidR="00EB28B3">
        <w:rPr>
          <w:lang w:eastAsia="ja-JP"/>
        </w:rPr>
        <w:t xml:space="preserve"> versus </w:t>
      </w:r>
      <w:r w:rsidRPr="00BA24C8">
        <w:rPr>
          <w:lang w:eastAsia="ja-JP"/>
        </w:rPr>
        <w:t xml:space="preserve">4.2%) </w:t>
      </w:r>
      <w:proofErr w:type="gramStart"/>
      <w:r w:rsidRPr="00BA24C8">
        <w:rPr>
          <w:lang w:eastAsia="ja-JP"/>
        </w:rPr>
        <w:t>(</w:t>
      </w:r>
      <w:r w:rsidR="00605841">
        <w:rPr>
          <w:lang w:eastAsia="ja-JP"/>
        </w:rPr>
        <w:t>Table 10</w:t>
      </w:r>
      <w:r w:rsidRPr="00BA24C8">
        <w:rPr>
          <w:lang w:eastAsia="ja-JP"/>
        </w:rPr>
        <w:t>).</w:t>
      </w:r>
      <w:proofErr w:type="gramEnd"/>
      <w:r w:rsidRPr="00BA24C8">
        <w:rPr>
          <w:lang w:eastAsia="ja-JP"/>
        </w:rPr>
        <w:t xml:space="preserve"> There w</w:t>
      </w:r>
      <w:r w:rsidR="004151AE">
        <w:rPr>
          <w:lang w:eastAsia="ja-JP"/>
        </w:rPr>
        <w:t>as</w:t>
      </w:r>
      <w:r w:rsidRPr="00BA24C8">
        <w:rPr>
          <w:lang w:eastAsia="ja-JP"/>
        </w:rPr>
        <w:t xml:space="preserve"> no worst</w:t>
      </w:r>
      <w:r w:rsidR="007C579E">
        <w:rPr>
          <w:lang w:eastAsia="ja-JP"/>
        </w:rPr>
        <w:t xml:space="preserve"> Grade 4</w:t>
      </w:r>
      <w:r w:rsidRPr="00BA24C8">
        <w:rPr>
          <w:lang w:eastAsia="ja-JP"/>
        </w:rPr>
        <w:t xml:space="preserve"> clinical chemistry abnormalities reported in ≥</w:t>
      </w:r>
      <w:r w:rsidR="00EC67F6">
        <w:rPr>
          <w:lang w:eastAsia="ja-JP"/>
        </w:rPr>
        <w:t xml:space="preserve"> </w:t>
      </w:r>
      <w:r w:rsidRPr="00BA24C8">
        <w:rPr>
          <w:lang w:eastAsia="ja-JP"/>
        </w:rPr>
        <w:t xml:space="preserve">5% of </w:t>
      </w:r>
      <w:r w:rsidR="00462820">
        <w:rPr>
          <w:lang w:eastAsia="ja-JP"/>
        </w:rPr>
        <w:t>regorafenib treated</w:t>
      </w:r>
      <w:r w:rsidRPr="00BA24C8">
        <w:rPr>
          <w:lang w:eastAsia="ja-JP"/>
        </w:rPr>
        <w:t xml:space="preserve"> subjects. The most commonly reported</w:t>
      </w:r>
      <w:r w:rsidR="007C579E">
        <w:rPr>
          <w:lang w:eastAsia="ja-JP"/>
        </w:rPr>
        <w:t xml:space="preserve"> Grade 4</w:t>
      </w:r>
      <w:r w:rsidRPr="00BA24C8">
        <w:rPr>
          <w:lang w:eastAsia="ja-JP"/>
        </w:rPr>
        <w:t xml:space="preserve"> chemistry abnormality in the regorafenib group was hyperuri</w:t>
      </w:r>
      <w:r w:rsidR="006D7374">
        <w:rPr>
          <w:lang w:eastAsia="ja-JP"/>
        </w:rPr>
        <w:t>caemia</w:t>
      </w:r>
      <w:r w:rsidRPr="00BA24C8">
        <w:rPr>
          <w:lang w:eastAsia="ja-JP"/>
        </w:rPr>
        <w:t xml:space="preserve"> (4.9%</w:t>
      </w:r>
      <w:r w:rsidR="00EB28B3">
        <w:rPr>
          <w:lang w:eastAsia="ja-JP"/>
        </w:rPr>
        <w:t xml:space="preserve"> versus </w:t>
      </w:r>
      <w:r w:rsidRPr="00BA24C8">
        <w:rPr>
          <w:lang w:eastAsia="ja-JP"/>
        </w:rPr>
        <w:t>5.0% in the placebo group).</w:t>
      </w:r>
    </w:p>
    <w:p w:rsidR="006241FD" w:rsidRPr="00BA24C8" w:rsidRDefault="006241FD" w:rsidP="00605841">
      <w:pPr>
        <w:pStyle w:val="Heading5"/>
      </w:pPr>
      <w:bookmarkStart w:id="132" w:name="_Toc272414672"/>
      <w:bookmarkStart w:id="133" w:name="_Toc290888536"/>
      <w:bookmarkStart w:id="134" w:name="_Toc416353752"/>
      <w:bookmarkStart w:id="135" w:name="_Toc421005295"/>
      <w:bookmarkStart w:id="136" w:name="_Toc488837833"/>
      <w:bookmarkStart w:id="137" w:name="_Toc432079172"/>
      <w:bookmarkStart w:id="138" w:name="_Toc432080745"/>
      <w:r w:rsidRPr="00BA24C8">
        <w:t>Haematology</w:t>
      </w:r>
      <w:bookmarkEnd w:id="132"/>
      <w:bookmarkEnd w:id="133"/>
      <w:bookmarkEnd w:id="134"/>
      <w:bookmarkEnd w:id="135"/>
      <w:bookmarkEnd w:id="136"/>
      <w:bookmarkEnd w:id="137"/>
      <w:bookmarkEnd w:id="138"/>
    </w:p>
    <w:p w:rsidR="006241FD" w:rsidRPr="00BA24C8" w:rsidRDefault="006241FD" w:rsidP="00605841">
      <w:pPr>
        <w:pStyle w:val="Heading6"/>
      </w:pPr>
      <w:r w:rsidRPr="00BA24C8">
        <w:t>Pivotal and/or main efficacy study (RESORCE)</w:t>
      </w:r>
    </w:p>
    <w:p w:rsidR="006241FD" w:rsidRPr="00BA24C8" w:rsidRDefault="006241FD" w:rsidP="00F17CA0">
      <w:pPr>
        <w:rPr>
          <w:lang w:eastAsia="ja-JP"/>
        </w:rPr>
      </w:pPr>
      <w:r w:rsidRPr="00BA24C8">
        <w:rPr>
          <w:lang w:eastAsia="ja-JP"/>
        </w:rPr>
        <w:t>Evaluation of haematological parameters showed results consistent with the known safety profile of regorafenib and did not trigger any additional safety concerns. The most common worst</w:t>
      </w:r>
      <w:r w:rsidR="007C579E">
        <w:rPr>
          <w:lang w:eastAsia="ja-JP"/>
        </w:rPr>
        <w:t xml:space="preserve"> Grade 3 </w:t>
      </w:r>
      <w:r w:rsidRPr="00BA24C8">
        <w:rPr>
          <w:lang w:eastAsia="ja-JP"/>
        </w:rPr>
        <w:t>haematology abnormality was decreased lymphocytes (15.5% with regorafenib</w:t>
      </w:r>
      <w:r w:rsidR="00EB28B3">
        <w:rPr>
          <w:lang w:eastAsia="ja-JP"/>
        </w:rPr>
        <w:t xml:space="preserve"> versus </w:t>
      </w:r>
      <w:r w:rsidRPr="00BA24C8">
        <w:rPr>
          <w:lang w:eastAsia="ja-JP"/>
        </w:rPr>
        <w:t>11.2% with placebo). The most frequent</w:t>
      </w:r>
      <w:r w:rsidR="007C579E">
        <w:rPr>
          <w:lang w:eastAsia="ja-JP"/>
        </w:rPr>
        <w:t xml:space="preserve"> Grade 4</w:t>
      </w:r>
      <w:r w:rsidRPr="00BA24C8">
        <w:rPr>
          <w:lang w:eastAsia="ja-JP"/>
        </w:rPr>
        <w:t xml:space="preserve"> haematology abnormality was also decreased lymphocytes (1.6%</w:t>
      </w:r>
      <w:r w:rsidR="00EB28B3">
        <w:rPr>
          <w:lang w:eastAsia="ja-JP"/>
        </w:rPr>
        <w:t xml:space="preserve"> versus </w:t>
      </w:r>
      <w:r w:rsidRPr="00BA24C8">
        <w:rPr>
          <w:lang w:eastAsia="ja-JP"/>
        </w:rPr>
        <w:t xml:space="preserve">0.5%) </w:t>
      </w:r>
      <w:proofErr w:type="gramStart"/>
      <w:r w:rsidRPr="00BA24C8">
        <w:rPr>
          <w:lang w:eastAsia="ja-JP"/>
        </w:rPr>
        <w:t>(</w:t>
      </w:r>
      <w:r w:rsidR="00605841">
        <w:rPr>
          <w:lang w:eastAsia="ja-JP"/>
        </w:rPr>
        <w:t>Table 9</w:t>
      </w:r>
      <w:r w:rsidRPr="00BA24C8">
        <w:rPr>
          <w:lang w:eastAsia="ja-JP"/>
        </w:rPr>
        <w:t>)</w:t>
      </w:r>
      <w:r w:rsidR="00605841">
        <w:rPr>
          <w:lang w:eastAsia="ja-JP"/>
        </w:rPr>
        <w:t>.</w:t>
      </w:r>
      <w:proofErr w:type="gramEnd"/>
    </w:p>
    <w:p w:rsidR="006241FD" w:rsidRPr="00BA24C8" w:rsidRDefault="006241FD" w:rsidP="00605841">
      <w:pPr>
        <w:pStyle w:val="Heading6"/>
      </w:pPr>
      <w:r w:rsidRPr="00BA24C8">
        <w:t>Other studies</w:t>
      </w:r>
    </w:p>
    <w:p w:rsidR="006241FD" w:rsidRPr="00BA24C8" w:rsidRDefault="006241FD" w:rsidP="00F17CA0">
      <w:pPr>
        <w:pStyle w:val="ListBullet"/>
      </w:pPr>
      <w:r w:rsidRPr="00BA24C8">
        <w:t>Pool 1</w:t>
      </w:r>
    </w:p>
    <w:p w:rsidR="006241FD" w:rsidRPr="00BA24C8" w:rsidRDefault="006241FD" w:rsidP="006241FD">
      <w:pPr>
        <w:rPr>
          <w:lang w:eastAsia="ja-JP"/>
        </w:rPr>
      </w:pPr>
      <w:r w:rsidRPr="00BA24C8">
        <w:rPr>
          <w:lang w:eastAsia="ja-JP"/>
        </w:rPr>
        <w:t>Evaluation of haematological parameters showed results consistent with the known safety profile of regorafenib and did not trigger any additional safety concerns.</w:t>
      </w:r>
    </w:p>
    <w:p w:rsidR="006241FD" w:rsidRPr="00BA24C8" w:rsidRDefault="006241FD" w:rsidP="00F17CA0">
      <w:pPr>
        <w:pStyle w:val="ListBullet"/>
      </w:pPr>
      <w:r w:rsidRPr="00BA24C8">
        <w:t>Pool 3</w:t>
      </w:r>
    </w:p>
    <w:p w:rsidR="006241FD" w:rsidRPr="00BA24C8" w:rsidRDefault="006241FD" w:rsidP="006241FD">
      <w:pPr>
        <w:rPr>
          <w:lang w:eastAsia="ja-JP"/>
        </w:rPr>
      </w:pPr>
      <w:r w:rsidRPr="00BA24C8">
        <w:rPr>
          <w:lang w:eastAsia="ja-JP"/>
        </w:rPr>
        <w:t>Evaluation of haematological parameters showed results consistent with the known safety profile of regorafenib and did not trigger any additional safety concerns. The most common worst</w:t>
      </w:r>
      <w:r w:rsidR="007C579E">
        <w:rPr>
          <w:lang w:eastAsia="ja-JP"/>
        </w:rPr>
        <w:t xml:space="preserve"> Grade 3 </w:t>
      </w:r>
      <w:r w:rsidRPr="00BA24C8">
        <w:rPr>
          <w:lang w:eastAsia="ja-JP"/>
        </w:rPr>
        <w:t>haematology abnormality was decreased lymphocytes (12.1% with regorafenib</w:t>
      </w:r>
      <w:r w:rsidR="00EB28B3">
        <w:rPr>
          <w:lang w:eastAsia="ja-JP"/>
        </w:rPr>
        <w:t xml:space="preserve"> versus </w:t>
      </w:r>
      <w:r w:rsidRPr="00BA24C8">
        <w:rPr>
          <w:lang w:eastAsia="ja-JP"/>
        </w:rPr>
        <w:t>6.6% with placebo). The most frequent</w:t>
      </w:r>
      <w:r w:rsidR="007C579E">
        <w:rPr>
          <w:lang w:eastAsia="ja-JP"/>
        </w:rPr>
        <w:t xml:space="preserve"> Grade 4</w:t>
      </w:r>
      <w:r w:rsidRPr="00BA24C8">
        <w:rPr>
          <w:lang w:eastAsia="ja-JP"/>
        </w:rPr>
        <w:t xml:space="preserve"> haematology abnormality was also decreased lymphocytes (0.8%</w:t>
      </w:r>
      <w:r w:rsidR="00EB28B3">
        <w:rPr>
          <w:lang w:eastAsia="ja-JP"/>
        </w:rPr>
        <w:t xml:space="preserve"> versus </w:t>
      </w:r>
      <w:r w:rsidRPr="00BA24C8">
        <w:rPr>
          <w:lang w:eastAsia="ja-JP"/>
        </w:rPr>
        <w:t xml:space="preserve">0.4%) </w:t>
      </w:r>
      <w:proofErr w:type="gramStart"/>
      <w:r w:rsidRPr="00BA24C8">
        <w:rPr>
          <w:lang w:eastAsia="ja-JP"/>
        </w:rPr>
        <w:t>(</w:t>
      </w:r>
      <w:r w:rsidR="00605841">
        <w:rPr>
          <w:lang w:eastAsia="ja-JP"/>
        </w:rPr>
        <w:t>Table 10</w:t>
      </w:r>
      <w:r w:rsidRPr="00BA24C8">
        <w:rPr>
          <w:lang w:eastAsia="ja-JP"/>
        </w:rPr>
        <w:t>).</w:t>
      </w:r>
      <w:bookmarkStart w:id="139" w:name="_Toc272414676"/>
      <w:bookmarkStart w:id="140" w:name="_Toc290888540"/>
      <w:bookmarkStart w:id="141" w:name="_Toc416353755"/>
      <w:bookmarkStart w:id="142" w:name="_Toc421005298"/>
      <w:bookmarkStart w:id="143" w:name="_Toc432079175"/>
      <w:bookmarkStart w:id="144" w:name="_Toc432080748"/>
      <w:proofErr w:type="gramEnd"/>
    </w:p>
    <w:p w:rsidR="006241FD" w:rsidRPr="00BA24C8" w:rsidRDefault="006241FD" w:rsidP="00605841">
      <w:pPr>
        <w:pStyle w:val="Heading5"/>
      </w:pPr>
      <w:bookmarkStart w:id="145" w:name="_Toc488837834"/>
      <w:r w:rsidRPr="00BA24C8">
        <w:t>Vital signs</w:t>
      </w:r>
      <w:bookmarkEnd w:id="139"/>
      <w:bookmarkEnd w:id="140"/>
      <w:bookmarkEnd w:id="141"/>
      <w:bookmarkEnd w:id="142"/>
      <w:bookmarkEnd w:id="143"/>
      <w:bookmarkEnd w:id="144"/>
      <w:bookmarkEnd w:id="145"/>
    </w:p>
    <w:p w:rsidR="006241FD" w:rsidRPr="00BA24C8" w:rsidRDefault="006241FD" w:rsidP="00605841">
      <w:pPr>
        <w:pStyle w:val="Heading6"/>
      </w:pPr>
      <w:r w:rsidRPr="00BA24C8">
        <w:t>Pivotal and/or main efficacy study (RESORCE)</w:t>
      </w:r>
    </w:p>
    <w:p w:rsidR="006241FD" w:rsidRDefault="006241FD" w:rsidP="006241FD">
      <w:pPr>
        <w:rPr>
          <w:b/>
          <w:lang w:eastAsia="ja-JP"/>
        </w:rPr>
      </w:pPr>
      <w:r w:rsidRPr="00BA24C8">
        <w:rPr>
          <w:lang w:eastAsia="ja-JP"/>
        </w:rPr>
        <w:t xml:space="preserve">Evaluation of vital signs showed results consistent with the known safety profile of regorafenib and did not trigger any additional safety concerns. Hypertension is a known adverse effect of regorafenib as described in the currently approved PI. The incidence of TEAE of </w:t>
      </w:r>
      <w:r w:rsidRPr="00BA24C8">
        <w:t xml:space="preserve">hypertension was 30.7% in the </w:t>
      </w:r>
      <w:r w:rsidRPr="00BA24C8">
        <w:rPr>
          <w:lang w:eastAsia="ja-JP"/>
        </w:rPr>
        <w:t>regorafenib group and</w:t>
      </w:r>
      <w:r w:rsidR="00BC4A03">
        <w:t xml:space="preserve"> 6.2% in the placebo group</w:t>
      </w:r>
      <w:r w:rsidRPr="00BA24C8">
        <w:rPr>
          <w:b/>
        </w:rPr>
        <w:t xml:space="preserve">. </w:t>
      </w:r>
      <w:r w:rsidR="00605841">
        <w:t>Most of these were of severity G</w:t>
      </w:r>
      <w:r w:rsidRPr="00BA24C8">
        <w:t>rade 1 or 2. The incidence of</w:t>
      </w:r>
      <w:r w:rsidR="007C579E">
        <w:t xml:space="preserve"> Grade 3 </w:t>
      </w:r>
      <w:r w:rsidRPr="00BA24C8">
        <w:t xml:space="preserve">hypertension was 14.7% in the </w:t>
      </w:r>
      <w:r w:rsidRPr="00BA24C8">
        <w:rPr>
          <w:lang w:eastAsia="ja-JP"/>
        </w:rPr>
        <w:t>regorafenib group (</w:t>
      </w:r>
      <w:r w:rsidR="00605841">
        <w:rPr>
          <w:lang w:eastAsia="ja-JP"/>
        </w:rPr>
        <w:t>versus</w:t>
      </w:r>
      <w:r w:rsidRPr="00BA24C8">
        <w:rPr>
          <w:lang w:eastAsia="ja-JP"/>
        </w:rPr>
        <w:t xml:space="preserve"> 4.7% in the placebo group). There w</w:t>
      </w:r>
      <w:r w:rsidR="004151AE">
        <w:rPr>
          <w:lang w:eastAsia="ja-JP"/>
        </w:rPr>
        <w:t>as</w:t>
      </w:r>
      <w:r w:rsidRPr="00BA24C8">
        <w:rPr>
          <w:lang w:eastAsia="ja-JP"/>
        </w:rPr>
        <w:t xml:space="preserve"> no</w:t>
      </w:r>
      <w:r w:rsidR="007C579E">
        <w:rPr>
          <w:lang w:eastAsia="ja-JP"/>
        </w:rPr>
        <w:t xml:space="preserve"> Grade 4</w:t>
      </w:r>
      <w:r w:rsidRPr="00BA24C8">
        <w:rPr>
          <w:lang w:eastAsia="ja-JP"/>
        </w:rPr>
        <w:t xml:space="preserve"> or 5 TEAEs of hypertension in either group. Analyses of blood pressure measurements during treatment showed that</w:t>
      </w:r>
      <w:r w:rsidRPr="00BA24C8">
        <w:rPr>
          <w:b/>
        </w:rPr>
        <w:t xml:space="preserve"> </w:t>
      </w:r>
      <w:r w:rsidRPr="00BA24C8">
        <w:rPr>
          <w:lang w:eastAsia="ja-JP"/>
        </w:rPr>
        <w:t xml:space="preserve">changes in mean blood pressure values over time from baseline to </w:t>
      </w:r>
      <w:r w:rsidR="00605841">
        <w:rPr>
          <w:lang w:eastAsia="ja-JP"/>
        </w:rPr>
        <w:t>C</w:t>
      </w:r>
      <w:r w:rsidRPr="00BA24C8">
        <w:rPr>
          <w:lang w:eastAsia="ja-JP"/>
        </w:rPr>
        <w:t>ycle 3 were generally small in magnitude and did not show any clinically relevant differences between the regorafenib and placebo groups (</w:t>
      </w:r>
      <w:r w:rsidR="00605841">
        <w:rPr>
          <w:lang w:eastAsia="ja-JP"/>
        </w:rPr>
        <w:t>Table 11).</w:t>
      </w:r>
    </w:p>
    <w:p w:rsidR="00605841" w:rsidRPr="00C73765" w:rsidRDefault="00F17CA0" w:rsidP="00F17CA0">
      <w:pPr>
        <w:pStyle w:val="TableTitle"/>
        <w:numPr>
          <w:ilvl w:val="0"/>
          <w:numId w:val="0"/>
        </w:numPr>
      </w:pPr>
      <w:bookmarkStart w:id="146" w:name="_Toc483989601"/>
      <w:bookmarkStart w:id="147" w:name="_Ref483990035"/>
      <w:r>
        <w:lastRenderedPageBreak/>
        <w:t xml:space="preserve">Table 11: </w:t>
      </w:r>
      <w:r w:rsidR="00605841" w:rsidRPr="00C73765">
        <w:t xml:space="preserve">Mean values for systolic and diastolic blood pressure (SAF) in Safety </w:t>
      </w:r>
      <w:r w:rsidR="00E83D7A">
        <w:t>P</w:t>
      </w:r>
      <w:r w:rsidR="00605841" w:rsidRPr="00C73765">
        <w:t>ools 1, 2 and 3</w:t>
      </w:r>
      <w:bookmarkEnd w:id="146"/>
      <w:bookmarkEnd w:id="147"/>
    </w:p>
    <w:p w:rsidR="00605841" w:rsidRPr="00BA24C8" w:rsidRDefault="00605841" w:rsidP="00605841">
      <w:pPr>
        <w:spacing w:before="0" w:after="0" w:line="240" w:lineRule="auto"/>
        <w:rPr>
          <w:rFonts w:asciiTheme="majorHAnsi" w:hAnsiTheme="majorHAnsi"/>
        </w:rPr>
      </w:pPr>
      <w:r w:rsidRPr="00BA24C8">
        <w:rPr>
          <w:noProof/>
          <w:lang w:eastAsia="en-AU"/>
        </w:rPr>
        <w:drawing>
          <wp:inline distT="0" distB="0" distL="0" distR="0" wp14:anchorId="3ECCE8CF" wp14:editId="560C1308">
            <wp:extent cx="4401313" cy="2705725"/>
            <wp:effectExtent l="0" t="0" r="0" b="0"/>
            <wp:docPr id="113" name="Picture 113" descr="Mean values for systolic and diastolic blood pressure (SAF) in Safety pool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405857" cy="2708519"/>
                    </a:xfrm>
                    <a:prstGeom prst="rect">
                      <a:avLst/>
                    </a:prstGeom>
                  </pic:spPr>
                </pic:pic>
              </a:graphicData>
            </a:graphic>
          </wp:inline>
        </w:drawing>
      </w:r>
    </w:p>
    <w:p w:rsidR="006241FD" w:rsidRPr="00BA24C8" w:rsidRDefault="006241FD" w:rsidP="00F17CA0">
      <w:pPr>
        <w:pStyle w:val="Heading6"/>
      </w:pPr>
      <w:r w:rsidRPr="00BA24C8">
        <w:t>Other studies</w:t>
      </w:r>
    </w:p>
    <w:p w:rsidR="006241FD" w:rsidRPr="00BA24C8" w:rsidRDefault="006241FD" w:rsidP="00F17CA0">
      <w:pPr>
        <w:pStyle w:val="ListBullet"/>
      </w:pPr>
      <w:r w:rsidRPr="00BA24C8">
        <w:t>Pool 1</w:t>
      </w:r>
    </w:p>
    <w:p w:rsidR="006241FD" w:rsidRPr="00BA24C8" w:rsidRDefault="006241FD" w:rsidP="00F17CA0">
      <w:pPr>
        <w:rPr>
          <w:lang w:eastAsia="ja-JP"/>
        </w:rPr>
      </w:pPr>
      <w:r w:rsidRPr="00BA24C8">
        <w:rPr>
          <w:lang w:eastAsia="ja-JP"/>
        </w:rPr>
        <w:t>Evaluation of vital signs showed results consistent with the known safety profile of regorafenib and did not trigger any additional safety concerns.</w:t>
      </w:r>
    </w:p>
    <w:p w:rsidR="006241FD" w:rsidRPr="00BA24C8" w:rsidRDefault="006241FD" w:rsidP="00F17CA0">
      <w:pPr>
        <w:pStyle w:val="ListBullet"/>
      </w:pPr>
      <w:r w:rsidRPr="00BA24C8">
        <w:t>Pool 3</w:t>
      </w:r>
    </w:p>
    <w:p w:rsidR="006241FD" w:rsidRPr="00BA24C8" w:rsidRDefault="006241FD" w:rsidP="006241FD">
      <w:pPr>
        <w:rPr>
          <w:lang w:eastAsia="ja-JP"/>
        </w:rPr>
      </w:pPr>
      <w:bookmarkStart w:id="148" w:name="_Toc432079176"/>
      <w:bookmarkStart w:id="149" w:name="_Toc432080749"/>
      <w:r w:rsidRPr="00BA24C8">
        <w:rPr>
          <w:lang w:eastAsia="ja-JP"/>
        </w:rPr>
        <w:t>Evaluation of vital signs showed results consistent with the known safety profile of regorafenib and did not trigger any additional safety concerns.</w:t>
      </w:r>
      <w:bookmarkStart w:id="150" w:name="_Toc272414678"/>
      <w:bookmarkStart w:id="151" w:name="_Toc290888542"/>
      <w:bookmarkStart w:id="152" w:name="_Toc416353757"/>
      <w:bookmarkStart w:id="153" w:name="_Toc421005300"/>
      <w:bookmarkStart w:id="154" w:name="_Toc432079178"/>
      <w:bookmarkStart w:id="155" w:name="_Toc432080751"/>
      <w:bookmarkEnd w:id="148"/>
      <w:bookmarkEnd w:id="149"/>
    </w:p>
    <w:p w:rsidR="006241FD" w:rsidRPr="00BA24C8" w:rsidRDefault="006241FD" w:rsidP="00D52C20">
      <w:pPr>
        <w:pStyle w:val="Heading5"/>
      </w:pPr>
      <w:bookmarkStart w:id="156" w:name="_Toc488837835"/>
      <w:r w:rsidRPr="00BA24C8">
        <w:t>Cardiovascular safety</w:t>
      </w:r>
      <w:bookmarkEnd w:id="156"/>
    </w:p>
    <w:p w:rsidR="006241FD" w:rsidRPr="00BA24C8" w:rsidRDefault="006241FD" w:rsidP="006241FD">
      <w:pPr>
        <w:spacing w:before="0" w:after="0" w:line="240" w:lineRule="auto"/>
        <w:rPr>
          <w:lang w:eastAsia="ja-JP"/>
        </w:rPr>
      </w:pPr>
      <w:r w:rsidRPr="00BA24C8">
        <w:rPr>
          <w:lang w:eastAsia="ja-JP"/>
        </w:rPr>
        <w:t>Evaluation of cardiovascular safety showed results consistent with the known safety profile of regorafenib and did not trigger any additional safety concerns. As described in the currently approved PI, regorafenib is known to be associated with an increased incidence of myocardial ischaemia and infarction. The currently approved PI includes precautionary advice that patients with a history of ischaemic heart disease should be monitored for clinical signs and symptoms of myocardial ischaemia, and that in patients who develop new or acute onset cardiac</w:t>
      </w:r>
      <w:r w:rsidR="00D52C20">
        <w:rPr>
          <w:lang w:eastAsia="ja-JP"/>
        </w:rPr>
        <w:t xml:space="preserve"> </w:t>
      </w:r>
      <w:r w:rsidRPr="00BA24C8">
        <w:rPr>
          <w:lang w:eastAsia="ja-JP"/>
        </w:rPr>
        <w:t>ischaemia and/or infarction, interruption of regorafenib is recommended until resolution.</w:t>
      </w:r>
    </w:p>
    <w:p w:rsidR="006241FD" w:rsidRDefault="006241FD" w:rsidP="006241FD">
      <w:pPr>
        <w:rPr>
          <w:lang w:eastAsia="ja-JP"/>
        </w:rPr>
      </w:pPr>
      <w:r w:rsidRPr="00BA24C8">
        <w:rPr>
          <w:lang w:eastAsia="ja-JP"/>
        </w:rPr>
        <w:t xml:space="preserve">In the RESORCE study (Pool 2), the incidence of </w:t>
      </w:r>
      <w:r w:rsidR="000C6E94">
        <w:rPr>
          <w:lang w:eastAsia="ja-JP"/>
        </w:rPr>
        <w:t>adverse events (</w:t>
      </w:r>
      <w:r w:rsidRPr="00BA24C8">
        <w:rPr>
          <w:lang w:eastAsia="ja-JP"/>
        </w:rPr>
        <w:t>AEs</w:t>
      </w:r>
      <w:r w:rsidR="000C6E94">
        <w:rPr>
          <w:lang w:eastAsia="ja-JP"/>
        </w:rPr>
        <w:t>)</w:t>
      </w:r>
      <w:r w:rsidRPr="00BA24C8">
        <w:rPr>
          <w:lang w:eastAsia="ja-JP"/>
        </w:rPr>
        <w:t xml:space="preserve"> in the SOC of cardiac disorders was 7.2% in the regorafenib group and 4.7% in the placebo group (</w:t>
      </w:r>
      <w:r w:rsidR="00D52C20">
        <w:rPr>
          <w:lang w:eastAsia="ja-JP"/>
        </w:rPr>
        <w:t>Table 12</w:t>
      </w:r>
      <w:r w:rsidRPr="00BA24C8">
        <w:rPr>
          <w:lang w:eastAsia="ja-JP"/>
        </w:rPr>
        <w:t>). The incidence in Pool 1 (regorafenib group only) was 7.1%, and in Pool 3, it was 8.1% in the regorafenib group and 4.5% in the placebo group. The most common AE in the regorafenib group within the SOC of cardiac disorders in the RESORCE study was atrial fibrillation (1.3% with regorafenib</w:t>
      </w:r>
      <w:r w:rsidR="00EB28B3">
        <w:rPr>
          <w:lang w:eastAsia="ja-JP"/>
        </w:rPr>
        <w:t xml:space="preserve"> versus </w:t>
      </w:r>
      <w:r w:rsidRPr="00BA24C8">
        <w:rPr>
          <w:lang w:eastAsia="ja-JP"/>
        </w:rPr>
        <w:t>0% with placebo). The most common AE in the regorafenib group within the SOC of cardiac disorders in Pools 1 and 3 was tachycardia (Pool 1: 1.3% of regorafenib subjects; Pool 3: 1.5% with regorafenib</w:t>
      </w:r>
      <w:r w:rsidR="00EB28B3">
        <w:rPr>
          <w:lang w:eastAsia="ja-JP"/>
        </w:rPr>
        <w:t xml:space="preserve"> versus </w:t>
      </w:r>
      <w:r w:rsidRPr="00BA24C8">
        <w:rPr>
          <w:lang w:eastAsia="ja-JP"/>
        </w:rPr>
        <w:t>0.7% with placebo).</w:t>
      </w:r>
    </w:p>
    <w:p w:rsidR="00D52C20" w:rsidRPr="00C73765" w:rsidRDefault="00F17CA0" w:rsidP="00F17CA0">
      <w:pPr>
        <w:pStyle w:val="TableTitle"/>
        <w:numPr>
          <w:ilvl w:val="0"/>
          <w:numId w:val="0"/>
        </w:numPr>
      </w:pPr>
      <w:bookmarkStart w:id="157" w:name="_Toc483989602"/>
      <w:bookmarkStart w:id="158" w:name="_Ref483989923"/>
      <w:bookmarkStart w:id="159" w:name="_Ref483990041"/>
      <w:r>
        <w:lastRenderedPageBreak/>
        <w:t xml:space="preserve">Table 12: </w:t>
      </w:r>
      <w:r w:rsidR="00D52C20" w:rsidRPr="00C73765">
        <w:t>Adverse events in the SOC of cardiac disorders in ≥</w:t>
      </w:r>
      <w:r>
        <w:t xml:space="preserve"> </w:t>
      </w:r>
      <w:r w:rsidR="00D52C20" w:rsidRPr="00C73765">
        <w:t xml:space="preserve">1% subjects in any regorafenib group by MedDRA PT (SAF) in Safety </w:t>
      </w:r>
      <w:r w:rsidR="004151AE">
        <w:t>P</w:t>
      </w:r>
      <w:r w:rsidR="00D52C20" w:rsidRPr="00C73765">
        <w:t>ools 1, 2 and 3</w:t>
      </w:r>
      <w:bookmarkEnd w:id="157"/>
      <w:bookmarkEnd w:id="158"/>
      <w:bookmarkEnd w:id="159"/>
    </w:p>
    <w:p w:rsidR="00D52C20" w:rsidRPr="00BA24C8" w:rsidRDefault="00D52C20" w:rsidP="00D52C20">
      <w:r w:rsidRPr="00BA24C8">
        <w:rPr>
          <w:noProof/>
          <w:lang w:eastAsia="en-AU"/>
        </w:rPr>
        <w:drawing>
          <wp:inline distT="0" distB="0" distL="0" distR="0" wp14:anchorId="68EDCFF8" wp14:editId="065055A8">
            <wp:extent cx="4579495" cy="1341061"/>
            <wp:effectExtent l="0" t="0" r="0" b="0"/>
            <wp:docPr id="114" name="Picture 114" descr="Adverse events in the SOC of cardiac disorders in ≥1% subjects in any regorafenib group by MedDRA PT (SAF) in Safety pool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06" t="20087"/>
                    <a:stretch/>
                  </pic:blipFill>
                  <pic:spPr bwMode="auto">
                    <a:xfrm>
                      <a:off x="0" y="0"/>
                      <a:ext cx="4587972" cy="1343543"/>
                    </a:xfrm>
                    <a:prstGeom prst="rect">
                      <a:avLst/>
                    </a:prstGeom>
                    <a:ln>
                      <a:noFill/>
                    </a:ln>
                    <a:extLst>
                      <a:ext uri="{53640926-AAD7-44D8-BBD7-CCE9431645EC}">
                        <a14:shadowObscured xmlns:a14="http://schemas.microsoft.com/office/drawing/2010/main"/>
                      </a:ext>
                    </a:extLst>
                  </pic:spPr>
                </pic:pic>
              </a:graphicData>
            </a:graphic>
          </wp:inline>
        </w:drawing>
      </w:r>
    </w:p>
    <w:p w:rsidR="006241FD" w:rsidRDefault="006241FD" w:rsidP="006241FD">
      <w:pPr>
        <w:rPr>
          <w:lang w:eastAsia="ja-JP"/>
        </w:rPr>
      </w:pPr>
      <w:r w:rsidRPr="00BA24C8">
        <w:rPr>
          <w:lang w:eastAsia="ja-JP"/>
        </w:rPr>
        <w:t xml:space="preserve">The incidence of SAE in the SOC of cardiac disorders was low in all treatment groups and similar among the 3 pools (regorafenib: 1.8% to 2.2%; placebo: 0.5% to 0.7%) </w:t>
      </w:r>
      <w:proofErr w:type="gramStart"/>
      <w:r w:rsidRPr="00BA24C8">
        <w:rPr>
          <w:lang w:eastAsia="ja-JP"/>
        </w:rPr>
        <w:t>(</w:t>
      </w:r>
      <w:r w:rsidR="00D52C20">
        <w:rPr>
          <w:lang w:eastAsia="ja-JP"/>
        </w:rPr>
        <w:t>Table 13</w:t>
      </w:r>
      <w:r w:rsidRPr="00BA24C8">
        <w:rPr>
          <w:lang w:eastAsia="ja-JP"/>
        </w:rPr>
        <w:t>).</w:t>
      </w:r>
      <w:proofErr w:type="gramEnd"/>
      <w:r w:rsidRPr="00BA24C8">
        <w:rPr>
          <w:lang w:eastAsia="ja-JP"/>
        </w:rPr>
        <w:t xml:space="preserve"> The most common SAEs in the regorafenib groups of all 3 pools were acute coronary syndrome (RESORCE: 0.8% with regorafenib</w:t>
      </w:r>
      <w:r w:rsidR="00EB28B3">
        <w:rPr>
          <w:lang w:eastAsia="ja-JP"/>
        </w:rPr>
        <w:t xml:space="preserve"> versus </w:t>
      </w:r>
      <w:r w:rsidRPr="00BA24C8">
        <w:rPr>
          <w:lang w:eastAsia="ja-JP"/>
        </w:rPr>
        <w:t>0% with placebo; Pool 1: 0.3%; Pool 3: 0.4%</w:t>
      </w:r>
      <w:r w:rsidR="00EB28B3">
        <w:rPr>
          <w:lang w:eastAsia="ja-JP"/>
        </w:rPr>
        <w:t xml:space="preserve"> versus </w:t>
      </w:r>
      <w:r w:rsidRPr="00BA24C8">
        <w:rPr>
          <w:lang w:eastAsia="ja-JP"/>
        </w:rPr>
        <w:t>0%) and atrial fibrillation (RESORCE: 0.5% with regorafenib</w:t>
      </w:r>
      <w:r w:rsidR="00EB28B3">
        <w:rPr>
          <w:lang w:eastAsia="ja-JP"/>
        </w:rPr>
        <w:t xml:space="preserve"> versus </w:t>
      </w:r>
      <w:r w:rsidRPr="00BA24C8">
        <w:rPr>
          <w:lang w:eastAsia="ja-JP"/>
        </w:rPr>
        <w:t>0% with placebo; Pool 1: 0.4%; Pool 3: 0.4%</w:t>
      </w:r>
      <w:r w:rsidR="00EB28B3">
        <w:rPr>
          <w:lang w:eastAsia="ja-JP"/>
        </w:rPr>
        <w:t xml:space="preserve"> versus </w:t>
      </w:r>
      <w:r w:rsidRPr="00BA24C8">
        <w:rPr>
          <w:lang w:eastAsia="ja-JP"/>
        </w:rPr>
        <w:t>0%).</w:t>
      </w:r>
    </w:p>
    <w:p w:rsidR="00D52C20" w:rsidRPr="00C73765" w:rsidRDefault="00F17CA0" w:rsidP="00F17CA0">
      <w:pPr>
        <w:pStyle w:val="TableTitle"/>
        <w:numPr>
          <w:ilvl w:val="0"/>
          <w:numId w:val="0"/>
        </w:numPr>
      </w:pPr>
      <w:bookmarkStart w:id="160" w:name="_Toc483989603"/>
      <w:bookmarkStart w:id="161" w:name="_Ref483989926"/>
      <w:bookmarkStart w:id="162" w:name="_Ref483990045"/>
      <w:r>
        <w:t xml:space="preserve">Table 13: </w:t>
      </w:r>
      <w:r w:rsidR="00D52C20" w:rsidRPr="00C73765">
        <w:t xml:space="preserve">Serious adverse events in the SOC of cardiac disorders (SAF) Safety </w:t>
      </w:r>
      <w:r w:rsidR="004151AE">
        <w:t>P</w:t>
      </w:r>
      <w:r w:rsidR="00D52C20" w:rsidRPr="00C73765">
        <w:t>ools 1, 2 and 3</w:t>
      </w:r>
      <w:bookmarkEnd w:id="160"/>
      <w:bookmarkEnd w:id="161"/>
      <w:bookmarkEnd w:id="162"/>
    </w:p>
    <w:p w:rsidR="00D52C20" w:rsidRPr="00EC67F6" w:rsidRDefault="00D52C20" w:rsidP="00F17CA0">
      <w:r>
        <w:rPr>
          <w:noProof/>
          <w:lang w:eastAsia="en-AU"/>
        </w:rPr>
        <w:drawing>
          <wp:inline distT="0" distB="0" distL="0" distR="0" wp14:anchorId="315577BB" wp14:editId="36DEFFE0">
            <wp:extent cx="3553053" cy="4714407"/>
            <wp:effectExtent l="0" t="0" r="9525" b="0"/>
            <wp:docPr id="9" name="Picture 9" descr="Serious adverse events in the SOC of cardiac disorders (SAF) Safety pool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57894" cy="4720830"/>
                    </a:xfrm>
                    <a:prstGeom prst="rect">
                      <a:avLst/>
                    </a:prstGeom>
                  </pic:spPr>
                </pic:pic>
              </a:graphicData>
            </a:graphic>
          </wp:inline>
        </w:drawing>
      </w:r>
    </w:p>
    <w:p w:rsidR="006241FD" w:rsidRPr="00BA24C8" w:rsidRDefault="006241FD" w:rsidP="00D52C20">
      <w:pPr>
        <w:pStyle w:val="Heading5"/>
      </w:pPr>
      <w:bookmarkStart w:id="163" w:name="_Toc488837836"/>
      <w:r w:rsidRPr="00BA24C8">
        <w:t xml:space="preserve">Serious </w:t>
      </w:r>
      <w:r w:rsidR="00B12A57" w:rsidRPr="00BA24C8">
        <w:t>skin reactions</w:t>
      </w:r>
      <w:bookmarkEnd w:id="163"/>
    </w:p>
    <w:p w:rsidR="006241FD" w:rsidRPr="00BA24C8" w:rsidRDefault="006241FD" w:rsidP="006241FD">
      <w:r w:rsidRPr="00BA24C8">
        <w:rPr>
          <w:lang w:eastAsia="ja-JP"/>
        </w:rPr>
        <w:t>The overall frequency of SAEs in the SOC of skin and subcutaneous disorders was low in all 3 pools (RESORCE: 0.8% with regorafenib</w:t>
      </w:r>
      <w:r w:rsidR="00EB28B3">
        <w:rPr>
          <w:lang w:eastAsia="ja-JP"/>
        </w:rPr>
        <w:t xml:space="preserve"> versus </w:t>
      </w:r>
      <w:r w:rsidRPr="00BA24C8">
        <w:rPr>
          <w:lang w:eastAsia="ja-JP"/>
        </w:rPr>
        <w:t xml:space="preserve">0% with placebo; Pool 1: 1.4%; Pool </w:t>
      </w:r>
      <w:r w:rsidRPr="00BA24C8">
        <w:rPr>
          <w:lang w:eastAsia="ja-JP"/>
        </w:rPr>
        <w:lastRenderedPageBreak/>
        <w:t>3: 1.3%</w:t>
      </w:r>
      <w:r w:rsidR="00EB28B3">
        <w:rPr>
          <w:lang w:eastAsia="ja-JP"/>
        </w:rPr>
        <w:t xml:space="preserve"> versus </w:t>
      </w:r>
      <w:r w:rsidRPr="00BA24C8">
        <w:rPr>
          <w:lang w:eastAsia="ja-JP"/>
        </w:rPr>
        <w:t>0.3%)</w:t>
      </w:r>
      <w:r w:rsidR="00D52C20">
        <w:rPr>
          <w:lang w:eastAsia="ja-JP"/>
        </w:rPr>
        <w:t>.</w:t>
      </w:r>
      <w:r w:rsidRPr="00BA24C8">
        <w:rPr>
          <w:lang w:eastAsia="ja-JP"/>
        </w:rPr>
        <w:t xml:space="preserve"> Three SAEs in the SOC of skin and subcutaneous disorders were reported in RESORCE study, all in the regorafenib group (</w:t>
      </w:r>
      <w:r w:rsidR="00EC67F6">
        <w:rPr>
          <w:lang w:eastAsia="ja-JP"/>
        </w:rPr>
        <w:t>blister, PPES, and skin ulcer).</w:t>
      </w:r>
    </w:p>
    <w:p w:rsidR="006241FD" w:rsidRPr="00BA24C8" w:rsidRDefault="006241FD" w:rsidP="00D52C20">
      <w:pPr>
        <w:pStyle w:val="Heading5"/>
      </w:pPr>
      <w:bookmarkStart w:id="164" w:name="_Toc488837837"/>
      <w:r w:rsidRPr="00BA24C8">
        <w:t>Other safety parameter</w:t>
      </w:r>
      <w:bookmarkEnd w:id="150"/>
      <w:bookmarkEnd w:id="151"/>
      <w:bookmarkEnd w:id="152"/>
      <w:bookmarkEnd w:id="153"/>
      <w:bookmarkEnd w:id="154"/>
      <w:bookmarkEnd w:id="155"/>
      <w:r w:rsidRPr="00BA24C8">
        <w:t>s</w:t>
      </w:r>
      <w:bookmarkEnd w:id="164"/>
    </w:p>
    <w:p w:rsidR="006241FD" w:rsidRPr="00BA24C8" w:rsidRDefault="006241FD" w:rsidP="00D52C20">
      <w:pPr>
        <w:pStyle w:val="Heading6"/>
      </w:pPr>
      <w:r w:rsidRPr="00BA24C8">
        <w:t>Pivotal and/or main efficacy study (RESORCE)</w:t>
      </w:r>
    </w:p>
    <w:p w:rsidR="006241FD" w:rsidRPr="00BA24C8" w:rsidRDefault="006241FD" w:rsidP="00F17CA0">
      <w:pPr>
        <w:rPr>
          <w:lang w:eastAsia="ja-JP"/>
        </w:rPr>
      </w:pPr>
      <w:r w:rsidRPr="00BA24C8">
        <w:rPr>
          <w:lang w:eastAsia="ja-JP"/>
        </w:rPr>
        <w:t xml:space="preserve">Adverse events of interest in </w:t>
      </w:r>
      <w:r w:rsidR="00E83D7A">
        <w:rPr>
          <w:lang w:eastAsia="ja-JP"/>
        </w:rPr>
        <w:t xml:space="preserve">the </w:t>
      </w:r>
      <w:r w:rsidRPr="00BA24C8">
        <w:rPr>
          <w:lang w:eastAsia="ja-JP"/>
        </w:rPr>
        <w:t>RESORCE</w:t>
      </w:r>
      <w:r w:rsidR="00E83D7A">
        <w:rPr>
          <w:lang w:eastAsia="ja-JP"/>
        </w:rPr>
        <w:t xml:space="preserve"> trial</w:t>
      </w:r>
      <w:r w:rsidRPr="00BA24C8">
        <w:rPr>
          <w:lang w:eastAsia="ja-JP"/>
        </w:rPr>
        <w:t xml:space="preserve"> included bleeding/haemorrhage TEAEs </w:t>
      </w:r>
      <w:r w:rsidR="00D52C20">
        <w:rPr>
          <w:lang w:eastAsia="ja-JP"/>
        </w:rPr>
        <w:t>G</w:t>
      </w:r>
      <w:r w:rsidRPr="00BA24C8">
        <w:rPr>
          <w:lang w:eastAsia="ja-JP"/>
        </w:rPr>
        <w:t xml:space="preserve">rade ≥ 3. Results showed that incidences of bleeding/haemorrhage </w:t>
      </w:r>
      <w:r w:rsidR="00D52C20">
        <w:rPr>
          <w:lang w:eastAsia="ja-JP"/>
        </w:rPr>
        <w:t>G</w:t>
      </w:r>
      <w:r w:rsidRPr="00BA24C8">
        <w:rPr>
          <w:lang w:eastAsia="ja-JP"/>
        </w:rPr>
        <w:t>rade ≥ 3 events were low. Overall the incidence of worst</w:t>
      </w:r>
      <w:r w:rsidR="007C579E">
        <w:rPr>
          <w:lang w:eastAsia="ja-JP"/>
        </w:rPr>
        <w:t xml:space="preserve"> Grade 3 </w:t>
      </w:r>
      <w:r w:rsidRPr="00BA24C8">
        <w:rPr>
          <w:lang w:eastAsia="ja-JP"/>
        </w:rPr>
        <w:t xml:space="preserve">or higher bleeding events (Standardised </w:t>
      </w:r>
      <w:proofErr w:type="spellStart"/>
      <w:r w:rsidRPr="00BA24C8">
        <w:rPr>
          <w:lang w:eastAsia="ja-JP"/>
        </w:rPr>
        <w:t>MedDRA</w:t>
      </w:r>
      <w:proofErr w:type="spellEnd"/>
      <w:r w:rsidRPr="00BA24C8">
        <w:rPr>
          <w:lang w:eastAsia="ja-JP"/>
        </w:rPr>
        <w:t xml:space="preserve"> Query </w:t>
      </w:r>
      <w:r w:rsidR="00E83D7A">
        <w:rPr>
          <w:lang w:eastAsia="ja-JP"/>
        </w:rPr>
        <w:t>(</w:t>
      </w:r>
      <w:r w:rsidRPr="00BA24C8">
        <w:rPr>
          <w:lang w:eastAsia="ja-JP"/>
        </w:rPr>
        <w:t>SMQ</w:t>
      </w:r>
      <w:r w:rsidR="00E83D7A">
        <w:rPr>
          <w:lang w:eastAsia="ja-JP"/>
        </w:rPr>
        <w:t>)</w:t>
      </w:r>
      <w:r w:rsidRPr="00BA24C8">
        <w:rPr>
          <w:lang w:eastAsia="ja-JP"/>
        </w:rPr>
        <w:t xml:space="preserve"> haemorrhages) was lower in the regorafenib group compared with the placebo group (5.6%</w:t>
      </w:r>
      <w:r w:rsidR="00EB28B3">
        <w:rPr>
          <w:lang w:eastAsia="ja-JP"/>
        </w:rPr>
        <w:t xml:space="preserve"> versus </w:t>
      </w:r>
      <w:r w:rsidRPr="00BA24C8">
        <w:rPr>
          <w:lang w:eastAsia="ja-JP"/>
        </w:rPr>
        <w:t>7.8%). The incidence of worst</w:t>
      </w:r>
      <w:r w:rsidR="007C579E">
        <w:rPr>
          <w:lang w:eastAsia="ja-JP"/>
        </w:rPr>
        <w:t xml:space="preserve"> Grade 3 </w:t>
      </w:r>
      <w:r w:rsidRPr="00BA24C8">
        <w:rPr>
          <w:lang w:eastAsia="ja-JP"/>
        </w:rPr>
        <w:t>or higher drug</w:t>
      </w:r>
      <w:r w:rsidR="00D52C20">
        <w:rPr>
          <w:lang w:eastAsia="ja-JP"/>
        </w:rPr>
        <w:t xml:space="preserve"> </w:t>
      </w:r>
      <w:r w:rsidRPr="00BA24C8">
        <w:rPr>
          <w:lang w:eastAsia="ja-JP"/>
        </w:rPr>
        <w:t xml:space="preserve">related bleeding </w:t>
      </w:r>
      <w:r w:rsidRPr="00D52C20">
        <w:t>events (</w:t>
      </w:r>
      <w:r w:rsidR="00D52C20" w:rsidRPr="00D52C20">
        <w:t xml:space="preserve">Standardised MedDRA Queries (SMQs) </w:t>
      </w:r>
      <w:r w:rsidRPr="00D52C20">
        <w:t>haemorrhages) was low in both treatment groups (1.6% in the regorafenib group</w:t>
      </w:r>
      <w:r w:rsidR="00EB28B3" w:rsidRPr="00D52C20">
        <w:t xml:space="preserve"> versus</w:t>
      </w:r>
      <w:r w:rsidR="00EB28B3">
        <w:rPr>
          <w:lang w:eastAsia="ja-JP"/>
        </w:rPr>
        <w:t xml:space="preserve"> </w:t>
      </w:r>
      <w:r w:rsidRPr="00BA24C8">
        <w:rPr>
          <w:lang w:eastAsia="ja-JP"/>
        </w:rPr>
        <w:t>0% in the placebo group).</w:t>
      </w:r>
    </w:p>
    <w:p w:rsidR="006241FD" w:rsidRPr="00BA24C8" w:rsidRDefault="006241FD" w:rsidP="00D52C20">
      <w:pPr>
        <w:pStyle w:val="Heading4"/>
      </w:pPr>
      <w:bookmarkStart w:id="165" w:name="_Toc488837838"/>
      <w:r w:rsidRPr="00BA24C8">
        <w:t>Other safety issues</w:t>
      </w:r>
      <w:bookmarkEnd w:id="165"/>
    </w:p>
    <w:p w:rsidR="006241FD" w:rsidRPr="00BA24C8" w:rsidRDefault="006241FD" w:rsidP="00D52C20">
      <w:pPr>
        <w:pStyle w:val="Heading5"/>
      </w:pPr>
      <w:bookmarkStart w:id="166" w:name="_Toc241374322"/>
      <w:bookmarkStart w:id="167" w:name="_Ref272331212"/>
      <w:bookmarkStart w:id="168" w:name="_Toc272414687"/>
      <w:bookmarkStart w:id="169" w:name="_Toc290888551"/>
      <w:bookmarkStart w:id="170" w:name="_Toc416353766"/>
      <w:bookmarkStart w:id="171" w:name="_Toc421005309"/>
      <w:bookmarkStart w:id="172" w:name="_Toc432079180"/>
      <w:bookmarkStart w:id="173" w:name="_Toc432080753"/>
      <w:bookmarkStart w:id="174" w:name="_Toc488837839"/>
      <w:r w:rsidRPr="00BA24C8">
        <w:t>Safety in special populations</w:t>
      </w:r>
      <w:bookmarkEnd w:id="166"/>
      <w:bookmarkEnd w:id="167"/>
      <w:bookmarkEnd w:id="168"/>
      <w:bookmarkEnd w:id="169"/>
      <w:bookmarkEnd w:id="170"/>
      <w:bookmarkEnd w:id="171"/>
      <w:bookmarkEnd w:id="172"/>
      <w:bookmarkEnd w:id="173"/>
      <w:bookmarkEnd w:id="174"/>
    </w:p>
    <w:p w:rsidR="00D52C20" w:rsidRDefault="006241FD" w:rsidP="00D52C20">
      <w:pPr>
        <w:rPr>
          <w:lang w:eastAsia="ja-JP"/>
        </w:rPr>
      </w:pPr>
      <w:bookmarkStart w:id="175" w:name="_Toc241374324"/>
      <w:bookmarkStart w:id="176" w:name="_Ref272331214"/>
      <w:bookmarkStart w:id="177" w:name="_Toc272414688"/>
      <w:bookmarkStart w:id="178" w:name="_Toc290888552"/>
      <w:bookmarkStart w:id="179" w:name="_Toc416353767"/>
      <w:bookmarkStart w:id="180" w:name="_Toc421005310"/>
      <w:bookmarkStart w:id="181" w:name="_Toc432079181"/>
      <w:bookmarkStart w:id="182" w:name="_Toc432080754"/>
      <w:r w:rsidRPr="00BA24C8">
        <w:rPr>
          <w:lang w:eastAsia="ja-JP"/>
        </w:rPr>
        <w:t>Overall, analyses of AE incidences by age group (&lt;</w:t>
      </w:r>
      <w:r w:rsidR="00EC67F6">
        <w:rPr>
          <w:lang w:eastAsia="ja-JP"/>
        </w:rPr>
        <w:t xml:space="preserve"> </w:t>
      </w:r>
      <w:r w:rsidRPr="00BA24C8">
        <w:rPr>
          <w:lang w:eastAsia="ja-JP"/>
        </w:rPr>
        <w:t>65 and ≥</w:t>
      </w:r>
      <w:r w:rsidR="00EC67F6">
        <w:rPr>
          <w:lang w:eastAsia="ja-JP"/>
        </w:rPr>
        <w:t xml:space="preserve"> </w:t>
      </w:r>
      <w:r w:rsidRPr="00BA24C8">
        <w:rPr>
          <w:lang w:eastAsia="ja-JP"/>
        </w:rPr>
        <w:t xml:space="preserve">65 years) showed no notable clinically relevant differences in the AE safety profile between age groups. In </w:t>
      </w:r>
      <w:r w:rsidR="00E83D7A">
        <w:rPr>
          <w:lang w:eastAsia="ja-JP"/>
        </w:rPr>
        <w:t xml:space="preserve">the </w:t>
      </w:r>
      <w:r w:rsidRPr="00BA24C8">
        <w:rPr>
          <w:lang w:eastAsia="ja-JP"/>
        </w:rPr>
        <w:t>RESORCE study, PPES was more frequent (≥</w:t>
      </w:r>
      <w:r w:rsidR="00F17CA0">
        <w:rPr>
          <w:lang w:eastAsia="ja-JP"/>
        </w:rPr>
        <w:t xml:space="preserve"> </w:t>
      </w:r>
      <w:r w:rsidRPr="00BA24C8">
        <w:rPr>
          <w:lang w:eastAsia="ja-JP"/>
        </w:rPr>
        <w:t>10%) in subjects &lt;65 years compared with those ≥</w:t>
      </w:r>
      <w:r w:rsidR="00F17CA0">
        <w:rPr>
          <w:lang w:eastAsia="ja-JP"/>
        </w:rPr>
        <w:t> </w:t>
      </w:r>
      <w:r w:rsidRPr="00BA24C8">
        <w:rPr>
          <w:lang w:eastAsia="ja-JP"/>
        </w:rPr>
        <w:t>65</w:t>
      </w:r>
      <w:r w:rsidR="00E83D7A">
        <w:rPr>
          <w:lang w:eastAsia="ja-JP"/>
        </w:rPr>
        <w:t> </w:t>
      </w:r>
      <w:r w:rsidRPr="00BA24C8">
        <w:rPr>
          <w:lang w:eastAsia="ja-JP"/>
        </w:rPr>
        <w:t>years (56.9%</w:t>
      </w:r>
      <w:r w:rsidR="00EB28B3">
        <w:rPr>
          <w:lang w:eastAsia="ja-JP"/>
        </w:rPr>
        <w:t xml:space="preserve"> versus </w:t>
      </w:r>
      <w:r w:rsidRPr="00BA24C8">
        <w:rPr>
          <w:lang w:eastAsia="ja-JP"/>
        </w:rPr>
        <w:t>45.3%</w:t>
      </w:r>
      <w:proofErr w:type="gramStart"/>
      <w:r w:rsidRPr="00BA24C8">
        <w:rPr>
          <w:lang w:eastAsia="ja-JP"/>
        </w:rPr>
        <w:t>)(</w:t>
      </w:r>
      <w:proofErr w:type="gramEnd"/>
      <w:r w:rsidR="00D52C20">
        <w:rPr>
          <w:lang w:eastAsia="ja-JP"/>
        </w:rPr>
        <w:t>Table 14</w:t>
      </w:r>
      <w:r w:rsidRPr="00BA24C8">
        <w:rPr>
          <w:lang w:eastAsia="ja-JP"/>
        </w:rPr>
        <w:t>). Hypertension and decreased appetite were more frequent (≥</w:t>
      </w:r>
      <w:r w:rsidR="00F17CA0">
        <w:rPr>
          <w:lang w:eastAsia="ja-JP"/>
        </w:rPr>
        <w:t xml:space="preserve"> </w:t>
      </w:r>
      <w:r w:rsidRPr="00BA24C8">
        <w:rPr>
          <w:lang w:eastAsia="ja-JP"/>
        </w:rPr>
        <w:t xml:space="preserve">10%) in </w:t>
      </w:r>
      <w:proofErr w:type="gramStart"/>
      <w:r w:rsidRPr="00BA24C8">
        <w:rPr>
          <w:lang w:eastAsia="ja-JP"/>
        </w:rPr>
        <w:t>subjects</w:t>
      </w:r>
      <w:proofErr w:type="gramEnd"/>
      <w:r w:rsidRPr="00BA24C8">
        <w:rPr>
          <w:lang w:eastAsia="ja-JP"/>
        </w:rPr>
        <w:t xml:space="preserve"> ≥</w:t>
      </w:r>
      <w:r w:rsidR="00F17CA0">
        <w:rPr>
          <w:lang w:eastAsia="ja-JP"/>
        </w:rPr>
        <w:t xml:space="preserve"> </w:t>
      </w:r>
      <w:r w:rsidRPr="00BA24C8">
        <w:rPr>
          <w:lang w:eastAsia="ja-JP"/>
        </w:rPr>
        <w:t>65 years compared to those &lt; 65 years (hypertension: 36.3%</w:t>
      </w:r>
      <w:r w:rsidR="00EB28B3">
        <w:rPr>
          <w:lang w:eastAsia="ja-JP"/>
        </w:rPr>
        <w:t xml:space="preserve"> versus </w:t>
      </w:r>
      <w:r w:rsidRPr="00BA24C8">
        <w:rPr>
          <w:lang w:eastAsia="ja-JP"/>
        </w:rPr>
        <w:t>25.6%; decreased appetite: 37.4%</w:t>
      </w:r>
      <w:r w:rsidR="00EB28B3">
        <w:rPr>
          <w:lang w:eastAsia="ja-JP"/>
        </w:rPr>
        <w:t xml:space="preserve"> versus </w:t>
      </w:r>
      <w:r w:rsidRPr="00BA24C8">
        <w:rPr>
          <w:lang w:eastAsia="ja-JP"/>
        </w:rPr>
        <w:t>24.6%). Results in Pools 1 and 3 were consistent with those in RESORCE study, showing that PPES was more often in subjects below 65 years than in subjects of 65 years or older, while hypertension and decreased appetite were more frequent in subjects ≥</w:t>
      </w:r>
      <w:r w:rsidR="00EC67F6">
        <w:rPr>
          <w:lang w:eastAsia="ja-JP"/>
        </w:rPr>
        <w:t xml:space="preserve"> </w:t>
      </w:r>
      <w:r w:rsidRPr="00BA24C8">
        <w:rPr>
          <w:lang w:eastAsia="ja-JP"/>
        </w:rPr>
        <w:t>65 years (</w:t>
      </w:r>
      <w:r w:rsidR="00D52C20">
        <w:rPr>
          <w:lang w:eastAsia="ja-JP"/>
        </w:rPr>
        <w:t>Table 15</w:t>
      </w:r>
      <w:r w:rsidRPr="00BA24C8">
        <w:rPr>
          <w:lang w:eastAsia="ja-JP"/>
        </w:rPr>
        <w:t>).</w:t>
      </w:r>
      <w:bookmarkStart w:id="183" w:name="_Toc488837840"/>
    </w:p>
    <w:p w:rsidR="00D52C20" w:rsidRPr="00C73765" w:rsidRDefault="00F17CA0" w:rsidP="00F17CA0">
      <w:pPr>
        <w:pStyle w:val="TableTitle"/>
        <w:numPr>
          <w:ilvl w:val="0"/>
          <w:numId w:val="0"/>
        </w:numPr>
      </w:pPr>
      <w:bookmarkStart w:id="184" w:name="_Toc483989605"/>
      <w:bookmarkStart w:id="185" w:name="_Ref483990051"/>
      <w:r>
        <w:t xml:space="preserve">Table 14: </w:t>
      </w:r>
      <w:r w:rsidR="00D52C20" w:rsidRPr="00C73765">
        <w:t>Most common (&gt;</w:t>
      </w:r>
      <w:r>
        <w:t xml:space="preserve"> </w:t>
      </w:r>
      <w:r w:rsidR="00D52C20" w:rsidRPr="00C73765">
        <w:t xml:space="preserve">10% overall in regorafenib treatment group) treatment-emergent adverse events by MedDRA PT, by age </w:t>
      </w:r>
      <w:r w:rsidR="004151AE">
        <w:t xml:space="preserve">in </w:t>
      </w:r>
      <w:r w:rsidR="00D52C20" w:rsidRPr="00C73765">
        <w:t>Study 15982</w:t>
      </w:r>
      <w:r w:rsidR="004151AE">
        <w:t xml:space="preserve"> </w:t>
      </w:r>
      <w:r w:rsidR="00D52C20" w:rsidRPr="00C73765">
        <w:t>Pool 2</w:t>
      </w:r>
      <w:r w:rsidR="004151AE">
        <w:t xml:space="preserve"> S</w:t>
      </w:r>
      <w:r w:rsidR="00D52C20" w:rsidRPr="00C73765">
        <w:t>AF</w:t>
      </w:r>
      <w:bookmarkEnd w:id="184"/>
      <w:bookmarkEnd w:id="185"/>
    </w:p>
    <w:p w:rsidR="00D52C20" w:rsidRPr="00BA24C8" w:rsidRDefault="00D52C20" w:rsidP="00D52C20">
      <w:pPr>
        <w:rPr>
          <w:rFonts w:asciiTheme="majorHAnsi" w:hAnsiTheme="majorHAnsi"/>
        </w:rPr>
      </w:pPr>
      <w:r w:rsidRPr="00BA24C8">
        <w:rPr>
          <w:noProof/>
          <w:lang w:eastAsia="en-AU"/>
        </w:rPr>
        <w:drawing>
          <wp:inline distT="0" distB="0" distL="0" distR="0" wp14:anchorId="036BA93F" wp14:editId="54488EFB">
            <wp:extent cx="3822712" cy="3957403"/>
            <wp:effectExtent l="0" t="0" r="6350" b="5080"/>
            <wp:docPr id="118" name="Picture 118" descr="Most common (&gt;10% overall in regorafenib treatment group) treatment-emergent adverse events by MedDRA PT, by age (Study 15982, [Pool 2]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Lst>
                    </a:blip>
                    <a:srcRect b="914"/>
                    <a:stretch/>
                  </pic:blipFill>
                  <pic:spPr bwMode="auto">
                    <a:xfrm>
                      <a:off x="0" y="0"/>
                      <a:ext cx="3829043" cy="3963957"/>
                    </a:xfrm>
                    <a:prstGeom prst="rect">
                      <a:avLst/>
                    </a:prstGeom>
                    <a:ln>
                      <a:noFill/>
                    </a:ln>
                    <a:extLst>
                      <a:ext uri="{53640926-AAD7-44D8-BBD7-CCE9431645EC}">
                        <a14:shadowObscured xmlns:a14="http://schemas.microsoft.com/office/drawing/2010/main"/>
                      </a:ext>
                    </a:extLst>
                  </pic:spPr>
                </pic:pic>
              </a:graphicData>
            </a:graphic>
          </wp:inline>
        </w:drawing>
      </w:r>
    </w:p>
    <w:p w:rsidR="00D52C20" w:rsidRPr="00C73765" w:rsidRDefault="00F17CA0" w:rsidP="00F17CA0">
      <w:pPr>
        <w:pStyle w:val="TableTitle"/>
        <w:numPr>
          <w:ilvl w:val="0"/>
          <w:numId w:val="0"/>
        </w:numPr>
      </w:pPr>
      <w:bookmarkStart w:id="186" w:name="_Toc483989606"/>
      <w:bookmarkStart w:id="187" w:name="_Ref483990054"/>
      <w:r>
        <w:lastRenderedPageBreak/>
        <w:t xml:space="preserve">Table 15: </w:t>
      </w:r>
      <w:r w:rsidR="00D52C20" w:rsidRPr="00C73765">
        <w:t xml:space="preserve">Selected AEs by age category </w:t>
      </w:r>
      <w:r w:rsidR="004151AE">
        <w:t xml:space="preserve">in </w:t>
      </w:r>
      <w:r w:rsidR="00D52C20" w:rsidRPr="00C73765">
        <w:t>Pool 1 and Pool 3 SAF</w:t>
      </w:r>
      <w:bookmarkEnd w:id="186"/>
      <w:bookmarkEnd w:id="187"/>
    </w:p>
    <w:p w:rsidR="00D52C20" w:rsidRDefault="00D52C20" w:rsidP="00D52C20">
      <w:r w:rsidRPr="00BA24C8">
        <w:rPr>
          <w:noProof/>
          <w:lang w:eastAsia="en-AU"/>
        </w:rPr>
        <w:drawing>
          <wp:inline distT="0" distB="0" distL="0" distR="0" wp14:anchorId="7EA21CC1" wp14:editId="2C3615B2">
            <wp:extent cx="4069765" cy="2008682"/>
            <wp:effectExtent l="0" t="0" r="6985" b="0"/>
            <wp:docPr id="119" name="Picture 119" descr="Selected AEs by age category (Pool 1 and Pool 3,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073829" cy="2010688"/>
                    </a:xfrm>
                    <a:prstGeom prst="rect">
                      <a:avLst/>
                    </a:prstGeom>
                  </pic:spPr>
                </pic:pic>
              </a:graphicData>
            </a:graphic>
          </wp:inline>
        </w:drawing>
      </w:r>
    </w:p>
    <w:p w:rsidR="006241FD" w:rsidRPr="00BA24C8" w:rsidRDefault="006241FD" w:rsidP="00D52C20">
      <w:pPr>
        <w:pStyle w:val="Heading4"/>
      </w:pPr>
      <w:r w:rsidRPr="00BA24C8">
        <w:t>Safety related to drug-drug interactions and other interactions</w:t>
      </w:r>
      <w:bookmarkEnd w:id="175"/>
      <w:bookmarkEnd w:id="176"/>
      <w:bookmarkEnd w:id="177"/>
      <w:bookmarkEnd w:id="178"/>
      <w:bookmarkEnd w:id="179"/>
      <w:bookmarkEnd w:id="180"/>
      <w:bookmarkEnd w:id="181"/>
      <w:bookmarkEnd w:id="182"/>
      <w:bookmarkEnd w:id="183"/>
    </w:p>
    <w:p w:rsidR="006241FD" w:rsidRPr="00BA24C8" w:rsidRDefault="006241FD" w:rsidP="00D52C20">
      <w:pPr>
        <w:pStyle w:val="Heading5"/>
      </w:pPr>
      <w:r w:rsidRPr="00BA24C8">
        <w:t xml:space="preserve">Healthy </w:t>
      </w:r>
      <w:r w:rsidR="00E83D7A">
        <w:t>s</w:t>
      </w:r>
      <w:r w:rsidRPr="00BA24C8">
        <w:t>ubjects</w:t>
      </w:r>
    </w:p>
    <w:p w:rsidR="006241FD" w:rsidRPr="00BA24C8" w:rsidRDefault="006241FD" w:rsidP="006241FD">
      <w:pPr>
        <w:rPr>
          <w:rFonts w:eastAsiaTheme="minorHAnsi" w:cstheme="minorHAnsi"/>
        </w:rPr>
      </w:pPr>
      <w:r w:rsidRPr="00D52C20">
        <w:rPr>
          <w:rFonts w:cstheme="minorHAnsi"/>
        </w:rPr>
        <w:t xml:space="preserve">Study </w:t>
      </w:r>
      <w:r w:rsidRPr="00D52C20">
        <w:rPr>
          <w:rFonts w:eastAsiaTheme="minorHAnsi" w:cstheme="minorHAnsi"/>
        </w:rPr>
        <w:t>PH-38212</w:t>
      </w:r>
      <w:r w:rsidRPr="00BA24C8">
        <w:rPr>
          <w:rFonts w:eastAsiaTheme="minorHAnsi" w:cstheme="minorHAnsi"/>
          <w:b/>
        </w:rPr>
        <w:t xml:space="preserve"> </w:t>
      </w:r>
      <w:r w:rsidRPr="00BA24C8">
        <w:rPr>
          <w:rFonts w:cstheme="minorHAnsi"/>
        </w:rPr>
        <w:t xml:space="preserve">examined the potential for a </w:t>
      </w:r>
      <w:r w:rsidR="00D52C20">
        <w:rPr>
          <w:rFonts w:cstheme="minorHAnsi"/>
        </w:rPr>
        <w:t>drug-drug interaction (</w:t>
      </w:r>
      <w:r w:rsidRPr="00BA24C8">
        <w:rPr>
          <w:rFonts w:cstheme="minorHAnsi"/>
        </w:rPr>
        <w:t>DDI</w:t>
      </w:r>
      <w:r w:rsidR="00D52C20">
        <w:rPr>
          <w:rFonts w:cstheme="minorHAnsi"/>
        </w:rPr>
        <w:t>)</w:t>
      </w:r>
      <w:r w:rsidRPr="00BA24C8">
        <w:rPr>
          <w:rFonts w:cstheme="minorHAnsi"/>
          <w:b/>
        </w:rPr>
        <w:t xml:space="preserve"> </w:t>
      </w:r>
      <w:r w:rsidRPr="00BA24C8">
        <w:rPr>
          <w:rFonts w:cstheme="minorHAnsi"/>
        </w:rPr>
        <w:t>between neomycin and regorafenib in healthy subjects. The safety analysis indicated that AEs were more frequent when the two drugs were co-administered than when regorafenib was administered alone.</w:t>
      </w:r>
      <w:r w:rsidRPr="00BA24C8">
        <w:rPr>
          <w:rFonts w:eastAsiaTheme="minorHAnsi" w:cstheme="minorHAnsi"/>
        </w:rPr>
        <w:t xml:space="preserve"> In particular, gastro-intestinal disorders were not encountered during treatment with regorafenib only but affected &gt;</w:t>
      </w:r>
      <w:r w:rsidR="00EC67F6">
        <w:rPr>
          <w:rFonts w:eastAsiaTheme="minorHAnsi" w:cstheme="minorHAnsi"/>
        </w:rPr>
        <w:t xml:space="preserve"> </w:t>
      </w:r>
      <w:r w:rsidRPr="00BA24C8">
        <w:rPr>
          <w:rFonts w:eastAsiaTheme="minorHAnsi" w:cstheme="minorHAnsi"/>
        </w:rPr>
        <w:t>80% of subjects when neomycin was added to the treatment; however, more AEs were considered related to the neomycin component of treatment than to regorafenib.</w:t>
      </w:r>
    </w:p>
    <w:p w:rsidR="006241FD" w:rsidRPr="00BA24C8" w:rsidRDefault="006241FD" w:rsidP="00064F8C">
      <w:pPr>
        <w:pStyle w:val="Heading5"/>
      </w:pPr>
      <w:r w:rsidRPr="00BA24C8">
        <w:t>Patients with cancer</w:t>
      </w:r>
    </w:p>
    <w:p w:rsidR="00500337" w:rsidRDefault="006241FD" w:rsidP="006241FD">
      <w:pPr>
        <w:rPr>
          <w:rFonts w:eastAsia="TimesNewRoman" w:cstheme="minorHAnsi"/>
        </w:rPr>
      </w:pPr>
      <w:r w:rsidRPr="00064F8C">
        <w:t xml:space="preserve">Study </w:t>
      </w:r>
      <w:r w:rsidRPr="00064F8C">
        <w:rPr>
          <w:rFonts w:eastAsia="TimesNewRoman"/>
        </w:rPr>
        <w:t>PH-38823</w:t>
      </w:r>
      <w:r w:rsidRPr="00BA24C8">
        <w:t xml:space="preserve"> examined the interactions between regorafenib and </w:t>
      </w:r>
      <w:r w:rsidRPr="00F01955">
        <w:t xml:space="preserve">the </w:t>
      </w:r>
      <w:r w:rsidR="00F01955" w:rsidRPr="00F01955">
        <w:rPr>
          <w:rFonts w:eastAsia="TimesNewRoman" w:cstheme="minorHAnsi"/>
        </w:rPr>
        <w:t>P-glycoprotein</w:t>
      </w:r>
      <w:r w:rsidR="00F01955" w:rsidRPr="00BA24C8">
        <w:rPr>
          <w:rFonts w:eastAsia="TimesNewRoman"/>
        </w:rPr>
        <w:t xml:space="preserve"> </w:t>
      </w:r>
      <w:r w:rsidR="00F01955">
        <w:rPr>
          <w:rFonts w:eastAsia="TimesNewRoman"/>
        </w:rPr>
        <w:t>(</w:t>
      </w:r>
      <w:r w:rsidRPr="00BA24C8">
        <w:rPr>
          <w:rFonts w:eastAsia="TimesNewRoman"/>
        </w:rPr>
        <w:t>P</w:t>
      </w:r>
      <w:r w:rsidR="00F01955">
        <w:rPr>
          <w:rFonts w:eastAsia="TimesNewRoman"/>
        </w:rPr>
        <w:noBreakHyphen/>
      </w:r>
      <w:r w:rsidRPr="00BA24C8">
        <w:rPr>
          <w:rFonts w:eastAsia="TimesNewRoman"/>
        </w:rPr>
        <w:t>gp</w:t>
      </w:r>
      <w:r w:rsidR="00F01955">
        <w:rPr>
          <w:rFonts w:eastAsia="TimesNewRoman"/>
        </w:rPr>
        <w:t xml:space="preserve">) </w:t>
      </w:r>
      <w:r w:rsidRPr="00BA24C8">
        <w:rPr>
          <w:rFonts w:eastAsia="TimesNewRoman"/>
        </w:rPr>
        <w:t>substrate digoxin and regorafenib and the BCRP</w:t>
      </w:r>
      <w:r w:rsidR="00064F8C">
        <w:rPr>
          <w:rFonts w:eastAsia="TimesNewRoman"/>
        </w:rPr>
        <w:t xml:space="preserve"> </w:t>
      </w:r>
      <w:r w:rsidRPr="00BA24C8">
        <w:rPr>
          <w:rFonts w:eastAsia="TimesNewRoman"/>
        </w:rPr>
        <w:t>substrate rosuvastatin in patients with l</w:t>
      </w:r>
      <w:r w:rsidRPr="00BA24C8">
        <w:rPr>
          <w:rFonts w:eastAsia="TimesNewRoman" w:cstheme="minorHAnsi"/>
        </w:rPr>
        <w:t xml:space="preserve">ocally advanced or metastatic solid tumours. Overall, the incidence of drug-related TEAEs was similar in patients </w:t>
      </w:r>
      <w:r w:rsidR="00064F8C">
        <w:rPr>
          <w:rFonts w:eastAsia="TimesNewRoman" w:cstheme="minorHAnsi"/>
        </w:rPr>
        <w:t xml:space="preserve">that were </w:t>
      </w:r>
      <w:r w:rsidRPr="00BA24C8">
        <w:rPr>
          <w:rFonts w:eastAsia="TimesNewRoman" w:cstheme="minorHAnsi"/>
        </w:rPr>
        <w:t xml:space="preserve">co-administered regorafenib and digoxin (87.0%) or regorafenib and rosuvastatin (89.5%) </w:t>
      </w:r>
      <w:proofErr w:type="gramStart"/>
      <w:r w:rsidRPr="00BA24C8">
        <w:rPr>
          <w:rFonts w:eastAsia="TimesNewRoman" w:cstheme="minorHAnsi"/>
        </w:rPr>
        <w:t>(</w:t>
      </w:r>
      <w:r w:rsidR="00064F8C">
        <w:rPr>
          <w:rFonts w:eastAsia="TimesNewRoman" w:cstheme="minorHAnsi"/>
        </w:rPr>
        <w:t>Table 16</w:t>
      </w:r>
      <w:r w:rsidRPr="00BA24C8">
        <w:rPr>
          <w:rFonts w:eastAsia="TimesNewRoman" w:cstheme="minorHAnsi"/>
        </w:rPr>
        <w:t>).</w:t>
      </w:r>
      <w:proofErr w:type="gramEnd"/>
      <w:r w:rsidRPr="00BA24C8">
        <w:rPr>
          <w:rFonts w:eastAsia="TimesNewRoman" w:cstheme="minorHAnsi"/>
        </w:rPr>
        <w:t xml:space="preserve"> However, the incidence of drug-related TEAEs that resulted in a modification of regorafenib dose was slightly higher (</w:t>
      </w:r>
      <w:r w:rsidR="00064F8C">
        <w:rPr>
          <w:rFonts w:eastAsia="TimesNewRoman" w:cstheme="minorHAnsi"/>
        </w:rPr>
        <w:t xml:space="preserve">approximately </w:t>
      </w:r>
      <w:r w:rsidRPr="00BA24C8">
        <w:rPr>
          <w:rFonts w:eastAsia="TimesNewRoman" w:cstheme="minorHAnsi"/>
        </w:rPr>
        <w:t>12%) in the rosuvastatin co-administered group (68.4%) than in the digoxin group (56.5%).</w:t>
      </w:r>
    </w:p>
    <w:p w:rsidR="00064F8C" w:rsidRPr="00C73765" w:rsidRDefault="00F17CA0" w:rsidP="00F17CA0">
      <w:pPr>
        <w:pStyle w:val="TableTitle"/>
        <w:numPr>
          <w:ilvl w:val="0"/>
          <w:numId w:val="0"/>
        </w:numPr>
      </w:pPr>
      <w:bookmarkStart w:id="188" w:name="_Toc483989523"/>
      <w:bookmarkStart w:id="189" w:name="_Ref483990078"/>
      <w:r>
        <w:lastRenderedPageBreak/>
        <w:t xml:space="preserve">Table 16: </w:t>
      </w:r>
      <w:r w:rsidR="00064F8C" w:rsidRPr="00C73765">
        <w:t xml:space="preserve">Study PH-38823 Overview of </w:t>
      </w:r>
      <w:r w:rsidR="004151AE">
        <w:t>TEAEs</w:t>
      </w:r>
      <w:r w:rsidR="00E83D7A">
        <w:t>;</w:t>
      </w:r>
      <w:r w:rsidR="004151AE">
        <w:t xml:space="preserve"> </w:t>
      </w:r>
      <w:r w:rsidR="00064F8C" w:rsidRPr="00C73765">
        <w:t>Safety analysis set</w:t>
      </w:r>
      <w:r w:rsidR="00F91EA1">
        <w:t>,</w:t>
      </w:r>
      <w:r w:rsidR="00064F8C" w:rsidRPr="00C73765">
        <w:t xml:space="preserve"> N</w:t>
      </w:r>
      <w:r>
        <w:t xml:space="preserve"> </w:t>
      </w:r>
      <w:r w:rsidR="00064F8C" w:rsidRPr="00C73765">
        <w:t>=</w:t>
      </w:r>
      <w:r>
        <w:t xml:space="preserve"> </w:t>
      </w:r>
      <w:r w:rsidR="00064F8C" w:rsidRPr="00C73765">
        <w:t>42</w:t>
      </w:r>
      <w:bookmarkEnd w:id="188"/>
      <w:bookmarkEnd w:id="189"/>
    </w:p>
    <w:p w:rsidR="00064F8C" w:rsidRPr="00BA24C8" w:rsidRDefault="00064F8C" w:rsidP="00064F8C">
      <w:r w:rsidRPr="00BA24C8">
        <w:rPr>
          <w:noProof/>
          <w:lang w:eastAsia="en-AU"/>
        </w:rPr>
        <w:drawing>
          <wp:inline distT="0" distB="0" distL="0" distR="0" wp14:anchorId="31EB11A0" wp14:editId="220FF74D">
            <wp:extent cx="4335737" cy="4976734"/>
            <wp:effectExtent l="0" t="0" r="8255" b="0"/>
            <wp:docPr id="155" name="Picture 155" descr="Study PH-38823 Overview of treatment-emergent adverse events (Safety analysis set; N=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36457" cy="4977561"/>
                    </a:xfrm>
                    <a:prstGeom prst="rect">
                      <a:avLst/>
                    </a:prstGeom>
                    <a:noFill/>
                    <a:ln>
                      <a:noFill/>
                    </a:ln>
                  </pic:spPr>
                </pic:pic>
              </a:graphicData>
            </a:graphic>
          </wp:inline>
        </w:drawing>
      </w:r>
    </w:p>
    <w:p w:rsidR="00605AD4" w:rsidRDefault="00605AD4" w:rsidP="00605AD4">
      <w:pPr>
        <w:pStyle w:val="Heading4"/>
      </w:pPr>
      <w:r w:rsidRPr="00605AD4">
        <w:t>Postmarketing data</w:t>
      </w:r>
    </w:p>
    <w:p w:rsidR="00620379" w:rsidRPr="00BA24C8" w:rsidRDefault="00620379" w:rsidP="00620379">
      <w:pPr>
        <w:rPr>
          <w:lang w:eastAsia="ja-JP"/>
        </w:rPr>
      </w:pPr>
      <w:r w:rsidRPr="00BA24C8">
        <w:rPr>
          <w:lang w:eastAsia="ja-JP"/>
        </w:rPr>
        <w:t xml:space="preserve">The sponsor has presented SAEs in </w:t>
      </w:r>
      <w:r w:rsidR="00064F8C">
        <w:rPr>
          <w:lang w:eastAsia="ja-JP"/>
        </w:rPr>
        <w:t xml:space="preserve">the </w:t>
      </w:r>
      <w:r w:rsidRPr="00BA24C8">
        <w:rPr>
          <w:lang w:eastAsia="ja-JP"/>
        </w:rPr>
        <w:t xml:space="preserve">post-marketing setting </w:t>
      </w:r>
      <w:r w:rsidR="00064F8C">
        <w:rPr>
          <w:lang w:eastAsia="ja-JP"/>
        </w:rPr>
        <w:t>(</w:t>
      </w:r>
      <w:r w:rsidRPr="00BA24C8">
        <w:rPr>
          <w:lang w:eastAsia="ja-JP"/>
        </w:rPr>
        <w:t>as of 1 July 2016</w:t>
      </w:r>
      <w:r w:rsidR="00064F8C">
        <w:rPr>
          <w:lang w:eastAsia="ja-JP"/>
        </w:rPr>
        <w:t>)</w:t>
      </w:r>
      <w:r w:rsidRPr="00BA24C8">
        <w:rPr>
          <w:lang w:eastAsia="ja-JP"/>
        </w:rPr>
        <w:t xml:space="preserve"> </w:t>
      </w:r>
      <w:r w:rsidR="004151AE">
        <w:rPr>
          <w:lang w:eastAsia="ja-JP"/>
        </w:rPr>
        <w:t>and these</w:t>
      </w:r>
      <w:r w:rsidRPr="00BA24C8">
        <w:rPr>
          <w:lang w:eastAsia="ja-JP"/>
        </w:rPr>
        <w:t xml:space="preserve"> were consistent with the known safety profile of regorafenib. No new safety signal for regorafenib has been observed based on the received post-marketing reports.</w:t>
      </w:r>
    </w:p>
    <w:p w:rsidR="00605AD4" w:rsidRPr="00605AD4" w:rsidRDefault="00605AD4" w:rsidP="00605AD4">
      <w:pPr>
        <w:pStyle w:val="Heading4"/>
      </w:pPr>
      <w:r w:rsidRPr="00605AD4">
        <w:t>Evaluator’s conclusions on safety</w:t>
      </w:r>
    </w:p>
    <w:p w:rsidR="00620379" w:rsidRPr="00BA24C8" w:rsidRDefault="00620379" w:rsidP="00620379">
      <w:r w:rsidRPr="00BA24C8">
        <w:t xml:space="preserve">Overall, safety results in the pivotal </w:t>
      </w:r>
      <w:r w:rsidR="00126F1A">
        <w:t>Phase III</w:t>
      </w:r>
      <w:r w:rsidRPr="00BA24C8">
        <w:t xml:space="preserve"> study (RESORCE) </w:t>
      </w:r>
      <w:r w:rsidRPr="00BA24C8">
        <w:rPr>
          <w:lang w:eastAsia="ja-JP"/>
        </w:rPr>
        <w:t xml:space="preserve">showed results consistent with the known safety profile of regorafenib. </w:t>
      </w:r>
      <w:r w:rsidRPr="00BA24C8">
        <w:t>The incidence of all-causality TEAEs</w:t>
      </w:r>
      <w:r w:rsidRPr="00BA24C8">
        <w:rPr>
          <w:lang w:eastAsia="ja-JP"/>
        </w:rPr>
        <w:t xml:space="preserve"> </w:t>
      </w:r>
      <w:r w:rsidRPr="00BA24C8">
        <w:t>was slightly higher with regorafenib compared to placebo (100.0%</w:t>
      </w:r>
      <w:r w:rsidR="00EB28B3">
        <w:t xml:space="preserve"> versus </w:t>
      </w:r>
      <w:r w:rsidRPr="00BA24C8">
        <w:t>92.7%) while the incidence of treatment</w:t>
      </w:r>
      <w:r w:rsidR="00064F8C">
        <w:t xml:space="preserve"> </w:t>
      </w:r>
      <w:r w:rsidRPr="00BA24C8">
        <w:t>related TEAEs was higher with regorafenib compared to placebo (92.5%</w:t>
      </w:r>
      <w:r w:rsidR="00EB28B3">
        <w:t xml:space="preserve"> versus </w:t>
      </w:r>
      <w:r w:rsidRPr="00BA24C8">
        <w:t>51.8%).</w:t>
      </w:r>
      <w:r w:rsidRPr="00BA24C8">
        <w:rPr>
          <w:lang w:eastAsia="ja-JP"/>
        </w:rPr>
        <w:t xml:space="preserve"> </w:t>
      </w:r>
      <w:r w:rsidRPr="00BA24C8">
        <w:t>The most commonly reported treatment</w:t>
      </w:r>
      <w:r w:rsidR="00064F8C">
        <w:t xml:space="preserve"> </w:t>
      </w:r>
      <w:r w:rsidRPr="00BA24C8">
        <w:t xml:space="preserve">related TEAEs with regorafenib group were </w:t>
      </w:r>
      <w:r w:rsidR="00064F8C">
        <w:t>p</w:t>
      </w:r>
      <w:r w:rsidR="00064F8C" w:rsidRPr="00BA24C8">
        <w:t xml:space="preserve">almar-plantar </w:t>
      </w:r>
      <w:r w:rsidR="004151AE" w:rsidRPr="00BA24C8">
        <w:t>erythrodysaesthesia</w:t>
      </w:r>
      <w:r w:rsidR="00064F8C" w:rsidRPr="00BA24C8">
        <w:t xml:space="preserve"> syndrome </w:t>
      </w:r>
      <w:r w:rsidR="00064F8C">
        <w:t>(</w:t>
      </w:r>
      <w:r w:rsidRPr="00BA24C8">
        <w:t>PPES</w:t>
      </w:r>
      <w:r w:rsidR="00064F8C">
        <w:t>)</w:t>
      </w:r>
      <w:r w:rsidRPr="00BA24C8">
        <w:t xml:space="preserve"> (50.8% with regorafenib</w:t>
      </w:r>
      <w:r w:rsidR="00EB28B3">
        <w:t xml:space="preserve"> versus </w:t>
      </w:r>
      <w:r w:rsidRPr="00BA24C8">
        <w:t>5.7% with placebo), diarrhoea (33.4%</w:t>
      </w:r>
      <w:r w:rsidR="00EB28B3">
        <w:t xml:space="preserve"> versus </w:t>
      </w:r>
      <w:r w:rsidRPr="00BA24C8">
        <w:t>9.3%), decreased appetite (23.5%</w:t>
      </w:r>
      <w:r w:rsidR="00EB28B3">
        <w:t xml:space="preserve"> versus </w:t>
      </w:r>
      <w:r w:rsidRPr="00BA24C8">
        <w:t>5.7%) and hypertension (23.0%</w:t>
      </w:r>
      <w:r w:rsidR="00EB28B3">
        <w:t xml:space="preserve"> versus </w:t>
      </w:r>
      <w:r w:rsidRPr="00BA24C8">
        <w:t xml:space="preserve">4.7%). These are all known adverse drug reactions of </w:t>
      </w:r>
      <w:r w:rsidRPr="00BA24C8">
        <w:rPr>
          <w:lang w:eastAsia="ja-JP"/>
        </w:rPr>
        <w:t xml:space="preserve">regorafenib. </w:t>
      </w:r>
      <w:r w:rsidRPr="00BA24C8">
        <w:t>The majority of these most commonly reported treatment</w:t>
      </w:r>
      <w:r w:rsidR="00064F8C">
        <w:t xml:space="preserve"> </w:t>
      </w:r>
      <w:r w:rsidRPr="00BA24C8">
        <w:t xml:space="preserve">related TEAEs in the regorafenib group were of severity worst </w:t>
      </w:r>
      <w:r w:rsidR="00064F8C">
        <w:t>G</w:t>
      </w:r>
      <w:r w:rsidRPr="00BA24C8">
        <w:t>rade 1 (mild) or 2 (moderate). There w</w:t>
      </w:r>
      <w:r w:rsidR="004151AE">
        <w:t>as</w:t>
      </w:r>
      <w:r w:rsidRPr="00BA24C8">
        <w:t xml:space="preserve"> no</w:t>
      </w:r>
      <w:r w:rsidR="007C579E">
        <w:t xml:space="preserve"> Grade 4</w:t>
      </w:r>
      <w:r w:rsidRPr="00BA24C8">
        <w:t xml:space="preserve"> (life-threatening and/or disabling) PPES, diarrhoea, decreased appetite or hypertension reported in either treatment group. Incidences of</w:t>
      </w:r>
      <w:r w:rsidR="007C579E">
        <w:t xml:space="preserve"> Grade 3 </w:t>
      </w:r>
      <w:r w:rsidRPr="00BA24C8">
        <w:t xml:space="preserve">(severe) PPES, diarrhoea, decreased appetite and hypertension in </w:t>
      </w:r>
      <w:r w:rsidRPr="00BA24C8">
        <w:lastRenderedPageBreak/>
        <w:t>the regorafenib group (</w:t>
      </w:r>
      <w:r w:rsidR="00064F8C">
        <w:t>versus</w:t>
      </w:r>
      <w:r w:rsidRPr="00BA24C8">
        <w:t xml:space="preserve"> placebo group) were 12.3% (</w:t>
      </w:r>
      <w:r w:rsidR="00064F8C">
        <w:t>versus</w:t>
      </w:r>
      <w:r w:rsidR="00064F8C" w:rsidRPr="00BA24C8">
        <w:t xml:space="preserve"> </w:t>
      </w:r>
      <w:r w:rsidRPr="00BA24C8">
        <w:t>0.5%), 2.4% (</w:t>
      </w:r>
      <w:r w:rsidR="00064F8C">
        <w:t>versus</w:t>
      </w:r>
      <w:r w:rsidR="00064F8C" w:rsidRPr="00BA24C8">
        <w:t xml:space="preserve"> </w:t>
      </w:r>
      <w:r w:rsidRPr="00BA24C8">
        <w:t>0%), 2.7% (</w:t>
      </w:r>
      <w:r w:rsidR="00064F8C">
        <w:t>versus</w:t>
      </w:r>
      <w:r w:rsidR="00064F8C" w:rsidRPr="00BA24C8">
        <w:t xml:space="preserve"> </w:t>
      </w:r>
      <w:r w:rsidRPr="00BA24C8">
        <w:t>0%) and 12.8% (</w:t>
      </w:r>
      <w:r w:rsidR="00064F8C">
        <w:t>versus</w:t>
      </w:r>
      <w:r w:rsidR="00064F8C" w:rsidRPr="00BA24C8">
        <w:t xml:space="preserve"> </w:t>
      </w:r>
      <w:r w:rsidRPr="00BA24C8">
        <w:t>3.1%), respectively.</w:t>
      </w:r>
    </w:p>
    <w:p w:rsidR="00620379" w:rsidRPr="00BA24C8" w:rsidRDefault="00620379" w:rsidP="00620379">
      <w:r w:rsidRPr="00BA24C8">
        <w:t>The incidence of deaths during treatment and up to 30 days post-permanent treatment discontinuation was lower with regorafenib compared to placebo (13.4%</w:t>
      </w:r>
      <w:r w:rsidR="00EB28B3">
        <w:t xml:space="preserve"> versus </w:t>
      </w:r>
      <w:r w:rsidRPr="00BA24C8">
        <w:t>19.7%), and in both treatment groups, the most frequently recorded reason was associated with disease progression. The incidences of all-causality SAEs were similar between the regorafenib and placebo groups (44.4%</w:t>
      </w:r>
      <w:r w:rsidR="00EB28B3">
        <w:t xml:space="preserve"> versus </w:t>
      </w:r>
      <w:r w:rsidRPr="00BA24C8">
        <w:t>46.6%). The overall incidence of treatment</w:t>
      </w:r>
      <w:r w:rsidR="00064F8C">
        <w:t xml:space="preserve"> </w:t>
      </w:r>
      <w:r w:rsidRPr="00BA24C8">
        <w:t>related SAE was higher with regorafenib compared to placebo (10.4%</w:t>
      </w:r>
      <w:r w:rsidR="00EB28B3">
        <w:t xml:space="preserve"> versus </w:t>
      </w:r>
      <w:r w:rsidRPr="00BA24C8">
        <w:t xml:space="preserve">2.6%), but incidences were generally low across each SAE, with the most commonly reported </w:t>
      </w:r>
      <w:r w:rsidR="00064F8C">
        <w:t>treatment related</w:t>
      </w:r>
      <w:r w:rsidRPr="00BA24C8">
        <w:t xml:space="preserve"> SAEs with regorafenib being general physical health deterioration (1.3%</w:t>
      </w:r>
      <w:r w:rsidR="00EB28B3">
        <w:t xml:space="preserve"> versus </w:t>
      </w:r>
      <w:r w:rsidRPr="00BA24C8">
        <w:t>0.5% with placebo) and hepatic encephalopathy (1.3%</w:t>
      </w:r>
      <w:r w:rsidR="00EB28B3">
        <w:t xml:space="preserve"> versus </w:t>
      </w:r>
      <w:r w:rsidRPr="00BA24C8">
        <w:t>0.5%).</w:t>
      </w:r>
    </w:p>
    <w:p w:rsidR="00620379" w:rsidRPr="00BA24C8" w:rsidRDefault="00620379" w:rsidP="00620379">
      <w:r w:rsidRPr="00BA24C8">
        <w:t xml:space="preserve">Safety results from </w:t>
      </w:r>
      <w:r w:rsidR="00D741CE">
        <w:t>S</w:t>
      </w:r>
      <w:r w:rsidRPr="00BA24C8">
        <w:t xml:space="preserve">afety </w:t>
      </w:r>
      <w:r w:rsidR="00462820">
        <w:t>Pool 1</w:t>
      </w:r>
      <w:r w:rsidRPr="00BA24C8">
        <w:t xml:space="preserve">, which looked at safety data from 4518 subjects with different types of cancer (including 8.5% [374/4518] with HCC, 4.2% [190/4518] with GIST and 77.6% [3504/4518] with CRC) </w:t>
      </w:r>
      <w:r w:rsidRPr="00BA24C8">
        <w:rPr>
          <w:lang w:eastAsia="ja-JP"/>
        </w:rPr>
        <w:t xml:space="preserve">exposed to regorafenib monotherapy in uncontrolled or controlled Phase </w:t>
      </w:r>
      <w:r w:rsidR="00462820">
        <w:rPr>
          <w:lang w:eastAsia="ja-JP"/>
        </w:rPr>
        <w:t>I</w:t>
      </w:r>
      <w:r w:rsidRPr="00BA24C8">
        <w:rPr>
          <w:lang w:eastAsia="ja-JP"/>
        </w:rPr>
        <w:t xml:space="preserve"> to </w:t>
      </w:r>
      <w:r w:rsidR="00126F1A">
        <w:rPr>
          <w:lang w:eastAsia="ja-JP"/>
        </w:rPr>
        <w:t>Phase III</w:t>
      </w:r>
      <w:r w:rsidRPr="00BA24C8">
        <w:rPr>
          <w:lang w:eastAsia="ja-JP"/>
        </w:rPr>
        <w:t xml:space="preserve"> studies, were consistent with the results of RESORCE and with the known safety profile of regorafenib. </w:t>
      </w:r>
      <w:r w:rsidRPr="00BA24C8">
        <w:t xml:space="preserve">Safety results from </w:t>
      </w:r>
      <w:r w:rsidR="00462820">
        <w:t>s</w:t>
      </w:r>
      <w:r w:rsidRPr="00BA24C8">
        <w:t xml:space="preserve">afety </w:t>
      </w:r>
      <w:r w:rsidR="00462820">
        <w:t>P</w:t>
      </w:r>
      <w:r w:rsidRPr="00BA24C8">
        <w:t xml:space="preserve">ool 3, which looked at integrated </w:t>
      </w:r>
      <w:r w:rsidRPr="00BA24C8">
        <w:rPr>
          <w:lang w:eastAsia="ja-JP"/>
        </w:rPr>
        <w:t xml:space="preserve">safety data of 1142 </w:t>
      </w:r>
      <w:r w:rsidR="00462820">
        <w:rPr>
          <w:lang w:eastAsia="ja-JP"/>
        </w:rPr>
        <w:t>regorafenib treated</w:t>
      </w:r>
      <w:r w:rsidRPr="00BA24C8">
        <w:rPr>
          <w:lang w:eastAsia="ja-JP"/>
        </w:rPr>
        <w:t xml:space="preserve"> subjects and 580 placebo subjects (among regorafenib</w:t>
      </w:r>
      <w:r w:rsidR="00462820">
        <w:rPr>
          <w:lang w:eastAsia="ja-JP"/>
        </w:rPr>
        <w:t xml:space="preserve"> </w:t>
      </w:r>
      <w:r w:rsidRPr="00BA24C8">
        <w:rPr>
          <w:lang w:eastAsia="ja-JP"/>
        </w:rPr>
        <w:t xml:space="preserve">treated subjects, 32.7% [374/1142] had HCC, 11.6% [132/1142] had GIST and 55.7% [636/1142] had CRC) from 4 randomised, </w:t>
      </w:r>
      <w:r w:rsidR="00462820">
        <w:rPr>
          <w:lang w:eastAsia="ja-JP"/>
        </w:rPr>
        <w:t>double blind</w:t>
      </w:r>
      <w:r w:rsidRPr="00BA24C8">
        <w:rPr>
          <w:lang w:eastAsia="ja-JP"/>
        </w:rPr>
        <w:t xml:space="preserve">, </w:t>
      </w:r>
      <w:r w:rsidR="00462820">
        <w:rPr>
          <w:lang w:eastAsia="ja-JP"/>
        </w:rPr>
        <w:t>placebo controlled</w:t>
      </w:r>
      <w:r w:rsidRPr="00BA24C8">
        <w:rPr>
          <w:lang w:eastAsia="ja-JP"/>
        </w:rPr>
        <w:t xml:space="preserve"> </w:t>
      </w:r>
      <w:r w:rsidR="00126F1A">
        <w:rPr>
          <w:lang w:eastAsia="ja-JP"/>
        </w:rPr>
        <w:t>Phase III</w:t>
      </w:r>
      <w:r w:rsidRPr="00BA24C8">
        <w:rPr>
          <w:lang w:eastAsia="ja-JP"/>
        </w:rPr>
        <w:t xml:space="preserve"> studies, were also consistent with the results of RESORCE and with the known safety profile of regorafenib.</w:t>
      </w:r>
    </w:p>
    <w:p w:rsidR="00620379" w:rsidRPr="00BA24C8" w:rsidRDefault="00620379" w:rsidP="00620379">
      <w:pPr>
        <w:rPr>
          <w:lang w:eastAsia="ja-JP"/>
        </w:rPr>
      </w:pPr>
      <w:r w:rsidRPr="00BA24C8">
        <w:t xml:space="preserve">With regards to the boxed warning in the </w:t>
      </w:r>
      <w:r w:rsidR="00462820">
        <w:t>PI</w:t>
      </w:r>
      <w:r w:rsidRPr="00BA24C8">
        <w:t xml:space="preserve"> regarding hepatoxicity of </w:t>
      </w:r>
      <w:r w:rsidRPr="00BA24C8">
        <w:rPr>
          <w:lang w:eastAsia="ja-JP"/>
        </w:rPr>
        <w:t xml:space="preserve">regorafenib, the safety results did not raise concerns of increased hepatotoxicity in HCC patients treated with regorafenib, compared to patients with other cancers. Across the safety pools, TEAEs in the SOC of </w:t>
      </w:r>
      <w:r w:rsidR="00864644">
        <w:rPr>
          <w:lang w:eastAsia="ja-JP"/>
        </w:rPr>
        <w:t>‘</w:t>
      </w:r>
      <w:r w:rsidRPr="00BA24C8">
        <w:rPr>
          <w:lang w:eastAsia="ja-JP"/>
        </w:rPr>
        <w:t>hepatobiliary disorders</w:t>
      </w:r>
      <w:r w:rsidR="00864644">
        <w:rPr>
          <w:lang w:eastAsia="ja-JP"/>
        </w:rPr>
        <w:t>’</w:t>
      </w:r>
      <w:r w:rsidRPr="00BA24C8">
        <w:rPr>
          <w:lang w:eastAsia="ja-JP"/>
        </w:rPr>
        <w:t xml:space="preserve"> were reported in 12.8% to 15.2% of </w:t>
      </w:r>
      <w:r w:rsidR="00462820">
        <w:rPr>
          <w:lang w:eastAsia="ja-JP"/>
        </w:rPr>
        <w:t>regorafenib treated</w:t>
      </w:r>
      <w:r w:rsidRPr="00BA24C8">
        <w:rPr>
          <w:lang w:eastAsia="ja-JP"/>
        </w:rPr>
        <w:t xml:space="preserve"> patients, and the most commonly reported TEAE in this SOC was hyperbilirubinemia (3.7% to 7.5%) </w:t>
      </w:r>
      <w:proofErr w:type="gramStart"/>
      <w:r w:rsidRPr="00BA24C8">
        <w:t>(</w:t>
      </w:r>
      <w:r w:rsidR="00462820">
        <w:t>Table 7</w:t>
      </w:r>
      <w:r w:rsidRPr="00BA24C8">
        <w:t>).</w:t>
      </w:r>
      <w:proofErr w:type="gramEnd"/>
      <w:r w:rsidR="00686D30">
        <w:t xml:space="preserve"> </w:t>
      </w:r>
      <w:r w:rsidRPr="00BA24C8">
        <w:rPr>
          <w:lang w:eastAsia="ja-JP"/>
        </w:rPr>
        <w:t>In HCC patients treated with regorafenib (</w:t>
      </w:r>
      <w:r w:rsidR="00462820">
        <w:rPr>
          <w:lang w:eastAsia="ja-JP"/>
        </w:rPr>
        <w:t>S</w:t>
      </w:r>
      <w:r w:rsidRPr="00BA24C8">
        <w:rPr>
          <w:lang w:eastAsia="ja-JP"/>
        </w:rPr>
        <w:t>tudy RESORCE), the incidence of hepatic failure was lower in the regorafenib group than in the placebo group (2.4%</w:t>
      </w:r>
      <w:r w:rsidR="00EB28B3">
        <w:rPr>
          <w:lang w:eastAsia="ja-JP"/>
        </w:rPr>
        <w:t xml:space="preserve"> versus </w:t>
      </w:r>
      <w:r w:rsidRPr="00BA24C8">
        <w:rPr>
          <w:lang w:eastAsia="ja-JP"/>
        </w:rPr>
        <w:t xml:space="preserve">4.7%). The incidence of drug-related SAEs of MedDRA SOC </w:t>
      </w:r>
      <w:r w:rsidR="00864644">
        <w:rPr>
          <w:lang w:eastAsia="ja-JP"/>
        </w:rPr>
        <w:t>‘</w:t>
      </w:r>
      <w:r w:rsidRPr="00BA24C8">
        <w:rPr>
          <w:lang w:eastAsia="ja-JP"/>
        </w:rPr>
        <w:t>hepatobiliary disorders</w:t>
      </w:r>
      <w:r w:rsidR="00864644">
        <w:rPr>
          <w:lang w:eastAsia="ja-JP"/>
        </w:rPr>
        <w:t>’</w:t>
      </w:r>
      <w:r w:rsidRPr="00BA24C8">
        <w:rPr>
          <w:lang w:eastAsia="ja-JP"/>
        </w:rPr>
        <w:t xml:space="preserve"> </w:t>
      </w:r>
      <w:r w:rsidR="00462820">
        <w:rPr>
          <w:lang w:eastAsia="ja-JP"/>
        </w:rPr>
        <w:t>G</w:t>
      </w:r>
      <w:r w:rsidRPr="00BA24C8">
        <w:rPr>
          <w:lang w:eastAsia="ja-JP"/>
        </w:rPr>
        <w:t>rades 4 and 5 with regorafenib was also low</w:t>
      </w:r>
      <w:r w:rsidRPr="00BA24C8">
        <w:t xml:space="preserve"> (</w:t>
      </w:r>
      <w:r w:rsidRPr="00BA24C8">
        <w:rPr>
          <w:lang w:eastAsia="ja-JP"/>
        </w:rPr>
        <w:t>two drug</w:t>
      </w:r>
      <w:r w:rsidR="00462820">
        <w:rPr>
          <w:lang w:eastAsia="ja-JP"/>
        </w:rPr>
        <w:t xml:space="preserve"> </w:t>
      </w:r>
      <w:r w:rsidRPr="00BA24C8">
        <w:rPr>
          <w:lang w:eastAsia="ja-JP"/>
        </w:rPr>
        <w:t>related</w:t>
      </w:r>
      <w:r w:rsidR="007C579E">
        <w:rPr>
          <w:lang w:eastAsia="ja-JP"/>
        </w:rPr>
        <w:t xml:space="preserve"> Grade 4</w:t>
      </w:r>
      <w:r w:rsidRPr="00BA24C8">
        <w:rPr>
          <w:lang w:eastAsia="ja-JP"/>
        </w:rPr>
        <w:t xml:space="preserve"> hepatobiliary disorders events [hyperbilirubinaemia and hepatic failure]</w:t>
      </w:r>
      <w:r w:rsidR="00EB28B3">
        <w:rPr>
          <w:lang w:eastAsia="ja-JP"/>
        </w:rPr>
        <w:t xml:space="preserve"> versus </w:t>
      </w:r>
      <w:r w:rsidRPr="00BA24C8">
        <w:rPr>
          <w:lang w:eastAsia="ja-JP"/>
        </w:rPr>
        <w:t>none in the placebo group; no incidence of</w:t>
      </w:r>
      <w:r w:rsidR="00686D30">
        <w:rPr>
          <w:lang w:eastAsia="ja-JP"/>
        </w:rPr>
        <w:t xml:space="preserve"> </w:t>
      </w:r>
      <w:r w:rsidRPr="00BA24C8">
        <w:rPr>
          <w:lang w:eastAsia="ja-JP"/>
        </w:rPr>
        <w:t>drug</w:t>
      </w:r>
      <w:r w:rsidR="00462820">
        <w:rPr>
          <w:lang w:eastAsia="ja-JP"/>
        </w:rPr>
        <w:t xml:space="preserve"> </w:t>
      </w:r>
      <w:r w:rsidRPr="00BA24C8">
        <w:rPr>
          <w:lang w:eastAsia="ja-JP"/>
        </w:rPr>
        <w:t>related</w:t>
      </w:r>
      <w:r w:rsidR="007C579E">
        <w:rPr>
          <w:lang w:eastAsia="ja-JP"/>
        </w:rPr>
        <w:t xml:space="preserve"> Grade 5</w:t>
      </w:r>
      <w:r w:rsidRPr="00BA24C8">
        <w:rPr>
          <w:lang w:eastAsia="ja-JP"/>
        </w:rPr>
        <w:t xml:space="preserve"> hepatobiliary disorders event</w:t>
      </w:r>
      <w:r w:rsidR="00EB28B3">
        <w:rPr>
          <w:lang w:eastAsia="ja-JP"/>
        </w:rPr>
        <w:t xml:space="preserve"> versus </w:t>
      </w:r>
      <w:r w:rsidRPr="00BA24C8">
        <w:rPr>
          <w:lang w:eastAsia="ja-JP"/>
        </w:rPr>
        <w:t>two events in the placebo group [both hepatic failure]).</w:t>
      </w:r>
    </w:p>
    <w:p w:rsidR="00620379" w:rsidRPr="00BA24C8" w:rsidRDefault="00620379" w:rsidP="00620379">
      <w:pPr>
        <w:rPr>
          <w:lang w:eastAsia="ja-JP"/>
        </w:rPr>
      </w:pPr>
      <w:r w:rsidRPr="00BA24C8">
        <w:rPr>
          <w:lang w:eastAsia="ja-JP"/>
        </w:rPr>
        <w:t xml:space="preserve">Incidences of raised liver function test parameters were higher </w:t>
      </w:r>
      <w:r w:rsidR="00462820">
        <w:rPr>
          <w:lang w:eastAsia="ja-JP"/>
        </w:rPr>
        <w:t>regorafenib treated</w:t>
      </w:r>
      <w:r w:rsidRPr="00BA24C8">
        <w:rPr>
          <w:lang w:eastAsia="ja-JP"/>
        </w:rPr>
        <w:t xml:space="preserve"> HCC patients in RESORCE compared to </w:t>
      </w:r>
      <w:r w:rsidR="00462820">
        <w:rPr>
          <w:lang w:eastAsia="ja-JP"/>
        </w:rPr>
        <w:t>regorafenib treated</w:t>
      </w:r>
      <w:r w:rsidRPr="00BA24C8">
        <w:rPr>
          <w:lang w:eastAsia="ja-JP"/>
        </w:rPr>
        <w:t xml:space="preserve"> patients the integrated analyses in safety pools 1 and 3 (AST increased: 92.7% in RESORCE</w:t>
      </w:r>
      <w:r w:rsidR="00EB28B3">
        <w:rPr>
          <w:lang w:eastAsia="ja-JP"/>
        </w:rPr>
        <w:t xml:space="preserve"> versus </w:t>
      </w:r>
      <w:r w:rsidRPr="00BA24C8">
        <w:rPr>
          <w:lang w:eastAsia="ja-JP"/>
        </w:rPr>
        <w:t>73.5% in Pool 1</w:t>
      </w:r>
      <w:r w:rsidR="00EB28B3">
        <w:rPr>
          <w:lang w:eastAsia="ja-JP"/>
        </w:rPr>
        <w:t xml:space="preserve"> versus </w:t>
      </w:r>
      <w:r w:rsidRPr="00BA24C8">
        <w:rPr>
          <w:lang w:eastAsia="ja-JP"/>
        </w:rPr>
        <w:t>74.1% in Pool 3; ALT increased: 70.4%</w:t>
      </w:r>
      <w:r w:rsidR="00EB28B3">
        <w:rPr>
          <w:lang w:eastAsia="ja-JP"/>
        </w:rPr>
        <w:t xml:space="preserve"> versus </w:t>
      </w:r>
      <w:r w:rsidRPr="00BA24C8">
        <w:rPr>
          <w:lang w:eastAsia="ja-JP"/>
        </w:rPr>
        <w:t>52.2%</w:t>
      </w:r>
      <w:r w:rsidR="00EB28B3">
        <w:rPr>
          <w:lang w:eastAsia="ja-JP"/>
        </w:rPr>
        <w:t xml:space="preserve"> versus </w:t>
      </w:r>
      <w:r w:rsidRPr="00BA24C8">
        <w:rPr>
          <w:lang w:eastAsia="ja-JP"/>
        </w:rPr>
        <w:t>54.3%; blood bilirubin increased: 78.2%</w:t>
      </w:r>
      <w:r w:rsidR="00EB28B3">
        <w:rPr>
          <w:lang w:eastAsia="ja-JP"/>
        </w:rPr>
        <w:t xml:space="preserve"> versus </w:t>
      </w:r>
      <w:r w:rsidRPr="00BA24C8">
        <w:rPr>
          <w:lang w:eastAsia="ja-JP"/>
        </w:rPr>
        <w:t>57.7%</w:t>
      </w:r>
      <w:r w:rsidR="00EB28B3">
        <w:rPr>
          <w:lang w:eastAsia="ja-JP"/>
        </w:rPr>
        <w:t xml:space="preserve"> versus </w:t>
      </w:r>
      <w:r w:rsidRPr="00BA24C8">
        <w:rPr>
          <w:lang w:eastAsia="ja-JP"/>
        </w:rPr>
        <w:t xml:space="preserve">57.3%) </w:t>
      </w:r>
      <w:proofErr w:type="gramStart"/>
      <w:r w:rsidRPr="00BA24C8">
        <w:rPr>
          <w:lang w:eastAsia="ja-JP"/>
        </w:rPr>
        <w:t>(</w:t>
      </w:r>
      <w:r w:rsidR="00462820">
        <w:rPr>
          <w:lang w:eastAsia="ja-JP"/>
        </w:rPr>
        <w:t>Table 8</w:t>
      </w:r>
      <w:r w:rsidRPr="00BA24C8">
        <w:rPr>
          <w:lang w:eastAsia="ja-JP"/>
        </w:rPr>
        <w:t>)</w:t>
      </w:r>
      <w:r w:rsidR="00462820">
        <w:rPr>
          <w:lang w:eastAsia="ja-JP"/>
        </w:rPr>
        <w:t>.</w:t>
      </w:r>
      <w:proofErr w:type="gramEnd"/>
      <w:r w:rsidRPr="00BA24C8">
        <w:rPr>
          <w:lang w:eastAsia="ja-JP"/>
        </w:rPr>
        <w:t xml:space="preserve"> However, this is expected given that RESORCE targeted a study population with advanced HCC. In the HCC patients (RESORCE), m</w:t>
      </w:r>
      <w:r w:rsidR="00462820">
        <w:rPr>
          <w:lang w:eastAsia="ja-JP"/>
        </w:rPr>
        <w:t>ost of these increases were of G</w:t>
      </w:r>
      <w:r w:rsidRPr="00BA24C8">
        <w:rPr>
          <w:lang w:eastAsia="ja-JP"/>
        </w:rPr>
        <w:t xml:space="preserve">rade 1 or 2 </w:t>
      </w:r>
      <w:proofErr w:type="gramStart"/>
      <w:r w:rsidRPr="00BA24C8">
        <w:rPr>
          <w:lang w:eastAsia="ja-JP"/>
        </w:rPr>
        <w:t>severity</w:t>
      </w:r>
      <w:proofErr w:type="gramEnd"/>
      <w:r w:rsidRPr="00BA24C8">
        <w:rPr>
          <w:lang w:eastAsia="ja-JP"/>
        </w:rPr>
        <w:t>. There were no</w:t>
      </w:r>
      <w:r w:rsidR="007C579E">
        <w:rPr>
          <w:lang w:eastAsia="ja-JP"/>
        </w:rPr>
        <w:t xml:space="preserve"> Grade 5</w:t>
      </w:r>
      <w:r w:rsidRPr="00BA24C8">
        <w:rPr>
          <w:lang w:eastAsia="ja-JP"/>
        </w:rPr>
        <w:t xml:space="preserve"> abnormalities in liver function test. Incidence of worst</w:t>
      </w:r>
      <w:r w:rsidR="007C579E">
        <w:rPr>
          <w:lang w:eastAsia="ja-JP"/>
        </w:rPr>
        <w:t xml:space="preserve"> Grade 3 </w:t>
      </w:r>
      <w:r w:rsidRPr="00BA24C8">
        <w:rPr>
          <w:lang w:eastAsia="ja-JP"/>
        </w:rPr>
        <w:t xml:space="preserve">AST increased was higher in the </w:t>
      </w:r>
      <w:r w:rsidR="00462820">
        <w:rPr>
          <w:lang w:eastAsia="ja-JP"/>
        </w:rPr>
        <w:t>regorafenib treated</w:t>
      </w:r>
      <w:r w:rsidRPr="00BA24C8">
        <w:rPr>
          <w:lang w:eastAsia="ja-JP"/>
        </w:rPr>
        <w:t xml:space="preserve"> HCC patients in RESORCE compared to those in Pool 3 (16.2%</w:t>
      </w:r>
      <w:r w:rsidR="00EB28B3">
        <w:rPr>
          <w:lang w:eastAsia="ja-JP"/>
        </w:rPr>
        <w:t xml:space="preserve"> versus </w:t>
      </w:r>
      <w:r w:rsidRPr="00BA24C8">
        <w:rPr>
          <w:lang w:eastAsia="ja-JP"/>
        </w:rPr>
        <w:t>9.2%), but was found to be comparable with the placebo group in RESORCE (16.2%</w:t>
      </w:r>
      <w:r w:rsidR="00EB28B3">
        <w:rPr>
          <w:lang w:eastAsia="ja-JP"/>
        </w:rPr>
        <w:t xml:space="preserve"> versus </w:t>
      </w:r>
      <w:r w:rsidRPr="00BA24C8">
        <w:rPr>
          <w:lang w:eastAsia="ja-JP"/>
        </w:rPr>
        <w:t xml:space="preserve">17.3%) </w:t>
      </w:r>
      <w:proofErr w:type="gramStart"/>
      <w:r w:rsidRPr="00BA24C8">
        <w:rPr>
          <w:lang w:eastAsia="ja-JP"/>
        </w:rPr>
        <w:t>(</w:t>
      </w:r>
      <w:r w:rsidR="00462820">
        <w:rPr>
          <w:lang w:eastAsia="ja-JP"/>
        </w:rPr>
        <w:t>Table</w:t>
      </w:r>
      <w:r w:rsidR="004151AE">
        <w:rPr>
          <w:lang w:eastAsia="ja-JP"/>
        </w:rPr>
        <w:t>s</w:t>
      </w:r>
      <w:r w:rsidR="00462820">
        <w:rPr>
          <w:lang w:eastAsia="ja-JP"/>
        </w:rPr>
        <w:t xml:space="preserve"> 9 and 10</w:t>
      </w:r>
      <w:r w:rsidRPr="00BA24C8">
        <w:rPr>
          <w:lang w:eastAsia="ja-JP"/>
        </w:rPr>
        <w:t>).</w:t>
      </w:r>
      <w:proofErr w:type="gramEnd"/>
      <w:r w:rsidRPr="00BA24C8">
        <w:rPr>
          <w:lang w:eastAsia="ja-JP"/>
        </w:rPr>
        <w:t xml:space="preserve"> Incidence of worst</w:t>
      </w:r>
      <w:r w:rsidR="007C579E">
        <w:rPr>
          <w:lang w:eastAsia="ja-JP"/>
        </w:rPr>
        <w:t xml:space="preserve"> Grade 3 </w:t>
      </w:r>
      <w:r w:rsidRPr="00BA24C8">
        <w:rPr>
          <w:lang w:eastAsia="ja-JP"/>
        </w:rPr>
        <w:t xml:space="preserve">bilirubin increased was also higher in the </w:t>
      </w:r>
      <w:r w:rsidR="00462820">
        <w:rPr>
          <w:lang w:eastAsia="ja-JP"/>
        </w:rPr>
        <w:t>regorafenib treated</w:t>
      </w:r>
      <w:r w:rsidRPr="00BA24C8">
        <w:rPr>
          <w:lang w:eastAsia="ja-JP"/>
        </w:rPr>
        <w:t xml:space="preserve"> HCC patients in RESORCE compared to those in Pool 3 (12.9%</w:t>
      </w:r>
      <w:r w:rsidR="00EB28B3">
        <w:rPr>
          <w:lang w:eastAsia="ja-JP"/>
        </w:rPr>
        <w:t xml:space="preserve"> versus </w:t>
      </w:r>
      <w:r w:rsidRPr="00BA24C8">
        <w:rPr>
          <w:lang w:eastAsia="ja-JP"/>
        </w:rPr>
        <w:t>9.5%), but was comparable with the placebo group in RESORCE (12.9%</w:t>
      </w:r>
      <w:r w:rsidR="00EB28B3">
        <w:rPr>
          <w:lang w:eastAsia="ja-JP"/>
        </w:rPr>
        <w:t xml:space="preserve"> versus </w:t>
      </w:r>
      <w:r w:rsidRPr="00BA24C8">
        <w:rPr>
          <w:lang w:eastAsia="ja-JP"/>
        </w:rPr>
        <w:t>11.0%). Incidence of worst</w:t>
      </w:r>
      <w:r w:rsidR="007C579E">
        <w:rPr>
          <w:lang w:eastAsia="ja-JP"/>
        </w:rPr>
        <w:t xml:space="preserve"> Grade 3 </w:t>
      </w:r>
      <w:r w:rsidRPr="00BA24C8">
        <w:rPr>
          <w:lang w:eastAsia="ja-JP"/>
        </w:rPr>
        <w:t>ALT increased was comparable between the regorafenib</w:t>
      </w:r>
      <w:r w:rsidR="00462820">
        <w:rPr>
          <w:lang w:eastAsia="ja-JP"/>
        </w:rPr>
        <w:t xml:space="preserve"> </w:t>
      </w:r>
      <w:r w:rsidRPr="00BA24C8">
        <w:rPr>
          <w:lang w:eastAsia="ja-JP"/>
        </w:rPr>
        <w:t>treated HCC patients in RESORCE and those in Pool 3 (5.7%</w:t>
      </w:r>
      <w:r w:rsidR="00EB28B3">
        <w:rPr>
          <w:lang w:eastAsia="ja-JP"/>
        </w:rPr>
        <w:t xml:space="preserve"> versus </w:t>
      </w:r>
      <w:r w:rsidRPr="00BA24C8">
        <w:rPr>
          <w:lang w:eastAsia="ja-JP"/>
        </w:rPr>
        <w:t>5.5%), and also comparable with the placebo group in RESORCE (5.7%</w:t>
      </w:r>
      <w:r w:rsidR="00EB28B3">
        <w:rPr>
          <w:lang w:eastAsia="ja-JP"/>
        </w:rPr>
        <w:t xml:space="preserve"> versus </w:t>
      </w:r>
      <w:r w:rsidRPr="00BA24C8">
        <w:rPr>
          <w:lang w:eastAsia="ja-JP"/>
        </w:rPr>
        <w:t>4.7%). Incidences of worst</w:t>
      </w:r>
      <w:r w:rsidR="007C579E">
        <w:rPr>
          <w:lang w:eastAsia="ja-JP"/>
        </w:rPr>
        <w:t xml:space="preserve"> Grade 4</w:t>
      </w:r>
      <w:r w:rsidRPr="00BA24C8">
        <w:rPr>
          <w:lang w:eastAsia="ja-JP"/>
        </w:rPr>
        <w:t xml:space="preserve"> AST increased, ALT increased and bilirubin increased in the </w:t>
      </w:r>
      <w:r w:rsidR="00462820">
        <w:rPr>
          <w:lang w:eastAsia="ja-JP"/>
        </w:rPr>
        <w:t>regorafenib treated</w:t>
      </w:r>
      <w:r w:rsidRPr="00BA24C8">
        <w:rPr>
          <w:lang w:eastAsia="ja-JP"/>
        </w:rPr>
        <w:t xml:space="preserve"> HCC patients in RESORCE were low (1.6%, 0.5% and 3.0%, respectively;</w:t>
      </w:r>
      <w:r w:rsidR="00EB28B3">
        <w:rPr>
          <w:lang w:eastAsia="ja-JP"/>
        </w:rPr>
        <w:t xml:space="preserve"> versus </w:t>
      </w:r>
      <w:r w:rsidRPr="00BA24C8">
        <w:rPr>
          <w:lang w:eastAsia="ja-JP"/>
        </w:rPr>
        <w:t>2.6%, 0% and 4.7%, respectively, in the placebo group).</w:t>
      </w:r>
    </w:p>
    <w:p w:rsidR="00620379" w:rsidRPr="00BA24C8" w:rsidRDefault="00462820" w:rsidP="00620379">
      <w:pPr>
        <w:rPr>
          <w:lang w:eastAsia="ja-JP"/>
        </w:rPr>
      </w:pPr>
      <w:r>
        <w:rPr>
          <w:lang w:eastAsia="ja-JP"/>
        </w:rPr>
        <w:lastRenderedPageBreak/>
        <w:t>T</w:t>
      </w:r>
      <w:r w:rsidR="00620379" w:rsidRPr="00BA24C8">
        <w:rPr>
          <w:lang w:eastAsia="ja-JP"/>
        </w:rPr>
        <w:t xml:space="preserve">he pivotal study (RESORCE) submitted to support the use of regorafenib in HCC is based exclusively on patients who had previously been treated with sorafenib. However, the proposed indication is for the </w:t>
      </w:r>
      <w:r w:rsidR="00864644">
        <w:rPr>
          <w:lang w:eastAsia="ja-JP"/>
        </w:rPr>
        <w:t>‘</w:t>
      </w:r>
      <w:r w:rsidR="00620379" w:rsidRPr="00462820">
        <w:rPr>
          <w:i/>
          <w:lang w:eastAsia="ja-JP"/>
        </w:rPr>
        <w:t>treatment of patients with HCC who have been previously treated with one systemic therapy</w:t>
      </w:r>
      <w:r w:rsidR="00864644">
        <w:rPr>
          <w:lang w:eastAsia="ja-JP"/>
        </w:rPr>
        <w:t>’</w:t>
      </w:r>
      <w:r w:rsidR="00620379" w:rsidRPr="00BA24C8">
        <w:rPr>
          <w:lang w:eastAsia="ja-JP"/>
        </w:rPr>
        <w:t xml:space="preserve"> and therefore does not restrict the </w:t>
      </w:r>
      <w:r w:rsidR="00387426">
        <w:rPr>
          <w:lang w:eastAsia="ja-JP"/>
        </w:rPr>
        <w:t>first line</w:t>
      </w:r>
      <w:r w:rsidR="00620379" w:rsidRPr="00BA24C8">
        <w:rPr>
          <w:lang w:eastAsia="ja-JP"/>
        </w:rPr>
        <w:t xml:space="preserve"> systemic treatment to sorafenib. The sponsor has submitted justification for this broader indication, which is mainly based on considerations of the anticipated impact of potential alternative </w:t>
      </w:r>
      <w:r w:rsidR="00387426">
        <w:rPr>
          <w:lang w:eastAsia="ja-JP"/>
        </w:rPr>
        <w:t>first line</w:t>
      </w:r>
      <w:r w:rsidR="00620379" w:rsidRPr="00BA24C8">
        <w:rPr>
          <w:lang w:eastAsia="ja-JP"/>
        </w:rPr>
        <w:t xml:space="preserve"> treatments on the efficacy and safety of </w:t>
      </w:r>
      <w:r w:rsidR="00864644">
        <w:rPr>
          <w:lang w:eastAsia="ja-JP"/>
        </w:rPr>
        <w:t>second line</w:t>
      </w:r>
      <w:r w:rsidR="00620379" w:rsidRPr="00BA24C8">
        <w:rPr>
          <w:lang w:eastAsia="ja-JP"/>
        </w:rPr>
        <w:t xml:space="preserve"> regorafenib. The parts relevant to efficacy have been discussed </w:t>
      </w:r>
      <w:r>
        <w:rPr>
          <w:lang w:eastAsia="ja-JP"/>
        </w:rPr>
        <w:t xml:space="preserve">above </w:t>
      </w:r>
      <w:r w:rsidR="00620379" w:rsidRPr="00BA24C8">
        <w:rPr>
          <w:lang w:eastAsia="ja-JP"/>
        </w:rPr>
        <w:t>and those pertaining to safety will be discussed here.</w:t>
      </w:r>
    </w:p>
    <w:p w:rsidR="00620379" w:rsidRPr="00BA24C8" w:rsidRDefault="00620379" w:rsidP="00620379">
      <w:pPr>
        <w:rPr>
          <w:lang w:eastAsia="ja-JP"/>
        </w:rPr>
      </w:pPr>
      <w:r w:rsidRPr="00BA24C8">
        <w:rPr>
          <w:lang w:eastAsia="ja-JP"/>
        </w:rPr>
        <w:t xml:space="preserve">Based on currently ongoing </w:t>
      </w:r>
      <w:r w:rsidR="00126F1A">
        <w:rPr>
          <w:lang w:eastAsia="ja-JP"/>
        </w:rPr>
        <w:t>Phase III</w:t>
      </w:r>
      <w:r w:rsidRPr="00BA24C8">
        <w:rPr>
          <w:lang w:eastAsia="ja-JP"/>
        </w:rPr>
        <w:t xml:space="preserve"> trials on pharmacological </w:t>
      </w:r>
      <w:r w:rsidR="00387426">
        <w:rPr>
          <w:lang w:eastAsia="ja-JP"/>
        </w:rPr>
        <w:t>first line</w:t>
      </w:r>
      <w:r w:rsidRPr="00BA24C8">
        <w:rPr>
          <w:lang w:eastAsia="ja-JP"/>
        </w:rPr>
        <w:t xml:space="preserve"> treatment of HCC, the sponsor considered two potential candidates which might become additional treatment options in the </w:t>
      </w:r>
      <w:r w:rsidR="00387426">
        <w:rPr>
          <w:lang w:eastAsia="ja-JP"/>
        </w:rPr>
        <w:t>first line</w:t>
      </w:r>
      <w:r w:rsidRPr="00BA24C8">
        <w:rPr>
          <w:lang w:eastAsia="ja-JP"/>
        </w:rPr>
        <w:t xml:space="preserve"> setting for unresectable HCC within the next years: lenvatinib (a </w:t>
      </w:r>
      <w:r w:rsidR="005555C9">
        <w:rPr>
          <w:lang w:eastAsia="ja-JP"/>
        </w:rPr>
        <w:t>multi-kinase</w:t>
      </w:r>
      <w:r w:rsidRPr="00BA24C8">
        <w:rPr>
          <w:lang w:eastAsia="ja-JP"/>
        </w:rPr>
        <w:t xml:space="preserve"> inhibitor [MKI]) and nivolumab (a PD-1 inhibitor [belonging to the class of immune checkpoint inhibitors]). Looking at the anticipated impact on regorafenib’s safety of the use of prior </w:t>
      </w:r>
      <w:r w:rsidR="00387426">
        <w:rPr>
          <w:lang w:eastAsia="ja-JP"/>
        </w:rPr>
        <w:t>first line</w:t>
      </w:r>
      <w:r w:rsidRPr="00BA24C8">
        <w:rPr>
          <w:lang w:eastAsia="ja-JP"/>
        </w:rPr>
        <w:t xml:space="preserve"> treatment with lenvatinib, the sponsor noted that as a MKI, the mode of action of lenvatinib is overall in line with that of sorafenib mode of action and that there are no current scientific data to indicate that the prior use of a MKI will significantly impact safety profile of subsequently applied MKI. In addition, taking into account that </w:t>
      </w:r>
      <w:r w:rsidR="00864644">
        <w:rPr>
          <w:lang w:eastAsia="ja-JP"/>
        </w:rPr>
        <w:t>second line</w:t>
      </w:r>
      <w:r w:rsidRPr="00BA24C8">
        <w:rPr>
          <w:lang w:eastAsia="ja-JP"/>
        </w:rPr>
        <w:t xml:space="preserve"> therapy in unresectable HCC will be started within a few weeks after discontinuation of prior </w:t>
      </w:r>
      <w:r w:rsidR="00387426">
        <w:rPr>
          <w:lang w:eastAsia="ja-JP"/>
        </w:rPr>
        <w:t>first line</w:t>
      </w:r>
      <w:r w:rsidRPr="00BA24C8">
        <w:rPr>
          <w:lang w:eastAsia="ja-JP"/>
        </w:rPr>
        <w:t xml:space="preserve"> therapy, it is unlikely that a significant amount of lenvatinib (mean terminal exponential half-life: approximately 28 hours ) will be still traceable at the onset of regorafenib treatment. Therefore, the risk of any potential additive effect concerning regorafenib</w:t>
      </w:r>
      <w:r w:rsidR="00462820">
        <w:rPr>
          <w:lang w:eastAsia="ja-JP"/>
        </w:rPr>
        <w:t xml:space="preserve"> </w:t>
      </w:r>
      <w:r w:rsidRPr="00BA24C8">
        <w:rPr>
          <w:lang w:eastAsia="ja-JP"/>
        </w:rPr>
        <w:t>induced toxicities is anticipated to be low. The sponsor noted that there are overlapping side effect profiles between the lenvatinib and regorafenib</w:t>
      </w:r>
      <w:r w:rsidRPr="00BA24C8">
        <w:rPr>
          <w:rStyle w:val="FootnoteReference"/>
          <w:lang w:eastAsia="ja-JP"/>
        </w:rPr>
        <w:footnoteReference w:id="15"/>
      </w:r>
      <w:r w:rsidRPr="00BA24C8">
        <w:rPr>
          <w:lang w:eastAsia="ja-JP"/>
        </w:rPr>
        <w:t>, but that the most common toxicities associated with lenvatinib usually occur early during the course of treatment. Therefore, overlapping toxicities with potential subsequent treatment with regorafenib seem rather unlikely. The sponsor also cited that in GIST regorafenib has been proven and established as an efficacious and safe standard treatment option following prior treatment with kinase inhibitors imatinib and sunitinib.</w:t>
      </w:r>
    </w:p>
    <w:p w:rsidR="00620379" w:rsidRPr="00BA24C8" w:rsidRDefault="00620379" w:rsidP="00620379">
      <w:pPr>
        <w:rPr>
          <w:lang w:eastAsia="ja-JP"/>
        </w:rPr>
      </w:pPr>
      <w:r w:rsidRPr="00BA24C8">
        <w:rPr>
          <w:lang w:eastAsia="ja-JP"/>
        </w:rPr>
        <w:t xml:space="preserve">With regards to the anticipated impact on regorafenib’s efficacy of the use of prior </w:t>
      </w:r>
      <w:r w:rsidR="00387426">
        <w:rPr>
          <w:lang w:eastAsia="ja-JP"/>
        </w:rPr>
        <w:t>first line</w:t>
      </w:r>
      <w:r w:rsidRPr="00BA24C8">
        <w:rPr>
          <w:lang w:eastAsia="ja-JP"/>
        </w:rPr>
        <w:t xml:space="preserve"> treatment with nivolumab, the sponsor acknowledged that immune-related adverse reactions reported for nivolumab (pneumonitis, colitis, hepatitis, nephritis, endocrinopathies [</w:t>
      </w:r>
      <w:r w:rsidR="00462820">
        <w:rPr>
          <w:lang w:eastAsia="ja-JP"/>
        </w:rPr>
        <w:t>that is,</w:t>
      </w:r>
      <w:r w:rsidRPr="00BA24C8">
        <w:rPr>
          <w:lang w:eastAsia="ja-JP"/>
        </w:rPr>
        <w:t xml:space="preserve"> hypothyroidism] and rash) might also occur months after discontinuation of nivolumab, and hence there is a potential risk of overlapping toxicities with </w:t>
      </w:r>
      <w:r w:rsidR="00864644">
        <w:rPr>
          <w:lang w:eastAsia="ja-JP"/>
        </w:rPr>
        <w:t>second line</w:t>
      </w:r>
      <w:r w:rsidRPr="00BA24C8">
        <w:rPr>
          <w:lang w:eastAsia="ja-JP"/>
        </w:rPr>
        <w:t xml:space="preserve"> regorafenib. However, the sponsor cited current published data indicating that there is no significant influence of prior PD-1 inhibitor treatment on the toxicity profile of subsequently applied kinase inhibitors. In addition, timely detection of such potential immune-related events is supported by the monitoring recommendations (including frequent liver function tests and recurrent thyroid function tests) already outlined in the current regorafenib label.</w:t>
      </w:r>
    </w:p>
    <w:p w:rsidR="00605AD4" w:rsidRPr="00605AD4" w:rsidRDefault="00620379" w:rsidP="00620379">
      <w:r w:rsidRPr="00BA24C8">
        <w:rPr>
          <w:lang w:eastAsia="ja-JP"/>
        </w:rPr>
        <w:t xml:space="preserve">Overall, the justification for the proposed indication text of not restricting the </w:t>
      </w:r>
      <w:r w:rsidR="00387426">
        <w:rPr>
          <w:lang w:eastAsia="ja-JP"/>
        </w:rPr>
        <w:t>first line</w:t>
      </w:r>
      <w:r w:rsidRPr="00BA24C8">
        <w:rPr>
          <w:lang w:eastAsia="ja-JP"/>
        </w:rPr>
        <w:t xml:space="preserve"> systemic treatment to sorafenib is reasonable, with regards to the anticipated impact of potential alternative </w:t>
      </w:r>
      <w:r w:rsidR="00387426">
        <w:rPr>
          <w:lang w:eastAsia="ja-JP"/>
        </w:rPr>
        <w:t>first line</w:t>
      </w:r>
      <w:r w:rsidRPr="00BA24C8">
        <w:rPr>
          <w:lang w:eastAsia="ja-JP"/>
        </w:rPr>
        <w:t xml:space="preserve"> treatments on the safety of </w:t>
      </w:r>
      <w:r w:rsidR="00864644">
        <w:rPr>
          <w:lang w:eastAsia="ja-JP"/>
        </w:rPr>
        <w:t>second line</w:t>
      </w:r>
      <w:r w:rsidRPr="00BA24C8">
        <w:rPr>
          <w:lang w:eastAsia="ja-JP"/>
        </w:rPr>
        <w:t xml:space="preserve"> regorafenib. It is noted that although lenvatinib and nivolumab are current contenders to replace sorafenib as </w:t>
      </w:r>
      <w:r w:rsidR="00387426">
        <w:rPr>
          <w:lang w:eastAsia="ja-JP"/>
        </w:rPr>
        <w:t>first line</w:t>
      </w:r>
      <w:r w:rsidRPr="00BA24C8">
        <w:rPr>
          <w:lang w:eastAsia="ja-JP"/>
        </w:rPr>
        <w:t xml:space="preserve"> treatment in advanced HCC, the broader</w:t>
      </w:r>
      <w:r w:rsidR="00256077">
        <w:rPr>
          <w:lang w:eastAsia="ja-JP"/>
        </w:rPr>
        <w:t xml:space="preserve"> </w:t>
      </w:r>
      <w:r w:rsidRPr="00BA24C8">
        <w:rPr>
          <w:lang w:eastAsia="ja-JP"/>
        </w:rPr>
        <w:t xml:space="preserve">based indication text will not preclude the use of regorafenib after </w:t>
      </w:r>
      <w:r w:rsidR="00387426">
        <w:rPr>
          <w:lang w:eastAsia="ja-JP"/>
        </w:rPr>
        <w:t>first line</w:t>
      </w:r>
      <w:r w:rsidRPr="00BA24C8">
        <w:rPr>
          <w:lang w:eastAsia="ja-JP"/>
        </w:rPr>
        <w:t xml:space="preserve"> treatment with agents other than lenvatinib or nivolumab, should these other agents be developed in the future as </w:t>
      </w:r>
      <w:r w:rsidR="00387426">
        <w:rPr>
          <w:lang w:eastAsia="ja-JP"/>
        </w:rPr>
        <w:t>first line</w:t>
      </w:r>
      <w:r w:rsidRPr="00BA24C8">
        <w:rPr>
          <w:lang w:eastAsia="ja-JP"/>
        </w:rPr>
        <w:t xml:space="preserve"> treatment for advanced HCC. These other agents could have different safety profiles as well as drug half-lives, and therefore the safety reasoning for lenvatinib and nivolumab could not be </w:t>
      </w:r>
      <w:r w:rsidRPr="00BA24C8">
        <w:rPr>
          <w:lang w:eastAsia="ja-JP"/>
        </w:rPr>
        <w:lastRenderedPageBreak/>
        <w:t xml:space="preserve">entirely applied to all </w:t>
      </w:r>
      <w:r w:rsidR="00387426">
        <w:rPr>
          <w:lang w:eastAsia="ja-JP"/>
        </w:rPr>
        <w:t>first line</w:t>
      </w:r>
      <w:r w:rsidRPr="00BA24C8">
        <w:rPr>
          <w:lang w:eastAsia="ja-JP"/>
        </w:rPr>
        <w:t xml:space="preserve"> systemic therapy. However, taking into consideration the unmet medical need for a </w:t>
      </w:r>
      <w:r w:rsidR="00864644">
        <w:rPr>
          <w:lang w:eastAsia="ja-JP"/>
        </w:rPr>
        <w:t>second line</w:t>
      </w:r>
      <w:r w:rsidRPr="00BA24C8">
        <w:rPr>
          <w:lang w:eastAsia="ja-JP"/>
        </w:rPr>
        <w:t xml:space="preserve"> treatment in advanced HCC (there being no other current pharmacological option for </w:t>
      </w:r>
      <w:r w:rsidR="00864644">
        <w:rPr>
          <w:lang w:eastAsia="ja-JP"/>
        </w:rPr>
        <w:t>second line</w:t>
      </w:r>
      <w:r w:rsidRPr="00BA24C8">
        <w:rPr>
          <w:lang w:eastAsia="ja-JP"/>
        </w:rPr>
        <w:t xml:space="preserve"> treatment), and the potential cost to patients of delays in treatment while awaiting clinical trials to establish safety of regorafenib with each new </w:t>
      </w:r>
      <w:r w:rsidR="00387426">
        <w:rPr>
          <w:lang w:eastAsia="ja-JP"/>
        </w:rPr>
        <w:t>first line</w:t>
      </w:r>
      <w:r w:rsidRPr="00BA24C8">
        <w:rPr>
          <w:lang w:eastAsia="ja-JP"/>
        </w:rPr>
        <w:t xml:space="preserve"> treatment developed, the broader</w:t>
      </w:r>
      <w:r w:rsidR="00256077">
        <w:rPr>
          <w:lang w:eastAsia="ja-JP"/>
        </w:rPr>
        <w:t xml:space="preserve"> </w:t>
      </w:r>
      <w:r w:rsidRPr="00BA24C8">
        <w:rPr>
          <w:lang w:eastAsia="ja-JP"/>
        </w:rPr>
        <w:t xml:space="preserve">based indication text is considered acceptable. In addition, it is anticipated that drug half-live and safety profile of any new </w:t>
      </w:r>
      <w:r w:rsidR="00387426">
        <w:rPr>
          <w:lang w:eastAsia="ja-JP"/>
        </w:rPr>
        <w:t>first line</w:t>
      </w:r>
      <w:r w:rsidRPr="00BA24C8">
        <w:rPr>
          <w:lang w:eastAsia="ja-JP"/>
        </w:rPr>
        <w:t xml:space="preserve"> treatment developed will be available in their respective product label, and potential safety issues could be mitigated by the treating physician’s careful assessment of the individual characteristics of the prior </w:t>
      </w:r>
      <w:r w:rsidR="00387426">
        <w:rPr>
          <w:lang w:eastAsia="ja-JP"/>
        </w:rPr>
        <w:t>first line</w:t>
      </w:r>
      <w:r w:rsidRPr="00BA24C8">
        <w:rPr>
          <w:lang w:eastAsia="ja-JP"/>
        </w:rPr>
        <w:t xml:space="preserve"> treatment and appropriate monitoring of safety signals. Ongoing pharmacovigilance activities could also monitor for new safety signals.</w:t>
      </w:r>
    </w:p>
    <w:p w:rsidR="00605AD4" w:rsidRPr="00605AD4" w:rsidRDefault="00605AD4" w:rsidP="00605AD4">
      <w:pPr>
        <w:pStyle w:val="Heading3"/>
        <w:rPr>
          <w:rFonts w:eastAsia="Cambria"/>
        </w:rPr>
      </w:pPr>
      <w:bookmarkStart w:id="190" w:name="_Toc12263464"/>
      <w:r w:rsidRPr="00605AD4">
        <w:rPr>
          <w:rFonts w:eastAsia="Cambria"/>
        </w:rPr>
        <w:t xml:space="preserve">First </w:t>
      </w:r>
      <w:r w:rsidR="00B12A57" w:rsidRPr="00605AD4">
        <w:rPr>
          <w:rFonts w:eastAsia="Cambria"/>
        </w:rPr>
        <w:t>round benefit-risk assessment</w:t>
      </w:r>
      <w:bookmarkEnd w:id="190"/>
    </w:p>
    <w:p w:rsidR="00605AD4" w:rsidRDefault="00605AD4" w:rsidP="00605AD4">
      <w:pPr>
        <w:pStyle w:val="Heading4"/>
      </w:pPr>
      <w:r w:rsidRPr="00605AD4">
        <w:t>First round assessment of benefits</w:t>
      </w:r>
    </w:p>
    <w:p w:rsidR="00256077" w:rsidRPr="00256077" w:rsidRDefault="00256077" w:rsidP="00256077">
      <w:r>
        <w:t>The first round benefit assessment is given in Table 17 below.</w:t>
      </w:r>
    </w:p>
    <w:p w:rsidR="00620379" w:rsidRPr="00C73765" w:rsidRDefault="00F17CA0" w:rsidP="00F17CA0">
      <w:pPr>
        <w:pStyle w:val="TableTitle"/>
        <w:numPr>
          <w:ilvl w:val="0"/>
          <w:numId w:val="0"/>
        </w:numPr>
      </w:pPr>
      <w:bookmarkStart w:id="191" w:name="_Toc236802592"/>
      <w:bookmarkStart w:id="192" w:name="_Toc241374331"/>
      <w:bookmarkStart w:id="193" w:name="_Ref272160836"/>
      <w:bookmarkStart w:id="194" w:name="_Toc272414693"/>
      <w:bookmarkStart w:id="195" w:name="_Toc290888557"/>
      <w:bookmarkStart w:id="196" w:name="_Toc416353772"/>
      <w:bookmarkStart w:id="197" w:name="_Toc421005314"/>
      <w:bookmarkStart w:id="198" w:name="_Toc432079185"/>
      <w:bookmarkStart w:id="199" w:name="_Toc432080758"/>
      <w:bookmarkStart w:id="200" w:name="_Toc488837844"/>
      <w:r>
        <w:t xml:space="preserve">Table 17: </w:t>
      </w:r>
      <w:r w:rsidR="00620379" w:rsidRPr="00C73765">
        <w:t>First round assessment of benefits</w:t>
      </w:r>
      <w:bookmarkEnd w:id="191"/>
      <w:bookmarkEnd w:id="192"/>
      <w:bookmarkEnd w:id="193"/>
      <w:bookmarkEnd w:id="194"/>
      <w:bookmarkEnd w:id="195"/>
      <w:bookmarkEnd w:id="196"/>
      <w:bookmarkEnd w:id="197"/>
      <w:bookmarkEnd w:id="198"/>
      <w:bookmarkEnd w:id="199"/>
      <w:bookmarkEnd w:id="200"/>
    </w:p>
    <w:tbl>
      <w:tblPr>
        <w:tblStyle w:val="TableGrid"/>
        <w:tblW w:w="0" w:type="auto"/>
        <w:tblInd w:w="108" w:type="dxa"/>
        <w:tblLook w:val="04A0" w:firstRow="1" w:lastRow="0" w:firstColumn="1" w:lastColumn="0" w:noHBand="0" w:noVBand="1"/>
      </w:tblPr>
      <w:tblGrid>
        <w:gridCol w:w="4422"/>
        <w:gridCol w:w="4190"/>
      </w:tblGrid>
      <w:tr w:rsidR="00256077" w:rsidRPr="00256077" w:rsidTr="00256077">
        <w:trPr>
          <w:cantSplit/>
          <w:tblHeader/>
        </w:trPr>
        <w:tc>
          <w:tcPr>
            <w:tcW w:w="8789" w:type="dxa"/>
            <w:gridSpan w:val="2"/>
            <w:shd w:val="clear" w:color="auto" w:fill="006DA7" w:themeFill="accent3"/>
          </w:tcPr>
          <w:p w:rsidR="00620379" w:rsidRPr="00256077" w:rsidRDefault="00620379" w:rsidP="00256077">
            <w:pPr>
              <w:rPr>
                <w:b/>
                <w:color w:val="FFFFFF" w:themeColor="background1"/>
                <w:sz w:val="20"/>
                <w:szCs w:val="20"/>
              </w:rPr>
            </w:pPr>
            <w:r w:rsidRPr="00256077">
              <w:rPr>
                <w:b/>
                <w:color w:val="FFFFFF" w:themeColor="background1"/>
                <w:sz w:val="20"/>
                <w:szCs w:val="20"/>
              </w:rPr>
              <w:t>Indication</w:t>
            </w:r>
          </w:p>
        </w:tc>
      </w:tr>
      <w:tr w:rsidR="00256077" w:rsidRPr="00256077" w:rsidTr="00256077">
        <w:trPr>
          <w:cantSplit/>
          <w:tblHeader/>
        </w:trPr>
        <w:tc>
          <w:tcPr>
            <w:tcW w:w="4511" w:type="dxa"/>
            <w:shd w:val="clear" w:color="auto" w:fill="00517D" w:themeFill="accent3" w:themeFillShade="BF"/>
          </w:tcPr>
          <w:p w:rsidR="00620379" w:rsidRPr="00256077" w:rsidRDefault="00620379" w:rsidP="00256077">
            <w:pPr>
              <w:rPr>
                <w:b/>
                <w:sz w:val="20"/>
                <w:szCs w:val="20"/>
              </w:rPr>
            </w:pPr>
            <w:r w:rsidRPr="00256077">
              <w:rPr>
                <w:b/>
                <w:color w:val="FFFFFF" w:themeColor="background1"/>
                <w:sz w:val="20"/>
                <w:szCs w:val="20"/>
              </w:rPr>
              <w:t>Benefits</w:t>
            </w:r>
          </w:p>
        </w:tc>
        <w:tc>
          <w:tcPr>
            <w:tcW w:w="4278" w:type="dxa"/>
            <w:shd w:val="clear" w:color="auto" w:fill="00517D" w:themeFill="accent3" w:themeFillShade="BF"/>
          </w:tcPr>
          <w:p w:rsidR="00620379" w:rsidRPr="00256077" w:rsidRDefault="00620379" w:rsidP="00256077">
            <w:pPr>
              <w:rPr>
                <w:b/>
                <w:color w:val="FFFFFF" w:themeColor="background1"/>
                <w:sz w:val="20"/>
                <w:szCs w:val="20"/>
              </w:rPr>
            </w:pPr>
            <w:r w:rsidRPr="00256077">
              <w:rPr>
                <w:b/>
                <w:color w:val="FFFFFF" w:themeColor="background1"/>
                <w:sz w:val="20"/>
                <w:szCs w:val="20"/>
              </w:rPr>
              <w:t>Strengths and Uncertainties</w:t>
            </w:r>
          </w:p>
        </w:tc>
      </w:tr>
      <w:tr w:rsidR="00620379" w:rsidRPr="00BA24C8" w:rsidTr="001D3B71">
        <w:tc>
          <w:tcPr>
            <w:tcW w:w="4511" w:type="dxa"/>
          </w:tcPr>
          <w:p w:rsidR="00620379" w:rsidRPr="00256077" w:rsidRDefault="00620379" w:rsidP="00256077">
            <w:pPr>
              <w:rPr>
                <w:rFonts w:asciiTheme="minorHAnsi" w:hAnsiTheme="minorHAnsi"/>
                <w:sz w:val="20"/>
                <w:szCs w:val="20"/>
              </w:rPr>
            </w:pPr>
            <w:r w:rsidRPr="00256077">
              <w:rPr>
                <w:rFonts w:asciiTheme="minorHAnsi" w:hAnsiTheme="minorHAnsi"/>
                <w:sz w:val="20"/>
                <w:szCs w:val="20"/>
              </w:rPr>
              <w:t xml:space="preserve">Potential benefit is in the treatment of patients with advanced HCC who had previously failed </w:t>
            </w:r>
            <w:r w:rsidR="00387426" w:rsidRPr="00256077">
              <w:rPr>
                <w:rFonts w:asciiTheme="minorHAnsi" w:hAnsiTheme="minorHAnsi"/>
                <w:sz w:val="20"/>
                <w:szCs w:val="20"/>
              </w:rPr>
              <w:t>first line</w:t>
            </w:r>
            <w:r w:rsidRPr="00256077">
              <w:rPr>
                <w:rFonts w:asciiTheme="minorHAnsi" w:hAnsiTheme="minorHAnsi"/>
                <w:sz w:val="20"/>
                <w:szCs w:val="20"/>
              </w:rPr>
              <w:t xml:space="preserve"> treatment. </w:t>
            </w:r>
            <w:r w:rsidRPr="00256077">
              <w:rPr>
                <w:rFonts w:asciiTheme="minorHAnsi" w:hAnsiTheme="minorHAnsi"/>
                <w:sz w:val="20"/>
                <w:szCs w:val="20"/>
                <w:lang w:eastAsia="ja-JP"/>
              </w:rPr>
              <w:t xml:space="preserve">There are no current </w:t>
            </w:r>
            <w:r w:rsidR="00864644" w:rsidRPr="00256077">
              <w:rPr>
                <w:rFonts w:asciiTheme="minorHAnsi" w:hAnsiTheme="minorHAnsi"/>
                <w:sz w:val="20"/>
                <w:szCs w:val="20"/>
                <w:lang w:eastAsia="ja-JP"/>
              </w:rPr>
              <w:t>second line</w:t>
            </w:r>
            <w:r w:rsidRPr="00256077">
              <w:rPr>
                <w:rFonts w:asciiTheme="minorHAnsi" w:hAnsiTheme="minorHAnsi"/>
                <w:sz w:val="20"/>
                <w:szCs w:val="20"/>
                <w:lang w:eastAsia="ja-JP"/>
              </w:rPr>
              <w:t xml:space="preserve"> pharmacological treatments available for patients with advanced HCC who experience disease progression during </w:t>
            </w:r>
            <w:r w:rsidR="00387426" w:rsidRPr="00256077">
              <w:rPr>
                <w:rFonts w:asciiTheme="minorHAnsi" w:hAnsiTheme="minorHAnsi"/>
                <w:sz w:val="20"/>
                <w:szCs w:val="20"/>
                <w:lang w:eastAsia="ja-JP"/>
              </w:rPr>
              <w:t>first line</w:t>
            </w:r>
            <w:r w:rsidRPr="00256077">
              <w:rPr>
                <w:rFonts w:asciiTheme="minorHAnsi" w:hAnsiTheme="minorHAnsi"/>
                <w:sz w:val="20"/>
                <w:szCs w:val="20"/>
                <w:lang w:eastAsia="ja-JP"/>
              </w:rPr>
              <w:t xml:space="preserve"> treatment, and this therefore represents an unmet medical need.</w:t>
            </w:r>
          </w:p>
        </w:tc>
        <w:tc>
          <w:tcPr>
            <w:tcW w:w="4278" w:type="dxa"/>
          </w:tcPr>
          <w:p w:rsidR="00620379" w:rsidRPr="00256077" w:rsidRDefault="00620379" w:rsidP="00256077">
            <w:pPr>
              <w:rPr>
                <w:sz w:val="20"/>
                <w:szCs w:val="20"/>
                <w:lang w:eastAsia="ja-JP"/>
              </w:rPr>
            </w:pPr>
            <w:r w:rsidRPr="00256077">
              <w:rPr>
                <w:rFonts w:asciiTheme="minorHAnsi" w:hAnsiTheme="minorHAnsi" w:cs="Arial"/>
                <w:sz w:val="20"/>
                <w:szCs w:val="20"/>
              </w:rPr>
              <w:t>Overall, the data submitted by the sponsor for this application is supportive of the use of</w:t>
            </w:r>
            <w:r w:rsidRPr="00256077">
              <w:rPr>
                <w:sz w:val="20"/>
                <w:szCs w:val="20"/>
              </w:rPr>
              <w:t xml:space="preserve"> </w:t>
            </w:r>
            <w:r w:rsidRPr="00256077">
              <w:rPr>
                <w:sz w:val="20"/>
                <w:szCs w:val="20"/>
                <w:lang w:eastAsia="ja-JP"/>
              </w:rPr>
              <w:t xml:space="preserve">regorafenib </w:t>
            </w:r>
            <w:r w:rsidRPr="00256077">
              <w:rPr>
                <w:rFonts w:asciiTheme="minorHAnsi" w:hAnsiTheme="minorHAnsi"/>
                <w:sz w:val="20"/>
                <w:szCs w:val="20"/>
              </w:rPr>
              <w:t xml:space="preserve">in the treatment of patients with advanced HCC who had previously failed </w:t>
            </w:r>
            <w:r w:rsidR="00387426" w:rsidRPr="00256077">
              <w:rPr>
                <w:rFonts w:asciiTheme="minorHAnsi" w:hAnsiTheme="minorHAnsi"/>
                <w:sz w:val="20"/>
                <w:szCs w:val="20"/>
              </w:rPr>
              <w:t>first line</w:t>
            </w:r>
            <w:r w:rsidRPr="00256077">
              <w:rPr>
                <w:rFonts w:asciiTheme="minorHAnsi" w:hAnsiTheme="minorHAnsi"/>
                <w:sz w:val="20"/>
                <w:szCs w:val="20"/>
              </w:rPr>
              <w:t xml:space="preserve"> treatment.</w:t>
            </w:r>
            <w:r w:rsidR="00686D30" w:rsidRPr="00256077">
              <w:rPr>
                <w:sz w:val="20"/>
                <w:szCs w:val="20"/>
                <w:lang w:eastAsia="ja-JP"/>
              </w:rPr>
              <w:t xml:space="preserve"> </w:t>
            </w:r>
            <w:r w:rsidRPr="00256077">
              <w:rPr>
                <w:sz w:val="20"/>
                <w:szCs w:val="20"/>
              </w:rPr>
              <w:t xml:space="preserve">Results from the pivotal </w:t>
            </w:r>
            <w:r w:rsidR="00126F1A" w:rsidRPr="00256077">
              <w:rPr>
                <w:sz w:val="20"/>
                <w:szCs w:val="20"/>
              </w:rPr>
              <w:t>Phase</w:t>
            </w:r>
            <w:r w:rsidR="00F91EA1">
              <w:rPr>
                <w:sz w:val="20"/>
                <w:szCs w:val="20"/>
              </w:rPr>
              <w:t> </w:t>
            </w:r>
            <w:r w:rsidR="00126F1A" w:rsidRPr="00256077">
              <w:rPr>
                <w:sz w:val="20"/>
                <w:szCs w:val="20"/>
              </w:rPr>
              <w:t>III</w:t>
            </w:r>
            <w:r w:rsidRPr="00256077">
              <w:rPr>
                <w:sz w:val="20"/>
                <w:szCs w:val="20"/>
              </w:rPr>
              <w:t xml:space="preserve"> study (RESORCE) showed a consistent benefit of </w:t>
            </w:r>
            <w:r w:rsidRPr="00256077">
              <w:rPr>
                <w:sz w:val="20"/>
                <w:szCs w:val="20"/>
                <w:lang w:eastAsia="ja-JP"/>
              </w:rPr>
              <w:t xml:space="preserve">regorafenib over placebo across the main efficacy endpoints. </w:t>
            </w:r>
            <w:r w:rsidRPr="00256077">
              <w:rPr>
                <w:sz w:val="20"/>
                <w:szCs w:val="20"/>
              </w:rPr>
              <w:t xml:space="preserve">There was a statistically significant reduced risk of death of 37% with </w:t>
            </w:r>
            <w:r w:rsidRPr="00256077">
              <w:rPr>
                <w:sz w:val="20"/>
                <w:szCs w:val="20"/>
                <w:lang w:eastAsia="ja-JP"/>
              </w:rPr>
              <w:t xml:space="preserve">regorafenib compared with placebo. The median </w:t>
            </w:r>
            <w:r w:rsidR="000C6E94">
              <w:rPr>
                <w:sz w:val="20"/>
                <w:szCs w:val="20"/>
                <w:lang w:eastAsia="ja-JP"/>
              </w:rPr>
              <w:t>OS</w:t>
            </w:r>
            <w:r w:rsidRPr="00256077">
              <w:rPr>
                <w:sz w:val="20"/>
                <w:szCs w:val="20"/>
                <w:lang w:eastAsia="ja-JP"/>
              </w:rPr>
              <w:t xml:space="preserve"> time was 10.6 months (95% CI: 9.1, 12.1 months) with regorafenib versus 7.8 months (95% CI: 6.3, 8.8 months) with placebo.</w:t>
            </w:r>
            <w:r w:rsidRPr="00256077">
              <w:rPr>
                <w:sz w:val="20"/>
                <w:szCs w:val="20"/>
              </w:rPr>
              <w:t xml:space="preserve"> There was also a statistically significant reduced risk of </w:t>
            </w:r>
            <w:r w:rsidRPr="00256077">
              <w:rPr>
                <w:sz w:val="20"/>
                <w:szCs w:val="20"/>
                <w:lang w:eastAsia="ja-JP"/>
              </w:rPr>
              <w:t xml:space="preserve">time to disease progression </w:t>
            </w:r>
            <w:r w:rsidRPr="00256077">
              <w:rPr>
                <w:sz w:val="20"/>
                <w:szCs w:val="20"/>
              </w:rPr>
              <w:t xml:space="preserve">of 56% with </w:t>
            </w:r>
            <w:r w:rsidRPr="00256077">
              <w:rPr>
                <w:sz w:val="20"/>
                <w:szCs w:val="20"/>
                <w:lang w:eastAsia="ja-JP"/>
              </w:rPr>
              <w:t xml:space="preserve">regorafenib compared with placebo (median </w:t>
            </w:r>
            <w:r w:rsidR="00407613">
              <w:rPr>
                <w:sz w:val="20"/>
                <w:szCs w:val="20"/>
                <w:lang w:eastAsia="ja-JP"/>
              </w:rPr>
              <w:t>TTP</w:t>
            </w:r>
            <w:r w:rsidRPr="00256077">
              <w:rPr>
                <w:sz w:val="20"/>
                <w:szCs w:val="20"/>
                <w:lang w:eastAsia="ja-JP"/>
              </w:rPr>
              <w:t xml:space="preserve"> was 3.2 months [95% CI: 2.9, 4.2] with regorafenib versus 1.5 months </w:t>
            </w:r>
            <w:r w:rsidR="00F91EA1">
              <w:rPr>
                <w:sz w:val="20"/>
                <w:szCs w:val="20"/>
                <w:lang w:eastAsia="ja-JP"/>
              </w:rPr>
              <w:t>(</w:t>
            </w:r>
            <w:r w:rsidRPr="00256077">
              <w:rPr>
                <w:sz w:val="20"/>
                <w:szCs w:val="20"/>
                <w:lang w:eastAsia="ja-JP"/>
              </w:rPr>
              <w:t>95% CI: 1.4, 1.6</w:t>
            </w:r>
            <w:r w:rsidR="00F91EA1">
              <w:rPr>
                <w:sz w:val="20"/>
                <w:szCs w:val="20"/>
                <w:lang w:eastAsia="ja-JP"/>
              </w:rPr>
              <w:t>)</w:t>
            </w:r>
            <w:r w:rsidRPr="00256077">
              <w:rPr>
                <w:sz w:val="20"/>
                <w:szCs w:val="20"/>
                <w:lang w:eastAsia="ja-JP"/>
              </w:rPr>
              <w:t xml:space="preserve"> with placebo). In terms of radiological tumour responses, 10.6% of patients had complete response or partial response compared with 4.1% with placebo, while 65.2% of patients had complete response, partial response or stable disease compared with 36.1% with placebo.</w:t>
            </w:r>
          </w:p>
          <w:p w:rsidR="00620379" w:rsidRPr="00256077" w:rsidRDefault="00620379" w:rsidP="00256077">
            <w:pPr>
              <w:rPr>
                <w:sz w:val="20"/>
                <w:szCs w:val="20"/>
                <w:lang w:eastAsia="ja-JP"/>
              </w:rPr>
            </w:pPr>
            <w:r w:rsidRPr="00256077">
              <w:rPr>
                <w:rFonts w:asciiTheme="minorHAnsi" w:hAnsiTheme="minorHAnsi"/>
                <w:sz w:val="20"/>
                <w:szCs w:val="20"/>
              </w:rPr>
              <w:t xml:space="preserve">Previous clinical trials showed that in the </w:t>
            </w:r>
            <w:r w:rsidRPr="00256077">
              <w:rPr>
                <w:sz w:val="20"/>
                <w:szCs w:val="20"/>
                <w:lang w:eastAsia="ja-JP"/>
              </w:rPr>
              <w:t xml:space="preserve">placebo-arms, HCC patients with disease progression under sorafenib treatment have a median </w:t>
            </w:r>
            <w:r w:rsidRPr="00256077">
              <w:rPr>
                <w:rFonts w:asciiTheme="minorHAnsi" w:hAnsiTheme="minorHAnsi"/>
                <w:sz w:val="20"/>
                <w:szCs w:val="20"/>
              </w:rPr>
              <w:t xml:space="preserve">survival time </w:t>
            </w:r>
            <w:r w:rsidRPr="00256077">
              <w:rPr>
                <w:sz w:val="20"/>
                <w:szCs w:val="20"/>
                <w:lang w:eastAsia="ja-JP"/>
              </w:rPr>
              <w:t>of about 7</w:t>
            </w:r>
            <w:r w:rsidR="00256077">
              <w:rPr>
                <w:sz w:val="20"/>
                <w:szCs w:val="20"/>
                <w:lang w:eastAsia="ja-JP"/>
              </w:rPr>
              <w:t xml:space="preserve"> to </w:t>
            </w:r>
            <w:r w:rsidRPr="00256077">
              <w:rPr>
                <w:sz w:val="20"/>
                <w:szCs w:val="20"/>
                <w:lang w:eastAsia="ja-JP"/>
              </w:rPr>
              <w:t xml:space="preserve">8 months if left untreated. In the pivotal trial in this submission (RESORCE), the results in the </w:t>
            </w:r>
            <w:r w:rsidRPr="00256077">
              <w:rPr>
                <w:sz w:val="20"/>
                <w:szCs w:val="20"/>
                <w:lang w:eastAsia="ja-JP"/>
              </w:rPr>
              <w:lastRenderedPageBreak/>
              <w:t>placebo group is consistent with these previous findings, showing a median survival time of 7.8 months.</w:t>
            </w:r>
          </w:p>
          <w:p w:rsidR="00620379" w:rsidRPr="00256077" w:rsidRDefault="00620379" w:rsidP="00256077">
            <w:pPr>
              <w:rPr>
                <w:rFonts w:asciiTheme="minorHAnsi" w:hAnsiTheme="minorHAnsi"/>
                <w:sz w:val="20"/>
                <w:szCs w:val="20"/>
              </w:rPr>
            </w:pPr>
            <w:r w:rsidRPr="00256077">
              <w:rPr>
                <w:rFonts w:asciiTheme="minorHAnsi" w:hAnsiTheme="minorHAnsi"/>
                <w:sz w:val="20"/>
                <w:szCs w:val="20"/>
              </w:rPr>
              <w:t xml:space="preserve">The clinical significance of a treatment effect of an increase in </w:t>
            </w:r>
            <w:r w:rsidRPr="00256077">
              <w:rPr>
                <w:sz w:val="20"/>
                <w:szCs w:val="20"/>
                <w:lang w:eastAsia="ja-JP"/>
              </w:rPr>
              <w:t>median survival time from 7.8 months (untreated) to 10.6 months (with regorafenib) is unclear, but given the nature of the disease under treatment (advanced HCC), it is anticipated that this is an issue that is best considered and weighed at the level of an individual patient with his/her treating physician.</w:t>
            </w:r>
          </w:p>
        </w:tc>
      </w:tr>
    </w:tbl>
    <w:p w:rsidR="00605AD4" w:rsidRDefault="00605AD4" w:rsidP="00605AD4">
      <w:pPr>
        <w:pStyle w:val="Heading4"/>
      </w:pPr>
      <w:r w:rsidRPr="00605AD4">
        <w:lastRenderedPageBreak/>
        <w:t>First round assessment of risks</w:t>
      </w:r>
    </w:p>
    <w:p w:rsidR="00620379" w:rsidRPr="00BA24C8" w:rsidRDefault="00620379" w:rsidP="00620379">
      <w:pPr>
        <w:rPr>
          <w:lang w:eastAsia="ja-JP"/>
        </w:rPr>
      </w:pPr>
      <w:r w:rsidRPr="00BA24C8">
        <w:t xml:space="preserve">Overall, safety data submitted </w:t>
      </w:r>
      <w:r w:rsidRPr="00BA24C8">
        <w:rPr>
          <w:lang w:eastAsia="ja-JP"/>
        </w:rPr>
        <w:t>showed results consistent with the known safety profile of regorafenib and did not raise additional safety concerns. In the pivotal study (</w:t>
      </w:r>
      <w:r w:rsidR="00256077">
        <w:rPr>
          <w:lang w:eastAsia="ja-JP"/>
        </w:rPr>
        <w:t xml:space="preserve">Study </w:t>
      </w:r>
      <w:r w:rsidRPr="00BA24C8">
        <w:rPr>
          <w:lang w:eastAsia="ja-JP"/>
        </w:rPr>
        <w:t xml:space="preserve">RESORCE), </w:t>
      </w:r>
      <w:r w:rsidRPr="00BA24C8">
        <w:t xml:space="preserve">the most commonly reported </w:t>
      </w:r>
      <w:r w:rsidR="00064F8C">
        <w:t>treatment related</w:t>
      </w:r>
      <w:r w:rsidRPr="00BA24C8">
        <w:t xml:space="preserve"> TEAEs with regorafenib were PPES (50.8%), diarrhoea (33.4%), decreased appetite (23.5%) and hypertension (23.0%), and these are all known adverse drug reactions of </w:t>
      </w:r>
      <w:r w:rsidRPr="00BA24C8">
        <w:rPr>
          <w:lang w:eastAsia="ja-JP"/>
        </w:rPr>
        <w:t>regorafenib. Safety results also did not raise concerns of increased hepatotoxicity in HCC patients treated with regorafenib, compared to patients with other cancers.</w:t>
      </w:r>
    </w:p>
    <w:p w:rsidR="00605AD4" w:rsidRPr="00605AD4" w:rsidRDefault="00605AD4" w:rsidP="00605AD4">
      <w:pPr>
        <w:pStyle w:val="Heading4"/>
      </w:pPr>
      <w:r w:rsidRPr="00605AD4">
        <w:t>First round assessment of benefit-risk balance</w:t>
      </w:r>
    </w:p>
    <w:p w:rsidR="00605AD4" w:rsidRPr="00605AD4" w:rsidRDefault="00620379" w:rsidP="00605AD4">
      <w:r w:rsidRPr="00BA24C8">
        <w:rPr>
          <w:lang w:eastAsia="ja-JP"/>
        </w:rPr>
        <w:t xml:space="preserve">Overall, the benefit-risk balance for the use of </w:t>
      </w:r>
      <w:r w:rsidRPr="00BA24C8">
        <w:t xml:space="preserve">regorafenib for </w:t>
      </w:r>
      <w:r w:rsidRPr="00BA24C8">
        <w:rPr>
          <w:rFonts w:asciiTheme="minorHAnsi" w:eastAsiaTheme="minorHAnsi" w:hAnsiTheme="minorHAnsi" w:cs="ArialMT"/>
        </w:rPr>
        <w:t>the treatment of patients with HCC who</w:t>
      </w:r>
      <w:r w:rsidRPr="00BA24C8">
        <w:rPr>
          <w:lang w:eastAsia="ja-JP"/>
        </w:rPr>
        <w:t xml:space="preserve"> </w:t>
      </w:r>
      <w:r w:rsidRPr="00BA24C8">
        <w:rPr>
          <w:rFonts w:asciiTheme="minorHAnsi" w:eastAsiaTheme="minorHAnsi" w:hAnsiTheme="minorHAnsi" w:cs="ArialMT"/>
        </w:rPr>
        <w:t xml:space="preserve">have been previously treated with one systemic therapy is </w:t>
      </w:r>
      <w:r w:rsidRPr="00BA24C8">
        <w:t>favourable</w:t>
      </w:r>
      <w:r w:rsidRPr="00BA24C8">
        <w:rPr>
          <w:rFonts w:asciiTheme="minorHAnsi" w:eastAsiaTheme="minorHAnsi" w:hAnsiTheme="minorHAnsi" w:cs="ArialMT"/>
        </w:rPr>
        <w:t xml:space="preserve">. Results showed </w:t>
      </w:r>
      <w:r w:rsidRPr="00BA24C8">
        <w:rPr>
          <w:rFonts w:asciiTheme="minorHAnsi" w:hAnsiTheme="minorHAnsi" w:cs="Calibri"/>
        </w:rPr>
        <w:t xml:space="preserve">an increase in </w:t>
      </w:r>
      <w:r w:rsidRPr="00BA24C8">
        <w:rPr>
          <w:lang w:eastAsia="ja-JP"/>
        </w:rPr>
        <w:t>median survival time from</w:t>
      </w:r>
      <w:r w:rsidR="00EC67F6">
        <w:rPr>
          <w:lang w:eastAsia="ja-JP"/>
        </w:rPr>
        <w:t xml:space="preserve"> 7.8 months (untreated) to 10.6 </w:t>
      </w:r>
      <w:r w:rsidRPr="00BA24C8">
        <w:rPr>
          <w:lang w:eastAsia="ja-JP"/>
        </w:rPr>
        <w:t>months with regorafenib. The clinical significance of this when weighed against the potential adverse effects is best addressed at the level of an individual patient with his/her treating physician. It is noted that, despite the adverse drug reactions, results in the pivotal study (</w:t>
      </w:r>
      <w:r w:rsidR="00256077">
        <w:rPr>
          <w:lang w:eastAsia="ja-JP"/>
        </w:rPr>
        <w:t xml:space="preserve">Study </w:t>
      </w:r>
      <w:r w:rsidRPr="00BA24C8">
        <w:rPr>
          <w:lang w:eastAsia="ja-JP"/>
        </w:rPr>
        <w:t xml:space="preserve">RESORCE) of patient-reported outcomes in terms of health-related quality of life showed no statistically significant and clinically meaningful differences between </w:t>
      </w:r>
      <w:r w:rsidRPr="00BA24C8">
        <w:t>regorafenib and placebo.</w:t>
      </w:r>
    </w:p>
    <w:p w:rsidR="00605AD4" w:rsidRPr="00605AD4" w:rsidRDefault="00256077" w:rsidP="00256077">
      <w:pPr>
        <w:pStyle w:val="Heading4"/>
      </w:pPr>
      <w:r w:rsidRPr="00605AD4">
        <w:t>First round recommendation regarding authorisation</w:t>
      </w:r>
    </w:p>
    <w:p w:rsidR="00620379" w:rsidRDefault="00620379" w:rsidP="00620379">
      <w:r>
        <w:t xml:space="preserve">Approval </w:t>
      </w:r>
      <w:r w:rsidRPr="00BA24C8">
        <w:t xml:space="preserve">of regorafenib </w:t>
      </w:r>
      <w:r>
        <w:t>is recommended for the following extended indication:</w:t>
      </w:r>
    </w:p>
    <w:p w:rsidR="00620379" w:rsidRPr="00256077" w:rsidRDefault="00256077" w:rsidP="00256077">
      <w:pPr>
        <w:ind w:left="709" w:firstLine="11"/>
        <w:rPr>
          <w:i/>
          <w:lang w:eastAsia="ja-JP"/>
        </w:rPr>
      </w:pPr>
      <w:proofErr w:type="gramStart"/>
      <w:r>
        <w:rPr>
          <w:i/>
        </w:rPr>
        <w:t>T</w:t>
      </w:r>
      <w:r w:rsidR="00620379" w:rsidRPr="00256077">
        <w:rPr>
          <w:i/>
        </w:rPr>
        <w:t>reatment of patients with HCC who</w:t>
      </w:r>
      <w:r w:rsidR="00620379" w:rsidRPr="00256077">
        <w:rPr>
          <w:i/>
          <w:lang w:eastAsia="ja-JP"/>
        </w:rPr>
        <w:t xml:space="preserve"> </w:t>
      </w:r>
      <w:r w:rsidR="00620379" w:rsidRPr="00256077">
        <w:rPr>
          <w:i/>
        </w:rPr>
        <w:t>have been previously treated with one systemic therapy.</w:t>
      </w:r>
      <w:proofErr w:type="gramEnd"/>
    </w:p>
    <w:p w:rsidR="002F5122" w:rsidRDefault="002F5122" w:rsidP="002F5122">
      <w:pPr>
        <w:pStyle w:val="Heading3"/>
      </w:pPr>
      <w:bookmarkStart w:id="201" w:name="_Toc12263465"/>
      <w:r w:rsidRPr="002F5122">
        <w:t xml:space="preserve">Clinical </w:t>
      </w:r>
      <w:r w:rsidR="00B12A57">
        <w:t>q</w:t>
      </w:r>
      <w:r w:rsidRPr="002F5122">
        <w:t>uestions</w:t>
      </w:r>
      <w:bookmarkEnd w:id="201"/>
    </w:p>
    <w:p w:rsidR="002F5122" w:rsidRDefault="00620379" w:rsidP="002F5122">
      <w:r>
        <w:t>N</w:t>
      </w:r>
      <w:r w:rsidR="00256077">
        <w:t>o</w:t>
      </w:r>
      <w:r>
        <w:t xml:space="preserve"> questions </w:t>
      </w:r>
      <w:r w:rsidR="00256077">
        <w:t xml:space="preserve">were </w:t>
      </w:r>
      <w:r>
        <w:t>raised.</w:t>
      </w:r>
    </w:p>
    <w:p w:rsidR="00605AD4" w:rsidRPr="00256077" w:rsidRDefault="00605AD4" w:rsidP="00256077">
      <w:pPr>
        <w:pStyle w:val="Heading3"/>
        <w:rPr>
          <w:rFonts w:eastAsia="Cambria"/>
        </w:rPr>
      </w:pPr>
      <w:bookmarkStart w:id="202" w:name="_Toc12263466"/>
      <w:r w:rsidRPr="00605AD4">
        <w:rPr>
          <w:rFonts w:eastAsia="Cambria"/>
        </w:rPr>
        <w:t xml:space="preserve">Second </w:t>
      </w:r>
      <w:r w:rsidR="00256077">
        <w:rPr>
          <w:rFonts w:eastAsia="Cambria"/>
        </w:rPr>
        <w:t>r</w:t>
      </w:r>
      <w:r w:rsidRPr="00605AD4">
        <w:rPr>
          <w:rFonts w:eastAsia="Cambria"/>
        </w:rPr>
        <w:t xml:space="preserve">ound </w:t>
      </w:r>
      <w:r w:rsidR="00256077">
        <w:rPr>
          <w:rFonts w:eastAsia="Cambria"/>
        </w:rPr>
        <w:t>e</w:t>
      </w:r>
      <w:r w:rsidRPr="00605AD4">
        <w:rPr>
          <w:rFonts w:eastAsia="Cambria"/>
        </w:rPr>
        <w:t>valuation</w:t>
      </w:r>
      <w:bookmarkEnd w:id="202"/>
    </w:p>
    <w:p w:rsidR="00620379" w:rsidRDefault="00620379" w:rsidP="00620379">
      <w:pPr>
        <w:rPr>
          <w:lang w:eastAsia="ja-JP"/>
        </w:rPr>
      </w:pPr>
      <w:r>
        <w:rPr>
          <w:lang w:eastAsia="ja-JP"/>
        </w:rPr>
        <w:t>T</w:t>
      </w:r>
      <w:r w:rsidR="004151AE">
        <w:rPr>
          <w:lang w:eastAsia="ja-JP"/>
        </w:rPr>
        <w:t>he first round clinical and non</w:t>
      </w:r>
      <w:r>
        <w:rPr>
          <w:lang w:eastAsia="ja-JP"/>
        </w:rPr>
        <w:t xml:space="preserve">clinical evaluators had no questions for the sponsor. The sponsor submitted additional documents following the first round evaluation to support a </w:t>
      </w:r>
      <w:r>
        <w:rPr>
          <w:lang w:eastAsia="ja-JP"/>
        </w:rPr>
        <w:lastRenderedPageBreak/>
        <w:t xml:space="preserve">request to make additional amendments to the PI and </w:t>
      </w:r>
      <w:r w:rsidR="00256077">
        <w:rPr>
          <w:lang w:eastAsia="ja-JP"/>
        </w:rPr>
        <w:t>Consumer Medicine Information (</w:t>
      </w:r>
      <w:r>
        <w:rPr>
          <w:lang w:eastAsia="ja-JP"/>
        </w:rPr>
        <w:t>CMI</w:t>
      </w:r>
      <w:r w:rsidR="00256077">
        <w:rPr>
          <w:lang w:eastAsia="ja-JP"/>
        </w:rPr>
        <w:t>)</w:t>
      </w:r>
      <w:r>
        <w:rPr>
          <w:lang w:eastAsia="ja-JP"/>
        </w:rPr>
        <w:t xml:space="preserve"> documents and to the EU RMP (version 5.2) and ASA (version 3.1). The changes were requested on the basis of </w:t>
      </w:r>
      <w:r w:rsidR="00864644">
        <w:rPr>
          <w:lang w:eastAsia="ja-JP"/>
        </w:rPr>
        <w:t>‘</w:t>
      </w:r>
      <w:r>
        <w:rPr>
          <w:lang w:eastAsia="ja-JP"/>
        </w:rPr>
        <w:t>data corrections or additions identified</w:t>
      </w:r>
      <w:r w:rsidR="00864644">
        <w:rPr>
          <w:lang w:eastAsia="ja-JP"/>
        </w:rPr>
        <w:t>’</w:t>
      </w:r>
      <w:r>
        <w:rPr>
          <w:lang w:eastAsia="ja-JP"/>
        </w:rPr>
        <w:t xml:space="preserve"> during inspections of clinical sites in China and Taiwan, and after a request from the Japan Ministry of Health, Labour and Welfare to conduct repeat source data verification activities in ten Chinese sites of the RESORCE trial. On review of the updated PI and CMI documents the second round evaluator has recommended additional changes to be considered by the </w:t>
      </w:r>
      <w:r w:rsidR="00256077">
        <w:rPr>
          <w:lang w:eastAsia="ja-JP"/>
        </w:rPr>
        <w:t>D</w:t>
      </w:r>
      <w:r>
        <w:rPr>
          <w:lang w:eastAsia="ja-JP"/>
        </w:rPr>
        <w:t>elegate.</w:t>
      </w:r>
    </w:p>
    <w:p w:rsidR="00620379" w:rsidRDefault="00620379" w:rsidP="00620379">
      <w:pPr>
        <w:rPr>
          <w:lang w:eastAsia="ja-JP"/>
        </w:rPr>
      </w:pPr>
      <w:r>
        <w:rPr>
          <w:lang w:eastAsia="ja-JP"/>
        </w:rPr>
        <w:t>The changes to the PI with respect to the data corrections and additions in the RESORCE study and the justification for the changes were reviewed. The data updates have resulted in minimal changes to values cited in the PI, with no major change in overall assessment of efficacy or safety.</w:t>
      </w:r>
    </w:p>
    <w:p w:rsidR="00620379" w:rsidRDefault="00620379" w:rsidP="00620379">
      <w:pPr>
        <w:rPr>
          <w:lang w:eastAsia="ja-JP"/>
        </w:rPr>
      </w:pPr>
      <w:r>
        <w:rPr>
          <w:lang w:eastAsia="ja-JP"/>
        </w:rPr>
        <w:t xml:space="preserve">The </w:t>
      </w:r>
      <w:r w:rsidR="00256077">
        <w:rPr>
          <w:lang w:eastAsia="ja-JP"/>
        </w:rPr>
        <w:t>s</w:t>
      </w:r>
      <w:r>
        <w:rPr>
          <w:lang w:eastAsia="ja-JP"/>
        </w:rPr>
        <w:t xml:space="preserve">ponsor has requested that additional efficacy data arising from Study 15967 (CONSIGN) is included in the PI. </w:t>
      </w:r>
      <w:r w:rsidRPr="00BA24C8">
        <w:rPr>
          <w:lang w:eastAsia="ja-JP"/>
        </w:rPr>
        <w:t>Study 15967 is an open</w:t>
      </w:r>
      <w:r w:rsidR="00256077">
        <w:rPr>
          <w:lang w:eastAsia="ja-JP"/>
        </w:rPr>
        <w:t xml:space="preserve"> </w:t>
      </w:r>
      <w:r w:rsidRPr="00BA24C8">
        <w:rPr>
          <w:lang w:eastAsia="ja-JP"/>
        </w:rPr>
        <w:t xml:space="preserve">labelled, multinational, </w:t>
      </w:r>
      <w:r>
        <w:rPr>
          <w:lang w:eastAsia="ja-JP"/>
        </w:rPr>
        <w:t>multi-</w:t>
      </w:r>
      <w:r w:rsidRPr="00BA24C8">
        <w:rPr>
          <w:lang w:eastAsia="ja-JP"/>
        </w:rPr>
        <w:t>centre, single</w:t>
      </w:r>
      <w:r w:rsidR="00256077">
        <w:rPr>
          <w:lang w:eastAsia="ja-JP"/>
        </w:rPr>
        <w:t xml:space="preserve"> </w:t>
      </w:r>
      <w:r w:rsidRPr="00BA24C8">
        <w:rPr>
          <w:lang w:eastAsia="ja-JP"/>
        </w:rPr>
        <w:t xml:space="preserve">arm </w:t>
      </w:r>
      <w:r w:rsidR="00126F1A">
        <w:rPr>
          <w:lang w:eastAsia="ja-JP"/>
        </w:rPr>
        <w:t>Phase III</w:t>
      </w:r>
      <w:r w:rsidRPr="00BA24C8">
        <w:rPr>
          <w:lang w:eastAsia="ja-JP"/>
        </w:rPr>
        <w:t>b study of regorafenib in subjects (</w:t>
      </w:r>
      <w:proofErr w:type="gramStart"/>
      <w:r w:rsidRPr="00BA24C8">
        <w:rPr>
          <w:lang w:eastAsia="ja-JP"/>
        </w:rPr>
        <w:t>adults</w:t>
      </w:r>
      <w:proofErr w:type="gramEnd"/>
      <w:r w:rsidRPr="00BA24C8">
        <w:rPr>
          <w:lang w:eastAsia="ja-JP"/>
        </w:rPr>
        <w:t xml:space="preserve"> ≥ 18 years of age) with metastatic CRC who had progressed after all approved standard therapy</w:t>
      </w:r>
      <w:r>
        <w:rPr>
          <w:lang w:eastAsia="ja-JP"/>
        </w:rPr>
        <w:t>. The study was considered primarily a safety study and the single efficacy outcome was an estimate of PFS (in the absence of a matched control group). The median Kaplan-Meier estimated PFS was 81 days (95% CI 79</w:t>
      </w:r>
      <w:r w:rsidR="00256077">
        <w:rPr>
          <w:lang w:eastAsia="ja-JP"/>
        </w:rPr>
        <w:t xml:space="preserve"> to </w:t>
      </w:r>
      <w:r>
        <w:rPr>
          <w:lang w:eastAsia="ja-JP"/>
        </w:rPr>
        <w:t>83 days, range 0</w:t>
      </w:r>
      <w:r w:rsidR="00256077">
        <w:rPr>
          <w:lang w:eastAsia="ja-JP"/>
        </w:rPr>
        <w:t xml:space="preserve"> to </w:t>
      </w:r>
      <w:r>
        <w:rPr>
          <w:lang w:eastAsia="ja-JP"/>
        </w:rPr>
        <w:t xml:space="preserve">861 days). These results do not tangibly affect the efficacy data reported in the pivotal </w:t>
      </w:r>
      <w:r w:rsidR="00126F1A">
        <w:rPr>
          <w:lang w:eastAsia="ja-JP"/>
        </w:rPr>
        <w:t>Phase III</w:t>
      </w:r>
      <w:r>
        <w:rPr>
          <w:lang w:eastAsia="ja-JP"/>
        </w:rPr>
        <w:t xml:space="preserve"> trial already included. It is the opinion of the evaluator that there is no requirement to include the additional data.</w:t>
      </w:r>
    </w:p>
    <w:p w:rsidR="00620379" w:rsidRDefault="00620379" w:rsidP="00620379">
      <w:pPr>
        <w:rPr>
          <w:lang w:eastAsia="ja-JP"/>
        </w:rPr>
      </w:pPr>
      <w:r>
        <w:rPr>
          <w:lang w:eastAsia="ja-JP"/>
        </w:rPr>
        <w:t>The submitted PI document refers to hepatotoxicity and/or impaired hepatic function in several sections including a warning statement, under Pharmacology, under Precautions (</w:t>
      </w:r>
      <w:r w:rsidR="00864644">
        <w:rPr>
          <w:lang w:eastAsia="ja-JP"/>
        </w:rPr>
        <w:t>‘</w:t>
      </w:r>
      <w:r>
        <w:rPr>
          <w:lang w:eastAsia="ja-JP"/>
        </w:rPr>
        <w:t>Hepatotoxicity</w:t>
      </w:r>
      <w:r w:rsidR="00864644">
        <w:rPr>
          <w:lang w:eastAsia="ja-JP"/>
        </w:rPr>
        <w:t>’</w:t>
      </w:r>
      <w:r>
        <w:rPr>
          <w:lang w:eastAsia="ja-JP"/>
        </w:rPr>
        <w:t xml:space="preserve"> and </w:t>
      </w:r>
      <w:r w:rsidR="00864644">
        <w:rPr>
          <w:lang w:eastAsia="ja-JP"/>
        </w:rPr>
        <w:t>‘</w:t>
      </w:r>
      <w:r>
        <w:rPr>
          <w:lang w:eastAsia="ja-JP"/>
        </w:rPr>
        <w:t>Patients with hepatic impairment</w:t>
      </w:r>
      <w:r w:rsidR="00864644">
        <w:rPr>
          <w:lang w:eastAsia="ja-JP"/>
        </w:rPr>
        <w:t>’</w:t>
      </w:r>
      <w:r>
        <w:rPr>
          <w:lang w:eastAsia="ja-JP"/>
        </w:rPr>
        <w:t xml:space="preserve"> separately), under Adverse Effects, and under Dosage and Administration, with cross-references between various sections of the PI.</w:t>
      </w:r>
    </w:p>
    <w:p w:rsidR="00620379" w:rsidRDefault="00620379" w:rsidP="00620379">
      <w:pPr>
        <w:rPr>
          <w:lang w:eastAsia="ja-JP"/>
        </w:rPr>
      </w:pPr>
      <w:r>
        <w:rPr>
          <w:lang w:eastAsia="ja-JP"/>
        </w:rPr>
        <w:t>The evaluator has noted the information provided by the sponsor and noted comments from the first round evaluation:</w:t>
      </w:r>
    </w:p>
    <w:p w:rsidR="00620379" w:rsidRDefault="00620379" w:rsidP="00256077">
      <w:pPr>
        <w:pStyle w:val="ListBullet"/>
        <w:rPr>
          <w:lang w:eastAsia="ja-JP"/>
        </w:rPr>
      </w:pPr>
      <w:r>
        <w:rPr>
          <w:lang w:eastAsia="ja-JP"/>
        </w:rPr>
        <w:t>There have been no specific PK studies in patients with HCC although population PK studies using a previously described model indicate that the exposure of regorafenib and its metabolites M-2 and M-5 is comparable in patients with Child-Pugh A hepatic impairment and patients with normal hepatic function</w:t>
      </w:r>
      <w:r w:rsidR="00256077">
        <w:rPr>
          <w:lang w:eastAsia="ja-JP"/>
        </w:rPr>
        <w:t>.</w:t>
      </w:r>
    </w:p>
    <w:p w:rsidR="00620379" w:rsidRDefault="00256077" w:rsidP="00256077">
      <w:pPr>
        <w:pStyle w:val="ListBullet"/>
        <w:rPr>
          <w:lang w:eastAsia="ja-JP"/>
        </w:rPr>
      </w:pPr>
      <w:r>
        <w:rPr>
          <w:lang w:eastAsia="ja-JP"/>
        </w:rPr>
        <w:t>PK</w:t>
      </w:r>
      <w:r w:rsidR="00620379">
        <w:rPr>
          <w:lang w:eastAsia="ja-JP"/>
        </w:rPr>
        <w:t>, efficacy and safety data are limited for patients with Child-Pugh B hepatic impairment and regorafenib has not been studied in patients with Child-Pugh C hepatic impairment</w:t>
      </w:r>
    </w:p>
    <w:p w:rsidR="00620379" w:rsidRPr="000717F2" w:rsidRDefault="00256077" w:rsidP="00256077">
      <w:pPr>
        <w:pStyle w:val="ListBullet"/>
        <w:rPr>
          <w:rFonts w:eastAsia="TimesNewRoman"/>
        </w:rPr>
      </w:pPr>
      <w:r>
        <w:rPr>
          <w:lang w:eastAsia="ja-JP"/>
        </w:rPr>
        <w:t>PK/PD</w:t>
      </w:r>
      <w:r w:rsidR="00620379">
        <w:rPr>
          <w:lang w:eastAsia="ja-JP"/>
        </w:rPr>
        <w:t xml:space="preserve"> </w:t>
      </w:r>
      <w:r w:rsidR="00864644">
        <w:rPr>
          <w:lang w:eastAsia="ja-JP"/>
        </w:rPr>
        <w:t>Study PH</w:t>
      </w:r>
      <w:r w:rsidR="00620379">
        <w:rPr>
          <w:lang w:eastAsia="ja-JP"/>
        </w:rPr>
        <w:t xml:space="preserve">-39309 indicated that </w:t>
      </w:r>
      <w:r w:rsidR="00620379" w:rsidRPr="000717F2">
        <w:rPr>
          <w:rFonts w:eastAsia="TimesNewRoman"/>
        </w:rPr>
        <w:t xml:space="preserve">patients with HCC in both the placebo and regorafenib group with AST/ALT levels &gt; 3 times the </w:t>
      </w:r>
      <w:r>
        <w:rPr>
          <w:rFonts w:eastAsia="TimesNewRoman"/>
        </w:rPr>
        <w:t>upper limit of normal (</w:t>
      </w:r>
      <w:r w:rsidR="00620379" w:rsidRPr="000717F2">
        <w:rPr>
          <w:rFonts w:eastAsia="TimesNewRoman"/>
        </w:rPr>
        <w:t>ULN</w:t>
      </w:r>
      <w:r>
        <w:rPr>
          <w:rFonts w:eastAsia="TimesNewRoman"/>
        </w:rPr>
        <w:t>)</w:t>
      </w:r>
      <w:r w:rsidR="00620379" w:rsidRPr="000717F2">
        <w:rPr>
          <w:rFonts w:eastAsia="TimesNewRoman"/>
        </w:rPr>
        <w:t xml:space="preserve"> had an increased risk for an OS event than patients with AST/ALT between 1.5and 3 times the ULN.</w:t>
      </w:r>
    </w:p>
    <w:p w:rsidR="00620379" w:rsidRPr="000717F2" w:rsidRDefault="00620379" w:rsidP="00256077">
      <w:pPr>
        <w:pStyle w:val="ListBullet"/>
        <w:rPr>
          <w:rFonts w:eastAsia="TimesNewRoman"/>
        </w:rPr>
      </w:pPr>
      <w:r w:rsidRPr="000717F2">
        <w:rPr>
          <w:rFonts w:eastAsia="TimesNewRoman"/>
        </w:rPr>
        <w:t xml:space="preserve">Hepatotoxicity events were infrequent in the RESORCE study but the patients enrolled in </w:t>
      </w:r>
      <w:r w:rsidR="00F91EA1">
        <w:rPr>
          <w:rFonts w:eastAsia="TimesNewRoman"/>
        </w:rPr>
        <w:t xml:space="preserve">the </w:t>
      </w:r>
      <w:r w:rsidRPr="000717F2">
        <w:rPr>
          <w:rFonts w:eastAsia="TimesNewRoman"/>
        </w:rPr>
        <w:t xml:space="preserve">RESORCE </w:t>
      </w:r>
      <w:r w:rsidR="00F91EA1">
        <w:rPr>
          <w:rFonts w:eastAsia="TimesNewRoman"/>
        </w:rPr>
        <w:t>study</w:t>
      </w:r>
      <w:r w:rsidR="00EC67F6">
        <w:rPr>
          <w:rFonts w:eastAsia="TimesNewRoman"/>
        </w:rPr>
        <w:t xml:space="preserve"> </w:t>
      </w:r>
      <w:r w:rsidRPr="000717F2">
        <w:rPr>
          <w:rFonts w:eastAsia="TimesNewRoman"/>
        </w:rPr>
        <w:t>had only mildly disturbed baseline liver function</w:t>
      </w:r>
      <w:r w:rsidR="00D6781D">
        <w:rPr>
          <w:rFonts w:eastAsia="TimesNewRoman"/>
        </w:rPr>
        <w:t>.</w:t>
      </w:r>
    </w:p>
    <w:p w:rsidR="00620379" w:rsidRDefault="00620379" w:rsidP="00256077">
      <w:pPr>
        <w:pStyle w:val="ListBullet"/>
        <w:rPr>
          <w:lang w:eastAsia="ja-JP"/>
        </w:rPr>
      </w:pPr>
      <w:r>
        <w:rPr>
          <w:lang w:eastAsia="ja-JP"/>
        </w:rPr>
        <w:t>Increasing</w:t>
      </w:r>
      <w:r w:rsidRPr="00BA24C8">
        <w:rPr>
          <w:lang w:eastAsia="ja-JP"/>
        </w:rPr>
        <w:t xml:space="preserve"> LFT </w:t>
      </w:r>
      <w:r>
        <w:rPr>
          <w:lang w:eastAsia="ja-JP"/>
        </w:rPr>
        <w:t>(predominantly Grade I or Grade 2) in the RESORCE study w</w:t>
      </w:r>
      <w:r w:rsidR="004151AE">
        <w:rPr>
          <w:lang w:eastAsia="ja-JP"/>
        </w:rPr>
        <w:t>as</w:t>
      </w:r>
      <w:r>
        <w:rPr>
          <w:lang w:eastAsia="ja-JP"/>
        </w:rPr>
        <w:t xml:space="preserve"> more frequent</w:t>
      </w:r>
      <w:r w:rsidRPr="00BA24C8">
        <w:rPr>
          <w:lang w:eastAsia="ja-JP"/>
        </w:rPr>
        <w:t xml:space="preserve"> in the regorafenib group compared to the placebo group</w:t>
      </w:r>
      <w:r w:rsidR="00D6781D">
        <w:rPr>
          <w:lang w:eastAsia="ja-JP"/>
        </w:rPr>
        <w:t>.</w:t>
      </w:r>
    </w:p>
    <w:p w:rsidR="00620379" w:rsidRDefault="00620379" w:rsidP="00256077">
      <w:pPr>
        <w:pStyle w:val="ListBullet"/>
        <w:rPr>
          <w:lang w:eastAsia="ja-JP"/>
        </w:rPr>
      </w:pPr>
      <w:r>
        <w:rPr>
          <w:lang w:eastAsia="ja-JP"/>
        </w:rPr>
        <w:t>The first round evaluator was of the opinion that</w:t>
      </w:r>
      <w:r w:rsidRPr="00BA24C8">
        <w:rPr>
          <w:lang w:eastAsia="ja-JP"/>
        </w:rPr>
        <w:t xml:space="preserve"> the safety results did not raise concerns of increased hepatotoxicity in HCC patients treated with regorafenib compared to patients with other cancers.</w:t>
      </w:r>
    </w:p>
    <w:p w:rsidR="00620379" w:rsidRDefault="00620379" w:rsidP="00D6781D">
      <w:pPr>
        <w:pStyle w:val="ListBullet"/>
        <w:rPr>
          <w:lang w:eastAsia="ja-JP"/>
        </w:rPr>
      </w:pPr>
      <w:r>
        <w:rPr>
          <w:lang w:eastAsia="ja-JP"/>
        </w:rPr>
        <w:t xml:space="preserve">The PI document recommends permanent discontinuation of regorafenib in the event of </w:t>
      </w:r>
      <w:r w:rsidR="00864644">
        <w:rPr>
          <w:lang w:eastAsia="ja-JP"/>
        </w:rPr>
        <w:t>‘</w:t>
      </w:r>
      <w:r w:rsidRPr="00D6781D">
        <w:rPr>
          <w:i/>
          <w:lang w:eastAsia="ja-JP"/>
        </w:rPr>
        <w:t>severe and persistent hepatotoxicity</w:t>
      </w:r>
      <w:r w:rsidR="00864644" w:rsidRPr="00D6781D">
        <w:rPr>
          <w:i/>
          <w:lang w:eastAsia="ja-JP"/>
        </w:rPr>
        <w:t>’</w:t>
      </w:r>
      <w:r w:rsidR="00D6781D">
        <w:rPr>
          <w:lang w:eastAsia="ja-JP"/>
        </w:rPr>
        <w:t>.</w:t>
      </w:r>
    </w:p>
    <w:p w:rsidR="00620379" w:rsidRDefault="00620379" w:rsidP="00D6781D">
      <w:pPr>
        <w:pStyle w:val="ListBullet"/>
        <w:rPr>
          <w:lang w:eastAsia="ja-JP"/>
        </w:rPr>
      </w:pPr>
      <w:r>
        <w:rPr>
          <w:lang w:eastAsia="ja-JP"/>
        </w:rPr>
        <w:lastRenderedPageBreak/>
        <w:t>The warning statement in the PI recommends that regorafenib dose should be interrupted or modified if signs of liver injury emerge, depending upon severity and persistence</w:t>
      </w:r>
      <w:r w:rsidR="00F91EA1">
        <w:rPr>
          <w:lang w:eastAsia="ja-JP"/>
        </w:rPr>
        <w:t>.</w:t>
      </w:r>
    </w:p>
    <w:p w:rsidR="00620379" w:rsidRDefault="00620379" w:rsidP="00620379">
      <w:pPr>
        <w:rPr>
          <w:lang w:eastAsia="ja-JP"/>
        </w:rPr>
      </w:pPr>
      <w:r>
        <w:rPr>
          <w:lang w:eastAsia="ja-JP"/>
        </w:rPr>
        <w:t xml:space="preserve">While acknowledging that regorafenib is addressing an unmet medical need for </w:t>
      </w:r>
      <w:r w:rsidR="00864644">
        <w:rPr>
          <w:lang w:eastAsia="ja-JP"/>
        </w:rPr>
        <w:t>second line</w:t>
      </w:r>
      <w:r>
        <w:rPr>
          <w:lang w:eastAsia="ja-JP"/>
        </w:rPr>
        <w:t xml:space="preserve"> therapy of patients with HCC, it is unlikely that it will be the only agent addressing this need in the future. In the absence of safety data for use in patients with severe hepatic impairment, it is the opinion of this evaluator that regorafenib should</w:t>
      </w:r>
      <w:r w:rsidR="00EC67F6">
        <w:rPr>
          <w:lang w:eastAsia="ja-JP"/>
        </w:rPr>
        <w:t xml:space="preserve"> not be used in these patients.</w:t>
      </w:r>
    </w:p>
    <w:p w:rsidR="00620379" w:rsidRDefault="00620379" w:rsidP="00620379">
      <w:pPr>
        <w:rPr>
          <w:lang w:eastAsia="ja-JP"/>
        </w:rPr>
      </w:pPr>
      <w:r>
        <w:rPr>
          <w:lang w:eastAsia="ja-JP"/>
        </w:rPr>
        <w:t xml:space="preserve">The sponsor has requested that the indication for regorafenib in HCC is </w:t>
      </w:r>
      <w:r w:rsidR="00864644" w:rsidRPr="00D6781D">
        <w:rPr>
          <w:i/>
          <w:lang w:eastAsia="ja-JP"/>
        </w:rPr>
        <w:t>‘</w:t>
      </w:r>
      <w:r w:rsidRPr="00D6781D">
        <w:rPr>
          <w:rFonts w:asciiTheme="minorHAnsi" w:eastAsiaTheme="minorHAnsi" w:hAnsiTheme="minorHAnsi" w:cs="ArialMT"/>
          <w:i/>
        </w:rPr>
        <w:t>for the treatment of patients with hepatocellular carcinoma (HCC) who</w:t>
      </w:r>
      <w:r w:rsidRPr="00D6781D">
        <w:rPr>
          <w:i/>
          <w:lang w:eastAsia="ja-JP"/>
        </w:rPr>
        <w:t xml:space="preserve"> </w:t>
      </w:r>
      <w:r w:rsidRPr="00D6781D">
        <w:rPr>
          <w:rFonts w:asciiTheme="minorHAnsi" w:eastAsiaTheme="minorHAnsi" w:hAnsiTheme="minorHAnsi" w:cs="ArialMT"/>
          <w:i/>
        </w:rPr>
        <w:t>have been previously treated with one systemic therapy</w:t>
      </w:r>
      <w:r w:rsidR="00864644">
        <w:rPr>
          <w:lang w:eastAsia="ja-JP"/>
        </w:rPr>
        <w:t>’</w:t>
      </w:r>
      <w:r>
        <w:rPr>
          <w:lang w:eastAsia="ja-JP"/>
        </w:rPr>
        <w:t>.</w:t>
      </w:r>
    </w:p>
    <w:p w:rsidR="00620379" w:rsidRDefault="00620379" w:rsidP="00620379">
      <w:pPr>
        <w:rPr>
          <w:lang w:eastAsia="ja-JP"/>
        </w:rPr>
      </w:pPr>
      <w:r>
        <w:rPr>
          <w:lang w:eastAsia="ja-JP"/>
        </w:rPr>
        <w:t xml:space="preserve">The evaluator has noted the information provided by the sponsor to support a broad indication for use after </w:t>
      </w:r>
      <w:r w:rsidR="00387426">
        <w:rPr>
          <w:lang w:eastAsia="ja-JP"/>
        </w:rPr>
        <w:t>first line</w:t>
      </w:r>
      <w:r>
        <w:rPr>
          <w:lang w:eastAsia="ja-JP"/>
        </w:rPr>
        <w:t xml:space="preserve"> systemic therapy (focused on the </w:t>
      </w:r>
      <w:r w:rsidR="005555C9">
        <w:rPr>
          <w:lang w:eastAsia="ja-JP"/>
        </w:rPr>
        <w:t>multi-kinase</w:t>
      </w:r>
      <w:r>
        <w:rPr>
          <w:lang w:eastAsia="ja-JP"/>
        </w:rPr>
        <w:t xml:space="preserve"> inhibitor lenvatinib and the checkpoint inhibitor nivolumab) and noted comments from the first round evaluation:</w:t>
      </w:r>
    </w:p>
    <w:p w:rsidR="00620379" w:rsidRDefault="00620379" w:rsidP="00D6781D">
      <w:pPr>
        <w:pStyle w:val="ListBullet"/>
        <w:rPr>
          <w:lang w:eastAsia="ja-JP"/>
        </w:rPr>
      </w:pPr>
      <w:r w:rsidRPr="00BA24C8">
        <w:rPr>
          <w:lang w:eastAsia="ja-JP"/>
        </w:rPr>
        <w:t xml:space="preserve">The support for the efficacy claims in HCC is based exclusively on patients who had previously been treated with sorafenib, the only currently approved </w:t>
      </w:r>
      <w:r w:rsidR="00387426">
        <w:rPr>
          <w:lang w:eastAsia="ja-JP"/>
        </w:rPr>
        <w:t>first line</w:t>
      </w:r>
      <w:r w:rsidRPr="00BA24C8">
        <w:rPr>
          <w:lang w:eastAsia="ja-JP"/>
        </w:rPr>
        <w:t xml:space="preserve"> systemic treatment for HCC.</w:t>
      </w:r>
    </w:p>
    <w:p w:rsidR="00620379" w:rsidRDefault="00620379" w:rsidP="00D6781D">
      <w:pPr>
        <w:pStyle w:val="ListBullet"/>
        <w:rPr>
          <w:lang w:eastAsia="ja-JP"/>
        </w:rPr>
      </w:pPr>
      <w:r>
        <w:rPr>
          <w:lang w:eastAsia="ja-JP"/>
        </w:rPr>
        <w:t>S</w:t>
      </w:r>
      <w:r w:rsidRPr="00BA24C8">
        <w:rPr>
          <w:lang w:eastAsia="ja-JP"/>
        </w:rPr>
        <w:t xml:space="preserve">equential use of </w:t>
      </w:r>
      <w:r w:rsidR="005555C9">
        <w:rPr>
          <w:lang w:eastAsia="ja-JP"/>
        </w:rPr>
        <w:t>multi-kinase</w:t>
      </w:r>
      <w:r w:rsidRPr="00BA24C8">
        <w:rPr>
          <w:lang w:eastAsia="ja-JP"/>
        </w:rPr>
        <w:t xml:space="preserve"> inhibitors in renal cell cancer, thyroid cancer and GIST </w:t>
      </w:r>
      <w:r>
        <w:rPr>
          <w:lang w:eastAsia="ja-JP"/>
        </w:rPr>
        <w:t>has not identified any adverse effects on safety or efficacy</w:t>
      </w:r>
      <w:r w:rsidR="00D6781D">
        <w:rPr>
          <w:lang w:eastAsia="ja-JP"/>
        </w:rPr>
        <w:t>.</w:t>
      </w:r>
    </w:p>
    <w:p w:rsidR="00620379" w:rsidRDefault="00620379" w:rsidP="00D6781D">
      <w:pPr>
        <w:pStyle w:val="ListBullet"/>
        <w:rPr>
          <w:lang w:eastAsia="ja-JP"/>
        </w:rPr>
      </w:pPr>
      <w:r>
        <w:rPr>
          <w:lang w:eastAsia="ja-JP"/>
        </w:rPr>
        <w:t>The p</w:t>
      </w:r>
      <w:r w:rsidRPr="00BA24C8">
        <w:rPr>
          <w:lang w:eastAsia="ja-JP"/>
        </w:rPr>
        <w:t xml:space="preserve">ositive efficacy findings </w:t>
      </w:r>
      <w:r>
        <w:rPr>
          <w:lang w:eastAsia="ja-JP"/>
        </w:rPr>
        <w:t xml:space="preserve">reported in the </w:t>
      </w:r>
      <w:r w:rsidRPr="00BA24C8">
        <w:rPr>
          <w:lang w:eastAsia="ja-JP"/>
        </w:rPr>
        <w:t xml:space="preserve">RESORCE </w:t>
      </w:r>
      <w:r>
        <w:rPr>
          <w:lang w:eastAsia="ja-JP"/>
        </w:rPr>
        <w:t>study</w:t>
      </w:r>
      <w:r w:rsidRPr="00BA24C8">
        <w:rPr>
          <w:lang w:eastAsia="ja-JP"/>
        </w:rPr>
        <w:t xml:space="preserve"> </w:t>
      </w:r>
      <w:r>
        <w:rPr>
          <w:lang w:eastAsia="ja-JP"/>
        </w:rPr>
        <w:t>using regorafenib after sorafenib support</w:t>
      </w:r>
      <w:r w:rsidRPr="00BA24C8">
        <w:rPr>
          <w:lang w:eastAsia="ja-JP"/>
        </w:rPr>
        <w:t xml:space="preserve"> </w:t>
      </w:r>
      <w:r>
        <w:rPr>
          <w:lang w:eastAsia="ja-JP"/>
        </w:rPr>
        <w:t>the case that there is</w:t>
      </w:r>
      <w:r w:rsidRPr="00BA24C8">
        <w:rPr>
          <w:lang w:eastAsia="ja-JP"/>
        </w:rPr>
        <w:t xml:space="preserve"> clinical benefit of </w:t>
      </w:r>
      <w:r>
        <w:rPr>
          <w:lang w:eastAsia="ja-JP"/>
        </w:rPr>
        <w:t xml:space="preserve">sequential </w:t>
      </w:r>
      <w:r w:rsidR="005555C9">
        <w:rPr>
          <w:lang w:eastAsia="ja-JP"/>
        </w:rPr>
        <w:t>multi-kinase</w:t>
      </w:r>
      <w:r w:rsidRPr="00BA24C8">
        <w:rPr>
          <w:lang w:eastAsia="ja-JP"/>
        </w:rPr>
        <w:t xml:space="preserve"> inhibitor treatments</w:t>
      </w:r>
      <w:r>
        <w:rPr>
          <w:lang w:eastAsia="ja-JP"/>
        </w:rPr>
        <w:t xml:space="preserve"> in HCC</w:t>
      </w:r>
      <w:r w:rsidR="00D6781D">
        <w:rPr>
          <w:lang w:eastAsia="ja-JP"/>
        </w:rPr>
        <w:t>.</w:t>
      </w:r>
    </w:p>
    <w:p w:rsidR="00620379" w:rsidRDefault="00620379" w:rsidP="00D6781D">
      <w:pPr>
        <w:pStyle w:val="ListBullet"/>
        <w:rPr>
          <w:lang w:eastAsia="ja-JP"/>
        </w:rPr>
      </w:pPr>
      <w:r>
        <w:rPr>
          <w:lang w:eastAsia="ja-JP"/>
        </w:rPr>
        <w:t>T</w:t>
      </w:r>
      <w:r w:rsidRPr="00BA24C8">
        <w:rPr>
          <w:lang w:eastAsia="ja-JP"/>
        </w:rPr>
        <w:t xml:space="preserve">here are no current scientific data to indicate that </w:t>
      </w:r>
      <w:r>
        <w:rPr>
          <w:lang w:eastAsia="ja-JP"/>
        </w:rPr>
        <w:t xml:space="preserve">the prior use of a </w:t>
      </w:r>
      <w:r w:rsidR="00D6781D">
        <w:rPr>
          <w:lang w:eastAsia="ja-JP"/>
        </w:rPr>
        <w:t>MKI</w:t>
      </w:r>
      <w:r>
        <w:rPr>
          <w:lang w:eastAsia="ja-JP"/>
        </w:rPr>
        <w:t xml:space="preserve"> </w:t>
      </w:r>
      <w:r w:rsidRPr="00BA24C8">
        <w:rPr>
          <w:lang w:eastAsia="ja-JP"/>
        </w:rPr>
        <w:t xml:space="preserve">will significantly impact </w:t>
      </w:r>
      <w:r>
        <w:rPr>
          <w:lang w:eastAsia="ja-JP"/>
        </w:rPr>
        <w:t xml:space="preserve">the </w:t>
      </w:r>
      <w:r w:rsidRPr="00BA24C8">
        <w:rPr>
          <w:lang w:eastAsia="ja-JP"/>
        </w:rPr>
        <w:t xml:space="preserve">safety profile of </w:t>
      </w:r>
      <w:r>
        <w:rPr>
          <w:lang w:eastAsia="ja-JP"/>
        </w:rPr>
        <w:t xml:space="preserve">a </w:t>
      </w:r>
      <w:r w:rsidRPr="00BA24C8">
        <w:rPr>
          <w:lang w:eastAsia="ja-JP"/>
        </w:rPr>
        <w:t xml:space="preserve">subsequently applied </w:t>
      </w:r>
      <w:r w:rsidR="005555C9">
        <w:rPr>
          <w:lang w:eastAsia="ja-JP"/>
        </w:rPr>
        <w:t>multi-kinase</w:t>
      </w:r>
      <w:r>
        <w:rPr>
          <w:lang w:eastAsia="ja-JP"/>
        </w:rPr>
        <w:t xml:space="preserve"> inhibitor</w:t>
      </w:r>
      <w:r w:rsidR="00D6781D">
        <w:rPr>
          <w:lang w:eastAsia="ja-JP"/>
        </w:rPr>
        <w:t>.</w:t>
      </w:r>
    </w:p>
    <w:p w:rsidR="00620379" w:rsidRDefault="00620379" w:rsidP="00D6781D">
      <w:pPr>
        <w:pStyle w:val="ListBullet"/>
        <w:rPr>
          <w:lang w:eastAsia="ja-JP"/>
        </w:rPr>
      </w:pPr>
      <w:r>
        <w:rPr>
          <w:lang w:eastAsia="ja-JP"/>
        </w:rPr>
        <w:t>O</w:t>
      </w:r>
      <w:r w:rsidRPr="00BA24C8">
        <w:rPr>
          <w:lang w:eastAsia="ja-JP"/>
        </w:rPr>
        <w:t xml:space="preserve">verlapping toxicities </w:t>
      </w:r>
      <w:r>
        <w:rPr>
          <w:lang w:eastAsia="ja-JP"/>
        </w:rPr>
        <w:t xml:space="preserve">of the </w:t>
      </w:r>
      <w:r w:rsidR="005555C9">
        <w:rPr>
          <w:lang w:eastAsia="ja-JP"/>
        </w:rPr>
        <w:t>multi-kinase</w:t>
      </w:r>
      <w:r>
        <w:rPr>
          <w:lang w:eastAsia="ja-JP"/>
        </w:rPr>
        <w:t xml:space="preserve"> inhibitor lenvatinib </w:t>
      </w:r>
      <w:r w:rsidRPr="00BA24C8">
        <w:rPr>
          <w:lang w:eastAsia="ja-JP"/>
        </w:rPr>
        <w:t xml:space="preserve">with potential subsequent treatment with regorafenib seem </w:t>
      </w:r>
      <w:r w:rsidR="00864644">
        <w:rPr>
          <w:lang w:eastAsia="ja-JP"/>
        </w:rPr>
        <w:t>‘</w:t>
      </w:r>
      <w:r w:rsidRPr="00D6781D">
        <w:rPr>
          <w:i/>
          <w:lang w:eastAsia="ja-JP"/>
        </w:rPr>
        <w:t>rather unlikely</w:t>
      </w:r>
      <w:r w:rsidR="00864644" w:rsidRPr="00D6781D">
        <w:rPr>
          <w:i/>
          <w:lang w:eastAsia="ja-JP"/>
        </w:rPr>
        <w:t>’</w:t>
      </w:r>
      <w:r w:rsidR="00D6781D">
        <w:rPr>
          <w:lang w:eastAsia="ja-JP"/>
        </w:rPr>
        <w:t>.</w:t>
      </w:r>
    </w:p>
    <w:p w:rsidR="00620379" w:rsidRDefault="00620379" w:rsidP="00D6781D">
      <w:pPr>
        <w:pStyle w:val="ListBullet"/>
        <w:rPr>
          <w:lang w:eastAsia="ja-JP"/>
        </w:rPr>
      </w:pPr>
      <w:r>
        <w:rPr>
          <w:lang w:eastAsia="ja-JP"/>
        </w:rPr>
        <w:t>There</w:t>
      </w:r>
      <w:r w:rsidRPr="00BA24C8">
        <w:rPr>
          <w:lang w:eastAsia="ja-JP"/>
        </w:rPr>
        <w:t xml:space="preserve"> is a potential risk of overlapping toxicities </w:t>
      </w:r>
      <w:r>
        <w:rPr>
          <w:lang w:eastAsia="ja-JP"/>
        </w:rPr>
        <w:t xml:space="preserve">of nivolumab </w:t>
      </w:r>
      <w:r w:rsidRPr="00BA24C8">
        <w:rPr>
          <w:lang w:eastAsia="ja-JP"/>
        </w:rPr>
        <w:t xml:space="preserve">with </w:t>
      </w:r>
      <w:r w:rsidR="00864644">
        <w:rPr>
          <w:lang w:eastAsia="ja-JP"/>
        </w:rPr>
        <w:t>second line</w:t>
      </w:r>
      <w:r w:rsidRPr="00BA24C8">
        <w:rPr>
          <w:lang w:eastAsia="ja-JP"/>
        </w:rPr>
        <w:t xml:space="preserve"> regorafenib</w:t>
      </w:r>
      <w:r>
        <w:rPr>
          <w:lang w:eastAsia="ja-JP"/>
        </w:rPr>
        <w:t xml:space="preserve"> although current</w:t>
      </w:r>
      <w:r w:rsidRPr="00BA24C8">
        <w:rPr>
          <w:lang w:eastAsia="ja-JP"/>
        </w:rPr>
        <w:t xml:space="preserve"> published data indicating that there is no significant influence of prior PD-1 inhibitor treatment on the toxicity profile of subsequently applied kinase inhibitors.</w:t>
      </w:r>
    </w:p>
    <w:p w:rsidR="00620379" w:rsidRDefault="00620379" w:rsidP="00D6781D">
      <w:pPr>
        <w:pStyle w:val="ListBullet"/>
        <w:rPr>
          <w:lang w:eastAsia="ja-JP"/>
        </w:rPr>
      </w:pPr>
      <w:r>
        <w:rPr>
          <w:lang w:eastAsia="ja-JP"/>
        </w:rPr>
        <w:t xml:space="preserve">The </w:t>
      </w:r>
      <w:r w:rsidRPr="00BA24C8">
        <w:rPr>
          <w:lang w:eastAsia="ja-JP"/>
        </w:rPr>
        <w:t xml:space="preserve">safety reasoning for lenvatinib and nivolumab could not be entirely applied to all </w:t>
      </w:r>
      <w:r w:rsidR="00387426">
        <w:rPr>
          <w:lang w:eastAsia="ja-JP"/>
        </w:rPr>
        <w:t>first line</w:t>
      </w:r>
      <w:r w:rsidRPr="00BA24C8">
        <w:rPr>
          <w:lang w:eastAsia="ja-JP"/>
        </w:rPr>
        <w:t xml:space="preserve"> systemic therapy.</w:t>
      </w:r>
    </w:p>
    <w:p w:rsidR="006136D7" w:rsidRDefault="00620379" w:rsidP="00620379">
      <w:pPr>
        <w:rPr>
          <w:rFonts w:asciiTheme="minorHAnsi" w:eastAsiaTheme="minorHAnsi" w:hAnsiTheme="minorHAnsi" w:cs="ArialMT"/>
        </w:rPr>
      </w:pPr>
      <w:r>
        <w:rPr>
          <w:lang w:eastAsia="ja-JP"/>
        </w:rPr>
        <w:t xml:space="preserve">It is the opinion of this evaluator that while at present sorafenib is the only approved </w:t>
      </w:r>
      <w:r w:rsidR="00387426">
        <w:rPr>
          <w:lang w:eastAsia="ja-JP"/>
        </w:rPr>
        <w:t>first line</w:t>
      </w:r>
      <w:r>
        <w:rPr>
          <w:lang w:eastAsia="ja-JP"/>
        </w:rPr>
        <w:t xml:space="preserve"> therapy for </w:t>
      </w:r>
      <w:r w:rsidR="00F17CA0">
        <w:rPr>
          <w:lang w:eastAsia="ja-JP"/>
        </w:rPr>
        <w:t>HCC;</w:t>
      </w:r>
      <w:r>
        <w:rPr>
          <w:lang w:eastAsia="ja-JP"/>
        </w:rPr>
        <w:t xml:space="preserve"> it is highly likely that in the future treatments other than </w:t>
      </w:r>
      <w:r w:rsidR="00D6781D">
        <w:rPr>
          <w:lang w:eastAsia="ja-JP"/>
        </w:rPr>
        <w:t>MKIs</w:t>
      </w:r>
      <w:r>
        <w:rPr>
          <w:lang w:eastAsia="ja-JP"/>
        </w:rPr>
        <w:t xml:space="preserve"> and anti-PD-1 monoclonal antibodies and other checkpoint inhibitors with unknown safety concerns may be developed. The indication should therefore be restricted to </w:t>
      </w:r>
      <w:r w:rsidR="00864644">
        <w:rPr>
          <w:lang w:eastAsia="ja-JP"/>
        </w:rPr>
        <w:t>‘</w:t>
      </w:r>
      <w:r w:rsidRPr="00D6781D">
        <w:rPr>
          <w:rFonts w:asciiTheme="minorHAnsi" w:eastAsiaTheme="minorHAnsi" w:hAnsiTheme="minorHAnsi" w:cs="ArialMT"/>
          <w:i/>
        </w:rPr>
        <w:t>for the treatment of patients with hepatocellular carcinoma (HCC) who</w:t>
      </w:r>
      <w:r w:rsidRPr="00D6781D">
        <w:rPr>
          <w:i/>
          <w:lang w:eastAsia="ja-JP"/>
        </w:rPr>
        <w:t xml:space="preserve"> </w:t>
      </w:r>
      <w:r w:rsidRPr="00D6781D">
        <w:rPr>
          <w:rFonts w:asciiTheme="minorHAnsi" w:eastAsiaTheme="minorHAnsi" w:hAnsiTheme="minorHAnsi" w:cs="ArialMT"/>
          <w:i/>
        </w:rPr>
        <w:t>have been previously treated with sorafenib</w:t>
      </w:r>
      <w:r w:rsidR="00864644" w:rsidRPr="00D6781D">
        <w:rPr>
          <w:rFonts w:asciiTheme="minorHAnsi" w:eastAsiaTheme="minorHAnsi" w:hAnsiTheme="minorHAnsi" w:cs="ArialMT"/>
          <w:i/>
        </w:rPr>
        <w:t>’</w:t>
      </w:r>
      <w:r>
        <w:rPr>
          <w:rFonts w:asciiTheme="minorHAnsi" w:eastAsiaTheme="minorHAnsi" w:hAnsiTheme="minorHAnsi" w:cs="ArialMT"/>
        </w:rPr>
        <w:t>.</w:t>
      </w:r>
    </w:p>
    <w:p w:rsidR="00605AD4" w:rsidRPr="00605AD4" w:rsidRDefault="00605AD4" w:rsidP="00546154">
      <w:pPr>
        <w:pStyle w:val="Heading3"/>
        <w:rPr>
          <w:rFonts w:eastAsia="Cambria"/>
        </w:rPr>
      </w:pPr>
      <w:bookmarkStart w:id="203" w:name="_Toc12263467"/>
      <w:r w:rsidRPr="00605AD4">
        <w:rPr>
          <w:rFonts w:eastAsia="Cambria"/>
        </w:rPr>
        <w:t xml:space="preserve">Second </w:t>
      </w:r>
      <w:r w:rsidR="00B12A57" w:rsidRPr="00605AD4">
        <w:rPr>
          <w:rFonts w:eastAsia="Cambria"/>
        </w:rPr>
        <w:t>round benefit-risk assessment</w:t>
      </w:r>
      <w:bookmarkEnd w:id="203"/>
    </w:p>
    <w:p w:rsidR="00620379" w:rsidRPr="00BA24C8" w:rsidRDefault="00620379" w:rsidP="00D6781D">
      <w:pPr>
        <w:pStyle w:val="Heading4"/>
      </w:pPr>
      <w:bookmarkStart w:id="204" w:name="_Toc272414709"/>
      <w:bookmarkStart w:id="205" w:name="_Toc290888575"/>
      <w:bookmarkStart w:id="206" w:name="_Toc416353792"/>
      <w:bookmarkStart w:id="207" w:name="_Toc421005334"/>
      <w:bookmarkStart w:id="208" w:name="_Toc432079207"/>
      <w:bookmarkStart w:id="209" w:name="_Toc432080780"/>
      <w:bookmarkStart w:id="210" w:name="_Toc488837865"/>
      <w:r w:rsidRPr="00BA24C8">
        <w:t>Second round assessment of benefits</w:t>
      </w:r>
      <w:bookmarkEnd w:id="204"/>
      <w:bookmarkEnd w:id="205"/>
      <w:bookmarkEnd w:id="206"/>
      <w:bookmarkEnd w:id="207"/>
      <w:bookmarkEnd w:id="208"/>
      <w:bookmarkEnd w:id="209"/>
      <w:bookmarkEnd w:id="210"/>
    </w:p>
    <w:p w:rsidR="00620379" w:rsidRPr="00BA24C8" w:rsidRDefault="00620379" w:rsidP="00620379">
      <w:pPr>
        <w:rPr>
          <w:lang w:eastAsia="ja-JP"/>
        </w:rPr>
      </w:pPr>
      <w:bookmarkStart w:id="211" w:name="_Toc272414710"/>
      <w:bookmarkStart w:id="212" w:name="_Toc290888576"/>
      <w:bookmarkStart w:id="213" w:name="_Toc416353793"/>
      <w:bookmarkStart w:id="214" w:name="_Toc421005335"/>
      <w:bookmarkStart w:id="215" w:name="_Toc432079208"/>
      <w:bookmarkStart w:id="216" w:name="_Toc432080781"/>
      <w:r>
        <w:rPr>
          <w:lang w:eastAsia="ja-JP"/>
        </w:rPr>
        <w:t xml:space="preserve">After consideration of the additional submitted data, the benefits of regorafenib in patients with hepatocellular carcinoma previously treated with sorafenib are unchanged from those identified in </w:t>
      </w:r>
      <w:r w:rsidR="00D6781D">
        <w:rPr>
          <w:lang w:eastAsia="ja-JP"/>
        </w:rPr>
        <w:t>the first round evaluation</w:t>
      </w:r>
      <w:r>
        <w:rPr>
          <w:lang w:eastAsia="ja-JP"/>
        </w:rPr>
        <w:t>.</w:t>
      </w:r>
    </w:p>
    <w:p w:rsidR="00620379" w:rsidRPr="00BA24C8" w:rsidRDefault="00620379" w:rsidP="00D6781D">
      <w:pPr>
        <w:pStyle w:val="Heading4"/>
      </w:pPr>
      <w:bookmarkStart w:id="217" w:name="_Toc488837866"/>
      <w:r w:rsidRPr="00BA24C8">
        <w:lastRenderedPageBreak/>
        <w:t>Second round assessment of risks</w:t>
      </w:r>
      <w:bookmarkEnd w:id="211"/>
      <w:bookmarkEnd w:id="212"/>
      <w:bookmarkEnd w:id="213"/>
      <w:bookmarkEnd w:id="214"/>
      <w:bookmarkEnd w:id="215"/>
      <w:bookmarkEnd w:id="216"/>
      <w:bookmarkEnd w:id="217"/>
    </w:p>
    <w:p w:rsidR="00620379" w:rsidRDefault="00620379" w:rsidP="00620379">
      <w:pPr>
        <w:rPr>
          <w:lang w:eastAsia="ja-JP"/>
        </w:rPr>
      </w:pPr>
      <w:bookmarkStart w:id="218" w:name="_Toc272414711"/>
      <w:bookmarkStart w:id="219" w:name="_Toc290888577"/>
      <w:bookmarkStart w:id="220" w:name="_Toc416353794"/>
      <w:bookmarkStart w:id="221" w:name="_Toc421005336"/>
      <w:bookmarkStart w:id="222" w:name="_Toc432079209"/>
      <w:bookmarkStart w:id="223" w:name="_Toc432080782"/>
      <w:bookmarkStart w:id="224" w:name="_Toc488837867"/>
      <w:r>
        <w:rPr>
          <w:lang w:eastAsia="ja-JP"/>
        </w:rPr>
        <w:t>After consideration of the additional submitted data, the risks of regorafenib in patients with hepatocellular carcinoma previously treated with sorafenib should include the following:</w:t>
      </w:r>
    </w:p>
    <w:p w:rsidR="00620379" w:rsidRDefault="00620379" w:rsidP="00D6781D">
      <w:pPr>
        <w:pStyle w:val="ListBullet"/>
        <w:rPr>
          <w:lang w:eastAsia="ja-JP"/>
        </w:rPr>
      </w:pPr>
      <w:r>
        <w:rPr>
          <w:lang w:eastAsia="ja-JP"/>
        </w:rPr>
        <w:t xml:space="preserve">The risks of regorafenib in patients with hepatocellular carcinoma treated with alternative </w:t>
      </w:r>
      <w:r w:rsidR="00387426">
        <w:rPr>
          <w:lang w:eastAsia="ja-JP"/>
        </w:rPr>
        <w:t>first line</w:t>
      </w:r>
      <w:r>
        <w:rPr>
          <w:lang w:eastAsia="ja-JP"/>
        </w:rPr>
        <w:t xml:space="preserve"> systemic therapies are not clear.</w:t>
      </w:r>
    </w:p>
    <w:p w:rsidR="00620379" w:rsidRPr="00BA24C8" w:rsidRDefault="00620379" w:rsidP="00D6781D">
      <w:pPr>
        <w:pStyle w:val="ListBullet"/>
        <w:rPr>
          <w:lang w:eastAsia="ja-JP"/>
        </w:rPr>
      </w:pPr>
      <w:r>
        <w:rPr>
          <w:lang w:eastAsia="ja-JP"/>
        </w:rPr>
        <w:t>The risks of regorafenib in patients with Child-Pugh C hepatic impairment are not clear.</w:t>
      </w:r>
    </w:p>
    <w:p w:rsidR="00620379" w:rsidRPr="00BA24C8" w:rsidRDefault="00620379" w:rsidP="00D6781D">
      <w:pPr>
        <w:pStyle w:val="Heading4"/>
      </w:pPr>
      <w:r w:rsidRPr="00BA24C8">
        <w:t xml:space="preserve">Second round assessment of benefit-risk </w:t>
      </w:r>
      <w:bookmarkEnd w:id="218"/>
      <w:bookmarkEnd w:id="219"/>
      <w:bookmarkEnd w:id="220"/>
      <w:bookmarkEnd w:id="221"/>
      <w:r w:rsidRPr="00BA24C8">
        <w:t>balance</w:t>
      </w:r>
      <w:bookmarkEnd w:id="222"/>
      <w:bookmarkEnd w:id="223"/>
      <w:bookmarkEnd w:id="224"/>
    </w:p>
    <w:p w:rsidR="00620379" w:rsidRPr="00BA24C8" w:rsidRDefault="00620379" w:rsidP="00620379">
      <w:pPr>
        <w:rPr>
          <w:lang w:eastAsia="ja-JP"/>
        </w:rPr>
      </w:pPr>
      <w:bookmarkStart w:id="225" w:name="_Toc488837868"/>
      <w:r>
        <w:rPr>
          <w:lang w:eastAsia="ja-JP"/>
        </w:rPr>
        <w:t>The benefit-risk balance of regorafenib in patients with hepatocellular carcinoma previously treated with sorafenib, with mild or moderate hepatic impairment, is favourable.</w:t>
      </w:r>
    </w:p>
    <w:p w:rsidR="00620379" w:rsidRPr="00BA24C8" w:rsidRDefault="00620379" w:rsidP="00D6781D">
      <w:pPr>
        <w:pStyle w:val="Heading4"/>
      </w:pPr>
      <w:r w:rsidRPr="00BA24C8">
        <w:t>Second round recommendation regarding authorisation</w:t>
      </w:r>
      <w:bookmarkEnd w:id="225"/>
    </w:p>
    <w:p w:rsidR="00620379" w:rsidRPr="00BA24C8" w:rsidRDefault="00620379" w:rsidP="00620379">
      <w:pPr>
        <w:rPr>
          <w:lang w:eastAsia="ja-JP"/>
        </w:rPr>
      </w:pPr>
      <w:r>
        <w:rPr>
          <w:lang w:eastAsia="ja-JP"/>
        </w:rPr>
        <w:t xml:space="preserve">Approval of regorafenib is recommended for the treatment of patients with HCC who have been previously treated with sorafenib and who have mild </w:t>
      </w:r>
      <w:r w:rsidR="00EC67F6">
        <w:rPr>
          <w:lang w:eastAsia="ja-JP"/>
        </w:rPr>
        <w:t>or moderate hepatic impairment.</w:t>
      </w:r>
    </w:p>
    <w:p w:rsidR="008E7846" w:rsidRPr="00E41208" w:rsidRDefault="008E7846" w:rsidP="00546154">
      <w:pPr>
        <w:pStyle w:val="Heading2"/>
      </w:pPr>
      <w:bookmarkStart w:id="226" w:name="_Toc12263468"/>
      <w:r w:rsidRPr="00E41208">
        <w:t>V</w:t>
      </w:r>
      <w:r w:rsidR="00500337">
        <w:t>I</w:t>
      </w:r>
      <w:r w:rsidRPr="00E41208">
        <w:t xml:space="preserve">. Pharmacovigilance </w:t>
      </w:r>
      <w:r>
        <w:t>f</w:t>
      </w:r>
      <w:r w:rsidRPr="00E41208">
        <w:t>indings</w:t>
      </w:r>
      <w:bookmarkEnd w:id="89"/>
      <w:bookmarkEnd w:id="90"/>
      <w:bookmarkEnd w:id="226"/>
    </w:p>
    <w:p w:rsidR="00546154" w:rsidRDefault="00546154" w:rsidP="00546154">
      <w:bookmarkStart w:id="227" w:name="_Toc247691526"/>
      <w:bookmarkStart w:id="228" w:name="_Toc314842509"/>
      <w:r w:rsidRPr="00443686">
        <w:t>The TGA granted a waiver</w:t>
      </w:r>
      <w:r w:rsidRPr="00215262">
        <w:t xml:space="preserve"> from the </w:t>
      </w:r>
      <w:r w:rsidRPr="00443686">
        <w:t>requirement for a Risk Management Plan for this application.</w:t>
      </w:r>
    </w:p>
    <w:p w:rsidR="008E7846" w:rsidRPr="00792A32" w:rsidRDefault="008E7846" w:rsidP="008E7846">
      <w:pPr>
        <w:pStyle w:val="Heading2"/>
      </w:pPr>
      <w:bookmarkStart w:id="229" w:name="_Toc247691527"/>
      <w:bookmarkStart w:id="230" w:name="_Toc314842510"/>
      <w:bookmarkStart w:id="231" w:name="_Toc12263469"/>
      <w:bookmarkEnd w:id="227"/>
      <w:bookmarkEnd w:id="228"/>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1"/>
      <w:bookmarkEnd w:id="229"/>
      <w:bookmarkEnd w:id="230"/>
      <w:bookmarkEnd w:id="231"/>
    </w:p>
    <w:p w:rsidR="008E7846" w:rsidRDefault="008E7846" w:rsidP="008E7846">
      <w:bookmarkStart w:id="23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33" w:name="_Toc314842511"/>
      <w:bookmarkStart w:id="234" w:name="_Toc12263470"/>
      <w:r>
        <w:t>Quality</w:t>
      </w:r>
      <w:bookmarkEnd w:id="232"/>
      <w:bookmarkEnd w:id="233"/>
      <w:bookmarkEnd w:id="234"/>
    </w:p>
    <w:p w:rsidR="00E45619" w:rsidRDefault="008E7846" w:rsidP="003A7F6C">
      <w:r>
        <w:t>There was no requirement for a quality evaluation in a submission of this type.</w:t>
      </w:r>
    </w:p>
    <w:p w:rsidR="008E7846" w:rsidRDefault="008E7846" w:rsidP="008E7846">
      <w:pPr>
        <w:pStyle w:val="Heading3"/>
      </w:pPr>
      <w:bookmarkStart w:id="235" w:name="_Toc314842512"/>
      <w:bookmarkStart w:id="236" w:name="_Toc12263471"/>
      <w:r>
        <w:t>Nonclinical</w:t>
      </w:r>
      <w:bookmarkEnd w:id="235"/>
      <w:bookmarkEnd w:id="236"/>
    </w:p>
    <w:p w:rsidR="008F4993" w:rsidRPr="00205D66" w:rsidRDefault="008F4993" w:rsidP="00D6781D">
      <w:pPr>
        <w:rPr>
          <w:lang w:eastAsia="en-AU"/>
        </w:rPr>
      </w:pPr>
      <w:r>
        <w:rPr>
          <w:lang w:eastAsia="en-AU"/>
        </w:rPr>
        <w:t xml:space="preserve">No additional nonclinical data was required for the extension of indication. The </w:t>
      </w:r>
      <w:r w:rsidR="00D6781D">
        <w:rPr>
          <w:lang w:eastAsia="en-AU"/>
        </w:rPr>
        <w:t xml:space="preserve">nonclinical </w:t>
      </w:r>
      <w:r>
        <w:rPr>
          <w:lang w:eastAsia="en-AU"/>
        </w:rPr>
        <w:t xml:space="preserve">evaluator reviewed the proposed updates to the </w:t>
      </w:r>
      <w:r w:rsidR="00D6781D">
        <w:rPr>
          <w:lang w:eastAsia="en-AU"/>
        </w:rPr>
        <w:t>PI</w:t>
      </w:r>
      <w:r>
        <w:rPr>
          <w:lang w:eastAsia="en-AU"/>
        </w:rPr>
        <w:t xml:space="preserve"> and considered them acceptable from a nonclinical perspective.</w:t>
      </w:r>
    </w:p>
    <w:p w:rsidR="008E7846" w:rsidRDefault="008E7846" w:rsidP="008E7846">
      <w:pPr>
        <w:pStyle w:val="Heading3"/>
      </w:pPr>
      <w:bookmarkStart w:id="237" w:name="_Toc247691530"/>
      <w:bookmarkStart w:id="238" w:name="_Toc314842513"/>
      <w:bookmarkStart w:id="239" w:name="_Toc12263472"/>
      <w:r>
        <w:t>Clinical</w:t>
      </w:r>
      <w:bookmarkEnd w:id="237"/>
      <w:bookmarkEnd w:id="238"/>
      <w:bookmarkEnd w:id="239"/>
    </w:p>
    <w:p w:rsidR="008F4993" w:rsidRPr="00084D8B" w:rsidRDefault="008F4993" w:rsidP="00D6781D">
      <w:pPr>
        <w:pStyle w:val="Heading4"/>
        <w:rPr>
          <w:lang w:eastAsia="en-AU"/>
        </w:rPr>
      </w:pPr>
      <w:bookmarkStart w:id="240" w:name="_Toc314842514"/>
      <w:r>
        <w:rPr>
          <w:lang w:eastAsia="en-AU"/>
        </w:rPr>
        <w:t xml:space="preserve">Pharmacodynamics </w:t>
      </w:r>
      <w:r w:rsidR="00D6781D">
        <w:rPr>
          <w:lang w:eastAsia="en-AU"/>
        </w:rPr>
        <w:t>and p</w:t>
      </w:r>
      <w:r w:rsidRPr="00783510">
        <w:rPr>
          <w:lang w:eastAsia="en-AU"/>
        </w:rPr>
        <w:t>harmacokinetics</w:t>
      </w:r>
    </w:p>
    <w:p w:rsidR="008F4993" w:rsidRPr="00D6781D" w:rsidRDefault="008F4993" w:rsidP="00D6781D">
      <w:r w:rsidRPr="00D6781D">
        <w:t xml:space="preserve">The sponsor provided six </w:t>
      </w:r>
      <w:r w:rsidR="00D6781D">
        <w:t>PK</w:t>
      </w:r>
      <w:r w:rsidRPr="00D6781D">
        <w:t xml:space="preserve"> and PD studies to support proposed changes to the </w:t>
      </w:r>
      <w:r w:rsidR="00D6781D">
        <w:t>PI</w:t>
      </w:r>
      <w:r w:rsidRPr="00D6781D">
        <w:t xml:space="preserve"> and/or the extension of indication for treatment of hepatocellular cancer</w:t>
      </w:r>
      <w:r w:rsidR="004151AE">
        <w:t>.</w:t>
      </w:r>
      <w:r w:rsidRPr="00D6781D">
        <w:t xml:space="preserve"> </w:t>
      </w:r>
      <w:bookmarkStart w:id="241" w:name="Table_9–2:__Pharmacokinetic_parameters_o"/>
      <w:bookmarkStart w:id="242" w:name="bookmark0"/>
      <w:bookmarkEnd w:id="241"/>
      <w:bookmarkEnd w:id="242"/>
      <w:r w:rsidRPr="00D6781D">
        <w:t>Only one population PK analys</w:t>
      </w:r>
      <w:r w:rsidR="004151AE">
        <w:t>es</w:t>
      </w:r>
      <w:r w:rsidRPr="00D6781D">
        <w:t xml:space="preserve"> included in the submission was directly relevant to the patients with HCC (</w:t>
      </w:r>
      <w:r w:rsidR="00D6781D">
        <w:t>Study</w:t>
      </w:r>
      <w:r w:rsidR="00947DF7">
        <w:t> </w:t>
      </w:r>
      <w:r w:rsidRPr="00D6781D">
        <w:t xml:space="preserve">R-11104). The analysis applied a population PK model developed using 14 earlier studies of regorafenib to estimate the PK of regorafenib in patients with HCC who had </w:t>
      </w:r>
      <w:r w:rsidRPr="00D6781D">
        <w:lastRenderedPageBreak/>
        <w:t>progressed on sorafenib. The estimated nominal exposure to regorafenib (over 24 hours) after 21 days of dosing was similar in patients with HCC and CRC (3039 ng/mL and 2957</w:t>
      </w:r>
      <w:r w:rsidR="00947DF7">
        <w:t> </w:t>
      </w:r>
      <w:r w:rsidRPr="00D6781D">
        <w:t>ng/mL, respectively) but approximately 20% lower in GIST patients (2473 ng/mL), whereas the estimated nominal exposure to regorafenib and its two active metabolites combined was similar across the three groups.</w:t>
      </w:r>
    </w:p>
    <w:p w:rsidR="008F4993" w:rsidRPr="00D6781D" w:rsidRDefault="008F4993" w:rsidP="00D6781D">
      <w:r w:rsidRPr="00D6781D">
        <w:t>No new information was provided regarding the effects of hepatic impairment on the PK of regorafenib. The sponsor indicated that there is limited PK data for patients with moderate (Child-Pugh B) hepatic impairment and no PK data for patients with severe (Child-Pugh C) hepatic impairment. All patients in the RESORCE study had mild (Child</w:t>
      </w:r>
      <w:r w:rsidR="00947DF7">
        <w:noBreakHyphen/>
      </w:r>
      <w:r w:rsidRPr="00D6781D">
        <w:t>Pugh A) hepatic impairment at screening. At the last measurement prior to the first dose of treatment 188 patients (97.4%) in the placebo group and 373 (98.7%) in the regorafenib group had mild hepatic impairment, and at the end of treatment 79 (62.2%) placebo and 118 (55.7%) regorafenib patients had mild hepatic impairment. Thirty-five patients (27.6%) in the placebo and 67 patients (31.6%) in the regorafenib patients had progressed to moderate hepatic impa</w:t>
      </w:r>
      <w:r w:rsidR="00EC67F6">
        <w:t>irment at the end of treatment.</w:t>
      </w:r>
    </w:p>
    <w:p w:rsidR="008F4993" w:rsidRPr="00084D8B" w:rsidRDefault="008F4993" w:rsidP="00D6781D">
      <w:pPr>
        <w:pStyle w:val="Heading4"/>
        <w:rPr>
          <w:lang w:eastAsia="en-AU"/>
        </w:rPr>
      </w:pPr>
      <w:r>
        <w:rPr>
          <w:lang w:eastAsia="en-AU"/>
        </w:rPr>
        <w:t>Efficacy</w:t>
      </w:r>
    </w:p>
    <w:p w:rsidR="008F4993" w:rsidRDefault="00D6781D" w:rsidP="008F4993">
      <w:pPr>
        <w:spacing w:after="240"/>
        <w:rPr>
          <w:lang w:eastAsia="en-AU"/>
        </w:rPr>
      </w:pPr>
      <w:r>
        <w:rPr>
          <w:lang w:eastAsia="en-AU"/>
        </w:rPr>
        <w:t>Table 18 provides a summary of the submitted efficacy studies.</w:t>
      </w:r>
    </w:p>
    <w:p w:rsidR="008F4993" w:rsidRPr="00C73765" w:rsidRDefault="00F17CA0" w:rsidP="00F17CA0">
      <w:pPr>
        <w:pStyle w:val="TableTitle"/>
        <w:numPr>
          <w:ilvl w:val="0"/>
          <w:numId w:val="0"/>
        </w:numPr>
      </w:pPr>
      <w:r>
        <w:t xml:space="preserve">Table 18: </w:t>
      </w:r>
      <w:r w:rsidR="008F4993" w:rsidRPr="00C73765">
        <w:t>Summary of efficacy studies</w:t>
      </w:r>
    </w:p>
    <w:tbl>
      <w:tblPr>
        <w:tblStyle w:val="TableTGAblue"/>
        <w:tblW w:w="0" w:type="auto"/>
        <w:tblLook w:val="04A0" w:firstRow="1" w:lastRow="0" w:firstColumn="1" w:lastColumn="0" w:noHBand="0" w:noVBand="1"/>
      </w:tblPr>
      <w:tblGrid>
        <w:gridCol w:w="1632"/>
        <w:gridCol w:w="3230"/>
        <w:gridCol w:w="3858"/>
      </w:tblGrid>
      <w:tr w:rsidR="008F4993" w:rsidRPr="00DC190D" w:rsidTr="00D6781D">
        <w:trPr>
          <w:cnfStyle w:val="100000000000" w:firstRow="1" w:lastRow="0" w:firstColumn="0" w:lastColumn="0" w:oddVBand="0" w:evenVBand="0" w:oddHBand="0" w:evenHBand="0" w:firstRowFirstColumn="0" w:firstRowLastColumn="0" w:lastRowFirstColumn="0" w:lastRowLastColumn="0"/>
          <w:cantSplit/>
        </w:trPr>
        <w:tc>
          <w:tcPr>
            <w:tcW w:w="1096" w:type="dxa"/>
          </w:tcPr>
          <w:p w:rsidR="008F4993" w:rsidRPr="00D6781D" w:rsidRDefault="00D6781D" w:rsidP="00D6781D">
            <w:pPr>
              <w:rPr>
                <w:sz w:val="20"/>
                <w:szCs w:val="20"/>
              </w:rPr>
            </w:pPr>
            <w:r>
              <w:rPr>
                <w:sz w:val="20"/>
                <w:szCs w:val="20"/>
              </w:rPr>
              <w:t>Study</w:t>
            </w:r>
          </w:p>
        </w:tc>
        <w:tc>
          <w:tcPr>
            <w:tcW w:w="3638" w:type="dxa"/>
          </w:tcPr>
          <w:p w:rsidR="008F4993" w:rsidRPr="00D6781D" w:rsidRDefault="008F4993" w:rsidP="00D6781D">
            <w:pPr>
              <w:rPr>
                <w:sz w:val="20"/>
                <w:szCs w:val="20"/>
              </w:rPr>
            </w:pPr>
            <w:r w:rsidRPr="00D6781D">
              <w:rPr>
                <w:sz w:val="20"/>
                <w:szCs w:val="20"/>
              </w:rPr>
              <w:t>RESORCE</w:t>
            </w:r>
          </w:p>
        </w:tc>
        <w:tc>
          <w:tcPr>
            <w:tcW w:w="4508" w:type="dxa"/>
          </w:tcPr>
          <w:p w:rsidR="008F4993" w:rsidRPr="00D6781D" w:rsidRDefault="008F4993" w:rsidP="00D6781D">
            <w:pPr>
              <w:rPr>
                <w:sz w:val="20"/>
                <w:szCs w:val="20"/>
              </w:rPr>
            </w:pPr>
            <w:r w:rsidRPr="00D6781D">
              <w:rPr>
                <w:sz w:val="20"/>
                <w:szCs w:val="20"/>
              </w:rPr>
              <w:t>PH-37288</w:t>
            </w:r>
          </w:p>
        </w:tc>
      </w:tr>
      <w:tr w:rsidR="008F4993" w:rsidRPr="00DC190D" w:rsidTr="006241FD">
        <w:tc>
          <w:tcPr>
            <w:tcW w:w="1096" w:type="dxa"/>
          </w:tcPr>
          <w:p w:rsidR="008F4993" w:rsidRPr="00D6781D" w:rsidRDefault="008F4993" w:rsidP="00D6781D">
            <w:pPr>
              <w:rPr>
                <w:color w:val="auto"/>
                <w:sz w:val="20"/>
                <w:szCs w:val="20"/>
                <w:lang w:eastAsia="en-US"/>
              </w:rPr>
            </w:pPr>
            <w:r w:rsidRPr="00D6781D">
              <w:rPr>
                <w:color w:val="auto"/>
                <w:sz w:val="20"/>
                <w:szCs w:val="20"/>
                <w:lang w:eastAsia="en-US"/>
              </w:rPr>
              <w:t>Patients</w:t>
            </w:r>
          </w:p>
        </w:tc>
        <w:tc>
          <w:tcPr>
            <w:tcW w:w="3638" w:type="dxa"/>
          </w:tcPr>
          <w:p w:rsidR="008F4993" w:rsidRPr="00D6781D" w:rsidRDefault="008F4993" w:rsidP="00D6781D">
            <w:pPr>
              <w:rPr>
                <w:color w:val="auto"/>
                <w:sz w:val="20"/>
                <w:szCs w:val="20"/>
                <w:lang w:eastAsia="en-US"/>
              </w:rPr>
            </w:pPr>
            <w:proofErr w:type="gramStart"/>
            <w:r w:rsidRPr="00D6781D">
              <w:rPr>
                <w:color w:val="auto"/>
                <w:sz w:val="20"/>
                <w:szCs w:val="20"/>
                <w:lang w:eastAsia="en-US"/>
              </w:rPr>
              <w:t>Patients</w:t>
            </w:r>
            <w:proofErr w:type="gramEnd"/>
            <w:r w:rsidRPr="00D6781D">
              <w:rPr>
                <w:color w:val="auto"/>
                <w:sz w:val="20"/>
                <w:szCs w:val="20"/>
                <w:lang w:eastAsia="en-US"/>
              </w:rPr>
              <w:t xml:space="preserve"> ≥ 18 years of age with advanced HCC that cannot benefit from treatments of established efficacy with higher priority such as resection, local ablation, chemoembolisation or systemic sorafenib. Patients must have tolerated treatment with sorafenib, but experienced radiologically defined disease progression while on </w:t>
            </w:r>
            <w:proofErr w:type="spellStart"/>
            <w:r w:rsidRPr="00D6781D">
              <w:rPr>
                <w:color w:val="auto"/>
                <w:sz w:val="20"/>
                <w:szCs w:val="20"/>
                <w:lang w:eastAsia="en-US"/>
              </w:rPr>
              <w:t>sorafenib</w:t>
            </w:r>
            <w:proofErr w:type="spellEnd"/>
            <w:r w:rsidR="00EC67F6">
              <w:rPr>
                <w:color w:val="auto"/>
                <w:sz w:val="20"/>
                <w:szCs w:val="20"/>
                <w:lang w:eastAsia="en-US"/>
              </w:rPr>
              <w:t>.</w:t>
            </w:r>
          </w:p>
        </w:tc>
        <w:tc>
          <w:tcPr>
            <w:tcW w:w="4508" w:type="dxa"/>
          </w:tcPr>
          <w:p w:rsidR="008F4993" w:rsidRPr="00D6781D" w:rsidRDefault="008F4993" w:rsidP="00D6781D">
            <w:pPr>
              <w:rPr>
                <w:color w:val="auto"/>
                <w:sz w:val="20"/>
                <w:szCs w:val="20"/>
                <w:lang w:eastAsia="en-US"/>
              </w:rPr>
            </w:pPr>
            <w:proofErr w:type="gramStart"/>
            <w:r w:rsidRPr="00D6781D">
              <w:rPr>
                <w:color w:val="auto"/>
                <w:sz w:val="20"/>
                <w:szCs w:val="20"/>
                <w:lang w:eastAsia="en-US"/>
              </w:rPr>
              <w:t>Patients</w:t>
            </w:r>
            <w:proofErr w:type="gramEnd"/>
            <w:r w:rsidRPr="00D6781D">
              <w:rPr>
                <w:color w:val="auto"/>
                <w:sz w:val="20"/>
                <w:szCs w:val="20"/>
                <w:lang w:eastAsia="en-US"/>
              </w:rPr>
              <w:t xml:space="preserve"> ≥ 18 years of age with advanced HCC who have failed prior treatment with sorafenib. Eligible patients should have BCLC stage A, B or C HCC that cannot benefit from treatments of established efficacy with higher priority (such as resection, liver transplantation, local ablation, </w:t>
            </w:r>
            <w:proofErr w:type="spellStart"/>
            <w:r w:rsidRPr="00D6781D">
              <w:rPr>
                <w:color w:val="auto"/>
                <w:sz w:val="20"/>
                <w:szCs w:val="20"/>
                <w:lang w:eastAsia="en-US"/>
              </w:rPr>
              <w:t>chemoembolisation</w:t>
            </w:r>
            <w:proofErr w:type="spellEnd"/>
            <w:r w:rsidRPr="00D6781D">
              <w:rPr>
                <w:color w:val="auto"/>
                <w:sz w:val="20"/>
                <w:szCs w:val="20"/>
                <w:lang w:eastAsia="en-US"/>
              </w:rPr>
              <w:t xml:space="preserve">, or systemic </w:t>
            </w:r>
            <w:proofErr w:type="spellStart"/>
            <w:r w:rsidRPr="00D6781D">
              <w:rPr>
                <w:color w:val="auto"/>
                <w:sz w:val="20"/>
                <w:szCs w:val="20"/>
                <w:lang w:eastAsia="en-US"/>
              </w:rPr>
              <w:t>sorafenib</w:t>
            </w:r>
            <w:proofErr w:type="spellEnd"/>
            <w:r w:rsidRPr="00D6781D">
              <w:rPr>
                <w:color w:val="auto"/>
                <w:sz w:val="20"/>
                <w:szCs w:val="20"/>
                <w:lang w:eastAsia="en-US"/>
              </w:rPr>
              <w:t>)</w:t>
            </w:r>
            <w:r w:rsidR="00EC67F6">
              <w:rPr>
                <w:color w:val="auto"/>
                <w:sz w:val="20"/>
                <w:szCs w:val="20"/>
                <w:lang w:eastAsia="en-US"/>
              </w:rPr>
              <w:t>.</w:t>
            </w:r>
          </w:p>
        </w:tc>
      </w:tr>
      <w:tr w:rsidR="008F4993" w:rsidRPr="00DC190D" w:rsidTr="006241FD">
        <w:tc>
          <w:tcPr>
            <w:tcW w:w="1096" w:type="dxa"/>
          </w:tcPr>
          <w:p w:rsidR="008F4993" w:rsidRPr="00D6781D" w:rsidRDefault="008F4993" w:rsidP="00D6781D">
            <w:pPr>
              <w:rPr>
                <w:color w:val="auto"/>
                <w:sz w:val="20"/>
                <w:szCs w:val="20"/>
                <w:lang w:eastAsia="en-US"/>
              </w:rPr>
            </w:pPr>
            <w:r w:rsidRPr="00D6781D">
              <w:rPr>
                <w:color w:val="auto"/>
                <w:sz w:val="20"/>
                <w:szCs w:val="20"/>
                <w:lang w:eastAsia="en-US"/>
              </w:rPr>
              <w:t>Intervention</w:t>
            </w:r>
          </w:p>
        </w:tc>
        <w:tc>
          <w:tcPr>
            <w:tcW w:w="3638" w:type="dxa"/>
          </w:tcPr>
          <w:p w:rsidR="008F4993" w:rsidRPr="00D6781D" w:rsidRDefault="008F4993" w:rsidP="00D6781D">
            <w:pPr>
              <w:rPr>
                <w:color w:val="auto"/>
                <w:sz w:val="20"/>
                <w:szCs w:val="20"/>
                <w:lang w:eastAsia="en-US"/>
              </w:rPr>
            </w:pPr>
            <w:r w:rsidRPr="00D6781D">
              <w:rPr>
                <w:color w:val="auto"/>
                <w:sz w:val="20"/>
                <w:szCs w:val="20"/>
                <w:lang w:eastAsia="en-US"/>
              </w:rPr>
              <w:t>Regorafenib 160mg daily in a cycle of three weeks on, one week off, plus best supportive care (BSC)</w:t>
            </w:r>
            <w:r w:rsidR="00EC67F6">
              <w:rPr>
                <w:color w:val="auto"/>
                <w:sz w:val="20"/>
                <w:szCs w:val="20"/>
                <w:lang w:eastAsia="en-US"/>
              </w:rPr>
              <w:t>.</w:t>
            </w:r>
          </w:p>
        </w:tc>
        <w:tc>
          <w:tcPr>
            <w:tcW w:w="4508" w:type="dxa"/>
          </w:tcPr>
          <w:p w:rsidR="008F4993" w:rsidRPr="00D6781D" w:rsidRDefault="008F4993" w:rsidP="00D6781D">
            <w:pPr>
              <w:rPr>
                <w:color w:val="auto"/>
                <w:sz w:val="20"/>
                <w:szCs w:val="20"/>
                <w:lang w:eastAsia="en-US"/>
              </w:rPr>
            </w:pPr>
            <w:r w:rsidRPr="00D6781D">
              <w:rPr>
                <w:color w:val="auto"/>
                <w:sz w:val="20"/>
                <w:szCs w:val="20"/>
                <w:lang w:eastAsia="en-US"/>
              </w:rPr>
              <w:t>Regorafenib 160mg daily in a cycle of three w</w:t>
            </w:r>
            <w:r w:rsidR="00EC67F6">
              <w:rPr>
                <w:color w:val="auto"/>
                <w:sz w:val="20"/>
                <w:szCs w:val="20"/>
                <w:lang w:eastAsia="en-US"/>
              </w:rPr>
              <w:t>eeks on, one week off, plus BSC.</w:t>
            </w:r>
          </w:p>
        </w:tc>
      </w:tr>
      <w:tr w:rsidR="008F4993" w:rsidRPr="00DC190D" w:rsidTr="006241FD">
        <w:tc>
          <w:tcPr>
            <w:tcW w:w="1096" w:type="dxa"/>
          </w:tcPr>
          <w:p w:rsidR="008F4993" w:rsidRPr="00D6781D" w:rsidRDefault="008F4993" w:rsidP="00D6781D">
            <w:pPr>
              <w:rPr>
                <w:color w:val="auto"/>
                <w:sz w:val="20"/>
                <w:szCs w:val="20"/>
                <w:lang w:eastAsia="en-US"/>
              </w:rPr>
            </w:pPr>
            <w:r w:rsidRPr="00D6781D">
              <w:rPr>
                <w:color w:val="auto"/>
                <w:sz w:val="20"/>
                <w:szCs w:val="20"/>
                <w:lang w:eastAsia="en-US"/>
              </w:rPr>
              <w:t>Comparator</w:t>
            </w:r>
          </w:p>
        </w:tc>
        <w:tc>
          <w:tcPr>
            <w:tcW w:w="3638" w:type="dxa"/>
          </w:tcPr>
          <w:p w:rsidR="008F4993" w:rsidRPr="00D6781D" w:rsidRDefault="008F4993" w:rsidP="00D6781D">
            <w:pPr>
              <w:rPr>
                <w:color w:val="auto"/>
                <w:sz w:val="20"/>
                <w:szCs w:val="20"/>
                <w:lang w:eastAsia="en-US"/>
              </w:rPr>
            </w:pPr>
            <w:r w:rsidRPr="00D6781D">
              <w:rPr>
                <w:color w:val="auto"/>
                <w:sz w:val="20"/>
                <w:szCs w:val="20"/>
                <w:lang w:eastAsia="en-US"/>
              </w:rPr>
              <w:t>Placebo to match dose schedule, plus BSC</w:t>
            </w:r>
            <w:r w:rsidR="00EC67F6">
              <w:rPr>
                <w:color w:val="auto"/>
                <w:sz w:val="20"/>
                <w:szCs w:val="20"/>
                <w:lang w:eastAsia="en-US"/>
              </w:rPr>
              <w:t>.</w:t>
            </w:r>
          </w:p>
        </w:tc>
        <w:tc>
          <w:tcPr>
            <w:tcW w:w="4508" w:type="dxa"/>
          </w:tcPr>
          <w:p w:rsidR="008F4993" w:rsidRPr="00D6781D" w:rsidRDefault="008F4993" w:rsidP="00D6781D">
            <w:pPr>
              <w:rPr>
                <w:color w:val="auto"/>
                <w:sz w:val="20"/>
                <w:szCs w:val="20"/>
                <w:lang w:eastAsia="en-US"/>
              </w:rPr>
            </w:pPr>
            <w:r w:rsidRPr="00D6781D">
              <w:rPr>
                <w:color w:val="auto"/>
                <w:sz w:val="20"/>
                <w:szCs w:val="20"/>
                <w:lang w:eastAsia="en-US"/>
              </w:rPr>
              <w:t>None, single arm open label study</w:t>
            </w:r>
            <w:r w:rsidR="00EC67F6">
              <w:rPr>
                <w:color w:val="auto"/>
                <w:sz w:val="20"/>
                <w:szCs w:val="20"/>
                <w:lang w:eastAsia="en-US"/>
              </w:rPr>
              <w:t>.</w:t>
            </w:r>
          </w:p>
        </w:tc>
      </w:tr>
      <w:tr w:rsidR="008F4993" w:rsidRPr="00DC190D" w:rsidTr="006241FD">
        <w:tc>
          <w:tcPr>
            <w:tcW w:w="1096" w:type="dxa"/>
          </w:tcPr>
          <w:p w:rsidR="008F4993" w:rsidRPr="00D6781D" w:rsidRDefault="008F4993" w:rsidP="00D6781D">
            <w:pPr>
              <w:rPr>
                <w:color w:val="auto"/>
                <w:sz w:val="20"/>
                <w:szCs w:val="20"/>
                <w:lang w:eastAsia="en-US"/>
              </w:rPr>
            </w:pPr>
            <w:r w:rsidRPr="00D6781D">
              <w:rPr>
                <w:color w:val="auto"/>
                <w:sz w:val="20"/>
                <w:szCs w:val="20"/>
                <w:lang w:eastAsia="en-US"/>
              </w:rPr>
              <w:t>Primary endpoint</w:t>
            </w:r>
          </w:p>
        </w:tc>
        <w:tc>
          <w:tcPr>
            <w:tcW w:w="3638" w:type="dxa"/>
          </w:tcPr>
          <w:p w:rsidR="008F4993" w:rsidRPr="00D6781D" w:rsidRDefault="008F4993" w:rsidP="000C6E94">
            <w:pPr>
              <w:rPr>
                <w:color w:val="auto"/>
                <w:sz w:val="20"/>
                <w:szCs w:val="20"/>
                <w:lang w:eastAsia="en-US"/>
              </w:rPr>
            </w:pPr>
            <w:r w:rsidRPr="00D6781D">
              <w:rPr>
                <w:color w:val="auto"/>
                <w:sz w:val="20"/>
                <w:szCs w:val="20"/>
                <w:lang w:eastAsia="en-US"/>
              </w:rPr>
              <w:t>OS</w:t>
            </w:r>
          </w:p>
        </w:tc>
        <w:tc>
          <w:tcPr>
            <w:tcW w:w="4508" w:type="dxa"/>
          </w:tcPr>
          <w:p w:rsidR="008F4993" w:rsidRPr="00D6781D" w:rsidRDefault="008F4993" w:rsidP="00D6781D">
            <w:pPr>
              <w:rPr>
                <w:color w:val="auto"/>
                <w:sz w:val="20"/>
                <w:szCs w:val="20"/>
                <w:lang w:eastAsia="en-US"/>
              </w:rPr>
            </w:pPr>
            <w:r w:rsidRPr="00D6781D">
              <w:rPr>
                <w:color w:val="auto"/>
                <w:sz w:val="20"/>
                <w:szCs w:val="20"/>
                <w:lang w:eastAsia="en-US"/>
              </w:rPr>
              <w:t>Safety</w:t>
            </w:r>
          </w:p>
        </w:tc>
      </w:tr>
      <w:tr w:rsidR="008F4993" w:rsidRPr="00DC190D" w:rsidTr="006241FD">
        <w:tc>
          <w:tcPr>
            <w:tcW w:w="1096" w:type="dxa"/>
          </w:tcPr>
          <w:p w:rsidR="008F4993" w:rsidRPr="00D6781D" w:rsidRDefault="008F4993" w:rsidP="00D6781D">
            <w:pPr>
              <w:rPr>
                <w:color w:val="auto"/>
                <w:sz w:val="20"/>
                <w:szCs w:val="20"/>
                <w:lang w:eastAsia="en-US"/>
              </w:rPr>
            </w:pPr>
            <w:r w:rsidRPr="00D6781D">
              <w:rPr>
                <w:color w:val="auto"/>
                <w:sz w:val="20"/>
                <w:szCs w:val="20"/>
                <w:lang w:eastAsia="en-US"/>
              </w:rPr>
              <w:t>Other endpoints</w:t>
            </w:r>
          </w:p>
        </w:tc>
        <w:tc>
          <w:tcPr>
            <w:tcW w:w="3638" w:type="dxa"/>
          </w:tcPr>
          <w:p w:rsidR="008F4993" w:rsidRPr="00D6781D" w:rsidRDefault="008F4993" w:rsidP="00D6781D">
            <w:pPr>
              <w:rPr>
                <w:color w:val="auto"/>
                <w:sz w:val="20"/>
                <w:szCs w:val="20"/>
                <w:lang w:eastAsia="en-US"/>
              </w:rPr>
            </w:pPr>
            <w:r w:rsidRPr="00D6781D">
              <w:rPr>
                <w:color w:val="auto"/>
                <w:sz w:val="20"/>
                <w:szCs w:val="20"/>
                <w:lang w:eastAsia="en-US"/>
              </w:rPr>
              <w:t>Time to Progression (TTP, mRECIST criteria)</w:t>
            </w:r>
          </w:p>
          <w:p w:rsidR="008F4993" w:rsidRPr="00D6781D" w:rsidRDefault="008F4993" w:rsidP="00D6781D">
            <w:pPr>
              <w:rPr>
                <w:color w:val="auto"/>
                <w:sz w:val="20"/>
                <w:szCs w:val="20"/>
                <w:lang w:eastAsia="en-US"/>
              </w:rPr>
            </w:pPr>
            <w:r w:rsidRPr="00D6781D">
              <w:rPr>
                <w:color w:val="auto"/>
                <w:sz w:val="20"/>
                <w:szCs w:val="20"/>
                <w:lang w:eastAsia="en-US"/>
              </w:rPr>
              <w:t>Progression free Survival (PFS, mRECIST criteria)</w:t>
            </w:r>
          </w:p>
          <w:p w:rsidR="008F4993" w:rsidRPr="00D6781D" w:rsidRDefault="008F4993" w:rsidP="00D6781D">
            <w:pPr>
              <w:rPr>
                <w:color w:val="auto"/>
                <w:sz w:val="20"/>
                <w:szCs w:val="20"/>
                <w:lang w:eastAsia="en-US"/>
              </w:rPr>
            </w:pPr>
            <w:r w:rsidRPr="00D6781D">
              <w:rPr>
                <w:color w:val="auto"/>
                <w:sz w:val="20"/>
                <w:szCs w:val="20"/>
                <w:lang w:eastAsia="en-US"/>
              </w:rPr>
              <w:t xml:space="preserve">Objective response rate (ORR, </w:t>
            </w:r>
            <w:r w:rsidRPr="00D6781D">
              <w:rPr>
                <w:color w:val="auto"/>
                <w:sz w:val="20"/>
                <w:szCs w:val="20"/>
                <w:lang w:eastAsia="en-US"/>
              </w:rPr>
              <w:lastRenderedPageBreak/>
              <w:t>mRECIST criteria)</w:t>
            </w:r>
          </w:p>
          <w:p w:rsidR="008F4993" w:rsidRPr="00D6781D" w:rsidRDefault="008F4993" w:rsidP="00D6781D">
            <w:pPr>
              <w:rPr>
                <w:color w:val="auto"/>
                <w:sz w:val="20"/>
                <w:szCs w:val="20"/>
                <w:lang w:eastAsia="en-US"/>
              </w:rPr>
            </w:pPr>
            <w:r w:rsidRPr="00D6781D">
              <w:rPr>
                <w:color w:val="auto"/>
                <w:sz w:val="20"/>
                <w:szCs w:val="20"/>
                <w:lang w:eastAsia="en-US"/>
              </w:rPr>
              <w:t>Disease control rate (DCR, mRECIST criteria)</w:t>
            </w:r>
          </w:p>
          <w:p w:rsidR="008F4993" w:rsidRPr="00D6781D" w:rsidRDefault="008F4993" w:rsidP="00D6781D">
            <w:pPr>
              <w:rPr>
                <w:color w:val="auto"/>
                <w:sz w:val="20"/>
                <w:szCs w:val="20"/>
                <w:lang w:eastAsia="en-US"/>
              </w:rPr>
            </w:pPr>
            <w:r w:rsidRPr="00D6781D">
              <w:rPr>
                <w:color w:val="auto"/>
                <w:sz w:val="20"/>
                <w:szCs w:val="20"/>
                <w:lang w:eastAsia="en-US"/>
              </w:rPr>
              <w:t>Median duration of response (CR + PR)</w:t>
            </w:r>
          </w:p>
          <w:p w:rsidR="008F4993" w:rsidRPr="00D6781D" w:rsidRDefault="008F4993" w:rsidP="00D6781D">
            <w:pPr>
              <w:rPr>
                <w:color w:val="auto"/>
                <w:sz w:val="20"/>
                <w:szCs w:val="20"/>
                <w:lang w:eastAsia="en-US"/>
              </w:rPr>
            </w:pPr>
            <w:r w:rsidRPr="00D6781D">
              <w:rPr>
                <w:color w:val="auto"/>
                <w:sz w:val="20"/>
                <w:szCs w:val="20"/>
                <w:lang w:eastAsia="en-US"/>
              </w:rPr>
              <w:t>Median duration of stable disease in patients who did not achieve CR or PR</w:t>
            </w:r>
          </w:p>
          <w:p w:rsidR="008F4993" w:rsidRPr="00D6781D" w:rsidRDefault="008F4993" w:rsidP="00D6781D">
            <w:pPr>
              <w:rPr>
                <w:color w:val="auto"/>
                <w:sz w:val="20"/>
                <w:szCs w:val="20"/>
                <w:lang w:eastAsia="en-US"/>
              </w:rPr>
            </w:pPr>
            <w:r w:rsidRPr="00D6781D">
              <w:rPr>
                <w:color w:val="auto"/>
                <w:sz w:val="20"/>
                <w:szCs w:val="20"/>
                <w:lang w:eastAsia="en-US"/>
              </w:rPr>
              <w:t>Health-related quality of life (QOL)</w:t>
            </w:r>
          </w:p>
        </w:tc>
        <w:tc>
          <w:tcPr>
            <w:tcW w:w="4508" w:type="dxa"/>
          </w:tcPr>
          <w:p w:rsidR="008F4993" w:rsidRPr="00D6781D" w:rsidRDefault="00EC67F6" w:rsidP="00D6781D">
            <w:pPr>
              <w:rPr>
                <w:color w:val="auto"/>
                <w:sz w:val="20"/>
                <w:szCs w:val="20"/>
                <w:lang w:eastAsia="en-US"/>
              </w:rPr>
            </w:pPr>
            <w:r>
              <w:rPr>
                <w:color w:val="auto"/>
                <w:sz w:val="20"/>
                <w:szCs w:val="20"/>
                <w:lang w:eastAsia="en-US"/>
              </w:rPr>
              <w:lastRenderedPageBreak/>
              <w:t>Median OS</w:t>
            </w:r>
          </w:p>
          <w:p w:rsidR="008F4993" w:rsidRPr="00D6781D" w:rsidRDefault="00EC67F6" w:rsidP="00D6781D">
            <w:pPr>
              <w:rPr>
                <w:color w:val="auto"/>
                <w:sz w:val="20"/>
                <w:szCs w:val="20"/>
                <w:lang w:eastAsia="en-US"/>
              </w:rPr>
            </w:pPr>
            <w:r>
              <w:rPr>
                <w:color w:val="auto"/>
                <w:sz w:val="20"/>
                <w:szCs w:val="20"/>
                <w:lang w:eastAsia="en-US"/>
              </w:rPr>
              <w:t>Median TTP</w:t>
            </w:r>
          </w:p>
          <w:p w:rsidR="008F4993" w:rsidRPr="00D6781D" w:rsidRDefault="008F4993" w:rsidP="00D6781D">
            <w:pPr>
              <w:rPr>
                <w:color w:val="auto"/>
                <w:sz w:val="20"/>
                <w:szCs w:val="20"/>
                <w:lang w:eastAsia="en-US"/>
              </w:rPr>
            </w:pPr>
            <w:r w:rsidRPr="00D6781D">
              <w:rPr>
                <w:color w:val="auto"/>
                <w:sz w:val="20"/>
                <w:szCs w:val="20"/>
                <w:lang w:eastAsia="en-US"/>
              </w:rPr>
              <w:t>ORR</w:t>
            </w:r>
          </w:p>
          <w:p w:rsidR="008F4993" w:rsidRPr="00D6781D" w:rsidRDefault="008F4993" w:rsidP="00D6781D">
            <w:pPr>
              <w:rPr>
                <w:color w:val="auto"/>
                <w:sz w:val="20"/>
                <w:szCs w:val="20"/>
                <w:lang w:eastAsia="en-US"/>
              </w:rPr>
            </w:pPr>
            <w:r w:rsidRPr="00D6781D">
              <w:rPr>
                <w:color w:val="auto"/>
                <w:sz w:val="20"/>
                <w:szCs w:val="20"/>
                <w:lang w:eastAsia="en-US"/>
              </w:rPr>
              <w:t>DCR</w:t>
            </w:r>
          </w:p>
        </w:tc>
      </w:tr>
    </w:tbl>
    <w:p w:rsidR="008F4993" w:rsidRPr="00535976" w:rsidRDefault="008F4993" w:rsidP="00D6781D">
      <w:pPr>
        <w:pStyle w:val="Heading5"/>
        <w:rPr>
          <w:lang w:eastAsia="en-AU"/>
        </w:rPr>
      </w:pPr>
      <w:r>
        <w:rPr>
          <w:lang w:eastAsia="en-AU"/>
        </w:rPr>
        <w:lastRenderedPageBreak/>
        <w:t>Study report PH-38451 (RESORCE, STUDY 15982)</w:t>
      </w:r>
    </w:p>
    <w:p w:rsidR="008F4993" w:rsidRDefault="00D6781D" w:rsidP="008F4993">
      <w:pPr>
        <w:rPr>
          <w:lang w:eastAsia="en-AU"/>
        </w:rPr>
      </w:pPr>
      <w:r>
        <w:rPr>
          <w:lang w:eastAsia="en-AU"/>
        </w:rPr>
        <w:t xml:space="preserve">The </w:t>
      </w:r>
      <w:r w:rsidR="008F4993">
        <w:rPr>
          <w:lang w:eastAsia="en-AU"/>
        </w:rPr>
        <w:t>RESORCE</w:t>
      </w:r>
      <w:r>
        <w:rPr>
          <w:lang w:eastAsia="en-AU"/>
        </w:rPr>
        <w:t xml:space="preserve"> study</w:t>
      </w:r>
      <w:r w:rsidR="008F4993">
        <w:t xml:space="preserve"> </w:t>
      </w:r>
      <w:r w:rsidR="008F4993" w:rsidRPr="00D658CB">
        <w:rPr>
          <w:lang w:eastAsia="en-AU"/>
        </w:rPr>
        <w:t xml:space="preserve">was a multi-centre, randomised, </w:t>
      </w:r>
      <w:r w:rsidR="00462820">
        <w:rPr>
          <w:lang w:eastAsia="en-AU"/>
        </w:rPr>
        <w:t>double blind</w:t>
      </w:r>
      <w:r w:rsidR="008F4993" w:rsidRPr="00D658CB">
        <w:rPr>
          <w:lang w:eastAsia="en-AU"/>
        </w:rPr>
        <w:t xml:space="preserve">, </w:t>
      </w:r>
      <w:r w:rsidR="00462820">
        <w:rPr>
          <w:lang w:eastAsia="en-AU"/>
        </w:rPr>
        <w:t>placebo controlled</w:t>
      </w:r>
      <w:r w:rsidR="008F4993" w:rsidRPr="00D658CB">
        <w:rPr>
          <w:lang w:eastAsia="en-AU"/>
        </w:rPr>
        <w:t xml:space="preserve">, </w:t>
      </w:r>
      <w:r w:rsidR="00126F1A">
        <w:rPr>
          <w:lang w:eastAsia="en-AU"/>
        </w:rPr>
        <w:t>Phase III</w:t>
      </w:r>
      <w:r w:rsidR="008F4993" w:rsidRPr="00D658CB">
        <w:rPr>
          <w:lang w:eastAsia="en-AU"/>
        </w:rPr>
        <w:t xml:space="preserve"> study evaluating the efficacy and safety of regorafenib in </w:t>
      </w:r>
      <w:r w:rsidR="008F4993">
        <w:rPr>
          <w:lang w:eastAsia="en-AU"/>
        </w:rPr>
        <w:t>participant</w:t>
      </w:r>
      <w:r w:rsidR="008F4993" w:rsidRPr="00D658CB">
        <w:rPr>
          <w:lang w:eastAsia="en-AU"/>
        </w:rPr>
        <w:t xml:space="preserve">s with </w:t>
      </w:r>
      <w:r w:rsidR="008F4993">
        <w:rPr>
          <w:lang w:eastAsia="en-AU"/>
        </w:rPr>
        <w:t xml:space="preserve">advanced </w:t>
      </w:r>
      <w:r w:rsidR="008F4993" w:rsidRPr="00D658CB">
        <w:rPr>
          <w:lang w:eastAsia="en-AU"/>
        </w:rPr>
        <w:t xml:space="preserve">HCC who had progressed on sorafenib treatment. </w:t>
      </w:r>
      <w:r w:rsidR="008F4993">
        <w:rPr>
          <w:lang w:eastAsia="en-AU"/>
        </w:rPr>
        <w:t xml:space="preserve">The primary efficacy endpoint was </w:t>
      </w:r>
      <w:r w:rsidR="008F4993" w:rsidRPr="00DA0C28">
        <w:t xml:space="preserve">OS. Secondary efficacy endpoints included PFS, TTP, </w:t>
      </w:r>
      <w:r w:rsidR="00407613" w:rsidRPr="00DA0C28">
        <w:t xml:space="preserve">objective response rate (ORR) </w:t>
      </w:r>
      <w:r w:rsidR="008F4993" w:rsidRPr="00DA0C28">
        <w:t xml:space="preserve">and </w:t>
      </w:r>
      <w:r w:rsidR="008F4993">
        <w:rPr>
          <w:lang w:eastAsia="en-AU"/>
        </w:rPr>
        <w:t>DCR.</w:t>
      </w:r>
    </w:p>
    <w:p w:rsidR="008F4993" w:rsidRDefault="008F4993" w:rsidP="008F4993">
      <w:pPr>
        <w:rPr>
          <w:lang w:eastAsia="en-AU"/>
        </w:rPr>
      </w:pPr>
      <w:r>
        <w:rPr>
          <w:lang w:eastAsia="en-AU"/>
        </w:rPr>
        <w:t>Participants</w:t>
      </w:r>
      <w:r w:rsidRPr="00D658CB">
        <w:rPr>
          <w:lang w:eastAsia="en-AU"/>
        </w:rPr>
        <w:t xml:space="preserve"> were enrolled in 152 centres across 21 countries</w:t>
      </w:r>
      <w:r>
        <w:rPr>
          <w:lang w:eastAsia="en-AU"/>
        </w:rPr>
        <w:t xml:space="preserve"> and</w:t>
      </w:r>
      <w:r w:rsidRPr="00D658CB">
        <w:rPr>
          <w:lang w:eastAsia="en-AU"/>
        </w:rPr>
        <w:t xml:space="preserve"> were randomised in a 2:1 ratio to receive either regorafenib or placebo.</w:t>
      </w:r>
      <w:r w:rsidRPr="00237C11">
        <w:rPr>
          <w:lang w:eastAsia="en-AU"/>
        </w:rPr>
        <w:t xml:space="preserve"> </w:t>
      </w:r>
      <w:r w:rsidRPr="00D658CB">
        <w:rPr>
          <w:lang w:eastAsia="en-AU"/>
        </w:rPr>
        <w:t xml:space="preserve">Randomisation was stratified by geographical region (Asia versus the rest of the world </w:t>
      </w:r>
      <w:r w:rsidR="007E64A4">
        <w:rPr>
          <w:lang w:eastAsia="en-AU"/>
        </w:rPr>
        <w:t>(</w:t>
      </w:r>
      <w:r w:rsidRPr="00D658CB">
        <w:rPr>
          <w:lang w:eastAsia="en-AU"/>
        </w:rPr>
        <w:t>ROW</w:t>
      </w:r>
      <w:r w:rsidR="007E64A4">
        <w:rPr>
          <w:lang w:eastAsia="en-AU"/>
        </w:rPr>
        <w:t>)</w:t>
      </w:r>
      <w:r w:rsidRPr="00D658CB">
        <w:rPr>
          <w:lang w:eastAsia="en-AU"/>
        </w:rPr>
        <w:t>), ECOG performance status</w:t>
      </w:r>
      <w:r>
        <w:rPr>
          <w:lang w:eastAsia="en-AU"/>
        </w:rPr>
        <w:t xml:space="preserve"> at baseline</w:t>
      </w:r>
      <w:r w:rsidRPr="00D658CB">
        <w:rPr>
          <w:lang w:eastAsia="en-AU"/>
        </w:rPr>
        <w:t xml:space="preserve"> (0 versus 1), alpha-fetoprotein (AFP) levels (&lt;</w:t>
      </w:r>
      <w:r w:rsidR="00EC67F6">
        <w:rPr>
          <w:lang w:eastAsia="en-AU"/>
        </w:rPr>
        <w:t xml:space="preserve"> </w:t>
      </w:r>
      <w:r w:rsidRPr="00D658CB">
        <w:rPr>
          <w:lang w:eastAsia="en-AU"/>
        </w:rPr>
        <w:t>400 ng/mL versus ≥</w:t>
      </w:r>
      <w:r w:rsidR="00EC67F6">
        <w:rPr>
          <w:lang w:eastAsia="en-AU"/>
        </w:rPr>
        <w:t> 400 </w:t>
      </w:r>
      <w:r w:rsidRPr="00D658CB">
        <w:rPr>
          <w:lang w:eastAsia="en-AU"/>
        </w:rPr>
        <w:t>ng/mL), extra-hepatic disease (presence versus absence) and macrovascular invasion (presence versus absence).</w:t>
      </w:r>
    </w:p>
    <w:p w:rsidR="008F4993" w:rsidRDefault="008F4993" w:rsidP="008F4993">
      <w:pPr>
        <w:rPr>
          <w:lang w:eastAsia="en-AU"/>
        </w:rPr>
      </w:pPr>
      <w:r w:rsidRPr="00D658CB">
        <w:rPr>
          <w:lang w:eastAsia="en-AU"/>
        </w:rPr>
        <w:t xml:space="preserve">In addition to the regorafenib or placebo treatment, </w:t>
      </w:r>
      <w:r>
        <w:rPr>
          <w:lang w:eastAsia="en-AU"/>
        </w:rPr>
        <w:t>the participants</w:t>
      </w:r>
      <w:r w:rsidRPr="00D658CB">
        <w:rPr>
          <w:lang w:eastAsia="en-AU"/>
        </w:rPr>
        <w:t xml:space="preserve"> received best supportive care (BSC).</w:t>
      </w:r>
      <w:r w:rsidRPr="00D658CB">
        <w:t xml:space="preserve"> </w:t>
      </w:r>
      <w:r>
        <w:rPr>
          <w:lang w:eastAsia="en-AU"/>
        </w:rPr>
        <w:t>Participants</w:t>
      </w:r>
      <w:r w:rsidRPr="00D658CB">
        <w:rPr>
          <w:lang w:eastAsia="en-AU"/>
        </w:rPr>
        <w:t xml:space="preserve"> continued on treatment until one of the following main </w:t>
      </w:r>
      <w:r>
        <w:rPr>
          <w:lang w:eastAsia="en-AU"/>
        </w:rPr>
        <w:t>events</w:t>
      </w:r>
      <w:r w:rsidRPr="00D658CB">
        <w:rPr>
          <w:lang w:eastAsia="en-AU"/>
        </w:rPr>
        <w:t xml:space="preserve"> was observed: </w:t>
      </w:r>
      <w:r w:rsidR="00407613">
        <w:rPr>
          <w:lang w:eastAsia="en-AU"/>
        </w:rPr>
        <w:t>p</w:t>
      </w:r>
      <w:r w:rsidR="00407613" w:rsidRPr="00407613">
        <w:t>rogressive disease</w:t>
      </w:r>
      <w:r w:rsidRPr="00D658CB">
        <w:rPr>
          <w:lang w:eastAsia="en-AU"/>
        </w:rPr>
        <w:t xml:space="preserve"> as defined by modified Response Evaluation Criteria in Solid Tumours for Hepatocellular Carcinoma (mRECIST); clinical progression (defined as worsening of the ECOG</w:t>
      </w:r>
      <w:r w:rsidR="00D6781D">
        <w:rPr>
          <w:lang w:eastAsia="en-AU"/>
        </w:rPr>
        <w:t xml:space="preserve"> </w:t>
      </w:r>
      <w:r w:rsidRPr="00D658CB">
        <w:rPr>
          <w:lang w:eastAsia="en-AU"/>
        </w:rPr>
        <w:t>PS</w:t>
      </w:r>
      <w:r w:rsidR="00686D30">
        <w:rPr>
          <w:vertAlign w:val="superscript"/>
          <w:lang w:eastAsia="en-AU"/>
        </w:rPr>
        <w:t xml:space="preserve"> </w:t>
      </w:r>
      <w:r w:rsidRPr="00D658CB">
        <w:rPr>
          <w:lang w:eastAsia="en-AU"/>
        </w:rPr>
        <w:t>score ≥</w:t>
      </w:r>
      <w:r w:rsidR="00EC67F6">
        <w:rPr>
          <w:lang w:eastAsia="en-AU"/>
        </w:rPr>
        <w:t xml:space="preserve"> </w:t>
      </w:r>
      <w:r w:rsidRPr="00D658CB">
        <w:rPr>
          <w:lang w:eastAsia="en-AU"/>
        </w:rPr>
        <w:t xml:space="preserve">3 or symptomatic deterioration including increase in liver function tests; death due to any cause; unacceptable toxicity; </w:t>
      </w:r>
      <w:r>
        <w:rPr>
          <w:lang w:eastAsia="en-AU"/>
        </w:rPr>
        <w:t>participant</w:t>
      </w:r>
      <w:r w:rsidRPr="00D658CB">
        <w:rPr>
          <w:lang w:eastAsia="en-AU"/>
        </w:rPr>
        <w:t xml:space="preserve"> withdrew consent; treating physician determined that discontinuation of treatment was in the </w:t>
      </w:r>
      <w:r>
        <w:rPr>
          <w:lang w:eastAsia="en-AU"/>
        </w:rPr>
        <w:t>participant</w:t>
      </w:r>
      <w:r w:rsidRPr="00D658CB">
        <w:rPr>
          <w:lang w:eastAsia="en-AU"/>
        </w:rPr>
        <w:t xml:space="preserve">’s best interest. The </w:t>
      </w:r>
      <w:r>
        <w:rPr>
          <w:lang w:eastAsia="en-AU"/>
        </w:rPr>
        <w:t xml:space="preserve">study </w:t>
      </w:r>
      <w:r w:rsidRPr="00D658CB">
        <w:rPr>
          <w:lang w:eastAsia="en-AU"/>
        </w:rPr>
        <w:t xml:space="preserve">start </w:t>
      </w:r>
      <w:r>
        <w:rPr>
          <w:lang w:eastAsia="en-AU"/>
        </w:rPr>
        <w:t xml:space="preserve">date </w:t>
      </w:r>
      <w:r w:rsidRPr="00D658CB">
        <w:rPr>
          <w:lang w:eastAsia="en-AU"/>
        </w:rPr>
        <w:t xml:space="preserve">(first patient, first visit) </w:t>
      </w:r>
      <w:r>
        <w:rPr>
          <w:lang w:eastAsia="en-AU"/>
        </w:rPr>
        <w:t xml:space="preserve">was </w:t>
      </w:r>
      <w:r w:rsidRPr="00D658CB">
        <w:rPr>
          <w:lang w:eastAsia="en-AU"/>
        </w:rPr>
        <w:t xml:space="preserve">14 May 2013 </w:t>
      </w:r>
      <w:r>
        <w:rPr>
          <w:lang w:eastAsia="en-AU"/>
        </w:rPr>
        <w:t>and end date</w:t>
      </w:r>
      <w:r w:rsidRPr="00D658CB">
        <w:rPr>
          <w:lang w:eastAsia="en-AU"/>
        </w:rPr>
        <w:t xml:space="preserve"> (last patient, last visit)</w:t>
      </w:r>
      <w:r>
        <w:rPr>
          <w:lang w:eastAsia="en-AU"/>
        </w:rPr>
        <w:t xml:space="preserve"> was </w:t>
      </w:r>
      <w:r w:rsidRPr="00D658CB">
        <w:rPr>
          <w:lang w:eastAsia="en-AU"/>
        </w:rPr>
        <w:t>29 February 2016</w:t>
      </w:r>
      <w:r>
        <w:rPr>
          <w:lang w:eastAsia="en-AU"/>
        </w:rPr>
        <w:t>.</w:t>
      </w:r>
    </w:p>
    <w:p w:rsidR="008F4993" w:rsidRPr="00D658CB" w:rsidRDefault="008F4993" w:rsidP="008F4993">
      <w:pPr>
        <w:rPr>
          <w:lang w:eastAsia="en-AU"/>
        </w:rPr>
      </w:pPr>
      <w:r w:rsidRPr="00D658CB">
        <w:rPr>
          <w:lang w:eastAsia="en-AU"/>
        </w:rPr>
        <w:t xml:space="preserve">The inclusion and exclusion criteria were in line with </w:t>
      </w:r>
      <w:r>
        <w:rPr>
          <w:lang w:eastAsia="en-AU"/>
        </w:rPr>
        <w:t>recommendations for</w:t>
      </w:r>
      <w:r w:rsidRPr="00D658CB">
        <w:rPr>
          <w:lang w:eastAsia="en-AU"/>
        </w:rPr>
        <w:t xml:space="preserve"> the study population in the TGA</w:t>
      </w:r>
      <w:r w:rsidR="009537C5">
        <w:rPr>
          <w:lang w:eastAsia="en-AU"/>
        </w:rPr>
        <w:t xml:space="preserve"> </w:t>
      </w:r>
      <w:r w:rsidRPr="00D658CB">
        <w:rPr>
          <w:lang w:eastAsia="en-AU"/>
        </w:rPr>
        <w:t>adopted E</w:t>
      </w:r>
      <w:r w:rsidR="009537C5">
        <w:rPr>
          <w:lang w:eastAsia="en-AU"/>
        </w:rPr>
        <w:t>U</w:t>
      </w:r>
      <w:r w:rsidRPr="00D658CB">
        <w:rPr>
          <w:lang w:eastAsia="en-AU"/>
        </w:rPr>
        <w:t xml:space="preserve"> guideline on the evaluation of anti</w:t>
      </w:r>
      <w:r>
        <w:rPr>
          <w:lang w:eastAsia="en-AU"/>
        </w:rPr>
        <w:t>cancer medicinal products in man (</w:t>
      </w:r>
      <w:r w:rsidR="009537C5">
        <w:rPr>
          <w:lang w:eastAsia="en-AU"/>
        </w:rPr>
        <w:t>Table 19</w:t>
      </w:r>
      <w:r>
        <w:rPr>
          <w:lang w:eastAsia="en-AU"/>
        </w:rPr>
        <w:t>)</w:t>
      </w:r>
      <w:r w:rsidRPr="00D658CB">
        <w:rPr>
          <w:lang w:eastAsia="en-AU"/>
        </w:rPr>
        <w:t>.</w:t>
      </w:r>
    </w:p>
    <w:p w:rsidR="008F4993" w:rsidRPr="00C73765" w:rsidRDefault="00F17CA0" w:rsidP="00F17CA0">
      <w:pPr>
        <w:pStyle w:val="TableTitle"/>
        <w:numPr>
          <w:ilvl w:val="0"/>
          <w:numId w:val="0"/>
        </w:numPr>
      </w:pPr>
      <w:r>
        <w:t xml:space="preserve">Table 19: </w:t>
      </w:r>
      <w:r w:rsidR="008F4993" w:rsidRPr="00C73765">
        <w:t>Inclusion and exclusion criteria</w:t>
      </w:r>
    </w:p>
    <w:tbl>
      <w:tblPr>
        <w:tblStyle w:val="TableTGAblue"/>
        <w:tblW w:w="0" w:type="auto"/>
        <w:tblLook w:val="04A0" w:firstRow="1" w:lastRow="0" w:firstColumn="1" w:lastColumn="0" w:noHBand="0" w:noVBand="1"/>
      </w:tblPr>
      <w:tblGrid>
        <w:gridCol w:w="4346"/>
        <w:gridCol w:w="4374"/>
      </w:tblGrid>
      <w:tr w:rsidR="008F4993" w:rsidRPr="009537C5" w:rsidTr="009537C5">
        <w:trPr>
          <w:cnfStyle w:val="100000000000" w:firstRow="1" w:lastRow="0" w:firstColumn="0" w:lastColumn="0" w:oddVBand="0" w:evenVBand="0" w:oddHBand="0" w:evenHBand="0" w:firstRowFirstColumn="0" w:firstRowLastColumn="0" w:lastRowFirstColumn="0" w:lastRowLastColumn="0"/>
          <w:cantSplit/>
        </w:trPr>
        <w:tc>
          <w:tcPr>
            <w:tcW w:w="4621" w:type="dxa"/>
          </w:tcPr>
          <w:p w:rsidR="008F4993" w:rsidRPr="009537C5" w:rsidRDefault="008F4993" w:rsidP="009537C5">
            <w:pPr>
              <w:rPr>
                <w:sz w:val="20"/>
                <w:szCs w:val="20"/>
              </w:rPr>
            </w:pPr>
            <w:r w:rsidRPr="009537C5">
              <w:rPr>
                <w:sz w:val="20"/>
                <w:szCs w:val="20"/>
              </w:rPr>
              <w:t>Inclusion criteria</w:t>
            </w:r>
          </w:p>
        </w:tc>
        <w:tc>
          <w:tcPr>
            <w:tcW w:w="4621" w:type="dxa"/>
          </w:tcPr>
          <w:p w:rsidR="008F4993" w:rsidRPr="009537C5" w:rsidRDefault="008F4993" w:rsidP="009537C5">
            <w:pPr>
              <w:rPr>
                <w:sz w:val="20"/>
                <w:szCs w:val="20"/>
              </w:rPr>
            </w:pPr>
            <w:r w:rsidRPr="009537C5">
              <w:rPr>
                <w:sz w:val="20"/>
                <w:szCs w:val="20"/>
              </w:rPr>
              <w:t>Exclusion criteria</w:t>
            </w:r>
          </w:p>
        </w:tc>
      </w:tr>
      <w:tr w:rsidR="008F4993" w:rsidRPr="009537C5" w:rsidTr="006241FD">
        <w:tc>
          <w:tcPr>
            <w:tcW w:w="4621" w:type="dxa"/>
          </w:tcPr>
          <w:p w:rsidR="008F4993" w:rsidRPr="009537C5" w:rsidRDefault="008F4993" w:rsidP="009537C5">
            <w:pPr>
              <w:rPr>
                <w:sz w:val="20"/>
                <w:szCs w:val="20"/>
              </w:rPr>
            </w:pPr>
            <w:r w:rsidRPr="009537C5">
              <w:rPr>
                <w:sz w:val="20"/>
                <w:szCs w:val="20"/>
              </w:rPr>
              <w:t>Liver func</w:t>
            </w:r>
            <w:r w:rsidR="00EC67F6">
              <w:rPr>
                <w:sz w:val="20"/>
                <w:szCs w:val="20"/>
              </w:rPr>
              <w:t>tion status Child-Pugh Class A.</w:t>
            </w:r>
          </w:p>
          <w:p w:rsidR="008F4993" w:rsidRPr="009537C5" w:rsidRDefault="008F4993" w:rsidP="009537C5">
            <w:pPr>
              <w:rPr>
                <w:sz w:val="20"/>
                <w:szCs w:val="20"/>
              </w:rPr>
            </w:pPr>
            <w:r w:rsidRPr="009537C5">
              <w:rPr>
                <w:sz w:val="20"/>
                <w:szCs w:val="20"/>
              </w:rPr>
              <w:t>Local or loco-regional therapy of intrahepatic tumour lesions (</w:t>
            </w:r>
            <w:r w:rsidR="009537C5">
              <w:rPr>
                <w:sz w:val="20"/>
                <w:szCs w:val="20"/>
              </w:rPr>
              <w:t>for example,</w:t>
            </w:r>
            <w:r w:rsidRPr="009537C5">
              <w:rPr>
                <w:sz w:val="20"/>
                <w:szCs w:val="20"/>
              </w:rPr>
              <w:t xml:space="preserve"> surgery, radiation therapy, hepatic arterial </w:t>
            </w:r>
            <w:proofErr w:type="spellStart"/>
            <w:r w:rsidRPr="009537C5">
              <w:rPr>
                <w:sz w:val="20"/>
                <w:szCs w:val="20"/>
              </w:rPr>
              <w:t>emboli</w:t>
            </w:r>
            <w:r w:rsidR="006D7374">
              <w:rPr>
                <w:sz w:val="20"/>
                <w:szCs w:val="20"/>
              </w:rPr>
              <w:t>sation</w:t>
            </w:r>
            <w:proofErr w:type="spellEnd"/>
            <w:r w:rsidRPr="009537C5">
              <w:rPr>
                <w:sz w:val="20"/>
                <w:szCs w:val="20"/>
              </w:rPr>
              <w:t>, chemo-</w:t>
            </w:r>
            <w:proofErr w:type="spellStart"/>
            <w:r w:rsidRPr="009537C5">
              <w:rPr>
                <w:sz w:val="20"/>
                <w:szCs w:val="20"/>
              </w:rPr>
              <w:t>emboli</w:t>
            </w:r>
            <w:r w:rsidR="006D7374">
              <w:rPr>
                <w:sz w:val="20"/>
                <w:szCs w:val="20"/>
              </w:rPr>
              <w:t>sation</w:t>
            </w:r>
            <w:proofErr w:type="spellEnd"/>
            <w:r w:rsidRPr="009537C5">
              <w:rPr>
                <w:sz w:val="20"/>
                <w:szCs w:val="20"/>
              </w:rPr>
              <w:t xml:space="preserve">, radiofrequency ablation, percutaneous ethanol injection, or cryoablation) must have been completed </w:t>
            </w:r>
            <w:r w:rsidR="009537C5">
              <w:rPr>
                <w:sz w:val="20"/>
                <w:szCs w:val="20"/>
              </w:rPr>
              <w:t>≥</w:t>
            </w:r>
            <w:r w:rsidR="00F17CA0">
              <w:rPr>
                <w:sz w:val="20"/>
                <w:szCs w:val="20"/>
              </w:rPr>
              <w:t xml:space="preserve"> </w:t>
            </w:r>
            <w:r w:rsidRPr="009537C5">
              <w:rPr>
                <w:sz w:val="20"/>
                <w:szCs w:val="20"/>
              </w:rPr>
              <w:t xml:space="preserve">4 weeks before </w:t>
            </w:r>
            <w:r w:rsidR="00EC67F6">
              <w:rPr>
                <w:sz w:val="20"/>
                <w:szCs w:val="20"/>
              </w:rPr>
              <w:t>first dose of study medication.</w:t>
            </w:r>
          </w:p>
          <w:p w:rsidR="008F4993" w:rsidRPr="009537C5" w:rsidRDefault="008F4993" w:rsidP="009537C5">
            <w:pPr>
              <w:rPr>
                <w:sz w:val="20"/>
                <w:szCs w:val="20"/>
              </w:rPr>
            </w:pPr>
            <w:r w:rsidRPr="009537C5">
              <w:rPr>
                <w:sz w:val="20"/>
                <w:szCs w:val="20"/>
              </w:rPr>
              <w:lastRenderedPageBreak/>
              <w:t>ECOG-PS of 0 or 1.</w:t>
            </w:r>
          </w:p>
          <w:p w:rsidR="008F4993" w:rsidRPr="009537C5" w:rsidRDefault="008F4993" w:rsidP="009537C5">
            <w:pPr>
              <w:rPr>
                <w:sz w:val="20"/>
                <w:szCs w:val="20"/>
              </w:rPr>
            </w:pPr>
            <w:r w:rsidRPr="009537C5">
              <w:rPr>
                <w:sz w:val="20"/>
                <w:szCs w:val="20"/>
              </w:rPr>
              <w:t>Adequate bone marrow, liver and renal function as assessed by laboratory tests conducted within 7 days before randomi</w:t>
            </w:r>
            <w:r w:rsidR="006D7374">
              <w:rPr>
                <w:sz w:val="20"/>
                <w:szCs w:val="20"/>
              </w:rPr>
              <w:t>sation</w:t>
            </w:r>
            <w:r w:rsidRPr="009537C5">
              <w:rPr>
                <w:sz w:val="20"/>
                <w:szCs w:val="20"/>
              </w:rPr>
              <w:t>:</w:t>
            </w:r>
          </w:p>
          <w:p w:rsidR="008F4993" w:rsidRPr="009537C5" w:rsidRDefault="008F4993" w:rsidP="009537C5">
            <w:pPr>
              <w:rPr>
                <w:sz w:val="20"/>
                <w:szCs w:val="20"/>
              </w:rPr>
            </w:pPr>
            <w:r w:rsidRPr="009537C5">
              <w:rPr>
                <w:sz w:val="20"/>
                <w:szCs w:val="20"/>
              </w:rPr>
              <w:t>Haemoglobin &gt;</w:t>
            </w:r>
            <w:r w:rsidR="00EC67F6">
              <w:rPr>
                <w:sz w:val="20"/>
                <w:szCs w:val="20"/>
              </w:rPr>
              <w:t xml:space="preserve"> </w:t>
            </w:r>
            <w:r w:rsidRPr="009537C5">
              <w:rPr>
                <w:sz w:val="20"/>
                <w:szCs w:val="20"/>
              </w:rPr>
              <w:t>8.5 g/</w:t>
            </w:r>
            <w:proofErr w:type="spellStart"/>
            <w:r w:rsidRPr="009537C5">
              <w:rPr>
                <w:sz w:val="20"/>
                <w:szCs w:val="20"/>
              </w:rPr>
              <w:t>dL</w:t>
            </w:r>
            <w:proofErr w:type="spellEnd"/>
          </w:p>
          <w:p w:rsidR="008F4993" w:rsidRPr="009537C5" w:rsidRDefault="008F4993" w:rsidP="009537C5">
            <w:pPr>
              <w:rPr>
                <w:sz w:val="20"/>
                <w:szCs w:val="20"/>
              </w:rPr>
            </w:pPr>
            <w:r w:rsidRPr="009537C5">
              <w:rPr>
                <w:sz w:val="20"/>
                <w:szCs w:val="20"/>
              </w:rPr>
              <w:t>Absolute neutrophil count (ANC) ≥</w:t>
            </w:r>
            <w:r w:rsidR="00F17CA0">
              <w:rPr>
                <w:sz w:val="20"/>
                <w:szCs w:val="20"/>
              </w:rPr>
              <w:t> </w:t>
            </w:r>
            <w:r w:rsidRPr="009537C5">
              <w:rPr>
                <w:sz w:val="20"/>
                <w:szCs w:val="20"/>
              </w:rPr>
              <w:t>1500/mm</w:t>
            </w:r>
            <w:r w:rsidRPr="009537C5">
              <w:rPr>
                <w:sz w:val="20"/>
                <w:szCs w:val="20"/>
                <w:vertAlign w:val="superscript"/>
              </w:rPr>
              <w:t>3</w:t>
            </w:r>
          </w:p>
          <w:p w:rsidR="008F4993" w:rsidRPr="009537C5" w:rsidRDefault="008F4993" w:rsidP="009537C5">
            <w:pPr>
              <w:rPr>
                <w:sz w:val="20"/>
                <w:szCs w:val="20"/>
              </w:rPr>
            </w:pPr>
            <w:r w:rsidRPr="009537C5">
              <w:rPr>
                <w:sz w:val="20"/>
                <w:szCs w:val="20"/>
              </w:rPr>
              <w:t>Platelet count ≥</w:t>
            </w:r>
            <w:r w:rsidR="00F17CA0">
              <w:rPr>
                <w:sz w:val="20"/>
                <w:szCs w:val="20"/>
              </w:rPr>
              <w:t xml:space="preserve"> </w:t>
            </w:r>
            <w:r w:rsidRPr="009537C5">
              <w:rPr>
                <w:sz w:val="20"/>
                <w:szCs w:val="20"/>
              </w:rPr>
              <w:t>60,000/mm</w:t>
            </w:r>
            <w:r w:rsidRPr="009537C5">
              <w:rPr>
                <w:sz w:val="20"/>
                <w:szCs w:val="20"/>
                <w:vertAlign w:val="superscript"/>
              </w:rPr>
              <w:t>3</w:t>
            </w:r>
          </w:p>
          <w:p w:rsidR="008F4993" w:rsidRPr="009537C5" w:rsidRDefault="008F4993" w:rsidP="009537C5">
            <w:pPr>
              <w:rPr>
                <w:sz w:val="20"/>
                <w:szCs w:val="20"/>
              </w:rPr>
            </w:pPr>
            <w:r w:rsidRPr="009537C5">
              <w:rPr>
                <w:sz w:val="20"/>
                <w:szCs w:val="20"/>
              </w:rPr>
              <w:t>Total bilirubin ≤</w:t>
            </w:r>
            <w:r w:rsidR="00F17CA0">
              <w:rPr>
                <w:sz w:val="20"/>
                <w:szCs w:val="20"/>
              </w:rPr>
              <w:t xml:space="preserve"> </w:t>
            </w:r>
            <w:r w:rsidRPr="009537C5">
              <w:rPr>
                <w:sz w:val="20"/>
                <w:szCs w:val="20"/>
              </w:rPr>
              <w:t>2 mg/</w:t>
            </w:r>
            <w:proofErr w:type="spellStart"/>
            <w:r w:rsidRPr="009537C5">
              <w:rPr>
                <w:sz w:val="20"/>
                <w:szCs w:val="20"/>
              </w:rPr>
              <w:t>dL</w:t>
            </w:r>
            <w:proofErr w:type="spellEnd"/>
            <w:r w:rsidRPr="009537C5">
              <w:rPr>
                <w:sz w:val="20"/>
                <w:szCs w:val="20"/>
              </w:rPr>
              <w:t>. Mildly elevated total bilirubin (&lt;</w:t>
            </w:r>
            <w:r w:rsidR="00F17CA0">
              <w:rPr>
                <w:sz w:val="20"/>
                <w:szCs w:val="20"/>
              </w:rPr>
              <w:t xml:space="preserve"> </w:t>
            </w:r>
            <w:r w:rsidRPr="009537C5">
              <w:rPr>
                <w:sz w:val="20"/>
                <w:szCs w:val="20"/>
              </w:rPr>
              <w:t>6 mg/</w:t>
            </w:r>
            <w:proofErr w:type="spellStart"/>
            <w:r w:rsidRPr="009537C5">
              <w:rPr>
                <w:sz w:val="20"/>
                <w:szCs w:val="20"/>
              </w:rPr>
              <w:t>dL</w:t>
            </w:r>
            <w:proofErr w:type="spellEnd"/>
            <w:r w:rsidRPr="009537C5">
              <w:rPr>
                <w:sz w:val="20"/>
                <w:szCs w:val="20"/>
              </w:rPr>
              <w:t>) was allowed if Gilbert’s syndrome was documented.</w:t>
            </w:r>
          </w:p>
          <w:p w:rsidR="008F4993" w:rsidRPr="009537C5" w:rsidRDefault="008F4993" w:rsidP="009537C5">
            <w:pPr>
              <w:rPr>
                <w:sz w:val="20"/>
                <w:szCs w:val="20"/>
              </w:rPr>
            </w:pPr>
            <w:r w:rsidRPr="009537C5">
              <w:rPr>
                <w:sz w:val="20"/>
                <w:szCs w:val="20"/>
              </w:rPr>
              <w:t>ALT and AST ≤</w:t>
            </w:r>
            <w:r w:rsidR="00F17CA0">
              <w:rPr>
                <w:sz w:val="20"/>
                <w:szCs w:val="20"/>
              </w:rPr>
              <w:t xml:space="preserve"> </w:t>
            </w:r>
            <w:r w:rsidRPr="009537C5">
              <w:rPr>
                <w:sz w:val="20"/>
                <w:szCs w:val="20"/>
              </w:rPr>
              <w:t xml:space="preserve">5 </w:t>
            </w:r>
            <w:r w:rsidR="00F17CA0">
              <w:rPr>
                <w:sz w:val="20"/>
                <w:szCs w:val="20"/>
              </w:rPr>
              <w:t>x</w:t>
            </w:r>
            <w:r w:rsidRPr="009537C5">
              <w:rPr>
                <w:sz w:val="20"/>
                <w:szCs w:val="20"/>
              </w:rPr>
              <w:t xml:space="preserve"> upper limit of normal (ULN)</w:t>
            </w:r>
          </w:p>
          <w:p w:rsidR="008F4993" w:rsidRPr="009537C5" w:rsidRDefault="00407613" w:rsidP="009537C5">
            <w:pPr>
              <w:rPr>
                <w:sz w:val="20"/>
                <w:szCs w:val="20"/>
              </w:rPr>
            </w:pPr>
            <w:r>
              <w:rPr>
                <w:sz w:val="20"/>
                <w:szCs w:val="20"/>
              </w:rPr>
              <w:t>Prothrombin (</w:t>
            </w:r>
            <w:r w:rsidR="008F4993" w:rsidRPr="009537C5">
              <w:rPr>
                <w:sz w:val="20"/>
                <w:szCs w:val="20"/>
              </w:rPr>
              <w:t>PT</w:t>
            </w:r>
            <w:r>
              <w:rPr>
                <w:sz w:val="20"/>
                <w:szCs w:val="20"/>
              </w:rPr>
              <w:t>)</w:t>
            </w:r>
            <w:r w:rsidR="008F4993" w:rsidRPr="009537C5">
              <w:rPr>
                <w:sz w:val="20"/>
                <w:szCs w:val="20"/>
              </w:rPr>
              <w:t>-</w:t>
            </w:r>
            <w:r>
              <w:rPr>
                <w:sz w:val="20"/>
                <w:szCs w:val="20"/>
              </w:rPr>
              <w:t>international normal</w:t>
            </w:r>
            <w:r w:rsidR="006D7374">
              <w:rPr>
                <w:sz w:val="20"/>
                <w:szCs w:val="20"/>
              </w:rPr>
              <w:t>ise</w:t>
            </w:r>
            <w:r>
              <w:rPr>
                <w:sz w:val="20"/>
                <w:szCs w:val="20"/>
              </w:rPr>
              <w:t>d ratio (</w:t>
            </w:r>
            <w:r w:rsidR="008F4993" w:rsidRPr="009537C5">
              <w:rPr>
                <w:sz w:val="20"/>
                <w:szCs w:val="20"/>
              </w:rPr>
              <w:t>INR</w:t>
            </w:r>
            <w:r>
              <w:rPr>
                <w:sz w:val="20"/>
                <w:szCs w:val="20"/>
              </w:rPr>
              <w:t>)</w:t>
            </w:r>
            <w:r w:rsidR="008F4993" w:rsidRPr="009537C5">
              <w:rPr>
                <w:sz w:val="20"/>
                <w:szCs w:val="20"/>
              </w:rPr>
              <w:t xml:space="preserve"> ratio &lt;</w:t>
            </w:r>
            <w:r w:rsidR="00F17CA0">
              <w:rPr>
                <w:sz w:val="20"/>
                <w:szCs w:val="20"/>
              </w:rPr>
              <w:t xml:space="preserve"> </w:t>
            </w:r>
            <w:r w:rsidR="008F4993" w:rsidRPr="009537C5">
              <w:rPr>
                <w:sz w:val="20"/>
                <w:szCs w:val="20"/>
              </w:rPr>
              <w:t xml:space="preserve">2.3 </w:t>
            </w:r>
            <w:r w:rsidR="00F17CA0">
              <w:t>x</w:t>
            </w:r>
            <w:r w:rsidR="008F4993" w:rsidRPr="00407613">
              <w:t xml:space="preserve"> ULN and </w:t>
            </w:r>
            <w:r w:rsidRPr="00407613">
              <w:rPr>
                <w:lang w:eastAsia="en-US"/>
              </w:rPr>
              <w:t>partial thromboplastin time (PTT</w:t>
            </w:r>
            <w:r w:rsidRPr="00407613">
              <w:t>)</w:t>
            </w:r>
            <w:r w:rsidR="008F4993" w:rsidRPr="009537C5">
              <w:rPr>
                <w:sz w:val="20"/>
                <w:szCs w:val="20"/>
              </w:rPr>
              <w:t xml:space="preserve"> &lt;</w:t>
            </w:r>
            <w:r w:rsidR="00F17CA0">
              <w:rPr>
                <w:sz w:val="20"/>
                <w:szCs w:val="20"/>
              </w:rPr>
              <w:t xml:space="preserve"> </w:t>
            </w:r>
            <w:r w:rsidR="008F4993" w:rsidRPr="009537C5">
              <w:rPr>
                <w:sz w:val="20"/>
                <w:szCs w:val="20"/>
              </w:rPr>
              <w:t xml:space="preserve">1.5 </w:t>
            </w:r>
            <w:r w:rsidR="00F17CA0">
              <w:rPr>
                <w:sz w:val="20"/>
                <w:szCs w:val="20"/>
              </w:rPr>
              <w:t>x</w:t>
            </w:r>
            <w:r w:rsidR="008F4993" w:rsidRPr="009537C5">
              <w:rPr>
                <w:sz w:val="20"/>
                <w:szCs w:val="20"/>
              </w:rPr>
              <w:t xml:space="preserve"> ULN. Subjects who were therapeutically anti-coagulated with an agent such as warfarin or heparin were allowed to participate provided that no prior evidence of underlying abnorma</w:t>
            </w:r>
            <w:r w:rsidR="00F17CA0">
              <w:rPr>
                <w:sz w:val="20"/>
                <w:szCs w:val="20"/>
              </w:rPr>
              <w:t>lity in this parameter existed.</w:t>
            </w:r>
          </w:p>
          <w:p w:rsidR="008F4993" w:rsidRPr="009537C5" w:rsidRDefault="008F4993" w:rsidP="009537C5">
            <w:pPr>
              <w:rPr>
                <w:sz w:val="20"/>
                <w:szCs w:val="20"/>
              </w:rPr>
            </w:pPr>
            <w:r w:rsidRPr="009537C5">
              <w:rPr>
                <w:sz w:val="20"/>
                <w:szCs w:val="20"/>
              </w:rPr>
              <w:t>Serum creatinine ≤</w:t>
            </w:r>
            <w:r w:rsidR="00EC67F6">
              <w:rPr>
                <w:sz w:val="20"/>
                <w:szCs w:val="20"/>
              </w:rPr>
              <w:t xml:space="preserve"> </w:t>
            </w:r>
            <w:r w:rsidRPr="009537C5">
              <w:rPr>
                <w:sz w:val="20"/>
                <w:szCs w:val="20"/>
              </w:rPr>
              <w:t xml:space="preserve">1.5 </w:t>
            </w:r>
            <w:r w:rsidR="00EC67F6">
              <w:rPr>
                <w:sz w:val="20"/>
                <w:szCs w:val="20"/>
              </w:rPr>
              <w:t>x</w:t>
            </w:r>
            <w:r w:rsidRPr="009537C5">
              <w:rPr>
                <w:sz w:val="20"/>
                <w:szCs w:val="20"/>
              </w:rPr>
              <w:t xml:space="preserve"> ULN</w:t>
            </w:r>
          </w:p>
          <w:p w:rsidR="008F4993" w:rsidRPr="009537C5" w:rsidRDefault="008F4993" w:rsidP="009537C5">
            <w:pPr>
              <w:rPr>
                <w:sz w:val="20"/>
                <w:szCs w:val="20"/>
              </w:rPr>
            </w:pPr>
            <w:r w:rsidRPr="009537C5">
              <w:rPr>
                <w:sz w:val="20"/>
                <w:szCs w:val="20"/>
              </w:rPr>
              <w:t>Lipase</w:t>
            </w:r>
            <w:r w:rsidR="009537C5">
              <w:rPr>
                <w:sz w:val="20"/>
                <w:szCs w:val="20"/>
              </w:rPr>
              <w:t xml:space="preserve"> </w:t>
            </w:r>
            <w:r w:rsidRPr="009537C5">
              <w:rPr>
                <w:sz w:val="20"/>
                <w:szCs w:val="20"/>
              </w:rPr>
              <w:t>≤</w:t>
            </w:r>
            <w:r w:rsidR="00EC67F6">
              <w:rPr>
                <w:sz w:val="20"/>
                <w:szCs w:val="20"/>
              </w:rPr>
              <w:t xml:space="preserve"> </w:t>
            </w:r>
            <w:r w:rsidRPr="009537C5">
              <w:rPr>
                <w:sz w:val="20"/>
                <w:szCs w:val="20"/>
              </w:rPr>
              <w:t>2 X ULN</w:t>
            </w:r>
          </w:p>
          <w:p w:rsidR="008F4993" w:rsidRPr="009537C5" w:rsidRDefault="008F4993" w:rsidP="009537C5">
            <w:pPr>
              <w:rPr>
                <w:sz w:val="20"/>
                <w:szCs w:val="20"/>
              </w:rPr>
            </w:pPr>
            <w:r w:rsidRPr="009537C5">
              <w:rPr>
                <w:sz w:val="20"/>
                <w:szCs w:val="20"/>
              </w:rPr>
              <w:t>Glomerular filtration rate (GFR) ≥</w:t>
            </w:r>
            <w:r w:rsidR="00EC67F6">
              <w:rPr>
                <w:sz w:val="20"/>
                <w:szCs w:val="20"/>
              </w:rPr>
              <w:t> 30 </w:t>
            </w:r>
            <w:r w:rsidRPr="009537C5">
              <w:rPr>
                <w:sz w:val="20"/>
                <w:szCs w:val="20"/>
              </w:rPr>
              <w:t>mL/min/1.73 m</w:t>
            </w:r>
            <w:r w:rsidRPr="009537C5">
              <w:rPr>
                <w:sz w:val="20"/>
                <w:szCs w:val="20"/>
                <w:vertAlign w:val="superscript"/>
              </w:rPr>
              <w:t>2</w:t>
            </w:r>
            <w:r w:rsidRPr="009537C5">
              <w:rPr>
                <w:sz w:val="20"/>
                <w:szCs w:val="20"/>
              </w:rPr>
              <w:t xml:space="preserve"> </w:t>
            </w:r>
          </w:p>
          <w:p w:rsidR="008F4993" w:rsidRPr="009537C5" w:rsidRDefault="008F4993" w:rsidP="009537C5">
            <w:pPr>
              <w:rPr>
                <w:sz w:val="20"/>
                <w:szCs w:val="20"/>
              </w:rPr>
            </w:pPr>
            <w:r w:rsidRPr="009537C5">
              <w:rPr>
                <w:sz w:val="20"/>
                <w:szCs w:val="20"/>
              </w:rPr>
              <w:t xml:space="preserve">At least one uni-dimensional measurable lesion by </w:t>
            </w:r>
            <w:r w:rsidR="009537C5" w:rsidRPr="009537C5">
              <w:rPr>
                <w:sz w:val="20"/>
                <w:szCs w:val="20"/>
                <w:lang w:eastAsia="en-US"/>
              </w:rPr>
              <w:t xml:space="preserve">computed tomography </w:t>
            </w:r>
            <w:r w:rsidR="009537C5" w:rsidRPr="009537C5">
              <w:rPr>
                <w:sz w:val="20"/>
                <w:szCs w:val="20"/>
              </w:rPr>
              <w:t>(</w:t>
            </w:r>
            <w:r w:rsidRPr="009537C5">
              <w:rPr>
                <w:sz w:val="20"/>
                <w:szCs w:val="20"/>
              </w:rPr>
              <w:t>CT</w:t>
            </w:r>
            <w:r w:rsidR="009537C5" w:rsidRPr="009537C5">
              <w:rPr>
                <w:sz w:val="20"/>
                <w:szCs w:val="20"/>
              </w:rPr>
              <w:t>)</w:t>
            </w:r>
            <w:r w:rsidRPr="009537C5">
              <w:rPr>
                <w:sz w:val="20"/>
                <w:szCs w:val="20"/>
              </w:rPr>
              <w:t xml:space="preserve"> scan or </w:t>
            </w:r>
            <w:r w:rsidR="009537C5" w:rsidRPr="009537C5">
              <w:rPr>
                <w:sz w:val="20"/>
                <w:szCs w:val="20"/>
              </w:rPr>
              <w:t>magnetic</w:t>
            </w:r>
            <w:r w:rsidR="009537C5">
              <w:rPr>
                <w:sz w:val="20"/>
                <w:szCs w:val="20"/>
              </w:rPr>
              <w:t xml:space="preserve"> resonance imaging (</w:t>
            </w:r>
            <w:r w:rsidRPr="009537C5">
              <w:rPr>
                <w:sz w:val="20"/>
                <w:szCs w:val="20"/>
              </w:rPr>
              <w:t>MRI</w:t>
            </w:r>
            <w:r w:rsidR="009537C5">
              <w:rPr>
                <w:sz w:val="20"/>
                <w:szCs w:val="20"/>
              </w:rPr>
              <w:t>)</w:t>
            </w:r>
            <w:r w:rsidRPr="009537C5">
              <w:rPr>
                <w:sz w:val="20"/>
                <w:szCs w:val="20"/>
              </w:rPr>
              <w:t xml:space="preserve"> according to RECIST 1.1, and mRECIST for HCC. Tumour lesions situated in a previously irradiated area, or in an area subjected to other loco-regional therapy, may have been considered measurable if there had been demonstr</w:t>
            </w:r>
            <w:r w:rsidR="00F17CA0">
              <w:rPr>
                <w:sz w:val="20"/>
                <w:szCs w:val="20"/>
              </w:rPr>
              <w:t>ated progression in the lesion.</w:t>
            </w:r>
          </w:p>
          <w:p w:rsidR="008F4993" w:rsidRPr="009537C5" w:rsidRDefault="008F4993" w:rsidP="009537C5">
            <w:pPr>
              <w:rPr>
                <w:sz w:val="20"/>
                <w:szCs w:val="20"/>
              </w:rPr>
            </w:pPr>
            <w:r w:rsidRPr="009537C5">
              <w:rPr>
                <w:sz w:val="20"/>
                <w:szCs w:val="20"/>
              </w:rPr>
              <w:t>Life expectancy of at least 3 months.</w:t>
            </w:r>
          </w:p>
          <w:p w:rsidR="008F4993" w:rsidRPr="009537C5" w:rsidRDefault="008F4993" w:rsidP="009537C5">
            <w:pPr>
              <w:rPr>
                <w:sz w:val="20"/>
                <w:szCs w:val="20"/>
              </w:rPr>
            </w:pPr>
            <w:r w:rsidRPr="009537C5">
              <w:rPr>
                <w:sz w:val="20"/>
                <w:szCs w:val="20"/>
              </w:rPr>
              <w:t>Women of childbearing potential and men must have agreed to use adequate contraception. Adequate contraception was defined in the study as any medically recommended method (or combination of methods) as per standard of care.</w:t>
            </w:r>
          </w:p>
        </w:tc>
        <w:tc>
          <w:tcPr>
            <w:tcW w:w="4621" w:type="dxa"/>
          </w:tcPr>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lastRenderedPageBreak/>
              <w:t>Prior liver transplantation or candidates for liver transplantation.</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Subjects who had received sole intrahepatic intra-arterial chemotherapy, without lipiodol or emboli</w:t>
            </w:r>
            <w:r w:rsidR="004151AE">
              <w:rPr>
                <w:rFonts w:asciiTheme="minorHAnsi" w:hAnsiTheme="minorHAnsi" w:cstheme="minorHAnsi"/>
                <w:sz w:val="20"/>
                <w:szCs w:val="20"/>
              </w:rPr>
              <w:t>s</w:t>
            </w:r>
            <w:r w:rsidRPr="009537C5">
              <w:rPr>
                <w:rFonts w:asciiTheme="minorHAnsi" w:hAnsiTheme="minorHAnsi" w:cstheme="minorHAnsi"/>
                <w:sz w:val="20"/>
                <w:szCs w:val="20"/>
              </w:rPr>
              <w:t>ing agents.</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Prior treatment with regorafenib. Subjects permanently withdrawn from study participation were not allowed to re-enter the study.</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lastRenderedPageBreak/>
              <w:t>Prior and/or concomitant treatment within a clinical study other than with sorafenib during or within 4 weeks of randomi</w:t>
            </w:r>
            <w:r w:rsidR="006D7374">
              <w:rPr>
                <w:rFonts w:asciiTheme="minorHAnsi" w:hAnsiTheme="minorHAnsi" w:cstheme="minorHAnsi"/>
                <w:sz w:val="20"/>
                <w:szCs w:val="20"/>
              </w:rPr>
              <w:t>sation</w:t>
            </w:r>
            <w:r w:rsidRPr="009537C5">
              <w:rPr>
                <w:rFonts w:asciiTheme="minorHAnsi" w:hAnsiTheme="minorHAnsi" w:cstheme="minorHAnsi"/>
                <w:sz w:val="20"/>
                <w:szCs w:val="20"/>
              </w:rPr>
              <w: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Sorafenib treatment within 2 weeks of randomi</w:t>
            </w:r>
            <w:r w:rsidR="006D7374">
              <w:rPr>
                <w:rFonts w:asciiTheme="minorHAnsi" w:hAnsiTheme="minorHAnsi" w:cstheme="minorHAnsi"/>
                <w:sz w:val="20"/>
                <w:szCs w:val="20"/>
              </w:rPr>
              <w:t>sation</w:t>
            </w:r>
            <w:r w:rsidRPr="009537C5">
              <w:rPr>
                <w:rFonts w:asciiTheme="minorHAnsi" w:hAnsiTheme="minorHAnsi" w:cstheme="minorHAnsi"/>
                <w:sz w:val="20"/>
                <w:szCs w:val="20"/>
              </w:rPr>
              <w: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Subjects with large oesophageal varices at risk of bleeding that were not being treated with conventional medical intervention: beta bl</w:t>
            </w:r>
            <w:r w:rsidR="00F17CA0">
              <w:rPr>
                <w:rFonts w:asciiTheme="minorHAnsi" w:hAnsiTheme="minorHAnsi" w:cstheme="minorHAnsi"/>
                <w:sz w:val="20"/>
                <w:szCs w:val="20"/>
              </w:rPr>
              <w:t>ockers or endoscopic treatment.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Prior systemic treatment for HCC, except sorafenib.</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Permanent discontinuation of prior sorafenib therapy due to sorafenib related toxicity.</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 xml:space="preserve">Permanent discontinuation of prior sorafenib therapy due to any cause more than </w:t>
            </w:r>
            <w:r w:rsidR="009537C5">
              <w:rPr>
                <w:rFonts w:asciiTheme="minorHAnsi" w:hAnsiTheme="minorHAnsi" w:cstheme="minorHAnsi"/>
                <w:sz w:val="20"/>
                <w:szCs w:val="20"/>
              </w:rPr>
              <w:t>10 weeks prior to randomis</w:t>
            </w:r>
            <w:r w:rsidRPr="009537C5">
              <w:rPr>
                <w:rFonts w:asciiTheme="minorHAnsi" w:hAnsiTheme="minorHAnsi" w:cstheme="minorHAnsi"/>
                <w:sz w:val="20"/>
                <w:szCs w:val="20"/>
              </w:rPr>
              <w:t>ation.</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Past or concurrent history of neoplasm other than HCC, except for in situ carcinoma of the cervix, uteri, and/or non-melanoma skin cancer and superficial bladder tumours (Ta [Non-invasive tumour], Carcinoma in situ [Tis] and T1 [Tumour invades lamina propria]). Any cancer curatively treated &gt;</w:t>
            </w:r>
            <w:r w:rsidR="00F17CA0">
              <w:rPr>
                <w:rFonts w:asciiTheme="minorHAnsi" w:hAnsiTheme="minorHAnsi" w:cstheme="minorHAnsi"/>
                <w:sz w:val="20"/>
                <w:szCs w:val="20"/>
              </w:rPr>
              <w:t xml:space="preserve"> </w:t>
            </w:r>
            <w:r w:rsidRPr="009537C5">
              <w:rPr>
                <w:rFonts w:asciiTheme="minorHAnsi" w:hAnsiTheme="minorHAnsi" w:cstheme="minorHAnsi"/>
                <w:sz w:val="20"/>
                <w:szCs w:val="20"/>
              </w:rPr>
              <w:t>3 years prior to study entry was permitted</w:t>
            </w:r>
            <w:r w:rsidRPr="009537C5">
              <w:rPr>
                <w:rFonts w:asciiTheme="minorHAnsi" w:hAnsiTheme="minorHAnsi" w:cstheme="minorHAnsi"/>
                <w:bCs/>
                <w:i/>
                <w:iCs/>
                <w:sz w:val="20"/>
                <w:szCs w:val="20"/>
              </w:rPr>
              <w: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 xml:space="preserve">Known history or symptomatic metastatic brain or meningeal tumours (head CT or MRI at screening to confirm the absence of central nervous system [CNS] disease if </w:t>
            </w:r>
            <w:r w:rsidRPr="009537C5">
              <w:rPr>
                <w:rFonts w:asciiTheme="minorHAnsi" w:hAnsiTheme="minorHAnsi" w:cstheme="minorHAnsi"/>
                <w:sz w:val="20"/>
                <w:szCs w:val="20"/>
                <w:lang w:eastAsia="en-US"/>
              </w:rPr>
              <w:t>the subject had symptoms suggestive or consistent with CNS disease).</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 xml:space="preserve">Major surgical procedure or significant traumatic injury within 28 days before </w:t>
            </w:r>
            <w:r w:rsidR="009537C5">
              <w:rPr>
                <w:rFonts w:asciiTheme="minorHAnsi" w:hAnsiTheme="minorHAnsi" w:cstheme="minorHAnsi"/>
                <w:sz w:val="20"/>
                <w:szCs w:val="20"/>
              </w:rPr>
              <w:t>randomis</w:t>
            </w:r>
            <w:r w:rsidRPr="009537C5">
              <w:rPr>
                <w:rFonts w:asciiTheme="minorHAnsi" w:hAnsiTheme="minorHAnsi" w:cstheme="minorHAnsi"/>
                <w:sz w:val="20"/>
                <w:szCs w:val="20"/>
              </w:rPr>
              <w:t>ation.</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 xml:space="preserve">Congestive heart failure New York Heart Association (NYHA) </w:t>
            </w:r>
            <w:r w:rsidRPr="009537C5">
              <w:rPr>
                <w:sz w:val="20"/>
                <w:szCs w:val="20"/>
              </w:rPr>
              <w:t>≥</w:t>
            </w:r>
            <w:r w:rsidR="00F17CA0">
              <w:rPr>
                <w:rFonts w:asciiTheme="minorHAnsi" w:hAnsiTheme="minorHAnsi" w:cstheme="minorHAnsi"/>
                <w:sz w:val="20"/>
                <w:szCs w:val="20"/>
              </w:rPr>
              <w:t xml:space="preserve"> Class 2</w:t>
            </w:r>
            <w:r w:rsidR="00EC67F6">
              <w:rPr>
                <w:rFonts w:asciiTheme="minorHAnsi" w:hAnsiTheme="minorHAnsi" w:cstheme="minorHAnsi"/>
                <w:sz w:val="20"/>
                <w:szCs w:val="20"/>
              </w:rPr>
              <w: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 xml:space="preserve">Unstable angina (angina symptoms at rest, new-onset angina </w:t>
            </w:r>
            <w:r w:rsidR="009537C5">
              <w:rPr>
                <w:rFonts w:asciiTheme="minorHAnsi" w:hAnsiTheme="minorHAnsi" w:cstheme="minorHAnsi"/>
                <w:sz w:val="20"/>
                <w:szCs w:val="20"/>
              </w:rPr>
              <w:t>that is,</w:t>
            </w:r>
            <w:r w:rsidR="00F17CA0">
              <w:rPr>
                <w:rFonts w:asciiTheme="minorHAnsi" w:hAnsiTheme="minorHAnsi" w:cstheme="minorHAnsi"/>
                <w:sz w:val="20"/>
                <w:szCs w:val="20"/>
              </w:rPr>
              <w:t xml:space="preserve"> within the last 3 </w:t>
            </w:r>
            <w:r w:rsidRPr="009537C5">
              <w:rPr>
                <w:rFonts w:asciiTheme="minorHAnsi" w:hAnsiTheme="minorHAnsi" w:cstheme="minorHAnsi"/>
                <w:sz w:val="20"/>
                <w:szCs w:val="20"/>
              </w:rPr>
              <w:t>months) or myocardial infarction (MI) within the past 6 months before randomi</w:t>
            </w:r>
            <w:r w:rsidR="009537C5">
              <w:rPr>
                <w:rFonts w:asciiTheme="minorHAnsi" w:hAnsiTheme="minorHAnsi" w:cstheme="minorHAnsi"/>
                <w:sz w:val="20"/>
                <w:szCs w:val="20"/>
              </w:rPr>
              <w:t>s</w:t>
            </w:r>
            <w:r w:rsidRPr="009537C5">
              <w:rPr>
                <w:rFonts w:asciiTheme="minorHAnsi" w:hAnsiTheme="minorHAnsi" w:cstheme="minorHAnsi"/>
                <w:sz w:val="20"/>
                <w:szCs w:val="20"/>
              </w:rPr>
              <w:t>ation.</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Cardiac arrhythmias requiring anti-arrhythmic therapy (beta blockers or digoxin were permitted).</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Uncontrolled hypertension (</w:t>
            </w:r>
            <w:r w:rsidR="009537C5">
              <w:rPr>
                <w:rFonts w:asciiTheme="minorHAnsi" w:hAnsiTheme="minorHAnsi" w:cstheme="minorHAnsi"/>
                <w:sz w:val="20"/>
                <w:szCs w:val="20"/>
              </w:rPr>
              <w:t>systolic blood pressure (</w:t>
            </w:r>
            <w:r w:rsidRPr="009537C5">
              <w:rPr>
                <w:rFonts w:asciiTheme="minorHAnsi" w:hAnsiTheme="minorHAnsi" w:cstheme="minorHAnsi"/>
                <w:sz w:val="20"/>
                <w:szCs w:val="20"/>
              </w:rPr>
              <w:t>SBP</w:t>
            </w:r>
            <w:r w:rsidR="009537C5">
              <w:rPr>
                <w:rFonts w:asciiTheme="minorHAnsi" w:hAnsiTheme="minorHAnsi" w:cstheme="minorHAnsi"/>
                <w:sz w:val="20"/>
                <w:szCs w:val="20"/>
              </w:rPr>
              <w:t>)</w:t>
            </w:r>
            <w:r w:rsidRPr="009537C5">
              <w:rPr>
                <w:rFonts w:asciiTheme="minorHAnsi" w:hAnsiTheme="minorHAnsi" w:cstheme="minorHAnsi"/>
                <w:sz w:val="20"/>
                <w:szCs w:val="20"/>
              </w:rPr>
              <w:t xml:space="preserve"> &gt;</w:t>
            </w:r>
            <w:r w:rsidR="00EC67F6">
              <w:rPr>
                <w:rFonts w:asciiTheme="minorHAnsi" w:hAnsiTheme="minorHAnsi" w:cstheme="minorHAnsi"/>
                <w:sz w:val="20"/>
                <w:szCs w:val="20"/>
              </w:rPr>
              <w:t xml:space="preserve"> </w:t>
            </w:r>
            <w:r w:rsidRPr="009537C5">
              <w:rPr>
                <w:rFonts w:asciiTheme="minorHAnsi" w:hAnsiTheme="minorHAnsi" w:cstheme="minorHAnsi"/>
                <w:sz w:val="20"/>
                <w:szCs w:val="20"/>
              </w:rPr>
              <w:t xml:space="preserve">150 mmHg or </w:t>
            </w:r>
            <w:r w:rsidR="009537C5">
              <w:rPr>
                <w:rFonts w:asciiTheme="minorHAnsi" w:hAnsiTheme="minorHAnsi" w:cstheme="minorHAnsi"/>
                <w:sz w:val="20"/>
                <w:szCs w:val="20"/>
              </w:rPr>
              <w:t>diastolic blood pressure (</w:t>
            </w:r>
            <w:r w:rsidRPr="009537C5">
              <w:rPr>
                <w:rFonts w:asciiTheme="minorHAnsi" w:hAnsiTheme="minorHAnsi" w:cstheme="minorHAnsi"/>
                <w:sz w:val="20"/>
                <w:szCs w:val="20"/>
              </w:rPr>
              <w:t>DBP</w:t>
            </w:r>
            <w:r w:rsidR="009537C5">
              <w:rPr>
                <w:rFonts w:asciiTheme="minorHAnsi" w:hAnsiTheme="minorHAnsi" w:cstheme="minorHAnsi"/>
                <w:sz w:val="20"/>
                <w:szCs w:val="20"/>
              </w:rPr>
              <w:t>)</w:t>
            </w:r>
            <w:r w:rsidRPr="009537C5">
              <w:rPr>
                <w:rFonts w:asciiTheme="minorHAnsi" w:hAnsiTheme="minorHAnsi" w:cstheme="minorHAnsi"/>
                <w:sz w:val="20"/>
                <w:szCs w:val="20"/>
              </w:rPr>
              <w:t xml:space="preserve"> &gt;</w:t>
            </w:r>
            <w:r w:rsidR="00EC67F6">
              <w:rPr>
                <w:rFonts w:asciiTheme="minorHAnsi" w:hAnsiTheme="minorHAnsi" w:cstheme="minorHAnsi"/>
                <w:sz w:val="20"/>
                <w:szCs w:val="20"/>
              </w:rPr>
              <w:t xml:space="preserve"> </w:t>
            </w:r>
            <w:r w:rsidRPr="009537C5">
              <w:rPr>
                <w:rFonts w:asciiTheme="minorHAnsi" w:hAnsiTheme="minorHAnsi" w:cstheme="minorHAnsi"/>
                <w:sz w:val="20"/>
                <w:szCs w:val="20"/>
              </w:rPr>
              <w:t>90 mmHg despite optimal medical management).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Phaeochromocytoma.</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lastRenderedPageBreak/>
              <w:t>Uncontrolled ascites (defined as not easily controlled with diuretic or paracentesis treatment).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Pleural effusion or ascites that caused respiratory compromise (National Cancer Institute [NCI]-common terminology criteria for adverse events [CTCAE] Grade ≥</w:t>
            </w:r>
            <w:r w:rsidR="00EC67F6">
              <w:rPr>
                <w:rFonts w:asciiTheme="minorHAnsi" w:hAnsiTheme="minorHAnsi" w:cstheme="minorHAnsi"/>
                <w:sz w:val="20"/>
                <w:szCs w:val="20"/>
              </w:rPr>
              <w:t xml:space="preserve"> </w:t>
            </w:r>
            <w:r w:rsidRPr="009537C5">
              <w:rPr>
                <w:rFonts w:asciiTheme="minorHAnsi" w:hAnsiTheme="minorHAnsi" w:cstheme="minorHAnsi"/>
                <w:sz w:val="20"/>
                <w:szCs w:val="20"/>
              </w:rPr>
              <w:t xml:space="preserve">2 </w:t>
            </w:r>
            <w:r w:rsidR="00EC67F6" w:rsidRPr="009537C5">
              <w:rPr>
                <w:rFonts w:asciiTheme="minorHAnsi" w:hAnsiTheme="minorHAnsi" w:cstheme="minorHAnsi"/>
                <w:sz w:val="20"/>
                <w:szCs w:val="20"/>
              </w:rPr>
              <w:t>dyspnoea</w:t>
            </w:r>
            <w:r w:rsidRPr="009537C5">
              <w:rPr>
                <w:rFonts w:asciiTheme="minorHAnsi" w:hAnsiTheme="minorHAnsi" w:cstheme="minorHAnsi"/>
                <w:sz w:val="20"/>
                <w:szCs w:val="20"/>
              </w:rPr>
              <w: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Persistent proteinuria of NCI-CTCAE Grade 3 or higher. Urine dipstick result of 3+ was allowed if protein excretion (estimated by urine protein/creatinine ratio on a random urine sample) was &lt; 3.5 g/24 hours.</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Ongoing infection &gt; Grade 2 according to NCI-CTCAE grading. Hepatitis B was allowed if no active replication was present. Hepatitis C was allowed if no antiviral treatment was required.</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Clinically significant bleeding NCI-CTCAE Grade 3 or higher within 30 days before randomi</w:t>
            </w:r>
            <w:r w:rsidR="006D7374">
              <w:rPr>
                <w:rFonts w:asciiTheme="minorHAnsi" w:hAnsiTheme="minorHAnsi" w:cstheme="minorHAnsi"/>
                <w:sz w:val="20"/>
                <w:szCs w:val="20"/>
              </w:rPr>
              <w:t>sation</w:t>
            </w:r>
            <w:r w:rsidRPr="009537C5">
              <w:rPr>
                <w:rFonts w:asciiTheme="minorHAnsi" w:hAnsiTheme="minorHAnsi" w:cstheme="minorHAnsi"/>
                <w:sz w:val="20"/>
                <w:szCs w:val="20"/>
              </w:rPr>
              <w: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Arterial or venous thrombotic or embolic events such as cerebrovascular accident (including transient ischemic attacks), deep vein thrombosis or pulmonary embolism within 6 months before the start of study medication.</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Unresolved toxicity higher than NCI-CTCAE Grade 1 (excluding alopecia or anaemia) attributed to any prior therapy/procedure.</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lang w:eastAsia="en-US"/>
              </w:rPr>
              <w:t xml:space="preserve">Any illness or medical condition that was </w:t>
            </w:r>
            <w:r w:rsidRPr="009537C5">
              <w:rPr>
                <w:rFonts w:asciiTheme="minorHAnsi" w:hAnsiTheme="minorHAnsi" w:cstheme="minorHAnsi"/>
                <w:sz w:val="20"/>
                <w:szCs w:val="20"/>
              </w:rPr>
              <w:t xml:space="preserve">unstable or could have </w:t>
            </w:r>
            <w:r w:rsidR="00DD4DB9">
              <w:rPr>
                <w:rFonts w:asciiTheme="minorHAnsi" w:hAnsiTheme="minorHAnsi" w:cstheme="minorHAnsi"/>
                <w:sz w:val="20"/>
                <w:szCs w:val="20"/>
              </w:rPr>
              <w:t>jeopardis</w:t>
            </w:r>
            <w:r w:rsidRPr="009537C5">
              <w:rPr>
                <w:rFonts w:asciiTheme="minorHAnsi" w:hAnsiTheme="minorHAnsi" w:cstheme="minorHAnsi"/>
                <w:sz w:val="20"/>
                <w:szCs w:val="20"/>
              </w:rPr>
              <w:t>ed the safety of the subject and his/her compliance in the study.</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Known history of human immunodeficiency virus (HIV) infection.</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Seizure disorder requiring medication.</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color w:val="auto"/>
                <w:sz w:val="20"/>
                <w:szCs w:val="20"/>
                <w:lang w:eastAsia="en-US"/>
              </w:rPr>
              <w:t>History of organ allograft.</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Non-healing wound, ulcer, or bone fracture.</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Renal failure requiring haemo- or peritoneal dialysis.</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Substance abuse, medical, psychological or social conditions that could have interfered with the subject’s participation in the study or evaluation of the study results.</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Known hypersensitivity to any of the study drugs, study drug classes, or excipients in the formulation.</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lastRenderedPageBreak/>
              <w:t>Subject unable to swallow oral medications.</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Interstitial lung disease with ongoing signs and symptoms at the time of screening.</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Any malabsorption condition.</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Breast feeding.</w:t>
            </w:r>
          </w:p>
          <w:p w:rsidR="008F4993" w:rsidRPr="009537C5" w:rsidRDefault="008F4993" w:rsidP="009537C5">
            <w:pPr>
              <w:rPr>
                <w:rFonts w:asciiTheme="minorHAnsi" w:hAnsiTheme="minorHAnsi" w:cstheme="minorHAnsi"/>
                <w:sz w:val="20"/>
                <w:szCs w:val="20"/>
              </w:rPr>
            </w:pPr>
            <w:r w:rsidRPr="009537C5">
              <w:rPr>
                <w:rFonts w:asciiTheme="minorHAnsi" w:hAnsiTheme="minorHAnsi" w:cstheme="minorHAnsi"/>
                <w:sz w:val="20"/>
                <w:szCs w:val="20"/>
              </w:rPr>
              <w:t>Pregnancy.</w:t>
            </w:r>
          </w:p>
          <w:p w:rsidR="008F4993" w:rsidRPr="009537C5" w:rsidRDefault="008F4993" w:rsidP="00DD4DB9">
            <w:pPr>
              <w:rPr>
                <w:rFonts w:asciiTheme="minorHAnsi" w:hAnsiTheme="minorHAnsi" w:cstheme="minorHAnsi"/>
                <w:sz w:val="20"/>
                <w:szCs w:val="20"/>
              </w:rPr>
            </w:pPr>
            <w:r w:rsidRPr="009537C5">
              <w:rPr>
                <w:rFonts w:asciiTheme="minorHAnsi" w:hAnsiTheme="minorHAnsi" w:cstheme="minorHAnsi"/>
                <w:sz w:val="20"/>
                <w:szCs w:val="20"/>
              </w:rPr>
              <w:t xml:space="preserve">Close affiliation with the investigational site; </w:t>
            </w:r>
            <w:r w:rsidR="00DD4DB9">
              <w:rPr>
                <w:rFonts w:asciiTheme="minorHAnsi" w:hAnsiTheme="minorHAnsi" w:cstheme="minorHAnsi"/>
                <w:sz w:val="20"/>
                <w:szCs w:val="20"/>
              </w:rPr>
              <w:t>for example</w:t>
            </w:r>
            <w:r w:rsidRPr="009537C5">
              <w:rPr>
                <w:rFonts w:asciiTheme="minorHAnsi" w:hAnsiTheme="minorHAnsi" w:cstheme="minorHAnsi"/>
                <w:sz w:val="20"/>
                <w:szCs w:val="20"/>
              </w:rPr>
              <w:t xml:space="preserve"> a close relative of the investigator, dependent person (</w:t>
            </w:r>
            <w:r w:rsidR="00DD4DB9">
              <w:rPr>
                <w:rFonts w:asciiTheme="minorHAnsi" w:hAnsiTheme="minorHAnsi" w:cstheme="minorHAnsi"/>
                <w:sz w:val="20"/>
                <w:szCs w:val="20"/>
              </w:rPr>
              <w:t>for example,</w:t>
            </w:r>
            <w:r w:rsidRPr="009537C5">
              <w:rPr>
                <w:rFonts w:asciiTheme="minorHAnsi" w:hAnsiTheme="minorHAnsi" w:cstheme="minorHAnsi"/>
                <w:sz w:val="20"/>
                <w:szCs w:val="20"/>
              </w:rPr>
              <w:t xml:space="preserve"> employee or student of the investigational site that would have </w:t>
            </w:r>
            <w:r w:rsidRPr="009537C5">
              <w:rPr>
                <w:rFonts w:asciiTheme="minorHAnsi" w:hAnsiTheme="minorHAnsi" w:cstheme="minorHAnsi"/>
                <w:sz w:val="20"/>
                <w:szCs w:val="20"/>
                <w:lang w:eastAsia="en-US"/>
              </w:rPr>
              <w:t>had access to study records and electronic case report form [eCRF] data).</w:t>
            </w:r>
          </w:p>
        </w:tc>
      </w:tr>
    </w:tbl>
    <w:p w:rsidR="008F4993" w:rsidRDefault="008F4993" w:rsidP="008F4993">
      <w:pPr>
        <w:spacing w:before="240"/>
        <w:rPr>
          <w:lang w:eastAsia="en-AU"/>
        </w:rPr>
      </w:pPr>
      <w:r>
        <w:rPr>
          <w:lang w:eastAsia="en-AU"/>
        </w:rPr>
        <w:lastRenderedPageBreak/>
        <w:t>The</w:t>
      </w:r>
      <w:r w:rsidRPr="00D658CB">
        <w:rPr>
          <w:lang w:eastAsia="en-AU"/>
        </w:rPr>
        <w:t xml:space="preserve"> baseline demographic and disease characteristics were comparable between treatment groups, and were generally consistent with the target patient population.</w:t>
      </w:r>
      <w:r>
        <w:rPr>
          <w:lang w:eastAsia="en-AU"/>
        </w:rPr>
        <w:t xml:space="preserve"> </w:t>
      </w:r>
      <w:r w:rsidRPr="00D658CB">
        <w:rPr>
          <w:lang w:eastAsia="en-AU"/>
        </w:rPr>
        <w:t>The majority of patients in each treatment g</w:t>
      </w:r>
      <w:r>
        <w:rPr>
          <w:lang w:eastAsia="en-AU"/>
        </w:rPr>
        <w:t>roup were male (88.1% and 87.9%</w:t>
      </w:r>
      <w:r w:rsidRPr="00D658CB">
        <w:rPr>
          <w:lang w:eastAsia="en-AU"/>
        </w:rPr>
        <w:t xml:space="preserve"> in the placebo and regorafenib groups, respectively) and Asian (40.2% and 41.2%, respectively) or White (35.1% and 36.4%, respectively). The mean (standard deviation) age was 61.1 (11.6) and 61.8 (12.4) years, respectively.</w:t>
      </w:r>
      <w:r w:rsidRPr="00D658CB">
        <w:t xml:space="preserve"> </w:t>
      </w:r>
      <w:r w:rsidRPr="00D658CB">
        <w:rPr>
          <w:lang w:eastAsia="en-AU"/>
        </w:rPr>
        <w:t>The most common contribution to the aetiology of HCC was hepatitis B in both groups (37.6%</w:t>
      </w:r>
      <w:r w:rsidR="00EB28B3">
        <w:rPr>
          <w:lang w:eastAsia="en-AU"/>
        </w:rPr>
        <w:t xml:space="preserve"> versus </w:t>
      </w:r>
      <w:r w:rsidRPr="00D658CB">
        <w:rPr>
          <w:lang w:eastAsia="en-AU"/>
        </w:rPr>
        <w:t xml:space="preserve">37.7%). The majority of </w:t>
      </w:r>
      <w:r>
        <w:rPr>
          <w:lang w:eastAsia="en-AU"/>
        </w:rPr>
        <w:t>participant</w:t>
      </w:r>
      <w:r w:rsidRPr="00D658CB">
        <w:rPr>
          <w:lang w:eastAsia="en-AU"/>
        </w:rPr>
        <w:t xml:space="preserve">s in both groups had </w:t>
      </w:r>
      <w:r>
        <w:rPr>
          <w:lang w:eastAsia="en-AU"/>
        </w:rPr>
        <w:t>BCLC</w:t>
      </w:r>
      <w:r w:rsidRPr="00D658CB">
        <w:rPr>
          <w:lang w:eastAsia="en-AU"/>
        </w:rPr>
        <w:t xml:space="preserve"> stage C disease at study entry (88.7%</w:t>
      </w:r>
      <w:r w:rsidR="00EB28B3">
        <w:rPr>
          <w:lang w:eastAsia="en-AU"/>
        </w:rPr>
        <w:t xml:space="preserve"> versus </w:t>
      </w:r>
      <w:r w:rsidRPr="00D658CB">
        <w:rPr>
          <w:lang w:eastAsia="en-AU"/>
        </w:rPr>
        <w:t>85.8%).</w:t>
      </w:r>
    </w:p>
    <w:p w:rsidR="008F4993" w:rsidRDefault="008F4993" w:rsidP="008F4993">
      <w:pPr>
        <w:rPr>
          <w:lang w:eastAsia="en-AU"/>
        </w:rPr>
      </w:pPr>
      <w:r w:rsidRPr="00D658CB">
        <w:rPr>
          <w:lang w:eastAsia="en-AU"/>
        </w:rPr>
        <w:t>A total of 573 patients (379 in the regorafenib group</w:t>
      </w:r>
      <w:r w:rsidR="00EB28B3">
        <w:rPr>
          <w:lang w:eastAsia="en-AU"/>
        </w:rPr>
        <w:t xml:space="preserve"> versus </w:t>
      </w:r>
      <w:r w:rsidRPr="00D658CB">
        <w:rPr>
          <w:lang w:eastAsia="en-AU"/>
        </w:rPr>
        <w:t xml:space="preserve">194 in the placebo group) were randomised, of whom 567 (99%) (374 </w:t>
      </w:r>
      <w:r w:rsidR="007E64A4">
        <w:rPr>
          <w:lang w:eastAsia="en-AU"/>
        </w:rPr>
        <w:t>(</w:t>
      </w:r>
      <w:r w:rsidRPr="00D658CB">
        <w:rPr>
          <w:lang w:eastAsia="en-AU"/>
        </w:rPr>
        <w:t>98.7%</w:t>
      </w:r>
      <w:r w:rsidR="007E64A4">
        <w:rPr>
          <w:lang w:eastAsia="en-AU"/>
        </w:rPr>
        <w:t>)</w:t>
      </w:r>
      <w:r w:rsidR="00EB28B3">
        <w:rPr>
          <w:lang w:eastAsia="en-AU"/>
        </w:rPr>
        <w:t xml:space="preserve"> versus </w:t>
      </w:r>
      <w:r w:rsidRPr="00D658CB">
        <w:rPr>
          <w:lang w:eastAsia="en-AU"/>
        </w:rPr>
        <w:t xml:space="preserve">193 </w:t>
      </w:r>
      <w:r w:rsidR="007E64A4">
        <w:rPr>
          <w:lang w:eastAsia="en-AU"/>
        </w:rPr>
        <w:t>(</w:t>
      </w:r>
      <w:r w:rsidRPr="00D658CB">
        <w:rPr>
          <w:lang w:eastAsia="en-AU"/>
        </w:rPr>
        <w:t>99.5%</w:t>
      </w:r>
      <w:r w:rsidR="007E64A4">
        <w:rPr>
          <w:lang w:eastAsia="en-AU"/>
        </w:rPr>
        <w:t>)</w:t>
      </w:r>
      <w:r w:rsidRPr="00D658CB">
        <w:rPr>
          <w:lang w:eastAsia="en-AU"/>
        </w:rPr>
        <w:t>) started</w:t>
      </w:r>
      <w:r>
        <w:rPr>
          <w:lang w:eastAsia="en-AU"/>
        </w:rPr>
        <w:t xml:space="preserve"> study treatment. </w:t>
      </w:r>
      <w:r w:rsidRPr="00D658CB">
        <w:rPr>
          <w:lang w:eastAsia="en-AU"/>
        </w:rPr>
        <w:t>At the data cut-off</w:t>
      </w:r>
      <w:r>
        <w:rPr>
          <w:lang w:eastAsia="en-AU"/>
        </w:rPr>
        <w:t xml:space="preserve"> date for this submission</w:t>
      </w:r>
      <w:r w:rsidRPr="00D658CB">
        <w:rPr>
          <w:lang w:eastAsia="en-AU"/>
        </w:rPr>
        <w:t>, st</w:t>
      </w:r>
      <w:r w:rsidR="00EC67F6">
        <w:rPr>
          <w:lang w:eastAsia="en-AU"/>
        </w:rPr>
        <w:t>udy treatment was ongoing in 75 </w:t>
      </w:r>
      <w:r w:rsidRPr="00D658CB">
        <w:rPr>
          <w:lang w:eastAsia="en-AU"/>
        </w:rPr>
        <w:t>(13.1%) patients (65 in the regorafenib group and 10 in the placebo group</w:t>
      </w:r>
      <w:r>
        <w:rPr>
          <w:lang w:eastAsia="en-AU"/>
        </w:rPr>
        <w:t xml:space="preserve">, </w:t>
      </w:r>
      <w:r w:rsidR="00DD4DB9">
        <w:rPr>
          <w:lang w:eastAsia="en-AU"/>
        </w:rPr>
        <w:t xml:space="preserve">Figure </w:t>
      </w:r>
      <w:r w:rsidR="00F26FD4">
        <w:rPr>
          <w:lang w:eastAsia="en-AU"/>
        </w:rPr>
        <w:t>3</w:t>
      </w:r>
      <w:r w:rsidRPr="00D658CB">
        <w:rPr>
          <w:lang w:eastAsia="en-AU"/>
        </w:rPr>
        <w:t>).</w:t>
      </w:r>
    </w:p>
    <w:p w:rsidR="00DD4DB9" w:rsidRDefault="00F17CA0" w:rsidP="00F17CA0">
      <w:pPr>
        <w:pStyle w:val="FigureTitle"/>
        <w:numPr>
          <w:ilvl w:val="0"/>
          <w:numId w:val="0"/>
        </w:numPr>
        <w:ind w:left="360" w:hanging="360"/>
      </w:pPr>
      <w:r>
        <w:lastRenderedPageBreak/>
        <w:t xml:space="preserve">Figure 3: </w:t>
      </w:r>
      <w:r w:rsidR="00DD4DB9">
        <w:t>Patient disposition in RESORCE study</w:t>
      </w:r>
    </w:p>
    <w:p w:rsidR="008F4993" w:rsidRPr="00EC67F6" w:rsidRDefault="008F4993" w:rsidP="00F17CA0">
      <w:r w:rsidRPr="00BA24C8">
        <w:rPr>
          <w:noProof/>
          <w:lang w:eastAsia="en-AU"/>
        </w:rPr>
        <w:drawing>
          <wp:inline distT="0" distB="0" distL="0" distR="0" wp14:anchorId="1E18C52C" wp14:editId="3750DDE2">
            <wp:extent cx="4946754" cy="3810470"/>
            <wp:effectExtent l="0" t="0" r="6350" b="0"/>
            <wp:docPr id="18" name="Picture 18" descr="Patient disposition in RESORCE study&#10;A total of 573 patients (379 in the regorafenib group versus 194 in the placebo group) were randomised, of whom 567 (99%) (374 [98.7%] versus 193 [99.5%]) started study treatment. At the data cut-off date for this submission, study treatment was ongoing in 75 (13.1%) patients (65 in the regorafenib group and 10 in the placeb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52083" cy="3814575"/>
                    </a:xfrm>
                    <a:prstGeom prst="rect">
                      <a:avLst/>
                    </a:prstGeom>
                  </pic:spPr>
                </pic:pic>
              </a:graphicData>
            </a:graphic>
          </wp:inline>
        </w:drawing>
      </w:r>
    </w:p>
    <w:p w:rsidR="008F4993" w:rsidRDefault="008F4993" w:rsidP="00F17CA0">
      <w:r>
        <w:t xml:space="preserve">The median time on treatment including time off drug/interruptions for patients treated with regorafenib was 15.6 weeks (range 0.1 </w:t>
      </w:r>
      <w:r w:rsidR="007E64A4">
        <w:t>to</w:t>
      </w:r>
      <w:r>
        <w:t xml:space="preserve"> 128 weeks), compared to 8.4 weeks (0.7</w:t>
      </w:r>
      <w:r w:rsidR="007E64A4">
        <w:t xml:space="preserve"> to</w:t>
      </w:r>
      <w:r>
        <w:t xml:space="preserve"> 119 weeks) in the placebo group. Actual time under treatment (excluding time off drug/interruptions) was 11.8 (0.1 </w:t>
      </w:r>
      <w:r w:rsidR="007E64A4">
        <w:t>to</w:t>
      </w:r>
      <w:r>
        <w:t xml:space="preserve"> 94.7) weeks in the regorafenib treated patients and 6.1 (0.7 </w:t>
      </w:r>
      <w:r w:rsidR="007E64A4">
        <w:t>to</w:t>
      </w:r>
      <w:r>
        <w:t xml:space="preserve"> 86.6) weeks in the placebo treated patients.</w:t>
      </w:r>
    </w:p>
    <w:p w:rsidR="008F4993" w:rsidRDefault="008F4993" w:rsidP="00F17CA0">
      <w:r>
        <w:t xml:space="preserve">The median follow-up time at data cut-off in the regorafenib treated group was 228 days or 32.6 weeks (range 9 </w:t>
      </w:r>
      <w:r w:rsidR="007E64A4">
        <w:t>to</w:t>
      </w:r>
      <w:r>
        <w:t xml:space="preserve"> 987 days) and in the placebo group was 172.5 days or 24.6 weeks (range 12 </w:t>
      </w:r>
      <w:r w:rsidR="007E64A4">
        <w:t>to</w:t>
      </w:r>
      <w:r>
        <w:t xml:space="preserve"> 946 days).</w:t>
      </w:r>
    </w:p>
    <w:p w:rsidR="00DD4DB9" w:rsidRDefault="008F4993" w:rsidP="00DD4DB9">
      <w:pPr>
        <w:rPr>
          <w:lang w:eastAsia="en-AU"/>
        </w:rPr>
      </w:pPr>
      <w:r w:rsidRPr="00D658CB">
        <w:rPr>
          <w:lang w:eastAsia="en-AU"/>
        </w:rPr>
        <w:t xml:space="preserve">At </w:t>
      </w:r>
      <w:r>
        <w:rPr>
          <w:lang w:eastAsia="en-AU"/>
        </w:rPr>
        <w:t>data cut-off</w:t>
      </w:r>
      <w:r w:rsidRPr="00D658CB">
        <w:rPr>
          <w:lang w:eastAsia="en-AU"/>
        </w:rPr>
        <w:t xml:space="preserve">, a total of 373 </w:t>
      </w:r>
      <w:r>
        <w:rPr>
          <w:lang w:eastAsia="en-AU"/>
        </w:rPr>
        <w:t xml:space="preserve">pre-defined </w:t>
      </w:r>
      <w:r w:rsidRPr="00D658CB">
        <w:rPr>
          <w:lang w:eastAsia="en-AU"/>
        </w:rPr>
        <w:t>events had occurred, 233 events (61.5%) in the regorafenib group and 140 events (72.2%) in the placebo group</w:t>
      </w:r>
      <w:r>
        <w:rPr>
          <w:lang w:eastAsia="en-AU"/>
        </w:rPr>
        <w:t>.</w:t>
      </w:r>
      <w:r w:rsidRPr="00D658CB">
        <w:rPr>
          <w:lang w:eastAsia="en-AU"/>
        </w:rPr>
        <w:t xml:space="preserve"> A treatment effect with respect to </w:t>
      </w:r>
      <w:r>
        <w:rPr>
          <w:lang w:eastAsia="en-AU"/>
        </w:rPr>
        <w:t xml:space="preserve">OS </w:t>
      </w:r>
      <w:r w:rsidRPr="00D658CB">
        <w:rPr>
          <w:lang w:eastAsia="en-AU"/>
        </w:rPr>
        <w:t xml:space="preserve">was seen with a </w:t>
      </w:r>
      <w:r w:rsidR="007E64A4">
        <w:rPr>
          <w:lang w:eastAsia="en-AU"/>
        </w:rPr>
        <w:t>hazard ratio</w:t>
      </w:r>
      <w:r w:rsidRPr="00D658CB">
        <w:rPr>
          <w:lang w:eastAsia="en-AU"/>
        </w:rPr>
        <w:t xml:space="preserve"> (HR) of 0.627 (95% CI: 0.500, 0.785)</w:t>
      </w:r>
      <w:r>
        <w:rPr>
          <w:lang w:eastAsia="en-AU"/>
        </w:rPr>
        <w:t xml:space="preserve"> favouring regorafenib</w:t>
      </w:r>
      <w:r w:rsidRPr="00D658CB">
        <w:rPr>
          <w:lang w:eastAsia="en-AU"/>
        </w:rPr>
        <w:t xml:space="preserve">. The median </w:t>
      </w:r>
      <w:r>
        <w:rPr>
          <w:lang w:eastAsia="en-AU"/>
        </w:rPr>
        <w:t>OS</w:t>
      </w:r>
      <w:r w:rsidRPr="00D658CB">
        <w:rPr>
          <w:lang w:eastAsia="en-AU"/>
        </w:rPr>
        <w:t xml:space="preserve"> was 10.6 months (95% CI: 9.1, 12.1 months) in the regorafenib group compared with 7.8 months (95% CI: 6.3, 8.8 months) in the placebo group. Sensitivity analyses on </w:t>
      </w:r>
      <w:r>
        <w:rPr>
          <w:lang w:eastAsia="en-AU"/>
        </w:rPr>
        <w:t>OS</w:t>
      </w:r>
      <w:r w:rsidRPr="00D658CB">
        <w:rPr>
          <w:lang w:eastAsia="en-AU"/>
        </w:rPr>
        <w:t xml:space="preserve"> yielded similar results (analysis using stratified RAVE data</w:t>
      </w:r>
      <w:r w:rsidR="007E64A4">
        <w:rPr>
          <w:lang w:eastAsia="en-AU"/>
        </w:rPr>
        <w:t>.</w:t>
      </w:r>
      <w:r w:rsidRPr="00D658CB">
        <w:rPr>
          <w:vertAlign w:val="superscript"/>
          <w:lang w:eastAsia="en-AU"/>
        </w:rPr>
        <w:footnoteReference w:id="16"/>
      </w:r>
      <w:r w:rsidRPr="00D658CB">
        <w:rPr>
          <w:lang w:eastAsia="en-AU"/>
        </w:rPr>
        <w:t xml:space="preserve"> </w:t>
      </w:r>
      <w:r w:rsidR="007E64A4">
        <w:rPr>
          <w:lang w:eastAsia="en-AU"/>
        </w:rPr>
        <w:t>(</w:t>
      </w:r>
      <w:r w:rsidR="00EB28B3">
        <w:rPr>
          <w:lang w:eastAsia="en-AU"/>
        </w:rPr>
        <w:t>HR</w:t>
      </w:r>
      <w:r w:rsidRPr="00D658CB">
        <w:rPr>
          <w:lang w:eastAsia="en-AU"/>
        </w:rPr>
        <w:t xml:space="preserve"> 0.661, p</w:t>
      </w:r>
      <w:r w:rsidR="00EC67F6">
        <w:rPr>
          <w:lang w:eastAsia="en-AU"/>
        </w:rPr>
        <w:t xml:space="preserve"> </w:t>
      </w:r>
      <w:r w:rsidRPr="00D658CB">
        <w:rPr>
          <w:lang w:eastAsia="en-AU"/>
        </w:rPr>
        <w:t>=</w:t>
      </w:r>
      <w:r w:rsidR="00EC67F6">
        <w:rPr>
          <w:lang w:eastAsia="en-AU"/>
        </w:rPr>
        <w:t xml:space="preserve"> </w:t>
      </w:r>
      <w:r w:rsidRPr="00D658CB">
        <w:rPr>
          <w:lang w:eastAsia="en-AU"/>
        </w:rPr>
        <w:t>0.000155</w:t>
      </w:r>
      <w:r w:rsidR="007E64A4">
        <w:rPr>
          <w:lang w:eastAsia="en-AU"/>
        </w:rPr>
        <w:t>)</w:t>
      </w:r>
      <w:r w:rsidRPr="00D658CB">
        <w:rPr>
          <w:lang w:eastAsia="en-AU"/>
        </w:rPr>
        <w:t>; un</w:t>
      </w:r>
      <w:r w:rsidR="00DD4DB9">
        <w:rPr>
          <w:lang w:eastAsia="en-AU"/>
        </w:rPr>
        <w:t>-</w:t>
      </w:r>
      <w:r w:rsidRPr="00D658CB">
        <w:rPr>
          <w:lang w:eastAsia="en-AU"/>
        </w:rPr>
        <w:t xml:space="preserve">stratified analysis </w:t>
      </w:r>
      <w:r w:rsidR="007E64A4">
        <w:rPr>
          <w:lang w:eastAsia="en-AU"/>
        </w:rPr>
        <w:t>(</w:t>
      </w:r>
      <w:r w:rsidR="00EB28B3">
        <w:rPr>
          <w:lang w:eastAsia="en-AU"/>
        </w:rPr>
        <w:t>HR</w:t>
      </w:r>
      <w:r w:rsidRPr="00D658CB">
        <w:rPr>
          <w:lang w:eastAsia="en-AU"/>
        </w:rPr>
        <w:t xml:space="preserve"> 0.673, p</w:t>
      </w:r>
      <w:r w:rsidR="00EC67F6">
        <w:rPr>
          <w:lang w:eastAsia="en-AU"/>
        </w:rPr>
        <w:t xml:space="preserve"> </w:t>
      </w:r>
      <w:r w:rsidRPr="00D658CB">
        <w:rPr>
          <w:lang w:eastAsia="en-AU"/>
        </w:rPr>
        <w:t>=</w:t>
      </w:r>
      <w:r w:rsidR="00EC67F6">
        <w:rPr>
          <w:lang w:eastAsia="en-AU"/>
        </w:rPr>
        <w:t xml:space="preserve"> </w:t>
      </w:r>
      <w:r w:rsidRPr="00D658CB">
        <w:rPr>
          <w:lang w:eastAsia="en-AU"/>
        </w:rPr>
        <w:t>0.000107</w:t>
      </w:r>
      <w:r w:rsidR="007E64A4">
        <w:rPr>
          <w:lang w:eastAsia="en-AU"/>
        </w:rPr>
        <w:t>)</w:t>
      </w:r>
      <w:r w:rsidRPr="00D658CB">
        <w:rPr>
          <w:lang w:eastAsia="en-AU"/>
        </w:rPr>
        <w:t>).</w:t>
      </w:r>
      <w:r>
        <w:rPr>
          <w:lang w:eastAsia="en-AU"/>
        </w:rPr>
        <w:t xml:space="preserve"> These and other efficacy results are summarised in</w:t>
      </w:r>
      <w:bookmarkStart w:id="243" w:name="_Ref496540636"/>
      <w:r w:rsidR="00DD4DB9">
        <w:rPr>
          <w:lang w:eastAsia="en-AU"/>
        </w:rPr>
        <w:t xml:space="preserve"> Table 20 below.</w:t>
      </w:r>
    </w:p>
    <w:bookmarkEnd w:id="243"/>
    <w:p w:rsidR="008F4993" w:rsidRPr="00C73765" w:rsidRDefault="00F17CA0" w:rsidP="00B12A57">
      <w:pPr>
        <w:pStyle w:val="TableTitle"/>
        <w:pageBreakBefore/>
        <w:numPr>
          <w:ilvl w:val="0"/>
          <w:numId w:val="0"/>
        </w:numPr>
      </w:pPr>
      <w:r>
        <w:lastRenderedPageBreak/>
        <w:t xml:space="preserve">Table 20: </w:t>
      </w:r>
      <w:r w:rsidR="008F4993" w:rsidRPr="00C73765">
        <w:t>RESORCE efficacy outcomes</w:t>
      </w:r>
    </w:p>
    <w:tbl>
      <w:tblPr>
        <w:tblStyle w:val="TableTGAblue"/>
        <w:tblW w:w="0" w:type="auto"/>
        <w:tblLook w:val="04A0" w:firstRow="1" w:lastRow="0" w:firstColumn="1" w:lastColumn="0" w:noHBand="0" w:noVBand="1"/>
      </w:tblPr>
      <w:tblGrid>
        <w:gridCol w:w="2838"/>
        <w:gridCol w:w="1970"/>
        <w:gridCol w:w="1679"/>
        <w:gridCol w:w="2233"/>
      </w:tblGrid>
      <w:tr w:rsidR="008F4993" w:rsidRPr="00DD4DB9" w:rsidTr="00EC67F6">
        <w:trPr>
          <w:cnfStyle w:val="100000000000" w:firstRow="1" w:lastRow="0" w:firstColumn="0" w:lastColumn="0" w:oddVBand="0" w:evenVBand="0" w:oddHBand="0" w:evenHBand="0" w:firstRowFirstColumn="0" w:firstRowLastColumn="0" w:lastRowFirstColumn="0" w:lastRowLastColumn="0"/>
          <w:cantSplit/>
        </w:trPr>
        <w:tc>
          <w:tcPr>
            <w:tcW w:w="2838" w:type="dxa"/>
          </w:tcPr>
          <w:p w:rsidR="008F4993" w:rsidRPr="00DD4DB9" w:rsidRDefault="008F4993" w:rsidP="00EC67F6">
            <w:pPr>
              <w:ind w:left="0" w:right="0"/>
              <w:rPr>
                <w:sz w:val="20"/>
                <w:szCs w:val="20"/>
              </w:rPr>
            </w:pPr>
          </w:p>
        </w:tc>
        <w:tc>
          <w:tcPr>
            <w:tcW w:w="1970" w:type="dxa"/>
          </w:tcPr>
          <w:p w:rsidR="008F4993" w:rsidRPr="00DD4DB9" w:rsidRDefault="008F4993" w:rsidP="00EC67F6">
            <w:pPr>
              <w:ind w:left="0" w:right="0"/>
              <w:rPr>
                <w:sz w:val="20"/>
                <w:szCs w:val="20"/>
              </w:rPr>
            </w:pPr>
            <w:r w:rsidRPr="00DD4DB9">
              <w:rPr>
                <w:sz w:val="20"/>
                <w:szCs w:val="20"/>
              </w:rPr>
              <w:t>Regorafenib</w:t>
            </w:r>
          </w:p>
        </w:tc>
        <w:tc>
          <w:tcPr>
            <w:tcW w:w="1679" w:type="dxa"/>
          </w:tcPr>
          <w:p w:rsidR="008F4993" w:rsidRPr="00DD4DB9" w:rsidRDefault="008F4993" w:rsidP="00EC67F6">
            <w:pPr>
              <w:ind w:left="0" w:right="0"/>
              <w:rPr>
                <w:sz w:val="20"/>
                <w:szCs w:val="20"/>
              </w:rPr>
            </w:pPr>
            <w:r w:rsidRPr="00DD4DB9">
              <w:rPr>
                <w:sz w:val="20"/>
                <w:szCs w:val="20"/>
              </w:rPr>
              <w:t>Placebo</w:t>
            </w:r>
          </w:p>
        </w:tc>
        <w:tc>
          <w:tcPr>
            <w:tcW w:w="2233" w:type="dxa"/>
          </w:tcPr>
          <w:p w:rsidR="008F4993" w:rsidRPr="00DD4DB9" w:rsidRDefault="008F4993" w:rsidP="00EC67F6">
            <w:pPr>
              <w:ind w:left="0" w:right="0"/>
              <w:rPr>
                <w:sz w:val="20"/>
                <w:szCs w:val="20"/>
              </w:rPr>
            </w:pPr>
            <w:r w:rsidRPr="00DD4DB9">
              <w:rPr>
                <w:sz w:val="20"/>
                <w:szCs w:val="20"/>
              </w:rPr>
              <w:t>HR (95% CI), p</w:t>
            </w:r>
          </w:p>
        </w:tc>
      </w:tr>
      <w:tr w:rsidR="008F4993" w:rsidRPr="00DD4DB9" w:rsidTr="00EC67F6">
        <w:tc>
          <w:tcPr>
            <w:tcW w:w="2838"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sz w:val="20"/>
                <w:szCs w:val="20"/>
              </w:rPr>
              <w:t>Median OS (95% CI) months</w:t>
            </w:r>
          </w:p>
        </w:tc>
        <w:tc>
          <w:tcPr>
            <w:tcW w:w="1970" w:type="dxa"/>
          </w:tcPr>
          <w:p w:rsidR="008F4993" w:rsidRPr="00DD4DB9" w:rsidRDefault="00EC67F6" w:rsidP="00EC67F6">
            <w:pPr>
              <w:ind w:left="0" w:right="0"/>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10.6 (9.1, 12.1)</w:t>
            </w:r>
          </w:p>
          <w:p w:rsidR="008F4993" w:rsidRPr="00DD4DB9" w:rsidRDefault="008F4993" w:rsidP="00EC67F6">
            <w:pPr>
              <w:ind w:left="0" w:right="0"/>
              <w:rPr>
                <w:rFonts w:asciiTheme="minorHAnsi" w:hAnsiTheme="minorHAnsi" w:cstheme="minorHAnsi"/>
                <w:sz w:val="20"/>
                <w:szCs w:val="20"/>
              </w:rPr>
            </w:pPr>
          </w:p>
        </w:tc>
        <w:tc>
          <w:tcPr>
            <w:tcW w:w="1679"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7.8 (6.3, 8.8)</w:t>
            </w:r>
          </w:p>
        </w:tc>
        <w:tc>
          <w:tcPr>
            <w:tcW w:w="2233"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0.627 (0.500, 0.785), p</w:t>
            </w:r>
            <w:r w:rsidR="00EC67F6">
              <w:rPr>
                <w:rFonts w:asciiTheme="minorHAnsi" w:hAnsiTheme="minorHAnsi" w:cstheme="minorHAnsi"/>
                <w:color w:val="auto"/>
                <w:sz w:val="20"/>
                <w:szCs w:val="20"/>
                <w:lang w:eastAsia="en-US"/>
              </w:rPr>
              <w:t> </w:t>
            </w:r>
            <w:r w:rsidRPr="00DD4DB9">
              <w:rPr>
                <w:rFonts w:asciiTheme="minorHAnsi" w:hAnsiTheme="minorHAnsi" w:cstheme="minorHAnsi"/>
                <w:color w:val="auto"/>
                <w:sz w:val="20"/>
                <w:szCs w:val="20"/>
                <w:lang w:eastAsia="en-US"/>
              </w:rPr>
              <w:t>=</w:t>
            </w:r>
            <w:r w:rsidR="00EC67F6">
              <w:rPr>
                <w:rFonts w:asciiTheme="minorHAnsi" w:hAnsiTheme="minorHAnsi" w:cstheme="minorHAnsi"/>
                <w:color w:val="auto"/>
                <w:sz w:val="20"/>
                <w:szCs w:val="20"/>
                <w:lang w:eastAsia="en-US"/>
              </w:rPr>
              <w:t xml:space="preserve"> </w:t>
            </w:r>
            <w:r w:rsidRPr="00DD4DB9">
              <w:rPr>
                <w:rFonts w:asciiTheme="minorHAnsi" w:hAnsiTheme="minorHAnsi" w:cstheme="minorHAnsi"/>
                <w:color w:val="auto"/>
                <w:sz w:val="20"/>
                <w:szCs w:val="20"/>
                <w:lang w:eastAsia="en-US"/>
              </w:rPr>
              <w:t xml:space="preserve">0.00002 </w:t>
            </w:r>
          </w:p>
        </w:tc>
      </w:tr>
      <w:tr w:rsidR="008F4993" w:rsidRPr="00DD4DB9" w:rsidTr="00EC67F6">
        <w:tc>
          <w:tcPr>
            <w:tcW w:w="2838" w:type="dxa"/>
          </w:tcPr>
          <w:p w:rsidR="008F4993" w:rsidRPr="00DD4DB9" w:rsidRDefault="00EC67F6" w:rsidP="00EC67F6">
            <w:pPr>
              <w:ind w:left="0" w:right="0"/>
              <w:rPr>
                <w:rFonts w:asciiTheme="minorHAnsi" w:hAnsiTheme="minorHAnsi" w:cstheme="minorHAnsi"/>
                <w:sz w:val="20"/>
                <w:szCs w:val="20"/>
              </w:rPr>
            </w:pPr>
            <w:r>
              <w:rPr>
                <w:rFonts w:asciiTheme="minorHAnsi" w:hAnsiTheme="minorHAnsi" w:cstheme="minorHAnsi"/>
                <w:sz w:val="20"/>
                <w:szCs w:val="20"/>
              </w:rPr>
              <w:t>Median TTP (95% CI) months</w:t>
            </w:r>
          </w:p>
        </w:tc>
        <w:tc>
          <w:tcPr>
            <w:tcW w:w="1970"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sz w:val="20"/>
                <w:szCs w:val="20"/>
              </w:rPr>
              <w:t>3.2 (2.9, 4.2)</w:t>
            </w:r>
          </w:p>
        </w:tc>
        <w:tc>
          <w:tcPr>
            <w:tcW w:w="1679"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sz w:val="20"/>
                <w:szCs w:val="20"/>
              </w:rPr>
              <w:t>1.5 (1.4, 1.6)</w:t>
            </w:r>
          </w:p>
        </w:tc>
        <w:tc>
          <w:tcPr>
            <w:tcW w:w="2233"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0.442 (0.358, 0.545), p</w:t>
            </w:r>
            <w:r w:rsidR="00EC67F6">
              <w:rPr>
                <w:rFonts w:asciiTheme="minorHAnsi" w:hAnsiTheme="minorHAnsi" w:cstheme="minorHAnsi"/>
                <w:color w:val="auto"/>
                <w:sz w:val="20"/>
                <w:szCs w:val="20"/>
                <w:lang w:eastAsia="en-US"/>
              </w:rPr>
              <w:t> </w:t>
            </w:r>
            <w:r w:rsidRPr="00DD4DB9">
              <w:rPr>
                <w:rFonts w:asciiTheme="minorHAnsi" w:hAnsiTheme="minorHAnsi" w:cstheme="minorHAnsi"/>
                <w:color w:val="auto"/>
                <w:sz w:val="20"/>
                <w:szCs w:val="20"/>
                <w:lang w:eastAsia="en-US"/>
              </w:rPr>
              <w:t>&lt;</w:t>
            </w:r>
            <w:r w:rsidR="00EC67F6">
              <w:rPr>
                <w:rFonts w:asciiTheme="minorHAnsi" w:hAnsiTheme="minorHAnsi" w:cstheme="minorHAnsi"/>
                <w:color w:val="auto"/>
                <w:sz w:val="20"/>
                <w:szCs w:val="20"/>
                <w:lang w:eastAsia="en-US"/>
              </w:rPr>
              <w:t> </w:t>
            </w:r>
            <w:r w:rsidRPr="00DD4DB9">
              <w:rPr>
                <w:rFonts w:asciiTheme="minorHAnsi" w:hAnsiTheme="minorHAnsi" w:cstheme="minorHAnsi"/>
                <w:color w:val="auto"/>
                <w:sz w:val="20"/>
                <w:szCs w:val="20"/>
                <w:lang w:eastAsia="en-US"/>
              </w:rPr>
              <w:t>0.000001</w:t>
            </w:r>
          </w:p>
        </w:tc>
      </w:tr>
      <w:tr w:rsidR="008F4993" w:rsidRPr="00DD4DB9" w:rsidTr="00EC67F6">
        <w:tc>
          <w:tcPr>
            <w:tcW w:w="2838" w:type="dxa"/>
          </w:tcPr>
          <w:p w:rsidR="008F4993" w:rsidRPr="00DD4DB9" w:rsidRDefault="00EC67F6" w:rsidP="00EC67F6">
            <w:pPr>
              <w:ind w:left="0" w:right="0"/>
              <w:rPr>
                <w:rFonts w:asciiTheme="minorHAnsi" w:hAnsiTheme="minorHAnsi" w:cstheme="minorHAnsi"/>
                <w:sz w:val="20"/>
                <w:szCs w:val="20"/>
              </w:rPr>
            </w:pPr>
            <w:r>
              <w:rPr>
                <w:rFonts w:asciiTheme="minorHAnsi" w:hAnsiTheme="minorHAnsi" w:cstheme="minorHAnsi"/>
                <w:sz w:val="20"/>
                <w:szCs w:val="20"/>
              </w:rPr>
              <w:t>Median PFS (95% CI) months</w:t>
            </w:r>
          </w:p>
        </w:tc>
        <w:tc>
          <w:tcPr>
            <w:tcW w:w="1970"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3.1 (2.8, 4.2)</w:t>
            </w:r>
          </w:p>
        </w:tc>
        <w:tc>
          <w:tcPr>
            <w:tcW w:w="1679"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1.5 (1.4, 1.6)</w:t>
            </w:r>
          </w:p>
        </w:tc>
        <w:tc>
          <w:tcPr>
            <w:tcW w:w="2233"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0.455 (0.371, 0.558), p</w:t>
            </w:r>
            <w:r w:rsidR="00EC67F6">
              <w:rPr>
                <w:rFonts w:asciiTheme="minorHAnsi" w:hAnsiTheme="minorHAnsi" w:cstheme="minorHAnsi"/>
                <w:color w:val="auto"/>
                <w:sz w:val="20"/>
                <w:szCs w:val="20"/>
                <w:lang w:eastAsia="en-US"/>
              </w:rPr>
              <w:t> </w:t>
            </w:r>
            <w:r w:rsidRPr="00DD4DB9">
              <w:rPr>
                <w:rFonts w:asciiTheme="minorHAnsi" w:hAnsiTheme="minorHAnsi" w:cstheme="minorHAnsi"/>
                <w:color w:val="auto"/>
                <w:sz w:val="20"/>
                <w:szCs w:val="20"/>
                <w:lang w:eastAsia="en-US"/>
              </w:rPr>
              <w:t>&lt;</w:t>
            </w:r>
            <w:r w:rsidR="00EC67F6">
              <w:rPr>
                <w:rFonts w:asciiTheme="minorHAnsi" w:hAnsiTheme="minorHAnsi" w:cstheme="minorHAnsi"/>
                <w:color w:val="auto"/>
                <w:sz w:val="20"/>
                <w:szCs w:val="20"/>
                <w:lang w:eastAsia="en-US"/>
              </w:rPr>
              <w:t> </w:t>
            </w:r>
            <w:r w:rsidRPr="00DD4DB9">
              <w:rPr>
                <w:rFonts w:asciiTheme="minorHAnsi" w:hAnsiTheme="minorHAnsi" w:cstheme="minorHAnsi"/>
                <w:color w:val="auto"/>
                <w:sz w:val="20"/>
                <w:szCs w:val="20"/>
                <w:lang w:eastAsia="en-US"/>
              </w:rPr>
              <w:t>0.000001</w:t>
            </w:r>
          </w:p>
        </w:tc>
      </w:tr>
      <w:tr w:rsidR="008F4993" w:rsidRPr="00DD4DB9" w:rsidTr="00EC67F6">
        <w:tc>
          <w:tcPr>
            <w:tcW w:w="2838" w:type="dxa"/>
          </w:tcPr>
          <w:p w:rsidR="008F4993" w:rsidRPr="00DD4DB9" w:rsidRDefault="00EC67F6" w:rsidP="00EC67F6">
            <w:pPr>
              <w:ind w:left="0" w:right="0"/>
              <w:rPr>
                <w:rFonts w:asciiTheme="minorHAnsi" w:hAnsiTheme="minorHAnsi" w:cstheme="minorHAnsi"/>
                <w:sz w:val="20"/>
                <w:szCs w:val="20"/>
              </w:rPr>
            </w:pPr>
            <w:r>
              <w:rPr>
                <w:rFonts w:asciiTheme="minorHAnsi" w:hAnsiTheme="minorHAnsi" w:cstheme="minorHAnsi"/>
                <w:color w:val="auto"/>
                <w:sz w:val="20"/>
                <w:szCs w:val="20"/>
                <w:lang w:eastAsia="en-US"/>
              </w:rPr>
              <w:t>ORR (CR, PR) % (n)</w:t>
            </w:r>
          </w:p>
        </w:tc>
        <w:tc>
          <w:tcPr>
            <w:tcW w:w="1970"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10.6 (40)</w:t>
            </w:r>
          </w:p>
        </w:tc>
        <w:tc>
          <w:tcPr>
            <w:tcW w:w="1679"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4.1 (8)</w:t>
            </w:r>
          </w:p>
        </w:tc>
        <w:tc>
          <w:tcPr>
            <w:tcW w:w="2233" w:type="dxa"/>
          </w:tcPr>
          <w:p w:rsidR="008F4993" w:rsidRPr="00DD4DB9" w:rsidRDefault="008F4993" w:rsidP="00EC67F6">
            <w:pPr>
              <w:ind w:left="0" w:right="0"/>
              <w:rPr>
                <w:rFonts w:asciiTheme="minorHAnsi" w:hAnsiTheme="minorHAnsi" w:cstheme="minorHAnsi"/>
                <w:sz w:val="20"/>
                <w:szCs w:val="20"/>
              </w:rPr>
            </w:pPr>
          </w:p>
        </w:tc>
      </w:tr>
      <w:tr w:rsidR="008F4993" w:rsidRPr="00DD4DB9" w:rsidTr="00EC67F6">
        <w:tc>
          <w:tcPr>
            <w:tcW w:w="2838" w:type="dxa"/>
          </w:tcPr>
          <w:p w:rsidR="008F4993" w:rsidRPr="00DD4DB9" w:rsidRDefault="00EC67F6" w:rsidP="00EC67F6">
            <w:pPr>
              <w:ind w:left="0" w:right="0"/>
              <w:rPr>
                <w:rFonts w:asciiTheme="minorHAnsi" w:hAnsiTheme="minorHAnsi" w:cstheme="minorHAnsi"/>
                <w:sz w:val="20"/>
                <w:szCs w:val="20"/>
              </w:rPr>
            </w:pPr>
            <w:r>
              <w:rPr>
                <w:rFonts w:asciiTheme="minorHAnsi" w:hAnsiTheme="minorHAnsi" w:cstheme="minorHAnsi"/>
                <w:color w:val="auto"/>
                <w:sz w:val="20"/>
                <w:szCs w:val="20"/>
                <w:lang w:eastAsia="en-US"/>
              </w:rPr>
              <w:t>DCR (CR, PR, SD) % (n)</w:t>
            </w:r>
          </w:p>
        </w:tc>
        <w:tc>
          <w:tcPr>
            <w:tcW w:w="1970"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65.2 (247)</w:t>
            </w:r>
          </w:p>
        </w:tc>
        <w:tc>
          <w:tcPr>
            <w:tcW w:w="1679"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36.1 (70)</w:t>
            </w:r>
          </w:p>
        </w:tc>
        <w:tc>
          <w:tcPr>
            <w:tcW w:w="2233" w:type="dxa"/>
          </w:tcPr>
          <w:p w:rsidR="008F4993" w:rsidRPr="00DD4DB9" w:rsidRDefault="008F4993" w:rsidP="00EC67F6">
            <w:pPr>
              <w:ind w:left="0" w:right="0"/>
              <w:rPr>
                <w:rFonts w:asciiTheme="minorHAnsi" w:hAnsiTheme="minorHAnsi" w:cstheme="minorHAnsi"/>
                <w:sz w:val="20"/>
                <w:szCs w:val="20"/>
              </w:rPr>
            </w:pPr>
          </w:p>
        </w:tc>
      </w:tr>
      <w:tr w:rsidR="008F4993" w:rsidRPr="00DD4DB9" w:rsidTr="00EC67F6">
        <w:tc>
          <w:tcPr>
            <w:tcW w:w="2838"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Median duration of response (CR + PR), (95% CI) days</w:t>
            </w:r>
          </w:p>
        </w:tc>
        <w:tc>
          <w:tcPr>
            <w:tcW w:w="1970"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106 (57,138)</w:t>
            </w:r>
          </w:p>
        </w:tc>
        <w:tc>
          <w:tcPr>
            <w:tcW w:w="1679"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81 (57, cannot be estimated)</w:t>
            </w:r>
          </w:p>
        </w:tc>
        <w:tc>
          <w:tcPr>
            <w:tcW w:w="2233" w:type="dxa"/>
          </w:tcPr>
          <w:p w:rsidR="008F4993" w:rsidRPr="00DD4DB9" w:rsidRDefault="008F4993" w:rsidP="00EC67F6">
            <w:pPr>
              <w:ind w:left="0" w:right="0"/>
              <w:rPr>
                <w:rFonts w:asciiTheme="minorHAnsi" w:hAnsiTheme="minorHAnsi" w:cstheme="minorHAnsi"/>
                <w:sz w:val="20"/>
                <w:szCs w:val="20"/>
              </w:rPr>
            </w:pPr>
          </w:p>
        </w:tc>
      </w:tr>
      <w:tr w:rsidR="008F4993" w:rsidRPr="00DD4DB9" w:rsidTr="00EC67F6">
        <w:tc>
          <w:tcPr>
            <w:tcW w:w="2838"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Median duration of stable disease (in patients who did not achieve CR, PR) (95% CI) days</w:t>
            </w:r>
          </w:p>
        </w:tc>
        <w:tc>
          <w:tcPr>
            <w:tcW w:w="1970"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168 (132, 171)</w:t>
            </w:r>
          </w:p>
        </w:tc>
        <w:tc>
          <w:tcPr>
            <w:tcW w:w="1679" w:type="dxa"/>
          </w:tcPr>
          <w:p w:rsidR="008F4993" w:rsidRPr="00DD4DB9" w:rsidRDefault="008F4993" w:rsidP="00EC67F6">
            <w:pPr>
              <w:ind w:left="0" w:right="0"/>
              <w:rPr>
                <w:rFonts w:asciiTheme="minorHAnsi" w:hAnsiTheme="minorHAnsi" w:cstheme="minorHAnsi"/>
                <w:sz w:val="20"/>
                <w:szCs w:val="20"/>
              </w:rPr>
            </w:pPr>
            <w:r w:rsidRPr="00DD4DB9">
              <w:rPr>
                <w:rFonts w:asciiTheme="minorHAnsi" w:hAnsiTheme="minorHAnsi" w:cstheme="minorHAnsi"/>
                <w:color w:val="auto"/>
                <w:sz w:val="20"/>
                <w:szCs w:val="20"/>
                <w:lang w:eastAsia="en-US"/>
              </w:rPr>
              <w:t>93 (86, 127)</w:t>
            </w:r>
          </w:p>
        </w:tc>
        <w:tc>
          <w:tcPr>
            <w:tcW w:w="2233" w:type="dxa"/>
          </w:tcPr>
          <w:p w:rsidR="008F4993" w:rsidRPr="00DD4DB9" w:rsidRDefault="008F4993" w:rsidP="00EC67F6">
            <w:pPr>
              <w:ind w:left="0" w:right="0"/>
              <w:rPr>
                <w:rFonts w:asciiTheme="minorHAnsi" w:hAnsiTheme="minorHAnsi" w:cstheme="minorHAnsi"/>
                <w:sz w:val="20"/>
                <w:szCs w:val="20"/>
              </w:rPr>
            </w:pPr>
          </w:p>
        </w:tc>
      </w:tr>
      <w:tr w:rsidR="008F4993" w:rsidRPr="00DD4DB9" w:rsidTr="00EC67F6">
        <w:tc>
          <w:tcPr>
            <w:tcW w:w="2838" w:type="dxa"/>
          </w:tcPr>
          <w:p w:rsidR="008F4993" w:rsidRPr="00DD4DB9" w:rsidRDefault="00EC67F6" w:rsidP="00EC67F6">
            <w:pPr>
              <w:ind w:left="0" w:right="0"/>
              <w:rPr>
                <w:rFonts w:asciiTheme="minorHAnsi" w:hAnsiTheme="minorHAnsi" w:cstheme="minorHAnsi"/>
                <w:sz w:val="20"/>
                <w:szCs w:val="20"/>
              </w:rPr>
            </w:pPr>
            <w:r>
              <w:rPr>
                <w:rFonts w:asciiTheme="minorHAnsi" w:hAnsiTheme="minorHAnsi" w:cstheme="minorHAnsi"/>
                <w:color w:val="auto"/>
                <w:sz w:val="20"/>
                <w:szCs w:val="20"/>
                <w:lang w:eastAsia="en-US"/>
              </w:rPr>
              <w:t>Health-related QOL</w:t>
            </w:r>
          </w:p>
        </w:tc>
        <w:tc>
          <w:tcPr>
            <w:tcW w:w="3649" w:type="dxa"/>
            <w:gridSpan w:val="2"/>
          </w:tcPr>
          <w:p w:rsidR="008F4993" w:rsidRPr="00DD4DB9" w:rsidRDefault="00DD4DB9" w:rsidP="00EC67F6">
            <w:pPr>
              <w:ind w:left="0" w:right="0"/>
              <w:rPr>
                <w:rFonts w:asciiTheme="minorHAnsi" w:hAnsiTheme="minorHAnsi" w:cstheme="minorHAnsi"/>
                <w:sz w:val="20"/>
                <w:szCs w:val="20"/>
              </w:rPr>
            </w:pPr>
            <w:r>
              <w:rPr>
                <w:rFonts w:asciiTheme="minorHAnsi" w:hAnsiTheme="minorHAnsi" w:cstheme="minorHAnsi"/>
                <w:color w:val="auto"/>
                <w:sz w:val="20"/>
                <w:szCs w:val="20"/>
                <w:lang w:eastAsia="en-US"/>
              </w:rPr>
              <w:t>N</w:t>
            </w:r>
            <w:r w:rsidR="008F4993" w:rsidRPr="00DD4DB9">
              <w:rPr>
                <w:rFonts w:asciiTheme="minorHAnsi" w:hAnsiTheme="minorHAnsi" w:cstheme="minorHAnsi"/>
                <w:color w:val="auto"/>
                <w:sz w:val="20"/>
                <w:szCs w:val="20"/>
                <w:lang w:eastAsia="en-US"/>
              </w:rPr>
              <w:t>o statistically significant or clinically meaningful differences between regorafenib and placebo groups</w:t>
            </w:r>
          </w:p>
        </w:tc>
        <w:tc>
          <w:tcPr>
            <w:tcW w:w="2233" w:type="dxa"/>
          </w:tcPr>
          <w:p w:rsidR="008F4993" w:rsidRPr="00DD4DB9" w:rsidRDefault="008F4993" w:rsidP="00EC67F6">
            <w:pPr>
              <w:ind w:left="0" w:right="0"/>
              <w:rPr>
                <w:rFonts w:asciiTheme="minorHAnsi" w:hAnsiTheme="minorHAnsi" w:cstheme="minorHAnsi"/>
                <w:sz w:val="20"/>
                <w:szCs w:val="20"/>
              </w:rPr>
            </w:pPr>
          </w:p>
        </w:tc>
      </w:tr>
    </w:tbl>
    <w:p w:rsidR="008F4993" w:rsidRDefault="008F4993" w:rsidP="008F4993">
      <w:pPr>
        <w:spacing w:before="240"/>
        <w:rPr>
          <w:lang w:eastAsia="en-AU"/>
        </w:rPr>
      </w:pPr>
      <w:r>
        <w:rPr>
          <w:lang w:eastAsia="en-AU"/>
        </w:rPr>
        <w:t>Sub-group analysis for OS and PFS generally demonstrated a consistent benefit for regorafenib over placebo across all subgroups assessed (age, gender, region, baseline ECOG-PS, baseline AFP, baseline Child-Pugh status (A5 v</w:t>
      </w:r>
      <w:r w:rsidR="00DD4DB9">
        <w:rPr>
          <w:lang w:eastAsia="en-AU"/>
        </w:rPr>
        <w:t>ersu</w:t>
      </w:r>
      <w:r>
        <w:rPr>
          <w:lang w:eastAsia="en-AU"/>
        </w:rPr>
        <w:t>s A6), presence of extra-hepatic disease, macrovascular invasion at baseline, aetiology). Secondary efficacy endpoints including PFS, TTP, ORR, and DCR all significantly favoured regorafenib over placebo.</w:t>
      </w:r>
    </w:p>
    <w:p w:rsidR="008F4993" w:rsidRDefault="008F4993" w:rsidP="00DD4DB9">
      <w:pPr>
        <w:pStyle w:val="Heading5"/>
        <w:rPr>
          <w:lang w:eastAsia="en-AU"/>
        </w:rPr>
      </w:pPr>
      <w:r>
        <w:rPr>
          <w:lang w:eastAsia="en-AU"/>
        </w:rPr>
        <w:t xml:space="preserve">Study report PH-37288 (addendum 2 to </w:t>
      </w:r>
      <w:r w:rsidR="00DD4DB9">
        <w:rPr>
          <w:lang w:eastAsia="en-AU"/>
        </w:rPr>
        <w:t>S</w:t>
      </w:r>
      <w:r>
        <w:rPr>
          <w:lang w:eastAsia="en-AU"/>
        </w:rPr>
        <w:t>tudy 14596/A51601)</w:t>
      </w:r>
    </w:p>
    <w:p w:rsidR="008F4993" w:rsidRDefault="008F4993" w:rsidP="008F4993">
      <w:pPr>
        <w:rPr>
          <w:lang w:eastAsia="en-AU"/>
        </w:rPr>
      </w:pPr>
      <w:r w:rsidRPr="00CD7BF2">
        <w:rPr>
          <w:lang w:eastAsia="en-AU"/>
        </w:rPr>
        <w:t>Study 14596 was a multicentre</w:t>
      </w:r>
      <w:r w:rsidR="007E64A4">
        <w:rPr>
          <w:lang w:eastAsia="en-AU"/>
        </w:rPr>
        <w:t>,</w:t>
      </w:r>
      <w:r w:rsidRPr="00CD7BF2">
        <w:rPr>
          <w:vertAlign w:val="superscript"/>
          <w:lang w:eastAsia="en-AU"/>
        </w:rPr>
        <w:footnoteReference w:id="17"/>
      </w:r>
      <w:r w:rsidRPr="00CD7BF2">
        <w:rPr>
          <w:lang w:eastAsia="en-AU"/>
        </w:rPr>
        <w:t xml:space="preserve"> uncontrolled, open</w:t>
      </w:r>
      <w:r w:rsidR="00DD4DB9">
        <w:rPr>
          <w:lang w:eastAsia="en-AU"/>
        </w:rPr>
        <w:t xml:space="preserve"> </w:t>
      </w:r>
      <w:r w:rsidRPr="00CD7BF2">
        <w:rPr>
          <w:lang w:eastAsia="en-AU"/>
        </w:rPr>
        <w:t xml:space="preserve">label Phase </w:t>
      </w:r>
      <w:r w:rsidR="00DD4DB9">
        <w:rPr>
          <w:lang w:eastAsia="en-AU"/>
        </w:rPr>
        <w:t>II</w:t>
      </w:r>
      <w:r w:rsidRPr="00CD7BF2">
        <w:rPr>
          <w:lang w:eastAsia="en-AU"/>
        </w:rPr>
        <w:t xml:space="preserve"> safety study </w:t>
      </w:r>
      <w:r>
        <w:rPr>
          <w:lang w:eastAsia="en-AU"/>
        </w:rPr>
        <w:t xml:space="preserve">primarily </w:t>
      </w:r>
      <w:r w:rsidRPr="00CD7BF2">
        <w:rPr>
          <w:lang w:eastAsia="en-AU"/>
        </w:rPr>
        <w:t>designed to evaluate the safety of regorafenib</w:t>
      </w:r>
      <w:r w:rsidRPr="009F333F">
        <w:rPr>
          <w:lang w:eastAsia="en-AU"/>
        </w:rPr>
        <w:t xml:space="preserve"> </w:t>
      </w:r>
      <w:r w:rsidRPr="00CD7BF2">
        <w:rPr>
          <w:lang w:eastAsia="en-AU"/>
        </w:rPr>
        <w:t>afte</w:t>
      </w:r>
      <w:r>
        <w:rPr>
          <w:lang w:eastAsia="en-AU"/>
        </w:rPr>
        <w:t xml:space="preserve">r failure of sorafenib therapy, </w:t>
      </w:r>
      <w:r w:rsidRPr="00CD7BF2">
        <w:rPr>
          <w:lang w:eastAsia="en-AU"/>
        </w:rPr>
        <w:t xml:space="preserve">defined as </w:t>
      </w:r>
      <w:r>
        <w:rPr>
          <w:lang w:eastAsia="en-AU"/>
        </w:rPr>
        <w:t>radiological progression,</w:t>
      </w:r>
      <w:r w:rsidRPr="00CD7BF2">
        <w:rPr>
          <w:lang w:eastAsia="en-AU"/>
        </w:rPr>
        <w:t xml:space="preserve"> in </w:t>
      </w:r>
      <w:r>
        <w:rPr>
          <w:lang w:eastAsia="en-AU"/>
        </w:rPr>
        <w:t xml:space="preserve">patients with HCC. The study was evaluated in a previous submission. </w:t>
      </w:r>
      <w:r w:rsidRPr="00CD7BF2">
        <w:rPr>
          <w:lang w:eastAsia="en-AU"/>
        </w:rPr>
        <w:t xml:space="preserve">The secondary objective was to </w:t>
      </w:r>
      <w:r>
        <w:rPr>
          <w:lang w:eastAsia="en-AU"/>
        </w:rPr>
        <w:t>assess</w:t>
      </w:r>
      <w:r w:rsidRPr="00CD7BF2">
        <w:rPr>
          <w:lang w:eastAsia="en-AU"/>
        </w:rPr>
        <w:t xml:space="preserve"> efficacy, as measured by </w:t>
      </w:r>
      <w:r>
        <w:rPr>
          <w:lang w:eastAsia="en-AU"/>
        </w:rPr>
        <w:t>TTP, ORR, DCR and OS</w:t>
      </w:r>
      <w:r w:rsidRPr="00CD7BF2">
        <w:rPr>
          <w:lang w:eastAsia="en-AU"/>
        </w:rPr>
        <w:t>.</w:t>
      </w:r>
      <w:r w:rsidRPr="00CD7BF2">
        <w:rPr>
          <w:lang w:eastAsia="ja-JP"/>
        </w:rPr>
        <w:t xml:space="preserve"> </w:t>
      </w:r>
      <w:r w:rsidRPr="00CD7BF2">
        <w:rPr>
          <w:lang w:eastAsia="en-AU"/>
        </w:rPr>
        <w:t xml:space="preserve">The report in this submission </w:t>
      </w:r>
      <w:r>
        <w:rPr>
          <w:lang w:eastAsia="en-AU"/>
        </w:rPr>
        <w:t>included</w:t>
      </w:r>
      <w:r w:rsidRPr="00CD7BF2">
        <w:rPr>
          <w:lang w:eastAsia="en-AU"/>
        </w:rPr>
        <w:t xml:space="preserve"> cumulative data for an additional period of approximately 29 months</w:t>
      </w:r>
      <w:r>
        <w:rPr>
          <w:lang w:eastAsia="en-AU"/>
        </w:rPr>
        <w:t xml:space="preserve"> (data cut-off date 13 March 2013)</w:t>
      </w:r>
      <w:r w:rsidRPr="00CD7BF2">
        <w:rPr>
          <w:lang w:eastAsia="en-AU"/>
        </w:rPr>
        <w:t>.</w:t>
      </w:r>
    </w:p>
    <w:p w:rsidR="008F4993" w:rsidRDefault="008F4993" w:rsidP="008F4993">
      <w:pPr>
        <w:rPr>
          <w:lang w:eastAsia="en-AU"/>
        </w:rPr>
      </w:pPr>
      <w:r>
        <w:rPr>
          <w:lang w:eastAsia="en-AU"/>
        </w:rPr>
        <w:t>The study enrolled</w:t>
      </w:r>
      <w:r w:rsidRPr="001D2003">
        <w:rPr>
          <w:lang w:eastAsia="en-AU"/>
        </w:rPr>
        <w:t xml:space="preserve"> male </w:t>
      </w:r>
      <w:r>
        <w:rPr>
          <w:lang w:eastAsia="en-AU"/>
        </w:rPr>
        <w:t>and</w:t>
      </w:r>
      <w:r w:rsidRPr="001D2003">
        <w:rPr>
          <w:lang w:eastAsia="en-AU"/>
        </w:rPr>
        <w:t xml:space="preserve"> female </w:t>
      </w:r>
      <w:proofErr w:type="gramStart"/>
      <w:r w:rsidRPr="001D2003">
        <w:rPr>
          <w:lang w:eastAsia="en-AU"/>
        </w:rPr>
        <w:t>patients</w:t>
      </w:r>
      <w:proofErr w:type="gramEnd"/>
      <w:r w:rsidRPr="001D2003">
        <w:rPr>
          <w:lang w:eastAsia="en-AU"/>
        </w:rPr>
        <w:t xml:space="preserve"> ≥ 18 years of age with histological or cytological confirmation of HCC or non-invasive diagnosis of HCC as per </w:t>
      </w:r>
      <w:r>
        <w:rPr>
          <w:lang w:eastAsia="en-AU"/>
        </w:rPr>
        <w:t>American Association for the Study of Liver Diseases (</w:t>
      </w:r>
      <w:r w:rsidRPr="001D2003">
        <w:rPr>
          <w:lang w:eastAsia="en-AU"/>
        </w:rPr>
        <w:t>AASLD</w:t>
      </w:r>
      <w:r>
        <w:rPr>
          <w:lang w:eastAsia="en-AU"/>
        </w:rPr>
        <w:t>)</w:t>
      </w:r>
      <w:r w:rsidRPr="001D2003">
        <w:rPr>
          <w:lang w:eastAsia="en-AU"/>
        </w:rPr>
        <w:t xml:space="preserve"> criteria, and who ha</w:t>
      </w:r>
      <w:r>
        <w:rPr>
          <w:lang w:eastAsia="en-AU"/>
        </w:rPr>
        <w:t>d</w:t>
      </w:r>
      <w:r w:rsidRPr="001D2003">
        <w:rPr>
          <w:lang w:eastAsia="en-AU"/>
        </w:rPr>
        <w:t xml:space="preserve"> failed prior treatment with sorafenib. Eligible patients </w:t>
      </w:r>
      <w:r>
        <w:rPr>
          <w:lang w:eastAsia="en-AU"/>
        </w:rPr>
        <w:t>had</w:t>
      </w:r>
      <w:r w:rsidRPr="001D2003">
        <w:rPr>
          <w:lang w:eastAsia="en-AU"/>
        </w:rPr>
        <w:t xml:space="preserve"> BCLC </w:t>
      </w:r>
      <w:r w:rsidR="00DD4DB9">
        <w:rPr>
          <w:lang w:eastAsia="en-AU"/>
        </w:rPr>
        <w:t>S</w:t>
      </w:r>
      <w:r w:rsidRPr="001D2003">
        <w:rPr>
          <w:lang w:eastAsia="en-AU"/>
        </w:rPr>
        <w:t xml:space="preserve">tage A, B or C </w:t>
      </w:r>
      <w:r>
        <w:rPr>
          <w:lang w:eastAsia="en-AU"/>
        </w:rPr>
        <w:t xml:space="preserve">disease </w:t>
      </w:r>
      <w:r w:rsidRPr="001D2003">
        <w:rPr>
          <w:lang w:eastAsia="en-AU"/>
        </w:rPr>
        <w:t xml:space="preserve">that </w:t>
      </w:r>
      <w:r>
        <w:rPr>
          <w:lang w:eastAsia="en-AU"/>
        </w:rPr>
        <w:t>could not</w:t>
      </w:r>
      <w:r w:rsidRPr="001D2003">
        <w:rPr>
          <w:lang w:eastAsia="en-AU"/>
        </w:rPr>
        <w:t xml:space="preserve"> benefit from treatments of established efficacy with higher priority (such as resection, liver transplantation, local ablation, </w:t>
      </w:r>
      <w:proofErr w:type="spellStart"/>
      <w:r w:rsidRPr="001D2003">
        <w:rPr>
          <w:lang w:eastAsia="en-AU"/>
        </w:rPr>
        <w:t>chemoembolisation</w:t>
      </w:r>
      <w:proofErr w:type="spellEnd"/>
      <w:r w:rsidRPr="001D2003">
        <w:rPr>
          <w:lang w:eastAsia="en-AU"/>
        </w:rPr>
        <w:t xml:space="preserve">, or systemic </w:t>
      </w:r>
      <w:proofErr w:type="spellStart"/>
      <w:r w:rsidRPr="001D2003">
        <w:rPr>
          <w:lang w:eastAsia="en-AU"/>
        </w:rPr>
        <w:t>sorafenib</w:t>
      </w:r>
      <w:proofErr w:type="spellEnd"/>
      <w:r w:rsidRPr="001D2003">
        <w:rPr>
          <w:lang w:eastAsia="en-AU"/>
        </w:rPr>
        <w:t>), Child</w:t>
      </w:r>
      <w:r w:rsidR="007E64A4">
        <w:rPr>
          <w:lang w:eastAsia="en-AU"/>
        </w:rPr>
        <w:noBreakHyphen/>
      </w:r>
      <w:r w:rsidRPr="001D2003">
        <w:rPr>
          <w:lang w:eastAsia="en-AU"/>
        </w:rPr>
        <w:t xml:space="preserve">Pugh A </w:t>
      </w:r>
      <w:r>
        <w:rPr>
          <w:lang w:eastAsia="en-AU"/>
        </w:rPr>
        <w:t xml:space="preserve">hepatic impairment </w:t>
      </w:r>
      <w:r w:rsidRPr="001D2003">
        <w:rPr>
          <w:lang w:eastAsia="en-AU"/>
        </w:rPr>
        <w:t>and ECOG</w:t>
      </w:r>
      <w:r>
        <w:rPr>
          <w:lang w:eastAsia="en-AU"/>
        </w:rPr>
        <w:t>-</w:t>
      </w:r>
      <w:r w:rsidRPr="001D2003">
        <w:rPr>
          <w:lang w:eastAsia="en-AU"/>
        </w:rPr>
        <w:t>PS of 0 or 1.</w:t>
      </w:r>
    </w:p>
    <w:p w:rsidR="008F4993" w:rsidRPr="008D6518" w:rsidRDefault="008F4993" w:rsidP="00EC67F6">
      <w:pPr>
        <w:rPr>
          <w:lang w:eastAsia="en-AU"/>
        </w:rPr>
      </w:pPr>
      <w:r w:rsidRPr="008D6518">
        <w:rPr>
          <w:lang w:eastAsia="en-AU"/>
        </w:rPr>
        <w:lastRenderedPageBreak/>
        <w:t>A total of 56 subjects were enrolled and 36 were treated with regorafenib. The majority of subjects were male (88.9%) and White (72.2%) with a mean age of 59.6 (±11.1) years. The most common contribution to the aetiology of HCC was hepatitis B and C (38.9% and 36.1%, respectively). The majority of subjects had BCLC stage C (advanced stage) disease at study entry (88.9%).</w:t>
      </w:r>
    </w:p>
    <w:p w:rsidR="008F4993" w:rsidRPr="001D2003" w:rsidRDefault="008F4993" w:rsidP="00EC67F6">
      <w:pPr>
        <w:rPr>
          <w:lang w:eastAsia="en-AU"/>
        </w:rPr>
      </w:pPr>
      <w:r>
        <w:rPr>
          <w:lang w:eastAsia="en-AU"/>
        </w:rPr>
        <w:t>The efficacy r</w:t>
      </w:r>
      <w:r w:rsidRPr="001D2003">
        <w:rPr>
          <w:lang w:eastAsia="en-AU"/>
        </w:rPr>
        <w:t xml:space="preserve">esults of </w:t>
      </w:r>
      <w:r w:rsidR="00864644">
        <w:rPr>
          <w:lang w:eastAsia="en-AU"/>
        </w:rPr>
        <w:t>Study PH</w:t>
      </w:r>
      <w:r w:rsidRPr="001D2003">
        <w:rPr>
          <w:lang w:eastAsia="en-AU"/>
        </w:rPr>
        <w:t xml:space="preserve">-37288 </w:t>
      </w:r>
      <w:r>
        <w:rPr>
          <w:lang w:eastAsia="en-AU"/>
        </w:rPr>
        <w:t>supported</w:t>
      </w:r>
      <w:r w:rsidRPr="001D2003">
        <w:rPr>
          <w:lang w:eastAsia="en-AU"/>
        </w:rPr>
        <w:t xml:space="preserve"> the results of the RESORCE study. Median </w:t>
      </w:r>
      <w:r>
        <w:rPr>
          <w:lang w:eastAsia="en-AU"/>
        </w:rPr>
        <w:t>OS</w:t>
      </w:r>
      <w:r w:rsidRPr="001D2003">
        <w:rPr>
          <w:lang w:eastAsia="en-AU"/>
        </w:rPr>
        <w:t xml:space="preserve"> was 13.8 months</w:t>
      </w:r>
      <w:r>
        <w:rPr>
          <w:lang w:eastAsia="en-AU"/>
        </w:rPr>
        <w:t xml:space="preserve"> (range 1.4 </w:t>
      </w:r>
      <w:r w:rsidR="007E64A4">
        <w:rPr>
          <w:lang w:eastAsia="en-AU"/>
        </w:rPr>
        <w:t>to</w:t>
      </w:r>
      <w:r>
        <w:rPr>
          <w:lang w:eastAsia="en-AU"/>
        </w:rPr>
        <w:t xml:space="preserve"> 28.9 months) and</w:t>
      </w:r>
      <w:r w:rsidRPr="001D2003">
        <w:rPr>
          <w:lang w:eastAsia="en-AU"/>
        </w:rPr>
        <w:t xml:space="preserve"> median </w:t>
      </w:r>
      <w:r>
        <w:rPr>
          <w:lang w:eastAsia="en-AU"/>
        </w:rPr>
        <w:t>TTP</w:t>
      </w:r>
      <w:r w:rsidRPr="001D2003">
        <w:rPr>
          <w:lang w:eastAsia="en-AU"/>
        </w:rPr>
        <w:t xml:space="preserve"> was 4.3 months. </w:t>
      </w:r>
      <w:r>
        <w:rPr>
          <w:lang w:eastAsia="en-AU"/>
        </w:rPr>
        <w:t>The ORR</w:t>
      </w:r>
      <w:r w:rsidRPr="001D2003">
        <w:rPr>
          <w:lang w:eastAsia="en-AU"/>
        </w:rPr>
        <w:t xml:space="preserve"> was 2.8% and </w:t>
      </w:r>
      <w:r>
        <w:rPr>
          <w:lang w:eastAsia="en-AU"/>
        </w:rPr>
        <w:t>the DCR</w:t>
      </w:r>
      <w:r w:rsidRPr="001D2003">
        <w:rPr>
          <w:lang w:eastAsia="en-AU"/>
        </w:rPr>
        <w:t xml:space="preserve"> was 72.2%. The percentage of </w:t>
      </w:r>
      <w:r>
        <w:rPr>
          <w:lang w:eastAsia="en-AU"/>
        </w:rPr>
        <w:t>participant</w:t>
      </w:r>
      <w:r w:rsidRPr="001D2003">
        <w:rPr>
          <w:lang w:eastAsia="en-AU"/>
        </w:rPr>
        <w:t xml:space="preserve">s with </w:t>
      </w:r>
      <w:r>
        <w:rPr>
          <w:lang w:eastAsia="en-AU"/>
        </w:rPr>
        <w:t>CR</w:t>
      </w:r>
      <w:r w:rsidRPr="001D2003">
        <w:rPr>
          <w:lang w:eastAsia="en-AU"/>
        </w:rPr>
        <w:t xml:space="preserve">, </w:t>
      </w:r>
      <w:r>
        <w:rPr>
          <w:lang w:eastAsia="en-AU"/>
        </w:rPr>
        <w:t>PR</w:t>
      </w:r>
      <w:r w:rsidRPr="001D2003">
        <w:rPr>
          <w:lang w:eastAsia="en-AU"/>
        </w:rPr>
        <w:t xml:space="preserve"> and </w:t>
      </w:r>
      <w:r>
        <w:rPr>
          <w:lang w:eastAsia="en-AU"/>
        </w:rPr>
        <w:t>SD</w:t>
      </w:r>
      <w:r w:rsidRPr="001D2003">
        <w:rPr>
          <w:lang w:eastAsia="en-AU"/>
        </w:rPr>
        <w:t xml:space="preserve"> were 0%, 2.8% and 69.4%, respectively.</w:t>
      </w:r>
    </w:p>
    <w:p w:rsidR="008F4993" w:rsidRDefault="008F4993" w:rsidP="00DD4DB9">
      <w:pPr>
        <w:pStyle w:val="Heading4"/>
        <w:rPr>
          <w:lang w:eastAsia="en-AU"/>
        </w:rPr>
      </w:pPr>
      <w:r w:rsidRPr="005471BC">
        <w:rPr>
          <w:lang w:eastAsia="en-AU"/>
        </w:rPr>
        <w:t>Safety</w:t>
      </w:r>
    </w:p>
    <w:p w:rsidR="008F4993" w:rsidRDefault="008F4993" w:rsidP="00DD4DB9">
      <w:pPr>
        <w:rPr>
          <w:lang w:eastAsia="en-AU"/>
        </w:rPr>
      </w:pPr>
      <w:r w:rsidRPr="005605F1">
        <w:rPr>
          <w:lang w:eastAsia="en-AU"/>
        </w:rPr>
        <w:t xml:space="preserve">The main safety data for regorafenib </w:t>
      </w:r>
      <w:r>
        <w:rPr>
          <w:lang w:eastAsia="en-AU"/>
        </w:rPr>
        <w:t>in patients</w:t>
      </w:r>
      <w:r w:rsidRPr="005605F1">
        <w:rPr>
          <w:lang w:eastAsia="en-AU"/>
        </w:rPr>
        <w:t xml:space="preserve"> with HCC is derived from the pivotal </w:t>
      </w:r>
      <w:r>
        <w:rPr>
          <w:lang w:eastAsia="en-AU"/>
        </w:rPr>
        <w:t>RESORCE study</w:t>
      </w:r>
      <w:r w:rsidRPr="005605F1">
        <w:rPr>
          <w:lang w:eastAsia="en-AU"/>
        </w:rPr>
        <w:t xml:space="preserve">. The results of the </w:t>
      </w:r>
      <w:r w:rsidR="00DD4DB9">
        <w:rPr>
          <w:lang w:eastAsia="en-AU"/>
        </w:rPr>
        <w:t>P</w:t>
      </w:r>
      <w:r w:rsidRPr="005605F1">
        <w:rPr>
          <w:lang w:eastAsia="en-AU"/>
        </w:rPr>
        <w:t xml:space="preserve">hase </w:t>
      </w:r>
      <w:r w:rsidR="00DD4DB9">
        <w:rPr>
          <w:lang w:eastAsia="en-AU"/>
        </w:rPr>
        <w:t>II</w:t>
      </w:r>
      <w:r w:rsidRPr="005605F1">
        <w:rPr>
          <w:lang w:eastAsia="en-AU"/>
        </w:rPr>
        <w:t xml:space="preserve"> study in 36 </w:t>
      </w:r>
      <w:r>
        <w:rPr>
          <w:lang w:eastAsia="en-AU"/>
        </w:rPr>
        <w:t>participant</w:t>
      </w:r>
      <w:r w:rsidRPr="005605F1">
        <w:rPr>
          <w:lang w:eastAsia="en-AU"/>
        </w:rPr>
        <w:t>s with HCC (Study</w:t>
      </w:r>
      <w:r w:rsidR="007E64A4">
        <w:rPr>
          <w:lang w:eastAsia="en-AU"/>
        </w:rPr>
        <w:t> </w:t>
      </w:r>
      <w:r w:rsidRPr="005605F1">
        <w:rPr>
          <w:lang w:eastAsia="en-AU"/>
        </w:rPr>
        <w:t xml:space="preserve">14596) </w:t>
      </w:r>
      <w:r>
        <w:rPr>
          <w:lang w:eastAsia="en-AU"/>
        </w:rPr>
        <w:t>were</w:t>
      </w:r>
      <w:r w:rsidRPr="005605F1">
        <w:rPr>
          <w:lang w:eastAsia="en-AU"/>
        </w:rPr>
        <w:t xml:space="preserve"> considered supportive and briefly reported. A </w:t>
      </w:r>
      <w:r w:rsidR="00DD4DB9">
        <w:rPr>
          <w:lang w:eastAsia="en-AU"/>
        </w:rPr>
        <w:t>P</w:t>
      </w:r>
      <w:r w:rsidRPr="005605F1">
        <w:rPr>
          <w:lang w:eastAsia="en-AU"/>
        </w:rPr>
        <w:t xml:space="preserve">hase </w:t>
      </w:r>
      <w:r w:rsidR="00DD4DB9">
        <w:rPr>
          <w:lang w:eastAsia="en-AU"/>
        </w:rPr>
        <w:t>I</w:t>
      </w:r>
      <w:r w:rsidRPr="005605F1">
        <w:rPr>
          <w:lang w:eastAsia="en-AU"/>
        </w:rPr>
        <w:t xml:space="preserve"> study including 23 </w:t>
      </w:r>
      <w:r>
        <w:rPr>
          <w:lang w:eastAsia="en-AU"/>
        </w:rPr>
        <w:t>participant</w:t>
      </w:r>
      <w:r w:rsidRPr="005605F1">
        <w:rPr>
          <w:lang w:eastAsia="en-AU"/>
        </w:rPr>
        <w:t xml:space="preserve">s with HCC (Study 1165) </w:t>
      </w:r>
      <w:r>
        <w:rPr>
          <w:lang w:eastAsia="en-AU"/>
        </w:rPr>
        <w:t>was</w:t>
      </w:r>
      <w:r w:rsidRPr="005605F1">
        <w:rPr>
          <w:lang w:eastAsia="en-AU"/>
        </w:rPr>
        <w:t xml:space="preserve"> included in the overall pooled safety data.</w:t>
      </w:r>
    </w:p>
    <w:p w:rsidR="001C5764" w:rsidRDefault="008F4993" w:rsidP="001C5764">
      <w:pPr>
        <w:rPr>
          <w:lang w:eastAsia="en-AU"/>
        </w:rPr>
      </w:pPr>
      <w:r>
        <w:rPr>
          <w:lang w:eastAsia="en-AU"/>
        </w:rPr>
        <w:t>Across all of the submitted data, safety results were generally consistent with the known safety profile of regorafenib. In the RESORCE study t</w:t>
      </w:r>
      <w:r w:rsidRPr="00773503">
        <w:rPr>
          <w:lang w:eastAsia="en-AU"/>
        </w:rPr>
        <w:t xml:space="preserve">he incidence of all-causality </w:t>
      </w:r>
      <w:r>
        <w:rPr>
          <w:lang w:eastAsia="en-AU"/>
        </w:rPr>
        <w:t xml:space="preserve">TEAEs </w:t>
      </w:r>
      <w:r w:rsidRPr="00773503">
        <w:rPr>
          <w:lang w:eastAsia="en-AU"/>
        </w:rPr>
        <w:t>was slightly higher with regorafenib compared to placebo (100.0%</w:t>
      </w:r>
      <w:r w:rsidR="00EB28B3">
        <w:rPr>
          <w:lang w:eastAsia="en-AU"/>
        </w:rPr>
        <w:t xml:space="preserve"> versus </w:t>
      </w:r>
      <w:r w:rsidRPr="00773503">
        <w:rPr>
          <w:lang w:eastAsia="en-AU"/>
        </w:rPr>
        <w:t xml:space="preserve">92.7%) </w:t>
      </w:r>
      <w:r>
        <w:rPr>
          <w:lang w:eastAsia="en-AU"/>
        </w:rPr>
        <w:t>and</w:t>
      </w:r>
      <w:r w:rsidRPr="00773503">
        <w:rPr>
          <w:lang w:eastAsia="en-AU"/>
        </w:rPr>
        <w:t xml:space="preserve"> the incidence of </w:t>
      </w:r>
      <w:r w:rsidR="00064F8C">
        <w:rPr>
          <w:lang w:eastAsia="en-AU"/>
        </w:rPr>
        <w:t>treatment related</w:t>
      </w:r>
      <w:r w:rsidRPr="00773503">
        <w:rPr>
          <w:lang w:eastAsia="en-AU"/>
        </w:rPr>
        <w:t xml:space="preserve"> TEAEs was higher with regorafenib compared to placebo (92.5%</w:t>
      </w:r>
      <w:r w:rsidR="00EB28B3">
        <w:rPr>
          <w:lang w:eastAsia="en-AU"/>
        </w:rPr>
        <w:t xml:space="preserve"> versus </w:t>
      </w:r>
      <w:r w:rsidRPr="00773503">
        <w:rPr>
          <w:lang w:eastAsia="en-AU"/>
        </w:rPr>
        <w:t xml:space="preserve">51.8%). The most commonly reported </w:t>
      </w:r>
      <w:r w:rsidR="00064F8C">
        <w:rPr>
          <w:lang w:eastAsia="en-AU"/>
        </w:rPr>
        <w:t>treatment related</w:t>
      </w:r>
      <w:r w:rsidRPr="00773503">
        <w:rPr>
          <w:lang w:eastAsia="en-AU"/>
        </w:rPr>
        <w:t xml:space="preserve"> TEAEs </w:t>
      </w:r>
      <w:r>
        <w:rPr>
          <w:lang w:eastAsia="en-AU"/>
        </w:rPr>
        <w:t>in the</w:t>
      </w:r>
      <w:r w:rsidRPr="00773503">
        <w:rPr>
          <w:lang w:eastAsia="en-AU"/>
        </w:rPr>
        <w:t xml:space="preserve"> regorafenib group were </w:t>
      </w:r>
      <w:r>
        <w:rPr>
          <w:lang w:eastAsia="en-AU"/>
        </w:rPr>
        <w:t>hand-foot skin reaction (HFSR)/</w:t>
      </w:r>
      <w:r w:rsidRPr="00773503">
        <w:rPr>
          <w:lang w:eastAsia="en-AU"/>
        </w:rPr>
        <w:t>PPES (50.8% with regorafenib</w:t>
      </w:r>
      <w:r w:rsidR="00EB28B3">
        <w:rPr>
          <w:lang w:eastAsia="en-AU"/>
        </w:rPr>
        <w:t xml:space="preserve"> versus </w:t>
      </w:r>
      <w:r w:rsidRPr="00773503">
        <w:rPr>
          <w:lang w:eastAsia="en-AU"/>
        </w:rPr>
        <w:t>5.7% with placebo), diarrhoea (33.4%</w:t>
      </w:r>
      <w:r w:rsidR="00EB28B3">
        <w:rPr>
          <w:lang w:eastAsia="en-AU"/>
        </w:rPr>
        <w:t xml:space="preserve"> versus </w:t>
      </w:r>
      <w:r w:rsidRPr="00773503">
        <w:rPr>
          <w:lang w:eastAsia="en-AU"/>
        </w:rPr>
        <w:t>9.3%), decreased appetite (23.5%</w:t>
      </w:r>
      <w:r w:rsidR="00EB28B3">
        <w:rPr>
          <w:lang w:eastAsia="en-AU"/>
        </w:rPr>
        <w:t xml:space="preserve"> versus </w:t>
      </w:r>
      <w:r w:rsidRPr="00773503">
        <w:rPr>
          <w:lang w:eastAsia="en-AU"/>
        </w:rPr>
        <w:t>5.7%) and hypertension (23.0%</w:t>
      </w:r>
      <w:r w:rsidR="00EB28B3">
        <w:rPr>
          <w:lang w:eastAsia="en-AU"/>
        </w:rPr>
        <w:t xml:space="preserve"> versus </w:t>
      </w:r>
      <w:r w:rsidRPr="00773503">
        <w:rPr>
          <w:lang w:eastAsia="en-AU"/>
        </w:rPr>
        <w:t>4.7%).</w:t>
      </w:r>
      <w:r>
        <w:rPr>
          <w:lang w:eastAsia="en-AU"/>
        </w:rPr>
        <w:t xml:space="preserve"> </w:t>
      </w:r>
      <w:r w:rsidRPr="009E4CF3">
        <w:rPr>
          <w:lang w:eastAsia="en-AU"/>
        </w:rPr>
        <w:t xml:space="preserve">The majority of these most commonly reported </w:t>
      </w:r>
      <w:r w:rsidR="00064F8C">
        <w:rPr>
          <w:lang w:eastAsia="en-AU"/>
        </w:rPr>
        <w:t>treatment related</w:t>
      </w:r>
      <w:r w:rsidRPr="009E4CF3">
        <w:rPr>
          <w:lang w:eastAsia="en-AU"/>
        </w:rPr>
        <w:t xml:space="preserve"> TEAEs in the regorafenib group were of </w:t>
      </w:r>
      <w:r w:rsidR="00DD4DB9">
        <w:rPr>
          <w:lang w:eastAsia="en-AU"/>
        </w:rPr>
        <w:t>G</w:t>
      </w:r>
      <w:r w:rsidRPr="009E4CF3">
        <w:rPr>
          <w:lang w:eastAsia="en-AU"/>
        </w:rPr>
        <w:t>rade 1 (mild) or 2 (moderate)</w:t>
      </w:r>
      <w:r>
        <w:rPr>
          <w:lang w:eastAsia="en-AU"/>
        </w:rPr>
        <w:t xml:space="preserve"> </w:t>
      </w:r>
      <w:proofErr w:type="gramStart"/>
      <w:r>
        <w:rPr>
          <w:lang w:eastAsia="en-AU"/>
        </w:rPr>
        <w:t>severity</w:t>
      </w:r>
      <w:proofErr w:type="gramEnd"/>
      <w:r w:rsidRPr="009E4CF3">
        <w:rPr>
          <w:lang w:eastAsia="en-AU"/>
        </w:rPr>
        <w:t xml:space="preserve">. There were no </w:t>
      </w:r>
      <w:r>
        <w:rPr>
          <w:lang w:eastAsia="en-AU"/>
        </w:rPr>
        <w:t>reports of</w:t>
      </w:r>
      <w:r w:rsidR="007C579E">
        <w:rPr>
          <w:lang w:eastAsia="en-AU"/>
        </w:rPr>
        <w:t xml:space="preserve"> Grade 4</w:t>
      </w:r>
      <w:r w:rsidRPr="009E4CF3">
        <w:rPr>
          <w:lang w:eastAsia="en-AU"/>
        </w:rPr>
        <w:t xml:space="preserve"> (life-threatening and/or disabling) </w:t>
      </w:r>
      <w:r>
        <w:rPr>
          <w:lang w:eastAsia="en-AU"/>
        </w:rPr>
        <w:t>HFSR/</w:t>
      </w:r>
      <w:r w:rsidRPr="009E4CF3">
        <w:rPr>
          <w:lang w:eastAsia="en-AU"/>
        </w:rPr>
        <w:t>PPES, diarrhoea, decreased appetite or hypertension in either treatment group. Incidences of</w:t>
      </w:r>
      <w:r w:rsidR="007C579E">
        <w:rPr>
          <w:lang w:eastAsia="en-AU"/>
        </w:rPr>
        <w:t xml:space="preserve"> Grade 3 </w:t>
      </w:r>
      <w:r w:rsidRPr="009E4CF3">
        <w:rPr>
          <w:lang w:eastAsia="en-AU"/>
        </w:rPr>
        <w:t xml:space="preserve">(severe) </w:t>
      </w:r>
      <w:r>
        <w:rPr>
          <w:lang w:eastAsia="en-AU"/>
        </w:rPr>
        <w:t>HFSR/</w:t>
      </w:r>
      <w:r w:rsidRPr="009E4CF3">
        <w:rPr>
          <w:lang w:eastAsia="en-AU"/>
        </w:rPr>
        <w:t xml:space="preserve">PPES, diarrhoea, decreased appetite and hypertension in the regorafenib group </w:t>
      </w:r>
      <w:r w:rsidR="00DD4DB9">
        <w:rPr>
          <w:lang w:eastAsia="en-AU"/>
        </w:rPr>
        <w:t xml:space="preserve">(versus </w:t>
      </w:r>
      <w:r w:rsidRPr="009E4CF3">
        <w:rPr>
          <w:lang w:eastAsia="en-AU"/>
        </w:rPr>
        <w:t xml:space="preserve">placebo group) were 12.3% </w:t>
      </w:r>
      <w:r w:rsidR="00DD4DB9">
        <w:rPr>
          <w:lang w:eastAsia="en-AU"/>
        </w:rPr>
        <w:t xml:space="preserve">(versus </w:t>
      </w:r>
      <w:r w:rsidRPr="009E4CF3">
        <w:rPr>
          <w:lang w:eastAsia="en-AU"/>
        </w:rPr>
        <w:t xml:space="preserve">0.5%), 2.4% </w:t>
      </w:r>
      <w:r w:rsidR="00DD4DB9">
        <w:rPr>
          <w:lang w:eastAsia="en-AU"/>
        </w:rPr>
        <w:t xml:space="preserve">(versus </w:t>
      </w:r>
      <w:r w:rsidRPr="009E4CF3">
        <w:rPr>
          <w:lang w:eastAsia="en-AU"/>
        </w:rPr>
        <w:t xml:space="preserve">0%), 2.7% </w:t>
      </w:r>
      <w:r w:rsidR="00DD4DB9">
        <w:rPr>
          <w:lang w:eastAsia="en-AU"/>
        </w:rPr>
        <w:t xml:space="preserve">(versus </w:t>
      </w:r>
      <w:r w:rsidRPr="009E4CF3">
        <w:rPr>
          <w:lang w:eastAsia="en-AU"/>
        </w:rPr>
        <w:t xml:space="preserve">0%) and 12.8% </w:t>
      </w:r>
      <w:r w:rsidR="00DD4DB9">
        <w:rPr>
          <w:lang w:eastAsia="en-AU"/>
        </w:rPr>
        <w:t xml:space="preserve">(versus </w:t>
      </w:r>
      <w:r w:rsidRPr="009E4CF3">
        <w:rPr>
          <w:lang w:eastAsia="en-AU"/>
        </w:rPr>
        <w:t>3.1%), respectively.</w:t>
      </w:r>
      <w:r w:rsidR="00686D30">
        <w:rPr>
          <w:lang w:eastAsia="en-AU"/>
        </w:rPr>
        <w:t xml:space="preserve"> </w:t>
      </w:r>
      <w:r>
        <w:rPr>
          <w:lang w:eastAsia="en-AU"/>
        </w:rPr>
        <w:t>Treatment</w:t>
      </w:r>
      <w:r w:rsidR="001C5764">
        <w:rPr>
          <w:lang w:eastAsia="en-AU"/>
        </w:rPr>
        <w:t xml:space="preserve"> </w:t>
      </w:r>
      <w:r>
        <w:rPr>
          <w:lang w:eastAsia="en-AU"/>
        </w:rPr>
        <w:t>emergent increases in bilirubin, AST and ALT were reported in 78.2%, 92.7% and 70.4% respectively of samples of blood from patients with HCC treated with regorafenib and 54.5%, 84.3% and 58.6% of samples from patients treated with placebo; only 7.7% of bilirubinaemia reports and 7.0% of reports of elevated transaminases in the regorafenib group, and 9.3% of bilirubinaemia reports and 11.4% of elevated transaminases in the placebo group, were reported as adverse drug reactions.</w:t>
      </w:r>
    </w:p>
    <w:p w:rsidR="008F4993" w:rsidRDefault="008F4993" w:rsidP="001C5764">
      <w:pPr>
        <w:rPr>
          <w:lang w:eastAsia="en-AU"/>
        </w:rPr>
      </w:pPr>
      <w:r>
        <w:rPr>
          <w:lang w:eastAsia="en-AU"/>
        </w:rPr>
        <w:t xml:space="preserve">The updated safety data from pooled </w:t>
      </w:r>
      <w:r w:rsidR="008E2A41">
        <w:rPr>
          <w:lang w:eastAsia="en-AU"/>
        </w:rPr>
        <w:t>P</w:t>
      </w:r>
      <w:r>
        <w:rPr>
          <w:lang w:eastAsia="en-AU"/>
        </w:rPr>
        <w:t xml:space="preserve">hase </w:t>
      </w:r>
      <w:r w:rsidR="008E2A41">
        <w:rPr>
          <w:lang w:eastAsia="en-AU"/>
        </w:rPr>
        <w:t>III</w:t>
      </w:r>
      <w:r>
        <w:rPr>
          <w:lang w:eastAsia="en-AU"/>
        </w:rPr>
        <w:t xml:space="preserve"> trials including RESORCE recorded that more patients treated with regorafenib (31.6%) reported infections and infestations (including chest infections, urinary tract infections and bacteraemia) than patients treated with placebo (17.24%). The sponsor included a new precautionary warning section on infections in the PI.</w:t>
      </w:r>
      <w:r w:rsidRPr="00654A84">
        <w:rPr>
          <w:lang w:eastAsia="en-AU"/>
        </w:rPr>
        <w:t xml:space="preserve"> </w:t>
      </w:r>
      <w:r>
        <w:rPr>
          <w:lang w:eastAsia="en-AU"/>
        </w:rPr>
        <w:t>The sponsor also submitted safety data from an open</w:t>
      </w:r>
      <w:r w:rsidR="00E8079D">
        <w:rPr>
          <w:lang w:eastAsia="en-AU"/>
        </w:rPr>
        <w:t xml:space="preserve"> </w:t>
      </w:r>
      <w:r>
        <w:rPr>
          <w:lang w:eastAsia="en-AU"/>
        </w:rPr>
        <w:t xml:space="preserve">labelled, multi-centre single arm </w:t>
      </w:r>
      <w:r w:rsidR="00126F1A">
        <w:rPr>
          <w:lang w:eastAsia="en-AU"/>
        </w:rPr>
        <w:t>Phase III</w:t>
      </w:r>
      <w:r>
        <w:rPr>
          <w:lang w:eastAsia="en-AU"/>
        </w:rPr>
        <w:t>b study of regorafenib in 2864 patients with mCRC after failure of approved standard therapies, the safety results of which were also consistent with the documented safety profile of regorafenib.</w:t>
      </w:r>
    </w:p>
    <w:p w:rsidR="008E7846" w:rsidRPr="00E8079D" w:rsidRDefault="00386150" w:rsidP="00E8079D">
      <w:pPr>
        <w:pStyle w:val="Heading3"/>
      </w:pPr>
      <w:bookmarkStart w:id="244" w:name="_Toc12263473"/>
      <w:r>
        <w:rPr>
          <w:lang w:eastAsia="en-AU"/>
        </w:rPr>
        <w:t>Risk m</w:t>
      </w:r>
      <w:r w:rsidR="008E7846">
        <w:rPr>
          <w:lang w:eastAsia="en-AU"/>
        </w:rPr>
        <w:t xml:space="preserve">anagement </w:t>
      </w:r>
      <w:r>
        <w:rPr>
          <w:lang w:eastAsia="en-AU"/>
        </w:rPr>
        <w:t>p</w:t>
      </w:r>
      <w:r w:rsidR="008E7846">
        <w:rPr>
          <w:lang w:eastAsia="en-AU"/>
        </w:rPr>
        <w:t>lan</w:t>
      </w:r>
      <w:bookmarkEnd w:id="240"/>
      <w:bookmarkEnd w:id="244"/>
    </w:p>
    <w:p w:rsidR="008F4993" w:rsidRDefault="008F4993" w:rsidP="00E8079D">
      <w:pPr>
        <w:pStyle w:val="Heading4"/>
        <w:rPr>
          <w:lang w:eastAsia="en-AU"/>
        </w:rPr>
      </w:pPr>
      <w:r w:rsidRPr="00DA3487">
        <w:rPr>
          <w:lang w:eastAsia="en-AU"/>
        </w:rPr>
        <w:t>Summary of safety concerns</w:t>
      </w:r>
    </w:p>
    <w:p w:rsidR="008F4993" w:rsidRPr="008E482C" w:rsidRDefault="008F4993" w:rsidP="008F4993">
      <w:pPr>
        <w:rPr>
          <w:lang w:eastAsia="en-AU"/>
        </w:rPr>
      </w:pPr>
      <w:r>
        <w:rPr>
          <w:lang w:eastAsia="en-AU"/>
        </w:rPr>
        <w:t>The updated summary of safety concerns (</w:t>
      </w:r>
      <w:r w:rsidR="00E8079D">
        <w:rPr>
          <w:lang w:eastAsia="en-AU"/>
        </w:rPr>
        <w:t>Table 21</w:t>
      </w:r>
      <w:r>
        <w:rPr>
          <w:lang w:eastAsia="en-AU"/>
        </w:rPr>
        <w:t xml:space="preserve">) presented in the amended </w:t>
      </w:r>
      <w:r w:rsidR="00E8079D">
        <w:rPr>
          <w:lang w:eastAsia="en-AU"/>
        </w:rPr>
        <w:t>Risk Management Plan (</w:t>
      </w:r>
      <w:r>
        <w:rPr>
          <w:lang w:eastAsia="en-AU"/>
        </w:rPr>
        <w:t>RMP</w:t>
      </w:r>
      <w:r w:rsidR="00E8079D">
        <w:rPr>
          <w:lang w:eastAsia="en-AU"/>
        </w:rPr>
        <w:t>)</w:t>
      </w:r>
      <w:r>
        <w:rPr>
          <w:lang w:eastAsia="en-AU"/>
        </w:rPr>
        <w:t xml:space="preserve"> includes the new important identified risk of infection and also </w:t>
      </w:r>
      <w:r>
        <w:rPr>
          <w:lang w:eastAsia="en-AU"/>
        </w:rPr>
        <w:lastRenderedPageBreak/>
        <w:t>refers to missing information for safety in severe hepatic impairment and safety in HCC patients who experienced sorafenib-related toxicity.</w:t>
      </w:r>
    </w:p>
    <w:p w:rsidR="008F4993" w:rsidRPr="00C73765" w:rsidRDefault="00EC67F6" w:rsidP="00EC67F6">
      <w:pPr>
        <w:pStyle w:val="TableTitle"/>
        <w:numPr>
          <w:ilvl w:val="0"/>
          <w:numId w:val="0"/>
        </w:numPr>
      </w:pPr>
      <w:bookmarkStart w:id="245" w:name="_Ref494890974"/>
      <w:r>
        <w:t xml:space="preserve">Table 21: </w:t>
      </w:r>
      <w:r w:rsidR="008F4993" w:rsidRPr="00C73765">
        <w:t>Updated summary of safety concerns</w:t>
      </w:r>
      <w:bookmarkEnd w:id="245"/>
    </w:p>
    <w:tbl>
      <w:tblPr>
        <w:tblStyle w:val="TableGrid"/>
        <w:tblW w:w="0" w:type="auto"/>
        <w:tblLook w:val="04A0" w:firstRow="1" w:lastRow="0" w:firstColumn="1" w:lastColumn="0" w:noHBand="0" w:noVBand="1"/>
      </w:tblPr>
      <w:tblGrid>
        <w:gridCol w:w="2093"/>
        <w:gridCol w:w="5245"/>
      </w:tblGrid>
      <w:tr w:rsidR="008F4993" w:rsidTr="00E8079D">
        <w:tc>
          <w:tcPr>
            <w:tcW w:w="2093" w:type="dxa"/>
            <w:shd w:val="clear" w:color="auto" w:fill="0070C0"/>
          </w:tcPr>
          <w:p w:rsidR="008F4993" w:rsidRPr="00E8079D" w:rsidRDefault="008F4993" w:rsidP="00E8079D">
            <w:pPr>
              <w:rPr>
                <w:b/>
                <w:color w:val="FFFFFF" w:themeColor="background1"/>
              </w:rPr>
            </w:pPr>
            <w:r w:rsidRPr="00E8079D">
              <w:rPr>
                <w:b/>
                <w:color w:val="FFFFFF" w:themeColor="background1"/>
              </w:rPr>
              <w:t>Important identified risks</w:t>
            </w:r>
          </w:p>
        </w:tc>
        <w:tc>
          <w:tcPr>
            <w:tcW w:w="5245" w:type="dxa"/>
          </w:tcPr>
          <w:p w:rsidR="008F4993" w:rsidRDefault="008F4993" w:rsidP="00E8079D">
            <w:r>
              <w:t>Severe drug-induced liver injury</w:t>
            </w:r>
          </w:p>
          <w:p w:rsidR="008F4993" w:rsidRDefault="008F4993" w:rsidP="00E8079D">
            <w:r>
              <w:t>Cardiac ischemic events</w:t>
            </w:r>
          </w:p>
          <w:p w:rsidR="008F4993" w:rsidRDefault="008F4993" w:rsidP="00E8079D">
            <w:r>
              <w:t>Hypertension and hypertensive crisis</w:t>
            </w:r>
          </w:p>
          <w:p w:rsidR="008F4993" w:rsidRDefault="008F4993" w:rsidP="00E8079D">
            <w:r>
              <w:t>Haemorrhage</w:t>
            </w:r>
          </w:p>
          <w:p w:rsidR="008F4993" w:rsidRDefault="008F4993" w:rsidP="00E8079D">
            <w:r>
              <w:t>Hand-foot skin reaction</w:t>
            </w:r>
          </w:p>
          <w:p w:rsidR="008F4993" w:rsidRDefault="008F4993" w:rsidP="00E8079D">
            <w:r>
              <w:t>Posterior reversible encephalopathy syndrome</w:t>
            </w:r>
          </w:p>
          <w:p w:rsidR="008F4993" w:rsidRDefault="008F4993" w:rsidP="00E8079D">
            <w:r>
              <w:t>Gastrointestinal perforation and fistulae</w:t>
            </w:r>
          </w:p>
          <w:p w:rsidR="008F4993" w:rsidRDefault="008F4993" w:rsidP="00E8079D">
            <w:r>
              <w:t>Stevens-Johnson syndrome/Toxic epidermal necrolysis</w:t>
            </w:r>
          </w:p>
          <w:p w:rsidR="008F4993" w:rsidRPr="00FD57C5" w:rsidRDefault="008F4993" w:rsidP="00E8079D">
            <w:r>
              <w:t>Infection</w:t>
            </w:r>
          </w:p>
        </w:tc>
      </w:tr>
      <w:tr w:rsidR="008F4993" w:rsidTr="00E8079D">
        <w:tc>
          <w:tcPr>
            <w:tcW w:w="2093" w:type="dxa"/>
            <w:shd w:val="clear" w:color="auto" w:fill="0070C0"/>
          </w:tcPr>
          <w:p w:rsidR="008F4993" w:rsidRPr="00E8079D" w:rsidRDefault="008F4993" w:rsidP="00E8079D">
            <w:pPr>
              <w:rPr>
                <w:b/>
                <w:color w:val="FFFFFF" w:themeColor="background1"/>
              </w:rPr>
            </w:pPr>
            <w:r w:rsidRPr="00E8079D">
              <w:rPr>
                <w:b/>
                <w:color w:val="FFFFFF" w:themeColor="background1"/>
              </w:rPr>
              <w:t>Important potential risks</w:t>
            </w:r>
          </w:p>
        </w:tc>
        <w:tc>
          <w:tcPr>
            <w:tcW w:w="5245" w:type="dxa"/>
          </w:tcPr>
          <w:p w:rsidR="008F4993" w:rsidRDefault="008F4993" w:rsidP="00E8079D">
            <w:r>
              <w:t>Wound healing complications</w:t>
            </w:r>
          </w:p>
          <w:p w:rsidR="008F4993" w:rsidRDefault="008F4993" w:rsidP="00E8079D">
            <w:r>
              <w:t>Interstitial lung disease</w:t>
            </w:r>
          </w:p>
          <w:p w:rsidR="008F4993" w:rsidRDefault="008F4993" w:rsidP="00E8079D">
            <w:r>
              <w:t>Atrial fibrillation</w:t>
            </w:r>
          </w:p>
          <w:p w:rsidR="008F4993" w:rsidRDefault="008F4993" w:rsidP="00E8079D">
            <w:r>
              <w:t>Reproductive and developmental toxicity</w:t>
            </w:r>
          </w:p>
          <w:p w:rsidR="008F4993" w:rsidRPr="00FD57C5" w:rsidRDefault="008F4993" w:rsidP="00E8079D">
            <w:r>
              <w:t>Thrombotic microangiopathies</w:t>
            </w:r>
          </w:p>
        </w:tc>
      </w:tr>
      <w:tr w:rsidR="008F4993" w:rsidTr="00E8079D">
        <w:tc>
          <w:tcPr>
            <w:tcW w:w="2093" w:type="dxa"/>
            <w:shd w:val="clear" w:color="auto" w:fill="0070C0"/>
          </w:tcPr>
          <w:p w:rsidR="008F4993" w:rsidRPr="00E8079D" w:rsidRDefault="008F4993" w:rsidP="00E8079D">
            <w:pPr>
              <w:rPr>
                <w:b/>
              </w:rPr>
            </w:pPr>
            <w:r w:rsidRPr="00E8079D">
              <w:rPr>
                <w:b/>
                <w:color w:val="FFFFFF" w:themeColor="background1"/>
              </w:rPr>
              <w:t>Missing information</w:t>
            </w:r>
          </w:p>
        </w:tc>
        <w:tc>
          <w:tcPr>
            <w:tcW w:w="5245" w:type="dxa"/>
          </w:tcPr>
          <w:p w:rsidR="008F4993" w:rsidRDefault="008F4993" w:rsidP="00E8079D">
            <w:r>
              <w:t>Safety in severe hepatic impairment</w:t>
            </w:r>
          </w:p>
          <w:p w:rsidR="008F4993" w:rsidRDefault="008F4993" w:rsidP="00E8079D">
            <w:r>
              <w:t>Safety in children</w:t>
            </w:r>
          </w:p>
          <w:p w:rsidR="008F4993" w:rsidRDefault="008F4993" w:rsidP="00E8079D">
            <w:r>
              <w:t>Safety in patients with a cardiac history</w:t>
            </w:r>
          </w:p>
          <w:p w:rsidR="008F4993" w:rsidRDefault="008F4993" w:rsidP="00E8079D">
            <w:r>
              <w:t>Activity in biomarker-defined tumour types</w:t>
            </w:r>
          </w:p>
          <w:p w:rsidR="008F4993" w:rsidRPr="00FD57C5" w:rsidRDefault="008F4993" w:rsidP="00E8079D">
            <w:r>
              <w:t>Safety in HCC patients who discontinued prior sorafenib therapy due to sorafenib-related toxicity</w:t>
            </w:r>
          </w:p>
        </w:tc>
      </w:tr>
    </w:tbl>
    <w:p w:rsidR="008F4993" w:rsidRPr="00C82B0B" w:rsidRDefault="008F4993" w:rsidP="00E8079D">
      <w:pPr>
        <w:pStyle w:val="Heading4"/>
        <w:rPr>
          <w:lang w:eastAsia="en-AU"/>
        </w:rPr>
      </w:pPr>
      <w:r w:rsidRPr="00C82B0B">
        <w:rPr>
          <w:lang w:eastAsia="en-AU"/>
        </w:rPr>
        <w:t>Risk mitigation strategies</w:t>
      </w:r>
      <w:r>
        <w:rPr>
          <w:lang w:eastAsia="en-AU"/>
        </w:rPr>
        <w:t xml:space="preserve"> and </w:t>
      </w:r>
      <w:r w:rsidR="00E8079D">
        <w:rPr>
          <w:lang w:eastAsia="en-AU"/>
        </w:rPr>
        <w:t>p</w:t>
      </w:r>
      <w:r>
        <w:rPr>
          <w:lang w:eastAsia="en-AU"/>
        </w:rPr>
        <w:t>harmacovigilance</w:t>
      </w:r>
    </w:p>
    <w:p w:rsidR="008F4993" w:rsidRDefault="008F4993" w:rsidP="008F4993">
      <w:pPr>
        <w:rPr>
          <w:lang w:eastAsia="en-AU"/>
        </w:rPr>
      </w:pPr>
      <w:r>
        <w:rPr>
          <w:lang w:eastAsia="en-AU"/>
        </w:rPr>
        <w:t xml:space="preserve">The sponsor proposes to continue with routine risk mitigation strategies that include advisory statements in the </w:t>
      </w:r>
      <w:r w:rsidR="00E8079D">
        <w:rPr>
          <w:lang w:eastAsia="en-AU"/>
        </w:rPr>
        <w:t>PI</w:t>
      </w:r>
      <w:r>
        <w:rPr>
          <w:lang w:eastAsia="en-AU"/>
        </w:rPr>
        <w:t>. Similarly, routine pharmacovigilance strategies will be maintained. An additional observational safety study (</w:t>
      </w:r>
      <w:r w:rsidR="007E64A4">
        <w:rPr>
          <w:lang w:eastAsia="en-AU"/>
        </w:rPr>
        <w:t xml:space="preserve">Study </w:t>
      </w:r>
      <w:r>
        <w:rPr>
          <w:lang w:eastAsia="en-AU"/>
        </w:rPr>
        <w:t>19244</w:t>
      </w:r>
      <w:r w:rsidR="007E64A4">
        <w:rPr>
          <w:lang w:eastAsia="en-AU"/>
        </w:rPr>
        <w:t xml:space="preserve"> (</w:t>
      </w:r>
      <w:r>
        <w:rPr>
          <w:lang w:eastAsia="en-AU"/>
        </w:rPr>
        <w:t>REFINE</w:t>
      </w:r>
      <w:r w:rsidR="007E64A4">
        <w:rPr>
          <w:lang w:eastAsia="en-AU"/>
        </w:rPr>
        <w:t>)</w:t>
      </w:r>
      <w:r>
        <w:rPr>
          <w:lang w:eastAsia="en-AU"/>
        </w:rPr>
        <w:t>) is planned to evaluate the safety of regorafenib in patients with unresectable HCC who had previously discontinued sorafenib due to sorafenib</w:t>
      </w:r>
      <w:r w:rsidR="00E8079D">
        <w:rPr>
          <w:lang w:eastAsia="en-AU"/>
        </w:rPr>
        <w:t xml:space="preserve"> </w:t>
      </w:r>
      <w:r>
        <w:rPr>
          <w:lang w:eastAsia="en-AU"/>
        </w:rPr>
        <w:t xml:space="preserve">related toxicity. </w:t>
      </w:r>
      <w:r w:rsidRPr="00E8079D">
        <w:t>The E</w:t>
      </w:r>
      <w:r w:rsidR="00E8079D" w:rsidRPr="00E8079D">
        <w:t>U</w:t>
      </w:r>
      <w:r w:rsidRPr="00E8079D">
        <w:t xml:space="preserve"> </w:t>
      </w:r>
      <w:r w:rsidR="00E8079D" w:rsidRPr="00E8079D">
        <w:t>Committee for Medicinal Products for Human Use (</w:t>
      </w:r>
      <w:r w:rsidRPr="00E8079D">
        <w:t>CHMP</w:t>
      </w:r>
      <w:r w:rsidR="00E8079D" w:rsidRPr="00E8079D">
        <w:t>)</w:t>
      </w:r>
      <w:r w:rsidRPr="00E8079D">
        <w:t xml:space="preserve"> has recommended that the sponsor submit retrospective exploratory genetic biomarker analyses to identify</w:t>
      </w:r>
      <w:r w:rsidRPr="005605F1">
        <w:rPr>
          <w:lang w:eastAsia="en-AU"/>
        </w:rPr>
        <w:t xml:space="preserve"> </w:t>
      </w:r>
      <w:r>
        <w:rPr>
          <w:lang w:eastAsia="en-AU"/>
        </w:rPr>
        <w:t>whether the response to regorafenib may be predictable based on biomarkers.</w:t>
      </w:r>
    </w:p>
    <w:p w:rsidR="008E7846" w:rsidRPr="00E8079D" w:rsidRDefault="00AA0ED0" w:rsidP="00E8079D">
      <w:pPr>
        <w:pStyle w:val="Heading3"/>
      </w:pPr>
      <w:bookmarkStart w:id="246" w:name="_Toc247691531"/>
      <w:bookmarkStart w:id="247" w:name="_Toc314842515"/>
      <w:bookmarkStart w:id="248" w:name="_Toc196046505"/>
      <w:bookmarkStart w:id="249" w:name="_Toc196046949"/>
      <w:bookmarkStart w:id="250" w:name="_Toc12263474"/>
      <w:r>
        <w:t>Risk-benefit a</w:t>
      </w:r>
      <w:r w:rsidR="008E7846">
        <w:t>nalysis</w:t>
      </w:r>
      <w:bookmarkEnd w:id="246"/>
      <w:bookmarkEnd w:id="247"/>
      <w:bookmarkEnd w:id="250"/>
    </w:p>
    <w:p w:rsidR="00D23139" w:rsidRPr="00E8079D" w:rsidRDefault="00E8079D" w:rsidP="00E8079D">
      <w:pPr>
        <w:pStyle w:val="Heading4"/>
      </w:pPr>
      <w:r>
        <w:t>Delegate’s considerations</w:t>
      </w:r>
    </w:p>
    <w:p w:rsidR="008F4993" w:rsidRDefault="000C6E94" w:rsidP="00E8079D">
      <w:r>
        <w:t>OS</w:t>
      </w:r>
      <w:r w:rsidR="008F4993">
        <w:t xml:space="preserve"> in HCC patients who had previously tolerated treatment with sorafenib but had experienced disease progression, and were subsequently treated with regorafenib and best supportive care, is extended by almost three months compared to patients treated with placebo and best supportive care. Patient</w:t>
      </w:r>
      <w:r w:rsidR="00E8079D">
        <w:t xml:space="preserve"> </w:t>
      </w:r>
      <w:r w:rsidR="008F4993">
        <w:t xml:space="preserve">reported outcomes are not significantly </w:t>
      </w:r>
      <w:r w:rsidR="008F4993">
        <w:lastRenderedPageBreak/>
        <w:t xml:space="preserve">different between the two groups. The efficacy outcomes of the </w:t>
      </w:r>
      <w:r w:rsidR="00E8079D">
        <w:t>P</w:t>
      </w:r>
      <w:r w:rsidR="008F4993">
        <w:t xml:space="preserve">hase </w:t>
      </w:r>
      <w:r w:rsidR="00E8079D">
        <w:t>II</w:t>
      </w:r>
      <w:r w:rsidR="008F4993">
        <w:t xml:space="preserve"> single arm study are </w:t>
      </w:r>
      <w:r w:rsidR="008F4993" w:rsidRPr="0085476E">
        <w:t xml:space="preserve">consistent with the pivotal </w:t>
      </w:r>
      <w:r w:rsidR="008E2A41">
        <w:t>P</w:t>
      </w:r>
      <w:r w:rsidR="008F4993" w:rsidRPr="0085476E">
        <w:t xml:space="preserve">hase </w:t>
      </w:r>
      <w:r w:rsidR="008E2A41">
        <w:t>III</w:t>
      </w:r>
      <w:r w:rsidR="008F4993" w:rsidRPr="0085476E">
        <w:t xml:space="preserve"> study</w:t>
      </w:r>
      <w:r w:rsidR="008F4993">
        <w:t>.</w:t>
      </w:r>
      <w:r w:rsidR="008F4993" w:rsidRPr="0085476E">
        <w:t xml:space="preserve"> </w:t>
      </w:r>
      <w:r w:rsidR="008F4993" w:rsidRPr="005605F1">
        <w:t xml:space="preserve">The observed improvement in OS and PFS </w:t>
      </w:r>
      <w:r w:rsidR="008F4993">
        <w:t xml:space="preserve">in those patients treated with regorafenib </w:t>
      </w:r>
      <w:r w:rsidR="008F4993" w:rsidRPr="005605F1">
        <w:t xml:space="preserve">appears to be essentially driven by patients experiencing disease stabilisation under treatment. </w:t>
      </w:r>
      <w:r w:rsidR="008F4993">
        <w:t>Reports of complete remission and partial remission were low in both regorafenib and placebo arms of the pivotal study, but stable disease was a more common outcome in patients in the regorafenib arm than patients in the placebo arm.</w:t>
      </w:r>
    </w:p>
    <w:p w:rsidR="008F4993" w:rsidRDefault="008F4993" w:rsidP="00E8079D">
      <w:pPr>
        <w:rPr>
          <w:lang w:eastAsia="en-AU"/>
        </w:rPr>
      </w:pPr>
      <w:r>
        <w:rPr>
          <w:lang w:eastAsia="en-AU"/>
        </w:rPr>
        <w:t xml:space="preserve">The toxicity profile in the patients with HCC treated with regorafenib was essentially similar to toxicities experienced by patients with mCRC and GIST, with only the additional important identified risk of infection being recognised in an analysis of all pooled </w:t>
      </w:r>
      <w:r w:rsidR="008E2A41">
        <w:rPr>
          <w:lang w:eastAsia="en-AU"/>
        </w:rPr>
        <w:t>P</w:t>
      </w:r>
      <w:r>
        <w:rPr>
          <w:lang w:eastAsia="en-AU"/>
        </w:rPr>
        <w:t xml:space="preserve">hase </w:t>
      </w:r>
      <w:r w:rsidR="008E2A41">
        <w:rPr>
          <w:lang w:eastAsia="en-AU"/>
        </w:rPr>
        <w:t>III</w:t>
      </w:r>
      <w:r>
        <w:rPr>
          <w:lang w:eastAsia="en-AU"/>
        </w:rPr>
        <w:t xml:space="preserve"> studies of regorafenib. Overall, the benefit-risk balance of regorafenib as </w:t>
      </w:r>
      <w:r w:rsidR="00864644">
        <w:rPr>
          <w:lang w:eastAsia="en-AU"/>
        </w:rPr>
        <w:t>second line</w:t>
      </w:r>
      <w:r>
        <w:rPr>
          <w:lang w:eastAsia="en-AU"/>
        </w:rPr>
        <w:t xml:space="preserve"> therapy in patients with HCC who have tolerated sorafenib but experienced progressive disease is positive. There is currently insufficient data to assess whether patients with underlying hepatic impairment as a result of HCC are likely to experience more severe hepatotoxicity if treated with regorafenib. Use in this subset of patients should be closely monitored.</w:t>
      </w:r>
    </w:p>
    <w:p w:rsidR="008F4993" w:rsidRPr="00AB6C7D" w:rsidRDefault="008F4993" w:rsidP="008E2A41">
      <w:pPr>
        <w:pStyle w:val="Heading4"/>
      </w:pPr>
      <w:r w:rsidRPr="00AB6C7D">
        <w:t>Conditions of registration</w:t>
      </w:r>
    </w:p>
    <w:p w:rsidR="008F4993" w:rsidRDefault="008F4993" w:rsidP="008F4993">
      <w:pPr>
        <w:rPr>
          <w:lang w:eastAsia="en-AU"/>
        </w:rPr>
      </w:pPr>
      <w:r>
        <w:rPr>
          <w:lang w:eastAsia="en-AU"/>
        </w:rPr>
        <w:t>Standard conditions about implementing the RMP will apply.</w:t>
      </w:r>
    </w:p>
    <w:p w:rsidR="008F4993" w:rsidRDefault="008F4993" w:rsidP="008E2A41">
      <w:pPr>
        <w:pStyle w:val="Heading4"/>
        <w:rPr>
          <w:lang w:eastAsia="en-AU"/>
        </w:rPr>
      </w:pPr>
      <w:r>
        <w:rPr>
          <w:lang w:eastAsia="en-AU"/>
        </w:rPr>
        <w:t>Product information</w:t>
      </w:r>
    </w:p>
    <w:p w:rsidR="008F4993" w:rsidRDefault="008F4993" w:rsidP="008F4993">
      <w:pPr>
        <w:rPr>
          <w:lang w:eastAsia="en-AU"/>
        </w:rPr>
      </w:pPr>
      <w:r>
        <w:rPr>
          <w:lang w:eastAsia="en-AU"/>
        </w:rPr>
        <w:t>The following amendments to the product information are considered acceptable</w:t>
      </w:r>
      <w:r w:rsidR="004151AE">
        <w:rPr>
          <w:lang w:eastAsia="en-AU"/>
        </w:rPr>
        <w:t>:</w:t>
      </w:r>
    </w:p>
    <w:p w:rsidR="008F4993" w:rsidRPr="004821E8" w:rsidRDefault="008F4993" w:rsidP="008E2A41">
      <w:pPr>
        <w:pStyle w:val="ListBullet"/>
        <w:rPr>
          <w:lang w:eastAsia="en-AU"/>
        </w:rPr>
      </w:pPr>
      <w:r w:rsidRPr="004821E8">
        <w:rPr>
          <w:lang w:eastAsia="en-AU"/>
        </w:rPr>
        <w:t>Inclu</w:t>
      </w:r>
      <w:r>
        <w:rPr>
          <w:lang w:eastAsia="en-AU"/>
        </w:rPr>
        <w:t xml:space="preserve">sion of </w:t>
      </w:r>
      <w:r w:rsidRPr="004821E8">
        <w:rPr>
          <w:lang w:eastAsia="en-AU"/>
        </w:rPr>
        <w:t>the results from a drug-drug interaction between regorafenib</w:t>
      </w:r>
      <w:r>
        <w:rPr>
          <w:lang w:eastAsia="en-AU"/>
        </w:rPr>
        <w:t xml:space="preserve"> </w:t>
      </w:r>
      <w:r w:rsidR="008E2A41">
        <w:rPr>
          <w:lang w:eastAsia="en-AU"/>
        </w:rPr>
        <w:t>and neomycin (S</w:t>
      </w:r>
      <w:r w:rsidRPr="004821E8">
        <w:rPr>
          <w:lang w:eastAsia="en-AU"/>
        </w:rPr>
        <w:t>tudy 16675, report PH-38212)</w:t>
      </w:r>
    </w:p>
    <w:p w:rsidR="008F4993" w:rsidRPr="004821E8" w:rsidRDefault="008F4993" w:rsidP="008E2A41">
      <w:pPr>
        <w:pStyle w:val="ListBullet"/>
        <w:rPr>
          <w:lang w:eastAsia="en-AU"/>
        </w:rPr>
      </w:pPr>
      <w:r>
        <w:rPr>
          <w:lang w:eastAsia="en-AU"/>
        </w:rPr>
        <w:t>Updates to</w:t>
      </w:r>
      <w:r w:rsidRPr="004821E8">
        <w:rPr>
          <w:lang w:eastAsia="en-AU"/>
        </w:rPr>
        <w:t xml:space="preserve"> information on</w:t>
      </w:r>
      <w:r>
        <w:rPr>
          <w:lang w:eastAsia="en-AU"/>
        </w:rPr>
        <w:t xml:space="preserve"> use in patients with</w:t>
      </w:r>
      <w:r w:rsidRPr="004821E8">
        <w:rPr>
          <w:lang w:eastAsia="en-AU"/>
        </w:rPr>
        <w:t xml:space="preserve"> renal </w:t>
      </w:r>
      <w:r>
        <w:rPr>
          <w:lang w:eastAsia="en-AU"/>
        </w:rPr>
        <w:t>impairment</w:t>
      </w:r>
      <w:r w:rsidRPr="004821E8">
        <w:rPr>
          <w:lang w:eastAsia="en-AU"/>
        </w:rPr>
        <w:t xml:space="preserve"> (</w:t>
      </w:r>
      <w:r w:rsidR="008E2A41">
        <w:rPr>
          <w:lang w:eastAsia="en-AU"/>
        </w:rPr>
        <w:t xml:space="preserve">Study </w:t>
      </w:r>
      <w:r w:rsidRPr="004821E8">
        <w:rPr>
          <w:lang w:eastAsia="en-AU"/>
        </w:rPr>
        <w:t>CSR 16653)</w:t>
      </w:r>
    </w:p>
    <w:p w:rsidR="008F4993" w:rsidRDefault="008F4993" w:rsidP="008E2A41">
      <w:pPr>
        <w:pStyle w:val="ListBullet"/>
        <w:rPr>
          <w:lang w:eastAsia="en-AU"/>
        </w:rPr>
      </w:pPr>
      <w:r>
        <w:rPr>
          <w:lang w:eastAsia="en-AU"/>
        </w:rPr>
        <w:t>Inclusion of</w:t>
      </w:r>
      <w:r w:rsidRPr="004821E8">
        <w:rPr>
          <w:lang w:eastAsia="en-AU"/>
        </w:rPr>
        <w:t xml:space="preserve"> results from a study on</w:t>
      </w:r>
      <w:r>
        <w:rPr>
          <w:lang w:eastAsia="en-AU"/>
        </w:rPr>
        <w:t xml:space="preserve"> BCRP</w:t>
      </w:r>
      <w:r w:rsidRPr="004821E8">
        <w:rPr>
          <w:lang w:eastAsia="en-AU"/>
        </w:rPr>
        <w:t xml:space="preserve"> and P-glycoprotein substrates (</w:t>
      </w:r>
      <w:r>
        <w:rPr>
          <w:lang w:eastAsia="en-AU"/>
        </w:rPr>
        <w:t xml:space="preserve">rosuvastatin and digoxin respectively, </w:t>
      </w:r>
      <w:r w:rsidR="008E2A41">
        <w:rPr>
          <w:lang w:eastAsia="en-AU"/>
        </w:rPr>
        <w:t xml:space="preserve">Study </w:t>
      </w:r>
      <w:r w:rsidRPr="004821E8">
        <w:rPr>
          <w:lang w:eastAsia="en-AU"/>
        </w:rPr>
        <w:t>CSR 16674)</w:t>
      </w:r>
    </w:p>
    <w:p w:rsidR="008F4993" w:rsidRDefault="008F4993" w:rsidP="008E2A41">
      <w:pPr>
        <w:pStyle w:val="ListBullet"/>
        <w:rPr>
          <w:lang w:eastAsia="en-AU"/>
        </w:rPr>
      </w:pPr>
      <w:r>
        <w:rPr>
          <w:lang w:eastAsia="en-AU"/>
        </w:rPr>
        <w:t xml:space="preserve">Inclusion of safety and efficacy data from RESORCE study and updated </w:t>
      </w:r>
      <w:r w:rsidR="008E2A41">
        <w:rPr>
          <w:lang w:eastAsia="en-AU"/>
        </w:rPr>
        <w:t>S</w:t>
      </w:r>
      <w:r>
        <w:rPr>
          <w:lang w:eastAsia="en-AU"/>
        </w:rPr>
        <w:t>tudy 14596</w:t>
      </w:r>
    </w:p>
    <w:p w:rsidR="008F4993" w:rsidRDefault="008F4993" w:rsidP="008E2A41">
      <w:pPr>
        <w:pStyle w:val="ListBullet"/>
        <w:rPr>
          <w:lang w:eastAsia="en-AU"/>
        </w:rPr>
      </w:pPr>
      <w:r>
        <w:rPr>
          <w:lang w:eastAsia="en-AU"/>
        </w:rPr>
        <w:t>Inclusion of updated safety data from the CONSIGN study</w:t>
      </w:r>
    </w:p>
    <w:p w:rsidR="008F4993" w:rsidRDefault="008F4993" w:rsidP="008E2A41">
      <w:pPr>
        <w:pStyle w:val="ListBullet"/>
        <w:rPr>
          <w:lang w:eastAsia="en-AU"/>
        </w:rPr>
      </w:pPr>
      <w:r>
        <w:rPr>
          <w:lang w:eastAsia="en-AU"/>
        </w:rPr>
        <w:t>Minor spelling corrections</w:t>
      </w:r>
    </w:p>
    <w:p w:rsidR="008F4993" w:rsidRDefault="008F4993" w:rsidP="008E2A41">
      <w:pPr>
        <w:pStyle w:val="Heading4"/>
      </w:pPr>
      <w:r w:rsidRPr="00C80339">
        <w:t xml:space="preserve">Summary of </w:t>
      </w:r>
      <w:r w:rsidR="008E2A41">
        <w:t>i</w:t>
      </w:r>
      <w:r w:rsidRPr="00C80339">
        <w:t>ssues</w:t>
      </w:r>
    </w:p>
    <w:p w:rsidR="008E2A41" w:rsidRDefault="008F4993" w:rsidP="008E2A41">
      <w:pPr>
        <w:spacing w:before="240"/>
      </w:pPr>
      <w:r w:rsidRPr="004F69EF">
        <w:t>Regorafenib is known to have hepatotoxic effects. Only those patients with HCC with mild (Child-Pugh A) hepatic impairment at screening were enrolled in the pivotal efficacy and safety trial (RESORCE) or in the supporting single arm study. Hepatic function as indicated by elevations in liver function tests (bilirubin, AST and ALT) deteriorated throughout the trial period in patients in both the regorafenib and placebo arms of the pivotal study. The contribution of regorafenib to this deterioration, as opposed to disease progression, is not clear. The pharmacokinetics of regorafenib in patients with impaired hepatic function have not been directly assessed, although population pharmacokinetic studies based on a model developed during earlier studies indicate that PK is unlikely to be affected by mild hepatic impairment, and limited data (6 patients with Child-Pugh B impairment) suggest that moderate hepatic impairment may also not affect the PK of regorafenib. The risks associated with the limited data beyond Child-Pugh A will be mitigated by statements in the PI</w:t>
      </w:r>
      <w:r w:rsidR="008E2A41">
        <w:t>.</w:t>
      </w:r>
    </w:p>
    <w:p w:rsidR="008E2A41" w:rsidRDefault="008E2A41" w:rsidP="008E2A41">
      <w:pPr>
        <w:spacing w:before="240"/>
        <w:rPr>
          <w:lang w:eastAsia="en-AU"/>
        </w:rPr>
      </w:pPr>
      <w:r>
        <w:rPr>
          <w:lang w:eastAsia="en-AU"/>
        </w:rPr>
        <w:t>The TGA’s clinical evaluator recommended approval following the second round review of questions that were put to the sponsor.</w:t>
      </w:r>
    </w:p>
    <w:p w:rsidR="008E2A41" w:rsidRDefault="008E2A41" w:rsidP="008E2A41">
      <w:pPr>
        <w:spacing w:before="240"/>
        <w:rPr>
          <w:lang w:eastAsia="en-AU"/>
        </w:rPr>
      </w:pPr>
      <w:r>
        <w:rPr>
          <w:lang w:eastAsia="en-AU"/>
        </w:rPr>
        <w:lastRenderedPageBreak/>
        <w:t>There are no remaining regulatory or clinical matters.</w:t>
      </w:r>
    </w:p>
    <w:p w:rsidR="00D23139" w:rsidRDefault="00D23139" w:rsidP="00D23139">
      <w:pPr>
        <w:pStyle w:val="Heading4"/>
      </w:pPr>
      <w:r w:rsidRPr="00D23139">
        <w:t>P</w:t>
      </w:r>
      <w:r w:rsidR="008F4993">
        <w:t>re</w:t>
      </w:r>
      <w:r w:rsidR="008E2A41">
        <w:t xml:space="preserve"> </w:t>
      </w:r>
      <w:r w:rsidR="008F4993">
        <w:t>A</w:t>
      </w:r>
      <w:r w:rsidR="008E2A41">
        <w:t xml:space="preserve">dvisory Committee on Medicines </w:t>
      </w:r>
      <w:r w:rsidR="008F4993">
        <w:t>p</w:t>
      </w:r>
      <w:r w:rsidRPr="00D23139">
        <w:t>roposed action</w:t>
      </w:r>
    </w:p>
    <w:p w:rsidR="00456765" w:rsidRPr="00456765" w:rsidRDefault="008E2A41" w:rsidP="00456765">
      <w:r>
        <w:t>The Delegate had</w:t>
      </w:r>
      <w:r w:rsidR="008F4993" w:rsidRPr="00C80339">
        <w:t xml:space="preserve"> no reason to say, at this time, that </w:t>
      </w:r>
      <w:r w:rsidR="008F4993">
        <w:t xml:space="preserve">Stivarga </w:t>
      </w:r>
      <w:r w:rsidR="008F4993" w:rsidRPr="00C80339">
        <w:t xml:space="preserve">should not be approved for </w:t>
      </w:r>
      <w:r w:rsidR="008F4993">
        <w:t>extension of indication.</w:t>
      </w:r>
    </w:p>
    <w:p w:rsidR="00D23139" w:rsidRDefault="00456765" w:rsidP="00D23139">
      <w:pPr>
        <w:pStyle w:val="Heading4"/>
      </w:pPr>
      <w:r>
        <w:t xml:space="preserve">Response from </w:t>
      </w:r>
      <w:r w:rsidR="00B12A57">
        <w:t>s</w:t>
      </w:r>
      <w:r>
        <w:t>ponsor</w:t>
      </w:r>
    </w:p>
    <w:p w:rsidR="00D23139" w:rsidRPr="00FC1FCA" w:rsidRDefault="00C5152D" w:rsidP="00C5152D">
      <w:pPr>
        <w:rPr>
          <w:b/>
          <w:bCs/>
        </w:rPr>
      </w:pPr>
      <w:r>
        <w:t>Not applicable.</w:t>
      </w:r>
    </w:p>
    <w:p w:rsidR="008E7846" w:rsidRDefault="008E7846" w:rsidP="008E7846">
      <w:pPr>
        <w:pStyle w:val="Heading4"/>
      </w:pPr>
      <w:r>
        <w:t>Advisory Committee Considerations</w:t>
      </w:r>
      <w:r w:rsidR="00456765">
        <w:rPr>
          <w:rStyle w:val="FootnoteReference"/>
        </w:rPr>
        <w:footnoteReference w:id="18"/>
      </w:r>
    </w:p>
    <w:p w:rsidR="00456765" w:rsidRPr="00A322B3" w:rsidRDefault="00456765" w:rsidP="00456765">
      <w:r>
        <w:rPr>
          <w:bCs/>
        </w:rPr>
        <w:t>The Delegate did not refer this application to the Advisory Committee on Prescription Medicines (ACM) for advice.</w:t>
      </w:r>
    </w:p>
    <w:p w:rsidR="008E7846" w:rsidRPr="002E238E" w:rsidRDefault="008E7846" w:rsidP="008E7846">
      <w:pPr>
        <w:pStyle w:val="Heading3"/>
      </w:pPr>
      <w:bookmarkStart w:id="251" w:name="_Toc247691532"/>
      <w:bookmarkStart w:id="252" w:name="_Toc314842516"/>
      <w:bookmarkStart w:id="253" w:name="_Toc12263475"/>
      <w:bookmarkEnd w:id="92"/>
      <w:bookmarkEnd w:id="248"/>
      <w:bookmarkEnd w:id="249"/>
      <w:r>
        <w:t>Outcome</w:t>
      </w:r>
      <w:bookmarkEnd w:id="251"/>
      <w:bookmarkEnd w:id="252"/>
      <w:bookmarkEnd w:id="253"/>
    </w:p>
    <w:p w:rsidR="00D23139" w:rsidRPr="00C5152D" w:rsidRDefault="00D23139" w:rsidP="008E2A41">
      <w:bookmarkStart w:id="254" w:name="_Toc247691533"/>
      <w:bookmarkStart w:id="255" w:name="_Toc314842517"/>
      <w:r w:rsidRPr="00D23139">
        <w:t xml:space="preserve">Based on a review of quality, safety and efficacy, TGA </w:t>
      </w:r>
      <w:r w:rsidRPr="00C5152D">
        <w:t xml:space="preserve">approved the registration of </w:t>
      </w:r>
      <w:r w:rsidR="00C5152D" w:rsidRPr="00C5152D">
        <w:t>Stivarga regorafenib 40 mg tablet bottle (AUST R 200553) for the new indication</w:t>
      </w:r>
      <w:r w:rsidRPr="00C5152D">
        <w:t>:</w:t>
      </w:r>
    </w:p>
    <w:p w:rsidR="00D23139" w:rsidRPr="00C5152D" w:rsidRDefault="00C5152D" w:rsidP="00C5152D">
      <w:pPr>
        <w:ind w:left="720"/>
        <w:rPr>
          <w:i/>
        </w:rPr>
      </w:pPr>
      <w:r w:rsidRPr="00C5152D">
        <w:rPr>
          <w:i/>
        </w:rPr>
        <w:t>Stivarga is indicated for the treatment of patients with hepatocellular carcinoma (HCC) who have been previously treated with sorafenib.</w:t>
      </w:r>
    </w:p>
    <w:p w:rsidR="00D23139" w:rsidRDefault="00D23139" w:rsidP="00D23139">
      <w:pPr>
        <w:pStyle w:val="Heading4"/>
      </w:pPr>
      <w:r w:rsidRPr="00D23139">
        <w:t>Specific conditions of registration applying to these goods</w:t>
      </w:r>
    </w:p>
    <w:p w:rsidR="00C5152D" w:rsidRPr="00C5152D" w:rsidRDefault="00C5152D" w:rsidP="008E2A41">
      <w:r>
        <w:t xml:space="preserve">The </w:t>
      </w:r>
      <w:r w:rsidR="00715370">
        <w:t>Stivarga</w:t>
      </w:r>
      <w:r>
        <w:t xml:space="preserve"> </w:t>
      </w:r>
      <w:r w:rsidR="004151AE">
        <w:t>(</w:t>
      </w:r>
      <w:r>
        <w:t>regorafenib</w:t>
      </w:r>
      <w:r w:rsidR="004151AE">
        <w:t>)</w:t>
      </w:r>
      <w:r>
        <w:t xml:space="preserve"> EU Risk Management Plan (RMP), version 5.2, dated 19 June 2017, (data lock point 26 September 2016) with Australian Specific Annex, version 3.1, dated August 2017, and any subsequent revisions, as agreed with the TGA will be implemented in Australia.</w:t>
      </w:r>
    </w:p>
    <w:p w:rsidR="008E7846" w:rsidRDefault="00A80B5B" w:rsidP="00D23139">
      <w:pPr>
        <w:pStyle w:val="Heading2"/>
      </w:pPr>
      <w:bookmarkStart w:id="256" w:name="_Toc12263476"/>
      <w:proofErr w:type="gramStart"/>
      <w:r>
        <w:t>Attachment 1.</w:t>
      </w:r>
      <w:proofErr w:type="gramEnd"/>
      <w:r>
        <w:t xml:space="preserve"> </w:t>
      </w:r>
      <w:r w:rsidR="008E7846">
        <w:t xml:space="preserve">Product </w:t>
      </w:r>
      <w:r w:rsidR="00AA0ED0">
        <w:t>I</w:t>
      </w:r>
      <w:r w:rsidR="008E7846">
        <w:t>nformation</w:t>
      </w:r>
      <w:bookmarkEnd w:id="254"/>
      <w:bookmarkEnd w:id="255"/>
      <w:bookmarkEnd w:id="256"/>
    </w:p>
    <w:p w:rsidR="00C80137" w:rsidRPr="001D043B" w:rsidRDefault="006136D7" w:rsidP="00C5152D">
      <w:pPr>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r w:rsidRPr="002B3624">
        <w:t xml:space="preserve">The </w:t>
      </w:r>
      <w:r>
        <w:t>PI</w:t>
      </w:r>
      <w:r w:rsidRPr="002B3624">
        <w:t xml:space="preserve"> for </w:t>
      </w:r>
      <w:r w:rsidR="00C5152D">
        <w:t>Stivarga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6" w:history="1">
        <w:r w:rsidR="007C6B9B" w:rsidRPr="007C6B9B">
          <w:rPr>
            <w:rStyle w:val="Hyperlink"/>
          </w:rPr>
          <w:t>https://www.tga.gov.au/product-information-pi</w:t>
        </w:r>
      </w:hyperlink>
      <w:r w:rsidR="007C6B9B" w:rsidRPr="007C6B9B">
        <w:t>&gt;.</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7" w:history="1">
              <w:r w:rsidRPr="004C239D">
                <w:rPr>
                  <w:rStyle w:val="Hyperlink"/>
                </w:rPr>
                <w:t>info@tga.gov.au</w:t>
              </w:r>
            </w:hyperlink>
            <w:r w:rsidR="00686D30">
              <w:t xml:space="preserve"> </w:t>
            </w:r>
            <w:r w:rsidRPr="00487162">
              <w:t>Phone: 1800 020 653</w:t>
            </w:r>
            <w:r w:rsidR="00686D30">
              <w:t xml:space="preserve"> </w:t>
            </w:r>
            <w:r w:rsidRPr="00487162">
              <w:t>Fax: 02 6232 8605</w:t>
            </w:r>
          </w:p>
          <w:p w:rsidR="001C32CD" w:rsidRPr="004C239D" w:rsidRDefault="00B12A57" w:rsidP="00A05FA4">
            <w:pPr>
              <w:pStyle w:val="Address"/>
              <w:spacing w:line="260" w:lineRule="atLeast"/>
              <w:rPr>
                <w:b/>
                <w:color w:val="0000FF"/>
                <w:u w:val="single"/>
              </w:rPr>
            </w:pPr>
            <w:hyperlink r:id="rId48"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9"/>
      <w:headerReference w:type="default" r:id="rId50"/>
      <w:footerReference w:type="default" r:id="rId51"/>
      <w:headerReference w:type="first" r:id="rId52"/>
      <w:footerReference w:type="first" r:id="rId5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E7B" w:rsidRDefault="000A2E7B" w:rsidP="00C40A36">
      <w:pPr>
        <w:spacing w:after="0"/>
      </w:pPr>
      <w:r>
        <w:separator/>
      </w:r>
    </w:p>
  </w:endnote>
  <w:endnote w:type="continuationSeparator" w:id="0">
    <w:p w:rsidR="000A2E7B" w:rsidRDefault="000A2E7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TeXGyreTermes-Regular">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A2E7B" w:rsidRPr="00487162" w:rsidTr="00DB750B">
      <w:trPr>
        <w:trHeight w:val="269"/>
      </w:trPr>
      <w:tc>
        <w:tcPr>
          <w:tcW w:w="7371" w:type="dxa"/>
          <w:tcMar>
            <w:top w:w="142" w:type="dxa"/>
            <w:bottom w:w="0" w:type="dxa"/>
          </w:tcMar>
        </w:tcPr>
        <w:p w:rsidR="000A2E7B" w:rsidRPr="00487162" w:rsidRDefault="000A2E7B" w:rsidP="003E7E75">
          <w:pPr>
            <w:pStyle w:val="Footer"/>
          </w:pPr>
          <w:r w:rsidRPr="00487162">
            <w:t>AusPA</w:t>
          </w:r>
          <w:r>
            <w:t xml:space="preserve">R </w:t>
          </w:r>
          <w:proofErr w:type="spellStart"/>
          <w:r>
            <w:t>Stivarga</w:t>
          </w:r>
          <w:proofErr w:type="spellEnd"/>
          <w:r>
            <w:t xml:space="preserve"> </w:t>
          </w:r>
          <w:proofErr w:type="spellStart"/>
          <w:r>
            <w:t>Regorafenib</w:t>
          </w:r>
          <w:proofErr w:type="spellEnd"/>
          <w:r>
            <w:t xml:space="preserve"> Bayer Australia Pty Ltd PM-2016</w:t>
          </w:r>
          <w:r w:rsidRPr="00487162">
            <w:t>-</w:t>
          </w:r>
          <w:r w:rsidR="00AE350C">
            <w:t xml:space="preserve">04269-1-4 - </w:t>
          </w:r>
          <w:r>
            <w:t>Final 4 April 2019</w:t>
          </w:r>
        </w:p>
      </w:tc>
      <w:tc>
        <w:tcPr>
          <w:tcW w:w="1490" w:type="dxa"/>
          <w:tcMar>
            <w:top w:w="142" w:type="dxa"/>
            <w:bottom w:w="0" w:type="dxa"/>
          </w:tcMar>
        </w:tcPr>
        <w:p w:rsidR="000A2E7B" w:rsidRPr="00487162" w:rsidRDefault="000A2E7B" w:rsidP="00DB750B">
          <w:pPr>
            <w:pStyle w:val="Footer"/>
            <w:jc w:val="right"/>
          </w:pPr>
          <w:r w:rsidRPr="00487162">
            <w:t xml:space="preserve">Page </w:t>
          </w:r>
          <w:r>
            <w:fldChar w:fldCharType="begin"/>
          </w:r>
          <w:r>
            <w:instrText xml:space="preserve"> PAGE  \* Arabic </w:instrText>
          </w:r>
          <w:r>
            <w:fldChar w:fldCharType="separate"/>
          </w:r>
          <w:r w:rsidR="00B12A57">
            <w:rPr>
              <w:noProof/>
            </w:rPr>
            <w:t>2</w:t>
          </w:r>
          <w:r>
            <w:fldChar w:fldCharType="end"/>
          </w:r>
          <w:r w:rsidRPr="00487162">
            <w:t xml:space="preserve"> of </w:t>
          </w:r>
          <w:r w:rsidR="00B12A57">
            <w:fldChar w:fldCharType="begin"/>
          </w:r>
          <w:r w:rsidR="00B12A57">
            <w:instrText xml:space="preserve"> NUMPAGES  \* Arabic </w:instrText>
          </w:r>
          <w:r w:rsidR="00B12A57">
            <w:fldChar w:fldCharType="separate"/>
          </w:r>
          <w:r w:rsidR="00B12A57">
            <w:rPr>
              <w:noProof/>
            </w:rPr>
            <w:t>52</w:t>
          </w:r>
          <w:r w:rsidR="00B12A57">
            <w:rPr>
              <w:noProof/>
            </w:rPr>
            <w:fldChar w:fldCharType="end"/>
          </w:r>
        </w:p>
      </w:tc>
    </w:tr>
  </w:tbl>
  <w:p w:rsidR="000A2E7B" w:rsidRDefault="000A2E7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A2E7B" w:rsidRPr="00487162" w:rsidTr="00E45619">
      <w:trPr>
        <w:trHeight w:val="269"/>
      </w:trPr>
      <w:tc>
        <w:tcPr>
          <w:tcW w:w="4519" w:type="dxa"/>
          <w:tcBorders>
            <w:top w:val="single" w:sz="4" w:space="0" w:color="auto"/>
          </w:tcBorders>
          <w:tcMar>
            <w:top w:w="142" w:type="dxa"/>
            <w:bottom w:w="0" w:type="dxa"/>
          </w:tcMar>
        </w:tcPr>
        <w:p w:rsidR="000A2E7B" w:rsidRPr="00487162" w:rsidRDefault="000A2E7B" w:rsidP="00FE1DEE">
          <w:pPr>
            <w:pStyle w:val="Footer"/>
          </w:pPr>
          <w:r w:rsidRPr="00487162">
            <w:t>Document title, Part #, Section # - Section title</w:t>
          </w:r>
        </w:p>
        <w:p w:rsidR="000A2E7B" w:rsidRPr="00487162" w:rsidRDefault="000A2E7B" w:rsidP="00FE1DEE">
          <w:pPr>
            <w:pStyle w:val="Footer"/>
          </w:pPr>
          <w:r w:rsidRPr="00487162">
            <w:t>V1.0 October 2010</w:t>
          </w:r>
        </w:p>
      </w:tc>
      <w:tc>
        <w:tcPr>
          <w:tcW w:w="4342" w:type="dxa"/>
          <w:tcBorders>
            <w:top w:val="single" w:sz="4" w:space="0" w:color="auto"/>
          </w:tcBorders>
          <w:tcMar>
            <w:top w:w="142" w:type="dxa"/>
            <w:bottom w:w="0" w:type="dxa"/>
          </w:tcMar>
        </w:tcPr>
        <w:p w:rsidR="000A2E7B" w:rsidRPr="00487162" w:rsidRDefault="000A2E7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12A57">
            <w:fldChar w:fldCharType="begin"/>
          </w:r>
          <w:r w:rsidR="00B12A57">
            <w:instrText xml:space="preserve"> NUMPAGES  </w:instrText>
          </w:r>
          <w:r w:rsidR="00B12A57">
            <w:fldChar w:fldCharType="separate"/>
          </w:r>
          <w:r>
            <w:rPr>
              <w:noProof/>
            </w:rPr>
            <w:t>54</w:t>
          </w:r>
          <w:r w:rsidR="00B12A57">
            <w:rPr>
              <w:noProof/>
            </w:rPr>
            <w:fldChar w:fldCharType="end"/>
          </w:r>
        </w:p>
      </w:tc>
    </w:tr>
  </w:tbl>
  <w:p w:rsidR="000A2E7B" w:rsidRDefault="000A2E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7B" w:rsidRPr="001C32CD" w:rsidRDefault="000A2E7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A2E7B" w:rsidTr="0010601F">
      <w:trPr>
        <w:trHeight w:val="108"/>
      </w:trPr>
      <w:tc>
        <w:tcPr>
          <w:tcW w:w="8875" w:type="dxa"/>
          <w:gridSpan w:val="2"/>
          <w:tcBorders>
            <w:bottom w:val="single" w:sz="4" w:space="0" w:color="auto"/>
          </w:tcBorders>
          <w:tcMar>
            <w:right w:w="284" w:type="dxa"/>
          </w:tcMar>
        </w:tcPr>
        <w:p w:rsidR="000A2E7B" w:rsidRDefault="000A2E7B" w:rsidP="006E08B3">
          <w:pPr>
            <w:pStyle w:val="Heading3"/>
          </w:pPr>
          <w:r>
            <w:t>Copyright</w:t>
          </w:r>
        </w:p>
        <w:p w:rsidR="000A2E7B" w:rsidRDefault="000A2E7B" w:rsidP="006E08B3">
          <w:r>
            <w:rPr>
              <w:rFonts w:cs="Arial"/>
            </w:rPr>
            <w:t>©</w:t>
          </w:r>
          <w:r>
            <w:t xml:space="preserve"> Commonwealth of Australia [add year]</w:t>
          </w:r>
        </w:p>
        <w:p w:rsidR="000A2E7B" w:rsidRDefault="000A2E7B" w:rsidP="006E08B3"/>
        <w:p w:rsidR="000A2E7B" w:rsidRDefault="000A2E7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A2E7B" w:rsidRDefault="000A2E7B" w:rsidP="006E08B3"/>
        <w:p w:rsidR="000A2E7B" w:rsidRDefault="000A2E7B" w:rsidP="006E08B3">
          <w:pPr>
            <w:pStyle w:val="Heading3"/>
          </w:pPr>
          <w:r>
            <w:t>Confidentiality</w:t>
          </w:r>
        </w:p>
        <w:p w:rsidR="000A2E7B" w:rsidRDefault="000A2E7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A2E7B" w:rsidRDefault="000A2E7B" w:rsidP="006E08B3"/>
        <w:p w:rsidR="000A2E7B" w:rsidRDefault="000A2E7B" w:rsidP="006E08B3">
          <w:r>
            <w:t>For submission made by individuals, all personal details, other than your name, will be removed from your submission before it is published on the TGA’s Internet site.</w:t>
          </w:r>
        </w:p>
        <w:p w:rsidR="000A2E7B" w:rsidRDefault="000A2E7B" w:rsidP="006E08B3"/>
        <w:p w:rsidR="000A2E7B" w:rsidRDefault="000A2E7B" w:rsidP="006E08B3">
          <w:r>
            <w:t>In addition, a list of parties making submissions will be published. If you do not wish to be identified with your submission you must specifically request this in the space provided ib the submission coversheet.</w:t>
          </w:r>
        </w:p>
      </w:tc>
    </w:tr>
    <w:tr w:rsidR="000A2E7B" w:rsidTr="0010601F">
      <w:trPr>
        <w:trHeight w:val="417"/>
      </w:trPr>
      <w:tc>
        <w:tcPr>
          <w:tcW w:w="4519" w:type="dxa"/>
          <w:tcBorders>
            <w:top w:val="single" w:sz="4" w:space="0" w:color="auto"/>
          </w:tcBorders>
          <w:tcMar>
            <w:top w:w="142" w:type="dxa"/>
            <w:bottom w:w="0" w:type="dxa"/>
          </w:tcMar>
        </w:tcPr>
        <w:p w:rsidR="000A2E7B" w:rsidRDefault="000A2E7B" w:rsidP="006E08B3">
          <w:r>
            <w:t>Document title, Part #, Section # - Section title</w:t>
          </w:r>
        </w:p>
        <w:p w:rsidR="000A2E7B" w:rsidRDefault="000A2E7B" w:rsidP="006E08B3">
          <w:r>
            <w:t>V1.0 October 2010</w:t>
          </w:r>
        </w:p>
      </w:tc>
      <w:tc>
        <w:tcPr>
          <w:tcW w:w="4356" w:type="dxa"/>
          <w:tcBorders>
            <w:top w:val="single" w:sz="4" w:space="0" w:color="auto"/>
          </w:tcBorders>
          <w:tcMar>
            <w:top w:w="142" w:type="dxa"/>
            <w:bottom w:w="0" w:type="dxa"/>
          </w:tcMar>
        </w:tcPr>
        <w:p w:rsidR="000A2E7B" w:rsidRDefault="000A2E7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12A57">
            <w:fldChar w:fldCharType="begin"/>
          </w:r>
          <w:r w:rsidR="00B12A57">
            <w:instrText xml:space="preserve"> NUMPAGES  \* Arabic </w:instrText>
          </w:r>
          <w:r w:rsidR="00B12A57">
            <w:fldChar w:fldCharType="separate"/>
          </w:r>
          <w:r>
            <w:rPr>
              <w:noProof/>
            </w:rPr>
            <w:t>54</w:t>
          </w:r>
          <w:r w:rsidR="00B12A57">
            <w:rPr>
              <w:noProof/>
            </w:rPr>
            <w:fldChar w:fldCharType="end"/>
          </w:r>
          <w:r>
            <w:t xml:space="preserve"> </w:t>
          </w:r>
        </w:p>
      </w:tc>
    </w:tr>
  </w:tbl>
  <w:p w:rsidR="000A2E7B" w:rsidRDefault="000A2E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E7B" w:rsidRDefault="000A2E7B" w:rsidP="00C40A36">
      <w:pPr>
        <w:spacing w:after="0"/>
      </w:pPr>
      <w:r>
        <w:separator/>
      </w:r>
    </w:p>
  </w:footnote>
  <w:footnote w:type="continuationSeparator" w:id="0">
    <w:p w:rsidR="000A2E7B" w:rsidRDefault="000A2E7B" w:rsidP="00C40A36">
      <w:pPr>
        <w:spacing w:after="0"/>
      </w:pPr>
      <w:r>
        <w:continuationSeparator/>
      </w:r>
    </w:p>
  </w:footnote>
  <w:footnote w:id="1">
    <w:p w:rsidR="000A2E7B" w:rsidRDefault="000A2E7B">
      <w:pPr>
        <w:pStyle w:val="FootnoteText"/>
      </w:pPr>
      <w:r>
        <w:rPr>
          <w:rStyle w:val="FootnoteReference"/>
        </w:rPr>
        <w:footnoteRef/>
      </w:r>
      <w:r>
        <w:t xml:space="preserve"> KIT is </w:t>
      </w:r>
      <w:r>
        <w:rPr>
          <w:lang w:eastAsia="ja-JP"/>
        </w:rPr>
        <w:t>a receptor tyrosine kinase.</w:t>
      </w:r>
    </w:p>
  </w:footnote>
  <w:footnote w:id="2">
    <w:p w:rsidR="000A2E7B" w:rsidRDefault="000A2E7B">
      <w:pPr>
        <w:pStyle w:val="FootnoteText"/>
      </w:pPr>
      <w:r>
        <w:rPr>
          <w:rStyle w:val="FootnoteReference"/>
        </w:rPr>
        <w:footnoteRef/>
      </w:r>
      <w:r>
        <w:t xml:space="preserve"> </w:t>
      </w:r>
      <w:r w:rsidRPr="00D750DF">
        <w:t xml:space="preserve">RET stands for ‘rearranged during </w:t>
      </w:r>
      <w:hyperlink r:id="rId1" w:history="1">
        <w:r w:rsidRPr="00D750DF">
          <w:rPr>
            <w:rStyle w:val="Hyperlink"/>
            <w:color w:val="auto"/>
            <w:u w:val="none"/>
          </w:rPr>
          <w:t>transfection</w:t>
        </w:r>
      </w:hyperlink>
      <w:r w:rsidRPr="00D750DF">
        <w:t xml:space="preserve">’ as the </w:t>
      </w:r>
      <w:hyperlink r:id="rId2" w:tooltip="DNA sequence" w:history="1">
        <w:r w:rsidRPr="00D750DF">
          <w:rPr>
            <w:rStyle w:val="Hyperlink"/>
            <w:color w:val="auto"/>
            <w:u w:val="none"/>
          </w:rPr>
          <w:t>DNA sequence</w:t>
        </w:r>
      </w:hyperlink>
      <w:r w:rsidRPr="00D750DF">
        <w:t xml:space="preserve"> of this </w:t>
      </w:r>
      <w:hyperlink r:id="rId3" w:tooltip="Gene" w:history="1">
        <w:r w:rsidRPr="00D750DF">
          <w:rPr>
            <w:rStyle w:val="Hyperlink"/>
            <w:color w:val="auto"/>
            <w:u w:val="none"/>
          </w:rPr>
          <w:t>gene</w:t>
        </w:r>
      </w:hyperlink>
      <w:r w:rsidRPr="00D750DF">
        <w:t xml:space="preserve"> was originally found to be rearranged within a </w:t>
      </w:r>
      <w:hyperlink r:id="rId4" w:tooltip="3T3 cells" w:history="1">
        <w:r w:rsidRPr="00D750DF">
          <w:rPr>
            <w:rStyle w:val="Hyperlink"/>
            <w:color w:val="auto"/>
            <w:u w:val="none"/>
          </w:rPr>
          <w:t>3T3 fibroblast</w:t>
        </w:r>
      </w:hyperlink>
      <w:r w:rsidRPr="00D750DF">
        <w:t xml:space="preserve"> cell line following its transfection with DNA taken from human </w:t>
      </w:r>
      <w:hyperlink r:id="rId5" w:tooltip="Lymphoma" w:history="1">
        <w:r w:rsidRPr="00D750DF">
          <w:rPr>
            <w:rStyle w:val="Hyperlink"/>
            <w:color w:val="auto"/>
            <w:u w:val="none"/>
          </w:rPr>
          <w:t>lymphoma</w:t>
        </w:r>
      </w:hyperlink>
      <w:r w:rsidRPr="00D750DF">
        <w:t xml:space="preserve"> cells. The RET proto-oncogene </w:t>
      </w:r>
      <w:hyperlink r:id="rId6" w:tooltip="Genetic code" w:history="1">
        <w:r w:rsidRPr="00D750DF">
          <w:rPr>
            <w:rStyle w:val="Hyperlink"/>
            <w:color w:val="auto"/>
            <w:u w:val="none"/>
          </w:rPr>
          <w:t>encodes</w:t>
        </w:r>
      </w:hyperlink>
      <w:r w:rsidRPr="00D750DF">
        <w:t xml:space="preserve"> a </w:t>
      </w:r>
      <w:hyperlink r:id="rId7" w:tooltip="Receptor tyrosine kinase" w:history="1">
        <w:r w:rsidRPr="00D750DF">
          <w:rPr>
            <w:rStyle w:val="Hyperlink"/>
            <w:color w:val="auto"/>
            <w:u w:val="none"/>
          </w:rPr>
          <w:t>receptor tyrosine kinase</w:t>
        </w:r>
      </w:hyperlink>
      <w:r w:rsidRPr="00D750DF">
        <w:t xml:space="preserve"> for members of the </w:t>
      </w:r>
      <w:hyperlink r:id="rId8" w:tooltip="GDNF family of ligands" w:history="1">
        <w:r w:rsidRPr="00D750DF">
          <w:rPr>
            <w:rStyle w:val="Hyperlink"/>
            <w:color w:val="auto"/>
            <w:u w:val="none"/>
          </w:rPr>
          <w:t>glial cell line-derived neurotrophic factor (GDNF) family</w:t>
        </w:r>
      </w:hyperlink>
      <w:r w:rsidRPr="00D750DF">
        <w:t xml:space="preserve"> of extracellular </w:t>
      </w:r>
      <w:hyperlink r:id="rId9" w:anchor="Signalling_molecules" w:tooltip="Signal transduction" w:history="1">
        <w:r w:rsidRPr="00D750DF">
          <w:rPr>
            <w:rStyle w:val="Hyperlink"/>
            <w:color w:val="auto"/>
            <w:u w:val="none"/>
          </w:rPr>
          <w:t>signalling molecules</w:t>
        </w:r>
      </w:hyperlink>
      <w:r>
        <w:t>.</w:t>
      </w:r>
    </w:p>
  </w:footnote>
  <w:footnote w:id="3">
    <w:p w:rsidR="000A2E7B" w:rsidRDefault="000A2E7B" w:rsidP="008D235E">
      <w:pPr>
        <w:pStyle w:val="FootnoteText"/>
      </w:pPr>
      <w:r>
        <w:rPr>
          <w:rStyle w:val="FootnoteReference"/>
        </w:rPr>
        <w:footnoteRef/>
      </w:r>
      <w:r>
        <w:t xml:space="preserve"> </w:t>
      </w:r>
      <w:r w:rsidRPr="008D235E">
        <w:t>BRAF is a human gene that encodes a protein called B-Raf</w:t>
      </w:r>
      <w:r>
        <w:t>.</w:t>
      </w:r>
    </w:p>
  </w:footnote>
  <w:footnote w:id="4">
    <w:p w:rsidR="000A2E7B" w:rsidRDefault="000A2E7B" w:rsidP="00DA0C28">
      <w:pPr>
        <w:pStyle w:val="FootnoteText"/>
      </w:pPr>
      <w:r>
        <w:rPr>
          <w:rStyle w:val="FootnoteReference"/>
        </w:rPr>
        <w:footnoteRef/>
      </w:r>
      <w:r>
        <w:t xml:space="preserve"> </w:t>
      </w:r>
      <w:r w:rsidRPr="00985567">
        <w:rPr>
          <w:sz w:val="16"/>
          <w:szCs w:val="16"/>
        </w:rPr>
        <w:t>Sorafenib is currently registered in Australia under proprietary name of Nexavar and is approved for the indication of treatmen</w:t>
      </w:r>
      <w:r>
        <w:rPr>
          <w:sz w:val="16"/>
          <w:szCs w:val="16"/>
        </w:rPr>
        <w:t>t of advanced HCC (Australian PI</w:t>
      </w:r>
      <w:r w:rsidRPr="00985567">
        <w:rPr>
          <w:sz w:val="16"/>
          <w:szCs w:val="16"/>
        </w:rPr>
        <w:t xml:space="preserve"> for sorafenib, April 2014)</w:t>
      </w:r>
    </w:p>
  </w:footnote>
  <w:footnote w:id="5">
    <w:p w:rsidR="000A2E7B" w:rsidRDefault="000A2E7B" w:rsidP="00DA0C28">
      <w:pPr>
        <w:pStyle w:val="FootnoteText"/>
      </w:pPr>
      <w:r>
        <w:rPr>
          <w:rStyle w:val="FootnoteReference"/>
        </w:rPr>
        <w:footnoteRef/>
      </w:r>
      <w:r>
        <w:t xml:space="preserve"> </w:t>
      </w:r>
      <w:r w:rsidRPr="002667F6">
        <w:rPr>
          <w:sz w:val="16"/>
          <w:szCs w:val="16"/>
        </w:rPr>
        <w:t xml:space="preserve">In Australia, everolimus (Afinitor) and ramucirumab (Cyramza) are currently registered, but are not approved for the treatment of advanced HCC </w:t>
      </w:r>
      <w:r>
        <w:rPr>
          <w:sz w:val="16"/>
          <w:szCs w:val="16"/>
        </w:rPr>
        <w:t>(Australian PI for everolimus, O</w:t>
      </w:r>
      <w:r w:rsidRPr="002667F6">
        <w:rPr>
          <w:sz w:val="16"/>
          <w:szCs w:val="16"/>
        </w:rPr>
        <w:t>ctober 2015; Aust</w:t>
      </w:r>
      <w:r>
        <w:rPr>
          <w:sz w:val="16"/>
          <w:szCs w:val="16"/>
        </w:rPr>
        <w:t>ralian PI for ramucirumab, O</w:t>
      </w:r>
      <w:r w:rsidRPr="002667F6">
        <w:rPr>
          <w:sz w:val="16"/>
          <w:szCs w:val="16"/>
        </w:rPr>
        <w:t>ctober 2015)</w:t>
      </w:r>
    </w:p>
  </w:footnote>
  <w:footnote w:id="6">
    <w:p w:rsidR="000A2E7B" w:rsidRDefault="000A2E7B" w:rsidP="009C6C3F">
      <w:pPr>
        <w:pStyle w:val="FootnoteText"/>
      </w:pPr>
      <w:r>
        <w:rPr>
          <w:rStyle w:val="FootnoteReference"/>
        </w:rPr>
        <w:footnoteRef/>
      </w:r>
      <w:r>
        <w:t xml:space="preserve"> Abdalla</w:t>
      </w:r>
      <w:r w:rsidRPr="00DC4605">
        <w:t xml:space="preserve"> EK, Stuart KE. Overview </w:t>
      </w:r>
      <w:r w:rsidRPr="009C6C3F">
        <w:t>of</w:t>
      </w:r>
      <w:r w:rsidRPr="00DC4605">
        <w:t xml:space="preserve"> treatment approaches for hepatocellular cancer. UpToDate.com, last updated Dec 13, 2016, viewed Oct 3, 2017</w:t>
      </w:r>
    </w:p>
  </w:footnote>
  <w:footnote w:id="7">
    <w:p w:rsidR="000A2E7B" w:rsidRPr="00F17CA0" w:rsidRDefault="000A2E7B" w:rsidP="00F17CA0">
      <w:pPr>
        <w:pStyle w:val="FootnoteText"/>
      </w:pPr>
      <w:r w:rsidRPr="00F17CA0">
        <w:rPr>
          <w:rStyle w:val="FootnoteReference"/>
        </w:rPr>
        <w:footnoteRef/>
      </w:r>
      <w:r w:rsidRPr="00F17CA0">
        <w:rPr>
          <w:vertAlign w:val="superscript"/>
        </w:rPr>
        <w:t xml:space="preserve"> </w:t>
      </w:r>
      <w:r w:rsidRPr="00F17CA0">
        <w:t>WHO performance scale: The World Health Organisation (WHO) designed the scale which has categories from 0 to 4 as follows:</w:t>
      </w:r>
    </w:p>
    <w:p w:rsidR="000A2E7B" w:rsidRDefault="000A2E7B" w:rsidP="00F17CA0">
      <w:pPr>
        <w:pStyle w:val="FootnoteText"/>
        <w:rPr>
          <w:lang w:eastAsia="ja-JP"/>
        </w:rPr>
      </w:pPr>
      <w:r>
        <w:rPr>
          <w:lang w:eastAsia="ja-JP"/>
        </w:rPr>
        <w:t>0 - fully active and more or less as you were before your illness</w:t>
      </w:r>
    </w:p>
    <w:p w:rsidR="000A2E7B" w:rsidRDefault="000A2E7B" w:rsidP="00F17CA0">
      <w:pPr>
        <w:pStyle w:val="FootnoteText"/>
        <w:rPr>
          <w:lang w:eastAsia="ja-JP"/>
        </w:rPr>
      </w:pPr>
      <w:r>
        <w:rPr>
          <w:lang w:eastAsia="ja-JP"/>
        </w:rPr>
        <w:t>1 - cannot carry out heavy physical work, but can do anything else</w:t>
      </w:r>
    </w:p>
    <w:p w:rsidR="000A2E7B" w:rsidRDefault="000A2E7B" w:rsidP="00F17CA0">
      <w:pPr>
        <w:pStyle w:val="FootnoteText"/>
        <w:rPr>
          <w:lang w:eastAsia="ja-JP"/>
        </w:rPr>
      </w:pPr>
      <w:r>
        <w:rPr>
          <w:lang w:eastAsia="ja-JP"/>
        </w:rPr>
        <w:t>2 - up and about more than half the day; you can look after yourself, but are not well enough to work</w:t>
      </w:r>
    </w:p>
    <w:p w:rsidR="000A2E7B" w:rsidRDefault="000A2E7B" w:rsidP="00F17CA0">
      <w:pPr>
        <w:pStyle w:val="FootnoteText"/>
        <w:rPr>
          <w:lang w:eastAsia="ja-JP"/>
        </w:rPr>
      </w:pPr>
      <w:r>
        <w:rPr>
          <w:lang w:eastAsia="ja-JP"/>
        </w:rPr>
        <w:t>3 - in bed or sitting in a chair for more than half the day; you need some help in looking after yourself</w:t>
      </w:r>
    </w:p>
    <w:p w:rsidR="000A2E7B" w:rsidRDefault="000A2E7B" w:rsidP="00F17CA0">
      <w:pPr>
        <w:pStyle w:val="FootnoteText"/>
        <w:rPr>
          <w:lang w:eastAsia="ja-JP"/>
        </w:rPr>
      </w:pPr>
      <w:r>
        <w:rPr>
          <w:lang w:eastAsia="ja-JP"/>
        </w:rPr>
        <w:t>4 - in bed or a chair all the time and need a lot of looking after</w:t>
      </w:r>
    </w:p>
  </w:footnote>
  <w:footnote w:id="8">
    <w:p w:rsidR="000A2E7B" w:rsidRPr="00F17CA0" w:rsidRDefault="000A2E7B" w:rsidP="00F17CA0">
      <w:pPr>
        <w:pStyle w:val="FootnoteText"/>
      </w:pPr>
      <w:r w:rsidRPr="00F17CA0">
        <w:rPr>
          <w:rStyle w:val="FootnoteReference"/>
        </w:rPr>
        <w:footnoteRef/>
      </w:r>
      <w:r w:rsidRPr="00F17CA0">
        <w:t xml:space="preserve"> The Child-Pugh score is used to assess the prognosis of chronic liver disease. The score employs five clinical measures of liver disease. Each measure is scored 1-3, with 3 indicating most severe derangement.</w:t>
      </w:r>
    </w:p>
  </w:footnote>
  <w:footnote w:id="9">
    <w:p w:rsidR="000A2E7B" w:rsidRPr="00F17CA0" w:rsidRDefault="000A2E7B" w:rsidP="00F17CA0">
      <w:pPr>
        <w:pStyle w:val="FootnoteText"/>
      </w:pPr>
      <w:r w:rsidRPr="00F17CA0">
        <w:rPr>
          <w:rStyle w:val="FootnoteReference"/>
        </w:rPr>
        <w:footnoteRef/>
      </w:r>
      <w:r w:rsidRPr="00F17CA0">
        <w:t xml:space="preserve"> Australian Product Information, </w:t>
      </w:r>
      <w:proofErr w:type="spellStart"/>
      <w:r w:rsidRPr="00F17CA0">
        <w:t>Stivarga</w:t>
      </w:r>
      <w:proofErr w:type="spellEnd"/>
      <w:r w:rsidRPr="00F17CA0">
        <w:t>, November 2016</w:t>
      </w:r>
    </w:p>
  </w:footnote>
  <w:footnote w:id="10">
    <w:p w:rsidR="000A2E7B" w:rsidRDefault="000A2E7B">
      <w:pPr>
        <w:pStyle w:val="FootnoteText"/>
      </w:pPr>
      <w:r>
        <w:rPr>
          <w:rStyle w:val="FootnoteReference"/>
        </w:rPr>
        <w:footnoteRef/>
      </w:r>
      <w:r>
        <w:t xml:space="preserve"> </w:t>
      </w:r>
      <w:r w:rsidRPr="00BA24C8">
        <w:t>CPMP/ICH/135/95 Note for Guidance on Good Clinical Practice</w:t>
      </w:r>
    </w:p>
  </w:footnote>
  <w:footnote w:id="11">
    <w:p w:rsidR="000A2E7B" w:rsidRDefault="000A2E7B">
      <w:pPr>
        <w:pStyle w:val="FootnoteText"/>
      </w:pPr>
      <w:r>
        <w:rPr>
          <w:rStyle w:val="FootnoteReference"/>
        </w:rPr>
        <w:footnoteRef/>
      </w:r>
      <w:r>
        <w:t xml:space="preserve"> A</w:t>
      </w:r>
      <w:r w:rsidRPr="00BA24C8">
        <w:rPr>
          <w:rFonts w:cs="TeXGyreTermes-Regular"/>
          <w:szCs w:val="22"/>
        </w:rPr>
        <w:t>verage concentration over 24</w:t>
      </w:r>
      <w:r>
        <w:rPr>
          <w:rFonts w:cs="TeXGyreTermes-Regular"/>
          <w:szCs w:val="22"/>
        </w:rPr>
        <w:t xml:space="preserve"> </w:t>
      </w:r>
      <w:r w:rsidRPr="00BA24C8">
        <w:rPr>
          <w:rFonts w:cs="TeXGyreTermes-Regular"/>
          <w:szCs w:val="22"/>
        </w:rPr>
        <w:t>h after multiple doses( 21 daily doses) of 160 mg for parent</w:t>
      </w:r>
    </w:p>
  </w:footnote>
  <w:footnote w:id="12">
    <w:p w:rsidR="000A2E7B" w:rsidRDefault="000A2E7B" w:rsidP="00686D30">
      <w:pPr>
        <w:pStyle w:val="FootnoteText"/>
      </w:pPr>
      <w:r>
        <w:rPr>
          <w:rStyle w:val="FootnoteReference"/>
        </w:rPr>
        <w:footnoteRef/>
      </w:r>
      <w:r>
        <w:t xml:space="preserve"> </w:t>
      </w:r>
      <w:r w:rsidRPr="00686D30">
        <w:t>Average</w:t>
      </w:r>
      <w:r w:rsidRPr="00BA24C8">
        <w:t xml:space="preserve"> concentration over 24</w:t>
      </w:r>
      <w:r>
        <w:t xml:space="preserve"> </w:t>
      </w:r>
      <w:r w:rsidRPr="00BA24C8">
        <w:t>h after multiple doses (21 daily doses) of 160 mg for the sum of parent and the pharmacological active metabolites M-2 and M-5</w:t>
      </w:r>
    </w:p>
  </w:footnote>
  <w:footnote w:id="13">
    <w:p w:rsidR="000A2E7B" w:rsidRPr="005555C9" w:rsidRDefault="000A2E7B" w:rsidP="006241FD">
      <w:pPr>
        <w:spacing w:before="0" w:after="0" w:line="240" w:lineRule="auto"/>
        <w:rPr>
          <w:rStyle w:val="FootnoteTextChar"/>
        </w:rPr>
      </w:pPr>
      <w:r w:rsidRPr="00B0284F">
        <w:rPr>
          <w:rStyle w:val="FootnoteReference"/>
          <w:sz w:val="16"/>
          <w:szCs w:val="16"/>
        </w:rPr>
        <w:footnoteRef/>
      </w:r>
      <w:r w:rsidRPr="00B0284F">
        <w:rPr>
          <w:sz w:val="16"/>
          <w:szCs w:val="16"/>
        </w:rPr>
        <w:t xml:space="preserve"> </w:t>
      </w:r>
      <w:r w:rsidRPr="005555C9">
        <w:rPr>
          <w:rStyle w:val="FootnoteTextChar"/>
        </w:rPr>
        <w:t>According to the sponsor, the multikinase inhibitor lenvatinib is currently being tested against sorafenib in a Phase III trial in HCC patients who have not received prior systemic therapy. If the results for this study (expected in 2017) are positive, lenvatinib could emerge as new or co-standard of care for first-line treatment of HCC.</w:t>
      </w:r>
    </w:p>
  </w:footnote>
  <w:footnote w:id="14">
    <w:p w:rsidR="000A2E7B" w:rsidRPr="005555C9" w:rsidRDefault="000A2E7B" w:rsidP="006241FD">
      <w:pPr>
        <w:spacing w:before="0" w:after="0" w:line="240" w:lineRule="auto"/>
        <w:rPr>
          <w:rStyle w:val="FootnoteTextChar"/>
        </w:rPr>
      </w:pPr>
      <w:r w:rsidRPr="000660B5">
        <w:rPr>
          <w:rStyle w:val="FootnoteReference"/>
          <w:sz w:val="16"/>
          <w:szCs w:val="16"/>
        </w:rPr>
        <w:footnoteRef/>
      </w:r>
      <w:r w:rsidRPr="000660B5">
        <w:rPr>
          <w:sz w:val="16"/>
          <w:szCs w:val="16"/>
        </w:rPr>
        <w:t xml:space="preserve"> </w:t>
      </w:r>
      <w:r w:rsidRPr="005555C9">
        <w:rPr>
          <w:rStyle w:val="FootnoteTextChar"/>
        </w:rPr>
        <w:t>According to the sponsor, immunological checkpoint inhibitors such as nivolumab (a PD-1 inhibitor [programmed cell death protein-1 inhibitor]) are currently in clinical trials for first-line HCC.</w:t>
      </w:r>
    </w:p>
  </w:footnote>
  <w:footnote w:id="15">
    <w:p w:rsidR="000A2E7B" w:rsidRPr="00E92A96" w:rsidRDefault="000A2E7B" w:rsidP="00620379">
      <w:pPr>
        <w:spacing w:before="0" w:after="0" w:line="240" w:lineRule="auto"/>
        <w:rPr>
          <w:sz w:val="16"/>
          <w:szCs w:val="16"/>
          <w:lang w:eastAsia="ja-JP"/>
        </w:rPr>
      </w:pPr>
      <w:r w:rsidRPr="00E92A96">
        <w:rPr>
          <w:rStyle w:val="FootnoteReference"/>
          <w:sz w:val="16"/>
          <w:szCs w:val="16"/>
        </w:rPr>
        <w:footnoteRef/>
      </w:r>
      <w:r w:rsidRPr="00E92A96">
        <w:rPr>
          <w:sz w:val="16"/>
          <w:szCs w:val="16"/>
        </w:rPr>
        <w:t xml:space="preserve"> </w:t>
      </w:r>
      <w:r w:rsidRPr="00E92A96">
        <w:rPr>
          <w:sz w:val="16"/>
          <w:szCs w:val="16"/>
          <w:lang w:eastAsia="ja-JP"/>
        </w:rPr>
        <w:t xml:space="preserve">Most frequently reported ADRs with lenvatinib include hypertension, diarrhoea, decreased appetite, weight decreased, fatigue, nausea, proteinuria, stomatitis, vomiting, dysphonia, headache, and PPES </w:t>
      </w:r>
    </w:p>
  </w:footnote>
  <w:footnote w:id="16">
    <w:p w:rsidR="000A2E7B" w:rsidRDefault="000A2E7B" w:rsidP="00DD4DB9">
      <w:pPr>
        <w:pStyle w:val="FootnoteText"/>
        <w:rPr>
          <w:lang w:eastAsia="ja-JP"/>
        </w:rPr>
      </w:pPr>
      <w:r>
        <w:rPr>
          <w:rStyle w:val="FootnoteReference"/>
        </w:rPr>
        <w:footnoteRef/>
      </w:r>
      <w:r>
        <w:t xml:space="preserve"> </w:t>
      </w:r>
      <w:r w:rsidRPr="001E3166">
        <w:rPr>
          <w:lang w:eastAsia="ja-JP"/>
        </w:rPr>
        <w:t xml:space="preserve">The data collection tool for this study was </w:t>
      </w:r>
      <w:r>
        <w:rPr>
          <w:lang w:eastAsia="ja-JP"/>
        </w:rPr>
        <w:t>a</w:t>
      </w:r>
      <w:r w:rsidRPr="001E3166">
        <w:rPr>
          <w:lang w:eastAsia="ja-JP"/>
        </w:rPr>
        <w:t xml:space="preserve"> validated electronic data capture system called Medidata RAVE (RAVE). The primary stratified analyses for the efficacy endpoints were based on the stratification data collected in the IVRS at the time of randomisation. Since differences could have occurred between the values of the stratification variables entered by the inve</w:t>
      </w:r>
      <w:r>
        <w:rPr>
          <w:lang w:eastAsia="ja-JP"/>
        </w:rPr>
        <w:t>stigator at the time of randomis</w:t>
      </w:r>
      <w:r w:rsidRPr="001E3166">
        <w:rPr>
          <w:lang w:eastAsia="ja-JP"/>
        </w:rPr>
        <w:t>ation (</w:t>
      </w:r>
      <w:r w:rsidR="00EC67F6">
        <w:rPr>
          <w:lang w:eastAsia="ja-JP"/>
        </w:rPr>
        <w:t>that is,</w:t>
      </w:r>
      <w:r>
        <w:rPr>
          <w:lang w:eastAsia="ja-JP"/>
        </w:rPr>
        <w:t xml:space="preserve"> </w:t>
      </w:r>
      <w:r w:rsidRPr="001E3166">
        <w:rPr>
          <w:lang w:eastAsia="ja-JP"/>
        </w:rPr>
        <w:t>IVRS</w:t>
      </w:r>
      <w:r>
        <w:rPr>
          <w:lang w:eastAsia="ja-JP"/>
        </w:rPr>
        <w:t xml:space="preserve"> data</w:t>
      </w:r>
      <w:r w:rsidRPr="001E3166">
        <w:rPr>
          <w:lang w:eastAsia="ja-JP"/>
        </w:rPr>
        <w:t>) and those collected on the CRF (</w:t>
      </w:r>
      <w:r w:rsidR="00F17CA0">
        <w:rPr>
          <w:lang w:eastAsia="ja-JP"/>
        </w:rPr>
        <w:t>that is,</w:t>
      </w:r>
      <w:r w:rsidRPr="001E3166">
        <w:rPr>
          <w:lang w:eastAsia="ja-JP"/>
        </w:rPr>
        <w:t xml:space="preserve"> RAVE data),</w:t>
      </w:r>
      <w:r>
        <w:rPr>
          <w:lang w:eastAsia="ja-JP"/>
        </w:rPr>
        <w:t xml:space="preserve"> </w:t>
      </w:r>
      <w:r w:rsidRPr="001E3166">
        <w:rPr>
          <w:lang w:eastAsia="ja-JP"/>
        </w:rPr>
        <w:t>stratification information entered in CRF (RAVE) were used for sensitivity analyses.</w:t>
      </w:r>
    </w:p>
  </w:footnote>
  <w:footnote w:id="17">
    <w:p w:rsidR="000A2E7B" w:rsidRDefault="000A2E7B" w:rsidP="008F4993">
      <w:pPr>
        <w:pStyle w:val="FootnoteText"/>
      </w:pPr>
      <w:r>
        <w:rPr>
          <w:rStyle w:val="FootnoteReference"/>
        </w:rPr>
        <w:footnoteRef/>
      </w:r>
      <w:r>
        <w:t xml:space="preserve"> </w:t>
      </w:r>
      <w:r w:rsidRPr="00796EAF">
        <w:rPr>
          <w:sz w:val="16"/>
          <w:szCs w:val="16"/>
        </w:rPr>
        <w:t>13 sites: Germany and Italy (5 sites each), South Korea (2 sites), Spain (1 site)</w:t>
      </w:r>
    </w:p>
  </w:footnote>
  <w:footnote w:id="18">
    <w:p w:rsidR="000A2E7B" w:rsidRDefault="000A2E7B"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0A2E7B" w:rsidRPr="00456765" w:rsidRDefault="000A2E7B"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7B" w:rsidRDefault="000A2E7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7B" w:rsidRDefault="000A2E7B">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A2E7B" w:rsidRDefault="000A2E7B" w:rsidP="00593AD1">
    <w:pPr>
      <w:pStyle w:val="HeaderNoLine"/>
    </w:pPr>
    <w:r>
      <w:rPr>
        <w:noProof/>
        <w:lang w:eastAsia="en-AU"/>
      </w:rPr>
      <w:drawing>
        <wp:inline distT="0" distB="0" distL="0" distR="0" wp14:anchorId="53720951" wp14:editId="58DC4D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7B" w:rsidRDefault="000A2E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7B" w:rsidRDefault="000A2E7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7B" w:rsidRDefault="000A2E7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7B" w:rsidRDefault="000A2E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7B" w:rsidRDefault="000A2E7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7B" w:rsidRDefault="000A2E7B" w:rsidP="006E08B3">
    <w:r>
      <w:t>Therapeutic Goods Administration</w:t>
    </w:r>
  </w:p>
  <w:p w:rsidR="000A2E7B" w:rsidRDefault="000A2E7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44AB9D8"/>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49762BC"/>
    <w:multiLevelType w:val="hybridMultilevel"/>
    <w:tmpl w:val="E6061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8">
    <w:nsid w:val="3A7A1053"/>
    <w:multiLevelType w:val="hybridMultilevel"/>
    <w:tmpl w:val="82B28BE0"/>
    <w:lvl w:ilvl="0" w:tplc="CE447BA8">
      <w:start w:val="1"/>
      <w:numFmt w:val="decimal"/>
      <w:pStyle w:val="FigureTitle"/>
      <w:lvlText w:val="Figure %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F5851AC"/>
    <w:multiLevelType w:val="hybridMultilevel"/>
    <w:tmpl w:val="0D501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3B424EB"/>
    <w:multiLevelType w:val="hybridMultilevel"/>
    <w:tmpl w:val="0FE0789A"/>
    <w:lvl w:ilvl="0" w:tplc="1F741DBC">
      <w:start w:val="1"/>
      <w:numFmt w:val="decimal"/>
      <w:lvlText w:val="%1."/>
      <w:lvlJc w:val="left"/>
      <w:pPr>
        <w:ind w:left="360" w:hanging="360"/>
        <w:jc w:val="right"/>
      </w:pPr>
      <w:rPr>
        <w:rFonts w:ascii="Arial" w:eastAsia="Arial" w:hAnsi="Arial" w:cs="Arial" w:hint="default"/>
        <w:spacing w:val="-1"/>
        <w:w w:val="100"/>
        <w:sz w:val="22"/>
        <w:szCs w:val="22"/>
      </w:rPr>
    </w:lvl>
    <w:lvl w:ilvl="1" w:tplc="F8580DF2">
      <w:numFmt w:val="bullet"/>
      <w:lvlText w:val="•"/>
      <w:lvlJc w:val="left"/>
      <w:pPr>
        <w:ind w:left="1127" w:hanging="360"/>
      </w:pPr>
      <w:rPr>
        <w:rFonts w:hint="default"/>
      </w:rPr>
    </w:lvl>
    <w:lvl w:ilvl="2" w:tplc="5B72A90E">
      <w:numFmt w:val="bullet"/>
      <w:lvlText w:val="•"/>
      <w:lvlJc w:val="left"/>
      <w:pPr>
        <w:ind w:left="1893" w:hanging="360"/>
      </w:pPr>
      <w:rPr>
        <w:rFonts w:hint="default"/>
      </w:rPr>
    </w:lvl>
    <w:lvl w:ilvl="3" w:tplc="2CA65364">
      <w:numFmt w:val="bullet"/>
      <w:lvlText w:val="•"/>
      <w:lvlJc w:val="left"/>
      <w:pPr>
        <w:ind w:left="2659" w:hanging="360"/>
      </w:pPr>
      <w:rPr>
        <w:rFonts w:hint="default"/>
      </w:rPr>
    </w:lvl>
    <w:lvl w:ilvl="4" w:tplc="8206A2A8">
      <w:numFmt w:val="bullet"/>
      <w:lvlText w:val="•"/>
      <w:lvlJc w:val="left"/>
      <w:pPr>
        <w:ind w:left="3425" w:hanging="360"/>
      </w:pPr>
      <w:rPr>
        <w:rFonts w:hint="default"/>
      </w:rPr>
    </w:lvl>
    <w:lvl w:ilvl="5" w:tplc="801C1A36">
      <w:numFmt w:val="bullet"/>
      <w:lvlText w:val="•"/>
      <w:lvlJc w:val="left"/>
      <w:pPr>
        <w:ind w:left="4191" w:hanging="360"/>
      </w:pPr>
      <w:rPr>
        <w:rFonts w:hint="default"/>
      </w:rPr>
    </w:lvl>
    <w:lvl w:ilvl="6" w:tplc="E87EE6C6">
      <w:numFmt w:val="bullet"/>
      <w:lvlText w:val="•"/>
      <w:lvlJc w:val="left"/>
      <w:pPr>
        <w:ind w:left="4956" w:hanging="360"/>
      </w:pPr>
      <w:rPr>
        <w:rFonts w:hint="default"/>
      </w:rPr>
    </w:lvl>
    <w:lvl w:ilvl="7" w:tplc="D842D5BE">
      <w:numFmt w:val="bullet"/>
      <w:lvlText w:val="•"/>
      <w:lvlJc w:val="left"/>
      <w:pPr>
        <w:ind w:left="5722" w:hanging="360"/>
      </w:pPr>
      <w:rPr>
        <w:rFonts w:hint="default"/>
      </w:rPr>
    </w:lvl>
    <w:lvl w:ilvl="8" w:tplc="638C6C50">
      <w:numFmt w:val="bullet"/>
      <w:lvlText w:val="•"/>
      <w:lvlJc w:val="left"/>
      <w:pPr>
        <w:ind w:left="6488" w:hanging="360"/>
      </w:pPr>
      <w:rPr>
        <w:rFonts w:hint="default"/>
      </w:rPr>
    </w:lvl>
  </w:abstractNum>
  <w:abstractNum w:abstractNumId="12">
    <w:nsid w:val="4DEE6FF4"/>
    <w:multiLevelType w:val="hybridMultilevel"/>
    <w:tmpl w:val="4F529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B731B9D"/>
    <w:multiLevelType w:val="hybridMultilevel"/>
    <w:tmpl w:val="3EEC6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C2E179E"/>
    <w:multiLevelType w:val="hybridMultilevel"/>
    <w:tmpl w:val="96108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FE64B70"/>
    <w:multiLevelType w:val="hybridMultilevel"/>
    <w:tmpl w:val="964C6C58"/>
    <w:lvl w:ilvl="0" w:tplc="8F5E99AC">
      <w:start w:val="1"/>
      <w:numFmt w:val="decimal"/>
      <w:pStyle w:val="TableTitle"/>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EF039F4"/>
    <w:multiLevelType w:val="hybridMultilevel"/>
    <w:tmpl w:val="1040B7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8"/>
  </w:num>
  <w:num w:numId="29">
    <w:abstractNumId w:val="12"/>
  </w:num>
  <w:num w:numId="30">
    <w:abstractNumId w:val="10"/>
  </w:num>
  <w:num w:numId="31">
    <w:abstractNumId w:val="15"/>
  </w:num>
  <w:num w:numId="32">
    <w:abstractNumId w:val="6"/>
  </w:num>
  <w:num w:numId="33">
    <w:abstractNumId w:val="9"/>
  </w:num>
  <w:num w:numId="34">
    <w:abstractNumId w:val="7"/>
  </w:num>
  <w:num w:numId="35">
    <w:abstractNumId w:val="14"/>
  </w:num>
  <w:num w:numId="36">
    <w:abstractNumId w:val="17"/>
  </w:num>
  <w:num w:numId="37">
    <w:abstractNumId w:val="11"/>
  </w:num>
  <w:num w:numId="38">
    <w:abstractNumId w:val="16"/>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566"/>
    <w:rsid w:val="00002031"/>
    <w:rsid w:val="00004734"/>
    <w:rsid w:val="00006B22"/>
    <w:rsid w:val="0001276A"/>
    <w:rsid w:val="000246AE"/>
    <w:rsid w:val="00025C67"/>
    <w:rsid w:val="00044772"/>
    <w:rsid w:val="0005559E"/>
    <w:rsid w:val="000604D6"/>
    <w:rsid w:val="00064F8C"/>
    <w:rsid w:val="000734D8"/>
    <w:rsid w:val="00077775"/>
    <w:rsid w:val="00090471"/>
    <w:rsid w:val="00096AA7"/>
    <w:rsid w:val="000A2E7B"/>
    <w:rsid w:val="000A3AED"/>
    <w:rsid w:val="000B3532"/>
    <w:rsid w:val="000B3A75"/>
    <w:rsid w:val="000C00C2"/>
    <w:rsid w:val="000C690F"/>
    <w:rsid w:val="000C6E94"/>
    <w:rsid w:val="000D1295"/>
    <w:rsid w:val="000D391B"/>
    <w:rsid w:val="000D3D6D"/>
    <w:rsid w:val="000D4FC7"/>
    <w:rsid w:val="000E6196"/>
    <w:rsid w:val="000F4869"/>
    <w:rsid w:val="000F5B42"/>
    <w:rsid w:val="000F6E6F"/>
    <w:rsid w:val="0010601F"/>
    <w:rsid w:val="0010788A"/>
    <w:rsid w:val="00107A31"/>
    <w:rsid w:val="00110EA5"/>
    <w:rsid w:val="00112F56"/>
    <w:rsid w:val="00124ACD"/>
    <w:rsid w:val="00125318"/>
    <w:rsid w:val="00126F1A"/>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A2158"/>
    <w:rsid w:val="001A525F"/>
    <w:rsid w:val="001B09F9"/>
    <w:rsid w:val="001B3299"/>
    <w:rsid w:val="001B5C90"/>
    <w:rsid w:val="001B6448"/>
    <w:rsid w:val="001C32CD"/>
    <w:rsid w:val="001C5764"/>
    <w:rsid w:val="001D2984"/>
    <w:rsid w:val="001D3B71"/>
    <w:rsid w:val="001E07CF"/>
    <w:rsid w:val="001E59F1"/>
    <w:rsid w:val="001F2CEE"/>
    <w:rsid w:val="001F49EB"/>
    <w:rsid w:val="001F6CBA"/>
    <w:rsid w:val="00201D4E"/>
    <w:rsid w:val="002076C9"/>
    <w:rsid w:val="00220B8A"/>
    <w:rsid w:val="002257F3"/>
    <w:rsid w:val="00233456"/>
    <w:rsid w:val="002339A5"/>
    <w:rsid w:val="00256077"/>
    <w:rsid w:val="00257848"/>
    <w:rsid w:val="0027084A"/>
    <w:rsid w:val="00286434"/>
    <w:rsid w:val="00286C59"/>
    <w:rsid w:val="00291957"/>
    <w:rsid w:val="002942D1"/>
    <w:rsid w:val="0029501A"/>
    <w:rsid w:val="002A3721"/>
    <w:rsid w:val="002B1638"/>
    <w:rsid w:val="002B3624"/>
    <w:rsid w:val="002B767D"/>
    <w:rsid w:val="002D0952"/>
    <w:rsid w:val="002D4566"/>
    <w:rsid w:val="002E1220"/>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50567"/>
    <w:rsid w:val="003521E8"/>
    <w:rsid w:val="0036454F"/>
    <w:rsid w:val="00370CE3"/>
    <w:rsid w:val="003728F3"/>
    <w:rsid w:val="003735BC"/>
    <w:rsid w:val="0037496E"/>
    <w:rsid w:val="00383221"/>
    <w:rsid w:val="00386150"/>
    <w:rsid w:val="00387426"/>
    <w:rsid w:val="003874CE"/>
    <w:rsid w:val="00390900"/>
    <w:rsid w:val="003A7F6C"/>
    <w:rsid w:val="003B4D60"/>
    <w:rsid w:val="003B7E39"/>
    <w:rsid w:val="003C58DC"/>
    <w:rsid w:val="003C60D3"/>
    <w:rsid w:val="003D1E62"/>
    <w:rsid w:val="003E0B99"/>
    <w:rsid w:val="003E2486"/>
    <w:rsid w:val="003E3208"/>
    <w:rsid w:val="003E7E75"/>
    <w:rsid w:val="003F0B04"/>
    <w:rsid w:val="0040134E"/>
    <w:rsid w:val="00407613"/>
    <w:rsid w:val="004151AE"/>
    <w:rsid w:val="004334C7"/>
    <w:rsid w:val="00440A2D"/>
    <w:rsid w:val="00441C3F"/>
    <w:rsid w:val="004564A7"/>
    <w:rsid w:val="00456765"/>
    <w:rsid w:val="004617BF"/>
    <w:rsid w:val="00462820"/>
    <w:rsid w:val="00463658"/>
    <w:rsid w:val="004637A0"/>
    <w:rsid w:val="004722CC"/>
    <w:rsid w:val="004936E4"/>
    <w:rsid w:val="00494E60"/>
    <w:rsid w:val="00497487"/>
    <w:rsid w:val="004A6189"/>
    <w:rsid w:val="004A7390"/>
    <w:rsid w:val="004B7B76"/>
    <w:rsid w:val="004C239D"/>
    <w:rsid w:val="004C2DCA"/>
    <w:rsid w:val="004C61D2"/>
    <w:rsid w:val="004F0C4A"/>
    <w:rsid w:val="004F0F38"/>
    <w:rsid w:val="004F47D6"/>
    <w:rsid w:val="004F75EF"/>
    <w:rsid w:val="00500337"/>
    <w:rsid w:val="00501921"/>
    <w:rsid w:val="00530354"/>
    <w:rsid w:val="0053625B"/>
    <w:rsid w:val="005434C6"/>
    <w:rsid w:val="00543B39"/>
    <w:rsid w:val="00546154"/>
    <w:rsid w:val="00550096"/>
    <w:rsid w:val="00555280"/>
    <w:rsid w:val="005555C9"/>
    <w:rsid w:val="00557FF9"/>
    <w:rsid w:val="00562327"/>
    <w:rsid w:val="00566890"/>
    <w:rsid w:val="005711D5"/>
    <w:rsid w:val="00576378"/>
    <w:rsid w:val="00577130"/>
    <w:rsid w:val="00577945"/>
    <w:rsid w:val="00577E38"/>
    <w:rsid w:val="00585322"/>
    <w:rsid w:val="005857C6"/>
    <w:rsid w:val="00592F6E"/>
    <w:rsid w:val="00593AD1"/>
    <w:rsid w:val="005A68B6"/>
    <w:rsid w:val="005C5570"/>
    <w:rsid w:val="005C79A4"/>
    <w:rsid w:val="005D5442"/>
    <w:rsid w:val="00603F32"/>
    <w:rsid w:val="00605841"/>
    <w:rsid w:val="00605AD4"/>
    <w:rsid w:val="006136D7"/>
    <w:rsid w:val="00620379"/>
    <w:rsid w:val="006241FD"/>
    <w:rsid w:val="00625A6E"/>
    <w:rsid w:val="00632398"/>
    <w:rsid w:val="00640FC3"/>
    <w:rsid w:val="00642020"/>
    <w:rsid w:val="0065337B"/>
    <w:rsid w:val="0065419D"/>
    <w:rsid w:val="006603BC"/>
    <w:rsid w:val="006604D8"/>
    <w:rsid w:val="00664A5B"/>
    <w:rsid w:val="0066735C"/>
    <w:rsid w:val="006763D2"/>
    <w:rsid w:val="00680C08"/>
    <w:rsid w:val="00686D30"/>
    <w:rsid w:val="006916A0"/>
    <w:rsid w:val="006931B1"/>
    <w:rsid w:val="006A15C0"/>
    <w:rsid w:val="006C3E2A"/>
    <w:rsid w:val="006C642F"/>
    <w:rsid w:val="006D03E5"/>
    <w:rsid w:val="006D5D3E"/>
    <w:rsid w:val="006D7374"/>
    <w:rsid w:val="006E08B3"/>
    <w:rsid w:val="006F068F"/>
    <w:rsid w:val="006F17AC"/>
    <w:rsid w:val="006F1F9E"/>
    <w:rsid w:val="006F25B8"/>
    <w:rsid w:val="006F572E"/>
    <w:rsid w:val="007046D6"/>
    <w:rsid w:val="00705DB0"/>
    <w:rsid w:val="00715370"/>
    <w:rsid w:val="00715CEC"/>
    <w:rsid w:val="00722B57"/>
    <w:rsid w:val="00730F8A"/>
    <w:rsid w:val="00735A8C"/>
    <w:rsid w:val="0074253D"/>
    <w:rsid w:val="0074429B"/>
    <w:rsid w:val="0074435C"/>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B6132"/>
    <w:rsid w:val="007B6E9F"/>
    <w:rsid w:val="007C1216"/>
    <w:rsid w:val="007C1AF7"/>
    <w:rsid w:val="007C579E"/>
    <w:rsid w:val="007C6B9B"/>
    <w:rsid w:val="007E64A4"/>
    <w:rsid w:val="007F2846"/>
    <w:rsid w:val="00805D27"/>
    <w:rsid w:val="00806DCB"/>
    <w:rsid w:val="00821776"/>
    <w:rsid w:val="008321F5"/>
    <w:rsid w:val="00832369"/>
    <w:rsid w:val="00834660"/>
    <w:rsid w:val="00836BC2"/>
    <w:rsid w:val="00841ECD"/>
    <w:rsid w:val="0085156D"/>
    <w:rsid w:val="00852B28"/>
    <w:rsid w:val="0085641B"/>
    <w:rsid w:val="00857136"/>
    <w:rsid w:val="00864644"/>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235E"/>
    <w:rsid w:val="008E2A41"/>
    <w:rsid w:val="008E7846"/>
    <w:rsid w:val="008F02E5"/>
    <w:rsid w:val="008F1CCC"/>
    <w:rsid w:val="008F2967"/>
    <w:rsid w:val="008F4993"/>
    <w:rsid w:val="008F6943"/>
    <w:rsid w:val="00902A21"/>
    <w:rsid w:val="00903EE0"/>
    <w:rsid w:val="0091523F"/>
    <w:rsid w:val="00920330"/>
    <w:rsid w:val="009219D7"/>
    <w:rsid w:val="00922D53"/>
    <w:rsid w:val="00923B70"/>
    <w:rsid w:val="00924482"/>
    <w:rsid w:val="00930237"/>
    <w:rsid w:val="00937C17"/>
    <w:rsid w:val="00940A89"/>
    <w:rsid w:val="00946EA5"/>
    <w:rsid w:val="00947DF7"/>
    <w:rsid w:val="009537C5"/>
    <w:rsid w:val="00963C08"/>
    <w:rsid w:val="009752A5"/>
    <w:rsid w:val="0098482D"/>
    <w:rsid w:val="0098585A"/>
    <w:rsid w:val="009A4CED"/>
    <w:rsid w:val="009A690D"/>
    <w:rsid w:val="009B1D12"/>
    <w:rsid w:val="009B416B"/>
    <w:rsid w:val="009C4BD5"/>
    <w:rsid w:val="009C6C3F"/>
    <w:rsid w:val="009D7B77"/>
    <w:rsid w:val="009E0BB0"/>
    <w:rsid w:val="009E3FBB"/>
    <w:rsid w:val="009F7353"/>
    <w:rsid w:val="00A04F85"/>
    <w:rsid w:val="00A05FA4"/>
    <w:rsid w:val="00A102E4"/>
    <w:rsid w:val="00A12C42"/>
    <w:rsid w:val="00A14DF7"/>
    <w:rsid w:val="00A22D57"/>
    <w:rsid w:val="00A2593E"/>
    <w:rsid w:val="00A3246D"/>
    <w:rsid w:val="00A36FA7"/>
    <w:rsid w:val="00A44DDB"/>
    <w:rsid w:val="00A475B7"/>
    <w:rsid w:val="00A47AF7"/>
    <w:rsid w:val="00A47C3E"/>
    <w:rsid w:val="00A50226"/>
    <w:rsid w:val="00A60BAD"/>
    <w:rsid w:val="00A77F87"/>
    <w:rsid w:val="00A80B5B"/>
    <w:rsid w:val="00A84E36"/>
    <w:rsid w:val="00A964D1"/>
    <w:rsid w:val="00AA0ED0"/>
    <w:rsid w:val="00AC2B40"/>
    <w:rsid w:val="00AC2BB2"/>
    <w:rsid w:val="00AC2C3C"/>
    <w:rsid w:val="00AC512D"/>
    <w:rsid w:val="00AD0083"/>
    <w:rsid w:val="00AD3935"/>
    <w:rsid w:val="00AE350C"/>
    <w:rsid w:val="00AE4091"/>
    <w:rsid w:val="00AE65EB"/>
    <w:rsid w:val="00AE67A7"/>
    <w:rsid w:val="00AF1D94"/>
    <w:rsid w:val="00AF60C5"/>
    <w:rsid w:val="00B009C6"/>
    <w:rsid w:val="00B01548"/>
    <w:rsid w:val="00B12A57"/>
    <w:rsid w:val="00B13EBD"/>
    <w:rsid w:val="00B1611D"/>
    <w:rsid w:val="00B21D29"/>
    <w:rsid w:val="00B25034"/>
    <w:rsid w:val="00B33588"/>
    <w:rsid w:val="00B33863"/>
    <w:rsid w:val="00B37D17"/>
    <w:rsid w:val="00B4175E"/>
    <w:rsid w:val="00B41C85"/>
    <w:rsid w:val="00B44733"/>
    <w:rsid w:val="00B452CE"/>
    <w:rsid w:val="00B54C25"/>
    <w:rsid w:val="00B76B91"/>
    <w:rsid w:val="00B77EB1"/>
    <w:rsid w:val="00B811C6"/>
    <w:rsid w:val="00B855B0"/>
    <w:rsid w:val="00B92E08"/>
    <w:rsid w:val="00BC4A03"/>
    <w:rsid w:val="00BC622A"/>
    <w:rsid w:val="00BE0A78"/>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5152D"/>
    <w:rsid w:val="00C6316B"/>
    <w:rsid w:val="00C634A9"/>
    <w:rsid w:val="00C64586"/>
    <w:rsid w:val="00C70D53"/>
    <w:rsid w:val="00C73765"/>
    <w:rsid w:val="00C73D0B"/>
    <w:rsid w:val="00C772FF"/>
    <w:rsid w:val="00C80137"/>
    <w:rsid w:val="00C801AF"/>
    <w:rsid w:val="00C80256"/>
    <w:rsid w:val="00C94CD4"/>
    <w:rsid w:val="00C9747E"/>
    <w:rsid w:val="00CB10A9"/>
    <w:rsid w:val="00CB6BC0"/>
    <w:rsid w:val="00CC1B7C"/>
    <w:rsid w:val="00CC727F"/>
    <w:rsid w:val="00CF15C3"/>
    <w:rsid w:val="00CF2B6F"/>
    <w:rsid w:val="00CF2F3E"/>
    <w:rsid w:val="00CF58B6"/>
    <w:rsid w:val="00D0062D"/>
    <w:rsid w:val="00D017ED"/>
    <w:rsid w:val="00D040D3"/>
    <w:rsid w:val="00D04C65"/>
    <w:rsid w:val="00D201D2"/>
    <w:rsid w:val="00D224FE"/>
    <w:rsid w:val="00D23139"/>
    <w:rsid w:val="00D425BB"/>
    <w:rsid w:val="00D453FA"/>
    <w:rsid w:val="00D52C20"/>
    <w:rsid w:val="00D540DA"/>
    <w:rsid w:val="00D6493E"/>
    <w:rsid w:val="00D6781D"/>
    <w:rsid w:val="00D7195D"/>
    <w:rsid w:val="00D7301E"/>
    <w:rsid w:val="00D741CE"/>
    <w:rsid w:val="00D750DF"/>
    <w:rsid w:val="00D83AE1"/>
    <w:rsid w:val="00D855D4"/>
    <w:rsid w:val="00D902C9"/>
    <w:rsid w:val="00D93466"/>
    <w:rsid w:val="00DA0C28"/>
    <w:rsid w:val="00DA1124"/>
    <w:rsid w:val="00DB06B8"/>
    <w:rsid w:val="00DB6124"/>
    <w:rsid w:val="00DB750B"/>
    <w:rsid w:val="00DB75B7"/>
    <w:rsid w:val="00DC6E02"/>
    <w:rsid w:val="00DD28CD"/>
    <w:rsid w:val="00DD4DB9"/>
    <w:rsid w:val="00DE02AE"/>
    <w:rsid w:val="00DE39D1"/>
    <w:rsid w:val="00DF1D7F"/>
    <w:rsid w:val="00DF4BE4"/>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8079D"/>
    <w:rsid w:val="00E82665"/>
    <w:rsid w:val="00E83D7A"/>
    <w:rsid w:val="00EB0798"/>
    <w:rsid w:val="00EB28B3"/>
    <w:rsid w:val="00EB40AD"/>
    <w:rsid w:val="00EB586E"/>
    <w:rsid w:val="00EB5FC8"/>
    <w:rsid w:val="00EC463D"/>
    <w:rsid w:val="00EC67F6"/>
    <w:rsid w:val="00EC7A85"/>
    <w:rsid w:val="00ED2922"/>
    <w:rsid w:val="00ED3CAD"/>
    <w:rsid w:val="00ED5A41"/>
    <w:rsid w:val="00EE1DE8"/>
    <w:rsid w:val="00EE22BF"/>
    <w:rsid w:val="00EE27C2"/>
    <w:rsid w:val="00EF4BAD"/>
    <w:rsid w:val="00EF59DC"/>
    <w:rsid w:val="00F01955"/>
    <w:rsid w:val="00F033EC"/>
    <w:rsid w:val="00F04F68"/>
    <w:rsid w:val="00F12670"/>
    <w:rsid w:val="00F14B27"/>
    <w:rsid w:val="00F17CA0"/>
    <w:rsid w:val="00F26FD4"/>
    <w:rsid w:val="00F3148D"/>
    <w:rsid w:val="00F325C5"/>
    <w:rsid w:val="00F32FE0"/>
    <w:rsid w:val="00F35298"/>
    <w:rsid w:val="00F47333"/>
    <w:rsid w:val="00F47E37"/>
    <w:rsid w:val="00F53C07"/>
    <w:rsid w:val="00F54B65"/>
    <w:rsid w:val="00F640B6"/>
    <w:rsid w:val="00F66DF2"/>
    <w:rsid w:val="00F80E40"/>
    <w:rsid w:val="00F848D9"/>
    <w:rsid w:val="00F91EA1"/>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5607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6241F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12A57"/>
    <w:pPr>
      <w:keepNext/>
      <w:keepLines/>
      <w:numPr>
        <w:numId w:val="39"/>
      </w:numPr>
      <w:spacing w:line="220" w:lineRule="atLeast"/>
      <w:ind w:left="357" w:hanging="357"/>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B12A5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C73765"/>
    <w:pPr>
      <w:keepNext/>
      <w:numPr>
        <w:numId w:val="38"/>
      </w:numPr>
      <w:ind w:left="0" w:firstLine="0"/>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
    <w:name w:val="table"/>
    <w:basedOn w:val="Normal"/>
    <w:qFormat/>
    <w:rsid w:val="008F4993"/>
    <w:pPr>
      <w:adjustRightInd w:val="0"/>
      <w:snapToGrid w:val="0"/>
      <w:spacing w:before="0" w:after="0" w:line="240" w:lineRule="auto"/>
    </w:pPr>
    <w:rPr>
      <w:rFonts w:ascii="Times New Roman" w:eastAsia="MS Mincho" w:hAnsi="Times New Roman"/>
      <w:sz w:val="18"/>
      <w:szCs w:val="20"/>
      <w:lang w:eastAsia="ja-JP"/>
    </w:rPr>
  </w:style>
  <w:style w:type="paragraph" w:styleId="ListParagraph">
    <w:name w:val="List Paragraph"/>
    <w:basedOn w:val="Normal"/>
    <w:uiPriority w:val="1"/>
    <w:qFormat/>
    <w:rsid w:val="008F4993"/>
    <w:pPr>
      <w:spacing w:before="0" w:after="0" w:line="240" w:lineRule="auto"/>
      <w:ind w:left="720"/>
      <w:contextualSpacing/>
    </w:pPr>
    <w:rPr>
      <w:rFonts w:ascii="Times New Roman" w:eastAsiaTheme="minorHAnsi" w:hAnsi="Times New Roman"/>
      <w:sz w:val="24"/>
      <w:szCs w:val="24"/>
    </w:rPr>
  </w:style>
  <w:style w:type="paragraph" w:styleId="NoSpacing">
    <w:name w:val="No Spacing"/>
    <w:uiPriority w:val="1"/>
    <w:qFormat/>
    <w:rsid w:val="008F4993"/>
    <w:pPr>
      <w:spacing w:after="0" w:line="240" w:lineRule="auto"/>
    </w:pPr>
    <w:rPr>
      <w:rFonts w:ascii="Times New Roman" w:hAnsi="Times New Roman"/>
      <w:sz w:val="24"/>
    </w:rPr>
  </w:style>
  <w:style w:type="paragraph" w:customStyle="1" w:styleId="mine">
    <w:name w:val="mine"/>
    <w:basedOn w:val="Normal"/>
    <w:next w:val="Normal"/>
    <w:qFormat/>
    <w:rsid w:val="008F4993"/>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Standard">
    <w:name w:val="Standard"/>
    <w:basedOn w:val="Normal"/>
    <w:link w:val="StandardChar"/>
    <w:rsid w:val="008F4993"/>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8F4993"/>
    <w:rPr>
      <w:rFonts w:ascii="Cambria" w:eastAsia="Times New Roman" w:hAnsi="Cambria" w:cs="Times New Roman"/>
      <w:kern w:val="16"/>
      <w:szCs w:val="24"/>
    </w:rPr>
  </w:style>
  <w:style w:type="character" w:customStyle="1" w:styleId="st1">
    <w:name w:val="st1"/>
    <w:basedOn w:val="DefaultParagraphFont"/>
    <w:rsid w:val="006241FD"/>
    <w:rPr>
      <w:b w:val="0"/>
      <w:bCs w:val="0"/>
      <w:color w:val="222222"/>
      <w:sz w:val="27"/>
      <w:szCs w:val="27"/>
    </w:rPr>
  </w:style>
  <w:style w:type="character" w:customStyle="1" w:styleId="Style2">
    <w:name w:val="Style2"/>
    <w:basedOn w:val="DefaultParagraphFont"/>
    <w:uiPriority w:val="1"/>
    <w:rsid w:val="006241FD"/>
    <w:rPr>
      <w:rFonts w:asciiTheme="minorHAnsi" w:hAnsiTheme="minorHAnsi" w:hint="default"/>
      <w:sz w:val="22"/>
    </w:rPr>
  </w:style>
  <w:style w:type="paragraph" w:customStyle="1" w:styleId="Bullet2">
    <w:name w:val="Bullet 2"/>
    <w:basedOn w:val="Normal"/>
    <w:rsid w:val="006241FD"/>
    <w:pPr>
      <w:numPr>
        <w:numId w:val="33"/>
      </w:numPr>
      <w:spacing w:after="0" w:line="240" w:lineRule="auto"/>
    </w:pPr>
    <w:rPr>
      <w:rFonts w:eastAsia="Times New Roman"/>
      <w:kern w:val="24"/>
      <w:szCs w:val="24"/>
      <w:lang w:eastAsia="en-AU"/>
    </w:rPr>
  </w:style>
  <w:style w:type="paragraph" w:customStyle="1" w:styleId="Bullet1">
    <w:name w:val="Bullet 1"/>
    <w:basedOn w:val="Normal"/>
    <w:uiPriority w:val="99"/>
    <w:rsid w:val="006241FD"/>
    <w:pPr>
      <w:numPr>
        <w:numId w:val="34"/>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6241F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qFormat/>
    <w:rsid w:val="00566890"/>
    <w:pPr>
      <w:widowControl w:val="0"/>
      <w:autoSpaceDE w:val="0"/>
      <w:autoSpaceDN w:val="0"/>
      <w:spacing w:before="0" w:after="0" w:line="240" w:lineRule="auto"/>
      <w:ind w:left="118"/>
    </w:pPr>
    <w:rPr>
      <w:rFonts w:ascii="Arial" w:eastAsia="Arial" w:hAnsi="Arial" w:cs="Arial"/>
      <w:lang w:val="en-US"/>
    </w:rPr>
  </w:style>
  <w:style w:type="character" w:customStyle="1" w:styleId="BodyTextChar">
    <w:name w:val="Body Text Char"/>
    <w:basedOn w:val="DefaultParagraphFont"/>
    <w:link w:val="BodyText"/>
    <w:uiPriority w:val="1"/>
    <w:rsid w:val="00566890"/>
    <w:rPr>
      <w:rFonts w:ascii="Arial" w:eastAsia="Arial" w:hAnsi="Arial" w:cs="Arial"/>
      <w:lang w:val="en-US"/>
    </w:rPr>
  </w:style>
  <w:style w:type="character" w:customStyle="1" w:styleId="ilfuvd">
    <w:name w:val="ilfuvd"/>
    <w:basedOn w:val="DefaultParagraphFont"/>
    <w:rsid w:val="008D235E"/>
  </w:style>
  <w:style w:type="character" w:styleId="Emphasis">
    <w:name w:val="Emphasis"/>
    <w:basedOn w:val="DefaultParagraphFont"/>
    <w:uiPriority w:val="20"/>
    <w:qFormat/>
    <w:rsid w:val="009537C5"/>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56077"/>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6241F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12A57"/>
    <w:pPr>
      <w:keepNext/>
      <w:keepLines/>
      <w:numPr>
        <w:numId w:val="39"/>
      </w:numPr>
      <w:spacing w:line="220" w:lineRule="atLeast"/>
      <w:ind w:left="357" w:hanging="357"/>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B12A5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C73765"/>
    <w:pPr>
      <w:keepNext/>
      <w:numPr>
        <w:numId w:val="38"/>
      </w:numPr>
      <w:ind w:left="0" w:firstLine="0"/>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
    <w:name w:val="table"/>
    <w:basedOn w:val="Normal"/>
    <w:qFormat/>
    <w:rsid w:val="008F4993"/>
    <w:pPr>
      <w:adjustRightInd w:val="0"/>
      <w:snapToGrid w:val="0"/>
      <w:spacing w:before="0" w:after="0" w:line="240" w:lineRule="auto"/>
    </w:pPr>
    <w:rPr>
      <w:rFonts w:ascii="Times New Roman" w:eastAsia="MS Mincho" w:hAnsi="Times New Roman"/>
      <w:sz w:val="18"/>
      <w:szCs w:val="20"/>
      <w:lang w:eastAsia="ja-JP"/>
    </w:rPr>
  </w:style>
  <w:style w:type="paragraph" w:styleId="ListParagraph">
    <w:name w:val="List Paragraph"/>
    <w:basedOn w:val="Normal"/>
    <w:uiPriority w:val="1"/>
    <w:qFormat/>
    <w:rsid w:val="008F4993"/>
    <w:pPr>
      <w:spacing w:before="0" w:after="0" w:line="240" w:lineRule="auto"/>
      <w:ind w:left="720"/>
      <w:contextualSpacing/>
    </w:pPr>
    <w:rPr>
      <w:rFonts w:ascii="Times New Roman" w:eastAsiaTheme="minorHAnsi" w:hAnsi="Times New Roman"/>
      <w:sz w:val="24"/>
      <w:szCs w:val="24"/>
    </w:rPr>
  </w:style>
  <w:style w:type="paragraph" w:styleId="NoSpacing">
    <w:name w:val="No Spacing"/>
    <w:uiPriority w:val="1"/>
    <w:qFormat/>
    <w:rsid w:val="008F4993"/>
    <w:pPr>
      <w:spacing w:after="0" w:line="240" w:lineRule="auto"/>
    </w:pPr>
    <w:rPr>
      <w:rFonts w:ascii="Times New Roman" w:hAnsi="Times New Roman"/>
      <w:sz w:val="24"/>
    </w:rPr>
  </w:style>
  <w:style w:type="paragraph" w:customStyle="1" w:styleId="mine">
    <w:name w:val="mine"/>
    <w:basedOn w:val="Normal"/>
    <w:next w:val="Normal"/>
    <w:qFormat/>
    <w:rsid w:val="008F4993"/>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Standard">
    <w:name w:val="Standard"/>
    <w:basedOn w:val="Normal"/>
    <w:link w:val="StandardChar"/>
    <w:rsid w:val="008F4993"/>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8F4993"/>
    <w:rPr>
      <w:rFonts w:ascii="Cambria" w:eastAsia="Times New Roman" w:hAnsi="Cambria" w:cs="Times New Roman"/>
      <w:kern w:val="16"/>
      <w:szCs w:val="24"/>
    </w:rPr>
  </w:style>
  <w:style w:type="character" w:customStyle="1" w:styleId="st1">
    <w:name w:val="st1"/>
    <w:basedOn w:val="DefaultParagraphFont"/>
    <w:rsid w:val="006241FD"/>
    <w:rPr>
      <w:b w:val="0"/>
      <w:bCs w:val="0"/>
      <w:color w:val="222222"/>
      <w:sz w:val="27"/>
      <w:szCs w:val="27"/>
    </w:rPr>
  </w:style>
  <w:style w:type="character" w:customStyle="1" w:styleId="Style2">
    <w:name w:val="Style2"/>
    <w:basedOn w:val="DefaultParagraphFont"/>
    <w:uiPriority w:val="1"/>
    <w:rsid w:val="006241FD"/>
    <w:rPr>
      <w:rFonts w:asciiTheme="minorHAnsi" w:hAnsiTheme="minorHAnsi" w:hint="default"/>
      <w:sz w:val="22"/>
    </w:rPr>
  </w:style>
  <w:style w:type="paragraph" w:customStyle="1" w:styleId="Bullet2">
    <w:name w:val="Bullet 2"/>
    <w:basedOn w:val="Normal"/>
    <w:rsid w:val="006241FD"/>
    <w:pPr>
      <w:numPr>
        <w:numId w:val="33"/>
      </w:numPr>
      <w:spacing w:after="0" w:line="240" w:lineRule="auto"/>
    </w:pPr>
    <w:rPr>
      <w:rFonts w:eastAsia="Times New Roman"/>
      <w:kern w:val="24"/>
      <w:szCs w:val="24"/>
      <w:lang w:eastAsia="en-AU"/>
    </w:rPr>
  </w:style>
  <w:style w:type="paragraph" w:customStyle="1" w:styleId="Bullet1">
    <w:name w:val="Bullet 1"/>
    <w:basedOn w:val="Normal"/>
    <w:uiPriority w:val="99"/>
    <w:rsid w:val="006241FD"/>
    <w:pPr>
      <w:numPr>
        <w:numId w:val="34"/>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6241F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qFormat/>
    <w:rsid w:val="00566890"/>
    <w:pPr>
      <w:widowControl w:val="0"/>
      <w:autoSpaceDE w:val="0"/>
      <w:autoSpaceDN w:val="0"/>
      <w:spacing w:before="0" w:after="0" w:line="240" w:lineRule="auto"/>
      <w:ind w:left="118"/>
    </w:pPr>
    <w:rPr>
      <w:rFonts w:ascii="Arial" w:eastAsia="Arial" w:hAnsi="Arial" w:cs="Arial"/>
      <w:lang w:val="en-US"/>
    </w:rPr>
  </w:style>
  <w:style w:type="character" w:customStyle="1" w:styleId="BodyTextChar">
    <w:name w:val="Body Text Char"/>
    <w:basedOn w:val="DefaultParagraphFont"/>
    <w:link w:val="BodyText"/>
    <w:uiPriority w:val="1"/>
    <w:rsid w:val="00566890"/>
    <w:rPr>
      <w:rFonts w:ascii="Arial" w:eastAsia="Arial" w:hAnsi="Arial" w:cs="Arial"/>
      <w:lang w:val="en-US"/>
    </w:rPr>
  </w:style>
  <w:style w:type="character" w:customStyle="1" w:styleId="ilfuvd">
    <w:name w:val="ilfuvd"/>
    <w:basedOn w:val="DefaultParagraphFont"/>
    <w:rsid w:val="008D235E"/>
  </w:style>
  <w:style w:type="character" w:styleId="Emphasis">
    <w:name w:val="Emphasis"/>
    <w:basedOn w:val="DefaultParagraphFont"/>
    <w:uiPriority w:val="20"/>
    <w:qFormat/>
    <w:rsid w:val="009537C5"/>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98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microsoft.com/office/2007/relationships/hdphoto" Target="media/hdphoto5.wdp"/><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hyperlink" Target="mailto:info@tga.gov.au"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0.wdp"/><Relationship Id="rId46" Type="http://schemas.openxmlformats.org/officeDocument/2006/relationships/hyperlink" Target="https://www.tga.gov.au/product-information-pi" TargetMode="Externa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0.pn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5.png"/><Relationship Id="rId40" Type="http://schemas.microsoft.com/office/2007/relationships/hdphoto" Target="media/hdphoto11.wdp"/><Relationship Id="rId45" Type="http://schemas.openxmlformats.org/officeDocument/2006/relationships/footer" Target="footer2.xm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6.wdp"/><Relationship Id="rId36" Type="http://schemas.microsoft.com/office/2007/relationships/hdphoto" Target="media/hdphoto9.wdp"/><Relationship Id="rId49"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eader" Target="header5.xml"/><Relationship Id="rId52"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en.wikipedia.org/wiki/Angiopoietin_receptor" TargetMode="External"/><Relationship Id="rId22" Type="http://schemas.microsoft.com/office/2007/relationships/hdphoto" Target="media/hdphoto3.wdp"/><Relationship Id="rId27" Type="http://schemas.openxmlformats.org/officeDocument/2006/relationships/image" Target="media/image9.png"/><Relationship Id="rId30" Type="http://schemas.microsoft.com/office/2007/relationships/hdphoto" Target="media/hdphoto7.wdp"/><Relationship Id="rId35" Type="http://schemas.openxmlformats.org/officeDocument/2006/relationships/image" Target="media/image14.png"/><Relationship Id="rId43" Type="http://schemas.openxmlformats.org/officeDocument/2006/relationships/header" Target="header4.xml"/><Relationship Id="rId48"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GDNF_family_of_ligands" TargetMode="External"/><Relationship Id="rId3" Type="http://schemas.openxmlformats.org/officeDocument/2006/relationships/hyperlink" Target="https://en.wikipedia.org/wiki/Gene" TargetMode="External"/><Relationship Id="rId7" Type="http://schemas.openxmlformats.org/officeDocument/2006/relationships/hyperlink" Target="https://en.wikipedia.org/wiki/Receptor_tyrosine_kinase" TargetMode="External"/><Relationship Id="rId2" Type="http://schemas.openxmlformats.org/officeDocument/2006/relationships/hyperlink" Target="https://en.wikipedia.org/wiki/DNA_sequence" TargetMode="External"/><Relationship Id="rId1" Type="http://schemas.openxmlformats.org/officeDocument/2006/relationships/hyperlink" Target="https://en.wikipedia.org/wiki/Transfection" TargetMode="External"/><Relationship Id="rId6" Type="http://schemas.openxmlformats.org/officeDocument/2006/relationships/hyperlink" Target="https://en.wikipedia.org/wiki/Genetic_code" TargetMode="External"/><Relationship Id="rId5" Type="http://schemas.openxmlformats.org/officeDocument/2006/relationships/hyperlink" Target="https://en.wikipedia.org/wiki/Lymphoma" TargetMode="External"/><Relationship Id="rId4" Type="http://schemas.openxmlformats.org/officeDocument/2006/relationships/hyperlink" Target="https://en.wikipedia.org/wiki/3T3_cells" TargetMode="External"/><Relationship Id="rId9" Type="http://schemas.openxmlformats.org/officeDocument/2006/relationships/hyperlink" Target="https://en.wikipedia.org/wiki/Signal_transduc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36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82141-58BD-42F9-9B70-BAD06D67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7</TotalTime>
  <Pages>52</Pages>
  <Words>15868</Words>
  <Characters>90452</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106108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Regorafenib</dc:title>
  <dc:subject>prescription medicines</dc:subject>
  <cp:keywords>AusPARs</cp:keywords>
  <cp:lastPrinted>2019-02-05T23:18:00Z</cp:lastPrinted>
  <dcterms:created xsi:type="dcterms:W3CDTF">2019-06-24T00:03:00Z</dcterms:created>
  <dcterms:modified xsi:type="dcterms:W3CDTF">2019-06-24T00:10:00Z</dcterms:modified>
  <cp:category/>
</cp:coreProperties>
</file>