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AC436" w14:textId="77777777" w:rsidR="00643A07" w:rsidRDefault="00643A07" w:rsidP="00E93049">
      <w:pPr>
        <w:pStyle w:val="Title"/>
      </w:pPr>
      <w:bookmarkStart w:id="0" w:name="_GoBack"/>
      <w:bookmarkEnd w:id="0"/>
    </w:p>
    <w:p w14:paraId="73DE9CF1" w14:textId="77777777" w:rsidR="008B3FBF" w:rsidRDefault="00E93049" w:rsidP="00E93049">
      <w:pPr>
        <w:pStyle w:val="Title"/>
      </w:pPr>
      <w:r w:rsidRPr="00E93049">
        <w:t>PRODUCT INFORMATION</w:t>
      </w:r>
    </w:p>
    <w:p w14:paraId="41143368" w14:textId="77777777" w:rsidR="004663CD" w:rsidRDefault="00E30C70" w:rsidP="009D4F2D">
      <w:pPr>
        <w:pStyle w:val="Subtitle"/>
        <w:spacing w:after="0"/>
        <w:rPr>
          <w:rFonts w:cs="Times New Roman Bold"/>
        </w:rPr>
      </w:pPr>
      <w:r>
        <w:t>CINQAIR</w:t>
      </w:r>
      <w:r w:rsidR="00E93049" w:rsidRPr="00E93049">
        <w:rPr>
          <w:rFonts w:cs="Times New Roman Bold"/>
          <w:vertAlign w:val="superscript"/>
        </w:rPr>
        <w:t>®</w:t>
      </w:r>
      <w:r w:rsidR="00E93049">
        <w:rPr>
          <w:rFonts w:cs="Times New Roman Bold"/>
        </w:rPr>
        <w:t xml:space="preserve"> (</w:t>
      </w:r>
      <w:r w:rsidR="005D0324">
        <w:rPr>
          <w:rFonts w:cs="Times New Roman Bold"/>
        </w:rPr>
        <w:t>reslizumab</w:t>
      </w:r>
      <w:r w:rsidR="00E93049">
        <w:rPr>
          <w:rFonts w:cs="Times New Roman Bold"/>
        </w:rPr>
        <w:t>)</w:t>
      </w:r>
      <w:r w:rsidR="006C0C44">
        <w:rPr>
          <w:rFonts w:cs="Times New Roman Bold"/>
        </w:rPr>
        <w:t xml:space="preserve"> </w:t>
      </w:r>
    </w:p>
    <w:p w14:paraId="3E37BD64" w14:textId="24BACC22" w:rsidR="00E93049" w:rsidRDefault="00E93049" w:rsidP="009D4F2D">
      <w:pPr>
        <w:pStyle w:val="Subtitle"/>
        <w:spacing w:after="0"/>
        <w:rPr>
          <w:rFonts w:cs="Times New Roman Bold"/>
        </w:rPr>
      </w:pPr>
    </w:p>
    <w:p w14:paraId="1837F232" w14:textId="77777777" w:rsidR="00E93049" w:rsidRDefault="00E93049" w:rsidP="006A7779">
      <w:pPr>
        <w:pStyle w:val="Heading1"/>
        <w:spacing w:before="240"/>
      </w:pPr>
      <w:r>
        <w:t>NAME OF THE MEDICINE</w:t>
      </w:r>
    </w:p>
    <w:p w14:paraId="355316D8" w14:textId="46239CF5" w:rsidR="007F4DCC" w:rsidRPr="00EA1EF8" w:rsidRDefault="00E30C70" w:rsidP="00CC3D2D">
      <w:pPr>
        <w:spacing w:after="0"/>
      </w:pPr>
      <w:r w:rsidRPr="00EA1EF8">
        <w:t>CINQAIR</w:t>
      </w:r>
      <w:r w:rsidR="006C0C44" w:rsidRPr="00EA1EF8">
        <w:rPr>
          <w:vertAlign w:val="superscript"/>
        </w:rPr>
        <w:t>®</w:t>
      </w:r>
      <w:r w:rsidR="006C0C44" w:rsidRPr="00EA1EF8">
        <w:t xml:space="preserve"> (reslizumab) </w:t>
      </w:r>
      <w:r w:rsidR="005B12F5" w:rsidRPr="00EA1EF8">
        <w:t>concentrated solution for intravenous</w:t>
      </w:r>
      <w:r w:rsidR="00621DE7" w:rsidRPr="00EA1EF8">
        <w:t xml:space="preserve"> infusion</w:t>
      </w:r>
      <w:r w:rsidR="00370ED9" w:rsidRPr="00EA1EF8">
        <w:t xml:space="preserve"> </w:t>
      </w:r>
      <w:r w:rsidR="00BD13C4" w:rsidRPr="00EA1EF8">
        <w:t>following dilution</w:t>
      </w:r>
      <w:r w:rsidR="006C0C44" w:rsidRPr="00EA1EF8">
        <w:t>.</w:t>
      </w:r>
    </w:p>
    <w:p w14:paraId="4FA03C87" w14:textId="77777777" w:rsidR="00CC3D2D" w:rsidRPr="00EA1EF8" w:rsidRDefault="00CC3D2D" w:rsidP="00CC3D2D">
      <w:pPr>
        <w:spacing w:after="0"/>
      </w:pPr>
    </w:p>
    <w:p w14:paraId="2E6CD13F" w14:textId="77777777" w:rsidR="00B67FE4" w:rsidRPr="00EA1EF8" w:rsidRDefault="00B67FE4" w:rsidP="00CC3D2D">
      <w:pPr>
        <w:spacing w:after="0"/>
      </w:pPr>
      <w:r w:rsidRPr="00EA1EF8">
        <w:t>CAS number:  241473-69-8</w:t>
      </w:r>
    </w:p>
    <w:p w14:paraId="1FA43CAC" w14:textId="77777777" w:rsidR="007F4DCC" w:rsidRPr="006A7779" w:rsidRDefault="007F4DCC" w:rsidP="007F4DCC">
      <w:pPr>
        <w:pStyle w:val="Heading1"/>
      </w:pPr>
      <w:r w:rsidRPr="00EA1EF8">
        <w:t>DESCRIPTION</w:t>
      </w:r>
    </w:p>
    <w:p w14:paraId="7AB863B4" w14:textId="77777777" w:rsidR="007F4DCC" w:rsidRDefault="00B67FE4" w:rsidP="00CC3D2D">
      <w:pPr>
        <w:spacing w:after="0"/>
      </w:pPr>
      <w:r w:rsidRPr="006A7779">
        <w:t>Reslizumab is a humanized</w:t>
      </w:r>
      <w:r>
        <w:t xml:space="preserve"> anti-human interleukin 5 monoclonal antibody (anti IL-5 </w:t>
      </w:r>
      <w:proofErr w:type="spellStart"/>
      <w:r>
        <w:t>mAb</w:t>
      </w:r>
      <w:proofErr w:type="spellEnd"/>
      <w:r>
        <w:t>) of the immunoglobulin-G4-kappa (IgG4/</w:t>
      </w:r>
      <w:r>
        <w:rPr>
          <w:vertAlign w:val="subscript"/>
        </w:rPr>
        <w:t>k</w:t>
      </w:r>
      <w:r>
        <w:t>) isotope</w:t>
      </w:r>
      <w:r w:rsidR="003222D1">
        <w:t>, produced in mouse myeloma cells (NS0) by recombinant DNA technology. Reslizumab</w:t>
      </w:r>
      <w:r>
        <w:t xml:space="preserve"> works by binding to IL-5, thereby preventing binding of IL-5 to the IL-5 receptor and consequently reduces circulating and tissue eosinophils.</w:t>
      </w:r>
    </w:p>
    <w:p w14:paraId="0ED5ECB3" w14:textId="77777777" w:rsidR="00CC3D2D" w:rsidRDefault="00CC3D2D" w:rsidP="00CC3D2D">
      <w:pPr>
        <w:spacing w:after="0"/>
      </w:pPr>
    </w:p>
    <w:p w14:paraId="3FE64FB1" w14:textId="77777777" w:rsidR="00B67FE4" w:rsidRDefault="00B67FE4" w:rsidP="00CC3D2D">
      <w:pPr>
        <w:spacing w:after="0"/>
      </w:pPr>
      <w:r>
        <w:t xml:space="preserve">The theoretical molecular weight for </w:t>
      </w:r>
      <w:proofErr w:type="spellStart"/>
      <w:r>
        <w:t>reslizumab</w:t>
      </w:r>
      <w:proofErr w:type="spellEnd"/>
      <w:r>
        <w:t xml:space="preserve"> is 147 </w:t>
      </w:r>
      <w:proofErr w:type="spellStart"/>
      <w:r>
        <w:t>kDa</w:t>
      </w:r>
      <w:proofErr w:type="spellEnd"/>
      <w:r>
        <w:t>.  The reslizumab antibody is comprised of 2 heavy chains (433 amino acids in each heavy chain) and 2 light chains (214 amino acids in each light chain).</w:t>
      </w:r>
    </w:p>
    <w:p w14:paraId="018C09C7" w14:textId="77777777" w:rsidR="00CC3D2D" w:rsidRDefault="00CC3D2D" w:rsidP="00CC3D2D">
      <w:pPr>
        <w:spacing w:after="0"/>
      </w:pPr>
    </w:p>
    <w:p w14:paraId="745FCDEA" w14:textId="0B4B3171" w:rsidR="002871CA" w:rsidRDefault="00160399" w:rsidP="00CC3D2D">
      <w:pPr>
        <w:spacing w:after="0"/>
      </w:pPr>
      <w:r>
        <w:t xml:space="preserve">Each </w:t>
      </w:r>
      <w:r w:rsidR="006A7779">
        <w:t xml:space="preserve">single-use </w:t>
      </w:r>
      <w:r>
        <w:t xml:space="preserve">vial of </w:t>
      </w:r>
      <w:r w:rsidR="00E30C70">
        <w:t>CINQAIR</w:t>
      </w:r>
      <w:r>
        <w:t xml:space="preserve"> contains </w:t>
      </w:r>
      <w:r w:rsidR="006A7779">
        <w:t>a sterile</w:t>
      </w:r>
      <w:r>
        <w:t xml:space="preserve"> aqueous </w:t>
      </w:r>
      <w:r w:rsidR="00E30C70">
        <w:t xml:space="preserve">concentrated </w:t>
      </w:r>
      <w:r>
        <w:t xml:space="preserve">solution </w:t>
      </w:r>
      <w:r w:rsidR="006A7779">
        <w:t xml:space="preserve">for </w:t>
      </w:r>
      <w:r w:rsidR="00E30C70">
        <w:t xml:space="preserve">dilution before </w:t>
      </w:r>
      <w:r w:rsidR="006A7779">
        <w:t xml:space="preserve">infusion </w:t>
      </w:r>
      <w:r>
        <w:t xml:space="preserve">of </w:t>
      </w:r>
      <w:proofErr w:type="spellStart"/>
      <w:r>
        <w:t>reslizumab</w:t>
      </w:r>
      <w:proofErr w:type="spellEnd"/>
      <w:r>
        <w:t xml:space="preserve"> 10 mg/</w:t>
      </w:r>
      <w:proofErr w:type="spellStart"/>
      <w:r>
        <w:t>mL</w:t>
      </w:r>
      <w:r w:rsidR="006A7779">
        <w:t>.</w:t>
      </w:r>
      <w:proofErr w:type="spellEnd"/>
      <w:r w:rsidR="006A7779">
        <w:t xml:space="preserve"> </w:t>
      </w:r>
    </w:p>
    <w:p w14:paraId="1A6B73CF" w14:textId="77777777" w:rsidR="002871CA" w:rsidRDefault="002871CA" w:rsidP="00CC3D2D">
      <w:pPr>
        <w:spacing w:after="0"/>
      </w:pPr>
    </w:p>
    <w:p w14:paraId="27469D80" w14:textId="5245CD8D" w:rsidR="00160399" w:rsidRDefault="006A7779" w:rsidP="00CC3D2D">
      <w:pPr>
        <w:spacing w:after="0"/>
      </w:pPr>
      <w:r>
        <w:t>Each 10 mL single-use vial contains</w:t>
      </w:r>
      <w:r w:rsidR="003222D1">
        <w:t xml:space="preserve"> </w:t>
      </w:r>
      <w:r>
        <w:t xml:space="preserve">the equivalent of </w:t>
      </w:r>
      <w:r w:rsidR="003222D1">
        <w:t xml:space="preserve">100 mg </w:t>
      </w:r>
      <w:r>
        <w:t>reslizumab</w:t>
      </w:r>
      <w:r w:rsidR="00160399">
        <w:t xml:space="preserve">. </w:t>
      </w:r>
      <w:r w:rsidR="003222D1">
        <w:t xml:space="preserve">Each 10 mL </w:t>
      </w:r>
      <w:r>
        <w:t xml:space="preserve">single-use </w:t>
      </w:r>
      <w:r w:rsidR="003222D1">
        <w:t xml:space="preserve">vial also contains </w:t>
      </w:r>
      <w:r w:rsidR="002871CA">
        <w:t>2.45 mg/mL</w:t>
      </w:r>
      <w:r w:rsidR="003222D1">
        <w:t xml:space="preserve"> sodium</w:t>
      </w:r>
      <w:r w:rsidR="00410CFD">
        <w:t xml:space="preserve"> acetate </w:t>
      </w:r>
      <w:proofErr w:type="spellStart"/>
      <w:r w:rsidR="00410CFD">
        <w:t>trihydrate</w:t>
      </w:r>
      <w:proofErr w:type="spellEnd"/>
      <w:r w:rsidR="002871CA">
        <w:t>, 0.12 mg/mL acetic acid</w:t>
      </w:r>
      <w:r w:rsidR="005D1481">
        <w:t>,</w:t>
      </w:r>
      <w:r w:rsidR="002871CA">
        <w:t xml:space="preserve"> 70 mg/mL sucrose</w:t>
      </w:r>
      <w:r w:rsidR="005D1481">
        <w:t xml:space="preserve"> and water for injections </w:t>
      </w:r>
      <w:proofErr w:type="spellStart"/>
      <w:r w:rsidR="005D1481">
        <w:t>q.s</w:t>
      </w:r>
      <w:proofErr w:type="spellEnd"/>
      <w:r w:rsidR="005D1481">
        <w:t xml:space="preserve">. 10 </w:t>
      </w:r>
      <w:proofErr w:type="spellStart"/>
      <w:r w:rsidR="005D1481">
        <w:t>mL</w:t>
      </w:r>
      <w:r w:rsidR="003222D1">
        <w:t>.</w:t>
      </w:r>
      <w:proofErr w:type="spellEnd"/>
      <w:r w:rsidR="00160399">
        <w:t xml:space="preserve"> </w:t>
      </w:r>
    </w:p>
    <w:p w14:paraId="5B14EE0C" w14:textId="77777777" w:rsidR="007F4DCC" w:rsidRDefault="007F4DCC" w:rsidP="007F4DCC">
      <w:pPr>
        <w:pStyle w:val="Heading1"/>
      </w:pPr>
      <w:r>
        <w:t>PHARMACOLOGY</w:t>
      </w:r>
    </w:p>
    <w:p w14:paraId="4CFD2530" w14:textId="77777777" w:rsidR="0005737B" w:rsidRDefault="0005737B" w:rsidP="0005737B">
      <w:pPr>
        <w:pStyle w:val="Heading2"/>
      </w:pPr>
      <w:r>
        <w:t>Pharmacodynamics</w:t>
      </w:r>
    </w:p>
    <w:p w14:paraId="268892AF" w14:textId="77777777" w:rsidR="003F3545" w:rsidRDefault="003F3545" w:rsidP="00CC3D2D">
      <w:pPr>
        <w:spacing w:after="0"/>
      </w:pPr>
      <w:proofErr w:type="spellStart"/>
      <w:r w:rsidRPr="006B4557">
        <w:t>Pharmacotherapeutic</w:t>
      </w:r>
      <w:proofErr w:type="spellEnd"/>
      <w:r w:rsidRPr="006B4557">
        <w:t xml:space="preserve"> group: </w:t>
      </w:r>
      <w:r>
        <w:t>Drugs for obstructive airway diseases, other systemic drugs for obstructive airway diseases;</w:t>
      </w:r>
      <w:r w:rsidRPr="00770C70">
        <w:t xml:space="preserve"> ATC code: </w:t>
      </w:r>
      <w:r>
        <w:t>R03DX08</w:t>
      </w:r>
      <w:r w:rsidR="00717998">
        <w:t>.</w:t>
      </w:r>
    </w:p>
    <w:p w14:paraId="606FFACB" w14:textId="77777777" w:rsidR="00CC3D2D" w:rsidRDefault="00CC3D2D" w:rsidP="00CC3D2D">
      <w:pPr>
        <w:spacing w:after="0"/>
      </w:pPr>
    </w:p>
    <w:p w14:paraId="42F538EE" w14:textId="77777777" w:rsidR="0005737B" w:rsidRDefault="0005737B" w:rsidP="00CC3D2D">
      <w:pPr>
        <w:pStyle w:val="Heading3"/>
        <w:spacing w:after="120"/>
      </w:pPr>
      <w:r w:rsidRPr="006A7779">
        <w:t>Mechanism of action</w:t>
      </w:r>
    </w:p>
    <w:p w14:paraId="0BA0091E" w14:textId="2AAF28FA" w:rsidR="007F4FEB" w:rsidRDefault="00BF47E7" w:rsidP="009D4F2D">
      <w:pPr>
        <w:overflowPunct w:val="0"/>
        <w:autoSpaceDE w:val="0"/>
        <w:autoSpaceDN w:val="0"/>
        <w:adjustRightInd w:val="0"/>
        <w:spacing w:after="0"/>
        <w:textAlignment w:val="baseline"/>
        <w:rPr>
          <w:color w:val="000000"/>
          <w:szCs w:val="24"/>
        </w:rPr>
      </w:pPr>
      <w:r w:rsidRPr="00727E9E">
        <w:rPr>
          <w:color w:val="000000"/>
          <w:szCs w:val="24"/>
        </w:rPr>
        <w:t xml:space="preserve">Reslizumab </w:t>
      </w:r>
      <w:r>
        <w:rPr>
          <w:color w:val="000000"/>
          <w:szCs w:val="24"/>
        </w:rPr>
        <w:t xml:space="preserve">is a humanized monoclonal antibody (IgG4, kappa) against the human interleukin-5 (IL-5). Reslizumab </w:t>
      </w:r>
      <w:r w:rsidRPr="00727E9E">
        <w:rPr>
          <w:color w:val="000000"/>
          <w:szCs w:val="24"/>
        </w:rPr>
        <w:t>binds specifically to IL-5 and interferes with IL-5 binding to its cell-surface receptor.  IL-5 is a key cytokine responsible for the differentiation, maturation, recruitment and activa</w:t>
      </w:r>
      <w:r>
        <w:rPr>
          <w:color w:val="000000"/>
          <w:szCs w:val="24"/>
        </w:rPr>
        <w:t>tion of human eosinophils.</w:t>
      </w:r>
      <w:r w:rsidRPr="00727E9E">
        <w:rPr>
          <w:color w:val="000000"/>
          <w:szCs w:val="24"/>
        </w:rPr>
        <w:t xml:space="preserve">  </w:t>
      </w:r>
      <w:r w:rsidR="007F4FEB">
        <w:rPr>
          <w:color w:val="000000"/>
          <w:szCs w:val="24"/>
        </w:rPr>
        <w:t>Reslizumab binds human IL-5 with picomolar affinity blocking its biological function, thereby reducing the survival and activity of eosinophils.</w:t>
      </w:r>
    </w:p>
    <w:p w14:paraId="53AD4BC3" w14:textId="158A8923" w:rsidR="00BF47E7" w:rsidRDefault="00BF47E7" w:rsidP="009D4F2D">
      <w:pPr>
        <w:overflowPunct w:val="0"/>
        <w:autoSpaceDE w:val="0"/>
        <w:autoSpaceDN w:val="0"/>
        <w:adjustRightInd w:val="0"/>
        <w:spacing w:after="0"/>
        <w:textAlignment w:val="baseline"/>
        <w:rPr>
          <w:szCs w:val="24"/>
        </w:rPr>
      </w:pPr>
      <w:r w:rsidRPr="00782698">
        <w:rPr>
          <w:szCs w:val="24"/>
        </w:rPr>
        <w:t xml:space="preserve"> </w:t>
      </w:r>
    </w:p>
    <w:p w14:paraId="3A40495D" w14:textId="77777777" w:rsidR="0005737B" w:rsidRDefault="0005737B" w:rsidP="00CC3D2D">
      <w:pPr>
        <w:pStyle w:val="Heading3"/>
        <w:spacing w:after="120"/>
      </w:pPr>
      <w:r w:rsidRPr="00245DB9">
        <w:t>Pharmacodynamic effects</w:t>
      </w:r>
    </w:p>
    <w:p w14:paraId="4F4B403D" w14:textId="77777777" w:rsidR="003F3545" w:rsidRPr="00CC3D2D" w:rsidRDefault="003F3545" w:rsidP="003F3545">
      <w:pPr>
        <w:autoSpaceDE w:val="0"/>
        <w:autoSpaceDN w:val="0"/>
        <w:adjustRightInd w:val="0"/>
        <w:rPr>
          <w:u w:val="single"/>
        </w:rPr>
      </w:pPr>
      <w:r w:rsidRPr="00CC3D2D">
        <w:rPr>
          <w:u w:val="single"/>
        </w:rPr>
        <w:t>Effect on sputum eosinophils</w:t>
      </w:r>
    </w:p>
    <w:p w14:paraId="14EC3AA1" w14:textId="015590B4" w:rsidR="0005737B" w:rsidRDefault="003F3545" w:rsidP="006A7779">
      <w:pPr>
        <w:spacing w:after="0"/>
      </w:pPr>
      <w:r w:rsidRPr="00770C70">
        <w:lastRenderedPageBreak/>
        <w:t xml:space="preserve">The effect of </w:t>
      </w:r>
      <w:r>
        <w:t>reslizumab</w:t>
      </w:r>
      <w:r w:rsidRPr="00770C70">
        <w:t xml:space="preserve"> in patients with asthma and elevated sputum eosinophil counts (at least 3%) was evaluated in a 15</w:t>
      </w:r>
      <w:r>
        <w:noBreakHyphen/>
      </w:r>
      <w:r w:rsidRPr="00770C70">
        <w:t>week</w:t>
      </w:r>
      <w:r>
        <w:t>,</w:t>
      </w:r>
      <w:r w:rsidRPr="00770C70">
        <w:t xml:space="preserve"> </w:t>
      </w:r>
      <w:r>
        <w:t>phase 2</w:t>
      </w:r>
      <w:r w:rsidRPr="00A23BA7">
        <w:t>,</w:t>
      </w:r>
      <w:r>
        <w:t xml:space="preserve"> randomised, double</w:t>
      </w:r>
      <w:r>
        <w:noBreakHyphen/>
      </w:r>
      <w:r w:rsidRPr="00386CC4">
        <w:t xml:space="preserve">blind, </w:t>
      </w:r>
      <w:r>
        <w:t>placebo</w:t>
      </w:r>
      <w:r>
        <w:noBreakHyphen/>
        <w:t xml:space="preserve">controlled </w:t>
      </w:r>
      <w:r w:rsidRPr="00770C70">
        <w:t>clinical study with</w:t>
      </w:r>
      <w:r w:rsidRPr="003A62B9">
        <w:t xml:space="preserve"> </w:t>
      </w:r>
      <w:r>
        <w:t>reslizumab</w:t>
      </w:r>
      <w:r w:rsidRPr="00770C70">
        <w:t xml:space="preserve"> 3</w:t>
      </w:r>
      <w:r>
        <w:t> </w:t>
      </w:r>
      <w:r w:rsidRPr="00770C70">
        <w:t xml:space="preserve">mg/kg. </w:t>
      </w:r>
      <w:r w:rsidRPr="0057326E">
        <w:t>Sputum eosinophils wer</w:t>
      </w:r>
      <w:r>
        <w:t xml:space="preserve">e measured in a subset of </w:t>
      </w:r>
      <w:r w:rsidRPr="00A23BA7">
        <w:t>38</w:t>
      </w:r>
      <w:r>
        <w:t> adult patients at the end of therapy.</w:t>
      </w:r>
      <w:r w:rsidRPr="0057326E">
        <w:t xml:space="preserve"> </w:t>
      </w:r>
      <w:r w:rsidRPr="00770C70">
        <w:t>In this study, the percentage of sputum eosinophils was reduced from</w:t>
      </w:r>
      <w:r w:rsidR="007F4FEB">
        <w:t xml:space="preserve"> a mean</w:t>
      </w:r>
      <w:r w:rsidRPr="00770C70">
        <w:t xml:space="preserve"> baseline </w:t>
      </w:r>
      <w:r w:rsidR="007F4FEB">
        <w:t xml:space="preserve">value of 17.4% (standard deviation: 15.9%) </w:t>
      </w:r>
      <w:r w:rsidRPr="00770C70">
        <w:t xml:space="preserve">by 82% </w:t>
      </w:r>
      <w:r w:rsidR="007F4FEB">
        <w:t xml:space="preserve">at the end of therapy in </w:t>
      </w:r>
      <w:r w:rsidRPr="00770C70">
        <w:t xml:space="preserve">the </w:t>
      </w:r>
      <w:r>
        <w:t>reslizumab</w:t>
      </w:r>
      <w:r w:rsidRPr="0019147E">
        <w:t xml:space="preserve"> </w:t>
      </w:r>
      <w:r w:rsidRPr="00770C70">
        <w:t>group</w:t>
      </w:r>
      <w:r w:rsidR="00485824">
        <w:t>.</w:t>
      </w:r>
    </w:p>
    <w:p w14:paraId="3218ED54" w14:textId="77777777" w:rsidR="00485824" w:rsidRDefault="00485824" w:rsidP="006A7779">
      <w:pPr>
        <w:spacing w:after="0"/>
      </w:pPr>
    </w:p>
    <w:p w14:paraId="78C7D225" w14:textId="77777777" w:rsidR="003F3545" w:rsidRPr="00CC3D2D" w:rsidRDefault="003F3545" w:rsidP="003F3545">
      <w:pPr>
        <w:autoSpaceDE w:val="0"/>
        <w:autoSpaceDN w:val="0"/>
        <w:adjustRightInd w:val="0"/>
        <w:rPr>
          <w:u w:val="single"/>
        </w:rPr>
      </w:pPr>
      <w:r w:rsidRPr="00CC3D2D">
        <w:rPr>
          <w:u w:val="single"/>
        </w:rPr>
        <w:t>Effect on blood eosinophils</w:t>
      </w:r>
    </w:p>
    <w:p w14:paraId="24D5C22A" w14:textId="1C2E11DD" w:rsidR="003F3545" w:rsidRDefault="003F3545" w:rsidP="00CC3D2D">
      <w:pPr>
        <w:autoSpaceDE w:val="0"/>
        <w:autoSpaceDN w:val="0"/>
        <w:adjustRightInd w:val="0"/>
        <w:spacing w:after="0"/>
      </w:pPr>
      <w:r w:rsidRPr="00770C70">
        <w:t xml:space="preserve">In clinical </w:t>
      </w:r>
      <w:r>
        <w:t>S</w:t>
      </w:r>
      <w:r w:rsidRPr="00770C70">
        <w:t>tudies</w:t>
      </w:r>
      <w:r>
        <w:t xml:space="preserve"> I and II</w:t>
      </w:r>
      <w:r w:rsidRPr="00770C70">
        <w:t xml:space="preserve"> with </w:t>
      </w:r>
      <w:r>
        <w:t xml:space="preserve">reslizumab </w:t>
      </w:r>
      <w:r w:rsidRPr="00770C70">
        <w:t>3</w:t>
      </w:r>
      <w:r>
        <w:t> </w:t>
      </w:r>
      <w:r w:rsidRPr="00770C70">
        <w:t xml:space="preserve">mg/kg, decreases in blood eosinophil counts were seen </w:t>
      </w:r>
      <w:r w:rsidRPr="007823DC">
        <w:t>following the first dose and maintained through 52</w:t>
      </w:r>
      <w:r>
        <w:t> </w:t>
      </w:r>
      <w:r w:rsidRPr="007823DC">
        <w:t>weeks of treatment with no</w:t>
      </w:r>
      <w:r w:rsidR="00DA7370">
        <w:t xml:space="preserve"> </w:t>
      </w:r>
      <w:r w:rsidRPr="007823DC">
        <w:t xml:space="preserve">signs of tachyphylaxis. </w:t>
      </w:r>
      <w:r>
        <w:t>In pooled data, mean eosinophil counts were 655 µL</w:t>
      </w:r>
      <w:r w:rsidRPr="00720428">
        <w:rPr>
          <w:vertAlign w:val="superscript"/>
        </w:rPr>
        <w:t>-1</w:t>
      </w:r>
      <w:r>
        <w:t xml:space="preserve"> (n=476) and 654 µL</w:t>
      </w:r>
      <w:r w:rsidRPr="003B0778">
        <w:rPr>
          <w:vertAlign w:val="superscript"/>
        </w:rPr>
        <w:t>-1</w:t>
      </w:r>
      <w:r w:rsidRPr="0057326E">
        <w:t xml:space="preserve"> (n=477) for the placebo and reslizumab treatment gr</w:t>
      </w:r>
      <w:r>
        <w:t>oups at baseline and were 514 µL</w:t>
      </w:r>
      <w:r w:rsidRPr="003B0778">
        <w:rPr>
          <w:vertAlign w:val="superscript"/>
        </w:rPr>
        <w:t>-1</w:t>
      </w:r>
      <w:r>
        <w:t xml:space="preserve"> (n=405) and 61 µL</w:t>
      </w:r>
      <w:r w:rsidRPr="003B0778">
        <w:rPr>
          <w:vertAlign w:val="superscript"/>
        </w:rPr>
        <w:t>-1</w:t>
      </w:r>
      <w:r>
        <w:t xml:space="preserve"> (n=407) at week 52</w:t>
      </w:r>
      <w:r w:rsidRPr="0057326E">
        <w:t>. Eosinophils began to return towards baseline in those resl</w:t>
      </w:r>
      <w:r>
        <w:t>izumab patients completing a 90</w:t>
      </w:r>
      <w:r>
        <w:noBreakHyphen/>
      </w:r>
      <w:r w:rsidRPr="0057326E">
        <w:t>day fo</w:t>
      </w:r>
      <w:r>
        <w:t>llow</w:t>
      </w:r>
      <w:r>
        <w:noBreakHyphen/>
        <w:t>up assessment (394 µL</w:t>
      </w:r>
      <w:r w:rsidRPr="003B0778">
        <w:rPr>
          <w:vertAlign w:val="superscript"/>
        </w:rPr>
        <w:t>-1</w:t>
      </w:r>
      <w:r>
        <w:t xml:space="preserve">, n=36). </w:t>
      </w:r>
      <w:r w:rsidRPr="0057326E">
        <w:t>Decreases in blood eosinophils were related to reslizumab levels.</w:t>
      </w:r>
    </w:p>
    <w:p w14:paraId="37868E50" w14:textId="77777777" w:rsidR="00CC3D2D" w:rsidRDefault="00CC3D2D" w:rsidP="00CC3D2D">
      <w:pPr>
        <w:autoSpaceDE w:val="0"/>
        <w:autoSpaceDN w:val="0"/>
        <w:adjustRightInd w:val="0"/>
        <w:spacing w:after="0"/>
      </w:pPr>
    </w:p>
    <w:p w14:paraId="400E70B9" w14:textId="77777777" w:rsidR="0005737B" w:rsidRDefault="003F3545" w:rsidP="00CC3D2D">
      <w:pPr>
        <w:autoSpaceDE w:val="0"/>
        <w:autoSpaceDN w:val="0"/>
        <w:adjustRightInd w:val="0"/>
        <w:spacing w:after="0"/>
      </w:pPr>
      <w:r w:rsidRPr="004C44B0">
        <w:t>The reduction in blood eosinophil counts by reslizumab in anti</w:t>
      </w:r>
      <w:r>
        <w:noBreakHyphen/>
      </w:r>
      <w:r w:rsidRPr="004C44B0">
        <w:t>reslizumab antibody</w:t>
      </w:r>
      <w:r>
        <w:noBreakHyphen/>
      </w:r>
      <w:r w:rsidRPr="004C44B0">
        <w:t>positive patients was not different from patients who were anti</w:t>
      </w:r>
      <w:r>
        <w:noBreakHyphen/>
      </w:r>
      <w:r w:rsidRPr="004C44B0">
        <w:t>reslizumab antibody</w:t>
      </w:r>
      <w:r>
        <w:noBreakHyphen/>
      </w:r>
      <w:r w:rsidRPr="004C44B0">
        <w:t>negative.</w:t>
      </w:r>
    </w:p>
    <w:p w14:paraId="05074500" w14:textId="77777777" w:rsidR="00CC3D2D" w:rsidRDefault="00CC3D2D" w:rsidP="00CC3D2D">
      <w:pPr>
        <w:autoSpaceDE w:val="0"/>
        <w:autoSpaceDN w:val="0"/>
        <w:adjustRightInd w:val="0"/>
        <w:spacing w:after="0"/>
      </w:pPr>
    </w:p>
    <w:p w14:paraId="5B11D617" w14:textId="77777777" w:rsidR="007F4DCC" w:rsidRPr="00805520" w:rsidRDefault="007F4DCC" w:rsidP="007F4DCC">
      <w:pPr>
        <w:pStyle w:val="Heading2"/>
      </w:pPr>
      <w:r w:rsidRPr="009D4F2D">
        <w:t>Pharmacokinetics</w:t>
      </w:r>
    </w:p>
    <w:p w14:paraId="564F1AFA" w14:textId="77777777" w:rsidR="007F4DCC" w:rsidRDefault="004A28F9" w:rsidP="00CC3D2D">
      <w:pPr>
        <w:pStyle w:val="Heading3"/>
        <w:spacing w:after="120"/>
      </w:pPr>
      <w:r w:rsidRPr="009D4F2D">
        <w:t>Absorption</w:t>
      </w:r>
    </w:p>
    <w:p w14:paraId="33CAD4DE" w14:textId="77777777" w:rsidR="0005737B" w:rsidRDefault="0005737B" w:rsidP="0005737B">
      <w:pPr>
        <w:pStyle w:val="Default"/>
        <w:rPr>
          <w:color w:val="auto"/>
        </w:rPr>
      </w:pPr>
      <w:r>
        <w:rPr>
          <w:color w:val="auto"/>
        </w:rPr>
        <w:t>The pharmacokinetic characteristics of reslizumab are similar in healthy adults and in adolescents and adults with asthma. Inter-individual variability in peak and overall exposure is approximately 20-30%.</w:t>
      </w:r>
    </w:p>
    <w:p w14:paraId="07551FA5" w14:textId="77777777" w:rsidR="0005737B" w:rsidRDefault="0005737B" w:rsidP="0005737B">
      <w:pPr>
        <w:pStyle w:val="Default"/>
        <w:rPr>
          <w:color w:val="auto"/>
        </w:rPr>
      </w:pPr>
    </w:p>
    <w:p w14:paraId="67ABABFF" w14:textId="5C6C9465" w:rsidR="0005737B" w:rsidRDefault="0005737B" w:rsidP="0005737B">
      <w:pPr>
        <w:pStyle w:val="Default"/>
      </w:pPr>
      <w:r>
        <w:t>Peak</w:t>
      </w:r>
      <w:r w:rsidRPr="00156E48">
        <w:t xml:space="preserve"> serum concentrations</w:t>
      </w:r>
      <w:r w:rsidR="00E800B0">
        <w:t xml:space="preserve"> </w:t>
      </w:r>
      <w:proofErr w:type="gramStart"/>
      <w:r w:rsidR="00E800B0">
        <w:t>of 80 µg/mL</w:t>
      </w:r>
      <w:proofErr w:type="gramEnd"/>
      <w:r w:rsidRPr="00156E48">
        <w:t xml:space="preserve"> are typically observed at the end of the infusion. Serum reslizumab concentrations generally decline from peak in a biphasic manner. </w:t>
      </w:r>
      <w:r>
        <w:t>Following multiple doses, serum concentrations of reslizumab accumulate</w:t>
      </w:r>
      <w:r w:rsidRPr="00156E48">
        <w:t xml:space="preserve"> approximately 1.5 to 1.9</w:t>
      </w:r>
      <w:r>
        <w:t>-fold.</w:t>
      </w:r>
      <w:r w:rsidR="00E800B0">
        <w:t xml:space="preserve"> No apparent deviation from dose-proportional reslizumab pharmacokinetics was noted over the dose range of 0.3 mg/kg to 3.0 mg/kg. Inter-individual variability in peak and overall exposure is approximately 20-30%.</w:t>
      </w:r>
    </w:p>
    <w:p w14:paraId="3FF2322C" w14:textId="77777777" w:rsidR="0005737B" w:rsidRPr="00727E9E" w:rsidRDefault="0005737B" w:rsidP="0005737B">
      <w:pPr>
        <w:pStyle w:val="Default"/>
        <w:rPr>
          <w:color w:val="auto"/>
        </w:rPr>
      </w:pPr>
    </w:p>
    <w:p w14:paraId="497BA856" w14:textId="01AA630A" w:rsidR="0005737B" w:rsidRDefault="00E800B0" w:rsidP="0005737B">
      <w:pPr>
        <w:pStyle w:val="Default"/>
      </w:pPr>
      <w:r>
        <w:t xml:space="preserve">Based on population pharmacokinetic [pop-PK] analysis, systemic </w:t>
      </w:r>
      <w:r w:rsidR="0005737B">
        <w:t xml:space="preserve">exposure to reslizumab appears to be unaffected by </w:t>
      </w:r>
      <w:r w:rsidR="0005737B" w:rsidRPr="00684094">
        <w:t>circulating anti</w:t>
      </w:r>
      <w:r w:rsidR="0005737B">
        <w:noBreakHyphen/>
      </w:r>
      <w:r w:rsidR="0005737B" w:rsidRPr="00684094">
        <w:t>drug antibodies</w:t>
      </w:r>
      <w:r w:rsidR="0005737B">
        <w:t>.</w:t>
      </w:r>
    </w:p>
    <w:p w14:paraId="27F5C9BB" w14:textId="77777777" w:rsidR="004A28F9" w:rsidRDefault="004A28F9" w:rsidP="00CC3D2D">
      <w:pPr>
        <w:spacing w:after="0"/>
      </w:pPr>
    </w:p>
    <w:p w14:paraId="1B48C049" w14:textId="77777777" w:rsidR="004A28F9" w:rsidRDefault="004A28F9" w:rsidP="00CC3D2D">
      <w:pPr>
        <w:pStyle w:val="Heading3"/>
        <w:spacing w:after="120"/>
      </w:pPr>
      <w:r w:rsidRPr="009D4F2D">
        <w:t>Distribution</w:t>
      </w:r>
    </w:p>
    <w:p w14:paraId="51057095" w14:textId="018D8725" w:rsidR="0005737B" w:rsidRDefault="0005737B" w:rsidP="0005737B">
      <w:pPr>
        <w:pStyle w:val="Default"/>
      </w:pPr>
      <w:r w:rsidRPr="00156E48">
        <w:t xml:space="preserve">Reslizumab has a </w:t>
      </w:r>
      <w:r w:rsidR="00BF47E7">
        <w:t xml:space="preserve">volume of distribution </w:t>
      </w:r>
      <w:r w:rsidRPr="00156E48">
        <w:t xml:space="preserve">of approximately </w:t>
      </w:r>
      <w:r w:rsidR="00E800B0">
        <w:t>5</w:t>
      </w:r>
      <w:r w:rsidRPr="00156E48">
        <w:t xml:space="preserve"> L, suggesting minimal distribution to the extravascular tissues.</w:t>
      </w:r>
    </w:p>
    <w:p w14:paraId="58BCE995" w14:textId="77777777" w:rsidR="004A28F9" w:rsidRDefault="004A28F9" w:rsidP="00CC3D2D">
      <w:pPr>
        <w:spacing w:after="0"/>
      </w:pPr>
    </w:p>
    <w:p w14:paraId="6259D0B8" w14:textId="77777777" w:rsidR="004A28F9" w:rsidRDefault="004A28F9" w:rsidP="00CC3D2D">
      <w:pPr>
        <w:pStyle w:val="Heading3"/>
        <w:spacing w:after="120"/>
      </w:pPr>
      <w:r w:rsidRPr="009D4F2D">
        <w:t>Metabolism</w:t>
      </w:r>
    </w:p>
    <w:p w14:paraId="2AA909A6" w14:textId="77777777" w:rsidR="0005737B" w:rsidRDefault="0005737B" w:rsidP="0005737B">
      <w:pPr>
        <w:pStyle w:val="Default"/>
      </w:pPr>
      <w:r w:rsidRPr="00156E48">
        <w:t>Similar to other monoclonal antibodies, reslizumab is believed to be degraded by enzymatic proteolysis into small peptides and amino acids. As reslizumab binds to a soluble target, linear non-target-mediated clearance is expected.</w:t>
      </w:r>
    </w:p>
    <w:p w14:paraId="31E3E0E0" w14:textId="77777777" w:rsidR="004A28F9" w:rsidRDefault="004A28F9" w:rsidP="00CC3D2D">
      <w:pPr>
        <w:spacing w:after="0"/>
      </w:pPr>
    </w:p>
    <w:p w14:paraId="0E36B45D" w14:textId="77777777" w:rsidR="004A28F9" w:rsidRDefault="004A28F9" w:rsidP="00CC3D2D">
      <w:pPr>
        <w:pStyle w:val="Heading3"/>
        <w:spacing w:after="120"/>
      </w:pPr>
      <w:r w:rsidRPr="009D4F2D">
        <w:t>Excretion</w:t>
      </w:r>
    </w:p>
    <w:p w14:paraId="63B21618" w14:textId="77777777" w:rsidR="0005737B" w:rsidRDefault="0005737B" w:rsidP="0005737B">
      <w:pPr>
        <w:pStyle w:val="Default"/>
        <w:rPr>
          <w:u w:val="single"/>
        </w:rPr>
      </w:pPr>
      <w:r>
        <w:t>Reslizumab clearance is approximately 7 mL/hour. R</w:t>
      </w:r>
      <w:r w:rsidRPr="00156E48">
        <w:t>eslizumab has a long half-life</w:t>
      </w:r>
      <w:r w:rsidR="00BF47E7">
        <w:t xml:space="preserve"> of</w:t>
      </w:r>
      <w:r w:rsidRPr="00156E48">
        <w:t xml:space="preserve"> approximately </w:t>
      </w:r>
      <w:r w:rsidR="00BF47E7">
        <w:t>24 days</w:t>
      </w:r>
      <w:r>
        <w:t xml:space="preserve">. </w:t>
      </w:r>
    </w:p>
    <w:p w14:paraId="42068D68" w14:textId="77777777" w:rsidR="004A28F9" w:rsidRDefault="004A28F9" w:rsidP="00CC3D2D">
      <w:pPr>
        <w:spacing w:after="0"/>
      </w:pPr>
    </w:p>
    <w:p w14:paraId="106B9DD5" w14:textId="7A4FFF69" w:rsidR="0005737B" w:rsidRDefault="0005737B" w:rsidP="00CC3D2D">
      <w:pPr>
        <w:pStyle w:val="Heading2"/>
      </w:pPr>
      <w:r w:rsidRPr="00717998">
        <w:t>Special Patient Populations</w:t>
      </w:r>
    </w:p>
    <w:p w14:paraId="0B92C00F" w14:textId="77777777" w:rsidR="00BF47E7" w:rsidRDefault="00BF47E7" w:rsidP="00CC3D2D">
      <w:pPr>
        <w:spacing w:after="0"/>
      </w:pPr>
      <w:r>
        <w:t>The population pharmacokinetics of reslizumab were analysed to evaluate the effects of demographic characteristics. Limited data suggest that no dose adjustments are necessary for race or gender.</w:t>
      </w:r>
    </w:p>
    <w:p w14:paraId="17DEC476" w14:textId="77777777" w:rsidR="00CC3D2D" w:rsidRPr="00BF47E7" w:rsidRDefault="00CC3D2D" w:rsidP="00CC3D2D">
      <w:pPr>
        <w:spacing w:after="0"/>
      </w:pPr>
    </w:p>
    <w:p w14:paraId="5823A182" w14:textId="4A9CED0E" w:rsidR="0005737B" w:rsidRDefault="0005737B" w:rsidP="00CC3D2D">
      <w:pPr>
        <w:pStyle w:val="Heading3"/>
        <w:spacing w:after="120"/>
      </w:pPr>
      <w:r w:rsidRPr="00717998">
        <w:t xml:space="preserve">Elderly </w:t>
      </w:r>
      <w:r w:rsidR="00BF60E6">
        <w:t>Patients</w:t>
      </w:r>
    </w:p>
    <w:p w14:paraId="6F498D38" w14:textId="77777777" w:rsidR="00BF60E6" w:rsidRDefault="00BF60E6" w:rsidP="00485824">
      <w:r>
        <w:t>Based on the similar reslizumab exposure observed in patients older than 65 years of age as compared to patients 18 to &lt;65 years of age, no dose adjustment is recommended.</w:t>
      </w:r>
    </w:p>
    <w:p w14:paraId="32C65C03" w14:textId="7EC4A31F" w:rsidR="00BF60E6" w:rsidRDefault="00BF60E6" w:rsidP="00BD06E7">
      <w:pPr>
        <w:spacing w:after="0"/>
      </w:pPr>
      <w:r>
        <w:t>There are limited data available on the use of reslizumab in patients older than 75 years of age.</w:t>
      </w:r>
    </w:p>
    <w:p w14:paraId="626831AD" w14:textId="77777777" w:rsidR="0005737B" w:rsidRPr="0005737B" w:rsidRDefault="0005737B" w:rsidP="00CC3D2D">
      <w:pPr>
        <w:spacing w:after="0"/>
      </w:pPr>
    </w:p>
    <w:p w14:paraId="52469988" w14:textId="77777777" w:rsidR="00BF47E7" w:rsidRDefault="00BF47E7" w:rsidP="00CC3D2D">
      <w:pPr>
        <w:pStyle w:val="Heading3"/>
        <w:spacing w:after="120"/>
      </w:pPr>
      <w:r w:rsidRPr="009D4F2D">
        <w:t>Hepatic Impairment</w:t>
      </w:r>
    </w:p>
    <w:p w14:paraId="797CCE85" w14:textId="15A1266C" w:rsidR="006A7779" w:rsidRDefault="00BF60E6">
      <w:pPr>
        <w:autoSpaceDE w:val="0"/>
        <w:autoSpaceDN w:val="0"/>
        <w:adjustRightInd w:val="0"/>
        <w:spacing w:after="0"/>
        <w:rPr>
          <w:sz w:val="22"/>
        </w:rPr>
      </w:pPr>
      <w:r w:rsidRPr="00485824">
        <w:t>Reslizumab has not been studied in patients with hepatic impairment. No direct effect of hepatic function on the pharmacokinetics of reslizumab is expected because antibodies are principally cleared by catabolism. In a pop-PK analysis, patients were classified by baseline liver function levels. Most patients had normal liver function tests (n=766, approximately 95%) or mildly increased liver function tests (either, in the first case, total bilirubin above the upper limit of normal [ULN] but less than or equal to 1.5 times the ULN or, in the second case, aspartate aminotransferase greater than the ULN and total bilirubin less than or equal to the ULN; n=35, approximately 4%)</w:t>
      </w:r>
      <w:r w:rsidR="005D4079">
        <w:t xml:space="preserve"> at baseline</w:t>
      </w:r>
      <w:r w:rsidRPr="00485824">
        <w:t>. No significant difference in the pharmacokinetics of reslizumab was observed across these groups.</w:t>
      </w:r>
      <w:r>
        <w:rPr>
          <w:sz w:val="22"/>
        </w:rPr>
        <w:t xml:space="preserve"> </w:t>
      </w:r>
    </w:p>
    <w:p w14:paraId="719D1079" w14:textId="77777777" w:rsidR="00BD06E7" w:rsidRDefault="00BD06E7" w:rsidP="00BD06E7">
      <w:pPr>
        <w:spacing w:after="0"/>
      </w:pPr>
    </w:p>
    <w:p w14:paraId="440BB588" w14:textId="77777777" w:rsidR="00BF47E7" w:rsidRDefault="00BF47E7" w:rsidP="00CC3D2D">
      <w:pPr>
        <w:pStyle w:val="Heading3"/>
        <w:spacing w:after="120"/>
      </w:pPr>
      <w:r w:rsidRPr="009D4F2D">
        <w:t>Renal Impairment</w:t>
      </w:r>
    </w:p>
    <w:p w14:paraId="10400DEE" w14:textId="624BA7CB" w:rsidR="00BF47E7" w:rsidRPr="00420400" w:rsidRDefault="00BF60E6" w:rsidP="00CC3D2D">
      <w:pPr>
        <w:autoSpaceDE w:val="0"/>
        <w:autoSpaceDN w:val="0"/>
        <w:adjustRightInd w:val="0"/>
        <w:spacing w:after="0"/>
        <w:rPr>
          <w:szCs w:val="24"/>
        </w:rPr>
      </w:pPr>
      <w:r w:rsidRPr="00485824">
        <w:t xml:space="preserve">Reslizumab is an antibody with a molecular mass of 147 </w:t>
      </w:r>
      <w:proofErr w:type="spellStart"/>
      <w:r w:rsidRPr="00485824">
        <w:t>kDaltons</w:t>
      </w:r>
      <w:proofErr w:type="spellEnd"/>
      <w:r w:rsidRPr="00485824">
        <w:t xml:space="preserve"> and is therefore not expected to be excreted in urine. Most patients in the population pharmacokinetic analysis had normal renal function (estimated glomerular filtration rate [</w:t>
      </w:r>
      <w:proofErr w:type="spellStart"/>
      <w:r w:rsidRPr="00485824">
        <w:t>eGFR</w:t>
      </w:r>
      <w:proofErr w:type="spellEnd"/>
      <w:r w:rsidRPr="00485824">
        <w:t>]) greater than or equal to 90 mL/min/1.73 m2; n=294, approximately 37%), mild renal impairment (</w:t>
      </w:r>
      <w:proofErr w:type="spellStart"/>
      <w:r w:rsidRPr="00485824">
        <w:t>eGFR</w:t>
      </w:r>
      <w:proofErr w:type="spellEnd"/>
      <w:r w:rsidRPr="00485824">
        <w:t xml:space="preserve"> 60-89 mL/min/1.73 m2; n=446, approximately 56%), or moderate renal impairment (</w:t>
      </w:r>
      <w:proofErr w:type="spellStart"/>
      <w:r w:rsidRPr="00485824">
        <w:t>eGFR</w:t>
      </w:r>
      <w:proofErr w:type="spellEnd"/>
      <w:r w:rsidRPr="00485824">
        <w:t xml:space="preserve"> 30-59 mL/min/1.73 m2; n=63, approximately 8%)</w:t>
      </w:r>
      <w:r w:rsidR="005D4079">
        <w:t xml:space="preserve"> at baseline</w:t>
      </w:r>
      <w:r w:rsidRPr="00485824">
        <w:t>. No noteworthy differences in the pharmacokinetics of reslizumab were observed across these renal function groups. Reslizumab has not been studied in patients with severe renal impairment or end stage renal disease.</w:t>
      </w:r>
      <w:r>
        <w:rPr>
          <w:sz w:val="22"/>
        </w:rPr>
        <w:t xml:space="preserve"> </w:t>
      </w:r>
    </w:p>
    <w:p w14:paraId="0463300B" w14:textId="77777777" w:rsidR="004A28F9" w:rsidRDefault="006D2093" w:rsidP="004A28F9">
      <w:pPr>
        <w:pStyle w:val="Heading1"/>
      </w:pPr>
      <w:r>
        <w:t>CLINICAL TRIALS</w:t>
      </w:r>
    </w:p>
    <w:p w14:paraId="6C36BB88" w14:textId="77777777" w:rsidR="003F3545" w:rsidRPr="00CC3D2D" w:rsidRDefault="003F3545" w:rsidP="00485824">
      <w:pPr>
        <w:pStyle w:val="Heading2"/>
      </w:pPr>
      <w:r w:rsidRPr="00CC3D2D">
        <w:t>Overview of clinical efficacy</w:t>
      </w:r>
    </w:p>
    <w:p w14:paraId="0AC550B0" w14:textId="6BE898EC" w:rsidR="003F3545" w:rsidRDefault="003F3545" w:rsidP="00CC3D2D">
      <w:pPr>
        <w:keepNext/>
        <w:autoSpaceDE w:val="0"/>
        <w:autoSpaceDN w:val="0"/>
        <w:adjustRightInd w:val="0"/>
        <w:spacing w:after="0"/>
      </w:pPr>
      <w:r w:rsidRPr="007823DC">
        <w:t xml:space="preserve">The efficacy of </w:t>
      </w:r>
      <w:r w:rsidR="00E30C70">
        <w:t>CINQAIR</w:t>
      </w:r>
      <w:r w:rsidRPr="0019147E">
        <w:t xml:space="preserve"> </w:t>
      </w:r>
      <w:r w:rsidRPr="00DD0A9F">
        <w:t>in eosinophilic asthma</w:t>
      </w:r>
      <w:r>
        <w:t xml:space="preserve"> (blood eosinophils ≥400 µL</w:t>
      </w:r>
      <w:r w:rsidRPr="00BB4F4D">
        <w:rPr>
          <w:vertAlign w:val="superscript"/>
        </w:rPr>
        <w:t>-1</w:t>
      </w:r>
      <w:r>
        <w:t xml:space="preserve">) </w:t>
      </w:r>
      <w:r w:rsidRPr="007823DC">
        <w:t>w</w:t>
      </w:r>
      <w:r>
        <w:t>as</w:t>
      </w:r>
      <w:r w:rsidRPr="007823DC">
        <w:t xml:space="preserve"> evaluated in </w:t>
      </w:r>
      <w:r>
        <w:t>three</w:t>
      </w:r>
      <w:r w:rsidRPr="007823DC">
        <w:t xml:space="preserve"> randomi</w:t>
      </w:r>
      <w:r>
        <w:t>s</w:t>
      </w:r>
      <w:r w:rsidRPr="007823DC">
        <w:t>ed, double</w:t>
      </w:r>
      <w:r>
        <w:noBreakHyphen/>
      </w:r>
      <w:r w:rsidRPr="007823DC">
        <w:t>blind, placebo</w:t>
      </w:r>
      <w:r w:rsidRPr="007823DC">
        <w:noBreakHyphen/>
        <w:t>controlled studies (</w:t>
      </w:r>
      <w:r w:rsidRPr="008D5CBB">
        <w:t>Studies I</w:t>
      </w:r>
      <w:r>
        <w:t xml:space="preserve"> to </w:t>
      </w:r>
      <w:r w:rsidRPr="008D5CBB">
        <w:t>III)</w:t>
      </w:r>
      <w:r w:rsidRPr="007823DC">
        <w:t xml:space="preserve"> from 16 to 52</w:t>
      </w:r>
      <w:r>
        <w:t> </w:t>
      </w:r>
      <w:r w:rsidRPr="007823DC">
        <w:t>weeks</w:t>
      </w:r>
      <w:r>
        <w:t>’</w:t>
      </w:r>
      <w:r w:rsidRPr="007823DC">
        <w:t xml:space="preserve"> duration involving </w:t>
      </w:r>
      <w:r>
        <w:t>1268</w:t>
      </w:r>
      <w:r w:rsidRPr="008D5CBB">
        <w:t> patients</w:t>
      </w:r>
      <w:r w:rsidRPr="007823DC">
        <w:t xml:space="preserve"> with moderate to severe asthma inadequately controlled on medium to high</w:t>
      </w:r>
      <w:r>
        <w:noBreakHyphen/>
      </w:r>
      <w:r w:rsidRPr="007823DC">
        <w:t>dose inhaled corticosteroids</w:t>
      </w:r>
      <w:r>
        <w:t xml:space="preserve"> (ICS</w:t>
      </w:r>
      <w:r w:rsidR="007F4FEB">
        <w:t xml:space="preserve">; at least 440 </w:t>
      </w:r>
      <w:r w:rsidR="007F4FEB">
        <w:rPr>
          <w:rFonts w:cs="Times New Roman"/>
        </w:rPr>
        <w:t>µ</w:t>
      </w:r>
      <w:r w:rsidR="007F4FEB">
        <w:t>g of fluticasone propionate daily or equivalent</w:t>
      </w:r>
      <w:r>
        <w:t>)</w:t>
      </w:r>
      <w:r w:rsidRPr="007823DC">
        <w:t xml:space="preserve"> with or without other controllers</w:t>
      </w:r>
      <w:r>
        <w:t>;</w:t>
      </w:r>
      <w:r w:rsidRPr="007823DC">
        <w:t xml:space="preserve"> prior stable allergen immunotherapy was allowed.</w:t>
      </w:r>
    </w:p>
    <w:p w14:paraId="4EB52237" w14:textId="77777777" w:rsidR="00CC3D2D" w:rsidRPr="00770C70" w:rsidRDefault="00CC3D2D" w:rsidP="00CC3D2D">
      <w:pPr>
        <w:keepNext/>
        <w:autoSpaceDE w:val="0"/>
        <w:autoSpaceDN w:val="0"/>
        <w:adjustRightInd w:val="0"/>
        <w:spacing w:after="0"/>
      </w:pPr>
    </w:p>
    <w:p w14:paraId="15EE6D40" w14:textId="5F57C8B7" w:rsidR="003F3545" w:rsidRDefault="003F3545" w:rsidP="00CC3D2D">
      <w:pPr>
        <w:autoSpaceDE w:val="0"/>
        <w:autoSpaceDN w:val="0"/>
        <w:adjustRightInd w:val="0"/>
        <w:spacing w:after="0"/>
      </w:pPr>
      <w:r w:rsidRPr="007823DC">
        <w:t>S</w:t>
      </w:r>
      <w:r w:rsidRPr="00EE5111">
        <w:t>tudies I and II were 52</w:t>
      </w:r>
      <w:r w:rsidRPr="00EE5111">
        <w:noBreakHyphen/>
        <w:t>week, randomi</w:t>
      </w:r>
      <w:r>
        <w:t>s</w:t>
      </w:r>
      <w:r w:rsidRPr="00EE5111">
        <w:t>ed, placebo</w:t>
      </w:r>
      <w:r w:rsidRPr="00EE5111">
        <w:noBreakHyphen/>
        <w:t xml:space="preserve">controlled studies in patients who had at least one asthma exacerbation requiring systemic corticosteroid use over the past twelve months. Maintenance </w:t>
      </w:r>
      <w:r w:rsidR="00B2319C">
        <w:t>oral corticosteroids (</w:t>
      </w:r>
      <w:r w:rsidRPr="00EE5111">
        <w:t>OCS</w:t>
      </w:r>
      <w:r w:rsidR="007F4FEB">
        <w:t xml:space="preserve">; </w:t>
      </w:r>
      <w:r w:rsidRPr="00EE5111">
        <w:t>up to 10 mg per day prednisone equivalent</w:t>
      </w:r>
      <w:r w:rsidR="007F4FEB">
        <w:t xml:space="preserve">) </w:t>
      </w:r>
      <w:r>
        <w:lastRenderedPageBreak/>
        <w:t>were allowed</w:t>
      </w:r>
      <w:r w:rsidRPr="00EE5111">
        <w:t xml:space="preserve">. The patients received either 13 doses of placebo or </w:t>
      </w:r>
      <w:r w:rsidR="00E30C70">
        <w:t>CINQAIR</w:t>
      </w:r>
      <w:r w:rsidRPr="00EE5111">
        <w:t xml:space="preserve"> 3 mg/kg administered once every 4 weeks.</w:t>
      </w:r>
    </w:p>
    <w:p w14:paraId="76E1FED9" w14:textId="77777777" w:rsidR="00CC3D2D" w:rsidRPr="00EE5111" w:rsidRDefault="00CC3D2D" w:rsidP="00CC3D2D">
      <w:pPr>
        <w:autoSpaceDE w:val="0"/>
        <w:autoSpaceDN w:val="0"/>
        <w:adjustRightInd w:val="0"/>
        <w:spacing w:after="0"/>
      </w:pPr>
    </w:p>
    <w:p w14:paraId="56FAB96D" w14:textId="71C8165F" w:rsidR="003F3545" w:rsidRPr="008D6DE8" w:rsidRDefault="003F3545" w:rsidP="00CC3D2D">
      <w:pPr>
        <w:autoSpaceDE w:val="0"/>
        <w:autoSpaceDN w:val="0"/>
        <w:adjustRightInd w:val="0"/>
        <w:spacing w:after="0"/>
      </w:pPr>
      <w:r w:rsidRPr="00EE5111">
        <w:t>Study III was a 16</w:t>
      </w:r>
      <w:r w:rsidRPr="00EE5111">
        <w:noBreakHyphen/>
        <w:t>week, randomised, placebo</w:t>
      </w:r>
      <w:r w:rsidRPr="00EE5111">
        <w:noBreakHyphen/>
        <w:t>controlled study. There was</w:t>
      </w:r>
      <w:r w:rsidRPr="00684560">
        <w:t xml:space="preserve"> no prior asthma exacerbation requirement for this study.</w:t>
      </w:r>
      <w:r w:rsidRPr="008D5CBB">
        <w:rPr>
          <w:iCs/>
        </w:rPr>
        <w:t xml:space="preserve"> Maintenance OCS was not allowed</w:t>
      </w:r>
      <w:r w:rsidRPr="008D6DE8">
        <w:t xml:space="preserve">. </w:t>
      </w:r>
      <w:r>
        <w:t xml:space="preserve">The patients received either four doses of placebo or </w:t>
      </w:r>
      <w:r w:rsidR="00E30C70">
        <w:t>CINQAIR</w:t>
      </w:r>
      <w:r w:rsidRPr="00BD1936">
        <w:t xml:space="preserve"> 0.3 mg/kg or 3 mg/kg administered once every 4 weeks</w:t>
      </w:r>
      <w:r>
        <w:t>.</w:t>
      </w:r>
    </w:p>
    <w:p w14:paraId="6BA86855" w14:textId="77777777" w:rsidR="004A28F9" w:rsidRDefault="004A28F9" w:rsidP="004A28F9"/>
    <w:p w14:paraId="36B767A3" w14:textId="3862A68A" w:rsidR="003F3545" w:rsidRPr="003F3545" w:rsidRDefault="00507F4B" w:rsidP="00F43F8D">
      <w:pPr>
        <w:pStyle w:val="Caption"/>
        <w:keepNext/>
        <w:spacing w:after="120"/>
        <w:rPr>
          <w:b/>
          <w:i w:val="0"/>
          <w:color w:val="auto"/>
          <w:sz w:val="22"/>
        </w:rPr>
      </w:pPr>
      <w:r>
        <w:rPr>
          <w:rFonts w:ascii="ZWAdobeF" w:hAnsi="ZWAdobeF" w:cs="ZWAdobeF"/>
          <w:i w:val="0"/>
          <w:color w:val="auto"/>
          <w:sz w:val="2"/>
          <w:szCs w:val="2"/>
        </w:rPr>
        <w:t>0B</w:t>
      </w:r>
      <w:r w:rsidR="003F3545" w:rsidRPr="003F3545">
        <w:rPr>
          <w:b/>
          <w:i w:val="0"/>
          <w:color w:val="auto"/>
          <w:sz w:val="22"/>
        </w:rPr>
        <w:t xml:space="preserve">Table </w:t>
      </w:r>
      <w:r w:rsidR="003F3545" w:rsidRPr="003F3545">
        <w:rPr>
          <w:b/>
          <w:i w:val="0"/>
          <w:color w:val="auto"/>
          <w:sz w:val="22"/>
        </w:rPr>
        <w:fldChar w:fldCharType="begin"/>
      </w:r>
      <w:r w:rsidR="003F3545" w:rsidRPr="003F3545">
        <w:rPr>
          <w:b/>
          <w:i w:val="0"/>
          <w:color w:val="auto"/>
          <w:sz w:val="22"/>
        </w:rPr>
        <w:instrText xml:space="preserve"> SEQ Table \* ARABIC </w:instrText>
      </w:r>
      <w:r w:rsidR="003F3545" w:rsidRPr="003F3545">
        <w:rPr>
          <w:b/>
          <w:i w:val="0"/>
          <w:color w:val="auto"/>
          <w:sz w:val="22"/>
        </w:rPr>
        <w:fldChar w:fldCharType="separate"/>
      </w:r>
      <w:r>
        <w:rPr>
          <w:b/>
          <w:i w:val="0"/>
          <w:noProof/>
          <w:color w:val="auto"/>
          <w:sz w:val="22"/>
        </w:rPr>
        <w:t>1</w:t>
      </w:r>
      <w:r w:rsidR="003F3545" w:rsidRPr="003F3545">
        <w:rPr>
          <w:b/>
          <w:i w:val="0"/>
          <w:color w:val="auto"/>
          <w:sz w:val="22"/>
        </w:rPr>
        <w:fldChar w:fldCharType="end"/>
      </w:r>
      <w:r w:rsidR="003F3545" w:rsidRPr="003F3545">
        <w:rPr>
          <w:b/>
          <w:i w:val="0"/>
          <w:color w:val="auto"/>
          <w:sz w:val="22"/>
        </w:rPr>
        <w:t xml:space="preserve"> </w:t>
      </w:r>
      <w:r w:rsidR="003F3545" w:rsidRPr="003F3545">
        <w:rPr>
          <w:b/>
          <w:i w:val="0"/>
          <w:color w:val="auto"/>
          <w:sz w:val="22"/>
        </w:rPr>
        <w:tab/>
        <w:t>Demographics and baseline characteristics of asthma studies I-III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2245"/>
        <w:gridCol w:w="2246"/>
        <w:gridCol w:w="2246"/>
      </w:tblGrid>
      <w:tr w:rsidR="003F3545" w:rsidRPr="003F3545" w14:paraId="2E9481AC" w14:textId="77777777" w:rsidTr="00A72FD1">
        <w:tc>
          <w:tcPr>
            <w:tcW w:w="2279" w:type="dxa"/>
            <w:tcBorders>
              <w:left w:val="nil"/>
              <w:bottom w:val="single" w:sz="4" w:space="0" w:color="auto"/>
              <w:right w:val="nil"/>
            </w:tcBorders>
            <w:shd w:val="clear" w:color="auto" w:fill="auto"/>
          </w:tcPr>
          <w:p w14:paraId="350F9B47"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Demographic or baseline characteristic</w:t>
            </w:r>
          </w:p>
        </w:tc>
        <w:tc>
          <w:tcPr>
            <w:tcW w:w="2245" w:type="dxa"/>
            <w:tcBorders>
              <w:left w:val="nil"/>
              <w:bottom w:val="single" w:sz="4" w:space="0" w:color="auto"/>
              <w:right w:val="nil"/>
            </w:tcBorders>
            <w:shd w:val="clear" w:color="auto" w:fill="auto"/>
          </w:tcPr>
          <w:p w14:paraId="32C4BC13"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Study I</w:t>
            </w:r>
          </w:p>
          <w:p w14:paraId="406FF11B"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(n=489)</w:t>
            </w:r>
          </w:p>
        </w:tc>
        <w:tc>
          <w:tcPr>
            <w:tcW w:w="2246" w:type="dxa"/>
            <w:tcBorders>
              <w:left w:val="nil"/>
              <w:bottom w:val="single" w:sz="4" w:space="0" w:color="auto"/>
              <w:right w:val="nil"/>
            </w:tcBorders>
            <w:shd w:val="clear" w:color="auto" w:fill="auto"/>
          </w:tcPr>
          <w:p w14:paraId="2181683C"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Study II</w:t>
            </w:r>
          </w:p>
          <w:p w14:paraId="7C888DF3"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(n=464)</w:t>
            </w:r>
          </w:p>
        </w:tc>
        <w:tc>
          <w:tcPr>
            <w:tcW w:w="2246" w:type="dxa"/>
            <w:tcBorders>
              <w:left w:val="nil"/>
              <w:bottom w:val="single" w:sz="4" w:space="0" w:color="auto"/>
              <w:right w:val="nil"/>
            </w:tcBorders>
            <w:shd w:val="clear" w:color="auto" w:fill="auto"/>
          </w:tcPr>
          <w:p w14:paraId="1DBAA069"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Study III</w:t>
            </w:r>
          </w:p>
          <w:p w14:paraId="1BA89CCF" w14:textId="77777777" w:rsidR="003F3545" w:rsidRPr="003F3545" w:rsidRDefault="003F3545" w:rsidP="003F3545">
            <w:pPr>
              <w:keepNext/>
              <w:keepLines/>
              <w:autoSpaceDE w:val="0"/>
              <w:autoSpaceDN w:val="0"/>
              <w:adjustRightInd w:val="0"/>
              <w:spacing w:after="0"/>
              <w:jc w:val="center"/>
              <w:rPr>
                <w:rFonts w:cs="Times New Roman"/>
                <w:b/>
                <w:sz w:val="20"/>
                <w:szCs w:val="20"/>
              </w:rPr>
            </w:pPr>
            <w:r w:rsidRPr="003F3545">
              <w:rPr>
                <w:rFonts w:cs="Times New Roman"/>
                <w:b/>
                <w:sz w:val="20"/>
                <w:szCs w:val="20"/>
              </w:rPr>
              <w:t>(n=315)</w:t>
            </w:r>
          </w:p>
        </w:tc>
      </w:tr>
      <w:tr w:rsidR="003F3545" w:rsidRPr="003F3545" w14:paraId="43D959F5" w14:textId="77777777" w:rsidTr="00A72FD1">
        <w:tc>
          <w:tcPr>
            <w:tcW w:w="2279" w:type="dxa"/>
            <w:tcBorders>
              <w:left w:val="nil"/>
              <w:bottom w:val="nil"/>
              <w:right w:val="nil"/>
            </w:tcBorders>
            <w:shd w:val="clear" w:color="auto" w:fill="auto"/>
          </w:tcPr>
          <w:p w14:paraId="123F8079"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Demographics</w:t>
            </w:r>
          </w:p>
        </w:tc>
        <w:tc>
          <w:tcPr>
            <w:tcW w:w="2245" w:type="dxa"/>
            <w:tcBorders>
              <w:left w:val="nil"/>
              <w:bottom w:val="nil"/>
              <w:right w:val="nil"/>
            </w:tcBorders>
            <w:shd w:val="clear" w:color="auto" w:fill="auto"/>
          </w:tcPr>
          <w:p w14:paraId="29306565" w14:textId="77777777" w:rsidR="003F3545" w:rsidRPr="003F3545" w:rsidRDefault="003F3545" w:rsidP="003F3545">
            <w:pPr>
              <w:keepNext/>
              <w:keepLines/>
              <w:autoSpaceDE w:val="0"/>
              <w:autoSpaceDN w:val="0"/>
              <w:adjustRightInd w:val="0"/>
              <w:spacing w:after="0"/>
              <w:rPr>
                <w:rFonts w:cs="Times New Roman"/>
                <w:sz w:val="20"/>
                <w:szCs w:val="20"/>
              </w:rPr>
            </w:pPr>
          </w:p>
        </w:tc>
        <w:tc>
          <w:tcPr>
            <w:tcW w:w="2246" w:type="dxa"/>
            <w:tcBorders>
              <w:left w:val="nil"/>
              <w:bottom w:val="nil"/>
              <w:right w:val="nil"/>
            </w:tcBorders>
            <w:shd w:val="clear" w:color="auto" w:fill="auto"/>
          </w:tcPr>
          <w:p w14:paraId="40AE9973" w14:textId="77777777" w:rsidR="003F3545" w:rsidRPr="003F3545" w:rsidRDefault="003F3545" w:rsidP="003F3545">
            <w:pPr>
              <w:keepNext/>
              <w:keepLines/>
              <w:autoSpaceDE w:val="0"/>
              <w:autoSpaceDN w:val="0"/>
              <w:adjustRightInd w:val="0"/>
              <w:spacing w:after="0"/>
              <w:rPr>
                <w:rFonts w:cs="Times New Roman"/>
                <w:sz w:val="20"/>
                <w:szCs w:val="20"/>
              </w:rPr>
            </w:pPr>
          </w:p>
        </w:tc>
        <w:tc>
          <w:tcPr>
            <w:tcW w:w="2246" w:type="dxa"/>
            <w:tcBorders>
              <w:left w:val="nil"/>
              <w:bottom w:val="nil"/>
              <w:right w:val="nil"/>
            </w:tcBorders>
            <w:shd w:val="clear" w:color="auto" w:fill="auto"/>
          </w:tcPr>
          <w:p w14:paraId="0541AEBE" w14:textId="77777777" w:rsidR="003F3545" w:rsidRPr="003F3545" w:rsidRDefault="003F3545" w:rsidP="003F3545">
            <w:pPr>
              <w:keepNext/>
              <w:keepLines/>
              <w:autoSpaceDE w:val="0"/>
              <w:autoSpaceDN w:val="0"/>
              <w:adjustRightInd w:val="0"/>
              <w:spacing w:after="0"/>
              <w:rPr>
                <w:rFonts w:cs="Times New Roman"/>
                <w:sz w:val="20"/>
                <w:szCs w:val="20"/>
              </w:rPr>
            </w:pPr>
          </w:p>
        </w:tc>
      </w:tr>
      <w:tr w:rsidR="003F3545" w:rsidRPr="003F3545" w14:paraId="076E19EA" w14:textId="77777777" w:rsidTr="00A72FD1">
        <w:tc>
          <w:tcPr>
            <w:tcW w:w="2279" w:type="dxa"/>
            <w:tcBorders>
              <w:top w:val="nil"/>
              <w:left w:val="nil"/>
              <w:bottom w:val="nil"/>
              <w:right w:val="nil"/>
            </w:tcBorders>
            <w:shd w:val="clear" w:color="auto" w:fill="auto"/>
          </w:tcPr>
          <w:p w14:paraId="045CE8EB" w14:textId="77777777" w:rsidR="003F3545" w:rsidRPr="003F3545" w:rsidRDefault="003F3545" w:rsidP="003F3545">
            <w:pPr>
              <w:keepNext/>
              <w:keepLines/>
              <w:autoSpaceDE w:val="0"/>
              <w:autoSpaceDN w:val="0"/>
              <w:adjustRightInd w:val="0"/>
              <w:spacing w:after="0"/>
              <w:ind w:firstLine="142"/>
              <w:rPr>
                <w:rFonts w:cs="Times New Roman"/>
                <w:sz w:val="20"/>
                <w:szCs w:val="20"/>
              </w:rPr>
            </w:pPr>
            <w:r w:rsidRPr="003F3545">
              <w:rPr>
                <w:rFonts w:cs="Times New Roman"/>
                <w:sz w:val="20"/>
                <w:szCs w:val="20"/>
              </w:rPr>
              <w:t>Age, mean in years</w:t>
            </w:r>
          </w:p>
        </w:tc>
        <w:tc>
          <w:tcPr>
            <w:tcW w:w="2245" w:type="dxa"/>
            <w:tcBorders>
              <w:top w:val="nil"/>
              <w:left w:val="nil"/>
              <w:bottom w:val="nil"/>
              <w:right w:val="nil"/>
            </w:tcBorders>
            <w:shd w:val="clear" w:color="auto" w:fill="auto"/>
          </w:tcPr>
          <w:p w14:paraId="7B603BD6"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46.65</w:t>
            </w:r>
          </w:p>
        </w:tc>
        <w:tc>
          <w:tcPr>
            <w:tcW w:w="2246" w:type="dxa"/>
            <w:tcBorders>
              <w:top w:val="nil"/>
              <w:left w:val="nil"/>
              <w:bottom w:val="nil"/>
              <w:right w:val="nil"/>
            </w:tcBorders>
            <w:shd w:val="clear" w:color="auto" w:fill="auto"/>
          </w:tcPr>
          <w:p w14:paraId="35E470FC"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46.97</w:t>
            </w:r>
          </w:p>
        </w:tc>
        <w:tc>
          <w:tcPr>
            <w:tcW w:w="2246" w:type="dxa"/>
            <w:tcBorders>
              <w:top w:val="nil"/>
              <w:left w:val="nil"/>
              <w:bottom w:val="nil"/>
              <w:right w:val="nil"/>
            </w:tcBorders>
            <w:shd w:val="clear" w:color="auto" w:fill="auto"/>
          </w:tcPr>
          <w:p w14:paraId="17CF5149"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43.89</w:t>
            </w:r>
          </w:p>
        </w:tc>
      </w:tr>
      <w:tr w:rsidR="003F3545" w:rsidRPr="003F3545" w14:paraId="06980F19" w14:textId="77777777" w:rsidTr="00A72FD1">
        <w:tc>
          <w:tcPr>
            <w:tcW w:w="2279" w:type="dxa"/>
            <w:tcBorders>
              <w:top w:val="nil"/>
              <w:left w:val="nil"/>
              <w:bottom w:val="single" w:sz="4" w:space="0" w:color="auto"/>
              <w:right w:val="nil"/>
            </w:tcBorders>
            <w:shd w:val="clear" w:color="auto" w:fill="auto"/>
          </w:tcPr>
          <w:p w14:paraId="25E4E8EC"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Asthma duration, mean in years</w:t>
            </w:r>
          </w:p>
        </w:tc>
        <w:tc>
          <w:tcPr>
            <w:tcW w:w="2245" w:type="dxa"/>
            <w:tcBorders>
              <w:top w:val="nil"/>
              <w:left w:val="nil"/>
              <w:bottom w:val="single" w:sz="4" w:space="0" w:color="auto"/>
              <w:right w:val="nil"/>
            </w:tcBorders>
            <w:shd w:val="clear" w:color="auto" w:fill="auto"/>
          </w:tcPr>
          <w:p w14:paraId="59C86114"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19.28</w:t>
            </w:r>
          </w:p>
        </w:tc>
        <w:tc>
          <w:tcPr>
            <w:tcW w:w="2246" w:type="dxa"/>
            <w:tcBorders>
              <w:top w:val="nil"/>
              <w:left w:val="nil"/>
              <w:bottom w:val="single" w:sz="4" w:space="0" w:color="auto"/>
              <w:right w:val="nil"/>
            </w:tcBorders>
            <w:shd w:val="clear" w:color="auto" w:fill="auto"/>
          </w:tcPr>
          <w:p w14:paraId="774110B5"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18.41</w:t>
            </w:r>
          </w:p>
        </w:tc>
        <w:tc>
          <w:tcPr>
            <w:tcW w:w="2246" w:type="dxa"/>
            <w:tcBorders>
              <w:top w:val="nil"/>
              <w:left w:val="nil"/>
              <w:bottom w:val="single" w:sz="4" w:space="0" w:color="auto"/>
              <w:right w:val="nil"/>
            </w:tcBorders>
            <w:shd w:val="clear" w:color="auto" w:fill="auto"/>
          </w:tcPr>
          <w:p w14:paraId="162AE4CB"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20.35</w:t>
            </w:r>
          </w:p>
        </w:tc>
      </w:tr>
      <w:tr w:rsidR="003F3545" w:rsidRPr="003F3545" w14:paraId="0CFD35F9" w14:textId="77777777" w:rsidTr="00A72FD1">
        <w:tc>
          <w:tcPr>
            <w:tcW w:w="2279" w:type="dxa"/>
            <w:tcBorders>
              <w:left w:val="nil"/>
              <w:bottom w:val="nil"/>
              <w:right w:val="nil"/>
            </w:tcBorders>
            <w:shd w:val="clear" w:color="auto" w:fill="auto"/>
          </w:tcPr>
          <w:p w14:paraId="1287F346"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Pulmonary function tests</w:t>
            </w:r>
          </w:p>
        </w:tc>
        <w:tc>
          <w:tcPr>
            <w:tcW w:w="2245" w:type="dxa"/>
            <w:tcBorders>
              <w:left w:val="nil"/>
              <w:bottom w:val="nil"/>
              <w:right w:val="nil"/>
            </w:tcBorders>
            <w:shd w:val="clear" w:color="auto" w:fill="auto"/>
          </w:tcPr>
          <w:p w14:paraId="048C78F5"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1C090F25"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2296C480"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r>
      <w:tr w:rsidR="003F3545" w:rsidRPr="003F3545" w14:paraId="6C4A7E7F" w14:textId="77777777" w:rsidTr="00A72FD1">
        <w:tc>
          <w:tcPr>
            <w:tcW w:w="2279" w:type="dxa"/>
            <w:tcBorders>
              <w:top w:val="nil"/>
              <w:left w:val="nil"/>
              <w:bottom w:val="single" w:sz="4" w:space="0" w:color="auto"/>
              <w:right w:val="nil"/>
            </w:tcBorders>
            <w:shd w:val="clear" w:color="auto" w:fill="auto"/>
          </w:tcPr>
          <w:p w14:paraId="690C5245"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Pre-bronchodilator FEV</w:t>
            </w:r>
            <w:r w:rsidRPr="003F3545">
              <w:rPr>
                <w:rFonts w:cs="Times New Roman"/>
                <w:sz w:val="20"/>
                <w:szCs w:val="20"/>
                <w:vertAlign w:val="subscript"/>
              </w:rPr>
              <w:t>1</w:t>
            </w:r>
            <w:r w:rsidRPr="003F3545">
              <w:rPr>
                <w:rFonts w:cs="Times New Roman"/>
                <w:sz w:val="20"/>
                <w:szCs w:val="20"/>
                <w:vertAlign w:val="superscript"/>
              </w:rPr>
              <w:t>a</w:t>
            </w:r>
            <w:r w:rsidRPr="003F3545">
              <w:rPr>
                <w:rFonts w:cs="Times New Roman"/>
                <w:sz w:val="20"/>
                <w:szCs w:val="20"/>
              </w:rPr>
              <w:t>, mean % predicted</w:t>
            </w:r>
          </w:p>
        </w:tc>
        <w:tc>
          <w:tcPr>
            <w:tcW w:w="2245" w:type="dxa"/>
            <w:tcBorders>
              <w:top w:val="nil"/>
              <w:left w:val="nil"/>
              <w:bottom w:val="single" w:sz="4" w:space="0" w:color="auto"/>
              <w:right w:val="nil"/>
            </w:tcBorders>
            <w:shd w:val="clear" w:color="auto" w:fill="auto"/>
          </w:tcPr>
          <w:p w14:paraId="18BCFF7B"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64.31</w:t>
            </w:r>
          </w:p>
        </w:tc>
        <w:tc>
          <w:tcPr>
            <w:tcW w:w="2246" w:type="dxa"/>
            <w:tcBorders>
              <w:top w:val="nil"/>
              <w:left w:val="nil"/>
              <w:bottom w:val="single" w:sz="4" w:space="0" w:color="auto"/>
              <w:right w:val="nil"/>
            </w:tcBorders>
            <w:shd w:val="clear" w:color="auto" w:fill="auto"/>
          </w:tcPr>
          <w:p w14:paraId="25A1C011"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69.21</w:t>
            </w:r>
          </w:p>
        </w:tc>
        <w:tc>
          <w:tcPr>
            <w:tcW w:w="2246" w:type="dxa"/>
            <w:tcBorders>
              <w:top w:val="nil"/>
              <w:left w:val="nil"/>
              <w:bottom w:val="single" w:sz="4" w:space="0" w:color="auto"/>
              <w:right w:val="nil"/>
            </w:tcBorders>
            <w:shd w:val="clear" w:color="auto" w:fill="auto"/>
          </w:tcPr>
          <w:p w14:paraId="4952105C"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70.14</w:t>
            </w:r>
          </w:p>
        </w:tc>
      </w:tr>
      <w:tr w:rsidR="003F3545" w:rsidRPr="003F3545" w14:paraId="131ADE37" w14:textId="77777777" w:rsidTr="00A72FD1">
        <w:tc>
          <w:tcPr>
            <w:tcW w:w="2279" w:type="dxa"/>
            <w:tcBorders>
              <w:left w:val="nil"/>
              <w:bottom w:val="nil"/>
              <w:right w:val="nil"/>
            </w:tcBorders>
            <w:shd w:val="clear" w:color="auto" w:fill="auto"/>
          </w:tcPr>
          <w:p w14:paraId="00E3CF9E"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Eosinophil counts</w:t>
            </w:r>
          </w:p>
        </w:tc>
        <w:tc>
          <w:tcPr>
            <w:tcW w:w="2245" w:type="dxa"/>
            <w:tcBorders>
              <w:left w:val="nil"/>
              <w:bottom w:val="nil"/>
              <w:right w:val="nil"/>
            </w:tcBorders>
            <w:shd w:val="clear" w:color="auto" w:fill="auto"/>
          </w:tcPr>
          <w:p w14:paraId="3EA08F14"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309DD253"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319A9A36"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r>
      <w:tr w:rsidR="003F3545" w:rsidRPr="003F3545" w14:paraId="4EDA28DF" w14:textId="77777777" w:rsidTr="00A72FD1">
        <w:tc>
          <w:tcPr>
            <w:tcW w:w="2279" w:type="dxa"/>
            <w:tcBorders>
              <w:top w:val="nil"/>
              <w:left w:val="nil"/>
              <w:bottom w:val="single" w:sz="4" w:space="0" w:color="auto"/>
              <w:right w:val="nil"/>
            </w:tcBorders>
            <w:shd w:val="clear" w:color="auto" w:fill="auto"/>
          </w:tcPr>
          <w:p w14:paraId="08CB9A3B"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Baseline mean blood eosinophil count, µL</w:t>
            </w:r>
            <w:r w:rsidRPr="003F3545">
              <w:rPr>
                <w:rFonts w:cs="Times New Roman"/>
                <w:sz w:val="20"/>
                <w:szCs w:val="20"/>
                <w:vertAlign w:val="superscript"/>
              </w:rPr>
              <w:t>-1</w:t>
            </w:r>
          </w:p>
        </w:tc>
        <w:tc>
          <w:tcPr>
            <w:tcW w:w="2245" w:type="dxa"/>
            <w:tcBorders>
              <w:top w:val="nil"/>
              <w:left w:val="nil"/>
              <w:bottom w:val="single" w:sz="4" w:space="0" w:color="auto"/>
              <w:right w:val="nil"/>
            </w:tcBorders>
            <w:shd w:val="clear" w:color="auto" w:fill="auto"/>
          </w:tcPr>
          <w:p w14:paraId="05E89065"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660</w:t>
            </w:r>
          </w:p>
        </w:tc>
        <w:tc>
          <w:tcPr>
            <w:tcW w:w="2246" w:type="dxa"/>
            <w:tcBorders>
              <w:top w:val="nil"/>
              <w:left w:val="nil"/>
              <w:bottom w:val="single" w:sz="4" w:space="0" w:color="auto"/>
              <w:right w:val="nil"/>
            </w:tcBorders>
            <w:shd w:val="clear" w:color="auto" w:fill="auto"/>
          </w:tcPr>
          <w:p w14:paraId="45F826B1"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649</w:t>
            </w:r>
          </w:p>
        </w:tc>
        <w:tc>
          <w:tcPr>
            <w:tcW w:w="2246" w:type="dxa"/>
            <w:tcBorders>
              <w:top w:val="nil"/>
              <w:left w:val="nil"/>
              <w:bottom w:val="single" w:sz="4" w:space="0" w:color="auto"/>
              <w:right w:val="nil"/>
            </w:tcBorders>
            <w:shd w:val="clear" w:color="auto" w:fill="auto"/>
          </w:tcPr>
          <w:p w14:paraId="5BF13063"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614</w:t>
            </w:r>
          </w:p>
        </w:tc>
      </w:tr>
      <w:tr w:rsidR="003F3545" w:rsidRPr="003F3545" w14:paraId="31004E65" w14:textId="77777777" w:rsidTr="00A72FD1">
        <w:tc>
          <w:tcPr>
            <w:tcW w:w="2279" w:type="dxa"/>
            <w:tcBorders>
              <w:left w:val="nil"/>
              <w:bottom w:val="nil"/>
              <w:right w:val="nil"/>
            </w:tcBorders>
            <w:shd w:val="clear" w:color="auto" w:fill="auto"/>
          </w:tcPr>
          <w:p w14:paraId="225EC3DD"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Exacerbation history</w:t>
            </w:r>
          </w:p>
        </w:tc>
        <w:tc>
          <w:tcPr>
            <w:tcW w:w="2245" w:type="dxa"/>
            <w:tcBorders>
              <w:left w:val="nil"/>
              <w:bottom w:val="nil"/>
              <w:right w:val="nil"/>
            </w:tcBorders>
            <w:shd w:val="clear" w:color="auto" w:fill="auto"/>
          </w:tcPr>
          <w:p w14:paraId="288CA863"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3724B329"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15F9F387"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r>
      <w:tr w:rsidR="003F3545" w:rsidRPr="003F3545" w14:paraId="5A266776" w14:textId="77777777" w:rsidTr="00A72FD1">
        <w:tc>
          <w:tcPr>
            <w:tcW w:w="2279" w:type="dxa"/>
            <w:tcBorders>
              <w:top w:val="nil"/>
              <w:left w:val="nil"/>
              <w:bottom w:val="single" w:sz="4" w:space="0" w:color="auto"/>
              <w:right w:val="nil"/>
            </w:tcBorders>
            <w:shd w:val="clear" w:color="auto" w:fill="auto"/>
          </w:tcPr>
          <w:p w14:paraId="73CC560D"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Mean number of exacerbations in previous year</w:t>
            </w:r>
          </w:p>
        </w:tc>
        <w:tc>
          <w:tcPr>
            <w:tcW w:w="2245" w:type="dxa"/>
            <w:tcBorders>
              <w:top w:val="nil"/>
              <w:left w:val="nil"/>
              <w:bottom w:val="single" w:sz="4" w:space="0" w:color="auto"/>
              <w:right w:val="nil"/>
            </w:tcBorders>
            <w:shd w:val="clear" w:color="auto" w:fill="auto"/>
          </w:tcPr>
          <w:p w14:paraId="010E1701"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1.99</w:t>
            </w:r>
          </w:p>
        </w:tc>
        <w:tc>
          <w:tcPr>
            <w:tcW w:w="2246" w:type="dxa"/>
            <w:tcBorders>
              <w:top w:val="nil"/>
              <w:left w:val="nil"/>
              <w:bottom w:val="single" w:sz="4" w:space="0" w:color="auto"/>
              <w:right w:val="nil"/>
            </w:tcBorders>
            <w:shd w:val="clear" w:color="auto" w:fill="auto"/>
          </w:tcPr>
          <w:p w14:paraId="14953298"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1.94</w:t>
            </w:r>
          </w:p>
        </w:tc>
        <w:tc>
          <w:tcPr>
            <w:tcW w:w="2246" w:type="dxa"/>
            <w:tcBorders>
              <w:top w:val="nil"/>
              <w:left w:val="nil"/>
              <w:bottom w:val="single" w:sz="4" w:space="0" w:color="auto"/>
              <w:right w:val="nil"/>
            </w:tcBorders>
            <w:shd w:val="clear" w:color="auto" w:fill="auto"/>
          </w:tcPr>
          <w:p w14:paraId="3AC2B1A9"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2.03</w:t>
            </w:r>
          </w:p>
        </w:tc>
      </w:tr>
      <w:tr w:rsidR="003F3545" w:rsidRPr="003F3545" w14:paraId="10C72240" w14:textId="77777777" w:rsidTr="00A72FD1">
        <w:tc>
          <w:tcPr>
            <w:tcW w:w="2279" w:type="dxa"/>
            <w:tcBorders>
              <w:left w:val="nil"/>
              <w:bottom w:val="nil"/>
              <w:right w:val="nil"/>
            </w:tcBorders>
            <w:shd w:val="clear" w:color="auto" w:fill="auto"/>
          </w:tcPr>
          <w:p w14:paraId="0E5C11E8"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Proportions of patients in GINA steps 4 and 5</w:t>
            </w:r>
            <w:r w:rsidRPr="003F3545">
              <w:rPr>
                <w:rFonts w:cs="Times New Roman"/>
                <w:b/>
                <w:sz w:val="20"/>
                <w:szCs w:val="20"/>
                <w:vertAlign w:val="superscript"/>
              </w:rPr>
              <w:t>c</w:t>
            </w:r>
          </w:p>
        </w:tc>
        <w:tc>
          <w:tcPr>
            <w:tcW w:w="2245" w:type="dxa"/>
            <w:tcBorders>
              <w:left w:val="nil"/>
              <w:bottom w:val="nil"/>
              <w:right w:val="nil"/>
            </w:tcBorders>
            <w:shd w:val="clear" w:color="auto" w:fill="auto"/>
          </w:tcPr>
          <w:p w14:paraId="7D27A44E"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74D738EC"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7FAFA7D9"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r>
      <w:tr w:rsidR="003F3545" w:rsidRPr="003F3545" w14:paraId="1948C9EC" w14:textId="77777777" w:rsidTr="00A72FD1">
        <w:tc>
          <w:tcPr>
            <w:tcW w:w="2279" w:type="dxa"/>
            <w:tcBorders>
              <w:top w:val="nil"/>
              <w:left w:val="nil"/>
              <w:bottom w:val="nil"/>
              <w:right w:val="nil"/>
            </w:tcBorders>
            <w:shd w:val="clear" w:color="auto" w:fill="auto"/>
          </w:tcPr>
          <w:p w14:paraId="4279B2D0"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GINA 4, %</w:t>
            </w:r>
          </w:p>
        </w:tc>
        <w:tc>
          <w:tcPr>
            <w:tcW w:w="2245" w:type="dxa"/>
            <w:tcBorders>
              <w:top w:val="nil"/>
              <w:left w:val="nil"/>
              <w:bottom w:val="nil"/>
              <w:right w:val="nil"/>
            </w:tcBorders>
            <w:shd w:val="clear" w:color="auto" w:fill="auto"/>
          </w:tcPr>
          <w:p w14:paraId="51CDACEE"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68</w:t>
            </w:r>
          </w:p>
        </w:tc>
        <w:tc>
          <w:tcPr>
            <w:tcW w:w="2246" w:type="dxa"/>
            <w:tcBorders>
              <w:top w:val="nil"/>
              <w:left w:val="nil"/>
              <w:bottom w:val="nil"/>
              <w:right w:val="nil"/>
            </w:tcBorders>
            <w:shd w:val="clear" w:color="auto" w:fill="auto"/>
          </w:tcPr>
          <w:p w14:paraId="5A6FF85B"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70</w:t>
            </w:r>
          </w:p>
        </w:tc>
        <w:tc>
          <w:tcPr>
            <w:tcW w:w="2246" w:type="dxa"/>
            <w:tcBorders>
              <w:top w:val="nil"/>
              <w:left w:val="nil"/>
              <w:bottom w:val="nil"/>
              <w:right w:val="nil"/>
            </w:tcBorders>
            <w:shd w:val="clear" w:color="auto" w:fill="auto"/>
          </w:tcPr>
          <w:p w14:paraId="1497A95B"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79</w:t>
            </w:r>
          </w:p>
        </w:tc>
      </w:tr>
      <w:tr w:rsidR="003F3545" w:rsidRPr="003F3545" w14:paraId="3C3A5CE0" w14:textId="77777777" w:rsidTr="00A72FD1">
        <w:tc>
          <w:tcPr>
            <w:tcW w:w="2279" w:type="dxa"/>
            <w:tcBorders>
              <w:top w:val="nil"/>
              <w:left w:val="nil"/>
              <w:bottom w:val="single" w:sz="4" w:space="0" w:color="auto"/>
              <w:right w:val="nil"/>
            </w:tcBorders>
            <w:shd w:val="clear" w:color="auto" w:fill="auto"/>
          </w:tcPr>
          <w:p w14:paraId="18772F9D"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GINA 5, %</w:t>
            </w:r>
          </w:p>
        </w:tc>
        <w:tc>
          <w:tcPr>
            <w:tcW w:w="2245" w:type="dxa"/>
            <w:tcBorders>
              <w:top w:val="nil"/>
              <w:left w:val="nil"/>
              <w:bottom w:val="single" w:sz="4" w:space="0" w:color="auto"/>
              <w:right w:val="nil"/>
            </w:tcBorders>
            <w:shd w:val="clear" w:color="auto" w:fill="auto"/>
          </w:tcPr>
          <w:p w14:paraId="2F6A5B73"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13</w:t>
            </w:r>
          </w:p>
        </w:tc>
        <w:tc>
          <w:tcPr>
            <w:tcW w:w="2246" w:type="dxa"/>
            <w:tcBorders>
              <w:top w:val="nil"/>
              <w:left w:val="nil"/>
              <w:bottom w:val="single" w:sz="4" w:space="0" w:color="auto"/>
              <w:right w:val="nil"/>
            </w:tcBorders>
            <w:shd w:val="clear" w:color="auto" w:fill="auto"/>
          </w:tcPr>
          <w:p w14:paraId="1E431436"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9</w:t>
            </w:r>
          </w:p>
        </w:tc>
        <w:tc>
          <w:tcPr>
            <w:tcW w:w="2246" w:type="dxa"/>
            <w:tcBorders>
              <w:top w:val="nil"/>
              <w:left w:val="nil"/>
              <w:bottom w:val="single" w:sz="4" w:space="0" w:color="auto"/>
              <w:right w:val="nil"/>
            </w:tcBorders>
            <w:shd w:val="clear" w:color="auto" w:fill="auto"/>
          </w:tcPr>
          <w:p w14:paraId="0E6B0F65"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&lt;1</w:t>
            </w:r>
          </w:p>
        </w:tc>
      </w:tr>
      <w:tr w:rsidR="003F3545" w:rsidRPr="003F3545" w14:paraId="74560234" w14:textId="77777777" w:rsidTr="00A72FD1">
        <w:tc>
          <w:tcPr>
            <w:tcW w:w="2279" w:type="dxa"/>
            <w:tcBorders>
              <w:left w:val="nil"/>
              <w:bottom w:val="nil"/>
              <w:right w:val="nil"/>
            </w:tcBorders>
            <w:shd w:val="clear" w:color="auto" w:fill="auto"/>
          </w:tcPr>
          <w:p w14:paraId="2609C648" w14:textId="77777777" w:rsidR="003F3545" w:rsidRPr="003F3545" w:rsidRDefault="003F3545" w:rsidP="003F3545">
            <w:pPr>
              <w:keepNext/>
              <w:keepLines/>
              <w:autoSpaceDE w:val="0"/>
              <w:autoSpaceDN w:val="0"/>
              <w:adjustRightInd w:val="0"/>
              <w:spacing w:after="0"/>
              <w:rPr>
                <w:rFonts w:cs="Times New Roman"/>
                <w:b/>
                <w:sz w:val="20"/>
                <w:szCs w:val="20"/>
              </w:rPr>
            </w:pPr>
            <w:r w:rsidRPr="003F3545">
              <w:rPr>
                <w:rFonts w:cs="Times New Roman"/>
                <w:b/>
                <w:sz w:val="20"/>
                <w:szCs w:val="20"/>
              </w:rPr>
              <w:t xml:space="preserve">Patients with refractory </w:t>
            </w:r>
            <w:proofErr w:type="spellStart"/>
            <w:r w:rsidRPr="003F3545">
              <w:rPr>
                <w:rFonts w:cs="Times New Roman"/>
                <w:b/>
                <w:sz w:val="20"/>
                <w:szCs w:val="20"/>
              </w:rPr>
              <w:t>asthma</w:t>
            </w:r>
            <w:r w:rsidRPr="003F3545">
              <w:rPr>
                <w:rFonts w:cs="Times New Roman"/>
                <w:b/>
                <w:sz w:val="20"/>
                <w:szCs w:val="20"/>
                <w:vertAlign w:val="superscript"/>
              </w:rPr>
              <w:t>d</w:t>
            </w:r>
            <w:proofErr w:type="spellEnd"/>
          </w:p>
        </w:tc>
        <w:tc>
          <w:tcPr>
            <w:tcW w:w="2245" w:type="dxa"/>
            <w:tcBorders>
              <w:left w:val="nil"/>
              <w:bottom w:val="nil"/>
              <w:right w:val="nil"/>
            </w:tcBorders>
            <w:shd w:val="clear" w:color="auto" w:fill="auto"/>
          </w:tcPr>
          <w:p w14:paraId="600887E1"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4251A6C5"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c>
          <w:tcPr>
            <w:tcW w:w="2246" w:type="dxa"/>
            <w:tcBorders>
              <w:left w:val="nil"/>
              <w:bottom w:val="nil"/>
              <w:right w:val="nil"/>
            </w:tcBorders>
            <w:shd w:val="clear" w:color="auto" w:fill="auto"/>
          </w:tcPr>
          <w:p w14:paraId="517799D9" w14:textId="77777777" w:rsidR="003F3545" w:rsidRPr="003F3545" w:rsidRDefault="003F3545" w:rsidP="003F3545">
            <w:pPr>
              <w:keepNext/>
              <w:keepLines/>
              <w:autoSpaceDE w:val="0"/>
              <w:autoSpaceDN w:val="0"/>
              <w:adjustRightInd w:val="0"/>
              <w:spacing w:after="0"/>
              <w:jc w:val="center"/>
              <w:rPr>
                <w:rFonts w:cs="Times New Roman"/>
                <w:sz w:val="20"/>
                <w:szCs w:val="20"/>
              </w:rPr>
            </w:pPr>
          </w:p>
        </w:tc>
      </w:tr>
      <w:tr w:rsidR="003F3545" w:rsidRPr="003F3545" w14:paraId="58478F16" w14:textId="77777777" w:rsidTr="00A72FD1">
        <w:tc>
          <w:tcPr>
            <w:tcW w:w="2279" w:type="dxa"/>
            <w:tcBorders>
              <w:top w:val="nil"/>
              <w:left w:val="nil"/>
              <w:right w:val="nil"/>
            </w:tcBorders>
            <w:shd w:val="clear" w:color="auto" w:fill="auto"/>
          </w:tcPr>
          <w:p w14:paraId="229F8612" w14:textId="77777777" w:rsidR="003F3545" w:rsidRPr="003F3545" w:rsidRDefault="003F3545" w:rsidP="003F3545">
            <w:pPr>
              <w:keepNext/>
              <w:keepLines/>
              <w:autoSpaceDE w:val="0"/>
              <w:autoSpaceDN w:val="0"/>
              <w:adjustRightInd w:val="0"/>
              <w:spacing w:after="0"/>
              <w:ind w:left="142"/>
              <w:rPr>
                <w:rFonts w:cs="Times New Roman"/>
                <w:sz w:val="20"/>
                <w:szCs w:val="20"/>
              </w:rPr>
            </w:pPr>
            <w:r w:rsidRPr="003F3545">
              <w:rPr>
                <w:rFonts w:cs="Times New Roman"/>
                <w:sz w:val="20"/>
                <w:szCs w:val="20"/>
              </w:rPr>
              <w:t>%</w:t>
            </w:r>
          </w:p>
        </w:tc>
        <w:tc>
          <w:tcPr>
            <w:tcW w:w="2245" w:type="dxa"/>
            <w:tcBorders>
              <w:top w:val="nil"/>
              <w:left w:val="nil"/>
              <w:right w:val="nil"/>
            </w:tcBorders>
            <w:shd w:val="clear" w:color="auto" w:fill="auto"/>
          </w:tcPr>
          <w:p w14:paraId="5CE719B5"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34</w:t>
            </w:r>
          </w:p>
        </w:tc>
        <w:tc>
          <w:tcPr>
            <w:tcW w:w="2246" w:type="dxa"/>
            <w:tcBorders>
              <w:top w:val="nil"/>
              <w:left w:val="nil"/>
              <w:right w:val="nil"/>
            </w:tcBorders>
            <w:shd w:val="clear" w:color="auto" w:fill="auto"/>
          </w:tcPr>
          <w:p w14:paraId="28D2254C" w14:textId="77777777" w:rsidR="003F3545" w:rsidRPr="003F3545" w:rsidRDefault="003F3545" w:rsidP="003F3545">
            <w:pPr>
              <w:keepNext/>
              <w:keepLines/>
              <w:autoSpaceDE w:val="0"/>
              <w:autoSpaceDN w:val="0"/>
              <w:adjustRightInd w:val="0"/>
              <w:spacing w:after="0"/>
              <w:jc w:val="center"/>
              <w:rPr>
                <w:rFonts w:cs="Times New Roman"/>
                <w:sz w:val="20"/>
                <w:szCs w:val="20"/>
              </w:rPr>
            </w:pPr>
            <w:r w:rsidRPr="003F3545">
              <w:rPr>
                <w:rFonts w:cs="Times New Roman"/>
                <w:sz w:val="20"/>
                <w:szCs w:val="20"/>
              </w:rPr>
              <w:t>31</w:t>
            </w:r>
          </w:p>
        </w:tc>
        <w:tc>
          <w:tcPr>
            <w:tcW w:w="2246" w:type="dxa"/>
            <w:tcBorders>
              <w:top w:val="nil"/>
              <w:left w:val="nil"/>
              <w:right w:val="nil"/>
            </w:tcBorders>
            <w:shd w:val="clear" w:color="auto" w:fill="auto"/>
          </w:tcPr>
          <w:p w14:paraId="20EDA7B5" w14:textId="77777777" w:rsidR="003F3545" w:rsidRPr="003F3545" w:rsidRDefault="003F3545" w:rsidP="003F3545">
            <w:pPr>
              <w:keepNext/>
              <w:keepLines/>
              <w:autoSpaceDE w:val="0"/>
              <w:autoSpaceDN w:val="0"/>
              <w:adjustRightInd w:val="0"/>
              <w:spacing w:after="0"/>
              <w:jc w:val="center"/>
              <w:rPr>
                <w:rFonts w:cs="Times New Roman"/>
                <w:sz w:val="20"/>
                <w:szCs w:val="20"/>
              </w:rPr>
            </w:pPr>
            <w:proofErr w:type="spellStart"/>
            <w:r w:rsidRPr="003F3545">
              <w:rPr>
                <w:rFonts w:cs="Times New Roman"/>
                <w:sz w:val="20"/>
                <w:szCs w:val="20"/>
              </w:rPr>
              <w:t>NA</w:t>
            </w:r>
            <w:r w:rsidRPr="003F3545">
              <w:rPr>
                <w:rFonts w:cs="Times New Roman"/>
                <w:sz w:val="20"/>
                <w:szCs w:val="20"/>
                <w:vertAlign w:val="superscript"/>
              </w:rPr>
              <w:t>b</w:t>
            </w:r>
            <w:proofErr w:type="spellEnd"/>
          </w:p>
        </w:tc>
      </w:tr>
      <w:tr w:rsidR="003F3545" w:rsidRPr="003F3545" w14:paraId="27422EC3" w14:textId="77777777" w:rsidTr="003F3545">
        <w:tc>
          <w:tcPr>
            <w:tcW w:w="9016" w:type="dxa"/>
            <w:gridSpan w:val="4"/>
            <w:tcBorders>
              <w:left w:val="nil"/>
              <w:right w:val="nil"/>
            </w:tcBorders>
            <w:shd w:val="clear" w:color="auto" w:fill="auto"/>
          </w:tcPr>
          <w:p w14:paraId="4C493202" w14:textId="77777777" w:rsidR="003F3545" w:rsidRPr="003F3545" w:rsidRDefault="003F3545" w:rsidP="003F3545">
            <w:pPr>
              <w:keepNext/>
              <w:keepLines/>
              <w:tabs>
                <w:tab w:val="left" w:pos="0"/>
                <w:tab w:val="left" w:pos="142"/>
              </w:tabs>
              <w:spacing w:after="0"/>
              <w:rPr>
                <w:rFonts w:cs="Times New Roman"/>
                <w:sz w:val="20"/>
                <w:szCs w:val="20"/>
              </w:rPr>
            </w:pPr>
            <w:r w:rsidRPr="003F3545">
              <w:rPr>
                <w:rFonts w:cs="Times New Roman"/>
                <w:iCs/>
                <w:sz w:val="20"/>
                <w:szCs w:val="20"/>
                <w:vertAlign w:val="superscript"/>
              </w:rPr>
              <w:t>a</w:t>
            </w:r>
            <w:r w:rsidRPr="003F3545">
              <w:rPr>
                <w:rFonts w:cs="Times New Roman"/>
                <w:iCs/>
                <w:sz w:val="20"/>
                <w:szCs w:val="20"/>
              </w:rPr>
              <w:tab/>
            </w:r>
            <w:r w:rsidRPr="003F3545">
              <w:rPr>
                <w:rFonts w:cs="Times New Roman"/>
                <w:sz w:val="20"/>
                <w:szCs w:val="20"/>
              </w:rPr>
              <w:t>FEV</w:t>
            </w:r>
            <w:r w:rsidRPr="003F3545">
              <w:rPr>
                <w:rFonts w:cs="Times New Roman"/>
                <w:sz w:val="20"/>
                <w:szCs w:val="20"/>
                <w:vertAlign w:val="subscript"/>
              </w:rPr>
              <w:t>1</w:t>
            </w:r>
            <w:r w:rsidRPr="003F3545">
              <w:rPr>
                <w:rFonts w:cs="Times New Roman"/>
                <w:sz w:val="20"/>
                <w:szCs w:val="20"/>
              </w:rPr>
              <w:t>=forced expiratory volume in 1 second</w:t>
            </w:r>
            <w:r w:rsidRPr="003F3545">
              <w:rPr>
                <w:rFonts w:cs="Times New Roman"/>
                <w:sz w:val="20"/>
                <w:szCs w:val="20"/>
              </w:rPr>
              <w:br/>
            </w:r>
            <w:r w:rsidRPr="003F3545">
              <w:rPr>
                <w:rFonts w:cs="Times New Roman"/>
                <w:iCs/>
                <w:sz w:val="20"/>
                <w:szCs w:val="20"/>
                <w:vertAlign w:val="superscript"/>
              </w:rPr>
              <w:t>b</w:t>
            </w:r>
            <w:r w:rsidRPr="003F3545">
              <w:rPr>
                <w:rFonts w:cs="Times New Roman"/>
                <w:iCs/>
                <w:sz w:val="20"/>
                <w:szCs w:val="20"/>
              </w:rPr>
              <w:tab/>
            </w:r>
            <w:r w:rsidRPr="003F3545">
              <w:rPr>
                <w:rFonts w:cs="Times New Roman"/>
                <w:sz w:val="20"/>
                <w:szCs w:val="20"/>
              </w:rPr>
              <w:t>NA=not available</w:t>
            </w:r>
          </w:p>
          <w:p w14:paraId="2F104999" w14:textId="77777777" w:rsidR="003F3545" w:rsidRPr="003F3545" w:rsidRDefault="003F3545" w:rsidP="003F3545">
            <w:pPr>
              <w:keepNext/>
              <w:keepLines/>
              <w:tabs>
                <w:tab w:val="left" w:pos="0"/>
                <w:tab w:val="left" w:pos="142"/>
              </w:tabs>
              <w:spacing w:after="0"/>
              <w:rPr>
                <w:rFonts w:cs="Times New Roman"/>
                <w:sz w:val="20"/>
                <w:szCs w:val="20"/>
              </w:rPr>
            </w:pPr>
            <w:r w:rsidRPr="003F3545">
              <w:rPr>
                <w:rFonts w:cs="Times New Roman"/>
                <w:iCs/>
                <w:sz w:val="20"/>
                <w:szCs w:val="20"/>
                <w:vertAlign w:val="superscript"/>
              </w:rPr>
              <w:t>c</w:t>
            </w:r>
            <w:r w:rsidRPr="003F3545">
              <w:rPr>
                <w:rFonts w:cs="Times New Roman"/>
                <w:iCs/>
                <w:sz w:val="20"/>
                <w:szCs w:val="20"/>
              </w:rPr>
              <w:tab/>
            </w:r>
            <w:r w:rsidRPr="003F3545">
              <w:rPr>
                <w:rFonts w:cs="Times New Roman"/>
                <w:sz w:val="20"/>
                <w:szCs w:val="20"/>
              </w:rPr>
              <w:t>The GINA classification is based on the Global Initiative for Asthma (GINA) definition:</w:t>
            </w:r>
          </w:p>
          <w:p w14:paraId="1EE44861" w14:textId="77777777" w:rsidR="003F3545" w:rsidRPr="003F3545" w:rsidRDefault="003F3545" w:rsidP="003F3545">
            <w:pPr>
              <w:keepNext/>
              <w:keepLines/>
              <w:tabs>
                <w:tab w:val="left" w:pos="142"/>
              </w:tabs>
              <w:spacing w:after="0"/>
              <w:ind w:left="360" w:hanging="360"/>
              <w:rPr>
                <w:rFonts w:cs="Times New Roman"/>
                <w:sz w:val="20"/>
                <w:szCs w:val="20"/>
              </w:rPr>
            </w:pPr>
            <w:r w:rsidRPr="003F3545">
              <w:rPr>
                <w:rFonts w:cs="Times New Roman"/>
                <w:iCs/>
                <w:sz w:val="20"/>
                <w:szCs w:val="20"/>
              </w:rPr>
              <w:tab/>
            </w:r>
            <w:r w:rsidRPr="003F3545">
              <w:rPr>
                <w:rFonts w:cs="Times New Roman"/>
                <w:sz w:val="20"/>
                <w:szCs w:val="20"/>
              </w:rPr>
              <w:t>GINA step 4 patients received medium to high dose ICS plus another controller.</w:t>
            </w:r>
          </w:p>
          <w:p w14:paraId="36B963E4" w14:textId="77777777" w:rsidR="003F3545" w:rsidRPr="003F3545" w:rsidRDefault="003F3545" w:rsidP="003F3545">
            <w:pPr>
              <w:keepNext/>
              <w:keepLines/>
              <w:tabs>
                <w:tab w:val="left" w:pos="142"/>
              </w:tabs>
              <w:spacing w:after="0"/>
              <w:ind w:left="360" w:hanging="360"/>
              <w:rPr>
                <w:rFonts w:cs="Times New Roman"/>
                <w:sz w:val="20"/>
                <w:szCs w:val="20"/>
              </w:rPr>
            </w:pPr>
            <w:r w:rsidRPr="003F3545">
              <w:rPr>
                <w:rFonts w:cs="Times New Roman"/>
                <w:iCs/>
                <w:sz w:val="20"/>
                <w:szCs w:val="20"/>
              </w:rPr>
              <w:tab/>
            </w:r>
            <w:r w:rsidRPr="003F3545">
              <w:rPr>
                <w:rFonts w:cs="Times New Roman"/>
                <w:sz w:val="20"/>
                <w:szCs w:val="20"/>
              </w:rPr>
              <w:t>GINA step 5 patients received in addition, as an add</w:t>
            </w:r>
            <w:r w:rsidRPr="003F3545">
              <w:rPr>
                <w:rFonts w:cs="Times New Roman"/>
                <w:sz w:val="20"/>
                <w:szCs w:val="20"/>
              </w:rPr>
              <w:noBreakHyphen/>
              <w:t>on, maintenance OCS.</w:t>
            </w:r>
          </w:p>
          <w:p w14:paraId="0139F394" w14:textId="77777777" w:rsidR="003F3545" w:rsidRPr="003F3545" w:rsidRDefault="003F3545" w:rsidP="003F3545">
            <w:pPr>
              <w:keepNext/>
              <w:keepLines/>
              <w:tabs>
                <w:tab w:val="left" w:pos="142"/>
              </w:tabs>
              <w:spacing w:after="0"/>
              <w:ind w:left="142" w:hanging="142"/>
              <w:rPr>
                <w:rFonts w:cs="Times New Roman"/>
                <w:sz w:val="20"/>
                <w:szCs w:val="20"/>
              </w:rPr>
            </w:pPr>
            <w:r w:rsidRPr="003F3545">
              <w:rPr>
                <w:rFonts w:cs="Times New Roman"/>
                <w:iCs/>
                <w:sz w:val="20"/>
                <w:szCs w:val="20"/>
                <w:vertAlign w:val="superscript"/>
              </w:rPr>
              <w:t>d</w:t>
            </w:r>
            <w:r w:rsidRPr="003F3545">
              <w:rPr>
                <w:rFonts w:cs="Times New Roman"/>
                <w:iCs/>
                <w:sz w:val="20"/>
                <w:szCs w:val="20"/>
              </w:rPr>
              <w:tab/>
              <w:t>The percentage of patients with refractory asthma (based on the American Thoracic Society (ATS)/European Respiratory Society (ERS) 2000 workshop definition for refractory asthma) from Studies I and II was analysed post hoc.</w:t>
            </w:r>
          </w:p>
        </w:tc>
      </w:tr>
    </w:tbl>
    <w:p w14:paraId="3108B8F2" w14:textId="77777777" w:rsidR="003F3545" w:rsidRDefault="003F3545" w:rsidP="004A28F9"/>
    <w:p w14:paraId="489C2A71" w14:textId="77777777" w:rsidR="00BD06E7" w:rsidRDefault="00BD06E7" w:rsidP="005B1FF9">
      <w:pPr>
        <w:pStyle w:val="Heading2"/>
        <w:sectPr w:rsidR="00BD06E7" w:rsidSect="008B3FBF">
          <w:headerReference w:type="default" r:id="rId9"/>
          <w:footerReference w:type="default" r:id="rId10"/>
          <w:pgSz w:w="11906" w:h="16838"/>
          <w:pgMar w:top="1440" w:right="1440" w:bottom="1440" w:left="1440" w:header="708" w:footer="708" w:gutter="0"/>
          <w:cols w:space="708"/>
          <w:docGrid w:linePitch="360"/>
        </w:sectPr>
      </w:pPr>
    </w:p>
    <w:p w14:paraId="36ABF38B" w14:textId="1293BBE6" w:rsidR="00A72FD1" w:rsidRPr="00F06181" w:rsidRDefault="00A72FD1" w:rsidP="005B1FF9">
      <w:pPr>
        <w:pStyle w:val="Heading2"/>
      </w:pPr>
      <w:r w:rsidRPr="009A3FEE">
        <w:lastRenderedPageBreak/>
        <w:t>Studies I and II</w:t>
      </w:r>
    </w:p>
    <w:p w14:paraId="7DAAF299" w14:textId="77777777" w:rsidR="00377501" w:rsidRDefault="00A72FD1" w:rsidP="00A72FD1">
      <w:pPr>
        <w:autoSpaceDE w:val="0"/>
        <w:autoSpaceDN w:val="0"/>
        <w:adjustRightInd w:val="0"/>
      </w:pPr>
      <w:r w:rsidRPr="001A7393">
        <w:t>The primary efficacy measure for both Studies I and II was the frequency of asthma exacerbations for each patient during the 52</w:t>
      </w:r>
      <w:r>
        <w:noBreakHyphen/>
      </w:r>
      <w:r w:rsidRPr="001A7393">
        <w:t xml:space="preserve">week treatment period. In both studies, an asthma exacerbation was defined as a worsening of asthma that required the following medical intervention: </w:t>
      </w:r>
    </w:p>
    <w:p w14:paraId="2229CAAD" w14:textId="77777777" w:rsidR="00377501" w:rsidRDefault="00377501" w:rsidP="00377501">
      <w:pPr>
        <w:pStyle w:val="ListParagraph"/>
        <w:numPr>
          <w:ilvl w:val="0"/>
          <w:numId w:val="3"/>
        </w:numPr>
        <w:autoSpaceDE w:val="0"/>
        <w:autoSpaceDN w:val="0"/>
        <w:adjustRightInd w:val="0"/>
        <w:ind w:left="714" w:hanging="357"/>
        <w:contextualSpacing w:val="0"/>
      </w:pPr>
      <w:r>
        <w:t>U</w:t>
      </w:r>
      <w:r w:rsidR="00A72FD1" w:rsidRPr="001A7393">
        <w:t>se of systemic</w:t>
      </w:r>
      <w:r w:rsidR="00A72FD1">
        <w:t xml:space="preserve"> </w:t>
      </w:r>
      <w:r w:rsidR="00A72FD1" w:rsidRPr="001A7393">
        <w:t>corticosteroid</w:t>
      </w:r>
      <w:r w:rsidR="00A72FD1">
        <w:t>s</w:t>
      </w:r>
      <w:r w:rsidR="00A72FD1" w:rsidRPr="001A7393">
        <w:t xml:space="preserve"> or an increase in the use of </w:t>
      </w:r>
      <w:r w:rsidR="00A72FD1">
        <w:t>ICS</w:t>
      </w:r>
      <w:r w:rsidR="00A72FD1" w:rsidRPr="001A7393">
        <w:t xml:space="preserve"> treatment for 3 or more days, and/or </w:t>
      </w:r>
    </w:p>
    <w:p w14:paraId="38510253" w14:textId="77777777" w:rsidR="00A72FD1" w:rsidRDefault="00E838E0" w:rsidP="00377501">
      <w:pPr>
        <w:pStyle w:val="ListParagraph"/>
        <w:numPr>
          <w:ilvl w:val="0"/>
          <w:numId w:val="3"/>
        </w:numPr>
        <w:autoSpaceDE w:val="0"/>
        <w:autoSpaceDN w:val="0"/>
        <w:adjustRightInd w:val="0"/>
        <w:spacing w:after="0"/>
      </w:pPr>
      <w:r>
        <w:t>A</w:t>
      </w:r>
      <w:r w:rsidR="00A72FD1" w:rsidRPr="001A7393">
        <w:t>sthma</w:t>
      </w:r>
      <w:r w:rsidR="00A72FD1">
        <w:noBreakHyphen/>
      </w:r>
      <w:r w:rsidR="00A72FD1" w:rsidRPr="001A7393">
        <w:t>related emergency treatment including at least one of the following: an unscheduled visit to their healthcare professional for nebuli</w:t>
      </w:r>
      <w:r w:rsidR="00A72FD1">
        <w:t>s</w:t>
      </w:r>
      <w:r w:rsidR="00A72FD1" w:rsidRPr="001A7393">
        <w:t>er treatment or other urgent treatment to prevent worsening of asthma symptoms; a visit to the emergency room for asthma</w:t>
      </w:r>
      <w:r w:rsidR="00A72FD1">
        <w:noBreakHyphen/>
        <w:t>r</w:t>
      </w:r>
      <w:r w:rsidR="00A72FD1" w:rsidRPr="001A7393">
        <w:t>elated treatment; or asthma</w:t>
      </w:r>
      <w:r w:rsidR="00A72FD1">
        <w:noBreakHyphen/>
      </w:r>
      <w:r w:rsidR="00A72FD1" w:rsidRPr="001A7393">
        <w:t>related hospitali</w:t>
      </w:r>
      <w:r w:rsidR="00A72FD1">
        <w:t>s</w:t>
      </w:r>
      <w:r w:rsidR="00A72FD1" w:rsidRPr="001A7393">
        <w:t>ation.</w:t>
      </w:r>
    </w:p>
    <w:p w14:paraId="16D2FBD4" w14:textId="77777777" w:rsidR="00A72FD1" w:rsidRDefault="00A72FD1" w:rsidP="00377501">
      <w:pPr>
        <w:autoSpaceDE w:val="0"/>
        <w:autoSpaceDN w:val="0"/>
        <w:adjustRightInd w:val="0"/>
        <w:spacing w:after="0"/>
      </w:pPr>
    </w:p>
    <w:p w14:paraId="3713A70B" w14:textId="77777777" w:rsidR="00A72FD1" w:rsidRPr="00C6646C" w:rsidRDefault="00A72FD1" w:rsidP="005B1FF9">
      <w:pPr>
        <w:pStyle w:val="Heading2"/>
      </w:pPr>
      <w:r>
        <w:t>Overall population</w:t>
      </w:r>
    </w:p>
    <w:p w14:paraId="07FC1F3A" w14:textId="4A3D11DC" w:rsidR="004A28F9" w:rsidRDefault="00A72FD1" w:rsidP="00A72FD1">
      <w:r>
        <w:t>I</w:t>
      </w:r>
      <w:r w:rsidRPr="004B52DF">
        <w:t xml:space="preserve">n Studies I and II, patients receiving </w:t>
      </w:r>
      <w:r w:rsidR="00E30C70">
        <w:t>CINQAIR</w:t>
      </w:r>
      <w:r w:rsidRPr="0019147E">
        <w:t xml:space="preserve"> </w:t>
      </w:r>
      <w:r w:rsidRPr="004B52DF">
        <w:t>3</w:t>
      </w:r>
      <w:r>
        <w:t> </w:t>
      </w:r>
      <w:r w:rsidRPr="004B52DF">
        <w:t xml:space="preserve">mg/kg had significant reductions in asthma exacerbations (50% and 59%, respectively) compared to </w:t>
      </w:r>
      <w:r w:rsidRPr="00377501">
        <w:t>placebo (Table </w:t>
      </w:r>
      <w:r w:rsidR="00BD06E7">
        <w:t>2</w:t>
      </w:r>
      <w:r w:rsidRPr="00377501">
        <w:t>).</w:t>
      </w:r>
      <w:r w:rsidR="000E4674">
        <w:t xml:space="preserve"> The overall reduction was 54%.</w:t>
      </w:r>
    </w:p>
    <w:p w14:paraId="6E469975" w14:textId="77777777" w:rsidR="00A72FD1" w:rsidRDefault="00A72FD1" w:rsidP="00A72FD1"/>
    <w:p w14:paraId="257A0FD9" w14:textId="57998A7C" w:rsidR="00A72FD1" w:rsidRPr="00A72FD1" w:rsidRDefault="00507F4B" w:rsidP="00F43F8D">
      <w:pPr>
        <w:pStyle w:val="Caption"/>
        <w:keepNext/>
        <w:spacing w:after="120"/>
        <w:ind w:left="1440" w:hanging="1440"/>
        <w:rPr>
          <w:b/>
          <w:i w:val="0"/>
          <w:color w:val="auto"/>
          <w:sz w:val="22"/>
        </w:rPr>
      </w:pPr>
      <w:r>
        <w:rPr>
          <w:rFonts w:ascii="ZWAdobeF" w:hAnsi="ZWAdobeF" w:cs="ZWAdobeF"/>
          <w:i w:val="0"/>
          <w:color w:val="auto"/>
          <w:sz w:val="2"/>
          <w:szCs w:val="2"/>
        </w:rPr>
        <w:t>1B</w:t>
      </w:r>
      <w:r w:rsidR="00A72FD1" w:rsidRPr="00A72FD1">
        <w:rPr>
          <w:b/>
          <w:i w:val="0"/>
          <w:color w:val="auto"/>
          <w:sz w:val="22"/>
        </w:rPr>
        <w:t xml:space="preserve">Table </w:t>
      </w:r>
      <w:r w:rsidR="00A72FD1" w:rsidRPr="00A72FD1">
        <w:rPr>
          <w:b/>
          <w:i w:val="0"/>
          <w:color w:val="auto"/>
          <w:sz w:val="22"/>
        </w:rPr>
        <w:fldChar w:fldCharType="begin"/>
      </w:r>
      <w:r w:rsidR="00A72FD1" w:rsidRPr="00A72FD1">
        <w:rPr>
          <w:b/>
          <w:i w:val="0"/>
          <w:color w:val="auto"/>
          <w:sz w:val="22"/>
        </w:rPr>
        <w:instrText xml:space="preserve"> SEQ Table \* ARABIC </w:instrText>
      </w:r>
      <w:r w:rsidR="00A72FD1" w:rsidRPr="00A72FD1">
        <w:rPr>
          <w:b/>
          <w:i w:val="0"/>
          <w:color w:val="auto"/>
          <w:sz w:val="22"/>
        </w:rPr>
        <w:fldChar w:fldCharType="separate"/>
      </w:r>
      <w:r>
        <w:rPr>
          <w:b/>
          <w:i w:val="0"/>
          <w:noProof/>
          <w:color w:val="auto"/>
          <w:sz w:val="22"/>
        </w:rPr>
        <w:t>2</w:t>
      </w:r>
      <w:r w:rsidR="00A72FD1" w:rsidRPr="00A72FD1">
        <w:rPr>
          <w:b/>
          <w:i w:val="0"/>
          <w:color w:val="auto"/>
          <w:sz w:val="22"/>
        </w:rPr>
        <w:fldChar w:fldCharType="end"/>
      </w:r>
      <w:r w:rsidR="00A72FD1" w:rsidRPr="00A72FD1">
        <w:rPr>
          <w:b/>
          <w:i w:val="0"/>
          <w:color w:val="auto"/>
          <w:sz w:val="22"/>
        </w:rPr>
        <w:t xml:space="preserve"> </w:t>
      </w:r>
      <w:r w:rsidR="00A72FD1" w:rsidRPr="00A72FD1">
        <w:rPr>
          <w:b/>
          <w:i w:val="0"/>
          <w:color w:val="auto"/>
          <w:sz w:val="22"/>
        </w:rPr>
        <w:tab/>
        <w:t>Fre</w:t>
      </w:r>
      <w:r w:rsidR="00377501">
        <w:rPr>
          <w:b/>
          <w:i w:val="0"/>
          <w:color w:val="auto"/>
          <w:sz w:val="22"/>
        </w:rPr>
        <w:t>quency of asthma exacerbations d</w:t>
      </w:r>
      <w:r w:rsidR="00A72FD1" w:rsidRPr="00A72FD1">
        <w:rPr>
          <w:b/>
          <w:i w:val="0"/>
          <w:color w:val="auto"/>
          <w:sz w:val="22"/>
        </w:rPr>
        <w:t>uring the 52-week treatment period - Studies I and II</w:t>
      </w:r>
      <w:r w:rsidR="000E4674">
        <w:rPr>
          <w:b/>
          <w:i w:val="0"/>
          <w:color w:val="auto"/>
          <w:sz w:val="22"/>
        </w:rPr>
        <w:t>, integrated data (Studies I and II) for the overall population and subgroup GINA 4 and 5</w:t>
      </w:r>
    </w:p>
    <w:tbl>
      <w:tblPr>
        <w:tblW w:w="928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321"/>
        <w:gridCol w:w="2322"/>
        <w:gridCol w:w="35"/>
        <w:gridCol w:w="2268"/>
        <w:gridCol w:w="19"/>
        <w:gridCol w:w="2322"/>
      </w:tblGrid>
      <w:tr w:rsidR="00A72FD1" w:rsidRPr="00A72FD1" w14:paraId="1E9E9691" w14:textId="77777777" w:rsidTr="009D4F2D">
        <w:tc>
          <w:tcPr>
            <w:tcW w:w="2321" w:type="dxa"/>
          </w:tcPr>
          <w:p w14:paraId="56BEB280" w14:textId="77777777" w:rsidR="00A72FD1" w:rsidRPr="00A72FD1" w:rsidRDefault="00A72FD1" w:rsidP="00A72FD1">
            <w:pPr>
              <w:keepNext/>
              <w:keepLines/>
              <w:autoSpaceDE w:val="0"/>
              <w:autoSpaceDN w:val="0"/>
              <w:adjustRightInd w:val="0"/>
              <w:spacing w:after="0"/>
              <w:rPr>
                <w:iCs/>
                <w:sz w:val="20"/>
              </w:rPr>
            </w:pPr>
          </w:p>
        </w:tc>
        <w:tc>
          <w:tcPr>
            <w:tcW w:w="2357" w:type="dxa"/>
            <w:gridSpan w:val="2"/>
            <w:tcBorders>
              <w:bottom w:val="single" w:sz="4" w:space="0" w:color="auto"/>
            </w:tcBorders>
          </w:tcPr>
          <w:p w14:paraId="6CD2BAF4" w14:textId="77777777" w:rsidR="00A72FD1" w:rsidRPr="00A72FD1" w:rsidRDefault="00A72FD1" w:rsidP="00A72FD1">
            <w:pPr>
              <w:keepNext/>
              <w:keepLines/>
              <w:autoSpaceDE w:val="0"/>
              <w:autoSpaceDN w:val="0"/>
              <w:adjustRightInd w:val="0"/>
              <w:spacing w:after="0"/>
              <w:rPr>
                <w:b/>
                <w:iCs/>
                <w:sz w:val="20"/>
              </w:rPr>
            </w:pPr>
            <w:r w:rsidRPr="00A72FD1">
              <w:rPr>
                <w:b/>
                <w:iCs/>
                <w:sz w:val="20"/>
              </w:rPr>
              <w:t>Treatment arms</w:t>
            </w:r>
            <w:r>
              <w:rPr>
                <w:b/>
                <w:iCs/>
                <w:sz w:val="20"/>
              </w:rPr>
              <w:t xml:space="preserve"> </w:t>
            </w:r>
            <w:r w:rsidRPr="00A72FD1">
              <w:rPr>
                <w:b/>
                <w:iCs/>
                <w:sz w:val="20"/>
              </w:rPr>
              <w:t>(n)</w:t>
            </w:r>
          </w:p>
        </w:tc>
        <w:tc>
          <w:tcPr>
            <w:tcW w:w="2268" w:type="dxa"/>
            <w:tcBorders>
              <w:bottom w:val="single" w:sz="4" w:space="0" w:color="auto"/>
            </w:tcBorders>
          </w:tcPr>
          <w:p w14:paraId="6B5B1667" w14:textId="77777777" w:rsidR="00A72FD1" w:rsidRPr="00A72FD1" w:rsidRDefault="00A72FD1" w:rsidP="00A72FD1">
            <w:pPr>
              <w:keepNext/>
              <w:keepLines/>
              <w:autoSpaceDE w:val="0"/>
              <w:autoSpaceDN w:val="0"/>
              <w:adjustRightInd w:val="0"/>
              <w:spacing w:after="0"/>
              <w:jc w:val="center"/>
              <w:rPr>
                <w:b/>
                <w:iCs/>
                <w:sz w:val="20"/>
              </w:rPr>
            </w:pPr>
            <w:r w:rsidRPr="00A72FD1">
              <w:rPr>
                <w:b/>
                <w:iCs/>
                <w:sz w:val="20"/>
              </w:rPr>
              <w:t xml:space="preserve">Asthma exacerbation </w:t>
            </w:r>
            <w:proofErr w:type="spellStart"/>
            <w:r w:rsidRPr="00A72FD1">
              <w:rPr>
                <w:b/>
                <w:iCs/>
                <w:sz w:val="20"/>
              </w:rPr>
              <w:t>rate</w:t>
            </w:r>
            <w:r w:rsidRPr="00A72FD1">
              <w:rPr>
                <w:b/>
                <w:iCs/>
                <w:sz w:val="20"/>
                <w:vertAlign w:val="superscript"/>
              </w:rPr>
              <w:t>a</w:t>
            </w:r>
            <w:proofErr w:type="spellEnd"/>
          </w:p>
        </w:tc>
        <w:tc>
          <w:tcPr>
            <w:tcW w:w="2341" w:type="dxa"/>
            <w:gridSpan w:val="2"/>
          </w:tcPr>
          <w:p w14:paraId="20775FB0" w14:textId="77777777" w:rsidR="00A72FD1" w:rsidRPr="00A72FD1" w:rsidRDefault="00A72FD1" w:rsidP="00A72FD1">
            <w:pPr>
              <w:keepNext/>
              <w:keepLines/>
              <w:autoSpaceDE w:val="0"/>
              <w:autoSpaceDN w:val="0"/>
              <w:adjustRightInd w:val="0"/>
              <w:spacing w:after="0"/>
              <w:jc w:val="center"/>
              <w:rPr>
                <w:b/>
                <w:iCs/>
                <w:sz w:val="20"/>
              </w:rPr>
            </w:pPr>
            <w:r w:rsidRPr="00A72FD1">
              <w:rPr>
                <w:b/>
                <w:iCs/>
                <w:sz w:val="20"/>
              </w:rPr>
              <w:t>% reduction</w:t>
            </w:r>
          </w:p>
        </w:tc>
      </w:tr>
      <w:tr w:rsidR="000E4674" w:rsidRPr="00A72FD1" w14:paraId="4E947551" w14:textId="77777777" w:rsidTr="009D4F2D">
        <w:tc>
          <w:tcPr>
            <w:tcW w:w="2321" w:type="dxa"/>
          </w:tcPr>
          <w:p w14:paraId="50F2FDDB" w14:textId="419B3D83" w:rsidR="000E4674" w:rsidRPr="009D4F2D" w:rsidRDefault="000E4674" w:rsidP="00A72FD1">
            <w:pPr>
              <w:keepNext/>
              <w:keepLines/>
              <w:autoSpaceDE w:val="0"/>
              <w:autoSpaceDN w:val="0"/>
              <w:adjustRightInd w:val="0"/>
              <w:spacing w:after="0"/>
              <w:rPr>
                <w:b/>
                <w:iCs/>
                <w:sz w:val="20"/>
              </w:rPr>
            </w:pPr>
            <w:r w:rsidRPr="009D4F2D">
              <w:rPr>
                <w:b/>
                <w:iCs/>
                <w:sz w:val="20"/>
              </w:rPr>
              <w:t>Data by study</w:t>
            </w:r>
          </w:p>
        </w:tc>
        <w:tc>
          <w:tcPr>
            <w:tcW w:w="2357" w:type="dxa"/>
            <w:gridSpan w:val="2"/>
            <w:tcBorders>
              <w:bottom w:val="single" w:sz="4" w:space="0" w:color="auto"/>
            </w:tcBorders>
          </w:tcPr>
          <w:p w14:paraId="150195C0" w14:textId="77777777" w:rsidR="000E4674" w:rsidRPr="00A72FD1" w:rsidRDefault="000E4674" w:rsidP="00A72FD1">
            <w:pPr>
              <w:keepNext/>
              <w:keepLines/>
              <w:autoSpaceDE w:val="0"/>
              <w:autoSpaceDN w:val="0"/>
              <w:adjustRightInd w:val="0"/>
              <w:spacing w:after="0"/>
              <w:rPr>
                <w:b/>
                <w:iCs/>
                <w:sz w:val="20"/>
              </w:rPr>
            </w:pPr>
          </w:p>
        </w:tc>
        <w:tc>
          <w:tcPr>
            <w:tcW w:w="2268" w:type="dxa"/>
            <w:tcBorders>
              <w:bottom w:val="single" w:sz="4" w:space="0" w:color="auto"/>
            </w:tcBorders>
          </w:tcPr>
          <w:p w14:paraId="78DA9C65" w14:textId="77777777" w:rsidR="000E4674" w:rsidRPr="00A72FD1" w:rsidRDefault="000E4674" w:rsidP="00A72FD1">
            <w:pPr>
              <w:keepNext/>
              <w:keepLines/>
              <w:autoSpaceDE w:val="0"/>
              <w:autoSpaceDN w:val="0"/>
              <w:adjustRightInd w:val="0"/>
              <w:spacing w:after="0"/>
              <w:jc w:val="center"/>
              <w:rPr>
                <w:b/>
                <w:iCs/>
                <w:sz w:val="20"/>
              </w:rPr>
            </w:pPr>
          </w:p>
        </w:tc>
        <w:tc>
          <w:tcPr>
            <w:tcW w:w="2341" w:type="dxa"/>
            <w:gridSpan w:val="2"/>
          </w:tcPr>
          <w:p w14:paraId="75AED0FD" w14:textId="77777777" w:rsidR="000E4674" w:rsidRPr="00A72FD1" w:rsidRDefault="000E4674" w:rsidP="00A72FD1">
            <w:pPr>
              <w:keepNext/>
              <w:keepLines/>
              <w:autoSpaceDE w:val="0"/>
              <w:autoSpaceDN w:val="0"/>
              <w:adjustRightInd w:val="0"/>
              <w:spacing w:after="0"/>
              <w:jc w:val="center"/>
              <w:rPr>
                <w:b/>
                <w:iCs/>
                <w:sz w:val="20"/>
              </w:rPr>
            </w:pPr>
          </w:p>
        </w:tc>
      </w:tr>
      <w:tr w:rsidR="00A72FD1" w:rsidRPr="00A72FD1" w14:paraId="637B92F3" w14:textId="77777777" w:rsidTr="009D4F2D">
        <w:trPr>
          <w:trHeight w:val="278"/>
        </w:trPr>
        <w:tc>
          <w:tcPr>
            <w:tcW w:w="2321" w:type="dxa"/>
            <w:vMerge w:val="restart"/>
            <w:vAlign w:val="center"/>
          </w:tcPr>
          <w:p w14:paraId="4502F1EC" w14:textId="77777777" w:rsidR="00A72FD1" w:rsidRPr="00A72FD1" w:rsidRDefault="00A72FD1" w:rsidP="00A72FD1">
            <w:pPr>
              <w:keepNext/>
              <w:keepLines/>
              <w:autoSpaceDE w:val="0"/>
              <w:autoSpaceDN w:val="0"/>
              <w:adjustRightInd w:val="0"/>
              <w:spacing w:after="0"/>
              <w:rPr>
                <w:b/>
                <w:iCs/>
                <w:sz w:val="20"/>
              </w:rPr>
            </w:pPr>
            <w:r w:rsidRPr="00A72FD1">
              <w:rPr>
                <w:b/>
                <w:iCs/>
                <w:sz w:val="20"/>
              </w:rPr>
              <w:t>Study I</w:t>
            </w:r>
          </w:p>
        </w:tc>
        <w:tc>
          <w:tcPr>
            <w:tcW w:w="2357" w:type="dxa"/>
            <w:gridSpan w:val="2"/>
            <w:tcBorders>
              <w:bottom w:val="nil"/>
            </w:tcBorders>
            <w:vAlign w:val="center"/>
          </w:tcPr>
          <w:p w14:paraId="1D07BBE2" w14:textId="57782DEF" w:rsidR="00A72FD1" w:rsidRPr="00A72FD1" w:rsidRDefault="00E30C70" w:rsidP="00A72FD1">
            <w:pPr>
              <w:keepNext/>
              <w:keepLines/>
              <w:autoSpaceDE w:val="0"/>
              <w:autoSpaceDN w:val="0"/>
              <w:adjustRightInd w:val="0"/>
              <w:spacing w:after="0"/>
              <w:rPr>
                <w:iCs/>
                <w:sz w:val="20"/>
              </w:rPr>
            </w:pPr>
            <w:r>
              <w:rPr>
                <w:iCs/>
                <w:sz w:val="20"/>
              </w:rPr>
              <w:t>CINQAIR</w:t>
            </w:r>
            <w:r w:rsidR="00A72FD1" w:rsidRPr="00A72FD1">
              <w:rPr>
                <w:iCs/>
                <w:sz w:val="20"/>
              </w:rPr>
              <w:t xml:space="preserve"> 3 mg/kg</w:t>
            </w:r>
            <w:r w:rsidR="00A72FD1">
              <w:rPr>
                <w:iCs/>
                <w:sz w:val="20"/>
              </w:rPr>
              <w:t xml:space="preserve"> </w:t>
            </w:r>
            <w:r w:rsidR="00A72FD1" w:rsidRPr="00A72FD1">
              <w:rPr>
                <w:iCs/>
                <w:sz w:val="20"/>
              </w:rPr>
              <w:t>(n=245)</w:t>
            </w:r>
          </w:p>
        </w:tc>
        <w:tc>
          <w:tcPr>
            <w:tcW w:w="2268" w:type="dxa"/>
            <w:tcBorders>
              <w:bottom w:val="nil"/>
            </w:tcBorders>
            <w:vAlign w:val="center"/>
          </w:tcPr>
          <w:p w14:paraId="4CBF9C13" w14:textId="45BC0699" w:rsidR="00A72FD1" w:rsidRPr="00A72FD1" w:rsidRDefault="00A72FD1">
            <w:pPr>
              <w:keepNext/>
              <w:keepLines/>
              <w:autoSpaceDE w:val="0"/>
              <w:autoSpaceDN w:val="0"/>
              <w:adjustRightInd w:val="0"/>
              <w:spacing w:after="0"/>
              <w:jc w:val="center"/>
              <w:rPr>
                <w:iCs/>
                <w:sz w:val="20"/>
              </w:rPr>
            </w:pPr>
            <w:r w:rsidRPr="00A72FD1">
              <w:rPr>
                <w:iCs/>
                <w:sz w:val="20"/>
              </w:rPr>
              <w:t>0.90</w:t>
            </w:r>
          </w:p>
        </w:tc>
        <w:tc>
          <w:tcPr>
            <w:tcW w:w="2341" w:type="dxa"/>
            <w:gridSpan w:val="2"/>
            <w:vMerge w:val="restart"/>
            <w:vAlign w:val="center"/>
          </w:tcPr>
          <w:p w14:paraId="6DD36FF9" w14:textId="77777777" w:rsidR="00A72FD1" w:rsidRPr="00A72FD1" w:rsidRDefault="00A72FD1" w:rsidP="00A72FD1">
            <w:pPr>
              <w:keepNext/>
              <w:keepLines/>
              <w:autoSpaceDE w:val="0"/>
              <w:autoSpaceDN w:val="0"/>
              <w:adjustRightInd w:val="0"/>
              <w:spacing w:after="0"/>
              <w:jc w:val="center"/>
              <w:rPr>
                <w:iCs/>
                <w:sz w:val="20"/>
              </w:rPr>
            </w:pPr>
            <w:r w:rsidRPr="00A72FD1">
              <w:rPr>
                <w:iCs/>
                <w:sz w:val="20"/>
              </w:rPr>
              <w:t>50%</w:t>
            </w:r>
            <w:r>
              <w:rPr>
                <w:iCs/>
                <w:sz w:val="20"/>
              </w:rPr>
              <w:br/>
            </w:r>
            <w:r w:rsidRPr="00A72FD1">
              <w:rPr>
                <w:iCs/>
                <w:sz w:val="20"/>
              </w:rPr>
              <w:t>(p&lt;0.0001)</w:t>
            </w:r>
          </w:p>
        </w:tc>
      </w:tr>
      <w:tr w:rsidR="00A72FD1" w:rsidRPr="00A72FD1" w14:paraId="57CC4C53" w14:textId="77777777" w:rsidTr="009D4F2D">
        <w:trPr>
          <w:trHeight w:val="277"/>
        </w:trPr>
        <w:tc>
          <w:tcPr>
            <w:tcW w:w="2321" w:type="dxa"/>
            <w:vMerge/>
            <w:vAlign w:val="center"/>
          </w:tcPr>
          <w:p w14:paraId="16C158E9" w14:textId="77777777" w:rsidR="00A72FD1" w:rsidRPr="00A72FD1" w:rsidRDefault="00A72FD1" w:rsidP="00A72FD1">
            <w:pPr>
              <w:keepNext/>
              <w:keepLines/>
              <w:autoSpaceDE w:val="0"/>
              <w:autoSpaceDN w:val="0"/>
              <w:adjustRightInd w:val="0"/>
              <w:spacing w:after="0"/>
              <w:rPr>
                <w:b/>
                <w:iCs/>
                <w:sz w:val="20"/>
              </w:rPr>
            </w:pPr>
          </w:p>
        </w:tc>
        <w:tc>
          <w:tcPr>
            <w:tcW w:w="2357" w:type="dxa"/>
            <w:gridSpan w:val="2"/>
            <w:tcBorders>
              <w:top w:val="nil"/>
              <w:bottom w:val="single" w:sz="4" w:space="0" w:color="auto"/>
            </w:tcBorders>
            <w:vAlign w:val="center"/>
          </w:tcPr>
          <w:p w14:paraId="127C93F3" w14:textId="77777777" w:rsidR="00A72FD1" w:rsidRPr="00A72FD1" w:rsidRDefault="00A72FD1" w:rsidP="00A72FD1">
            <w:pPr>
              <w:keepNext/>
              <w:keepLines/>
              <w:autoSpaceDE w:val="0"/>
              <w:autoSpaceDN w:val="0"/>
              <w:adjustRightInd w:val="0"/>
              <w:spacing w:after="0"/>
              <w:rPr>
                <w:iCs/>
                <w:sz w:val="20"/>
              </w:rPr>
            </w:pPr>
            <w:r>
              <w:rPr>
                <w:iCs/>
                <w:sz w:val="20"/>
              </w:rPr>
              <w:t xml:space="preserve">Placebo </w:t>
            </w:r>
            <w:r w:rsidRPr="00A72FD1">
              <w:rPr>
                <w:iCs/>
                <w:sz w:val="20"/>
              </w:rPr>
              <w:t>(n=244)</w:t>
            </w:r>
          </w:p>
        </w:tc>
        <w:tc>
          <w:tcPr>
            <w:tcW w:w="2268" w:type="dxa"/>
            <w:tcBorders>
              <w:top w:val="nil"/>
              <w:bottom w:val="single" w:sz="4" w:space="0" w:color="auto"/>
            </w:tcBorders>
            <w:vAlign w:val="center"/>
          </w:tcPr>
          <w:p w14:paraId="504498AF" w14:textId="5955E78F" w:rsidR="00A72FD1" w:rsidRPr="00A72FD1" w:rsidRDefault="00A72FD1">
            <w:pPr>
              <w:keepNext/>
              <w:keepLines/>
              <w:autoSpaceDE w:val="0"/>
              <w:autoSpaceDN w:val="0"/>
              <w:adjustRightInd w:val="0"/>
              <w:spacing w:after="0"/>
              <w:jc w:val="center"/>
              <w:rPr>
                <w:iCs/>
                <w:sz w:val="20"/>
              </w:rPr>
            </w:pPr>
            <w:r w:rsidRPr="00A72FD1">
              <w:rPr>
                <w:iCs/>
                <w:sz w:val="20"/>
              </w:rPr>
              <w:t>1.80</w:t>
            </w:r>
          </w:p>
        </w:tc>
        <w:tc>
          <w:tcPr>
            <w:tcW w:w="2341" w:type="dxa"/>
            <w:gridSpan w:val="2"/>
            <w:vMerge/>
            <w:vAlign w:val="center"/>
          </w:tcPr>
          <w:p w14:paraId="72A24F62" w14:textId="77777777" w:rsidR="00A72FD1" w:rsidRPr="00A72FD1" w:rsidRDefault="00A72FD1" w:rsidP="00A72FD1">
            <w:pPr>
              <w:keepNext/>
              <w:keepLines/>
              <w:autoSpaceDE w:val="0"/>
              <w:autoSpaceDN w:val="0"/>
              <w:adjustRightInd w:val="0"/>
              <w:spacing w:after="0"/>
              <w:jc w:val="center"/>
              <w:rPr>
                <w:iCs/>
                <w:sz w:val="20"/>
              </w:rPr>
            </w:pPr>
          </w:p>
        </w:tc>
      </w:tr>
      <w:tr w:rsidR="00A72FD1" w:rsidRPr="00A72FD1" w14:paraId="62F12527" w14:textId="77777777" w:rsidTr="009D4F2D">
        <w:trPr>
          <w:trHeight w:val="278"/>
        </w:trPr>
        <w:tc>
          <w:tcPr>
            <w:tcW w:w="2321" w:type="dxa"/>
            <w:vMerge w:val="restart"/>
            <w:vAlign w:val="center"/>
          </w:tcPr>
          <w:p w14:paraId="5398F161" w14:textId="77777777" w:rsidR="00A72FD1" w:rsidRPr="00A72FD1" w:rsidRDefault="00A72FD1" w:rsidP="00A72FD1">
            <w:pPr>
              <w:keepNext/>
              <w:keepLines/>
              <w:autoSpaceDE w:val="0"/>
              <w:autoSpaceDN w:val="0"/>
              <w:adjustRightInd w:val="0"/>
              <w:spacing w:after="0"/>
              <w:rPr>
                <w:b/>
                <w:iCs/>
                <w:sz w:val="20"/>
              </w:rPr>
            </w:pPr>
            <w:r w:rsidRPr="00A72FD1">
              <w:rPr>
                <w:b/>
                <w:iCs/>
                <w:sz w:val="20"/>
              </w:rPr>
              <w:t xml:space="preserve">Study II </w:t>
            </w:r>
          </w:p>
        </w:tc>
        <w:tc>
          <w:tcPr>
            <w:tcW w:w="2357" w:type="dxa"/>
            <w:gridSpan w:val="2"/>
            <w:tcBorders>
              <w:bottom w:val="nil"/>
            </w:tcBorders>
            <w:vAlign w:val="center"/>
          </w:tcPr>
          <w:p w14:paraId="2D70FF4A" w14:textId="30EBE82E" w:rsidR="00A72FD1" w:rsidRPr="00A72FD1" w:rsidRDefault="00E30C70" w:rsidP="00A72FD1">
            <w:pPr>
              <w:keepNext/>
              <w:keepLines/>
              <w:autoSpaceDE w:val="0"/>
              <w:autoSpaceDN w:val="0"/>
              <w:adjustRightInd w:val="0"/>
              <w:spacing w:after="0"/>
              <w:rPr>
                <w:iCs/>
                <w:sz w:val="20"/>
              </w:rPr>
            </w:pPr>
            <w:r>
              <w:rPr>
                <w:iCs/>
                <w:sz w:val="20"/>
              </w:rPr>
              <w:t>CINQAIR</w:t>
            </w:r>
            <w:r w:rsidR="00A72FD1">
              <w:rPr>
                <w:iCs/>
                <w:sz w:val="20"/>
              </w:rPr>
              <w:t xml:space="preserve"> 3 mg/kg </w:t>
            </w:r>
            <w:r w:rsidR="00A72FD1" w:rsidRPr="00A72FD1">
              <w:rPr>
                <w:iCs/>
                <w:sz w:val="20"/>
              </w:rPr>
              <w:t>(n=232)</w:t>
            </w:r>
          </w:p>
        </w:tc>
        <w:tc>
          <w:tcPr>
            <w:tcW w:w="2268" w:type="dxa"/>
            <w:tcBorders>
              <w:bottom w:val="nil"/>
            </w:tcBorders>
            <w:vAlign w:val="center"/>
          </w:tcPr>
          <w:p w14:paraId="62FE86AF" w14:textId="4FA139D5" w:rsidR="00A72FD1" w:rsidRPr="00A72FD1" w:rsidRDefault="00A72FD1">
            <w:pPr>
              <w:keepNext/>
              <w:keepLines/>
              <w:autoSpaceDE w:val="0"/>
              <w:autoSpaceDN w:val="0"/>
              <w:adjustRightInd w:val="0"/>
              <w:spacing w:after="0"/>
              <w:jc w:val="center"/>
              <w:rPr>
                <w:iCs/>
                <w:sz w:val="20"/>
              </w:rPr>
            </w:pPr>
            <w:r w:rsidRPr="00A72FD1">
              <w:rPr>
                <w:iCs/>
                <w:sz w:val="20"/>
              </w:rPr>
              <w:t>0.</w:t>
            </w:r>
            <w:r w:rsidR="000E4674">
              <w:rPr>
                <w:iCs/>
                <w:sz w:val="20"/>
              </w:rPr>
              <w:t>86</w:t>
            </w:r>
          </w:p>
        </w:tc>
        <w:tc>
          <w:tcPr>
            <w:tcW w:w="2341" w:type="dxa"/>
            <w:gridSpan w:val="2"/>
            <w:vMerge w:val="restart"/>
            <w:vAlign w:val="center"/>
          </w:tcPr>
          <w:p w14:paraId="5981C861" w14:textId="77777777" w:rsidR="00A72FD1" w:rsidRPr="00A72FD1" w:rsidRDefault="00A72FD1" w:rsidP="00A72FD1">
            <w:pPr>
              <w:keepNext/>
              <w:keepLines/>
              <w:autoSpaceDE w:val="0"/>
              <w:autoSpaceDN w:val="0"/>
              <w:adjustRightInd w:val="0"/>
              <w:spacing w:after="0"/>
              <w:jc w:val="center"/>
              <w:rPr>
                <w:iCs/>
                <w:sz w:val="20"/>
              </w:rPr>
            </w:pPr>
            <w:r>
              <w:rPr>
                <w:iCs/>
                <w:sz w:val="20"/>
              </w:rPr>
              <w:t>59%</w:t>
            </w:r>
            <w:r>
              <w:rPr>
                <w:iCs/>
                <w:sz w:val="20"/>
              </w:rPr>
              <w:br/>
            </w:r>
            <w:r w:rsidRPr="00A72FD1">
              <w:rPr>
                <w:iCs/>
                <w:sz w:val="20"/>
              </w:rPr>
              <w:t>(p&lt;0.0001)</w:t>
            </w:r>
          </w:p>
        </w:tc>
      </w:tr>
      <w:tr w:rsidR="00A72FD1" w:rsidRPr="00A72FD1" w14:paraId="0140D9F7" w14:textId="77777777" w:rsidTr="009D4F2D">
        <w:trPr>
          <w:trHeight w:val="277"/>
        </w:trPr>
        <w:tc>
          <w:tcPr>
            <w:tcW w:w="2321" w:type="dxa"/>
            <w:vMerge/>
          </w:tcPr>
          <w:p w14:paraId="582B22EE" w14:textId="77777777" w:rsidR="00A72FD1" w:rsidRPr="00A72FD1" w:rsidRDefault="00A72FD1" w:rsidP="00A72FD1">
            <w:pPr>
              <w:keepNext/>
              <w:keepLines/>
              <w:autoSpaceDE w:val="0"/>
              <w:autoSpaceDN w:val="0"/>
              <w:adjustRightInd w:val="0"/>
              <w:spacing w:after="0"/>
              <w:rPr>
                <w:b/>
                <w:iCs/>
                <w:sz w:val="20"/>
              </w:rPr>
            </w:pPr>
          </w:p>
        </w:tc>
        <w:tc>
          <w:tcPr>
            <w:tcW w:w="2357" w:type="dxa"/>
            <w:gridSpan w:val="2"/>
            <w:tcBorders>
              <w:top w:val="nil"/>
            </w:tcBorders>
            <w:vAlign w:val="center"/>
          </w:tcPr>
          <w:p w14:paraId="09E7F588" w14:textId="77777777" w:rsidR="00A72FD1" w:rsidRPr="00A72FD1" w:rsidRDefault="00A72FD1" w:rsidP="00A72FD1">
            <w:pPr>
              <w:keepNext/>
              <w:keepLines/>
              <w:autoSpaceDE w:val="0"/>
              <w:autoSpaceDN w:val="0"/>
              <w:adjustRightInd w:val="0"/>
              <w:spacing w:after="0"/>
              <w:rPr>
                <w:iCs/>
                <w:sz w:val="20"/>
              </w:rPr>
            </w:pPr>
            <w:r>
              <w:rPr>
                <w:iCs/>
                <w:sz w:val="20"/>
              </w:rPr>
              <w:t xml:space="preserve">Placebo </w:t>
            </w:r>
            <w:r w:rsidRPr="00A72FD1">
              <w:rPr>
                <w:iCs/>
                <w:sz w:val="20"/>
              </w:rPr>
              <w:t>(n=232)</w:t>
            </w:r>
          </w:p>
        </w:tc>
        <w:tc>
          <w:tcPr>
            <w:tcW w:w="2268" w:type="dxa"/>
            <w:tcBorders>
              <w:top w:val="nil"/>
            </w:tcBorders>
            <w:vAlign w:val="center"/>
          </w:tcPr>
          <w:p w14:paraId="22C3198E" w14:textId="773474E5" w:rsidR="00A72FD1" w:rsidRPr="00A72FD1" w:rsidRDefault="00A72FD1">
            <w:pPr>
              <w:keepNext/>
              <w:keepLines/>
              <w:autoSpaceDE w:val="0"/>
              <w:autoSpaceDN w:val="0"/>
              <w:adjustRightInd w:val="0"/>
              <w:spacing w:after="0"/>
              <w:jc w:val="center"/>
              <w:rPr>
                <w:iCs/>
                <w:sz w:val="20"/>
              </w:rPr>
            </w:pPr>
            <w:r w:rsidRPr="00A72FD1">
              <w:rPr>
                <w:iCs/>
                <w:sz w:val="20"/>
              </w:rPr>
              <w:t>2.</w:t>
            </w:r>
            <w:r w:rsidR="000E4674">
              <w:rPr>
                <w:iCs/>
                <w:sz w:val="20"/>
              </w:rPr>
              <w:t>12</w:t>
            </w:r>
          </w:p>
        </w:tc>
        <w:tc>
          <w:tcPr>
            <w:tcW w:w="2341" w:type="dxa"/>
            <w:gridSpan w:val="2"/>
            <w:vMerge/>
            <w:vAlign w:val="center"/>
          </w:tcPr>
          <w:p w14:paraId="31B82A70" w14:textId="77777777" w:rsidR="00A72FD1" w:rsidRPr="00A72FD1" w:rsidRDefault="00A72FD1" w:rsidP="00A72FD1">
            <w:pPr>
              <w:keepNext/>
              <w:keepLines/>
              <w:autoSpaceDE w:val="0"/>
              <w:autoSpaceDN w:val="0"/>
              <w:adjustRightInd w:val="0"/>
              <w:spacing w:after="0"/>
              <w:rPr>
                <w:iCs/>
                <w:sz w:val="20"/>
              </w:rPr>
            </w:pPr>
          </w:p>
        </w:tc>
      </w:tr>
      <w:tr w:rsidR="000E4674" w:rsidRPr="00A72FD1" w14:paraId="0B9983FC" w14:textId="77777777" w:rsidTr="00A72FD1">
        <w:trPr>
          <w:trHeight w:val="277"/>
        </w:trPr>
        <w:tc>
          <w:tcPr>
            <w:tcW w:w="9287" w:type="dxa"/>
            <w:gridSpan w:val="6"/>
            <w:vAlign w:val="center"/>
          </w:tcPr>
          <w:p w14:paraId="21491439" w14:textId="1B6913A5" w:rsidR="000E4674" w:rsidRPr="009D4F2D" w:rsidRDefault="000E4674" w:rsidP="00A72FD1">
            <w:pPr>
              <w:keepNext/>
              <w:keepLines/>
              <w:autoSpaceDE w:val="0"/>
              <w:autoSpaceDN w:val="0"/>
              <w:adjustRightInd w:val="0"/>
              <w:spacing w:after="0"/>
              <w:rPr>
                <w:b/>
                <w:iCs/>
                <w:sz w:val="20"/>
              </w:rPr>
            </w:pPr>
            <w:r w:rsidRPr="009D4F2D">
              <w:rPr>
                <w:b/>
                <w:iCs/>
                <w:sz w:val="20"/>
              </w:rPr>
              <w:t>Integrated Studies I and II</w:t>
            </w:r>
          </w:p>
        </w:tc>
      </w:tr>
      <w:tr w:rsidR="000E4674" w:rsidRPr="00A72FD1" w14:paraId="4B650244" w14:textId="77777777" w:rsidTr="009D4F2D">
        <w:trPr>
          <w:trHeight w:val="277"/>
        </w:trPr>
        <w:tc>
          <w:tcPr>
            <w:tcW w:w="2321" w:type="dxa"/>
            <w:vMerge w:val="restart"/>
            <w:vAlign w:val="center"/>
          </w:tcPr>
          <w:p w14:paraId="3875FB06" w14:textId="77777777" w:rsidR="000E4674" w:rsidRPr="009D4F2D" w:rsidRDefault="000E4674" w:rsidP="00A72FD1">
            <w:pPr>
              <w:keepNext/>
              <w:keepLines/>
              <w:autoSpaceDE w:val="0"/>
              <w:autoSpaceDN w:val="0"/>
              <w:adjustRightInd w:val="0"/>
              <w:spacing w:after="0"/>
              <w:rPr>
                <w:b/>
                <w:iCs/>
                <w:sz w:val="20"/>
              </w:rPr>
            </w:pPr>
            <w:r w:rsidRPr="009D4F2D">
              <w:rPr>
                <w:b/>
                <w:iCs/>
                <w:sz w:val="20"/>
              </w:rPr>
              <w:t>Overall population</w:t>
            </w:r>
          </w:p>
        </w:tc>
        <w:tc>
          <w:tcPr>
            <w:tcW w:w="2322" w:type="dxa"/>
            <w:vAlign w:val="center"/>
          </w:tcPr>
          <w:p w14:paraId="2959C6E7" w14:textId="77777777" w:rsidR="000E4674" w:rsidRDefault="000E4674" w:rsidP="00A72FD1">
            <w:pPr>
              <w:keepNext/>
              <w:keepLines/>
              <w:autoSpaceDE w:val="0"/>
              <w:autoSpaceDN w:val="0"/>
              <w:adjustRightInd w:val="0"/>
              <w:spacing w:after="0"/>
              <w:rPr>
                <w:iCs/>
                <w:sz w:val="20"/>
              </w:rPr>
            </w:pPr>
            <w:r>
              <w:rPr>
                <w:iCs/>
                <w:sz w:val="20"/>
              </w:rPr>
              <w:t>CINQAIR 3 mg/kg</w:t>
            </w:r>
          </w:p>
          <w:p w14:paraId="212BE9C7" w14:textId="7E4F8592" w:rsidR="000E4674" w:rsidRPr="000E4674" w:rsidRDefault="000E4674" w:rsidP="00A72FD1">
            <w:pPr>
              <w:keepNext/>
              <w:keepLines/>
              <w:autoSpaceDE w:val="0"/>
              <w:autoSpaceDN w:val="0"/>
              <w:adjustRightInd w:val="0"/>
              <w:spacing w:after="0"/>
              <w:rPr>
                <w:iCs/>
                <w:sz w:val="20"/>
              </w:rPr>
            </w:pPr>
            <w:r>
              <w:rPr>
                <w:iCs/>
                <w:sz w:val="20"/>
              </w:rPr>
              <w:t>(n=477)</w:t>
            </w:r>
          </w:p>
        </w:tc>
        <w:tc>
          <w:tcPr>
            <w:tcW w:w="2322" w:type="dxa"/>
            <w:gridSpan w:val="3"/>
            <w:vAlign w:val="center"/>
          </w:tcPr>
          <w:p w14:paraId="2CB42D8B" w14:textId="7F379858" w:rsidR="000E4674" w:rsidRPr="000E4674" w:rsidRDefault="000E4674" w:rsidP="009D4F2D">
            <w:pPr>
              <w:keepNext/>
              <w:keepLines/>
              <w:autoSpaceDE w:val="0"/>
              <w:autoSpaceDN w:val="0"/>
              <w:adjustRightInd w:val="0"/>
              <w:spacing w:after="0"/>
              <w:jc w:val="center"/>
              <w:rPr>
                <w:iCs/>
                <w:sz w:val="20"/>
              </w:rPr>
            </w:pPr>
            <w:r>
              <w:rPr>
                <w:iCs/>
                <w:sz w:val="20"/>
              </w:rPr>
              <w:t>0.84</w:t>
            </w:r>
          </w:p>
        </w:tc>
        <w:tc>
          <w:tcPr>
            <w:tcW w:w="2322" w:type="dxa"/>
            <w:vMerge w:val="restart"/>
            <w:vAlign w:val="center"/>
          </w:tcPr>
          <w:p w14:paraId="0876AA04" w14:textId="76C1AF02" w:rsidR="000E4674" w:rsidRPr="009D4F2D" w:rsidRDefault="000E4674" w:rsidP="009D4F2D">
            <w:pPr>
              <w:keepNext/>
              <w:keepLines/>
              <w:autoSpaceDE w:val="0"/>
              <w:autoSpaceDN w:val="0"/>
              <w:adjustRightInd w:val="0"/>
              <w:spacing w:after="0"/>
              <w:jc w:val="center"/>
              <w:rPr>
                <w:iCs/>
                <w:sz w:val="20"/>
              </w:rPr>
            </w:pPr>
            <w:r w:rsidRPr="00A72FD1">
              <w:rPr>
                <w:iCs/>
                <w:sz w:val="20"/>
              </w:rPr>
              <w:t>5</w:t>
            </w:r>
            <w:r>
              <w:rPr>
                <w:iCs/>
                <w:sz w:val="20"/>
              </w:rPr>
              <w:t>4</w:t>
            </w:r>
            <w:r w:rsidRPr="00A72FD1">
              <w:rPr>
                <w:iCs/>
                <w:sz w:val="20"/>
              </w:rPr>
              <w:t>%</w:t>
            </w:r>
            <w:r>
              <w:rPr>
                <w:iCs/>
                <w:sz w:val="20"/>
              </w:rPr>
              <w:br/>
            </w:r>
            <w:r w:rsidRPr="00A72FD1">
              <w:rPr>
                <w:iCs/>
                <w:sz w:val="20"/>
              </w:rPr>
              <w:t>(p&lt;0.0001)</w:t>
            </w:r>
          </w:p>
        </w:tc>
      </w:tr>
      <w:tr w:rsidR="000E4674" w:rsidRPr="00A72FD1" w14:paraId="023AB1D2" w14:textId="77777777" w:rsidTr="005B12F5">
        <w:trPr>
          <w:trHeight w:val="277"/>
        </w:trPr>
        <w:tc>
          <w:tcPr>
            <w:tcW w:w="2321" w:type="dxa"/>
            <w:vMerge/>
            <w:vAlign w:val="center"/>
          </w:tcPr>
          <w:p w14:paraId="26D48754" w14:textId="74305C3D" w:rsidR="000E4674" w:rsidRPr="009D4F2D" w:rsidRDefault="000E4674" w:rsidP="00A72FD1">
            <w:pPr>
              <w:keepNext/>
              <w:keepLines/>
              <w:autoSpaceDE w:val="0"/>
              <w:autoSpaceDN w:val="0"/>
              <w:adjustRightInd w:val="0"/>
              <w:spacing w:after="0"/>
              <w:rPr>
                <w:b/>
                <w:iCs/>
                <w:sz w:val="20"/>
              </w:rPr>
            </w:pPr>
          </w:p>
        </w:tc>
        <w:tc>
          <w:tcPr>
            <w:tcW w:w="2322" w:type="dxa"/>
            <w:vAlign w:val="center"/>
          </w:tcPr>
          <w:p w14:paraId="4258718A" w14:textId="051B311B" w:rsidR="000E4674" w:rsidRPr="000E4674" w:rsidRDefault="000E4674" w:rsidP="00A72FD1">
            <w:pPr>
              <w:keepNext/>
              <w:keepLines/>
              <w:autoSpaceDE w:val="0"/>
              <w:autoSpaceDN w:val="0"/>
              <w:adjustRightInd w:val="0"/>
              <w:spacing w:after="0"/>
              <w:rPr>
                <w:iCs/>
                <w:sz w:val="20"/>
              </w:rPr>
            </w:pPr>
            <w:r>
              <w:rPr>
                <w:iCs/>
                <w:sz w:val="20"/>
              </w:rPr>
              <w:t>Placebo (n=476</w:t>
            </w:r>
          </w:p>
        </w:tc>
        <w:tc>
          <w:tcPr>
            <w:tcW w:w="2322" w:type="dxa"/>
            <w:gridSpan w:val="3"/>
            <w:vAlign w:val="center"/>
          </w:tcPr>
          <w:p w14:paraId="560894AC" w14:textId="12DC695F" w:rsidR="000E4674" w:rsidRPr="000E4674" w:rsidRDefault="000E4674" w:rsidP="009D4F2D">
            <w:pPr>
              <w:keepNext/>
              <w:keepLines/>
              <w:autoSpaceDE w:val="0"/>
              <w:autoSpaceDN w:val="0"/>
              <w:adjustRightInd w:val="0"/>
              <w:spacing w:after="0"/>
              <w:jc w:val="center"/>
              <w:rPr>
                <w:iCs/>
                <w:sz w:val="20"/>
              </w:rPr>
            </w:pPr>
            <w:r>
              <w:rPr>
                <w:iCs/>
                <w:sz w:val="20"/>
              </w:rPr>
              <w:t>1.81</w:t>
            </w:r>
          </w:p>
        </w:tc>
        <w:tc>
          <w:tcPr>
            <w:tcW w:w="2322" w:type="dxa"/>
            <w:vMerge/>
            <w:vAlign w:val="center"/>
          </w:tcPr>
          <w:p w14:paraId="223C66A6" w14:textId="77777777" w:rsidR="000E4674" w:rsidRPr="000E4674" w:rsidRDefault="000E4674" w:rsidP="009D4F2D">
            <w:pPr>
              <w:keepNext/>
              <w:keepLines/>
              <w:autoSpaceDE w:val="0"/>
              <w:autoSpaceDN w:val="0"/>
              <w:adjustRightInd w:val="0"/>
              <w:spacing w:after="0"/>
              <w:jc w:val="center"/>
              <w:rPr>
                <w:iCs/>
                <w:sz w:val="20"/>
              </w:rPr>
            </w:pPr>
          </w:p>
        </w:tc>
      </w:tr>
      <w:tr w:rsidR="000E4674" w:rsidRPr="00A72FD1" w14:paraId="38FA895A" w14:textId="77777777" w:rsidTr="005B12F5">
        <w:trPr>
          <w:trHeight w:val="277"/>
        </w:trPr>
        <w:tc>
          <w:tcPr>
            <w:tcW w:w="2321" w:type="dxa"/>
            <w:vMerge w:val="restart"/>
            <w:vAlign w:val="center"/>
          </w:tcPr>
          <w:p w14:paraId="1F5A452C" w14:textId="307E4EF9" w:rsidR="000E4674" w:rsidRPr="009D4F2D" w:rsidRDefault="000E4674" w:rsidP="00A72FD1">
            <w:pPr>
              <w:keepNext/>
              <w:keepLines/>
              <w:autoSpaceDE w:val="0"/>
              <w:autoSpaceDN w:val="0"/>
              <w:adjustRightInd w:val="0"/>
              <w:spacing w:after="0"/>
              <w:rPr>
                <w:b/>
                <w:iCs/>
                <w:sz w:val="20"/>
              </w:rPr>
            </w:pPr>
            <w:r w:rsidRPr="009D4F2D">
              <w:rPr>
                <w:b/>
                <w:iCs/>
                <w:sz w:val="20"/>
              </w:rPr>
              <w:t>Subgroup GINA 4 and 5</w:t>
            </w:r>
          </w:p>
        </w:tc>
        <w:tc>
          <w:tcPr>
            <w:tcW w:w="2322" w:type="dxa"/>
            <w:vAlign w:val="center"/>
          </w:tcPr>
          <w:p w14:paraId="100FE8BC" w14:textId="77777777" w:rsidR="000E4674" w:rsidRDefault="000E4674" w:rsidP="00A72FD1">
            <w:pPr>
              <w:keepNext/>
              <w:keepLines/>
              <w:autoSpaceDE w:val="0"/>
              <w:autoSpaceDN w:val="0"/>
              <w:adjustRightInd w:val="0"/>
              <w:spacing w:after="0"/>
              <w:rPr>
                <w:iCs/>
                <w:sz w:val="20"/>
              </w:rPr>
            </w:pPr>
            <w:r>
              <w:rPr>
                <w:iCs/>
                <w:sz w:val="20"/>
              </w:rPr>
              <w:t xml:space="preserve">CINQAIR 3 mg/kg </w:t>
            </w:r>
          </w:p>
          <w:p w14:paraId="7E32F978" w14:textId="77777777" w:rsidR="000E4674" w:rsidRDefault="000E4674" w:rsidP="00A72FD1">
            <w:pPr>
              <w:keepNext/>
              <w:keepLines/>
              <w:autoSpaceDE w:val="0"/>
              <w:autoSpaceDN w:val="0"/>
              <w:adjustRightInd w:val="0"/>
              <w:spacing w:after="0"/>
              <w:rPr>
                <w:iCs/>
                <w:sz w:val="20"/>
              </w:rPr>
            </w:pPr>
            <w:r>
              <w:rPr>
                <w:iCs/>
                <w:sz w:val="20"/>
              </w:rPr>
              <w:t>(n=383)</w:t>
            </w:r>
          </w:p>
          <w:p w14:paraId="651C6DFE" w14:textId="6F1D9F42" w:rsidR="000E4674" w:rsidRPr="009D4F2D" w:rsidRDefault="000E4674" w:rsidP="00A72FD1">
            <w:pPr>
              <w:keepNext/>
              <w:keepLines/>
              <w:autoSpaceDE w:val="0"/>
              <w:autoSpaceDN w:val="0"/>
              <w:adjustRightInd w:val="0"/>
              <w:spacing w:after="0"/>
              <w:rPr>
                <w:iCs/>
                <w:sz w:val="20"/>
                <w:vertAlign w:val="superscript"/>
              </w:rPr>
            </w:pPr>
            <w:r>
              <w:rPr>
                <w:iCs/>
                <w:sz w:val="20"/>
              </w:rPr>
              <w:t xml:space="preserve">95% </w:t>
            </w:r>
            <w:proofErr w:type="spellStart"/>
            <w:r>
              <w:rPr>
                <w:iCs/>
                <w:sz w:val="20"/>
              </w:rPr>
              <w:t>CI</w:t>
            </w:r>
            <w:r>
              <w:rPr>
                <w:iCs/>
                <w:sz w:val="20"/>
                <w:vertAlign w:val="superscript"/>
              </w:rPr>
              <w:t>b</w:t>
            </w:r>
            <w:proofErr w:type="spellEnd"/>
          </w:p>
        </w:tc>
        <w:tc>
          <w:tcPr>
            <w:tcW w:w="2322" w:type="dxa"/>
            <w:gridSpan w:val="3"/>
            <w:vAlign w:val="center"/>
          </w:tcPr>
          <w:p w14:paraId="0D9C6BFC" w14:textId="77777777" w:rsidR="000E4674" w:rsidRDefault="000E4674" w:rsidP="009D4F2D">
            <w:pPr>
              <w:keepNext/>
              <w:keepLines/>
              <w:autoSpaceDE w:val="0"/>
              <w:autoSpaceDN w:val="0"/>
              <w:adjustRightInd w:val="0"/>
              <w:spacing w:after="0"/>
              <w:jc w:val="center"/>
              <w:rPr>
                <w:iCs/>
                <w:sz w:val="20"/>
              </w:rPr>
            </w:pPr>
            <w:r>
              <w:rPr>
                <w:iCs/>
                <w:sz w:val="20"/>
              </w:rPr>
              <w:t>0.85</w:t>
            </w:r>
          </w:p>
          <w:p w14:paraId="7AFE48C9" w14:textId="77777777" w:rsidR="000E4674" w:rsidRDefault="000E4674" w:rsidP="009D4F2D">
            <w:pPr>
              <w:keepNext/>
              <w:keepLines/>
              <w:autoSpaceDE w:val="0"/>
              <w:autoSpaceDN w:val="0"/>
              <w:adjustRightInd w:val="0"/>
              <w:spacing w:after="0"/>
              <w:jc w:val="center"/>
              <w:rPr>
                <w:iCs/>
                <w:sz w:val="20"/>
              </w:rPr>
            </w:pPr>
          </w:p>
          <w:p w14:paraId="0EB48E48" w14:textId="083B4C8C" w:rsidR="000E4674" w:rsidRPr="000E4674" w:rsidRDefault="000E4674" w:rsidP="009D4F2D">
            <w:pPr>
              <w:keepNext/>
              <w:keepLines/>
              <w:autoSpaceDE w:val="0"/>
              <w:autoSpaceDN w:val="0"/>
              <w:adjustRightInd w:val="0"/>
              <w:spacing w:after="0"/>
              <w:jc w:val="center"/>
              <w:rPr>
                <w:iCs/>
                <w:sz w:val="20"/>
              </w:rPr>
            </w:pPr>
            <w:r>
              <w:rPr>
                <w:iCs/>
                <w:sz w:val="20"/>
              </w:rPr>
              <w:t>(0.64, 1.12)</w:t>
            </w:r>
          </w:p>
        </w:tc>
        <w:tc>
          <w:tcPr>
            <w:tcW w:w="2322" w:type="dxa"/>
            <w:vMerge w:val="restart"/>
            <w:vAlign w:val="center"/>
          </w:tcPr>
          <w:p w14:paraId="3FC30DF0" w14:textId="7F63DB5B" w:rsidR="000E4674" w:rsidRPr="000E4674" w:rsidRDefault="000E4674" w:rsidP="009D4F2D">
            <w:pPr>
              <w:keepNext/>
              <w:keepLines/>
              <w:autoSpaceDE w:val="0"/>
              <w:autoSpaceDN w:val="0"/>
              <w:adjustRightInd w:val="0"/>
              <w:spacing w:after="0"/>
              <w:jc w:val="center"/>
              <w:rPr>
                <w:iCs/>
                <w:sz w:val="20"/>
              </w:rPr>
            </w:pPr>
            <w:r>
              <w:rPr>
                <w:iCs/>
                <w:sz w:val="20"/>
              </w:rPr>
              <w:t>56%</w:t>
            </w:r>
          </w:p>
        </w:tc>
      </w:tr>
      <w:tr w:rsidR="000E4674" w:rsidRPr="00A72FD1" w14:paraId="59FEF3D0" w14:textId="77777777" w:rsidTr="005B12F5">
        <w:trPr>
          <w:trHeight w:val="277"/>
        </w:trPr>
        <w:tc>
          <w:tcPr>
            <w:tcW w:w="2321" w:type="dxa"/>
            <w:vMerge/>
            <w:vAlign w:val="center"/>
          </w:tcPr>
          <w:p w14:paraId="390551B6" w14:textId="44E75D97" w:rsidR="000E4674" w:rsidRDefault="000E4674" w:rsidP="00A72FD1">
            <w:pPr>
              <w:keepNext/>
              <w:keepLines/>
              <w:autoSpaceDE w:val="0"/>
              <w:autoSpaceDN w:val="0"/>
              <w:adjustRightInd w:val="0"/>
              <w:spacing w:after="0"/>
              <w:rPr>
                <w:iCs/>
                <w:sz w:val="20"/>
              </w:rPr>
            </w:pPr>
          </w:p>
        </w:tc>
        <w:tc>
          <w:tcPr>
            <w:tcW w:w="2322" w:type="dxa"/>
            <w:vAlign w:val="center"/>
          </w:tcPr>
          <w:p w14:paraId="5E739725" w14:textId="77777777" w:rsidR="000E4674" w:rsidRDefault="000E4674" w:rsidP="00A72FD1">
            <w:pPr>
              <w:keepNext/>
              <w:keepLines/>
              <w:autoSpaceDE w:val="0"/>
              <w:autoSpaceDN w:val="0"/>
              <w:adjustRightInd w:val="0"/>
              <w:spacing w:after="0"/>
              <w:rPr>
                <w:iCs/>
                <w:sz w:val="20"/>
              </w:rPr>
            </w:pPr>
            <w:r>
              <w:rPr>
                <w:iCs/>
                <w:sz w:val="20"/>
              </w:rPr>
              <w:t>Placebo</w:t>
            </w:r>
          </w:p>
          <w:p w14:paraId="53882142" w14:textId="77777777" w:rsidR="000E4674" w:rsidRDefault="000E4674" w:rsidP="00A72FD1">
            <w:pPr>
              <w:keepNext/>
              <w:keepLines/>
              <w:autoSpaceDE w:val="0"/>
              <w:autoSpaceDN w:val="0"/>
              <w:adjustRightInd w:val="0"/>
              <w:spacing w:after="0"/>
              <w:rPr>
                <w:iCs/>
                <w:sz w:val="20"/>
              </w:rPr>
            </w:pPr>
            <w:r>
              <w:rPr>
                <w:iCs/>
                <w:sz w:val="20"/>
              </w:rPr>
              <w:t>(n=380)</w:t>
            </w:r>
          </w:p>
          <w:p w14:paraId="1C1C9893" w14:textId="0A9B947E" w:rsidR="000E4674" w:rsidRPr="000E4674" w:rsidRDefault="000E4674" w:rsidP="00A72FD1">
            <w:pPr>
              <w:keepNext/>
              <w:keepLines/>
              <w:autoSpaceDE w:val="0"/>
              <w:autoSpaceDN w:val="0"/>
              <w:adjustRightInd w:val="0"/>
              <w:spacing w:after="0"/>
              <w:rPr>
                <w:iCs/>
                <w:sz w:val="20"/>
              </w:rPr>
            </w:pPr>
            <w:r>
              <w:rPr>
                <w:iCs/>
                <w:sz w:val="20"/>
              </w:rPr>
              <w:t>95%  CI</w:t>
            </w:r>
          </w:p>
        </w:tc>
        <w:tc>
          <w:tcPr>
            <w:tcW w:w="2322" w:type="dxa"/>
            <w:gridSpan w:val="3"/>
            <w:vAlign w:val="center"/>
          </w:tcPr>
          <w:p w14:paraId="65F43E58" w14:textId="77777777" w:rsidR="000E4674" w:rsidRDefault="000E4674" w:rsidP="009D4F2D">
            <w:pPr>
              <w:keepNext/>
              <w:keepLines/>
              <w:autoSpaceDE w:val="0"/>
              <w:autoSpaceDN w:val="0"/>
              <w:adjustRightInd w:val="0"/>
              <w:spacing w:after="0"/>
              <w:jc w:val="center"/>
              <w:rPr>
                <w:iCs/>
                <w:sz w:val="20"/>
              </w:rPr>
            </w:pPr>
            <w:r>
              <w:rPr>
                <w:iCs/>
                <w:sz w:val="20"/>
              </w:rPr>
              <w:t>1.95</w:t>
            </w:r>
          </w:p>
          <w:p w14:paraId="75AC39E3" w14:textId="77777777" w:rsidR="000E4674" w:rsidRDefault="000E4674" w:rsidP="009D4F2D">
            <w:pPr>
              <w:keepNext/>
              <w:keepLines/>
              <w:autoSpaceDE w:val="0"/>
              <w:autoSpaceDN w:val="0"/>
              <w:adjustRightInd w:val="0"/>
              <w:spacing w:after="0"/>
              <w:jc w:val="center"/>
              <w:rPr>
                <w:iCs/>
                <w:sz w:val="20"/>
              </w:rPr>
            </w:pPr>
          </w:p>
          <w:p w14:paraId="1015F0A2" w14:textId="6B35BED6" w:rsidR="000E4674" w:rsidRPr="000E4674" w:rsidRDefault="000E4674" w:rsidP="009D4F2D">
            <w:pPr>
              <w:keepNext/>
              <w:keepLines/>
              <w:autoSpaceDE w:val="0"/>
              <w:autoSpaceDN w:val="0"/>
              <w:adjustRightInd w:val="0"/>
              <w:spacing w:after="0"/>
              <w:jc w:val="center"/>
              <w:rPr>
                <w:iCs/>
                <w:sz w:val="20"/>
              </w:rPr>
            </w:pPr>
            <w:r>
              <w:rPr>
                <w:iCs/>
                <w:sz w:val="20"/>
              </w:rPr>
              <w:t>(1.50, 2.53)</w:t>
            </w:r>
          </w:p>
        </w:tc>
        <w:tc>
          <w:tcPr>
            <w:tcW w:w="2322" w:type="dxa"/>
            <w:vMerge/>
            <w:vAlign w:val="center"/>
          </w:tcPr>
          <w:p w14:paraId="34BD374A" w14:textId="77777777" w:rsidR="000E4674" w:rsidRPr="000E4674" w:rsidRDefault="000E4674" w:rsidP="009D4F2D">
            <w:pPr>
              <w:keepNext/>
              <w:keepLines/>
              <w:autoSpaceDE w:val="0"/>
              <w:autoSpaceDN w:val="0"/>
              <w:adjustRightInd w:val="0"/>
              <w:spacing w:after="0"/>
              <w:jc w:val="center"/>
              <w:rPr>
                <w:iCs/>
                <w:sz w:val="20"/>
              </w:rPr>
            </w:pPr>
          </w:p>
        </w:tc>
      </w:tr>
      <w:tr w:rsidR="00A72FD1" w:rsidRPr="00A72FD1" w14:paraId="2170534A" w14:textId="77777777" w:rsidTr="00A72FD1">
        <w:trPr>
          <w:trHeight w:val="277"/>
        </w:trPr>
        <w:tc>
          <w:tcPr>
            <w:tcW w:w="9287" w:type="dxa"/>
            <w:gridSpan w:val="6"/>
            <w:vAlign w:val="center"/>
          </w:tcPr>
          <w:p w14:paraId="34E3272C" w14:textId="77777777" w:rsidR="00A72FD1" w:rsidRDefault="00A72FD1" w:rsidP="00A72FD1">
            <w:pPr>
              <w:keepNext/>
              <w:keepLines/>
              <w:autoSpaceDE w:val="0"/>
              <w:autoSpaceDN w:val="0"/>
              <w:adjustRightInd w:val="0"/>
              <w:spacing w:after="0"/>
              <w:rPr>
                <w:iCs/>
                <w:sz w:val="20"/>
              </w:rPr>
            </w:pPr>
            <w:proofErr w:type="gramStart"/>
            <w:r w:rsidRPr="00A72FD1">
              <w:rPr>
                <w:iCs/>
                <w:sz w:val="20"/>
                <w:vertAlign w:val="superscript"/>
              </w:rPr>
              <w:t>a</w:t>
            </w:r>
            <w:proofErr w:type="gramEnd"/>
            <w:r w:rsidRPr="00A72FD1">
              <w:rPr>
                <w:iCs/>
                <w:sz w:val="20"/>
              </w:rPr>
              <w:t xml:space="preserve"> Rate adjusted for stratification factors (baseline usage of OCS and geographical region).</w:t>
            </w:r>
          </w:p>
          <w:p w14:paraId="2FF692F3" w14:textId="269D2289" w:rsidR="000E4674" w:rsidRPr="000E4674" w:rsidRDefault="000E4674" w:rsidP="00A72FD1">
            <w:pPr>
              <w:keepNext/>
              <w:keepLines/>
              <w:autoSpaceDE w:val="0"/>
              <w:autoSpaceDN w:val="0"/>
              <w:adjustRightInd w:val="0"/>
              <w:spacing w:after="0"/>
              <w:rPr>
                <w:iCs/>
                <w:sz w:val="20"/>
              </w:rPr>
            </w:pPr>
            <w:r>
              <w:rPr>
                <w:iCs/>
                <w:sz w:val="20"/>
                <w:vertAlign w:val="superscript"/>
              </w:rPr>
              <w:t>b</w:t>
            </w:r>
            <w:r>
              <w:rPr>
                <w:iCs/>
                <w:sz w:val="20"/>
              </w:rPr>
              <w:t xml:space="preserve"> CI = Confidence Interval</w:t>
            </w:r>
          </w:p>
        </w:tc>
      </w:tr>
    </w:tbl>
    <w:p w14:paraId="6D380925" w14:textId="77777777" w:rsidR="00A72FD1" w:rsidRDefault="00A72FD1" w:rsidP="00377501">
      <w:pPr>
        <w:spacing w:after="0"/>
      </w:pPr>
    </w:p>
    <w:p w14:paraId="4331453C" w14:textId="02843138" w:rsidR="001D1149" w:rsidRDefault="001D1149" w:rsidP="001D1149">
      <w:pPr>
        <w:shd w:val="clear" w:color="auto" w:fill="FFFFFF" w:themeFill="background1"/>
        <w:autoSpaceDE w:val="0"/>
        <w:autoSpaceDN w:val="0"/>
        <w:adjustRightInd w:val="0"/>
        <w:rPr>
          <w:szCs w:val="24"/>
          <w:lang w:val="en-US"/>
        </w:rPr>
      </w:pPr>
      <w:r w:rsidRPr="00145F93">
        <w:rPr>
          <w:szCs w:val="24"/>
          <w:lang w:val="en-US"/>
        </w:rPr>
        <w:t xml:space="preserve">A subgroup analysis of patients in Studies I and II using OCS at baseline demonstrated substantial improvements in asthma exacerbations (rate ratio </w:t>
      </w:r>
      <w:r>
        <w:rPr>
          <w:szCs w:val="24"/>
          <w:lang w:val="en-US"/>
        </w:rPr>
        <w:t xml:space="preserve">reslizumab 3 mg/kg </w:t>
      </w:r>
      <w:r w:rsidRPr="00145F93">
        <w:rPr>
          <w:szCs w:val="24"/>
          <w:lang w:val="en-US"/>
        </w:rPr>
        <w:t>relative to placebo 0.28, 95% CI 0.15, 0.52) and in lung function (0.237 L, 95% CI 0.068, 0.407).</w:t>
      </w:r>
    </w:p>
    <w:p w14:paraId="42CFBAB6" w14:textId="3B930FBE" w:rsidR="00377501" w:rsidRDefault="00A72FD1" w:rsidP="00377501">
      <w:pPr>
        <w:autoSpaceDE w:val="0"/>
        <w:autoSpaceDN w:val="0"/>
        <w:adjustRightInd w:val="0"/>
        <w:spacing w:after="0"/>
      </w:pPr>
      <w:r w:rsidRPr="001D1149">
        <w:t>The proportion of patients who did not experience an asthma exacerbation during the 52</w:t>
      </w:r>
      <w:r w:rsidRPr="001D1149">
        <w:noBreakHyphen/>
        <w:t xml:space="preserve">week treatment period was higher in the </w:t>
      </w:r>
      <w:r w:rsidR="00E30C70" w:rsidRPr="001D1149">
        <w:t>CINQAIR</w:t>
      </w:r>
      <w:r w:rsidRPr="001D1149">
        <w:t xml:space="preserve"> 3 mg/kg group (62% and 75%) compared with the placebo group (46% and 55%), in</w:t>
      </w:r>
      <w:r w:rsidR="00377501" w:rsidRPr="001D1149">
        <w:t xml:space="preserve"> Studies I and II, respectively.</w:t>
      </w:r>
    </w:p>
    <w:p w14:paraId="363AAF69" w14:textId="77777777" w:rsidR="00377501" w:rsidRDefault="00377501" w:rsidP="00377501">
      <w:pPr>
        <w:autoSpaceDE w:val="0"/>
        <w:autoSpaceDN w:val="0"/>
        <w:adjustRightInd w:val="0"/>
        <w:spacing w:after="0"/>
      </w:pPr>
    </w:p>
    <w:p w14:paraId="50965527" w14:textId="77777777" w:rsidR="00F43F8D" w:rsidRPr="00EE5111" w:rsidRDefault="00F43F8D" w:rsidP="00485824">
      <w:pPr>
        <w:pStyle w:val="Heading2"/>
      </w:pPr>
      <w:r w:rsidRPr="00EE5111">
        <w:lastRenderedPageBreak/>
        <w:t>Patients with severe eosinophilic a</w:t>
      </w:r>
      <w:r>
        <w:t>s</w:t>
      </w:r>
      <w:r w:rsidRPr="00EE5111">
        <w:t>thma</w:t>
      </w:r>
    </w:p>
    <w:p w14:paraId="324D976E" w14:textId="32757133" w:rsidR="00F43F8D" w:rsidRDefault="00F43F8D" w:rsidP="00BD06E7">
      <w:pPr>
        <w:autoSpaceDE w:val="0"/>
        <w:autoSpaceDN w:val="0"/>
        <w:adjustRightInd w:val="0"/>
      </w:pPr>
      <w:r>
        <w:t xml:space="preserve">In Studies I and II, severe </w:t>
      </w:r>
      <w:r w:rsidRPr="00DD0A9F">
        <w:t>eosinophilic asthma</w:t>
      </w:r>
      <w:r>
        <w:t xml:space="preserve"> is defined as any patients falling into GINA steps 4 and 5 (</w:t>
      </w:r>
      <w:r w:rsidRPr="007823DC">
        <w:t>medium to high</w:t>
      </w:r>
      <w:r>
        <w:noBreakHyphen/>
      </w:r>
      <w:r w:rsidRPr="007823DC">
        <w:t xml:space="preserve">dose </w:t>
      </w:r>
      <w:r>
        <w:t>ICS plus</w:t>
      </w:r>
      <w:r w:rsidRPr="007823DC">
        <w:t xml:space="preserve"> </w:t>
      </w:r>
      <w:r>
        <w:t>another controller</w:t>
      </w:r>
      <w:r w:rsidRPr="007823DC">
        <w:t xml:space="preserve">, </w:t>
      </w:r>
      <w:r>
        <w:t xml:space="preserve">with or without </w:t>
      </w:r>
      <w:r w:rsidRPr="00C150DF">
        <w:rPr>
          <w:rFonts w:cs="Arial"/>
        </w:rPr>
        <w:t>maintenance OCS</w:t>
      </w:r>
      <w:r>
        <w:t>) with a blood eosinophil count of ≥400 µL</w:t>
      </w:r>
      <w:r w:rsidRPr="00BB4F4D">
        <w:rPr>
          <w:vertAlign w:val="superscript"/>
        </w:rPr>
        <w:t>-1</w:t>
      </w:r>
      <w:r>
        <w:t xml:space="preserve"> at start of treatment. A cohort </w:t>
      </w:r>
      <w:r w:rsidRPr="003E7883">
        <w:t>of 763</w:t>
      </w:r>
      <w:r w:rsidRPr="008349B9">
        <w:t> patie</w:t>
      </w:r>
      <w:r w:rsidRPr="008D5CBB">
        <w:t>nts</w:t>
      </w:r>
      <w:r w:rsidRPr="007823DC">
        <w:t xml:space="preserve"> </w:t>
      </w:r>
      <w:r>
        <w:t xml:space="preserve">within studies </w:t>
      </w:r>
      <w:proofErr w:type="gramStart"/>
      <w:r>
        <w:t>I</w:t>
      </w:r>
      <w:proofErr w:type="gramEnd"/>
      <w:r>
        <w:t xml:space="preserve"> and II met this criterion</w:t>
      </w:r>
      <w:r w:rsidR="00720EAD">
        <w:t>. In integrated studies I and II, patients receiving CINQAIR 3 mg/kg had significant reductions in exacerbations (56% for subgroup GINA 4 and 5) compared to placebo.</w:t>
      </w:r>
    </w:p>
    <w:p w14:paraId="61BD12C6" w14:textId="4861711D" w:rsidR="00720EAD" w:rsidRDefault="00720EAD" w:rsidP="009D4F2D">
      <w:pPr>
        <w:autoSpaceDE w:val="0"/>
        <w:autoSpaceDN w:val="0"/>
        <w:adjustRightInd w:val="0"/>
        <w:spacing w:after="0"/>
      </w:pPr>
      <w:r w:rsidRPr="007823DC">
        <w:t xml:space="preserve">The effect of </w:t>
      </w:r>
      <w:r>
        <w:t>CINQAIR</w:t>
      </w:r>
      <w:r w:rsidRPr="0019147E">
        <w:t xml:space="preserve"> </w:t>
      </w:r>
      <w:r w:rsidRPr="007823DC">
        <w:t>3 mg/kg administered once every 4</w:t>
      </w:r>
      <w:r>
        <w:t> </w:t>
      </w:r>
      <w:r w:rsidRPr="007823DC">
        <w:t>weeks on secondary endpoints, including FEV</w:t>
      </w:r>
      <w:r w:rsidRPr="007823DC">
        <w:rPr>
          <w:vertAlign w:val="subscript"/>
        </w:rPr>
        <w:t>1</w:t>
      </w:r>
      <w:r w:rsidRPr="007823DC">
        <w:t xml:space="preserve">, Asthma Quality of Life Questionnaire (AQLQ), Asthma Control Questionnaire (ACQ), and Asthma Symptom Utility Index (ASUI) further supports the efficacy of </w:t>
      </w:r>
      <w:r>
        <w:t>CINQAIR</w:t>
      </w:r>
      <w:r w:rsidRPr="0019147E">
        <w:t xml:space="preserve"> </w:t>
      </w:r>
      <w:r w:rsidRPr="007823DC">
        <w:t>3</w:t>
      </w:r>
      <w:r>
        <w:t xml:space="preserve"> mg/kg compared to placebo </w:t>
      </w:r>
      <w:r w:rsidRPr="00377501">
        <w:t>(Table </w:t>
      </w:r>
      <w:r w:rsidR="00BD06E7">
        <w:t>3</w:t>
      </w:r>
      <w:r w:rsidRPr="00377501">
        <w:t>).</w:t>
      </w:r>
      <w:r>
        <w:t xml:space="preserve"> Meaningful clinical improvements in FEV</w:t>
      </w:r>
      <w:r>
        <w:rPr>
          <w:vertAlign w:val="subscript"/>
        </w:rPr>
        <w:t>1</w:t>
      </w:r>
      <w:r>
        <w:t xml:space="preserve"> and ACQ were observed as early as 4 weeks (AQLQ at 16 weeks) following the first dose of CINQAIR and sustained through week 52.</w:t>
      </w:r>
    </w:p>
    <w:p w14:paraId="56959808" w14:textId="77777777" w:rsidR="00720EAD" w:rsidRDefault="00720EAD" w:rsidP="009D4F2D">
      <w:pPr>
        <w:autoSpaceDE w:val="0"/>
        <w:autoSpaceDN w:val="0"/>
        <w:adjustRightInd w:val="0"/>
        <w:spacing w:after="0"/>
      </w:pPr>
    </w:p>
    <w:p w14:paraId="208BBE08" w14:textId="59314F88" w:rsidR="00720EAD" w:rsidRPr="00720EAD" w:rsidRDefault="00720EAD" w:rsidP="009D4F2D">
      <w:pPr>
        <w:autoSpaceDE w:val="0"/>
        <w:autoSpaceDN w:val="0"/>
        <w:adjustRightInd w:val="0"/>
        <w:spacing w:after="0"/>
      </w:pPr>
      <w:r>
        <w:t>Results for FEV</w:t>
      </w:r>
      <w:r>
        <w:rPr>
          <w:vertAlign w:val="subscript"/>
        </w:rPr>
        <w:t>1</w:t>
      </w:r>
      <w:r>
        <w:t xml:space="preserve">, ACQ and AQLQ are shown in Table </w:t>
      </w:r>
      <w:r w:rsidR="00BD06E7">
        <w:t>3</w:t>
      </w:r>
      <w:r>
        <w:t xml:space="preserve"> below for the overall population, and subgroup GINA 4 and 5.</w:t>
      </w:r>
    </w:p>
    <w:p w14:paraId="455E6F8A" w14:textId="2ED1A377" w:rsidR="00720EAD" w:rsidRDefault="00720EAD" w:rsidP="00377501">
      <w:pPr>
        <w:autoSpaceDE w:val="0"/>
        <w:autoSpaceDN w:val="0"/>
        <w:adjustRightInd w:val="0"/>
        <w:spacing w:after="0"/>
      </w:pPr>
    </w:p>
    <w:p w14:paraId="70DB701E" w14:textId="271123DD" w:rsidR="00720EAD" w:rsidRPr="00A72FD1" w:rsidRDefault="00507F4B" w:rsidP="00720EAD">
      <w:pPr>
        <w:pStyle w:val="Caption"/>
        <w:keepNext/>
        <w:spacing w:after="120"/>
        <w:ind w:left="1440" w:hanging="1440"/>
        <w:rPr>
          <w:b/>
          <w:i w:val="0"/>
          <w:color w:val="auto"/>
          <w:sz w:val="22"/>
        </w:rPr>
      </w:pPr>
      <w:r>
        <w:rPr>
          <w:rFonts w:ascii="ZWAdobeF" w:hAnsi="ZWAdobeF" w:cs="ZWAdobeF"/>
          <w:i w:val="0"/>
          <w:color w:val="auto"/>
          <w:sz w:val="2"/>
          <w:szCs w:val="2"/>
        </w:rPr>
        <w:t>2B</w:t>
      </w:r>
      <w:r w:rsidR="00720EAD" w:rsidRPr="00A72FD1">
        <w:rPr>
          <w:b/>
          <w:i w:val="0"/>
          <w:color w:val="auto"/>
          <w:sz w:val="22"/>
        </w:rPr>
        <w:t xml:space="preserve">Table </w:t>
      </w:r>
      <w:r w:rsidR="00720EAD" w:rsidRPr="00A72FD1">
        <w:rPr>
          <w:b/>
          <w:i w:val="0"/>
          <w:color w:val="auto"/>
          <w:sz w:val="22"/>
        </w:rPr>
        <w:fldChar w:fldCharType="begin"/>
      </w:r>
      <w:r w:rsidR="00720EAD" w:rsidRPr="00A72FD1">
        <w:rPr>
          <w:b/>
          <w:i w:val="0"/>
          <w:color w:val="auto"/>
          <w:sz w:val="22"/>
        </w:rPr>
        <w:instrText xml:space="preserve"> SEQ Table \* ARABIC </w:instrText>
      </w:r>
      <w:r w:rsidR="00720EAD" w:rsidRPr="00A72FD1">
        <w:rPr>
          <w:b/>
          <w:i w:val="0"/>
          <w:color w:val="auto"/>
          <w:sz w:val="22"/>
        </w:rPr>
        <w:fldChar w:fldCharType="separate"/>
      </w:r>
      <w:r>
        <w:rPr>
          <w:b/>
          <w:i w:val="0"/>
          <w:noProof/>
          <w:color w:val="auto"/>
          <w:sz w:val="22"/>
        </w:rPr>
        <w:t>3</w:t>
      </w:r>
      <w:r w:rsidR="00720EAD" w:rsidRPr="00A72FD1">
        <w:rPr>
          <w:b/>
          <w:i w:val="0"/>
          <w:color w:val="auto"/>
          <w:sz w:val="22"/>
        </w:rPr>
        <w:fldChar w:fldCharType="end"/>
      </w:r>
      <w:r w:rsidR="00720EAD" w:rsidRPr="00A72FD1">
        <w:rPr>
          <w:b/>
          <w:i w:val="0"/>
          <w:color w:val="auto"/>
          <w:sz w:val="22"/>
        </w:rPr>
        <w:t xml:space="preserve"> </w:t>
      </w:r>
      <w:r w:rsidR="00720EAD">
        <w:rPr>
          <w:b/>
          <w:i w:val="0"/>
          <w:color w:val="auto"/>
          <w:sz w:val="22"/>
        </w:rPr>
        <w:tab/>
        <w:t>Treatment difference in mea</w:t>
      </w:r>
      <w:r w:rsidR="00720EAD" w:rsidRPr="00A72FD1">
        <w:rPr>
          <w:b/>
          <w:i w:val="0"/>
          <w:color w:val="auto"/>
          <w:sz w:val="22"/>
        </w:rPr>
        <w:t xml:space="preserve">n change from baseline for selected secondary efficacy variables </w:t>
      </w:r>
      <w:r w:rsidR="00720EAD">
        <w:rPr>
          <w:b/>
          <w:i w:val="0"/>
          <w:color w:val="auto"/>
          <w:sz w:val="22"/>
        </w:rPr>
        <w:t>–</w:t>
      </w:r>
      <w:r w:rsidR="00720EAD" w:rsidRPr="00A72FD1">
        <w:rPr>
          <w:b/>
          <w:i w:val="0"/>
          <w:color w:val="auto"/>
          <w:sz w:val="22"/>
        </w:rPr>
        <w:t xml:space="preserve"> </w:t>
      </w:r>
      <w:r w:rsidR="00720EAD">
        <w:rPr>
          <w:b/>
          <w:i w:val="0"/>
          <w:color w:val="auto"/>
          <w:sz w:val="22"/>
        </w:rPr>
        <w:t>Integrated data (</w:t>
      </w:r>
      <w:r w:rsidR="00720EAD" w:rsidRPr="00A72FD1">
        <w:rPr>
          <w:b/>
          <w:i w:val="0"/>
          <w:color w:val="auto"/>
          <w:sz w:val="22"/>
        </w:rPr>
        <w:t>Studies I and II</w:t>
      </w:r>
      <w:r w:rsidR="00720EAD">
        <w:rPr>
          <w:b/>
          <w:i w:val="0"/>
          <w:color w:val="auto"/>
          <w:sz w:val="22"/>
        </w:rPr>
        <w:t>) for the overall population and subgroup GINA 4 and 5</w:t>
      </w:r>
    </w:p>
    <w:tbl>
      <w:tblPr>
        <w:tblW w:w="9287"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838"/>
        <w:gridCol w:w="992"/>
        <w:gridCol w:w="851"/>
        <w:gridCol w:w="992"/>
        <w:gridCol w:w="851"/>
        <w:gridCol w:w="992"/>
        <w:gridCol w:w="850"/>
        <w:gridCol w:w="993"/>
        <w:gridCol w:w="928"/>
      </w:tblGrid>
      <w:tr w:rsidR="00720EAD" w:rsidRPr="00A72FD1" w14:paraId="2F4AA3A0" w14:textId="77777777" w:rsidTr="005B12F5">
        <w:tc>
          <w:tcPr>
            <w:tcW w:w="1838" w:type="dxa"/>
            <w:shd w:val="clear" w:color="auto" w:fill="auto"/>
          </w:tcPr>
          <w:p w14:paraId="2D6921FD" w14:textId="77777777" w:rsidR="00720EAD" w:rsidRPr="00A72FD1" w:rsidRDefault="00720EAD" w:rsidP="005B12F5">
            <w:pPr>
              <w:keepNext/>
              <w:keepLines/>
              <w:autoSpaceDE w:val="0"/>
              <w:autoSpaceDN w:val="0"/>
              <w:adjustRightInd w:val="0"/>
              <w:spacing w:after="0"/>
              <w:rPr>
                <w:rFonts w:cs="Times New Roman"/>
                <w:b/>
                <w:iCs/>
                <w:sz w:val="20"/>
                <w:szCs w:val="20"/>
              </w:rPr>
            </w:pPr>
          </w:p>
        </w:tc>
        <w:tc>
          <w:tcPr>
            <w:tcW w:w="3686" w:type="dxa"/>
            <w:gridSpan w:val="4"/>
            <w:shd w:val="clear" w:color="auto" w:fill="auto"/>
          </w:tcPr>
          <w:p w14:paraId="3549C0C0" w14:textId="165A2D1C" w:rsidR="00720EAD" w:rsidRPr="00A72FD1" w:rsidRDefault="00720EAD" w:rsidP="005B12F5">
            <w:pPr>
              <w:keepNext/>
              <w:keepLines/>
              <w:autoSpaceDE w:val="0"/>
              <w:autoSpaceDN w:val="0"/>
              <w:adjustRightInd w:val="0"/>
              <w:spacing w:after="0"/>
              <w:jc w:val="center"/>
              <w:rPr>
                <w:rFonts w:cs="Times New Roman"/>
                <w:b/>
                <w:iCs/>
                <w:sz w:val="20"/>
                <w:szCs w:val="20"/>
              </w:rPr>
            </w:pPr>
            <w:r>
              <w:rPr>
                <w:rFonts w:cs="Times New Roman"/>
                <w:b/>
                <w:iCs/>
                <w:sz w:val="20"/>
                <w:szCs w:val="20"/>
              </w:rPr>
              <w:t>Overall population</w:t>
            </w:r>
          </w:p>
        </w:tc>
        <w:tc>
          <w:tcPr>
            <w:tcW w:w="3763" w:type="dxa"/>
            <w:gridSpan w:val="4"/>
            <w:shd w:val="clear" w:color="auto" w:fill="auto"/>
          </w:tcPr>
          <w:p w14:paraId="6974576B" w14:textId="1C8145D8" w:rsidR="00720EAD" w:rsidRPr="00A72FD1" w:rsidRDefault="00720EAD" w:rsidP="005B12F5">
            <w:pPr>
              <w:keepNext/>
              <w:keepLines/>
              <w:autoSpaceDE w:val="0"/>
              <w:autoSpaceDN w:val="0"/>
              <w:adjustRightInd w:val="0"/>
              <w:spacing w:after="0"/>
              <w:jc w:val="center"/>
              <w:rPr>
                <w:rFonts w:cs="Times New Roman"/>
                <w:b/>
                <w:iCs/>
                <w:sz w:val="20"/>
                <w:szCs w:val="20"/>
              </w:rPr>
            </w:pPr>
            <w:r>
              <w:rPr>
                <w:rFonts w:cs="Times New Roman"/>
                <w:b/>
                <w:iCs/>
                <w:sz w:val="20"/>
                <w:szCs w:val="20"/>
              </w:rPr>
              <w:t>Subgroup GINA 4 and 5</w:t>
            </w:r>
          </w:p>
        </w:tc>
      </w:tr>
      <w:tr w:rsidR="00720EAD" w:rsidRPr="00A72FD1" w14:paraId="6ECEFD2C" w14:textId="77777777" w:rsidTr="001B0289">
        <w:trPr>
          <w:trHeight w:val="321"/>
        </w:trPr>
        <w:tc>
          <w:tcPr>
            <w:tcW w:w="1838" w:type="dxa"/>
            <w:tcBorders>
              <w:right w:val="single" w:sz="4" w:space="0" w:color="auto"/>
            </w:tcBorders>
            <w:shd w:val="clear" w:color="auto" w:fill="auto"/>
            <w:vAlign w:val="center"/>
          </w:tcPr>
          <w:p w14:paraId="5D73FF59" w14:textId="77777777" w:rsidR="00720EAD" w:rsidRPr="00A72FD1" w:rsidRDefault="00720EAD" w:rsidP="005B12F5">
            <w:pPr>
              <w:keepNext/>
              <w:keepLines/>
              <w:autoSpaceDE w:val="0"/>
              <w:autoSpaceDN w:val="0"/>
              <w:adjustRightInd w:val="0"/>
              <w:spacing w:after="0"/>
              <w:rPr>
                <w:rFonts w:cs="Times New Roman"/>
                <w:sz w:val="18"/>
                <w:szCs w:val="20"/>
              </w:rPr>
            </w:pPr>
            <w:r w:rsidRPr="00A72FD1">
              <w:rPr>
                <w:rFonts w:cs="Times New Roman"/>
                <w:b/>
                <w:iCs/>
                <w:sz w:val="18"/>
                <w:szCs w:val="20"/>
              </w:rPr>
              <w:t xml:space="preserve">Efficacy </w:t>
            </w:r>
            <w:proofErr w:type="spellStart"/>
            <w:r w:rsidRPr="00A72FD1">
              <w:rPr>
                <w:rFonts w:cs="Times New Roman"/>
                <w:b/>
                <w:iCs/>
                <w:sz w:val="18"/>
                <w:szCs w:val="20"/>
              </w:rPr>
              <w:t>Variable</w:t>
            </w:r>
            <w:r w:rsidRPr="00A72FD1">
              <w:rPr>
                <w:rFonts w:cs="Times New Roman"/>
                <w:b/>
                <w:iCs/>
                <w:sz w:val="18"/>
                <w:szCs w:val="20"/>
                <w:vertAlign w:val="superscript"/>
              </w:rPr>
              <w:t>a</w:t>
            </w:r>
            <w:proofErr w:type="spellEnd"/>
          </w:p>
        </w:tc>
        <w:tc>
          <w:tcPr>
            <w:tcW w:w="1843" w:type="dxa"/>
            <w:gridSpan w:val="2"/>
            <w:tcBorders>
              <w:left w:val="single" w:sz="4" w:space="0" w:color="auto"/>
              <w:right w:val="single" w:sz="4" w:space="0" w:color="auto"/>
            </w:tcBorders>
            <w:shd w:val="clear" w:color="auto" w:fill="auto"/>
            <w:vAlign w:val="center"/>
          </w:tcPr>
          <w:p w14:paraId="4617EB73" w14:textId="78D100B6" w:rsidR="00720EAD" w:rsidRPr="00A72FD1" w:rsidRDefault="00720EAD">
            <w:pPr>
              <w:keepNext/>
              <w:keepLines/>
              <w:autoSpaceDE w:val="0"/>
              <w:autoSpaceDN w:val="0"/>
              <w:adjustRightInd w:val="0"/>
              <w:spacing w:after="0"/>
              <w:jc w:val="center"/>
              <w:rPr>
                <w:rFonts w:cs="Times New Roman"/>
                <w:sz w:val="18"/>
                <w:szCs w:val="20"/>
              </w:rPr>
            </w:pPr>
            <w:r w:rsidRPr="00A72FD1">
              <w:rPr>
                <w:rFonts w:cs="Times New Roman"/>
                <w:b/>
                <w:iCs/>
                <w:sz w:val="18"/>
                <w:szCs w:val="20"/>
              </w:rPr>
              <w:t>Over 16 weeks</w:t>
            </w:r>
          </w:p>
        </w:tc>
        <w:tc>
          <w:tcPr>
            <w:tcW w:w="1843" w:type="dxa"/>
            <w:gridSpan w:val="2"/>
            <w:tcBorders>
              <w:left w:val="single" w:sz="4" w:space="0" w:color="auto"/>
              <w:right w:val="single" w:sz="4" w:space="0" w:color="auto"/>
            </w:tcBorders>
            <w:shd w:val="clear" w:color="auto" w:fill="auto"/>
            <w:vAlign w:val="center"/>
          </w:tcPr>
          <w:p w14:paraId="1EB066C2" w14:textId="0C31F3B5" w:rsidR="00720EAD" w:rsidRPr="009D4F2D" w:rsidRDefault="00720EAD">
            <w:pPr>
              <w:keepNext/>
              <w:keepLines/>
              <w:autoSpaceDE w:val="0"/>
              <w:autoSpaceDN w:val="0"/>
              <w:adjustRightInd w:val="0"/>
              <w:spacing w:after="0"/>
              <w:jc w:val="center"/>
              <w:rPr>
                <w:rFonts w:cs="Times New Roman"/>
                <w:b/>
                <w:iCs/>
                <w:sz w:val="18"/>
                <w:szCs w:val="20"/>
              </w:rPr>
            </w:pPr>
            <w:r w:rsidRPr="00A72FD1">
              <w:rPr>
                <w:rFonts w:cs="Times New Roman"/>
                <w:b/>
                <w:iCs/>
                <w:sz w:val="18"/>
                <w:szCs w:val="20"/>
              </w:rPr>
              <w:t>Over 52 weeks</w:t>
            </w:r>
          </w:p>
        </w:tc>
        <w:tc>
          <w:tcPr>
            <w:tcW w:w="1842" w:type="dxa"/>
            <w:gridSpan w:val="2"/>
            <w:tcBorders>
              <w:left w:val="single" w:sz="4" w:space="0" w:color="auto"/>
              <w:right w:val="single" w:sz="4" w:space="0" w:color="auto"/>
            </w:tcBorders>
            <w:shd w:val="clear" w:color="auto" w:fill="auto"/>
            <w:vAlign w:val="center"/>
          </w:tcPr>
          <w:p w14:paraId="7062DAFE" w14:textId="21C063A5" w:rsidR="00720EAD" w:rsidRPr="009D4F2D" w:rsidRDefault="00720EAD">
            <w:pPr>
              <w:keepNext/>
              <w:keepLines/>
              <w:autoSpaceDE w:val="0"/>
              <w:autoSpaceDN w:val="0"/>
              <w:adjustRightInd w:val="0"/>
              <w:spacing w:after="0"/>
              <w:jc w:val="center"/>
              <w:rPr>
                <w:rFonts w:cs="Times New Roman"/>
                <w:b/>
                <w:iCs/>
                <w:sz w:val="18"/>
                <w:szCs w:val="20"/>
              </w:rPr>
            </w:pPr>
            <w:r w:rsidRPr="00A72FD1">
              <w:rPr>
                <w:rFonts w:cs="Times New Roman"/>
                <w:b/>
                <w:iCs/>
                <w:sz w:val="18"/>
                <w:szCs w:val="20"/>
              </w:rPr>
              <w:t>Over 16 weeks</w:t>
            </w:r>
          </w:p>
        </w:tc>
        <w:tc>
          <w:tcPr>
            <w:tcW w:w="1921" w:type="dxa"/>
            <w:gridSpan w:val="2"/>
            <w:tcBorders>
              <w:left w:val="single" w:sz="4" w:space="0" w:color="auto"/>
            </w:tcBorders>
            <w:shd w:val="clear" w:color="auto" w:fill="auto"/>
            <w:vAlign w:val="center"/>
          </w:tcPr>
          <w:p w14:paraId="1B783D29" w14:textId="6C7B295E" w:rsidR="00720EAD" w:rsidRPr="009D4F2D" w:rsidRDefault="00720EAD">
            <w:pPr>
              <w:keepNext/>
              <w:keepLines/>
              <w:autoSpaceDE w:val="0"/>
              <w:autoSpaceDN w:val="0"/>
              <w:adjustRightInd w:val="0"/>
              <w:spacing w:after="0"/>
              <w:jc w:val="center"/>
              <w:rPr>
                <w:rFonts w:cs="Times New Roman"/>
                <w:b/>
                <w:iCs/>
                <w:sz w:val="18"/>
                <w:szCs w:val="20"/>
              </w:rPr>
            </w:pPr>
            <w:r w:rsidRPr="00A72FD1">
              <w:rPr>
                <w:rFonts w:cs="Times New Roman"/>
                <w:b/>
                <w:iCs/>
                <w:sz w:val="18"/>
                <w:szCs w:val="20"/>
              </w:rPr>
              <w:t>Over 52 weeks</w:t>
            </w:r>
          </w:p>
        </w:tc>
      </w:tr>
      <w:tr w:rsidR="00720EAD" w:rsidRPr="00A72FD1" w14:paraId="5C63D871" w14:textId="77777777" w:rsidTr="005B12F5">
        <w:tc>
          <w:tcPr>
            <w:tcW w:w="1838" w:type="dxa"/>
            <w:tcBorders>
              <w:right w:val="single" w:sz="4" w:space="0" w:color="auto"/>
            </w:tcBorders>
            <w:shd w:val="clear" w:color="auto" w:fill="auto"/>
          </w:tcPr>
          <w:p w14:paraId="4BDD0BDA" w14:textId="77777777" w:rsidR="00720EAD" w:rsidRPr="009D4F2D" w:rsidRDefault="00720EAD" w:rsidP="005B12F5">
            <w:pPr>
              <w:keepNext/>
              <w:keepLines/>
              <w:tabs>
                <w:tab w:val="left" w:pos="0"/>
              </w:tabs>
              <w:autoSpaceDE w:val="0"/>
              <w:autoSpaceDN w:val="0"/>
              <w:adjustRightInd w:val="0"/>
              <w:spacing w:after="0"/>
              <w:rPr>
                <w:rFonts w:cs="Times New Roman"/>
                <w:b/>
                <w:sz w:val="20"/>
                <w:szCs w:val="20"/>
              </w:rPr>
            </w:pPr>
            <w:r w:rsidRPr="009D4F2D">
              <w:rPr>
                <w:rFonts w:cs="Times New Roman"/>
                <w:b/>
                <w:iCs/>
                <w:sz w:val="20"/>
                <w:szCs w:val="20"/>
              </w:rPr>
              <w:t>FEV</w:t>
            </w:r>
            <w:r w:rsidRPr="009D4F2D">
              <w:rPr>
                <w:rFonts w:cs="Times New Roman"/>
                <w:b/>
                <w:iCs/>
                <w:sz w:val="20"/>
                <w:szCs w:val="20"/>
                <w:vertAlign w:val="subscript"/>
              </w:rPr>
              <w:t xml:space="preserve">1 </w:t>
            </w:r>
            <w:r w:rsidRPr="009D4F2D">
              <w:rPr>
                <w:rFonts w:cs="Times New Roman"/>
                <w:b/>
                <w:iCs/>
                <w:sz w:val="20"/>
                <w:szCs w:val="20"/>
              </w:rPr>
              <w:t>(mL)</w:t>
            </w:r>
          </w:p>
        </w:tc>
        <w:tc>
          <w:tcPr>
            <w:tcW w:w="992" w:type="dxa"/>
            <w:tcBorders>
              <w:left w:val="single" w:sz="4" w:space="0" w:color="auto"/>
            </w:tcBorders>
            <w:shd w:val="clear" w:color="auto" w:fill="auto"/>
          </w:tcPr>
          <w:p w14:paraId="7A1C8D2C" w14:textId="4BEEEFA9"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3460CF2A" w14:textId="286D119E"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00F8539B" w14:textId="7B49B176"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51AC1083" w14:textId="5529FE9E"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51025C10" w14:textId="4719CBE3"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0" w:type="dxa"/>
            <w:tcBorders>
              <w:right w:val="single" w:sz="4" w:space="0" w:color="auto"/>
            </w:tcBorders>
            <w:shd w:val="clear" w:color="auto" w:fill="auto"/>
          </w:tcPr>
          <w:p w14:paraId="6292BB62" w14:textId="43AFB129"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3" w:type="dxa"/>
            <w:tcBorders>
              <w:left w:val="single" w:sz="4" w:space="0" w:color="auto"/>
            </w:tcBorders>
            <w:shd w:val="clear" w:color="auto" w:fill="auto"/>
          </w:tcPr>
          <w:p w14:paraId="322B9C2F" w14:textId="462C48BD" w:rsidR="00720EAD" w:rsidRPr="00A72FD1" w:rsidRDefault="00720EAD" w:rsidP="005B12F5">
            <w:pPr>
              <w:keepNext/>
              <w:keepLines/>
              <w:autoSpaceDE w:val="0"/>
              <w:autoSpaceDN w:val="0"/>
              <w:adjustRightInd w:val="0"/>
              <w:spacing w:after="0"/>
              <w:jc w:val="center"/>
              <w:rPr>
                <w:rFonts w:cs="Times New Roman"/>
                <w:sz w:val="20"/>
                <w:szCs w:val="20"/>
              </w:rPr>
            </w:pPr>
          </w:p>
        </w:tc>
        <w:tc>
          <w:tcPr>
            <w:tcW w:w="928" w:type="dxa"/>
            <w:shd w:val="clear" w:color="auto" w:fill="auto"/>
          </w:tcPr>
          <w:p w14:paraId="4E137B09" w14:textId="2BEF4225" w:rsidR="00720EAD" w:rsidRPr="00A72FD1" w:rsidRDefault="00720EAD" w:rsidP="005B12F5">
            <w:pPr>
              <w:keepNext/>
              <w:keepLines/>
              <w:autoSpaceDE w:val="0"/>
              <w:autoSpaceDN w:val="0"/>
              <w:adjustRightInd w:val="0"/>
              <w:spacing w:after="0"/>
              <w:jc w:val="center"/>
              <w:rPr>
                <w:rFonts w:cs="Times New Roman"/>
                <w:sz w:val="20"/>
                <w:szCs w:val="20"/>
              </w:rPr>
            </w:pPr>
          </w:p>
        </w:tc>
      </w:tr>
      <w:tr w:rsidR="00720EAD" w:rsidRPr="00A72FD1" w14:paraId="1C62090F" w14:textId="77777777" w:rsidTr="005B12F5">
        <w:tc>
          <w:tcPr>
            <w:tcW w:w="1838" w:type="dxa"/>
            <w:tcBorders>
              <w:right w:val="single" w:sz="4" w:space="0" w:color="auto"/>
            </w:tcBorders>
            <w:shd w:val="clear" w:color="auto" w:fill="auto"/>
          </w:tcPr>
          <w:p w14:paraId="7D734E86" w14:textId="7E29507B" w:rsidR="00720EAD" w:rsidRPr="00A72FD1" w:rsidRDefault="00720EAD" w:rsidP="005B12F5">
            <w:pPr>
              <w:keepNext/>
              <w:keepLines/>
              <w:tabs>
                <w:tab w:val="left" w:pos="142"/>
              </w:tabs>
              <w:autoSpaceDE w:val="0"/>
              <w:autoSpaceDN w:val="0"/>
              <w:adjustRightInd w:val="0"/>
              <w:spacing w:after="0"/>
              <w:ind w:left="142" w:right="-108"/>
              <w:rPr>
                <w:rFonts w:cs="Times New Roman"/>
                <w:sz w:val="20"/>
                <w:szCs w:val="20"/>
              </w:rPr>
            </w:pPr>
            <w:r w:rsidRPr="00A72FD1">
              <w:rPr>
                <w:rFonts w:cs="Times New Roman"/>
                <w:iCs/>
                <w:sz w:val="20"/>
                <w:szCs w:val="20"/>
              </w:rPr>
              <w:t xml:space="preserve">Mean diff </w:t>
            </w:r>
            <w:r>
              <w:rPr>
                <w:rFonts w:cs="Times New Roman"/>
                <w:iCs/>
                <w:sz w:val="20"/>
                <w:szCs w:val="20"/>
              </w:rPr>
              <w:br/>
              <w:t xml:space="preserve">(95% </w:t>
            </w:r>
            <w:proofErr w:type="spellStart"/>
            <w:r>
              <w:rPr>
                <w:rFonts w:cs="Times New Roman"/>
                <w:iCs/>
                <w:sz w:val="20"/>
                <w:szCs w:val="20"/>
              </w:rPr>
              <w:t>CI</w:t>
            </w:r>
            <w:r>
              <w:rPr>
                <w:rFonts w:cs="Times New Roman"/>
                <w:iCs/>
                <w:sz w:val="20"/>
                <w:szCs w:val="20"/>
                <w:vertAlign w:val="superscript"/>
              </w:rPr>
              <w:t>b</w:t>
            </w:r>
            <w:proofErr w:type="spellEnd"/>
            <w:r>
              <w:rPr>
                <w:rFonts w:cs="Times New Roman"/>
                <w:iCs/>
                <w:sz w:val="20"/>
                <w:szCs w:val="20"/>
              </w:rPr>
              <w:t>)</w:t>
            </w:r>
            <w:r>
              <w:rPr>
                <w:rFonts w:cs="Times New Roman"/>
                <w:iCs/>
                <w:sz w:val="20"/>
                <w:szCs w:val="20"/>
              </w:rPr>
              <w:br/>
            </w:r>
            <w:r w:rsidRPr="00A72FD1">
              <w:rPr>
                <w:rFonts w:cs="Times New Roman"/>
                <w:iCs/>
                <w:sz w:val="20"/>
                <w:szCs w:val="20"/>
              </w:rPr>
              <w:t>(p</w:t>
            </w:r>
            <w:r w:rsidRPr="00A72FD1">
              <w:rPr>
                <w:rFonts w:cs="Times New Roman"/>
                <w:iCs/>
                <w:sz w:val="20"/>
                <w:szCs w:val="20"/>
              </w:rPr>
              <w:noBreakHyphen/>
              <w:t>value)</w:t>
            </w:r>
          </w:p>
        </w:tc>
        <w:tc>
          <w:tcPr>
            <w:tcW w:w="1843" w:type="dxa"/>
            <w:gridSpan w:val="2"/>
            <w:tcBorders>
              <w:left w:val="single" w:sz="4" w:space="0" w:color="auto"/>
              <w:right w:val="single" w:sz="4" w:space="0" w:color="auto"/>
            </w:tcBorders>
            <w:shd w:val="clear" w:color="auto" w:fill="auto"/>
          </w:tcPr>
          <w:p w14:paraId="4B9864F6" w14:textId="14C943DC"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iCs/>
                <w:sz w:val="20"/>
                <w:szCs w:val="20"/>
              </w:rPr>
              <w:t>117</w:t>
            </w:r>
            <w:r>
              <w:rPr>
                <w:rFonts w:cs="Times New Roman"/>
                <w:iCs/>
                <w:sz w:val="20"/>
                <w:szCs w:val="20"/>
              </w:rPr>
              <w:br/>
              <w:t>(73, 160)</w:t>
            </w:r>
            <w:r w:rsidRPr="00A72FD1">
              <w:rPr>
                <w:rFonts w:cs="Times New Roman"/>
                <w:iCs/>
                <w:sz w:val="20"/>
                <w:szCs w:val="20"/>
              </w:rPr>
              <w:br/>
              <w:t>(p&lt;0.0001)</w:t>
            </w:r>
          </w:p>
        </w:tc>
        <w:tc>
          <w:tcPr>
            <w:tcW w:w="1843" w:type="dxa"/>
            <w:gridSpan w:val="2"/>
            <w:tcBorders>
              <w:left w:val="single" w:sz="4" w:space="0" w:color="auto"/>
              <w:right w:val="single" w:sz="4" w:space="0" w:color="auto"/>
            </w:tcBorders>
            <w:shd w:val="clear" w:color="auto" w:fill="auto"/>
          </w:tcPr>
          <w:p w14:paraId="30661BFE" w14:textId="083D0E2A"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iCs/>
                <w:sz w:val="20"/>
                <w:szCs w:val="20"/>
              </w:rPr>
              <w:t>110</w:t>
            </w:r>
            <w:r>
              <w:rPr>
                <w:rFonts w:cs="Times New Roman"/>
                <w:iCs/>
                <w:sz w:val="20"/>
                <w:szCs w:val="20"/>
              </w:rPr>
              <w:br/>
              <w:t>(66, 154)</w:t>
            </w:r>
            <w:r w:rsidRPr="00A72FD1">
              <w:rPr>
                <w:rFonts w:cs="Times New Roman"/>
                <w:iCs/>
                <w:sz w:val="20"/>
                <w:szCs w:val="20"/>
              </w:rPr>
              <w:br/>
              <w:t>(p&lt;0.0001)</w:t>
            </w:r>
          </w:p>
        </w:tc>
        <w:tc>
          <w:tcPr>
            <w:tcW w:w="1842" w:type="dxa"/>
            <w:gridSpan w:val="2"/>
            <w:tcBorders>
              <w:left w:val="single" w:sz="4" w:space="0" w:color="auto"/>
              <w:right w:val="single" w:sz="4" w:space="0" w:color="auto"/>
            </w:tcBorders>
            <w:shd w:val="clear" w:color="auto" w:fill="auto"/>
          </w:tcPr>
          <w:p w14:paraId="584CA4F5" w14:textId="41C9ADCB" w:rsidR="00720EAD" w:rsidRPr="00A72FD1" w:rsidRDefault="00720EAD">
            <w:pPr>
              <w:keepNext/>
              <w:keepLines/>
              <w:autoSpaceDE w:val="0"/>
              <w:autoSpaceDN w:val="0"/>
              <w:adjustRightInd w:val="0"/>
              <w:spacing w:after="0"/>
              <w:jc w:val="center"/>
              <w:rPr>
                <w:rFonts w:cs="Times New Roman"/>
                <w:sz w:val="20"/>
                <w:szCs w:val="20"/>
              </w:rPr>
            </w:pPr>
            <w:r>
              <w:rPr>
                <w:rFonts w:cs="Times New Roman"/>
                <w:iCs/>
                <w:sz w:val="20"/>
                <w:szCs w:val="20"/>
              </w:rPr>
              <w:t>143</w:t>
            </w:r>
            <w:r>
              <w:rPr>
                <w:rFonts w:cs="Times New Roman"/>
                <w:iCs/>
                <w:sz w:val="20"/>
                <w:szCs w:val="20"/>
              </w:rPr>
              <w:br/>
              <w:t>(94, 192)</w:t>
            </w:r>
            <w:r w:rsidRPr="00A72FD1">
              <w:rPr>
                <w:rFonts w:cs="Times New Roman"/>
                <w:iCs/>
                <w:sz w:val="20"/>
                <w:szCs w:val="20"/>
              </w:rPr>
              <w:br/>
            </w:r>
          </w:p>
        </w:tc>
        <w:tc>
          <w:tcPr>
            <w:tcW w:w="1921" w:type="dxa"/>
            <w:gridSpan w:val="2"/>
            <w:tcBorders>
              <w:left w:val="single" w:sz="4" w:space="0" w:color="auto"/>
            </w:tcBorders>
            <w:shd w:val="clear" w:color="auto" w:fill="auto"/>
          </w:tcPr>
          <w:p w14:paraId="0F612200" w14:textId="711D276D"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iCs/>
                <w:sz w:val="20"/>
                <w:szCs w:val="20"/>
              </w:rPr>
              <w:t>129</w:t>
            </w:r>
            <w:r>
              <w:rPr>
                <w:rFonts w:cs="Times New Roman"/>
                <w:iCs/>
                <w:sz w:val="20"/>
                <w:szCs w:val="20"/>
              </w:rPr>
              <w:br/>
              <w:t>(80, 179)</w:t>
            </w:r>
          </w:p>
        </w:tc>
      </w:tr>
      <w:tr w:rsidR="00720EAD" w:rsidRPr="00A72FD1" w14:paraId="45A8C032" w14:textId="77777777" w:rsidTr="005B12F5">
        <w:tc>
          <w:tcPr>
            <w:tcW w:w="1838" w:type="dxa"/>
            <w:tcBorders>
              <w:right w:val="single" w:sz="4" w:space="0" w:color="auto"/>
            </w:tcBorders>
            <w:shd w:val="clear" w:color="auto" w:fill="auto"/>
          </w:tcPr>
          <w:p w14:paraId="78023A9F" w14:textId="77777777" w:rsidR="00720EAD" w:rsidRPr="009D4F2D" w:rsidRDefault="00720EAD" w:rsidP="005B12F5">
            <w:pPr>
              <w:keepNext/>
              <w:keepLines/>
              <w:autoSpaceDE w:val="0"/>
              <w:autoSpaceDN w:val="0"/>
              <w:adjustRightInd w:val="0"/>
              <w:spacing w:after="0"/>
              <w:rPr>
                <w:rFonts w:cs="Times New Roman"/>
                <w:b/>
                <w:sz w:val="20"/>
                <w:szCs w:val="20"/>
              </w:rPr>
            </w:pPr>
            <w:r w:rsidRPr="009D4F2D">
              <w:rPr>
                <w:rFonts w:cs="Times New Roman"/>
                <w:b/>
                <w:iCs/>
                <w:sz w:val="20"/>
                <w:szCs w:val="20"/>
              </w:rPr>
              <w:t>ACQ</w:t>
            </w:r>
          </w:p>
        </w:tc>
        <w:tc>
          <w:tcPr>
            <w:tcW w:w="992" w:type="dxa"/>
            <w:tcBorders>
              <w:left w:val="single" w:sz="4" w:space="0" w:color="auto"/>
            </w:tcBorders>
            <w:shd w:val="clear" w:color="auto" w:fill="auto"/>
          </w:tcPr>
          <w:p w14:paraId="088FCC1E" w14:textId="067E62E8"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0F96532C" w14:textId="39A51DBF"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15018246" w14:textId="0E72FC76"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75EF6F40" w14:textId="6C4BE6B3"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7D8BD073" w14:textId="36DE44D5"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0" w:type="dxa"/>
            <w:tcBorders>
              <w:right w:val="single" w:sz="4" w:space="0" w:color="auto"/>
            </w:tcBorders>
            <w:shd w:val="clear" w:color="auto" w:fill="auto"/>
          </w:tcPr>
          <w:p w14:paraId="77C8C2AF" w14:textId="08037720"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3" w:type="dxa"/>
            <w:tcBorders>
              <w:left w:val="single" w:sz="4" w:space="0" w:color="auto"/>
            </w:tcBorders>
            <w:shd w:val="clear" w:color="auto" w:fill="auto"/>
          </w:tcPr>
          <w:p w14:paraId="6BE1BDF7" w14:textId="07FDAEA4" w:rsidR="00720EAD" w:rsidRPr="00A72FD1" w:rsidRDefault="00720EAD" w:rsidP="005B12F5">
            <w:pPr>
              <w:keepNext/>
              <w:keepLines/>
              <w:autoSpaceDE w:val="0"/>
              <w:autoSpaceDN w:val="0"/>
              <w:adjustRightInd w:val="0"/>
              <w:spacing w:after="0"/>
              <w:jc w:val="center"/>
              <w:rPr>
                <w:rFonts w:cs="Times New Roman"/>
                <w:sz w:val="20"/>
                <w:szCs w:val="20"/>
              </w:rPr>
            </w:pPr>
          </w:p>
        </w:tc>
        <w:tc>
          <w:tcPr>
            <w:tcW w:w="928" w:type="dxa"/>
            <w:shd w:val="clear" w:color="auto" w:fill="auto"/>
          </w:tcPr>
          <w:p w14:paraId="4E419973" w14:textId="2A217CE8" w:rsidR="00720EAD" w:rsidRPr="00A72FD1" w:rsidRDefault="00720EAD" w:rsidP="005B12F5">
            <w:pPr>
              <w:keepNext/>
              <w:keepLines/>
              <w:autoSpaceDE w:val="0"/>
              <w:autoSpaceDN w:val="0"/>
              <w:adjustRightInd w:val="0"/>
              <w:spacing w:after="0"/>
              <w:jc w:val="center"/>
              <w:rPr>
                <w:rFonts w:cs="Times New Roman"/>
                <w:sz w:val="20"/>
                <w:szCs w:val="20"/>
              </w:rPr>
            </w:pPr>
          </w:p>
        </w:tc>
      </w:tr>
      <w:tr w:rsidR="00720EAD" w:rsidRPr="00A72FD1" w14:paraId="78ECF840" w14:textId="77777777" w:rsidTr="005B12F5">
        <w:tc>
          <w:tcPr>
            <w:tcW w:w="1838" w:type="dxa"/>
            <w:tcBorders>
              <w:right w:val="single" w:sz="4" w:space="0" w:color="auto"/>
            </w:tcBorders>
            <w:shd w:val="clear" w:color="auto" w:fill="auto"/>
          </w:tcPr>
          <w:p w14:paraId="75E21BD2" w14:textId="293388B2" w:rsidR="00720EAD" w:rsidRPr="00A72FD1" w:rsidRDefault="00720EAD" w:rsidP="005B12F5">
            <w:pPr>
              <w:keepNext/>
              <w:keepLines/>
              <w:autoSpaceDE w:val="0"/>
              <w:autoSpaceDN w:val="0"/>
              <w:adjustRightInd w:val="0"/>
              <w:spacing w:after="0"/>
              <w:ind w:left="142"/>
              <w:rPr>
                <w:rFonts w:cs="Times New Roman"/>
                <w:sz w:val="20"/>
                <w:szCs w:val="20"/>
              </w:rPr>
            </w:pPr>
            <w:r w:rsidRPr="00A72FD1">
              <w:rPr>
                <w:rFonts w:cs="Times New Roman"/>
                <w:iCs/>
                <w:sz w:val="20"/>
                <w:szCs w:val="20"/>
              </w:rPr>
              <w:t xml:space="preserve">Mean diff </w:t>
            </w:r>
            <w:r>
              <w:rPr>
                <w:rFonts w:cs="Times New Roman"/>
                <w:iCs/>
                <w:sz w:val="20"/>
                <w:szCs w:val="20"/>
              </w:rPr>
              <w:br/>
              <w:t>(95% CI)</w:t>
            </w:r>
            <w:r>
              <w:rPr>
                <w:rFonts w:cs="Times New Roman"/>
                <w:iCs/>
                <w:sz w:val="20"/>
                <w:szCs w:val="20"/>
              </w:rPr>
              <w:br/>
            </w:r>
            <w:r w:rsidRPr="00A72FD1">
              <w:rPr>
                <w:rFonts w:cs="Times New Roman"/>
                <w:iCs/>
                <w:sz w:val="20"/>
                <w:szCs w:val="20"/>
              </w:rPr>
              <w:t>(p</w:t>
            </w:r>
            <w:r w:rsidRPr="00A72FD1">
              <w:rPr>
                <w:rFonts w:cs="Times New Roman"/>
                <w:iCs/>
                <w:sz w:val="20"/>
                <w:szCs w:val="20"/>
              </w:rPr>
              <w:noBreakHyphen/>
              <w:t>value)</w:t>
            </w:r>
          </w:p>
        </w:tc>
        <w:tc>
          <w:tcPr>
            <w:tcW w:w="1843" w:type="dxa"/>
            <w:gridSpan w:val="2"/>
            <w:tcBorders>
              <w:left w:val="single" w:sz="4" w:space="0" w:color="auto"/>
              <w:right w:val="single" w:sz="4" w:space="0" w:color="auto"/>
            </w:tcBorders>
            <w:shd w:val="clear" w:color="auto" w:fill="auto"/>
          </w:tcPr>
          <w:p w14:paraId="7E524970" w14:textId="61C19404"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sz w:val="20"/>
                <w:szCs w:val="20"/>
              </w:rPr>
              <w:t>-0.232</w:t>
            </w:r>
            <w:r>
              <w:rPr>
                <w:rFonts w:cs="Times New Roman"/>
                <w:sz w:val="20"/>
                <w:szCs w:val="20"/>
              </w:rPr>
              <w:br/>
              <w:t>(-0.325, -0.139)</w:t>
            </w:r>
          </w:p>
        </w:tc>
        <w:tc>
          <w:tcPr>
            <w:tcW w:w="1843" w:type="dxa"/>
            <w:gridSpan w:val="2"/>
            <w:tcBorders>
              <w:left w:val="single" w:sz="4" w:space="0" w:color="auto"/>
              <w:right w:val="single" w:sz="4" w:space="0" w:color="auto"/>
            </w:tcBorders>
            <w:shd w:val="clear" w:color="auto" w:fill="auto"/>
          </w:tcPr>
          <w:p w14:paraId="35D83B29" w14:textId="5A583F15"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sz w:val="20"/>
                <w:szCs w:val="20"/>
              </w:rPr>
              <w:t>-0.250</w:t>
            </w:r>
            <w:r>
              <w:rPr>
                <w:rFonts w:cs="Times New Roman"/>
                <w:sz w:val="20"/>
                <w:szCs w:val="20"/>
              </w:rPr>
              <w:br/>
              <w:t>(-0.343, -0.156)</w:t>
            </w:r>
          </w:p>
        </w:tc>
        <w:tc>
          <w:tcPr>
            <w:tcW w:w="1842" w:type="dxa"/>
            <w:gridSpan w:val="2"/>
            <w:tcBorders>
              <w:left w:val="single" w:sz="4" w:space="0" w:color="auto"/>
              <w:right w:val="single" w:sz="4" w:space="0" w:color="auto"/>
            </w:tcBorders>
            <w:shd w:val="clear" w:color="auto" w:fill="auto"/>
          </w:tcPr>
          <w:p w14:paraId="436255E8" w14:textId="0678FC79"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sz w:val="20"/>
                <w:szCs w:val="20"/>
              </w:rPr>
              <w:t>-0.321</w:t>
            </w:r>
            <w:r>
              <w:rPr>
                <w:rFonts w:cs="Times New Roman"/>
                <w:sz w:val="20"/>
                <w:szCs w:val="20"/>
              </w:rPr>
              <w:br/>
              <w:t>(-0.424, -0.218)</w:t>
            </w:r>
          </w:p>
        </w:tc>
        <w:tc>
          <w:tcPr>
            <w:tcW w:w="1921" w:type="dxa"/>
            <w:gridSpan w:val="2"/>
            <w:tcBorders>
              <w:left w:val="single" w:sz="4" w:space="0" w:color="auto"/>
            </w:tcBorders>
            <w:shd w:val="clear" w:color="auto" w:fill="auto"/>
          </w:tcPr>
          <w:p w14:paraId="2E868019" w14:textId="6A7A5A63"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sz w:val="20"/>
                <w:szCs w:val="20"/>
              </w:rPr>
              <w:t>-0.330</w:t>
            </w:r>
            <w:r>
              <w:rPr>
                <w:rFonts w:cs="Times New Roman"/>
                <w:sz w:val="20"/>
                <w:szCs w:val="20"/>
              </w:rPr>
              <w:br/>
              <w:t>(-0.433, -0.266)</w:t>
            </w:r>
          </w:p>
        </w:tc>
      </w:tr>
      <w:tr w:rsidR="00720EAD" w:rsidRPr="00A72FD1" w14:paraId="3A56FF75" w14:textId="77777777" w:rsidTr="005B12F5">
        <w:tc>
          <w:tcPr>
            <w:tcW w:w="1838" w:type="dxa"/>
            <w:tcBorders>
              <w:right w:val="single" w:sz="4" w:space="0" w:color="auto"/>
            </w:tcBorders>
            <w:shd w:val="clear" w:color="auto" w:fill="auto"/>
          </w:tcPr>
          <w:p w14:paraId="35FC9FCB" w14:textId="77777777" w:rsidR="00720EAD" w:rsidRPr="009D4F2D" w:rsidRDefault="00720EAD" w:rsidP="005B12F5">
            <w:pPr>
              <w:keepNext/>
              <w:keepLines/>
              <w:autoSpaceDE w:val="0"/>
              <w:autoSpaceDN w:val="0"/>
              <w:adjustRightInd w:val="0"/>
              <w:spacing w:after="0"/>
              <w:rPr>
                <w:rFonts w:cs="Times New Roman"/>
                <w:b/>
                <w:sz w:val="20"/>
                <w:szCs w:val="20"/>
              </w:rPr>
            </w:pPr>
            <w:r w:rsidRPr="009D4F2D">
              <w:rPr>
                <w:rFonts w:cs="Times New Roman"/>
                <w:b/>
                <w:iCs/>
                <w:sz w:val="20"/>
                <w:szCs w:val="20"/>
              </w:rPr>
              <w:t>AQLQ</w:t>
            </w:r>
          </w:p>
        </w:tc>
        <w:tc>
          <w:tcPr>
            <w:tcW w:w="992" w:type="dxa"/>
            <w:tcBorders>
              <w:left w:val="single" w:sz="4" w:space="0" w:color="auto"/>
            </w:tcBorders>
            <w:shd w:val="clear" w:color="auto" w:fill="auto"/>
          </w:tcPr>
          <w:p w14:paraId="378B01FE" w14:textId="72EA7D26"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6AD83F8B" w14:textId="28D01E4E"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050AA246" w14:textId="532767C8"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1" w:type="dxa"/>
            <w:tcBorders>
              <w:right w:val="single" w:sz="4" w:space="0" w:color="auto"/>
            </w:tcBorders>
            <w:shd w:val="clear" w:color="auto" w:fill="auto"/>
          </w:tcPr>
          <w:p w14:paraId="040004C4" w14:textId="29C54E81"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2" w:type="dxa"/>
            <w:tcBorders>
              <w:left w:val="single" w:sz="4" w:space="0" w:color="auto"/>
            </w:tcBorders>
            <w:shd w:val="clear" w:color="auto" w:fill="auto"/>
          </w:tcPr>
          <w:p w14:paraId="0FC38290" w14:textId="11618574" w:rsidR="00720EAD" w:rsidRPr="00A72FD1" w:rsidRDefault="00720EAD" w:rsidP="005B12F5">
            <w:pPr>
              <w:keepNext/>
              <w:keepLines/>
              <w:autoSpaceDE w:val="0"/>
              <w:autoSpaceDN w:val="0"/>
              <w:adjustRightInd w:val="0"/>
              <w:spacing w:after="0"/>
              <w:jc w:val="center"/>
              <w:rPr>
                <w:rFonts w:cs="Times New Roman"/>
                <w:sz w:val="20"/>
                <w:szCs w:val="20"/>
              </w:rPr>
            </w:pPr>
          </w:p>
        </w:tc>
        <w:tc>
          <w:tcPr>
            <w:tcW w:w="850" w:type="dxa"/>
            <w:tcBorders>
              <w:right w:val="single" w:sz="4" w:space="0" w:color="auto"/>
            </w:tcBorders>
            <w:shd w:val="clear" w:color="auto" w:fill="auto"/>
          </w:tcPr>
          <w:p w14:paraId="5A7479FF" w14:textId="65497DC4" w:rsidR="00720EAD" w:rsidRPr="00A72FD1" w:rsidRDefault="00720EAD" w:rsidP="005B12F5">
            <w:pPr>
              <w:keepNext/>
              <w:keepLines/>
              <w:autoSpaceDE w:val="0"/>
              <w:autoSpaceDN w:val="0"/>
              <w:adjustRightInd w:val="0"/>
              <w:spacing w:after="0"/>
              <w:jc w:val="center"/>
              <w:rPr>
                <w:rFonts w:cs="Times New Roman"/>
                <w:sz w:val="20"/>
                <w:szCs w:val="20"/>
              </w:rPr>
            </w:pPr>
          </w:p>
        </w:tc>
        <w:tc>
          <w:tcPr>
            <w:tcW w:w="993" w:type="dxa"/>
            <w:tcBorders>
              <w:left w:val="single" w:sz="4" w:space="0" w:color="auto"/>
            </w:tcBorders>
            <w:shd w:val="clear" w:color="auto" w:fill="auto"/>
          </w:tcPr>
          <w:p w14:paraId="41790181" w14:textId="4F6AC51C" w:rsidR="00720EAD" w:rsidRPr="00A72FD1" w:rsidRDefault="00720EAD" w:rsidP="005B12F5">
            <w:pPr>
              <w:keepNext/>
              <w:keepLines/>
              <w:autoSpaceDE w:val="0"/>
              <w:autoSpaceDN w:val="0"/>
              <w:adjustRightInd w:val="0"/>
              <w:spacing w:after="0"/>
              <w:jc w:val="center"/>
              <w:rPr>
                <w:rFonts w:cs="Times New Roman"/>
                <w:sz w:val="20"/>
                <w:szCs w:val="20"/>
              </w:rPr>
            </w:pPr>
          </w:p>
        </w:tc>
        <w:tc>
          <w:tcPr>
            <w:tcW w:w="928" w:type="dxa"/>
            <w:shd w:val="clear" w:color="auto" w:fill="auto"/>
          </w:tcPr>
          <w:p w14:paraId="5A3B91D8" w14:textId="4E189525" w:rsidR="00720EAD" w:rsidRPr="00A72FD1" w:rsidRDefault="00720EAD" w:rsidP="005B12F5">
            <w:pPr>
              <w:keepNext/>
              <w:keepLines/>
              <w:autoSpaceDE w:val="0"/>
              <w:autoSpaceDN w:val="0"/>
              <w:adjustRightInd w:val="0"/>
              <w:spacing w:after="0"/>
              <w:jc w:val="center"/>
              <w:rPr>
                <w:rFonts w:cs="Times New Roman"/>
                <w:sz w:val="20"/>
                <w:szCs w:val="20"/>
              </w:rPr>
            </w:pPr>
          </w:p>
        </w:tc>
      </w:tr>
      <w:tr w:rsidR="00720EAD" w:rsidRPr="00A72FD1" w14:paraId="59F492F1" w14:textId="77777777" w:rsidTr="005B12F5">
        <w:tc>
          <w:tcPr>
            <w:tcW w:w="1838" w:type="dxa"/>
            <w:tcBorders>
              <w:right w:val="single" w:sz="4" w:space="0" w:color="auto"/>
            </w:tcBorders>
            <w:shd w:val="clear" w:color="auto" w:fill="auto"/>
          </w:tcPr>
          <w:p w14:paraId="36930C3D" w14:textId="201E7B58" w:rsidR="00720EAD" w:rsidRPr="00A72FD1" w:rsidRDefault="00720EAD">
            <w:pPr>
              <w:keepNext/>
              <w:keepLines/>
              <w:autoSpaceDE w:val="0"/>
              <w:autoSpaceDN w:val="0"/>
              <w:adjustRightInd w:val="0"/>
              <w:spacing w:after="0"/>
              <w:ind w:left="142"/>
              <w:rPr>
                <w:rFonts w:cs="Times New Roman"/>
                <w:sz w:val="20"/>
                <w:szCs w:val="20"/>
              </w:rPr>
            </w:pPr>
            <w:r w:rsidRPr="00A72FD1">
              <w:rPr>
                <w:rFonts w:cs="Times New Roman"/>
                <w:iCs/>
                <w:sz w:val="20"/>
                <w:szCs w:val="20"/>
              </w:rPr>
              <w:t>Mean diff</w:t>
            </w:r>
            <w:r>
              <w:rPr>
                <w:rFonts w:cs="Times New Roman"/>
                <w:iCs/>
                <w:sz w:val="20"/>
                <w:szCs w:val="20"/>
              </w:rPr>
              <w:br/>
              <w:t>(95% CI)</w:t>
            </w:r>
            <w:r>
              <w:rPr>
                <w:rFonts w:cs="Times New Roman"/>
                <w:iCs/>
                <w:sz w:val="20"/>
                <w:szCs w:val="20"/>
              </w:rPr>
              <w:br/>
            </w:r>
            <w:r w:rsidRPr="00A72FD1">
              <w:rPr>
                <w:rFonts w:cs="Times New Roman"/>
                <w:iCs/>
                <w:sz w:val="20"/>
                <w:szCs w:val="20"/>
              </w:rPr>
              <w:t>(p</w:t>
            </w:r>
            <w:r w:rsidRPr="00A72FD1">
              <w:rPr>
                <w:rFonts w:cs="Times New Roman"/>
                <w:iCs/>
                <w:sz w:val="20"/>
                <w:szCs w:val="20"/>
              </w:rPr>
              <w:noBreakHyphen/>
              <w:t>value)</w:t>
            </w:r>
          </w:p>
        </w:tc>
        <w:tc>
          <w:tcPr>
            <w:tcW w:w="1843" w:type="dxa"/>
            <w:gridSpan w:val="2"/>
            <w:tcBorders>
              <w:left w:val="single" w:sz="4" w:space="0" w:color="auto"/>
              <w:right w:val="single" w:sz="4" w:space="0" w:color="auto"/>
            </w:tcBorders>
            <w:shd w:val="clear" w:color="auto" w:fill="auto"/>
          </w:tcPr>
          <w:p w14:paraId="424946BE" w14:textId="4C6E9CB6" w:rsidR="00720EAD" w:rsidRPr="00A72FD1" w:rsidRDefault="00720EAD" w:rsidP="005B12F5">
            <w:pPr>
              <w:keepNext/>
              <w:keepLines/>
              <w:autoSpaceDE w:val="0"/>
              <w:autoSpaceDN w:val="0"/>
              <w:adjustRightInd w:val="0"/>
              <w:spacing w:after="0"/>
              <w:jc w:val="center"/>
              <w:rPr>
                <w:rFonts w:cs="Times New Roman"/>
                <w:sz w:val="20"/>
                <w:szCs w:val="20"/>
              </w:rPr>
            </w:pPr>
            <w:r>
              <w:rPr>
                <w:rFonts w:cs="Times New Roman"/>
                <w:sz w:val="20"/>
                <w:szCs w:val="20"/>
              </w:rPr>
              <w:t>0.226</w:t>
            </w:r>
            <w:r>
              <w:rPr>
                <w:rFonts w:cs="Times New Roman"/>
                <w:sz w:val="20"/>
                <w:szCs w:val="20"/>
              </w:rPr>
              <w:br/>
              <w:t>(0.094, 0.395)</w:t>
            </w:r>
            <w:r>
              <w:rPr>
                <w:rFonts w:cs="Times New Roman"/>
                <w:sz w:val="20"/>
                <w:szCs w:val="20"/>
              </w:rPr>
              <w:br/>
            </w:r>
            <w:r w:rsidRPr="00A72FD1">
              <w:rPr>
                <w:rFonts w:cs="Times New Roman"/>
                <w:iCs/>
                <w:sz w:val="20"/>
                <w:szCs w:val="20"/>
              </w:rPr>
              <w:t>(p&lt;0.0001)</w:t>
            </w:r>
          </w:p>
        </w:tc>
        <w:tc>
          <w:tcPr>
            <w:tcW w:w="1843" w:type="dxa"/>
            <w:gridSpan w:val="2"/>
            <w:tcBorders>
              <w:left w:val="single" w:sz="4" w:space="0" w:color="auto"/>
              <w:right w:val="single" w:sz="4" w:space="0" w:color="auto"/>
            </w:tcBorders>
            <w:shd w:val="clear" w:color="auto" w:fill="auto"/>
          </w:tcPr>
          <w:p w14:paraId="102BC4E9" w14:textId="068C139C" w:rsidR="00720EAD" w:rsidRPr="00A72FD1" w:rsidRDefault="00E800B0">
            <w:pPr>
              <w:keepNext/>
              <w:keepLines/>
              <w:autoSpaceDE w:val="0"/>
              <w:autoSpaceDN w:val="0"/>
              <w:adjustRightInd w:val="0"/>
              <w:spacing w:after="0"/>
              <w:jc w:val="center"/>
              <w:rPr>
                <w:rFonts w:cs="Times New Roman"/>
                <w:sz w:val="20"/>
                <w:szCs w:val="20"/>
              </w:rPr>
            </w:pPr>
            <w:r>
              <w:rPr>
                <w:rFonts w:cs="Times New Roman"/>
                <w:sz w:val="20"/>
                <w:szCs w:val="20"/>
              </w:rPr>
              <w:t>0.272</w:t>
            </w:r>
            <w:r>
              <w:rPr>
                <w:rFonts w:cs="Times New Roman"/>
                <w:sz w:val="20"/>
                <w:szCs w:val="20"/>
              </w:rPr>
              <w:br/>
              <w:t>(0.155, 0.388)</w:t>
            </w:r>
            <w:r>
              <w:rPr>
                <w:rFonts w:cs="Times New Roman"/>
                <w:sz w:val="20"/>
                <w:szCs w:val="20"/>
              </w:rPr>
              <w:br/>
            </w:r>
            <w:r w:rsidR="00720EAD" w:rsidRPr="00A72FD1">
              <w:rPr>
                <w:rFonts w:cs="Times New Roman"/>
                <w:sz w:val="20"/>
                <w:szCs w:val="20"/>
              </w:rPr>
              <w:t>(p=0.000</w:t>
            </w:r>
            <w:r>
              <w:rPr>
                <w:rFonts w:cs="Times New Roman"/>
                <w:sz w:val="20"/>
                <w:szCs w:val="20"/>
              </w:rPr>
              <w:t>1</w:t>
            </w:r>
            <w:r w:rsidR="00720EAD" w:rsidRPr="00A72FD1">
              <w:rPr>
                <w:rFonts w:cs="Times New Roman"/>
                <w:sz w:val="20"/>
                <w:szCs w:val="20"/>
              </w:rPr>
              <w:t>)</w:t>
            </w:r>
          </w:p>
        </w:tc>
        <w:tc>
          <w:tcPr>
            <w:tcW w:w="1842" w:type="dxa"/>
            <w:gridSpan w:val="2"/>
            <w:tcBorders>
              <w:left w:val="single" w:sz="4" w:space="0" w:color="auto"/>
              <w:right w:val="single" w:sz="4" w:space="0" w:color="auto"/>
            </w:tcBorders>
            <w:shd w:val="clear" w:color="auto" w:fill="auto"/>
          </w:tcPr>
          <w:p w14:paraId="7A2DE8F8" w14:textId="46D8FD65" w:rsidR="00720EAD" w:rsidRPr="00A72FD1" w:rsidRDefault="00E800B0" w:rsidP="005B12F5">
            <w:pPr>
              <w:keepNext/>
              <w:keepLines/>
              <w:autoSpaceDE w:val="0"/>
              <w:autoSpaceDN w:val="0"/>
              <w:adjustRightInd w:val="0"/>
              <w:spacing w:after="0"/>
              <w:jc w:val="center"/>
              <w:rPr>
                <w:rFonts w:cs="Times New Roman"/>
                <w:sz w:val="20"/>
                <w:szCs w:val="20"/>
              </w:rPr>
            </w:pPr>
            <w:r>
              <w:rPr>
                <w:rFonts w:cs="Times New Roman"/>
                <w:sz w:val="20"/>
                <w:szCs w:val="20"/>
              </w:rPr>
              <w:t>0.295</w:t>
            </w:r>
            <w:r>
              <w:rPr>
                <w:rFonts w:cs="Times New Roman"/>
                <w:sz w:val="20"/>
                <w:szCs w:val="20"/>
              </w:rPr>
              <w:br/>
              <w:t>(0.151, 0.438)</w:t>
            </w:r>
          </w:p>
        </w:tc>
        <w:tc>
          <w:tcPr>
            <w:tcW w:w="1921" w:type="dxa"/>
            <w:gridSpan w:val="2"/>
            <w:tcBorders>
              <w:left w:val="single" w:sz="4" w:space="0" w:color="auto"/>
            </w:tcBorders>
            <w:shd w:val="clear" w:color="auto" w:fill="auto"/>
          </w:tcPr>
          <w:p w14:paraId="4E4F797D" w14:textId="0D7DEE9A" w:rsidR="00720EAD" w:rsidRPr="00A72FD1" w:rsidRDefault="00E800B0" w:rsidP="005B12F5">
            <w:pPr>
              <w:keepNext/>
              <w:keepLines/>
              <w:autoSpaceDE w:val="0"/>
              <w:autoSpaceDN w:val="0"/>
              <w:adjustRightInd w:val="0"/>
              <w:spacing w:after="0"/>
              <w:jc w:val="center"/>
              <w:rPr>
                <w:rFonts w:cs="Times New Roman"/>
                <w:sz w:val="20"/>
                <w:szCs w:val="20"/>
              </w:rPr>
            </w:pPr>
            <w:r>
              <w:rPr>
                <w:rFonts w:cs="Times New Roman"/>
                <w:sz w:val="20"/>
                <w:szCs w:val="20"/>
              </w:rPr>
              <w:t>0.346</w:t>
            </w:r>
            <w:r>
              <w:rPr>
                <w:rFonts w:cs="Times New Roman"/>
                <w:sz w:val="20"/>
                <w:szCs w:val="20"/>
              </w:rPr>
              <w:br/>
              <w:t>(0.219, 0.473)</w:t>
            </w:r>
          </w:p>
        </w:tc>
      </w:tr>
      <w:tr w:rsidR="00720EAD" w:rsidRPr="00A72FD1" w14:paraId="0411AD4D" w14:textId="77777777" w:rsidTr="005B12F5">
        <w:trPr>
          <w:trHeight w:val="779"/>
        </w:trPr>
        <w:tc>
          <w:tcPr>
            <w:tcW w:w="9287" w:type="dxa"/>
            <w:gridSpan w:val="9"/>
            <w:shd w:val="clear" w:color="auto" w:fill="auto"/>
          </w:tcPr>
          <w:p w14:paraId="08FD08A5" w14:textId="6E415EC8" w:rsidR="00E800B0" w:rsidRDefault="00720EAD">
            <w:pPr>
              <w:keepNext/>
              <w:keepLines/>
              <w:tabs>
                <w:tab w:val="left" w:pos="142"/>
              </w:tabs>
              <w:spacing w:after="0"/>
              <w:ind w:left="142" w:hanging="142"/>
              <w:rPr>
                <w:rFonts w:cs="Times New Roman"/>
                <w:iCs/>
                <w:sz w:val="20"/>
                <w:szCs w:val="20"/>
              </w:rPr>
            </w:pPr>
            <w:proofErr w:type="spellStart"/>
            <w:r w:rsidRPr="00A72FD1">
              <w:rPr>
                <w:rFonts w:cs="Times New Roman"/>
                <w:iCs/>
                <w:sz w:val="20"/>
                <w:szCs w:val="20"/>
                <w:vertAlign w:val="superscript"/>
              </w:rPr>
              <w:t>a</w:t>
            </w:r>
            <w:proofErr w:type="spellEnd"/>
            <w:r w:rsidRPr="00A72FD1">
              <w:rPr>
                <w:rFonts w:cs="Times New Roman"/>
                <w:iCs/>
                <w:sz w:val="20"/>
                <w:szCs w:val="20"/>
              </w:rPr>
              <w:tab/>
              <w:t>The values represent</w:t>
            </w:r>
            <w:r w:rsidR="00E800B0">
              <w:rPr>
                <w:rFonts w:cs="Times New Roman"/>
                <w:iCs/>
                <w:sz w:val="20"/>
                <w:szCs w:val="20"/>
              </w:rPr>
              <w:t xml:space="preserve"> the treatment difference between placebo and CINQAIR 3 mg/kg based on</w:t>
            </w:r>
            <w:r w:rsidRPr="00A72FD1">
              <w:rPr>
                <w:rFonts w:cs="Times New Roman"/>
                <w:iCs/>
                <w:sz w:val="20"/>
                <w:szCs w:val="20"/>
              </w:rPr>
              <w:t xml:space="preserve"> adjusted means over the specified time period for each treatment group, except for the change to week 16 for AQLQ, which was the first </w:t>
            </w:r>
            <w:proofErr w:type="spellStart"/>
            <w:r w:rsidRPr="00A72FD1">
              <w:rPr>
                <w:rFonts w:cs="Times New Roman"/>
                <w:iCs/>
                <w:sz w:val="20"/>
                <w:szCs w:val="20"/>
              </w:rPr>
              <w:t>timepoint</w:t>
            </w:r>
            <w:proofErr w:type="spellEnd"/>
            <w:r w:rsidRPr="00A72FD1">
              <w:rPr>
                <w:rFonts w:cs="Times New Roman"/>
                <w:iCs/>
                <w:sz w:val="20"/>
                <w:szCs w:val="20"/>
              </w:rPr>
              <w:t xml:space="preserve"> where AQLQ was assessed</w:t>
            </w:r>
            <w:r w:rsidR="00E800B0">
              <w:rPr>
                <w:rFonts w:cs="Times New Roman"/>
                <w:iCs/>
                <w:sz w:val="20"/>
                <w:szCs w:val="20"/>
              </w:rPr>
              <w:t>.</w:t>
            </w:r>
          </w:p>
          <w:p w14:paraId="2A9A7F48" w14:textId="3337346E" w:rsidR="00720EAD" w:rsidRPr="00A72FD1" w:rsidRDefault="00E800B0">
            <w:pPr>
              <w:keepNext/>
              <w:keepLines/>
              <w:tabs>
                <w:tab w:val="left" w:pos="142"/>
              </w:tabs>
              <w:spacing w:after="0"/>
              <w:ind w:left="142" w:hanging="142"/>
              <w:rPr>
                <w:rFonts w:cs="Times New Roman"/>
                <w:iCs/>
                <w:sz w:val="20"/>
                <w:szCs w:val="20"/>
              </w:rPr>
            </w:pPr>
            <w:r>
              <w:rPr>
                <w:rFonts w:cs="Times New Roman"/>
                <w:iCs/>
                <w:sz w:val="20"/>
                <w:szCs w:val="20"/>
                <w:vertAlign w:val="superscript"/>
              </w:rPr>
              <w:t xml:space="preserve">b </w:t>
            </w:r>
            <w:r>
              <w:rPr>
                <w:rFonts w:cs="Times New Roman"/>
                <w:iCs/>
                <w:sz w:val="20"/>
                <w:szCs w:val="20"/>
              </w:rPr>
              <w:t>CI = Confidence Interval</w:t>
            </w:r>
          </w:p>
        </w:tc>
      </w:tr>
    </w:tbl>
    <w:p w14:paraId="52E9DD4B" w14:textId="77777777" w:rsidR="00720EAD" w:rsidRDefault="00720EAD" w:rsidP="00377501">
      <w:pPr>
        <w:autoSpaceDE w:val="0"/>
        <w:autoSpaceDN w:val="0"/>
        <w:adjustRightInd w:val="0"/>
        <w:spacing w:after="0"/>
      </w:pPr>
    </w:p>
    <w:p w14:paraId="3FDB931D" w14:textId="2B0D5147" w:rsidR="009A1275" w:rsidRDefault="009A1275" w:rsidP="009A1275">
      <w:pPr>
        <w:autoSpaceDE w:val="0"/>
        <w:autoSpaceDN w:val="0"/>
        <w:adjustRightInd w:val="0"/>
        <w:spacing w:after="0"/>
      </w:pPr>
      <w:r w:rsidRPr="007823DC">
        <w:t>Improvements in FEV</w:t>
      </w:r>
      <w:r w:rsidRPr="007823DC">
        <w:rPr>
          <w:vertAlign w:val="subscript"/>
        </w:rPr>
        <w:t>1</w:t>
      </w:r>
      <w:r w:rsidRPr="007823DC">
        <w:t xml:space="preserve"> were observed at 4 weeks following the first dose of </w:t>
      </w:r>
      <w:r w:rsidR="00E30C70">
        <w:t>CINQAIR</w:t>
      </w:r>
      <w:r w:rsidRPr="007823DC">
        <w:t xml:space="preserve"> for Studies</w:t>
      </w:r>
      <w:r>
        <w:t> </w:t>
      </w:r>
      <w:r w:rsidRPr="007823DC">
        <w:t>I and II (</w:t>
      </w:r>
      <w:r>
        <w:t>F</w:t>
      </w:r>
      <w:r w:rsidRPr="007823DC">
        <w:t>igure</w:t>
      </w:r>
      <w:r>
        <w:t> 1</w:t>
      </w:r>
      <w:r w:rsidRPr="007823DC">
        <w:t>). Improvements as early as 4</w:t>
      </w:r>
      <w:r>
        <w:t> </w:t>
      </w:r>
      <w:r w:rsidRPr="007823DC">
        <w:t xml:space="preserve">weeks were also observed for ACQ </w:t>
      </w:r>
      <w:r>
        <w:t>(Figure 2)</w:t>
      </w:r>
      <w:r w:rsidRPr="004B52DF">
        <w:t>.</w:t>
      </w:r>
    </w:p>
    <w:p w14:paraId="65A79241" w14:textId="2CB635C0" w:rsidR="009A1275" w:rsidRDefault="00485824" w:rsidP="009A1275">
      <w:pPr>
        <w:keepNext/>
        <w:keepLines/>
        <w:numPr>
          <w:ilvl w:val="12"/>
          <w:numId w:val="0"/>
        </w:numPr>
      </w:pPr>
      <w:r>
        <w:rPr>
          <w:noProof/>
          <w:lang w:eastAsia="en-AU"/>
        </w:rPr>
        <w:lastRenderedPageBreak/>
        <mc:AlternateContent>
          <mc:Choice Requires="wps">
            <w:drawing>
              <wp:anchor distT="0" distB="0" distL="114300" distR="114300" simplePos="0" relativeHeight="251661312" behindDoc="0" locked="0" layoutInCell="1" allowOverlap="1" wp14:anchorId="5001D16D" wp14:editId="5B638F21">
                <wp:simplePos x="0" y="0"/>
                <wp:positionH relativeFrom="column">
                  <wp:posOffset>1295400</wp:posOffset>
                </wp:positionH>
                <wp:positionV relativeFrom="paragraph">
                  <wp:posOffset>3615690</wp:posOffset>
                </wp:positionV>
                <wp:extent cx="3025140" cy="24765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4F022E" w14:textId="77777777" w:rsidR="00673D39" w:rsidRDefault="00673D39" w:rsidP="009A1275">
                            <w:pPr>
                              <w:jc w:val="center"/>
                              <w:rPr>
                                <w:lang w:val="en-US"/>
                              </w:rPr>
                            </w:pPr>
                            <w:r>
                              <w:rPr>
                                <w:lang w:val="en-US"/>
                              </w:rPr>
                              <w:t>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284.7pt;width:238.2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KfgQ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" stroked="f">
                <v:textbox>
                  <w:txbxContent>
                    <w:p w14:paraId="3A4F022E" w14:textId="77777777" w:rsidR="00673D39" w:rsidRDefault="00673D39" w:rsidP="009A1275">
                      <w:pPr>
                        <w:jc w:val="center"/>
                        <w:rPr>
                          <w:lang w:val="en-US"/>
                        </w:rPr>
                      </w:pPr>
                      <w:r>
                        <w:rPr>
                          <w:lang w:val="en-US"/>
                        </w:rPr>
                        <w:t>Week</w:t>
                      </w:r>
                    </w:p>
                  </w:txbxContent>
                </v:textbox>
              </v:shape>
            </w:pict>
          </mc:Fallback>
        </mc:AlternateContent>
      </w:r>
      <w:r w:rsidR="009A1275">
        <w:rPr>
          <w:noProof/>
          <w:lang w:eastAsia="en-AU"/>
        </w:rPr>
        <mc:AlternateContent>
          <mc:Choice Requires="wps">
            <w:drawing>
              <wp:anchor distT="0" distB="0" distL="114300" distR="114300" simplePos="0" relativeHeight="251660288" behindDoc="0" locked="0" layoutInCell="1" allowOverlap="1" wp14:anchorId="5952BD45" wp14:editId="587FC6AB">
                <wp:simplePos x="0" y="0"/>
                <wp:positionH relativeFrom="column">
                  <wp:posOffset>182245</wp:posOffset>
                </wp:positionH>
                <wp:positionV relativeFrom="paragraph">
                  <wp:posOffset>175895</wp:posOffset>
                </wp:positionV>
                <wp:extent cx="463550" cy="29095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290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41A4D" w14:textId="77777777" w:rsidR="00673D39" w:rsidRDefault="00673D39" w:rsidP="009A1275">
                            <w:r>
                              <w:rPr>
                                <w:lang w:val="en-US"/>
                              </w:rPr>
                              <w:t>Mean change from baseline in FEV</w:t>
                            </w:r>
                            <w:r w:rsidRPr="00AC33E2">
                              <w:rPr>
                                <w:vertAlign w:val="subscript"/>
                                <w:lang w:val="en-US"/>
                              </w:rPr>
                              <w:t>1</w:t>
                            </w:r>
                            <w:r>
                              <w:rPr>
                                <w:lang w:val="en-US"/>
                              </w:rPr>
                              <w:t xml:space="preserve"> (mL)</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4.35pt;margin-top:13.85pt;width:36.5pt;height:2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" stroked="f">
                <v:textbox style="layout-flow:vertical;mso-layout-flow-alt:bottom-to-top">
                  <w:txbxContent>
                    <w:p w14:paraId="07641A4D" w14:textId="77777777" w:rsidR="00673D39" w:rsidRDefault="00673D39" w:rsidP="009A1275">
                      <w:r>
                        <w:rPr>
                          <w:lang w:val="en-US"/>
                        </w:rPr>
                        <w:t>Mean change from baseline in FEV</w:t>
                      </w:r>
                      <w:r w:rsidRPr="00AC33E2">
                        <w:rPr>
                          <w:vertAlign w:val="subscript"/>
                          <w:lang w:val="en-US"/>
                        </w:rPr>
                        <w:t>1</w:t>
                      </w:r>
                      <w:r>
                        <w:rPr>
                          <w:lang w:val="en-US"/>
                        </w:rPr>
                        <w:t xml:space="preserve"> (mL)</w:t>
                      </w:r>
                    </w:p>
                  </w:txbxContent>
                </v:textbox>
              </v:shape>
            </w:pict>
          </mc:Fallback>
        </mc:AlternateContent>
      </w:r>
      <w:r w:rsidR="009A1275">
        <w:rPr>
          <w:noProof/>
          <w:lang w:eastAsia="en-AU"/>
        </w:rPr>
        <mc:AlternateContent>
          <mc:Choice Requires="wps">
            <w:drawing>
              <wp:anchor distT="0" distB="0" distL="114300" distR="114300" simplePos="0" relativeHeight="251659264" behindDoc="0" locked="0" layoutInCell="1" allowOverlap="1" wp14:anchorId="203DF3CE" wp14:editId="6538D9B2">
                <wp:simplePos x="0" y="0"/>
                <wp:positionH relativeFrom="column">
                  <wp:posOffset>3563620</wp:posOffset>
                </wp:positionH>
                <wp:positionV relativeFrom="paragraph">
                  <wp:posOffset>688340</wp:posOffset>
                </wp:positionV>
                <wp:extent cx="1508125" cy="4889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8E4E8" w14:textId="77777777" w:rsidR="00673D39" w:rsidRDefault="00673D39" w:rsidP="009A1275">
                            <w:pPr>
                              <w:spacing w:after="60"/>
                              <w:rPr>
                                <w:lang w:val="de-DE"/>
                              </w:rPr>
                            </w:pPr>
                            <w:r>
                              <w:rPr>
                                <w:lang w:val="de-DE"/>
                              </w:rPr>
                              <w:t>Placebo</w:t>
                            </w:r>
                          </w:p>
                          <w:p w14:paraId="20E24FE1" w14:textId="1BD24762" w:rsidR="00673D39" w:rsidRDefault="00673D39" w:rsidP="009A1275">
                            <w:pPr>
                              <w:spacing w:after="60"/>
                              <w:rPr>
                                <w:lang w:val="de-DE"/>
                              </w:rPr>
                            </w:pPr>
                            <w:r>
                              <w:rPr>
                                <w:lang w:val="de-DE"/>
                              </w:rPr>
                              <w:t>CINQAIR 3 mg/kg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margin-left:280.6pt;margin-top:54.2pt;width:118.75pt;height:3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" stroked="f">
                <v:textbox style="mso-fit-shape-to-text:t">
                  <w:txbxContent>
                    <w:p w14:paraId="2928E4E8" w14:textId="77777777" w:rsidR="00673D39" w:rsidRDefault="00673D39" w:rsidP="009A1275">
                      <w:pPr>
                        <w:spacing w:after="60"/>
                        <w:rPr>
                          <w:lang w:val="de-DE"/>
                        </w:rPr>
                      </w:pPr>
                      <w:r>
                        <w:rPr>
                          <w:lang w:val="de-DE"/>
                        </w:rPr>
                        <w:t>Placebo</w:t>
                      </w:r>
                    </w:p>
                    <w:p w14:paraId="20E24FE1" w14:textId="1BD24762" w:rsidR="00673D39" w:rsidRDefault="00673D39" w:rsidP="009A1275">
                      <w:pPr>
                        <w:spacing w:after="60"/>
                        <w:rPr>
                          <w:lang w:val="de-DE"/>
                        </w:rPr>
                      </w:pPr>
                      <w:r>
                        <w:rPr>
                          <w:lang w:val="de-DE"/>
                        </w:rPr>
                        <w:t>CINQAIR 3 mg/kg</w:t>
                      </w:r>
                    </w:p>
                  </w:txbxContent>
                </v:textbox>
              </v:shape>
            </w:pict>
          </mc:Fallback>
        </mc:AlternateContent>
      </w:r>
      <w:r w:rsidR="009A1275">
        <w:t xml:space="preserve">         </w:t>
      </w:r>
      <w:r w:rsidR="009A1275" w:rsidRPr="004906A2">
        <w:rPr>
          <w:noProof/>
          <w:lang w:eastAsia="en-AU"/>
        </w:rPr>
        <w:drawing>
          <wp:inline distT="0" distB="0" distL="0" distR="0" wp14:anchorId="6293D909" wp14:editId="78445CFE">
            <wp:extent cx="5067300" cy="3848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7300" cy="3848100"/>
                    </a:xfrm>
                    <a:prstGeom prst="rect">
                      <a:avLst/>
                    </a:prstGeom>
                    <a:noFill/>
                    <a:ln>
                      <a:noFill/>
                    </a:ln>
                  </pic:spPr>
                </pic:pic>
              </a:graphicData>
            </a:graphic>
          </wp:inline>
        </w:drawing>
      </w:r>
    </w:p>
    <w:p w14:paraId="68A2B5D5" w14:textId="03066303" w:rsidR="009A1275" w:rsidRDefault="00507F4B" w:rsidP="009A1275">
      <w:pPr>
        <w:pStyle w:val="Caption"/>
        <w:spacing w:after="120"/>
        <w:ind w:left="1440" w:hanging="1440"/>
        <w:rPr>
          <w:b/>
          <w:i w:val="0"/>
          <w:color w:val="auto"/>
          <w:sz w:val="22"/>
        </w:rPr>
      </w:pPr>
      <w:r>
        <w:rPr>
          <w:rFonts w:ascii="ZWAdobeF" w:hAnsi="ZWAdobeF" w:cs="ZWAdobeF"/>
          <w:i w:val="0"/>
          <w:color w:val="auto"/>
          <w:sz w:val="2"/>
          <w:szCs w:val="2"/>
        </w:rPr>
        <w:t>3B</w:t>
      </w:r>
      <w:r w:rsidR="009A1275" w:rsidRPr="009A1275">
        <w:rPr>
          <w:b/>
          <w:i w:val="0"/>
          <w:color w:val="auto"/>
          <w:sz w:val="22"/>
        </w:rPr>
        <w:t xml:space="preserve">Figure </w:t>
      </w:r>
      <w:r w:rsidR="009A1275" w:rsidRPr="009A1275">
        <w:rPr>
          <w:b/>
          <w:i w:val="0"/>
          <w:color w:val="auto"/>
          <w:sz w:val="22"/>
        </w:rPr>
        <w:fldChar w:fldCharType="begin"/>
      </w:r>
      <w:r w:rsidR="009A1275" w:rsidRPr="009A1275">
        <w:rPr>
          <w:b/>
          <w:i w:val="0"/>
          <w:color w:val="auto"/>
          <w:sz w:val="22"/>
        </w:rPr>
        <w:instrText xml:space="preserve"> SEQ Figure \* ARABIC </w:instrText>
      </w:r>
      <w:r w:rsidR="009A1275" w:rsidRPr="009A1275">
        <w:rPr>
          <w:b/>
          <w:i w:val="0"/>
          <w:color w:val="auto"/>
          <w:sz w:val="22"/>
        </w:rPr>
        <w:fldChar w:fldCharType="separate"/>
      </w:r>
      <w:r>
        <w:rPr>
          <w:b/>
          <w:i w:val="0"/>
          <w:noProof/>
          <w:color w:val="auto"/>
          <w:sz w:val="22"/>
        </w:rPr>
        <w:t>1</w:t>
      </w:r>
      <w:r w:rsidR="009A1275" w:rsidRPr="009A1275">
        <w:rPr>
          <w:b/>
          <w:i w:val="0"/>
          <w:color w:val="auto"/>
          <w:sz w:val="22"/>
        </w:rPr>
        <w:fldChar w:fldCharType="end"/>
      </w:r>
      <w:r w:rsidR="009A1275" w:rsidRPr="009A1275">
        <w:rPr>
          <w:b/>
          <w:i w:val="0"/>
          <w:color w:val="auto"/>
          <w:sz w:val="22"/>
        </w:rPr>
        <w:t xml:space="preserve"> </w:t>
      </w:r>
      <w:r w:rsidR="009A1275">
        <w:rPr>
          <w:b/>
          <w:i w:val="0"/>
          <w:color w:val="auto"/>
          <w:sz w:val="22"/>
        </w:rPr>
        <w:tab/>
      </w:r>
      <w:r w:rsidR="009A1275" w:rsidRPr="009A1275">
        <w:rPr>
          <w:b/>
          <w:i w:val="0"/>
          <w:color w:val="auto"/>
          <w:sz w:val="22"/>
        </w:rPr>
        <w:t>Mean change from baseline in FEV</w:t>
      </w:r>
      <w:r w:rsidR="009A1275" w:rsidRPr="009A1275">
        <w:rPr>
          <w:b/>
          <w:i w:val="0"/>
          <w:color w:val="auto"/>
          <w:sz w:val="22"/>
          <w:vertAlign w:val="subscript"/>
        </w:rPr>
        <w:t>1</w:t>
      </w:r>
      <w:r w:rsidR="009A1275" w:rsidRPr="009A1275">
        <w:rPr>
          <w:b/>
          <w:i w:val="0"/>
          <w:color w:val="auto"/>
          <w:sz w:val="22"/>
        </w:rPr>
        <w:t xml:space="preserve"> to each visit in subgroup GINA 4 and 5 (integrated studies I and II)</w:t>
      </w:r>
    </w:p>
    <w:p w14:paraId="45268DA3" w14:textId="77777777" w:rsidR="009A1275" w:rsidRPr="00AC33E2" w:rsidRDefault="009A1275" w:rsidP="009A1275">
      <w:pPr>
        <w:keepNext/>
        <w:keepLines/>
        <w:numPr>
          <w:ilvl w:val="12"/>
          <w:numId w:val="0"/>
        </w:numPr>
      </w:pPr>
      <w:r>
        <w:rPr>
          <w:iCs/>
        </w:rPr>
        <w:t xml:space="preserve">All </w:t>
      </w:r>
      <w:r w:rsidRPr="004B52DF">
        <w:rPr>
          <w:iCs/>
        </w:rPr>
        <w:t>values represent</w:t>
      </w:r>
      <w:r>
        <w:rPr>
          <w:iCs/>
        </w:rPr>
        <w:t xml:space="preserve"> adjusted</w:t>
      </w:r>
      <w:r w:rsidRPr="004B52DF">
        <w:rPr>
          <w:iCs/>
        </w:rPr>
        <w:t xml:space="preserve"> means for the </w:t>
      </w:r>
      <w:r>
        <w:rPr>
          <w:iCs/>
        </w:rPr>
        <w:t>treatment</w:t>
      </w:r>
      <w:r w:rsidRPr="004B52DF">
        <w:rPr>
          <w:iCs/>
        </w:rPr>
        <w:t xml:space="preserve"> difference </w:t>
      </w:r>
      <w:r>
        <w:rPr>
          <w:iCs/>
        </w:rPr>
        <w:t xml:space="preserve">from baseline </w:t>
      </w:r>
      <w:r w:rsidRPr="00FF67ED">
        <w:t>(±</w:t>
      </w:r>
      <w:r>
        <w:t> </w:t>
      </w:r>
      <w:r w:rsidRPr="00FF67ED">
        <w:t>s</w:t>
      </w:r>
      <w:r w:rsidRPr="00BE2EC1">
        <w:t xml:space="preserve">tandard </w:t>
      </w:r>
      <w:r>
        <w:t>e</w:t>
      </w:r>
      <w:r w:rsidRPr="00FF67ED">
        <w:t>rror)</w:t>
      </w:r>
      <w:r>
        <w:t xml:space="preserve"> </w:t>
      </w:r>
      <w:r w:rsidRPr="004B52DF">
        <w:rPr>
          <w:iCs/>
        </w:rPr>
        <w:t>over the specified time period</w:t>
      </w:r>
      <w:r>
        <w:rPr>
          <w:iCs/>
        </w:rPr>
        <w:t xml:space="preserve"> </w:t>
      </w:r>
      <w:r>
        <w:t>for subgroup GINA 4 and 5 of integrated Studies I and II.</w:t>
      </w:r>
    </w:p>
    <w:p w14:paraId="73147736" w14:textId="77777777" w:rsidR="009A1275" w:rsidRPr="009A1275" w:rsidRDefault="009A1275" w:rsidP="009A1275"/>
    <w:p w14:paraId="732E3A04" w14:textId="77777777" w:rsidR="009A1275" w:rsidRPr="0051421F" w:rsidRDefault="009A1275" w:rsidP="009A1275">
      <w:pPr>
        <w:keepNext/>
        <w:keepLines/>
        <w:numPr>
          <w:ilvl w:val="12"/>
          <w:numId w:val="0"/>
        </w:numPr>
        <w:rPr>
          <w:b/>
        </w:rPr>
      </w:pPr>
      <w:r>
        <w:rPr>
          <w:b/>
          <w:noProof/>
          <w:lang w:eastAsia="en-AU"/>
        </w:rPr>
        <w:lastRenderedPageBreak/>
        <mc:AlternateContent>
          <mc:Choice Requires="wps">
            <w:drawing>
              <wp:anchor distT="0" distB="0" distL="114300" distR="114300" simplePos="0" relativeHeight="251663360" behindDoc="0" locked="0" layoutInCell="1" allowOverlap="1" wp14:anchorId="04686E8C" wp14:editId="3565A709">
                <wp:simplePos x="0" y="0"/>
                <wp:positionH relativeFrom="column">
                  <wp:posOffset>1323975</wp:posOffset>
                </wp:positionH>
                <wp:positionV relativeFrom="paragraph">
                  <wp:posOffset>120015</wp:posOffset>
                </wp:positionV>
                <wp:extent cx="3025140" cy="257175"/>
                <wp:effectExtent l="0" t="0" r="381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D7B5F" w14:textId="77777777" w:rsidR="00673D39" w:rsidRDefault="00673D39" w:rsidP="009A1275">
                            <w:pPr>
                              <w:jc w:val="center"/>
                              <w:rPr>
                                <w:lang w:val="en-US"/>
                              </w:rPr>
                            </w:pPr>
                            <w:r>
                              <w:rPr>
                                <w:lang w:val="en-US"/>
                              </w:rPr>
                              <w:t>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04.25pt;margin-top:9.45pt;width:238.2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AIkhAIAABY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" stroked="f">
                <v:textbox>
                  <w:txbxContent>
                    <w:p w14:paraId="7B5D7B5F" w14:textId="77777777" w:rsidR="00673D39" w:rsidRDefault="00673D39" w:rsidP="009A1275">
                      <w:pPr>
                        <w:jc w:val="center"/>
                        <w:rPr>
                          <w:lang w:val="en-US"/>
                        </w:rPr>
                      </w:pPr>
                      <w:r>
                        <w:rPr>
                          <w:lang w:val="en-US"/>
                        </w:rPr>
                        <w:t>Week</w:t>
                      </w:r>
                    </w:p>
                  </w:txbxContent>
                </v:textbox>
              </v:shape>
            </w:pict>
          </mc:Fallback>
        </mc:AlternateContent>
      </w:r>
    </w:p>
    <w:p w14:paraId="4F749EC4" w14:textId="77777777" w:rsidR="009A1275" w:rsidRDefault="009A1275" w:rsidP="009A1275">
      <w:pPr>
        <w:keepNext/>
        <w:autoSpaceDE w:val="0"/>
        <w:autoSpaceDN w:val="0"/>
        <w:adjustRightInd w:val="0"/>
      </w:pPr>
      <w:r>
        <w:rPr>
          <w:noProof/>
          <w:lang w:eastAsia="en-AU"/>
        </w:rPr>
        <mc:AlternateContent>
          <mc:Choice Requires="wps">
            <w:drawing>
              <wp:anchor distT="0" distB="0" distL="114300" distR="114300" simplePos="0" relativeHeight="251664384" behindDoc="0" locked="0" layoutInCell="1" allowOverlap="1" wp14:anchorId="17C5C443" wp14:editId="1906F677">
                <wp:simplePos x="0" y="0"/>
                <wp:positionH relativeFrom="column">
                  <wp:posOffset>-36830</wp:posOffset>
                </wp:positionH>
                <wp:positionV relativeFrom="paragraph">
                  <wp:posOffset>322580</wp:posOffset>
                </wp:positionV>
                <wp:extent cx="381000" cy="2909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0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956C3" w14:textId="77777777" w:rsidR="00673D39" w:rsidRDefault="00673D39" w:rsidP="009A1275">
                            <w:pPr>
                              <w:jc w:val="center"/>
                            </w:pPr>
                            <w:r>
                              <w:rPr>
                                <w:lang w:val="en-US"/>
                              </w:rPr>
                              <w:t>ACQ score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margin-left:-2.9pt;margin-top:25.4pt;width:30pt;height:22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" stroked="f">
                <v:textbox style="layout-flow:vertical;mso-layout-flow-alt:bottom-to-top">
                  <w:txbxContent>
                    <w:p w14:paraId="24B956C3" w14:textId="77777777" w:rsidR="00673D39" w:rsidRDefault="00673D39" w:rsidP="009A1275">
                      <w:pPr>
                        <w:jc w:val="center"/>
                      </w:pPr>
                      <w:r>
                        <w:rPr>
                          <w:lang w:val="en-US"/>
                        </w:rPr>
                        <w:t>ACQ score</w:t>
                      </w:r>
                    </w:p>
                  </w:txbxContent>
                </v:textbox>
              </v:shape>
            </w:pict>
          </mc:Fallback>
        </mc:AlternateContent>
      </w:r>
      <w:r>
        <w:rPr>
          <w:noProof/>
          <w:lang w:eastAsia="en-AU"/>
        </w:rPr>
        <mc:AlternateContent>
          <mc:Choice Requires="wps">
            <w:drawing>
              <wp:anchor distT="0" distB="0" distL="114300" distR="114300" simplePos="0" relativeHeight="251665408" behindDoc="0" locked="0" layoutInCell="1" allowOverlap="1" wp14:anchorId="3B29E894" wp14:editId="51CC5C31">
                <wp:simplePos x="0" y="0"/>
                <wp:positionH relativeFrom="column">
                  <wp:posOffset>2541270</wp:posOffset>
                </wp:positionH>
                <wp:positionV relativeFrom="paragraph">
                  <wp:posOffset>753745</wp:posOffset>
                </wp:positionV>
                <wp:extent cx="1508125" cy="4889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488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F5E235" w14:textId="77777777" w:rsidR="00673D39" w:rsidRDefault="00673D39" w:rsidP="009A1275">
                            <w:pPr>
                              <w:spacing w:after="60"/>
                              <w:rPr>
                                <w:lang w:val="de-DE"/>
                              </w:rPr>
                            </w:pPr>
                            <w:r>
                              <w:rPr>
                                <w:lang w:val="de-DE"/>
                              </w:rPr>
                              <w:t>Placebo</w:t>
                            </w:r>
                          </w:p>
                          <w:p w14:paraId="15F3C0D5" w14:textId="683C3E61" w:rsidR="00673D39" w:rsidRDefault="00673D39" w:rsidP="009A1275">
                            <w:pPr>
                              <w:spacing w:after="60"/>
                              <w:rPr>
                                <w:lang w:val="de-DE"/>
                              </w:rPr>
                            </w:pPr>
                            <w:r>
                              <w:rPr>
                                <w:lang w:val="de-DE"/>
                              </w:rPr>
                              <w:t>CINQAIR 3 mg/kg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margin-left:200.1pt;margin-top:59.35pt;width:118.75pt;height:38.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" stroked="f">
                <v:textbox style="mso-fit-shape-to-text:t">
                  <w:txbxContent>
                    <w:p w14:paraId="0AF5E235" w14:textId="77777777" w:rsidR="00673D39" w:rsidRDefault="00673D39" w:rsidP="009A1275">
                      <w:pPr>
                        <w:spacing w:after="60"/>
                        <w:rPr>
                          <w:lang w:val="de-DE"/>
                        </w:rPr>
                      </w:pPr>
                      <w:r>
                        <w:rPr>
                          <w:lang w:val="de-DE"/>
                        </w:rPr>
                        <w:t>Placebo</w:t>
                      </w:r>
                    </w:p>
                    <w:p w14:paraId="15F3C0D5" w14:textId="683C3E61" w:rsidR="00673D39" w:rsidRDefault="00673D39" w:rsidP="009A1275">
                      <w:pPr>
                        <w:spacing w:after="60"/>
                        <w:rPr>
                          <w:lang w:val="de-DE"/>
                        </w:rPr>
                      </w:pPr>
                      <w:r>
                        <w:rPr>
                          <w:lang w:val="de-DE"/>
                        </w:rPr>
                        <w:t>CINQAIR 3 mg/kg</w:t>
                      </w:r>
                    </w:p>
                  </w:txbxContent>
                </v:textbox>
              </v:shape>
            </w:pict>
          </mc:Fallback>
        </mc:AlternateContent>
      </w:r>
      <w:r w:rsidRPr="00190799">
        <w:rPr>
          <w:noProof/>
          <w:lang w:val="de-DE" w:eastAsia="de-DE"/>
        </w:rPr>
        <w:t xml:space="preserve"> </w:t>
      </w:r>
      <w:r>
        <w:rPr>
          <w:noProof/>
          <w:lang w:val="de-DE" w:eastAsia="de-DE"/>
        </w:rPr>
        <w:t xml:space="preserve">      </w:t>
      </w:r>
      <w:r w:rsidRPr="00190799">
        <w:rPr>
          <w:noProof/>
          <w:lang w:eastAsia="en-AU"/>
        </w:rPr>
        <w:drawing>
          <wp:inline distT="0" distB="0" distL="0" distR="0" wp14:anchorId="27F9A941" wp14:editId="2FDEFA35">
            <wp:extent cx="5067300" cy="3609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67300" cy="3609975"/>
                    </a:xfrm>
                    <a:prstGeom prst="rect">
                      <a:avLst/>
                    </a:prstGeom>
                    <a:noFill/>
                    <a:ln>
                      <a:noFill/>
                    </a:ln>
                  </pic:spPr>
                </pic:pic>
              </a:graphicData>
            </a:graphic>
          </wp:inline>
        </w:drawing>
      </w:r>
    </w:p>
    <w:p w14:paraId="47FBB406" w14:textId="6FA40951" w:rsidR="009A1275" w:rsidRPr="009A1275" w:rsidRDefault="00507F4B" w:rsidP="00377501">
      <w:pPr>
        <w:pStyle w:val="Caption"/>
        <w:spacing w:after="120"/>
        <w:ind w:left="1440" w:hanging="1440"/>
        <w:rPr>
          <w:b/>
          <w:i w:val="0"/>
          <w:color w:val="auto"/>
          <w:sz w:val="22"/>
          <w:szCs w:val="22"/>
        </w:rPr>
      </w:pPr>
      <w:r>
        <w:rPr>
          <w:rFonts w:ascii="ZWAdobeF" w:hAnsi="ZWAdobeF" w:cs="ZWAdobeF"/>
          <w:i w:val="0"/>
          <w:color w:val="auto"/>
          <w:sz w:val="2"/>
          <w:szCs w:val="2"/>
        </w:rPr>
        <w:t>4B</w:t>
      </w:r>
      <w:r w:rsidR="009A1275" w:rsidRPr="009A1275">
        <w:rPr>
          <w:b/>
          <w:i w:val="0"/>
          <w:color w:val="auto"/>
          <w:sz w:val="22"/>
        </w:rPr>
        <w:t xml:space="preserve">Figure </w:t>
      </w:r>
      <w:r w:rsidR="009A1275" w:rsidRPr="009A1275">
        <w:rPr>
          <w:b/>
          <w:i w:val="0"/>
          <w:color w:val="auto"/>
          <w:sz w:val="22"/>
        </w:rPr>
        <w:fldChar w:fldCharType="begin"/>
      </w:r>
      <w:r w:rsidR="009A1275" w:rsidRPr="009A1275">
        <w:rPr>
          <w:b/>
          <w:i w:val="0"/>
          <w:color w:val="auto"/>
          <w:sz w:val="22"/>
        </w:rPr>
        <w:instrText xml:space="preserve"> SEQ Figure \* ARABIC </w:instrText>
      </w:r>
      <w:r w:rsidR="009A1275" w:rsidRPr="009A1275">
        <w:rPr>
          <w:b/>
          <w:i w:val="0"/>
          <w:color w:val="auto"/>
          <w:sz w:val="22"/>
        </w:rPr>
        <w:fldChar w:fldCharType="separate"/>
      </w:r>
      <w:r>
        <w:rPr>
          <w:b/>
          <w:i w:val="0"/>
          <w:noProof/>
          <w:color w:val="auto"/>
          <w:sz w:val="22"/>
        </w:rPr>
        <w:t>2</w:t>
      </w:r>
      <w:r w:rsidR="009A1275" w:rsidRPr="009A1275">
        <w:rPr>
          <w:b/>
          <w:i w:val="0"/>
          <w:color w:val="auto"/>
          <w:sz w:val="22"/>
        </w:rPr>
        <w:fldChar w:fldCharType="end"/>
      </w:r>
      <w:r w:rsidR="009A1275" w:rsidRPr="009A1275">
        <w:rPr>
          <w:b/>
          <w:i w:val="0"/>
          <w:color w:val="auto"/>
          <w:sz w:val="22"/>
        </w:rPr>
        <w:t xml:space="preserve"> </w:t>
      </w:r>
      <w:r w:rsidR="009A1275">
        <w:rPr>
          <w:b/>
          <w:i w:val="0"/>
          <w:color w:val="auto"/>
          <w:sz w:val="22"/>
        </w:rPr>
        <w:tab/>
      </w:r>
      <w:r w:rsidR="009A1275" w:rsidRPr="009A1275">
        <w:rPr>
          <w:b/>
          <w:i w:val="0"/>
          <w:color w:val="auto"/>
          <w:sz w:val="22"/>
        </w:rPr>
        <w:t>Mean change from baseline in ACQ to each visit in subgroup GINA 4 and 5 (integrated Studies I and II)</w:t>
      </w:r>
    </w:p>
    <w:p w14:paraId="1E361676" w14:textId="77777777" w:rsidR="009A1275" w:rsidRPr="00AC33E2" w:rsidRDefault="009A1275" w:rsidP="00377501">
      <w:pPr>
        <w:keepNext/>
        <w:keepLines/>
        <w:numPr>
          <w:ilvl w:val="12"/>
          <w:numId w:val="0"/>
        </w:numPr>
        <w:spacing w:after="0"/>
      </w:pPr>
      <w:r>
        <w:rPr>
          <w:iCs/>
        </w:rPr>
        <w:t xml:space="preserve">All </w:t>
      </w:r>
      <w:r w:rsidRPr="004B52DF">
        <w:rPr>
          <w:iCs/>
        </w:rPr>
        <w:t>values represent</w:t>
      </w:r>
      <w:r>
        <w:rPr>
          <w:iCs/>
        </w:rPr>
        <w:t xml:space="preserve"> </w:t>
      </w:r>
      <w:r w:rsidRPr="004B52DF">
        <w:rPr>
          <w:iCs/>
        </w:rPr>
        <w:t xml:space="preserve">adjusted means for the </w:t>
      </w:r>
      <w:r>
        <w:rPr>
          <w:iCs/>
        </w:rPr>
        <w:t>treatment</w:t>
      </w:r>
      <w:r w:rsidRPr="004B52DF">
        <w:rPr>
          <w:iCs/>
        </w:rPr>
        <w:t xml:space="preserve"> difference </w:t>
      </w:r>
      <w:r>
        <w:rPr>
          <w:iCs/>
        </w:rPr>
        <w:t xml:space="preserve">from baseline </w:t>
      </w:r>
      <w:r w:rsidRPr="00FF67ED">
        <w:t>(±</w:t>
      </w:r>
      <w:r>
        <w:t> </w:t>
      </w:r>
      <w:r w:rsidRPr="00FF67ED">
        <w:t>s</w:t>
      </w:r>
      <w:r w:rsidRPr="00BE2EC1">
        <w:t xml:space="preserve">tandard </w:t>
      </w:r>
      <w:r>
        <w:t>e</w:t>
      </w:r>
      <w:r w:rsidRPr="00FF67ED">
        <w:t>rror)</w:t>
      </w:r>
      <w:r>
        <w:t xml:space="preserve"> </w:t>
      </w:r>
      <w:r w:rsidRPr="004B52DF">
        <w:rPr>
          <w:iCs/>
        </w:rPr>
        <w:t>over the specified time period</w:t>
      </w:r>
      <w:r>
        <w:rPr>
          <w:iCs/>
        </w:rPr>
        <w:t xml:space="preserve"> </w:t>
      </w:r>
      <w:r>
        <w:t>for subgroup GINA 4 and 5 of integrated Studies I and II.</w:t>
      </w:r>
    </w:p>
    <w:p w14:paraId="5551B648" w14:textId="77777777" w:rsidR="00250C42" w:rsidRPr="00E90760" w:rsidRDefault="00250C42" w:rsidP="00377501">
      <w:pPr>
        <w:autoSpaceDE w:val="0"/>
        <w:autoSpaceDN w:val="0"/>
        <w:adjustRightInd w:val="0"/>
        <w:spacing w:after="0"/>
      </w:pPr>
    </w:p>
    <w:p w14:paraId="07E0A798" w14:textId="77777777" w:rsidR="009A1275" w:rsidRPr="009A3FEE" w:rsidRDefault="009A1275" w:rsidP="005B1FF9">
      <w:pPr>
        <w:pStyle w:val="Heading2"/>
      </w:pPr>
      <w:r w:rsidRPr="009A3FEE">
        <w:t>Study III</w:t>
      </w:r>
    </w:p>
    <w:p w14:paraId="508A22FF" w14:textId="54F6EA55" w:rsidR="009A1275" w:rsidRDefault="009A1275" w:rsidP="00377501">
      <w:pPr>
        <w:autoSpaceDE w:val="0"/>
        <w:autoSpaceDN w:val="0"/>
        <w:adjustRightInd w:val="0"/>
        <w:spacing w:after="0"/>
      </w:pPr>
      <w:r w:rsidRPr="007823DC">
        <w:t>The primary endpoint was the change from baseline over 16</w:t>
      </w:r>
      <w:r>
        <w:t> </w:t>
      </w:r>
      <w:r w:rsidRPr="007823DC">
        <w:t>weeks in FEV</w:t>
      </w:r>
      <w:r w:rsidRPr="007823DC">
        <w:rPr>
          <w:vertAlign w:val="subscript"/>
        </w:rPr>
        <w:t>1</w:t>
      </w:r>
      <w:r w:rsidRPr="007823DC">
        <w:t>. In Study</w:t>
      </w:r>
      <w:r>
        <w:t> </w:t>
      </w:r>
      <w:r w:rsidRPr="007823DC">
        <w:t xml:space="preserve">III, patients receiving </w:t>
      </w:r>
      <w:r w:rsidR="00E30C70">
        <w:t>CINQAIR</w:t>
      </w:r>
      <w:r w:rsidRPr="0019147E">
        <w:t xml:space="preserve"> </w:t>
      </w:r>
      <w:r w:rsidRPr="007823DC">
        <w:t>3 mg/kg had significantly higher increases in FEV</w:t>
      </w:r>
      <w:r w:rsidRPr="007823DC">
        <w:rPr>
          <w:vertAlign w:val="subscript"/>
        </w:rPr>
        <w:t>1</w:t>
      </w:r>
      <w:r>
        <w:rPr>
          <w:vertAlign w:val="subscript"/>
        </w:rPr>
        <w:t xml:space="preserve"> </w:t>
      </w:r>
      <w:r w:rsidRPr="007823DC">
        <w:t>from baseline compared to placebo (160 </w:t>
      </w:r>
      <w:r>
        <w:t>mL</w:t>
      </w:r>
      <w:r w:rsidRPr="007823DC">
        <w:t>, p=0.0018). Improvements were noted in FEV</w:t>
      </w:r>
      <w:r w:rsidRPr="007823DC">
        <w:rPr>
          <w:vertAlign w:val="subscript"/>
        </w:rPr>
        <w:t>1</w:t>
      </w:r>
      <w:r w:rsidRPr="007823DC">
        <w:t xml:space="preserve"> at 4</w:t>
      </w:r>
      <w:r>
        <w:t> </w:t>
      </w:r>
      <w:r w:rsidRPr="007823DC">
        <w:t>weeks following the first dose of</w:t>
      </w:r>
      <w:r w:rsidRPr="004E7FD6">
        <w:t xml:space="preserve"> </w:t>
      </w:r>
      <w:r w:rsidR="00E30C70">
        <w:t>CINQAIR</w:t>
      </w:r>
      <w:r w:rsidRPr="004E7FD6">
        <w:t>.</w:t>
      </w:r>
    </w:p>
    <w:p w14:paraId="22235709" w14:textId="77777777" w:rsidR="00E800B0" w:rsidRDefault="00E800B0" w:rsidP="00377501">
      <w:pPr>
        <w:autoSpaceDE w:val="0"/>
        <w:autoSpaceDN w:val="0"/>
        <w:adjustRightInd w:val="0"/>
        <w:spacing w:after="0"/>
      </w:pPr>
    </w:p>
    <w:p w14:paraId="55929EB3" w14:textId="77777777" w:rsidR="00E800B0" w:rsidRDefault="00E800B0" w:rsidP="005B1FF9">
      <w:pPr>
        <w:pStyle w:val="Heading2"/>
      </w:pPr>
      <w:r w:rsidRPr="00717998">
        <w:t>Immunogenicity</w:t>
      </w:r>
    </w:p>
    <w:p w14:paraId="74DF2A04" w14:textId="77777777" w:rsidR="00E800B0" w:rsidRDefault="00E800B0" w:rsidP="00E800B0">
      <w:pPr>
        <w:autoSpaceDE w:val="0"/>
        <w:autoSpaceDN w:val="0"/>
        <w:adjustRightInd w:val="0"/>
        <w:spacing w:after="0"/>
      </w:pPr>
      <w:r w:rsidRPr="006B727D">
        <w:t xml:space="preserve">In </w:t>
      </w:r>
      <w:r>
        <w:t>phase 3 placebo</w:t>
      </w:r>
      <w:r>
        <w:noBreakHyphen/>
        <w:t>controlled studie</w:t>
      </w:r>
      <w:r w:rsidRPr="006B727D">
        <w:t xml:space="preserve">s with </w:t>
      </w:r>
      <w:proofErr w:type="gramStart"/>
      <w:r w:rsidRPr="006B727D">
        <w:t>a duration</w:t>
      </w:r>
      <w:proofErr w:type="gramEnd"/>
      <w:r w:rsidRPr="006B727D">
        <w:t xml:space="preserve"> of 16 to 52 weeks, low</w:t>
      </w:r>
      <w:r w:rsidRPr="006B727D">
        <w:noBreakHyphen/>
        <w:t>titre, frequently transient anti</w:t>
      </w:r>
      <w:r w:rsidRPr="006B727D">
        <w:noBreakHyphen/>
        <w:t>reslizumab</w:t>
      </w:r>
      <w:r>
        <w:t xml:space="preserve"> antibodies were detected in 53 out of 983 </w:t>
      </w:r>
      <w:r w:rsidRPr="006B727D">
        <w:t>asthma patients</w:t>
      </w:r>
      <w:r>
        <w:t xml:space="preserve"> </w:t>
      </w:r>
      <w:r w:rsidRPr="006B727D">
        <w:t xml:space="preserve">(5%) receiving </w:t>
      </w:r>
      <w:r w:rsidRPr="00DC46DD">
        <w:t>reslizumab at 3 mg/kg. In an open</w:t>
      </w:r>
      <w:r w:rsidRPr="00DC46DD">
        <w:noBreakHyphen/>
        <w:t xml:space="preserve">label </w:t>
      </w:r>
      <w:r w:rsidRPr="006B727D">
        <w:t>ph</w:t>
      </w:r>
      <w:r>
        <w:t>ase </w:t>
      </w:r>
      <w:r w:rsidRPr="006B727D">
        <w:t>3 extension study, low</w:t>
      </w:r>
      <w:r w:rsidRPr="006B727D">
        <w:noBreakHyphen/>
        <w:t>titre, frequently transient anti</w:t>
      </w:r>
      <w:r w:rsidRPr="006B727D">
        <w:noBreakHyphen/>
        <w:t>reslizumab antibodies were detec</w:t>
      </w:r>
      <w:r>
        <w:t>ted in 49 out of 1,014 </w:t>
      </w:r>
      <w:r w:rsidRPr="00DC46DD">
        <w:t>asthma patients</w:t>
      </w:r>
      <w:r>
        <w:t xml:space="preserve"> </w:t>
      </w:r>
      <w:r w:rsidRPr="00DC46DD">
        <w:t xml:space="preserve">(5%) </w:t>
      </w:r>
      <w:r>
        <w:t>who</w:t>
      </w:r>
      <w:r w:rsidRPr="00DC46DD">
        <w:t xml:space="preserve"> received 3 mg/kg reslizumab for up to 36 months. Systemic exposure to reslizumab appears to be unaffected by anti</w:t>
      </w:r>
      <w:r w:rsidRPr="00DC46DD">
        <w:noBreakHyphen/>
        <w:t xml:space="preserve">reslizumab antibodies. </w:t>
      </w:r>
      <w:r>
        <w:t>T</w:t>
      </w:r>
      <w:r w:rsidRPr="00DC46DD">
        <w:t>he an</w:t>
      </w:r>
      <w:r>
        <w:t>tibodies had no impact on clinical pharmacodynamics</w:t>
      </w:r>
      <w:r w:rsidRPr="004C7EFD">
        <w:t>, efficacy or safety.</w:t>
      </w:r>
    </w:p>
    <w:p w14:paraId="63B2E1C6" w14:textId="77777777" w:rsidR="004A28F9" w:rsidRDefault="006D2093" w:rsidP="004A28F9">
      <w:pPr>
        <w:pStyle w:val="Heading1"/>
      </w:pPr>
      <w:r>
        <w:t>INDICATIONS</w:t>
      </w:r>
    </w:p>
    <w:p w14:paraId="6D093A37" w14:textId="1CC0C3FD" w:rsidR="005903AD" w:rsidRPr="005903AD" w:rsidRDefault="005903AD" w:rsidP="00BD5A1B">
      <w:pPr>
        <w:spacing w:after="0"/>
      </w:pPr>
      <w:r w:rsidRPr="00802A8B">
        <w:t xml:space="preserve">CINQAIR is indicated as add-on </w:t>
      </w:r>
      <w:r w:rsidR="00740730" w:rsidRPr="00154A9F">
        <w:t xml:space="preserve">therapy </w:t>
      </w:r>
      <w:r w:rsidRPr="00154A9F">
        <w:t>in adult patients with severe eosinophilic asthma</w:t>
      </w:r>
      <w:r w:rsidR="00AC6A2A" w:rsidRPr="00154A9F">
        <w:t xml:space="preserve"> </w:t>
      </w:r>
      <w:r w:rsidR="004101AE" w:rsidRPr="004101AE">
        <w:t>(blood eosinophil count ≥400cells/µL)</w:t>
      </w:r>
      <w:r w:rsidR="008B7D4F" w:rsidRPr="00154A9F">
        <w:t xml:space="preserve"> </w:t>
      </w:r>
      <w:r w:rsidRPr="00154A9F">
        <w:t xml:space="preserve">(see </w:t>
      </w:r>
      <w:r w:rsidRPr="00154A9F">
        <w:rPr>
          <w:b/>
        </w:rPr>
        <w:t>CLINICAL TRIALS</w:t>
      </w:r>
      <w:r w:rsidRPr="00154A9F">
        <w:t>)</w:t>
      </w:r>
      <w:r w:rsidRPr="00802A8B">
        <w:t>.</w:t>
      </w:r>
    </w:p>
    <w:p w14:paraId="547EECA8" w14:textId="77777777" w:rsidR="004A28F9" w:rsidRDefault="006D2093" w:rsidP="004A28F9">
      <w:pPr>
        <w:pStyle w:val="Heading1"/>
      </w:pPr>
      <w:r>
        <w:lastRenderedPageBreak/>
        <w:t>CONTRAINDICATIONS</w:t>
      </w:r>
    </w:p>
    <w:p w14:paraId="2B9105AB" w14:textId="12769CDA" w:rsidR="00600F7D" w:rsidRDefault="00BD5A1B" w:rsidP="009D4F2D">
      <w:pPr>
        <w:spacing w:after="0"/>
      </w:pPr>
      <w:proofErr w:type="gramStart"/>
      <w:r>
        <w:t xml:space="preserve">Hypersensitivity to reslizumab or to any of the excipients (see </w:t>
      </w:r>
      <w:r w:rsidRPr="00BD06E7">
        <w:rPr>
          <w:b/>
        </w:rPr>
        <w:t>DESCRIPTION</w:t>
      </w:r>
      <w:r>
        <w:t>).</w:t>
      </w:r>
      <w:proofErr w:type="gramEnd"/>
    </w:p>
    <w:p w14:paraId="75934124" w14:textId="77777777" w:rsidR="00600F7D" w:rsidRDefault="006D2093" w:rsidP="009D4F2D">
      <w:pPr>
        <w:pStyle w:val="Heading1"/>
      </w:pPr>
      <w:r>
        <w:t>PRECAUTIONS</w:t>
      </w:r>
    </w:p>
    <w:p w14:paraId="18B37C6C" w14:textId="4C992B70" w:rsidR="00AA76EC" w:rsidRDefault="00AA76EC" w:rsidP="009D4F2D">
      <w:r>
        <w:t>CINQAIR should not be used to tr</w:t>
      </w:r>
      <w:r w:rsidR="009D4F2D">
        <w:t>eat acute asthma exacerbations.</w:t>
      </w:r>
    </w:p>
    <w:p w14:paraId="2CEC2849" w14:textId="1066DA56" w:rsidR="00AA76EC" w:rsidRDefault="00AA76EC" w:rsidP="009D4F2D">
      <w:pPr>
        <w:spacing w:after="0"/>
      </w:pPr>
      <w:r>
        <w:t>Asthma-related symptoms of exacerbations may occur during treatment. Patients should be instructed to seek medical advice if their asthma remains uncontrolled or worsens after initiation of treatment.</w:t>
      </w:r>
    </w:p>
    <w:p w14:paraId="421D6559" w14:textId="77777777" w:rsidR="003D3CD0" w:rsidRDefault="003D3CD0" w:rsidP="009D4F2D">
      <w:pPr>
        <w:spacing w:after="0"/>
      </w:pPr>
    </w:p>
    <w:p w14:paraId="7CC5DF5F" w14:textId="36173C56" w:rsidR="003D3CD0" w:rsidRDefault="003D3CD0" w:rsidP="009D4F2D">
      <w:r w:rsidRPr="009D4F2D">
        <w:rPr>
          <w:b/>
        </w:rPr>
        <w:t xml:space="preserve">Reduction of </w:t>
      </w:r>
      <w:r>
        <w:rPr>
          <w:b/>
        </w:rPr>
        <w:t>Corticosteroid Dosage</w:t>
      </w:r>
    </w:p>
    <w:p w14:paraId="69A9E731" w14:textId="23E890E0" w:rsidR="003D3CD0" w:rsidRPr="00BB7B58" w:rsidRDefault="003D3CD0" w:rsidP="009D4F2D">
      <w:pPr>
        <w:spacing w:after="0"/>
      </w:pPr>
      <w:r>
        <w:t xml:space="preserve">No clinical studies have been conducted to assess the reduction of maintenance corticosteroid </w:t>
      </w:r>
      <w:r w:rsidRPr="007471FB">
        <w:t>dosages following administration of CINQAIR. Do not discontinue systemic or inhaled corticosteroid therapy abruptly upon initiation of therapy with CINQAIR.</w:t>
      </w:r>
      <w:r w:rsidR="007471FB" w:rsidRPr="007471FB">
        <w:t xml:space="preserve"> Reductions in corticosteroid dose, if appropriate, should be gradual and performed under the supervision of a physician. Reduction in corticosteroid dose may be associated with systemic withdrawal symptoms and/or unmask conditions previously suppressed by systemic corticosteroid therapy.</w:t>
      </w:r>
    </w:p>
    <w:p w14:paraId="1FC02DAB" w14:textId="77777777" w:rsidR="00AA76EC" w:rsidRDefault="00AA76EC" w:rsidP="009D4F2D">
      <w:pPr>
        <w:spacing w:after="0"/>
      </w:pPr>
    </w:p>
    <w:p w14:paraId="2AA4AA93" w14:textId="0A309EC0" w:rsidR="00AA76EC" w:rsidRDefault="00AA76EC">
      <w:pPr>
        <w:pStyle w:val="Heading2"/>
      </w:pPr>
      <w:r>
        <w:t>Hypersensitivity and administration-related reactions</w:t>
      </w:r>
    </w:p>
    <w:p w14:paraId="0646DAF5" w14:textId="1DA7522A" w:rsidR="00AA76EC" w:rsidRDefault="00AA76EC" w:rsidP="009D4F2D">
      <w:pPr>
        <w:spacing w:after="0"/>
      </w:pPr>
      <w:r>
        <w:t xml:space="preserve">Acute systemic reactions, including anaphylactic reactions, have been reported in </w:t>
      </w:r>
      <w:r w:rsidR="00FB21AA">
        <w:t xml:space="preserve">association </w:t>
      </w:r>
      <w:r>
        <w:t xml:space="preserve">with CINQAIR (see </w:t>
      </w:r>
      <w:r w:rsidRPr="00BD06E7">
        <w:rPr>
          <w:b/>
        </w:rPr>
        <w:t>ADVERSE EFFECTS</w:t>
      </w:r>
      <w:r>
        <w:t>). These adverse reactions were observed during or within 20 minutes after completion of CINQAIR infusion. Patients should be monitored during and for an appropriate time after administration of CINQAIR. I</w:t>
      </w:r>
      <w:r w:rsidR="005466B7">
        <w:t>f</w:t>
      </w:r>
      <w:r>
        <w:t xml:space="preserve"> an anaphylactic reaction occurs, administration of CINQAIR should be stopped immediately and appropriate medical treatment should be provide</w:t>
      </w:r>
      <w:r w:rsidRPr="00802A8B">
        <w:t>d</w:t>
      </w:r>
      <w:r w:rsidR="005466B7" w:rsidRPr="00802A8B">
        <w:t xml:space="preserve">; </w:t>
      </w:r>
      <w:r w:rsidRPr="00802A8B">
        <w:t xml:space="preserve">CINQAIR must be </w:t>
      </w:r>
      <w:r w:rsidR="00021B08" w:rsidRPr="00802A8B">
        <w:t>discontinued permanently.</w:t>
      </w:r>
    </w:p>
    <w:p w14:paraId="0BDB0570" w14:textId="77777777" w:rsidR="004101AE" w:rsidRDefault="004101AE" w:rsidP="009D4F2D">
      <w:pPr>
        <w:spacing w:after="0"/>
      </w:pPr>
    </w:p>
    <w:p w14:paraId="3C095561" w14:textId="3D792079" w:rsidR="004101AE" w:rsidRPr="00802A8B" w:rsidRDefault="004101AE" w:rsidP="004101AE">
      <w:pPr>
        <w:pStyle w:val="Heading2"/>
      </w:pPr>
      <w:r>
        <w:t>Malignancy</w:t>
      </w:r>
    </w:p>
    <w:p w14:paraId="6C6C5E18" w14:textId="4439BFA3" w:rsidR="004101AE" w:rsidRDefault="004101AE" w:rsidP="009D4F2D">
      <w:pPr>
        <w:spacing w:after="0"/>
      </w:pPr>
      <w:r w:rsidRPr="004101AE">
        <w:t>The impact of lowering eosinophils with an anti-IL5 active substance, such as reslizumab, on the development of malignancies is not known. In placebo controlled clinical trials, 6/1</w:t>
      </w:r>
      <w:r w:rsidR="00E46BFB">
        <w:t>0</w:t>
      </w:r>
      <w:r w:rsidRPr="004101AE">
        <w:t xml:space="preserve">28 (0.6%) of patients receiving 3mg/kg CINQAIR had at least 1 </w:t>
      </w:r>
      <w:r w:rsidR="00E46BFB">
        <w:t xml:space="preserve">malignant </w:t>
      </w:r>
      <w:r w:rsidRPr="004101AE">
        <w:t>neoplasm reported compared to 2/730 (0.3%) patients in the placebo group. The observed malignancies in CINQAIR treated patients were diverse in nature and without clustering of any particular tissue type. The majority of malignancies were diagnosed within less than 6 months of exposure to CINQAIR.</w:t>
      </w:r>
    </w:p>
    <w:p w14:paraId="4A33336A" w14:textId="77777777" w:rsidR="00313F0E" w:rsidRDefault="00313F0E" w:rsidP="009D4F2D">
      <w:pPr>
        <w:spacing w:after="0"/>
      </w:pPr>
    </w:p>
    <w:p w14:paraId="5B2036F3" w14:textId="77777777" w:rsidR="00313F0E" w:rsidRDefault="00313F0E" w:rsidP="00313F0E">
      <w:pPr>
        <w:pStyle w:val="Heading2"/>
      </w:pPr>
      <w:r>
        <w:t>Parasitic (helminth) Infections</w:t>
      </w:r>
    </w:p>
    <w:p w14:paraId="7DE8E808" w14:textId="37D66000" w:rsidR="00313F0E" w:rsidRPr="0062767A" w:rsidRDefault="00313F0E" w:rsidP="00313F0E">
      <w:r>
        <w:t xml:space="preserve">Eosinophils may be involved in the immunological response to some helminth infections. Patients with pre-existing helminth infections should be treated before starting CINQAIR therapy. </w:t>
      </w:r>
      <w:proofErr w:type="gramStart"/>
      <w:r>
        <w:t>If patients become infected whilst being treated with CINQAIR and do not respon</w:t>
      </w:r>
      <w:r w:rsidR="005466B7">
        <w:t>d</w:t>
      </w:r>
      <w:r>
        <w:t xml:space="preserve"> to anti-helminth treatment temporary discontinuation of CINQAIR should be considered.</w:t>
      </w:r>
      <w:proofErr w:type="gramEnd"/>
    </w:p>
    <w:p w14:paraId="4652374C" w14:textId="77777777" w:rsidR="00313F0E" w:rsidRPr="009D4F2D" w:rsidRDefault="00313F0E" w:rsidP="009D4F2D">
      <w:pPr>
        <w:spacing w:after="0"/>
      </w:pPr>
    </w:p>
    <w:p w14:paraId="68A08DEC" w14:textId="7ABF4086" w:rsidR="00196DAE" w:rsidRPr="00802A8B" w:rsidRDefault="00196DAE" w:rsidP="00573532">
      <w:pPr>
        <w:pStyle w:val="Heading2"/>
      </w:pPr>
      <w:r w:rsidRPr="00802A8B">
        <w:t>Effects on Fertility</w:t>
      </w:r>
    </w:p>
    <w:p w14:paraId="558EACF4" w14:textId="29DBCE02" w:rsidR="00807568" w:rsidRPr="00802A8B" w:rsidRDefault="007A5710" w:rsidP="00154A9F">
      <w:pPr>
        <w:autoSpaceDE w:val="0"/>
        <w:autoSpaceDN w:val="0"/>
        <w:adjustRightInd w:val="0"/>
        <w:rPr>
          <w:rFonts w:eastAsia="MS Mincho" w:cs="Times New Roman"/>
          <w:szCs w:val="24"/>
          <w:lang w:val="en-US" w:eastAsia="ja-JP"/>
        </w:rPr>
      </w:pPr>
      <w:r w:rsidRPr="00802A8B">
        <w:rPr>
          <w:rFonts w:eastAsia="MS Mincho" w:cs="Times New Roman"/>
          <w:szCs w:val="24"/>
          <w:lang w:val="en-US" w:eastAsia="ja-JP"/>
        </w:rPr>
        <w:t>There are no fertility d</w:t>
      </w:r>
      <w:r w:rsidRPr="00154A9F">
        <w:rPr>
          <w:rFonts w:eastAsia="MS Mincho" w:cs="Times New Roman"/>
          <w:szCs w:val="24"/>
          <w:lang w:val="en-US" w:eastAsia="ja-JP"/>
        </w:rPr>
        <w:t>ata in humans. Available non-clinical data do not suggest an effect on fertility</w:t>
      </w:r>
      <w:r w:rsidR="00807568" w:rsidRPr="00154A9F">
        <w:rPr>
          <w:rFonts w:eastAsia="MS Mincho" w:cs="Times New Roman"/>
          <w:szCs w:val="24"/>
          <w:lang w:val="en-US" w:eastAsia="ja-JP"/>
        </w:rPr>
        <w:t xml:space="preserve">. </w:t>
      </w:r>
    </w:p>
    <w:p w14:paraId="3EB7B641" w14:textId="67CD41D7" w:rsidR="00196C30" w:rsidRPr="00802A8B" w:rsidRDefault="00196DAE" w:rsidP="00196DAE">
      <w:pPr>
        <w:autoSpaceDE w:val="0"/>
        <w:autoSpaceDN w:val="0"/>
        <w:adjustRightInd w:val="0"/>
        <w:spacing w:after="0"/>
        <w:rPr>
          <w:rFonts w:eastAsia="MS Mincho" w:cs="Times New Roman"/>
          <w:szCs w:val="24"/>
          <w:lang w:val="en-US" w:eastAsia="ja-JP"/>
        </w:rPr>
      </w:pPr>
      <w:r w:rsidRPr="00154A9F">
        <w:rPr>
          <w:rFonts w:eastAsia="MS Mincho" w:cs="Times New Roman"/>
          <w:szCs w:val="24"/>
          <w:lang w:val="en-US" w:eastAsia="ja-JP"/>
        </w:rPr>
        <w:lastRenderedPageBreak/>
        <w:t xml:space="preserve">Administration of reslizumab to mice at </w:t>
      </w:r>
      <w:r w:rsidR="00807568" w:rsidRPr="00154A9F">
        <w:rPr>
          <w:rFonts w:eastAsia="MS Mincho" w:cs="Times New Roman"/>
          <w:szCs w:val="24"/>
          <w:lang w:val="en-US" w:eastAsia="ja-JP"/>
        </w:rPr>
        <w:t xml:space="preserve">intravenous </w:t>
      </w:r>
      <w:r w:rsidRPr="00154A9F">
        <w:rPr>
          <w:rFonts w:eastAsia="MS Mincho" w:cs="Times New Roman"/>
          <w:szCs w:val="24"/>
          <w:lang w:val="en-US" w:eastAsia="ja-JP"/>
        </w:rPr>
        <w:t>doses up to 50 mg/kg</w:t>
      </w:r>
      <w:r w:rsidR="00807568" w:rsidRPr="00154A9F">
        <w:rPr>
          <w:rFonts w:eastAsia="MS Mincho" w:cs="Times New Roman"/>
          <w:szCs w:val="24"/>
          <w:lang w:val="en-US" w:eastAsia="ja-JP"/>
        </w:rPr>
        <w:t xml:space="preserve">, yielding </w:t>
      </w:r>
      <w:r w:rsidRPr="00154A9F">
        <w:rPr>
          <w:rFonts w:eastAsia="Times New Roman" w:cs="Times New Roman"/>
          <w:szCs w:val="24"/>
          <w:lang w:val="en-US"/>
        </w:rPr>
        <w:t xml:space="preserve">approximately </w:t>
      </w:r>
      <w:r w:rsidR="00807568" w:rsidRPr="00154A9F">
        <w:rPr>
          <w:rFonts w:eastAsia="Times New Roman" w:cs="Times New Roman"/>
          <w:szCs w:val="24"/>
          <w:lang w:val="en-US"/>
        </w:rPr>
        <w:t xml:space="preserve">4 </w:t>
      </w:r>
      <w:r w:rsidRPr="00154A9F">
        <w:rPr>
          <w:rFonts w:eastAsia="Times New Roman" w:cs="Times New Roman"/>
          <w:szCs w:val="24"/>
          <w:lang w:val="en-US"/>
        </w:rPr>
        <w:t>times the human AUC at the recommended maximum dose of 3 mg/kg</w:t>
      </w:r>
      <w:r w:rsidR="00807568" w:rsidRPr="00154A9F">
        <w:rPr>
          <w:rFonts w:eastAsia="Times New Roman" w:cs="Times New Roman"/>
          <w:szCs w:val="24"/>
          <w:lang w:val="en-US"/>
        </w:rPr>
        <w:t xml:space="preserve"> </w:t>
      </w:r>
      <w:r w:rsidRPr="00154A9F">
        <w:rPr>
          <w:rFonts w:eastAsia="MS Mincho" w:cs="Times New Roman"/>
          <w:szCs w:val="24"/>
          <w:lang w:val="en-US" w:eastAsia="ja-JP"/>
        </w:rPr>
        <w:t xml:space="preserve">had no effect on </w:t>
      </w:r>
      <w:r w:rsidR="00807568" w:rsidRPr="00154A9F">
        <w:rPr>
          <w:rFonts w:eastAsia="MS Mincho" w:cs="Times New Roman"/>
          <w:szCs w:val="24"/>
          <w:lang w:val="en-US" w:eastAsia="ja-JP"/>
        </w:rPr>
        <w:t xml:space="preserve">male </w:t>
      </w:r>
      <w:r w:rsidRPr="00802A8B">
        <w:rPr>
          <w:rFonts w:eastAsia="MS Mincho" w:cs="Times New Roman"/>
          <w:szCs w:val="24"/>
          <w:lang w:val="en-US" w:eastAsia="ja-JP"/>
        </w:rPr>
        <w:t xml:space="preserve">or </w:t>
      </w:r>
      <w:r w:rsidR="00807568" w:rsidRPr="00154A9F">
        <w:rPr>
          <w:rFonts w:eastAsia="MS Mincho" w:cs="Times New Roman"/>
          <w:szCs w:val="24"/>
          <w:lang w:val="en-US" w:eastAsia="ja-JP"/>
        </w:rPr>
        <w:t xml:space="preserve">female </w:t>
      </w:r>
      <w:r w:rsidRPr="00802A8B">
        <w:rPr>
          <w:rFonts w:eastAsia="MS Mincho" w:cs="Times New Roman"/>
          <w:szCs w:val="24"/>
          <w:lang w:val="en-US" w:eastAsia="ja-JP"/>
        </w:rPr>
        <w:t>fertility.</w:t>
      </w:r>
    </w:p>
    <w:p w14:paraId="2ED113AA" w14:textId="77777777" w:rsidR="00196DAE" w:rsidRPr="00802A8B" w:rsidRDefault="00196DAE" w:rsidP="009D4F2D">
      <w:pPr>
        <w:spacing w:after="0"/>
      </w:pPr>
    </w:p>
    <w:p w14:paraId="5E3AC704" w14:textId="1A4F19A9" w:rsidR="004A28F9" w:rsidRPr="00802A8B" w:rsidRDefault="004A28F9" w:rsidP="005B1FF9">
      <w:pPr>
        <w:pStyle w:val="Heading2"/>
      </w:pPr>
      <w:r w:rsidRPr="00802A8B">
        <w:t>Use in Pregnancy</w:t>
      </w:r>
      <w:r w:rsidR="00034E64" w:rsidRPr="00802A8B">
        <w:t xml:space="preserve"> (Category B1)</w:t>
      </w:r>
    </w:p>
    <w:p w14:paraId="0CB3CFD5" w14:textId="636F5757" w:rsidR="00145D95" w:rsidRPr="00F66F9A" w:rsidRDefault="00EF3DAF">
      <w:pPr>
        <w:spacing w:after="0"/>
        <w:rPr>
          <w:rFonts w:ascii="MS Shell Dlg 2" w:hAnsi="MS Shell Dlg 2"/>
          <w:color w:val="000000"/>
          <w:szCs w:val="24"/>
        </w:rPr>
      </w:pPr>
      <w:r w:rsidRPr="00802A8B">
        <w:rPr>
          <w:szCs w:val="24"/>
        </w:rPr>
        <w:t xml:space="preserve">There are limited data from the use of CINQAIR in pregnant women. </w:t>
      </w:r>
      <w:r w:rsidR="00A56EB0" w:rsidRPr="00802A8B">
        <w:rPr>
          <w:szCs w:val="24"/>
        </w:rPr>
        <w:t>No adverse effects on embryofetal development were observed in mice and rabbits given</w:t>
      </w:r>
      <w:r w:rsidR="00A56EB0" w:rsidRPr="00154A9F">
        <w:rPr>
          <w:szCs w:val="24"/>
        </w:rPr>
        <w:t xml:space="preserve"> reslizumab at intravenous doses up to 50 mg/kg, yielding approximately 4 times the systemic exposure (serum AUC) obtained in patients at the maximum recommended human dose of 3 mg/kg.</w:t>
      </w:r>
      <w:r w:rsidR="00A56EB0" w:rsidRPr="00802A8B">
        <w:rPr>
          <w:szCs w:val="24"/>
        </w:rPr>
        <w:t xml:space="preserve"> </w:t>
      </w:r>
      <w:r w:rsidRPr="00802A8B">
        <w:rPr>
          <w:szCs w:val="24"/>
        </w:rPr>
        <w:t>As</w:t>
      </w:r>
      <w:r w:rsidRPr="002717F9">
        <w:rPr>
          <w:szCs w:val="24"/>
        </w:rPr>
        <w:t xml:space="preserve"> a precautionary measure, the use of CINQAIR</w:t>
      </w:r>
      <w:r>
        <w:rPr>
          <w:szCs w:val="24"/>
        </w:rPr>
        <w:t xml:space="preserve"> should be avoided during pregnancy. Reslizumab has a long half-life of approximately 24 days (see </w:t>
      </w:r>
      <w:r w:rsidRPr="00BD06E7">
        <w:rPr>
          <w:b/>
          <w:szCs w:val="24"/>
        </w:rPr>
        <w:t>PHARMACOLOGY; Excretion</w:t>
      </w:r>
      <w:r>
        <w:rPr>
          <w:szCs w:val="24"/>
        </w:rPr>
        <w:t>), which should be taken into consideration.</w:t>
      </w:r>
    </w:p>
    <w:p w14:paraId="6938C963" w14:textId="77777777" w:rsidR="004A28F9" w:rsidRDefault="004A28F9" w:rsidP="00377501">
      <w:pPr>
        <w:spacing w:after="0"/>
      </w:pPr>
    </w:p>
    <w:p w14:paraId="4292BED8" w14:textId="41769A9E" w:rsidR="004A28F9" w:rsidRPr="00802A8B" w:rsidRDefault="004A28F9" w:rsidP="004A28F9">
      <w:pPr>
        <w:pStyle w:val="Heading2"/>
      </w:pPr>
      <w:r w:rsidRPr="00802A8B">
        <w:t>Use in Lactation</w:t>
      </w:r>
    </w:p>
    <w:p w14:paraId="2C5744F7" w14:textId="3FB18545" w:rsidR="00C41FE8" w:rsidRPr="00802A8B" w:rsidRDefault="00EF3DAF" w:rsidP="00154A9F">
      <w:pPr>
        <w:overflowPunct w:val="0"/>
        <w:autoSpaceDE w:val="0"/>
        <w:autoSpaceDN w:val="0"/>
        <w:adjustRightInd w:val="0"/>
        <w:textAlignment w:val="baseline"/>
        <w:rPr>
          <w:szCs w:val="24"/>
        </w:rPr>
      </w:pPr>
      <w:r w:rsidRPr="00802A8B">
        <w:rPr>
          <w:szCs w:val="24"/>
        </w:rPr>
        <w:t>It is unknown whether reslizumab is excreted in human milk.</w:t>
      </w:r>
      <w:r w:rsidR="00F82F4F" w:rsidRPr="00802A8B">
        <w:rPr>
          <w:szCs w:val="24"/>
        </w:rPr>
        <w:t xml:space="preserve"> </w:t>
      </w:r>
      <w:r w:rsidR="00E82A08" w:rsidRPr="00802A8B">
        <w:rPr>
          <w:szCs w:val="24"/>
        </w:rPr>
        <w:t>Excretion of reslizumab</w:t>
      </w:r>
      <w:r w:rsidR="00E82A08" w:rsidRPr="00154A9F">
        <w:rPr>
          <w:szCs w:val="24"/>
        </w:rPr>
        <w:t xml:space="preserve"> in milk has been shown in mice</w:t>
      </w:r>
      <w:r w:rsidRPr="00802A8B">
        <w:rPr>
          <w:szCs w:val="24"/>
        </w:rPr>
        <w:t xml:space="preserve">. </w:t>
      </w:r>
    </w:p>
    <w:p w14:paraId="6A9AABF8" w14:textId="2E24C4EB" w:rsidR="00EF3DAF" w:rsidRPr="00802A8B" w:rsidRDefault="00E82A08" w:rsidP="00154A9F">
      <w:pPr>
        <w:overflowPunct w:val="0"/>
        <w:autoSpaceDE w:val="0"/>
        <w:autoSpaceDN w:val="0"/>
        <w:adjustRightInd w:val="0"/>
        <w:textAlignment w:val="baseline"/>
        <w:rPr>
          <w:szCs w:val="24"/>
        </w:rPr>
      </w:pPr>
      <w:r w:rsidRPr="00802A8B">
        <w:rPr>
          <w:szCs w:val="24"/>
        </w:rPr>
        <w:t>A decision should be made whether to discontinue breast-feeding or discontinue CINQAIR, taking into account the</w:t>
      </w:r>
      <w:r w:rsidRPr="00154A9F">
        <w:rPr>
          <w:szCs w:val="24"/>
        </w:rPr>
        <w:t xml:space="preserve"> importance of breast-feeding to the infant and the importance of the drug to the mother.</w:t>
      </w:r>
    </w:p>
    <w:p w14:paraId="0F0E05F8" w14:textId="77777777" w:rsidR="00377501" w:rsidRPr="00802A8B" w:rsidRDefault="00377501" w:rsidP="00377501">
      <w:pPr>
        <w:overflowPunct w:val="0"/>
        <w:autoSpaceDE w:val="0"/>
        <w:autoSpaceDN w:val="0"/>
        <w:adjustRightInd w:val="0"/>
        <w:spacing w:after="0"/>
        <w:textAlignment w:val="baseline"/>
        <w:rPr>
          <w:szCs w:val="24"/>
        </w:rPr>
      </w:pPr>
    </w:p>
    <w:p w14:paraId="6898684D" w14:textId="77777777" w:rsidR="00C91D68" w:rsidRPr="00802A8B" w:rsidRDefault="00C91D68" w:rsidP="00C91D68">
      <w:pPr>
        <w:pStyle w:val="Heading2"/>
      </w:pPr>
      <w:r w:rsidRPr="00802A8B">
        <w:t>Use in the Paediatric Population</w:t>
      </w:r>
    </w:p>
    <w:p w14:paraId="39E652C6" w14:textId="51A0BC5C" w:rsidR="00C91D68" w:rsidRPr="00802A8B" w:rsidRDefault="00C91D68" w:rsidP="00C91D68">
      <w:pPr>
        <w:rPr>
          <w:lang w:val="en-US" w:bidi="he-IL"/>
        </w:rPr>
      </w:pPr>
      <w:r w:rsidRPr="00802A8B">
        <w:rPr>
          <w:lang w:val="en-US" w:bidi="he-IL"/>
        </w:rPr>
        <w:t xml:space="preserve">CINQAIR is not indicated for use in </w:t>
      </w:r>
      <w:proofErr w:type="spellStart"/>
      <w:r w:rsidRPr="00802A8B">
        <w:rPr>
          <w:lang w:val="en-US" w:bidi="he-IL"/>
        </w:rPr>
        <w:t>p</w:t>
      </w:r>
      <w:r w:rsidR="00203FE9" w:rsidRPr="00802A8B">
        <w:rPr>
          <w:lang w:val="en-US" w:bidi="he-IL"/>
        </w:rPr>
        <w:t>a</w:t>
      </w:r>
      <w:r w:rsidRPr="00802A8B">
        <w:rPr>
          <w:lang w:val="en-US" w:bidi="he-IL"/>
        </w:rPr>
        <w:t>ediatric</w:t>
      </w:r>
      <w:proofErr w:type="spellEnd"/>
      <w:r w:rsidRPr="00802A8B">
        <w:rPr>
          <w:lang w:val="en-US" w:bidi="he-IL"/>
        </w:rPr>
        <w:t xml:space="preserve"> patients less than 18 years of age. The safety and effectiveness in pediatric</w:t>
      </w:r>
      <w:r w:rsidR="001D1149" w:rsidRPr="00802A8B">
        <w:rPr>
          <w:lang w:val="en-US" w:bidi="he-IL"/>
        </w:rPr>
        <w:t xml:space="preserve"> asthma</w:t>
      </w:r>
      <w:r w:rsidRPr="00802A8B">
        <w:rPr>
          <w:lang w:val="en-US" w:bidi="he-IL"/>
        </w:rPr>
        <w:t xml:space="preserve"> patients (aged 17 years and younger) have not been established.</w:t>
      </w:r>
    </w:p>
    <w:p w14:paraId="540258FC" w14:textId="77777777" w:rsidR="00C91D68" w:rsidRDefault="00C91D68" w:rsidP="00485824">
      <w:pPr>
        <w:spacing w:after="0"/>
        <w:rPr>
          <w:lang w:val="en-US" w:bidi="he-IL"/>
        </w:rPr>
      </w:pPr>
      <w:r w:rsidRPr="00802A8B">
        <w:rPr>
          <w:lang w:val="en-US" w:bidi="he-IL"/>
        </w:rPr>
        <w:t>CINQAIR was evaluated in 39 patients aged 12</w:t>
      </w:r>
      <w:r>
        <w:rPr>
          <w:lang w:val="en-US" w:bidi="he-IL"/>
        </w:rPr>
        <w:t xml:space="preserve"> to less than 18 years with asthma in two </w:t>
      </w:r>
      <w:r>
        <w:rPr>
          <w:lang w:val="en-US" w:bidi="he-IL"/>
        </w:rPr>
        <w:br/>
        <w:t>52-week exacerbation studies and one 16-week lung function study. In the exacerbation studies, patients were required to have at least 1 asthma exacerbation requiring systemic corticosteroid use in the year prior to study entry</w:t>
      </w:r>
      <w:r>
        <w:rPr>
          <w:i/>
          <w:iCs/>
          <w:lang w:val="en-US" w:bidi="he-IL"/>
        </w:rPr>
        <w:t xml:space="preserve">. </w:t>
      </w:r>
      <w:r>
        <w:rPr>
          <w:lang w:val="en-US" w:bidi="he-IL"/>
        </w:rPr>
        <w:t>In these studies, the asthma exacerbation rate was higher in adolescent patients treated with CINQAIR than placebo (CINQAIR n=14, rate 2.86, 95% CI [1.02 to 8.09] and placebo n=11, rate 1.37, 95% CI [0.57 to 3.28]: rate ratio 2.09, 95% CI [0.82 to 5.36]).</w:t>
      </w:r>
    </w:p>
    <w:p w14:paraId="54DD37BF" w14:textId="77777777" w:rsidR="00485824" w:rsidRDefault="00485824" w:rsidP="00485824">
      <w:pPr>
        <w:spacing w:after="0"/>
        <w:rPr>
          <w:bCs/>
          <w:iCs/>
        </w:rPr>
      </w:pPr>
    </w:p>
    <w:p w14:paraId="537FA52E" w14:textId="667D51B1" w:rsidR="00145D95" w:rsidRPr="00145D95" w:rsidRDefault="004A28F9" w:rsidP="009D4F2D">
      <w:pPr>
        <w:pStyle w:val="Heading2"/>
      </w:pPr>
      <w:r w:rsidRPr="00717998">
        <w:t>Use in the Elderly</w:t>
      </w:r>
    </w:p>
    <w:p w14:paraId="44F91800" w14:textId="09F5DB38" w:rsidR="004A28F9" w:rsidRDefault="00145D95" w:rsidP="009D4F2D">
      <w:pPr>
        <w:spacing w:after="0"/>
        <w:rPr>
          <w:bCs/>
          <w:iCs/>
        </w:rPr>
      </w:pPr>
      <w:r w:rsidRPr="008C0FA4">
        <w:rPr>
          <w:bCs/>
          <w:iCs/>
        </w:rPr>
        <w:t xml:space="preserve">There are limited data available on the use of </w:t>
      </w:r>
      <w:r w:rsidR="00E30C70">
        <w:t>CINQAIR</w:t>
      </w:r>
      <w:r w:rsidRPr="008C0FA4">
        <w:rPr>
          <w:bCs/>
          <w:iCs/>
        </w:rPr>
        <w:t xml:space="preserve"> in patients older than </w:t>
      </w:r>
      <w:r>
        <w:rPr>
          <w:bCs/>
          <w:iCs/>
        </w:rPr>
        <w:t>75</w:t>
      </w:r>
      <w:r w:rsidRPr="008C0FA4">
        <w:rPr>
          <w:bCs/>
          <w:iCs/>
        </w:rPr>
        <w:t> years</w:t>
      </w:r>
      <w:r>
        <w:rPr>
          <w:bCs/>
          <w:iCs/>
        </w:rPr>
        <w:t xml:space="preserve"> of age</w:t>
      </w:r>
      <w:r w:rsidRPr="008C0FA4">
        <w:rPr>
          <w:bCs/>
          <w:iCs/>
        </w:rPr>
        <w:t>. Based on</w:t>
      </w:r>
      <w:r w:rsidRPr="00C169F3">
        <w:rPr>
          <w:bCs/>
          <w:iCs/>
        </w:rPr>
        <w:t xml:space="preserve"> </w:t>
      </w:r>
      <w:r w:rsidRPr="008F0D74">
        <w:rPr>
          <w:bCs/>
          <w:iCs/>
        </w:rPr>
        <w:t>the similar reslizumab exposure observed in patients older than 65</w:t>
      </w:r>
      <w:r>
        <w:rPr>
          <w:bCs/>
          <w:iCs/>
        </w:rPr>
        <w:t> </w:t>
      </w:r>
      <w:r w:rsidRPr="008F0D74">
        <w:rPr>
          <w:bCs/>
          <w:iCs/>
        </w:rPr>
        <w:t>years of age as compared to patients 18 to &lt;65</w:t>
      </w:r>
      <w:r>
        <w:rPr>
          <w:bCs/>
          <w:iCs/>
        </w:rPr>
        <w:t> </w:t>
      </w:r>
      <w:r w:rsidRPr="008F0D74">
        <w:rPr>
          <w:bCs/>
          <w:iCs/>
        </w:rPr>
        <w:t>years of age, no dose adjustment is recommended</w:t>
      </w:r>
      <w:r>
        <w:rPr>
          <w:bCs/>
          <w:iCs/>
        </w:rPr>
        <w:t>.</w:t>
      </w:r>
    </w:p>
    <w:p w14:paraId="37E79B0E" w14:textId="77777777" w:rsidR="005903AD" w:rsidRDefault="005903AD" w:rsidP="005903AD">
      <w:pPr>
        <w:spacing w:after="0"/>
      </w:pPr>
    </w:p>
    <w:p w14:paraId="3E036FA3" w14:textId="77777777" w:rsidR="004A28F9" w:rsidRPr="00802A8B" w:rsidRDefault="004A28F9" w:rsidP="004A28F9">
      <w:pPr>
        <w:pStyle w:val="Heading2"/>
      </w:pPr>
      <w:r w:rsidRPr="00802A8B">
        <w:t>Genotoxicity</w:t>
      </w:r>
    </w:p>
    <w:p w14:paraId="24DEA765" w14:textId="77236ABF" w:rsidR="00F505D5" w:rsidRPr="00802A8B" w:rsidRDefault="009054A9" w:rsidP="005903AD">
      <w:pPr>
        <w:autoSpaceDE w:val="0"/>
        <w:autoSpaceDN w:val="0"/>
        <w:adjustRightInd w:val="0"/>
        <w:spacing w:after="0"/>
        <w:rPr>
          <w:rFonts w:eastAsia="MS Mincho"/>
          <w:szCs w:val="24"/>
          <w:lang w:eastAsia="ja-JP"/>
        </w:rPr>
      </w:pPr>
      <w:r w:rsidRPr="00154A9F">
        <w:rPr>
          <w:szCs w:val="24"/>
        </w:rPr>
        <w:t xml:space="preserve">Reslizumab was negative in assays for bacterial mutagenicity and for clastogenicity </w:t>
      </w:r>
      <w:r w:rsidRPr="00154A9F">
        <w:rPr>
          <w:i/>
          <w:iCs/>
          <w:szCs w:val="24"/>
        </w:rPr>
        <w:t xml:space="preserve">in vitro </w:t>
      </w:r>
      <w:r w:rsidRPr="00154A9F">
        <w:rPr>
          <w:szCs w:val="24"/>
        </w:rPr>
        <w:t>(chromosomal aberrations in human lymphocytes).</w:t>
      </w:r>
    </w:p>
    <w:p w14:paraId="305EA0EC" w14:textId="77777777" w:rsidR="005903AD" w:rsidRPr="00802A8B" w:rsidRDefault="005903AD" w:rsidP="005903AD">
      <w:pPr>
        <w:autoSpaceDE w:val="0"/>
        <w:autoSpaceDN w:val="0"/>
        <w:adjustRightInd w:val="0"/>
        <w:spacing w:after="0"/>
        <w:rPr>
          <w:rFonts w:eastAsia="MS Mincho"/>
          <w:lang w:eastAsia="ja-JP"/>
        </w:rPr>
      </w:pPr>
    </w:p>
    <w:p w14:paraId="4673E356" w14:textId="77777777" w:rsidR="00C91D68" w:rsidRPr="00802A8B" w:rsidRDefault="004A28F9" w:rsidP="004A28F9">
      <w:pPr>
        <w:pStyle w:val="Heading2"/>
      </w:pPr>
      <w:r w:rsidRPr="00802A8B">
        <w:t>Carcinogenicity</w:t>
      </w:r>
    </w:p>
    <w:p w14:paraId="0CC885BE" w14:textId="2E7AF577" w:rsidR="004A28F9" w:rsidRPr="00802A8B" w:rsidRDefault="009054A9" w:rsidP="00154A9F">
      <w:pPr>
        <w:autoSpaceDE w:val="0"/>
        <w:autoSpaceDN w:val="0"/>
        <w:adjustRightInd w:val="0"/>
      </w:pPr>
      <w:r w:rsidRPr="00154A9F">
        <w:rPr>
          <w:szCs w:val="24"/>
        </w:rPr>
        <w:t>Reslizumab was shown to not be carcinogenic in a 6-month study in transgenic (rasH2) mice, involving intravenous administration at doses up to 516 mg/kg every two weeks (yielding ~150 times the systemic exposure in patients receiving the maximum recommended human dose of 3 mg/kg every four weeks).</w:t>
      </w:r>
    </w:p>
    <w:p w14:paraId="1C603129" w14:textId="77777777" w:rsidR="00485824" w:rsidRDefault="00485824" w:rsidP="00485824">
      <w:pPr>
        <w:spacing w:after="0"/>
      </w:pPr>
    </w:p>
    <w:p w14:paraId="00FF2C98" w14:textId="77777777" w:rsidR="00C91D68" w:rsidRDefault="00C91D68" w:rsidP="00C91D68">
      <w:pPr>
        <w:pStyle w:val="Heading2"/>
      </w:pPr>
      <w:r w:rsidRPr="009D4F2D">
        <w:t>Effect on Ability to Drive and Operate Machinery</w:t>
      </w:r>
    </w:p>
    <w:p w14:paraId="585E8395" w14:textId="77777777" w:rsidR="00C91D68" w:rsidRDefault="00C91D68" w:rsidP="00C91D68">
      <w:pPr>
        <w:autoSpaceDE w:val="0"/>
        <w:autoSpaceDN w:val="0"/>
        <w:adjustRightInd w:val="0"/>
        <w:spacing w:after="240"/>
        <w:rPr>
          <w:szCs w:val="24"/>
        </w:rPr>
      </w:pPr>
      <w:r>
        <w:rPr>
          <w:szCs w:val="24"/>
        </w:rPr>
        <w:t>CINQAIR has no or negligible effect on the ability to drive and use machines.</w:t>
      </w:r>
      <w:r w:rsidRPr="007A5B26">
        <w:rPr>
          <w:szCs w:val="24"/>
        </w:rPr>
        <w:t xml:space="preserve"> </w:t>
      </w:r>
    </w:p>
    <w:p w14:paraId="637AF1F7" w14:textId="77777777" w:rsidR="004A28F9" w:rsidRDefault="006D2093" w:rsidP="004A28F9">
      <w:pPr>
        <w:pStyle w:val="Heading1"/>
      </w:pPr>
      <w:r>
        <w:t>INTERACTIONS WITH OTHER MEDICINES</w:t>
      </w:r>
    </w:p>
    <w:p w14:paraId="7EA175CE" w14:textId="11EE277C" w:rsidR="00BD5A1B" w:rsidRPr="00802A8B" w:rsidRDefault="00BD5A1B" w:rsidP="00BD5A1B">
      <w:pPr>
        <w:spacing w:after="0"/>
        <w:rPr>
          <w:noProof/>
        </w:rPr>
      </w:pPr>
      <w:r w:rsidRPr="00802A8B">
        <w:rPr>
          <w:noProof/>
        </w:rPr>
        <w:t xml:space="preserve">No formal clinical drug interaction studies have been performed with </w:t>
      </w:r>
      <w:r w:rsidR="00E30C70" w:rsidRPr="00154A9F">
        <w:t>CINQAIR</w:t>
      </w:r>
      <w:r w:rsidRPr="00154A9F">
        <w:rPr>
          <w:noProof/>
        </w:rPr>
        <w:t xml:space="preserve">. </w:t>
      </w:r>
      <w:r w:rsidRPr="00154A9F">
        <w:rPr>
          <w:i/>
          <w:noProof/>
        </w:rPr>
        <w:t>In vitro</w:t>
      </w:r>
      <w:r w:rsidRPr="00154A9F">
        <w:rPr>
          <w:noProof/>
        </w:rPr>
        <w:t xml:space="preserve"> </w:t>
      </w:r>
      <w:r w:rsidR="009054A9" w:rsidRPr="00154A9F">
        <w:rPr>
          <w:noProof/>
        </w:rPr>
        <w:t>experiments with cultured human hepatocytes showed that reslizumab did not</w:t>
      </w:r>
      <w:r w:rsidRPr="00154A9F">
        <w:rPr>
          <w:noProof/>
        </w:rPr>
        <w:t xml:space="preserve"> affect CYP1A2, 3A4 or 2B6 </w:t>
      </w:r>
      <w:r w:rsidR="009054A9" w:rsidRPr="00154A9F">
        <w:rPr>
          <w:noProof/>
        </w:rPr>
        <w:t>expression</w:t>
      </w:r>
      <w:r w:rsidRPr="00154A9F">
        <w:rPr>
          <w:noProof/>
        </w:rPr>
        <w:t>.</w:t>
      </w:r>
      <w:r w:rsidRPr="00802A8B">
        <w:rPr>
          <w:noProof/>
        </w:rPr>
        <w:t xml:space="preserve"> Based on the characteristics of reslizumab, drug</w:t>
      </w:r>
      <w:r w:rsidRPr="00802A8B">
        <w:rPr>
          <w:noProof/>
        </w:rPr>
        <w:noBreakHyphen/>
        <w:t xml:space="preserve">drug interactions are not expected. Results of population pharmacokinetic analysis confirm that concomitant use of either leukotriene antagonists or systemic corticosteroids does not affect the pharmacokinetics of reslizumab (see </w:t>
      </w:r>
      <w:r w:rsidRPr="00802A8B">
        <w:rPr>
          <w:b/>
          <w:noProof/>
        </w:rPr>
        <w:t>PHARMACOLOGY; Pharmacokinetics</w:t>
      </w:r>
      <w:r w:rsidRPr="00802A8B">
        <w:rPr>
          <w:noProof/>
        </w:rPr>
        <w:t>).</w:t>
      </w:r>
    </w:p>
    <w:p w14:paraId="13316151" w14:textId="77777777" w:rsidR="00BD5A1B" w:rsidRPr="00802A8B" w:rsidRDefault="00BD5A1B" w:rsidP="00BD5A1B">
      <w:pPr>
        <w:spacing w:after="0"/>
        <w:rPr>
          <w:noProof/>
        </w:rPr>
      </w:pPr>
    </w:p>
    <w:p w14:paraId="686F0F1B" w14:textId="14168BD1" w:rsidR="00BD5A1B" w:rsidRPr="00802A8B" w:rsidRDefault="00E30C70" w:rsidP="00BD5A1B">
      <w:pPr>
        <w:spacing w:after="0"/>
        <w:rPr>
          <w:noProof/>
        </w:rPr>
      </w:pPr>
      <w:r w:rsidRPr="00802A8B">
        <w:t>CINQAIR</w:t>
      </w:r>
      <w:r w:rsidR="00BD5A1B" w:rsidRPr="00802A8B">
        <w:t xml:space="preserve"> has not been studied in patients concurrently taking immunosuppressant medicinal products other than oral corticosteroids (OCS)</w:t>
      </w:r>
      <w:r w:rsidR="0095125C" w:rsidRPr="00802A8B">
        <w:t xml:space="preserve"> or immunomodulating products including mepolizumab or omalizumab</w:t>
      </w:r>
      <w:r w:rsidR="00BD5A1B" w:rsidRPr="00802A8B">
        <w:t xml:space="preserve">; therefore, the safety and efficacy profile of </w:t>
      </w:r>
      <w:r w:rsidRPr="00802A8B">
        <w:t>CINQAIR</w:t>
      </w:r>
      <w:r w:rsidR="00BD5A1B" w:rsidRPr="00802A8B">
        <w:t xml:space="preserve"> in these patients is unknown.</w:t>
      </w:r>
    </w:p>
    <w:p w14:paraId="07A35EDF" w14:textId="77777777" w:rsidR="00BD5A1B" w:rsidRPr="00802A8B" w:rsidRDefault="00BD5A1B" w:rsidP="00BD5A1B">
      <w:pPr>
        <w:spacing w:after="0"/>
        <w:rPr>
          <w:noProof/>
        </w:rPr>
      </w:pPr>
    </w:p>
    <w:p w14:paraId="217B3F3F" w14:textId="506013A5" w:rsidR="00BD5A1B" w:rsidRPr="00802A8B" w:rsidRDefault="00E30C70" w:rsidP="00BD5A1B">
      <w:pPr>
        <w:spacing w:after="0"/>
        <w:rPr>
          <w:noProof/>
        </w:rPr>
      </w:pPr>
      <w:r w:rsidRPr="00802A8B">
        <w:t>CINQAIR</w:t>
      </w:r>
      <w:r w:rsidR="00BD5A1B" w:rsidRPr="00802A8B">
        <w:t xml:space="preserve"> has not been studied in patients receiving live vaccines. No data are available on the secondary transmission of infection from persons receiving live vaccines to patients receiving </w:t>
      </w:r>
      <w:r w:rsidRPr="00802A8B">
        <w:t>CINQAIR</w:t>
      </w:r>
      <w:r w:rsidR="00BD5A1B" w:rsidRPr="00802A8B">
        <w:t xml:space="preserve"> or the response to new immunisations in patients receiving </w:t>
      </w:r>
      <w:r w:rsidRPr="00802A8B">
        <w:t>CINQAIR</w:t>
      </w:r>
      <w:r w:rsidR="00BD5A1B" w:rsidRPr="00802A8B">
        <w:t>.</w:t>
      </w:r>
    </w:p>
    <w:p w14:paraId="10360A23" w14:textId="77777777" w:rsidR="004A28F9" w:rsidRDefault="006D2093" w:rsidP="004A28F9">
      <w:pPr>
        <w:pStyle w:val="Heading1"/>
      </w:pPr>
      <w:r w:rsidRPr="00802A8B">
        <w:t>ADVERSE EFFECTS</w:t>
      </w:r>
    </w:p>
    <w:p w14:paraId="1C159025" w14:textId="0247A241" w:rsidR="00007971" w:rsidRPr="00802A8B" w:rsidRDefault="00007971" w:rsidP="009D4F2D">
      <w:pPr>
        <w:rPr>
          <w:u w:val="single"/>
        </w:rPr>
      </w:pPr>
      <w:r w:rsidRPr="009D4F2D">
        <w:rPr>
          <w:u w:val="single"/>
        </w:rPr>
        <w:t>Summary of the safety pro</w:t>
      </w:r>
      <w:r w:rsidRPr="00802A8B">
        <w:rPr>
          <w:u w:val="single"/>
        </w:rPr>
        <w:t>file</w:t>
      </w:r>
    </w:p>
    <w:p w14:paraId="2ACCF2E5" w14:textId="294759C3" w:rsidR="00007971" w:rsidRPr="00802A8B" w:rsidRDefault="00007971" w:rsidP="00377501">
      <w:pPr>
        <w:spacing w:after="0"/>
      </w:pPr>
      <w:r w:rsidRPr="00802A8B">
        <w:t xml:space="preserve">The most frequently reported adverse reaction during treatment was increased </w:t>
      </w:r>
      <w:r w:rsidR="00021B08" w:rsidRPr="00802A8B">
        <w:t xml:space="preserve">blood creatinine phosphokinase, </w:t>
      </w:r>
      <w:r w:rsidRPr="00802A8B">
        <w:t>which occurred in approximately 2% of patients.  Anaphylactic reaction occurred in less than 1% of patients.</w:t>
      </w:r>
    </w:p>
    <w:p w14:paraId="22CCEE97" w14:textId="77777777" w:rsidR="00007971" w:rsidRPr="00802A8B" w:rsidRDefault="00007971" w:rsidP="00377501">
      <w:pPr>
        <w:spacing w:after="0"/>
      </w:pPr>
    </w:p>
    <w:p w14:paraId="6A3CBFEC" w14:textId="62F703D5" w:rsidR="00007971" w:rsidRPr="00802A8B" w:rsidRDefault="00007971" w:rsidP="00377501">
      <w:pPr>
        <w:spacing w:after="0"/>
      </w:pPr>
      <w:r w:rsidRPr="00802A8B">
        <w:t xml:space="preserve">During controlled clinical studies, the proportion of patients who discontinued due to any adverse event was 5% for both the CINQAIR 3 mg/kg and placebo groups (see </w:t>
      </w:r>
      <w:r w:rsidRPr="00802A8B">
        <w:rPr>
          <w:b/>
        </w:rPr>
        <w:t>CLINICAL TRIALS</w:t>
      </w:r>
      <w:r w:rsidRPr="00802A8B">
        <w:t xml:space="preserve">).  </w:t>
      </w:r>
    </w:p>
    <w:p w14:paraId="705DC5A6" w14:textId="77777777" w:rsidR="00007971" w:rsidRPr="00802A8B" w:rsidRDefault="00007971" w:rsidP="00377501">
      <w:pPr>
        <w:spacing w:after="0"/>
      </w:pPr>
    </w:p>
    <w:p w14:paraId="395AF698" w14:textId="795A665A" w:rsidR="00007971" w:rsidRPr="00802A8B" w:rsidRDefault="00007971" w:rsidP="009D4F2D">
      <w:pPr>
        <w:rPr>
          <w:u w:val="single"/>
        </w:rPr>
      </w:pPr>
      <w:r w:rsidRPr="00802A8B">
        <w:rPr>
          <w:u w:val="single"/>
        </w:rPr>
        <w:t>Tabulated list of adverse reactions</w:t>
      </w:r>
    </w:p>
    <w:p w14:paraId="042FA7AD" w14:textId="1991699D" w:rsidR="00876E5B" w:rsidRDefault="00021B08" w:rsidP="00377501">
      <w:pPr>
        <w:spacing w:after="0"/>
      </w:pPr>
      <w:r w:rsidRPr="00802A8B">
        <w:t>Overall</w:t>
      </w:r>
      <w:r w:rsidR="00876E5B" w:rsidRPr="00802A8B">
        <w:t xml:space="preserve">, 2,195 subjects received at least one dose of </w:t>
      </w:r>
      <w:r w:rsidR="00E30C70" w:rsidRPr="00802A8B">
        <w:t>CINQAIR</w:t>
      </w:r>
      <w:r w:rsidR="00876E5B" w:rsidRPr="00802A8B">
        <w:t>.</w:t>
      </w:r>
      <w:r w:rsidR="00007971" w:rsidRPr="00802A8B">
        <w:t xml:space="preserve"> Of these subjects, 1,006 asthma patients were exposed for at least 6 mo</w:t>
      </w:r>
      <w:r w:rsidR="00007971">
        <w:t xml:space="preserve">nths, 759 exposed for at least 1 year and 237 exposed for longer than 2 years (up to 3 years). </w:t>
      </w:r>
      <w:r w:rsidR="00876E5B" w:rsidRPr="008F0D74">
        <w:t xml:space="preserve"> </w:t>
      </w:r>
      <w:r w:rsidR="00876E5B" w:rsidRPr="003C33C0">
        <w:t xml:space="preserve">The following adverse reactions have been reported with </w:t>
      </w:r>
      <w:r w:rsidR="00E30C70">
        <w:t>CINQAIR</w:t>
      </w:r>
      <w:r w:rsidR="00876E5B" w:rsidRPr="003C33C0">
        <w:t xml:space="preserve"> during placebo</w:t>
      </w:r>
      <w:r w:rsidR="00876E5B">
        <w:noBreakHyphen/>
      </w:r>
      <w:r w:rsidR="00876E5B" w:rsidRPr="003C33C0">
        <w:t xml:space="preserve">controlled asthma studies </w:t>
      </w:r>
      <w:r w:rsidR="00876E5B">
        <w:t xml:space="preserve">for up to 52 weeks of treatment </w:t>
      </w:r>
      <w:r w:rsidR="00876E5B" w:rsidRPr="003C33C0">
        <w:t>with</w:t>
      </w:r>
      <w:r w:rsidR="00876E5B">
        <w:t xml:space="preserve"> a</w:t>
      </w:r>
      <w:r w:rsidR="00876E5B" w:rsidRPr="003C33C0">
        <w:t xml:space="preserve"> 3</w:t>
      </w:r>
      <w:r w:rsidR="00876E5B">
        <w:t> </w:t>
      </w:r>
      <w:r w:rsidR="00876E5B" w:rsidRPr="003C33C0">
        <w:t>mg/kg dose</w:t>
      </w:r>
      <w:r w:rsidR="00876E5B">
        <w:t xml:space="preserve"> given intravenously (1,028 patients)</w:t>
      </w:r>
      <w:r w:rsidR="00876E5B" w:rsidRPr="003C33C0">
        <w:t>. Adverse reactions are listed below</w:t>
      </w:r>
      <w:r w:rsidR="00876E5B">
        <w:t xml:space="preserve"> in Table </w:t>
      </w:r>
      <w:r w:rsidR="00BD06E7">
        <w:t>4</w:t>
      </w:r>
      <w:r w:rsidR="00007971" w:rsidRPr="003C33C0">
        <w:t xml:space="preserve"> </w:t>
      </w:r>
      <w:r w:rsidR="00876E5B" w:rsidRPr="003C33C0">
        <w:t>by system organ class and frequency (frequencies are defined as: very common (≥1/10), common (≥1/100 to &lt;1/10), uncommon (≥ 1/1,000 to &lt;1/100), rare (≥1/10,000 to &lt;1/1,000), very rare (&lt;1/10,000), not known (cannot be estimated from the available data)</w:t>
      </w:r>
      <w:r w:rsidR="00876E5B">
        <w:t>.</w:t>
      </w:r>
    </w:p>
    <w:p w14:paraId="33404BD9" w14:textId="77777777" w:rsidR="00377501" w:rsidRDefault="00377501" w:rsidP="00377501">
      <w:pPr>
        <w:spacing w:after="0"/>
      </w:pPr>
    </w:p>
    <w:p w14:paraId="062342B3" w14:textId="405A9F74" w:rsidR="00BD06E7" w:rsidRPr="00BD06E7" w:rsidRDefault="00507F4B" w:rsidP="00BD06E7">
      <w:pPr>
        <w:pStyle w:val="Caption"/>
        <w:keepNext/>
        <w:spacing w:after="120"/>
        <w:rPr>
          <w:b/>
          <w:i w:val="0"/>
          <w:color w:val="auto"/>
          <w:sz w:val="22"/>
        </w:rPr>
      </w:pPr>
      <w:r>
        <w:rPr>
          <w:rFonts w:ascii="ZWAdobeF" w:hAnsi="ZWAdobeF" w:cs="ZWAdobeF"/>
          <w:i w:val="0"/>
          <w:color w:val="auto"/>
          <w:sz w:val="2"/>
          <w:szCs w:val="2"/>
        </w:rPr>
        <w:lastRenderedPageBreak/>
        <w:t>5B</w:t>
      </w:r>
      <w:r w:rsidR="00BD06E7" w:rsidRPr="00BD06E7">
        <w:rPr>
          <w:b/>
          <w:i w:val="0"/>
          <w:color w:val="auto"/>
          <w:sz w:val="22"/>
        </w:rPr>
        <w:t xml:space="preserve">Table </w:t>
      </w:r>
      <w:r w:rsidR="00BD06E7" w:rsidRPr="00BD06E7">
        <w:rPr>
          <w:b/>
          <w:i w:val="0"/>
          <w:color w:val="auto"/>
          <w:sz w:val="22"/>
        </w:rPr>
        <w:fldChar w:fldCharType="begin"/>
      </w:r>
      <w:r w:rsidR="00BD06E7" w:rsidRPr="00BD06E7">
        <w:rPr>
          <w:b/>
          <w:i w:val="0"/>
          <w:color w:val="auto"/>
          <w:sz w:val="22"/>
        </w:rPr>
        <w:instrText xml:space="preserve"> SEQ Table \* ARABIC </w:instrText>
      </w:r>
      <w:r w:rsidR="00BD06E7" w:rsidRPr="00BD06E7">
        <w:rPr>
          <w:b/>
          <w:i w:val="0"/>
          <w:color w:val="auto"/>
          <w:sz w:val="22"/>
        </w:rPr>
        <w:fldChar w:fldCharType="separate"/>
      </w:r>
      <w:r>
        <w:rPr>
          <w:b/>
          <w:i w:val="0"/>
          <w:noProof/>
          <w:color w:val="auto"/>
          <w:sz w:val="22"/>
        </w:rPr>
        <w:t>4</w:t>
      </w:r>
      <w:r w:rsidR="00BD06E7" w:rsidRPr="00BD06E7">
        <w:rPr>
          <w:b/>
          <w:i w:val="0"/>
          <w:color w:val="auto"/>
          <w:sz w:val="22"/>
        </w:rPr>
        <w:fldChar w:fldCharType="end"/>
      </w:r>
      <w:r w:rsidR="00BD06E7" w:rsidRPr="00BD06E7">
        <w:rPr>
          <w:b/>
          <w:i w:val="0"/>
          <w:color w:val="auto"/>
          <w:sz w:val="22"/>
        </w:rPr>
        <w:t xml:space="preserve"> </w:t>
      </w:r>
      <w:r w:rsidR="00BD06E7" w:rsidRPr="00BD06E7">
        <w:rPr>
          <w:b/>
          <w:i w:val="0"/>
          <w:color w:val="auto"/>
          <w:sz w:val="22"/>
        </w:rPr>
        <w:tab/>
        <w:t>Adverse reactions</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3014"/>
        <w:gridCol w:w="2998"/>
        <w:gridCol w:w="3004"/>
      </w:tblGrid>
      <w:tr w:rsidR="00876E5B" w:rsidRPr="003F3545" w14:paraId="47687930" w14:textId="77777777" w:rsidTr="00876E5B">
        <w:tc>
          <w:tcPr>
            <w:tcW w:w="3014" w:type="dxa"/>
            <w:tcBorders>
              <w:top w:val="single" w:sz="4" w:space="0" w:color="auto"/>
              <w:left w:val="single" w:sz="4" w:space="0" w:color="auto"/>
              <w:bottom w:val="single" w:sz="4" w:space="0" w:color="auto"/>
              <w:right w:val="single" w:sz="4" w:space="0" w:color="auto"/>
            </w:tcBorders>
            <w:hideMark/>
          </w:tcPr>
          <w:p w14:paraId="60C5DD46" w14:textId="77777777" w:rsidR="00876E5B" w:rsidRPr="003F3545" w:rsidRDefault="00876E5B" w:rsidP="00377501">
            <w:pPr>
              <w:keepNext/>
              <w:keepLines/>
              <w:spacing w:before="60" w:after="60"/>
              <w:rPr>
                <w:b/>
                <w:sz w:val="20"/>
              </w:rPr>
            </w:pPr>
            <w:r w:rsidRPr="003F3545">
              <w:rPr>
                <w:b/>
                <w:sz w:val="20"/>
              </w:rPr>
              <w:t>System organ class</w:t>
            </w:r>
          </w:p>
        </w:tc>
        <w:tc>
          <w:tcPr>
            <w:tcW w:w="2998" w:type="dxa"/>
            <w:tcBorders>
              <w:top w:val="single" w:sz="4" w:space="0" w:color="auto"/>
              <w:left w:val="single" w:sz="4" w:space="0" w:color="auto"/>
              <w:bottom w:val="single" w:sz="4" w:space="0" w:color="auto"/>
              <w:right w:val="single" w:sz="4" w:space="0" w:color="auto"/>
            </w:tcBorders>
            <w:hideMark/>
          </w:tcPr>
          <w:p w14:paraId="21C6BDA5" w14:textId="77777777" w:rsidR="00876E5B" w:rsidRPr="003F3545" w:rsidRDefault="00876E5B" w:rsidP="00377501">
            <w:pPr>
              <w:keepNext/>
              <w:keepLines/>
              <w:spacing w:before="60" w:after="60"/>
              <w:rPr>
                <w:b/>
                <w:sz w:val="20"/>
              </w:rPr>
            </w:pPr>
            <w:r w:rsidRPr="003F3545">
              <w:rPr>
                <w:b/>
                <w:sz w:val="20"/>
              </w:rPr>
              <w:t>Frequency</w:t>
            </w:r>
          </w:p>
        </w:tc>
        <w:tc>
          <w:tcPr>
            <w:tcW w:w="3004" w:type="dxa"/>
            <w:tcBorders>
              <w:top w:val="single" w:sz="4" w:space="0" w:color="auto"/>
              <w:left w:val="single" w:sz="4" w:space="0" w:color="auto"/>
              <w:bottom w:val="single" w:sz="4" w:space="0" w:color="auto"/>
              <w:right w:val="single" w:sz="4" w:space="0" w:color="auto"/>
            </w:tcBorders>
            <w:hideMark/>
          </w:tcPr>
          <w:p w14:paraId="6066160A" w14:textId="77777777" w:rsidR="00876E5B" w:rsidRPr="003F3545" w:rsidRDefault="00876E5B" w:rsidP="00377501">
            <w:pPr>
              <w:keepNext/>
              <w:keepLines/>
              <w:spacing w:before="60" w:after="60"/>
              <w:rPr>
                <w:b/>
                <w:sz w:val="20"/>
              </w:rPr>
            </w:pPr>
            <w:r w:rsidRPr="003F3545">
              <w:rPr>
                <w:b/>
                <w:sz w:val="20"/>
              </w:rPr>
              <w:t>Adverse reaction</w:t>
            </w:r>
          </w:p>
        </w:tc>
      </w:tr>
      <w:tr w:rsidR="00876E5B" w:rsidRPr="003F3545" w14:paraId="120FFB89" w14:textId="77777777" w:rsidTr="00876E5B">
        <w:tc>
          <w:tcPr>
            <w:tcW w:w="3014" w:type="dxa"/>
            <w:tcBorders>
              <w:top w:val="single" w:sz="4" w:space="0" w:color="auto"/>
              <w:left w:val="single" w:sz="4" w:space="0" w:color="auto"/>
              <w:bottom w:val="single" w:sz="4" w:space="0" w:color="auto"/>
              <w:right w:val="single" w:sz="4" w:space="0" w:color="auto"/>
            </w:tcBorders>
            <w:hideMark/>
          </w:tcPr>
          <w:p w14:paraId="0DFE1470" w14:textId="77777777" w:rsidR="00876E5B" w:rsidRPr="003F3545" w:rsidRDefault="00876E5B" w:rsidP="00377501">
            <w:pPr>
              <w:keepNext/>
              <w:keepLines/>
              <w:tabs>
                <w:tab w:val="left" w:pos="708"/>
              </w:tabs>
              <w:spacing w:before="60" w:after="60"/>
              <w:rPr>
                <w:sz w:val="20"/>
              </w:rPr>
            </w:pPr>
            <w:r w:rsidRPr="003F3545">
              <w:rPr>
                <w:i/>
                <w:sz w:val="20"/>
              </w:rPr>
              <w:t>Immune system disorders</w:t>
            </w:r>
          </w:p>
        </w:tc>
        <w:tc>
          <w:tcPr>
            <w:tcW w:w="2998" w:type="dxa"/>
            <w:tcBorders>
              <w:top w:val="single" w:sz="4" w:space="0" w:color="auto"/>
              <w:left w:val="single" w:sz="4" w:space="0" w:color="auto"/>
              <w:bottom w:val="single" w:sz="4" w:space="0" w:color="auto"/>
              <w:right w:val="single" w:sz="4" w:space="0" w:color="auto"/>
            </w:tcBorders>
            <w:hideMark/>
          </w:tcPr>
          <w:p w14:paraId="6762B2AD" w14:textId="77777777" w:rsidR="00876E5B" w:rsidRPr="003F3545" w:rsidRDefault="00876E5B" w:rsidP="00377501">
            <w:pPr>
              <w:keepNext/>
              <w:keepLines/>
              <w:spacing w:before="60" w:after="60"/>
              <w:rPr>
                <w:sz w:val="20"/>
              </w:rPr>
            </w:pPr>
            <w:r w:rsidRPr="003F3545">
              <w:rPr>
                <w:sz w:val="20"/>
              </w:rPr>
              <w:t>Uncommon</w:t>
            </w:r>
          </w:p>
        </w:tc>
        <w:tc>
          <w:tcPr>
            <w:tcW w:w="3004" w:type="dxa"/>
            <w:tcBorders>
              <w:top w:val="single" w:sz="4" w:space="0" w:color="auto"/>
              <w:left w:val="single" w:sz="4" w:space="0" w:color="auto"/>
              <w:bottom w:val="single" w:sz="4" w:space="0" w:color="auto"/>
              <w:right w:val="single" w:sz="4" w:space="0" w:color="auto"/>
            </w:tcBorders>
            <w:hideMark/>
          </w:tcPr>
          <w:p w14:paraId="506D7435" w14:textId="77777777" w:rsidR="00876E5B" w:rsidRPr="003F3545" w:rsidRDefault="00876E5B" w:rsidP="00377501">
            <w:pPr>
              <w:keepNext/>
              <w:keepLines/>
              <w:spacing w:before="60" w:after="60"/>
              <w:rPr>
                <w:sz w:val="20"/>
              </w:rPr>
            </w:pPr>
            <w:r w:rsidRPr="003F3545">
              <w:rPr>
                <w:sz w:val="20"/>
              </w:rPr>
              <w:t>Anaphylactic reaction*</w:t>
            </w:r>
          </w:p>
        </w:tc>
      </w:tr>
      <w:tr w:rsidR="00876E5B" w:rsidRPr="003F3545" w14:paraId="43D4D08C" w14:textId="77777777" w:rsidTr="00876E5B">
        <w:tc>
          <w:tcPr>
            <w:tcW w:w="3014" w:type="dxa"/>
            <w:tcBorders>
              <w:top w:val="single" w:sz="4" w:space="0" w:color="auto"/>
              <w:left w:val="single" w:sz="4" w:space="0" w:color="auto"/>
              <w:bottom w:val="single" w:sz="4" w:space="0" w:color="auto"/>
              <w:right w:val="single" w:sz="4" w:space="0" w:color="auto"/>
            </w:tcBorders>
            <w:hideMark/>
          </w:tcPr>
          <w:p w14:paraId="0A3167ED" w14:textId="77777777" w:rsidR="00876E5B" w:rsidRPr="003F3545" w:rsidRDefault="00876E5B" w:rsidP="00377501">
            <w:pPr>
              <w:keepNext/>
              <w:keepLines/>
              <w:spacing w:before="60" w:after="60"/>
              <w:rPr>
                <w:sz w:val="20"/>
              </w:rPr>
            </w:pPr>
            <w:r w:rsidRPr="003F3545">
              <w:rPr>
                <w:i/>
                <w:sz w:val="20"/>
              </w:rPr>
              <w:t>Musculoskeletal and connective tissue disorders</w:t>
            </w:r>
          </w:p>
        </w:tc>
        <w:tc>
          <w:tcPr>
            <w:tcW w:w="2998" w:type="dxa"/>
            <w:tcBorders>
              <w:top w:val="single" w:sz="4" w:space="0" w:color="auto"/>
              <w:left w:val="single" w:sz="4" w:space="0" w:color="auto"/>
              <w:bottom w:val="single" w:sz="4" w:space="0" w:color="auto"/>
              <w:right w:val="single" w:sz="4" w:space="0" w:color="auto"/>
            </w:tcBorders>
            <w:hideMark/>
          </w:tcPr>
          <w:p w14:paraId="246CA892" w14:textId="77777777" w:rsidR="00876E5B" w:rsidRPr="003F3545" w:rsidRDefault="00876E5B" w:rsidP="00377501">
            <w:pPr>
              <w:keepNext/>
              <w:keepLines/>
              <w:spacing w:before="60" w:after="60"/>
              <w:rPr>
                <w:sz w:val="20"/>
              </w:rPr>
            </w:pPr>
            <w:r w:rsidRPr="003F3545">
              <w:rPr>
                <w:sz w:val="20"/>
              </w:rPr>
              <w:t>Uncommon</w:t>
            </w:r>
          </w:p>
        </w:tc>
        <w:tc>
          <w:tcPr>
            <w:tcW w:w="3004" w:type="dxa"/>
            <w:tcBorders>
              <w:top w:val="single" w:sz="4" w:space="0" w:color="auto"/>
              <w:left w:val="single" w:sz="4" w:space="0" w:color="auto"/>
              <w:bottom w:val="single" w:sz="4" w:space="0" w:color="auto"/>
              <w:right w:val="single" w:sz="4" w:space="0" w:color="auto"/>
            </w:tcBorders>
            <w:hideMark/>
          </w:tcPr>
          <w:p w14:paraId="778BA8BA" w14:textId="77777777" w:rsidR="00876E5B" w:rsidRPr="003F3545" w:rsidRDefault="00876E5B" w:rsidP="00377501">
            <w:pPr>
              <w:keepNext/>
              <w:keepLines/>
              <w:spacing w:before="60" w:after="60"/>
              <w:rPr>
                <w:sz w:val="20"/>
              </w:rPr>
            </w:pPr>
            <w:r w:rsidRPr="003F3545">
              <w:rPr>
                <w:sz w:val="20"/>
              </w:rPr>
              <w:t>Myalgia*</w:t>
            </w:r>
          </w:p>
        </w:tc>
      </w:tr>
      <w:tr w:rsidR="00007971" w:rsidRPr="003F3545" w14:paraId="3BD8C512" w14:textId="77777777" w:rsidTr="00876E5B">
        <w:tc>
          <w:tcPr>
            <w:tcW w:w="3014" w:type="dxa"/>
            <w:tcBorders>
              <w:top w:val="single" w:sz="4" w:space="0" w:color="auto"/>
              <w:left w:val="single" w:sz="4" w:space="0" w:color="auto"/>
              <w:bottom w:val="single" w:sz="4" w:space="0" w:color="auto"/>
              <w:right w:val="single" w:sz="4" w:space="0" w:color="auto"/>
            </w:tcBorders>
          </w:tcPr>
          <w:p w14:paraId="501E2BFF" w14:textId="4650FB05" w:rsidR="00007971" w:rsidRPr="003F3545" w:rsidRDefault="00007971" w:rsidP="00377501">
            <w:pPr>
              <w:keepNext/>
              <w:keepLines/>
              <w:spacing w:before="60" w:after="60"/>
              <w:rPr>
                <w:i/>
                <w:sz w:val="20"/>
              </w:rPr>
            </w:pPr>
            <w:r>
              <w:rPr>
                <w:i/>
                <w:sz w:val="20"/>
              </w:rPr>
              <w:t>Investigations</w:t>
            </w:r>
          </w:p>
        </w:tc>
        <w:tc>
          <w:tcPr>
            <w:tcW w:w="2998" w:type="dxa"/>
            <w:tcBorders>
              <w:top w:val="single" w:sz="4" w:space="0" w:color="auto"/>
              <w:left w:val="single" w:sz="4" w:space="0" w:color="auto"/>
              <w:bottom w:val="single" w:sz="4" w:space="0" w:color="auto"/>
              <w:right w:val="single" w:sz="4" w:space="0" w:color="auto"/>
            </w:tcBorders>
          </w:tcPr>
          <w:p w14:paraId="308AB2A0" w14:textId="2BBAD1A6" w:rsidR="00007971" w:rsidRPr="003F3545" w:rsidRDefault="00007971" w:rsidP="00377501">
            <w:pPr>
              <w:keepNext/>
              <w:keepLines/>
              <w:spacing w:before="60" w:after="60"/>
              <w:rPr>
                <w:sz w:val="20"/>
              </w:rPr>
            </w:pPr>
            <w:r>
              <w:rPr>
                <w:sz w:val="20"/>
              </w:rPr>
              <w:t>Common</w:t>
            </w:r>
          </w:p>
        </w:tc>
        <w:tc>
          <w:tcPr>
            <w:tcW w:w="3004" w:type="dxa"/>
            <w:tcBorders>
              <w:top w:val="single" w:sz="4" w:space="0" w:color="auto"/>
              <w:left w:val="single" w:sz="4" w:space="0" w:color="auto"/>
              <w:bottom w:val="single" w:sz="4" w:space="0" w:color="auto"/>
              <w:right w:val="single" w:sz="4" w:space="0" w:color="auto"/>
            </w:tcBorders>
          </w:tcPr>
          <w:p w14:paraId="53F3678F" w14:textId="3909972F" w:rsidR="00007971" w:rsidRPr="003F3545" w:rsidRDefault="00007971" w:rsidP="00377501">
            <w:pPr>
              <w:keepNext/>
              <w:keepLines/>
              <w:spacing w:before="60" w:after="60"/>
              <w:rPr>
                <w:sz w:val="20"/>
              </w:rPr>
            </w:pPr>
            <w:r>
              <w:rPr>
                <w:sz w:val="20"/>
              </w:rPr>
              <w:t xml:space="preserve">Blood </w:t>
            </w:r>
            <w:proofErr w:type="spellStart"/>
            <w:r>
              <w:rPr>
                <w:sz w:val="20"/>
              </w:rPr>
              <w:t>creatine</w:t>
            </w:r>
            <w:proofErr w:type="spellEnd"/>
            <w:r>
              <w:rPr>
                <w:sz w:val="20"/>
              </w:rPr>
              <w:t xml:space="preserve"> phosphokinase increased*</w:t>
            </w:r>
          </w:p>
        </w:tc>
      </w:tr>
      <w:tr w:rsidR="00876E5B" w:rsidRPr="003F3545" w14:paraId="08945B1B" w14:textId="77777777" w:rsidTr="00876E5B">
        <w:tc>
          <w:tcPr>
            <w:tcW w:w="9016" w:type="dxa"/>
            <w:gridSpan w:val="3"/>
            <w:tcBorders>
              <w:top w:val="single" w:sz="4" w:space="0" w:color="auto"/>
              <w:left w:val="single" w:sz="4" w:space="0" w:color="auto"/>
              <w:bottom w:val="single" w:sz="4" w:space="0" w:color="auto"/>
              <w:right w:val="single" w:sz="4" w:space="0" w:color="auto"/>
            </w:tcBorders>
            <w:hideMark/>
          </w:tcPr>
          <w:p w14:paraId="565150C4" w14:textId="77777777" w:rsidR="00876E5B" w:rsidRPr="003F3545" w:rsidRDefault="00876E5B" w:rsidP="00377501">
            <w:pPr>
              <w:keepNext/>
              <w:keepLines/>
              <w:spacing w:before="60" w:after="60"/>
              <w:rPr>
                <w:sz w:val="20"/>
              </w:rPr>
            </w:pPr>
            <w:r w:rsidRPr="003F3545">
              <w:rPr>
                <w:sz w:val="20"/>
              </w:rPr>
              <w:t>*See subsection “Description of selected adverse reaction</w:t>
            </w:r>
            <w:r w:rsidR="003F3545">
              <w:rPr>
                <w:sz w:val="20"/>
              </w:rPr>
              <w:t xml:space="preserve">s” </w:t>
            </w:r>
          </w:p>
        </w:tc>
      </w:tr>
    </w:tbl>
    <w:p w14:paraId="3E77BD80" w14:textId="77777777" w:rsidR="00876E5B" w:rsidRDefault="00876E5B" w:rsidP="00377501">
      <w:pPr>
        <w:spacing w:after="0"/>
      </w:pPr>
    </w:p>
    <w:p w14:paraId="12ADB52A" w14:textId="77777777" w:rsidR="00876E5B" w:rsidRDefault="00876E5B" w:rsidP="00876E5B">
      <w:pPr>
        <w:autoSpaceDE w:val="0"/>
        <w:autoSpaceDN w:val="0"/>
        <w:adjustRightInd w:val="0"/>
      </w:pPr>
      <w:r w:rsidRPr="00E46B26">
        <w:rPr>
          <w:u w:val="single"/>
        </w:rPr>
        <w:t>Description of selected adverse reactions</w:t>
      </w:r>
    </w:p>
    <w:p w14:paraId="2D0BC1AF" w14:textId="77777777" w:rsidR="00876E5B" w:rsidRPr="002563E9" w:rsidRDefault="00876E5B" w:rsidP="00876E5B">
      <w:pPr>
        <w:autoSpaceDE w:val="0"/>
        <w:autoSpaceDN w:val="0"/>
        <w:adjustRightInd w:val="0"/>
        <w:rPr>
          <w:i/>
        </w:rPr>
      </w:pPr>
      <w:r w:rsidRPr="002563E9">
        <w:rPr>
          <w:i/>
        </w:rPr>
        <w:t>Anaphylactic reaction</w:t>
      </w:r>
    </w:p>
    <w:p w14:paraId="37121D9B" w14:textId="5EB58E96" w:rsidR="00876E5B" w:rsidRPr="002563E9" w:rsidRDefault="00876E5B" w:rsidP="00377501">
      <w:pPr>
        <w:autoSpaceDE w:val="0"/>
        <w:autoSpaceDN w:val="0"/>
        <w:adjustRightInd w:val="0"/>
        <w:spacing w:after="0"/>
      </w:pPr>
      <w:r w:rsidRPr="00BF34C8">
        <w:t xml:space="preserve">The serious adverse reaction of anaphylactic reaction was reported and considered related to </w:t>
      </w:r>
      <w:r w:rsidR="00E30C70">
        <w:t>CINQAIR</w:t>
      </w:r>
      <w:r w:rsidRPr="00530401">
        <w:t xml:space="preserve"> in </w:t>
      </w:r>
      <w:r w:rsidR="00007971">
        <w:t>3</w:t>
      </w:r>
      <w:r w:rsidRPr="00530401">
        <w:t xml:space="preserve"> patients</w:t>
      </w:r>
      <w:r w:rsidRPr="00F022C7">
        <w:t xml:space="preserve"> (</w:t>
      </w:r>
      <w:r w:rsidR="00007971">
        <w:t>0.19%</w:t>
      </w:r>
      <w:r w:rsidRPr="00F022C7">
        <w:t>)</w:t>
      </w:r>
      <w:r w:rsidRPr="00BB45EB">
        <w:t xml:space="preserve"> during </w:t>
      </w:r>
      <w:r w:rsidR="00007971">
        <w:t xml:space="preserve">placebo-controlled and open-label </w:t>
      </w:r>
      <w:r w:rsidRPr="002563E9">
        <w:t xml:space="preserve">asthma studies. These reactions were observed during or </w:t>
      </w:r>
      <w:r w:rsidRPr="00BB45EB">
        <w:t xml:space="preserve">within 20 minutes </w:t>
      </w:r>
      <w:r w:rsidRPr="002563E9">
        <w:t xml:space="preserve">after completion of </w:t>
      </w:r>
      <w:r w:rsidR="00007971">
        <w:t xml:space="preserve">CINQAIR infusion and were reported as early as the second dose of CINQAIR. They were </w:t>
      </w:r>
      <w:r w:rsidRPr="002563E9">
        <w:t>fully resolved with standard treatment with no residual effect. Manifestations included skin or mucosal involvement, dyspnoea, wheezing, gastrointestinal symptoms and chills. These cases resulted in the discontinuation of treatment</w:t>
      </w:r>
      <w:r>
        <w:t>.</w:t>
      </w:r>
      <w:r w:rsidRPr="002563E9">
        <w:t xml:space="preserve"> Due</w:t>
      </w:r>
      <w:r w:rsidRPr="00BB45EB">
        <w:t xml:space="preserve"> to an overlap in signs and symptoms, it was not possible to distinguish between an anaphylactic reaction, another hypersensitivity reaction or an infusion</w:t>
      </w:r>
      <w:r w:rsidRPr="00BB45EB">
        <w:noBreakHyphen/>
        <w:t>related reaction in all cases</w:t>
      </w:r>
      <w:r>
        <w:t>.</w:t>
      </w:r>
    </w:p>
    <w:p w14:paraId="4D06A4A4" w14:textId="77777777" w:rsidR="00876E5B" w:rsidRPr="00BF34C8" w:rsidRDefault="00876E5B" w:rsidP="00377501">
      <w:pPr>
        <w:autoSpaceDE w:val="0"/>
        <w:autoSpaceDN w:val="0"/>
        <w:adjustRightInd w:val="0"/>
        <w:spacing w:after="0"/>
      </w:pPr>
    </w:p>
    <w:p w14:paraId="12E6FF8C" w14:textId="59A18010" w:rsidR="00876E5B" w:rsidRPr="00530401" w:rsidRDefault="00876E5B" w:rsidP="00876E5B">
      <w:pPr>
        <w:autoSpaceDE w:val="0"/>
        <w:autoSpaceDN w:val="0"/>
        <w:adjustRightInd w:val="0"/>
        <w:rPr>
          <w:i/>
        </w:rPr>
      </w:pPr>
      <w:r w:rsidRPr="00530401">
        <w:rPr>
          <w:i/>
        </w:rPr>
        <w:t>Myalgia</w:t>
      </w:r>
    </w:p>
    <w:p w14:paraId="42E65AC7" w14:textId="32A13288" w:rsidR="00876E5B" w:rsidRDefault="00876E5B" w:rsidP="00377501">
      <w:pPr>
        <w:autoSpaceDE w:val="0"/>
        <w:autoSpaceDN w:val="0"/>
        <w:adjustRightInd w:val="0"/>
        <w:spacing w:after="0"/>
      </w:pPr>
      <w:r w:rsidRPr="00EB79C6">
        <w:t>Myalgia was reported in 0.97% of patients (10 out of 1,028) in the</w:t>
      </w:r>
      <w:r w:rsidRPr="002563E9">
        <w:t xml:space="preserve"> 3 mg/kg </w:t>
      </w:r>
      <w:r w:rsidR="00E30C70">
        <w:t>CINQAIR</w:t>
      </w:r>
      <w:r w:rsidRPr="002563E9">
        <w:t xml:space="preserve"> group </w:t>
      </w:r>
      <w:r>
        <w:t>of the placebo</w:t>
      </w:r>
      <w:r>
        <w:noBreakHyphen/>
      </w:r>
      <w:r w:rsidRPr="002563E9">
        <w:t xml:space="preserve">controlled </w:t>
      </w:r>
      <w:r>
        <w:t xml:space="preserve">asthma </w:t>
      </w:r>
      <w:r w:rsidRPr="002563E9">
        <w:t xml:space="preserve">studies compared </w:t>
      </w:r>
      <w:r w:rsidRPr="001B1F57">
        <w:t>with 0.55% of patients (4 out of 730) in</w:t>
      </w:r>
      <w:r w:rsidRPr="002563E9">
        <w:t xml:space="preserve"> the placebo group.</w:t>
      </w:r>
    </w:p>
    <w:p w14:paraId="7A26B2A4" w14:textId="77777777" w:rsidR="00A54E14" w:rsidRDefault="00A54E14" w:rsidP="00377501">
      <w:pPr>
        <w:autoSpaceDE w:val="0"/>
        <w:autoSpaceDN w:val="0"/>
        <w:adjustRightInd w:val="0"/>
        <w:spacing w:after="0"/>
      </w:pPr>
    </w:p>
    <w:p w14:paraId="39A03BD5" w14:textId="2F55D59F" w:rsidR="00A54E14" w:rsidRDefault="00A54E14" w:rsidP="009D4F2D">
      <w:pPr>
        <w:autoSpaceDE w:val="0"/>
        <w:autoSpaceDN w:val="0"/>
        <w:adjustRightInd w:val="0"/>
        <w:rPr>
          <w:i/>
        </w:rPr>
      </w:pPr>
      <w:r>
        <w:rPr>
          <w:i/>
        </w:rPr>
        <w:t xml:space="preserve">Blood </w:t>
      </w:r>
      <w:proofErr w:type="spellStart"/>
      <w:r>
        <w:rPr>
          <w:i/>
        </w:rPr>
        <w:t>creatine</w:t>
      </w:r>
      <w:proofErr w:type="spellEnd"/>
      <w:r>
        <w:rPr>
          <w:i/>
        </w:rPr>
        <w:t xml:space="preserve"> phosphokinase increased</w:t>
      </w:r>
    </w:p>
    <w:p w14:paraId="532436C4" w14:textId="0AF0F521" w:rsidR="00A54E14" w:rsidRPr="00A54E14" w:rsidRDefault="00A54E14" w:rsidP="00377501">
      <w:pPr>
        <w:autoSpaceDE w:val="0"/>
        <w:autoSpaceDN w:val="0"/>
        <w:adjustRightInd w:val="0"/>
        <w:spacing w:after="0"/>
      </w:pPr>
      <w:r>
        <w:t xml:space="preserve">Blood </w:t>
      </w:r>
      <w:proofErr w:type="spellStart"/>
      <w:r>
        <w:t>creatine</w:t>
      </w:r>
      <w:proofErr w:type="spellEnd"/>
      <w:r>
        <w:t xml:space="preserve"> phosphokinase elevations were transient and asymptomatic, and did not lead to treatment discontinuation.</w:t>
      </w:r>
    </w:p>
    <w:p w14:paraId="1A35519F" w14:textId="1AFD0AA0" w:rsidR="00876E5B" w:rsidRDefault="00876E5B" w:rsidP="00377501">
      <w:pPr>
        <w:spacing w:after="0"/>
        <w:rPr>
          <w:bCs/>
          <w:iCs/>
          <w:u w:val="single"/>
        </w:rPr>
      </w:pPr>
    </w:p>
    <w:p w14:paraId="71639287" w14:textId="5D834C64" w:rsidR="00A54E14" w:rsidRDefault="00A54E14" w:rsidP="009D4F2D">
      <w:pPr>
        <w:autoSpaceDE w:val="0"/>
        <w:autoSpaceDN w:val="0"/>
        <w:adjustRightInd w:val="0"/>
        <w:rPr>
          <w:i/>
        </w:rPr>
      </w:pPr>
      <w:r>
        <w:rPr>
          <w:i/>
        </w:rPr>
        <w:t>Malignancies</w:t>
      </w:r>
    </w:p>
    <w:p w14:paraId="13F94972" w14:textId="0862ED8B" w:rsidR="00A54E14" w:rsidRDefault="00A54E14" w:rsidP="00377501">
      <w:pPr>
        <w:autoSpaceDE w:val="0"/>
        <w:autoSpaceDN w:val="0"/>
        <w:adjustRightInd w:val="0"/>
        <w:spacing w:after="0"/>
      </w:pPr>
      <w:r>
        <w:t xml:space="preserve">The impact of lowering eosinophils with an anti-IL 5 active substance, such as reslizumab, on the development of malignancies is not known. </w:t>
      </w:r>
      <w:r w:rsidR="00026F58">
        <w:t xml:space="preserve">Malignancies have been reported in </w:t>
      </w:r>
      <w:r w:rsidR="00346097">
        <w:t>clinical</w:t>
      </w:r>
      <w:r w:rsidR="00026F58">
        <w:t xml:space="preserve"> trials </w:t>
      </w:r>
      <w:r w:rsidR="003348EC">
        <w:t>(</w:t>
      </w:r>
      <w:r w:rsidR="00A4397E">
        <w:t>see</w:t>
      </w:r>
      <w:r w:rsidR="003348EC">
        <w:t xml:space="preserve"> </w:t>
      </w:r>
      <w:r w:rsidR="003348EC" w:rsidRPr="00154A9F">
        <w:rPr>
          <w:b/>
        </w:rPr>
        <w:t>PRECAUTIONS</w:t>
      </w:r>
      <w:r w:rsidR="003348EC">
        <w:t>).</w:t>
      </w:r>
    </w:p>
    <w:p w14:paraId="4520AB20" w14:textId="77777777" w:rsidR="00500CA8" w:rsidRDefault="00500CA8" w:rsidP="00377501">
      <w:pPr>
        <w:autoSpaceDE w:val="0"/>
        <w:autoSpaceDN w:val="0"/>
        <w:adjustRightInd w:val="0"/>
        <w:spacing w:after="0"/>
      </w:pPr>
    </w:p>
    <w:p w14:paraId="679A2DC1" w14:textId="47A38286" w:rsidR="00B425DD" w:rsidRPr="003D224A" w:rsidRDefault="00B425DD" w:rsidP="00B425DD">
      <w:pPr>
        <w:rPr>
          <w:bCs/>
          <w:iCs/>
          <w:u w:val="single"/>
        </w:rPr>
      </w:pPr>
      <w:r w:rsidRPr="003D224A">
        <w:rPr>
          <w:bCs/>
          <w:iCs/>
          <w:u w:val="single"/>
        </w:rPr>
        <w:t>Paediatric population</w:t>
      </w:r>
    </w:p>
    <w:p w14:paraId="20DA2087" w14:textId="77777777" w:rsidR="00B425DD" w:rsidRDefault="00B425DD" w:rsidP="00B425DD">
      <w:pPr>
        <w:autoSpaceDE w:val="0"/>
        <w:autoSpaceDN w:val="0"/>
        <w:adjustRightInd w:val="0"/>
        <w:spacing w:after="0"/>
      </w:pPr>
      <w:r>
        <w:t>E</w:t>
      </w:r>
      <w:r w:rsidRPr="00BF34C8">
        <w:t xml:space="preserve">xperience in paediatric patients is limited. The data </w:t>
      </w:r>
      <w:r>
        <w:t xml:space="preserve">do </w:t>
      </w:r>
      <w:r w:rsidRPr="00BF34C8">
        <w:t xml:space="preserve">not indicate a difference in the safety profile of </w:t>
      </w:r>
      <w:r>
        <w:t>CINQAIR</w:t>
      </w:r>
      <w:r w:rsidRPr="00BF34C8">
        <w:t xml:space="preserve"> in paediatric patients compared with that </w:t>
      </w:r>
      <w:r>
        <w:t>of</w:t>
      </w:r>
      <w:r w:rsidRPr="00BF34C8">
        <w:t xml:space="preserve"> adult patients</w:t>
      </w:r>
      <w:r>
        <w:t xml:space="preserve"> (see </w:t>
      </w:r>
      <w:r w:rsidRPr="00BD06E7">
        <w:rPr>
          <w:b/>
        </w:rPr>
        <w:t>PRECAUTIONS</w:t>
      </w:r>
      <w:r>
        <w:t>)</w:t>
      </w:r>
      <w:r w:rsidRPr="00BF34C8">
        <w:t>.</w:t>
      </w:r>
    </w:p>
    <w:p w14:paraId="7CA517E1" w14:textId="309FA4CC" w:rsidR="004A28F9" w:rsidRDefault="006D2093" w:rsidP="004A28F9">
      <w:pPr>
        <w:pStyle w:val="Heading1"/>
      </w:pPr>
      <w:r w:rsidRPr="00717998">
        <w:t>DOSAGE AND ADMINISTRATION</w:t>
      </w:r>
    </w:p>
    <w:p w14:paraId="5466086E" w14:textId="38E27AE3" w:rsidR="00BD5A1B" w:rsidRDefault="00BD5A1B" w:rsidP="00A57971">
      <w:r>
        <w:t xml:space="preserve">The recommended dose of </w:t>
      </w:r>
      <w:r w:rsidR="00E30C70">
        <w:t>CINQAIR</w:t>
      </w:r>
      <w:r>
        <w:t>, based on body weight, is 3</w:t>
      </w:r>
      <w:r w:rsidR="00003B0B">
        <w:t>.0</w:t>
      </w:r>
      <w:r>
        <w:t xml:space="preserve"> mg/kg, given once every four weeks.  </w:t>
      </w:r>
      <w:r w:rsidR="00E30C70">
        <w:t>CINQAIR</w:t>
      </w:r>
      <w:r>
        <w:t xml:space="preserve"> is intended for long-term treatment.</w:t>
      </w:r>
    </w:p>
    <w:p w14:paraId="695E4883" w14:textId="41F85CAE" w:rsidR="00BD5A1B" w:rsidRPr="00802A8B" w:rsidRDefault="00BD5A1B" w:rsidP="00A57971">
      <w:r w:rsidRPr="005B12F5">
        <w:lastRenderedPageBreak/>
        <w:t xml:space="preserve">A decision to continue </w:t>
      </w:r>
      <w:r w:rsidR="00E30C70" w:rsidRPr="005B12F5">
        <w:t>CINQAIR</w:t>
      </w:r>
      <w:r w:rsidRPr="005B12F5">
        <w:t xml:space="preserve"> therapy should be made at least annually based on disease se</w:t>
      </w:r>
      <w:r w:rsidRPr="00802A8B">
        <w:t>verity and level of exacerbation control.</w:t>
      </w:r>
    </w:p>
    <w:p w14:paraId="5E8BA33B" w14:textId="480A8372" w:rsidR="0095125C" w:rsidRPr="00154A9F" w:rsidRDefault="0095125C" w:rsidP="00A57971">
      <w:r w:rsidRPr="00802A8B">
        <w:t xml:space="preserve">CINQAIR should be prescribed by a </w:t>
      </w:r>
      <w:r w:rsidR="000C1D10" w:rsidRPr="00154A9F">
        <w:t>medical practitioner</w:t>
      </w:r>
      <w:r w:rsidRPr="00802A8B">
        <w:t xml:space="preserve"> </w:t>
      </w:r>
      <w:r w:rsidR="00A10CC4">
        <w:t>in consultation with a specialist</w:t>
      </w:r>
      <w:r w:rsidR="007A3807">
        <w:t xml:space="preserve"> respiratory physician,</w:t>
      </w:r>
      <w:r w:rsidR="00A10CC4">
        <w:t xml:space="preserve"> </w:t>
      </w:r>
      <w:r w:rsidRPr="00802A8B">
        <w:t xml:space="preserve">experienced in the diagnosis and treatment of </w:t>
      </w:r>
      <w:r w:rsidR="007A3807">
        <w:t xml:space="preserve">severe </w:t>
      </w:r>
      <w:r w:rsidRPr="00802A8B">
        <w:t xml:space="preserve">asthma. </w:t>
      </w:r>
    </w:p>
    <w:p w14:paraId="69182285" w14:textId="08AC53B4" w:rsidR="00FB64BF" w:rsidRPr="00802A8B" w:rsidRDefault="00FB64BF" w:rsidP="00A57971">
      <w:r w:rsidRPr="00802A8B">
        <w:t>Product is for single use in one patient only. Discard any residue.</w:t>
      </w:r>
    </w:p>
    <w:p w14:paraId="5ABB9232" w14:textId="3EACB2FA" w:rsidR="00BD5A1B" w:rsidRPr="00802A8B" w:rsidRDefault="00BD5A1B" w:rsidP="00BD5A1B">
      <w:pPr>
        <w:pStyle w:val="Heading2"/>
      </w:pPr>
      <w:r w:rsidRPr="00802A8B">
        <w:t>Missed Doses</w:t>
      </w:r>
    </w:p>
    <w:p w14:paraId="68E46599" w14:textId="10EE6C58" w:rsidR="00BD5A1B" w:rsidRPr="00802A8B" w:rsidRDefault="00BD5A1B" w:rsidP="00003B0B">
      <w:r w:rsidRPr="00802A8B">
        <w:t xml:space="preserve">If </w:t>
      </w:r>
      <w:r w:rsidR="005903AD" w:rsidRPr="00802A8B">
        <w:t>an</w:t>
      </w:r>
      <w:r w:rsidRPr="00802A8B">
        <w:t xml:space="preserve"> infusion of </w:t>
      </w:r>
      <w:r w:rsidR="00E30C70" w:rsidRPr="00802A8B">
        <w:t>CINQAIR</w:t>
      </w:r>
      <w:r w:rsidRPr="00802A8B">
        <w:t xml:space="preserve"> is missed</w:t>
      </w:r>
      <w:r w:rsidR="005903AD" w:rsidRPr="00802A8B">
        <w:t xml:space="preserve"> on the planned date</w:t>
      </w:r>
      <w:r w:rsidRPr="00802A8B">
        <w:t>, dosing should resume as soon as possible on the indicated dose and regimen.  A double dose must not be administered to make up for the missed dose.</w:t>
      </w:r>
    </w:p>
    <w:p w14:paraId="1E73176A" w14:textId="25BF1C26" w:rsidR="00002EA7" w:rsidRPr="00802A8B" w:rsidRDefault="00002EA7" w:rsidP="00002EA7">
      <w:pPr>
        <w:pStyle w:val="Heading2"/>
      </w:pPr>
      <w:r w:rsidRPr="00802A8B">
        <w:t>Preparation</w:t>
      </w:r>
      <w:r w:rsidR="002608DD" w:rsidRPr="00802A8B">
        <w:t xml:space="preserve"> i</w:t>
      </w:r>
      <w:r w:rsidRPr="00802A8B">
        <w:t>nstructions – Use Aseptic Technique</w:t>
      </w:r>
    </w:p>
    <w:p w14:paraId="4055F75A" w14:textId="3DB00B4A" w:rsidR="00002EA7" w:rsidRDefault="00002EA7" w:rsidP="00B93120">
      <w:pPr>
        <w:pStyle w:val="ListParagraph"/>
        <w:numPr>
          <w:ilvl w:val="0"/>
          <w:numId w:val="2"/>
        </w:numPr>
        <w:ind w:left="426" w:hanging="426"/>
        <w:contextualSpacing w:val="0"/>
        <w:rPr>
          <w:noProof/>
        </w:rPr>
      </w:pPr>
      <w:r w:rsidRPr="00802A8B">
        <w:rPr>
          <w:noProof/>
        </w:rPr>
        <w:t xml:space="preserve">Remove </w:t>
      </w:r>
      <w:r w:rsidR="00E30C70" w:rsidRPr="00802A8B">
        <w:rPr>
          <w:noProof/>
        </w:rPr>
        <w:t>CINQAIR</w:t>
      </w:r>
      <w:r w:rsidRPr="00802A8B">
        <w:rPr>
          <w:noProof/>
        </w:rPr>
        <w:t xml:space="preserve"> from</w:t>
      </w:r>
      <w:r w:rsidRPr="00467859">
        <w:rPr>
          <w:noProof/>
        </w:rPr>
        <w:t xml:space="preserve"> the refrigerator. Do not shake the vial.</w:t>
      </w:r>
    </w:p>
    <w:p w14:paraId="3CFF1A3A" w14:textId="2FA7AFC7" w:rsidR="00002EA7" w:rsidRPr="00467859" w:rsidRDefault="00002EA7" w:rsidP="00B93120">
      <w:pPr>
        <w:pStyle w:val="ListParagraph"/>
        <w:numPr>
          <w:ilvl w:val="0"/>
          <w:numId w:val="2"/>
        </w:numPr>
        <w:ind w:left="426" w:hanging="426"/>
        <w:contextualSpacing w:val="0"/>
        <w:rPr>
          <w:noProof/>
        </w:rPr>
      </w:pPr>
      <w:r w:rsidRPr="00467859">
        <w:rPr>
          <w:noProof/>
        </w:rPr>
        <w:t xml:space="preserve">The medicinal product should be inspected visually before use. The concentrate is clear to slightly hazy opalescent, colourless to </w:t>
      </w:r>
      <w:r w:rsidRPr="00084E3A">
        <w:rPr>
          <w:noProof/>
        </w:rPr>
        <w:t>slightly yellow</w:t>
      </w:r>
      <w:r w:rsidRPr="00467859">
        <w:rPr>
          <w:noProof/>
        </w:rPr>
        <w:t xml:space="preserve">. </w:t>
      </w:r>
      <w:r w:rsidR="00805520">
        <w:rPr>
          <w:noProof/>
        </w:rPr>
        <w:t>P</w:t>
      </w:r>
      <w:r w:rsidRPr="00467859">
        <w:rPr>
          <w:noProof/>
        </w:rPr>
        <w:t xml:space="preserve">roteinaceous particles may be present in the </w:t>
      </w:r>
      <w:r w:rsidRPr="00E50E78">
        <w:rPr>
          <w:noProof/>
        </w:rPr>
        <w:t>concentrate</w:t>
      </w:r>
      <w:r w:rsidRPr="00084E3A">
        <w:rPr>
          <w:noProof/>
        </w:rPr>
        <w:t xml:space="preserve"> that appear as translucent to white, amorphous partic</w:t>
      </w:r>
      <w:r>
        <w:rPr>
          <w:noProof/>
        </w:rPr>
        <w:t>les</w:t>
      </w:r>
      <w:r w:rsidRPr="00467859">
        <w:rPr>
          <w:noProof/>
        </w:rPr>
        <w:t>, some of which may have a fibrous nature. This is not unusual for proteinaceous</w:t>
      </w:r>
      <w:r w:rsidRPr="00E50E78">
        <w:rPr>
          <w:noProof/>
        </w:rPr>
        <w:t xml:space="preserve"> solutions. </w:t>
      </w:r>
      <w:r w:rsidRPr="00084E3A">
        <w:rPr>
          <w:noProof/>
        </w:rPr>
        <w:t>The concentrate must not be used if coloured (</w:t>
      </w:r>
      <w:r>
        <w:rPr>
          <w:noProof/>
        </w:rPr>
        <w:t xml:space="preserve">except </w:t>
      </w:r>
      <w:r w:rsidRPr="00467859">
        <w:rPr>
          <w:noProof/>
        </w:rPr>
        <w:t>slightly yel</w:t>
      </w:r>
      <w:r>
        <w:rPr>
          <w:noProof/>
        </w:rPr>
        <w:t>l</w:t>
      </w:r>
      <w:r w:rsidRPr="00467859">
        <w:rPr>
          <w:noProof/>
        </w:rPr>
        <w:t>ow) or if foreign partic</w:t>
      </w:r>
      <w:r>
        <w:rPr>
          <w:noProof/>
        </w:rPr>
        <w:t>les</w:t>
      </w:r>
      <w:r w:rsidRPr="00467859">
        <w:rPr>
          <w:noProof/>
        </w:rPr>
        <w:t xml:space="preserve"> </w:t>
      </w:r>
      <w:r>
        <w:rPr>
          <w:noProof/>
        </w:rPr>
        <w:t>are</w:t>
      </w:r>
      <w:r w:rsidRPr="00467859">
        <w:rPr>
          <w:noProof/>
        </w:rPr>
        <w:t xml:space="preserve"> present.</w:t>
      </w:r>
    </w:p>
    <w:p w14:paraId="219DF771" w14:textId="77777777" w:rsidR="00B93120" w:rsidRDefault="00002EA7" w:rsidP="00B93120">
      <w:pPr>
        <w:pStyle w:val="ListParagraph"/>
        <w:numPr>
          <w:ilvl w:val="0"/>
          <w:numId w:val="2"/>
        </w:numPr>
        <w:ind w:left="426" w:hanging="426"/>
        <w:contextualSpacing w:val="0"/>
        <w:rPr>
          <w:noProof/>
        </w:rPr>
      </w:pPr>
      <w:r w:rsidRPr="00084E3A">
        <w:rPr>
          <w:noProof/>
        </w:rPr>
        <w:t xml:space="preserve">A suitable injection syringe should be used to withdraw the calculated volume of the concentrate from the vial(s). </w:t>
      </w:r>
      <w:r>
        <w:rPr>
          <w:noProof/>
        </w:rPr>
        <w:t>The volume (in mL</w:t>
      </w:r>
      <w:r w:rsidRPr="00084E3A">
        <w:rPr>
          <w:noProof/>
        </w:rPr>
        <w:t xml:space="preserve">) required is calculated based on the body weight (in kg) of the patient: </w:t>
      </w:r>
    </w:p>
    <w:p w14:paraId="442A71C2" w14:textId="77777777" w:rsidR="00B93120" w:rsidRDefault="00002EA7" w:rsidP="00B93120">
      <w:pPr>
        <w:pStyle w:val="ListParagraph"/>
        <w:ind w:left="2160" w:firstLine="720"/>
        <w:contextualSpacing w:val="0"/>
        <w:rPr>
          <w:noProof/>
        </w:rPr>
      </w:pPr>
      <w:r w:rsidRPr="00B93120">
        <w:rPr>
          <w:b/>
          <w:i/>
          <w:noProof/>
        </w:rPr>
        <w:t>0.3 x body weight</w:t>
      </w:r>
      <w:r w:rsidRPr="00B93120">
        <w:rPr>
          <w:i/>
          <w:noProof/>
        </w:rPr>
        <w:t xml:space="preserve"> </w:t>
      </w:r>
      <w:r w:rsidRPr="00B93120">
        <w:rPr>
          <w:b/>
          <w:noProof/>
        </w:rPr>
        <w:t>(in kg)</w:t>
      </w:r>
      <w:r w:rsidRPr="00084E3A">
        <w:rPr>
          <w:noProof/>
        </w:rPr>
        <w:t xml:space="preserve"> </w:t>
      </w:r>
    </w:p>
    <w:p w14:paraId="2B5AF2CC" w14:textId="77777777" w:rsidR="00002EA7" w:rsidRPr="00084E3A" w:rsidRDefault="00002EA7" w:rsidP="00B93120">
      <w:pPr>
        <w:ind w:left="426"/>
        <w:rPr>
          <w:noProof/>
        </w:rPr>
      </w:pPr>
      <w:r w:rsidRPr="00084E3A">
        <w:rPr>
          <w:noProof/>
        </w:rPr>
        <w:t>e.g.</w:t>
      </w:r>
      <w:r>
        <w:rPr>
          <w:noProof/>
        </w:rPr>
        <w:t xml:space="preserve"> a volume of 18 mL</w:t>
      </w:r>
      <w:r w:rsidRPr="00084E3A">
        <w:rPr>
          <w:noProof/>
        </w:rPr>
        <w:t xml:space="preserve"> (180 mg) will be necessary for a body weight of 60 kg (0.3 x 60</w:t>
      </w:r>
      <w:r>
        <w:rPr>
          <w:noProof/>
        </w:rPr>
        <w:t> </w:t>
      </w:r>
      <w:r w:rsidRPr="00084E3A">
        <w:rPr>
          <w:noProof/>
        </w:rPr>
        <w:t>kg</w:t>
      </w:r>
      <w:r>
        <w:rPr>
          <w:noProof/>
        </w:rPr>
        <w:t xml:space="preserve"> = 18 mL</w:t>
      </w:r>
      <w:r w:rsidRPr="00084E3A">
        <w:rPr>
          <w:noProof/>
        </w:rPr>
        <w:t>).</w:t>
      </w:r>
    </w:p>
    <w:p w14:paraId="5B215559" w14:textId="77777777" w:rsidR="00002EA7" w:rsidRPr="00802A8B" w:rsidRDefault="00002EA7" w:rsidP="00B93120">
      <w:pPr>
        <w:pStyle w:val="ListParagraph"/>
        <w:numPr>
          <w:ilvl w:val="0"/>
          <w:numId w:val="2"/>
        </w:numPr>
        <w:ind w:left="426" w:hanging="426"/>
        <w:contextualSpacing w:val="0"/>
        <w:rPr>
          <w:noProof/>
        </w:rPr>
      </w:pPr>
      <w:r w:rsidRPr="00084E3A">
        <w:rPr>
          <w:noProof/>
        </w:rPr>
        <w:t>Slowly dispense the content of the syringe into an infusion bag cont</w:t>
      </w:r>
      <w:r>
        <w:rPr>
          <w:noProof/>
        </w:rPr>
        <w:t>aining 50 mL</w:t>
      </w:r>
      <w:r w:rsidRPr="00084E3A">
        <w:rPr>
          <w:noProof/>
        </w:rPr>
        <w:t xml:space="preserve"> of </w:t>
      </w:r>
      <w:r w:rsidRPr="00802A8B">
        <w:rPr>
          <w:noProof/>
        </w:rPr>
        <w:t>sodium chloride 9 mg/mL (0.9%) solution for infusion. Gently invert the bag to mix the solution. This medicinal product must not be mixed with other medicinal products except sodium chloride 9 mg/mL (0.9%) solution for infusion.</w:t>
      </w:r>
    </w:p>
    <w:p w14:paraId="28D41DFC" w14:textId="77777777" w:rsidR="00002EA7" w:rsidRPr="00802A8B" w:rsidRDefault="00002EA7" w:rsidP="00B93120">
      <w:pPr>
        <w:pStyle w:val="ListParagraph"/>
        <w:numPr>
          <w:ilvl w:val="0"/>
          <w:numId w:val="2"/>
        </w:numPr>
        <w:ind w:left="426" w:hanging="426"/>
        <w:contextualSpacing w:val="0"/>
        <w:rPr>
          <w:noProof/>
        </w:rPr>
      </w:pPr>
      <w:r w:rsidRPr="00802A8B">
        <w:rPr>
          <w:noProof/>
        </w:rPr>
        <w:t>The concentrate does not contain any preservatives. Any remaining unused concentrate in the vial(s) must be discarded.</w:t>
      </w:r>
    </w:p>
    <w:p w14:paraId="6C8F208A" w14:textId="524A2166" w:rsidR="00002EA7" w:rsidRPr="00802A8B" w:rsidRDefault="00002EA7" w:rsidP="00B93120">
      <w:pPr>
        <w:pStyle w:val="ListParagraph"/>
        <w:numPr>
          <w:ilvl w:val="0"/>
          <w:numId w:val="2"/>
        </w:numPr>
        <w:ind w:left="426" w:hanging="426"/>
        <w:contextualSpacing w:val="0"/>
        <w:rPr>
          <w:noProof/>
        </w:rPr>
      </w:pPr>
      <w:r w:rsidRPr="00802A8B">
        <w:rPr>
          <w:noProof/>
        </w:rPr>
        <w:t xml:space="preserve">It is recommended that the solution for infusion be administered immediately after preparation. Solutions of </w:t>
      </w:r>
      <w:r w:rsidR="00E30C70" w:rsidRPr="00802A8B">
        <w:rPr>
          <w:noProof/>
        </w:rPr>
        <w:t>CINQAIR</w:t>
      </w:r>
      <w:r w:rsidRPr="00802A8B">
        <w:rPr>
          <w:noProof/>
        </w:rPr>
        <w:t xml:space="preserve"> diluted in sodium chloride 9 mg/mL (0.9%) solution for infusion may be stored refrigerated at 2°C</w:t>
      </w:r>
      <w:r w:rsidR="00B93120" w:rsidRPr="00802A8B">
        <w:rPr>
          <w:noProof/>
        </w:rPr>
        <w:t xml:space="preserve"> – </w:t>
      </w:r>
      <w:r w:rsidRPr="00802A8B">
        <w:rPr>
          <w:noProof/>
        </w:rPr>
        <w:t>8°C or not above 25°C, protected from light for up to 16 hours.</w:t>
      </w:r>
    </w:p>
    <w:p w14:paraId="49E03FB9" w14:textId="6B063E4E" w:rsidR="00002EA7" w:rsidRPr="00802A8B" w:rsidRDefault="00E30C70" w:rsidP="00FA614C">
      <w:pPr>
        <w:pStyle w:val="ListParagraph"/>
        <w:numPr>
          <w:ilvl w:val="0"/>
          <w:numId w:val="2"/>
        </w:numPr>
        <w:spacing w:after="0"/>
        <w:ind w:left="426" w:hanging="426"/>
        <w:contextualSpacing w:val="0"/>
        <w:rPr>
          <w:noProof/>
        </w:rPr>
      </w:pPr>
      <w:r w:rsidRPr="00802A8B">
        <w:rPr>
          <w:noProof/>
        </w:rPr>
        <w:t>CINQAIR</w:t>
      </w:r>
      <w:r w:rsidR="00002EA7" w:rsidRPr="00802A8B">
        <w:rPr>
          <w:noProof/>
        </w:rPr>
        <w:t xml:space="preserve"> is compatible with polyvinylchloride (PVC) or polyolefin (PO) infusion bags.</w:t>
      </w:r>
    </w:p>
    <w:p w14:paraId="3AF98422" w14:textId="77777777" w:rsidR="00002EA7" w:rsidRPr="00802A8B" w:rsidRDefault="00002EA7" w:rsidP="00FA614C">
      <w:pPr>
        <w:spacing w:after="0"/>
        <w:rPr>
          <w:noProof/>
        </w:rPr>
      </w:pPr>
    </w:p>
    <w:p w14:paraId="156CD90F" w14:textId="77777777" w:rsidR="00B464AD" w:rsidRDefault="00B464AD" w:rsidP="00002EA7">
      <w:pPr>
        <w:pStyle w:val="Heading2"/>
        <w:sectPr w:rsidR="00B464AD" w:rsidSect="008B3FBF">
          <w:pgSz w:w="11906" w:h="16838"/>
          <w:pgMar w:top="1440" w:right="1440" w:bottom="1440" w:left="1440" w:header="708" w:footer="708" w:gutter="0"/>
          <w:cols w:space="708"/>
          <w:docGrid w:linePitch="360"/>
        </w:sectPr>
      </w:pPr>
    </w:p>
    <w:p w14:paraId="114EE3B9" w14:textId="2E01C845" w:rsidR="00002EA7" w:rsidRPr="00802A8B" w:rsidRDefault="00002EA7" w:rsidP="00002EA7">
      <w:pPr>
        <w:pStyle w:val="Heading2"/>
      </w:pPr>
      <w:r w:rsidRPr="00802A8B">
        <w:lastRenderedPageBreak/>
        <w:t>Administration instructions</w:t>
      </w:r>
    </w:p>
    <w:p w14:paraId="1A82DBBE" w14:textId="78EF4065" w:rsidR="00002EA7" w:rsidRPr="00802A8B" w:rsidRDefault="00E30C70" w:rsidP="00002EA7">
      <w:r w:rsidRPr="00802A8B">
        <w:t>CINQAIR</w:t>
      </w:r>
      <w:r w:rsidR="00002EA7" w:rsidRPr="00802A8B">
        <w:t xml:space="preserve"> is for intravenous infusion only. It must not be administered by subcutaneous, intramuscular or oral routes</w:t>
      </w:r>
      <w:r w:rsidR="0024407A" w:rsidRPr="00802A8B">
        <w:t>.</w:t>
      </w:r>
    </w:p>
    <w:p w14:paraId="2934CFF5" w14:textId="7A486C4E" w:rsidR="00002EA7" w:rsidRPr="00084E3A" w:rsidRDefault="00E30C70" w:rsidP="00002EA7">
      <w:pPr>
        <w:pStyle w:val="ListParagraph"/>
        <w:numPr>
          <w:ilvl w:val="0"/>
          <w:numId w:val="1"/>
        </w:numPr>
        <w:ind w:left="426" w:hanging="426"/>
        <w:contextualSpacing w:val="0"/>
        <w:rPr>
          <w:noProof/>
        </w:rPr>
      </w:pPr>
      <w:r w:rsidRPr="00802A8B">
        <w:rPr>
          <w:noProof/>
        </w:rPr>
        <w:t>CINQAIR</w:t>
      </w:r>
      <w:r w:rsidR="00002EA7" w:rsidRPr="00802A8B">
        <w:rPr>
          <w:noProof/>
        </w:rPr>
        <w:t xml:space="preserve"> should be administered by a healthcar</w:t>
      </w:r>
      <w:r w:rsidR="00002EA7" w:rsidRPr="00084E3A">
        <w:rPr>
          <w:noProof/>
        </w:rPr>
        <w:t>e professional prepared to manage hypersensivity reactions including anaphylaxis. The patient has to be observed over the duration of the infusion and for an appropriate period of time after</w:t>
      </w:r>
      <w:r w:rsidR="00002EA7">
        <w:rPr>
          <w:noProof/>
        </w:rPr>
        <w:t>wards</w:t>
      </w:r>
      <w:r w:rsidR="00002EA7" w:rsidRPr="00084E3A">
        <w:rPr>
          <w:noProof/>
        </w:rPr>
        <w:t xml:space="preserve">. Patients should be instructed </w:t>
      </w:r>
      <w:r w:rsidR="00002EA7">
        <w:rPr>
          <w:noProof/>
        </w:rPr>
        <w:t xml:space="preserve">in how </w:t>
      </w:r>
      <w:r w:rsidR="00002EA7" w:rsidRPr="00084E3A">
        <w:rPr>
          <w:noProof/>
        </w:rPr>
        <w:t>to recogni</w:t>
      </w:r>
      <w:r w:rsidR="00002EA7">
        <w:rPr>
          <w:noProof/>
        </w:rPr>
        <w:t>s</w:t>
      </w:r>
      <w:r w:rsidR="00002EA7" w:rsidRPr="00084E3A">
        <w:rPr>
          <w:noProof/>
        </w:rPr>
        <w:t>e symptoms of serious allergic reactions.</w:t>
      </w:r>
    </w:p>
    <w:p w14:paraId="6A1AABDD" w14:textId="77777777" w:rsidR="00002EA7" w:rsidRPr="00084E3A" w:rsidRDefault="00002EA7" w:rsidP="00002EA7">
      <w:pPr>
        <w:pStyle w:val="ListParagraph"/>
        <w:numPr>
          <w:ilvl w:val="0"/>
          <w:numId w:val="1"/>
        </w:numPr>
        <w:ind w:left="426" w:hanging="426"/>
        <w:contextualSpacing w:val="0"/>
        <w:rPr>
          <w:noProof/>
        </w:rPr>
      </w:pPr>
      <w:r w:rsidRPr="00084E3A">
        <w:rPr>
          <w:noProof/>
        </w:rPr>
        <w:t>If refrigerated, allow the solution for infusion to reach room temperature (15°C</w:t>
      </w:r>
      <w:r>
        <w:rPr>
          <w:noProof/>
        </w:rPr>
        <w:t xml:space="preserve"> – </w:t>
      </w:r>
      <w:r w:rsidRPr="00084E3A">
        <w:rPr>
          <w:noProof/>
        </w:rPr>
        <w:t>25°C).</w:t>
      </w:r>
    </w:p>
    <w:p w14:paraId="1C403087" w14:textId="77777777" w:rsidR="00002EA7" w:rsidRPr="00084E3A" w:rsidRDefault="00002EA7" w:rsidP="00002EA7">
      <w:pPr>
        <w:pStyle w:val="ListParagraph"/>
        <w:numPr>
          <w:ilvl w:val="0"/>
          <w:numId w:val="1"/>
        </w:numPr>
        <w:ind w:left="426" w:hanging="426"/>
        <w:contextualSpacing w:val="0"/>
        <w:rPr>
          <w:noProof/>
        </w:rPr>
      </w:pPr>
      <w:r w:rsidRPr="00084E3A">
        <w:rPr>
          <w:noProof/>
        </w:rPr>
        <w:t>The solution for infusion should be infused intravenously over a 20</w:t>
      </w:r>
      <w:r>
        <w:rPr>
          <w:noProof/>
        </w:rPr>
        <w:t> </w:t>
      </w:r>
      <w:r w:rsidRPr="00084E3A">
        <w:rPr>
          <w:noProof/>
        </w:rPr>
        <w:t>–</w:t>
      </w:r>
      <w:r>
        <w:rPr>
          <w:noProof/>
        </w:rPr>
        <w:t> </w:t>
      </w:r>
      <w:r w:rsidRPr="00084E3A">
        <w:rPr>
          <w:noProof/>
        </w:rPr>
        <w:t>50</w:t>
      </w:r>
      <w:r>
        <w:rPr>
          <w:noProof/>
        </w:rPr>
        <w:noBreakHyphen/>
      </w:r>
      <w:r w:rsidRPr="00084E3A">
        <w:rPr>
          <w:noProof/>
        </w:rPr>
        <w:t>minute period. Infusion time may vary depending on the total volume to be infused.</w:t>
      </w:r>
    </w:p>
    <w:p w14:paraId="65926C74" w14:textId="77777777" w:rsidR="00002EA7" w:rsidRPr="00084E3A" w:rsidRDefault="00002EA7" w:rsidP="00002EA7">
      <w:pPr>
        <w:pStyle w:val="ListParagraph"/>
        <w:numPr>
          <w:ilvl w:val="0"/>
          <w:numId w:val="1"/>
        </w:numPr>
        <w:ind w:left="426" w:hanging="426"/>
        <w:contextualSpacing w:val="0"/>
        <w:rPr>
          <w:noProof/>
        </w:rPr>
      </w:pPr>
      <w:r w:rsidRPr="00084E3A">
        <w:rPr>
          <w:noProof/>
        </w:rPr>
        <w:t>The solution for infusion should not be infused concomitantly in the same intravenous line with other medicinal products. No physical or biochemical compatibility studies have been conducted to evaluate the co</w:t>
      </w:r>
      <w:r w:rsidRPr="00084E3A">
        <w:rPr>
          <w:noProof/>
        </w:rPr>
        <w:noBreakHyphen/>
        <w:t>administration of reslizumab with other medicinal products.</w:t>
      </w:r>
    </w:p>
    <w:p w14:paraId="3D578DEF" w14:textId="2A766B9B" w:rsidR="00002EA7" w:rsidRPr="00084E3A" w:rsidRDefault="00002EA7" w:rsidP="00002EA7">
      <w:pPr>
        <w:pStyle w:val="ListParagraph"/>
        <w:numPr>
          <w:ilvl w:val="0"/>
          <w:numId w:val="1"/>
        </w:numPr>
        <w:ind w:left="426" w:hanging="426"/>
        <w:contextualSpacing w:val="0"/>
        <w:rPr>
          <w:noProof/>
        </w:rPr>
      </w:pPr>
      <w:r w:rsidRPr="00084E3A">
        <w:rPr>
          <w:noProof/>
        </w:rPr>
        <w:t>An infusion set with an in</w:t>
      </w:r>
      <w:r w:rsidRPr="00084E3A">
        <w:rPr>
          <w:noProof/>
        </w:rPr>
        <w:noBreakHyphen/>
        <w:t>line, sterile, non</w:t>
      </w:r>
      <w:r w:rsidRPr="00084E3A">
        <w:rPr>
          <w:noProof/>
        </w:rPr>
        <w:noBreakHyphen/>
        <w:t>pyrogenic, low</w:t>
      </w:r>
      <w:r w:rsidRPr="00084E3A">
        <w:rPr>
          <w:noProof/>
        </w:rPr>
        <w:noBreakHyphen/>
        <w:t>protein</w:t>
      </w:r>
      <w:r w:rsidRPr="00084E3A">
        <w:rPr>
          <w:noProof/>
        </w:rPr>
        <w:noBreakHyphen/>
        <w:t xml:space="preserve">binding filter (pore size of 0.2 µm) should be used for infusion. </w:t>
      </w:r>
      <w:r w:rsidR="00E30C70">
        <w:rPr>
          <w:noProof/>
        </w:rPr>
        <w:t>CINQAIR</w:t>
      </w:r>
      <w:r w:rsidRPr="00084E3A">
        <w:rPr>
          <w:noProof/>
        </w:rPr>
        <w:t xml:space="preserve"> is compatible with polyethersulfone (PES), polyvinylidene fluoride (PVDF), nylon, cellulose acetate</w:t>
      </w:r>
      <w:r>
        <w:rPr>
          <w:noProof/>
        </w:rPr>
        <w:t xml:space="preserve"> (CA)</w:t>
      </w:r>
      <w:r w:rsidRPr="00084E3A">
        <w:rPr>
          <w:noProof/>
        </w:rPr>
        <w:t xml:space="preserve"> low protein binding in</w:t>
      </w:r>
      <w:r w:rsidRPr="00084E3A">
        <w:rPr>
          <w:noProof/>
        </w:rPr>
        <w:noBreakHyphen/>
        <w:t>line infusion filters.</w:t>
      </w:r>
    </w:p>
    <w:p w14:paraId="62ECE3F6" w14:textId="6761958A" w:rsidR="00002EA7" w:rsidRDefault="00002EA7" w:rsidP="00002EA7">
      <w:pPr>
        <w:pStyle w:val="ListParagraph"/>
        <w:numPr>
          <w:ilvl w:val="0"/>
          <w:numId w:val="1"/>
        </w:numPr>
        <w:ind w:left="426" w:hanging="426"/>
        <w:contextualSpacing w:val="0"/>
        <w:rPr>
          <w:noProof/>
        </w:rPr>
      </w:pPr>
      <w:r w:rsidRPr="00084E3A">
        <w:rPr>
          <w:noProof/>
        </w:rPr>
        <w:t>Upon completion of the infusion, flush the infusion set with sterile sodium chloride 0.9 mg</w:t>
      </w:r>
      <w:r>
        <w:rPr>
          <w:noProof/>
        </w:rPr>
        <w:t>/mL</w:t>
      </w:r>
      <w:r w:rsidRPr="00084E3A">
        <w:rPr>
          <w:noProof/>
        </w:rPr>
        <w:t xml:space="preserve"> (0.9%) solution for infusion to ensure that all of the </w:t>
      </w:r>
      <w:r w:rsidR="00E30C70">
        <w:rPr>
          <w:noProof/>
        </w:rPr>
        <w:t>CINQAIR</w:t>
      </w:r>
      <w:r w:rsidRPr="00084E3A">
        <w:rPr>
          <w:noProof/>
        </w:rPr>
        <w:t xml:space="preserve"> </w:t>
      </w:r>
      <w:r>
        <w:rPr>
          <w:noProof/>
        </w:rPr>
        <w:t>solution for infusion</w:t>
      </w:r>
      <w:r w:rsidRPr="00C92F6E">
        <w:rPr>
          <w:noProof/>
        </w:rPr>
        <w:t xml:space="preserve"> has been administered.</w:t>
      </w:r>
    </w:p>
    <w:p w14:paraId="34F241EA" w14:textId="77777777" w:rsidR="00002EA7" w:rsidRPr="00C92F6E" w:rsidRDefault="00002EA7" w:rsidP="00002EA7">
      <w:pPr>
        <w:pStyle w:val="ListParagraph"/>
        <w:numPr>
          <w:ilvl w:val="0"/>
          <w:numId w:val="1"/>
        </w:numPr>
        <w:ind w:left="426" w:hanging="426"/>
        <w:contextualSpacing w:val="0"/>
        <w:rPr>
          <w:noProof/>
        </w:rPr>
      </w:pPr>
      <w:r w:rsidRPr="00E137F0">
        <w:rPr>
          <w:noProof/>
        </w:rPr>
        <w:t>In order to improve the traceability, the trade name and batch number of the administered medicinal product should be clearly recorded in the patient file</w:t>
      </w:r>
      <w:r>
        <w:rPr>
          <w:noProof/>
        </w:rPr>
        <w:t>.</w:t>
      </w:r>
    </w:p>
    <w:p w14:paraId="00F9BEBC" w14:textId="77777777" w:rsidR="004A28F9" w:rsidRPr="006A7779" w:rsidRDefault="006D2093" w:rsidP="004A28F9">
      <w:pPr>
        <w:pStyle w:val="Heading1"/>
      </w:pPr>
      <w:r w:rsidRPr="006A7779">
        <w:t>OVERDOSAGE</w:t>
      </w:r>
    </w:p>
    <w:p w14:paraId="0816EFF7" w14:textId="0A4C49AA" w:rsidR="004A28F9" w:rsidRPr="006A7779" w:rsidRDefault="003025BF" w:rsidP="004A28F9">
      <w:r>
        <w:t>The highest single dose of CINQAIR administered intravenously was reported at 12.1 mg/kg and had no clinical consequences for the patient.</w:t>
      </w:r>
    </w:p>
    <w:p w14:paraId="73009D03" w14:textId="0D7AEA22" w:rsidR="00606DFB" w:rsidRDefault="00606DFB" w:rsidP="004A28F9">
      <w:r w:rsidRPr="006A7779">
        <w:t>There is no specific</w:t>
      </w:r>
      <w:r>
        <w:t xml:space="preserve"> treatment for overdose with </w:t>
      </w:r>
      <w:r w:rsidR="00E30C70">
        <w:t>CINQAIR</w:t>
      </w:r>
      <w:r>
        <w:t>.  In case of overdose, it is recommended that the patient be monitored for any signs or symptoms of adverse effects and given appropriate symptomatic treatment.</w:t>
      </w:r>
    </w:p>
    <w:p w14:paraId="79946FF7" w14:textId="77777777" w:rsidR="004A28F9" w:rsidRDefault="004A28F9" w:rsidP="00FA614C">
      <w:pPr>
        <w:spacing w:after="0"/>
      </w:pPr>
      <w:r w:rsidRPr="004A28F9">
        <w:t>For information on the management of overdose, contact the Poison Information Centre on 131126 (Australia).</w:t>
      </w:r>
    </w:p>
    <w:p w14:paraId="4E98404E" w14:textId="77777777" w:rsidR="004A28F9" w:rsidRDefault="006D2093" w:rsidP="004A28F9">
      <w:pPr>
        <w:pStyle w:val="Heading1"/>
      </w:pPr>
      <w:r>
        <w:t>PRESENTATION AND STORAGE CONDITIONS</w:t>
      </w:r>
    </w:p>
    <w:p w14:paraId="41E7C7A1" w14:textId="77777777" w:rsidR="004A28F9" w:rsidRDefault="004A28F9" w:rsidP="004A28F9">
      <w:pPr>
        <w:pStyle w:val="Heading2"/>
      </w:pPr>
      <w:r>
        <w:t>Storage</w:t>
      </w:r>
    </w:p>
    <w:p w14:paraId="73E2366A" w14:textId="77777777" w:rsidR="004A28F9" w:rsidRDefault="00D453FF" w:rsidP="004A28F9">
      <w:pPr>
        <w:rPr>
          <w:u w:val="single"/>
        </w:rPr>
      </w:pPr>
      <w:r>
        <w:rPr>
          <w:u w:val="single"/>
        </w:rPr>
        <w:t>Unopened vial</w:t>
      </w:r>
    </w:p>
    <w:p w14:paraId="049BAFAA" w14:textId="2CF8E9A7" w:rsidR="00410CFD" w:rsidRDefault="00410CFD" w:rsidP="00154A9F">
      <w:pPr>
        <w:rPr>
          <w:rFonts w:eastAsia="SimSun"/>
          <w:lang w:val="en-US" w:bidi="he-IL"/>
        </w:rPr>
      </w:pPr>
      <w:proofErr w:type="gramStart"/>
      <w:r>
        <w:t xml:space="preserve">Store in a refrigerator at </w:t>
      </w:r>
      <w:r w:rsidRPr="000B2001">
        <w:rPr>
          <w:rFonts w:eastAsia="SimSun"/>
          <w:lang w:val="en-US" w:bidi="he-IL"/>
        </w:rPr>
        <w:t>2</w:t>
      </w:r>
      <w:r>
        <w:rPr>
          <w:rFonts w:eastAsia="SimSun"/>
          <w:lang w:val="en-US" w:bidi="he-IL"/>
        </w:rPr>
        <w:t xml:space="preserve">°C – </w:t>
      </w:r>
      <w:r w:rsidRPr="000B2001">
        <w:rPr>
          <w:rFonts w:eastAsia="SimSun"/>
          <w:lang w:val="en-US" w:bidi="he-IL"/>
        </w:rPr>
        <w:t>8</w:t>
      </w:r>
      <w:r>
        <w:rPr>
          <w:rFonts w:eastAsia="SimSun"/>
          <w:lang w:val="en-US" w:bidi="he-IL"/>
        </w:rPr>
        <w:t>°</w:t>
      </w:r>
      <w:r w:rsidRPr="000B2001">
        <w:rPr>
          <w:rFonts w:eastAsia="SimSun"/>
          <w:lang w:val="en-US" w:bidi="he-IL"/>
        </w:rPr>
        <w:t>C</w:t>
      </w:r>
      <w:r>
        <w:rPr>
          <w:rFonts w:eastAsia="SimSun"/>
          <w:lang w:val="en-US" w:bidi="he-IL"/>
        </w:rPr>
        <w:t>.</w:t>
      </w:r>
      <w:proofErr w:type="gramEnd"/>
      <w:r>
        <w:rPr>
          <w:rFonts w:eastAsia="SimSun"/>
          <w:lang w:val="en-US" w:bidi="he-IL"/>
        </w:rPr>
        <w:t xml:space="preserve">  Do not freeze.  </w:t>
      </w:r>
      <w:proofErr w:type="gramStart"/>
      <w:r>
        <w:rPr>
          <w:rFonts w:eastAsia="SimSun"/>
          <w:lang w:val="en-US" w:bidi="he-IL"/>
        </w:rPr>
        <w:t>Store in original packing to protect from light until use.</w:t>
      </w:r>
      <w:proofErr w:type="gramEnd"/>
    </w:p>
    <w:p w14:paraId="63AEBDC2" w14:textId="43EE6FA0" w:rsidR="00D453FF" w:rsidRDefault="001B1F57" w:rsidP="004A28F9">
      <w:pPr>
        <w:rPr>
          <w:u w:val="single"/>
        </w:rPr>
      </w:pPr>
      <w:r>
        <w:rPr>
          <w:u w:val="single"/>
        </w:rPr>
        <w:t xml:space="preserve">Diluted </w:t>
      </w:r>
      <w:r w:rsidR="00D453FF">
        <w:rPr>
          <w:u w:val="single"/>
        </w:rPr>
        <w:t>solution</w:t>
      </w:r>
    </w:p>
    <w:p w14:paraId="41B2B3BD" w14:textId="60702E2F" w:rsidR="002A2901" w:rsidRPr="000B2001" w:rsidRDefault="002A2901" w:rsidP="00717998">
      <w:pPr>
        <w:spacing w:after="0"/>
        <w:rPr>
          <w:rFonts w:eastAsia="SimSun"/>
          <w:lang w:val="en-US" w:bidi="he-IL"/>
        </w:rPr>
      </w:pPr>
      <w:r w:rsidRPr="000B2001">
        <w:rPr>
          <w:rFonts w:eastAsia="SimSun"/>
          <w:lang w:val="en-US" w:bidi="he-IL"/>
        </w:rPr>
        <w:t>Chemical and physical in</w:t>
      </w:r>
      <w:r>
        <w:rPr>
          <w:rFonts w:eastAsia="SimSun"/>
          <w:lang w:val="en-US" w:bidi="he-IL"/>
        </w:rPr>
        <w:noBreakHyphen/>
      </w:r>
      <w:r w:rsidRPr="000B2001">
        <w:rPr>
          <w:rFonts w:eastAsia="SimSun"/>
          <w:lang w:val="en-US" w:bidi="he-IL"/>
        </w:rPr>
        <w:t>use stability has been demonstrated at 2</w:t>
      </w:r>
      <w:r>
        <w:rPr>
          <w:rFonts w:eastAsia="SimSun"/>
          <w:lang w:val="en-US" w:bidi="he-IL"/>
        </w:rPr>
        <w:t xml:space="preserve">°C – </w:t>
      </w:r>
      <w:r w:rsidRPr="000B2001">
        <w:rPr>
          <w:rFonts w:eastAsia="SimSun"/>
          <w:lang w:val="en-US" w:bidi="he-IL"/>
        </w:rPr>
        <w:t>8</w:t>
      </w:r>
      <w:r>
        <w:rPr>
          <w:rFonts w:eastAsia="SimSun"/>
          <w:lang w:val="en-US" w:bidi="he-IL"/>
        </w:rPr>
        <w:t>°</w:t>
      </w:r>
      <w:r w:rsidRPr="000B2001">
        <w:rPr>
          <w:rFonts w:eastAsia="SimSun"/>
          <w:lang w:val="en-US" w:bidi="he-IL"/>
        </w:rPr>
        <w:t>C</w:t>
      </w:r>
      <w:r>
        <w:rPr>
          <w:rFonts w:eastAsia="SimSun"/>
          <w:lang w:val="en-US" w:bidi="he-IL"/>
        </w:rPr>
        <w:t xml:space="preserve"> and at 25°C</w:t>
      </w:r>
      <w:r w:rsidRPr="000B2001">
        <w:rPr>
          <w:rFonts w:eastAsia="SimSun"/>
          <w:lang w:val="en-US" w:bidi="he-IL"/>
        </w:rPr>
        <w:t xml:space="preserve"> in sodium chloride 0.9% </w:t>
      </w:r>
      <w:r w:rsidRPr="00DD4AC5">
        <w:rPr>
          <w:rFonts w:eastAsia="SimSun"/>
          <w:lang w:val="en-US" w:bidi="he-IL"/>
        </w:rPr>
        <w:t>solution for infusion for up to 16</w:t>
      </w:r>
      <w:r>
        <w:rPr>
          <w:rFonts w:eastAsia="SimSun"/>
          <w:lang w:val="en-US" w:bidi="he-IL"/>
        </w:rPr>
        <w:t> </w:t>
      </w:r>
      <w:r w:rsidRPr="00DD4AC5">
        <w:rPr>
          <w:rFonts w:eastAsia="SimSun"/>
          <w:lang w:val="en-US" w:bidi="he-IL"/>
        </w:rPr>
        <w:t>hours</w:t>
      </w:r>
      <w:r>
        <w:rPr>
          <w:rFonts w:eastAsia="SimSun"/>
          <w:lang w:val="en-US" w:bidi="he-IL"/>
        </w:rPr>
        <w:t xml:space="preserve"> when protected from light</w:t>
      </w:r>
      <w:r w:rsidRPr="00DD4AC5">
        <w:rPr>
          <w:rFonts w:eastAsia="SimSun"/>
          <w:lang w:val="en-US" w:bidi="he-IL"/>
        </w:rPr>
        <w:t>.</w:t>
      </w:r>
    </w:p>
    <w:p w14:paraId="7FA62196" w14:textId="77777777" w:rsidR="002A2901" w:rsidRDefault="002A2901" w:rsidP="00717998">
      <w:pPr>
        <w:spacing w:after="0"/>
        <w:rPr>
          <w:rFonts w:eastAsia="SimSun"/>
          <w:u w:val="single"/>
          <w:lang w:val="en-US" w:bidi="he-IL"/>
        </w:rPr>
      </w:pPr>
    </w:p>
    <w:p w14:paraId="0AEC3C83" w14:textId="77777777" w:rsidR="00D453FF" w:rsidRDefault="00D453FF" w:rsidP="00485824">
      <w:pPr>
        <w:pStyle w:val="Heading2"/>
      </w:pPr>
      <w:r>
        <w:lastRenderedPageBreak/>
        <w:t>Nature and Contents of Container</w:t>
      </w:r>
    </w:p>
    <w:p w14:paraId="23DA32E7" w14:textId="066266F5" w:rsidR="00D453FF" w:rsidRDefault="00E30C70" w:rsidP="004A28F9">
      <w:r>
        <w:t>CINQAIR</w:t>
      </w:r>
      <w:r w:rsidR="00D453FF">
        <w:t xml:space="preserve"> (reslizumab) 100 mg</w:t>
      </w:r>
      <w:r w:rsidR="005903AD">
        <w:t>/10 mL</w:t>
      </w:r>
      <w:r w:rsidR="00D453FF">
        <w:t xml:space="preserve"> </w:t>
      </w:r>
      <w:r w:rsidR="005903AD">
        <w:t>concentrated solution vial</w:t>
      </w:r>
      <w:r w:rsidR="00D453FF">
        <w:t>.</w:t>
      </w:r>
    </w:p>
    <w:p w14:paraId="04DF7C12" w14:textId="5C232338" w:rsidR="00D453FF" w:rsidRPr="00D453FF" w:rsidRDefault="00E30C70" w:rsidP="00FA614C">
      <w:pPr>
        <w:spacing w:after="0"/>
      </w:pPr>
      <w:r>
        <w:t>CINQAIR</w:t>
      </w:r>
      <w:r w:rsidR="00D453FF">
        <w:t xml:space="preserve"> is a clear to slightly hazy opaque, colourless to slightly yellow sterile solution, presented in a 10 mL type I glass vial with </w:t>
      </w:r>
      <w:proofErr w:type="spellStart"/>
      <w:r w:rsidR="00D453FF">
        <w:t>FluroTec</w:t>
      </w:r>
      <w:proofErr w:type="spellEnd"/>
      <w:r w:rsidR="00D453FF" w:rsidRPr="00D453FF">
        <w:rPr>
          <w:vertAlign w:val="superscript"/>
        </w:rPr>
        <w:t>®</w:t>
      </w:r>
      <w:r w:rsidR="00D453FF">
        <w:t xml:space="preserve"> coated butyl rubber stopper and aluminium crimp seal with royal blue plastic flip-off cap.</w:t>
      </w:r>
    </w:p>
    <w:p w14:paraId="0CA78234" w14:textId="77777777" w:rsidR="004A28F9" w:rsidRPr="006A7779" w:rsidRDefault="006D2093" w:rsidP="004A28F9">
      <w:pPr>
        <w:pStyle w:val="Heading1"/>
      </w:pPr>
      <w:r w:rsidRPr="006A7779">
        <w:t>NAME AND ADDRESS OF THE SPONSOR</w:t>
      </w:r>
    </w:p>
    <w:p w14:paraId="113AB932" w14:textId="77777777" w:rsidR="007E042E" w:rsidRPr="006A7779" w:rsidRDefault="007E042E" w:rsidP="004A28F9">
      <w:proofErr w:type="spellStart"/>
      <w:r w:rsidRPr="006A7779">
        <w:t>Teva</w:t>
      </w:r>
      <w:proofErr w:type="spellEnd"/>
      <w:r w:rsidRPr="006A7779">
        <w:t xml:space="preserve"> Pharma Australia Pty Ltd</w:t>
      </w:r>
      <w:r w:rsidRPr="006A7779">
        <w:br/>
        <w:t>Level 2, 37 Epping Road</w:t>
      </w:r>
      <w:r w:rsidRPr="006A7779">
        <w:br/>
        <w:t>Macquarie Park NSW 2113</w:t>
      </w:r>
    </w:p>
    <w:p w14:paraId="14DF5E67" w14:textId="77777777" w:rsidR="004A28F9" w:rsidRPr="006A7779" w:rsidRDefault="006D2093" w:rsidP="004A28F9">
      <w:pPr>
        <w:pStyle w:val="Heading1"/>
      </w:pPr>
      <w:r w:rsidRPr="006A7779">
        <w:t>POISON SCHEDULE OF THE MEDICINE</w:t>
      </w:r>
    </w:p>
    <w:p w14:paraId="5835417A" w14:textId="77777777" w:rsidR="004A28F9" w:rsidRPr="006A7779" w:rsidRDefault="006D2093" w:rsidP="004A28F9">
      <w:r w:rsidRPr="006A7779">
        <w:t>Schedule 4 – Prescription Only Medicine</w:t>
      </w:r>
    </w:p>
    <w:p w14:paraId="0E1DB7AB" w14:textId="77777777" w:rsidR="006D2093" w:rsidRPr="006D2093" w:rsidRDefault="006D2093" w:rsidP="006D2093">
      <w:pPr>
        <w:pStyle w:val="Heading1"/>
      </w:pPr>
      <w:r w:rsidRPr="006A7779">
        <w:t>DATE OF FIRST INCLUSION IN THE AUSTRALIAN REGISTER OF THERAPEUTIC GOODS (ARTG)</w:t>
      </w:r>
    </w:p>
    <w:p w14:paraId="251BE680" w14:textId="563FB294" w:rsidR="004A28F9" w:rsidRDefault="008E487C" w:rsidP="004A28F9">
      <w:r>
        <w:t>2</w:t>
      </w:r>
      <w:r w:rsidR="003620A2">
        <w:t>5</w:t>
      </w:r>
      <w:r>
        <w:t>/07/2017</w:t>
      </w:r>
    </w:p>
    <w:p w14:paraId="3A668C00" w14:textId="77777777" w:rsidR="004A28F9" w:rsidRDefault="004A28F9" w:rsidP="004A28F9"/>
    <w:p w14:paraId="0B15AB21" w14:textId="77777777" w:rsidR="004A28F9" w:rsidRPr="004A28F9" w:rsidRDefault="004A28F9" w:rsidP="004A28F9"/>
    <w:sectPr w:rsidR="004A28F9" w:rsidRPr="004A28F9" w:rsidSect="008B3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8CC2D" w14:textId="77777777" w:rsidR="001E709B" w:rsidRDefault="001E709B" w:rsidP="00E93049">
      <w:pPr>
        <w:spacing w:after="0"/>
      </w:pPr>
      <w:r>
        <w:separator/>
      </w:r>
    </w:p>
  </w:endnote>
  <w:endnote w:type="continuationSeparator" w:id="0">
    <w:p w14:paraId="080E7E0B" w14:textId="77777777" w:rsidR="001E709B" w:rsidRDefault="001E709B" w:rsidP="00E930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hell Dlg 2">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41F2D" w14:textId="399FD818" w:rsidR="00673D39" w:rsidRPr="006D2093" w:rsidRDefault="00673D39" w:rsidP="006D2093">
    <w:pPr>
      <w:pStyle w:val="Footer"/>
      <w:pBdr>
        <w:top w:val="single" w:sz="4" w:space="1" w:color="auto"/>
      </w:pBdr>
      <w:rPr>
        <w:rFonts w:cs="Times New Roman"/>
        <w:sz w:val="22"/>
        <w:lang w:val="en-US"/>
      </w:rPr>
    </w:pPr>
    <w:proofErr w:type="spellStart"/>
    <w:r w:rsidRPr="006D2093">
      <w:rPr>
        <w:rFonts w:cs="Times New Roman"/>
        <w:sz w:val="22"/>
        <w:lang w:val="en-US"/>
      </w:rPr>
      <w:t>Teva</w:t>
    </w:r>
    <w:proofErr w:type="spellEnd"/>
    <w:r w:rsidRPr="006D2093">
      <w:rPr>
        <w:rFonts w:cs="Times New Roman"/>
        <w:sz w:val="22"/>
        <w:lang w:val="en-US"/>
      </w:rPr>
      <w:t xml:space="preserve"> Pharma Australia Pty Ltd</w:t>
    </w:r>
    <w:r w:rsidRPr="006D2093">
      <w:rPr>
        <w:rFonts w:cs="Times New Roman"/>
        <w:sz w:val="22"/>
        <w:lang w:val="en-US"/>
      </w:rPr>
      <w:tab/>
      <w:t xml:space="preserve">Version </w:t>
    </w:r>
    <w:r w:rsidR="008E487C">
      <w:rPr>
        <w:rFonts w:cs="Times New Roman"/>
        <w:sz w:val="22"/>
        <w:lang w:val="en-US"/>
      </w:rPr>
      <w:t>1.0</w:t>
    </w:r>
    <w:r w:rsidRPr="006D2093">
      <w:rPr>
        <w:rFonts w:cs="Times New Roman"/>
        <w:sz w:val="22"/>
        <w:lang w:val="en-US"/>
      </w:rPr>
      <w:tab/>
      <w:t>201</w:t>
    </w:r>
    <w:r>
      <w:rPr>
        <w:rFonts w:cs="Times New Roman"/>
        <w:sz w:val="22"/>
        <w:lang w:val="en-US"/>
      </w:rPr>
      <w:t>7-</w:t>
    </w:r>
    <w:r w:rsidR="008E487C">
      <w:rPr>
        <w:rFonts w:cs="Times New Roman"/>
        <w:sz w:val="22"/>
        <w:lang w:val="en-US"/>
      </w:rPr>
      <w:t>08-01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2B5966" w14:textId="77777777" w:rsidR="001E709B" w:rsidRDefault="001E709B" w:rsidP="00E93049">
      <w:pPr>
        <w:spacing w:after="0"/>
      </w:pPr>
      <w:r>
        <w:separator/>
      </w:r>
    </w:p>
  </w:footnote>
  <w:footnote w:type="continuationSeparator" w:id="0">
    <w:p w14:paraId="6E22D2FF" w14:textId="77777777" w:rsidR="001E709B" w:rsidRDefault="001E709B" w:rsidP="00E930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643A07" w:rsidRPr="00610723" w14:paraId="581133D5" w14:textId="77777777" w:rsidTr="006A34AD">
      <w:tc>
        <w:tcPr>
          <w:tcW w:w="8720" w:type="dxa"/>
          <w:shd w:val="clear" w:color="auto" w:fill="E4F2E0"/>
        </w:tcPr>
        <w:p w14:paraId="0AE6ECA5" w14:textId="77777777" w:rsidR="00643A07" w:rsidRPr="00610723" w:rsidRDefault="00643A07" w:rsidP="006A34AD">
          <w:pPr>
            <w:pStyle w:val="Footer"/>
            <w:rPr>
              <w:b/>
              <w:sz w:val="20"/>
              <w:szCs w:val="20"/>
            </w:rPr>
          </w:pPr>
          <w:r w:rsidRPr="00610723">
            <w:rPr>
              <w:b/>
              <w:sz w:val="20"/>
              <w:szCs w:val="20"/>
            </w:rPr>
            <w:t xml:space="preserve">Attachment 1: Product information for </w:t>
          </w:r>
          <w:r w:rsidRPr="004A55E9">
            <w:rPr>
              <w:b/>
              <w:sz w:val="20"/>
              <w:szCs w:val="20"/>
            </w:rPr>
            <w:t xml:space="preserve">AusPAR </w:t>
          </w:r>
          <w:proofErr w:type="gramStart"/>
          <w:r w:rsidRPr="004A55E9">
            <w:rPr>
              <w:b/>
              <w:sz w:val="20"/>
              <w:szCs w:val="20"/>
            </w:rPr>
            <w:t>-  CINQAIR</w:t>
          </w:r>
          <w:proofErr w:type="gramEnd"/>
          <w:r w:rsidRPr="004A55E9">
            <w:rPr>
              <w:b/>
              <w:sz w:val="20"/>
              <w:szCs w:val="20"/>
            </w:rPr>
            <w:t xml:space="preserve"> / CINQAERO - </w:t>
          </w:r>
          <w:proofErr w:type="spellStart"/>
          <w:r w:rsidRPr="004A55E9">
            <w:rPr>
              <w:b/>
              <w:sz w:val="20"/>
              <w:szCs w:val="20"/>
            </w:rPr>
            <w:t>Reslizumab</w:t>
          </w:r>
          <w:proofErr w:type="spellEnd"/>
          <w:r w:rsidRPr="004A55E9">
            <w:rPr>
              <w:b/>
              <w:sz w:val="20"/>
              <w:szCs w:val="20"/>
            </w:rPr>
            <w:t xml:space="preserve"> - </w:t>
          </w:r>
          <w:proofErr w:type="spellStart"/>
          <w:r w:rsidRPr="004A55E9">
            <w:rPr>
              <w:b/>
              <w:sz w:val="20"/>
              <w:szCs w:val="20"/>
            </w:rPr>
            <w:t>Teva</w:t>
          </w:r>
          <w:proofErr w:type="spellEnd"/>
          <w:r w:rsidRPr="004A55E9">
            <w:rPr>
              <w:b/>
              <w:sz w:val="20"/>
              <w:szCs w:val="20"/>
            </w:rPr>
            <w:t xml:space="preserve"> Pharma Australia Pty Ltd - PM-2016-02101-1-5 – Final 5 June 2018</w:t>
          </w:r>
          <w:r w:rsidRPr="00610723">
            <w:rPr>
              <w:b/>
              <w:sz w:val="20"/>
              <w:szCs w:val="20"/>
            </w:rPr>
            <w:t>This Product information was approved at the time this AusPAR was published.</w:t>
          </w:r>
        </w:p>
      </w:tc>
    </w:tr>
  </w:tbl>
  <w:p w14:paraId="3F6A1DCC" w14:textId="77777777" w:rsidR="00673D39" w:rsidRPr="006D2093" w:rsidRDefault="00673D39" w:rsidP="00643A07">
    <w:pPr>
      <w:pStyle w:val="Head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8416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72E01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D5AEA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D6808C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8C68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8CCA9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08174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662D5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5A6BE22"/>
    <w:lvl w:ilvl="0">
      <w:start w:val="1"/>
      <w:numFmt w:val="decimal"/>
      <w:pStyle w:val="ListNumber"/>
      <w:lvlText w:val="%1."/>
      <w:lvlJc w:val="left"/>
      <w:pPr>
        <w:tabs>
          <w:tab w:val="num" w:pos="360"/>
        </w:tabs>
        <w:ind w:left="360" w:hanging="360"/>
      </w:pPr>
    </w:lvl>
  </w:abstractNum>
  <w:abstractNum w:abstractNumId="9">
    <w:nsid w:val="FFFFFF89"/>
    <w:multiLevelType w:val="singleLevel"/>
    <w:tmpl w:val="37BC88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D576733"/>
    <w:multiLevelType w:val="hybridMultilevel"/>
    <w:tmpl w:val="C4F69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77876"/>
    <w:multiLevelType w:val="hybridMultilevel"/>
    <w:tmpl w:val="F9388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F3018A"/>
    <w:multiLevelType w:val="hybridMultilevel"/>
    <w:tmpl w:val="199CF5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054194E"/>
    <w:multiLevelType w:val="hybridMultilevel"/>
    <w:tmpl w:val="FAD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B0A5393"/>
    <w:multiLevelType w:val="hybridMultilevel"/>
    <w:tmpl w:val="84FE6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4"/>
  </w:num>
  <w:num w:numId="3">
    <w:abstractNumId w:val="12"/>
  </w:num>
  <w:num w:numId="4">
    <w:abstractNumId w:val="13"/>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F2"/>
    <w:rsid w:val="00002EA7"/>
    <w:rsid w:val="00003B0B"/>
    <w:rsid w:val="00005880"/>
    <w:rsid w:val="00007971"/>
    <w:rsid w:val="00013D4E"/>
    <w:rsid w:val="00017BCA"/>
    <w:rsid w:val="00021B08"/>
    <w:rsid w:val="00026F58"/>
    <w:rsid w:val="00034E64"/>
    <w:rsid w:val="0005304B"/>
    <w:rsid w:val="0005737B"/>
    <w:rsid w:val="0006752C"/>
    <w:rsid w:val="00087ABC"/>
    <w:rsid w:val="000B3308"/>
    <w:rsid w:val="000B6AB5"/>
    <w:rsid w:val="000C1875"/>
    <w:rsid w:val="000C1D10"/>
    <w:rsid w:val="000C2D9C"/>
    <w:rsid w:val="000C50C7"/>
    <w:rsid w:val="000E4674"/>
    <w:rsid w:val="000E61C0"/>
    <w:rsid w:val="000E73EA"/>
    <w:rsid w:val="00105380"/>
    <w:rsid w:val="0010774D"/>
    <w:rsid w:val="001261CC"/>
    <w:rsid w:val="00143FF2"/>
    <w:rsid w:val="00145D95"/>
    <w:rsid w:val="00145F93"/>
    <w:rsid w:val="00154A9F"/>
    <w:rsid w:val="00160399"/>
    <w:rsid w:val="00164547"/>
    <w:rsid w:val="001702D4"/>
    <w:rsid w:val="00191A4E"/>
    <w:rsid w:val="00193DCB"/>
    <w:rsid w:val="001953A8"/>
    <w:rsid w:val="00196C30"/>
    <w:rsid w:val="00196DAE"/>
    <w:rsid w:val="001A115E"/>
    <w:rsid w:val="001B0289"/>
    <w:rsid w:val="001B1F57"/>
    <w:rsid w:val="001D1149"/>
    <w:rsid w:val="001E0621"/>
    <w:rsid w:val="001E709B"/>
    <w:rsid w:val="002033B3"/>
    <w:rsid w:val="00203FE9"/>
    <w:rsid w:val="00233A7D"/>
    <w:rsid w:val="00242485"/>
    <w:rsid w:val="00243FCF"/>
    <w:rsid w:val="0024407A"/>
    <w:rsid w:val="00245DB9"/>
    <w:rsid w:val="00250C42"/>
    <w:rsid w:val="002608DD"/>
    <w:rsid w:val="002621AD"/>
    <w:rsid w:val="0026322B"/>
    <w:rsid w:val="0026410A"/>
    <w:rsid w:val="002717F9"/>
    <w:rsid w:val="00273BDD"/>
    <w:rsid w:val="002871CA"/>
    <w:rsid w:val="00294DFE"/>
    <w:rsid w:val="00296DB2"/>
    <w:rsid w:val="002A2901"/>
    <w:rsid w:val="002B241B"/>
    <w:rsid w:val="002C179B"/>
    <w:rsid w:val="002D3619"/>
    <w:rsid w:val="002D7C89"/>
    <w:rsid w:val="002F2096"/>
    <w:rsid w:val="002F4978"/>
    <w:rsid w:val="002F68E6"/>
    <w:rsid w:val="00300644"/>
    <w:rsid w:val="003025BF"/>
    <w:rsid w:val="00304E5F"/>
    <w:rsid w:val="0030526D"/>
    <w:rsid w:val="00312158"/>
    <w:rsid w:val="00313F0E"/>
    <w:rsid w:val="003222D1"/>
    <w:rsid w:val="003250B2"/>
    <w:rsid w:val="00330F98"/>
    <w:rsid w:val="00334105"/>
    <w:rsid w:val="003348EC"/>
    <w:rsid w:val="0033671E"/>
    <w:rsid w:val="00346097"/>
    <w:rsid w:val="003472B4"/>
    <w:rsid w:val="00353973"/>
    <w:rsid w:val="00361262"/>
    <w:rsid w:val="003620A2"/>
    <w:rsid w:val="00370ED9"/>
    <w:rsid w:val="00377501"/>
    <w:rsid w:val="003A13E4"/>
    <w:rsid w:val="003B0A61"/>
    <w:rsid w:val="003B66C8"/>
    <w:rsid w:val="003D01B4"/>
    <w:rsid w:val="003D3CD0"/>
    <w:rsid w:val="003F3545"/>
    <w:rsid w:val="00402535"/>
    <w:rsid w:val="00407DB8"/>
    <w:rsid w:val="004101AE"/>
    <w:rsid w:val="00410CFD"/>
    <w:rsid w:val="00411552"/>
    <w:rsid w:val="004264EB"/>
    <w:rsid w:val="0043181C"/>
    <w:rsid w:val="004472AA"/>
    <w:rsid w:val="00455A0D"/>
    <w:rsid w:val="004628EE"/>
    <w:rsid w:val="004663CD"/>
    <w:rsid w:val="00485824"/>
    <w:rsid w:val="004973DE"/>
    <w:rsid w:val="004A28F9"/>
    <w:rsid w:val="004B7C8F"/>
    <w:rsid w:val="004B7E42"/>
    <w:rsid w:val="004C1CDA"/>
    <w:rsid w:val="004D259B"/>
    <w:rsid w:val="004E13A3"/>
    <w:rsid w:val="00500CA8"/>
    <w:rsid w:val="00507F4B"/>
    <w:rsid w:val="005257F1"/>
    <w:rsid w:val="005466B7"/>
    <w:rsid w:val="00570350"/>
    <w:rsid w:val="005707E2"/>
    <w:rsid w:val="00571B56"/>
    <w:rsid w:val="00573532"/>
    <w:rsid w:val="005823DA"/>
    <w:rsid w:val="00582464"/>
    <w:rsid w:val="005903AD"/>
    <w:rsid w:val="005A24BC"/>
    <w:rsid w:val="005B12F5"/>
    <w:rsid w:val="005B1FF9"/>
    <w:rsid w:val="005B7F3C"/>
    <w:rsid w:val="005D0324"/>
    <w:rsid w:val="005D1481"/>
    <w:rsid w:val="005D4079"/>
    <w:rsid w:val="005D4E56"/>
    <w:rsid w:val="005D6EF0"/>
    <w:rsid w:val="005D79C0"/>
    <w:rsid w:val="005E00C3"/>
    <w:rsid w:val="005E73C5"/>
    <w:rsid w:val="005F0D75"/>
    <w:rsid w:val="005F1897"/>
    <w:rsid w:val="005F4E83"/>
    <w:rsid w:val="005F6483"/>
    <w:rsid w:val="00600F7D"/>
    <w:rsid w:val="00603BFF"/>
    <w:rsid w:val="006043B3"/>
    <w:rsid w:val="00606DFB"/>
    <w:rsid w:val="00616F24"/>
    <w:rsid w:val="00621DE7"/>
    <w:rsid w:val="0062257D"/>
    <w:rsid w:val="00625E51"/>
    <w:rsid w:val="006303C0"/>
    <w:rsid w:val="00643A07"/>
    <w:rsid w:val="0064522D"/>
    <w:rsid w:val="0066362C"/>
    <w:rsid w:val="00673D39"/>
    <w:rsid w:val="006848B5"/>
    <w:rsid w:val="006A20D8"/>
    <w:rsid w:val="006A6981"/>
    <w:rsid w:val="006A7779"/>
    <w:rsid w:val="006B3185"/>
    <w:rsid w:val="006C0C44"/>
    <w:rsid w:val="006C3ACE"/>
    <w:rsid w:val="006D2093"/>
    <w:rsid w:val="006D7B13"/>
    <w:rsid w:val="006E065A"/>
    <w:rsid w:val="006E54FE"/>
    <w:rsid w:val="006F34C5"/>
    <w:rsid w:val="006F73C4"/>
    <w:rsid w:val="00717998"/>
    <w:rsid w:val="00720EAD"/>
    <w:rsid w:val="007337F7"/>
    <w:rsid w:val="0074039C"/>
    <w:rsid w:val="00740730"/>
    <w:rsid w:val="00743556"/>
    <w:rsid w:val="007471FB"/>
    <w:rsid w:val="00761554"/>
    <w:rsid w:val="00763A8D"/>
    <w:rsid w:val="007659D1"/>
    <w:rsid w:val="007700F3"/>
    <w:rsid w:val="00785843"/>
    <w:rsid w:val="007A3807"/>
    <w:rsid w:val="007A5710"/>
    <w:rsid w:val="007B1B27"/>
    <w:rsid w:val="007D20EB"/>
    <w:rsid w:val="007E042E"/>
    <w:rsid w:val="007E2E18"/>
    <w:rsid w:val="007F2472"/>
    <w:rsid w:val="007F4DCC"/>
    <w:rsid w:val="007F4FEB"/>
    <w:rsid w:val="00802A8B"/>
    <w:rsid w:val="00805520"/>
    <w:rsid w:val="008072C0"/>
    <w:rsid w:val="00807568"/>
    <w:rsid w:val="008115A7"/>
    <w:rsid w:val="008157F8"/>
    <w:rsid w:val="00815E5A"/>
    <w:rsid w:val="008176E9"/>
    <w:rsid w:val="00822B00"/>
    <w:rsid w:val="00844E18"/>
    <w:rsid w:val="00876E5B"/>
    <w:rsid w:val="00891818"/>
    <w:rsid w:val="008A5361"/>
    <w:rsid w:val="008B3FBF"/>
    <w:rsid w:val="008B4FAB"/>
    <w:rsid w:val="008B5970"/>
    <w:rsid w:val="008B7D4F"/>
    <w:rsid w:val="008C363E"/>
    <w:rsid w:val="008D1F2C"/>
    <w:rsid w:val="008D7A93"/>
    <w:rsid w:val="008E487C"/>
    <w:rsid w:val="00902E74"/>
    <w:rsid w:val="009054A9"/>
    <w:rsid w:val="00906AEE"/>
    <w:rsid w:val="00913A96"/>
    <w:rsid w:val="00920315"/>
    <w:rsid w:val="00921FC4"/>
    <w:rsid w:val="0092708D"/>
    <w:rsid w:val="009366A9"/>
    <w:rsid w:val="0095125C"/>
    <w:rsid w:val="009624F7"/>
    <w:rsid w:val="00980FEB"/>
    <w:rsid w:val="009A1275"/>
    <w:rsid w:val="009A1A95"/>
    <w:rsid w:val="009A6955"/>
    <w:rsid w:val="009C7072"/>
    <w:rsid w:val="009D37BA"/>
    <w:rsid w:val="009D4F2D"/>
    <w:rsid w:val="009E0397"/>
    <w:rsid w:val="009E056C"/>
    <w:rsid w:val="009E7AFC"/>
    <w:rsid w:val="009F36E4"/>
    <w:rsid w:val="00A06491"/>
    <w:rsid w:val="00A10760"/>
    <w:rsid w:val="00A10CC4"/>
    <w:rsid w:val="00A2120F"/>
    <w:rsid w:val="00A22ED3"/>
    <w:rsid w:val="00A32894"/>
    <w:rsid w:val="00A4371F"/>
    <w:rsid w:val="00A4397E"/>
    <w:rsid w:val="00A52D53"/>
    <w:rsid w:val="00A54E14"/>
    <w:rsid w:val="00A55F40"/>
    <w:rsid w:val="00A56EB0"/>
    <w:rsid w:val="00A57971"/>
    <w:rsid w:val="00A61721"/>
    <w:rsid w:val="00A648A6"/>
    <w:rsid w:val="00A72FD1"/>
    <w:rsid w:val="00AA76EC"/>
    <w:rsid w:val="00AB5578"/>
    <w:rsid w:val="00AC6A2A"/>
    <w:rsid w:val="00AE130A"/>
    <w:rsid w:val="00AF1FFE"/>
    <w:rsid w:val="00AF5AC5"/>
    <w:rsid w:val="00B04DE8"/>
    <w:rsid w:val="00B109A6"/>
    <w:rsid w:val="00B12F6E"/>
    <w:rsid w:val="00B2319C"/>
    <w:rsid w:val="00B24BC1"/>
    <w:rsid w:val="00B34EF9"/>
    <w:rsid w:val="00B425DD"/>
    <w:rsid w:val="00B44D55"/>
    <w:rsid w:val="00B464AD"/>
    <w:rsid w:val="00B67FE4"/>
    <w:rsid w:val="00B92923"/>
    <w:rsid w:val="00B93120"/>
    <w:rsid w:val="00BB5D7B"/>
    <w:rsid w:val="00BB7B58"/>
    <w:rsid w:val="00BD06E7"/>
    <w:rsid w:val="00BD13C4"/>
    <w:rsid w:val="00BD2192"/>
    <w:rsid w:val="00BD2850"/>
    <w:rsid w:val="00BD5A1B"/>
    <w:rsid w:val="00BF47E7"/>
    <w:rsid w:val="00BF60E6"/>
    <w:rsid w:val="00C11784"/>
    <w:rsid w:val="00C13695"/>
    <w:rsid w:val="00C3177F"/>
    <w:rsid w:val="00C33C8E"/>
    <w:rsid w:val="00C41FE8"/>
    <w:rsid w:val="00C727F9"/>
    <w:rsid w:val="00C7296E"/>
    <w:rsid w:val="00C91D68"/>
    <w:rsid w:val="00C96C3C"/>
    <w:rsid w:val="00CA3D00"/>
    <w:rsid w:val="00CA5213"/>
    <w:rsid w:val="00CA5960"/>
    <w:rsid w:val="00CB5A7C"/>
    <w:rsid w:val="00CC3D2D"/>
    <w:rsid w:val="00CD0EDC"/>
    <w:rsid w:val="00CE0DAE"/>
    <w:rsid w:val="00D05123"/>
    <w:rsid w:val="00D06C96"/>
    <w:rsid w:val="00D10FA4"/>
    <w:rsid w:val="00D14857"/>
    <w:rsid w:val="00D20DF0"/>
    <w:rsid w:val="00D453FF"/>
    <w:rsid w:val="00D4580E"/>
    <w:rsid w:val="00D70AC0"/>
    <w:rsid w:val="00D7297D"/>
    <w:rsid w:val="00D753C9"/>
    <w:rsid w:val="00D9274C"/>
    <w:rsid w:val="00DA7370"/>
    <w:rsid w:val="00DC2F75"/>
    <w:rsid w:val="00DF581E"/>
    <w:rsid w:val="00DF7370"/>
    <w:rsid w:val="00DF768A"/>
    <w:rsid w:val="00E26620"/>
    <w:rsid w:val="00E30C70"/>
    <w:rsid w:val="00E34CA8"/>
    <w:rsid w:val="00E45979"/>
    <w:rsid w:val="00E46BFB"/>
    <w:rsid w:val="00E62851"/>
    <w:rsid w:val="00E7321F"/>
    <w:rsid w:val="00E751E0"/>
    <w:rsid w:val="00E77436"/>
    <w:rsid w:val="00E800B0"/>
    <w:rsid w:val="00E82A08"/>
    <w:rsid w:val="00E838E0"/>
    <w:rsid w:val="00E87867"/>
    <w:rsid w:val="00E907C9"/>
    <w:rsid w:val="00E93049"/>
    <w:rsid w:val="00EA1EF8"/>
    <w:rsid w:val="00EA2368"/>
    <w:rsid w:val="00EB0160"/>
    <w:rsid w:val="00EB79C6"/>
    <w:rsid w:val="00EC344D"/>
    <w:rsid w:val="00ED3811"/>
    <w:rsid w:val="00ED5C1D"/>
    <w:rsid w:val="00EE1971"/>
    <w:rsid w:val="00EF3DAF"/>
    <w:rsid w:val="00F1171A"/>
    <w:rsid w:val="00F20F28"/>
    <w:rsid w:val="00F36392"/>
    <w:rsid w:val="00F41B9A"/>
    <w:rsid w:val="00F43F8D"/>
    <w:rsid w:val="00F45ABF"/>
    <w:rsid w:val="00F505D5"/>
    <w:rsid w:val="00F75436"/>
    <w:rsid w:val="00F82F4F"/>
    <w:rsid w:val="00F95D67"/>
    <w:rsid w:val="00FA614C"/>
    <w:rsid w:val="00FA689E"/>
    <w:rsid w:val="00FB21AA"/>
    <w:rsid w:val="00FB64BF"/>
    <w:rsid w:val="00FC41F4"/>
    <w:rsid w:val="00FD1798"/>
    <w:rsid w:val="00FE083A"/>
    <w:rsid w:val="00FE1773"/>
    <w:rsid w:val="00FE56CB"/>
    <w:rsid w:val="00FF37A6"/>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1487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4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49"/>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6A7779"/>
    <w:pPr>
      <w:keepNext/>
      <w:keepLines/>
      <w:spacing w:before="360"/>
      <w:outlineLvl w:val="0"/>
    </w:pPr>
    <w:rPr>
      <w:rFonts w:ascii="Times New Roman Bold" w:eastAsiaTheme="majorEastAsia" w:hAnsi="Times New Roman Bold" w:cstheme="majorBidi"/>
      <w:b/>
      <w:bCs/>
      <w:caps/>
      <w:sz w:val="28"/>
      <w:szCs w:val="28"/>
    </w:rPr>
  </w:style>
  <w:style w:type="paragraph" w:styleId="Heading2">
    <w:name w:val="heading 2"/>
    <w:basedOn w:val="Normal"/>
    <w:next w:val="Normal"/>
    <w:link w:val="Heading2Char"/>
    <w:uiPriority w:val="9"/>
    <w:unhideWhenUsed/>
    <w:qFormat/>
    <w:rsid w:val="007F4DCC"/>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4DCC"/>
    <w:pPr>
      <w:keepNext/>
      <w:keepLines/>
      <w:spacing w:after="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qFormat/>
    <w:rsid w:val="00507F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7F4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7F4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7F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7F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7F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49"/>
    <w:pPr>
      <w:tabs>
        <w:tab w:val="center" w:pos="4513"/>
        <w:tab w:val="right" w:pos="9026"/>
      </w:tabs>
      <w:spacing w:after="0"/>
    </w:pPr>
  </w:style>
  <w:style w:type="character" w:customStyle="1" w:styleId="HeaderChar">
    <w:name w:val="Header Char"/>
    <w:basedOn w:val="DefaultParagraphFont"/>
    <w:link w:val="Header"/>
    <w:uiPriority w:val="99"/>
    <w:rsid w:val="00E93049"/>
  </w:style>
  <w:style w:type="paragraph" w:styleId="Footer">
    <w:name w:val="footer"/>
    <w:basedOn w:val="Normal"/>
    <w:link w:val="FooterChar"/>
    <w:uiPriority w:val="99"/>
    <w:unhideWhenUsed/>
    <w:rsid w:val="00E93049"/>
    <w:pPr>
      <w:tabs>
        <w:tab w:val="center" w:pos="4513"/>
        <w:tab w:val="right" w:pos="9026"/>
      </w:tabs>
      <w:spacing w:after="0"/>
    </w:pPr>
  </w:style>
  <w:style w:type="character" w:customStyle="1" w:styleId="FooterChar">
    <w:name w:val="Footer Char"/>
    <w:basedOn w:val="DefaultParagraphFont"/>
    <w:link w:val="Footer"/>
    <w:uiPriority w:val="99"/>
    <w:rsid w:val="00E93049"/>
  </w:style>
  <w:style w:type="paragraph" w:styleId="Title">
    <w:name w:val="Title"/>
    <w:basedOn w:val="Normal"/>
    <w:next w:val="Normal"/>
    <w:link w:val="TitleChar"/>
    <w:uiPriority w:val="10"/>
    <w:qFormat/>
    <w:rsid w:val="00E93049"/>
    <w:pPr>
      <w:contextualSpacing/>
    </w:pPr>
    <w:rPr>
      <w:rFonts w:ascii="Times New Roman Bold" w:eastAsiaTheme="majorEastAsia" w:hAnsi="Times New Roman Bold" w:cstheme="majorBidi"/>
      <w:b/>
      <w:caps/>
      <w:spacing w:val="5"/>
      <w:kern w:val="28"/>
      <w:sz w:val="40"/>
      <w:szCs w:val="52"/>
    </w:rPr>
  </w:style>
  <w:style w:type="character" w:customStyle="1" w:styleId="TitleChar">
    <w:name w:val="Title Char"/>
    <w:basedOn w:val="DefaultParagraphFont"/>
    <w:link w:val="Title"/>
    <w:uiPriority w:val="10"/>
    <w:rsid w:val="00E93049"/>
    <w:rPr>
      <w:rFonts w:ascii="Times New Roman Bold" w:eastAsiaTheme="majorEastAsia" w:hAnsi="Times New Roman Bold" w:cstheme="majorBidi"/>
      <w:b/>
      <w:caps/>
      <w:spacing w:val="5"/>
      <w:kern w:val="28"/>
      <w:sz w:val="40"/>
      <w:szCs w:val="52"/>
    </w:rPr>
  </w:style>
  <w:style w:type="paragraph" w:styleId="Subtitle">
    <w:name w:val="Subtitle"/>
    <w:basedOn w:val="Normal"/>
    <w:next w:val="Normal"/>
    <w:link w:val="SubtitleChar"/>
    <w:uiPriority w:val="11"/>
    <w:qFormat/>
    <w:rsid w:val="00E93049"/>
    <w:pPr>
      <w:numPr>
        <w:ilvl w:val="1"/>
      </w:numPr>
    </w:pPr>
    <w:rPr>
      <w:rFonts w:ascii="Times New Roman Bold" w:eastAsiaTheme="majorEastAsia" w:hAnsi="Times New Roman Bold" w:cstheme="majorBidi"/>
      <w:b/>
      <w:iCs/>
      <w:sz w:val="32"/>
      <w:szCs w:val="24"/>
    </w:rPr>
  </w:style>
  <w:style w:type="character" w:customStyle="1" w:styleId="SubtitleChar">
    <w:name w:val="Subtitle Char"/>
    <w:basedOn w:val="DefaultParagraphFont"/>
    <w:link w:val="Subtitle"/>
    <w:uiPriority w:val="11"/>
    <w:rsid w:val="00E93049"/>
    <w:rPr>
      <w:rFonts w:ascii="Times New Roman Bold" w:eastAsiaTheme="majorEastAsia" w:hAnsi="Times New Roman Bold" w:cstheme="majorBidi"/>
      <w:b/>
      <w:iCs/>
      <w:sz w:val="32"/>
      <w:szCs w:val="24"/>
    </w:rPr>
  </w:style>
  <w:style w:type="character" w:customStyle="1" w:styleId="Heading1Char">
    <w:name w:val="Heading 1 Char"/>
    <w:basedOn w:val="DefaultParagraphFont"/>
    <w:link w:val="Heading1"/>
    <w:uiPriority w:val="9"/>
    <w:rsid w:val="006A7779"/>
    <w:rPr>
      <w:rFonts w:ascii="Times New Roman Bold" w:eastAsiaTheme="majorEastAsia" w:hAnsi="Times New Roman Bold" w:cstheme="majorBidi"/>
      <w:b/>
      <w:bCs/>
      <w:caps/>
      <w:sz w:val="28"/>
      <w:szCs w:val="28"/>
    </w:rPr>
  </w:style>
  <w:style w:type="character" w:customStyle="1" w:styleId="Heading2Char">
    <w:name w:val="Heading 2 Char"/>
    <w:basedOn w:val="DefaultParagraphFont"/>
    <w:link w:val="Heading2"/>
    <w:uiPriority w:val="9"/>
    <w:rsid w:val="007F4DC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F4DCC"/>
    <w:rPr>
      <w:rFonts w:asciiTheme="majorHAnsi" w:eastAsiaTheme="majorEastAsia" w:hAnsiTheme="majorHAnsi" w:cstheme="majorBidi"/>
      <w:b/>
      <w:bCs/>
      <w:i/>
      <w:sz w:val="24"/>
    </w:rPr>
  </w:style>
  <w:style w:type="character" w:styleId="CommentReference">
    <w:name w:val="annotation reference"/>
    <w:basedOn w:val="DefaultParagraphFont"/>
    <w:uiPriority w:val="99"/>
    <w:unhideWhenUsed/>
    <w:rsid w:val="006C0C44"/>
    <w:rPr>
      <w:sz w:val="16"/>
      <w:szCs w:val="16"/>
    </w:rPr>
  </w:style>
  <w:style w:type="paragraph" w:styleId="CommentText">
    <w:name w:val="annotation text"/>
    <w:basedOn w:val="Normal"/>
    <w:link w:val="CommentTextChar"/>
    <w:uiPriority w:val="99"/>
    <w:unhideWhenUsed/>
    <w:rsid w:val="006C0C44"/>
    <w:rPr>
      <w:sz w:val="20"/>
      <w:szCs w:val="20"/>
    </w:rPr>
  </w:style>
  <w:style w:type="character" w:customStyle="1" w:styleId="CommentTextChar">
    <w:name w:val="Comment Text Char"/>
    <w:basedOn w:val="DefaultParagraphFont"/>
    <w:link w:val="CommentText"/>
    <w:uiPriority w:val="99"/>
    <w:rsid w:val="006C0C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0C44"/>
    <w:rPr>
      <w:b/>
      <w:bCs/>
    </w:rPr>
  </w:style>
  <w:style w:type="character" w:customStyle="1" w:styleId="CommentSubjectChar">
    <w:name w:val="Comment Subject Char"/>
    <w:basedOn w:val="CommentTextChar"/>
    <w:link w:val="CommentSubject"/>
    <w:uiPriority w:val="99"/>
    <w:semiHidden/>
    <w:rsid w:val="006C0C44"/>
    <w:rPr>
      <w:rFonts w:ascii="Times New Roman" w:hAnsi="Times New Roman"/>
      <w:b/>
      <w:bCs/>
      <w:sz w:val="20"/>
      <w:szCs w:val="20"/>
    </w:rPr>
  </w:style>
  <w:style w:type="paragraph" w:styleId="BalloonText">
    <w:name w:val="Balloon Text"/>
    <w:basedOn w:val="Normal"/>
    <w:link w:val="BalloonTextChar"/>
    <w:uiPriority w:val="99"/>
    <w:semiHidden/>
    <w:unhideWhenUsed/>
    <w:rsid w:val="006C0C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44"/>
    <w:rPr>
      <w:rFonts w:ascii="Segoe UI" w:hAnsi="Segoe UI" w:cs="Segoe UI"/>
      <w:sz w:val="18"/>
      <w:szCs w:val="18"/>
    </w:rPr>
  </w:style>
  <w:style w:type="paragraph" w:customStyle="1" w:styleId="Default">
    <w:name w:val="Default"/>
    <w:rsid w:val="000573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nhideWhenUsed/>
    <w:rsid w:val="0005737B"/>
    <w:pPr>
      <w:spacing w:before="100" w:beforeAutospacing="1" w:after="100" w:afterAutospacing="1"/>
    </w:pPr>
    <w:rPr>
      <w:rFonts w:eastAsia="Times New Roman" w:cs="Times New Roman"/>
      <w:szCs w:val="24"/>
      <w:lang w:val="en-GB" w:eastAsia="en-GB"/>
    </w:rPr>
  </w:style>
  <w:style w:type="paragraph" w:styleId="ListParagraph">
    <w:name w:val="List Paragraph"/>
    <w:basedOn w:val="Normal"/>
    <w:uiPriority w:val="34"/>
    <w:qFormat/>
    <w:rsid w:val="00002EA7"/>
    <w:pPr>
      <w:ind w:left="720"/>
      <w:contextualSpacing/>
    </w:pPr>
  </w:style>
  <w:style w:type="paragraph" w:styleId="Caption">
    <w:name w:val="caption"/>
    <w:basedOn w:val="Normal"/>
    <w:next w:val="Normal"/>
    <w:uiPriority w:val="35"/>
    <w:unhideWhenUsed/>
    <w:qFormat/>
    <w:rsid w:val="00876E5B"/>
    <w:pPr>
      <w:spacing w:after="200"/>
    </w:pPr>
    <w:rPr>
      <w:i/>
      <w:iCs/>
      <w:color w:val="1F497D" w:themeColor="text2"/>
      <w:sz w:val="18"/>
      <w:szCs w:val="18"/>
    </w:rPr>
  </w:style>
  <w:style w:type="character" w:styleId="Hyperlink">
    <w:name w:val="Hyperlink"/>
    <w:rsid w:val="00876E5B"/>
    <w:rPr>
      <w:color w:val="0000FF"/>
      <w:u w:val="single"/>
    </w:rPr>
  </w:style>
  <w:style w:type="paragraph" w:styleId="Revision">
    <w:name w:val="Revision"/>
    <w:hidden/>
    <w:uiPriority w:val="99"/>
    <w:semiHidden/>
    <w:rsid w:val="00BD13C4"/>
    <w:pPr>
      <w:spacing w:after="0" w:line="240" w:lineRule="auto"/>
    </w:pPr>
    <w:rPr>
      <w:rFonts w:ascii="Times New Roman" w:hAnsi="Times New Roman"/>
      <w:sz w:val="24"/>
    </w:rPr>
  </w:style>
  <w:style w:type="table" w:styleId="TableGrid">
    <w:name w:val="Table Grid"/>
    <w:basedOn w:val="TableNormal"/>
    <w:uiPriority w:val="59"/>
    <w:rsid w:val="0029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BFB"/>
    <w:rPr>
      <w:color w:val="800080" w:themeColor="followedHyperlink"/>
      <w:u w:val="single"/>
    </w:rPr>
  </w:style>
  <w:style w:type="paragraph" w:styleId="Bibliography">
    <w:name w:val="Bibliography"/>
    <w:basedOn w:val="Normal"/>
    <w:next w:val="Normal"/>
    <w:uiPriority w:val="37"/>
    <w:semiHidden/>
    <w:unhideWhenUsed/>
    <w:rsid w:val="00507F4B"/>
  </w:style>
  <w:style w:type="paragraph" w:styleId="BlockText">
    <w:name w:val="Block Text"/>
    <w:basedOn w:val="Normal"/>
    <w:uiPriority w:val="99"/>
    <w:semiHidden/>
    <w:unhideWhenUsed/>
    <w:rsid w:val="00507F4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07F4B"/>
  </w:style>
  <w:style w:type="character" w:customStyle="1" w:styleId="BodyTextChar">
    <w:name w:val="Body Text Char"/>
    <w:basedOn w:val="DefaultParagraphFont"/>
    <w:link w:val="BodyText"/>
    <w:uiPriority w:val="99"/>
    <w:semiHidden/>
    <w:rsid w:val="00507F4B"/>
    <w:rPr>
      <w:rFonts w:ascii="Times New Roman" w:hAnsi="Times New Roman"/>
      <w:sz w:val="24"/>
    </w:rPr>
  </w:style>
  <w:style w:type="paragraph" w:styleId="BodyText2">
    <w:name w:val="Body Text 2"/>
    <w:basedOn w:val="Normal"/>
    <w:link w:val="BodyText2Char"/>
    <w:uiPriority w:val="99"/>
    <w:semiHidden/>
    <w:unhideWhenUsed/>
    <w:rsid w:val="00507F4B"/>
    <w:pPr>
      <w:spacing w:line="480" w:lineRule="auto"/>
    </w:pPr>
  </w:style>
  <w:style w:type="character" w:customStyle="1" w:styleId="BodyText2Char">
    <w:name w:val="Body Text 2 Char"/>
    <w:basedOn w:val="DefaultParagraphFont"/>
    <w:link w:val="BodyText2"/>
    <w:uiPriority w:val="99"/>
    <w:semiHidden/>
    <w:rsid w:val="00507F4B"/>
    <w:rPr>
      <w:rFonts w:ascii="Times New Roman" w:hAnsi="Times New Roman"/>
      <w:sz w:val="24"/>
    </w:rPr>
  </w:style>
  <w:style w:type="paragraph" w:styleId="BodyText3">
    <w:name w:val="Body Text 3"/>
    <w:basedOn w:val="Normal"/>
    <w:link w:val="BodyText3Char"/>
    <w:uiPriority w:val="99"/>
    <w:semiHidden/>
    <w:unhideWhenUsed/>
    <w:rsid w:val="00507F4B"/>
    <w:rPr>
      <w:sz w:val="16"/>
      <w:szCs w:val="16"/>
    </w:rPr>
  </w:style>
  <w:style w:type="character" w:customStyle="1" w:styleId="BodyText3Char">
    <w:name w:val="Body Text 3 Char"/>
    <w:basedOn w:val="DefaultParagraphFont"/>
    <w:link w:val="BodyText3"/>
    <w:uiPriority w:val="99"/>
    <w:semiHidden/>
    <w:rsid w:val="00507F4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507F4B"/>
    <w:pPr>
      <w:ind w:firstLine="360"/>
    </w:pPr>
  </w:style>
  <w:style w:type="character" w:customStyle="1" w:styleId="BodyTextFirstIndentChar">
    <w:name w:val="Body Text First Indent Char"/>
    <w:basedOn w:val="BodyTextChar"/>
    <w:link w:val="BodyTextFirstIndent"/>
    <w:uiPriority w:val="99"/>
    <w:semiHidden/>
    <w:rsid w:val="00507F4B"/>
    <w:rPr>
      <w:rFonts w:ascii="Times New Roman" w:hAnsi="Times New Roman"/>
      <w:sz w:val="24"/>
    </w:rPr>
  </w:style>
  <w:style w:type="paragraph" w:styleId="BodyTextIndent">
    <w:name w:val="Body Text Indent"/>
    <w:basedOn w:val="Normal"/>
    <w:link w:val="BodyTextIndentChar"/>
    <w:uiPriority w:val="99"/>
    <w:semiHidden/>
    <w:unhideWhenUsed/>
    <w:rsid w:val="00507F4B"/>
    <w:pPr>
      <w:ind w:left="283"/>
    </w:pPr>
  </w:style>
  <w:style w:type="character" w:customStyle="1" w:styleId="BodyTextIndentChar">
    <w:name w:val="Body Text Indent Char"/>
    <w:basedOn w:val="DefaultParagraphFont"/>
    <w:link w:val="BodyTextIndent"/>
    <w:uiPriority w:val="99"/>
    <w:semiHidden/>
    <w:rsid w:val="00507F4B"/>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507F4B"/>
    <w:pPr>
      <w:ind w:left="360" w:firstLine="360"/>
    </w:pPr>
  </w:style>
  <w:style w:type="character" w:customStyle="1" w:styleId="BodyTextFirstIndent2Char">
    <w:name w:val="Body Text First Indent 2 Char"/>
    <w:basedOn w:val="BodyTextIndentChar"/>
    <w:link w:val="BodyTextFirstIndent2"/>
    <w:uiPriority w:val="99"/>
    <w:semiHidden/>
    <w:rsid w:val="00507F4B"/>
    <w:rPr>
      <w:rFonts w:ascii="Times New Roman" w:hAnsi="Times New Roman"/>
      <w:sz w:val="24"/>
    </w:rPr>
  </w:style>
  <w:style w:type="paragraph" w:styleId="BodyTextIndent2">
    <w:name w:val="Body Text Indent 2"/>
    <w:basedOn w:val="Normal"/>
    <w:link w:val="BodyTextIndent2Char"/>
    <w:uiPriority w:val="99"/>
    <w:semiHidden/>
    <w:unhideWhenUsed/>
    <w:rsid w:val="00507F4B"/>
    <w:pPr>
      <w:spacing w:line="480" w:lineRule="auto"/>
      <w:ind w:left="283"/>
    </w:pPr>
  </w:style>
  <w:style w:type="character" w:customStyle="1" w:styleId="BodyTextIndent2Char">
    <w:name w:val="Body Text Indent 2 Char"/>
    <w:basedOn w:val="DefaultParagraphFont"/>
    <w:link w:val="BodyTextIndent2"/>
    <w:uiPriority w:val="99"/>
    <w:semiHidden/>
    <w:rsid w:val="00507F4B"/>
    <w:rPr>
      <w:rFonts w:ascii="Times New Roman" w:hAnsi="Times New Roman"/>
      <w:sz w:val="24"/>
    </w:rPr>
  </w:style>
  <w:style w:type="paragraph" w:styleId="BodyTextIndent3">
    <w:name w:val="Body Text Indent 3"/>
    <w:basedOn w:val="Normal"/>
    <w:link w:val="BodyTextIndent3Char"/>
    <w:uiPriority w:val="99"/>
    <w:semiHidden/>
    <w:unhideWhenUsed/>
    <w:rsid w:val="00507F4B"/>
    <w:pPr>
      <w:ind w:left="283"/>
    </w:pPr>
    <w:rPr>
      <w:sz w:val="16"/>
      <w:szCs w:val="16"/>
    </w:rPr>
  </w:style>
  <w:style w:type="character" w:customStyle="1" w:styleId="BodyTextIndent3Char">
    <w:name w:val="Body Text Indent 3 Char"/>
    <w:basedOn w:val="DefaultParagraphFont"/>
    <w:link w:val="BodyTextIndent3"/>
    <w:uiPriority w:val="99"/>
    <w:semiHidden/>
    <w:rsid w:val="00507F4B"/>
    <w:rPr>
      <w:rFonts w:ascii="Times New Roman" w:hAnsi="Times New Roman"/>
      <w:sz w:val="16"/>
      <w:szCs w:val="16"/>
    </w:rPr>
  </w:style>
  <w:style w:type="paragraph" w:styleId="Closing">
    <w:name w:val="Closing"/>
    <w:basedOn w:val="Normal"/>
    <w:link w:val="ClosingChar"/>
    <w:uiPriority w:val="99"/>
    <w:semiHidden/>
    <w:unhideWhenUsed/>
    <w:rsid w:val="00507F4B"/>
    <w:pPr>
      <w:spacing w:after="0"/>
      <w:ind w:left="4252"/>
    </w:pPr>
  </w:style>
  <w:style w:type="character" w:customStyle="1" w:styleId="ClosingChar">
    <w:name w:val="Closing Char"/>
    <w:basedOn w:val="DefaultParagraphFont"/>
    <w:link w:val="Closing"/>
    <w:uiPriority w:val="99"/>
    <w:semiHidden/>
    <w:rsid w:val="00507F4B"/>
    <w:rPr>
      <w:rFonts w:ascii="Times New Roman" w:hAnsi="Times New Roman"/>
      <w:sz w:val="24"/>
    </w:rPr>
  </w:style>
  <w:style w:type="paragraph" w:styleId="Date">
    <w:name w:val="Date"/>
    <w:basedOn w:val="Normal"/>
    <w:next w:val="Normal"/>
    <w:link w:val="DateChar"/>
    <w:uiPriority w:val="99"/>
    <w:semiHidden/>
    <w:unhideWhenUsed/>
    <w:rsid w:val="00507F4B"/>
  </w:style>
  <w:style w:type="character" w:customStyle="1" w:styleId="DateChar">
    <w:name w:val="Date Char"/>
    <w:basedOn w:val="DefaultParagraphFont"/>
    <w:link w:val="Date"/>
    <w:uiPriority w:val="99"/>
    <w:semiHidden/>
    <w:rsid w:val="00507F4B"/>
    <w:rPr>
      <w:rFonts w:ascii="Times New Roman" w:hAnsi="Times New Roman"/>
      <w:sz w:val="24"/>
    </w:rPr>
  </w:style>
  <w:style w:type="paragraph" w:styleId="DocumentMap">
    <w:name w:val="Document Map"/>
    <w:basedOn w:val="Normal"/>
    <w:link w:val="DocumentMapChar"/>
    <w:uiPriority w:val="99"/>
    <w:semiHidden/>
    <w:unhideWhenUsed/>
    <w:rsid w:val="00507F4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7F4B"/>
    <w:rPr>
      <w:rFonts w:ascii="Segoe UI" w:hAnsi="Segoe UI" w:cs="Segoe UI"/>
      <w:sz w:val="16"/>
      <w:szCs w:val="16"/>
    </w:rPr>
  </w:style>
  <w:style w:type="paragraph" w:styleId="E-mailSignature">
    <w:name w:val="E-mail Signature"/>
    <w:basedOn w:val="Normal"/>
    <w:link w:val="E-mailSignatureChar"/>
    <w:uiPriority w:val="99"/>
    <w:semiHidden/>
    <w:unhideWhenUsed/>
    <w:rsid w:val="00507F4B"/>
    <w:pPr>
      <w:spacing w:after="0"/>
    </w:pPr>
  </w:style>
  <w:style w:type="character" w:customStyle="1" w:styleId="E-mailSignatureChar">
    <w:name w:val="E-mail Signature Char"/>
    <w:basedOn w:val="DefaultParagraphFont"/>
    <w:link w:val="E-mailSignature"/>
    <w:uiPriority w:val="99"/>
    <w:semiHidden/>
    <w:rsid w:val="00507F4B"/>
    <w:rPr>
      <w:rFonts w:ascii="Times New Roman" w:hAnsi="Times New Roman"/>
      <w:sz w:val="24"/>
    </w:rPr>
  </w:style>
  <w:style w:type="paragraph" w:styleId="EndnoteText">
    <w:name w:val="endnote text"/>
    <w:basedOn w:val="Normal"/>
    <w:link w:val="EndnoteTextChar"/>
    <w:uiPriority w:val="99"/>
    <w:semiHidden/>
    <w:unhideWhenUsed/>
    <w:rsid w:val="00507F4B"/>
    <w:pPr>
      <w:spacing w:after="0"/>
    </w:pPr>
    <w:rPr>
      <w:sz w:val="20"/>
      <w:szCs w:val="20"/>
    </w:rPr>
  </w:style>
  <w:style w:type="character" w:customStyle="1" w:styleId="EndnoteTextChar">
    <w:name w:val="Endnote Text Char"/>
    <w:basedOn w:val="DefaultParagraphFont"/>
    <w:link w:val="EndnoteText"/>
    <w:uiPriority w:val="99"/>
    <w:semiHidden/>
    <w:rsid w:val="00507F4B"/>
    <w:rPr>
      <w:rFonts w:ascii="Times New Roman" w:hAnsi="Times New Roman"/>
      <w:sz w:val="20"/>
      <w:szCs w:val="20"/>
    </w:rPr>
  </w:style>
  <w:style w:type="paragraph" w:styleId="EnvelopeAddress">
    <w:name w:val="envelope address"/>
    <w:basedOn w:val="Normal"/>
    <w:uiPriority w:val="99"/>
    <w:semiHidden/>
    <w:unhideWhenUsed/>
    <w:rsid w:val="00507F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07F4B"/>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7F4B"/>
    <w:pPr>
      <w:spacing w:after="0"/>
    </w:pPr>
    <w:rPr>
      <w:sz w:val="20"/>
      <w:szCs w:val="20"/>
    </w:rPr>
  </w:style>
  <w:style w:type="character" w:customStyle="1" w:styleId="FootnoteTextChar">
    <w:name w:val="Footnote Text Char"/>
    <w:basedOn w:val="DefaultParagraphFont"/>
    <w:link w:val="FootnoteText"/>
    <w:uiPriority w:val="99"/>
    <w:semiHidden/>
    <w:rsid w:val="00507F4B"/>
    <w:rPr>
      <w:rFonts w:ascii="Times New Roman" w:hAnsi="Times New Roman"/>
      <w:sz w:val="20"/>
      <w:szCs w:val="20"/>
    </w:rPr>
  </w:style>
  <w:style w:type="character" w:customStyle="1" w:styleId="Heading4Char">
    <w:name w:val="Heading 4 Char"/>
    <w:basedOn w:val="DefaultParagraphFont"/>
    <w:link w:val="Heading4"/>
    <w:uiPriority w:val="9"/>
    <w:semiHidden/>
    <w:rsid w:val="00507F4B"/>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507F4B"/>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507F4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507F4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507F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7F4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07F4B"/>
    <w:pPr>
      <w:spacing w:after="0"/>
    </w:pPr>
    <w:rPr>
      <w:i/>
      <w:iCs/>
    </w:rPr>
  </w:style>
  <w:style w:type="character" w:customStyle="1" w:styleId="HTMLAddressChar">
    <w:name w:val="HTML Address Char"/>
    <w:basedOn w:val="DefaultParagraphFont"/>
    <w:link w:val="HTMLAddress"/>
    <w:uiPriority w:val="99"/>
    <w:semiHidden/>
    <w:rsid w:val="00507F4B"/>
    <w:rPr>
      <w:rFonts w:ascii="Times New Roman" w:hAnsi="Times New Roman"/>
      <w:i/>
      <w:iCs/>
      <w:sz w:val="24"/>
    </w:rPr>
  </w:style>
  <w:style w:type="paragraph" w:styleId="HTMLPreformatted">
    <w:name w:val="HTML Preformatted"/>
    <w:basedOn w:val="Normal"/>
    <w:link w:val="HTMLPreformattedChar"/>
    <w:uiPriority w:val="99"/>
    <w:semiHidden/>
    <w:unhideWhenUsed/>
    <w:rsid w:val="00507F4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7F4B"/>
    <w:rPr>
      <w:rFonts w:ascii="Consolas" w:hAnsi="Consolas"/>
      <w:sz w:val="20"/>
      <w:szCs w:val="20"/>
    </w:rPr>
  </w:style>
  <w:style w:type="paragraph" w:styleId="Index1">
    <w:name w:val="index 1"/>
    <w:basedOn w:val="Normal"/>
    <w:next w:val="Normal"/>
    <w:autoRedefine/>
    <w:uiPriority w:val="99"/>
    <w:semiHidden/>
    <w:unhideWhenUsed/>
    <w:rsid w:val="00507F4B"/>
    <w:pPr>
      <w:spacing w:after="0"/>
      <w:ind w:left="240" w:hanging="240"/>
    </w:pPr>
  </w:style>
  <w:style w:type="paragraph" w:styleId="Index2">
    <w:name w:val="index 2"/>
    <w:basedOn w:val="Normal"/>
    <w:next w:val="Normal"/>
    <w:autoRedefine/>
    <w:uiPriority w:val="99"/>
    <w:semiHidden/>
    <w:unhideWhenUsed/>
    <w:rsid w:val="00507F4B"/>
    <w:pPr>
      <w:spacing w:after="0"/>
      <w:ind w:left="480" w:hanging="240"/>
    </w:pPr>
  </w:style>
  <w:style w:type="paragraph" w:styleId="Index3">
    <w:name w:val="index 3"/>
    <w:basedOn w:val="Normal"/>
    <w:next w:val="Normal"/>
    <w:autoRedefine/>
    <w:uiPriority w:val="99"/>
    <w:semiHidden/>
    <w:unhideWhenUsed/>
    <w:rsid w:val="00507F4B"/>
    <w:pPr>
      <w:spacing w:after="0"/>
      <w:ind w:left="720" w:hanging="240"/>
    </w:pPr>
  </w:style>
  <w:style w:type="paragraph" w:styleId="Index4">
    <w:name w:val="index 4"/>
    <w:basedOn w:val="Normal"/>
    <w:next w:val="Normal"/>
    <w:autoRedefine/>
    <w:uiPriority w:val="99"/>
    <w:semiHidden/>
    <w:unhideWhenUsed/>
    <w:rsid w:val="00507F4B"/>
    <w:pPr>
      <w:spacing w:after="0"/>
      <w:ind w:left="960" w:hanging="240"/>
    </w:pPr>
  </w:style>
  <w:style w:type="paragraph" w:styleId="Index5">
    <w:name w:val="index 5"/>
    <w:basedOn w:val="Normal"/>
    <w:next w:val="Normal"/>
    <w:autoRedefine/>
    <w:uiPriority w:val="99"/>
    <w:semiHidden/>
    <w:unhideWhenUsed/>
    <w:rsid w:val="00507F4B"/>
    <w:pPr>
      <w:spacing w:after="0"/>
      <w:ind w:left="1200" w:hanging="240"/>
    </w:pPr>
  </w:style>
  <w:style w:type="paragraph" w:styleId="Index6">
    <w:name w:val="index 6"/>
    <w:basedOn w:val="Normal"/>
    <w:next w:val="Normal"/>
    <w:autoRedefine/>
    <w:uiPriority w:val="99"/>
    <w:semiHidden/>
    <w:unhideWhenUsed/>
    <w:rsid w:val="00507F4B"/>
    <w:pPr>
      <w:spacing w:after="0"/>
      <w:ind w:left="1440" w:hanging="240"/>
    </w:pPr>
  </w:style>
  <w:style w:type="paragraph" w:styleId="Index7">
    <w:name w:val="index 7"/>
    <w:basedOn w:val="Normal"/>
    <w:next w:val="Normal"/>
    <w:autoRedefine/>
    <w:uiPriority w:val="99"/>
    <w:semiHidden/>
    <w:unhideWhenUsed/>
    <w:rsid w:val="00507F4B"/>
    <w:pPr>
      <w:spacing w:after="0"/>
      <w:ind w:left="1680" w:hanging="240"/>
    </w:pPr>
  </w:style>
  <w:style w:type="paragraph" w:styleId="Index8">
    <w:name w:val="index 8"/>
    <w:basedOn w:val="Normal"/>
    <w:next w:val="Normal"/>
    <w:autoRedefine/>
    <w:uiPriority w:val="99"/>
    <w:semiHidden/>
    <w:unhideWhenUsed/>
    <w:rsid w:val="00507F4B"/>
    <w:pPr>
      <w:spacing w:after="0"/>
      <w:ind w:left="1920" w:hanging="240"/>
    </w:pPr>
  </w:style>
  <w:style w:type="paragraph" w:styleId="Index9">
    <w:name w:val="index 9"/>
    <w:basedOn w:val="Normal"/>
    <w:next w:val="Normal"/>
    <w:autoRedefine/>
    <w:uiPriority w:val="99"/>
    <w:semiHidden/>
    <w:unhideWhenUsed/>
    <w:rsid w:val="00507F4B"/>
    <w:pPr>
      <w:spacing w:after="0"/>
      <w:ind w:left="2160" w:hanging="240"/>
    </w:pPr>
  </w:style>
  <w:style w:type="paragraph" w:styleId="IndexHeading">
    <w:name w:val="index heading"/>
    <w:basedOn w:val="Normal"/>
    <w:next w:val="Index1"/>
    <w:uiPriority w:val="99"/>
    <w:semiHidden/>
    <w:unhideWhenUsed/>
    <w:rsid w:val="00507F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7F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7F4B"/>
    <w:rPr>
      <w:rFonts w:ascii="Times New Roman" w:hAnsi="Times New Roman"/>
      <w:i/>
      <w:iCs/>
      <w:color w:val="4F81BD" w:themeColor="accent1"/>
      <w:sz w:val="24"/>
    </w:rPr>
  </w:style>
  <w:style w:type="paragraph" w:styleId="List">
    <w:name w:val="List"/>
    <w:basedOn w:val="Normal"/>
    <w:uiPriority w:val="99"/>
    <w:semiHidden/>
    <w:unhideWhenUsed/>
    <w:rsid w:val="00507F4B"/>
    <w:pPr>
      <w:ind w:left="283" w:hanging="283"/>
      <w:contextualSpacing/>
    </w:pPr>
  </w:style>
  <w:style w:type="paragraph" w:styleId="List2">
    <w:name w:val="List 2"/>
    <w:basedOn w:val="Normal"/>
    <w:uiPriority w:val="99"/>
    <w:semiHidden/>
    <w:unhideWhenUsed/>
    <w:rsid w:val="00507F4B"/>
    <w:pPr>
      <w:ind w:left="566" w:hanging="283"/>
      <w:contextualSpacing/>
    </w:pPr>
  </w:style>
  <w:style w:type="paragraph" w:styleId="List3">
    <w:name w:val="List 3"/>
    <w:basedOn w:val="Normal"/>
    <w:uiPriority w:val="99"/>
    <w:semiHidden/>
    <w:unhideWhenUsed/>
    <w:rsid w:val="00507F4B"/>
    <w:pPr>
      <w:ind w:left="849" w:hanging="283"/>
      <w:contextualSpacing/>
    </w:pPr>
  </w:style>
  <w:style w:type="paragraph" w:styleId="List4">
    <w:name w:val="List 4"/>
    <w:basedOn w:val="Normal"/>
    <w:uiPriority w:val="99"/>
    <w:semiHidden/>
    <w:unhideWhenUsed/>
    <w:rsid w:val="00507F4B"/>
    <w:pPr>
      <w:ind w:left="1132" w:hanging="283"/>
      <w:contextualSpacing/>
    </w:pPr>
  </w:style>
  <w:style w:type="paragraph" w:styleId="List5">
    <w:name w:val="List 5"/>
    <w:basedOn w:val="Normal"/>
    <w:uiPriority w:val="99"/>
    <w:semiHidden/>
    <w:unhideWhenUsed/>
    <w:rsid w:val="00507F4B"/>
    <w:pPr>
      <w:ind w:left="1415" w:hanging="283"/>
      <w:contextualSpacing/>
    </w:pPr>
  </w:style>
  <w:style w:type="paragraph" w:styleId="ListBullet">
    <w:name w:val="List Bullet"/>
    <w:basedOn w:val="Normal"/>
    <w:uiPriority w:val="99"/>
    <w:semiHidden/>
    <w:unhideWhenUsed/>
    <w:rsid w:val="00507F4B"/>
    <w:pPr>
      <w:numPr>
        <w:numId w:val="6"/>
      </w:numPr>
      <w:contextualSpacing/>
    </w:pPr>
  </w:style>
  <w:style w:type="paragraph" w:styleId="ListBullet2">
    <w:name w:val="List Bullet 2"/>
    <w:basedOn w:val="Normal"/>
    <w:uiPriority w:val="99"/>
    <w:semiHidden/>
    <w:unhideWhenUsed/>
    <w:rsid w:val="00507F4B"/>
    <w:pPr>
      <w:numPr>
        <w:numId w:val="7"/>
      </w:numPr>
      <w:contextualSpacing/>
    </w:pPr>
  </w:style>
  <w:style w:type="paragraph" w:styleId="ListBullet3">
    <w:name w:val="List Bullet 3"/>
    <w:basedOn w:val="Normal"/>
    <w:uiPriority w:val="99"/>
    <w:semiHidden/>
    <w:unhideWhenUsed/>
    <w:rsid w:val="00507F4B"/>
    <w:pPr>
      <w:numPr>
        <w:numId w:val="8"/>
      </w:numPr>
      <w:contextualSpacing/>
    </w:pPr>
  </w:style>
  <w:style w:type="paragraph" w:styleId="ListBullet4">
    <w:name w:val="List Bullet 4"/>
    <w:basedOn w:val="Normal"/>
    <w:uiPriority w:val="99"/>
    <w:semiHidden/>
    <w:unhideWhenUsed/>
    <w:rsid w:val="00507F4B"/>
    <w:pPr>
      <w:numPr>
        <w:numId w:val="9"/>
      </w:numPr>
      <w:contextualSpacing/>
    </w:pPr>
  </w:style>
  <w:style w:type="paragraph" w:styleId="ListBullet5">
    <w:name w:val="List Bullet 5"/>
    <w:basedOn w:val="Normal"/>
    <w:uiPriority w:val="99"/>
    <w:semiHidden/>
    <w:unhideWhenUsed/>
    <w:rsid w:val="00507F4B"/>
    <w:pPr>
      <w:numPr>
        <w:numId w:val="10"/>
      </w:numPr>
      <w:contextualSpacing/>
    </w:pPr>
  </w:style>
  <w:style w:type="paragraph" w:styleId="ListContinue">
    <w:name w:val="List Continue"/>
    <w:basedOn w:val="Normal"/>
    <w:uiPriority w:val="99"/>
    <w:semiHidden/>
    <w:unhideWhenUsed/>
    <w:rsid w:val="00507F4B"/>
    <w:pPr>
      <w:ind w:left="283"/>
      <w:contextualSpacing/>
    </w:pPr>
  </w:style>
  <w:style w:type="paragraph" w:styleId="ListContinue2">
    <w:name w:val="List Continue 2"/>
    <w:basedOn w:val="Normal"/>
    <w:uiPriority w:val="99"/>
    <w:semiHidden/>
    <w:unhideWhenUsed/>
    <w:rsid w:val="00507F4B"/>
    <w:pPr>
      <w:ind w:left="566"/>
      <w:contextualSpacing/>
    </w:pPr>
  </w:style>
  <w:style w:type="paragraph" w:styleId="ListContinue3">
    <w:name w:val="List Continue 3"/>
    <w:basedOn w:val="Normal"/>
    <w:uiPriority w:val="99"/>
    <w:semiHidden/>
    <w:unhideWhenUsed/>
    <w:rsid w:val="00507F4B"/>
    <w:pPr>
      <w:ind w:left="849"/>
      <w:contextualSpacing/>
    </w:pPr>
  </w:style>
  <w:style w:type="paragraph" w:styleId="ListContinue4">
    <w:name w:val="List Continue 4"/>
    <w:basedOn w:val="Normal"/>
    <w:uiPriority w:val="99"/>
    <w:semiHidden/>
    <w:unhideWhenUsed/>
    <w:rsid w:val="00507F4B"/>
    <w:pPr>
      <w:ind w:left="1132"/>
      <w:contextualSpacing/>
    </w:pPr>
  </w:style>
  <w:style w:type="paragraph" w:styleId="ListContinue5">
    <w:name w:val="List Continue 5"/>
    <w:basedOn w:val="Normal"/>
    <w:uiPriority w:val="99"/>
    <w:semiHidden/>
    <w:unhideWhenUsed/>
    <w:rsid w:val="00507F4B"/>
    <w:pPr>
      <w:ind w:left="1415"/>
      <w:contextualSpacing/>
    </w:pPr>
  </w:style>
  <w:style w:type="paragraph" w:styleId="ListNumber">
    <w:name w:val="List Number"/>
    <w:basedOn w:val="Normal"/>
    <w:uiPriority w:val="99"/>
    <w:semiHidden/>
    <w:unhideWhenUsed/>
    <w:rsid w:val="00507F4B"/>
    <w:pPr>
      <w:numPr>
        <w:numId w:val="11"/>
      </w:numPr>
      <w:contextualSpacing/>
    </w:pPr>
  </w:style>
  <w:style w:type="paragraph" w:styleId="ListNumber2">
    <w:name w:val="List Number 2"/>
    <w:basedOn w:val="Normal"/>
    <w:uiPriority w:val="99"/>
    <w:semiHidden/>
    <w:unhideWhenUsed/>
    <w:rsid w:val="00507F4B"/>
    <w:pPr>
      <w:numPr>
        <w:numId w:val="12"/>
      </w:numPr>
      <w:contextualSpacing/>
    </w:pPr>
  </w:style>
  <w:style w:type="paragraph" w:styleId="ListNumber3">
    <w:name w:val="List Number 3"/>
    <w:basedOn w:val="Normal"/>
    <w:uiPriority w:val="99"/>
    <w:semiHidden/>
    <w:unhideWhenUsed/>
    <w:rsid w:val="00507F4B"/>
    <w:pPr>
      <w:numPr>
        <w:numId w:val="13"/>
      </w:numPr>
      <w:contextualSpacing/>
    </w:pPr>
  </w:style>
  <w:style w:type="paragraph" w:styleId="ListNumber4">
    <w:name w:val="List Number 4"/>
    <w:basedOn w:val="Normal"/>
    <w:uiPriority w:val="99"/>
    <w:semiHidden/>
    <w:unhideWhenUsed/>
    <w:rsid w:val="00507F4B"/>
    <w:pPr>
      <w:numPr>
        <w:numId w:val="14"/>
      </w:numPr>
      <w:contextualSpacing/>
    </w:pPr>
  </w:style>
  <w:style w:type="paragraph" w:styleId="ListNumber5">
    <w:name w:val="List Number 5"/>
    <w:basedOn w:val="Normal"/>
    <w:uiPriority w:val="99"/>
    <w:semiHidden/>
    <w:unhideWhenUsed/>
    <w:rsid w:val="00507F4B"/>
    <w:pPr>
      <w:numPr>
        <w:numId w:val="15"/>
      </w:numPr>
      <w:contextualSpacing/>
    </w:pPr>
  </w:style>
  <w:style w:type="paragraph" w:styleId="MacroText">
    <w:name w:val="macro"/>
    <w:link w:val="MacroTextChar"/>
    <w:uiPriority w:val="99"/>
    <w:semiHidden/>
    <w:unhideWhenUsed/>
    <w:rsid w:val="00507F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07F4B"/>
    <w:rPr>
      <w:rFonts w:ascii="Consolas" w:hAnsi="Consolas"/>
      <w:sz w:val="20"/>
      <w:szCs w:val="20"/>
    </w:rPr>
  </w:style>
  <w:style w:type="paragraph" w:styleId="MessageHeader">
    <w:name w:val="Message Header"/>
    <w:basedOn w:val="Normal"/>
    <w:link w:val="MessageHeaderChar"/>
    <w:uiPriority w:val="99"/>
    <w:semiHidden/>
    <w:unhideWhenUsed/>
    <w:rsid w:val="00507F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07F4B"/>
    <w:rPr>
      <w:rFonts w:asciiTheme="majorHAnsi" w:eastAsiaTheme="majorEastAsia" w:hAnsiTheme="majorHAnsi" w:cstheme="majorBidi"/>
      <w:sz w:val="24"/>
      <w:szCs w:val="24"/>
      <w:shd w:val="pct20" w:color="auto" w:fill="auto"/>
    </w:rPr>
  </w:style>
  <w:style w:type="paragraph" w:styleId="NoSpacing">
    <w:name w:val="No Spacing"/>
    <w:uiPriority w:val="1"/>
    <w:qFormat/>
    <w:rsid w:val="00507F4B"/>
    <w:pPr>
      <w:spacing w:after="0" w:line="240" w:lineRule="auto"/>
    </w:pPr>
    <w:rPr>
      <w:rFonts w:ascii="Times New Roman" w:hAnsi="Times New Roman"/>
      <w:sz w:val="24"/>
    </w:rPr>
  </w:style>
  <w:style w:type="paragraph" w:styleId="NormalIndent">
    <w:name w:val="Normal Indent"/>
    <w:basedOn w:val="Normal"/>
    <w:uiPriority w:val="99"/>
    <w:semiHidden/>
    <w:unhideWhenUsed/>
    <w:rsid w:val="00507F4B"/>
    <w:pPr>
      <w:ind w:left="720"/>
    </w:pPr>
  </w:style>
  <w:style w:type="paragraph" w:styleId="NoteHeading">
    <w:name w:val="Note Heading"/>
    <w:basedOn w:val="Normal"/>
    <w:next w:val="Normal"/>
    <w:link w:val="NoteHeadingChar"/>
    <w:uiPriority w:val="99"/>
    <w:semiHidden/>
    <w:unhideWhenUsed/>
    <w:rsid w:val="00507F4B"/>
    <w:pPr>
      <w:spacing w:after="0"/>
    </w:pPr>
  </w:style>
  <w:style w:type="character" w:customStyle="1" w:styleId="NoteHeadingChar">
    <w:name w:val="Note Heading Char"/>
    <w:basedOn w:val="DefaultParagraphFont"/>
    <w:link w:val="NoteHeading"/>
    <w:uiPriority w:val="99"/>
    <w:semiHidden/>
    <w:rsid w:val="00507F4B"/>
    <w:rPr>
      <w:rFonts w:ascii="Times New Roman" w:hAnsi="Times New Roman"/>
      <w:sz w:val="24"/>
    </w:rPr>
  </w:style>
  <w:style w:type="paragraph" w:styleId="PlainText">
    <w:name w:val="Plain Text"/>
    <w:basedOn w:val="Normal"/>
    <w:link w:val="PlainTextChar"/>
    <w:uiPriority w:val="99"/>
    <w:semiHidden/>
    <w:unhideWhenUsed/>
    <w:rsid w:val="00507F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07F4B"/>
    <w:rPr>
      <w:rFonts w:ascii="Consolas" w:hAnsi="Consolas"/>
      <w:sz w:val="21"/>
      <w:szCs w:val="21"/>
    </w:rPr>
  </w:style>
  <w:style w:type="paragraph" w:styleId="Quote">
    <w:name w:val="Quote"/>
    <w:basedOn w:val="Normal"/>
    <w:next w:val="Normal"/>
    <w:link w:val="QuoteChar"/>
    <w:uiPriority w:val="29"/>
    <w:qFormat/>
    <w:rsid w:val="00507F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F4B"/>
    <w:rPr>
      <w:rFonts w:ascii="Times New Roman" w:hAnsi="Times New Roman"/>
      <w:i/>
      <w:iCs/>
      <w:color w:val="404040" w:themeColor="text1" w:themeTint="BF"/>
      <w:sz w:val="24"/>
    </w:rPr>
  </w:style>
  <w:style w:type="paragraph" w:styleId="Salutation">
    <w:name w:val="Salutation"/>
    <w:basedOn w:val="Normal"/>
    <w:next w:val="Normal"/>
    <w:link w:val="SalutationChar"/>
    <w:uiPriority w:val="99"/>
    <w:semiHidden/>
    <w:unhideWhenUsed/>
    <w:rsid w:val="00507F4B"/>
  </w:style>
  <w:style w:type="character" w:customStyle="1" w:styleId="SalutationChar">
    <w:name w:val="Salutation Char"/>
    <w:basedOn w:val="DefaultParagraphFont"/>
    <w:link w:val="Salutation"/>
    <w:uiPriority w:val="99"/>
    <w:semiHidden/>
    <w:rsid w:val="00507F4B"/>
    <w:rPr>
      <w:rFonts w:ascii="Times New Roman" w:hAnsi="Times New Roman"/>
      <w:sz w:val="24"/>
    </w:rPr>
  </w:style>
  <w:style w:type="paragraph" w:styleId="Signature">
    <w:name w:val="Signature"/>
    <w:basedOn w:val="Normal"/>
    <w:link w:val="SignatureChar"/>
    <w:uiPriority w:val="99"/>
    <w:semiHidden/>
    <w:unhideWhenUsed/>
    <w:rsid w:val="00507F4B"/>
    <w:pPr>
      <w:spacing w:after="0"/>
      <w:ind w:left="4252"/>
    </w:pPr>
  </w:style>
  <w:style w:type="character" w:customStyle="1" w:styleId="SignatureChar">
    <w:name w:val="Signature Char"/>
    <w:basedOn w:val="DefaultParagraphFont"/>
    <w:link w:val="Signature"/>
    <w:uiPriority w:val="99"/>
    <w:semiHidden/>
    <w:rsid w:val="00507F4B"/>
    <w:rPr>
      <w:rFonts w:ascii="Times New Roman" w:hAnsi="Times New Roman"/>
      <w:sz w:val="24"/>
    </w:rPr>
  </w:style>
  <w:style w:type="paragraph" w:styleId="TableofAuthorities">
    <w:name w:val="table of authorities"/>
    <w:basedOn w:val="Normal"/>
    <w:next w:val="Normal"/>
    <w:uiPriority w:val="99"/>
    <w:semiHidden/>
    <w:unhideWhenUsed/>
    <w:rsid w:val="00507F4B"/>
    <w:pPr>
      <w:spacing w:after="0"/>
      <w:ind w:left="240" w:hanging="240"/>
    </w:pPr>
  </w:style>
  <w:style w:type="paragraph" w:styleId="TableofFigures">
    <w:name w:val="table of figures"/>
    <w:basedOn w:val="Normal"/>
    <w:next w:val="Normal"/>
    <w:uiPriority w:val="99"/>
    <w:semiHidden/>
    <w:unhideWhenUsed/>
    <w:rsid w:val="00507F4B"/>
    <w:pPr>
      <w:spacing w:after="0"/>
    </w:pPr>
  </w:style>
  <w:style w:type="paragraph" w:styleId="TOAHeading">
    <w:name w:val="toa heading"/>
    <w:basedOn w:val="Normal"/>
    <w:next w:val="Normal"/>
    <w:uiPriority w:val="99"/>
    <w:semiHidden/>
    <w:unhideWhenUsed/>
    <w:rsid w:val="00507F4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07F4B"/>
    <w:pPr>
      <w:spacing w:after="100"/>
    </w:pPr>
  </w:style>
  <w:style w:type="paragraph" w:styleId="TOC2">
    <w:name w:val="toc 2"/>
    <w:basedOn w:val="Normal"/>
    <w:next w:val="Normal"/>
    <w:autoRedefine/>
    <w:uiPriority w:val="39"/>
    <w:semiHidden/>
    <w:unhideWhenUsed/>
    <w:rsid w:val="00507F4B"/>
    <w:pPr>
      <w:spacing w:after="100"/>
      <w:ind w:left="240"/>
    </w:pPr>
  </w:style>
  <w:style w:type="paragraph" w:styleId="TOC3">
    <w:name w:val="toc 3"/>
    <w:basedOn w:val="Normal"/>
    <w:next w:val="Normal"/>
    <w:autoRedefine/>
    <w:uiPriority w:val="39"/>
    <w:semiHidden/>
    <w:unhideWhenUsed/>
    <w:rsid w:val="00507F4B"/>
    <w:pPr>
      <w:spacing w:after="100"/>
      <w:ind w:left="480"/>
    </w:pPr>
  </w:style>
  <w:style w:type="paragraph" w:styleId="TOC4">
    <w:name w:val="toc 4"/>
    <w:basedOn w:val="Normal"/>
    <w:next w:val="Normal"/>
    <w:autoRedefine/>
    <w:uiPriority w:val="39"/>
    <w:semiHidden/>
    <w:unhideWhenUsed/>
    <w:rsid w:val="00507F4B"/>
    <w:pPr>
      <w:spacing w:after="100"/>
      <w:ind w:left="720"/>
    </w:pPr>
  </w:style>
  <w:style w:type="paragraph" w:styleId="TOC5">
    <w:name w:val="toc 5"/>
    <w:basedOn w:val="Normal"/>
    <w:next w:val="Normal"/>
    <w:autoRedefine/>
    <w:uiPriority w:val="39"/>
    <w:semiHidden/>
    <w:unhideWhenUsed/>
    <w:rsid w:val="00507F4B"/>
    <w:pPr>
      <w:spacing w:after="100"/>
      <w:ind w:left="960"/>
    </w:pPr>
  </w:style>
  <w:style w:type="paragraph" w:styleId="TOC6">
    <w:name w:val="toc 6"/>
    <w:basedOn w:val="Normal"/>
    <w:next w:val="Normal"/>
    <w:autoRedefine/>
    <w:uiPriority w:val="39"/>
    <w:semiHidden/>
    <w:unhideWhenUsed/>
    <w:rsid w:val="00507F4B"/>
    <w:pPr>
      <w:spacing w:after="100"/>
      <w:ind w:left="1200"/>
    </w:pPr>
  </w:style>
  <w:style w:type="paragraph" w:styleId="TOC7">
    <w:name w:val="toc 7"/>
    <w:basedOn w:val="Normal"/>
    <w:next w:val="Normal"/>
    <w:autoRedefine/>
    <w:uiPriority w:val="39"/>
    <w:semiHidden/>
    <w:unhideWhenUsed/>
    <w:rsid w:val="00507F4B"/>
    <w:pPr>
      <w:spacing w:after="100"/>
      <w:ind w:left="1440"/>
    </w:pPr>
  </w:style>
  <w:style w:type="paragraph" w:styleId="TOC8">
    <w:name w:val="toc 8"/>
    <w:basedOn w:val="Normal"/>
    <w:next w:val="Normal"/>
    <w:autoRedefine/>
    <w:uiPriority w:val="39"/>
    <w:semiHidden/>
    <w:unhideWhenUsed/>
    <w:rsid w:val="00507F4B"/>
    <w:pPr>
      <w:spacing w:after="100"/>
      <w:ind w:left="1680"/>
    </w:pPr>
  </w:style>
  <w:style w:type="paragraph" w:styleId="TOC9">
    <w:name w:val="toc 9"/>
    <w:basedOn w:val="Normal"/>
    <w:next w:val="Normal"/>
    <w:autoRedefine/>
    <w:uiPriority w:val="39"/>
    <w:semiHidden/>
    <w:unhideWhenUsed/>
    <w:rsid w:val="00507F4B"/>
    <w:pPr>
      <w:spacing w:after="100"/>
      <w:ind w:left="1920"/>
    </w:pPr>
  </w:style>
  <w:style w:type="paragraph" w:styleId="TOCHeading">
    <w:name w:val="TOC Heading"/>
    <w:basedOn w:val="Heading1"/>
    <w:next w:val="Normal"/>
    <w:uiPriority w:val="39"/>
    <w:semiHidden/>
    <w:unhideWhenUsed/>
    <w:qFormat/>
    <w:rsid w:val="00507F4B"/>
    <w:pPr>
      <w:spacing w:before="240" w:after="0"/>
      <w:outlineLvl w:val="9"/>
    </w:pPr>
    <w:rPr>
      <w:rFonts w:asciiTheme="majorHAnsi" w:hAnsiTheme="majorHAnsi"/>
      <w:b w:val="0"/>
      <w:bCs w:val="0"/>
      <w:caps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4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049"/>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6A7779"/>
    <w:pPr>
      <w:keepNext/>
      <w:keepLines/>
      <w:spacing w:before="360"/>
      <w:outlineLvl w:val="0"/>
    </w:pPr>
    <w:rPr>
      <w:rFonts w:ascii="Times New Roman Bold" w:eastAsiaTheme="majorEastAsia" w:hAnsi="Times New Roman Bold" w:cstheme="majorBidi"/>
      <w:b/>
      <w:bCs/>
      <w:caps/>
      <w:sz w:val="28"/>
      <w:szCs w:val="28"/>
    </w:rPr>
  </w:style>
  <w:style w:type="paragraph" w:styleId="Heading2">
    <w:name w:val="heading 2"/>
    <w:basedOn w:val="Normal"/>
    <w:next w:val="Normal"/>
    <w:link w:val="Heading2Char"/>
    <w:uiPriority w:val="9"/>
    <w:unhideWhenUsed/>
    <w:qFormat/>
    <w:rsid w:val="007F4DCC"/>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F4DCC"/>
    <w:pPr>
      <w:keepNext/>
      <w:keepLines/>
      <w:spacing w:after="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9"/>
    <w:semiHidden/>
    <w:unhideWhenUsed/>
    <w:qFormat/>
    <w:rsid w:val="00507F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07F4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07F4B"/>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07F4B"/>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07F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7F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049"/>
    <w:pPr>
      <w:tabs>
        <w:tab w:val="center" w:pos="4513"/>
        <w:tab w:val="right" w:pos="9026"/>
      </w:tabs>
      <w:spacing w:after="0"/>
    </w:pPr>
  </w:style>
  <w:style w:type="character" w:customStyle="1" w:styleId="HeaderChar">
    <w:name w:val="Header Char"/>
    <w:basedOn w:val="DefaultParagraphFont"/>
    <w:link w:val="Header"/>
    <w:uiPriority w:val="99"/>
    <w:rsid w:val="00E93049"/>
  </w:style>
  <w:style w:type="paragraph" w:styleId="Footer">
    <w:name w:val="footer"/>
    <w:basedOn w:val="Normal"/>
    <w:link w:val="FooterChar"/>
    <w:uiPriority w:val="99"/>
    <w:unhideWhenUsed/>
    <w:rsid w:val="00E93049"/>
    <w:pPr>
      <w:tabs>
        <w:tab w:val="center" w:pos="4513"/>
        <w:tab w:val="right" w:pos="9026"/>
      </w:tabs>
      <w:spacing w:after="0"/>
    </w:pPr>
  </w:style>
  <w:style w:type="character" w:customStyle="1" w:styleId="FooterChar">
    <w:name w:val="Footer Char"/>
    <w:basedOn w:val="DefaultParagraphFont"/>
    <w:link w:val="Footer"/>
    <w:uiPriority w:val="99"/>
    <w:rsid w:val="00E93049"/>
  </w:style>
  <w:style w:type="paragraph" w:styleId="Title">
    <w:name w:val="Title"/>
    <w:basedOn w:val="Normal"/>
    <w:next w:val="Normal"/>
    <w:link w:val="TitleChar"/>
    <w:uiPriority w:val="10"/>
    <w:qFormat/>
    <w:rsid w:val="00E93049"/>
    <w:pPr>
      <w:contextualSpacing/>
    </w:pPr>
    <w:rPr>
      <w:rFonts w:ascii="Times New Roman Bold" w:eastAsiaTheme="majorEastAsia" w:hAnsi="Times New Roman Bold" w:cstheme="majorBidi"/>
      <w:b/>
      <w:caps/>
      <w:spacing w:val="5"/>
      <w:kern w:val="28"/>
      <w:sz w:val="40"/>
      <w:szCs w:val="52"/>
    </w:rPr>
  </w:style>
  <w:style w:type="character" w:customStyle="1" w:styleId="TitleChar">
    <w:name w:val="Title Char"/>
    <w:basedOn w:val="DefaultParagraphFont"/>
    <w:link w:val="Title"/>
    <w:uiPriority w:val="10"/>
    <w:rsid w:val="00E93049"/>
    <w:rPr>
      <w:rFonts w:ascii="Times New Roman Bold" w:eastAsiaTheme="majorEastAsia" w:hAnsi="Times New Roman Bold" w:cstheme="majorBidi"/>
      <w:b/>
      <w:caps/>
      <w:spacing w:val="5"/>
      <w:kern w:val="28"/>
      <w:sz w:val="40"/>
      <w:szCs w:val="52"/>
    </w:rPr>
  </w:style>
  <w:style w:type="paragraph" w:styleId="Subtitle">
    <w:name w:val="Subtitle"/>
    <w:basedOn w:val="Normal"/>
    <w:next w:val="Normal"/>
    <w:link w:val="SubtitleChar"/>
    <w:uiPriority w:val="11"/>
    <w:qFormat/>
    <w:rsid w:val="00E93049"/>
    <w:pPr>
      <w:numPr>
        <w:ilvl w:val="1"/>
      </w:numPr>
    </w:pPr>
    <w:rPr>
      <w:rFonts w:ascii="Times New Roman Bold" w:eastAsiaTheme="majorEastAsia" w:hAnsi="Times New Roman Bold" w:cstheme="majorBidi"/>
      <w:b/>
      <w:iCs/>
      <w:sz w:val="32"/>
      <w:szCs w:val="24"/>
    </w:rPr>
  </w:style>
  <w:style w:type="character" w:customStyle="1" w:styleId="SubtitleChar">
    <w:name w:val="Subtitle Char"/>
    <w:basedOn w:val="DefaultParagraphFont"/>
    <w:link w:val="Subtitle"/>
    <w:uiPriority w:val="11"/>
    <w:rsid w:val="00E93049"/>
    <w:rPr>
      <w:rFonts w:ascii="Times New Roman Bold" w:eastAsiaTheme="majorEastAsia" w:hAnsi="Times New Roman Bold" w:cstheme="majorBidi"/>
      <w:b/>
      <w:iCs/>
      <w:sz w:val="32"/>
      <w:szCs w:val="24"/>
    </w:rPr>
  </w:style>
  <w:style w:type="character" w:customStyle="1" w:styleId="Heading1Char">
    <w:name w:val="Heading 1 Char"/>
    <w:basedOn w:val="DefaultParagraphFont"/>
    <w:link w:val="Heading1"/>
    <w:uiPriority w:val="9"/>
    <w:rsid w:val="006A7779"/>
    <w:rPr>
      <w:rFonts w:ascii="Times New Roman Bold" w:eastAsiaTheme="majorEastAsia" w:hAnsi="Times New Roman Bold" w:cstheme="majorBidi"/>
      <w:b/>
      <w:bCs/>
      <w:caps/>
      <w:sz w:val="28"/>
      <w:szCs w:val="28"/>
    </w:rPr>
  </w:style>
  <w:style w:type="character" w:customStyle="1" w:styleId="Heading2Char">
    <w:name w:val="Heading 2 Char"/>
    <w:basedOn w:val="DefaultParagraphFont"/>
    <w:link w:val="Heading2"/>
    <w:uiPriority w:val="9"/>
    <w:rsid w:val="007F4DCC"/>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F4DCC"/>
    <w:rPr>
      <w:rFonts w:asciiTheme="majorHAnsi" w:eastAsiaTheme="majorEastAsia" w:hAnsiTheme="majorHAnsi" w:cstheme="majorBidi"/>
      <w:b/>
      <w:bCs/>
      <w:i/>
      <w:sz w:val="24"/>
    </w:rPr>
  </w:style>
  <w:style w:type="character" w:styleId="CommentReference">
    <w:name w:val="annotation reference"/>
    <w:basedOn w:val="DefaultParagraphFont"/>
    <w:uiPriority w:val="99"/>
    <w:unhideWhenUsed/>
    <w:rsid w:val="006C0C44"/>
    <w:rPr>
      <w:sz w:val="16"/>
      <w:szCs w:val="16"/>
    </w:rPr>
  </w:style>
  <w:style w:type="paragraph" w:styleId="CommentText">
    <w:name w:val="annotation text"/>
    <w:basedOn w:val="Normal"/>
    <w:link w:val="CommentTextChar"/>
    <w:uiPriority w:val="99"/>
    <w:unhideWhenUsed/>
    <w:rsid w:val="006C0C44"/>
    <w:rPr>
      <w:sz w:val="20"/>
      <w:szCs w:val="20"/>
    </w:rPr>
  </w:style>
  <w:style w:type="character" w:customStyle="1" w:styleId="CommentTextChar">
    <w:name w:val="Comment Text Char"/>
    <w:basedOn w:val="DefaultParagraphFont"/>
    <w:link w:val="CommentText"/>
    <w:uiPriority w:val="99"/>
    <w:rsid w:val="006C0C4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C0C44"/>
    <w:rPr>
      <w:b/>
      <w:bCs/>
    </w:rPr>
  </w:style>
  <w:style w:type="character" w:customStyle="1" w:styleId="CommentSubjectChar">
    <w:name w:val="Comment Subject Char"/>
    <w:basedOn w:val="CommentTextChar"/>
    <w:link w:val="CommentSubject"/>
    <w:uiPriority w:val="99"/>
    <w:semiHidden/>
    <w:rsid w:val="006C0C44"/>
    <w:rPr>
      <w:rFonts w:ascii="Times New Roman" w:hAnsi="Times New Roman"/>
      <w:b/>
      <w:bCs/>
      <w:sz w:val="20"/>
      <w:szCs w:val="20"/>
    </w:rPr>
  </w:style>
  <w:style w:type="paragraph" w:styleId="BalloonText">
    <w:name w:val="Balloon Text"/>
    <w:basedOn w:val="Normal"/>
    <w:link w:val="BalloonTextChar"/>
    <w:uiPriority w:val="99"/>
    <w:semiHidden/>
    <w:unhideWhenUsed/>
    <w:rsid w:val="006C0C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C44"/>
    <w:rPr>
      <w:rFonts w:ascii="Segoe UI" w:hAnsi="Segoe UI" w:cs="Segoe UI"/>
      <w:sz w:val="18"/>
      <w:szCs w:val="18"/>
    </w:rPr>
  </w:style>
  <w:style w:type="paragraph" w:customStyle="1" w:styleId="Default">
    <w:name w:val="Default"/>
    <w:rsid w:val="0005737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nhideWhenUsed/>
    <w:rsid w:val="0005737B"/>
    <w:pPr>
      <w:spacing w:before="100" w:beforeAutospacing="1" w:after="100" w:afterAutospacing="1"/>
    </w:pPr>
    <w:rPr>
      <w:rFonts w:eastAsia="Times New Roman" w:cs="Times New Roman"/>
      <w:szCs w:val="24"/>
      <w:lang w:val="en-GB" w:eastAsia="en-GB"/>
    </w:rPr>
  </w:style>
  <w:style w:type="paragraph" w:styleId="ListParagraph">
    <w:name w:val="List Paragraph"/>
    <w:basedOn w:val="Normal"/>
    <w:uiPriority w:val="34"/>
    <w:qFormat/>
    <w:rsid w:val="00002EA7"/>
    <w:pPr>
      <w:ind w:left="720"/>
      <w:contextualSpacing/>
    </w:pPr>
  </w:style>
  <w:style w:type="paragraph" w:styleId="Caption">
    <w:name w:val="caption"/>
    <w:basedOn w:val="Normal"/>
    <w:next w:val="Normal"/>
    <w:uiPriority w:val="35"/>
    <w:unhideWhenUsed/>
    <w:qFormat/>
    <w:rsid w:val="00876E5B"/>
    <w:pPr>
      <w:spacing w:after="200"/>
    </w:pPr>
    <w:rPr>
      <w:i/>
      <w:iCs/>
      <w:color w:val="1F497D" w:themeColor="text2"/>
      <w:sz w:val="18"/>
      <w:szCs w:val="18"/>
    </w:rPr>
  </w:style>
  <w:style w:type="character" w:styleId="Hyperlink">
    <w:name w:val="Hyperlink"/>
    <w:rsid w:val="00876E5B"/>
    <w:rPr>
      <w:color w:val="0000FF"/>
      <w:u w:val="single"/>
    </w:rPr>
  </w:style>
  <w:style w:type="paragraph" w:styleId="Revision">
    <w:name w:val="Revision"/>
    <w:hidden/>
    <w:uiPriority w:val="99"/>
    <w:semiHidden/>
    <w:rsid w:val="00BD13C4"/>
    <w:pPr>
      <w:spacing w:after="0" w:line="240" w:lineRule="auto"/>
    </w:pPr>
    <w:rPr>
      <w:rFonts w:ascii="Times New Roman" w:hAnsi="Times New Roman"/>
      <w:sz w:val="24"/>
    </w:rPr>
  </w:style>
  <w:style w:type="table" w:styleId="TableGrid">
    <w:name w:val="Table Grid"/>
    <w:basedOn w:val="TableNormal"/>
    <w:uiPriority w:val="59"/>
    <w:rsid w:val="0029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46BFB"/>
    <w:rPr>
      <w:color w:val="800080" w:themeColor="followedHyperlink"/>
      <w:u w:val="single"/>
    </w:rPr>
  </w:style>
  <w:style w:type="paragraph" w:styleId="Bibliography">
    <w:name w:val="Bibliography"/>
    <w:basedOn w:val="Normal"/>
    <w:next w:val="Normal"/>
    <w:uiPriority w:val="37"/>
    <w:semiHidden/>
    <w:unhideWhenUsed/>
    <w:rsid w:val="00507F4B"/>
  </w:style>
  <w:style w:type="paragraph" w:styleId="BlockText">
    <w:name w:val="Block Text"/>
    <w:basedOn w:val="Normal"/>
    <w:uiPriority w:val="99"/>
    <w:semiHidden/>
    <w:unhideWhenUsed/>
    <w:rsid w:val="00507F4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507F4B"/>
  </w:style>
  <w:style w:type="character" w:customStyle="1" w:styleId="BodyTextChar">
    <w:name w:val="Body Text Char"/>
    <w:basedOn w:val="DefaultParagraphFont"/>
    <w:link w:val="BodyText"/>
    <w:uiPriority w:val="99"/>
    <w:semiHidden/>
    <w:rsid w:val="00507F4B"/>
    <w:rPr>
      <w:rFonts w:ascii="Times New Roman" w:hAnsi="Times New Roman"/>
      <w:sz w:val="24"/>
    </w:rPr>
  </w:style>
  <w:style w:type="paragraph" w:styleId="BodyText2">
    <w:name w:val="Body Text 2"/>
    <w:basedOn w:val="Normal"/>
    <w:link w:val="BodyText2Char"/>
    <w:uiPriority w:val="99"/>
    <w:semiHidden/>
    <w:unhideWhenUsed/>
    <w:rsid w:val="00507F4B"/>
    <w:pPr>
      <w:spacing w:line="480" w:lineRule="auto"/>
    </w:pPr>
  </w:style>
  <w:style w:type="character" w:customStyle="1" w:styleId="BodyText2Char">
    <w:name w:val="Body Text 2 Char"/>
    <w:basedOn w:val="DefaultParagraphFont"/>
    <w:link w:val="BodyText2"/>
    <w:uiPriority w:val="99"/>
    <w:semiHidden/>
    <w:rsid w:val="00507F4B"/>
    <w:rPr>
      <w:rFonts w:ascii="Times New Roman" w:hAnsi="Times New Roman"/>
      <w:sz w:val="24"/>
    </w:rPr>
  </w:style>
  <w:style w:type="paragraph" w:styleId="BodyText3">
    <w:name w:val="Body Text 3"/>
    <w:basedOn w:val="Normal"/>
    <w:link w:val="BodyText3Char"/>
    <w:uiPriority w:val="99"/>
    <w:semiHidden/>
    <w:unhideWhenUsed/>
    <w:rsid w:val="00507F4B"/>
    <w:rPr>
      <w:sz w:val="16"/>
      <w:szCs w:val="16"/>
    </w:rPr>
  </w:style>
  <w:style w:type="character" w:customStyle="1" w:styleId="BodyText3Char">
    <w:name w:val="Body Text 3 Char"/>
    <w:basedOn w:val="DefaultParagraphFont"/>
    <w:link w:val="BodyText3"/>
    <w:uiPriority w:val="99"/>
    <w:semiHidden/>
    <w:rsid w:val="00507F4B"/>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507F4B"/>
    <w:pPr>
      <w:ind w:firstLine="360"/>
    </w:pPr>
  </w:style>
  <w:style w:type="character" w:customStyle="1" w:styleId="BodyTextFirstIndentChar">
    <w:name w:val="Body Text First Indent Char"/>
    <w:basedOn w:val="BodyTextChar"/>
    <w:link w:val="BodyTextFirstIndent"/>
    <w:uiPriority w:val="99"/>
    <w:semiHidden/>
    <w:rsid w:val="00507F4B"/>
    <w:rPr>
      <w:rFonts w:ascii="Times New Roman" w:hAnsi="Times New Roman"/>
      <w:sz w:val="24"/>
    </w:rPr>
  </w:style>
  <w:style w:type="paragraph" w:styleId="BodyTextIndent">
    <w:name w:val="Body Text Indent"/>
    <w:basedOn w:val="Normal"/>
    <w:link w:val="BodyTextIndentChar"/>
    <w:uiPriority w:val="99"/>
    <w:semiHidden/>
    <w:unhideWhenUsed/>
    <w:rsid w:val="00507F4B"/>
    <w:pPr>
      <w:ind w:left="283"/>
    </w:pPr>
  </w:style>
  <w:style w:type="character" w:customStyle="1" w:styleId="BodyTextIndentChar">
    <w:name w:val="Body Text Indent Char"/>
    <w:basedOn w:val="DefaultParagraphFont"/>
    <w:link w:val="BodyTextIndent"/>
    <w:uiPriority w:val="99"/>
    <w:semiHidden/>
    <w:rsid w:val="00507F4B"/>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507F4B"/>
    <w:pPr>
      <w:ind w:left="360" w:firstLine="360"/>
    </w:pPr>
  </w:style>
  <w:style w:type="character" w:customStyle="1" w:styleId="BodyTextFirstIndent2Char">
    <w:name w:val="Body Text First Indent 2 Char"/>
    <w:basedOn w:val="BodyTextIndentChar"/>
    <w:link w:val="BodyTextFirstIndent2"/>
    <w:uiPriority w:val="99"/>
    <w:semiHidden/>
    <w:rsid w:val="00507F4B"/>
    <w:rPr>
      <w:rFonts w:ascii="Times New Roman" w:hAnsi="Times New Roman"/>
      <w:sz w:val="24"/>
    </w:rPr>
  </w:style>
  <w:style w:type="paragraph" w:styleId="BodyTextIndent2">
    <w:name w:val="Body Text Indent 2"/>
    <w:basedOn w:val="Normal"/>
    <w:link w:val="BodyTextIndent2Char"/>
    <w:uiPriority w:val="99"/>
    <w:semiHidden/>
    <w:unhideWhenUsed/>
    <w:rsid w:val="00507F4B"/>
    <w:pPr>
      <w:spacing w:line="480" w:lineRule="auto"/>
      <w:ind w:left="283"/>
    </w:pPr>
  </w:style>
  <w:style w:type="character" w:customStyle="1" w:styleId="BodyTextIndent2Char">
    <w:name w:val="Body Text Indent 2 Char"/>
    <w:basedOn w:val="DefaultParagraphFont"/>
    <w:link w:val="BodyTextIndent2"/>
    <w:uiPriority w:val="99"/>
    <w:semiHidden/>
    <w:rsid w:val="00507F4B"/>
    <w:rPr>
      <w:rFonts w:ascii="Times New Roman" w:hAnsi="Times New Roman"/>
      <w:sz w:val="24"/>
    </w:rPr>
  </w:style>
  <w:style w:type="paragraph" w:styleId="BodyTextIndent3">
    <w:name w:val="Body Text Indent 3"/>
    <w:basedOn w:val="Normal"/>
    <w:link w:val="BodyTextIndent3Char"/>
    <w:uiPriority w:val="99"/>
    <w:semiHidden/>
    <w:unhideWhenUsed/>
    <w:rsid w:val="00507F4B"/>
    <w:pPr>
      <w:ind w:left="283"/>
    </w:pPr>
    <w:rPr>
      <w:sz w:val="16"/>
      <w:szCs w:val="16"/>
    </w:rPr>
  </w:style>
  <w:style w:type="character" w:customStyle="1" w:styleId="BodyTextIndent3Char">
    <w:name w:val="Body Text Indent 3 Char"/>
    <w:basedOn w:val="DefaultParagraphFont"/>
    <w:link w:val="BodyTextIndent3"/>
    <w:uiPriority w:val="99"/>
    <w:semiHidden/>
    <w:rsid w:val="00507F4B"/>
    <w:rPr>
      <w:rFonts w:ascii="Times New Roman" w:hAnsi="Times New Roman"/>
      <w:sz w:val="16"/>
      <w:szCs w:val="16"/>
    </w:rPr>
  </w:style>
  <w:style w:type="paragraph" w:styleId="Closing">
    <w:name w:val="Closing"/>
    <w:basedOn w:val="Normal"/>
    <w:link w:val="ClosingChar"/>
    <w:uiPriority w:val="99"/>
    <w:semiHidden/>
    <w:unhideWhenUsed/>
    <w:rsid w:val="00507F4B"/>
    <w:pPr>
      <w:spacing w:after="0"/>
      <w:ind w:left="4252"/>
    </w:pPr>
  </w:style>
  <w:style w:type="character" w:customStyle="1" w:styleId="ClosingChar">
    <w:name w:val="Closing Char"/>
    <w:basedOn w:val="DefaultParagraphFont"/>
    <w:link w:val="Closing"/>
    <w:uiPriority w:val="99"/>
    <w:semiHidden/>
    <w:rsid w:val="00507F4B"/>
    <w:rPr>
      <w:rFonts w:ascii="Times New Roman" w:hAnsi="Times New Roman"/>
      <w:sz w:val="24"/>
    </w:rPr>
  </w:style>
  <w:style w:type="paragraph" w:styleId="Date">
    <w:name w:val="Date"/>
    <w:basedOn w:val="Normal"/>
    <w:next w:val="Normal"/>
    <w:link w:val="DateChar"/>
    <w:uiPriority w:val="99"/>
    <w:semiHidden/>
    <w:unhideWhenUsed/>
    <w:rsid w:val="00507F4B"/>
  </w:style>
  <w:style w:type="character" w:customStyle="1" w:styleId="DateChar">
    <w:name w:val="Date Char"/>
    <w:basedOn w:val="DefaultParagraphFont"/>
    <w:link w:val="Date"/>
    <w:uiPriority w:val="99"/>
    <w:semiHidden/>
    <w:rsid w:val="00507F4B"/>
    <w:rPr>
      <w:rFonts w:ascii="Times New Roman" w:hAnsi="Times New Roman"/>
      <w:sz w:val="24"/>
    </w:rPr>
  </w:style>
  <w:style w:type="paragraph" w:styleId="DocumentMap">
    <w:name w:val="Document Map"/>
    <w:basedOn w:val="Normal"/>
    <w:link w:val="DocumentMapChar"/>
    <w:uiPriority w:val="99"/>
    <w:semiHidden/>
    <w:unhideWhenUsed/>
    <w:rsid w:val="00507F4B"/>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07F4B"/>
    <w:rPr>
      <w:rFonts w:ascii="Segoe UI" w:hAnsi="Segoe UI" w:cs="Segoe UI"/>
      <w:sz w:val="16"/>
      <w:szCs w:val="16"/>
    </w:rPr>
  </w:style>
  <w:style w:type="paragraph" w:styleId="E-mailSignature">
    <w:name w:val="E-mail Signature"/>
    <w:basedOn w:val="Normal"/>
    <w:link w:val="E-mailSignatureChar"/>
    <w:uiPriority w:val="99"/>
    <w:semiHidden/>
    <w:unhideWhenUsed/>
    <w:rsid w:val="00507F4B"/>
    <w:pPr>
      <w:spacing w:after="0"/>
    </w:pPr>
  </w:style>
  <w:style w:type="character" w:customStyle="1" w:styleId="E-mailSignatureChar">
    <w:name w:val="E-mail Signature Char"/>
    <w:basedOn w:val="DefaultParagraphFont"/>
    <w:link w:val="E-mailSignature"/>
    <w:uiPriority w:val="99"/>
    <w:semiHidden/>
    <w:rsid w:val="00507F4B"/>
    <w:rPr>
      <w:rFonts w:ascii="Times New Roman" w:hAnsi="Times New Roman"/>
      <w:sz w:val="24"/>
    </w:rPr>
  </w:style>
  <w:style w:type="paragraph" w:styleId="EndnoteText">
    <w:name w:val="endnote text"/>
    <w:basedOn w:val="Normal"/>
    <w:link w:val="EndnoteTextChar"/>
    <w:uiPriority w:val="99"/>
    <w:semiHidden/>
    <w:unhideWhenUsed/>
    <w:rsid w:val="00507F4B"/>
    <w:pPr>
      <w:spacing w:after="0"/>
    </w:pPr>
    <w:rPr>
      <w:sz w:val="20"/>
      <w:szCs w:val="20"/>
    </w:rPr>
  </w:style>
  <w:style w:type="character" w:customStyle="1" w:styleId="EndnoteTextChar">
    <w:name w:val="Endnote Text Char"/>
    <w:basedOn w:val="DefaultParagraphFont"/>
    <w:link w:val="EndnoteText"/>
    <w:uiPriority w:val="99"/>
    <w:semiHidden/>
    <w:rsid w:val="00507F4B"/>
    <w:rPr>
      <w:rFonts w:ascii="Times New Roman" w:hAnsi="Times New Roman"/>
      <w:sz w:val="20"/>
      <w:szCs w:val="20"/>
    </w:rPr>
  </w:style>
  <w:style w:type="paragraph" w:styleId="EnvelopeAddress">
    <w:name w:val="envelope address"/>
    <w:basedOn w:val="Normal"/>
    <w:uiPriority w:val="99"/>
    <w:semiHidden/>
    <w:unhideWhenUsed/>
    <w:rsid w:val="00507F4B"/>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507F4B"/>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07F4B"/>
    <w:pPr>
      <w:spacing w:after="0"/>
    </w:pPr>
    <w:rPr>
      <w:sz w:val="20"/>
      <w:szCs w:val="20"/>
    </w:rPr>
  </w:style>
  <w:style w:type="character" w:customStyle="1" w:styleId="FootnoteTextChar">
    <w:name w:val="Footnote Text Char"/>
    <w:basedOn w:val="DefaultParagraphFont"/>
    <w:link w:val="FootnoteText"/>
    <w:uiPriority w:val="99"/>
    <w:semiHidden/>
    <w:rsid w:val="00507F4B"/>
    <w:rPr>
      <w:rFonts w:ascii="Times New Roman" w:hAnsi="Times New Roman"/>
      <w:sz w:val="20"/>
      <w:szCs w:val="20"/>
    </w:rPr>
  </w:style>
  <w:style w:type="character" w:customStyle="1" w:styleId="Heading4Char">
    <w:name w:val="Heading 4 Char"/>
    <w:basedOn w:val="DefaultParagraphFont"/>
    <w:link w:val="Heading4"/>
    <w:uiPriority w:val="9"/>
    <w:semiHidden/>
    <w:rsid w:val="00507F4B"/>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507F4B"/>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507F4B"/>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507F4B"/>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507F4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7F4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07F4B"/>
    <w:pPr>
      <w:spacing w:after="0"/>
    </w:pPr>
    <w:rPr>
      <w:i/>
      <w:iCs/>
    </w:rPr>
  </w:style>
  <w:style w:type="character" w:customStyle="1" w:styleId="HTMLAddressChar">
    <w:name w:val="HTML Address Char"/>
    <w:basedOn w:val="DefaultParagraphFont"/>
    <w:link w:val="HTMLAddress"/>
    <w:uiPriority w:val="99"/>
    <w:semiHidden/>
    <w:rsid w:val="00507F4B"/>
    <w:rPr>
      <w:rFonts w:ascii="Times New Roman" w:hAnsi="Times New Roman"/>
      <w:i/>
      <w:iCs/>
      <w:sz w:val="24"/>
    </w:rPr>
  </w:style>
  <w:style w:type="paragraph" w:styleId="HTMLPreformatted">
    <w:name w:val="HTML Preformatted"/>
    <w:basedOn w:val="Normal"/>
    <w:link w:val="HTMLPreformattedChar"/>
    <w:uiPriority w:val="99"/>
    <w:semiHidden/>
    <w:unhideWhenUsed/>
    <w:rsid w:val="00507F4B"/>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07F4B"/>
    <w:rPr>
      <w:rFonts w:ascii="Consolas" w:hAnsi="Consolas"/>
      <w:sz w:val="20"/>
      <w:szCs w:val="20"/>
    </w:rPr>
  </w:style>
  <w:style w:type="paragraph" w:styleId="Index1">
    <w:name w:val="index 1"/>
    <w:basedOn w:val="Normal"/>
    <w:next w:val="Normal"/>
    <w:autoRedefine/>
    <w:uiPriority w:val="99"/>
    <w:semiHidden/>
    <w:unhideWhenUsed/>
    <w:rsid w:val="00507F4B"/>
    <w:pPr>
      <w:spacing w:after="0"/>
      <w:ind w:left="240" w:hanging="240"/>
    </w:pPr>
  </w:style>
  <w:style w:type="paragraph" w:styleId="Index2">
    <w:name w:val="index 2"/>
    <w:basedOn w:val="Normal"/>
    <w:next w:val="Normal"/>
    <w:autoRedefine/>
    <w:uiPriority w:val="99"/>
    <w:semiHidden/>
    <w:unhideWhenUsed/>
    <w:rsid w:val="00507F4B"/>
    <w:pPr>
      <w:spacing w:after="0"/>
      <w:ind w:left="480" w:hanging="240"/>
    </w:pPr>
  </w:style>
  <w:style w:type="paragraph" w:styleId="Index3">
    <w:name w:val="index 3"/>
    <w:basedOn w:val="Normal"/>
    <w:next w:val="Normal"/>
    <w:autoRedefine/>
    <w:uiPriority w:val="99"/>
    <w:semiHidden/>
    <w:unhideWhenUsed/>
    <w:rsid w:val="00507F4B"/>
    <w:pPr>
      <w:spacing w:after="0"/>
      <w:ind w:left="720" w:hanging="240"/>
    </w:pPr>
  </w:style>
  <w:style w:type="paragraph" w:styleId="Index4">
    <w:name w:val="index 4"/>
    <w:basedOn w:val="Normal"/>
    <w:next w:val="Normal"/>
    <w:autoRedefine/>
    <w:uiPriority w:val="99"/>
    <w:semiHidden/>
    <w:unhideWhenUsed/>
    <w:rsid w:val="00507F4B"/>
    <w:pPr>
      <w:spacing w:after="0"/>
      <w:ind w:left="960" w:hanging="240"/>
    </w:pPr>
  </w:style>
  <w:style w:type="paragraph" w:styleId="Index5">
    <w:name w:val="index 5"/>
    <w:basedOn w:val="Normal"/>
    <w:next w:val="Normal"/>
    <w:autoRedefine/>
    <w:uiPriority w:val="99"/>
    <w:semiHidden/>
    <w:unhideWhenUsed/>
    <w:rsid w:val="00507F4B"/>
    <w:pPr>
      <w:spacing w:after="0"/>
      <w:ind w:left="1200" w:hanging="240"/>
    </w:pPr>
  </w:style>
  <w:style w:type="paragraph" w:styleId="Index6">
    <w:name w:val="index 6"/>
    <w:basedOn w:val="Normal"/>
    <w:next w:val="Normal"/>
    <w:autoRedefine/>
    <w:uiPriority w:val="99"/>
    <w:semiHidden/>
    <w:unhideWhenUsed/>
    <w:rsid w:val="00507F4B"/>
    <w:pPr>
      <w:spacing w:after="0"/>
      <w:ind w:left="1440" w:hanging="240"/>
    </w:pPr>
  </w:style>
  <w:style w:type="paragraph" w:styleId="Index7">
    <w:name w:val="index 7"/>
    <w:basedOn w:val="Normal"/>
    <w:next w:val="Normal"/>
    <w:autoRedefine/>
    <w:uiPriority w:val="99"/>
    <w:semiHidden/>
    <w:unhideWhenUsed/>
    <w:rsid w:val="00507F4B"/>
    <w:pPr>
      <w:spacing w:after="0"/>
      <w:ind w:left="1680" w:hanging="240"/>
    </w:pPr>
  </w:style>
  <w:style w:type="paragraph" w:styleId="Index8">
    <w:name w:val="index 8"/>
    <w:basedOn w:val="Normal"/>
    <w:next w:val="Normal"/>
    <w:autoRedefine/>
    <w:uiPriority w:val="99"/>
    <w:semiHidden/>
    <w:unhideWhenUsed/>
    <w:rsid w:val="00507F4B"/>
    <w:pPr>
      <w:spacing w:after="0"/>
      <w:ind w:left="1920" w:hanging="240"/>
    </w:pPr>
  </w:style>
  <w:style w:type="paragraph" w:styleId="Index9">
    <w:name w:val="index 9"/>
    <w:basedOn w:val="Normal"/>
    <w:next w:val="Normal"/>
    <w:autoRedefine/>
    <w:uiPriority w:val="99"/>
    <w:semiHidden/>
    <w:unhideWhenUsed/>
    <w:rsid w:val="00507F4B"/>
    <w:pPr>
      <w:spacing w:after="0"/>
      <w:ind w:left="2160" w:hanging="240"/>
    </w:pPr>
  </w:style>
  <w:style w:type="paragraph" w:styleId="IndexHeading">
    <w:name w:val="index heading"/>
    <w:basedOn w:val="Normal"/>
    <w:next w:val="Index1"/>
    <w:uiPriority w:val="99"/>
    <w:semiHidden/>
    <w:unhideWhenUsed/>
    <w:rsid w:val="00507F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07F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07F4B"/>
    <w:rPr>
      <w:rFonts w:ascii="Times New Roman" w:hAnsi="Times New Roman"/>
      <w:i/>
      <w:iCs/>
      <w:color w:val="4F81BD" w:themeColor="accent1"/>
      <w:sz w:val="24"/>
    </w:rPr>
  </w:style>
  <w:style w:type="paragraph" w:styleId="List">
    <w:name w:val="List"/>
    <w:basedOn w:val="Normal"/>
    <w:uiPriority w:val="99"/>
    <w:semiHidden/>
    <w:unhideWhenUsed/>
    <w:rsid w:val="00507F4B"/>
    <w:pPr>
      <w:ind w:left="283" w:hanging="283"/>
      <w:contextualSpacing/>
    </w:pPr>
  </w:style>
  <w:style w:type="paragraph" w:styleId="List2">
    <w:name w:val="List 2"/>
    <w:basedOn w:val="Normal"/>
    <w:uiPriority w:val="99"/>
    <w:semiHidden/>
    <w:unhideWhenUsed/>
    <w:rsid w:val="00507F4B"/>
    <w:pPr>
      <w:ind w:left="566" w:hanging="283"/>
      <w:contextualSpacing/>
    </w:pPr>
  </w:style>
  <w:style w:type="paragraph" w:styleId="List3">
    <w:name w:val="List 3"/>
    <w:basedOn w:val="Normal"/>
    <w:uiPriority w:val="99"/>
    <w:semiHidden/>
    <w:unhideWhenUsed/>
    <w:rsid w:val="00507F4B"/>
    <w:pPr>
      <w:ind w:left="849" w:hanging="283"/>
      <w:contextualSpacing/>
    </w:pPr>
  </w:style>
  <w:style w:type="paragraph" w:styleId="List4">
    <w:name w:val="List 4"/>
    <w:basedOn w:val="Normal"/>
    <w:uiPriority w:val="99"/>
    <w:semiHidden/>
    <w:unhideWhenUsed/>
    <w:rsid w:val="00507F4B"/>
    <w:pPr>
      <w:ind w:left="1132" w:hanging="283"/>
      <w:contextualSpacing/>
    </w:pPr>
  </w:style>
  <w:style w:type="paragraph" w:styleId="List5">
    <w:name w:val="List 5"/>
    <w:basedOn w:val="Normal"/>
    <w:uiPriority w:val="99"/>
    <w:semiHidden/>
    <w:unhideWhenUsed/>
    <w:rsid w:val="00507F4B"/>
    <w:pPr>
      <w:ind w:left="1415" w:hanging="283"/>
      <w:contextualSpacing/>
    </w:pPr>
  </w:style>
  <w:style w:type="paragraph" w:styleId="ListBullet">
    <w:name w:val="List Bullet"/>
    <w:basedOn w:val="Normal"/>
    <w:uiPriority w:val="99"/>
    <w:semiHidden/>
    <w:unhideWhenUsed/>
    <w:rsid w:val="00507F4B"/>
    <w:pPr>
      <w:numPr>
        <w:numId w:val="6"/>
      </w:numPr>
      <w:contextualSpacing/>
    </w:pPr>
  </w:style>
  <w:style w:type="paragraph" w:styleId="ListBullet2">
    <w:name w:val="List Bullet 2"/>
    <w:basedOn w:val="Normal"/>
    <w:uiPriority w:val="99"/>
    <w:semiHidden/>
    <w:unhideWhenUsed/>
    <w:rsid w:val="00507F4B"/>
    <w:pPr>
      <w:numPr>
        <w:numId w:val="7"/>
      </w:numPr>
      <w:contextualSpacing/>
    </w:pPr>
  </w:style>
  <w:style w:type="paragraph" w:styleId="ListBullet3">
    <w:name w:val="List Bullet 3"/>
    <w:basedOn w:val="Normal"/>
    <w:uiPriority w:val="99"/>
    <w:semiHidden/>
    <w:unhideWhenUsed/>
    <w:rsid w:val="00507F4B"/>
    <w:pPr>
      <w:numPr>
        <w:numId w:val="8"/>
      </w:numPr>
      <w:contextualSpacing/>
    </w:pPr>
  </w:style>
  <w:style w:type="paragraph" w:styleId="ListBullet4">
    <w:name w:val="List Bullet 4"/>
    <w:basedOn w:val="Normal"/>
    <w:uiPriority w:val="99"/>
    <w:semiHidden/>
    <w:unhideWhenUsed/>
    <w:rsid w:val="00507F4B"/>
    <w:pPr>
      <w:numPr>
        <w:numId w:val="9"/>
      </w:numPr>
      <w:contextualSpacing/>
    </w:pPr>
  </w:style>
  <w:style w:type="paragraph" w:styleId="ListBullet5">
    <w:name w:val="List Bullet 5"/>
    <w:basedOn w:val="Normal"/>
    <w:uiPriority w:val="99"/>
    <w:semiHidden/>
    <w:unhideWhenUsed/>
    <w:rsid w:val="00507F4B"/>
    <w:pPr>
      <w:numPr>
        <w:numId w:val="10"/>
      </w:numPr>
      <w:contextualSpacing/>
    </w:pPr>
  </w:style>
  <w:style w:type="paragraph" w:styleId="ListContinue">
    <w:name w:val="List Continue"/>
    <w:basedOn w:val="Normal"/>
    <w:uiPriority w:val="99"/>
    <w:semiHidden/>
    <w:unhideWhenUsed/>
    <w:rsid w:val="00507F4B"/>
    <w:pPr>
      <w:ind w:left="283"/>
      <w:contextualSpacing/>
    </w:pPr>
  </w:style>
  <w:style w:type="paragraph" w:styleId="ListContinue2">
    <w:name w:val="List Continue 2"/>
    <w:basedOn w:val="Normal"/>
    <w:uiPriority w:val="99"/>
    <w:semiHidden/>
    <w:unhideWhenUsed/>
    <w:rsid w:val="00507F4B"/>
    <w:pPr>
      <w:ind w:left="566"/>
      <w:contextualSpacing/>
    </w:pPr>
  </w:style>
  <w:style w:type="paragraph" w:styleId="ListContinue3">
    <w:name w:val="List Continue 3"/>
    <w:basedOn w:val="Normal"/>
    <w:uiPriority w:val="99"/>
    <w:semiHidden/>
    <w:unhideWhenUsed/>
    <w:rsid w:val="00507F4B"/>
    <w:pPr>
      <w:ind w:left="849"/>
      <w:contextualSpacing/>
    </w:pPr>
  </w:style>
  <w:style w:type="paragraph" w:styleId="ListContinue4">
    <w:name w:val="List Continue 4"/>
    <w:basedOn w:val="Normal"/>
    <w:uiPriority w:val="99"/>
    <w:semiHidden/>
    <w:unhideWhenUsed/>
    <w:rsid w:val="00507F4B"/>
    <w:pPr>
      <w:ind w:left="1132"/>
      <w:contextualSpacing/>
    </w:pPr>
  </w:style>
  <w:style w:type="paragraph" w:styleId="ListContinue5">
    <w:name w:val="List Continue 5"/>
    <w:basedOn w:val="Normal"/>
    <w:uiPriority w:val="99"/>
    <w:semiHidden/>
    <w:unhideWhenUsed/>
    <w:rsid w:val="00507F4B"/>
    <w:pPr>
      <w:ind w:left="1415"/>
      <w:contextualSpacing/>
    </w:pPr>
  </w:style>
  <w:style w:type="paragraph" w:styleId="ListNumber">
    <w:name w:val="List Number"/>
    <w:basedOn w:val="Normal"/>
    <w:uiPriority w:val="99"/>
    <w:semiHidden/>
    <w:unhideWhenUsed/>
    <w:rsid w:val="00507F4B"/>
    <w:pPr>
      <w:numPr>
        <w:numId w:val="11"/>
      </w:numPr>
      <w:contextualSpacing/>
    </w:pPr>
  </w:style>
  <w:style w:type="paragraph" w:styleId="ListNumber2">
    <w:name w:val="List Number 2"/>
    <w:basedOn w:val="Normal"/>
    <w:uiPriority w:val="99"/>
    <w:semiHidden/>
    <w:unhideWhenUsed/>
    <w:rsid w:val="00507F4B"/>
    <w:pPr>
      <w:numPr>
        <w:numId w:val="12"/>
      </w:numPr>
      <w:contextualSpacing/>
    </w:pPr>
  </w:style>
  <w:style w:type="paragraph" w:styleId="ListNumber3">
    <w:name w:val="List Number 3"/>
    <w:basedOn w:val="Normal"/>
    <w:uiPriority w:val="99"/>
    <w:semiHidden/>
    <w:unhideWhenUsed/>
    <w:rsid w:val="00507F4B"/>
    <w:pPr>
      <w:numPr>
        <w:numId w:val="13"/>
      </w:numPr>
      <w:contextualSpacing/>
    </w:pPr>
  </w:style>
  <w:style w:type="paragraph" w:styleId="ListNumber4">
    <w:name w:val="List Number 4"/>
    <w:basedOn w:val="Normal"/>
    <w:uiPriority w:val="99"/>
    <w:semiHidden/>
    <w:unhideWhenUsed/>
    <w:rsid w:val="00507F4B"/>
    <w:pPr>
      <w:numPr>
        <w:numId w:val="14"/>
      </w:numPr>
      <w:contextualSpacing/>
    </w:pPr>
  </w:style>
  <w:style w:type="paragraph" w:styleId="ListNumber5">
    <w:name w:val="List Number 5"/>
    <w:basedOn w:val="Normal"/>
    <w:uiPriority w:val="99"/>
    <w:semiHidden/>
    <w:unhideWhenUsed/>
    <w:rsid w:val="00507F4B"/>
    <w:pPr>
      <w:numPr>
        <w:numId w:val="15"/>
      </w:numPr>
      <w:contextualSpacing/>
    </w:pPr>
  </w:style>
  <w:style w:type="paragraph" w:styleId="MacroText">
    <w:name w:val="macro"/>
    <w:link w:val="MacroTextChar"/>
    <w:uiPriority w:val="99"/>
    <w:semiHidden/>
    <w:unhideWhenUsed/>
    <w:rsid w:val="00507F4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507F4B"/>
    <w:rPr>
      <w:rFonts w:ascii="Consolas" w:hAnsi="Consolas"/>
      <w:sz w:val="20"/>
      <w:szCs w:val="20"/>
    </w:rPr>
  </w:style>
  <w:style w:type="paragraph" w:styleId="MessageHeader">
    <w:name w:val="Message Header"/>
    <w:basedOn w:val="Normal"/>
    <w:link w:val="MessageHeaderChar"/>
    <w:uiPriority w:val="99"/>
    <w:semiHidden/>
    <w:unhideWhenUsed/>
    <w:rsid w:val="00507F4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507F4B"/>
    <w:rPr>
      <w:rFonts w:asciiTheme="majorHAnsi" w:eastAsiaTheme="majorEastAsia" w:hAnsiTheme="majorHAnsi" w:cstheme="majorBidi"/>
      <w:sz w:val="24"/>
      <w:szCs w:val="24"/>
      <w:shd w:val="pct20" w:color="auto" w:fill="auto"/>
    </w:rPr>
  </w:style>
  <w:style w:type="paragraph" w:styleId="NoSpacing">
    <w:name w:val="No Spacing"/>
    <w:uiPriority w:val="1"/>
    <w:qFormat/>
    <w:rsid w:val="00507F4B"/>
    <w:pPr>
      <w:spacing w:after="0" w:line="240" w:lineRule="auto"/>
    </w:pPr>
    <w:rPr>
      <w:rFonts w:ascii="Times New Roman" w:hAnsi="Times New Roman"/>
      <w:sz w:val="24"/>
    </w:rPr>
  </w:style>
  <w:style w:type="paragraph" w:styleId="NormalIndent">
    <w:name w:val="Normal Indent"/>
    <w:basedOn w:val="Normal"/>
    <w:uiPriority w:val="99"/>
    <w:semiHidden/>
    <w:unhideWhenUsed/>
    <w:rsid w:val="00507F4B"/>
    <w:pPr>
      <w:ind w:left="720"/>
    </w:pPr>
  </w:style>
  <w:style w:type="paragraph" w:styleId="NoteHeading">
    <w:name w:val="Note Heading"/>
    <w:basedOn w:val="Normal"/>
    <w:next w:val="Normal"/>
    <w:link w:val="NoteHeadingChar"/>
    <w:uiPriority w:val="99"/>
    <w:semiHidden/>
    <w:unhideWhenUsed/>
    <w:rsid w:val="00507F4B"/>
    <w:pPr>
      <w:spacing w:after="0"/>
    </w:pPr>
  </w:style>
  <w:style w:type="character" w:customStyle="1" w:styleId="NoteHeadingChar">
    <w:name w:val="Note Heading Char"/>
    <w:basedOn w:val="DefaultParagraphFont"/>
    <w:link w:val="NoteHeading"/>
    <w:uiPriority w:val="99"/>
    <w:semiHidden/>
    <w:rsid w:val="00507F4B"/>
    <w:rPr>
      <w:rFonts w:ascii="Times New Roman" w:hAnsi="Times New Roman"/>
      <w:sz w:val="24"/>
    </w:rPr>
  </w:style>
  <w:style w:type="paragraph" w:styleId="PlainText">
    <w:name w:val="Plain Text"/>
    <w:basedOn w:val="Normal"/>
    <w:link w:val="PlainTextChar"/>
    <w:uiPriority w:val="99"/>
    <w:semiHidden/>
    <w:unhideWhenUsed/>
    <w:rsid w:val="00507F4B"/>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07F4B"/>
    <w:rPr>
      <w:rFonts w:ascii="Consolas" w:hAnsi="Consolas"/>
      <w:sz w:val="21"/>
      <w:szCs w:val="21"/>
    </w:rPr>
  </w:style>
  <w:style w:type="paragraph" w:styleId="Quote">
    <w:name w:val="Quote"/>
    <w:basedOn w:val="Normal"/>
    <w:next w:val="Normal"/>
    <w:link w:val="QuoteChar"/>
    <w:uiPriority w:val="29"/>
    <w:qFormat/>
    <w:rsid w:val="00507F4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07F4B"/>
    <w:rPr>
      <w:rFonts w:ascii="Times New Roman" w:hAnsi="Times New Roman"/>
      <w:i/>
      <w:iCs/>
      <w:color w:val="404040" w:themeColor="text1" w:themeTint="BF"/>
      <w:sz w:val="24"/>
    </w:rPr>
  </w:style>
  <w:style w:type="paragraph" w:styleId="Salutation">
    <w:name w:val="Salutation"/>
    <w:basedOn w:val="Normal"/>
    <w:next w:val="Normal"/>
    <w:link w:val="SalutationChar"/>
    <w:uiPriority w:val="99"/>
    <w:semiHidden/>
    <w:unhideWhenUsed/>
    <w:rsid w:val="00507F4B"/>
  </w:style>
  <w:style w:type="character" w:customStyle="1" w:styleId="SalutationChar">
    <w:name w:val="Salutation Char"/>
    <w:basedOn w:val="DefaultParagraphFont"/>
    <w:link w:val="Salutation"/>
    <w:uiPriority w:val="99"/>
    <w:semiHidden/>
    <w:rsid w:val="00507F4B"/>
    <w:rPr>
      <w:rFonts w:ascii="Times New Roman" w:hAnsi="Times New Roman"/>
      <w:sz w:val="24"/>
    </w:rPr>
  </w:style>
  <w:style w:type="paragraph" w:styleId="Signature">
    <w:name w:val="Signature"/>
    <w:basedOn w:val="Normal"/>
    <w:link w:val="SignatureChar"/>
    <w:uiPriority w:val="99"/>
    <w:semiHidden/>
    <w:unhideWhenUsed/>
    <w:rsid w:val="00507F4B"/>
    <w:pPr>
      <w:spacing w:after="0"/>
      <w:ind w:left="4252"/>
    </w:pPr>
  </w:style>
  <w:style w:type="character" w:customStyle="1" w:styleId="SignatureChar">
    <w:name w:val="Signature Char"/>
    <w:basedOn w:val="DefaultParagraphFont"/>
    <w:link w:val="Signature"/>
    <w:uiPriority w:val="99"/>
    <w:semiHidden/>
    <w:rsid w:val="00507F4B"/>
    <w:rPr>
      <w:rFonts w:ascii="Times New Roman" w:hAnsi="Times New Roman"/>
      <w:sz w:val="24"/>
    </w:rPr>
  </w:style>
  <w:style w:type="paragraph" w:styleId="TableofAuthorities">
    <w:name w:val="table of authorities"/>
    <w:basedOn w:val="Normal"/>
    <w:next w:val="Normal"/>
    <w:uiPriority w:val="99"/>
    <w:semiHidden/>
    <w:unhideWhenUsed/>
    <w:rsid w:val="00507F4B"/>
    <w:pPr>
      <w:spacing w:after="0"/>
      <w:ind w:left="240" w:hanging="240"/>
    </w:pPr>
  </w:style>
  <w:style w:type="paragraph" w:styleId="TableofFigures">
    <w:name w:val="table of figures"/>
    <w:basedOn w:val="Normal"/>
    <w:next w:val="Normal"/>
    <w:uiPriority w:val="99"/>
    <w:semiHidden/>
    <w:unhideWhenUsed/>
    <w:rsid w:val="00507F4B"/>
    <w:pPr>
      <w:spacing w:after="0"/>
    </w:pPr>
  </w:style>
  <w:style w:type="paragraph" w:styleId="TOAHeading">
    <w:name w:val="toa heading"/>
    <w:basedOn w:val="Normal"/>
    <w:next w:val="Normal"/>
    <w:uiPriority w:val="99"/>
    <w:semiHidden/>
    <w:unhideWhenUsed/>
    <w:rsid w:val="00507F4B"/>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507F4B"/>
    <w:pPr>
      <w:spacing w:after="100"/>
    </w:pPr>
  </w:style>
  <w:style w:type="paragraph" w:styleId="TOC2">
    <w:name w:val="toc 2"/>
    <w:basedOn w:val="Normal"/>
    <w:next w:val="Normal"/>
    <w:autoRedefine/>
    <w:uiPriority w:val="39"/>
    <w:semiHidden/>
    <w:unhideWhenUsed/>
    <w:rsid w:val="00507F4B"/>
    <w:pPr>
      <w:spacing w:after="100"/>
      <w:ind w:left="240"/>
    </w:pPr>
  </w:style>
  <w:style w:type="paragraph" w:styleId="TOC3">
    <w:name w:val="toc 3"/>
    <w:basedOn w:val="Normal"/>
    <w:next w:val="Normal"/>
    <w:autoRedefine/>
    <w:uiPriority w:val="39"/>
    <w:semiHidden/>
    <w:unhideWhenUsed/>
    <w:rsid w:val="00507F4B"/>
    <w:pPr>
      <w:spacing w:after="100"/>
      <w:ind w:left="480"/>
    </w:pPr>
  </w:style>
  <w:style w:type="paragraph" w:styleId="TOC4">
    <w:name w:val="toc 4"/>
    <w:basedOn w:val="Normal"/>
    <w:next w:val="Normal"/>
    <w:autoRedefine/>
    <w:uiPriority w:val="39"/>
    <w:semiHidden/>
    <w:unhideWhenUsed/>
    <w:rsid w:val="00507F4B"/>
    <w:pPr>
      <w:spacing w:after="100"/>
      <w:ind w:left="720"/>
    </w:pPr>
  </w:style>
  <w:style w:type="paragraph" w:styleId="TOC5">
    <w:name w:val="toc 5"/>
    <w:basedOn w:val="Normal"/>
    <w:next w:val="Normal"/>
    <w:autoRedefine/>
    <w:uiPriority w:val="39"/>
    <w:semiHidden/>
    <w:unhideWhenUsed/>
    <w:rsid w:val="00507F4B"/>
    <w:pPr>
      <w:spacing w:after="100"/>
      <w:ind w:left="960"/>
    </w:pPr>
  </w:style>
  <w:style w:type="paragraph" w:styleId="TOC6">
    <w:name w:val="toc 6"/>
    <w:basedOn w:val="Normal"/>
    <w:next w:val="Normal"/>
    <w:autoRedefine/>
    <w:uiPriority w:val="39"/>
    <w:semiHidden/>
    <w:unhideWhenUsed/>
    <w:rsid w:val="00507F4B"/>
    <w:pPr>
      <w:spacing w:after="100"/>
      <w:ind w:left="1200"/>
    </w:pPr>
  </w:style>
  <w:style w:type="paragraph" w:styleId="TOC7">
    <w:name w:val="toc 7"/>
    <w:basedOn w:val="Normal"/>
    <w:next w:val="Normal"/>
    <w:autoRedefine/>
    <w:uiPriority w:val="39"/>
    <w:semiHidden/>
    <w:unhideWhenUsed/>
    <w:rsid w:val="00507F4B"/>
    <w:pPr>
      <w:spacing w:after="100"/>
      <w:ind w:left="1440"/>
    </w:pPr>
  </w:style>
  <w:style w:type="paragraph" w:styleId="TOC8">
    <w:name w:val="toc 8"/>
    <w:basedOn w:val="Normal"/>
    <w:next w:val="Normal"/>
    <w:autoRedefine/>
    <w:uiPriority w:val="39"/>
    <w:semiHidden/>
    <w:unhideWhenUsed/>
    <w:rsid w:val="00507F4B"/>
    <w:pPr>
      <w:spacing w:after="100"/>
      <w:ind w:left="1680"/>
    </w:pPr>
  </w:style>
  <w:style w:type="paragraph" w:styleId="TOC9">
    <w:name w:val="toc 9"/>
    <w:basedOn w:val="Normal"/>
    <w:next w:val="Normal"/>
    <w:autoRedefine/>
    <w:uiPriority w:val="39"/>
    <w:semiHidden/>
    <w:unhideWhenUsed/>
    <w:rsid w:val="00507F4B"/>
    <w:pPr>
      <w:spacing w:after="100"/>
      <w:ind w:left="1920"/>
    </w:pPr>
  </w:style>
  <w:style w:type="paragraph" w:styleId="TOCHeading">
    <w:name w:val="TOC Heading"/>
    <w:basedOn w:val="Heading1"/>
    <w:next w:val="Normal"/>
    <w:uiPriority w:val="39"/>
    <w:semiHidden/>
    <w:unhideWhenUsed/>
    <w:qFormat/>
    <w:rsid w:val="00507F4B"/>
    <w:pPr>
      <w:spacing w:before="240" w:after="0"/>
      <w:outlineLvl w:val="9"/>
    </w:pPr>
    <w:rPr>
      <w:rFonts w:asciiTheme="majorHAnsi" w:hAnsiTheme="majorHAnsi"/>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25048">
      <w:bodyDiv w:val="1"/>
      <w:marLeft w:val="0"/>
      <w:marRight w:val="0"/>
      <w:marTop w:val="0"/>
      <w:marBottom w:val="0"/>
      <w:divBdr>
        <w:top w:val="none" w:sz="0" w:space="0" w:color="auto"/>
        <w:left w:val="none" w:sz="0" w:space="0" w:color="auto"/>
        <w:bottom w:val="none" w:sz="0" w:space="0" w:color="auto"/>
        <w:right w:val="none" w:sz="0" w:space="0" w:color="auto"/>
      </w:divBdr>
    </w:div>
    <w:div w:id="56905652">
      <w:bodyDiv w:val="1"/>
      <w:marLeft w:val="0"/>
      <w:marRight w:val="0"/>
      <w:marTop w:val="0"/>
      <w:marBottom w:val="0"/>
      <w:divBdr>
        <w:top w:val="none" w:sz="0" w:space="0" w:color="auto"/>
        <w:left w:val="none" w:sz="0" w:space="0" w:color="auto"/>
        <w:bottom w:val="none" w:sz="0" w:space="0" w:color="auto"/>
        <w:right w:val="none" w:sz="0" w:space="0" w:color="auto"/>
      </w:divBdr>
    </w:div>
    <w:div w:id="187766367">
      <w:bodyDiv w:val="1"/>
      <w:marLeft w:val="0"/>
      <w:marRight w:val="0"/>
      <w:marTop w:val="0"/>
      <w:marBottom w:val="0"/>
      <w:divBdr>
        <w:top w:val="none" w:sz="0" w:space="0" w:color="auto"/>
        <w:left w:val="none" w:sz="0" w:space="0" w:color="auto"/>
        <w:bottom w:val="none" w:sz="0" w:space="0" w:color="auto"/>
        <w:right w:val="none" w:sz="0" w:space="0" w:color="auto"/>
      </w:divBdr>
    </w:div>
    <w:div w:id="20298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lannery\AppData\Local\Microsoft\Windows\Temporary%20Internet%20Files\Content.Outlook\95P6M2J7\REZLEO%20PI-annot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4015D-62CF-4FEA-8932-F6B317D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REZLEO PI-annotated.dotx</Template>
  <TotalTime>5</TotalTime>
  <Pages>16</Pages>
  <Words>4571</Words>
  <Characters>26076</Characters>
  <Application>Microsoft Office Word</Application>
  <DocSecurity>0</DocSecurity>
  <Lines>474</Lines>
  <Paragraphs>223</Paragraphs>
  <ScaleCrop>false</ScaleCrop>
  <HeadingPairs>
    <vt:vector size="2" baseType="variant">
      <vt:variant>
        <vt:lpstr>Title</vt:lpstr>
      </vt:variant>
      <vt:variant>
        <vt:i4>1</vt:i4>
      </vt:variant>
    </vt:vector>
  </HeadingPairs>
  <TitlesOfParts>
    <vt:vector size="1" baseType="lpstr">
      <vt:lpstr/>
    </vt:vector>
  </TitlesOfParts>
  <Company>Teva</Company>
  <LinksUpToDate>false</LinksUpToDate>
  <CharactersWithSpaces>30424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Reslizumab </dc:title>
  <dc:subject>prescription medicines</dc:subject>
  <dc:creator/>
  <cp:keywords>AusPARs</cp:keywords>
  <cp:lastModifiedBy>LACK, Janet</cp:lastModifiedBy>
  <cp:revision>3</cp:revision>
  <cp:lastPrinted>2017-08-01T01:06:00Z</cp:lastPrinted>
  <dcterms:created xsi:type="dcterms:W3CDTF">2018-06-14T03:42:00Z</dcterms:created>
  <dcterms:modified xsi:type="dcterms:W3CDTF">2018-06-14T06:06:00Z</dcterms:modified>
</cp:coreProperties>
</file>