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70" w:rsidRPr="00B50C48" w:rsidRDefault="005E1570" w:rsidP="00C3017A">
      <w:pPr>
        <w:pStyle w:val="Heading1"/>
        <w:numPr>
          <w:ilvl w:val="0"/>
          <w:numId w:val="0"/>
        </w:numPr>
        <w:spacing w:before="0"/>
        <w:jc w:val="both"/>
        <w:rPr>
          <w:sz w:val="24"/>
          <w:lang w:eastAsia="zh-CN"/>
        </w:rPr>
      </w:pPr>
      <w:bookmarkStart w:id="0" w:name="_GoBack"/>
      <w:bookmarkEnd w:id="0"/>
      <w:r w:rsidRPr="00B50C48">
        <w:rPr>
          <w:sz w:val="24"/>
          <w:lang w:eastAsia="zh-CN"/>
        </w:rPr>
        <w:t>PRODUCT INFORMATION</w:t>
      </w:r>
    </w:p>
    <w:p w:rsidR="005E1570" w:rsidRPr="00B50C48" w:rsidRDefault="00954E99" w:rsidP="009421D5">
      <w:pPr>
        <w:pStyle w:val="Heading1"/>
        <w:numPr>
          <w:ilvl w:val="0"/>
          <w:numId w:val="0"/>
        </w:numPr>
        <w:jc w:val="both"/>
        <w:rPr>
          <w:sz w:val="24"/>
          <w:lang w:eastAsia="zh-CN"/>
        </w:rPr>
      </w:pPr>
      <w:r w:rsidRPr="00B50C48">
        <w:rPr>
          <w:sz w:val="24"/>
          <w:lang w:eastAsia="zh-CN"/>
        </w:rPr>
        <w:t>ADEMPAS</w:t>
      </w:r>
      <w:r w:rsidR="00871505" w:rsidRPr="00B50C48">
        <w:rPr>
          <w:sz w:val="24"/>
          <w:vertAlign w:val="superscript"/>
          <w:lang w:eastAsia="zh-CN"/>
        </w:rPr>
        <w:t>®</w:t>
      </w:r>
      <w:r w:rsidR="005E1570" w:rsidRPr="00B50C48">
        <w:rPr>
          <w:sz w:val="24"/>
          <w:lang w:eastAsia="zh-CN"/>
        </w:rPr>
        <w:t xml:space="preserve"> (</w:t>
      </w:r>
      <w:r w:rsidR="00871505" w:rsidRPr="00B50C48">
        <w:rPr>
          <w:sz w:val="24"/>
          <w:lang w:eastAsia="zh-CN"/>
        </w:rPr>
        <w:t>r</w:t>
      </w:r>
      <w:r w:rsidR="005E1570" w:rsidRPr="00B50C48">
        <w:rPr>
          <w:sz w:val="24"/>
          <w:lang w:eastAsia="zh-CN"/>
        </w:rPr>
        <w:t>iociguat)</w:t>
      </w:r>
    </w:p>
    <w:p w:rsidR="00BA153E" w:rsidRPr="00BA153E" w:rsidRDefault="003F506D" w:rsidP="00BA153E">
      <w:pPr>
        <w:pBdr>
          <w:top w:val="single" w:sz="4" w:space="6" w:color="auto"/>
          <w:left w:val="single" w:sz="4" w:space="4" w:color="auto"/>
          <w:bottom w:val="single" w:sz="4" w:space="6" w:color="auto"/>
          <w:right w:val="single" w:sz="4" w:space="4" w:color="auto"/>
        </w:pBdr>
        <w:spacing w:before="120" w:after="120"/>
        <w:rPr>
          <w:b/>
          <w:sz w:val="24"/>
          <w:lang w:eastAsia="zh-CN"/>
        </w:rPr>
      </w:pPr>
      <w:r w:rsidRPr="00BA153E">
        <w:rPr>
          <w:b/>
          <w:sz w:val="24"/>
          <w:lang w:eastAsia="zh-CN"/>
        </w:rPr>
        <w:t>ADEMPAS</w:t>
      </w:r>
      <w:r w:rsidR="00BA153E" w:rsidRPr="00BA153E">
        <w:rPr>
          <w:b/>
          <w:sz w:val="24"/>
          <w:lang w:eastAsia="zh-CN"/>
        </w:rPr>
        <w:t xml:space="preserve"> may cause </w:t>
      </w:r>
      <w:r w:rsidR="0047362A">
        <w:rPr>
          <w:b/>
          <w:sz w:val="24"/>
          <w:lang w:eastAsia="zh-CN"/>
        </w:rPr>
        <w:t xml:space="preserve">birth defects </w:t>
      </w:r>
      <w:r w:rsidR="00BA153E" w:rsidRPr="00BA153E">
        <w:rPr>
          <w:b/>
          <w:sz w:val="24"/>
          <w:lang w:eastAsia="zh-CN"/>
        </w:rPr>
        <w:t>and</w:t>
      </w:r>
      <w:r w:rsidRPr="00BA153E">
        <w:rPr>
          <w:b/>
          <w:sz w:val="24"/>
          <w:lang w:eastAsia="zh-CN"/>
        </w:rPr>
        <w:t xml:space="preserve"> </w:t>
      </w:r>
      <w:r w:rsidR="00377BB8" w:rsidRPr="00BA153E">
        <w:rPr>
          <w:b/>
          <w:sz w:val="24"/>
          <w:lang w:eastAsia="zh-CN"/>
        </w:rPr>
        <w:t>is contraindicated in pregnancy</w:t>
      </w:r>
      <w:r w:rsidR="00BA153E" w:rsidRPr="00BA153E">
        <w:rPr>
          <w:b/>
          <w:sz w:val="24"/>
          <w:lang w:eastAsia="zh-CN"/>
        </w:rPr>
        <w:t>.</w:t>
      </w:r>
      <w:r w:rsidR="00377BB8" w:rsidRPr="00BA153E">
        <w:rPr>
          <w:b/>
          <w:sz w:val="24"/>
          <w:lang w:eastAsia="zh-CN"/>
        </w:rPr>
        <w:t xml:space="preserve"> </w:t>
      </w:r>
    </w:p>
    <w:p w:rsidR="003F506D" w:rsidRPr="00BA153E" w:rsidRDefault="00377BB8" w:rsidP="00BA153E">
      <w:pPr>
        <w:pBdr>
          <w:top w:val="single" w:sz="4" w:space="6" w:color="auto"/>
          <w:left w:val="single" w:sz="4" w:space="4" w:color="auto"/>
          <w:bottom w:val="single" w:sz="4" w:space="6" w:color="auto"/>
          <w:right w:val="single" w:sz="4" w:space="4" w:color="auto"/>
        </w:pBdr>
        <w:spacing w:before="120" w:after="120"/>
        <w:rPr>
          <w:b/>
          <w:sz w:val="24"/>
          <w:lang w:eastAsia="zh-CN"/>
        </w:rPr>
      </w:pPr>
      <w:r w:rsidRPr="00BA153E">
        <w:rPr>
          <w:b/>
          <w:sz w:val="24"/>
          <w:lang w:eastAsia="zh-CN"/>
        </w:rPr>
        <w:t>(see CONTRAINDICATIONS</w:t>
      </w:r>
      <w:r w:rsidR="00BA153E">
        <w:rPr>
          <w:b/>
          <w:sz w:val="24"/>
          <w:lang w:eastAsia="zh-CN"/>
        </w:rPr>
        <w:t xml:space="preserve"> and PRECAUTIONS</w:t>
      </w:r>
      <w:r w:rsidRPr="00BA153E">
        <w:rPr>
          <w:b/>
          <w:sz w:val="24"/>
          <w:lang w:eastAsia="zh-CN"/>
        </w:rPr>
        <w:t>)</w:t>
      </w:r>
    </w:p>
    <w:p w:rsidR="005E1570" w:rsidRPr="00B50C48" w:rsidRDefault="005E1570" w:rsidP="009421D5">
      <w:pPr>
        <w:pStyle w:val="Heading1"/>
        <w:numPr>
          <w:ilvl w:val="0"/>
          <w:numId w:val="0"/>
        </w:numPr>
        <w:jc w:val="both"/>
        <w:rPr>
          <w:sz w:val="24"/>
          <w:lang w:eastAsia="zh-CN"/>
        </w:rPr>
      </w:pPr>
      <w:r w:rsidRPr="00B50C48">
        <w:rPr>
          <w:sz w:val="24"/>
          <w:lang w:eastAsia="zh-CN"/>
        </w:rPr>
        <w:t>NAME OF THE MEDICINE</w:t>
      </w:r>
    </w:p>
    <w:p w:rsidR="009421D5" w:rsidRPr="00B50C48" w:rsidRDefault="00954E99" w:rsidP="009421D5">
      <w:pPr>
        <w:pStyle w:val="BayerBodyTextFull"/>
        <w:spacing w:after="240" w:line="276" w:lineRule="auto"/>
        <w:jc w:val="both"/>
        <w:rPr>
          <w:sz w:val="22"/>
        </w:rPr>
      </w:pPr>
      <w:r w:rsidRPr="00B50C48">
        <w:rPr>
          <w:sz w:val="22"/>
        </w:rPr>
        <w:t>Adempas</w:t>
      </w:r>
      <w:r w:rsidR="009421D5" w:rsidRPr="00B50C48">
        <w:rPr>
          <w:sz w:val="22"/>
        </w:rPr>
        <w:t xml:space="preserve"> (riociguat) </w:t>
      </w:r>
      <w:r w:rsidR="000B4082">
        <w:rPr>
          <w:sz w:val="22"/>
        </w:rPr>
        <w:t>0.5 mg, 1 mg, 1.5 mg</w:t>
      </w:r>
      <w:r w:rsidR="0094110C">
        <w:rPr>
          <w:sz w:val="22"/>
        </w:rPr>
        <w:t>,</w:t>
      </w:r>
      <w:r w:rsidR="000B4082">
        <w:rPr>
          <w:sz w:val="22"/>
        </w:rPr>
        <w:t xml:space="preserve"> 2 mg and 2.5 mg film-coated tablets</w:t>
      </w:r>
      <w:r w:rsidR="000B4082" w:rsidRPr="00B50C48">
        <w:rPr>
          <w:sz w:val="22"/>
        </w:rPr>
        <w:t xml:space="preserve"> </w:t>
      </w:r>
      <w:r w:rsidR="009421D5" w:rsidRPr="00B50C48">
        <w:rPr>
          <w:sz w:val="22"/>
        </w:rPr>
        <w:t>for oral administration.</w:t>
      </w:r>
    </w:p>
    <w:p w:rsidR="007B1E68" w:rsidRPr="00B50C48" w:rsidRDefault="00F023B7" w:rsidP="009421D5">
      <w:pPr>
        <w:pStyle w:val="BayerBodyTextFull"/>
        <w:spacing w:after="240" w:line="276" w:lineRule="auto"/>
        <w:jc w:val="both"/>
        <w:rPr>
          <w:sz w:val="22"/>
        </w:rPr>
      </w:pPr>
      <w:r w:rsidRPr="00B50C48">
        <w:rPr>
          <w:sz w:val="22"/>
        </w:rPr>
        <w:t>The chemical formula for riociguat is m</w:t>
      </w:r>
      <w:r w:rsidR="009421D5" w:rsidRPr="00B50C48">
        <w:rPr>
          <w:sz w:val="22"/>
        </w:rPr>
        <w:t>ethyl 4,6</w:t>
      </w:r>
      <w:r w:rsidR="009421D5" w:rsidRPr="00B50C48">
        <w:rPr>
          <w:sz w:val="22"/>
        </w:rPr>
        <w:noBreakHyphen/>
        <w:t>diamino</w:t>
      </w:r>
      <w:r w:rsidR="009421D5" w:rsidRPr="00B50C48">
        <w:rPr>
          <w:sz w:val="22"/>
        </w:rPr>
        <w:noBreakHyphen/>
        <w:t>2</w:t>
      </w:r>
      <w:r w:rsidR="009421D5" w:rsidRPr="00B50C48">
        <w:rPr>
          <w:sz w:val="22"/>
        </w:rPr>
        <w:noBreakHyphen/>
        <w:t>[1</w:t>
      </w:r>
      <w:r w:rsidR="009421D5" w:rsidRPr="00B50C48">
        <w:rPr>
          <w:sz w:val="22"/>
        </w:rPr>
        <w:noBreakHyphen/>
        <w:t>(2</w:t>
      </w:r>
      <w:r w:rsidR="009421D5" w:rsidRPr="00B50C48">
        <w:rPr>
          <w:sz w:val="22"/>
        </w:rPr>
        <w:noBreakHyphen/>
        <w:t>fluorobenzyl)</w:t>
      </w:r>
      <w:r w:rsidR="009421D5" w:rsidRPr="00B50C48">
        <w:rPr>
          <w:sz w:val="22"/>
        </w:rPr>
        <w:noBreakHyphen/>
        <w:t>1H</w:t>
      </w:r>
      <w:r w:rsidR="009421D5" w:rsidRPr="00B50C48">
        <w:rPr>
          <w:sz w:val="22"/>
        </w:rPr>
        <w:noBreakHyphen/>
        <w:t>pyrazolo [3,4</w:t>
      </w:r>
      <w:r w:rsidR="009421D5" w:rsidRPr="00B50C48">
        <w:rPr>
          <w:sz w:val="22"/>
        </w:rPr>
        <w:noBreakHyphen/>
        <w:t>b]pyridin</w:t>
      </w:r>
      <w:r w:rsidR="009421D5" w:rsidRPr="00B50C48">
        <w:rPr>
          <w:sz w:val="22"/>
        </w:rPr>
        <w:noBreakHyphen/>
        <w:t>3</w:t>
      </w:r>
      <w:r w:rsidR="009421D5" w:rsidRPr="00B50C48">
        <w:rPr>
          <w:sz w:val="22"/>
        </w:rPr>
        <w:noBreakHyphen/>
        <w:t>yl]</w:t>
      </w:r>
      <w:r w:rsidR="009421D5" w:rsidRPr="00B50C48">
        <w:rPr>
          <w:sz w:val="22"/>
        </w:rPr>
        <w:noBreakHyphen/>
        <w:t>5</w:t>
      </w:r>
      <w:r w:rsidR="009421D5" w:rsidRPr="00B50C48">
        <w:rPr>
          <w:sz w:val="22"/>
        </w:rPr>
        <w:noBreakHyphen/>
        <w:t>pyrimidinyl(methyl)carbamate</w:t>
      </w:r>
      <w:r w:rsidR="007B1E68" w:rsidRPr="00B50C48">
        <w:rPr>
          <w:sz w:val="22"/>
        </w:rPr>
        <w:t>.</w:t>
      </w:r>
      <w:r w:rsidR="009421D5" w:rsidRPr="00B50C48">
        <w:rPr>
          <w:sz w:val="22"/>
        </w:rPr>
        <w:t xml:space="preserve"> </w:t>
      </w:r>
    </w:p>
    <w:p w:rsidR="009421D5" w:rsidRPr="00B50C48" w:rsidRDefault="007B1E68" w:rsidP="009421D5">
      <w:pPr>
        <w:pStyle w:val="BayerBodyTextFull"/>
        <w:spacing w:after="240" w:line="276" w:lineRule="auto"/>
        <w:jc w:val="both"/>
        <w:rPr>
          <w:sz w:val="22"/>
        </w:rPr>
      </w:pPr>
      <w:r w:rsidRPr="00B50C48">
        <w:rPr>
          <w:sz w:val="22"/>
        </w:rPr>
        <w:t xml:space="preserve">Riociguat </w:t>
      </w:r>
      <w:r w:rsidR="009421D5" w:rsidRPr="00B50C48">
        <w:rPr>
          <w:sz w:val="22"/>
        </w:rPr>
        <w:t>has the following structural formula:</w:t>
      </w:r>
    </w:p>
    <w:p w:rsidR="009421D5" w:rsidRPr="00B50C48" w:rsidRDefault="009421D5" w:rsidP="009421D5">
      <w:pPr>
        <w:pStyle w:val="BayerBodyTextFull"/>
        <w:jc w:val="center"/>
        <w:rPr>
          <w:sz w:val="22"/>
        </w:rPr>
      </w:pPr>
      <w:r w:rsidRPr="00B50C48">
        <w:rPr>
          <w:color w:val="000000"/>
          <w:sz w:val="22"/>
        </w:rPr>
        <w:object w:dxaOrig="2580" w:dyaOrig="3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pt;height:151.5pt" o:ole="">
            <v:imagedata r:id="rId11" o:title=""/>
          </v:shape>
          <o:OLEObject Type="Embed" ProgID="ISISServer" ShapeID="_x0000_i1025" DrawAspect="Content" ObjectID="_1466247666" r:id="rId12"/>
        </w:object>
      </w:r>
    </w:p>
    <w:p w:rsidR="009421D5" w:rsidRDefault="009421D5" w:rsidP="009421D5">
      <w:pPr>
        <w:pStyle w:val="BayerBodyTextFull"/>
        <w:ind w:left="2880" w:firstLine="720"/>
        <w:jc w:val="both"/>
        <w:rPr>
          <w:sz w:val="22"/>
          <w:vertAlign w:val="subscript"/>
        </w:rPr>
      </w:pPr>
      <w:r w:rsidRPr="00B50C48">
        <w:rPr>
          <w:sz w:val="22"/>
        </w:rPr>
        <w:t>C</w:t>
      </w:r>
      <w:r w:rsidRPr="00B50C48">
        <w:rPr>
          <w:sz w:val="22"/>
          <w:vertAlign w:val="subscript"/>
        </w:rPr>
        <w:t>20</w:t>
      </w:r>
      <w:r w:rsidRPr="00B50C48">
        <w:rPr>
          <w:sz w:val="22"/>
        </w:rPr>
        <w:t>H</w:t>
      </w:r>
      <w:r w:rsidRPr="00B50C48">
        <w:rPr>
          <w:sz w:val="22"/>
          <w:vertAlign w:val="subscript"/>
        </w:rPr>
        <w:t>19</w:t>
      </w:r>
      <w:r w:rsidRPr="00B50C48">
        <w:rPr>
          <w:sz w:val="22"/>
        </w:rPr>
        <w:t>FN</w:t>
      </w:r>
      <w:r w:rsidRPr="00B50C48">
        <w:rPr>
          <w:sz w:val="22"/>
          <w:vertAlign w:val="subscript"/>
        </w:rPr>
        <w:t>8</w:t>
      </w:r>
      <w:r w:rsidRPr="00B50C48">
        <w:rPr>
          <w:sz w:val="22"/>
        </w:rPr>
        <w:t>O</w:t>
      </w:r>
      <w:r w:rsidRPr="00B50C48">
        <w:rPr>
          <w:sz w:val="22"/>
          <w:vertAlign w:val="subscript"/>
        </w:rPr>
        <w:t xml:space="preserve">2 </w:t>
      </w:r>
    </w:p>
    <w:p w:rsidR="000B4082" w:rsidRPr="00B50C48" w:rsidRDefault="000B4082" w:rsidP="009421D5">
      <w:pPr>
        <w:pStyle w:val="BayerBodyTextFull"/>
        <w:ind w:left="2880" w:firstLine="720"/>
        <w:jc w:val="both"/>
        <w:rPr>
          <w:sz w:val="22"/>
        </w:rPr>
      </w:pPr>
    </w:p>
    <w:p w:rsidR="005E1570" w:rsidRPr="000B4082" w:rsidRDefault="000B4082" w:rsidP="000B4082">
      <w:pPr>
        <w:pStyle w:val="BayerBodyTextFull"/>
        <w:tabs>
          <w:tab w:val="left" w:pos="4536"/>
        </w:tabs>
        <w:spacing w:after="240" w:line="276" w:lineRule="auto"/>
        <w:jc w:val="both"/>
        <w:rPr>
          <w:sz w:val="22"/>
          <w:lang w:eastAsia="zh-CN"/>
        </w:rPr>
      </w:pPr>
      <w:r w:rsidRPr="000B4082">
        <w:rPr>
          <w:sz w:val="22"/>
          <w:lang w:eastAsia="zh-CN"/>
        </w:rPr>
        <w:t>CAS number</w:t>
      </w:r>
      <w:r>
        <w:rPr>
          <w:sz w:val="22"/>
          <w:lang w:eastAsia="zh-CN"/>
        </w:rPr>
        <w:t>:</w:t>
      </w:r>
      <w:r w:rsidRPr="000B4082">
        <w:rPr>
          <w:sz w:val="22"/>
          <w:lang w:eastAsia="zh-CN"/>
        </w:rPr>
        <w:t xml:space="preserve"> 625115-55-1</w:t>
      </w:r>
    </w:p>
    <w:p w:rsidR="005E1570" w:rsidRPr="00B50C48" w:rsidRDefault="005E1570" w:rsidP="009421D5">
      <w:pPr>
        <w:pStyle w:val="Heading1"/>
        <w:numPr>
          <w:ilvl w:val="0"/>
          <w:numId w:val="0"/>
        </w:numPr>
        <w:jc w:val="both"/>
        <w:rPr>
          <w:sz w:val="24"/>
          <w:lang w:eastAsia="zh-CN"/>
        </w:rPr>
      </w:pPr>
      <w:r w:rsidRPr="00B50C48">
        <w:rPr>
          <w:sz w:val="24"/>
          <w:lang w:eastAsia="zh-CN"/>
        </w:rPr>
        <w:t>DESCRIPTION</w:t>
      </w:r>
    </w:p>
    <w:p w:rsidR="009421D5" w:rsidRPr="00B50C48" w:rsidRDefault="009421D5" w:rsidP="009421D5">
      <w:pPr>
        <w:pStyle w:val="BayerBodyTextFull"/>
        <w:spacing w:after="240" w:line="276" w:lineRule="auto"/>
        <w:jc w:val="both"/>
        <w:rPr>
          <w:sz w:val="22"/>
          <w:lang w:eastAsia="zh-CN"/>
        </w:rPr>
      </w:pPr>
      <w:r w:rsidRPr="00B50C48">
        <w:rPr>
          <w:sz w:val="22"/>
          <w:lang w:eastAsia="zh-CN"/>
        </w:rPr>
        <w:t>Riociguat is a white to yellowish, crystalline, non-hygroscopic substance with a relative molecular mass of 422.42</w:t>
      </w:r>
      <w:r w:rsidR="007B1E68" w:rsidRPr="00B50C48">
        <w:rPr>
          <w:sz w:val="22"/>
          <w:lang w:eastAsia="zh-CN"/>
        </w:rPr>
        <w:t xml:space="preserve"> g/mol</w:t>
      </w:r>
      <w:r w:rsidRPr="00B50C48">
        <w:rPr>
          <w:sz w:val="22"/>
          <w:lang w:eastAsia="zh-CN"/>
        </w:rPr>
        <w:t>. In solid form it is stable to temperature, light and humidity.</w:t>
      </w:r>
    </w:p>
    <w:p w:rsidR="009421D5" w:rsidRPr="00B50C48" w:rsidRDefault="009421D5" w:rsidP="009421D5">
      <w:pPr>
        <w:pStyle w:val="BayerBodyTextFull"/>
        <w:spacing w:after="240" w:line="276" w:lineRule="auto"/>
        <w:jc w:val="both"/>
        <w:rPr>
          <w:sz w:val="22"/>
          <w:lang w:eastAsia="zh-CN"/>
        </w:rPr>
      </w:pPr>
      <w:r w:rsidRPr="00B50C48">
        <w:rPr>
          <w:sz w:val="22"/>
          <w:lang w:eastAsia="zh-CN"/>
        </w:rPr>
        <w:t>The solubility at 25°C in water:  4 mg/L, in ethanol: 800 mg/L, in 0.1 HCl (pH 1): 250 mg/L and in buffer (phosphate) pH 7: 3 mg/L. In the pH range of 2 to 4 the solubility showed strong pH dependency. Solubility increases at lower pH values.</w:t>
      </w:r>
    </w:p>
    <w:p w:rsidR="005E1570" w:rsidRPr="00B50C48" w:rsidRDefault="000B4082" w:rsidP="009421D5">
      <w:pPr>
        <w:pStyle w:val="BayerBodyTextFull"/>
        <w:spacing w:after="240" w:line="276" w:lineRule="auto"/>
        <w:jc w:val="both"/>
        <w:rPr>
          <w:sz w:val="22"/>
          <w:lang w:eastAsia="zh-CN"/>
        </w:rPr>
      </w:pPr>
      <w:r>
        <w:rPr>
          <w:sz w:val="22"/>
          <w:lang w:eastAsia="zh-CN"/>
        </w:rPr>
        <w:t>Each round film-</w:t>
      </w:r>
      <w:r w:rsidR="009421D5" w:rsidRPr="00B50C48">
        <w:rPr>
          <w:sz w:val="22"/>
          <w:lang w:eastAsia="zh-CN"/>
        </w:rPr>
        <w:t>coated tablet contains 0.5 mg</w:t>
      </w:r>
      <w:r w:rsidR="00AC4102" w:rsidRPr="00B50C48">
        <w:rPr>
          <w:sz w:val="22"/>
          <w:lang w:eastAsia="zh-CN"/>
        </w:rPr>
        <w:t>,</w:t>
      </w:r>
      <w:r w:rsidR="009421D5" w:rsidRPr="00B50C48">
        <w:rPr>
          <w:sz w:val="22"/>
          <w:lang w:eastAsia="zh-CN"/>
        </w:rPr>
        <w:t xml:space="preserve"> 1 mg, 1.5 mg, 2 mg</w:t>
      </w:r>
      <w:r w:rsidR="00AC4102" w:rsidRPr="00B50C48">
        <w:rPr>
          <w:sz w:val="22"/>
          <w:lang w:eastAsia="zh-CN"/>
        </w:rPr>
        <w:t xml:space="preserve"> or</w:t>
      </w:r>
      <w:r w:rsidR="009421D5" w:rsidRPr="00B50C48">
        <w:rPr>
          <w:sz w:val="22"/>
          <w:lang w:eastAsia="zh-CN"/>
        </w:rPr>
        <w:t xml:space="preserve"> 2.5 mg riociguat and the inactive ingredients are cellulose microcrystalline, crospovidone, hypromellose, lactose, magnesium stearate, sodium </w:t>
      </w:r>
      <w:r w:rsidR="00400329" w:rsidRPr="00B50C48">
        <w:rPr>
          <w:sz w:val="22"/>
          <w:lang w:eastAsia="zh-CN"/>
        </w:rPr>
        <w:t xml:space="preserve">lauryl </w:t>
      </w:r>
      <w:r>
        <w:rPr>
          <w:sz w:val="22"/>
          <w:lang w:eastAsia="zh-CN"/>
        </w:rPr>
        <w:t>sulfate</w:t>
      </w:r>
      <w:r w:rsidR="009421D5" w:rsidRPr="00B50C48">
        <w:rPr>
          <w:sz w:val="22"/>
          <w:lang w:eastAsia="zh-CN"/>
        </w:rPr>
        <w:t xml:space="preserve">. The film coating contains the following inactive ingredients hydroxypropylcellulose, hypromellose, propylene glycol, titanium dioxide. </w:t>
      </w:r>
      <w:r w:rsidR="00954E99" w:rsidRPr="00B50C48">
        <w:rPr>
          <w:sz w:val="22"/>
          <w:lang w:eastAsia="zh-CN"/>
        </w:rPr>
        <w:t>Adempas</w:t>
      </w:r>
      <w:r w:rsidR="009421D5" w:rsidRPr="00B50C48">
        <w:rPr>
          <w:sz w:val="22"/>
          <w:lang w:eastAsia="zh-CN"/>
        </w:rPr>
        <w:t xml:space="preserve"> 1 mg, 1.5 mg, 2 mg and 2.5 mg tablets contain in addition </w:t>
      </w:r>
      <w:r w:rsidR="00400329" w:rsidRPr="00B50C48">
        <w:rPr>
          <w:sz w:val="22"/>
          <w:lang w:eastAsia="zh-CN"/>
        </w:rPr>
        <w:t>iron</w:t>
      </w:r>
      <w:r w:rsidR="009421D5" w:rsidRPr="00B50C48">
        <w:rPr>
          <w:sz w:val="22"/>
          <w:lang w:eastAsia="zh-CN"/>
        </w:rPr>
        <w:t xml:space="preserve"> oxide yellow and </w:t>
      </w:r>
      <w:r w:rsidR="00954E99" w:rsidRPr="00B50C48">
        <w:rPr>
          <w:sz w:val="22"/>
          <w:lang w:eastAsia="zh-CN"/>
        </w:rPr>
        <w:t>Adempas</w:t>
      </w:r>
      <w:r w:rsidR="009421D5" w:rsidRPr="00B50C48">
        <w:rPr>
          <w:sz w:val="22"/>
          <w:lang w:eastAsia="zh-CN"/>
        </w:rPr>
        <w:t xml:space="preserve"> 2 mg and 2.5 mg tablets contain in addition </w:t>
      </w:r>
      <w:r w:rsidR="00400329" w:rsidRPr="00B50C48">
        <w:rPr>
          <w:sz w:val="22"/>
          <w:lang w:eastAsia="zh-CN"/>
        </w:rPr>
        <w:t>iron</w:t>
      </w:r>
      <w:r w:rsidR="009421D5" w:rsidRPr="00B50C48">
        <w:rPr>
          <w:sz w:val="22"/>
          <w:lang w:eastAsia="zh-CN"/>
        </w:rPr>
        <w:t xml:space="preserve"> oxide red.</w:t>
      </w:r>
    </w:p>
    <w:p w:rsidR="00467871" w:rsidRPr="00B50C48" w:rsidRDefault="005E1570" w:rsidP="009421D5">
      <w:pPr>
        <w:pStyle w:val="Heading1"/>
        <w:numPr>
          <w:ilvl w:val="0"/>
          <w:numId w:val="0"/>
        </w:numPr>
        <w:jc w:val="both"/>
        <w:rPr>
          <w:sz w:val="24"/>
        </w:rPr>
      </w:pPr>
      <w:r w:rsidRPr="00B50C48">
        <w:rPr>
          <w:sz w:val="24"/>
        </w:rPr>
        <w:lastRenderedPageBreak/>
        <w:t>PHARMACOLOGY</w:t>
      </w:r>
    </w:p>
    <w:p w:rsidR="005E1570" w:rsidRPr="00B50C48" w:rsidRDefault="005E1570" w:rsidP="009421D5">
      <w:pPr>
        <w:pStyle w:val="Heading2"/>
        <w:numPr>
          <w:ilvl w:val="0"/>
          <w:numId w:val="0"/>
        </w:numPr>
        <w:jc w:val="both"/>
        <w:rPr>
          <w:sz w:val="24"/>
        </w:rPr>
      </w:pPr>
      <w:r w:rsidRPr="00B50C48">
        <w:rPr>
          <w:sz w:val="24"/>
        </w:rPr>
        <w:t xml:space="preserve">Pharmacodynamic </w:t>
      </w:r>
      <w:r w:rsidR="007F2798">
        <w:rPr>
          <w:sz w:val="24"/>
        </w:rPr>
        <w:t>P</w:t>
      </w:r>
      <w:r w:rsidRPr="00B50C48">
        <w:rPr>
          <w:sz w:val="24"/>
        </w:rPr>
        <w:t>roperties</w:t>
      </w:r>
    </w:p>
    <w:p w:rsidR="005E1570" w:rsidRPr="00B50C48" w:rsidRDefault="005E1570" w:rsidP="009421D5">
      <w:pPr>
        <w:pStyle w:val="BayerBodyTextFull"/>
        <w:spacing w:after="240" w:line="276" w:lineRule="auto"/>
        <w:jc w:val="both"/>
        <w:rPr>
          <w:sz w:val="22"/>
        </w:rPr>
      </w:pPr>
      <w:r w:rsidRPr="00B50C48">
        <w:rPr>
          <w:sz w:val="22"/>
        </w:rPr>
        <w:t xml:space="preserve">Riociguat is a stimulator of soluble guanylate cyclase (sGC), an enzyme </w:t>
      </w:r>
      <w:r w:rsidR="00250C32">
        <w:rPr>
          <w:sz w:val="22"/>
        </w:rPr>
        <w:t xml:space="preserve">found in most tissues </w:t>
      </w:r>
      <w:r w:rsidRPr="00B50C48">
        <w:rPr>
          <w:sz w:val="22"/>
        </w:rPr>
        <w:t>and the receptor for nitric oxide (NO).</w:t>
      </w:r>
    </w:p>
    <w:p w:rsidR="005E1570" w:rsidRPr="00B50C48" w:rsidRDefault="005E1570" w:rsidP="009421D5">
      <w:pPr>
        <w:pStyle w:val="BayerBodyTextFull"/>
        <w:spacing w:after="240" w:line="276" w:lineRule="auto"/>
        <w:jc w:val="both"/>
        <w:rPr>
          <w:sz w:val="22"/>
        </w:rPr>
      </w:pPr>
      <w:r w:rsidRPr="00B50C48">
        <w:rPr>
          <w:sz w:val="22"/>
        </w:rPr>
        <w:t>When NO binds to sGC, the enzyme catalyses synthesis of the signalling molecule cyclic guanosine monophosphate (cGMP). Intra</w:t>
      </w:r>
      <w:r w:rsidR="003C0FAC" w:rsidRPr="00B50C48">
        <w:rPr>
          <w:sz w:val="22"/>
        </w:rPr>
        <w:t>-</w:t>
      </w:r>
      <w:r w:rsidRPr="00B50C48">
        <w:rPr>
          <w:sz w:val="22"/>
        </w:rPr>
        <w:t>cellular cGMP plays an important role in regulating processes that influence vascular tone, proliferation, fibrosis and inflammation.</w:t>
      </w:r>
    </w:p>
    <w:p w:rsidR="005E1570" w:rsidRPr="00B50C48" w:rsidRDefault="005E1570" w:rsidP="009421D5">
      <w:pPr>
        <w:pStyle w:val="BayerBodyTextFull"/>
        <w:spacing w:after="240" w:line="276" w:lineRule="auto"/>
        <w:jc w:val="both"/>
        <w:rPr>
          <w:sz w:val="22"/>
        </w:rPr>
      </w:pPr>
      <w:r w:rsidRPr="00B50C48">
        <w:rPr>
          <w:sz w:val="22"/>
        </w:rPr>
        <w:t>Pulmonary hypertension</w:t>
      </w:r>
      <w:r w:rsidR="002C7652">
        <w:rPr>
          <w:sz w:val="22"/>
        </w:rPr>
        <w:t xml:space="preserve"> (PH)</w:t>
      </w:r>
      <w:r w:rsidRPr="00B50C48">
        <w:rPr>
          <w:sz w:val="22"/>
        </w:rPr>
        <w:t xml:space="preserve"> is associated with endothelial dysfunction, impaired synthesis of nitric oxide and insufficient stimulation of the NO</w:t>
      </w:r>
      <w:r w:rsidR="00F56CA5" w:rsidRPr="00B50C48">
        <w:rPr>
          <w:sz w:val="22"/>
        </w:rPr>
        <w:t>-</w:t>
      </w:r>
      <w:r w:rsidRPr="00B50C48">
        <w:rPr>
          <w:sz w:val="22"/>
        </w:rPr>
        <w:t>sGC</w:t>
      </w:r>
      <w:r w:rsidR="00F56CA5" w:rsidRPr="00B50C48">
        <w:rPr>
          <w:sz w:val="22"/>
        </w:rPr>
        <w:t>-</w:t>
      </w:r>
      <w:r w:rsidRPr="00B50C48">
        <w:rPr>
          <w:sz w:val="22"/>
        </w:rPr>
        <w:t>cGMP pathway.</w:t>
      </w:r>
    </w:p>
    <w:p w:rsidR="005E1570" w:rsidRPr="00B50C48" w:rsidRDefault="005E1570" w:rsidP="009421D5">
      <w:pPr>
        <w:pStyle w:val="BayerBodyTextFull"/>
        <w:spacing w:after="240" w:line="276" w:lineRule="auto"/>
        <w:jc w:val="both"/>
        <w:rPr>
          <w:sz w:val="22"/>
        </w:rPr>
      </w:pPr>
      <w:r w:rsidRPr="00B50C48">
        <w:rPr>
          <w:sz w:val="22"/>
        </w:rPr>
        <w:t>Riociguat has a dual mode of action. It sensiti</w:t>
      </w:r>
      <w:r w:rsidR="00B17998" w:rsidRPr="00B50C48">
        <w:rPr>
          <w:sz w:val="22"/>
        </w:rPr>
        <w:t>s</w:t>
      </w:r>
      <w:r w:rsidRPr="00B50C48">
        <w:rPr>
          <w:sz w:val="22"/>
        </w:rPr>
        <w:t>es sGC to endogenous NO by stabili</w:t>
      </w:r>
      <w:r w:rsidR="0065432D" w:rsidRPr="00B50C48">
        <w:rPr>
          <w:sz w:val="22"/>
        </w:rPr>
        <w:t>s</w:t>
      </w:r>
      <w:r w:rsidRPr="00B50C48">
        <w:rPr>
          <w:sz w:val="22"/>
        </w:rPr>
        <w:t>ing the NO</w:t>
      </w:r>
      <w:r w:rsidR="00B17998" w:rsidRPr="00B50C48">
        <w:rPr>
          <w:sz w:val="22"/>
        </w:rPr>
        <w:t>-</w:t>
      </w:r>
      <w:r w:rsidRPr="00B50C48">
        <w:rPr>
          <w:sz w:val="22"/>
        </w:rPr>
        <w:t>sGC binding. Riociguat also directly stimulates sGC via a different binding site, independently of NO.</w:t>
      </w:r>
    </w:p>
    <w:p w:rsidR="005E1570" w:rsidRPr="00B50C48" w:rsidRDefault="005E1570" w:rsidP="009421D5">
      <w:pPr>
        <w:pStyle w:val="BayerBodyTextFull"/>
        <w:spacing w:after="240" w:line="276" w:lineRule="auto"/>
        <w:jc w:val="both"/>
        <w:rPr>
          <w:sz w:val="22"/>
        </w:rPr>
      </w:pPr>
      <w:r w:rsidRPr="00B50C48">
        <w:rPr>
          <w:sz w:val="22"/>
        </w:rPr>
        <w:t>Riociguat restores the NO</w:t>
      </w:r>
      <w:r w:rsidR="00B65AEB" w:rsidRPr="00B50C48">
        <w:rPr>
          <w:sz w:val="22"/>
        </w:rPr>
        <w:t>-sGC-</w:t>
      </w:r>
      <w:r w:rsidRPr="00B50C48">
        <w:rPr>
          <w:sz w:val="22"/>
        </w:rPr>
        <w:t>cGMP pathway and leads to increased generation of cGMP.</w:t>
      </w:r>
    </w:p>
    <w:p w:rsidR="005E1570" w:rsidRPr="00B50C48" w:rsidRDefault="005E1570" w:rsidP="003308C5">
      <w:pPr>
        <w:pStyle w:val="Heading2"/>
        <w:numPr>
          <w:ilvl w:val="0"/>
          <w:numId w:val="0"/>
        </w:numPr>
        <w:jc w:val="both"/>
        <w:rPr>
          <w:noProof/>
          <w:sz w:val="24"/>
        </w:rPr>
      </w:pPr>
      <w:r w:rsidRPr="00B50C48">
        <w:rPr>
          <w:noProof/>
          <w:sz w:val="24"/>
        </w:rPr>
        <w:t xml:space="preserve">Pharmacokinetic </w:t>
      </w:r>
      <w:r w:rsidR="007F2798">
        <w:rPr>
          <w:noProof/>
          <w:sz w:val="24"/>
        </w:rPr>
        <w:t>P</w:t>
      </w:r>
      <w:r w:rsidRPr="00B50C48">
        <w:rPr>
          <w:noProof/>
          <w:sz w:val="24"/>
        </w:rPr>
        <w:t>roperties</w:t>
      </w:r>
    </w:p>
    <w:p w:rsidR="005E1570" w:rsidRPr="00B50C48" w:rsidRDefault="005E1570" w:rsidP="003308C5">
      <w:pPr>
        <w:pStyle w:val="Heading3"/>
        <w:numPr>
          <w:ilvl w:val="0"/>
          <w:numId w:val="0"/>
        </w:numPr>
        <w:jc w:val="both"/>
        <w:rPr>
          <w:sz w:val="22"/>
        </w:rPr>
      </w:pPr>
      <w:r w:rsidRPr="00B50C48">
        <w:rPr>
          <w:sz w:val="22"/>
        </w:rPr>
        <w:t>Absorption</w:t>
      </w:r>
    </w:p>
    <w:p w:rsidR="0096730B" w:rsidRPr="00B50C48" w:rsidRDefault="0096730B" w:rsidP="003308C5">
      <w:pPr>
        <w:pStyle w:val="BayerBodyTextFull"/>
        <w:spacing w:after="240" w:line="276" w:lineRule="auto"/>
        <w:jc w:val="both"/>
        <w:rPr>
          <w:sz w:val="22"/>
        </w:rPr>
      </w:pPr>
      <w:r w:rsidRPr="00B50C48">
        <w:rPr>
          <w:sz w:val="22"/>
        </w:rPr>
        <w:t>The absolute bioavailability of riociguat is high (94%). Riociguat is rapidly absorbed with maximum concentrations (C</w:t>
      </w:r>
      <w:r w:rsidRPr="00B50C48">
        <w:rPr>
          <w:sz w:val="22"/>
          <w:vertAlign w:val="subscript"/>
        </w:rPr>
        <w:t>max</w:t>
      </w:r>
      <w:r w:rsidR="0065432D" w:rsidRPr="00B50C48">
        <w:rPr>
          <w:sz w:val="22"/>
        </w:rPr>
        <w:t>) appearing 1 – 1.5</w:t>
      </w:r>
      <w:r w:rsidRPr="00B50C48">
        <w:rPr>
          <w:sz w:val="22"/>
        </w:rPr>
        <w:t xml:space="preserve"> hours after tablet intake.</w:t>
      </w:r>
    </w:p>
    <w:p w:rsidR="005E1570" w:rsidRPr="00B50C48" w:rsidRDefault="0096730B" w:rsidP="003308C5">
      <w:pPr>
        <w:pStyle w:val="BayerBodyTextFull"/>
        <w:spacing w:after="240" w:line="276" w:lineRule="auto"/>
        <w:jc w:val="both"/>
        <w:rPr>
          <w:sz w:val="22"/>
        </w:rPr>
      </w:pPr>
      <w:r w:rsidRPr="00B50C48">
        <w:rPr>
          <w:sz w:val="22"/>
        </w:rPr>
        <w:t>Intake with food does not affect riociguat</w:t>
      </w:r>
      <w:r w:rsidR="002C7652">
        <w:rPr>
          <w:sz w:val="22"/>
        </w:rPr>
        <w:t xml:space="preserve"> area under the concentration curve</w:t>
      </w:r>
      <w:r w:rsidRPr="00B50C48">
        <w:rPr>
          <w:sz w:val="22"/>
        </w:rPr>
        <w:t xml:space="preserve"> </w:t>
      </w:r>
      <w:r w:rsidR="002C7652">
        <w:rPr>
          <w:sz w:val="22"/>
        </w:rPr>
        <w:t>(</w:t>
      </w:r>
      <w:r w:rsidRPr="00B50C48">
        <w:rPr>
          <w:sz w:val="22"/>
        </w:rPr>
        <w:t>AUC</w:t>
      </w:r>
      <w:r w:rsidR="002C7652">
        <w:rPr>
          <w:sz w:val="22"/>
        </w:rPr>
        <w:t>)</w:t>
      </w:r>
      <w:r w:rsidRPr="00B50C48">
        <w:rPr>
          <w:sz w:val="22"/>
        </w:rPr>
        <w:t xml:space="preserve"> or C</w:t>
      </w:r>
      <w:r w:rsidRPr="00B50C48">
        <w:rPr>
          <w:sz w:val="22"/>
          <w:vertAlign w:val="subscript"/>
        </w:rPr>
        <w:t>max</w:t>
      </w:r>
      <w:r w:rsidRPr="00B50C48">
        <w:rPr>
          <w:sz w:val="22"/>
        </w:rPr>
        <w:t xml:space="preserve"> to a clinically relevant extent.  Riociguat can be taken with or without food.    </w:t>
      </w:r>
      <w:r w:rsidR="005E1570" w:rsidRPr="00B50C48">
        <w:rPr>
          <w:sz w:val="22"/>
        </w:rPr>
        <w:t xml:space="preserve">    </w:t>
      </w:r>
    </w:p>
    <w:p w:rsidR="005E1570" w:rsidRPr="00B50C48" w:rsidRDefault="005E1570" w:rsidP="003308C5">
      <w:pPr>
        <w:pStyle w:val="Heading3"/>
        <w:numPr>
          <w:ilvl w:val="0"/>
          <w:numId w:val="0"/>
        </w:numPr>
        <w:jc w:val="both"/>
        <w:rPr>
          <w:sz w:val="22"/>
        </w:rPr>
      </w:pPr>
      <w:r w:rsidRPr="00B50C48">
        <w:rPr>
          <w:sz w:val="22"/>
        </w:rPr>
        <w:t>Distribution</w:t>
      </w:r>
    </w:p>
    <w:p w:rsidR="005E1570" w:rsidRPr="00B50C48" w:rsidRDefault="005E1570" w:rsidP="003308C5">
      <w:pPr>
        <w:pStyle w:val="BayerBodyTextFull"/>
        <w:spacing w:after="240" w:line="276" w:lineRule="auto"/>
        <w:jc w:val="both"/>
        <w:rPr>
          <w:sz w:val="22"/>
        </w:rPr>
      </w:pPr>
      <w:r w:rsidRPr="00B50C48">
        <w:rPr>
          <w:sz w:val="22"/>
        </w:rPr>
        <w:t>Plasma protein binding in humans is high at approximately 95%, with serum albumin and α1</w:t>
      </w:r>
      <w:r w:rsidR="0065432D" w:rsidRPr="00B50C48">
        <w:rPr>
          <w:sz w:val="22"/>
        </w:rPr>
        <w:t>-</w:t>
      </w:r>
      <w:r w:rsidRPr="00B50C48">
        <w:rPr>
          <w:sz w:val="22"/>
        </w:rPr>
        <w:t xml:space="preserve">acidic glycoprotein being the main binding components. </w:t>
      </w:r>
    </w:p>
    <w:p w:rsidR="005E1570" w:rsidRPr="00B50C48" w:rsidRDefault="005E1570" w:rsidP="003308C5">
      <w:pPr>
        <w:pStyle w:val="BayerBodyTextFull"/>
        <w:spacing w:after="240" w:line="276" w:lineRule="auto"/>
        <w:jc w:val="both"/>
        <w:rPr>
          <w:sz w:val="22"/>
        </w:rPr>
      </w:pPr>
      <w:r w:rsidRPr="00B50C48">
        <w:rPr>
          <w:sz w:val="22"/>
        </w:rPr>
        <w:t>The volume of distribution is moderate with volume of distribution at steady state being approximately 30 L.</w:t>
      </w:r>
    </w:p>
    <w:p w:rsidR="005E1570" w:rsidRPr="00B50C48" w:rsidRDefault="005E1570" w:rsidP="003308C5">
      <w:pPr>
        <w:pStyle w:val="Heading3"/>
        <w:numPr>
          <w:ilvl w:val="0"/>
          <w:numId w:val="0"/>
        </w:numPr>
        <w:jc w:val="both"/>
        <w:rPr>
          <w:sz w:val="22"/>
        </w:rPr>
      </w:pPr>
      <w:r w:rsidRPr="00B50C48">
        <w:rPr>
          <w:sz w:val="22"/>
        </w:rPr>
        <w:t>Metabolism</w:t>
      </w:r>
    </w:p>
    <w:p w:rsidR="005E1570" w:rsidRPr="00B50C48" w:rsidRDefault="009421D5" w:rsidP="003308C5">
      <w:pPr>
        <w:pStyle w:val="BayerBodyTextFull"/>
        <w:spacing w:after="240" w:line="276" w:lineRule="auto"/>
        <w:jc w:val="both"/>
        <w:rPr>
          <w:sz w:val="22"/>
        </w:rPr>
      </w:pPr>
      <w:r w:rsidRPr="00B50C48">
        <w:rPr>
          <w:sz w:val="22"/>
        </w:rPr>
        <w:t>N-</w:t>
      </w:r>
      <w:r w:rsidR="005E1570" w:rsidRPr="00B50C48">
        <w:rPr>
          <w:sz w:val="22"/>
        </w:rPr>
        <w:t>demethylation, cataly</w:t>
      </w:r>
      <w:r w:rsidRPr="00B50C48">
        <w:rPr>
          <w:sz w:val="22"/>
        </w:rPr>
        <w:t>s</w:t>
      </w:r>
      <w:r w:rsidR="00865C80" w:rsidRPr="00B50C48">
        <w:rPr>
          <w:sz w:val="22"/>
        </w:rPr>
        <w:t>ed by CYP</w:t>
      </w:r>
      <w:r w:rsidR="005E1570" w:rsidRPr="00B50C48">
        <w:rPr>
          <w:sz w:val="22"/>
        </w:rPr>
        <w:t>1A1, CYP3A4, CYP2C8 and CYP2J2, is the major biotransformation pathway of riociguat leading to its major circulating active metabolite (</w:t>
      </w:r>
      <w:r w:rsidR="0096730B" w:rsidRPr="00B50C48">
        <w:rPr>
          <w:sz w:val="22"/>
        </w:rPr>
        <w:t>pharmacological activity: 1/10 to 1/3</w:t>
      </w:r>
      <w:r w:rsidR="005E1570" w:rsidRPr="00B50C48">
        <w:rPr>
          <w:sz w:val="22"/>
        </w:rPr>
        <w:t xml:space="preserve"> of riociguat) which is further metaboli</w:t>
      </w:r>
      <w:r w:rsidR="0096730B" w:rsidRPr="00B50C48">
        <w:rPr>
          <w:sz w:val="22"/>
        </w:rPr>
        <w:t>s</w:t>
      </w:r>
      <w:r w:rsidR="005E1570" w:rsidRPr="00B50C48">
        <w:rPr>
          <w:sz w:val="22"/>
        </w:rPr>
        <w:t>ed to t</w:t>
      </w:r>
      <w:r w:rsidRPr="00B50C48">
        <w:rPr>
          <w:sz w:val="22"/>
        </w:rPr>
        <w:t>he pharmacologically inactive N-</w:t>
      </w:r>
      <w:r w:rsidR="005E1570" w:rsidRPr="00B50C48">
        <w:rPr>
          <w:sz w:val="22"/>
        </w:rPr>
        <w:t>glucuronide.</w:t>
      </w:r>
    </w:p>
    <w:p w:rsidR="005E1570" w:rsidRPr="00B50C48" w:rsidRDefault="005E1570" w:rsidP="003308C5">
      <w:pPr>
        <w:pStyle w:val="BayerBodyTextFull"/>
        <w:spacing w:after="240" w:line="276" w:lineRule="auto"/>
        <w:jc w:val="both"/>
        <w:rPr>
          <w:sz w:val="22"/>
        </w:rPr>
      </w:pPr>
      <w:r w:rsidRPr="00B50C48">
        <w:rPr>
          <w:sz w:val="22"/>
        </w:rPr>
        <w:t>CYP1A1 catalyses the formation of riociguat’s main metabolite in liver, lungs and intestines and is known to be inducible by polycyclic aromatic hydrocarbons, for instance, present in cigarette smoke.</w:t>
      </w:r>
    </w:p>
    <w:p w:rsidR="005E1570" w:rsidRPr="00B50C48" w:rsidRDefault="005E1570" w:rsidP="003308C5">
      <w:pPr>
        <w:pStyle w:val="Heading3"/>
        <w:numPr>
          <w:ilvl w:val="0"/>
          <w:numId w:val="0"/>
        </w:numPr>
        <w:jc w:val="both"/>
        <w:rPr>
          <w:sz w:val="22"/>
        </w:rPr>
      </w:pPr>
      <w:r w:rsidRPr="00B50C48">
        <w:rPr>
          <w:sz w:val="22"/>
        </w:rPr>
        <w:t>Excretion</w:t>
      </w:r>
    </w:p>
    <w:p w:rsidR="005E1570" w:rsidRPr="00B50C48" w:rsidRDefault="005E1570" w:rsidP="003308C5">
      <w:pPr>
        <w:pStyle w:val="BayerBodyTextFull"/>
        <w:spacing w:after="240" w:line="276" w:lineRule="auto"/>
        <w:jc w:val="both"/>
        <w:rPr>
          <w:sz w:val="22"/>
        </w:rPr>
      </w:pPr>
      <w:r w:rsidRPr="00B50C48">
        <w:rPr>
          <w:sz w:val="22"/>
        </w:rPr>
        <w:t>Total riociguat (parent compound and metabolites)</w:t>
      </w:r>
      <w:r w:rsidR="0065432D" w:rsidRPr="00B50C48">
        <w:rPr>
          <w:sz w:val="22"/>
        </w:rPr>
        <w:t xml:space="preserve"> is excreted via both renal (33 – 45</w:t>
      </w:r>
      <w:r w:rsidRPr="00B50C48">
        <w:rPr>
          <w:sz w:val="22"/>
        </w:rPr>
        <w:t>%) and biliary/fa</w:t>
      </w:r>
      <w:r w:rsidR="0065432D" w:rsidRPr="00B50C48">
        <w:rPr>
          <w:sz w:val="22"/>
        </w:rPr>
        <w:t>ecal routes (48 – 59</w:t>
      </w:r>
      <w:r w:rsidRPr="00B50C48">
        <w:rPr>
          <w:sz w:val="22"/>
        </w:rPr>
        <w:t xml:space="preserve">%). Approximately 4 to 19% of the administered dose </w:t>
      </w:r>
      <w:r w:rsidR="004C39EE">
        <w:rPr>
          <w:sz w:val="22"/>
        </w:rPr>
        <w:t>is</w:t>
      </w:r>
      <w:r w:rsidR="004C39EE" w:rsidRPr="00B50C48">
        <w:rPr>
          <w:sz w:val="22"/>
        </w:rPr>
        <w:t xml:space="preserve"> </w:t>
      </w:r>
      <w:r w:rsidRPr="00B50C48">
        <w:rPr>
          <w:sz w:val="22"/>
        </w:rPr>
        <w:lastRenderedPageBreak/>
        <w:t>excreted as unchanged riociguat via</w:t>
      </w:r>
      <w:r w:rsidR="0065432D" w:rsidRPr="00B50C48">
        <w:rPr>
          <w:sz w:val="22"/>
        </w:rPr>
        <w:t xml:space="preserve"> the kidneys. Approximately 9 – 44</w:t>
      </w:r>
      <w:r w:rsidRPr="00B50C48">
        <w:rPr>
          <w:sz w:val="22"/>
        </w:rPr>
        <w:t xml:space="preserve">% of the administered dose </w:t>
      </w:r>
      <w:r w:rsidR="004C39EE">
        <w:rPr>
          <w:sz w:val="22"/>
        </w:rPr>
        <w:t>is excreted</w:t>
      </w:r>
      <w:r w:rsidRPr="00B50C48">
        <w:rPr>
          <w:sz w:val="22"/>
        </w:rPr>
        <w:t xml:space="preserve"> as unchanged riociguat in faeces.</w:t>
      </w:r>
    </w:p>
    <w:p w:rsidR="005E1570" w:rsidRPr="00B50C48" w:rsidRDefault="005E1570" w:rsidP="003308C5">
      <w:pPr>
        <w:pStyle w:val="BayerBodyTextFull"/>
        <w:spacing w:after="240" w:line="276" w:lineRule="auto"/>
        <w:jc w:val="both"/>
        <w:rPr>
          <w:sz w:val="22"/>
        </w:rPr>
      </w:pPr>
      <w:r w:rsidRPr="00B50C48">
        <w:rPr>
          <w:sz w:val="22"/>
        </w:rPr>
        <w:t xml:space="preserve">Based on </w:t>
      </w:r>
      <w:r w:rsidRPr="00B50C48">
        <w:rPr>
          <w:i/>
          <w:sz w:val="22"/>
        </w:rPr>
        <w:t>in vitro</w:t>
      </w:r>
      <w:r w:rsidRPr="00B50C48">
        <w:rPr>
          <w:sz w:val="22"/>
        </w:rPr>
        <w:t xml:space="preserve"> data</w:t>
      </w:r>
      <w:r w:rsidR="002D324D" w:rsidRPr="00B50C48">
        <w:rPr>
          <w:sz w:val="22"/>
        </w:rPr>
        <w:t>,</w:t>
      </w:r>
      <w:r w:rsidRPr="00B50C48">
        <w:rPr>
          <w:sz w:val="22"/>
        </w:rPr>
        <w:t xml:space="preserve"> riociguat and its main metabolite are substrates of t</w:t>
      </w:r>
      <w:r w:rsidR="009421D5" w:rsidRPr="00B50C48">
        <w:rPr>
          <w:sz w:val="22"/>
        </w:rPr>
        <w:t>he transporter proteins P-gp (P-</w:t>
      </w:r>
      <w:r w:rsidRPr="00B50C48">
        <w:rPr>
          <w:sz w:val="22"/>
        </w:rPr>
        <w:t xml:space="preserve">glycoprotein) and BCRP (breast cancer resistance protein). </w:t>
      </w:r>
    </w:p>
    <w:p w:rsidR="005E1570" w:rsidRPr="00B50C48" w:rsidRDefault="005E1570" w:rsidP="003308C5">
      <w:pPr>
        <w:pStyle w:val="BayerBodyTextFull"/>
        <w:spacing w:after="240" w:line="276" w:lineRule="auto"/>
        <w:jc w:val="both"/>
        <w:rPr>
          <w:sz w:val="22"/>
        </w:rPr>
      </w:pPr>
      <w:r w:rsidRPr="00B50C48">
        <w:rPr>
          <w:sz w:val="22"/>
        </w:rPr>
        <w:t xml:space="preserve">With </w:t>
      </w:r>
      <w:r w:rsidR="0065432D" w:rsidRPr="00B50C48">
        <w:rPr>
          <w:sz w:val="22"/>
        </w:rPr>
        <w:t>a systemic clearance of about 3 – 6</w:t>
      </w:r>
      <w:r w:rsidRPr="00B50C48">
        <w:rPr>
          <w:sz w:val="22"/>
        </w:rPr>
        <w:t xml:space="preserve"> L/h, riociguat can be classified as a low clearance drug. Elimination half-life is about 7 hours in healthy subjects and about 13 hours in patients.</w:t>
      </w:r>
    </w:p>
    <w:p w:rsidR="005E1570" w:rsidRPr="00B50C48" w:rsidRDefault="005E1570" w:rsidP="003308C5">
      <w:pPr>
        <w:pStyle w:val="Heading3"/>
        <w:numPr>
          <w:ilvl w:val="0"/>
          <w:numId w:val="0"/>
        </w:numPr>
        <w:jc w:val="both"/>
        <w:rPr>
          <w:sz w:val="22"/>
        </w:rPr>
      </w:pPr>
      <w:r w:rsidRPr="00B50C48">
        <w:rPr>
          <w:sz w:val="22"/>
        </w:rPr>
        <w:t>Linearity</w:t>
      </w:r>
    </w:p>
    <w:p w:rsidR="005E1570" w:rsidRPr="00B50C48" w:rsidRDefault="005E1570" w:rsidP="003308C5">
      <w:pPr>
        <w:pStyle w:val="BayerBodyTextFull"/>
        <w:spacing w:after="240" w:line="276" w:lineRule="auto"/>
        <w:jc w:val="both"/>
        <w:rPr>
          <w:sz w:val="22"/>
        </w:rPr>
      </w:pPr>
      <w:r w:rsidRPr="00B50C48">
        <w:rPr>
          <w:sz w:val="22"/>
        </w:rPr>
        <w:t xml:space="preserve">Riociguat pharmacokinetics are linear from 0.5 to 2.5 mg.  </w:t>
      </w:r>
    </w:p>
    <w:p w:rsidR="005E1570" w:rsidRPr="00B50C48" w:rsidRDefault="005E1570" w:rsidP="003308C5">
      <w:pPr>
        <w:pStyle w:val="BayerBodyTextFull"/>
        <w:spacing w:after="240" w:line="276" w:lineRule="auto"/>
        <w:jc w:val="both"/>
        <w:rPr>
          <w:sz w:val="22"/>
        </w:rPr>
      </w:pPr>
      <w:r w:rsidRPr="00B50C48">
        <w:rPr>
          <w:sz w:val="22"/>
        </w:rPr>
        <w:t>Inter-individual variability (CV%) of riociguat exposure (AUC) across all doses is approximately 60%.</w:t>
      </w:r>
    </w:p>
    <w:p w:rsidR="008B2249" w:rsidRPr="00B50C48" w:rsidRDefault="008B2249" w:rsidP="002A069C">
      <w:pPr>
        <w:pStyle w:val="Heading3"/>
        <w:numPr>
          <w:ilvl w:val="0"/>
          <w:numId w:val="0"/>
        </w:numPr>
        <w:spacing w:before="120" w:after="240" w:line="276" w:lineRule="auto"/>
        <w:jc w:val="both"/>
        <w:rPr>
          <w:sz w:val="22"/>
        </w:rPr>
      </w:pPr>
      <w:r w:rsidRPr="00B50C48">
        <w:rPr>
          <w:sz w:val="22"/>
        </w:rPr>
        <w:t xml:space="preserve">Geriatric </w:t>
      </w:r>
      <w:r w:rsidR="003B4487">
        <w:rPr>
          <w:sz w:val="22"/>
        </w:rPr>
        <w:t>P</w:t>
      </w:r>
      <w:r w:rsidRPr="00B50C48">
        <w:rPr>
          <w:sz w:val="22"/>
        </w:rPr>
        <w:t>atients</w:t>
      </w:r>
    </w:p>
    <w:p w:rsidR="008B2249" w:rsidRPr="00B50C48" w:rsidRDefault="0094745F" w:rsidP="002A069C">
      <w:pPr>
        <w:pStyle w:val="BayerBodyTextFull"/>
        <w:spacing w:after="240" w:line="276" w:lineRule="auto"/>
        <w:jc w:val="both"/>
        <w:rPr>
          <w:sz w:val="22"/>
        </w:rPr>
      </w:pPr>
      <w:r w:rsidRPr="00B50C48">
        <w:rPr>
          <w:sz w:val="22"/>
        </w:rPr>
        <w:t>Elderly patients (≥ 65 years) exhibited higher plasma concentrations than younger patients, with mean AUC values being approximately 40% higher in elderly, mainly due to reduced (apparent) total and renal clearance (see DOSAGE AND ADMINISTRATION</w:t>
      </w:r>
      <w:r w:rsidR="00815193">
        <w:rPr>
          <w:sz w:val="22"/>
        </w:rPr>
        <w:t xml:space="preserve">, Special </w:t>
      </w:r>
      <w:r w:rsidR="007F2798">
        <w:rPr>
          <w:sz w:val="22"/>
        </w:rPr>
        <w:t>P</w:t>
      </w:r>
      <w:r w:rsidR="00815193">
        <w:rPr>
          <w:sz w:val="22"/>
        </w:rPr>
        <w:t>opulations</w:t>
      </w:r>
      <w:r w:rsidRPr="00B50C48">
        <w:rPr>
          <w:sz w:val="22"/>
        </w:rPr>
        <w:t>).</w:t>
      </w:r>
    </w:p>
    <w:p w:rsidR="004D5D7C" w:rsidRPr="00B50C48" w:rsidRDefault="004D5D7C" w:rsidP="002A069C">
      <w:pPr>
        <w:pStyle w:val="Heading3"/>
        <w:numPr>
          <w:ilvl w:val="0"/>
          <w:numId w:val="0"/>
        </w:numPr>
        <w:spacing w:before="120" w:after="240" w:line="276" w:lineRule="auto"/>
        <w:jc w:val="both"/>
        <w:rPr>
          <w:sz w:val="22"/>
        </w:rPr>
      </w:pPr>
      <w:r w:rsidRPr="00B50C48">
        <w:rPr>
          <w:sz w:val="22"/>
        </w:rPr>
        <w:t xml:space="preserve">Patients with </w:t>
      </w:r>
      <w:r w:rsidR="003B4487">
        <w:rPr>
          <w:sz w:val="22"/>
        </w:rPr>
        <w:t>Hepatic I</w:t>
      </w:r>
      <w:r w:rsidRPr="00B50C48">
        <w:rPr>
          <w:sz w:val="22"/>
        </w:rPr>
        <w:t>mpairment</w:t>
      </w:r>
    </w:p>
    <w:p w:rsidR="00D85F1A" w:rsidRPr="00B50C48" w:rsidRDefault="00B73754" w:rsidP="002A069C">
      <w:pPr>
        <w:pStyle w:val="BayerBodyTextFull"/>
        <w:spacing w:after="240" w:line="276" w:lineRule="auto"/>
        <w:jc w:val="both"/>
        <w:rPr>
          <w:sz w:val="22"/>
        </w:rPr>
      </w:pPr>
      <w:r>
        <w:rPr>
          <w:sz w:val="22"/>
        </w:rPr>
        <w:t>In cirrhotic patients (non-smokers) with mild hepatic impairment (classified as Child Pugh A) riociguat mean AUC was increased by 35% compared to healthy controls</w:t>
      </w:r>
      <w:r w:rsidR="002D636E">
        <w:rPr>
          <w:sz w:val="22"/>
        </w:rPr>
        <w:t>, which is within normal intra-individual variability</w:t>
      </w:r>
      <w:r>
        <w:rPr>
          <w:sz w:val="22"/>
        </w:rPr>
        <w:t xml:space="preserve">. In cirrhotic patients (non-smokers) with moderate hepatic impairment (classified as Child Pugh B), riociguat mean AUC was increased by 51% compared to healthy controls. </w:t>
      </w:r>
      <w:r w:rsidR="00D85F1A" w:rsidRPr="00B50C48">
        <w:rPr>
          <w:sz w:val="22"/>
        </w:rPr>
        <w:t xml:space="preserve">(see </w:t>
      </w:r>
      <w:r w:rsidR="007A5EC8" w:rsidRPr="00B50C48">
        <w:rPr>
          <w:sz w:val="22"/>
        </w:rPr>
        <w:t>DOSAGE AND ADMINISTRATION</w:t>
      </w:r>
      <w:r w:rsidR="00AC694C">
        <w:rPr>
          <w:sz w:val="22"/>
        </w:rPr>
        <w:t xml:space="preserve">, Special </w:t>
      </w:r>
      <w:r w:rsidR="007F2798">
        <w:rPr>
          <w:sz w:val="22"/>
        </w:rPr>
        <w:t>P</w:t>
      </w:r>
      <w:r w:rsidR="00AC694C">
        <w:rPr>
          <w:sz w:val="22"/>
        </w:rPr>
        <w:t>opulations</w:t>
      </w:r>
      <w:r w:rsidR="00D85F1A" w:rsidRPr="00B50C48">
        <w:rPr>
          <w:sz w:val="22"/>
        </w:rPr>
        <w:t>).</w:t>
      </w:r>
    </w:p>
    <w:p w:rsidR="006B44B8" w:rsidRPr="00B50C48" w:rsidRDefault="00D85F1A" w:rsidP="002A069C">
      <w:pPr>
        <w:pStyle w:val="BayerBodyTextFull"/>
        <w:spacing w:after="240" w:line="276" w:lineRule="auto"/>
        <w:jc w:val="both"/>
        <w:rPr>
          <w:sz w:val="22"/>
        </w:rPr>
      </w:pPr>
      <w:r w:rsidRPr="00B50C48">
        <w:rPr>
          <w:sz w:val="22"/>
        </w:rPr>
        <w:t xml:space="preserve">There are no data in patients </w:t>
      </w:r>
      <w:r w:rsidR="00B73754">
        <w:rPr>
          <w:sz w:val="22"/>
        </w:rPr>
        <w:t xml:space="preserve">with pulmonary hypertension </w:t>
      </w:r>
      <w:r w:rsidRPr="00B50C48">
        <w:rPr>
          <w:sz w:val="22"/>
        </w:rPr>
        <w:t xml:space="preserve">with severe hepatic impairment (classified as Child Pugh C), </w:t>
      </w:r>
      <w:r w:rsidR="002D636E">
        <w:rPr>
          <w:sz w:val="22"/>
        </w:rPr>
        <w:t>patients with ALT &gt; 3 x ULN and bilirubin &gt; 2 x ULN were not studied. T</w:t>
      </w:r>
      <w:r w:rsidRPr="00B50C48">
        <w:rPr>
          <w:sz w:val="22"/>
        </w:rPr>
        <w:t xml:space="preserve">herefore use of Adempas is not recommended in these patients (see </w:t>
      </w:r>
      <w:r w:rsidR="00AF53E6" w:rsidRPr="00B50C48">
        <w:rPr>
          <w:sz w:val="22"/>
        </w:rPr>
        <w:t>DOSAGE AND ADMINISTRATION</w:t>
      </w:r>
      <w:r w:rsidR="002C7652">
        <w:rPr>
          <w:sz w:val="22"/>
        </w:rPr>
        <w:t xml:space="preserve">, Special </w:t>
      </w:r>
      <w:r w:rsidR="007F2798">
        <w:rPr>
          <w:sz w:val="22"/>
        </w:rPr>
        <w:t>P</w:t>
      </w:r>
      <w:r w:rsidR="002C7652">
        <w:rPr>
          <w:sz w:val="22"/>
        </w:rPr>
        <w:t>opulations</w:t>
      </w:r>
      <w:r w:rsidR="00AF53E6" w:rsidRPr="00B50C48">
        <w:rPr>
          <w:sz w:val="22"/>
        </w:rPr>
        <w:t xml:space="preserve"> and PRECAUTIONS</w:t>
      </w:r>
      <w:r w:rsidR="002C7652">
        <w:rPr>
          <w:sz w:val="22"/>
        </w:rPr>
        <w:t xml:space="preserve">, </w:t>
      </w:r>
      <w:r w:rsidR="003B01E5">
        <w:rPr>
          <w:sz w:val="22"/>
        </w:rPr>
        <w:t>Hepatic Impairment</w:t>
      </w:r>
      <w:r w:rsidRPr="00B50C48">
        <w:rPr>
          <w:sz w:val="22"/>
        </w:rPr>
        <w:t xml:space="preserve">). </w:t>
      </w:r>
    </w:p>
    <w:p w:rsidR="006B44B8" w:rsidRPr="00B50C48" w:rsidRDefault="006B44B8" w:rsidP="002A069C">
      <w:pPr>
        <w:pStyle w:val="Heading3"/>
        <w:numPr>
          <w:ilvl w:val="0"/>
          <w:numId w:val="0"/>
        </w:numPr>
        <w:spacing w:before="120" w:after="240" w:line="276" w:lineRule="auto"/>
        <w:jc w:val="both"/>
        <w:rPr>
          <w:sz w:val="22"/>
        </w:rPr>
      </w:pPr>
      <w:r w:rsidRPr="00B50C48">
        <w:rPr>
          <w:sz w:val="22"/>
        </w:rPr>
        <w:t xml:space="preserve">Patients with </w:t>
      </w:r>
      <w:r w:rsidR="003B4487">
        <w:rPr>
          <w:sz w:val="22"/>
        </w:rPr>
        <w:t>Renal I</w:t>
      </w:r>
      <w:r w:rsidRPr="00B50C48">
        <w:rPr>
          <w:sz w:val="22"/>
        </w:rPr>
        <w:t>mpairment</w:t>
      </w:r>
    </w:p>
    <w:p w:rsidR="006B44B8" w:rsidRPr="00B50C48" w:rsidRDefault="006B44B8" w:rsidP="002A069C">
      <w:pPr>
        <w:pStyle w:val="BayerBodyTextFull"/>
        <w:spacing w:after="240" w:line="276" w:lineRule="auto"/>
        <w:jc w:val="both"/>
        <w:rPr>
          <w:sz w:val="22"/>
        </w:rPr>
      </w:pPr>
      <w:r w:rsidRPr="00B50C48">
        <w:rPr>
          <w:sz w:val="22"/>
        </w:rPr>
        <w:t>Overall,</w:t>
      </w:r>
      <w:r w:rsidR="002D324D" w:rsidRPr="00B50C48">
        <w:rPr>
          <w:sz w:val="22"/>
        </w:rPr>
        <w:t xml:space="preserve"> mean dose- and weight- normalis</w:t>
      </w:r>
      <w:r w:rsidRPr="00B50C48">
        <w:rPr>
          <w:sz w:val="22"/>
        </w:rPr>
        <w:t xml:space="preserve">ed exposure values for riociguat were higher in subjects with renal impairment compared to subjects with normal renal function. Corresponding values for the main metabolite were higher in subjects with renal impairment compared to healthy subjects. In </w:t>
      </w:r>
      <w:r w:rsidR="00B5091F">
        <w:rPr>
          <w:sz w:val="22"/>
        </w:rPr>
        <w:t xml:space="preserve">non-smoking </w:t>
      </w:r>
      <w:r w:rsidRPr="00B50C48">
        <w:rPr>
          <w:sz w:val="22"/>
        </w:rPr>
        <w:t>individuals with mild (</w:t>
      </w:r>
      <w:r w:rsidR="000F0AEB">
        <w:rPr>
          <w:sz w:val="22"/>
        </w:rPr>
        <w:t xml:space="preserve">Stage 2 Chronic Kidney Disease (CKD), </w:t>
      </w:r>
      <w:r w:rsidRPr="00B50C48">
        <w:rPr>
          <w:sz w:val="22"/>
        </w:rPr>
        <w:t>creatinine clearance 50</w:t>
      </w:r>
      <w:r w:rsidR="005F1E8F" w:rsidRPr="00B50C48">
        <w:rPr>
          <w:sz w:val="22"/>
        </w:rPr>
        <w:t xml:space="preserve"> – 80</w:t>
      </w:r>
      <w:r w:rsidRPr="00B50C48">
        <w:rPr>
          <w:sz w:val="22"/>
        </w:rPr>
        <w:t xml:space="preserve"> mL/min), moderate (</w:t>
      </w:r>
      <w:r w:rsidR="000F0AEB">
        <w:rPr>
          <w:sz w:val="22"/>
        </w:rPr>
        <w:t>Stage 3</w:t>
      </w:r>
      <w:r w:rsidR="000F0AEB" w:rsidRPr="00B50C48">
        <w:rPr>
          <w:sz w:val="22"/>
        </w:rPr>
        <w:t xml:space="preserve"> </w:t>
      </w:r>
      <w:r w:rsidR="000F0AEB">
        <w:rPr>
          <w:sz w:val="22"/>
        </w:rPr>
        <w:t xml:space="preserve">CKD, </w:t>
      </w:r>
      <w:r w:rsidRPr="00B50C48">
        <w:rPr>
          <w:sz w:val="22"/>
        </w:rPr>
        <w:t xml:space="preserve">creatinine clearance </w:t>
      </w:r>
      <w:r w:rsidR="00B2677A" w:rsidRPr="00B50C48">
        <w:rPr>
          <w:sz w:val="22"/>
        </w:rPr>
        <w:t>30 – 49</w:t>
      </w:r>
      <w:r w:rsidRPr="00B50C48">
        <w:rPr>
          <w:sz w:val="22"/>
        </w:rPr>
        <w:t xml:space="preserve"> mL/min) or severe (</w:t>
      </w:r>
      <w:r w:rsidR="000F0AEB">
        <w:rPr>
          <w:sz w:val="22"/>
        </w:rPr>
        <w:t>Stage 4 CKD,</w:t>
      </w:r>
      <w:r w:rsidR="000F0AEB" w:rsidRPr="00B50C48">
        <w:rPr>
          <w:sz w:val="22"/>
        </w:rPr>
        <w:t xml:space="preserve"> </w:t>
      </w:r>
      <w:r w:rsidRPr="00B50C48">
        <w:rPr>
          <w:sz w:val="22"/>
        </w:rPr>
        <w:t xml:space="preserve">creatinine clearance </w:t>
      </w:r>
      <w:r w:rsidR="00341294">
        <w:rPr>
          <w:sz w:val="22"/>
        </w:rPr>
        <w:t xml:space="preserve">15 – 29 </w:t>
      </w:r>
      <w:r w:rsidRPr="00B50C48">
        <w:rPr>
          <w:sz w:val="22"/>
        </w:rPr>
        <w:t xml:space="preserve">mL/min) renal impairment, riociguat plasma concentrations (AUC) were increased by </w:t>
      </w:r>
      <w:r w:rsidR="0092617A">
        <w:rPr>
          <w:sz w:val="22"/>
        </w:rPr>
        <w:t>53</w:t>
      </w:r>
      <w:r w:rsidRPr="00B50C48">
        <w:rPr>
          <w:sz w:val="22"/>
        </w:rPr>
        <w:t xml:space="preserve">%, </w:t>
      </w:r>
      <w:r w:rsidR="0092617A">
        <w:rPr>
          <w:sz w:val="22"/>
        </w:rPr>
        <w:t>139</w:t>
      </w:r>
      <w:r w:rsidRPr="00B50C48">
        <w:rPr>
          <w:sz w:val="22"/>
        </w:rPr>
        <w:t xml:space="preserve">% or </w:t>
      </w:r>
      <w:r w:rsidR="0092617A">
        <w:rPr>
          <w:sz w:val="22"/>
        </w:rPr>
        <w:t>54</w:t>
      </w:r>
      <w:r w:rsidRPr="00B50C48">
        <w:rPr>
          <w:sz w:val="22"/>
        </w:rPr>
        <w:t xml:space="preserve">%, respectively (see </w:t>
      </w:r>
      <w:r w:rsidR="00295F80" w:rsidRPr="00B50C48">
        <w:rPr>
          <w:sz w:val="22"/>
        </w:rPr>
        <w:t>DOSAGE AND ADMINISTRATION</w:t>
      </w:r>
      <w:r w:rsidR="00AC694C">
        <w:rPr>
          <w:sz w:val="22"/>
        </w:rPr>
        <w:t xml:space="preserve">, Special </w:t>
      </w:r>
      <w:r w:rsidR="00D77184">
        <w:rPr>
          <w:sz w:val="22"/>
        </w:rPr>
        <w:t>P</w:t>
      </w:r>
      <w:r w:rsidR="00AC694C">
        <w:rPr>
          <w:sz w:val="22"/>
        </w:rPr>
        <w:t>opulations</w:t>
      </w:r>
      <w:r w:rsidRPr="00B50C48">
        <w:rPr>
          <w:sz w:val="22"/>
        </w:rPr>
        <w:t>).</w:t>
      </w:r>
    </w:p>
    <w:p w:rsidR="006B44B8" w:rsidRPr="00B50C48" w:rsidRDefault="006B44B8" w:rsidP="002A069C">
      <w:pPr>
        <w:pStyle w:val="BayerBodyTextFull"/>
        <w:spacing w:after="240" w:line="276" w:lineRule="auto"/>
        <w:jc w:val="both"/>
        <w:rPr>
          <w:sz w:val="22"/>
        </w:rPr>
      </w:pPr>
      <w:r w:rsidRPr="00B50C48">
        <w:rPr>
          <w:sz w:val="22"/>
        </w:rPr>
        <w:t xml:space="preserve">There are no data in patients </w:t>
      </w:r>
      <w:r w:rsidR="00053C33">
        <w:rPr>
          <w:sz w:val="22"/>
        </w:rPr>
        <w:t xml:space="preserve">with pulmonary hypertension </w:t>
      </w:r>
      <w:r w:rsidRPr="00B50C48">
        <w:rPr>
          <w:sz w:val="22"/>
        </w:rPr>
        <w:t>with creatinine clearance &lt;</w:t>
      </w:r>
      <w:r w:rsidR="00283E80" w:rsidRPr="00B50C48">
        <w:rPr>
          <w:sz w:val="22"/>
        </w:rPr>
        <w:t xml:space="preserve"> </w:t>
      </w:r>
      <w:r w:rsidRPr="00B50C48">
        <w:rPr>
          <w:sz w:val="22"/>
        </w:rPr>
        <w:t>15 mL/min or on dialysis</w:t>
      </w:r>
      <w:r w:rsidR="00A84D84">
        <w:rPr>
          <w:sz w:val="22"/>
        </w:rPr>
        <w:t xml:space="preserve"> (Stage 5 CKD)</w:t>
      </w:r>
      <w:r w:rsidRPr="00B50C48">
        <w:rPr>
          <w:sz w:val="22"/>
        </w:rPr>
        <w:t>. Therefore use is not recommended in patients with creatinine clearance &lt;</w:t>
      </w:r>
      <w:r w:rsidR="00AE1408" w:rsidRPr="00B50C48">
        <w:rPr>
          <w:sz w:val="22"/>
        </w:rPr>
        <w:t xml:space="preserve"> </w:t>
      </w:r>
      <w:r w:rsidRPr="00B50C48">
        <w:rPr>
          <w:sz w:val="22"/>
        </w:rPr>
        <w:t xml:space="preserve">15 mL/min or on dialysis (see </w:t>
      </w:r>
      <w:r w:rsidR="00283E80" w:rsidRPr="00B50C48">
        <w:rPr>
          <w:sz w:val="22"/>
        </w:rPr>
        <w:t>DOSAGE AND ADMINISTRATION</w:t>
      </w:r>
      <w:r w:rsidR="00D77184">
        <w:rPr>
          <w:sz w:val="22"/>
        </w:rPr>
        <w:t>, Special Populations</w:t>
      </w:r>
      <w:r w:rsidR="00283E80" w:rsidRPr="00B50C48">
        <w:rPr>
          <w:sz w:val="22"/>
        </w:rPr>
        <w:t xml:space="preserve"> </w:t>
      </w:r>
      <w:r w:rsidRPr="00B50C48">
        <w:rPr>
          <w:sz w:val="22"/>
        </w:rPr>
        <w:t xml:space="preserve">and </w:t>
      </w:r>
      <w:r w:rsidR="00283E80" w:rsidRPr="00B50C48">
        <w:rPr>
          <w:sz w:val="22"/>
        </w:rPr>
        <w:t>PRECAUTIONS</w:t>
      </w:r>
      <w:r w:rsidR="002C7652">
        <w:rPr>
          <w:sz w:val="22"/>
        </w:rPr>
        <w:t xml:space="preserve">, </w:t>
      </w:r>
      <w:r w:rsidR="00590F7C">
        <w:rPr>
          <w:sz w:val="22"/>
        </w:rPr>
        <w:t>Renal Impairment</w:t>
      </w:r>
      <w:r w:rsidRPr="00B50C48">
        <w:rPr>
          <w:sz w:val="22"/>
        </w:rPr>
        <w:t xml:space="preserve">).      </w:t>
      </w:r>
    </w:p>
    <w:p w:rsidR="006B44B8" w:rsidRPr="00B50C48" w:rsidRDefault="006B44B8" w:rsidP="002A069C">
      <w:pPr>
        <w:pStyle w:val="BayerBodyTextFull"/>
        <w:spacing w:after="240" w:line="276" w:lineRule="auto"/>
        <w:jc w:val="both"/>
        <w:rPr>
          <w:sz w:val="22"/>
        </w:rPr>
      </w:pPr>
      <w:r w:rsidRPr="00B50C48">
        <w:rPr>
          <w:sz w:val="22"/>
        </w:rPr>
        <w:lastRenderedPageBreak/>
        <w:t>Due to the high plasma protein binding riociguat is not expected to be dialy</w:t>
      </w:r>
      <w:r w:rsidR="002142A1">
        <w:rPr>
          <w:sz w:val="22"/>
        </w:rPr>
        <w:t>s</w:t>
      </w:r>
      <w:r w:rsidRPr="00B50C48">
        <w:rPr>
          <w:sz w:val="22"/>
        </w:rPr>
        <w:t>able.</w:t>
      </w:r>
    </w:p>
    <w:p w:rsidR="00283E80" w:rsidRPr="00B50C48" w:rsidRDefault="003B4487" w:rsidP="002A069C">
      <w:pPr>
        <w:pStyle w:val="Heading3"/>
        <w:numPr>
          <w:ilvl w:val="0"/>
          <w:numId w:val="0"/>
        </w:numPr>
        <w:spacing w:before="120" w:after="240" w:line="276" w:lineRule="auto"/>
        <w:jc w:val="both"/>
        <w:rPr>
          <w:sz w:val="22"/>
        </w:rPr>
      </w:pPr>
      <w:r>
        <w:rPr>
          <w:sz w:val="22"/>
        </w:rPr>
        <w:t>Gender, Inter-Ethnic D</w:t>
      </w:r>
      <w:r w:rsidR="00283E80" w:rsidRPr="00B50C48">
        <w:rPr>
          <w:sz w:val="22"/>
        </w:rPr>
        <w:t xml:space="preserve">ifferences, Weight </w:t>
      </w:r>
      <w:r>
        <w:rPr>
          <w:sz w:val="22"/>
        </w:rPr>
        <w:t>C</w:t>
      </w:r>
      <w:r w:rsidR="00283E80" w:rsidRPr="00B50C48">
        <w:rPr>
          <w:sz w:val="22"/>
        </w:rPr>
        <w:t>ategories</w:t>
      </w:r>
    </w:p>
    <w:p w:rsidR="006D3CD2" w:rsidRPr="00B50C48" w:rsidRDefault="00CD7F64" w:rsidP="002A069C">
      <w:pPr>
        <w:pStyle w:val="BayerBodyTextFull"/>
        <w:spacing w:after="240" w:line="276" w:lineRule="auto"/>
        <w:jc w:val="both"/>
        <w:rPr>
          <w:sz w:val="22"/>
        </w:rPr>
      </w:pPr>
      <w:r w:rsidRPr="00B50C48">
        <w:rPr>
          <w:sz w:val="22"/>
        </w:rPr>
        <w:t>Pharmacokinetic data reveal no relevant differences due to gender, ethnicity or weight in the exposure to riociguat.</w:t>
      </w:r>
    </w:p>
    <w:p w:rsidR="00CD7F64" w:rsidRPr="00B50C48" w:rsidRDefault="00CD7F64" w:rsidP="002A069C">
      <w:pPr>
        <w:pStyle w:val="Heading3"/>
        <w:numPr>
          <w:ilvl w:val="0"/>
          <w:numId w:val="0"/>
        </w:numPr>
        <w:spacing w:before="120" w:after="240" w:line="276" w:lineRule="auto"/>
        <w:jc w:val="both"/>
        <w:rPr>
          <w:sz w:val="22"/>
        </w:rPr>
      </w:pPr>
      <w:r w:rsidRPr="00B50C48">
        <w:rPr>
          <w:sz w:val="22"/>
        </w:rPr>
        <w:t>Pharm</w:t>
      </w:r>
      <w:r w:rsidR="003B4487">
        <w:rPr>
          <w:sz w:val="22"/>
        </w:rPr>
        <w:t>acokinetic / Pharmacodynamic R</w:t>
      </w:r>
      <w:r w:rsidRPr="00B50C48">
        <w:rPr>
          <w:sz w:val="22"/>
        </w:rPr>
        <w:t>elationships</w:t>
      </w:r>
    </w:p>
    <w:p w:rsidR="00CD7F64" w:rsidRPr="00B50C48" w:rsidRDefault="00D234BA" w:rsidP="002A069C">
      <w:pPr>
        <w:pStyle w:val="BayerBodyTextFull"/>
        <w:spacing w:after="240" w:line="276" w:lineRule="auto"/>
        <w:jc w:val="both"/>
        <w:rPr>
          <w:sz w:val="22"/>
        </w:rPr>
      </w:pPr>
      <w:r w:rsidRPr="00B50C48">
        <w:rPr>
          <w:sz w:val="22"/>
        </w:rPr>
        <w:t>There is a direct relationship between riociguat plasma concentration and h</w:t>
      </w:r>
      <w:r w:rsidR="00A94A64" w:rsidRPr="00B50C48">
        <w:rPr>
          <w:sz w:val="22"/>
        </w:rPr>
        <w:t>a</w:t>
      </w:r>
      <w:r w:rsidRPr="00B50C48">
        <w:rPr>
          <w:sz w:val="22"/>
        </w:rPr>
        <w:t>emodynamic parameters such as systemic and pulmonary vascular resistance, systolic blood pressure and cardiac output.</w:t>
      </w:r>
    </w:p>
    <w:p w:rsidR="005E1570" w:rsidRPr="00B50C48" w:rsidRDefault="005E1570" w:rsidP="003308C5">
      <w:pPr>
        <w:pStyle w:val="Heading1"/>
        <w:numPr>
          <w:ilvl w:val="0"/>
          <w:numId w:val="0"/>
        </w:numPr>
        <w:jc w:val="both"/>
        <w:rPr>
          <w:sz w:val="24"/>
          <w:lang w:eastAsia="zh-CN"/>
        </w:rPr>
      </w:pPr>
      <w:r w:rsidRPr="00B50C48">
        <w:rPr>
          <w:sz w:val="24"/>
          <w:lang w:eastAsia="zh-CN"/>
        </w:rPr>
        <w:t>CLINICAL TRIALS</w:t>
      </w:r>
    </w:p>
    <w:p w:rsidR="005E1570" w:rsidRPr="00B50C48" w:rsidRDefault="00D1028D" w:rsidP="00584116">
      <w:pPr>
        <w:pStyle w:val="Heading2"/>
        <w:numPr>
          <w:ilvl w:val="0"/>
          <w:numId w:val="0"/>
        </w:numPr>
        <w:spacing w:after="240" w:line="276" w:lineRule="auto"/>
        <w:jc w:val="both"/>
        <w:rPr>
          <w:sz w:val="22"/>
          <w:lang w:eastAsia="zh-CN"/>
        </w:rPr>
      </w:pPr>
      <w:r w:rsidRPr="00B50C48">
        <w:rPr>
          <w:sz w:val="22"/>
          <w:lang w:eastAsia="zh-CN"/>
        </w:rPr>
        <w:t xml:space="preserve">Treatment of Chronic </w:t>
      </w:r>
      <w:r w:rsidR="002A459E">
        <w:rPr>
          <w:sz w:val="22"/>
          <w:lang w:eastAsia="zh-CN"/>
        </w:rPr>
        <w:t>Thromboembolic</w:t>
      </w:r>
      <w:r w:rsidR="002A459E" w:rsidRPr="00B50C48">
        <w:rPr>
          <w:sz w:val="22"/>
          <w:lang w:eastAsia="zh-CN"/>
        </w:rPr>
        <w:t xml:space="preserve"> </w:t>
      </w:r>
      <w:r w:rsidRPr="00B50C48">
        <w:rPr>
          <w:sz w:val="22"/>
          <w:lang w:eastAsia="zh-CN"/>
        </w:rPr>
        <w:t>Pulmonary Hypertension (CTEPH)</w:t>
      </w:r>
    </w:p>
    <w:p w:rsidR="00523680" w:rsidRPr="00523680" w:rsidRDefault="00001C0F" w:rsidP="00523680">
      <w:pPr>
        <w:pStyle w:val="BayerBodyTextFull"/>
        <w:spacing w:after="240" w:line="276" w:lineRule="auto"/>
        <w:jc w:val="both"/>
        <w:rPr>
          <w:sz w:val="22"/>
          <w:lang w:eastAsia="zh-CN"/>
        </w:rPr>
      </w:pPr>
      <w:r w:rsidRPr="00B50C48">
        <w:rPr>
          <w:sz w:val="22"/>
          <w:lang w:eastAsia="zh-CN"/>
        </w:rPr>
        <w:t>A randomised, double-blind, multi-</w:t>
      </w:r>
      <w:r w:rsidR="00121E28">
        <w:rPr>
          <w:sz w:val="22"/>
          <w:lang w:eastAsia="zh-CN"/>
        </w:rPr>
        <w:t>national, multi-centre, placebo-</w:t>
      </w:r>
      <w:r w:rsidRPr="00B50C48">
        <w:rPr>
          <w:sz w:val="22"/>
          <w:lang w:eastAsia="zh-CN"/>
        </w:rPr>
        <w:t xml:space="preserve">controlled Phase III study (CHEST-1) was conducted in patients with chronic thromboembolic pulmonary hypertension (CTEPH). </w:t>
      </w:r>
      <w:r w:rsidR="00523680" w:rsidRPr="00523680">
        <w:rPr>
          <w:sz w:val="22"/>
          <w:lang w:eastAsia="zh-CN"/>
        </w:rPr>
        <w:t>Patients were included if they:</w:t>
      </w:r>
    </w:p>
    <w:p w:rsidR="00523680" w:rsidRDefault="00523680" w:rsidP="001D16B8">
      <w:pPr>
        <w:pStyle w:val="BayerBodyTextFull"/>
        <w:numPr>
          <w:ilvl w:val="0"/>
          <w:numId w:val="31"/>
        </w:numPr>
        <w:spacing w:after="240" w:line="276" w:lineRule="auto"/>
        <w:ind w:left="426" w:hanging="426"/>
        <w:jc w:val="both"/>
        <w:rPr>
          <w:sz w:val="22"/>
          <w:lang w:eastAsia="zh-CN"/>
        </w:rPr>
      </w:pPr>
      <w:r w:rsidRPr="00523680">
        <w:rPr>
          <w:sz w:val="22"/>
          <w:lang w:eastAsia="zh-CN"/>
        </w:rPr>
        <w:t xml:space="preserve">were technically inoperable for </w:t>
      </w:r>
      <w:r w:rsidR="0047362A">
        <w:rPr>
          <w:sz w:val="22"/>
          <w:lang w:eastAsia="zh-CN"/>
        </w:rPr>
        <w:t>p</w:t>
      </w:r>
      <w:r w:rsidR="0047362A" w:rsidRPr="00523680">
        <w:rPr>
          <w:sz w:val="22"/>
          <w:lang w:eastAsia="zh-CN"/>
        </w:rPr>
        <w:t xml:space="preserve">ulmonary </w:t>
      </w:r>
      <w:r w:rsidR="0047362A">
        <w:rPr>
          <w:sz w:val="22"/>
          <w:lang w:eastAsia="zh-CN"/>
        </w:rPr>
        <w:t>endarterectomy</w:t>
      </w:r>
      <w:r w:rsidRPr="00523680">
        <w:rPr>
          <w:sz w:val="22"/>
          <w:lang w:eastAsia="zh-CN"/>
        </w:rPr>
        <w:t>, with pulmonary vascular resistance (PVR) &gt;300 dyn*sec*cm-5 and mean pulmonary artery pressure &gt;25 mmHg measured at least 90 days after the start of full anticoagulation, or</w:t>
      </w:r>
    </w:p>
    <w:p w:rsidR="00523680" w:rsidRDefault="00523680" w:rsidP="001D16B8">
      <w:pPr>
        <w:pStyle w:val="BayerBodyTextFull"/>
        <w:numPr>
          <w:ilvl w:val="0"/>
          <w:numId w:val="31"/>
        </w:numPr>
        <w:spacing w:after="240" w:line="276" w:lineRule="auto"/>
        <w:ind w:left="426" w:hanging="426"/>
        <w:jc w:val="both"/>
        <w:rPr>
          <w:sz w:val="22"/>
          <w:lang w:eastAsia="zh-CN"/>
        </w:rPr>
      </w:pPr>
      <w:r w:rsidRPr="00523680">
        <w:rPr>
          <w:sz w:val="22"/>
          <w:lang w:eastAsia="zh-CN"/>
        </w:rPr>
        <w:t xml:space="preserve">had recurrent or persisting pulmonary hypertension defined as PVR &gt; 300 dyn*sec*cm-5 measured at least 180 days following pulmonary endarterectomy. </w:t>
      </w:r>
    </w:p>
    <w:p w:rsidR="00001C0F" w:rsidRPr="00B50C48" w:rsidRDefault="00001C0F" w:rsidP="002A069C">
      <w:pPr>
        <w:pStyle w:val="BayerBodyTextFull"/>
        <w:spacing w:after="240" w:line="276" w:lineRule="auto"/>
        <w:jc w:val="both"/>
        <w:rPr>
          <w:sz w:val="22"/>
          <w:lang w:eastAsia="zh-CN"/>
        </w:rPr>
      </w:pPr>
      <w:r w:rsidRPr="00B50C48">
        <w:rPr>
          <w:sz w:val="22"/>
          <w:lang w:eastAsia="zh-CN"/>
        </w:rPr>
        <w:t>The patient population included male and female patients between the age of 18 and 80</w:t>
      </w:r>
      <w:r w:rsidR="00584116">
        <w:rPr>
          <w:sz w:val="22"/>
          <w:lang w:eastAsia="zh-CN"/>
        </w:rPr>
        <w:t>,</w:t>
      </w:r>
      <w:r w:rsidR="0076317A" w:rsidRPr="00B50C48">
        <w:rPr>
          <w:sz w:val="22"/>
          <w:lang w:eastAsia="zh-CN"/>
        </w:rPr>
        <w:t xml:space="preserve"> </w:t>
      </w:r>
      <w:r w:rsidR="00584116">
        <w:rPr>
          <w:sz w:val="22"/>
          <w:lang w:eastAsia="zh-CN"/>
        </w:rPr>
        <w:t>o</w:t>
      </w:r>
      <w:r w:rsidR="0076317A" w:rsidRPr="00B50C48">
        <w:rPr>
          <w:sz w:val="22"/>
          <w:lang w:eastAsia="zh-CN"/>
        </w:rPr>
        <w:t>f which</w:t>
      </w:r>
      <w:r w:rsidRPr="00B50C48">
        <w:rPr>
          <w:sz w:val="22"/>
          <w:lang w:eastAsia="zh-CN"/>
        </w:rPr>
        <w:t xml:space="preserve"> 72% of patients had inoperable CTEPH</w:t>
      </w:r>
      <w:r w:rsidR="0076317A" w:rsidRPr="00B50C48">
        <w:rPr>
          <w:sz w:val="22"/>
          <w:lang w:eastAsia="zh-CN"/>
        </w:rPr>
        <w:t xml:space="preserve"> and</w:t>
      </w:r>
      <w:r w:rsidRPr="00B50C48">
        <w:rPr>
          <w:sz w:val="22"/>
          <w:lang w:eastAsia="zh-CN"/>
        </w:rPr>
        <w:t xml:space="preserve"> 28% had recurrent or persisting CTEPH following </w:t>
      </w:r>
      <w:r w:rsidR="0047362A">
        <w:rPr>
          <w:sz w:val="22"/>
          <w:lang w:eastAsia="zh-CN"/>
        </w:rPr>
        <w:t>p</w:t>
      </w:r>
      <w:r w:rsidR="0047362A" w:rsidRPr="00523680">
        <w:rPr>
          <w:sz w:val="22"/>
          <w:lang w:eastAsia="zh-CN"/>
        </w:rPr>
        <w:t xml:space="preserve">ulmonary </w:t>
      </w:r>
      <w:r w:rsidR="0047362A">
        <w:rPr>
          <w:sz w:val="22"/>
          <w:lang w:eastAsia="zh-CN"/>
        </w:rPr>
        <w:t>endarterectomy</w:t>
      </w:r>
      <w:r w:rsidRPr="00B50C48">
        <w:rPr>
          <w:sz w:val="22"/>
          <w:lang w:eastAsia="zh-CN"/>
        </w:rPr>
        <w:t xml:space="preserve">. </w:t>
      </w:r>
    </w:p>
    <w:p w:rsidR="00001C0F" w:rsidRPr="00B50C48" w:rsidRDefault="0005430E" w:rsidP="002A069C">
      <w:pPr>
        <w:pStyle w:val="BayerBodyTextFull"/>
        <w:spacing w:after="240" w:line="276" w:lineRule="auto"/>
        <w:jc w:val="both"/>
        <w:rPr>
          <w:sz w:val="22"/>
          <w:lang w:eastAsia="zh-CN"/>
        </w:rPr>
      </w:pPr>
      <w:r>
        <w:rPr>
          <w:sz w:val="22"/>
          <w:lang w:eastAsia="zh-CN"/>
        </w:rPr>
        <w:t>P</w:t>
      </w:r>
      <w:r w:rsidR="00001C0F" w:rsidRPr="00B50C48">
        <w:rPr>
          <w:sz w:val="22"/>
          <w:lang w:eastAsia="zh-CN"/>
        </w:rPr>
        <w:t xml:space="preserve">atients had a World Health Organization (WHO) Functional Class </w:t>
      </w:r>
      <w:r w:rsidR="009115E3">
        <w:rPr>
          <w:sz w:val="22"/>
          <w:lang w:eastAsia="zh-CN"/>
        </w:rPr>
        <w:t xml:space="preserve">I (1%) or </w:t>
      </w:r>
      <w:r w:rsidR="00001C0F" w:rsidRPr="00B50C48">
        <w:rPr>
          <w:sz w:val="22"/>
          <w:lang w:eastAsia="zh-CN"/>
        </w:rPr>
        <w:t xml:space="preserve">II (31%) or III (64%) </w:t>
      </w:r>
      <w:r w:rsidR="009115E3">
        <w:rPr>
          <w:sz w:val="22"/>
          <w:lang w:eastAsia="zh-CN"/>
        </w:rPr>
        <w:t xml:space="preserve">or IV (4%) </w:t>
      </w:r>
      <w:r w:rsidR="00001C0F" w:rsidRPr="00B50C48">
        <w:rPr>
          <w:sz w:val="22"/>
          <w:lang w:eastAsia="zh-CN"/>
        </w:rPr>
        <w:t>at baseline. The mean baseline six minute walking distance (6MWD) was 347 m. All patients were treatment naïve (</w:t>
      </w:r>
      <w:r w:rsidR="0076317A" w:rsidRPr="00B50C48">
        <w:rPr>
          <w:sz w:val="22"/>
          <w:lang w:eastAsia="zh-CN"/>
        </w:rPr>
        <w:t xml:space="preserve">patients on </w:t>
      </w:r>
      <w:r w:rsidR="00001C0F" w:rsidRPr="00B50C48">
        <w:rPr>
          <w:sz w:val="22"/>
          <w:lang w:eastAsia="zh-CN"/>
        </w:rPr>
        <w:t xml:space="preserve">PAH specific medication </w:t>
      </w:r>
      <w:r w:rsidR="0076317A" w:rsidRPr="00B50C48">
        <w:rPr>
          <w:sz w:val="22"/>
          <w:lang w:eastAsia="zh-CN"/>
        </w:rPr>
        <w:t xml:space="preserve">were </w:t>
      </w:r>
      <w:r w:rsidR="00001C0F" w:rsidRPr="00B50C48">
        <w:rPr>
          <w:sz w:val="22"/>
          <w:lang w:eastAsia="zh-CN"/>
        </w:rPr>
        <w:t>excluded).</w:t>
      </w:r>
      <w:r w:rsidR="000853C7">
        <w:rPr>
          <w:sz w:val="22"/>
          <w:lang w:eastAsia="zh-CN"/>
        </w:rPr>
        <w:t xml:space="preserve"> </w:t>
      </w:r>
      <w:r w:rsidR="000853C7" w:rsidRPr="000853C7">
        <w:rPr>
          <w:sz w:val="22"/>
          <w:lang w:eastAsia="zh-CN"/>
        </w:rPr>
        <w:t>Patients with systolic blood pressure &lt; 95 mmHg were excluded from the study. Stable dosages of oral anticoagulants, diuretics, digitalis, calcium channel blockers and oxygen were allowed, but not concomitant therapy with NO donors, endothelin receptor antagonists, prostacyclin analogues, specific PDE-5 inhibitors (such as, sildenafil, tadalafil, or vardenafil), and nonspecific phosphodiesterase inhibitors (for example, dipyridamole or theophylline).</w:t>
      </w:r>
    </w:p>
    <w:p w:rsidR="00001C0F" w:rsidRPr="00B50C48" w:rsidRDefault="00001C0F" w:rsidP="002A069C">
      <w:pPr>
        <w:pStyle w:val="BayerBodyTextFull"/>
        <w:spacing w:after="240" w:line="276" w:lineRule="auto"/>
        <w:jc w:val="both"/>
        <w:rPr>
          <w:sz w:val="21"/>
          <w:lang w:eastAsia="zh-CN"/>
        </w:rPr>
      </w:pPr>
      <w:r w:rsidRPr="00B50C48">
        <w:rPr>
          <w:sz w:val="22"/>
          <w:lang w:eastAsia="zh-CN"/>
        </w:rPr>
        <w:t xml:space="preserve">CHEST-1 included 261 patients treated and valid for safety </w:t>
      </w:r>
      <w:r w:rsidR="00584116">
        <w:rPr>
          <w:sz w:val="22"/>
          <w:lang w:eastAsia="zh-CN"/>
        </w:rPr>
        <w:t xml:space="preserve">analysis </w:t>
      </w:r>
      <w:r w:rsidRPr="00B50C48">
        <w:rPr>
          <w:sz w:val="22"/>
          <w:lang w:eastAsia="zh-CN"/>
        </w:rPr>
        <w:t>randomi</w:t>
      </w:r>
      <w:r w:rsidR="00B8260D" w:rsidRPr="00B50C48">
        <w:rPr>
          <w:sz w:val="22"/>
          <w:lang w:eastAsia="zh-CN"/>
        </w:rPr>
        <w:t>s</w:t>
      </w:r>
      <w:r w:rsidRPr="00B50C48">
        <w:rPr>
          <w:sz w:val="22"/>
          <w:lang w:eastAsia="zh-CN"/>
        </w:rPr>
        <w:t xml:space="preserve">ed to one of two treatment groups: </w:t>
      </w:r>
      <w:r w:rsidR="00121E28">
        <w:rPr>
          <w:sz w:val="22"/>
          <w:lang w:eastAsia="zh-CN"/>
        </w:rPr>
        <w:t>Adempas</w:t>
      </w:r>
      <w:r w:rsidR="00121E28" w:rsidRPr="00B50C48">
        <w:rPr>
          <w:sz w:val="22"/>
          <w:lang w:eastAsia="zh-CN"/>
        </w:rPr>
        <w:t xml:space="preserve"> </w:t>
      </w:r>
      <w:r w:rsidRPr="00B50C48">
        <w:rPr>
          <w:sz w:val="22"/>
          <w:lang w:eastAsia="zh-CN"/>
        </w:rPr>
        <w:t xml:space="preserve">individual dose titration (IDT) up to 2.5 mg </w:t>
      </w:r>
      <w:r w:rsidR="007F2E48">
        <w:rPr>
          <w:sz w:val="22"/>
          <w:lang w:eastAsia="zh-CN"/>
        </w:rPr>
        <w:t>TDS</w:t>
      </w:r>
      <w:r w:rsidR="007F2E48" w:rsidRPr="00B50C48">
        <w:rPr>
          <w:sz w:val="22"/>
          <w:lang w:eastAsia="zh-CN"/>
        </w:rPr>
        <w:t xml:space="preserve"> </w:t>
      </w:r>
      <w:r w:rsidRPr="00B50C48">
        <w:rPr>
          <w:sz w:val="22"/>
          <w:lang w:eastAsia="zh-CN"/>
        </w:rPr>
        <w:t xml:space="preserve">(n=173, referred to as riociguat group), or placebo (n=88). During an 8 week titration phase, the dose of </w:t>
      </w:r>
      <w:r w:rsidR="00121E28">
        <w:rPr>
          <w:sz w:val="22"/>
          <w:lang w:eastAsia="zh-CN"/>
        </w:rPr>
        <w:t>Adempas</w:t>
      </w:r>
      <w:r w:rsidR="00121E28" w:rsidRPr="00B50C48">
        <w:rPr>
          <w:sz w:val="22"/>
          <w:lang w:eastAsia="zh-CN"/>
        </w:rPr>
        <w:t xml:space="preserve"> </w:t>
      </w:r>
      <w:r w:rsidRPr="00B50C48">
        <w:rPr>
          <w:sz w:val="22"/>
          <w:lang w:eastAsia="zh-CN"/>
        </w:rPr>
        <w:t xml:space="preserve">was titrated every 2 weeks based on the patient’s systolic blood pressure and signs or symptoms of hypotension. An individualised dose was reached at the end of the titration. </w:t>
      </w:r>
      <w:r w:rsidR="0030783F" w:rsidRPr="00B50C48">
        <w:rPr>
          <w:rFonts w:eastAsia="MS Mincho"/>
          <w:color w:val="000000"/>
          <w:sz w:val="22"/>
          <w:szCs w:val="24"/>
        </w:rPr>
        <w:t xml:space="preserve">77% of patients were titrated to the maximum dose of 2.5 mg </w:t>
      </w:r>
      <w:r w:rsidR="007F2E48">
        <w:rPr>
          <w:rFonts w:eastAsia="MS Mincho"/>
          <w:color w:val="000000"/>
          <w:sz w:val="22"/>
          <w:szCs w:val="24"/>
        </w:rPr>
        <w:t xml:space="preserve">TDS </w:t>
      </w:r>
      <w:r w:rsidR="006C543E">
        <w:rPr>
          <w:rFonts w:eastAsia="MS Mincho"/>
          <w:color w:val="000000"/>
          <w:sz w:val="22"/>
          <w:szCs w:val="24"/>
        </w:rPr>
        <w:t>and</w:t>
      </w:r>
      <w:r w:rsidR="0030783F" w:rsidRPr="00B50C48">
        <w:rPr>
          <w:rFonts w:eastAsia="MS Mincho"/>
          <w:color w:val="000000"/>
          <w:sz w:val="22"/>
          <w:szCs w:val="24"/>
        </w:rPr>
        <w:t xml:space="preserve"> 13%, 6%, 4%, and 1% of patients received </w:t>
      </w:r>
      <w:r w:rsidR="008A733B">
        <w:rPr>
          <w:rFonts w:eastAsia="MS Mincho"/>
          <w:color w:val="000000"/>
          <w:sz w:val="22"/>
          <w:szCs w:val="24"/>
        </w:rPr>
        <w:t>Adempas</w:t>
      </w:r>
      <w:r w:rsidR="008A733B" w:rsidRPr="00B50C48">
        <w:rPr>
          <w:rFonts w:eastAsia="MS Mincho"/>
          <w:color w:val="000000"/>
          <w:sz w:val="22"/>
          <w:szCs w:val="24"/>
        </w:rPr>
        <w:t xml:space="preserve"> </w:t>
      </w:r>
      <w:r w:rsidR="0030783F" w:rsidRPr="00B50C48">
        <w:rPr>
          <w:rFonts w:eastAsia="MS Mincho"/>
          <w:color w:val="000000"/>
          <w:sz w:val="22"/>
          <w:szCs w:val="24"/>
        </w:rPr>
        <w:t xml:space="preserve">2 mg, 1.5 mg, 1 mg, and 0.5 mg </w:t>
      </w:r>
      <w:r w:rsidR="007F2E48">
        <w:rPr>
          <w:rFonts w:eastAsia="MS Mincho"/>
          <w:color w:val="000000"/>
          <w:sz w:val="22"/>
          <w:szCs w:val="24"/>
        </w:rPr>
        <w:t>TDS</w:t>
      </w:r>
      <w:r w:rsidR="0030783F" w:rsidRPr="00B50C48">
        <w:rPr>
          <w:rFonts w:eastAsia="MS Mincho"/>
          <w:color w:val="000000"/>
          <w:sz w:val="22"/>
          <w:szCs w:val="24"/>
        </w:rPr>
        <w:t>, respectively.</w:t>
      </w:r>
    </w:p>
    <w:p w:rsidR="00001C0F" w:rsidRPr="00B50C48" w:rsidRDefault="00E8655F" w:rsidP="006C543E">
      <w:pPr>
        <w:pStyle w:val="BayerBodyTextFull"/>
        <w:keepNext/>
        <w:spacing w:after="240" w:line="276" w:lineRule="auto"/>
        <w:jc w:val="both"/>
        <w:rPr>
          <w:sz w:val="22"/>
          <w:u w:val="single"/>
          <w:lang w:eastAsia="zh-CN"/>
        </w:rPr>
      </w:pPr>
      <w:r w:rsidRPr="00B50C48">
        <w:rPr>
          <w:sz w:val="22"/>
          <w:u w:val="single"/>
          <w:lang w:eastAsia="zh-CN"/>
        </w:rPr>
        <w:lastRenderedPageBreak/>
        <w:t xml:space="preserve">Statistical </w:t>
      </w:r>
      <w:r w:rsidR="00ED01F4">
        <w:rPr>
          <w:sz w:val="22"/>
          <w:u w:val="single"/>
          <w:lang w:eastAsia="zh-CN"/>
        </w:rPr>
        <w:t>A</w:t>
      </w:r>
      <w:r w:rsidRPr="00B50C48">
        <w:rPr>
          <w:sz w:val="22"/>
          <w:u w:val="single"/>
          <w:lang w:eastAsia="zh-CN"/>
        </w:rPr>
        <w:t xml:space="preserve">nalysis of </w:t>
      </w:r>
      <w:r w:rsidR="00ED01F4">
        <w:rPr>
          <w:sz w:val="22"/>
          <w:u w:val="single"/>
          <w:lang w:eastAsia="zh-CN"/>
        </w:rPr>
        <w:t>Efficacy Endpoints</w:t>
      </w:r>
    </w:p>
    <w:p w:rsidR="00001C0F" w:rsidRPr="00B50C48" w:rsidRDefault="00001C0F" w:rsidP="002A069C">
      <w:pPr>
        <w:pStyle w:val="BayerBodyTextFull"/>
        <w:spacing w:after="240" w:line="276" w:lineRule="auto"/>
        <w:jc w:val="both"/>
        <w:rPr>
          <w:sz w:val="22"/>
          <w:lang w:eastAsia="zh-CN"/>
        </w:rPr>
      </w:pPr>
      <w:r w:rsidRPr="00B50C48">
        <w:rPr>
          <w:sz w:val="22"/>
          <w:lang w:eastAsia="zh-CN"/>
        </w:rPr>
        <w:t xml:space="preserve">All p-values are based on stratified Wilcoxon test (unless a different test is mentioned). All 95% </w:t>
      </w:r>
      <w:r w:rsidR="006C543E">
        <w:rPr>
          <w:sz w:val="22"/>
          <w:lang w:eastAsia="zh-CN"/>
        </w:rPr>
        <w:t>Confidence Interval (</w:t>
      </w:r>
      <w:r w:rsidRPr="00B50C48">
        <w:rPr>
          <w:sz w:val="22"/>
          <w:lang w:eastAsia="zh-CN"/>
        </w:rPr>
        <w:t>CI</w:t>
      </w:r>
      <w:r w:rsidR="006C543E">
        <w:rPr>
          <w:sz w:val="22"/>
          <w:lang w:eastAsia="zh-CN"/>
        </w:rPr>
        <w:t>)</w:t>
      </w:r>
      <w:r w:rsidRPr="00B50C48">
        <w:rPr>
          <w:sz w:val="22"/>
          <w:lang w:eastAsia="zh-CN"/>
        </w:rPr>
        <w:t xml:space="preserve"> and treatment effects are based on analysis of covariance (ANCOVA).</w:t>
      </w:r>
    </w:p>
    <w:p w:rsidR="00001C0F" w:rsidRPr="00B50C48" w:rsidRDefault="00001C0F" w:rsidP="002A069C">
      <w:pPr>
        <w:pStyle w:val="BayerBodyTextFull"/>
        <w:spacing w:after="240" w:line="276" w:lineRule="auto"/>
        <w:jc w:val="both"/>
        <w:rPr>
          <w:sz w:val="22"/>
          <w:u w:val="single"/>
          <w:lang w:eastAsia="zh-CN"/>
        </w:rPr>
      </w:pPr>
      <w:r w:rsidRPr="00B50C48">
        <w:rPr>
          <w:sz w:val="22"/>
          <w:u w:val="single"/>
          <w:lang w:eastAsia="zh-CN"/>
        </w:rPr>
        <w:t>Prima</w:t>
      </w:r>
      <w:r w:rsidR="00ED01F4">
        <w:rPr>
          <w:sz w:val="22"/>
          <w:u w:val="single"/>
          <w:lang w:eastAsia="zh-CN"/>
        </w:rPr>
        <w:t>ry Endpoint</w:t>
      </w:r>
    </w:p>
    <w:p w:rsidR="00001C0F" w:rsidRPr="00B50C48" w:rsidRDefault="00001C0F" w:rsidP="002A069C">
      <w:pPr>
        <w:pStyle w:val="BayerBodyTextFull"/>
        <w:spacing w:after="240" w:line="276" w:lineRule="auto"/>
        <w:jc w:val="both"/>
        <w:rPr>
          <w:sz w:val="22"/>
          <w:lang w:eastAsia="zh-CN"/>
        </w:rPr>
      </w:pPr>
      <w:r w:rsidRPr="00B50C48">
        <w:rPr>
          <w:sz w:val="22"/>
          <w:lang w:eastAsia="zh-CN"/>
        </w:rPr>
        <w:t>The primary endpoint was the change from baseline at week 16 (last visit) in 6MWD compared to placebo.</w:t>
      </w:r>
      <w:r w:rsidR="00121E28" w:rsidRPr="00121E28">
        <w:t xml:space="preserve"> </w:t>
      </w:r>
      <w:r w:rsidR="00121E28" w:rsidRPr="00121E28">
        <w:rPr>
          <w:sz w:val="22"/>
          <w:lang w:eastAsia="zh-CN"/>
        </w:rPr>
        <w:t>Results of the 6</w:t>
      </w:r>
      <w:r w:rsidR="00121E28">
        <w:rPr>
          <w:sz w:val="22"/>
          <w:lang w:eastAsia="zh-CN"/>
        </w:rPr>
        <w:t>MWD</w:t>
      </w:r>
      <w:r w:rsidR="00121E28" w:rsidRPr="00121E28">
        <w:rPr>
          <w:sz w:val="22"/>
          <w:lang w:eastAsia="zh-CN"/>
        </w:rPr>
        <w:t xml:space="preserve"> at 16 weeks are shown in</w:t>
      </w:r>
      <w:r w:rsidR="00035A93">
        <w:rPr>
          <w:sz w:val="22"/>
          <w:lang w:eastAsia="zh-CN"/>
        </w:rPr>
        <w:t xml:space="preserve"> Table 1 and</w:t>
      </w:r>
      <w:r w:rsidR="00121E28" w:rsidRPr="00121E28">
        <w:rPr>
          <w:sz w:val="22"/>
          <w:lang w:eastAsia="zh-CN"/>
        </w:rPr>
        <w:t xml:space="preserve"> Figure 1.</w:t>
      </w:r>
    </w:p>
    <w:p w:rsidR="00D1028D" w:rsidRPr="00B50C48" w:rsidRDefault="00001C0F" w:rsidP="002A069C">
      <w:pPr>
        <w:pStyle w:val="BayerBodyTextFull"/>
        <w:spacing w:after="240" w:line="276" w:lineRule="auto"/>
        <w:jc w:val="both"/>
        <w:rPr>
          <w:sz w:val="22"/>
          <w:lang w:eastAsia="zh-CN"/>
        </w:rPr>
      </w:pPr>
      <w:r w:rsidRPr="00B50C48">
        <w:rPr>
          <w:sz w:val="22"/>
          <w:lang w:eastAsia="zh-CN"/>
        </w:rPr>
        <w:t>Improvements in walking distance were apparent from week 2 onward, and at week 16 (n=261) the</w:t>
      </w:r>
      <w:r w:rsidR="00E74457">
        <w:rPr>
          <w:sz w:val="22"/>
          <w:lang w:eastAsia="zh-CN"/>
        </w:rPr>
        <w:t xml:space="preserve"> mean</w:t>
      </w:r>
      <w:r w:rsidRPr="00B50C48">
        <w:rPr>
          <w:sz w:val="22"/>
          <w:lang w:eastAsia="zh-CN"/>
        </w:rPr>
        <w:t xml:space="preserve"> increase in 6MWD within the riociguat group was 46 m (95% CI: 25 m to 67 m; p&lt;0.0001) compared to placebo (ITT analysis, see</w:t>
      </w:r>
      <w:r w:rsidR="006D1840">
        <w:rPr>
          <w:sz w:val="22"/>
          <w:szCs w:val="22"/>
          <w:lang w:eastAsia="zh-CN"/>
        </w:rPr>
        <w:t xml:space="preserve"> Table 1</w:t>
      </w:r>
      <w:r w:rsidRPr="00B50C48">
        <w:rPr>
          <w:sz w:val="22"/>
          <w:lang w:eastAsia="zh-CN"/>
        </w:rPr>
        <w:t>). Improvements of riociguat over p</w:t>
      </w:r>
      <w:r w:rsidR="00303A8E" w:rsidRPr="00B50C48">
        <w:rPr>
          <w:sz w:val="22"/>
          <w:lang w:eastAsia="zh-CN"/>
        </w:rPr>
        <w:t>lacebo were observed in all sub-</w:t>
      </w:r>
      <w:r w:rsidRPr="00B50C48">
        <w:rPr>
          <w:sz w:val="22"/>
          <w:lang w:eastAsia="zh-CN"/>
        </w:rPr>
        <w:t xml:space="preserve">groups evaluated. Inoperable patients (n=189) demonstrated an increase in 6MWD of 54 m (95% CI: 29 m to 79 m), and patients with recurrent or persisting CTEPH following </w:t>
      </w:r>
      <w:r w:rsidR="0047362A">
        <w:rPr>
          <w:sz w:val="22"/>
          <w:lang w:eastAsia="zh-CN"/>
        </w:rPr>
        <w:t>p</w:t>
      </w:r>
      <w:r w:rsidR="0047362A" w:rsidRPr="00523680">
        <w:rPr>
          <w:sz w:val="22"/>
          <w:lang w:eastAsia="zh-CN"/>
        </w:rPr>
        <w:t xml:space="preserve">ulmonary </w:t>
      </w:r>
      <w:r w:rsidR="0047362A">
        <w:rPr>
          <w:sz w:val="22"/>
          <w:lang w:eastAsia="zh-CN"/>
        </w:rPr>
        <w:t>endarterectomy</w:t>
      </w:r>
      <w:r w:rsidR="0047362A" w:rsidRPr="00B50C48" w:rsidDel="0047362A">
        <w:rPr>
          <w:sz w:val="22"/>
          <w:lang w:eastAsia="zh-CN"/>
        </w:rPr>
        <w:t xml:space="preserve"> </w:t>
      </w:r>
      <w:r w:rsidRPr="00B50C48">
        <w:rPr>
          <w:sz w:val="22"/>
          <w:lang w:eastAsia="zh-CN"/>
        </w:rPr>
        <w:t>(n=72) demonstrated an increase in 6MWD of 27 m (95% CI: -10 m to 63 m).</w:t>
      </w:r>
    </w:p>
    <w:p w:rsidR="00F85051" w:rsidRPr="00B50C48" w:rsidRDefault="00F85051" w:rsidP="00DD77F1">
      <w:pPr>
        <w:pStyle w:val="Caption"/>
        <w:keepNext w:val="0"/>
        <w:ind w:left="0"/>
        <w:rPr>
          <w:lang w:eastAsia="zh-CN"/>
        </w:rPr>
      </w:pPr>
      <w:bookmarkStart w:id="1" w:name="_Ref346276381"/>
      <w:r w:rsidRPr="00B50C48">
        <w:t xml:space="preserve">Table </w:t>
      </w:r>
      <w:r w:rsidR="002740D2">
        <w:fldChar w:fldCharType="begin"/>
      </w:r>
      <w:r w:rsidR="002740D2">
        <w:instrText xml:space="preserve"> SEQ Table \* ARABIC </w:instrText>
      </w:r>
      <w:r w:rsidR="002740D2">
        <w:fldChar w:fldCharType="separate"/>
      </w:r>
      <w:r w:rsidR="00407B88">
        <w:rPr>
          <w:noProof/>
        </w:rPr>
        <w:t>1</w:t>
      </w:r>
      <w:r w:rsidR="002740D2">
        <w:fldChar w:fldCharType="end"/>
      </w:r>
      <w:bookmarkEnd w:id="1"/>
      <w:r w:rsidRPr="00B50C48">
        <w:t xml:space="preserve">. </w:t>
      </w:r>
      <w:r w:rsidRPr="00B50C48">
        <w:rPr>
          <w:lang w:eastAsia="zh-CN"/>
        </w:rPr>
        <w:t>Effects of riociguat on 6MWD in CHEST 1 at week 16 (last visit; ITT analysis 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551"/>
        <w:gridCol w:w="2693"/>
      </w:tblGrid>
      <w:tr w:rsidR="00F85051" w:rsidRPr="00B50C48" w:rsidTr="00DF046D">
        <w:trPr>
          <w:cantSplit/>
        </w:trPr>
        <w:tc>
          <w:tcPr>
            <w:tcW w:w="3828" w:type="dxa"/>
            <w:shd w:val="clear" w:color="auto" w:fill="D9D9D9"/>
          </w:tcPr>
          <w:p w:rsidR="00F85051" w:rsidRPr="00B50C48" w:rsidRDefault="00F85051" w:rsidP="00DD77F1">
            <w:pPr>
              <w:pStyle w:val="BayerBodyTextFull"/>
              <w:keepLines/>
              <w:tabs>
                <w:tab w:val="left" w:pos="34"/>
              </w:tabs>
              <w:spacing w:before="0" w:after="0"/>
              <w:rPr>
                <w:rFonts w:cs="Arial"/>
                <w:b/>
              </w:rPr>
            </w:pPr>
            <w:r w:rsidRPr="00B50C48">
              <w:rPr>
                <w:rFonts w:cs="Arial"/>
                <w:b/>
              </w:rPr>
              <w:t>Entire patient population</w:t>
            </w:r>
          </w:p>
        </w:tc>
        <w:tc>
          <w:tcPr>
            <w:tcW w:w="2551" w:type="dxa"/>
            <w:shd w:val="clear" w:color="auto" w:fill="D9D9D9"/>
          </w:tcPr>
          <w:p w:rsidR="00F85051" w:rsidRPr="00B50C48" w:rsidRDefault="00F85051" w:rsidP="00DD77F1">
            <w:pPr>
              <w:pStyle w:val="BayerBodyTextFull"/>
              <w:keepLines/>
              <w:spacing w:before="0" w:after="0"/>
              <w:jc w:val="center"/>
              <w:rPr>
                <w:rFonts w:cs="Arial"/>
                <w:b/>
              </w:rPr>
            </w:pPr>
            <w:r w:rsidRPr="00B50C48">
              <w:rPr>
                <w:rFonts w:cs="Arial"/>
                <w:b/>
              </w:rPr>
              <w:t>Riociguat (IDT) n=173</w:t>
            </w:r>
          </w:p>
        </w:tc>
        <w:tc>
          <w:tcPr>
            <w:tcW w:w="2693" w:type="dxa"/>
            <w:shd w:val="clear" w:color="auto" w:fill="D9D9D9"/>
          </w:tcPr>
          <w:p w:rsidR="00F85051" w:rsidRPr="00B50C48" w:rsidRDefault="00F85051" w:rsidP="00DD77F1">
            <w:pPr>
              <w:pStyle w:val="BayerBodyTextFull"/>
              <w:keepLines/>
              <w:spacing w:before="0" w:after="0"/>
              <w:jc w:val="center"/>
              <w:rPr>
                <w:rFonts w:cs="Arial"/>
                <w:b/>
              </w:rPr>
            </w:pPr>
            <w:r w:rsidRPr="00B50C48">
              <w:rPr>
                <w:rFonts w:cs="Arial"/>
                <w:b/>
              </w:rPr>
              <w:t>Placebo n=88</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Baseline (m)</w:t>
            </w:r>
          </w:p>
          <w:p w:rsidR="00F85051" w:rsidRPr="00B50C48" w:rsidRDefault="00F85051" w:rsidP="00DD77F1">
            <w:pPr>
              <w:pStyle w:val="BayerBodyTextFull"/>
              <w:keepLines/>
              <w:spacing w:before="0" w:after="0"/>
              <w:rPr>
                <w:rFonts w:cs="Arial"/>
              </w:rPr>
            </w:pPr>
            <w:r w:rsidRPr="00B50C48">
              <w:rPr>
                <w:rFonts w:cs="Arial"/>
              </w:rPr>
              <w:t>[SD]</w:t>
            </w:r>
          </w:p>
        </w:tc>
        <w:tc>
          <w:tcPr>
            <w:tcW w:w="2551"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342</w:t>
            </w:r>
          </w:p>
          <w:p w:rsidR="00F85051" w:rsidRPr="00B50C48" w:rsidRDefault="00F85051" w:rsidP="00DD77F1">
            <w:pPr>
              <w:pStyle w:val="BayerBodyTextFull"/>
              <w:keepLines/>
              <w:spacing w:before="0" w:after="0"/>
              <w:jc w:val="center"/>
              <w:rPr>
                <w:rFonts w:cs="Arial"/>
              </w:rPr>
            </w:pPr>
            <w:r w:rsidRPr="00B50C48">
              <w:rPr>
                <w:rFonts w:cs="Arial"/>
              </w:rPr>
              <w:t>[82]</w:t>
            </w:r>
          </w:p>
        </w:tc>
        <w:tc>
          <w:tcPr>
            <w:tcW w:w="2693"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356</w:t>
            </w:r>
          </w:p>
          <w:p w:rsidR="00F85051" w:rsidRPr="00B50C48" w:rsidRDefault="00F85051" w:rsidP="00DD77F1">
            <w:pPr>
              <w:pStyle w:val="BayerBodyTextFull"/>
              <w:keepLines/>
              <w:spacing w:before="0" w:after="0"/>
              <w:jc w:val="center"/>
              <w:rPr>
                <w:rFonts w:cs="Arial"/>
              </w:rPr>
            </w:pPr>
            <w:r w:rsidRPr="00B50C48">
              <w:rPr>
                <w:rFonts w:cs="Arial"/>
              </w:rPr>
              <w:t>[75]</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Change from baseline (m)</w:t>
            </w:r>
          </w:p>
          <w:p w:rsidR="00F85051" w:rsidRPr="00B50C48" w:rsidRDefault="00F85051" w:rsidP="00DD77F1">
            <w:pPr>
              <w:pStyle w:val="BayerBodyTextFull"/>
              <w:keepLines/>
              <w:spacing w:before="0" w:after="0"/>
              <w:rPr>
                <w:rFonts w:cs="Arial"/>
              </w:rPr>
            </w:pPr>
            <w:r w:rsidRPr="00B50C48">
              <w:rPr>
                <w:rFonts w:cs="Arial"/>
              </w:rPr>
              <w:t>[SD]</w:t>
            </w:r>
          </w:p>
        </w:tc>
        <w:tc>
          <w:tcPr>
            <w:tcW w:w="2551"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39</w:t>
            </w:r>
          </w:p>
          <w:p w:rsidR="00F85051" w:rsidRPr="00B50C48" w:rsidRDefault="00F85051" w:rsidP="00DD77F1">
            <w:pPr>
              <w:pStyle w:val="BayerBodyTextFull"/>
              <w:keepLines/>
              <w:spacing w:before="0" w:after="0"/>
              <w:jc w:val="center"/>
              <w:rPr>
                <w:rFonts w:cs="Arial"/>
              </w:rPr>
            </w:pPr>
            <w:r w:rsidRPr="00B50C48">
              <w:rPr>
                <w:rFonts w:cs="Arial"/>
              </w:rPr>
              <w:t>[79]</w:t>
            </w:r>
          </w:p>
        </w:tc>
        <w:tc>
          <w:tcPr>
            <w:tcW w:w="2693"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-6</w:t>
            </w:r>
          </w:p>
          <w:p w:rsidR="00F85051" w:rsidRPr="00B50C48" w:rsidRDefault="00F85051" w:rsidP="00DD77F1">
            <w:pPr>
              <w:pStyle w:val="BayerBodyTextFull"/>
              <w:keepLines/>
              <w:spacing w:before="0" w:after="0"/>
              <w:jc w:val="center"/>
              <w:rPr>
                <w:rFonts w:cs="Arial"/>
              </w:rPr>
            </w:pPr>
            <w:r w:rsidRPr="00B50C48">
              <w:rPr>
                <w:rFonts w:cs="Arial"/>
              </w:rPr>
              <w:t>[84]</w:t>
            </w:r>
          </w:p>
        </w:tc>
      </w:tr>
      <w:tr w:rsidR="00F85051" w:rsidRPr="00B50C48" w:rsidTr="00525F32">
        <w:trPr>
          <w:cantSplit/>
          <w:trHeight w:val="344"/>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Placebo</w:t>
            </w:r>
            <w:r w:rsidRPr="00B50C48">
              <w:rPr>
                <w:rFonts w:cs="Arial"/>
              </w:rPr>
              <w:noBreakHyphen/>
              <w:t xml:space="preserve">corrected difference (m) 95% CI ; </w:t>
            </w:r>
            <w:r w:rsidR="00316A5A" w:rsidRPr="00B50C48">
              <w:rPr>
                <w:rFonts w:cs="Arial"/>
              </w:rPr>
              <w:t>(</w:t>
            </w:r>
            <w:r w:rsidRPr="00B50C48">
              <w:rPr>
                <w:rFonts w:cs="Arial"/>
              </w:rPr>
              <w:t>p</w:t>
            </w:r>
            <w:r w:rsidRPr="00B50C48">
              <w:rPr>
                <w:rFonts w:cs="Arial"/>
              </w:rPr>
              <w:noBreakHyphen/>
              <w:t>value</w:t>
            </w:r>
            <w:r w:rsidR="00316A5A" w:rsidRPr="00B50C48">
              <w:rPr>
                <w:rFonts w:cs="Arial"/>
              </w:rPr>
              <w:t>)</w:t>
            </w:r>
          </w:p>
        </w:tc>
        <w:tc>
          <w:tcPr>
            <w:tcW w:w="5244" w:type="dxa"/>
            <w:gridSpan w:val="2"/>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46</w:t>
            </w:r>
          </w:p>
          <w:p w:rsidR="00F85051" w:rsidRPr="00B50C48" w:rsidRDefault="00F85051" w:rsidP="00DD77F1">
            <w:pPr>
              <w:pStyle w:val="BayerBodyTextFull"/>
              <w:keepLines/>
              <w:spacing w:before="0" w:after="0"/>
              <w:jc w:val="center"/>
              <w:rPr>
                <w:rFonts w:cs="Arial"/>
              </w:rPr>
            </w:pPr>
            <w:r w:rsidRPr="00B50C48">
              <w:rPr>
                <w:rFonts w:cs="Arial"/>
              </w:rPr>
              <w:t xml:space="preserve">25 m to 67 m; </w:t>
            </w:r>
            <w:r w:rsidR="00316A5A" w:rsidRPr="00B50C48">
              <w:rPr>
                <w:rFonts w:cs="Arial"/>
              </w:rPr>
              <w:t>(</w:t>
            </w:r>
            <w:r w:rsidRPr="00B50C48">
              <w:rPr>
                <w:rFonts w:cs="Arial"/>
              </w:rPr>
              <w:t>&lt;0.0001</w:t>
            </w:r>
            <w:r w:rsidR="00316A5A" w:rsidRPr="00B50C48">
              <w:rPr>
                <w:rFonts w:cs="Arial"/>
              </w:rPr>
              <w:t>)</w:t>
            </w:r>
          </w:p>
        </w:tc>
      </w:tr>
      <w:tr w:rsidR="00F85051" w:rsidRPr="00B50C48" w:rsidTr="00DF046D">
        <w:trPr>
          <w:cantSplit/>
        </w:trPr>
        <w:tc>
          <w:tcPr>
            <w:tcW w:w="3828" w:type="dxa"/>
            <w:shd w:val="clear" w:color="auto" w:fill="D9D9D9"/>
          </w:tcPr>
          <w:p w:rsidR="00F85051" w:rsidRPr="00B50C48" w:rsidRDefault="00F85051" w:rsidP="00DD77F1">
            <w:pPr>
              <w:pStyle w:val="BayerBodyTextFull"/>
              <w:keepLines/>
              <w:spacing w:before="0" w:after="0"/>
              <w:rPr>
                <w:rFonts w:cs="Arial"/>
                <w:b/>
              </w:rPr>
            </w:pPr>
            <w:r w:rsidRPr="00B50C48">
              <w:rPr>
                <w:rFonts w:cs="Arial"/>
                <w:b/>
              </w:rPr>
              <w:t>Inoperable patient population</w:t>
            </w:r>
          </w:p>
        </w:tc>
        <w:tc>
          <w:tcPr>
            <w:tcW w:w="2551" w:type="dxa"/>
            <w:shd w:val="clear" w:color="auto" w:fill="D9D9D9"/>
          </w:tcPr>
          <w:p w:rsidR="00F85051" w:rsidRPr="00B50C48" w:rsidRDefault="00F85051" w:rsidP="00DD77F1">
            <w:pPr>
              <w:pStyle w:val="BayerBodyTextFull"/>
              <w:keepLines/>
              <w:spacing w:before="0" w:after="0"/>
              <w:jc w:val="center"/>
              <w:rPr>
                <w:rFonts w:cs="Arial"/>
                <w:b/>
              </w:rPr>
            </w:pPr>
            <w:r w:rsidRPr="00B50C48">
              <w:rPr>
                <w:rFonts w:cs="Arial"/>
                <w:b/>
              </w:rPr>
              <w:t>Riociguat (IDT) n=121</w:t>
            </w:r>
          </w:p>
        </w:tc>
        <w:tc>
          <w:tcPr>
            <w:tcW w:w="2693" w:type="dxa"/>
            <w:shd w:val="clear" w:color="auto" w:fill="D9D9D9"/>
          </w:tcPr>
          <w:p w:rsidR="00F85051" w:rsidRPr="00B50C48" w:rsidRDefault="00F85051" w:rsidP="00DD77F1">
            <w:pPr>
              <w:pStyle w:val="BayerBodyTextFull"/>
              <w:keepLines/>
              <w:spacing w:before="0" w:after="0"/>
              <w:jc w:val="center"/>
              <w:rPr>
                <w:rFonts w:cs="Arial"/>
                <w:b/>
              </w:rPr>
            </w:pPr>
            <w:r w:rsidRPr="00B50C48">
              <w:rPr>
                <w:rFonts w:cs="Arial"/>
                <w:b/>
              </w:rPr>
              <w:t>Placebo n=68</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 xml:space="preserve">Baseline (m) </w:t>
            </w:r>
          </w:p>
          <w:p w:rsidR="00F85051" w:rsidRPr="00B50C48" w:rsidRDefault="00F85051" w:rsidP="00DD77F1">
            <w:pPr>
              <w:pStyle w:val="BayerBodyTextFull"/>
              <w:keepLines/>
              <w:spacing w:before="0" w:after="0"/>
              <w:rPr>
                <w:rFonts w:cs="Arial"/>
              </w:rPr>
            </w:pPr>
            <w:r w:rsidRPr="00B50C48">
              <w:rPr>
                <w:rFonts w:cs="Arial"/>
              </w:rPr>
              <w:t>[SD]</w:t>
            </w:r>
          </w:p>
        </w:tc>
        <w:tc>
          <w:tcPr>
            <w:tcW w:w="2551"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335</w:t>
            </w:r>
          </w:p>
          <w:p w:rsidR="00F85051" w:rsidRPr="00B50C48" w:rsidRDefault="00F85051" w:rsidP="00DD77F1">
            <w:pPr>
              <w:pStyle w:val="BayerBodyTextFull"/>
              <w:keepLines/>
              <w:spacing w:before="0" w:after="0"/>
              <w:jc w:val="center"/>
              <w:rPr>
                <w:rFonts w:cs="Arial"/>
              </w:rPr>
            </w:pPr>
            <w:r w:rsidRPr="00B50C48">
              <w:rPr>
                <w:rFonts w:cs="Arial"/>
              </w:rPr>
              <w:t>[83]</w:t>
            </w:r>
          </w:p>
        </w:tc>
        <w:tc>
          <w:tcPr>
            <w:tcW w:w="2693"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351</w:t>
            </w:r>
          </w:p>
          <w:p w:rsidR="00F85051" w:rsidRPr="00B50C48" w:rsidRDefault="00F85051" w:rsidP="00DD77F1">
            <w:pPr>
              <w:pStyle w:val="BayerBodyTextFull"/>
              <w:keepLines/>
              <w:spacing w:before="0" w:after="0"/>
              <w:jc w:val="center"/>
              <w:rPr>
                <w:rFonts w:cs="Arial"/>
              </w:rPr>
            </w:pPr>
            <w:r w:rsidRPr="00B50C48">
              <w:rPr>
                <w:rFonts w:cs="Arial"/>
              </w:rPr>
              <w:t>[75]</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 xml:space="preserve">Change from baseline (m) </w:t>
            </w:r>
          </w:p>
          <w:p w:rsidR="00F85051" w:rsidRPr="00B50C48" w:rsidRDefault="00F85051" w:rsidP="00DD77F1">
            <w:pPr>
              <w:pStyle w:val="BayerBodyTextFull"/>
              <w:keepLines/>
              <w:spacing w:before="0" w:after="0"/>
              <w:rPr>
                <w:rFonts w:cs="Arial"/>
              </w:rPr>
            </w:pPr>
            <w:r w:rsidRPr="00B50C48">
              <w:rPr>
                <w:rFonts w:cs="Arial"/>
              </w:rPr>
              <w:t>[SD]</w:t>
            </w:r>
          </w:p>
        </w:tc>
        <w:tc>
          <w:tcPr>
            <w:tcW w:w="2551"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44</w:t>
            </w:r>
          </w:p>
          <w:p w:rsidR="00F85051" w:rsidRPr="00B50C48" w:rsidRDefault="00F85051" w:rsidP="00DD77F1">
            <w:pPr>
              <w:pStyle w:val="BayerBodyTextFull"/>
              <w:keepLines/>
              <w:spacing w:before="0" w:after="0"/>
              <w:jc w:val="center"/>
              <w:rPr>
                <w:rFonts w:cs="Arial"/>
              </w:rPr>
            </w:pPr>
            <w:r w:rsidRPr="00B50C48">
              <w:rPr>
                <w:rFonts w:cs="Arial"/>
              </w:rPr>
              <w:t>[84]</w:t>
            </w:r>
          </w:p>
        </w:tc>
        <w:tc>
          <w:tcPr>
            <w:tcW w:w="2693"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-8</w:t>
            </w:r>
          </w:p>
          <w:p w:rsidR="00F85051" w:rsidRPr="00B50C48" w:rsidRDefault="00F85051" w:rsidP="00DD77F1">
            <w:pPr>
              <w:pStyle w:val="BayerBodyTextFull"/>
              <w:keepLines/>
              <w:spacing w:before="0" w:after="0"/>
              <w:jc w:val="center"/>
              <w:rPr>
                <w:rFonts w:cs="Arial"/>
              </w:rPr>
            </w:pPr>
            <w:r w:rsidRPr="00B50C48">
              <w:rPr>
                <w:rFonts w:cs="Arial"/>
              </w:rPr>
              <w:t>[88]</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Placebo</w:t>
            </w:r>
            <w:r w:rsidRPr="00B50C48">
              <w:rPr>
                <w:rFonts w:cs="Arial"/>
              </w:rPr>
              <w:noBreakHyphen/>
              <w:t>corrected difference (m)</w:t>
            </w:r>
          </w:p>
          <w:p w:rsidR="00F85051" w:rsidRPr="00B50C48" w:rsidRDefault="00F85051" w:rsidP="00DD77F1">
            <w:pPr>
              <w:pStyle w:val="BayerBodyTextFull"/>
              <w:keepLines/>
              <w:spacing w:before="0" w:after="0"/>
              <w:rPr>
                <w:rFonts w:cs="Arial"/>
              </w:rPr>
            </w:pPr>
            <w:r w:rsidRPr="00B50C48">
              <w:rPr>
                <w:rFonts w:cs="Arial"/>
              </w:rPr>
              <w:t>95% CI</w:t>
            </w:r>
          </w:p>
        </w:tc>
        <w:tc>
          <w:tcPr>
            <w:tcW w:w="5244" w:type="dxa"/>
            <w:gridSpan w:val="2"/>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54</w:t>
            </w:r>
          </w:p>
          <w:p w:rsidR="00F85051" w:rsidRPr="00B50C48" w:rsidRDefault="00F85051" w:rsidP="00DD77F1">
            <w:pPr>
              <w:pStyle w:val="BayerBodyTextFull"/>
              <w:keepLines/>
              <w:spacing w:before="0" w:after="0"/>
              <w:jc w:val="center"/>
              <w:rPr>
                <w:rFonts w:cs="Arial"/>
              </w:rPr>
            </w:pPr>
            <w:r w:rsidRPr="00B50C48">
              <w:rPr>
                <w:rFonts w:cs="Arial"/>
              </w:rPr>
              <w:t>29 m to 79 m</w:t>
            </w:r>
          </w:p>
        </w:tc>
      </w:tr>
      <w:tr w:rsidR="00F85051" w:rsidRPr="00B50C48" w:rsidTr="00DF046D">
        <w:trPr>
          <w:cantSplit/>
        </w:trPr>
        <w:tc>
          <w:tcPr>
            <w:tcW w:w="3828" w:type="dxa"/>
            <w:shd w:val="clear" w:color="auto" w:fill="D9D9D9"/>
          </w:tcPr>
          <w:p w:rsidR="00F85051" w:rsidRPr="00B50C48" w:rsidRDefault="00F85051" w:rsidP="00DD77F1">
            <w:pPr>
              <w:pStyle w:val="BayerBodyTextFull"/>
              <w:keepLines/>
              <w:spacing w:before="0" w:after="0"/>
              <w:rPr>
                <w:rFonts w:cs="Arial"/>
                <w:b/>
              </w:rPr>
            </w:pPr>
            <w:r w:rsidRPr="00B50C48">
              <w:rPr>
                <w:rFonts w:cs="Arial"/>
                <w:b/>
              </w:rPr>
              <w:t>Patient population with CTEPH post</w:t>
            </w:r>
            <w:r w:rsidRPr="00B50C48">
              <w:rPr>
                <w:rFonts w:cs="Arial"/>
                <w:b/>
              </w:rPr>
              <w:noBreakHyphen/>
            </w:r>
            <w:r w:rsidR="0047362A">
              <w:rPr>
                <w:sz w:val="22"/>
                <w:lang w:eastAsia="zh-CN"/>
              </w:rPr>
              <w:t xml:space="preserve"> p</w:t>
            </w:r>
            <w:r w:rsidR="0047362A" w:rsidRPr="00523680">
              <w:rPr>
                <w:sz w:val="22"/>
                <w:lang w:eastAsia="zh-CN"/>
              </w:rPr>
              <w:t xml:space="preserve">ulmonary </w:t>
            </w:r>
            <w:r w:rsidR="0047362A">
              <w:rPr>
                <w:sz w:val="22"/>
                <w:lang w:eastAsia="zh-CN"/>
              </w:rPr>
              <w:t>endarterectomy</w:t>
            </w:r>
          </w:p>
        </w:tc>
        <w:tc>
          <w:tcPr>
            <w:tcW w:w="2551" w:type="dxa"/>
            <w:shd w:val="clear" w:color="auto" w:fill="D9D9D9"/>
          </w:tcPr>
          <w:p w:rsidR="00F85051" w:rsidRPr="00B50C48" w:rsidRDefault="00F85051" w:rsidP="00DD77F1">
            <w:pPr>
              <w:pStyle w:val="BayerBodyTextFull"/>
              <w:keepLines/>
              <w:spacing w:before="0" w:after="0"/>
              <w:jc w:val="center"/>
              <w:rPr>
                <w:rFonts w:cs="Arial"/>
                <w:b/>
              </w:rPr>
            </w:pPr>
            <w:r w:rsidRPr="00B50C48">
              <w:rPr>
                <w:rFonts w:cs="Arial"/>
                <w:b/>
              </w:rPr>
              <w:t>Riociguat (IDT) n=52</w:t>
            </w:r>
          </w:p>
        </w:tc>
        <w:tc>
          <w:tcPr>
            <w:tcW w:w="2693" w:type="dxa"/>
            <w:shd w:val="clear" w:color="auto" w:fill="D9D9D9"/>
          </w:tcPr>
          <w:p w:rsidR="00F85051" w:rsidRPr="00B50C48" w:rsidRDefault="00F85051" w:rsidP="00DD77F1">
            <w:pPr>
              <w:pStyle w:val="BayerBodyTextFull"/>
              <w:keepLines/>
              <w:spacing w:before="0" w:after="0"/>
              <w:jc w:val="center"/>
              <w:rPr>
                <w:rFonts w:cs="Arial"/>
                <w:b/>
              </w:rPr>
            </w:pPr>
            <w:r w:rsidRPr="00B50C48">
              <w:rPr>
                <w:rFonts w:cs="Arial"/>
                <w:b/>
              </w:rPr>
              <w:t>Placebo n=20</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 xml:space="preserve">Baseline (m) </w:t>
            </w:r>
          </w:p>
          <w:p w:rsidR="00F85051" w:rsidRPr="00B50C48" w:rsidRDefault="00F85051" w:rsidP="00DD77F1">
            <w:pPr>
              <w:pStyle w:val="BayerBodyTextFull"/>
              <w:keepLines/>
              <w:spacing w:before="0" w:after="0"/>
              <w:rPr>
                <w:rFonts w:cs="Arial"/>
              </w:rPr>
            </w:pPr>
            <w:r w:rsidRPr="00B50C48">
              <w:rPr>
                <w:rFonts w:cs="Arial"/>
              </w:rPr>
              <w:t>[SD]</w:t>
            </w:r>
          </w:p>
        </w:tc>
        <w:tc>
          <w:tcPr>
            <w:tcW w:w="2551"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360</w:t>
            </w:r>
          </w:p>
          <w:p w:rsidR="00F85051" w:rsidRPr="00B50C48" w:rsidRDefault="00F85051" w:rsidP="00DD77F1">
            <w:pPr>
              <w:pStyle w:val="BayerBodyTextFull"/>
              <w:keepLines/>
              <w:spacing w:before="0" w:after="0"/>
              <w:jc w:val="center"/>
              <w:rPr>
                <w:rFonts w:cs="Arial"/>
              </w:rPr>
            </w:pPr>
            <w:r w:rsidRPr="00B50C48">
              <w:rPr>
                <w:rFonts w:cs="Arial"/>
              </w:rPr>
              <w:t>[78]</w:t>
            </w:r>
          </w:p>
        </w:tc>
        <w:tc>
          <w:tcPr>
            <w:tcW w:w="2693"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374</w:t>
            </w:r>
          </w:p>
          <w:p w:rsidR="00F85051" w:rsidRPr="00B50C48" w:rsidRDefault="00F85051" w:rsidP="00DD77F1">
            <w:pPr>
              <w:pStyle w:val="BayerBodyTextFull"/>
              <w:keepLines/>
              <w:spacing w:before="0" w:after="0"/>
              <w:jc w:val="center"/>
              <w:rPr>
                <w:rFonts w:cs="Arial"/>
              </w:rPr>
            </w:pPr>
            <w:r w:rsidRPr="00B50C48">
              <w:rPr>
                <w:rFonts w:cs="Arial"/>
              </w:rPr>
              <w:t>[72]</w:t>
            </w:r>
          </w:p>
        </w:tc>
      </w:tr>
      <w:tr w:rsidR="00F85051" w:rsidRPr="00B50C48" w:rsidTr="00525F32">
        <w:trPr>
          <w:cantSplit/>
        </w:trPr>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Change from baseline (m)</w:t>
            </w:r>
          </w:p>
          <w:p w:rsidR="00F85051" w:rsidRPr="00B50C48" w:rsidRDefault="00F85051" w:rsidP="00DD77F1">
            <w:pPr>
              <w:pStyle w:val="BayerBodyTextFull"/>
              <w:keepLines/>
              <w:spacing w:before="0" w:after="0"/>
              <w:rPr>
                <w:rFonts w:cs="Arial"/>
              </w:rPr>
            </w:pPr>
            <w:r w:rsidRPr="00B50C48">
              <w:rPr>
                <w:rFonts w:cs="Arial"/>
              </w:rPr>
              <w:t>[SD]</w:t>
            </w:r>
          </w:p>
        </w:tc>
        <w:tc>
          <w:tcPr>
            <w:tcW w:w="2551"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27</w:t>
            </w:r>
          </w:p>
          <w:p w:rsidR="00F85051" w:rsidRPr="00B50C48" w:rsidRDefault="00F85051" w:rsidP="00DD77F1">
            <w:pPr>
              <w:pStyle w:val="BayerBodyTextFull"/>
              <w:keepLines/>
              <w:spacing w:before="0" w:after="0"/>
              <w:jc w:val="center"/>
              <w:rPr>
                <w:rFonts w:cs="Arial"/>
              </w:rPr>
            </w:pPr>
            <w:r w:rsidRPr="00B50C48">
              <w:rPr>
                <w:rFonts w:cs="Arial"/>
              </w:rPr>
              <w:t>[68]</w:t>
            </w:r>
          </w:p>
        </w:tc>
        <w:tc>
          <w:tcPr>
            <w:tcW w:w="2693" w:type="dxa"/>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2</w:t>
            </w:r>
          </w:p>
          <w:p w:rsidR="00F85051" w:rsidRPr="00B50C48" w:rsidRDefault="00F85051" w:rsidP="00DD77F1">
            <w:pPr>
              <w:pStyle w:val="BayerBodyTextFull"/>
              <w:keepLines/>
              <w:spacing w:before="0" w:after="0"/>
              <w:jc w:val="center"/>
              <w:rPr>
                <w:rFonts w:cs="Arial"/>
              </w:rPr>
            </w:pPr>
            <w:r w:rsidRPr="00B50C48">
              <w:rPr>
                <w:rFonts w:cs="Arial"/>
              </w:rPr>
              <w:t>[73]</w:t>
            </w:r>
          </w:p>
        </w:tc>
      </w:tr>
      <w:tr w:rsidR="00F85051" w:rsidRPr="00B50C48" w:rsidTr="00525F32">
        <w:tc>
          <w:tcPr>
            <w:tcW w:w="3828" w:type="dxa"/>
            <w:shd w:val="clear" w:color="auto" w:fill="auto"/>
          </w:tcPr>
          <w:p w:rsidR="00F85051" w:rsidRPr="00B50C48" w:rsidRDefault="00F85051" w:rsidP="00DD77F1">
            <w:pPr>
              <w:pStyle w:val="BayerBodyTextFull"/>
              <w:keepLines/>
              <w:spacing w:before="0" w:after="0"/>
              <w:rPr>
                <w:rFonts w:cs="Arial"/>
              </w:rPr>
            </w:pPr>
            <w:r w:rsidRPr="00B50C48">
              <w:rPr>
                <w:rFonts w:cs="Arial"/>
              </w:rPr>
              <w:t>Placebo</w:t>
            </w:r>
            <w:r w:rsidRPr="00B50C48">
              <w:rPr>
                <w:rFonts w:cs="Arial"/>
              </w:rPr>
              <w:noBreakHyphen/>
              <w:t>corrected difference (m)</w:t>
            </w:r>
          </w:p>
          <w:p w:rsidR="00F85051" w:rsidRPr="00B50C48" w:rsidRDefault="00F85051" w:rsidP="00DD77F1">
            <w:pPr>
              <w:pStyle w:val="BayerBodyTextFull"/>
              <w:keepLines/>
              <w:spacing w:before="0" w:after="0"/>
              <w:rPr>
                <w:rFonts w:cs="Arial"/>
              </w:rPr>
            </w:pPr>
            <w:r w:rsidRPr="00B50C48">
              <w:rPr>
                <w:rFonts w:cs="Arial"/>
              </w:rPr>
              <w:t>95% CI</w:t>
            </w:r>
          </w:p>
        </w:tc>
        <w:tc>
          <w:tcPr>
            <w:tcW w:w="5244" w:type="dxa"/>
            <w:gridSpan w:val="2"/>
            <w:shd w:val="clear" w:color="auto" w:fill="auto"/>
          </w:tcPr>
          <w:p w:rsidR="00F85051" w:rsidRPr="00B50C48" w:rsidRDefault="00F85051" w:rsidP="00DD77F1">
            <w:pPr>
              <w:pStyle w:val="BayerBodyTextFull"/>
              <w:keepLines/>
              <w:spacing w:before="0" w:after="0"/>
              <w:jc w:val="center"/>
              <w:rPr>
                <w:rFonts w:cs="Arial"/>
              </w:rPr>
            </w:pPr>
            <w:r w:rsidRPr="00B50C48">
              <w:rPr>
                <w:rFonts w:cs="Arial"/>
              </w:rPr>
              <w:t>27</w:t>
            </w:r>
          </w:p>
          <w:p w:rsidR="00F85051" w:rsidRPr="00B50C48" w:rsidRDefault="00F85051" w:rsidP="00DD77F1">
            <w:pPr>
              <w:pStyle w:val="BayerBodyTextFull"/>
              <w:keepLines/>
              <w:spacing w:before="0" w:after="0"/>
              <w:jc w:val="center"/>
              <w:rPr>
                <w:rFonts w:cs="Arial"/>
              </w:rPr>
            </w:pPr>
            <w:r w:rsidRPr="00B50C48">
              <w:rPr>
                <w:rFonts w:cs="Arial"/>
              </w:rPr>
              <w:noBreakHyphen/>
              <w:t>10 m to 63 m</w:t>
            </w:r>
          </w:p>
        </w:tc>
      </w:tr>
      <w:tr w:rsidR="0032149B" w:rsidRPr="00B50C48" w:rsidTr="00D4297D">
        <w:trPr>
          <w:cantSplit/>
        </w:trPr>
        <w:tc>
          <w:tcPr>
            <w:tcW w:w="3828" w:type="dxa"/>
            <w:shd w:val="clear" w:color="auto" w:fill="D9D9D9"/>
          </w:tcPr>
          <w:p w:rsidR="0032149B" w:rsidRPr="00B50C48" w:rsidRDefault="0032149B" w:rsidP="00D4297D">
            <w:pPr>
              <w:pStyle w:val="BayerBodyTextFull"/>
              <w:keepLines/>
              <w:spacing w:before="0" w:after="0"/>
              <w:rPr>
                <w:rFonts w:cs="Arial"/>
                <w:b/>
              </w:rPr>
            </w:pPr>
            <w:r>
              <w:rPr>
                <w:rFonts w:cs="Arial"/>
                <w:b/>
              </w:rPr>
              <w:t>WHO Functional Class I/II at baseline</w:t>
            </w:r>
          </w:p>
        </w:tc>
        <w:tc>
          <w:tcPr>
            <w:tcW w:w="2551" w:type="dxa"/>
            <w:shd w:val="clear" w:color="auto" w:fill="D9D9D9"/>
          </w:tcPr>
          <w:p w:rsidR="0032149B" w:rsidRPr="00B50C48" w:rsidRDefault="0032149B" w:rsidP="00D4297D">
            <w:pPr>
              <w:pStyle w:val="BayerBodyTextFull"/>
              <w:keepLines/>
              <w:spacing w:before="0" w:after="0"/>
              <w:jc w:val="center"/>
              <w:rPr>
                <w:rFonts w:cs="Arial"/>
                <w:b/>
              </w:rPr>
            </w:pPr>
            <w:r>
              <w:rPr>
                <w:rFonts w:cs="Arial"/>
                <w:b/>
              </w:rPr>
              <w:t>Riociguat (IDT) n=52</w:t>
            </w:r>
          </w:p>
        </w:tc>
        <w:tc>
          <w:tcPr>
            <w:tcW w:w="2693" w:type="dxa"/>
            <w:shd w:val="clear" w:color="auto" w:fill="D9D9D9"/>
          </w:tcPr>
          <w:p w:rsidR="0032149B" w:rsidRPr="00B50C48" w:rsidRDefault="0032149B" w:rsidP="00D4297D">
            <w:pPr>
              <w:pStyle w:val="BayerBodyTextFull"/>
              <w:keepLines/>
              <w:spacing w:before="0" w:after="0"/>
              <w:jc w:val="center"/>
              <w:rPr>
                <w:rFonts w:cs="Arial"/>
                <w:b/>
              </w:rPr>
            </w:pPr>
            <w:r w:rsidRPr="00B50C48">
              <w:rPr>
                <w:rFonts w:cs="Arial"/>
                <w:b/>
              </w:rPr>
              <w:t>Placebo</w:t>
            </w:r>
            <w:r>
              <w:rPr>
                <w:rFonts w:cs="Arial"/>
                <w:b/>
              </w:rPr>
              <w:t xml:space="preserve"> n=25</w:t>
            </w:r>
          </w:p>
        </w:tc>
      </w:tr>
      <w:tr w:rsidR="0032149B" w:rsidRPr="00B50C48" w:rsidTr="00D4297D">
        <w:trPr>
          <w:cantSplit/>
        </w:trPr>
        <w:tc>
          <w:tcPr>
            <w:tcW w:w="3828" w:type="dxa"/>
            <w:shd w:val="clear" w:color="auto" w:fill="auto"/>
          </w:tcPr>
          <w:p w:rsidR="0032149B" w:rsidRPr="00B50C48" w:rsidRDefault="0032149B" w:rsidP="00D4297D">
            <w:pPr>
              <w:pStyle w:val="BayerBodyTextFull"/>
              <w:keepLines/>
              <w:spacing w:before="0" w:after="0"/>
              <w:rPr>
                <w:rFonts w:cs="Arial"/>
              </w:rPr>
            </w:pPr>
            <w:r w:rsidRPr="00B50C48">
              <w:rPr>
                <w:rFonts w:cs="Arial"/>
              </w:rPr>
              <w:t xml:space="preserve">Baseline (m) </w:t>
            </w:r>
          </w:p>
          <w:p w:rsidR="0032149B" w:rsidRPr="00B50C48" w:rsidRDefault="0032149B" w:rsidP="00D4297D">
            <w:pPr>
              <w:pStyle w:val="BayerBodyTextFull"/>
              <w:keepLines/>
              <w:spacing w:before="0" w:after="0"/>
              <w:rPr>
                <w:rFonts w:cs="Arial"/>
              </w:rPr>
            </w:pPr>
            <w:r w:rsidRPr="00B50C48">
              <w:rPr>
                <w:rFonts w:cs="Arial"/>
              </w:rPr>
              <w:t>[SD]</w:t>
            </w:r>
          </w:p>
        </w:tc>
        <w:tc>
          <w:tcPr>
            <w:tcW w:w="2551" w:type="dxa"/>
            <w:shd w:val="clear" w:color="auto" w:fill="auto"/>
          </w:tcPr>
          <w:p w:rsidR="0032149B" w:rsidRDefault="003A0A87" w:rsidP="00D4297D">
            <w:pPr>
              <w:pStyle w:val="BayerBodyTextFull"/>
              <w:keepLines/>
              <w:spacing w:before="0" w:after="0"/>
              <w:jc w:val="center"/>
              <w:rPr>
                <w:rFonts w:cs="Arial"/>
              </w:rPr>
            </w:pPr>
            <w:r>
              <w:rPr>
                <w:rFonts w:cs="Arial"/>
              </w:rPr>
              <w:t>387</w:t>
            </w:r>
          </w:p>
          <w:p w:rsidR="003A0A87" w:rsidRPr="00B50C48" w:rsidRDefault="003A0A87" w:rsidP="00D4297D">
            <w:pPr>
              <w:pStyle w:val="BayerBodyTextFull"/>
              <w:keepLines/>
              <w:spacing w:before="0" w:after="0"/>
              <w:jc w:val="center"/>
              <w:rPr>
                <w:rFonts w:cs="Arial"/>
              </w:rPr>
            </w:pPr>
            <w:r>
              <w:rPr>
                <w:rFonts w:cs="Arial"/>
              </w:rPr>
              <w:t>[59]</w:t>
            </w:r>
          </w:p>
        </w:tc>
        <w:tc>
          <w:tcPr>
            <w:tcW w:w="2693" w:type="dxa"/>
            <w:shd w:val="clear" w:color="auto" w:fill="auto"/>
          </w:tcPr>
          <w:p w:rsidR="0032149B" w:rsidRDefault="003A0A87" w:rsidP="00D4297D">
            <w:pPr>
              <w:pStyle w:val="BayerBodyTextFull"/>
              <w:keepLines/>
              <w:spacing w:before="0" w:after="0"/>
              <w:jc w:val="center"/>
              <w:rPr>
                <w:rFonts w:cs="Arial"/>
              </w:rPr>
            </w:pPr>
            <w:r>
              <w:rPr>
                <w:rFonts w:cs="Arial"/>
              </w:rPr>
              <w:t>386</w:t>
            </w:r>
          </w:p>
          <w:p w:rsidR="003A0A87" w:rsidRPr="00B50C48" w:rsidRDefault="003A0A87" w:rsidP="00D4297D">
            <w:pPr>
              <w:pStyle w:val="BayerBodyTextFull"/>
              <w:keepLines/>
              <w:spacing w:before="0" w:after="0"/>
              <w:jc w:val="center"/>
              <w:rPr>
                <w:rFonts w:cs="Arial"/>
              </w:rPr>
            </w:pPr>
            <w:r>
              <w:rPr>
                <w:rFonts w:cs="Arial"/>
              </w:rPr>
              <w:t>[64]</w:t>
            </w:r>
          </w:p>
        </w:tc>
      </w:tr>
      <w:tr w:rsidR="0032149B" w:rsidRPr="00B50C48" w:rsidTr="00D4297D">
        <w:trPr>
          <w:cantSplit/>
        </w:trPr>
        <w:tc>
          <w:tcPr>
            <w:tcW w:w="3828" w:type="dxa"/>
            <w:shd w:val="clear" w:color="auto" w:fill="auto"/>
          </w:tcPr>
          <w:p w:rsidR="0032149B" w:rsidRPr="00B50C48" w:rsidRDefault="0032149B" w:rsidP="00D4297D">
            <w:pPr>
              <w:pStyle w:val="BayerBodyTextFull"/>
              <w:keepLines/>
              <w:spacing w:before="0" w:after="0"/>
              <w:rPr>
                <w:rFonts w:cs="Arial"/>
              </w:rPr>
            </w:pPr>
            <w:r w:rsidRPr="00B50C48">
              <w:rPr>
                <w:rFonts w:cs="Arial"/>
              </w:rPr>
              <w:t>Change from baseline (m)</w:t>
            </w:r>
          </w:p>
          <w:p w:rsidR="0032149B" w:rsidRPr="00B50C48" w:rsidRDefault="0032149B" w:rsidP="00D4297D">
            <w:pPr>
              <w:pStyle w:val="BayerBodyTextFull"/>
              <w:keepLines/>
              <w:spacing w:before="0" w:after="0"/>
              <w:rPr>
                <w:rFonts w:cs="Arial"/>
              </w:rPr>
            </w:pPr>
            <w:r w:rsidRPr="00B50C48">
              <w:rPr>
                <w:rFonts w:cs="Arial"/>
              </w:rPr>
              <w:t>[SD]</w:t>
            </w:r>
          </w:p>
        </w:tc>
        <w:tc>
          <w:tcPr>
            <w:tcW w:w="2551" w:type="dxa"/>
            <w:shd w:val="clear" w:color="auto" w:fill="auto"/>
          </w:tcPr>
          <w:p w:rsidR="0032149B" w:rsidRDefault="003A0A87" w:rsidP="00D4297D">
            <w:pPr>
              <w:pStyle w:val="BayerBodyTextFull"/>
              <w:keepLines/>
              <w:spacing w:before="0" w:after="0"/>
              <w:jc w:val="center"/>
              <w:rPr>
                <w:rFonts w:cs="Arial"/>
              </w:rPr>
            </w:pPr>
            <w:r>
              <w:rPr>
                <w:rFonts w:cs="Arial"/>
              </w:rPr>
              <w:t>46</w:t>
            </w:r>
          </w:p>
          <w:p w:rsidR="003A0A87" w:rsidRPr="00B50C48" w:rsidRDefault="003A0A87" w:rsidP="00D4297D">
            <w:pPr>
              <w:pStyle w:val="BayerBodyTextFull"/>
              <w:keepLines/>
              <w:spacing w:before="0" w:after="0"/>
              <w:jc w:val="center"/>
              <w:rPr>
                <w:rFonts w:cs="Arial"/>
              </w:rPr>
            </w:pPr>
            <w:r>
              <w:rPr>
                <w:rFonts w:cs="Arial"/>
              </w:rPr>
              <w:t>[80]</w:t>
            </w:r>
          </w:p>
        </w:tc>
        <w:tc>
          <w:tcPr>
            <w:tcW w:w="2693" w:type="dxa"/>
            <w:shd w:val="clear" w:color="auto" w:fill="auto"/>
          </w:tcPr>
          <w:p w:rsidR="0032149B" w:rsidRDefault="003A0A87" w:rsidP="00D4297D">
            <w:pPr>
              <w:pStyle w:val="BayerBodyTextFull"/>
              <w:keepLines/>
              <w:spacing w:before="0" w:after="0"/>
              <w:jc w:val="center"/>
              <w:rPr>
                <w:rFonts w:cs="Arial"/>
              </w:rPr>
            </w:pPr>
            <w:r>
              <w:rPr>
                <w:rFonts w:cs="Arial"/>
              </w:rPr>
              <w:t>20</w:t>
            </w:r>
          </w:p>
          <w:p w:rsidR="003A0A87" w:rsidRPr="00B50C48" w:rsidRDefault="003A0A87" w:rsidP="00D4297D">
            <w:pPr>
              <w:pStyle w:val="BayerBodyTextFull"/>
              <w:keepLines/>
              <w:spacing w:before="0" w:after="0"/>
              <w:jc w:val="center"/>
              <w:rPr>
                <w:rFonts w:cs="Arial"/>
              </w:rPr>
            </w:pPr>
            <w:r>
              <w:rPr>
                <w:rFonts w:cs="Arial"/>
              </w:rPr>
              <w:t>[51]</w:t>
            </w:r>
          </w:p>
        </w:tc>
      </w:tr>
      <w:tr w:rsidR="0032149B" w:rsidRPr="00B50C48" w:rsidTr="00D4297D">
        <w:tc>
          <w:tcPr>
            <w:tcW w:w="3828" w:type="dxa"/>
            <w:shd w:val="clear" w:color="auto" w:fill="auto"/>
          </w:tcPr>
          <w:p w:rsidR="0032149B" w:rsidRPr="00B50C48" w:rsidRDefault="0032149B" w:rsidP="00D4297D">
            <w:pPr>
              <w:pStyle w:val="BayerBodyTextFull"/>
              <w:keepLines/>
              <w:spacing w:before="0" w:after="0"/>
              <w:rPr>
                <w:rFonts w:cs="Arial"/>
              </w:rPr>
            </w:pPr>
            <w:r w:rsidRPr="00B50C48">
              <w:rPr>
                <w:rFonts w:cs="Arial"/>
              </w:rPr>
              <w:t>Placebo</w:t>
            </w:r>
            <w:r w:rsidRPr="00B50C48">
              <w:rPr>
                <w:rFonts w:cs="Arial"/>
              </w:rPr>
              <w:noBreakHyphen/>
              <w:t>corrected difference (m)</w:t>
            </w:r>
          </w:p>
          <w:p w:rsidR="0032149B" w:rsidRPr="00B50C48" w:rsidRDefault="0032149B" w:rsidP="00D4297D">
            <w:pPr>
              <w:pStyle w:val="BayerBodyTextFull"/>
              <w:keepLines/>
              <w:spacing w:before="0" w:after="0"/>
              <w:rPr>
                <w:rFonts w:cs="Arial"/>
              </w:rPr>
            </w:pPr>
            <w:r w:rsidRPr="00B50C48">
              <w:rPr>
                <w:rFonts w:cs="Arial"/>
              </w:rPr>
              <w:t>95% CI</w:t>
            </w:r>
          </w:p>
        </w:tc>
        <w:tc>
          <w:tcPr>
            <w:tcW w:w="5244" w:type="dxa"/>
            <w:gridSpan w:val="2"/>
            <w:shd w:val="clear" w:color="auto" w:fill="auto"/>
          </w:tcPr>
          <w:p w:rsidR="0032149B" w:rsidRDefault="00621AD9" w:rsidP="00D4297D">
            <w:pPr>
              <w:pStyle w:val="BayerBodyTextFull"/>
              <w:keepLines/>
              <w:spacing w:before="0" w:after="0"/>
              <w:jc w:val="center"/>
              <w:rPr>
                <w:rFonts w:cs="Arial"/>
              </w:rPr>
            </w:pPr>
            <w:r>
              <w:rPr>
                <w:rFonts w:cs="Arial"/>
              </w:rPr>
              <w:t>25</w:t>
            </w:r>
          </w:p>
          <w:p w:rsidR="003B78FB" w:rsidRPr="00B50C48" w:rsidRDefault="003B78FB" w:rsidP="00D4297D">
            <w:pPr>
              <w:pStyle w:val="BayerBodyTextFull"/>
              <w:keepLines/>
              <w:spacing w:before="0" w:after="0"/>
              <w:jc w:val="center"/>
              <w:rPr>
                <w:rFonts w:cs="Arial"/>
              </w:rPr>
            </w:pPr>
            <w:r>
              <w:rPr>
                <w:rFonts w:cs="Arial"/>
              </w:rPr>
              <w:t>-9 m to 60 m</w:t>
            </w:r>
          </w:p>
        </w:tc>
      </w:tr>
      <w:tr w:rsidR="00063269" w:rsidRPr="00B50C48" w:rsidTr="00D4297D">
        <w:trPr>
          <w:cantSplit/>
        </w:trPr>
        <w:tc>
          <w:tcPr>
            <w:tcW w:w="3828" w:type="dxa"/>
            <w:shd w:val="clear" w:color="auto" w:fill="D9D9D9"/>
          </w:tcPr>
          <w:p w:rsidR="00063269" w:rsidRPr="00B50C48" w:rsidRDefault="00063269" w:rsidP="00D4297D">
            <w:pPr>
              <w:pStyle w:val="BayerBodyTextFull"/>
              <w:keepLines/>
              <w:spacing w:before="0" w:after="0"/>
              <w:rPr>
                <w:rFonts w:cs="Arial"/>
                <w:b/>
              </w:rPr>
            </w:pPr>
            <w:r>
              <w:rPr>
                <w:rFonts w:cs="Arial"/>
                <w:b/>
              </w:rPr>
              <w:t>WHO Functional Class III/IV at baseline</w:t>
            </w:r>
          </w:p>
        </w:tc>
        <w:tc>
          <w:tcPr>
            <w:tcW w:w="2551" w:type="dxa"/>
            <w:shd w:val="clear" w:color="auto" w:fill="D9D9D9"/>
          </w:tcPr>
          <w:p w:rsidR="00063269" w:rsidRPr="00B50C48" w:rsidRDefault="00063269" w:rsidP="00D4297D">
            <w:pPr>
              <w:pStyle w:val="BayerBodyTextFull"/>
              <w:keepLines/>
              <w:spacing w:before="0" w:after="0"/>
              <w:jc w:val="center"/>
              <w:rPr>
                <w:rFonts w:cs="Arial"/>
                <w:b/>
              </w:rPr>
            </w:pPr>
            <w:r>
              <w:rPr>
                <w:rFonts w:cs="Arial"/>
                <w:b/>
              </w:rPr>
              <w:t>Riociguat (IDT) n=115</w:t>
            </w:r>
          </w:p>
        </w:tc>
        <w:tc>
          <w:tcPr>
            <w:tcW w:w="2693" w:type="dxa"/>
            <w:shd w:val="clear" w:color="auto" w:fill="D9D9D9"/>
          </w:tcPr>
          <w:p w:rsidR="00063269" w:rsidRPr="00B50C48" w:rsidRDefault="00063269" w:rsidP="00D4297D">
            <w:pPr>
              <w:pStyle w:val="BayerBodyTextFull"/>
              <w:keepLines/>
              <w:spacing w:before="0" w:after="0"/>
              <w:jc w:val="center"/>
              <w:rPr>
                <w:rFonts w:cs="Arial"/>
                <w:b/>
              </w:rPr>
            </w:pPr>
            <w:r w:rsidRPr="00B50C48">
              <w:rPr>
                <w:rFonts w:cs="Arial"/>
                <w:b/>
              </w:rPr>
              <w:t>Placebo</w:t>
            </w:r>
            <w:r>
              <w:rPr>
                <w:rFonts w:cs="Arial"/>
                <w:b/>
              </w:rPr>
              <w:t xml:space="preserve"> n=62</w:t>
            </w:r>
          </w:p>
        </w:tc>
      </w:tr>
      <w:tr w:rsidR="00063269" w:rsidRPr="00B50C48" w:rsidTr="00D4297D">
        <w:trPr>
          <w:cantSplit/>
        </w:trPr>
        <w:tc>
          <w:tcPr>
            <w:tcW w:w="3828" w:type="dxa"/>
            <w:shd w:val="clear" w:color="auto" w:fill="auto"/>
          </w:tcPr>
          <w:p w:rsidR="00063269" w:rsidRPr="00B50C48" w:rsidRDefault="00063269" w:rsidP="00D4297D">
            <w:pPr>
              <w:pStyle w:val="BayerBodyTextFull"/>
              <w:keepLines/>
              <w:spacing w:before="0" w:after="0"/>
              <w:rPr>
                <w:rFonts w:cs="Arial"/>
              </w:rPr>
            </w:pPr>
            <w:r w:rsidRPr="00B50C48">
              <w:rPr>
                <w:rFonts w:cs="Arial"/>
              </w:rPr>
              <w:t xml:space="preserve">Baseline (m) </w:t>
            </w:r>
          </w:p>
          <w:p w:rsidR="00063269" w:rsidRPr="00B50C48" w:rsidRDefault="00063269" w:rsidP="00D4297D">
            <w:pPr>
              <w:pStyle w:val="BayerBodyTextFull"/>
              <w:keepLines/>
              <w:spacing w:before="0" w:after="0"/>
              <w:rPr>
                <w:rFonts w:cs="Arial"/>
              </w:rPr>
            </w:pPr>
            <w:r w:rsidRPr="00B50C48">
              <w:rPr>
                <w:rFonts w:cs="Arial"/>
              </w:rPr>
              <w:t>[SD]</w:t>
            </w:r>
          </w:p>
        </w:tc>
        <w:tc>
          <w:tcPr>
            <w:tcW w:w="2551" w:type="dxa"/>
            <w:shd w:val="clear" w:color="auto" w:fill="auto"/>
          </w:tcPr>
          <w:p w:rsidR="00063269" w:rsidRDefault="00063269" w:rsidP="00D4297D">
            <w:pPr>
              <w:pStyle w:val="BayerBodyTextFull"/>
              <w:keepLines/>
              <w:spacing w:before="0" w:after="0"/>
              <w:jc w:val="center"/>
              <w:rPr>
                <w:rFonts w:cs="Arial"/>
              </w:rPr>
            </w:pPr>
            <w:r>
              <w:rPr>
                <w:rFonts w:cs="Arial"/>
              </w:rPr>
              <w:t>320</w:t>
            </w:r>
          </w:p>
          <w:p w:rsidR="00063269" w:rsidRPr="00B50C48" w:rsidRDefault="00063269" w:rsidP="00D4297D">
            <w:pPr>
              <w:pStyle w:val="BayerBodyTextFull"/>
              <w:keepLines/>
              <w:spacing w:before="0" w:after="0"/>
              <w:jc w:val="center"/>
              <w:rPr>
                <w:rFonts w:cs="Arial"/>
              </w:rPr>
            </w:pPr>
            <w:r>
              <w:rPr>
                <w:rFonts w:cs="Arial"/>
              </w:rPr>
              <w:t>[83]</w:t>
            </w:r>
          </w:p>
        </w:tc>
        <w:tc>
          <w:tcPr>
            <w:tcW w:w="2693" w:type="dxa"/>
            <w:shd w:val="clear" w:color="auto" w:fill="auto"/>
          </w:tcPr>
          <w:p w:rsidR="00063269" w:rsidRDefault="00063269" w:rsidP="00D4297D">
            <w:pPr>
              <w:pStyle w:val="BayerBodyTextFull"/>
              <w:keepLines/>
              <w:spacing w:before="0" w:after="0"/>
              <w:jc w:val="center"/>
              <w:rPr>
                <w:rFonts w:cs="Arial"/>
              </w:rPr>
            </w:pPr>
            <w:r>
              <w:rPr>
                <w:rFonts w:cs="Arial"/>
              </w:rPr>
              <w:t>342</w:t>
            </w:r>
          </w:p>
          <w:p w:rsidR="00063269" w:rsidRPr="00B50C48" w:rsidRDefault="00063269" w:rsidP="00D4297D">
            <w:pPr>
              <w:pStyle w:val="BayerBodyTextFull"/>
              <w:keepLines/>
              <w:spacing w:before="0" w:after="0"/>
              <w:jc w:val="center"/>
              <w:rPr>
                <w:rFonts w:cs="Arial"/>
              </w:rPr>
            </w:pPr>
            <w:r>
              <w:rPr>
                <w:rFonts w:cs="Arial"/>
              </w:rPr>
              <w:t>[74]</w:t>
            </w:r>
          </w:p>
        </w:tc>
      </w:tr>
      <w:tr w:rsidR="00063269" w:rsidRPr="00B50C48" w:rsidTr="00D4297D">
        <w:trPr>
          <w:cantSplit/>
        </w:trPr>
        <w:tc>
          <w:tcPr>
            <w:tcW w:w="3828" w:type="dxa"/>
            <w:shd w:val="clear" w:color="auto" w:fill="auto"/>
          </w:tcPr>
          <w:p w:rsidR="00063269" w:rsidRPr="00B50C48" w:rsidRDefault="00063269" w:rsidP="00D4297D">
            <w:pPr>
              <w:pStyle w:val="BayerBodyTextFull"/>
              <w:keepLines/>
              <w:spacing w:before="0" w:after="0"/>
              <w:rPr>
                <w:rFonts w:cs="Arial"/>
              </w:rPr>
            </w:pPr>
            <w:r w:rsidRPr="00B50C48">
              <w:rPr>
                <w:rFonts w:cs="Arial"/>
              </w:rPr>
              <w:t>Change from baseline (m)</w:t>
            </w:r>
          </w:p>
          <w:p w:rsidR="00063269" w:rsidRPr="00B50C48" w:rsidRDefault="00063269" w:rsidP="00D4297D">
            <w:pPr>
              <w:pStyle w:val="BayerBodyTextFull"/>
              <w:keepLines/>
              <w:spacing w:before="0" w:after="0"/>
              <w:rPr>
                <w:rFonts w:cs="Arial"/>
              </w:rPr>
            </w:pPr>
            <w:r w:rsidRPr="00B50C48">
              <w:rPr>
                <w:rFonts w:cs="Arial"/>
              </w:rPr>
              <w:t>[SD]</w:t>
            </w:r>
          </w:p>
        </w:tc>
        <w:tc>
          <w:tcPr>
            <w:tcW w:w="2551" w:type="dxa"/>
            <w:shd w:val="clear" w:color="auto" w:fill="auto"/>
          </w:tcPr>
          <w:p w:rsidR="00063269" w:rsidRDefault="00063269" w:rsidP="00D4297D">
            <w:pPr>
              <w:pStyle w:val="BayerBodyTextFull"/>
              <w:keepLines/>
              <w:spacing w:before="0" w:after="0"/>
              <w:jc w:val="center"/>
              <w:rPr>
                <w:rFonts w:cs="Arial"/>
              </w:rPr>
            </w:pPr>
            <w:r>
              <w:rPr>
                <w:rFonts w:cs="Arial"/>
              </w:rPr>
              <w:t>36</w:t>
            </w:r>
          </w:p>
          <w:p w:rsidR="00063269" w:rsidRPr="00B50C48" w:rsidRDefault="00063269" w:rsidP="00D4297D">
            <w:pPr>
              <w:pStyle w:val="BayerBodyTextFull"/>
              <w:keepLines/>
              <w:spacing w:before="0" w:after="0"/>
              <w:jc w:val="center"/>
              <w:rPr>
                <w:rFonts w:cs="Arial"/>
              </w:rPr>
            </w:pPr>
            <w:r>
              <w:rPr>
                <w:rFonts w:cs="Arial"/>
              </w:rPr>
              <w:t>[79]</w:t>
            </w:r>
          </w:p>
        </w:tc>
        <w:tc>
          <w:tcPr>
            <w:tcW w:w="2693" w:type="dxa"/>
            <w:shd w:val="clear" w:color="auto" w:fill="auto"/>
          </w:tcPr>
          <w:p w:rsidR="00063269" w:rsidRDefault="00063269" w:rsidP="00D4297D">
            <w:pPr>
              <w:pStyle w:val="BayerBodyTextFull"/>
              <w:keepLines/>
              <w:spacing w:before="0" w:after="0"/>
              <w:jc w:val="center"/>
              <w:rPr>
                <w:rFonts w:cs="Arial"/>
              </w:rPr>
            </w:pPr>
            <w:r>
              <w:rPr>
                <w:rFonts w:cs="Arial"/>
              </w:rPr>
              <w:t>-16</w:t>
            </w:r>
          </w:p>
          <w:p w:rsidR="00063269" w:rsidRPr="00B50C48" w:rsidRDefault="00063269" w:rsidP="00D4297D">
            <w:pPr>
              <w:pStyle w:val="BayerBodyTextFull"/>
              <w:keepLines/>
              <w:spacing w:before="0" w:after="0"/>
              <w:jc w:val="center"/>
              <w:rPr>
                <w:rFonts w:cs="Arial"/>
              </w:rPr>
            </w:pPr>
            <w:r>
              <w:rPr>
                <w:rFonts w:cs="Arial"/>
              </w:rPr>
              <w:t>[94]</w:t>
            </w:r>
          </w:p>
        </w:tc>
      </w:tr>
      <w:tr w:rsidR="00063269" w:rsidRPr="00B50C48" w:rsidTr="00D4297D">
        <w:tc>
          <w:tcPr>
            <w:tcW w:w="3828" w:type="dxa"/>
            <w:shd w:val="clear" w:color="auto" w:fill="auto"/>
          </w:tcPr>
          <w:p w:rsidR="00063269" w:rsidRPr="00B50C48" w:rsidRDefault="00063269" w:rsidP="00D4297D">
            <w:pPr>
              <w:pStyle w:val="BayerBodyTextFull"/>
              <w:keepLines/>
              <w:spacing w:before="0" w:after="0"/>
              <w:rPr>
                <w:rFonts w:cs="Arial"/>
              </w:rPr>
            </w:pPr>
            <w:r w:rsidRPr="00B50C48">
              <w:rPr>
                <w:rFonts w:cs="Arial"/>
              </w:rPr>
              <w:lastRenderedPageBreak/>
              <w:t>Placebo</w:t>
            </w:r>
            <w:r w:rsidRPr="00B50C48">
              <w:rPr>
                <w:rFonts w:cs="Arial"/>
              </w:rPr>
              <w:noBreakHyphen/>
              <w:t>corrected difference (m)</w:t>
            </w:r>
          </w:p>
          <w:p w:rsidR="00063269" w:rsidRPr="00B50C48" w:rsidRDefault="00063269" w:rsidP="00D4297D">
            <w:pPr>
              <w:pStyle w:val="BayerBodyTextFull"/>
              <w:keepLines/>
              <w:spacing w:before="0" w:after="0"/>
              <w:rPr>
                <w:rFonts w:cs="Arial"/>
              </w:rPr>
            </w:pPr>
            <w:r w:rsidRPr="00B50C48">
              <w:rPr>
                <w:rFonts w:cs="Arial"/>
              </w:rPr>
              <w:t>95% CI</w:t>
            </w:r>
          </w:p>
        </w:tc>
        <w:tc>
          <w:tcPr>
            <w:tcW w:w="5244" w:type="dxa"/>
            <w:gridSpan w:val="2"/>
            <w:shd w:val="clear" w:color="auto" w:fill="auto"/>
          </w:tcPr>
          <w:p w:rsidR="00063269" w:rsidRDefault="003B78FB" w:rsidP="00D4297D">
            <w:pPr>
              <w:pStyle w:val="BayerBodyTextFull"/>
              <w:keepLines/>
              <w:spacing w:before="0" w:after="0"/>
              <w:jc w:val="center"/>
              <w:rPr>
                <w:rFonts w:cs="Arial"/>
              </w:rPr>
            </w:pPr>
            <w:r>
              <w:rPr>
                <w:rFonts w:cs="Arial"/>
              </w:rPr>
              <w:t>53</w:t>
            </w:r>
          </w:p>
          <w:p w:rsidR="003B78FB" w:rsidRPr="00B50C48" w:rsidRDefault="003B78FB" w:rsidP="00D4297D">
            <w:pPr>
              <w:pStyle w:val="BayerBodyTextFull"/>
              <w:keepLines/>
              <w:spacing w:before="0" w:after="0"/>
              <w:jc w:val="center"/>
              <w:rPr>
                <w:rFonts w:cs="Arial"/>
              </w:rPr>
            </w:pPr>
            <w:r>
              <w:rPr>
                <w:rFonts w:cs="Arial"/>
              </w:rPr>
              <w:t>27 m to 79 m</w:t>
            </w:r>
          </w:p>
        </w:tc>
      </w:tr>
      <w:tr w:rsidR="00D7633C" w:rsidRPr="00B50C48" w:rsidTr="00D4297D">
        <w:trPr>
          <w:cantSplit/>
        </w:trPr>
        <w:tc>
          <w:tcPr>
            <w:tcW w:w="3828" w:type="dxa"/>
            <w:shd w:val="clear" w:color="auto" w:fill="D9D9D9"/>
          </w:tcPr>
          <w:p w:rsidR="00D7633C" w:rsidRPr="00B50C48" w:rsidRDefault="00D7633C" w:rsidP="00D4297D">
            <w:pPr>
              <w:pStyle w:val="BayerBodyTextFull"/>
              <w:keepLines/>
              <w:spacing w:before="0" w:after="0"/>
              <w:rPr>
                <w:rFonts w:cs="Arial"/>
                <w:b/>
              </w:rPr>
            </w:pPr>
            <w:r>
              <w:rPr>
                <w:rFonts w:cs="Arial"/>
                <w:b/>
              </w:rPr>
              <w:t>All male subjects</w:t>
            </w:r>
          </w:p>
        </w:tc>
        <w:tc>
          <w:tcPr>
            <w:tcW w:w="2551" w:type="dxa"/>
            <w:shd w:val="clear" w:color="auto" w:fill="D9D9D9"/>
          </w:tcPr>
          <w:p w:rsidR="00D7633C" w:rsidRPr="00B50C48" w:rsidRDefault="00D7633C" w:rsidP="00D4297D">
            <w:pPr>
              <w:pStyle w:val="BayerBodyTextFull"/>
              <w:keepLines/>
              <w:spacing w:before="0" w:after="0"/>
              <w:jc w:val="center"/>
              <w:rPr>
                <w:rFonts w:cs="Arial"/>
                <w:b/>
              </w:rPr>
            </w:pPr>
            <w:r>
              <w:rPr>
                <w:rFonts w:cs="Arial"/>
                <w:b/>
              </w:rPr>
              <w:t>Riociguat (IDT) n=55</w:t>
            </w:r>
          </w:p>
        </w:tc>
        <w:tc>
          <w:tcPr>
            <w:tcW w:w="2693" w:type="dxa"/>
            <w:shd w:val="clear" w:color="auto" w:fill="D9D9D9"/>
          </w:tcPr>
          <w:p w:rsidR="00D7633C" w:rsidRPr="00B50C48" w:rsidRDefault="00D7633C" w:rsidP="00D4297D">
            <w:pPr>
              <w:pStyle w:val="BayerBodyTextFull"/>
              <w:keepLines/>
              <w:spacing w:before="0" w:after="0"/>
              <w:jc w:val="center"/>
              <w:rPr>
                <w:rFonts w:cs="Arial"/>
                <w:b/>
              </w:rPr>
            </w:pPr>
            <w:r w:rsidRPr="00B50C48">
              <w:rPr>
                <w:rFonts w:cs="Arial"/>
                <w:b/>
              </w:rPr>
              <w:t>Placebo</w:t>
            </w:r>
            <w:r>
              <w:rPr>
                <w:rFonts w:cs="Arial"/>
                <w:b/>
              </w:rPr>
              <w:t xml:space="preserve"> n=34</w:t>
            </w:r>
          </w:p>
        </w:tc>
      </w:tr>
      <w:tr w:rsidR="00D7633C" w:rsidRPr="00B50C48" w:rsidTr="00D4297D">
        <w:trPr>
          <w:cantSplit/>
        </w:trPr>
        <w:tc>
          <w:tcPr>
            <w:tcW w:w="3828" w:type="dxa"/>
            <w:shd w:val="clear" w:color="auto" w:fill="auto"/>
          </w:tcPr>
          <w:p w:rsidR="00D7633C" w:rsidRPr="00B50C48" w:rsidRDefault="00D7633C" w:rsidP="00D4297D">
            <w:pPr>
              <w:pStyle w:val="BayerBodyTextFull"/>
              <w:keepLines/>
              <w:spacing w:before="0" w:after="0"/>
              <w:rPr>
                <w:rFonts w:cs="Arial"/>
              </w:rPr>
            </w:pPr>
            <w:r w:rsidRPr="00B50C48">
              <w:rPr>
                <w:rFonts w:cs="Arial"/>
              </w:rPr>
              <w:t xml:space="preserve">Baseline (m) </w:t>
            </w:r>
          </w:p>
          <w:p w:rsidR="00D7633C" w:rsidRPr="00B50C48" w:rsidRDefault="00D7633C" w:rsidP="00D4297D">
            <w:pPr>
              <w:pStyle w:val="BayerBodyTextFull"/>
              <w:keepLines/>
              <w:spacing w:before="0" w:after="0"/>
              <w:rPr>
                <w:rFonts w:cs="Arial"/>
              </w:rPr>
            </w:pPr>
            <w:r w:rsidRPr="00B50C48">
              <w:rPr>
                <w:rFonts w:cs="Arial"/>
              </w:rPr>
              <w:t>[SD]</w:t>
            </w:r>
          </w:p>
        </w:tc>
        <w:tc>
          <w:tcPr>
            <w:tcW w:w="2551" w:type="dxa"/>
            <w:shd w:val="clear" w:color="auto" w:fill="auto"/>
          </w:tcPr>
          <w:p w:rsidR="00D7633C" w:rsidRDefault="00D7633C" w:rsidP="00D4297D">
            <w:pPr>
              <w:pStyle w:val="BayerBodyTextFull"/>
              <w:keepLines/>
              <w:spacing w:before="0" w:after="0"/>
              <w:jc w:val="center"/>
              <w:rPr>
                <w:rFonts w:cs="Arial"/>
              </w:rPr>
            </w:pPr>
            <w:r>
              <w:rPr>
                <w:rFonts w:cs="Arial"/>
              </w:rPr>
              <w:t>359</w:t>
            </w:r>
          </w:p>
          <w:p w:rsidR="00D7633C" w:rsidRPr="00B50C48" w:rsidRDefault="00D7633C" w:rsidP="00D4297D">
            <w:pPr>
              <w:pStyle w:val="BayerBodyTextFull"/>
              <w:keepLines/>
              <w:spacing w:before="0" w:after="0"/>
              <w:jc w:val="center"/>
              <w:rPr>
                <w:rFonts w:cs="Arial"/>
              </w:rPr>
            </w:pPr>
            <w:r>
              <w:rPr>
                <w:rFonts w:cs="Arial"/>
              </w:rPr>
              <w:t>[75]</w:t>
            </w:r>
          </w:p>
        </w:tc>
        <w:tc>
          <w:tcPr>
            <w:tcW w:w="2693" w:type="dxa"/>
            <w:shd w:val="clear" w:color="auto" w:fill="auto"/>
          </w:tcPr>
          <w:p w:rsidR="00D7633C" w:rsidRDefault="00D7633C" w:rsidP="00D4297D">
            <w:pPr>
              <w:pStyle w:val="BayerBodyTextFull"/>
              <w:keepLines/>
              <w:spacing w:before="0" w:after="0"/>
              <w:jc w:val="center"/>
              <w:rPr>
                <w:rFonts w:cs="Arial"/>
              </w:rPr>
            </w:pPr>
            <w:r>
              <w:rPr>
                <w:rFonts w:cs="Arial"/>
              </w:rPr>
              <w:t>377</w:t>
            </w:r>
          </w:p>
          <w:p w:rsidR="00D7633C" w:rsidRPr="00B50C48" w:rsidRDefault="00D7633C" w:rsidP="00D4297D">
            <w:pPr>
              <w:pStyle w:val="BayerBodyTextFull"/>
              <w:keepLines/>
              <w:spacing w:before="0" w:after="0"/>
              <w:jc w:val="center"/>
              <w:rPr>
                <w:rFonts w:cs="Arial"/>
              </w:rPr>
            </w:pPr>
            <w:r>
              <w:rPr>
                <w:rFonts w:cs="Arial"/>
              </w:rPr>
              <w:t>[69]</w:t>
            </w:r>
          </w:p>
        </w:tc>
      </w:tr>
      <w:tr w:rsidR="00D7633C" w:rsidRPr="00B50C48" w:rsidTr="00D4297D">
        <w:trPr>
          <w:cantSplit/>
        </w:trPr>
        <w:tc>
          <w:tcPr>
            <w:tcW w:w="3828" w:type="dxa"/>
            <w:shd w:val="clear" w:color="auto" w:fill="auto"/>
          </w:tcPr>
          <w:p w:rsidR="00D7633C" w:rsidRPr="00B50C48" w:rsidRDefault="00D7633C" w:rsidP="00D4297D">
            <w:pPr>
              <w:pStyle w:val="BayerBodyTextFull"/>
              <w:keepLines/>
              <w:spacing w:before="0" w:after="0"/>
              <w:rPr>
                <w:rFonts w:cs="Arial"/>
              </w:rPr>
            </w:pPr>
            <w:r w:rsidRPr="00B50C48">
              <w:rPr>
                <w:rFonts w:cs="Arial"/>
              </w:rPr>
              <w:t>Change from baseline (m)</w:t>
            </w:r>
          </w:p>
          <w:p w:rsidR="00D7633C" w:rsidRPr="00B50C48" w:rsidRDefault="00D7633C" w:rsidP="00D4297D">
            <w:pPr>
              <w:pStyle w:val="BayerBodyTextFull"/>
              <w:keepLines/>
              <w:spacing w:before="0" w:after="0"/>
              <w:rPr>
                <w:rFonts w:cs="Arial"/>
              </w:rPr>
            </w:pPr>
            <w:r w:rsidRPr="00B50C48">
              <w:rPr>
                <w:rFonts w:cs="Arial"/>
              </w:rPr>
              <w:t>[SD]</w:t>
            </w:r>
          </w:p>
        </w:tc>
        <w:tc>
          <w:tcPr>
            <w:tcW w:w="2551" w:type="dxa"/>
            <w:shd w:val="clear" w:color="auto" w:fill="auto"/>
          </w:tcPr>
          <w:p w:rsidR="00D7633C" w:rsidRDefault="00D7633C" w:rsidP="00D4297D">
            <w:pPr>
              <w:pStyle w:val="BayerBodyTextFull"/>
              <w:keepLines/>
              <w:spacing w:before="0" w:after="0"/>
              <w:jc w:val="center"/>
              <w:rPr>
                <w:rFonts w:cs="Arial"/>
              </w:rPr>
            </w:pPr>
            <w:r>
              <w:rPr>
                <w:rFonts w:cs="Arial"/>
              </w:rPr>
              <w:t>54</w:t>
            </w:r>
          </w:p>
          <w:p w:rsidR="00D7633C" w:rsidRPr="00B50C48" w:rsidRDefault="00D7633C" w:rsidP="00D4297D">
            <w:pPr>
              <w:pStyle w:val="BayerBodyTextFull"/>
              <w:keepLines/>
              <w:spacing w:before="0" w:after="0"/>
              <w:jc w:val="center"/>
              <w:rPr>
                <w:rFonts w:cs="Arial"/>
              </w:rPr>
            </w:pPr>
            <w:r>
              <w:rPr>
                <w:rFonts w:cs="Arial"/>
              </w:rPr>
              <w:t>[81]</w:t>
            </w:r>
          </w:p>
        </w:tc>
        <w:tc>
          <w:tcPr>
            <w:tcW w:w="2693" w:type="dxa"/>
            <w:shd w:val="clear" w:color="auto" w:fill="auto"/>
          </w:tcPr>
          <w:p w:rsidR="00D7633C" w:rsidRDefault="00D7633C" w:rsidP="00D4297D">
            <w:pPr>
              <w:pStyle w:val="BayerBodyTextFull"/>
              <w:keepLines/>
              <w:spacing w:before="0" w:after="0"/>
              <w:jc w:val="center"/>
              <w:rPr>
                <w:rFonts w:cs="Arial"/>
              </w:rPr>
            </w:pPr>
            <w:r>
              <w:rPr>
                <w:rFonts w:cs="Arial"/>
              </w:rPr>
              <w:t>22</w:t>
            </w:r>
          </w:p>
          <w:p w:rsidR="00D7633C" w:rsidRPr="00B50C48" w:rsidRDefault="00D7633C" w:rsidP="00D4297D">
            <w:pPr>
              <w:pStyle w:val="BayerBodyTextFull"/>
              <w:keepLines/>
              <w:spacing w:before="0" w:after="0"/>
              <w:jc w:val="center"/>
              <w:rPr>
                <w:rFonts w:cs="Arial"/>
              </w:rPr>
            </w:pPr>
            <w:r>
              <w:rPr>
                <w:rFonts w:cs="Arial"/>
              </w:rPr>
              <w:t>[71]</w:t>
            </w:r>
          </w:p>
        </w:tc>
      </w:tr>
      <w:tr w:rsidR="00D7633C" w:rsidRPr="00B50C48" w:rsidTr="00D4297D">
        <w:tc>
          <w:tcPr>
            <w:tcW w:w="3828" w:type="dxa"/>
            <w:shd w:val="clear" w:color="auto" w:fill="auto"/>
          </w:tcPr>
          <w:p w:rsidR="00D7633C" w:rsidRPr="00B50C48" w:rsidRDefault="00D7633C" w:rsidP="00D4297D">
            <w:pPr>
              <w:pStyle w:val="BayerBodyTextFull"/>
              <w:keepLines/>
              <w:spacing w:before="0" w:after="0"/>
              <w:rPr>
                <w:rFonts w:cs="Arial"/>
              </w:rPr>
            </w:pPr>
            <w:r w:rsidRPr="00B50C48">
              <w:rPr>
                <w:rFonts w:cs="Arial"/>
              </w:rPr>
              <w:t>Placebo</w:t>
            </w:r>
            <w:r w:rsidRPr="00B50C48">
              <w:rPr>
                <w:rFonts w:cs="Arial"/>
              </w:rPr>
              <w:noBreakHyphen/>
              <w:t>corrected difference (m)</w:t>
            </w:r>
          </w:p>
          <w:p w:rsidR="00D7633C" w:rsidRPr="00B50C48" w:rsidRDefault="00D7633C" w:rsidP="00D4297D">
            <w:pPr>
              <w:pStyle w:val="BayerBodyTextFull"/>
              <w:keepLines/>
              <w:spacing w:before="0" w:after="0"/>
              <w:rPr>
                <w:rFonts w:cs="Arial"/>
              </w:rPr>
            </w:pPr>
            <w:r w:rsidRPr="00B50C48">
              <w:rPr>
                <w:rFonts w:cs="Arial"/>
              </w:rPr>
              <w:t>95% CI</w:t>
            </w:r>
          </w:p>
        </w:tc>
        <w:tc>
          <w:tcPr>
            <w:tcW w:w="5244" w:type="dxa"/>
            <w:gridSpan w:val="2"/>
            <w:shd w:val="clear" w:color="auto" w:fill="auto"/>
          </w:tcPr>
          <w:p w:rsidR="00D7633C" w:rsidRDefault="00621AD9" w:rsidP="00D4297D">
            <w:pPr>
              <w:pStyle w:val="BayerBodyTextFull"/>
              <w:keepLines/>
              <w:spacing w:before="0" w:after="0"/>
              <w:jc w:val="center"/>
              <w:rPr>
                <w:rFonts w:cs="Arial"/>
              </w:rPr>
            </w:pPr>
            <w:r>
              <w:rPr>
                <w:rFonts w:cs="Arial"/>
              </w:rPr>
              <w:t>40</w:t>
            </w:r>
          </w:p>
          <w:p w:rsidR="00D87548" w:rsidRPr="00B50C48" w:rsidRDefault="00621AD9" w:rsidP="00621AD9">
            <w:pPr>
              <w:pStyle w:val="BayerBodyTextFull"/>
              <w:keepLines/>
              <w:spacing w:before="0" w:after="0"/>
              <w:jc w:val="center"/>
              <w:rPr>
                <w:rFonts w:cs="Arial"/>
              </w:rPr>
            </w:pPr>
            <w:r>
              <w:rPr>
                <w:rFonts w:cs="Arial"/>
              </w:rPr>
              <w:t>9</w:t>
            </w:r>
            <w:r w:rsidR="00D87548">
              <w:rPr>
                <w:rFonts w:cs="Arial"/>
              </w:rPr>
              <w:t xml:space="preserve"> m to </w:t>
            </w:r>
            <w:r>
              <w:rPr>
                <w:rFonts w:cs="Arial"/>
              </w:rPr>
              <w:t>7</w:t>
            </w:r>
            <w:r w:rsidR="00D87548">
              <w:rPr>
                <w:rFonts w:cs="Arial"/>
              </w:rPr>
              <w:t>1 m</w:t>
            </w:r>
          </w:p>
        </w:tc>
      </w:tr>
      <w:tr w:rsidR="00D7633C" w:rsidRPr="00B50C48" w:rsidTr="00D4297D">
        <w:trPr>
          <w:cantSplit/>
        </w:trPr>
        <w:tc>
          <w:tcPr>
            <w:tcW w:w="3828" w:type="dxa"/>
            <w:shd w:val="clear" w:color="auto" w:fill="D9D9D9"/>
          </w:tcPr>
          <w:p w:rsidR="00D7633C" w:rsidRPr="00B50C48" w:rsidRDefault="00D7633C" w:rsidP="00D4297D">
            <w:pPr>
              <w:pStyle w:val="BayerBodyTextFull"/>
              <w:keepLines/>
              <w:spacing w:before="0" w:after="0"/>
              <w:rPr>
                <w:rFonts w:cs="Arial"/>
                <w:b/>
              </w:rPr>
            </w:pPr>
            <w:r>
              <w:rPr>
                <w:rFonts w:cs="Arial"/>
                <w:b/>
              </w:rPr>
              <w:t>All female subjects</w:t>
            </w:r>
          </w:p>
        </w:tc>
        <w:tc>
          <w:tcPr>
            <w:tcW w:w="2551" w:type="dxa"/>
            <w:shd w:val="clear" w:color="auto" w:fill="D9D9D9"/>
          </w:tcPr>
          <w:p w:rsidR="00D7633C" w:rsidRPr="00B50C48" w:rsidRDefault="00D7633C" w:rsidP="00D4297D">
            <w:pPr>
              <w:pStyle w:val="BayerBodyTextFull"/>
              <w:keepLines/>
              <w:spacing w:before="0" w:after="0"/>
              <w:jc w:val="center"/>
              <w:rPr>
                <w:rFonts w:cs="Arial"/>
                <w:b/>
              </w:rPr>
            </w:pPr>
            <w:r>
              <w:rPr>
                <w:rFonts w:cs="Arial"/>
                <w:b/>
              </w:rPr>
              <w:t>Riociguat (IDT) n=115</w:t>
            </w:r>
          </w:p>
        </w:tc>
        <w:tc>
          <w:tcPr>
            <w:tcW w:w="2693" w:type="dxa"/>
            <w:shd w:val="clear" w:color="auto" w:fill="D9D9D9"/>
          </w:tcPr>
          <w:p w:rsidR="00D7633C" w:rsidRPr="00B50C48" w:rsidRDefault="00D7633C" w:rsidP="00D4297D">
            <w:pPr>
              <w:pStyle w:val="BayerBodyTextFull"/>
              <w:keepLines/>
              <w:spacing w:before="0" w:after="0"/>
              <w:jc w:val="center"/>
              <w:rPr>
                <w:rFonts w:cs="Arial"/>
                <w:b/>
              </w:rPr>
            </w:pPr>
            <w:r w:rsidRPr="00B50C48">
              <w:rPr>
                <w:rFonts w:cs="Arial"/>
                <w:b/>
              </w:rPr>
              <w:t>Placebo</w:t>
            </w:r>
            <w:r>
              <w:rPr>
                <w:rFonts w:cs="Arial"/>
                <w:b/>
              </w:rPr>
              <w:t xml:space="preserve"> n=62</w:t>
            </w:r>
          </w:p>
        </w:tc>
      </w:tr>
      <w:tr w:rsidR="00D7633C" w:rsidRPr="00B50C48" w:rsidTr="00D4297D">
        <w:trPr>
          <w:cantSplit/>
        </w:trPr>
        <w:tc>
          <w:tcPr>
            <w:tcW w:w="3828" w:type="dxa"/>
            <w:shd w:val="clear" w:color="auto" w:fill="auto"/>
          </w:tcPr>
          <w:p w:rsidR="00D7633C" w:rsidRPr="00B50C48" w:rsidRDefault="00D7633C" w:rsidP="00D4297D">
            <w:pPr>
              <w:pStyle w:val="BayerBodyTextFull"/>
              <w:keepLines/>
              <w:spacing w:before="0" w:after="0"/>
              <w:rPr>
                <w:rFonts w:cs="Arial"/>
              </w:rPr>
            </w:pPr>
            <w:r w:rsidRPr="00B50C48">
              <w:rPr>
                <w:rFonts w:cs="Arial"/>
              </w:rPr>
              <w:t xml:space="preserve">Baseline (m) </w:t>
            </w:r>
          </w:p>
          <w:p w:rsidR="00D7633C" w:rsidRPr="00B50C48" w:rsidRDefault="00D7633C" w:rsidP="00D4297D">
            <w:pPr>
              <w:pStyle w:val="BayerBodyTextFull"/>
              <w:keepLines/>
              <w:spacing w:before="0" w:after="0"/>
              <w:rPr>
                <w:rFonts w:cs="Arial"/>
              </w:rPr>
            </w:pPr>
            <w:r w:rsidRPr="00B50C48">
              <w:rPr>
                <w:rFonts w:cs="Arial"/>
              </w:rPr>
              <w:t>[SD]</w:t>
            </w:r>
          </w:p>
        </w:tc>
        <w:tc>
          <w:tcPr>
            <w:tcW w:w="2551" w:type="dxa"/>
            <w:shd w:val="clear" w:color="auto" w:fill="auto"/>
          </w:tcPr>
          <w:p w:rsidR="00D7633C" w:rsidRDefault="00D7633C" w:rsidP="00D4297D">
            <w:pPr>
              <w:pStyle w:val="BayerBodyTextFull"/>
              <w:keepLines/>
              <w:spacing w:before="0" w:after="0"/>
              <w:jc w:val="center"/>
              <w:rPr>
                <w:rFonts w:cs="Arial"/>
              </w:rPr>
            </w:pPr>
            <w:r>
              <w:rPr>
                <w:rFonts w:cs="Arial"/>
              </w:rPr>
              <w:t>335</w:t>
            </w:r>
          </w:p>
          <w:p w:rsidR="00D7633C" w:rsidRPr="00B50C48" w:rsidRDefault="00D7633C" w:rsidP="00D4297D">
            <w:pPr>
              <w:pStyle w:val="BayerBodyTextFull"/>
              <w:keepLines/>
              <w:spacing w:before="0" w:after="0"/>
              <w:jc w:val="center"/>
              <w:rPr>
                <w:rFonts w:cs="Arial"/>
              </w:rPr>
            </w:pPr>
            <w:r>
              <w:rPr>
                <w:rFonts w:cs="Arial"/>
              </w:rPr>
              <w:t>[84]</w:t>
            </w:r>
          </w:p>
        </w:tc>
        <w:tc>
          <w:tcPr>
            <w:tcW w:w="2693" w:type="dxa"/>
            <w:shd w:val="clear" w:color="auto" w:fill="auto"/>
          </w:tcPr>
          <w:p w:rsidR="00D7633C" w:rsidRDefault="00D7633C" w:rsidP="00D4297D">
            <w:pPr>
              <w:pStyle w:val="BayerBodyTextFull"/>
              <w:keepLines/>
              <w:spacing w:before="0" w:after="0"/>
              <w:jc w:val="center"/>
              <w:rPr>
                <w:rFonts w:cs="Arial"/>
              </w:rPr>
            </w:pPr>
            <w:r>
              <w:rPr>
                <w:rFonts w:cs="Arial"/>
              </w:rPr>
              <w:t>343</w:t>
            </w:r>
          </w:p>
          <w:p w:rsidR="00D7633C" w:rsidRPr="00B50C48" w:rsidRDefault="00D7633C" w:rsidP="00D4297D">
            <w:pPr>
              <w:pStyle w:val="BayerBodyTextFull"/>
              <w:keepLines/>
              <w:spacing w:before="0" w:after="0"/>
              <w:jc w:val="center"/>
              <w:rPr>
                <w:rFonts w:cs="Arial"/>
              </w:rPr>
            </w:pPr>
            <w:r>
              <w:rPr>
                <w:rFonts w:cs="Arial"/>
              </w:rPr>
              <w:t>[76]</w:t>
            </w:r>
          </w:p>
        </w:tc>
      </w:tr>
      <w:tr w:rsidR="00D7633C" w:rsidRPr="00B50C48" w:rsidTr="00D4297D">
        <w:trPr>
          <w:cantSplit/>
        </w:trPr>
        <w:tc>
          <w:tcPr>
            <w:tcW w:w="3828" w:type="dxa"/>
            <w:shd w:val="clear" w:color="auto" w:fill="auto"/>
          </w:tcPr>
          <w:p w:rsidR="00D7633C" w:rsidRPr="00B50C48" w:rsidRDefault="00D7633C" w:rsidP="00D4297D">
            <w:pPr>
              <w:pStyle w:val="BayerBodyTextFull"/>
              <w:keepLines/>
              <w:spacing w:before="0" w:after="0"/>
              <w:rPr>
                <w:rFonts w:cs="Arial"/>
              </w:rPr>
            </w:pPr>
            <w:r w:rsidRPr="00B50C48">
              <w:rPr>
                <w:rFonts w:cs="Arial"/>
              </w:rPr>
              <w:t>Change from baseline (m)</w:t>
            </w:r>
          </w:p>
          <w:p w:rsidR="00D7633C" w:rsidRPr="00B50C48" w:rsidRDefault="00D7633C" w:rsidP="00D4297D">
            <w:pPr>
              <w:pStyle w:val="BayerBodyTextFull"/>
              <w:keepLines/>
              <w:spacing w:before="0" w:after="0"/>
              <w:rPr>
                <w:rFonts w:cs="Arial"/>
              </w:rPr>
            </w:pPr>
            <w:r w:rsidRPr="00B50C48">
              <w:rPr>
                <w:rFonts w:cs="Arial"/>
              </w:rPr>
              <w:t>[SD]</w:t>
            </w:r>
          </w:p>
        </w:tc>
        <w:tc>
          <w:tcPr>
            <w:tcW w:w="2551" w:type="dxa"/>
            <w:shd w:val="clear" w:color="auto" w:fill="auto"/>
          </w:tcPr>
          <w:p w:rsidR="00D7633C" w:rsidRDefault="00D7633C" w:rsidP="00D4297D">
            <w:pPr>
              <w:pStyle w:val="BayerBodyTextFull"/>
              <w:keepLines/>
              <w:spacing w:before="0" w:after="0"/>
              <w:jc w:val="center"/>
              <w:rPr>
                <w:rFonts w:cs="Arial"/>
              </w:rPr>
            </w:pPr>
            <w:r>
              <w:rPr>
                <w:rFonts w:cs="Arial"/>
              </w:rPr>
              <w:t>32</w:t>
            </w:r>
          </w:p>
          <w:p w:rsidR="00D7633C" w:rsidRPr="00B50C48" w:rsidRDefault="00D7633C" w:rsidP="00D4297D">
            <w:pPr>
              <w:pStyle w:val="BayerBodyTextFull"/>
              <w:keepLines/>
              <w:spacing w:before="0" w:after="0"/>
              <w:jc w:val="center"/>
              <w:rPr>
                <w:rFonts w:cs="Arial"/>
              </w:rPr>
            </w:pPr>
            <w:r>
              <w:rPr>
                <w:rFonts w:cs="Arial"/>
              </w:rPr>
              <w:t>[78]</w:t>
            </w:r>
          </w:p>
        </w:tc>
        <w:tc>
          <w:tcPr>
            <w:tcW w:w="2693" w:type="dxa"/>
            <w:shd w:val="clear" w:color="auto" w:fill="auto"/>
          </w:tcPr>
          <w:p w:rsidR="00D7633C" w:rsidRDefault="00D7633C" w:rsidP="00D4297D">
            <w:pPr>
              <w:pStyle w:val="BayerBodyTextFull"/>
              <w:keepLines/>
              <w:spacing w:before="0" w:after="0"/>
              <w:jc w:val="center"/>
              <w:rPr>
                <w:rFonts w:cs="Arial"/>
              </w:rPr>
            </w:pPr>
            <w:r>
              <w:rPr>
                <w:rFonts w:cs="Arial"/>
              </w:rPr>
              <w:t>-23</w:t>
            </w:r>
          </w:p>
          <w:p w:rsidR="00D7633C" w:rsidRPr="00B50C48" w:rsidRDefault="00D7633C" w:rsidP="00D4297D">
            <w:pPr>
              <w:pStyle w:val="BayerBodyTextFull"/>
              <w:keepLines/>
              <w:spacing w:before="0" w:after="0"/>
              <w:jc w:val="center"/>
              <w:rPr>
                <w:rFonts w:cs="Arial"/>
              </w:rPr>
            </w:pPr>
            <w:r>
              <w:rPr>
                <w:rFonts w:cs="Arial"/>
              </w:rPr>
              <w:t>[88]</w:t>
            </w:r>
          </w:p>
        </w:tc>
      </w:tr>
      <w:tr w:rsidR="00D7633C" w:rsidRPr="00B50C48" w:rsidTr="00D4297D">
        <w:tc>
          <w:tcPr>
            <w:tcW w:w="3828" w:type="dxa"/>
            <w:shd w:val="clear" w:color="auto" w:fill="auto"/>
          </w:tcPr>
          <w:p w:rsidR="00D7633C" w:rsidRPr="00B50C48" w:rsidRDefault="00D7633C" w:rsidP="00D4297D">
            <w:pPr>
              <w:pStyle w:val="BayerBodyTextFull"/>
              <w:keepLines/>
              <w:spacing w:before="0" w:after="0"/>
              <w:rPr>
                <w:rFonts w:cs="Arial"/>
              </w:rPr>
            </w:pPr>
            <w:r w:rsidRPr="00B50C48">
              <w:rPr>
                <w:rFonts w:cs="Arial"/>
              </w:rPr>
              <w:t>Placebo</w:t>
            </w:r>
            <w:r w:rsidRPr="00B50C48">
              <w:rPr>
                <w:rFonts w:cs="Arial"/>
              </w:rPr>
              <w:noBreakHyphen/>
              <w:t>corrected difference (m)</w:t>
            </w:r>
          </w:p>
          <w:p w:rsidR="00D7633C" w:rsidRPr="00B50C48" w:rsidRDefault="00D7633C" w:rsidP="00D4297D">
            <w:pPr>
              <w:pStyle w:val="BayerBodyTextFull"/>
              <w:keepLines/>
              <w:spacing w:before="0" w:after="0"/>
              <w:rPr>
                <w:rFonts w:cs="Arial"/>
              </w:rPr>
            </w:pPr>
            <w:r w:rsidRPr="00B50C48">
              <w:rPr>
                <w:rFonts w:cs="Arial"/>
              </w:rPr>
              <w:t>95% CI</w:t>
            </w:r>
          </w:p>
        </w:tc>
        <w:tc>
          <w:tcPr>
            <w:tcW w:w="5244" w:type="dxa"/>
            <w:gridSpan w:val="2"/>
            <w:shd w:val="clear" w:color="auto" w:fill="auto"/>
          </w:tcPr>
          <w:p w:rsidR="00D7633C" w:rsidRDefault="00621AD9" w:rsidP="00D4297D">
            <w:pPr>
              <w:pStyle w:val="BayerBodyTextFull"/>
              <w:keepLines/>
              <w:spacing w:before="0" w:after="0"/>
              <w:jc w:val="center"/>
              <w:rPr>
                <w:rFonts w:cs="Arial"/>
              </w:rPr>
            </w:pPr>
            <w:r>
              <w:rPr>
                <w:rFonts w:cs="Arial"/>
              </w:rPr>
              <w:t>54</w:t>
            </w:r>
          </w:p>
          <w:p w:rsidR="00D87548" w:rsidRPr="00B50C48" w:rsidRDefault="00621AD9" w:rsidP="00D4297D">
            <w:pPr>
              <w:pStyle w:val="BayerBodyTextFull"/>
              <w:keepLines/>
              <w:spacing w:before="0" w:after="0"/>
              <w:jc w:val="center"/>
              <w:rPr>
                <w:rFonts w:cs="Arial"/>
              </w:rPr>
            </w:pPr>
            <w:r>
              <w:rPr>
                <w:rFonts w:cs="Arial"/>
              </w:rPr>
              <w:t>28 m to 8</w:t>
            </w:r>
            <w:r w:rsidR="00D87548">
              <w:rPr>
                <w:rFonts w:cs="Arial"/>
              </w:rPr>
              <w:t>1 m</w:t>
            </w:r>
          </w:p>
        </w:tc>
      </w:tr>
    </w:tbl>
    <w:p w:rsidR="00316A5A" w:rsidRPr="00473672" w:rsidRDefault="00316A5A" w:rsidP="00DD77F1">
      <w:pPr>
        <w:pStyle w:val="BayerBodyTextFull"/>
        <w:keepLines/>
        <w:spacing w:after="240" w:line="276" w:lineRule="auto"/>
      </w:pPr>
      <w:r w:rsidRPr="00473672">
        <w:t>IDT: Individual dose titration</w:t>
      </w:r>
    </w:p>
    <w:p w:rsidR="00121E28" w:rsidRPr="00B50C48" w:rsidRDefault="00121E28" w:rsidP="00121E28">
      <w:pPr>
        <w:pStyle w:val="Caption"/>
        <w:ind w:left="0"/>
      </w:pPr>
      <w:r w:rsidRPr="00B50C48">
        <w:t xml:space="preserve">Figure </w:t>
      </w:r>
      <w:r>
        <w:fldChar w:fldCharType="begin"/>
      </w:r>
      <w:r>
        <w:instrText xml:space="preserve"> SEQ Figure \* ARABIC </w:instrText>
      </w:r>
      <w:r>
        <w:fldChar w:fldCharType="separate"/>
      </w:r>
      <w:r w:rsidR="00407B88">
        <w:rPr>
          <w:noProof/>
        </w:rPr>
        <w:t>1</w:t>
      </w:r>
      <w:r>
        <w:rPr>
          <w:noProof/>
        </w:rPr>
        <w:fldChar w:fldCharType="end"/>
      </w:r>
      <w:r w:rsidRPr="00B50C48">
        <w:rPr>
          <w:noProof/>
        </w:rPr>
        <w:t>: 6-Minute Walk Distance Over 16 Weeks</w:t>
      </w:r>
    </w:p>
    <w:p w:rsidR="00121E28" w:rsidRPr="00B50C48" w:rsidRDefault="00A86C5C" w:rsidP="00035A93">
      <w:pPr>
        <w:keepNext/>
        <w:spacing w:before="240" w:after="120"/>
        <w:jc w:val="both"/>
        <w:rPr>
          <w:rFonts w:eastAsia="MS Mincho"/>
          <w:sz w:val="24"/>
          <w:szCs w:val="24"/>
          <w:lang w:eastAsia="ja-JP"/>
        </w:rPr>
      </w:pPr>
      <w:r>
        <w:rPr>
          <w:rFonts w:eastAsia="MS Mincho"/>
          <w:noProof/>
          <w:sz w:val="24"/>
          <w:szCs w:val="24"/>
        </w:rPr>
        <w:drawing>
          <wp:inline distT="0" distB="0" distL="0" distR="0">
            <wp:extent cx="5033010" cy="3975735"/>
            <wp:effectExtent l="0" t="0" r="0" b="571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3010" cy="3975735"/>
                    </a:xfrm>
                    <a:prstGeom prst="rect">
                      <a:avLst/>
                    </a:prstGeom>
                    <a:noFill/>
                    <a:ln>
                      <a:noFill/>
                    </a:ln>
                  </pic:spPr>
                </pic:pic>
              </a:graphicData>
            </a:graphic>
          </wp:inline>
        </w:drawing>
      </w:r>
    </w:p>
    <w:p w:rsidR="00121E28" w:rsidRPr="00035A93" w:rsidRDefault="00121E28" w:rsidP="00121E28">
      <w:pPr>
        <w:pStyle w:val="Body"/>
        <w:rPr>
          <w:rFonts w:ascii="Arial" w:hAnsi="Arial" w:cs="Arial"/>
          <w:sz w:val="20"/>
          <w:szCs w:val="20"/>
          <w:lang w:val="en-AU"/>
        </w:rPr>
      </w:pPr>
      <w:r w:rsidRPr="00035A93">
        <w:rPr>
          <w:rFonts w:ascii="Arial" w:hAnsi="Arial" w:cs="Arial"/>
          <w:sz w:val="20"/>
          <w:szCs w:val="20"/>
          <w:lang w:val="en-AU"/>
        </w:rPr>
        <w:t>Last visit = last observed value—not including follow-up—for patients who completed the study or withdrew, except imputed worst value (zero) in case of death or clinical worsening without a termination visit or a measurement at that termination visit.</w:t>
      </w:r>
    </w:p>
    <w:p w:rsidR="00E42BF6" w:rsidRPr="00B50C48" w:rsidRDefault="00ED01F4" w:rsidP="002A069C">
      <w:pPr>
        <w:pStyle w:val="BayerBodyTextFull"/>
        <w:keepNext/>
        <w:keepLines/>
        <w:spacing w:after="240" w:line="276" w:lineRule="auto"/>
        <w:rPr>
          <w:sz w:val="22"/>
          <w:u w:val="single"/>
        </w:rPr>
      </w:pPr>
      <w:r>
        <w:rPr>
          <w:sz w:val="22"/>
          <w:u w:val="single"/>
        </w:rPr>
        <w:lastRenderedPageBreak/>
        <w:t>Secondary Endpoints</w:t>
      </w:r>
    </w:p>
    <w:p w:rsidR="00E42BF6" w:rsidRPr="00B50C48" w:rsidRDefault="00E42BF6" w:rsidP="002A069C">
      <w:pPr>
        <w:pStyle w:val="BayerBodyTextFull"/>
        <w:keepNext/>
        <w:keepLines/>
        <w:spacing w:after="240" w:line="276" w:lineRule="auto"/>
        <w:rPr>
          <w:sz w:val="22"/>
        </w:rPr>
      </w:pPr>
      <w:r w:rsidRPr="00B50C48">
        <w:rPr>
          <w:sz w:val="22"/>
        </w:rPr>
        <w:t xml:space="preserve">Improvements in walking distance were complemented with consistent improvements in clinically relevant secondary endpoints. </w:t>
      </w:r>
    </w:p>
    <w:p w:rsidR="00E42BF6" w:rsidRPr="00B50C48" w:rsidRDefault="00E42BF6" w:rsidP="002A069C">
      <w:pPr>
        <w:pStyle w:val="BayerBodyTextFull"/>
        <w:keepNext/>
        <w:keepLines/>
        <w:spacing w:after="240" w:line="276" w:lineRule="auto"/>
        <w:rPr>
          <w:sz w:val="22"/>
        </w:rPr>
      </w:pPr>
      <w:r w:rsidRPr="00B50C48">
        <w:rPr>
          <w:sz w:val="22"/>
        </w:rPr>
        <w:t>A statistically significant improvement for the riociguat group over placebo was shown for the following secondary efficacy variables:</w:t>
      </w:r>
    </w:p>
    <w:p w:rsidR="00E42BF6" w:rsidRPr="00066F9E" w:rsidRDefault="00E42BF6" w:rsidP="002A069C">
      <w:pPr>
        <w:pStyle w:val="BayerBodyTextFull"/>
        <w:keepNext/>
        <w:keepLines/>
        <w:numPr>
          <w:ilvl w:val="0"/>
          <w:numId w:val="26"/>
        </w:numPr>
        <w:spacing w:after="240" w:line="276" w:lineRule="auto"/>
        <w:jc w:val="both"/>
        <w:rPr>
          <w:sz w:val="22"/>
          <w:szCs w:val="22"/>
        </w:rPr>
      </w:pPr>
      <w:r w:rsidRPr="00B50C48">
        <w:rPr>
          <w:sz w:val="22"/>
        </w:rPr>
        <w:t>Pulmonary vascular resistance (PVR): Significantly reduced PVR (placebo</w:t>
      </w:r>
      <w:r w:rsidRPr="00B50C48">
        <w:rPr>
          <w:sz w:val="22"/>
        </w:rPr>
        <w:noBreakHyphen/>
        <w:t xml:space="preserve">corrected mean change from baseline of </w:t>
      </w:r>
      <w:r w:rsidRPr="00B50C48">
        <w:rPr>
          <w:sz w:val="22"/>
        </w:rPr>
        <w:noBreakHyphen/>
        <w:t>246 dyn*s*cm</w:t>
      </w:r>
      <w:r w:rsidRPr="00B50C48">
        <w:rPr>
          <w:sz w:val="22"/>
          <w:vertAlign w:val="superscript"/>
        </w:rPr>
        <w:t>-5</w:t>
      </w:r>
      <w:r w:rsidRPr="00B50C48">
        <w:rPr>
          <w:sz w:val="22"/>
        </w:rPr>
        <w:t xml:space="preserve">; 95% CI </w:t>
      </w:r>
      <w:r w:rsidRPr="00B50C48">
        <w:rPr>
          <w:sz w:val="22"/>
        </w:rPr>
        <w:noBreakHyphen/>
        <w:t>303 to </w:t>
      </w:r>
      <w:r w:rsidRPr="00B50C48">
        <w:rPr>
          <w:sz w:val="22"/>
        </w:rPr>
        <w:noBreakHyphen/>
        <w:t xml:space="preserve">190; </w:t>
      </w:r>
      <w:r w:rsidRPr="00B50C48">
        <w:rPr>
          <w:color w:val="000000"/>
          <w:sz w:val="22"/>
        </w:rPr>
        <w:t>p</w:t>
      </w:r>
      <w:r w:rsidRPr="00B50C48">
        <w:rPr>
          <w:color w:val="000000"/>
          <w:sz w:val="22"/>
        </w:rPr>
        <w:sym w:font="Symbol" w:char="F03C"/>
      </w:r>
      <w:r w:rsidRPr="00B50C48">
        <w:rPr>
          <w:color w:val="000000"/>
          <w:sz w:val="22"/>
        </w:rPr>
        <w:t xml:space="preserve">0.0001; </w:t>
      </w:r>
      <w:r w:rsidRPr="00B50C48">
        <w:rPr>
          <w:sz w:val="22"/>
        </w:rPr>
        <w:t>s</w:t>
      </w:r>
      <w:r w:rsidRPr="00B50C48">
        <w:rPr>
          <w:sz w:val="22"/>
          <w:szCs w:val="22"/>
        </w:rPr>
        <w:t>ee</w:t>
      </w:r>
      <w:r w:rsidR="00947934">
        <w:rPr>
          <w:sz w:val="22"/>
          <w:szCs w:val="22"/>
        </w:rPr>
        <w:t xml:space="preserve"> </w:t>
      </w:r>
      <w:r w:rsidR="006F3498" w:rsidRPr="00B635AF">
        <w:rPr>
          <w:sz w:val="22"/>
          <w:szCs w:val="22"/>
        </w:rPr>
        <w:fldChar w:fldCharType="begin"/>
      </w:r>
      <w:r w:rsidR="006F3498" w:rsidRPr="00066F9E">
        <w:rPr>
          <w:sz w:val="22"/>
          <w:szCs w:val="22"/>
        </w:rPr>
        <w:instrText xml:space="preserve"> REF _Ref346281521 </w:instrText>
      </w:r>
      <w:r w:rsidR="006F3498">
        <w:rPr>
          <w:sz w:val="22"/>
          <w:szCs w:val="22"/>
        </w:rPr>
        <w:instrText xml:space="preserve"> \* MERGEFORMAT </w:instrText>
      </w:r>
      <w:r w:rsidR="006F3498" w:rsidRPr="00066F9E">
        <w:rPr>
          <w:sz w:val="22"/>
          <w:szCs w:val="22"/>
        </w:rPr>
        <w:fldChar w:fldCharType="separate"/>
      </w:r>
      <w:r w:rsidR="00407B88" w:rsidRPr="002E3024">
        <w:rPr>
          <w:sz w:val="22"/>
          <w:szCs w:val="22"/>
        </w:rPr>
        <w:t xml:space="preserve">Table </w:t>
      </w:r>
      <w:r w:rsidR="00407B88" w:rsidRPr="002E3024">
        <w:rPr>
          <w:noProof/>
          <w:sz w:val="22"/>
          <w:szCs w:val="22"/>
        </w:rPr>
        <w:t>3</w:t>
      </w:r>
      <w:r w:rsidR="006F3498" w:rsidRPr="00B635AF">
        <w:rPr>
          <w:sz w:val="22"/>
          <w:szCs w:val="22"/>
        </w:rPr>
        <w:fldChar w:fldCharType="end"/>
      </w:r>
      <w:r w:rsidRPr="00066F9E">
        <w:rPr>
          <w:sz w:val="22"/>
          <w:szCs w:val="22"/>
        </w:rPr>
        <w:t>).</w:t>
      </w:r>
    </w:p>
    <w:p w:rsidR="00E42BF6" w:rsidRPr="00066F9E" w:rsidRDefault="00E42BF6" w:rsidP="002A069C">
      <w:pPr>
        <w:pStyle w:val="BayerBodyTextFull"/>
        <w:numPr>
          <w:ilvl w:val="0"/>
          <w:numId w:val="26"/>
        </w:numPr>
        <w:spacing w:after="240" w:line="276" w:lineRule="auto"/>
        <w:jc w:val="both"/>
        <w:rPr>
          <w:sz w:val="22"/>
          <w:szCs w:val="22"/>
        </w:rPr>
      </w:pPr>
      <w:r w:rsidRPr="000012DF">
        <w:rPr>
          <w:sz w:val="22"/>
          <w:szCs w:val="22"/>
        </w:rPr>
        <w:t>NT</w:t>
      </w:r>
      <w:r w:rsidRPr="000012DF">
        <w:rPr>
          <w:sz w:val="22"/>
          <w:szCs w:val="22"/>
        </w:rPr>
        <w:noBreakHyphen/>
        <w:t>proBNP: Significantly reduced NT</w:t>
      </w:r>
      <w:r w:rsidRPr="000012DF">
        <w:rPr>
          <w:sz w:val="22"/>
          <w:szCs w:val="22"/>
        </w:rPr>
        <w:noBreakHyphen/>
        <w:t>proBNP (placebo</w:t>
      </w:r>
      <w:r w:rsidRPr="000012DF">
        <w:rPr>
          <w:sz w:val="22"/>
          <w:szCs w:val="22"/>
        </w:rPr>
        <w:noBreakHyphen/>
        <w:t xml:space="preserve">corrected mean change from baseline </w:t>
      </w:r>
      <w:r w:rsidRPr="000012DF">
        <w:rPr>
          <w:sz w:val="22"/>
          <w:szCs w:val="22"/>
        </w:rPr>
        <w:noBreakHyphen/>
        <w:t>444 ng/L,</w:t>
      </w:r>
      <w:r w:rsidR="00A37FB8" w:rsidRPr="000012DF">
        <w:rPr>
          <w:sz w:val="22"/>
          <w:szCs w:val="22"/>
        </w:rPr>
        <w:t xml:space="preserve"> 95%</w:t>
      </w:r>
      <w:r w:rsidRPr="00047D83">
        <w:rPr>
          <w:sz w:val="22"/>
          <w:szCs w:val="22"/>
        </w:rPr>
        <w:t xml:space="preserve"> CI </w:t>
      </w:r>
      <w:r w:rsidRPr="00047D83">
        <w:rPr>
          <w:sz w:val="22"/>
          <w:szCs w:val="22"/>
        </w:rPr>
        <w:noBreakHyphen/>
        <w:t>843 to </w:t>
      </w:r>
      <w:r w:rsidRPr="00047D83">
        <w:rPr>
          <w:sz w:val="22"/>
          <w:szCs w:val="22"/>
        </w:rPr>
        <w:noBreakHyphen/>
        <w:t>45</w:t>
      </w:r>
      <w:r w:rsidR="00A37FB8" w:rsidRPr="00844B61">
        <w:rPr>
          <w:sz w:val="22"/>
          <w:szCs w:val="22"/>
        </w:rPr>
        <w:t>, p&lt;0.0001</w:t>
      </w:r>
      <w:r w:rsidRPr="00066F9E">
        <w:rPr>
          <w:sz w:val="22"/>
          <w:szCs w:val="22"/>
        </w:rPr>
        <w:t>).</w:t>
      </w:r>
    </w:p>
    <w:p w:rsidR="00E42BF6" w:rsidRPr="00B50C48" w:rsidRDefault="00E42BF6" w:rsidP="00E11053">
      <w:pPr>
        <w:pStyle w:val="BayerBodyTextFull"/>
        <w:numPr>
          <w:ilvl w:val="0"/>
          <w:numId w:val="26"/>
        </w:numPr>
        <w:spacing w:after="240" w:line="276" w:lineRule="auto"/>
        <w:jc w:val="both"/>
        <w:rPr>
          <w:sz w:val="22"/>
        </w:rPr>
      </w:pPr>
      <w:r w:rsidRPr="00B50C48">
        <w:rPr>
          <w:sz w:val="22"/>
        </w:rPr>
        <w:t xml:space="preserve">WHO functional class: Significant improvement of at least one functional class in the riociguat group at week 16 (last visit) of 33% vs. 15% in the placebo group </w:t>
      </w:r>
      <w:r w:rsidR="00E11053" w:rsidRPr="00E11053">
        <w:rPr>
          <w:sz w:val="22"/>
        </w:rPr>
        <w:t xml:space="preserve">and a </w:t>
      </w:r>
      <w:r w:rsidR="00E74457">
        <w:rPr>
          <w:sz w:val="22"/>
        </w:rPr>
        <w:t>deterioration</w:t>
      </w:r>
      <w:r w:rsidR="00E74457" w:rsidRPr="00E11053">
        <w:rPr>
          <w:sz w:val="22"/>
        </w:rPr>
        <w:t xml:space="preserve"> </w:t>
      </w:r>
      <w:r w:rsidR="00E11053" w:rsidRPr="00E11053">
        <w:rPr>
          <w:sz w:val="22"/>
        </w:rPr>
        <w:t xml:space="preserve">of at least one functional class was observed in 5% of patients in the riociguat group vs. 7% in the placebo group </w:t>
      </w:r>
      <w:r w:rsidRPr="00B50C48">
        <w:rPr>
          <w:sz w:val="22"/>
        </w:rPr>
        <w:t>(</w:t>
      </w:r>
      <w:r w:rsidR="00E11053">
        <w:rPr>
          <w:sz w:val="22"/>
        </w:rPr>
        <w:t>p=</w:t>
      </w:r>
      <w:r w:rsidR="00E11053" w:rsidRPr="00E11053">
        <w:rPr>
          <w:sz w:val="22"/>
        </w:rPr>
        <w:t xml:space="preserve">0.0026; </w:t>
      </w:r>
      <w:r w:rsidRPr="00B50C48">
        <w:rPr>
          <w:sz w:val="22"/>
          <w:szCs w:val="22"/>
        </w:rPr>
        <w:t>see</w:t>
      </w:r>
      <w:r w:rsidR="00B12FCD" w:rsidRPr="00B50C48">
        <w:rPr>
          <w:sz w:val="22"/>
          <w:szCs w:val="22"/>
        </w:rPr>
        <w:t xml:space="preserve"> </w:t>
      </w:r>
      <w:r w:rsidR="00947934" w:rsidRPr="00D443D5">
        <w:rPr>
          <w:sz w:val="22"/>
          <w:szCs w:val="22"/>
        </w:rPr>
        <w:fldChar w:fldCharType="begin"/>
      </w:r>
      <w:r w:rsidR="00947934" w:rsidRPr="0037275F">
        <w:rPr>
          <w:sz w:val="22"/>
          <w:szCs w:val="22"/>
        </w:rPr>
        <w:instrText xml:space="preserve"> REF _Ref377740757 </w:instrText>
      </w:r>
      <w:r w:rsidR="00947934" w:rsidRPr="00C3017A">
        <w:rPr>
          <w:sz w:val="22"/>
          <w:szCs w:val="22"/>
        </w:rPr>
        <w:instrText xml:space="preserve"> \* MERGEFORMAT </w:instrText>
      </w:r>
      <w:r w:rsidR="00947934" w:rsidRPr="0037275F">
        <w:rPr>
          <w:sz w:val="22"/>
          <w:szCs w:val="22"/>
        </w:rPr>
        <w:fldChar w:fldCharType="separate"/>
      </w:r>
      <w:r w:rsidR="00407B88" w:rsidRPr="002E3024">
        <w:rPr>
          <w:sz w:val="22"/>
          <w:szCs w:val="22"/>
        </w:rPr>
        <w:t xml:space="preserve">Table </w:t>
      </w:r>
      <w:r w:rsidR="00407B88" w:rsidRPr="002E3024">
        <w:rPr>
          <w:noProof/>
          <w:sz w:val="22"/>
          <w:szCs w:val="22"/>
        </w:rPr>
        <w:t>2</w:t>
      </w:r>
      <w:r w:rsidR="00947934" w:rsidRPr="00D443D5">
        <w:rPr>
          <w:sz w:val="22"/>
          <w:szCs w:val="22"/>
        </w:rPr>
        <w:fldChar w:fldCharType="end"/>
      </w:r>
      <w:r w:rsidRPr="00B50C48">
        <w:rPr>
          <w:sz w:val="22"/>
        </w:rPr>
        <w:t xml:space="preserve">). </w:t>
      </w:r>
      <w:r w:rsidR="00E11053" w:rsidRPr="00E11053">
        <w:rPr>
          <w:sz w:val="22"/>
        </w:rPr>
        <w:t>Functional class was unchanged in 62% of patients in the riociguat group vs. 78% in the placebo group.</w:t>
      </w:r>
    </w:p>
    <w:p w:rsidR="00CE135F" w:rsidRPr="00B50C48" w:rsidRDefault="00CE135F" w:rsidP="009606F5">
      <w:pPr>
        <w:pStyle w:val="BayerBodyTextFull"/>
        <w:keepNext/>
        <w:tabs>
          <w:tab w:val="left" w:pos="851"/>
        </w:tabs>
        <w:spacing w:after="240" w:line="276" w:lineRule="auto"/>
        <w:ind w:left="851" w:hanging="851"/>
        <w:rPr>
          <w:b/>
          <w:lang w:eastAsia="zh-CN"/>
        </w:rPr>
      </w:pPr>
      <w:bookmarkStart w:id="2" w:name="_Ref377740757"/>
      <w:r w:rsidRPr="00B50C48">
        <w:rPr>
          <w:b/>
        </w:rPr>
        <w:t xml:space="preserve">Table </w:t>
      </w:r>
      <w:r w:rsidR="002740D2">
        <w:rPr>
          <w:b/>
        </w:rPr>
        <w:fldChar w:fldCharType="begin"/>
      </w:r>
      <w:r w:rsidR="002740D2">
        <w:rPr>
          <w:b/>
        </w:rPr>
        <w:instrText xml:space="preserve"> SEQ Table \* ARABIC </w:instrText>
      </w:r>
      <w:r w:rsidR="002740D2">
        <w:rPr>
          <w:b/>
        </w:rPr>
        <w:fldChar w:fldCharType="separate"/>
      </w:r>
      <w:r w:rsidR="00407B88">
        <w:rPr>
          <w:b/>
          <w:noProof/>
        </w:rPr>
        <w:t>2</w:t>
      </w:r>
      <w:r w:rsidR="002740D2">
        <w:rPr>
          <w:b/>
        </w:rPr>
        <w:fldChar w:fldCharType="end"/>
      </w:r>
      <w:bookmarkEnd w:id="2"/>
      <w:r w:rsidRPr="00B50C48">
        <w:rPr>
          <w:b/>
        </w:rPr>
        <w:t xml:space="preserve">. </w:t>
      </w:r>
      <w:r w:rsidR="009606F5">
        <w:rPr>
          <w:b/>
        </w:rPr>
        <w:tab/>
      </w:r>
      <w:r w:rsidRPr="00B50C48">
        <w:rPr>
          <w:b/>
          <w:lang w:eastAsia="zh-CN"/>
        </w:rPr>
        <w:t xml:space="preserve">Effects of riociguat on the </w:t>
      </w:r>
      <w:r>
        <w:rPr>
          <w:b/>
          <w:lang w:eastAsia="zh-CN"/>
        </w:rPr>
        <w:t>c</w:t>
      </w:r>
      <w:r w:rsidRPr="00B50C48">
        <w:rPr>
          <w:b/>
          <w:lang w:eastAsia="zh-CN"/>
        </w:rPr>
        <w:t>hange in Functional Class in CHEST-1 at week 16 (last visit; ITT analysis set)</w:t>
      </w:r>
    </w:p>
    <w:tbl>
      <w:tblPr>
        <w:tblW w:w="9180" w:type="dxa"/>
        <w:tblInd w:w="108" w:type="dxa"/>
        <w:tblCellMar>
          <w:left w:w="0" w:type="dxa"/>
          <w:right w:w="0" w:type="dxa"/>
        </w:tblCellMar>
        <w:tblLook w:val="04A0" w:firstRow="1" w:lastRow="0" w:firstColumn="1" w:lastColumn="0" w:noHBand="0" w:noVBand="1"/>
      </w:tblPr>
      <w:tblGrid>
        <w:gridCol w:w="3794"/>
        <w:gridCol w:w="2551"/>
        <w:gridCol w:w="2835"/>
      </w:tblGrid>
      <w:tr w:rsidR="00CE135F" w:rsidRPr="00B50C48" w:rsidTr="0026081D">
        <w:trPr>
          <w:cantSplit/>
        </w:trPr>
        <w:tc>
          <w:tcPr>
            <w:tcW w:w="3794"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CE135F" w:rsidRPr="00B50C48" w:rsidRDefault="00CE135F" w:rsidP="0026081D">
            <w:pPr>
              <w:pStyle w:val="BayerBodyTextFull"/>
              <w:keepNext/>
              <w:keepLines/>
              <w:spacing w:before="0" w:after="0"/>
              <w:rPr>
                <w:b/>
                <w:bCs/>
                <w:szCs w:val="22"/>
              </w:rPr>
            </w:pPr>
            <w:r w:rsidRPr="00B50C48">
              <w:rPr>
                <w:b/>
                <w:bCs/>
                <w:szCs w:val="22"/>
              </w:rPr>
              <w:t>Change in Functional Class</w:t>
            </w:r>
          </w:p>
        </w:tc>
        <w:tc>
          <w:tcPr>
            <w:tcW w:w="255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b/>
                <w:bCs/>
                <w:szCs w:val="22"/>
              </w:rPr>
            </w:pPr>
            <w:r w:rsidRPr="00B50C48">
              <w:rPr>
                <w:b/>
                <w:bCs/>
                <w:szCs w:val="22"/>
              </w:rPr>
              <w:t>Riociguat (n=173)</w:t>
            </w:r>
          </w:p>
        </w:tc>
        <w:tc>
          <w:tcPr>
            <w:tcW w:w="283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b/>
                <w:bCs/>
                <w:szCs w:val="22"/>
              </w:rPr>
            </w:pPr>
            <w:r w:rsidRPr="00B50C48">
              <w:rPr>
                <w:b/>
                <w:bCs/>
                <w:szCs w:val="22"/>
              </w:rPr>
              <w:t>Placebo (n=87)</w:t>
            </w:r>
          </w:p>
        </w:tc>
      </w:tr>
      <w:tr w:rsidR="00CE135F" w:rsidRPr="00B50C48" w:rsidTr="0026081D">
        <w:trPr>
          <w:cantSplit/>
          <w:tblHeader/>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rPr>
                <w:szCs w:val="22"/>
              </w:rPr>
            </w:pPr>
            <w:r w:rsidRPr="00B50C48">
              <w:rPr>
                <w:szCs w:val="22"/>
              </w:rPr>
              <w:t>Improved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57 (33%)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13 (15%)</w:t>
            </w:r>
          </w:p>
        </w:tc>
      </w:tr>
      <w:tr w:rsidR="00CE135F" w:rsidRPr="00B50C48" w:rsidTr="0026081D">
        <w:trPr>
          <w:cantSplit/>
          <w:tblHeader/>
        </w:trPr>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rPr>
                <w:szCs w:val="22"/>
              </w:rPr>
            </w:pPr>
            <w:r w:rsidRPr="00B50C48">
              <w:rPr>
                <w:szCs w:val="22"/>
              </w:rPr>
              <w:t>Stable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107 (62%)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68 (78%)</w:t>
            </w:r>
          </w:p>
        </w:tc>
      </w:tr>
      <w:tr w:rsidR="00CE135F" w:rsidRPr="00B50C48" w:rsidTr="0026081D">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rPr>
                <w:szCs w:val="22"/>
              </w:rPr>
            </w:pPr>
            <w:r w:rsidRPr="00B50C48">
              <w:rPr>
                <w:szCs w:val="22"/>
              </w:rPr>
              <w:t>Deteriorated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9 (5%)</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6 (7%)</w:t>
            </w:r>
          </w:p>
        </w:tc>
      </w:tr>
      <w:tr w:rsidR="00CE135F" w:rsidRPr="00B50C48" w:rsidTr="0026081D">
        <w:tc>
          <w:tcPr>
            <w:tcW w:w="91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135F" w:rsidRPr="00B50C48" w:rsidRDefault="00CE135F" w:rsidP="0026081D">
            <w:pPr>
              <w:pStyle w:val="BayerBodyTextFull"/>
              <w:keepNext/>
              <w:keepLines/>
              <w:spacing w:before="0" w:after="0"/>
              <w:jc w:val="center"/>
              <w:rPr>
                <w:szCs w:val="22"/>
              </w:rPr>
            </w:pPr>
            <w:r w:rsidRPr="00B50C48">
              <w:rPr>
                <w:szCs w:val="22"/>
              </w:rPr>
              <w:t>p</w:t>
            </w:r>
            <w:r w:rsidRPr="00B50C48">
              <w:rPr>
                <w:szCs w:val="22"/>
              </w:rPr>
              <w:noBreakHyphen/>
              <w:t>value = 0.0026</w:t>
            </w:r>
          </w:p>
        </w:tc>
      </w:tr>
    </w:tbl>
    <w:p w:rsidR="00E42BF6" w:rsidRDefault="00A4346C" w:rsidP="002C1C14">
      <w:pPr>
        <w:pStyle w:val="BayerBodyTextFull"/>
        <w:keepNext/>
        <w:keepLines/>
        <w:spacing w:after="240" w:line="276" w:lineRule="auto"/>
        <w:jc w:val="both"/>
        <w:rPr>
          <w:sz w:val="22"/>
        </w:rPr>
      </w:pPr>
      <w:r>
        <w:rPr>
          <w:sz w:val="22"/>
        </w:rPr>
        <w:t xml:space="preserve">No statistically significant </w:t>
      </w:r>
      <w:r w:rsidR="00E42BF6" w:rsidRPr="00B50C48">
        <w:rPr>
          <w:sz w:val="22"/>
        </w:rPr>
        <w:t>(below threshold of hierarchical testing</w:t>
      </w:r>
      <w:r w:rsidR="00E42BF6" w:rsidRPr="00B50C48">
        <w:rPr>
          <w:rStyle w:val="FootnoteReference"/>
          <w:sz w:val="22"/>
        </w:rPr>
        <w:footnoteReference w:id="1"/>
      </w:r>
      <w:r w:rsidR="00E42BF6" w:rsidRPr="00B50C48">
        <w:rPr>
          <w:sz w:val="22"/>
        </w:rPr>
        <w:t xml:space="preserve">) </w:t>
      </w:r>
      <w:r>
        <w:rPr>
          <w:sz w:val="22"/>
        </w:rPr>
        <w:t xml:space="preserve">result </w:t>
      </w:r>
      <w:r w:rsidR="00E42BF6" w:rsidRPr="00B50C48">
        <w:rPr>
          <w:sz w:val="22"/>
        </w:rPr>
        <w:t xml:space="preserve">was </w:t>
      </w:r>
      <w:r>
        <w:rPr>
          <w:sz w:val="22"/>
        </w:rPr>
        <w:t xml:space="preserve">found </w:t>
      </w:r>
      <w:r w:rsidR="00E42BF6" w:rsidRPr="00B50C48">
        <w:rPr>
          <w:sz w:val="22"/>
        </w:rPr>
        <w:t>for:</w:t>
      </w:r>
    </w:p>
    <w:p w:rsidR="00D36AC3" w:rsidRDefault="00A4346C" w:rsidP="002C1C14">
      <w:pPr>
        <w:pStyle w:val="BayerBodyTextFull"/>
        <w:keepNext/>
        <w:keepLines/>
        <w:spacing w:after="240" w:line="276" w:lineRule="auto"/>
        <w:jc w:val="both"/>
        <w:rPr>
          <w:sz w:val="22"/>
        </w:rPr>
      </w:pPr>
      <w:r>
        <w:rPr>
          <w:sz w:val="22"/>
        </w:rPr>
        <w:t>Time to clinical worsening, Borg CR 10 scale, European quality of life (EQ-5D) and Living with Pulmonary Hypertension (LPH)</w:t>
      </w:r>
      <w:r w:rsidR="0005430E">
        <w:rPr>
          <w:sz w:val="22"/>
        </w:rPr>
        <w:t xml:space="preserve"> questionnaire</w:t>
      </w:r>
      <w:r>
        <w:rPr>
          <w:sz w:val="22"/>
        </w:rPr>
        <w:t>.</w:t>
      </w:r>
      <w:r w:rsidRPr="00A4346C">
        <w:rPr>
          <w:sz w:val="22"/>
        </w:rPr>
        <w:t xml:space="preserve"> </w:t>
      </w:r>
    </w:p>
    <w:p w:rsidR="00A4346C" w:rsidRDefault="00A4346C" w:rsidP="002C1C14">
      <w:pPr>
        <w:pStyle w:val="BayerBodyTextFull"/>
        <w:keepNext/>
        <w:keepLines/>
        <w:spacing w:after="240" w:line="276" w:lineRule="auto"/>
        <w:jc w:val="both"/>
        <w:rPr>
          <w:sz w:val="22"/>
        </w:rPr>
      </w:pPr>
      <w:r w:rsidRPr="00B50C48">
        <w:rPr>
          <w:sz w:val="22"/>
        </w:rPr>
        <w:t>A trend towards lower incidence of clinical worsening events by week 16 (last visit) in patients treated with riociguat (2.3%) compared to placebo (5.7%) was observed (p=</w:t>
      </w:r>
      <w:r w:rsidR="002C1C14">
        <w:rPr>
          <w:sz w:val="22"/>
        </w:rPr>
        <w:t>0.1724</w:t>
      </w:r>
      <w:r w:rsidRPr="00B50C48">
        <w:rPr>
          <w:sz w:val="22"/>
        </w:rPr>
        <w:t xml:space="preserve">, </w:t>
      </w:r>
      <w:r w:rsidR="002C1C14">
        <w:rPr>
          <w:sz w:val="22"/>
        </w:rPr>
        <w:t xml:space="preserve">Stratified </w:t>
      </w:r>
      <w:r w:rsidR="008A7D35">
        <w:rPr>
          <w:sz w:val="22"/>
        </w:rPr>
        <w:t>log-rank</w:t>
      </w:r>
      <w:r w:rsidR="002C1C14">
        <w:rPr>
          <w:sz w:val="22"/>
        </w:rPr>
        <w:t xml:space="preserve"> test</w:t>
      </w:r>
      <w:r w:rsidRPr="00B50C48">
        <w:rPr>
          <w:sz w:val="22"/>
        </w:rPr>
        <w:t>).</w:t>
      </w:r>
    </w:p>
    <w:p w:rsidR="00776C1D" w:rsidRPr="00B50C48" w:rsidRDefault="00776C1D" w:rsidP="002A069C">
      <w:pPr>
        <w:pStyle w:val="BayerBodyTextFull"/>
        <w:spacing w:after="240" w:line="276" w:lineRule="auto"/>
        <w:jc w:val="both"/>
        <w:rPr>
          <w:sz w:val="22"/>
          <w:u w:val="single"/>
          <w:lang w:eastAsia="zh-CN"/>
        </w:rPr>
      </w:pPr>
      <w:r w:rsidRPr="00B50C48">
        <w:rPr>
          <w:sz w:val="22"/>
          <w:u w:val="single"/>
          <w:lang w:eastAsia="zh-CN"/>
        </w:rPr>
        <w:t>H</w:t>
      </w:r>
      <w:r w:rsidR="0055354B" w:rsidRPr="00B50C48">
        <w:rPr>
          <w:sz w:val="22"/>
          <w:u w:val="single"/>
          <w:lang w:eastAsia="zh-CN"/>
        </w:rPr>
        <w:t>a</w:t>
      </w:r>
      <w:r w:rsidR="00ED01F4">
        <w:rPr>
          <w:sz w:val="22"/>
          <w:u w:val="single"/>
          <w:lang w:eastAsia="zh-CN"/>
        </w:rPr>
        <w:t>emodynamic Parameters</w:t>
      </w:r>
    </w:p>
    <w:p w:rsidR="00776C1D" w:rsidRPr="00B50C48" w:rsidRDefault="00776C1D" w:rsidP="002A069C">
      <w:pPr>
        <w:pStyle w:val="BayerBodyTextFull"/>
        <w:spacing w:after="240" w:line="276" w:lineRule="auto"/>
        <w:jc w:val="both"/>
        <w:rPr>
          <w:sz w:val="22"/>
          <w:lang w:eastAsia="zh-CN"/>
        </w:rPr>
      </w:pPr>
      <w:r w:rsidRPr="00B50C48">
        <w:rPr>
          <w:sz w:val="22"/>
          <w:lang w:eastAsia="zh-CN"/>
        </w:rPr>
        <w:t>Right heart catheteri</w:t>
      </w:r>
      <w:r w:rsidR="00BA7FF6" w:rsidRPr="00B50C48">
        <w:rPr>
          <w:sz w:val="22"/>
          <w:lang w:eastAsia="zh-CN"/>
        </w:rPr>
        <w:t>s</w:t>
      </w:r>
      <w:r w:rsidRPr="00B50C48">
        <w:rPr>
          <w:sz w:val="22"/>
          <w:lang w:eastAsia="zh-CN"/>
        </w:rPr>
        <w:t>ation was performed at the beginning and the end of the placebo</w:t>
      </w:r>
      <w:r w:rsidR="007316BD" w:rsidRPr="00B50C48">
        <w:rPr>
          <w:sz w:val="22"/>
          <w:lang w:eastAsia="zh-CN"/>
        </w:rPr>
        <w:t>-</w:t>
      </w:r>
      <w:r w:rsidRPr="00B50C48">
        <w:rPr>
          <w:sz w:val="22"/>
          <w:lang w:eastAsia="zh-CN"/>
        </w:rPr>
        <w:t>controlled study period in 233</w:t>
      </w:r>
      <w:r w:rsidR="00DF038A">
        <w:rPr>
          <w:sz w:val="22"/>
          <w:lang w:eastAsia="zh-CN"/>
        </w:rPr>
        <w:t>/261</w:t>
      </w:r>
      <w:r w:rsidRPr="00B50C48">
        <w:rPr>
          <w:sz w:val="22"/>
          <w:lang w:eastAsia="zh-CN"/>
        </w:rPr>
        <w:t xml:space="preserve"> </w:t>
      </w:r>
      <w:r w:rsidR="00DF038A">
        <w:rPr>
          <w:sz w:val="22"/>
          <w:lang w:eastAsia="zh-CN"/>
        </w:rPr>
        <w:t>(8</w:t>
      </w:r>
      <w:r w:rsidR="003824E6">
        <w:rPr>
          <w:sz w:val="22"/>
          <w:lang w:eastAsia="zh-CN"/>
        </w:rPr>
        <w:t>9</w:t>
      </w:r>
      <w:r w:rsidR="00DF038A">
        <w:rPr>
          <w:sz w:val="22"/>
          <w:lang w:eastAsia="zh-CN"/>
        </w:rPr>
        <w:t xml:space="preserve">%) </w:t>
      </w:r>
      <w:r w:rsidRPr="00B50C48">
        <w:rPr>
          <w:sz w:val="22"/>
          <w:lang w:eastAsia="zh-CN"/>
        </w:rPr>
        <w:t>patients</w:t>
      </w:r>
      <w:r w:rsidR="00DF038A">
        <w:rPr>
          <w:sz w:val="22"/>
          <w:lang w:eastAsia="zh-CN"/>
        </w:rPr>
        <w:t xml:space="preserve"> </w:t>
      </w:r>
      <w:r w:rsidRPr="00B50C48">
        <w:rPr>
          <w:sz w:val="22"/>
          <w:lang w:eastAsia="zh-CN"/>
        </w:rPr>
        <w:t>to generate a comprehensive set of cardiopulmonary h</w:t>
      </w:r>
      <w:r w:rsidR="007316BD" w:rsidRPr="00B50C48">
        <w:rPr>
          <w:sz w:val="22"/>
          <w:lang w:eastAsia="zh-CN"/>
        </w:rPr>
        <w:t>a</w:t>
      </w:r>
      <w:r w:rsidRPr="00B50C48">
        <w:rPr>
          <w:sz w:val="22"/>
          <w:lang w:eastAsia="zh-CN"/>
        </w:rPr>
        <w:t>emodynamic data (</w:t>
      </w:r>
      <w:r w:rsidRPr="00B50C48">
        <w:rPr>
          <w:sz w:val="22"/>
          <w:szCs w:val="22"/>
          <w:lang w:eastAsia="zh-CN"/>
        </w:rPr>
        <w:t>see</w:t>
      </w:r>
      <w:r w:rsidR="0005430E">
        <w:rPr>
          <w:sz w:val="22"/>
          <w:szCs w:val="22"/>
          <w:lang w:eastAsia="zh-CN"/>
        </w:rPr>
        <w:t xml:space="preserve"> </w:t>
      </w:r>
      <w:r w:rsidR="0005430E" w:rsidRPr="00896902">
        <w:rPr>
          <w:sz w:val="22"/>
          <w:szCs w:val="22"/>
          <w:lang w:eastAsia="zh-CN"/>
        </w:rPr>
        <w:fldChar w:fldCharType="begin"/>
      </w:r>
      <w:r w:rsidR="0005430E" w:rsidRPr="005551E5">
        <w:rPr>
          <w:sz w:val="22"/>
          <w:szCs w:val="22"/>
          <w:lang w:eastAsia="zh-CN"/>
        </w:rPr>
        <w:instrText xml:space="preserve"> REF _Ref346281521 </w:instrText>
      </w:r>
      <w:r w:rsidR="0005430E">
        <w:rPr>
          <w:sz w:val="22"/>
          <w:szCs w:val="22"/>
          <w:lang w:eastAsia="zh-CN"/>
        </w:rPr>
        <w:instrText xml:space="preserve"> \* MERGEFORMAT </w:instrText>
      </w:r>
      <w:r w:rsidR="0005430E" w:rsidRPr="005551E5">
        <w:rPr>
          <w:sz w:val="22"/>
          <w:szCs w:val="22"/>
          <w:lang w:eastAsia="zh-CN"/>
        </w:rPr>
        <w:fldChar w:fldCharType="separate"/>
      </w:r>
      <w:r w:rsidR="00407B88" w:rsidRPr="002E3024">
        <w:rPr>
          <w:sz w:val="22"/>
          <w:szCs w:val="22"/>
        </w:rPr>
        <w:t xml:space="preserve">Table </w:t>
      </w:r>
      <w:r w:rsidR="00407B88" w:rsidRPr="002E3024">
        <w:rPr>
          <w:noProof/>
          <w:sz w:val="22"/>
          <w:szCs w:val="22"/>
        </w:rPr>
        <w:t>3</w:t>
      </w:r>
      <w:r w:rsidR="0005430E" w:rsidRPr="00896902">
        <w:rPr>
          <w:sz w:val="22"/>
          <w:szCs w:val="22"/>
          <w:lang w:eastAsia="zh-CN"/>
        </w:rPr>
        <w:fldChar w:fldCharType="end"/>
      </w:r>
      <w:r w:rsidR="00486809">
        <w:rPr>
          <w:sz w:val="22"/>
          <w:szCs w:val="22"/>
          <w:lang w:eastAsia="zh-CN"/>
        </w:rPr>
        <w:t>)</w:t>
      </w:r>
      <w:r w:rsidRPr="00B50C48">
        <w:rPr>
          <w:sz w:val="22"/>
          <w:lang w:eastAsia="zh-CN"/>
        </w:rPr>
        <w:t xml:space="preserve">. </w:t>
      </w:r>
    </w:p>
    <w:p w:rsidR="00FF52D8" w:rsidRPr="00B50C48" w:rsidRDefault="00776C1D" w:rsidP="002A069C">
      <w:pPr>
        <w:pStyle w:val="BayerBodyTextFull"/>
        <w:spacing w:after="240" w:line="276" w:lineRule="auto"/>
        <w:jc w:val="both"/>
        <w:rPr>
          <w:sz w:val="22"/>
          <w:lang w:eastAsia="zh-CN"/>
        </w:rPr>
      </w:pPr>
      <w:r w:rsidRPr="00B50C48">
        <w:rPr>
          <w:sz w:val="22"/>
          <w:lang w:eastAsia="zh-CN"/>
        </w:rPr>
        <w:t>A statistically significant reduction of PVR (see above)</w:t>
      </w:r>
      <w:r w:rsidR="00DF038A">
        <w:rPr>
          <w:sz w:val="22"/>
          <w:lang w:eastAsia="zh-CN"/>
        </w:rPr>
        <w:t xml:space="preserve"> was shown in the riociguat group vs. placebo. </w:t>
      </w:r>
      <w:r w:rsidRPr="00B50C48">
        <w:rPr>
          <w:sz w:val="22"/>
          <w:lang w:eastAsia="zh-CN"/>
        </w:rPr>
        <w:t xml:space="preserve">The improvement seen for </w:t>
      </w:r>
      <w:r w:rsidR="002835DC">
        <w:rPr>
          <w:sz w:val="22"/>
          <w:lang w:eastAsia="zh-CN"/>
        </w:rPr>
        <w:t xml:space="preserve">PVR </w:t>
      </w:r>
      <w:r w:rsidRPr="00B50C48">
        <w:rPr>
          <w:sz w:val="22"/>
          <w:lang w:eastAsia="zh-CN"/>
        </w:rPr>
        <w:t>was also observed in other relevant h</w:t>
      </w:r>
      <w:r w:rsidR="00A926F6" w:rsidRPr="00B50C48">
        <w:rPr>
          <w:sz w:val="22"/>
          <w:lang w:eastAsia="zh-CN"/>
        </w:rPr>
        <w:t>a</w:t>
      </w:r>
      <w:r w:rsidRPr="00B50C48">
        <w:rPr>
          <w:sz w:val="22"/>
          <w:lang w:eastAsia="zh-CN"/>
        </w:rPr>
        <w:t xml:space="preserve">emodynamic </w:t>
      </w:r>
      <w:r w:rsidRPr="00B50C48">
        <w:rPr>
          <w:sz w:val="22"/>
          <w:lang w:eastAsia="zh-CN"/>
        </w:rPr>
        <w:lastRenderedPageBreak/>
        <w:t>parameters</w:t>
      </w:r>
      <w:r w:rsidR="002835DC">
        <w:rPr>
          <w:sz w:val="22"/>
          <w:lang w:eastAsia="zh-CN"/>
        </w:rPr>
        <w:t xml:space="preserve"> including </w:t>
      </w:r>
      <w:r w:rsidR="002835DC" w:rsidRPr="00B50C48">
        <w:rPr>
          <w:sz w:val="22"/>
          <w:lang w:eastAsia="zh-CN"/>
        </w:rPr>
        <w:t>mean pulmonary artery pressure (PAP</w:t>
      </w:r>
      <w:r w:rsidR="002835DC" w:rsidRPr="00B50C48">
        <w:rPr>
          <w:sz w:val="22"/>
          <w:vertAlign w:val="subscript"/>
          <w:lang w:eastAsia="zh-CN"/>
        </w:rPr>
        <w:t>mean</w:t>
      </w:r>
      <w:r w:rsidR="002835DC" w:rsidRPr="00B50C48">
        <w:rPr>
          <w:sz w:val="22"/>
          <w:lang w:eastAsia="zh-CN"/>
        </w:rPr>
        <w:t>) (-5.0 mmHg) and an increase in cardiac index (0.47 L/min/m</w:t>
      </w:r>
      <w:r w:rsidR="002835DC" w:rsidRPr="00B50C48">
        <w:rPr>
          <w:sz w:val="22"/>
          <w:vertAlign w:val="superscript"/>
          <w:lang w:eastAsia="zh-CN"/>
        </w:rPr>
        <w:t>2</w:t>
      </w:r>
      <w:r w:rsidR="002835DC" w:rsidRPr="00B50C48">
        <w:rPr>
          <w:sz w:val="22"/>
          <w:lang w:eastAsia="zh-CN"/>
        </w:rPr>
        <w:t>)</w:t>
      </w:r>
      <w:r w:rsidRPr="00B50C48">
        <w:rPr>
          <w:sz w:val="22"/>
          <w:lang w:eastAsia="zh-CN"/>
        </w:rPr>
        <w:t>.</w:t>
      </w:r>
    </w:p>
    <w:p w:rsidR="00C16D73" w:rsidRPr="00B50C48" w:rsidRDefault="002752C2" w:rsidP="00C3017A">
      <w:pPr>
        <w:pStyle w:val="Caption"/>
        <w:tabs>
          <w:tab w:val="left" w:pos="851"/>
        </w:tabs>
        <w:ind w:left="851" w:hanging="851"/>
        <w:rPr>
          <w:lang w:eastAsia="zh-CN"/>
        </w:rPr>
      </w:pPr>
      <w:bookmarkStart w:id="3" w:name="_Ref346281521"/>
      <w:r w:rsidRPr="00B50C48">
        <w:t xml:space="preserve">Table </w:t>
      </w:r>
      <w:r w:rsidR="002740D2">
        <w:fldChar w:fldCharType="begin"/>
      </w:r>
      <w:r w:rsidR="002740D2">
        <w:instrText xml:space="preserve"> SEQ Table \* ARABIC </w:instrText>
      </w:r>
      <w:r w:rsidR="002740D2">
        <w:fldChar w:fldCharType="separate"/>
      </w:r>
      <w:r w:rsidR="00407B88">
        <w:rPr>
          <w:noProof/>
        </w:rPr>
        <w:t>3</w:t>
      </w:r>
      <w:r w:rsidR="002740D2">
        <w:fldChar w:fldCharType="end"/>
      </w:r>
      <w:bookmarkEnd w:id="3"/>
      <w:r w:rsidRPr="00B50C48">
        <w:t xml:space="preserve">. </w:t>
      </w:r>
      <w:r w:rsidR="00D9762A">
        <w:tab/>
      </w:r>
      <w:r w:rsidR="00C16D73" w:rsidRPr="00B50C48">
        <w:rPr>
          <w:lang w:eastAsia="zh-CN"/>
        </w:rPr>
        <w:t>CHEST-1, change in h</w:t>
      </w:r>
      <w:r w:rsidR="00A926F6" w:rsidRPr="00B50C48">
        <w:rPr>
          <w:lang w:eastAsia="zh-CN"/>
        </w:rPr>
        <w:t>a</w:t>
      </w:r>
      <w:r w:rsidR="00C16D73" w:rsidRPr="00B50C48">
        <w:rPr>
          <w:lang w:eastAsia="zh-CN"/>
        </w:rPr>
        <w:t>emodynamic parameters from baseline to last visit: Comparison of riociguat 1.0 – 2.5 mg (RIO) and placebo (PBO) (ITT analysis set)</w:t>
      </w:r>
    </w:p>
    <w:tbl>
      <w:tblPr>
        <w:tblW w:w="0" w:type="auto"/>
        <w:tblInd w:w="56" w:type="dxa"/>
        <w:tblLayout w:type="fixed"/>
        <w:tblCellMar>
          <w:left w:w="56" w:type="dxa"/>
          <w:right w:w="56" w:type="dxa"/>
        </w:tblCellMar>
        <w:tblLook w:val="01E0" w:firstRow="1" w:lastRow="1" w:firstColumn="1" w:lastColumn="1" w:noHBand="0" w:noVBand="0"/>
      </w:tblPr>
      <w:tblGrid>
        <w:gridCol w:w="2268"/>
        <w:gridCol w:w="624"/>
        <w:gridCol w:w="624"/>
        <w:gridCol w:w="1134"/>
        <w:gridCol w:w="1928"/>
        <w:gridCol w:w="1247"/>
        <w:gridCol w:w="1248"/>
      </w:tblGrid>
      <w:tr w:rsidR="00C16D73" w:rsidRPr="00B50C48" w:rsidTr="00A17EF5">
        <w:trPr>
          <w:cantSplit/>
        </w:trPr>
        <w:tc>
          <w:tcPr>
            <w:tcW w:w="2268" w:type="dxa"/>
            <w:tcBorders>
              <w:top w:val="single" w:sz="12" w:space="0" w:color="auto"/>
            </w:tcBorders>
            <w:shd w:val="clear" w:color="auto" w:fill="auto"/>
            <w:noWrap/>
          </w:tcPr>
          <w:p w:rsidR="00C16D73" w:rsidRPr="00B50C48" w:rsidRDefault="00C16D73" w:rsidP="00525F32">
            <w:pPr>
              <w:pStyle w:val="BayerTableStyleLeftJustified"/>
              <w:keepLines/>
              <w:widowControl/>
              <w:spacing w:before="40" w:after="40"/>
              <w:rPr>
                <w:b/>
                <w:sz w:val="18"/>
                <w:szCs w:val="18"/>
              </w:rPr>
            </w:pPr>
            <w:r w:rsidRPr="00B50C48">
              <w:rPr>
                <w:b/>
                <w:sz w:val="18"/>
                <w:szCs w:val="18"/>
              </w:rPr>
              <w:t>Parameter (unit)</w:t>
            </w:r>
          </w:p>
        </w:tc>
        <w:tc>
          <w:tcPr>
            <w:tcW w:w="1248" w:type="dxa"/>
            <w:gridSpan w:val="2"/>
            <w:tcBorders>
              <w:top w:val="single" w:sz="12" w:space="0" w:color="auto"/>
            </w:tcBorders>
            <w:shd w:val="clear" w:color="auto" w:fill="auto"/>
          </w:tcPr>
          <w:p w:rsidR="00C16D73" w:rsidRPr="00B50C48" w:rsidRDefault="00C16D73" w:rsidP="00525F32">
            <w:pPr>
              <w:pStyle w:val="BayerTableStyleLeftJustified"/>
              <w:keepLines/>
              <w:widowControl/>
              <w:tabs>
                <w:tab w:val="left" w:pos="132"/>
                <w:tab w:val="left" w:pos="732"/>
              </w:tabs>
              <w:spacing w:before="40" w:after="40"/>
              <w:jc w:val="center"/>
              <w:rPr>
                <w:b/>
                <w:sz w:val="18"/>
                <w:szCs w:val="18"/>
              </w:rPr>
            </w:pPr>
            <w:r w:rsidRPr="00B50C48">
              <w:rPr>
                <w:b/>
                <w:sz w:val="18"/>
                <w:szCs w:val="18"/>
              </w:rPr>
              <w:t>Mean change</w:t>
            </w:r>
            <w:r w:rsidRPr="00B50C48">
              <w:rPr>
                <w:b/>
                <w:sz w:val="18"/>
                <w:szCs w:val="18"/>
              </w:rPr>
              <w:br/>
            </w:r>
            <w:r w:rsidRPr="00B50C48">
              <w:rPr>
                <w:b/>
                <w:sz w:val="18"/>
                <w:szCs w:val="18"/>
              </w:rPr>
              <w:br/>
            </w:r>
            <w:r w:rsidRPr="00B50C48">
              <w:rPr>
                <w:b/>
                <w:sz w:val="18"/>
                <w:szCs w:val="18"/>
              </w:rPr>
              <w:tab/>
              <w:t>RIO</w:t>
            </w:r>
            <w:r w:rsidRPr="00B50C48">
              <w:rPr>
                <w:b/>
                <w:sz w:val="18"/>
                <w:szCs w:val="18"/>
              </w:rPr>
              <w:tab/>
              <w:t>PBO</w:t>
            </w:r>
          </w:p>
        </w:tc>
        <w:tc>
          <w:tcPr>
            <w:tcW w:w="1134" w:type="dxa"/>
            <w:tcBorders>
              <w:top w:val="single" w:sz="12" w:space="0" w:color="auto"/>
            </w:tcBorders>
            <w:shd w:val="clear" w:color="auto" w:fill="auto"/>
          </w:tcPr>
          <w:p w:rsidR="00C16D73" w:rsidRPr="00B50C48" w:rsidRDefault="00C16D73" w:rsidP="00525F32">
            <w:pPr>
              <w:pStyle w:val="BayerTableStyleLeftJustified"/>
              <w:keepLines/>
              <w:widowControl/>
              <w:spacing w:before="40" w:after="40"/>
              <w:jc w:val="center"/>
              <w:rPr>
                <w:b/>
                <w:sz w:val="18"/>
                <w:szCs w:val="18"/>
              </w:rPr>
            </w:pPr>
            <w:r w:rsidRPr="00B50C48">
              <w:rPr>
                <w:b/>
                <w:sz w:val="18"/>
                <w:szCs w:val="18"/>
              </w:rPr>
              <w:t>LS mean difference</w:t>
            </w:r>
          </w:p>
        </w:tc>
        <w:tc>
          <w:tcPr>
            <w:tcW w:w="1928" w:type="dxa"/>
            <w:tcBorders>
              <w:top w:val="single" w:sz="12" w:space="0" w:color="auto"/>
            </w:tcBorders>
            <w:shd w:val="clear" w:color="auto" w:fill="auto"/>
          </w:tcPr>
          <w:p w:rsidR="00C16D73" w:rsidRPr="00B50C48" w:rsidRDefault="00C16D73" w:rsidP="00525F32">
            <w:pPr>
              <w:pStyle w:val="BayerTableStyleLeftJustified"/>
              <w:keepLines/>
              <w:widowControl/>
              <w:spacing w:before="40" w:after="40"/>
              <w:jc w:val="center"/>
              <w:rPr>
                <w:b/>
                <w:sz w:val="18"/>
                <w:szCs w:val="18"/>
              </w:rPr>
            </w:pPr>
            <w:r w:rsidRPr="00B50C48">
              <w:rPr>
                <w:b/>
                <w:sz w:val="18"/>
                <w:szCs w:val="18"/>
              </w:rPr>
              <w:t>95% CI</w:t>
            </w:r>
          </w:p>
        </w:tc>
        <w:tc>
          <w:tcPr>
            <w:tcW w:w="1247" w:type="dxa"/>
            <w:shd w:val="clear" w:color="auto" w:fill="auto"/>
            <w:noWrap/>
          </w:tcPr>
          <w:p w:rsidR="00C16D73" w:rsidRPr="00B50C48" w:rsidRDefault="00C16D73" w:rsidP="00525F32">
            <w:pPr>
              <w:pStyle w:val="BayerTableStyleLeftJustified"/>
              <w:keepLines/>
              <w:widowControl/>
              <w:spacing w:before="40" w:after="40"/>
              <w:jc w:val="center"/>
              <w:rPr>
                <w:b/>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40" w:after="40"/>
              <w:jc w:val="center"/>
              <w:rPr>
                <w:b/>
                <w:sz w:val="18"/>
                <w:szCs w:val="18"/>
              </w:rPr>
            </w:pPr>
          </w:p>
        </w:tc>
      </w:tr>
      <w:tr w:rsidR="00C16D73" w:rsidRPr="00B50C48" w:rsidTr="00A17EF5">
        <w:trPr>
          <w:cantSplit/>
        </w:trPr>
        <w:tc>
          <w:tcPr>
            <w:tcW w:w="2268" w:type="dxa"/>
            <w:tcBorders>
              <w:top w:val="single" w:sz="6" w:space="0" w:color="auto"/>
            </w:tcBorders>
            <w:shd w:val="clear" w:color="auto" w:fill="auto"/>
            <w:noWrap/>
          </w:tcPr>
          <w:p w:rsidR="00C16D73" w:rsidRPr="00B50C48" w:rsidRDefault="00C16D73" w:rsidP="002835DC">
            <w:pPr>
              <w:keepNext/>
              <w:keepLines/>
              <w:rPr>
                <w:sz w:val="18"/>
                <w:szCs w:val="18"/>
              </w:rPr>
            </w:pPr>
            <w:r w:rsidRPr="00B50C48">
              <w:rPr>
                <w:sz w:val="18"/>
                <w:szCs w:val="18"/>
              </w:rPr>
              <w:t>PCWP (mmHg)</w:t>
            </w:r>
          </w:p>
        </w:tc>
        <w:tc>
          <w:tcPr>
            <w:tcW w:w="624" w:type="dxa"/>
            <w:tcBorders>
              <w:top w:val="single" w:sz="6" w:space="0" w:color="auto"/>
            </w:tcBorders>
            <w:shd w:val="clear" w:color="auto" w:fill="auto"/>
          </w:tcPr>
          <w:p w:rsidR="00C16D73" w:rsidRPr="00B50C48" w:rsidRDefault="00C16D73" w:rsidP="00C63132">
            <w:pPr>
              <w:pStyle w:val="BayerTableStyleLeftJustified"/>
              <w:keepLines/>
              <w:widowControl/>
              <w:jc w:val="right"/>
              <w:rPr>
                <w:sz w:val="18"/>
                <w:szCs w:val="18"/>
              </w:rPr>
            </w:pPr>
            <w:r w:rsidRPr="00B50C48">
              <w:rPr>
                <w:sz w:val="18"/>
                <w:szCs w:val="18"/>
              </w:rPr>
              <w:t>0.59</w:t>
            </w:r>
          </w:p>
        </w:tc>
        <w:tc>
          <w:tcPr>
            <w:tcW w:w="624" w:type="dxa"/>
            <w:tcBorders>
              <w:top w:val="single" w:sz="6" w:space="0" w:color="auto"/>
            </w:tcBorders>
            <w:shd w:val="clear" w:color="auto" w:fill="auto"/>
          </w:tcPr>
          <w:p w:rsidR="00C16D73" w:rsidRPr="00B50C48" w:rsidRDefault="00C16D73" w:rsidP="00C63132">
            <w:pPr>
              <w:pStyle w:val="BayerTableStyleLeftJustified"/>
              <w:keepLines/>
              <w:widowControl/>
              <w:jc w:val="right"/>
              <w:rPr>
                <w:sz w:val="18"/>
                <w:szCs w:val="18"/>
              </w:rPr>
            </w:pPr>
            <w:r w:rsidRPr="00B50C48">
              <w:rPr>
                <w:sz w:val="18"/>
                <w:szCs w:val="18"/>
              </w:rPr>
              <w:t>0.18</w:t>
            </w:r>
          </w:p>
        </w:tc>
        <w:tc>
          <w:tcPr>
            <w:tcW w:w="1134" w:type="dxa"/>
            <w:tcBorders>
              <w:top w:val="single" w:sz="6" w:space="0" w:color="auto"/>
            </w:tcBorders>
            <w:shd w:val="clear" w:color="auto" w:fill="auto"/>
          </w:tcPr>
          <w:p w:rsidR="00C16D73" w:rsidRPr="00B50C48" w:rsidRDefault="00C16D73" w:rsidP="00C63132">
            <w:pPr>
              <w:pStyle w:val="BayerTableStyleLeftJustified"/>
              <w:keepLines/>
              <w:widowControl/>
              <w:ind w:right="170"/>
              <w:jc w:val="right"/>
              <w:rPr>
                <w:sz w:val="18"/>
                <w:szCs w:val="18"/>
              </w:rPr>
            </w:pPr>
            <w:r w:rsidRPr="00B50C48">
              <w:rPr>
                <w:sz w:val="18"/>
                <w:szCs w:val="18"/>
              </w:rPr>
              <w:t>0.58</w:t>
            </w:r>
          </w:p>
        </w:tc>
        <w:tc>
          <w:tcPr>
            <w:tcW w:w="1928" w:type="dxa"/>
            <w:tcBorders>
              <w:top w:val="single" w:sz="6" w:space="0" w:color="auto"/>
            </w:tcBorders>
            <w:shd w:val="clear" w:color="auto" w:fill="auto"/>
          </w:tcPr>
          <w:p w:rsidR="00C16D73" w:rsidRPr="00B50C48" w:rsidRDefault="00C16D73" w:rsidP="00C63132">
            <w:pPr>
              <w:pStyle w:val="BayerTableStyleLeftJustified"/>
              <w:keepLines/>
              <w:widowControl/>
              <w:jc w:val="center"/>
              <w:rPr>
                <w:sz w:val="18"/>
                <w:szCs w:val="18"/>
              </w:rPr>
            </w:pPr>
            <w:r w:rsidRPr="00B50C48">
              <w:rPr>
                <w:sz w:val="18"/>
                <w:szCs w:val="18"/>
              </w:rPr>
              <w:t>–0.36 to 1.53</w:t>
            </w:r>
          </w:p>
        </w:tc>
        <w:tc>
          <w:tcPr>
            <w:tcW w:w="1247" w:type="dxa"/>
            <w:shd w:val="clear" w:color="auto" w:fill="auto"/>
            <w:noWrap/>
          </w:tcPr>
          <w:p w:rsidR="00C16D73" w:rsidRPr="00B50C48" w:rsidRDefault="00C16D73" w:rsidP="002835DC">
            <w:pPr>
              <w:pStyle w:val="BayerTableStyleLeftJustified"/>
              <w:keepLines/>
              <w:widowControl/>
              <w:rPr>
                <w:sz w:val="18"/>
                <w:szCs w:val="18"/>
              </w:rPr>
            </w:pPr>
          </w:p>
        </w:tc>
        <w:tc>
          <w:tcPr>
            <w:tcW w:w="1248" w:type="dxa"/>
            <w:shd w:val="clear" w:color="auto" w:fill="auto"/>
            <w:noWrap/>
          </w:tcPr>
          <w:p w:rsidR="00C16D73" w:rsidRPr="00B50C48" w:rsidRDefault="00C16D73" w:rsidP="002835DC">
            <w:pPr>
              <w:pStyle w:val="BayerTableStyleLeftJustified"/>
              <w:keepLines/>
              <w:widowControl/>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RAP (mmHg)</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–1.04</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–0.55</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–0.55</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–1.72 to 0.62</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PAPsyst (mmHg)</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–6.84</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0.95</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–7.52</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–10.88 to –4.16</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PAPdiast (mmHg)</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–3.05</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0.67</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–3.62</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–5.30 to –1.95</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PAPmean (mmHg)</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–4.31</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0.76</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–4.96</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–6.75 to –3.16</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MAP (mmHg)</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–9.27</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–0.29</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–9.15</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–11.83 to –6.46</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SvO</w:t>
            </w:r>
            <w:r w:rsidRPr="00B50C48">
              <w:rPr>
                <w:sz w:val="18"/>
                <w:szCs w:val="18"/>
                <w:vertAlign w:val="subscript"/>
              </w:rPr>
              <w:t>2</w:t>
            </w:r>
            <w:r w:rsidRPr="00B50C48">
              <w:rPr>
                <w:sz w:val="18"/>
                <w:szCs w:val="18"/>
              </w:rPr>
              <w:t xml:space="preserve"> (%)</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2.95</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–0.44</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3.85</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1.46 to 6.25</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CO (L/min)</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0.81</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–0.03</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0.86</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0.59 to 1.12</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CI (L/min/m</w:t>
            </w:r>
            <w:r w:rsidRPr="00B50C48">
              <w:rPr>
                <w:sz w:val="18"/>
                <w:szCs w:val="18"/>
                <w:vertAlign w:val="superscript"/>
              </w:rPr>
              <w:t>2</w:t>
            </w:r>
            <w:r w:rsidRPr="00B50C48">
              <w:rPr>
                <w:sz w:val="18"/>
                <w:szCs w:val="18"/>
              </w:rPr>
              <w:t>)</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0.45</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–0.01</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0.47</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0.33 to 0.62</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PVR* (dyn*s*cm</w:t>
            </w:r>
            <w:r w:rsidRPr="00B50C48">
              <w:rPr>
                <w:sz w:val="18"/>
                <w:szCs w:val="18"/>
                <w:vertAlign w:val="superscript"/>
              </w:rPr>
              <w:t>-5</w:t>
            </w:r>
            <w:r w:rsidRPr="00B50C48">
              <w:rPr>
                <w:sz w:val="18"/>
                <w:szCs w:val="18"/>
              </w:rPr>
              <w:t>)</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–226</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23.1</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–246.43</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–303.33 to –189.53</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2752C2">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PVRI (dyn*s*cm</w:t>
            </w:r>
            <w:r w:rsidRPr="00B50C48">
              <w:rPr>
                <w:sz w:val="18"/>
                <w:szCs w:val="18"/>
                <w:vertAlign w:val="superscript"/>
              </w:rPr>
              <w:t>-5</w:t>
            </w:r>
            <w:r w:rsidRPr="00B50C48">
              <w:rPr>
                <w:sz w:val="18"/>
                <w:szCs w:val="18"/>
              </w:rPr>
              <w:t>*m</w:t>
            </w:r>
            <w:r w:rsidRPr="00B50C48">
              <w:rPr>
                <w:sz w:val="18"/>
                <w:szCs w:val="18"/>
                <w:vertAlign w:val="superscript"/>
              </w:rPr>
              <w:t>2</w:t>
            </w:r>
            <w:r w:rsidRPr="00B50C48">
              <w:rPr>
                <w:sz w:val="18"/>
                <w:szCs w:val="18"/>
              </w:rPr>
              <w:t>)</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–397</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48.3</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–448.95</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–553.62 to –344.27</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8463A6">
        <w:trPr>
          <w:cantSplit/>
        </w:trPr>
        <w:tc>
          <w:tcPr>
            <w:tcW w:w="2268" w:type="dxa"/>
            <w:shd w:val="clear" w:color="auto" w:fill="auto"/>
            <w:noWrap/>
          </w:tcPr>
          <w:p w:rsidR="00C16D73" w:rsidRPr="00B50C48" w:rsidRDefault="00C16D73" w:rsidP="00525F32">
            <w:pPr>
              <w:keepNext/>
              <w:keepLines/>
              <w:spacing w:before="20"/>
              <w:rPr>
                <w:sz w:val="18"/>
                <w:szCs w:val="18"/>
              </w:rPr>
            </w:pPr>
            <w:r w:rsidRPr="00B50C48">
              <w:rPr>
                <w:sz w:val="18"/>
                <w:szCs w:val="18"/>
              </w:rPr>
              <w:t>SVR (dyn*s*cm</w:t>
            </w:r>
            <w:r w:rsidRPr="00B50C48">
              <w:rPr>
                <w:sz w:val="18"/>
                <w:szCs w:val="18"/>
                <w:vertAlign w:val="superscript"/>
              </w:rPr>
              <w:t>-5</w:t>
            </w:r>
            <w:r w:rsidRPr="00B50C48">
              <w:rPr>
                <w:sz w:val="18"/>
                <w:szCs w:val="18"/>
              </w:rPr>
              <w:t>)</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–445</w:t>
            </w:r>
          </w:p>
        </w:tc>
        <w:tc>
          <w:tcPr>
            <w:tcW w:w="624" w:type="dxa"/>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16.6</w:t>
            </w:r>
          </w:p>
        </w:tc>
        <w:tc>
          <w:tcPr>
            <w:tcW w:w="1134" w:type="dxa"/>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–478.24</w:t>
            </w:r>
          </w:p>
        </w:tc>
        <w:tc>
          <w:tcPr>
            <w:tcW w:w="1928" w:type="dxa"/>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–602.30 to –354.19</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r w:rsidR="00C16D73" w:rsidRPr="00B50C48" w:rsidTr="00A17EF5">
        <w:trPr>
          <w:cantSplit/>
        </w:trPr>
        <w:tc>
          <w:tcPr>
            <w:tcW w:w="2268" w:type="dxa"/>
            <w:tcBorders>
              <w:bottom w:val="single" w:sz="4" w:space="0" w:color="auto"/>
            </w:tcBorders>
            <w:shd w:val="clear" w:color="auto" w:fill="auto"/>
            <w:noWrap/>
          </w:tcPr>
          <w:p w:rsidR="00C16D73" w:rsidRPr="00B50C48" w:rsidRDefault="00C16D73" w:rsidP="00525F32">
            <w:pPr>
              <w:keepNext/>
              <w:keepLines/>
              <w:spacing w:before="20"/>
              <w:rPr>
                <w:sz w:val="18"/>
                <w:szCs w:val="18"/>
              </w:rPr>
            </w:pPr>
            <w:r w:rsidRPr="00B50C48">
              <w:rPr>
                <w:sz w:val="18"/>
                <w:szCs w:val="18"/>
              </w:rPr>
              <w:t>SVRI (dyn*s*cm</w:t>
            </w:r>
            <w:r w:rsidRPr="00B50C48">
              <w:rPr>
                <w:sz w:val="18"/>
                <w:szCs w:val="18"/>
                <w:vertAlign w:val="superscript"/>
              </w:rPr>
              <w:t>-5</w:t>
            </w:r>
            <w:r w:rsidRPr="00B50C48">
              <w:rPr>
                <w:sz w:val="18"/>
                <w:szCs w:val="18"/>
              </w:rPr>
              <w:t>*m</w:t>
            </w:r>
            <w:r w:rsidRPr="00B50C48">
              <w:rPr>
                <w:sz w:val="18"/>
                <w:szCs w:val="18"/>
                <w:vertAlign w:val="superscript"/>
              </w:rPr>
              <w:t>2</w:t>
            </w:r>
            <w:r w:rsidRPr="00B50C48">
              <w:rPr>
                <w:sz w:val="18"/>
                <w:szCs w:val="18"/>
              </w:rPr>
              <w:t>)</w:t>
            </w:r>
          </w:p>
        </w:tc>
        <w:tc>
          <w:tcPr>
            <w:tcW w:w="624" w:type="dxa"/>
            <w:tcBorders>
              <w:bottom w:val="single" w:sz="4" w:space="0" w:color="auto"/>
            </w:tcBorders>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–799</w:t>
            </w:r>
          </w:p>
        </w:tc>
        <w:tc>
          <w:tcPr>
            <w:tcW w:w="624" w:type="dxa"/>
            <w:tcBorders>
              <w:bottom w:val="single" w:sz="4" w:space="0" w:color="auto"/>
            </w:tcBorders>
            <w:shd w:val="clear" w:color="auto" w:fill="auto"/>
          </w:tcPr>
          <w:p w:rsidR="00C16D73" w:rsidRPr="00B50C48" w:rsidRDefault="00C16D73" w:rsidP="00C63132">
            <w:pPr>
              <w:pStyle w:val="BayerTableStyleLeftJustified"/>
              <w:keepLines/>
              <w:widowControl/>
              <w:spacing w:before="20"/>
              <w:jc w:val="right"/>
              <w:rPr>
                <w:sz w:val="18"/>
                <w:szCs w:val="18"/>
              </w:rPr>
            </w:pPr>
            <w:r w:rsidRPr="00B50C48">
              <w:rPr>
                <w:sz w:val="18"/>
                <w:szCs w:val="18"/>
              </w:rPr>
              <w:t>53.7</w:t>
            </w:r>
          </w:p>
        </w:tc>
        <w:tc>
          <w:tcPr>
            <w:tcW w:w="1134" w:type="dxa"/>
            <w:tcBorders>
              <w:bottom w:val="single" w:sz="4" w:space="0" w:color="auto"/>
            </w:tcBorders>
            <w:shd w:val="clear" w:color="auto" w:fill="auto"/>
          </w:tcPr>
          <w:p w:rsidR="00C16D73" w:rsidRPr="00B50C48" w:rsidRDefault="00C16D73" w:rsidP="00C63132">
            <w:pPr>
              <w:pStyle w:val="BayerTableStyleLeftJustified"/>
              <w:keepLines/>
              <w:widowControl/>
              <w:spacing w:before="20"/>
              <w:ind w:right="170"/>
              <w:jc w:val="right"/>
              <w:rPr>
                <w:sz w:val="18"/>
                <w:szCs w:val="18"/>
              </w:rPr>
            </w:pPr>
            <w:r w:rsidRPr="00B50C48">
              <w:rPr>
                <w:sz w:val="18"/>
                <w:szCs w:val="18"/>
              </w:rPr>
              <w:t>–914.16</w:t>
            </w:r>
          </w:p>
        </w:tc>
        <w:tc>
          <w:tcPr>
            <w:tcW w:w="1928" w:type="dxa"/>
            <w:tcBorders>
              <w:bottom w:val="single" w:sz="4" w:space="0" w:color="auto"/>
            </w:tcBorders>
            <w:shd w:val="clear" w:color="auto" w:fill="auto"/>
          </w:tcPr>
          <w:p w:rsidR="00C16D73" w:rsidRPr="00B50C48" w:rsidRDefault="00C16D73" w:rsidP="00C63132">
            <w:pPr>
              <w:pStyle w:val="BayerTableStyleLeftJustified"/>
              <w:keepLines/>
              <w:widowControl/>
              <w:spacing w:before="20"/>
              <w:jc w:val="center"/>
              <w:rPr>
                <w:sz w:val="18"/>
                <w:szCs w:val="18"/>
              </w:rPr>
            </w:pPr>
            <w:r w:rsidRPr="00B50C48">
              <w:rPr>
                <w:sz w:val="18"/>
                <w:szCs w:val="18"/>
              </w:rPr>
              <w:t>–1140.97 to –687.35</w:t>
            </w:r>
          </w:p>
        </w:tc>
        <w:tc>
          <w:tcPr>
            <w:tcW w:w="1247"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c>
          <w:tcPr>
            <w:tcW w:w="1248" w:type="dxa"/>
            <w:shd w:val="clear" w:color="auto" w:fill="auto"/>
            <w:noWrap/>
          </w:tcPr>
          <w:p w:rsidR="00C16D73" w:rsidRPr="00B50C48" w:rsidRDefault="00C16D73" w:rsidP="00525F32">
            <w:pPr>
              <w:pStyle w:val="BayerTableStyleLeftJustified"/>
              <w:keepLines/>
              <w:widowControl/>
              <w:spacing w:before="20"/>
              <w:jc w:val="center"/>
              <w:rPr>
                <w:sz w:val="18"/>
                <w:szCs w:val="18"/>
              </w:rPr>
            </w:pPr>
          </w:p>
        </w:tc>
      </w:tr>
    </w:tbl>
    <w:p w:rsidR="008463A6" w:rsidRPr="00B50C48" w:rsidRDefault="008463A6" w:rsidP="008463A6">
      <w:pPr>
        <w:pStyle w:val="BayerTableFootnote"/>
        <w:keepLines/>
        <w:widowControl/>
        <w:rPr>
          <w:lang w:val="en-AU"/>
        </w:rPr>
      </w:pPr>
      <w:r w:rsidRPr="00B50C48">
        <w:rPr>
          <w:lang w:val="en-AU"/>
        </w:rPr>
        <w:t>* PVR was a secondary endpoint in the study</w:t>
      </w:r>
    </w:p>
    <w:p w:rsidR="008463A6" w:rsidRDefault="008463A6" w:rsidP="00C3017A">
      <w:pPr>
        <w:pStyle w:val="BayerBodyTextFull"/>
        <w:spacing w:before="0" w:after="240"/>
        <w:jc w:val="both"/>
        <w:rPr>
          <w:sz w:val="22"/>
          <w:u w:val="single"/>
          <w:lang w:eastAsia="zh-CN"/>
        </w:rPr>
      </w:pPr>
      <w:r w:rsidRPr="00B50C48">
        <w:t>All other parameters were not pre-specified as endpoints</w:t>
      </w:r>
    </w:p>
    <w:p w:rsidR="00B420EE" w:rsidRPr="00B50C48" w:rsidRDefault="00B420EE" w:rsidP="002615EC">
      <w:pPr>
        <w:pStyle w:val="BayerBodyTextFull"/>
        <w:spacing w:after="240" w:line="276" w:lineRule="auto"/>
        <w:jc w:val="both"/>
        <w:rPr>
          <w:sz w:val="22"/>
          <w:u w:val="single"/>
          <w:lang w:eastAsia="zh-CN"/>
        </w:rPr>
      </w:pPr>
      <w:r w:rsidRPr="00B50C48">
        <w:rPr>
          <w:sz w:val="22"/>
          <w:u w:val="single"/>
          <w:lang w:eastAsia="zh-CN"/>
        </w:rPr>
        <w:t xml:space="preserve">Long-term </w:t>
      </w:r>
      <w:r w:rsidR="00ED01F4">
        <w:rPr>
          <w:sz w:val="22"/>
          <w:u w:val="single"/>
          <w:lang w:eastAsia="zh-CN"/>
        </w:rPr>
        <w:t>T</w:t>
      </w:r>
      <w:r w:rsidRPr="00B50C48">
        <w:rPr>
          <w:sz w:val="22"/>
          <w:u w:val="single"/>
          <w:lang w:eastAsia="zh-CN"/>
        </w:rPr>
        <w:t>reatment of CTEPH</w:t>
      </w:r>
    </w:p>
    <w:p w:rsidR="00B420EE" w:rsidRPr="00B50C48" w:rsidRDefault="00B420EE" w:rsidP="002615EC">
      <w:pPr>
        <w:pStyle w:val="BayerBodyTextFull"/>
        <w:spacing w:after="240" w:line="276" w:lineRule="auto"/>
        <w:jc w:val="both"/>
        <w:rPr>
          <w:sz w:val="22"/>
          <w:lang w:eastAsia="zh-CN"/>
        </w:rPr>
      </w:pPr>
      <w:r w:rsidRPr="00B50C48">
        <w:rPr>
          <w:sz w:val="22"/>
          <w:lang w:eastAsia="zh-CN"/>
        </w:rPr>
        <w:t xml:space="preserve">An open label extension study (CHEST-2) included 237 patients who had completed CHEST-1. </w:t>
      </w:r>
      <w:r w:rsidR="0070100F">
        <w:rPr>
          <w:sz w:val="22"/>
          <w:lang w:eastAsia="zh-CN"/>
        </w:rPr>
        <w:t>In the interim analysis, t</w:t>
      </w:r>
      <w:r w:rsidR="0070100F" w:rsidRPr="00B50C48">
        <w:rPr>
          <w:sz w:val="22"/>
          <w:lang w:eastAsia="zh-CN"/>
        </w:rPr>
        <w:t xml:space="preserve">he </w:t>
      </w:r>
      <w:r w:rsidRPr="00B50C48">
        <w:rPr>
          <w:sz w:val="22"/>
          <w:lang w:eastAsia="zh-CN"/>
        </w:rPr>
        <w:t xml:space="preserve">mean treatment duration at the cut-off date was 388 days with a median duration of 336 days (range 15 to 989 days) and a total riociguat exposure of 206 patient years. </w:t>
      </w:r>
    </w:p>
    <w:p w:rsidR="00C16D73" w:rsidRPr="00B50C48" w:rsidRDefault="00CB3881" w:rsidP="002615EC">
      <w:pPr>
        <w:pStyle w:val="BayerBodyTextFull"/>
        <w:spacing w:after="240" w:line="276" w:lineRule="auto"/>
        <w:jc w:val="both"/>
        <w:rPr>
          <w:sz w:val="22"/>
          <w:lang w:eastAsia="zh-CN"/>
        </w:rPr>
      </w:pPr>
      <w:r w:rsidRPr="00CB3881">
        <w:rPr>
          <w:sz w:val="22"/>
          <w:lang w:eastAsia="zh-CN"/>
        </w:rPr>
        <w:t xml:space="preserve">The long-term 6MWD data from </w:t>
      </w:r>
      <w:r w:rsidR="00B21414">
        <w:rPr>
          <w:sz w:val="22"/>
          <w:lang w:eastAsia="zh-CN"/>
        </w:rPr>
        <w:t xml:space="preserve">CHEST-2 </w:t>
      </w:r>
      <w:r w:rsidRPr="00CB3881">
        <w:rPr>
          <w:sz w:val="22"/>
          <w:lang w:eastAsia="zh-CN"/>
        </w:rPr>
        <w:t>(open label) indicate maintenance of the riociguat treatment</w:t>
      </w:r>
      <w:r>
        <w:rPr>
          <w:sz w:val="22"/>
          <w:lang w:eastAsia="zh-CN"/>
        </w:rPr>
        <w:t xml:space="preserve"> </w:t>
      </w:r>
      <w:r w:rsidRPr="00CB3881">
        <w:rPr>
          <w:sz w:val="22"/>
          <w:lang w:eastAsia="zh-CN"/>
        </w:rPr>
        <w:t xml:space="preserve">effect that was observed in the main (controlled) phase of the </w:t>
      </w:r>
      <w:r w:rsidR="00F224CE">
        <w:rPr>
          <w:sz w:val="22"/>
          <w:lang w:eastAsia="zh-CN"/>
        </w:rPr>
        <w:t>study</w:t>
      </w:r>
      <w:r w:rsidRPr="00CB3881">
        <w:rPr>
          <w:sz w:val="22"/>
          <w:lang w:eastAsia="zh-CN"/>
        </w:rPr>
        <w:t xml:space="preserve">. </w:t>
      </w:r>
      <w:r w:rsidR="00B420EE" w:rsidRPr="00B50C48">
        <w:rPr>
          <w:sz w:val="22"/>
          <w:lang w:eastAsia="zh-CN"/>
        </w:rPr>
        <w:t>The probability of survival at 1-year was 98%.</w:t>
      </w:r>
    </w:p>
    <w:p w:rsidR="00130946" w:rsidRPr="00B50C48" w:rsidRDefault="00130946" w:rsidP="00130946">
      <w:pPr>
        <w:pStyle w:val="Heading2"/>
        <w:numPr>
          <w:ilvl w:val="0"/>
          <w:numId w:val="0"/>
        </w:numPr>
        <w:rPr>
          <w:sz w:val="22"/>
          <w:lang w:eastAsia="zh-CN"/>
        </w:rPr>
      </w:pPr>
      <w:r w:rsidRPr="00B50C48">
        <w:rPr>
          <w:sz w:val="22"/>
          <w:lang w:eastAsia="zh-CN"/>
        </w:rPr>
        <w:t>Treatment of Pulmonary Arterial Hypertension (PAH)</w:t>
      </w:r>
    </w:p>
    <w:p w:rsidR="003B5868" w:rsidRPr="00B50C48" w:rsidRDefault="003B5868" w:rsidP="008A7AD7">
      <w:pPr>
        <w:pStyle w:val="BayerBodyTextFull"/>
        <w:keepNext/>
        <w:keepLines/>
        <w:spacing w:after="240" w:line="276" w:lineRule="auto"/>
        <w:jc w:val="both"/>
        <w:rPr>
          <w:color w:val="000000"/>
          <w:sz w:val="22"/>
        </w:rPr>
      </w:pPr>
      <w:r w:rsidRPr="00B50C48">
        <w:rPr>
          <w:sz w:val="22"/>
        </w:rPr>
        <w:t>A randomi</w:t>
      </w:r>
      <w:r w:rsidR="0012388A" w:rsidRPr="00B50C48">
        <w:rPr>
          <w:sz w:val="22"/>
        </w:rPr>
        <w:t>s</w:t>
      </w:r>
      <w:r w:rsidRPr="00B50C48">
        <w:rPr>
          <w:sz w:val="22"/>
        </w:rPr>
        <w:t>ed, double</w:t>
      </w:r>
      <w:r w:rsidRPr="00B50C48">
        <w:rPr>
          <w:sz w:val="22"/>
        </w:rPr>
        <w:noBreakHyphen/>
        <w:t>blind, multi</w:t>
      </w:r>
      <w:r w:rsidRPr="00B50C48">
        <w:rPr>
          <w:sz w:val="22"/>
        </w:rPr>
        <w:noBreakHyphen/>
        <w:t>national, multi</w:t>
      </w:r>
      <w:r w:rsidRPr="00B50C48">
        <w:rPr>
          <w:sz w:val="22"/>
        </w:rPr>
        <w:noBreakHyphen/>
      </w:r>
      <w:r w:rsidR="00BC6DF1" w:rsidRPr="00B50C48">
        <w:rPr>
          <w:sz w:val="22"/>
        </w:rPr>
        <w:t>centre</w:t>
      </w:r>
      <w:r w:rsidRPr="00B50C48">
        <w:rPr>
          <w:sz w:val="22"/>
        </w:rPr>
        <w:t>, placebo</w:t>
      </w:r>
      <w:r w:rsidR="008A7AD7">
        <w:rPr>
          <w:sz w:val="22"/>
        </w:rPr>
        <w:t>-</w:t>
      </w:r>
      <w:r w:rsidRPr="00B50C48">
        <w:rPr>
          <w:sz w:val="22"/>
        </w:rPr>
        <w:t xml:space="preserve">controlled, </w:t>
      </w:r>
      <w:r w:rsidR="001E17DF" w:rsidRPr="00B50C48">
        <w:rPr>
          <w:sz w:val="22"/>
        </w:rPr>
        <w:t>Phase </w:t>
      </w:r>
      <w:r w:rsidRPr="00B50C48">
        <w:rPr>
          <w:sz w:val="22"/>
        </w:rPr>
        <w:t>III study (PATENT</w:t>
      </w:r>
      <w:r w:rsidRPr="00B50C48">
        <w:rPr>
          <w:sz w:val="22"/>
        </w:rPr>
        <w:noBreakHyphen/>
        <w:t>1) was conducted in patients with pulmonary arterial hypertension (PAH)</w:t>
      </w:r>
      <w:r w:rsidRPr="00B50C48">
        <w:rPr>
          <w:color w:val="000000"/>
          <w:sz w:val="22"/>
        </w:rPr>
        <w:t xml:space="preserve"> who were either treatment</w:t>
      </w:r>
      <w:r w:rsidRPr="00B50C48">
        <w:rPr>
          <w:color w:val="000000"/>
          <w:sz w:val="22"/>
        </w:rPr>
        <w:noBreakHyphen/>
        <w:t>naïve or pre</w:t>
      </w:r>
      <w:r w:rsidRPr="00B50C48">
        <w:rPr>
          <w:color w:val="000000"/>
          <w:sz w:val="22"/>
        </w:rPr>
        <w:noBreakHyphen/>
        <w:t>treated with an endothelin receptor antagonist (ERA) or a prostacyclin analogue (inhaled, oral or subcutaneous)</w:t>
      </w:r>
      <w:r w:rsidR="008A7AD7">
        <w:rPr>
          <w:color w:val="000000"/>
          <w:sz w:val="22"/>
        </w:rPr>
        <w:t xml:space="preserve">. </w:t>
      </w:r>
    </w:p>
    <w:p w:rsidR="003B5868" w:rsidRDefault="003B5868" w:rsidP="00274E9C">
      <w:pPr>
        <w:pStyle w:val="BayerBodyTextFull"/>
        <w:spacing w:after="240" w:line="276" w:lineRule="auto"/>
        <w:jc w:val="both"/>
        <w:rPr>
          <w:sz w:val="22"/>
        </w:rPr>
      </w:pPr>
      <w:r w:rsidRPr="00B50C48">
        <w:rPr>
          <w:sz w:val="22"/>
        </w:rPr>
        <w:t xml:space="preserve">The overall patient population included male </w:t>
      </w:r>
      <w:r w:rsidR="006F3D43">
        <w:rPr>
          <w:sz w:val="22"/>
        </w:rPr>
        <w:t>(</w:t>
      </w:r>
      <w:r w:rsidR="00B1519F">
        <w:rPr>
          <w:sz w:val="22"/>
        </w:rPr>
        <w:t>2</w:t>
      </w:r>
      <w:r w:rsidR="008A7D35">
        <w:rPr>
          <w:sz w:val="22"/>
        </w:rPr>
        <w:t>1</w:t>
      </w:r>
      <w:r w:rsidR="00B1519F">
        <w:rPr>
          <w:sz w:val="22"/>
        </w:rPr>
        <w:t>%</w:t>
      </w:r>
      <w:r w:rsidR="006F3D43">
        <w:rPr>
          <w:sz w:val="22"/>
        </w:rPr>
        <w:t xml:space="preserve">) </w:t>
      </w:r>
      <w:r w:rsidRPr="00B50C48">
        <w:rPr>
          <w:sz w:val="22"/>
        </w:rPr>
        <w:t xml:space="preserve">and female </w:t>
      </w:r>
      <w:r w:rsidR="006F3D43">
        <w:rPr>
          <w:sz w:val="22"/>
        </w:rPr>
        <w:t>(</w:t>
      </w:r>
      <w:r w:rsidR="00B1519F">
        <w:rPr>
          <w:sz w:val="22"/>
        </w:rPr>
        <w:t>79</w:t>
      </w:r>
      <w:r w:rsidR="006F3D43">
        <w:rPr>
          <w:sz w:val="22"/>
        </w:rPr>
        <w:t xml:space="preserve">%) </w:t>
      </w:r>
      <w:r w:rsidRPr="00B50C48">
        <w:rPr>
          <w:sz w:val="22"/>
        </w:rPr>
        <w:t xml:space="preserve">patients who were between the age of 18 and 80 years </w:t>
      </w:r>
      <w:r w:rsidR="006F3D43">
        <w:rPr>
          <w:sz w:val="22"/>
        </w:rPr>
        <w:t xml:space="preserve">(mean age = 50.6 years) </w:t>
      </w:r>
      <w:r w:rsidRPr="00B50C48">
        <w:rPr>
          <w:sz w:val="22"/>
        </w:rPr>
        <w:t xml:space="preserve">and had been diagnosed with either idiopathic PAH (61%), familial PAH (2%), PAH associated with connective tissue disease (25%), congenital heart disease (8%), portal hypertension (3%), </w:t>
      </w:r>
      <w:r w:rsidR="00CB547A">
        <w:rPr>
          <w:sz w:val="22"/>
        </w:rPr>
        <w:t>or</w:t>
      </w:r>
      <w:r w:rsidR="00CB547A" w:rsidRPr="00B50C48">
        <w:rPr>
          <w:sz w:val="22"/>
        </w:rPr>
        <w:t xml:space="preserve"> </w:t>
      </w:r>
      <w:r w:rsidRPr="00B50C48">
        <w:rPr>
          <w:sz w:val="22"/>
        </w:rPr>
        <w:t>associated PAH due to anorexigen or amphetamine (1%) use.</w:t>
      </w:r>
    </w:p>
    <w:p w:rsidR="000B56AD" w:rsidRDefault="00C567FC" w:rsidP="00274E9C">
      <w:pPr>
        <w:pStyle w:val="BayerBodyTextFull"/>
        <w:spacing w:after="240" w:line="276" w:lineRule="auto"/>
        <w:jc w:val="both"/>
        <w:rPr>
          <w:sz w:val="22"/>
        </w:rPr>
      </w:pPr>
      <w:r>
        <w:rPr>
          <w:sz w:val="22"/>
        </w:rPr>
        <w:t>Unspecific treatments which may also be used for the treatment of PH such as oral anticoagulants, diuretics, digitalis, calcium channel blockers or oxygen supplementation were permitted in the study. Patients with systolic blood pressure of &lt; 95 mmHg at initiation were excluded.</w:t>
      </w:r>
    </w:p>
    <w:p w:rsidR="00941EF4" w:rsidRPr="00B50C48" w:rsidRDefault="00941EF4" w:rsidP="001D16B8">
      <w:pPr>
        <w:pStyle w:val="BayerBodyTextFull"/>
        <w:jc w:val="both"/>
        <w:rPr>
          <w:sz w:val="22"/>
          <w:lang w:eastAsia="zh-CN"/>
        </w:rPr>
      </w:pPr>
      <w:r>
        <w:rPr>
          <w:sz w:val="22"/>
          <w:lang w:eastAsia="zh-CN"/>
        </w:rPr>
        <w:lastRenderedPageBreak/>
        <w:t>In addition, patients with cardiovascular diseases including clinically significant cardiovascular disease, uncontrolled hypertension, atrial flutter, atrial fibrillation, left heart failure, symptomatic atherosclerotic disease and severe coronary artery disease were excluded.</w:t>
      </w:r>
    </w:p>
    <w:p w:rsidR="003B5868" w:rsidRPr="00B50C48" w:rsidRDefault="00896902" w:rsidP="00274E9C">
      <w:pPr>
        <w:pStyle w:val="BayerBodyTextFull"/>
        <w:spacing w:after="240" w:line="276" w:lineRule="auto"/>
        <w:jc w:val="both"/>
        <w:rPr>
          <w:color w:val="000000"/>
          <w:sz w:val="22"/>
        </w:rPr>
      </w:pPr>
      <w:r>
        <w:rPr>
          <w:sz w:val="22"/>
        </w:rPr>
        <w:t>P</w:t>
      </w:r>
      <w:r w:rsidR="003B5868" w:rsidRPr="00B50C48">
        <w:rPr>
          <w:sz w:val="22"/>
        </w:rPr>
        <w:t>atients had a WHO Functional Class </w:t>
      </w:r>
      <w:r w:rsidR="009115E3">
        <w:rPr>
          <w:sz w:val="22"/>
        </w:rPr>
        <w:t xml:space="preserve">I (3%) or II (42%) or </w:t>
      </w:r>
      <w:r w:rsidR="003B5868" w:rsidRPr="00B50C48">
        <w:rPr>
          <w:sz w:val="22"/>
        </w:rPr>
        <w:t>III (54%)</w:t>
      </w:r>
      <w:r w:rsidR="00364B02">
        <w:rPr>
          <w:sz w:val="22"/>
        </w:rPr>
        <w:t>,</w:t>
      </w:r>
      <w:r w:rsidR="003B5868" w:rsidRPr="00B50C48">
        <w:rPr>
          <w:sz w:val="22"/>
        </w:rPr>
        <w:t xml:space="preserve">  </w:t>
      </w:r>
      <w:r w:rsidR="009115E3">
        <w:rPr>
          <w:sz w:val="22"/>
        </w:rPr>
        <w:t xml:space="preserve">or </w:t>
      </w:r>
      <w:r w:rsidR="00364B02">
        <w:rPr>
          <w:sz w:val="22"/>
        </w:rPr>
        <w:t>IV (1%)</w:t>
      </w:r>
      <w:r w:rsidR="003B5868" w:rsidRPr="00B50C48">
        <w:rPr>
          <w:sz w:val="22"/>
        </w:rPr>
        <w:t xml:space="preserve"> at baseline</w:t>
      </w:r>
      <w:r w:rsidR="00CB547A">
        <w:rPr>
          <w:sz w:val="22"/>
        </w:rPr>
        <w:t>,</w:t>
      </w:r>
      <w:r w:rsidR="003B5868" w:rsidRPr="00B50C48">
        <w:rPr>
          <w:sz w:val="22"/>
        </w:rPr>
        <w:t xml:space="preserve"> </w:t>
      </w:r>
      <w:r w:rsidR="00CB547A">
        <w:rPr>
          <w:sz w:val="22"/>
        </w:rPr>
        <w:t>w</w:t>
      </w:r>
      <w:r w:rsidR="00BA7FF6" w:rsidRPr="00B50C48">
        <w:rPr>
          <w:sz w:val="22"/>
        </w:rPr>
        <w:t xml:space="preserve">ith </w:t>
      </w:r>
      <w:r w:rsidR="003B5868" w:rsidRPr="00B50C48">
        <w:rPr>
          <w:sz w:val="22"/>
        </w:rPr>
        <w:t>50% of patients treatment naïve, 44% </w:t>
      </w:r>
      <w:r w:rsidR="00BA7FF6" w:rsidRPr="00B50C48" w:rsidDel="00BA7FF6">
        <w:rPr>
          <w:sz w:val="22"/>
        </w:rPr>
        <w:t xml:space="preserve"> </w:t>
      </w:r>
      <w:r w:rsidR="003B5868" w:rsidRPr="00B50C48">
        <w:rPr>
          <w:sz w:val="22"/>
        </w:rPr>
        <w:t>pre-treated with ERAs</w:t>
      </w:r>
      <w:r w:rsidR="00BA7FF6" w:rsidRPr="00B50C48">
        <w:rPr>
          <w:sz w:val="22"/>
        </w:rPr>
        <w:t xml:space="preserve"> and</w:t>
      </w:r>
      <w:r w:rsidR="003B5868" w:rsidRPr="00B50C48">
        <w:rPr>
          <w:sz w:val="22"/>
        </w:rPr>
        <w:t xml:space="preserve"> </w:t>
      </w:r>
      <w:r w:rsidR="00F9379B">
        <w:rPr>
          <w:sz w:val="22"/>
        </w:rPr>
        <w:t>7</w:t>
      </w:r>
      <w:r w:rsidR="003B5868" w:rsidRPr="00B50C48">
        <w:rPr>
          <w:sz w:val="22"/>
        </w:rPr>
        <w:t>% with prostacyclin analogues</w:t>
      </w:r>
      <w:r w:rsidR="00A15969">
        <w:rPr>
          <w:sz w:val="22"/>
        </w:rPr>
        <w:t xml:space="preserve"> (of which, 32%</w:t>
      </w:r>
      <w:r w:rsidR="003B5868" w:rsidRPr="00B50C48">
        <w:rPr>
          <w:sz w:val="22"/>
        </w:rPr>
        <w:t xml:space="preserve"> </w:t>
      </w:r>
      <w:r w:rsidR="00A15969">
        <w:rPr>
          <w:sz w:val="22"/>
        </w:rPr>
        <w:t>by oral, 45% by inhalation and 23% by subcutaneous administration</w:t>
      </w:r>
      <w:r w:rsidR="00F74165">
        <w:rPr>
          <w:sz w:val="22"/>
        </w:rPr>
        <w:t>, intravenous prostanoids were not studied</w:t>
      </w:r>
      <w:r w:rsidR="00A15969">
        <w:rPr>
          <w:sz w:val="22"/>
        </w:rPr>
        <w:t>)</w:t>
      </w:r>
      <w:r w:rsidR="003B5868" w:rsidRPr="00B50C48">
        <w:rPr>
          <w:sz w:val="22"/>
        </w:rPr>
        <w:t>.</w:t>
      </w:r>
      <w:r w:rsidR="00BA7FF6" w:rsidRPr="00B50C48">
        <w:rPr>
          <w:sz w:val="22"/>
        </w:rPr>
        <w:t xml:space="preserve"> The overall mean baseline 6MWD was 363 m.</w:t>
      </w:r>
    </w:p>
    <w:p w:rsidR="008A7AD7" w:rsidRDefault="003B5868" w:rsidP="00274E9C">
      <w:pPr>
        <w:pStyle w:val="BayerBodyTextFull"/>
        <w:spacing w:after="240" w:line="276" w:lineRule="auto"/>
        <w:jc w:val="both"/>
        <w:rPr>
          <w:color w:val="000000"/>
          <w:sz w:val="22"/>
        </w:rPr>
      </w:pPr>
      <w:r w:rsidRPr="00B50C48">
        <w:rPr>
          <w:sz w:val="22"/>
        </w:rPr>
        <w:t>PATENT</w:t>
      </w:r>
      <w:r w:rsidRPr="00B50C48">
        <w:rPr>
          <w:sz w:val="22"/>
        </w:rPr>
        <w:noBreakHyphen/>
        <w:t>1 included 443 patients treated and valid for safety</w:t>
      </w:r>
      <w:r w:rsidR="00844312">
        <w:rPr>
          <w:sz w:val="22"/>
        </w:rPr>
        <w:t xml:space="preserve"> analysis</w:t>
      </w:r>
      <w:r w:rsidRPr="00B50C48">
        <w:rPr>
          <w:sz w:val="22"/>
        </w:rPr>
        <w:t>, randomi</w:t>
      </w:r>
      <w:r w:rsidR="006449B5" w:rsidRPr="00B50C48">
        <w:rPr>
          <w:sz w:val="22"/>
        </w:rPr>
        <w:t>s</w:t>
      </w:r>
      <w:r w:rsidRPr="00B50C48">
        <w:rPr>
          <w:sz w:val="22"/>
        </w:rPr>
        <w:t xml:space="preserve">ed to one of three treatment groups: </w:t>
      </w:r>
      <w:r w:rsidR="001B053D">
        <w:rPr>
          <w:sz w:val="22"/>
        </w:rPr>
        <w:t>Adempas</w:t>
      </w:r>
      <w:r w:rsidRPr="00B50C48">
        <w:rPr>
          <w:sz w:val="22"/>
        </w:rPr>
        <w:t xml:space="preserve"> individual dose titration up to 2.5 mg </w:t>
      </w:r>
      <w:r w:rsidR="007F2E48">
        <w:rPr>
          <w:sz w:val="22"/>
        </w:rPr>
        <w:t>TDS</w:t>
      </w:r>
      <w:r w:rsidR="007F2E48" w:rsidRPr="00B50C48">
        <w:rPr>
          <w:sz w:val="22"/>
        </w:rPr>
        <w:t> </w:t>
      </w:r>
      <w:r w:rsidRPr="00B50C48">
        <w:rPr>
          <w:sz w:val="22"/>
        </w:rPr>
        <w:t xml:space="preserve">(n=254); placebo (n=126); and a “capped” </w:t>
      </w:r>
      <w:r w:rsidR="001B053D">
        <w:rPr>
          <w:sz w:val="22"/>
        </w:rPr>
        <w:t>Adempas</w:t>
      </w:r>
      <w:r w:rsidR="006449B5" w:rsidRPr="00B50C48">
        <w:rPr>
          <w:sz w:val="22"/>
        </w:rPr>
        <w:t xml:space="preserve"> </w:t>
      </w:r>
      <w:r w:rsidRPr="00B50C48">
        <w:rPr>
          <w:sz w:val="22"/>
        </w:rPr>
        <w:t>dose titration up to 1.5 mg </w:t>
      </w:r>
      <w:r w:rsidR="007F2E48">
        <w:rPr>
          <w:sz w:val="22"/>
        </w:rPr>
        <w:t>TDS</w:t>
      </w:r>
      <w:r w:rsidR="007F2E48" w:rsidRPr="00B50C48">
        <w:rPr>
          <w:sz w:val="22"/>
        </w:rPr>
        <w:t> </w:t>
      </w:r>
      <w:r w:rsidRPr="00B50C48">
        <w:rPr>
          <w:sz w:val="22"/>
        </w:rPr>
        <w:t xml:space="preserve">(n=63; exploratory </w:t>
      </w:r>
      <w:r w:rsidRPr="001B053D">
        <w:rPr>
          <w:sz w:val="22"/>
        </w:rPr>
        <w:t xml:space="preserve">dose arm, no statistical testing performed). </w:t>
      </w:r>
      <w:r w:rsidR="008A7AD7" w:rsidRPr="001B053D">
        <w:rPr>
          <w:color w:val="000000"/>
          <w:sz w:val="22"/>
        </w:rPr>
        <w:t xml:space="preserve">Adempas was </w:t>
      </w:r>
      <w:r w:rsidR="00121E28" w:rsidRPr="001B053D">
        <w:rPr>
          <w:color w:val="000000"/>
          <w:sz w:val="22"/>
        </w:rPr>
        <w:t>added</w:t>
      </w:r>
      <w:r w:rsidR="008A7AD7" w:rsidRPr="001B053D">
        <w:rPr>
          <w:color w:val="000000"/>
          <w:sz w:val="22"/>
        </w:rPr>
        <w:t xml:space="preserve"> in combination in patients</w:t>
      </w:r>
      <w:r w:rsidR="008A7AD7" w:rsidRPr="001B053D">
        <w:t xml:space="preserve"> </w:t>
      </w:r>
      <w:r w:rsidR="008A7AD7" w:rsidRPr="001B053D">
        <w:rPr>
          <w:color w:val="000000"/>
          <w:sz w:val="22"/>
        </w:rPr>
        <w:t xml:space="preserve">pre-treated with </w:t>
      </w:r>
      <w:r w:rsidR="00B97556" w:rsidRPr="001B053D">
        <w:rPr>
          <w:color w:val="000000"/>
          <w:sz w:val="22"/>
        </w:rPr>
        <w:t>an ERA or a prostacyclin analogue</w:t>
      </w:r>
      <w:r w:rsidR="008A7AD7" w:rsidRPr="001B053D">
        <w:rPr>
          <w:color w:val="000000"/>
          <w:sz w:val="22"/>
        </w:rPr>
        <w:t>.</w:t>
      </w:r>
    </w:p>
    <w:p w:rsidR="003B5868" w:rsidRPr="00B50C48" w:rsidRDefault="0047362A" w:rsidP="00274E9C">
      <w:pPr>
        <w:pStyle w:val="BayerBodyTextFull"/>
        <w:spacing w:after="240" w:line="276" w:lineRule="auto"/>
        <w:jc w:val="both"/>
        <w:rPr>
          <w:color w:val="000000"/>
          <w:sz w:val="22"/>
        </w:rPr>
      </w:pPr>
      <w:r>
        <w:rPr>
          <w:color w:val="000000"/>
          <w:sz w:val="22"/>
        </w:rPr>
        <w:t xml:space="preserve">Patients were initiated on treatment at 1 mg TDS. </w:t>
      </w:r>
      <w:r w:rsidR="003B5868" w:rsidRPr="00B50C48">
        <w:rPr>
          <w:color w:val="000000"/>
          <w:sz w:val="22"/>
        </w:rPr>
        <w:t>During an 8</w:t>
      </w:r>
      <w:r w:rsidR="003B5868" w:rsidRPr="00B50C48">
        <w:rPr>
          <w:color w:val="000000"/>
          <w:sz w:val="22"/>
        </w:rPr>
        <w:noBreakHyphen/>
        <w:t xml:space="preserve">week titration phase, the dose of </w:t>
      </w:r>
      <w:r w:rsidR="008A733B">
        <w:rPr>
          <w:color w:val="000000"/>
          <w:sz w:val="22"/>
        </w:rPr>
        <w:t>Adempas</w:t>
      </w:r>
      <w:r w:rsidR="008A733B" w:rsidRPr="00B50C48">
        <w:rPr>
          <w:color w:val="000000"/>
          <w:sz w:val="22"/>
        </w:rPr>
        <w:t xml:space="preserve"> </w:t>
      </w:r>
      <w:r w:rsidR="003B5868" w:rsidRPr="00B50C48">
        <w:rPr>
          <w:color w:val="000000"/>
          <w:sz w:val="22"/>
        </w:rPr>
        <w:t>was titrated every 2 weeks based on the patient’s systolic blood pressure and signs or symptoms of hypotension. An individuali</w:t>
      </w:r>
      <w:r w:rsidR="006449B5" w:rsidRPr="00B50C48">
        <w:rPr>
          <w:color w:val="000000"/>
          <w:sz w:val="22"/>
        </w:rPr>
        <w:t>s</w:t>
      </w:r>
      <w:r w:rsidR="003B5868" w:rsidRPr="00B50C48">
        <w:rPr>
          <w:color w:val="000000"/>
          <w:sz w:val="22"/>
        </w:rPr>
        <w:t xml:space="preserve">ed dose was reached at the end of the titration. </w:t>
      </w:r>
      <w:r w:rsidR="00571B12" w:rsidRPr="00B50C48">
        <w:rPr>
          <w:color w:val="000000"/>
          <w:sz w:val="22"/>
        </w:rPr>
        <w:t xml:space="preserve">Approximately 75% of patients were up-titrated to receive the maximum dose of 2.5 mg </w:t>
      </w:r>
      <w:r w:rsidR="007F2E48">
        <w:rPr>
          <w:color w:val="000000"/>
          <w:sz w:val="22"/>
        </w:rPr>
        <w:t>TDS</w:t>
      </w:r>
      <w:r w:rsidR="007F2E48" w:rsidRPr="00B50C48">
        <w:rPr>
          <w:color w:val="000000"/>
          <w:sz w:val="22"/>
        </w:rPr>
        <w:t xml:space="preserve"> </w:t>
      </w:r>
      <w:r w:rsidR="00571B12" w:rsidRPr="00B50C48">
        <w:rPr>
          <w:color w:val="000000"/>
          <w:sz w:val="22"/>
        </w:rPr>
        <w:t>by week 12</w:t>
      </w:r>
      <w:r w:rsidR="00CB547A">
        <w:rPr>
          <w:color w:val="000000"/>
          <w:sz w:val="22"/>
        </w:rPr>
        <w:t xml:space="preserve"> and</w:t>
      </w:r>
      <w:r w:rsidR="00571B12" w:rsidRPr="00B50C48">
        <w:rPr>
          <w:color w:val="000000"/>
          <w:sz w:val="22"/>
        </w:rPr>
        <w:t xml:space="preserve"> 15%, 6%, 3%, and 2% received 2 mg, 1.5 mg, 1 mg, and 0.5 mg respectively.</w:t>
      </w:r>
    </w:p>
    <w:p w:rsidR="00330459" w:rsidRPr="00B50C48" w:rsidRDefault="006449B5" w:rsidP="00DD77F1">
      <w:pPr>
        <w:pStyle w:val="BayerBodyTextFull"/>
        <w:keepLines/>
        <w:spacing w:after="240" w:line="276" w:lineRule="auto"/>
        <w:jc w:val="both"/>
        <w:rPr>
          <w:sz w:val="22"/>
          <w:u w:val="single"/>
        </w:rPr>
      </w:pPr>
      <w:r w:rsidRPr="00B50C48">
        <w:rPr>
          <w:sz w:val="22"/>
          <w:u w:val="single"/>
        </w:rPr>
        <w:t xml:space="preserve">Statistical </w:t>
      </w:r>
      <w:r w:rsidR="00ED01F4">
        <w:rPr>
          <w:sz w:val="22"/>
          <w:u w:val="single"/>
        </w:rPr>
        <w:t>A</w:t>
      </w:r>
      <w:r w:rsidRPr="00B50C48">
        <w:rPr>
          <w:sz w:val="22"/>
          <w:u w:val="single"/>
        </w:rPr>
        <w:t xml:space="preserve">nalysis of </w:t>
      </w:r>
      <w:r w:rsidR="00ED01F4">
        <w:rPr>
          <w:sz w:val="22"/>
          <w:u w:val="single"/>
        </w:rPr>
        <w:t>Efficacy Endpoints</w:t>
      </w:r>
    </w:p>
    <w:p w:rsidR="00330459" w:rsidRPr="00B50C48" w:rsidRDefault="00330459" w:rsidP="00DD77F1">
      <w:pPr>
        <w:pStyle w:val="BayerBodyTextFull"/>
        <w:keepLines/>
        <w:spacing w:after="240" w:line="276" w:lineRule="auto"/>
        <w:jc w:val="both"/>
        <w:rPr>
          <w:sz w:val="22"/>
        </w:rPr>
      </w:pPr>
      <w:r w:rsidRPr="00B50C48">
        <w:rPr>
          <w:sz w:val="22"/>
        </w:rPr>
        <w:t>The pre</w:t>
      </w:r>
      <w:r w:rsidRPr="00B50C48">
        <w:rPr>
          <w:sz w:val="22"/>
        </w:rPr>
        <w:noBreakHyphen/>
        <w:t xml:space="preserve">specified primary analysis is with the </w:t>
      </w:r>
      <w:r w:rsidR="008A733B">
        <w:rPr>
          <w:sz w:val="22"/>
        </w:rPr>
        <w:t>Adempas</w:t>
      </w:r>
      <w:r w:rsidR="008A733B" w:rsidRPr="00B50C48">
        <w:rPr>
          <w:sz w:val="22"/>
        </w:rPr>
        <w:t xml:space="preserve"> </w:t>
      </w:r>
      <w:r w:rsidRPr="00B50C48">
        <w:rPr>
          <w:sz w:val="22"/>
        </w:rPr>
        <w:t>2.5 mg treatment arm (referred to as riociguat group) compared to placebo. All p</w:t>
      </w:r>
      <w:r w:rsidRPr="00B50C48">
        <w:rPr>
          <w:sz w:val="22"/>
        </w:rPr>
        <w:noBreakHyphen/>
        <w:t>values are based on stratified Wilcoxon test (unless a different test is mentioned). All 95% CI and treatment effects are based on analysis of covariance (ANCOVA).</w:t>
      </w:r>
    </w:p>
    <w:p w:rsidR="009A4445" w:rsidRPr="00B50C48" w:rsidRDefault="00ED01F4" w:rsidP="00DD77F1">
      <w:pPr>
        <w:pStyle w:val="BayerBodyTextFull"/>
        <w:keepLines/>
        <w:spacing w:after="240" w:line="276" w:lineRule="auto"/>
        <w:jc w:val="both"/>
        <w:rPr>
          <w:sz w:val="22"/>
          <w:u w:val="single"/>
        </w:rPr>
      </w:pPr>
      <w:r>
        <w:rPr>
          <w:sz w:val="22"/>
          <w:u w:val="single"/>
        </w:rPr>
        <w:t>Primary Endpoint</w:t>
      </w:r>
    </w:p>
    <w:p w:rsidR="00E07F12" w:rsidRPr="008A733B" w:rsidRDefault="009A4445" w:rsidP="00DD77F1">
      <w:pPr>
        <w:pStyle w:val="BayerBodyTextFull"/>
        <w:keepLines/>
        <w:spacing w:after="240" w:line="276" w:lineRule="auto"/>
        <w:jc w:val="both"/>
        <w:rPr>
          <w:rFonts w:cs="Arial"/>
          <w:sz w:val="22"/>
          <w:szCs w:val="22"/>
        </w:rPr>
      </w:pPr>
      <w:r w:rsidRPr="00B50C48">
        <w:rPr>
          <w:sz w:val="22"/>
        </w:rPr>
        <w:t>The primary endpoint was the change from baseline at week 12 (last visit) in 6MWD compared to placebo.</w:t>
      </w:r>
      <w:r w:rsidR="008A733B">
        <w:rPr>
          <w:sz w:val="22"/>
        </w:rPr>
        <w:t xml:space="preserve"> </w:t>
      </w:r>
      <w:r w:rsidR="00E07F12" w:rsidRPr="008A733B">
        <w:rPr>
          <w:rFonts w:cs="Arial"/>
          <w:sz w:val="22"/>
          <w:szCs w:val="22"/>
        </w:rPr>
        <w:t xml:space="preserve">Results of the </w:t>
      </w:r>
      <w:r w:rsidR="00CB547A" w:rsidRPr="008A733B">
        <w:rPr>
          <w:rFonts w:cs="Arial"/>
          <w:sz w:val="22"/>
          <w:szCs w:val="22"/>
        </w:rPr>
        <w:t>6MWD</w:t>
      </w:r>
      <w:r w:rsidR="00E07F12" w:rsidRPr="008A733B">
        <w:rPr>
          <w:rFonts w:cs="Arial"/>
          <w:sz w:val="22"/>
          <w:szCs w:val="22"/>
        </w:rPr>
        <w:t xml:space="preserve"> at 12 weeks are shown in</w:t>
      </w:r>
      <w:r w:rsidR="008A733B">
        <w:rPr>
          <w:rFonts w:cs="Arial"/>
          <w:sz w:val="22"/>
          <w:szCs w:val="22"/>
        </w:rPr>
        <w:t xml:space="preserve"> </w:t>
      </w:r>
      <w:r w:rsidR="000F0AEB" w:rsidRPr="000F0AEB">
        <w:rPr>
          <w:rFonts w:cs="Arial"/>
          <w:sz w:val="22"/>
          <w:szCs w:val="22"/>
        </w:rPr>
        <w:fldChar w:fldCharType="begin"/>
      </w:r>
      <w:r w:rsidR="000F0AEB" w:rsidRPr="000F0AEB">
        <w:rPr>
          <w:rFonts w:cs="Arial"/>
          <w:sz w:val="22"/>
          <w:szCs w:val="22"/>
        </w:rPr>
        <w:instrText xml:space="preserve"> REF _Ref346282414 \h </w:instrText>
      </w:r>
      <w:r w:rsidR="000F0AEB" w:rsidRPr="000F0AEB">
        <w:rPr>
          <w:rFonts w:cs="Arial"/>
          <w:sz w:val="22"/>
          <w:szCs w:val="22"/>
        </w:rPr>
      </w:r>
      <w:r w:rsidR="000F0AEB">
        <w:rPr>
          <w:rFonts w:cs="Arial"/>
          <w:sz w:val="22"/>
          <w:szCs w:val="22"/>
        </w:rPr>
        <w:instrText xml:space="preserve"> \* MERGEFORMAT </w:instrText>
      </w:r>
      <w:r w:rsidR="000F0AEB" w:rsidRPr="000F0AEB">
        <w:rPr>
          <w:rFonts w:cs="Arial"/>
          <w:sz w:val="22"/>
          <w:szCs w:val="22"/>
        </w:rPr>
        <w:fldChar w:fldCharType="separate"/>
      </w:r>
      <w:r w:rsidR="00407B88" w:rsidRPr="002E3024">
        <w:rPr>
          <w:sz w:val="22"/>
          <w:szCs w:val="22"/>
        </w:rPr>
        <w:t xml:space="preserve">Table </w:t>
      </w:r>
      <w:r w:rsidR="00407B88" w:rsidRPr="002E3024">
        <w:rPr>
          <w:noProof/>
          <w:sz w:val="22"/>
          <w:szCs w:val="22"/>
        </w:rPr>
        <w:t>4</w:t>
      </w:r>
      <w:r w:rsidR="000F0AEB" w:rsidRPr="000F0AEB">
        <w:rPr>
          <w:rFonts w:cs="Arial"/>
          <w:sz w:val="22"/>
          <w:szCs w:val="22"/>
        </w:rPr>
        <w:fldChar w:fldCharType="end"/>
      </w:r>
      <w:r w:rsidR="000F0AEB">
        <w:rPr>
          <w:rFonts w:cs="Arial"/>
          <w:sz w:val="22"/>
          <w:szCs w:val="22"/>
        </w:rPr>
        <w:t xml:space="preserve"> </w:t>
      </w:r>
      <w:r w:rsidR="008A733B">
        <w:rPr>
          <w:rFonts w:cs="Arial"/>
          <w:sz w:val="22"/>
          <w:szCs w:val="22"/>
        </w:rPr>
        <w:t>and</w:t>
      </w:r>
      <w:r w:rsidR="000F0AEB">
        <w:rPr>
          <w:rFonts w:cs="Arial"/>
          <w:sz w:val="22"/>
          <w:szCs w:val="22"/>
        </w:rPr>
        <w:t xml:space="preserve"> </w:t>
      </w:r>
      <w:r w:rsidR="000F0AEB" w:rsidRPr="000F0AEB">
        <w:rPr>
          <w:rFonts w:cs="Arial"/>
          <w:sz w:val="22"/>
          <w:szCs w:val="22"/>
        </w:rPr>
        <w:fldChar w:fldCharType="begin"/>
      </w:r>
      <w:r w:rsidR="000F0AEB" w:rsidRPr="008F0E53">
        <w:rPr>
          <w:rFonts w:cs="Arial"/>
          <w:sz w:val="22"/>
          <w:szCs w:val="22"/>
        </w:rPr>
        <w:instrText xml:space="preserve"> REF _Ref382842767 </w:instrText>
      </w:r>
      <w:r w:rsidR="000F0AEB">
        <w:rPr>
          <w:rFonts w:cs="Arial"/>
          <w:sz w:val="22"/>
          <w:szCs w:val="22"/>
        </w:rPr>
        <w:instrText xml:space="preserve"> \* MERGEFORMAT </w:instrText>
      </w:r>
      <w:r w:rsidR="000F0AEB" w:rsidRPr="008F0E53">
        <w:rPr>
          <w:rFonts w:cs="Arial"/>
          <w:sz w:val="22"/>
          <w:szCs w:val="22"/>
        </w:rPr>
        <w:fldChar w:fldCharType="separate"/>
      </w:r>
      <w:r w:rsidR="00407B88" w:rsidRPr="002E3024">
        <w:rPr>
          <w:sz w:val="22"/>
          <w:szCs w:val="22"/>
        </w:rPr>
        <w:t xml:space="preserve">Figure </w:t>
      </w:r>
      <w:r w:rsidR="00407B88" w:rsidRPr="002E3024">
        <w:rPr>
          <w:noProof/>
          <w:sz w:val="22"/>
          <w:szCs w:val="22"/>
        </w:rPr>
        <w:t>2</w:t>
      </w:r>
      <w:r w:rsidR="000F0AEB" w:rsidRPr="008F0E53">
        <w:rPr>
          <w:rFonts w:cs="Arial"/>
          <w:sz w:val="22"/>
          <w:szCs w:val="22"/>
        </w:rPr>
        <w:fldChar w:fldCharType="end"/>
      </w:r>
      <w:r w:rsidR="00E07F12" w:rsidRPr="008A733B">
        <w:rPr>
          <w:rFonts w:cs="Arial"/>
          <w:sz w:val="22"/>
          <w:szCs w:val="22"/>
        </w:rPr>
        <w:t>.</w:t>
      </w:r>
    </w:p>
    <w:p w:rsidR="002D05F7" w:rsidRPr="00B50C48" w:rsidRDefault="009A4445" w:rsidP="00274E9C">
      <w:pPr>
        <w:pStyle w:val="BayerBodyTextFull"/>
        <w:spacing w:after="240" w:line="276" w:lineRule="auto"/>
        <w:jc w:val="both"/>
        <w:rPr>
          <w:sz w:val="22"/>
        </w:rPr>
      </w:pPr>
      <w:r w:rsidRPr="00B50C48">
        <w:rPr>
          <w:color w:val="000000"/>
          <w:sz w:val="22"/>
        </w:rPr>
        <w:t>Improvements in walking distance were apparent from week 2 onward, and at week 12 for the riociguat group was 36 m (95% CI: 20 m to 52 m; p</w:t>
      </w:r>
      <w:r w:rsidRPr="00B50C48">
        <w:rPr>
          <w:color w:val="000000"/>
          <w:sz w:val="22"/>
        </w:rPr>
        <w:sym w:font="Symbol" w:char="F03C"/>
      </w:r>
      <w:r w:rsidRPr="00B50C48">
        <w:rPr>
          <w:color w:val="000000"/>
          <w:sz w:val="22"/>
        </w:rPr>
        <w:t xml:space="preserve">0.0001) compared to placebo (ITT analysis, </w:t>
      </w:r>
      <w:r w:rsidR="00566845">
        <w:rPr>
          <w:color w:val="000000"/>
          <w:sz w:val="22"/>
        </w:rPr>
        <w:t xml:space="preserve">see </w:t>
      </w:r>
      <w:r w:rsidR="008F0E53" w:rsidRPr="000F0AEB">
        <w:rPr>
          <w:rFonts w:cs="Arial"/>
          <w:sz w:val="22"/>
          <w:szCs w:val="22"/>
        </w:rPr>
        <w:fldChar w:fldCharType="begin"/>
      </w:r>
      <w:r w:rsidR="008F0E53" w:rsidRPr="000F0AEB">
        <w:rPr>
          <w:rFonts w:cs="Arial"/>
          <w:sz w:val="22"/>
          <w:szCs w:val="22"/>
        </w:rPr>
        <w:instrText xml:space="preserve"> REF _Ref346282414 \h </w:instrText>
      </w:r>
      <w:r w:rsidR="008F0E53" w:rsidRPr="000F0AEB">
        <w:rPr>
          <w:rFonts w:cs="Arial"/>
          <w:sz w:val="22"/>
          <w:szCs w:val="22"/>
        </w:rPr>
      </w:r>
      <w:r w:rsidR="008F0E53">
        <w:rPr>
          <w:rFonts w:cs="Arial"/>
          <w:sz w:val="22"/>
          <w:szCs w:val="22"/>
        </w:rPr>
        <w:instrText xml:space="preserve"> \* MERGEFORMAT </w:instrText>
      </w:r>
      <w:r w:rsidR="008F0E53" w:rsidRPr="000F0AEB">
        <w:rPr>
          <w:rFonts w:cs="Arial"/>
          <w:sz w:val="22"/>
          <w:szCs w:val="22"/>
        </w:rPr>
        <w:fldChar w:fldCharType="separate"/>
      </w:r>
      <w:r w:rsidR="00407B88" w:rsidRPr="002E3024">
        <w:rPr>
          <w:sz w:val="22"/>
          <w:szCs w:val="22"/>
        </w:rPr>
        <w:t xml:space="preserve">Table </w:t>
      </w:r>
      <w:r w:rsidR="00407B88" w:rsidRPr="002E3024">
        <w:rPr>
          <w:noProof/>
          <w:sz w:val="22"/>
          <w:szCs w:val="22"/>
        </w:rPr>
        <w:t>4</w:t>
      </w:r>
      <w:r w:rsidR="008F0E53" w:rsidRPr="000F0AEB">
        <w:rPr>
          <w:rFonts w:cs="Arial"/>
          <w:sz w:val="22"/>
          <w:szCs w:val="22"/>
        </w:rPr>
        <w:fldChar w:fldCharType="end"/>
      </w:r>
      <w:r w:rsidRPr="00B50C48">
        <w:rPr>
          <w:color w:val="000000"/>
          <w:sz w:val="22"/>
        </w:rPr>
        <w:t>). Improvements of riociguat over placebo were observed in all sub</w:t>
      </w:r>
      <w:r w:rsidRPr="00B50C48">
        <w:rPr>
          <w:color w:val="000000"/>
          <w:sz w:val="22"/>
        </w:rPr>
        <w:noBreakHyphen/>
        <w:t xml:space="preserve">groups evaluated. </w:t>
      </w:r>
      <w:r w:rsidRPr="00B50C48">
        <w:rPr>
          <w:sz w:val="22"/>
        </w:rPr>
        <w:t>Treatment</w:t>
      </w:r>
      <w:r w:rsidRPr="00B50C48">
        <w:rPr>
          <w:sz w:val="22"/>
        </w:rPr>
        <w:noBreakHyphen/>
        <w:t>naïve patients (n=189) demonstrated an increased 6MWD of 38 m (95% CI: 14 m to 62 m).</w:t>
      </w:r>
    </w:p>
    <w:p w:rsidR="009A4445" w:rsidRDefault="009A4445" w:rsidP="00274E9C">
      <w:pPr>
        <w:pStyle w:val="BayerBodyTextFull"/>
        <w:spacing w:after="240" w:line="276" w:lineRule="auto"/>
        <w:jc w:val="both"/>
        <w:rPr>
          <w:sz w:val="22"/>
        </w:rPr>
      </w:pPr>
      <w:r w:rsidRPr="00B50C48">
        <w:rPr>
          <w:sz w:val="22"/>
        </w:rPr>
        <w:t>Pre</w:t>
      </w:r>
      <w:r w:rsidRPr="00B50C48">
        <w:rPr>
          <w:sz w:val="22"/>
        </w:rPr>
        <w:noBreakHyphen/>
        <w:t>treated patients (n=191) demonstrated an increased 6MWD of 36 m (95% CI: 15 m to 56 m). Further subgroup analysis of patients pre</w:t>
      </w:r>
      <w:r w:rsidRPr="00B50C48">
        <w:rPr>
          <w:sz w:val="22"/>
        </w:rPr>
        <w:noBreakHyphen/>
        <w:t>treated with ERAs (n=167) revealed a treatment effect estimate of 26 m, (95% CI: 5 m to 46 m). In patients pre</w:t>
      </w:r>
      <w:r w:rsidRPr="00B50C48">
        <w:rPr>
          <w:sz w:val="22"/>
        </w:rPr>
        <w:noBreakHyphen/>
        <w:t>treated with</w:t>
      </w:r>
      <w:r w:rsidR="005C6F27">
        <w:rPr>
          <w:sz w:val="22"/>
        </w:rPr>
        <w:t xml:space="preserve"> </w:t>
      </w:r>
      <w:r w:rsidRPr="00B50C48">
        <w:rPr>
          <w:sz w:val="22"/>
        </w:rPr>
        <w:t>prostacyclin analogues</w:t>
      </w:r>
      <w:r w:rsidR="003D53F4" w:rsidRPr="00B50C48">
        <w:rPr>
          <w:rStyle w:val="FootnoteReference"/>
          <w:sz w:val="22"/>
        </w:rPr>
        <w:footnoteReference w:id="2"/>
      </w:r>
      <w:r w:rsidRPr="00B50C48">
        <w:rPr>
          <w:sz w:val="22"/>
        </w:rPr>
        <w:t> (n=27), the estimated treatment effect was 101 m, (95% CI: 27 m to 176 m).</w:t>
      </w:r>
    </w:p>
    <w:p w:rsidR="00B21EAD" w:rsidRPr="00B50C48" w:rsidRDefault="00B21EAD" w:rsidP="00274E9C">
      <w:pPr>
        <w:pStyle w:val="BayerBodyTextFull"/>
        <w:spacing w:after="240" w:line="276" w:lineRule="auto"/>
        <w:jc w:val="both"/>
        <w:rPr>
          <w:sz w:val="22"/>
        </w:rPr>
      </w:pPr>
    </w:p>
    <w:p w:rsidR="00A13798" w:rsidRPr="00B50C48" w:rsidRDefault="00E71534" w:rsidP="0034044E">
      <w:pPr>
        <w:pStyle w:val="Caption"/>
        <w:keepNext w:val="0"/>
        <w:ind w:hanging="907"/>
      </w:pPr>
      <w:bookmarkStart w:id="4" w:name="_Ref346282414"/>
      <w:r w:rsidRPr="00B50C48">
        <w:lastRenderedPageBreak/>
        <w:t xml:space="preserve">Table </w:t>
      </w:r>
      <w:r w:rsidR="002740D2">
        <w:fldChar w:fldCharType="begin"/>
      </w:r>
      <w:r w:rsidR="002740D2">
        <w:instrText xml:space="preserve"> SEQ Table \* ARABIC </w:instrText>
      </w:r>
      <w:r w:rsidR="002740D2">
        <w:fldChar w:fldCharType="separate"/>
      </w:r>
      <w:r w:rsidR="00407B88">
        <w:rPr>
          <w:noProof/>
        </w:rPr>
        <w:t>4</w:t>
      </w:r>
      <w:r w:rsidR="002740D2">
        <w:fldChar w:fldCharType="end"/>
      </w:r>
      <w:bookmarkEnd w:id="4"/>
      <w:r w:rsidRPr="00B50C48">
        <w:t>. Effects of riociguat on 6MWD in PATENT</w:t>
      </w:r>
      <w:r w:rsidR="00B01DB7" w:rsidRPr="00B50C48">
        <w:t>-</w:t>
      </w:r>
      <w:r w:rsidRPr="00B50C48">
        <w:t>1 at week 12 (last visit; ITT analysis 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93"/>
        <w:gridCol w:w="2693"/>
      </w:tblGrid>
      <w:tr w:rsidR="00A13798" w:rsidRPr="00B50C48" w:rsidTr="00DF046D">
        <w:tc>
          <w:tcPr>
            <w:tcW w:w="3686" w:type="dxa"/>
            <w:shd w:val="clear" w:color="auto" w:fill="D9D9D9"/>
          </w:tcPr>
          <w:p w:rsidR="00A13798" w:rsidRPr="00B50C48" w:rsidRDefault="00A13798" w:rsidP="0034044E">
            <w:pPr>
              <w:pStyle w:val="BayerBodyTextFull"/>
              <w:keepLines/>
              <w:spacing w:before="0" w:after="0"/>
              <w:rPr>
                <w:rFonts w:cs="Arial"/>
                <w:b/>
              </w:rPr>
            </w:pPr>
            <w:r w:rsidRPr="00B50C48">
              <w:rPr>
                <w:rFonts w:cs="Arial"/>
                <w:b/>
              </w:rPr>
              <w:t>Entire patient population</w:t>
            </w:r>
          </w:p>
        </w:tc>
        <w:tc>
          <w:tcPr>
            <w:tcW w:w="2693" w:type="dxa"/>
            <w:shd w:val="clear" w:color="auto" w:fill="D9D9D9"/>
          </w:tcPr>
          <w:p w:rsidR="00A13798" w:rsidRPr="00B50C48" w:rsidRDefault="00A13798" w:rsidP="0034044E">
            <w:pPr>
              <w:pStyle w:val="BayerBodyTextFull"/>
              <w:keepLines/>
              <w:spacing w:before="0" w:after="0"/>
              <w:jc w:val="center"/>
              <w:rPr>
                <w:rFonts w:cs="Arial"/>
                <w:b/>
              </w:rPr>
            </w:pPr>
            <w:r w:rsidRPr="00B50C48">
              <w:rPr>
                <w:rFonts w:cs="Arial"/>
                <w:b/>
              </w:rPr>
              <w:t>Riociguat (IDT) n=254</w:t>
            </w:r>
          </w:p>
        </w:tc>
        <w:tc>
          <w:tcPr>
            <w:tcW w:w="2693" w:type="dxa"/>
            <w:shd w:val="clear" w:color="auto" w:fill="D9D9D9"/>
          </w:tcPr>
          <w:p w:rsidR="00A13798" w:rsidRPr="00B50C48" w:rsidRDefault="00A13798" w:rsidP="0034044E">
            <w:pPr>
              <w:pStyle w:val="BayerBodyTextFull"/>
              <w:keepLines/>
              <w:spacing w:before="0" w:after="0"/>
              <w:jc w:val="center"/>
              <w:rPr>
                <w:rFonts w:cs="Arial"/>
                <w:b/>
              </w:rPr>
            </w:pPr>
            <w:r w:rsidRPr="00B50C48">
              <w:rPr>
                <w:rFonts w:cs="Arial"/>
                <w:b/>
              </w:rPr>
              <w:t>Placebo n=126</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Baseline (m)</w:t>
            </w:r>
          </w:p>
          <w:p w:rsidR="00A13798" w:rsidRPr="00B50C48" w:rsidRDefault="00A13798" w:rsidP="0034044E">
            <w:pPr>
              <w:pStyle w:val="BayerBodyTextFull"/>
              <w:keepLines/>
              <w:spacing w:before="0" w:after="0"/>
              <w:rPr>
                <w:rFonts w:cs="Arial"/>
              </w:rPr>
            </w:pPr>
            <w:r w:rsidRPr="00B50C48">
              <w:rPr>
                <w:rFonts w:cs="Arial"/>
              </w:rPr>
              <w:t>[SD]</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361</w:t>
            </w:r>
          </w:p>
          <w:p w:rsidR="00A13798" w:rsidRPr="00B50C48" w:rsidRDefault="00A13798" w:rsidP="0034044E">
            <w:pPr>
              <w:pStyle w:val="BayerBodyTextFull"/>
              <w:keepLines/>
              <w:spacing w:before="0" w:after="0"/>
              <w:jc w:val="center"/>
              <w:rPr>
                <w:rFonts w:cs="Arial"/>
              </w:rPr>
            </w:pPr>
            <w:r w:rsidRPr="00B50C48">
              <w:rPr>
                <w:rFonts w:cs="Arial"/>
              </w:rPr>
              <w:t>[68]</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368</w:t>
            </w:r>
          </w:p>
          <w:p w:rsidR="00A13798" w:rsidRPr="00B50C48" w:rsidRDefault="00A13798" w:rsidP="0034044E">
            <w:pPr>
              <w:pStyle w:val="BayerBodyTextFull"/>
              <w:keepLines/>
              <w:spacing w:before="0" w:after="0"/>
              <w:jc w:val="center"/>
              <w:rPr>
                <w:rFonts w:cs="Arial"/>
              </w:rPr>
            </w:pPr>
            <w:r w:rsidRPr="00B50C48">
              <w:rPr>
                <w:rFonts w:cs="Arial"/>
              </w:rPr>
              <w:t>[75]</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Change from baseline (m)</w:t>
            </w:r>
          </w:p>
          <w:p w:rsidR="00A13798" w:rsidRPr="00B50C48" w:rsidRDefault="00A13798" w:rsidP="0034044E">
            <w:pPr>
              <w:pStyle w:val="BayerBodyTextFull"/>
              <w:keepLines/>
              <w:spacing w:before="0" w:after="0"/>
              <w:rPr>
                <w:rFonts w:cs="Arial"/>
              </w:rPr>
            </w:pPr>
            <w:r w:rsidRPr="00B50C48">
              <w:rPr>
                <w:rFonts w:cs="Arial"/>
              </w:rPr>
              <w:t>[SD]</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30</w:t>
            </w:r>
          </w:p>
          <w:p w:rsidR="00A13798" w:rsidRPr="00B50C48" w:rsidRDefault="00A13798" w:rsidP="0034044E">
            <w:pPr>
              <w:pStyle w:val="BayerBodyTextFull"/>
              <w:keepLines/>
              <w:spacing w:before="0" w:after="0"/>
              <w:jc w:val="center"/>
              <w:rPr>
                <w:rFonts w:cs="Arial"/>
              </w:rPr>
            </w:pPr>
            <w:r w:rsidRPr="00B50C48">
              <w:rPr>
                <w:rFonts w:cs="Arial"/>
              </w:rPr>
              <w:t>[66]</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noBreakHyphen/>
              <w:t>6</w:t>
            </w:r>
          </w:p>
          <w:p w:rsidR="00A13798" w:rsidRPr="00B50C48" w:rsidRDefault="00A13798" w:rsidP="0034044E">
            <w:pPr>
              <w:pStyle w:val="BayerBodyTextFull"/>
              <w:keepLines/>
              <w:spacing w:before="0" w:after="0"/>
              <w:jc w:val="center"/>
              <w:rPr>
                <w:rFonts w:cs="Arial"/>
              </w:rPr>
            </w:pPr>
            <w:r w:rsidRPr="00B50C48">
              <w:rPr>
                <w:rFonts w:cs="Arial"/>
              </w:rPr>
              <w:t>[86]</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Placebo</w:t>
            </w:r>
            <w:r w:rsidRPr="00B50C48">
              <w:rPr>
                <w:rFonts w:cs="Arial"/>
              </w:rPr>
              <w:noBreakHyphen/>
              <w:t>corrected difference (m)</w:t>
            </w:r>
          </w:p>
          <w:p w:rsidR="00A13798" w:rsidRPr="00B50C48" w:rsidRDefault="00A13798" w:rsidP="0034044E">
            <w:pPr>
              <w:pStyle w:val="BayerBodyTextFull"/>
              <w:keepLines/>
              <w:spacing w:before="0" w:after="0"/>
              <w:rPr>
                <w:rFonts w:cs="Arial"/>
              </w:rPr>
            </w:pPr>
            <w:r w:rsidRPr="00B50C48">
              <w:rPr>
                <w:rFonts w:cs="Arial"/>
              </w:rPr>
              <w:t xml:space="preserve">95% CI, </w:t>
            </w:r>
            <w:r w:rsidR="00BA7FF6" w:rsidRPr="00B50C48">
              <w:rPr>
                <w:rFonts w:cs="Arial"/>
              </w:rPr>
              <w:t>(</w:t>
            </w:r>
            <w:r w:rsidRPr="00B50C48">
              <w:rPr>
                <w:rFonts w:cs="Arial"/>
              </w:rPr>
              <w:t>p</w:t>
            </w:r>
            <w:r w:rsidRPr="00B50C48">
              <w:rPr>
                <w:rFonts w:cs="Arial"/>
              </w:rPr>
              <w:noBreakHyphen/>
              <w:t>value</w:t>
            </w:r>
            <w:r w:rsidR="00BA7FF6" w:rsidRPr="00B50C48">
              <w:rPr>
                <w:rFonts w:cs="Arial"/>
              </w:rPr>
              <w:t>]</w:t>
            </w:r>
          </w:p>
        </w:tc>
        <w:tc>
          <w:tcPr>
            <w:tcW w:w="5386" w:type="dxa"/>
            <w:gridSpan w:val="2"/>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36</w:t>
            </w:r>
          </w:p>
          <w:p w:rsidR="00A13798" w:rsidRPr="00B50C48" w:rsidRDefault="00A13798" w:rsidP="0034044E">
            <w:pPr>
              <w:pStyle w:val="BayerBodyTextFull"/>
              <w:keepLines/>
              <w:spacing w:before="0" w:after="0"/>
              <w:jc w:val="center"/>
              <w:rPr>
                <w:rFonts w:cs="Arial"/>
              </w:rPr>
            </w:pPr>
            <w:r w:rsidRPr="00B50C48">
              <w:rPr>
                <w:rFonts w:cs="Arial"/>
              </w:rPr>
              <w:t xml:space="preserve">20 m to 52 m, </w:t>
            </w:r>
            <w:r w:rsidR="00BA7FF6" w:rsidRPr="00B50C48">
              <w:rPr>
                <w:rFonts w:cs="Arial"/>
              </w:rPr>
              <w:t>(</w:t>
            </w:r>
            <w:r w:rsidRPr="00B50C48">
              <w:rPr>
                <w:rFonts w:cs="Arial"/>
              </w:rPr>
              <w:t>&lt;0.0001</w:t>
            </w:r>
            <w:r w:rsidR="00BA7FF6" w:rsidRPr="00B50C48">
              <w:rPr>
                <w:rFonts w:cs="Arial"/>
              </w:rPr>
              <w:t>)</w:t>
            </w:r>
          </w:p>
        </w:tc>
      </w:tr>
      <w:tr w:rsidR="00A13798" w:rsidRPr="00B50C48" w:rsidTr="00DF046D">
        <w:tc>
          <w:tcPr>
            <w:tcW w:w="3686" w:type="dxa"/>
            <w:shd w:val="clear" w:color="auto" w:fill="D9D9D9"/>
          </w:tcPr>
          <w:p w:rsidR="00A13798" w:rsidRPr="00B50C48" w:rsidRDefault="00A13798" w:rsidP="0034044E">
            <w:pPr>
              <w:pStyle w:val="BayerBodyTextFull"/>
              <w:keepLines/>
              <w:spacing w:before="0" w:after="0"/>
              <w:rPr>
                <w:rFonts w:cs="Arial"/>
                <w:b/>
              </w:rPr>
            </w:pPr>
            <w:r w:rsidRPr="00B50C48">
              <w:rPr>
                <w:rFonts w:cs="Arial"/>
                <w:b/>
              </w:rPr>
              <w:t>Treatment</w:t>
            </w:r>
            <w:r w:rsidRPr="00B50C48">
              <w:rPr>
                <w:rFonts w:cs="Arial"/>
                <w:b/>
              </w:rPr>
              <w:noBreakHyphen/>
              <w:t xml:space="preserve">naïve patient population </w:t>
            </w:r>
          </w:p>
        </w:tc>
        <w:tc>
          <w:tcPr>
            <w:tcW w:w="2693" w:type="dxa"/>
            <w:shd w:val="clear" w:color="auto" w:fill="D9D9D9"/>
          </w:tcPr>
          <w:p w:rsidR="00A13798" w:rsidRPr="00B50C48" w:rsidRDefault="00A13798" w:rsidP="0034044E">
            <w:pPr>
              <w:pStyle w:val="BayerBodyTextFull"/>
              <w:keepLines/>
              <w:spacing w:before="0" w:after="0"/>
              <w:jc w:val="center"/>
              <w:rPr>
                <w:rFonts w:cs="Arial"/>
                <w:b/>
              </w:rPr>
            </w:pPr>
            <w:r w:rsidRPr="00B50C48">
              <w:rPr>
                <w:rFonts w:cs="Arial"/>
                <w:b/>
              </w:rPr>
              <w:t>Riociguat (IDT) n=123</w:t>
            </w:r>
          </w:p>
        </w:tc>
        <w:tc>
          <w:tcPr>
            <w:tcW w:w="2693" w:type="dxa"/>
            <w:shd w:val="clear" w:color="auto" w:fill="D9D9D9"/>
          </w:tcPr>
          <w:p w:rsidR="00A13798" w:rsidRPr="00B50C48" w:rsidRDefault="00A13798" w:rsidP="0034044E">
            <w:pPr>
              <w:pStyle w:val="BayerBodyTextFull"/>
              <w:keepLines/>
              <w:spacing w:before="0" w:after="0"/>
              <w:jc w:val="center"/>
              <w:rPr>
                <w:rFonts w:cs="Arial"/>
                <w:b/>
              </w:rPr>
            </w:pPr>
            <w:r w:rsidRPr="00B50C48">
              <w:rPr>
                <w:rFonts w:cs="Arial"/>
                <w:b/>
              </w:rPr>
              <w:t>Placebo n=66</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Baseline (m)</w:t>
            </w:r>
          </w:p>
          <w:p w:rsidR="00A13798" w:rsidRPr="00B50C48" w:rsidRDefault="00A13798" w:rsidP="0034044E">
            <w:pPr>
              <w:pStyle w:val="BayerBodyTextFull"/>
              <w:keepLines/>
              <w:spacing w:before="0" w:after="0"/>
              <w:rPr>
                <w:rFonts w:cs="Arial"/>
              </w:rPr>
            </w:pPr>
            <w:r w:rsidRPr="00B50C48">
              <w:rPr>
                <w:rFonts w:cs="Arial"/>
              </w:rPr>
              <w:t>[SD]</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370</w:t>
            </w:r>
          </w:p>
          <w:p w:rsidR="00A13798" w:rsidRPr="00B50C48" w:rsidRDefault="00A13798" w:rsidP="0034044E">
            <w:pPr>
              <w:pStyle w:val="BayerBodyTextFull"/>
              <w:keepLines/>
              <w:spacing w:before="0" w:after="0"/>
              <w:jc w:val="center"/>
              <w:rPr>
                <w:rFonts w:cs="Arial"/>
              </w:rPr>
            </w:pPr>
            <w:r w:rsidRPr="00B50C48">
              <w:rPr>
                <w:rFonts w:cs="Arial"/>
              </w:rPr>
              <w:t>[66]</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360</w:t>
            </w:r>
          </w:p>
          <w:p w:rsidR="00A13798" w:rsidRPr="00B50C48" w:rsidRDefault="00A13798" w:rsidP="0034044E">
            <w:pPr>
              <w:pStyle w:val="BayerBodyTextFull"/>
              <w:keepLines/>
              <w:spacing w:before="0" w:after="0"/>
              <w:jc w:val="center"/>
              <w:rPr>
                <w:rFonts w:cs="Arial"/>
              </w:rPr>
            </w:pPr>
            <w:r w:rsidRPr="00B50C48">
              <w:rPr>
                <w:rFonts w:cs="Arial"/>
              </w:rPr>
              <w:t>[80]</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Change from baseline (m)</w:t>
            </w:r>
          </w:p>
          <w:p w:rsidR="00A13798" w:rsidRPr="00B50C48" w:rsidRDefault="00A13798" w:rsidP="0034044E">
            <w:pPr>
              <w:pStyle w:val="BayerBodyTextFull"/>
              <w:keepLines/>
              <w:spacing w:before="0" w:after="0"/>
              <w:rPr>
                <w:rFonts w:cs="Arial"/>
              </w:rPr>
            </w:pPr>
            <w:r w:rsidRPr="00B50C48">
              <w:rPr>
                <w:rFonts w:cs="Arial"/>
              </w:rPr>
              <w:t>[SD]</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32</w:t>
            </w:r>
          </w:p>
          <w:p w:rsidR="00A13798" w:rsidRPr="00B50C48" w:rsidRDefault="00A13798" w:rsidP="0034044E">
            <w:pPr>
              <w:pStyle w:val="BayerBodyTextFull"/>
              <w:keepLines/>
              <w:spacing w:before="0" w:after="0"/>
              <w:jc w:val="center"/>
              <w:rPr>
                <w:rFonts w:cs="Arial"/>
              </w:rPr>
            </w:pPr>
            <w:r w:rsidRPr="00B50C48">
              <w:rPr>
                <w:rFonts w:cs="Arial"/>
              </w:rPr>
              <w:t>[74]</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noBreakHyphen/>
              <w:t>6</w:t>
            </w:r>
          </w:p>
          <w:p w:rsidR="00A13798" w:rsidRPr="00B50C48" w:rsidRDefault="00A13798" w:rsidP="0034044E">
            <w:pPr>
              <w:pStyle w:val="BayerBodyTextFull"/>
              <w:keepLines/>
              <w:spacing w:before="0" w:after="0"/>
              <w:jc w:val="center"/>
              <w:rPr>
                <w:rFonts w:cs="Arial"/>
              </w:rPr>
            </w:pPr>
            <w:r w:rsidRPr="00B50C48">
              <w:rPr>
                <w:rFonts w:cs="Arial"/>
              </w:rPr>
              <w:t>[88]</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Placebo</w:t>
            </w:r>
            <w:r w:rsidRPr="00B50C48">
              <w:rPr>
                <w:rFonts w:cs="Arial"/>
              </w:rPr>
              <w:noBreakHyphen/>
              <w:t>corrected difference (m)</w:t>
            </w:r>
          </w:p>
          <w:p w:rsidR="00A13798" w:rsidRPr="00B50C48" w:rsidRDefault="00A13798" w:rsidP="0034044E">
            <w:pPr>
              <w:pStyle w:val="BayerBodyTextFull"/>
              <w:keepLines/>
              <w:spacing w:before="0" w:after="0"/>
              <w:rPr>
                <w:rFonts w:cs="Arial"/>
              </w:rPr>
            </w:pPr>
            <w:r w:rsidRPr="00B50C48">
              <w:rPr>
                <w:rFonts w:cs="Arial"/>
              </w:rPr>
              <w:t>95% CI</w:t>
            </w:r>
          </w:p>
        </w:tc>
        <w:tc>
          <w:tcPr>
            <w:tcW w:w="5386" w:type="dxa"/>
            <w:gridSpan w:val="2"/>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38</w:t>
            </w:r>
          </w:p>
          <w:p w:rsidR="00A13798" w:rsidRPr="00B50C48" w:rsidRDefault="00A13798" w:rsidP="0034044E">
            <w:pPr>
              <w:pStyle w:val="BayerBodyTextFull"/>
              <w:keepLines/>
              <w:spacing w:before="0" w:after="0"/>
              <w:jc w:val="center"/>
              <w:rPr>
                <w:rFonts w:cs="Arial"/>
              </w:rPr>
            </w:pPr>
            <w:r w:rsidRPr="00B50C48">
              <w:rPr>
                <w:rFonts w:cs="Arial"/>
              </w:rPr>
              <w:t>14 m to 62 m</w:t>
            </w:r>
          </w:p>
        </w:tc>
      </w:tr>
      <w:tr w:rsidR="00A13798" w:rsidRPr="00B50C48" w:rsidTr="00DF046D">
        <w:tc>
          <w:tcPr>
            <w:tcW w:w="3686" w:type="dxa"/>
            <w:shd w:val="clear" w:color="auto" w:fill="D9D9D9"/>
          </w:tcPr>
          <w:p w:rsidR="00A13798" w:rsidRPr="00B50C48" w:rsidRDefault="00A13798" w:rsidP="0034044E">
            <w:pPr>
              <w:pStyle w:val="BayerBodyTextFull"/>
              <w:keepLines/>
              <w:spacing w:before="0" w:after="0"/>
              <w:rPr>
                <w:rFonts w:cs="Arial"/>
                <w:b/>
              </w:rPr>
            </w:pPr>
            <w:r w:rsidRPr="00B50C48">
              <w:rPr>
                <w:rFonts w:cs="Arial"/>
                <w:b/>
              </w:rPr>
              <w:t>Pre</w:t>
            </w:r>
            <w:r w:rsidRPr="00B50C48">
              <w:rPr>
                <w:rFonts w:cs="Arial"/>
                <w:b/>
              </w:rPr>
              <w:noBreakHyphen/>
              <w:t xml:space="preserve">treated patient population </w:t>
            </w:r>
          </w:p>
        </w:tc>
        <w:tc>
          <w:tcPr>
            <w:tcW w:w="2693" w:type="dxa"/>
            <w:shd w:val="clear" w:color="auto" w:fill="D9D9D9"/>
          </w:tcPr>
          <w:p w:rsidR="00A13798" w:rsidRPr="00B50C48" w:rsidRDefault="00A13798" w:rsidP="0034044E">
            <w:pPr>
              <w:pStyle w:val="BayerBodyTextFull"/>
              <w:keepLines/>
              <w:spacing w:before="0" w:after="0"/>
              <w:jc w:val="center"/>
              <w:rPr>
                <w:rFonts w:cs="Arial"/>
                <w:b/>
              </w:rPr>
            </w:pPr>
            <w:r w:rsidRPr="00B50C48">
              <w:rPr>
                <w:rFonts w:cs="Arial"/>
                <w:b/>
              </w:rPr>
              <w:t>Riociguat (IDT) n=131</w:t>
            </w:r>
          </w:p>
        </w:tc>
        <w:tc>
          <w:tcPr>
            <w:tcW w:w="2693" w:type="dxa"/>
            <w:shd w:val="clear" w:color="auto" w:fill="D9D9D9"/>
          </w:tcPr>
          <w:p w:rsidR="00A13798" w:rsidRPr="00B50C48" w:rsidRDefault="00A13798" w:rsidP="0034044E">
            <w:pPr>
              <w:pStyle w:val="BayerBodyTextFull"/>
              <w:keepLines/>
              <w:spacing w:before="0" w:after="0"/>
              <w:jc w:val="center"/>
              <w:rPr>
                <w:rFonts w:cs="Arial"/>
                <w:b/>
              </w:rPr>
            </w:pPr>
            <w:r w:rsidRPr="00B50C48">
              <w:rPr>
                <w:rFonts w:cs="Arial"/>
                <w:b/>
              </w:rPr>
              <w:t>Placebo n=60</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Baseline (m)</w:t>
            </w:r>
          </w:p>
          <w:p w:rsidR="00A13798" w:rsidRPr="00B50C48" w:rsidRDefault="00A13798" w:rsidP="0034044E">
            <w:pPr>
              <w:pStyle w:val="BayerBodyTextFull"/>
              <w:keepLines/>
              <w:spacing w:before="0" w:after="0"/>
              <w:rPr>
                <w:rFonts w:cs="Arial"/>
              </w:rPr>
            </w:pPr>
            <w:r w:rsidRPr="00B50C48">
              <w:rPr>
                <w:rFonts w:cs="Arial"/>
              </w:rPr>
              <w:t>[SD]</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353</w:t>
            </w:r>
          </w:p>
          <w:p w:rsidR="00A13798" w:rsidRPr="00B50C48" w:rsidRDefault="00A13798" w:rsidP="0034044E">
            <w:pPr>
              <w:pStyle w:val="BayerBodyTextFull"/>
              <w:keepLines/>
              <w:spacing w:before="0" w:after="0"/>
              <w:jc w:val="center"/>
              <w:rPr>
                <w:rFonts w:cs="Arial"/>
              </w:rPr>
            </w:pPr>
            <w:r w:rsidRPr="00B50C48">
              <w:rPr>
                <w:rFonts w:cs="Arial"/>
              </w:rPr>
              <w:t>[69]</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376</w:t>
            </w:r>
          </w:p>
          <w:p w:rsidR="00A13798" w:rsidRPr="00B50C48" w:rsidRDefault="00A13798" w:rsidP="0034044E">
            <w:pPr>
              <w:pStyle w:val="BayerBodyTextFull"/>
              <w:keepLines/>
              <w:spacing w:before="0" w:after="0"/>
              <w:jc w:val="center"/>
              <w:rPr>
                <w:rFonts w:cs="Arial"/>
              </w:rPr>
            </w:pPr>
            <w:r w:rsidRPr="00B50C48">
              <w:rPr>
                <w:rFonts w:cs="Arial"/>
              </w:rPr>
              <w:t>[68]</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Change from baseline (m)</w:t>
            </w:r>
          </w:p>
          <w:p w:rsidR="00A13798" w:rsidRPr="00B50C48" w:rsidRDefault="00A13798" w:rsidP="0034044E">
            <w:pPr>
              <w:pStyle w:val="BayerBodyTextFull"/>
              <w:keepLines/>
              <w:spacing w:before="0" w:after="0"/>
              <w:rPr>
                <w:rFonts w:cs="Arial"/>
              </w:rPr>
            </w:pPr>
            <w:r w:rsidRPr="00B50C48">
              <w:rPr>
                <w:rFonts w:cs="Arial"/>
              </w:rPr>
              <w:t>[SD]</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27</w:t>
            </w:r>
          </w:p>
          <w:p w:rsidR="00A13798" w:rsidRPr="00B50C48" w:rsidRDefault="00A13798" w:rsidP="0034044E">
            <w:pPr>
              <w:pStyle w:val="BayerBodyTextFull"/>
              <w:keepLines/>
              <w:spacing w:before="0" w:after="0"/>
              <w:jc w:val="center"/>
              <w:rPr>
                <w:rFonts w:cs="Arial"/>
              </w:rPr>
            </w:pPr>
            <w:r w:rsidRPr="00B50C48">
              <w:rPr>
                <w:rFonts w:cs="Arial"/>
              </w:rPr>
              <w:t>[58]</w:t>
            </w:r>
          </w:p>
        </w:tc>
        <w:tc>
          <w:tcPr>
            <w:tcW w:w="2693" w:type="dxa"/>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noBreakHyphen/>
              <w:t>5</w:t>
            </w:r>
          </w:p>
          <w:p w:rsidR="00A13798" w:rsidRPr="00B50C48" w:rsidRDefault="00A13798" w:rsidP="0034044E">
            <w:pPr>
              <w:pStyle w:val="BayerBodyTextFull"/>
              <w:keepLines/>
              <w:spacing w:before="0" w:after="0"/>
              <w:jc w:val="center"/>
              <w:rPr>
                <w:rFonts w:cs="Arial"/>
              </w:rPr>
            </w:pPr>
            <w:r w:rsidRPr="00B50C48">
              <w:rPr>
                <w:rFonts w:cs="Arial"/>
              </w:rPr>
              <w:t>[83]</w:t>
            </w:r>
          </w:p>
        </w:tc>
      </w:tr>
      <w:tr w:rsidR="00A13798" w:rsidRPr="00B50C48" w:rsidTr="009620EF">
        <w:tc>
          <w:tcPr>
            <w:tcW w:w="3686" w:type="dxa"/>
            <w:shd w:val="clear" w:color="auto" w:fill="auto"/>
          </w:tcPr>
          <w:p w:rsidR="00A13798" w:rsidRPr="00B50C48" w:rsidRDefault="00A13798" w:rsidP="0034044E">
            <w:pPr>
              <w:pStyle w:val="BayerBodyTextFull"/>
              <w:keepLines/>
              <w:spacing w:before="0" w:after="0"/>
              <w:rPr>
                <w:rFonts w:cs="Arial"/>
              </w:rPr>
            </w:pPr>
            <w:r w:rsidRPr="00B50C48">
              <w:rPr>
                <w:rFonts w:cs="Arial"/>
              </w:rPr>
              <w:t>Placebo</w:t>
            </w:r>
            <w:r w:rsidRPr="00B50C48">
              <w:rPr>
                <w:rFonts w:cs="Arial"/>
              </w:rPr>
              <w:noBreakHyphen/>
              <w:t>corrected difference (m) 95% CI</w:t>
            </w:r>
          </w:p>
        </w:tc>
        <w:tc>
          <w:tcPr>
            <w:tcW w:w="5386" w:type="dxa"/>
            <w:gridSpan w:val="2"/>
            <w:shd w:val="clear" w:color="auto" w:fill="auto"/>
          </w:tcPr>
          <w:p w:rsidR="00A13798" w:rsidRPr="00B50C48" w:rsidRDefault="00A13798" w:rsidP="0034044E">
            <w:pPr>
              <w:pStyle w:val="BayerBodyTextFull"/>
              <w:keepLines/>
              <w:spacing w:before="0" w:after="0"/>
              <w:jc w:val="center"/>
              <w:rPr>
                <w:rFonts w:cs="Arial"/>
              </w:rPr>
            </w:pPr>
            <w:r w:rsidRPr="00B50C48">
              <w:rPr>
                <w:rFonts w:cs="Arial"/>
              </w:rPr>
              <w:t>36</w:t>
            </w:r>
          </w:p>
          <w:p w:rsidR="00A13798" w:rsidRPr="00B50C48" w:rsidRDefault="00A13798" w:rsidP="0034044E">
            <w:pPr>
              <w:pStyle w:val="BayerBodyTextFull"/>
              <w:keepLines/>
              <w:spacing w:before="0" w:after="0"/>
              <w:jc w:val="center"/>
              <w:rPr>
                <w:rFonts w:cs="Arial"/>
              </w:rPr>
            </w:pPr>
            <w:r w:rsidRPr="00B50C48">
              <w:rPr>
                <w:rFonts w:cs="Arial"/>
              </w:rPr>
              <w:t>15 m to 56 m</w:t>
            </w:r>
          </w:p>
        </w:tc>
      </w:tr>
      <w:tr w:rsidR="005B2309" w:rsidRPr="00B50C48" w:rsidTr="00D4297D">
        <w:tc>
          <w:tcPr>
            <w:tcW w:w="3686" w:type="dxa"/>
            <w:shd w:val="clear" w:color="auto" w:fill="D9D9D9"/>
          </w:tcPr>
          <w:p w:rsidR="005B2309" w:rsidRPr="00B50C48" w:rsidRDefault="005B2309" w:rsidP="00D4297D">
            <w:pPr>
              <w:pStyle w:val="BayerBodyTextFull"/>
              <w:keepLines/>
              <w:spacing w:before="0" w:after="0"/>
              <w:rPr>
                <w:rFonts w:cs="Arial"/>
                <w:b/>
              </w:rPr>
            </w:pPr>
            <w:r>
              <w:rPr>
                <w:rFonts w:cs="Arial"/>
                <w:b/>
              </w:rPr>
              <w:t>Idiopathic / Familial</w:t>
            </w:r>
          </w:p>
        </w:tc>
        <w:tc>
          <w:tcPr>
            <w:tcW w:w="2693" w:type="dxa"/>
            <w:shd w:val="clear" w:color="auto" w:fill="D9D9D9"/>
          </w:tcPr>
          <w:p w:rsidR="005B2309" w:rsidRPr="00B50C48" w:rsidRDefault="00407595" w:rsidP="001D16B8">
            <w:pPr>
              <w:pStyle w:val="BayerBodyTextFull"/>
              <w:keepLines/>
              <w:spacing w:before="0" w:after="0"/>
              <w:jc w:val="center"/>
              <w:rPr>
                <w:rFonts w:cs="Arial"/>
                <w:b/>
              </w:rPr>
            </w:pPr>
            <w:r>
              <w:rPr>
                <w:rFonts w:cs="Arial"/>
                <w:b/>
              </w:rPr>
              <w:t>Riociguat (</w:t>
            </w:r>
            <w:r w:rsidR="005B2309" w:rsidRPr="00B50C48">
              <w:rPr>
                <w:rFonts w:cs="Arial"/>
                <w:b/>
              </w:rPr>
              <w:t>IDT) n=</w:t>
            </w:r>
            <w:r w:rsidR="005B2309">
              <w:rPr>
                <w:rFonts w:cs="Arial"/>
                <w:b/>
              </w:rPr>
              <w:t>156</w:t>
            </w:r>
          </w:p>
        </w:tc>
        <w:tc>
          <w:tcPr>
            <w:tcW w:w="2693" w:type="dxa"/>
            <w:shd w:val="clear" w:color="auto" w:fill="D9D9D9"/>
          </w:tcPr>
          <w:p w:rsidR="005B2309" w:rsidRPr="00B50C48" w:rsidRDefault="005B2309" w:rsidP="001D16B8">
            <w:pPr>
              <w:pStyle w:val="BayerBodyTextFull"/>
              <w:keepLines/>
              <w:spacing w:before="0" w:after="0"/>
              <w:jc w:val="center"/>
              <w:rPr>
                <w:rFonts w:cs="Arial"/>
                <w:b/>
              </w:rPr>
            </w:pPr>
            <w:r w:rsidRPr="00B50C48">
              <w:rPr>
                <w:rFonts w:cs="Arial"/>
                <w:b/>
              </w:rPr>
              <w:t>Placebo n=</w:t>
            </w:r>
            <w:r>
              <w:rPr>
                <w:rFonts w:cs="Arial"/>
                <w:b/>
              </w:rPr>
              <w:t>85</w:t>
            </w:r>
          </w:p>
        </w:tc>
      </w:tr>
      <w:tr w:rsidR="005B2309" w:rsidRPr="00B50C48" w:rsidTr="00D4297D">
        <w:tc>
          <w:tcPr>
            <w:tcW w:w="3686" w:type="dxa"/>
            <w:shd w:val="clear" w:color="auto" w:fill="auto"/>
          </w:tcPr>
          <w:p w:rsidR="005B2309" w:rsidRPr="00B50C48" w:rsidRDefault="005B2309" w:rsidP="00D4297D">
            <w:pPr>
              <w:pStyle w:val="BayerBodyTextFull"/>
              <w:keepLines/>
              <w:spacing w:before="0" w:after="0"/>
              <w:rPr>
                <w:rFonts w:cs="Arial"/>
              </w:rPr>
            </w:pPr>
            <w:r w:rsidRPr="00B50C48">
              <w:rPr>
                <w:rFonts w:cs="Arial"/>
              </w:rPr>
              <w:t>Baseline (m)</w:t>
            </w:r>
          </w:p>
          <w:p w:rsidR="005B2309" w:rsidRPr="00B50C48" w:rsidRDefault="005B2309" w:rsidP="00D4297D">
            <w:pPr>
              <w:pStyle w:val="BayerBodyTextFull"/>
              <w:keepLines/>
              <w:spacing w:before="0" w:after="0"/>
              <w:rPr>
                <w:rFonts w:cs="Arial"/>
              </w:rPr>
            </w:pPr>
            <w:r w:rsidRPr="00B50C48">
              <w:rPr>
                <w:rFonts w:cs="Arial"/>
              </w:rPr>
              <w:t>[SD]</w:t>
            </w:r>
          </w:p>
        </w:tc>
        <w:tc>
          <w:tcPr>
            <w:tcW w:w="2693" w:type="dxa"/>
            <w:shd w:val="clear" w:color="auto" w:fill="auto"/>
          </w:tcPr>
          <w:p w:rsidR="005B2309" w:rsidRDefault="00407595" w:rsidP="00D4297D">
            <w:pPr>
              <w:pStyle w:val="BayerBodyTextFull"/>
              <w:keepLines/>
              <w:spacing w:before="0" w:after="0"/>
              <w:jc w:val="center"/>
              <w:rPr>
                <w:rFonts w:cs="Arial"/>
              </w:rPr>
            </w:pPr>
            <w:r>
              <w:rPr>
                <w:rFonts w:cs="Arial"/>
              </w:rPr>
              <w:t>365</w:t>
            </w:r>
          </w:p>
          <w:p w:rsidR="00407595" w:rsidRPr="00B50C48" w:rsidRDefault="00407595" w:rsidP="00D4297D">
            <w:pPr>
              <w:pStyle w:val="BayerBodyTextFull"/>
              <w:keepLines/>
              <w:spacing w:before="0" w:after="0"/>
              <w:jc w:val="center"/>
              <w:rPr>
                <w:rFonts w:cs="Arial"/>
              </w:rPr>
            </w:pPr>
            <w:r>
              <w:rPr>
                <w:rFonts w:cs="Arial"/>
              </w:rPr>
              <w:t>[67]</w:t>
            </w:r>
          </w:p>
        </w:tc>
        <w:tc>
          <w:tcPr>
            <w:tcW w:w="2693" w:type="dxa"/>
            <w:shd w:val="clear" w:color="auto" w:fill="auto"/>
          </w:tcPr>
          <w:p w:rsidR="005B2309" w:rsidRDefault="00407595" w:rsidP="00D4297D">
            <w:pPr>
              <w:pStyle w:val="BayerBodyTextFull"/>
              <w:keepLines/>
              <w:spacing w:before="0" w:after="0"/>
              <w:jc w:val="center"/>
              <w:rPr>
                <w:rFonts w:cs="Arial"/>
              </w:rPr>
            </w:pPr>
            <w:r>
              <w:rPr>
                <w:rFonts w:cs="Arial"/>
              </w:rPr>
              <w:t>369</w:t>
            </w:r>
          </w:p>
          <w:p w:rsidR="00407595" w:rsidRPr="00B50C48" w:rsidRDefault="00407595" w:rsidP="00D4297D">
            <w:pPr>
              <w:pStyle w:val="BayerBodyTextFull"/>
              <w:keepLines/>
              <w:spacing w:before="0" w:after="0"/>
              <w:jc w:val="center"/>
              <w:rPr>
                <w:rFonts w:cs="Arial"/>
              </w:rPr>
            </w:pPr>
            <w:r>
              <w:rPr>
                <w:rFonts w:cs="Arial"/>
              </w:rPr>
              <w:t>[74]</w:t>
            </w:r>
          </w:p>
        </w:tc>
      </w:tr>
      <w:tr w:rsidR="005B2309" w:rsidRPr="00B50C48" w:rsidTr="00D4297D">
        <w:tc>
          <w:tcPr>
            <w:tcW w:w="3686" w:type="dxa"/>
            <w:shd w:val="clear" w:color="auto" w:fill="auto"/>
          </w:tcPr>
          <w:p w:rsidR="005B2309" w:rsidRPr="00B50C48" w:rsidRDefault="005B2309" w:rsidP="00D4297D">
            <w:pPr>
              <w:pStyle w:val="BayerBodyTextFull"/>
              <w:keepLines/>
              <w:spacing w:before="0" w:after="0"/>
              <w:rPr>
                <w:rFonts w:cs="Arial"/>
              </w:rPr>
            </w:pPr>
            <w:r w:rsidRPr="00B50C48">
              <w:rPr>
                <w:rFonts w:cs="Arial"/>
              </w:rPr>
              <w:t>Change from baseline (m)</w:t>
            </w:r>
          </w:p>
          <w:p w:rsidR="005B2309" w:rsidRPr="00B50C48" w:rsidRDefault="005B2309" w:rsidP="00D4297D">
            <w:pPr>
              <w:pStyle w:val="BayerBodyTextFull"/>
              <w:keepLines/>
              <w:spacing w:before="0" w:after="0"/>
              <w:rPr>
                <w:rFonts w:cs="Arial"/>
              </w:rPr>
            </w:pPr>
            <w:r w:rsidRPr="00B50C48">
              <w:rPr>
                <w:rFonts w:cs="Arial"/>
              </w:rPr>
              <w:t>[SD]</w:t>
            </w:r>
          </w:p>
        </w:tc>
        <w:tc>
          <w:tcPr>
            <w:tcW w:w="2693" w:type="dxa"/>
            <w:shd w:val="clear" w:color="auto" w:fill="auto"/>
          </w:tcPr>
          <w:p w:rsidR="005B2309" w:rsidRDefault="00407595" w:rsidP="00D4297D">
            <w:pPr>
              <w:pStyle w:val="BayerBodyTextFull"/>
              <w:keepLines/>
              <w:spacing w:before="0" w:after="0"/>
              <w:jc w:val="center"/>
              <w:rPr>
                <w:rFonts w:cs="Arial"/>
              </w:rPr>
            </w:pPr>
            <w:r>
              <w:rPr>
                <w:rFonts w:cs="Arial"/>
              </w:rPr>
              <w:t>35</w:t>
            </w:r>
          </w:p>
          <w:p w:rsidR="00407595" w:rsidRPr="00B50C48" w:rsidRDefault="00407595" w:rsidP="00D4297D">
            <w:pPr>
              <w:pStyle w:val="BayerBodyTextFull"/>
              <w:keepLines/>
              <w:spacing w:before="0" w:after="0"/>
              <w:jc w:val="center"/>
              <w:rPr>
                <w:rFonts w:cs="Arial"/>
              </w:rPr>
            </w:pPr>
            <w:r>
              <w:rPr>
                <w:rFonts w:cs="Arial"/>
              </w:rPr>
              <w:t>[67]</w:t>
            </w:r>
          </w:p>
        </w:tc>
        <w:tc>
          <w:tcPr>
            <w:tcW w:w="2693" w:type="dxa"/>
            <w:shd w:val="clear" w:color="auto" w:fill="auto"/>
          </w:tcPr>
          <w:p w:rsidR="005B2309" w:rsidRDefault="00407595" w:rsidP="00D4297D">
            <w:pPr>
              <w:pStyle w:val="BayerBodyTextFull"/>
              <w:keepLines/>
              <w:spacing w:before="0" w:after="0"/>
              <w:jc w:val="center"/>
              <w:rPr>
                <w:rFonts w:cs="Arial"/>
              </w:rPr>
            </w:pPr>
            <w:r>
              <w:rPr>
                <w:rFonts w:cs="Arial"/>
              </w:rPr>
              <w:t>-8</w:t>
            </w:r>
          </w:p>
          <w:p w:rsidR="00407595" w:rsidRPr="00B50C48" w:rsidRDefault="00407595" w:rsidP="00D4297D">
            <w:pPr>
              <w:pStyle w:val="BayerBodyTextFull"/>
              <w:keepLines/>
              <w:spacing w:before="0" w:after="0"/>
              <w:jc w:val="center"/>
              <w:rPr>
                <w:rFonts w:cs="Arial"/>
              </w:rPr>
            </w:pPr>
            <w:r>
              <w:rPr>
                <w:rFonts w:cs="Arial"/>
              </w:rPr>
              <w:t>[83]</w:t>
            </w:r>
          </w:p>
        </w:tc>
      </w:tr>
      <w:tr w:rsidR="005B2309" w:rsidRPr="00B50C48" w:rsidTr="00D4297D">
        <w:tc>
          <w:tcPr>
            <w:tcW w:w="3686" w:type="dxa"/>
            <w:shd w:val="clear" w:color="auto" w:fill="auto"/>
          </w:tcPr>
          <w:p w:rsidR="005B2309" w:rsidRPr="00B50C48" w:rsidRDefault="005B2309" w:rsidP="00D4297D">
            <w:pPr>
              <w:pStyle w:val="BayerBodyTextFull"/>
              <w:keepLines/>
              <w:spacing w:before="0" w:after="0"/>
              <w:rPr>
                <w:rFonts w:cs="Arial"/>
              </w:rPr>
            </w:pPr>
            <w:r w:rsidRPr="00B50C48">
              <w:rPr>
                <w:rFonts w:cs="Arial"/>
              </w:rPr>
              <w:t>Placebo</w:t>
            </w:r>
            <w:r w:rsidRPr="00B50C48">
              <w:rPr>
                <w:rFonts w:cs="Arial"/>
              </w:rPr>
              <w:noBreakHyphen/>
              <w:t>corrected difference (m) 95% CI</w:t>
            </w:r>
          </w:p>
        </w:tc>
        <w:tc>
          <w:tcPr>
            <w:tcW w:w="5386" w:type="dxa"/>
            <w:gridSpan w:val="2"/>
            <w:shd w:val="clear" w:color="auto" w:fill="auto"/>
          </w:tcPr>
          <w:p w:rsidR="005B2309" w:rsidRDefault="00EC5949" w:rsidP="00D4297D">
            <w:pPr>
              <w:pStyle w:val="BayerBodyTextFull"/>
              <w:keepLines/>
              <w:spacing w:before="0" w:after="0"/>
              <w:jc w:val="center"/>
              <w:rPr>
                <w:rFonts w:cs="Arial"/>
              </w:rPr>
            </w:pPr>
            <w:r>
              <w:rPr>
                <w:rFonts w:cs="Arial"/>
              </w:rPr>
              <w:t>43</w:t>
            </w:r>
          </w:p>
          <w:p w:rsidR="00EC5949" w:rsidRPr="00B50C48" w:rsidRDefault="00EC5949" w:rsidP="00D4297D">
            <w:pPr>
              <w:pStyle w:val="BayerBodyTextFull"/>
              <w:keepLines/>
              <w:spacing w:before="0" w:after="0"/>
              <w:jc w:val="center"/>
              <w:rPr>
                <w:rFonts w:cs="Arial"/>
              </w:rPr>
            </w:pPr>
            <w:r>
              <w:rPr>
                <w:rFonts w:cs="Arial"/>
              </w:rPr>
              <w:t>23 m to 62 m</w:t>
            </w:r>
          </w:p>
        </w:tc>
      </w:tr>
      <w:tr w:rsidR="00407595" w:rsidRPr="00B50C48" w:rsidTr="00D4297D">
        <w:tc>
          <w:tcPr>
            <w:tcW w:w="3686" w:type="dxa"/>
            <w:shd w:val="clear" w:color="auto" w:fill="D9D9D9"/>
          </w:tcPr>
          <w:p w:rsidR="00407595" w:rsidRPr="00B50C48" w:rsidRDefault="00407595" w:rsidP="00D4297D">
            <w:pPr>
              <w:pStyle w:val="BayerBodyTextFull"/>
              <w:keepLines/>
              <w:spacing w:before="0" w:after="0"/>
              <w:rPr>
                <w:rFonts w:cs="Arial"/>
                <w:b/>
              </w:rPr>
            </w:pPr>
            <w:r>
              <w:rPr>
                <w:rFonts w:cs="Arial"/>
                <w:b/>
              </w:rPr>
              <w:t>Connective tissue disease</w:t>
            </w:r>
          </w:p>
        </w:tc>
        <w:tc>
          <w:tcPr>
            <w:tcW w:w="2693" w:type="dxa"/>
            <w:shd w:val="clear" w:color="auto" w:fill="D9D9D9"/>
          </w:tcPr>
          <w:p w:rsidR="00407595" w:rsidRPr="00B50C48" w:rsidRDefault="00407595" w:rsidP="00D4297D">
            <w:pPr>
              <w:pStyle w:val="BayerBodyTextFull"/>
              <w:keepLines/>
              <w:spacing w:before="0" w:after="0"/>
              <w:jc w:val="center"/>
              <w:rPr>
                <w:rFonts w:cs="Arial"/>
                <w:b/>
              </w:rPr>
            </w:pPr>
            <w:r w:rsidRPr="00B50C48">
              <w:rPr>
                <w:rFonts w:cs="Arial"/>
                <w:b/>
              </w:rPr>
              <w:t>Riociguat (IDT) n=</w:t>
            </w:r>
            <w:r>
              <w:rPr>
                <w:rFonts w:cs="Arial"/>
                <w:b/>
              </w:rPr>
              <w:t>71</w:t>
            </w:r>
          </w:p>
        </w:tc>
        <w:tc>
          <w:tcPr>
            <w:tcW w:w="2693" w:type="dxa"/>
            <w:shd w:val="clear" w:color="auto" w:fill="D9D9D9"/>
          </w:tcPr>
          <w:p w:rsidR="00407595" w:rsidRPr="00B50C48" w:rsidRDefault="00407595" w:rsidP="00D4297D">
            <w:pPr>
              <w:pStyle w:val="BayerBodyTextFull"/>
              <w:keepLines/>
              <w:spacing w:before="0" w:after="0"/>
              <w:jc w:val="center"/>
              <w:rPr>
                <w:rFonts w:cs="Arial"/>
                <w:b/>
              </w:rPr>
            </w:pPr>
            <w:r w:rsidRPr="00B50C48">
              <w:rPr>
                <w:rFonts w:cs="Arial"/>
                <w:b/>
              </w:rPr>
              <w:t>Placebo n=</w:t>
            </w:r>
            <w:r>
              <w:rPr>
                <w:rFonts w:cs="Arial"/>
                <w:b/>
              </w:rPr>
              <w:t>25</w:t>
            </w:r>
          </w:p>
        </w:tc>
      </w:tr>
      <w:tr w:rsidR="00407595" w:rsidRPr="00B50C48" w:rsidTr="00D4297D">
        <w:tc>
          <w:tcPr>
            <w:tcW w:w="3686" w:type="dxa"/>
            <w:shd w:val="clear" w:color="auto" w:fill="auto"/>
          </w:tcPr>
          <w:p w:rsidR="00407595" w:rsidRPr="00B50C48" w:rsidRDefault="00407595" w:rsidP="00D4297D">
            <w:pPr>
              <w:pStyle w:val="BayerBodyTextFull"/>
              <w:keepLines/>
              <w:spacing w:before="0" w:after="0"/>
              <w:rPr>
                <w:rFonts w:cs="Arial"/>
              </w:rPr>
            </w:pPr>
            <w:r w:rsidRPr="00B50C48">
              <w:rPr>
                <w:rFonts w:cs="Arial"/>
              </w:rPr>
              <w:t>Baseline (m)</w:t>
            </w:r>
          </w:p>
          <w:p w:rsidR="00407595" w:rsidRPr="00B50C48" w:rsidRDefault="00407595" w:rsidP="00D4297D">
            <w:pPr>
              <w:pStyle w:val="BayerBodyTextFull"/>
              <w:keepLines/>
              <w:spacing w:before="0" w:after="0"/>
              <w:rPr>
                <w:rFonts w:cs="Arial"/>
              </w:rPr>
            </w:pPr>
            <w:r w:rsidRPr="00B50C48">
              <w:rPr>
                <w:rFonts w:cs="Arial"/>
              </w:rPr>
              <w:t>[SD]</w:t>
            </w:r>
          </w:p>
        </w:tc>
        <w:tc>
          <w:tcPr>
            <w:tcW w:w="2693" w:type="dxa"/>
            <w:shd w:val="clear" w:color="auto" w:fill="auto"/>
          </w:tcPr>
          <w:p w:rsidR="00407595" w:rsidRDefault="005E2385" w:rsidP="00D4297D">
            <w:pPr>
              <w:pStyle w:val="BayerBodyTextFull"/>
              <w:keepLines/>
              <w:spacing w:before="0" w:after="0"/>
              <w:jc w:val="center"/>
              <w:rPr>
                <w:rFonts w:cs="Arial"/>
              </w:rPr>
            </w:pPr>
            <w:r>
              <w:rPr>
                <w:rFonts w:cs="Arial"/>
              </w:rPr>
              <w:t>348</w:t>
            </w:r>
          </w:p>
          <w:p w:rsidR="005E2385" w:rsidRPr="00B50C48" w:rsidRDefault="005E2385" w:rsidP="00D4297D">
            <w:pPr>
              <w:pStyle w:val="BayerBodyTextFull"/>
              <w:keepLines/>
              <w:spacing w:before="0" w:after="0"/>
              <w:jc w:val="center"/>
              <w:rPr>
                <w:rFonts w:cs="Arial"/>
              </w:rPr>
            </w:pPr>
            <w:r>
              <w:rPr>
                <w:rFonts w:cs="Arial"/>
              </w:rPr>
              <w:t>[70]</w:t>
            </w:r>
          </w:p>
        </w:tc>
        <w:tc>
          <w:tcPr>
            <w:tcW w:w="2693" w:type="dxa"/>
            <w:shd w:val="clear" w:color="auto" w:fill="auto"/>
          </w:tcPr>
          <w:p w:rsidR="00407595" w:rsidRDefault="005E2385" w:rsidP="00D4297D">
            <w:pPr>
              <w:pStyle w:val="BayerBodyTextFull"/>
              <w:keepLines/>
              <w:spacing w:before="0" w:after="0"/>
              <w:jc w:val="center"/>
              <w:rPr>
                <w:rFonts w:cs="Arial"/>
              </w:rPr>
            </w:pPr>
            <w:r>
              <w:rPr>
                <w:rFonts w:cs="Arial"/>
              </w:rPr>
              <w:t>361</w:t>
            </w:r>
          </w:p>
          <w:p w:rsidR="005E2385" w:rsidRPr="00B50C48" w:rsidRDefault="005E2385" w:rsidP="00D4297D">
            <w:pPr>
              <w:pStyle w:val="BayerBodyTextFull"/>
              <w:keepLines/>
              <w:spacing w:before="0" w:after="0"/>
              <w:jc w:val="center"/>
              <w:rPr>
                <w:rFonts w:cs="Arial"/>
              </w:rPr>
            </w:pPr>
            <w:r>
              <w:rPr>
                <w:rFonts w:cs="Arial"/>
              </w:rPr>
              <w:t>[88]</w:t>
            </w:r>
          </w:p>
        </w:tc>
      </w:tr>
      <w:tr w:rsidR="00407595" w:rsidRPr="00B50C48" w:rsidTr="00D4297D">
        <w:tc>
          <w:tcPr>
            <w:tcW w:w="3686" w:type="dxa"/>
            <w:shd w:val="clear" w:color="auto" w:fill="auto"/>
          </w:tcPr>
          <w:p w:rsidR="00407595" w:rsidRPr="00B50C48" w:rsidRDefault="00407595" w:rsidP="00D4297D">
            <w:pPr>
              <w:pStyle w:val="BayerBodyTextFull"/>
              <w:keepLines/>
              <w:spacing w:before="0" w:after="0"/>
              <w:rPr>
                <w:rFonts w:cs="Arial"/>
              </w:rPr>
            </w:pPr>
            <w:r w:rsidRPr="00B50C48">
              <w:rPr>
                <w:rFonts w:cs="Arial"/>
              </w:rPr>
              <w:t>Change from baseline (m)</w:t>
            </w:r>
          </w:p>
          <w:p w:rsidR="00407595" w:rsidRPr="00B50C48" w:rsidRDefault="00407595" w:rsidP="00D4297D">
            <w:pPr>
              <w:pStyle w:val="BayerBodyTextFull"/>
              <w:keepLines/>
              <w:spacing w:before="0" w:after="0"/>
              <w:rPr>
                <w:rFonts w:cs="Arial"/>
              </w:rPr>
            </w:pPr>
            <w:r w:rsidRPr="00B50C48">
              <w:rPr>
                <w:rFonts w:cs="Arial"/>
              </w:rPr>
              <w:t>[SD]</w:t>
            </w:r>
          </w:p>
        </w:tc>
        <w:tc>
          <w:tcPr>
            <w:tcW w:w="2693" w:type="dxa"/>
            <w:shd w:val="clear" w:color="auto" w:fill="auto"/>
          </w:tcPr>
          <w:p w:rsidR="00407595" w:rsidRDefault="005E2385" w:rsidP="00D4297D">
            <w:pPr>
              <w:pStyle w:val="BayerBodyTextFull"/>
              <w:keepLines/>
              <w:spacing w:before="0" w:after="0"/>
              <w:jc w:val="center"/>
              <w:rPr>
                <w:rFonts w:cs="Arial"/>
              </w:rPr>
            </w:pPr>
            <w:r>
              <w:rPr>
                <w:rFonts w:cs="Arial"/>
              </w:rPr>
              <w:t>18</w:t>
            </w:r>
          </w:p>
          <w:p w:rsidR="005E2385" w:rsidRPr="00B50C48" w:rsidRDefault="005E2385" w:rsidP="00D4297D">
            <w:pPr>
              <w:pStyle w:val="BayerBodyTextFull"/>
              <w:keepLines/>
              <w:spacing w:before="0" w:after="0"/>
              <w:jc w:val="center"/>
              <w:rPr>
                <w:rFonts w:cs="Arial"/>
              </w:rPr>
            </w:pPr>
            <w:r>
              <w:rPr>
                <w:rFonts w:cs="Arial"/>
              </w:rPr>
              <w:t>[51]</w:t>
            </w:r>
          </w:p>
        </w:tc>
        <w:tc>
          <w:tcPr>
            <w:tcW w:w="2693" w:type="dxa"/>
            <w:shd w:val="clear" w:color="auto" w:fill="auto"/>
          </w:tcPr>
          <w:p w:rsidR="00407595" w:rsidRDefault="005E2385" w:rsidP="00D4297D">
            <w:pPr>
              <w:pStyle w:val="BayerBodyTextFull"/>
              <w:keepLines/>
              <w:spacing w:before="0" w:after="0"/>
              <w:jc w:val="center"/>
              <w:rPr>
                <w:rFonts w:cs="Arial"/>
              </w:rPr>
            </w:pPr>
            <w:r>
              <w:rPr>
                <w:rFonts w:cs="Arial"/>
              </w:rPr>
              <w:t>-8</w:t>
            </w:r>
          </w:p>
          <w:p w:rsidR="005E2385" w:rsidRPr="00B50C48" w:rsidRDefault="005E2385" w:rsidP="00D4297D">
            <w:pPr>
              <w:pStyle w:val="BayerBodyTextFull"/>
              <w:keepLines/>
              <w:spacing w:before="0" w:after="0"/>
              <w:jc w:val="center"/>
              <w:rPr>
                <w:rFonts w:cs="Arial"/>
              </w:rPr>
            </w:pPr>
            <w:r>
              <w:rPr>
                <w:rFonts w:cs="Arial"/>
              </w:rPr>
              <w:t>[110]</w:t>
            </w:r>
          </w:p>
        </w:tc>
      </w:tr>
      <w:tr w:rsidR="00407595" w:rsidRPr="00B50C48" w:rsidTr="00D4297D">
        <w:tc>
          <w:tcPr>
            <w:tcW w:w="3686" w:type="dxa"/>
            <w:shd w:val="clear" w:color="auto" w:fill="auto"/>
          </w:tcPr>
          <w:p w:rsidR="00407595" w:rsidRPr="00B50C48" w:rsidRDefault="00407595" w:rsidP="00D4297D">
            <w:pPr>
              <w:pStyle w:val="BayerBodyTextFull"/>
              <w:keepLines/>
              <w:spacing w:before="0" w:after="0"/>
              <w:rPr>
                <w:rFonts w:cs="Arial"/>
              </w:rPr>
            </w:pPr>
            <w:r w:rsidRPr="00B50C48">
              <w:rPr>
                <w:rFonts w:cs="Arial"/>
              </w:rPr>
              <w:t>Placebo</w:t>
            </w:r>
            <w:r w:rsidRPr="00B50C48">
              <w:rPr>
                <w:rFonts w:cs="Arial"/>
              </w:rPr>
              <w:noBreakHyphen/>
              <w:t>corrected difference (m) 95% CI</w:t>
            </w:r>
          </w:p>
        </w:tc>
        <w:tc>
          <w:tcPr>
            <w:tcW w:w="5386" w:type="dxa"/>
            <w:gridSpan w:val="2"/>
            <w:shd w:val="clear" w:color="auto" w:fill="auto"/>
          </w:tcPr>
          <w:p w:rsidR="00407595" w:rsidRDefault="00EC5949" w:rsidP="00D4297D">
            <w:pPr>
              <w:pStyle w:val="BayerBodyTextFull"/>
              <w:keepLines/>
              <w:spacing w:before="0" w:after="0"/>
              <w:jc w:val="center"/>
              <w:rPr>
                <w:rFonts w:cs="Arial"/>
              </w:rPr>
            </w:pPr>
            <w:r>
              <w:rPr>
                <w:rFonts w:cs="Arial"/>
              </w:rPr>
              <w:t>28</w:t>
            </w:r>
          </w:p>
          <w:p w:rsidR="00EC5949" w:rsidRPr="00B50C48" w:rsidRDefault="00EC5949" w:rsidP="00D4297D">
            <w:pPr>
              <w:pStyle w:val="BayerBodyTextFull"/>
              <w:keepLines/>
              <w:spacing w:before="0" w:after="0"/>
              <w:jc w:val="center"/>
              <w:rPr>
                <w:rFonts w:cs="Arial"/>
              </w:rPr>
            </w:pPr>
            <w:r>
              <w:rPr>
                <w:rFonts w:cs="Arial"/>
              </w:rPr>
              <w:t>-4 m to 61 m</w:t>
            </w:r>
          </w:p>
        </w:tc>
      </w:tr>
      <w:tr w:rsidR="00D27A43" w:rsidRPr="00B50C48" w:rsidTr="00D4297D">
        <w:tc>
          <w:tcPr>
            <w:tcW w:w="3686" w:type="dxa"/>
            <w:shd w:val="clear" w:color="auto" w:fill="D9D9D9"/>
          </w:tcPr>
          <w:p w:rsidR="00D27A43" w:rsidRPr="00B50C48" w:rsidRDefault="00D27A43" w:rsidP="00D4297D">
            <w:pPr>
              <w:pStyle w:val="BayerBodyTextFull"/>
              <w:keepLines/>
              <w:spacing w:before="0" w:after="0"/>
              <w:rPr>
                <w:rFonts w:cs="Arial"/>
                <w:b/>
              </w:rPr>
            </w:pPr>
            <w:r>
              <w:rPr>
                <w:rFonts w:cs="Arial"/>
                <w:b/>
              </w:rPr>
              <w:t>Other forms of PAH</w:t>
            </w:r>
          </w:p>
        </w:tc>
        <w:tc>
          <w:tcPr>
            <w:tcW w:w="2693" w:type="dxa"/>
            <w:shd w:val="clear" w:color="auto" w:fill="D9D9D9"/>
          </w:tcPr>
          <w:p w:rsidR="00D27A43" w:rsidRPr="00B50C48" w:rsidRDefault="00D27A43" w:rsidP="00D4297D">
            <w:pPr>
              <w:pStyle w:val="BayerBodyTextFull"/>
              <w:keepLines/>
              <w:spacing w:before="0" w:after="0"/>
              <w:jc w:val="center"/>
              <w:rPr>
                <w:rFonts w:cs="Arial"/>
                <w:b/>
              </w:rPr>
            </w:pPr>
            <w:r w:rsidRPr="00B50C48">
              <w:rPr>
                <w:rFonts w:cs="Arial"/>
                <w:b/>
              </w:rPr>
              <w:t>Riociguat (IDT) n=</w:t>
            </w:r>
            <w:r>
              <w:rPr>
                <w:rFonts w:cs="Arial"/>
                <w:b/>
              </w:rPr>
              <w:t>27</w:t>
            </w:r>
          </w:p>
        </w:tc>
        <w:tc>
          <w:tcPr>
            <w:tcW w:w="2693" w:type="dxa"/>
            <w:shd w:val="clear" w:color="auto" w:fill="D9D9D9"/>
          </w:tcPr>
          <w:p w:rsidR="00D27A43" w:rsidRPr="00B50C48" w:rsidRDefault="00D27A43" w:rsidP="00D4297D">
            <w:pPr>
              <w:pStyle w:val="BayerBodyTextFull"/>
              <w:keepLines/>
              <w:spacing w:before="0" w:after="0"/>
              <w:jc w:val="center"/>
              <w:rPr>
                <w:rFonts w:cs="Arial"/>
                <w:b/>
              </w:rPr>
            </w:pPr>
            <w:r w:rsidRPr="00B50C48">
              <w:rPr>
                <w:rFonts w:cs="Arial"/>
                <w:b/>
              </w:rPr>
              <w:t>Placebo n=</w:t>
            </w:r>
            <w:r>
              <w:rPr>
                <w:rFonts w:cs="Arial"/>
                <w:b/>
              </w:rPr>
              <w:t>16</w:t>
            </w:r>
          </w:p>
        </w:tc>
      </w:tr>
      <w:tr w:rsidR="00D27A43" w:rsidRPr="00B50C48" w:rsidTr="00D4297D">
        <w:tc>
          <w:tcPr>
            <w:tcW w:w="3686" w:type="dxa"/>
            <w:shd w:val="clear" w:color="auto" w:fill="auto"/>
          </w:tcPr>
          <w:p w:rsidR="00D27A43" w:rsidRPr="00B50C48" w:rsidRDefault="00D27A43" w:rsidP="00D4297D">
            <w:pPr>
              <w:pStyle w:val="BayerBodyTextFull"/>
              <w:keepLines/>
              <w:spacing w:before="0" w:after="0"/>
              <w:rPr>
                <w:rFonts w:cs="Arial"/>
              </w:rPr>
            </w:pPr>
            <w:r w:rsidRPr="00B50C48">
              <w:rPr>
                <w:rFonts w:cs="Arial"/>
              </w:rPr>
              <w:t>Baseline (m)</w:t>
            </w:r>
          </w:p>
          <w:p w:rsidR="00D27A43" w:rsidRPr="00B50C48" w:rsidRDefault="00D27A43" w:rsidP="00D4297D">
            <w:pPr>
              <w:pStyle w:val="BayerBodyTextFull"/>
              <w:keepLines/>
              <w:spacing w:before="0" w:after="0"/>
              <w:rPr>
                <w:rFonts w:cs="Arial"/>
              </w:rPr>
            </w:pPr>
            <w:r w:rsidRPr="00B50C48">
              <w:rPr>
                <w:rFonts w:cs="Arial"/>
              </w:rPr>
              <w:t>[SD]</w:t>
            </w:r>
          </w:p>
        </w:tc>
        <w:tc>
          <w:tcPr>
            <w:tcW w:w="2693" w:type="dxa"/>
            <w:shd w:val="clear" w:color="auto" w:fill="auto"/>
          </w:tcPr>
          <w:p w:rsidR="00D27A43" w:rsidRDefault="00D27A43" w:rsidP="00D4297D">
            <w:pPr>
              <w:pStyle w:val="BayerBodyTextFull"/>
              <w:keepLines/>
              <w:spacing w:before="0" w:after="0"/>
              <w:jc w:val="center"/>
              <w:rPr>
                <w:rFonts w:cs="Arial"/>
              </w:rPr>
            </w:pPr>
            <w:r>
              <w:rPr>
                <w:rFonts w:cs="Arial"/>
              </w:rPr>
              <w:t>375</w:t>
            </w:r>
          </w:p>
          <w:p w:rsidR="00D27A43" w:rsidRPr="00B50C48" w:rsidRDefault="00D27A43" w:rsidP="00D4297D">
            <w:pPr>
              <w:pStyle w:val="BayerBodyTextFull"/>
              <w:keepLines/>
              <w:spacing w:before="0" w:after="0"/>
              <w:jc w:val="center"/>
              <w:rPr>
                <w:rFonts w:cs="Arial"/>
              </w:rPr>
            </w:pPr>
            <w:r>
              <w:rPr>
                <w:rFonts w:cs="Arial"/>
              </w:rPr>
              <w:t>[67]</w:t>
            </w:r>
          </w:p>
        </w:tc>
        <w:tc>
          <w:tcPr>
            <w:tcW w:w="2693" w:type="dxa"/>
            <w:shd w:val="clear" w:color="auto" w:fill="auto"/>
          </w:tcPr>
          <w:p w:rsidR="00D27A43" w:rsidRDefault="00D27A43" w:rsidP="00D4297D">
            <w:pPr>
              <w:pStyle w:val="BayerBodyTextFull"/>
              <w:keepLines/>
              <w:spacing w:before="0" w:after="0"/>
              <w:jc w:val="center"/>
              <w:rPr>
                <w:rFonts w:cs="Arial"/>
              </w:rPr>
            </w:pPr>
            <w:r>
              <w:rPr>
                <w:rFonts w:cs="Arial"/>
              </w:rPr>
              <w:t>371</w:t>
            </w:r>
          </w:p>
          <w:p w:rsidR="00D27A43" w:rsidRPr="00B50C48" w:rsidRDefault="00D27A43" w:rsidP="00D4297D">
            <w:pPr>
              <w:pStyle w:val="BayerBodyTextFull"/>
              <w:keepLines/>
              <w:spacing w:before="0" w:after="0"/>
              <w:jc w:val="center"/>
              <w:rPr>
                <w:rFonts w:cs="Arial"/>
              </w:rPr>
            </w:pPr>
            <w:r>
              <w:rPr>
                <w:rFonts w:cs="Arial"/>
              </w:rPr>
              <w:t>[56]</w:t>
            </w:r>
          </w:p>
        </w:tc>
      </w:tr>
      <w:tr w:rsidR="00D27A43" w:rsidRPr="00B50C48" w:rsidTr="00D4297D">
        <w:tc>
          <w:tcPr>
            <w:tcW w:w="3686" w:type="dxa"/>
            <w:shd w:val="clear" w:color="auto" w:fill="auto"/>
          </w:tcPr>
          <w:p w:rsidR="00D27A43" w:rsidRPr="00B50C48" w:rsidRDefault="00D27A43" w:rsidP="00D4297D">
            <w:pPr>
              <w:pStyle w:val="BayerBodyTextFull"/>
              <w:keepLines/>
              <w:spacing w:before="0" w:after="0"/>
              <w:rPr>
                <w:rFonts w:cs="Arial"/>
              </w:rPr>
            </w:pPr>
            <w:r w:rsidRPr="00B50C48">
              <w:rPr>
                <w:rFonts w:cs="Arial"/>
              </w:rPr>
              <w:t>Change from baseline (m)</w:t>
            </w:r>
          </w:p>
          <w:p w:rsidR="00D27A43" w:rsidRPr="00B50C48" w:rsidRDefault="00D27A43" w:rsidP="00D4297D">
            <w:pPr>
              <w:pStyle w:val="BayerBodyTextFull"/>
              <w:keepLines/>
              <w:spacing w:before="0" w:after="0"/>
              <w:rPr>
                <w:rFonts w:cs="Arial"/>
              </w:rPr>
            </w:pPr>
            <w:r w:rsidRPr="00B50C48">
              <w:rPr>
                <w:rFonts w:cs="Arial"/>
              </w:rPr>
              <w:t>[SD]</w:t>
            </w:r>
          </w:p>
        </w:tc>
        <w:tc>
          <w:tcPr>
            <w:tcW w:w="2693" w:type="dxa"/>
            <w:shd w:val="clear" w:color="auto" w:fill="auto"/>
          </w:tcPr>
          <w:p w:rsidR="00D27A43" w:rsidRDefault="00D27A43" w:rsidP="00D4297D">
            <w:pPr>
              <w:pStyle w:val="BayerBodyTextFull"/>
              <w:keepLines/>
              <w:spacing w:before="0" w:after="0"/>
              <w:jc w:val="center"/>
              <w:rPr>
                <w:rFonts w:cs="Arial"/>
              </w:rPr>
            </w:pPr>
            <w:r>
              <w:rPr>
                <w:rFonts w:cs="Arial"/>
              </w:rPr>
              <w:t>29</w:t>
            </w:r>
          </w:p>
          <w:p w:rsidR="00D27A43" w:rsidRPr="00B50C48" w:rsidRDefault="00D27A43" w:rsidP="00D4297D">
            <w:pPr>
              <w:pStyle w:val="BayerBodyTextFull"/>
              <w:keepLines/>
              <w:spacing w:before="0" w:after="0"/>
              <w:jc w:val="center"/>
              <w:rPr>
                <w:rFonts w:cs="Arial"/>
              </w:rPr>
            </w:pPr>
            <w:r>
              <w:rPr>
                <w:rFonts w:cs="Arial"/>
              </w:rPr>
              <w:t>[91]</w:t>
            </w:r>
          </w:p>
        </w:tc>
        <w:tc>
          <w:tcPr>
            <w:tcW w:w="2693" w:type="dxa"/>
            <w:shd w:val="clear" w:color="auto" w:fill="auto"/>
          </w:tcPr>
          <w:p w:rsidR="00D27A43" w:rsidRDefault="00D27A43" w:rsidP="00D4297D">
            <w:pPr>
              <w:pStyle w:val="BayerBodyTextFull"/>
              <w:keepLines/>
              <w:spacing w:before="0" w:after="0"/>
              <w:jc w:val="center"/>
              <w:rPr>
                <w:rFonts w:cs="Arial"/>
              </w:rPr>
            </w:pPr>
            <w:r>
              <w:rPr>
                <w:rFonts w:cs="Arial"/>
              </w:rPr>
              <w:t>10</w:t>
            </w:r>
          </w:p>
          <w:p w:rsidR="00D27A43" w:rsidRPr="00B50C48" w:rsidRDefault="00D27A43" w:rsidP="00D4297D">
            <w:pPr>
              <w:pStyle w:val="BayerBodyTextFull"/>
              <w:keepLines/>
              <w:spacing w:before="0" w:after="0"/>
              <w:jc w:val="center"/>
              <w:rPr>
                <w:rFonts w:cs="Arial"/>
              </w:rPr>
            </w:pPr>
            <w:r>
              <w:rPr>
                <w:rFonts w:cs="Arial"/>
              </w:rPr>
              <w:t>[52]</w:t>
            </w:r>
          </w:p>
        </w:tc>
      </w:tr>
      <w:tr w:rsidR="00D27A43" w:rsidRPr="00B50C48" w:rsidTr="00D4297D">
        <w:tc>
          <w:tcPr>
            <w:tcW w:w="3686" w:type="dxa"/>
            <w:shd w:val="clear" w:color="auto" w:fill="auto"/>
          </w:tcPr>
          <w:p w:rsidR="00D27A43" w:rsidRPr="00B50C48" w:rsidRDefault="00D27A43" w:rsidP="00D4297D">
            <w:pPr>
              <w:pStyle w:val="BayerBodyTextFull"/>
              <w:keepLines/>
              <w:spacing w:before="0" w:after="0"/>
              <w:rPr>
                <w:rFonts w:cs="Arial"/>
              </w:rPr>
            </w:pPr>
            <w:r w:rsidRPr="00B50C48">
              <w:rPr>
                <w:rFonts w:cs="Arial"/>
              </w:rPr>
              <w:t>Placebo</w:t>
            </w:r>
            <w:r w:rsidRPr="00B50C48">
              <w:rPr>
                <w:rFonts w:cs="Arial"/>
              </w:rPr>
              <w:noBreakHyphen/>
              <w:t>corrected difference (m) 95% CI</w:t>
            </w:r>
          </w:p>
        </w:tc>
        <w:tc>
          <w:tcPr>
            <w:tcW w:w="5386" w:type="dxa"/>
            <w:gridSpan w:val="2"/>
            <w:shd w:val="clear" w:color="auto" w:fill="auto"/>
          </w:tcPr>
          <w:p w:rsidR="00D27A43" w:rsidRDefault="00EC5949" w:rsidP="00D4297D">
            <w:pPr>
              <w:pStyle w:val="BayerBodyTextFull"/>
              <w:keepLines/>
              <w:spacing w:before="0" w:after="0"/>
              <w:jc w:val="center"/>
              <w:rPr>
                <w:rFonts w:cs="Arial"/>
              </w:rPr>
            </w:pPr>
            <w:r>
              <w:rPr>
                <w:rFonts w:cs="Arial"/>
              </w:rPr>
              <w:t>18</w:t>
            </w:r>
          </w:p>
          <w:p w:rsidR="00EC5949" w:rsidRPr="00B50C48" w:rsidRDefault="00EC5949" w:rsidP="00D4297D">
            <w:pPr>
              <w:pStyle w:val="BayerBodyTextFull"/>
              <w:keepLines/>
              <w:spacing w:before="0" w:after="0"/>
              <w:jc w:val="center"/>
              <w:rPr>
                <w:rFonts w:cs="Arial"/>
              </w:rPr>
            </w:pPr>
            <w:r>
              <w:rPr>
                <w:rFonts w:cs="Arial"/>
              </w:rPr>
              <w:t>-33 m to 69 m</w:t>
            </w:r>
          </w:p>
        </w:tc>
      </w:tr>
      <w:tr w:rsidR="006239D3" w:rsidRPr="00B50C48" w:rsidTr="00D4297D">
        <w:tc>
          <w:tcPr>
            <w:tcW w:w="3686" w:type="dxa"/>
            <w:shd w:val="clear" w:color="auto" w:fill="D9D9D9"/>
          </w:tcPr>
          <w:p w:rsidR="006239D3" w:rsidRPr="00B50C48" w:rsidRDefault="006239D3" w:rsidP="00D4297D">
            <w:pPr>
              <w:pStyle w:val="BayerBodyTextFull"/>
              <w:keepLines/>
              <w:spacing w:before="0" w:after="0"/>
              <w:rPr>
                <w:rFonts w:cs="Arial"/>
                <w:b/>
              </w:rPr>
            </w:pPr>
            <w:r w:rsidRPr="006239D3">
              <w:rPr>
                <w:rFonts w:cs="Arial"/>
                <w:b/>
              </w:rPr>
              <w:t>WHO Functional Class I/II at baseline</w:t>
            </w:r>
          </w:p>
        </w:tc>
        <w:tc>
          <w:tcPr>
            <w:tcW w:w="2693" w:type="dxa"/>
            <w:shd w:val="clear" w:color="auto" w:fill="D9D9D9"/>
          </w:tcPr>
          <w:p w:rsidR="006239D3" w:rsidRPr="00B50C48" w:rsidRDefault="006239D3" w:rsidP="00D4297D">
            <w:pPr>
              <w:pStyle w:val="BayerBodyTextFull"/>
              <w:keepLines/>
              <w:spacing w:before="0" w:after="0"/>
              <w:jc w:val="center"/>
              <w:rPr>
                <w:rFonts w:cs="Arial"/>
                <w:b/>
              </w:rPr>
            </w:pPr>
            <w:r w:rsidRPr="00B50C48">
              <w:rPr>
                <w:rFonts w:cs="Arial"/>
                <w:b/>
              </w:rPr>
              <w:t>Riociguat (IDT) n=</w:t>
            </w:r>
            <w:r>
              <w:rPr>
                <w:rFonts w:cs="Arial"/>
                <w:b/>
              </w:rPr>
              <w:t>113</w:t>
            </w:r>
          </w:p>
        </w:tc>
        <w:tc>
          <w:tcPr>
            <w:tcW w:w="2693" w:type="dxa"/>
            <w:shd w:val="clear" w:color="auto" w:fill="D9D9D9"/>
          </w:tcPr>
          <w:p w:rsidR="006239D3" w:rsidRPr="00B50C48" w:rsidRDefault="006239D3" w:rsidP="00D4297D">
            <w:pPr>
              <w:pStyle w:val="BayerBodyTextFull"/>
              <w:keepLines/>
              <w:spacing w:before="0" w:after="0"/>
              <w:jc w:val="center"/>
              <w:rPr>
                <w:rFonts w:cs="Arial"/>
                <w:b/>
              </w:rPr>
            </w:pPr>
            <w:r w:rsidRPr="00B50C48">
              <w:rPr>
                <w:rFonts w:cs="Arial"/>
                <w:b/>
              </w:rPr>
              <w:t>Placebo n=</w:t>
            </w:r>
            <w:r>
              <w:rPr>
                <w:rFonts w:cs="Arial"/>
                <w:b/>
              </w:rPr>
              <w:t>64</w:t>
            </w:r>
          </w:p>
        </w:tc>
      </w:tr>
      <w:tr w:rsidR="006239D3" w:rsidRPr="00B50C48" w:rsidTr="00D4297D">
        <w:tc>
          <w:tcPr>
            <w:tcW w:w="3686" w:type="dxa"/>
            <w:shd w:val="clear" w:color="auto" w:fill="auto"/>
          </w:tcPr>
          <w:p w:rsidR="006239D3" w:rsidRPr="00B50C48" w:rsidRDefault="006239D3" w:rsidP="00D4297D">
            <w:pPr>
              <w:pStyle w:val="BayerBodyTextFull"/>
              <w:keepLines/>
              <w:spacing w:before="0" w:after="0"/>
              <w:rPr>
                <w:rFonts w:cs="Arial"/>
              </w:rPr>
            </w:pPr>
            <w:r w:rsidRPr="00B50C48">
              <w:rPr>
                <w:rFonts w:cs="Arial"/>
              </w:rPr>
              <w:t>Baseline (m)</w:t>
            </w:r>
          </w:p>
          <w:p w:rsidR="006239D3" w:rsidRPr="00B50C48" w:rsidRDefault="006239D3" w:rsidP="00D4297D">
            <w:pPr>
              <w:pStyle w:val="BayerBodyTextFull"/>
              <w:keepLines/>
              <w:spacing w:before="0" w:after="0"/>
              <w:rPr>
                <w:rFonts w:cs="Arial"/>
              </w:rPr>
            </w:pPr>
            <w:r w:rsidRPr="00B50C48">
              <w:rPr>
                <w:rFonts w:cs="Arial"/>
              </w:rPr>
              <w:t>[SD]</w:t>
            </w:r>
          </w:p>
        </w:tc>
        <w:tc>
          <w:tcPr>
            <w:tcW w:w="2693" w:type="dxa"/>
            <w:shd w:val="clear" w:color="auto" w:fill="auto"/>
          </w:tcPr>
          <w:p w:rsidR="006239D3" w:rsidRDefault="006239D3" w:rsidP="00D4297D">
            <w:pPr>
              <w:pStyle w:val="BayerBodyTextFull"/>
              <w:keepLines/>
              <w:spacing w:before="0" w:after="0"/>
              <w:jc w:val="center"/>
              <w:rPr>
                <w:rFonts w:cs="Arial"/>
              </w:rPr>
            </w:pPr>
            <w:r>
              <w:rPr>
                <w:rFonts w:cs="Arial"/>
              </w:rPr>
              <w:t>391</w:t>
            </w:r>
          </w:p>
          <w:p w:rsidR="006239D3" w:rsidRPr="00B50C48" w:rsidRDefault="006239D3" w:rsidP="00D4297D">
            <w:pPr>
              <w:pStyle w:val="BayerBodyTextFull"/>
              <w:keepLines/>
              <w:spacing w:before="0" w:after="0"/>
              <w:jc w:val="center"/>
              <w:rPr>
                <w:rFonts w:cs="Arial"/>
              </w:rPr>
            </w:pPr>
            <w:r>
              <w:rPr>
                <w:rFonts w:cs="Arial"/>
              </w:rPr>
              <w:t>[51]</w:t>
            </w:r>
          </w:p>
        </w:tc>
        <w:tc>
          <w:tcPr>
            <w:tcW w:w="2693" w:type="dxa"/>
            <w:shd w:val="clear" w:color="auto" w:fill="auto"/>
          </w:tcPr>
          <w:p w:rsidR="006239D3" w:rsidRDefault="006239D3" w:rsidP="00D4297D">
            <w:pPr>
              <w:pStyle w:val="BayerBodyTextFull"/>
              <w:keepLines/>
              <w:spacing w:before="0" w:after="0"/>
              <w:jc w:val="center"/>
              <w:rPr>
                <w:rFonts w:cs="Arial"/>
              </w:rPr>
            </w:pPr>
            <w:r>
              <w:rPr>
                <w:rFonts w:cs="Arial"/>
              </w:rPr>
              <w:t>394</w:t>
            </w:r>
          </w:p>
          <w:p w:rsidR="006239D3" w:rsidRPr="00B50C48" w:rsidRDefault="006239D3" w:rsidP="00D4297D">
            <w:pPr>
              <w:pStyle w:val="BayerBodyTextFull"/>
              <w:keepLines/>
              <w:spacing w:before="0" w:after="0"/>
              <w:jc w:val="center"/>
              <w:rPr>
                <w:rFonts w:cs="Arial"/>
              </w:rPr>
            </w:pPr>
            <w:r>
              <w:rPr>
                <w:rFonts w:cs="Arial"/>
              </w:rPr>
              <w:t>[59]</w:t>
            </w:r>
          </w:p>
        </w:tc>
      </w:tr>
      <w:tr w:rsidR="006239D3" w:rsidRPr="00B50C48" w:rsidTr="00D4297D">
        <w:tc>
          <w:tcPr>
            <w:tcW w:w="3686" w:type="dxa"/>
            <w:shd w:val="clear" w:color="auto" w:fill="auto"/>
          </w:tcPr>
          <w:p w:rsidR="006239D3" w:rsidRPr="00B50C48" w:rsidRDefault="006239D3" w:rsidP="00D4297D">
            <w:pPr>
              <w:pStyle w:val="BayerBodyTextFull"/>
              <w:keepLines/>
              <w:spacing w:before="0" w:after="0"/>
              <w:rPr>
                <w:rFonts w:cs="Arial"/>
              </w:rPr>
            </w:pPr>
            <w:r w:rsidRPr="00B50C48">
              <w:rPr>
                <w:rFonts w:cs="Arial"/>
              </w:rPr>
              <w:t>Change from baseline (m)</w:t>
            </w:r>
          </w:p>
          <w:p w:rsidR="006239D3" w:rsidRPr="00B50C48" w:rsidRDefault="006239D3" w:rsidP="00D4297D">
            <w:pPr>
              <w:pStyle w:val="BayerBodyTextFull"/>
              <w:keepLines/>
              <w:spacing w:before="0" w:after="0"/>
              <w:rPr>
                <w:rFonts w:cs="Arial"/>
              </w:rPr>
            </w:pPr>
            <w:r w:rsidRPr="00B50C48">
              <w:rPr>
                <w:rFonts w:cs="Arial"/>
              </w:rPr>
              <w:t>[SD]</w:t>
            </w:r>
          </w:p>
        </w:tc>
        <w:tc>
          <w:tcPr>
            <w:tcW w:w="2693" w:type="dxa"/>
            <w:shd w:val="clear" w:color="auto" w:fill="auto"/>
          </w:tcPr>
          <w:p w:rsidR="006239D3" w:rsidRDefault="006239D3" w:rsidP="00D4297D">
            <w:pPr>
              <w:pStyle w:val="BayerBodyTextFull"/>
              <w:keepLines/>
              <w:spacing w:before="0" w:after="0"/>
              <w:jc w:val="center"/>
              <w:rPr>
                <w:rFonts w:cs="Arial"/>
              </w:rPr>
            </w:pPr>
            <w:r>
              <w:rPr>
                <w:rFonts w:cs="Arial"/>
              </w:rPr>
              <w:t>30</w:t>
            </w:r>
          </w:p>
          <w:p w:rsidR="006239D3" w:rsidRPr="00B50C48" w:rsidRDefault="006239D3" w:rsidP="00D4297D">
            <w:pPr>
              <w:pStyle w:val="BayerBodyTextFull"/>
              <w:keepLines/>
              <w:spacing w:before="0" w:after="0"/>
              <w:jc w:val="center"/>
              <w:rPr>
                <w:rFonts w:cs="Arial"/>
              </w:rPr>
            </w:pPr>
            <w:r>
              <w:rPr>
                <w:rFonts w:cs="Arial"/>
              </w:rPr>
              <w:t>[67]</w:t>
            </w:r>
          </w:p>
        </w:tc>
        <w:tc>
          <w:tcPr>
            <w:tcW w:w="2693" w:type="dxa"/>
            <w:shd w:val="clear" w:color="auto" w:fill="auto"/>
          </w:tcPr>
          <w:p w:rsidR="006239D3" w:rsidRDefault="006239D3" w:rsidP="00D4297D">
            <w:pPr>
              <w:pStyle w:val="BayerBodyTextFull"/>
              <w:keepLines/>
              <w:spacing w:before="0" w:after="0"/>
              <w:jc w:val="center"/>
              <w:rPr>
                <w:rFonts w:cs="Arial"/>
              </w:rPr>
            </w:pPr>
            <w:r>
              <w:rPr>
                <w:rFonts w:cs="Arial"/>
              </w:rPr>
              <w:t>18</w:t>
            </w:r>
          </w:p>
          <w:p w:rsidR="006239D3" w:rsidRPr="00B50C48" w:rsidRDefault="006239D3" w:rsidP="00D4297D">
            <w:pPr>
              <w:pStyle w:val="BayerBodyTextFull"/>
              <w:keepLines/>
              <w:spacing w:before="0" w:after="0"/>
              <w:jc w:val="center"/>
              <w:rPr>
                <w:rFonts w:cs="Arial"/>
              </w:rPr>
            </w:pPr>
            <w:r>
              <w:rPr>
                <w:rFonts w:cs="Arial"/>
              </w:rPr>
              <w:t>[63]</w:t>
            </w:r>
          </w:p>
        </w:tc>
      </w:tr>
      <w:tr w:rsidR="006239D3" w:rsidRPr="00B50C48" w:rsidTr="00D4297D">
        <w:tc>
          <w:tcPr>
            <w:tcW w:w="3686" w:type="dxa"/>
            <w:shd w:val="clear" w:color="auto" w:fill="auto"/>
          </w:tcPr>
          <w:p w:rsidR="006239D3" w:rsidRPr="00B50C48" w:rsidRDefault="006239D3" w:rsidP="00D4297D">
            <w:pPr>
              <w:pStyle w:val="BayerBodyTextFull"/>
              <w:keepLines/>
              <w:spacing w:before="0" w:after="0"/>
              <w:rPr>
                <w:rFonts w:cs="Arial"/>
              </w:rPr>
            </w:pPr>
            <w:r w:rsidRPr="00B50C48">
              <w:rPr>
                <w:rFonts w:cs="Arial"/>
              </w:rPr>
              <w:t>Placebo</w:t>
            </w:r>
            <w:r w:rsidRPr="00B50C48">
              <w:rPr>
                <w:rFonts w:cs="Arial"/>
              </w:rPr>
              <w:noBreakHyphen/>
              <w:t>corrected difference (m) 95% CI</w:t>
            </w:r>
          </w:p>
        </w:tc>
        <w:tc>
          <w:tcPr>
            <w:tcW w:w="5386" w:type="dxa"/>
            <w:gridSpan w:val="2"/>
            <w:shd w:val="clear" w:color="auto" w:fill="auto"/>
          </w:tcPr>
          <w:p w:rsidR="006239D3" w:rsidRDefault="00EC5949" w:rsidP="00D4297D">
            <w:pPr>
              <w:pStyle w:val="BayerBodyTextFull"/>
              <w:keepLines/>
              <w:spacing w:before="0" w:after="0"/>
              <w:jc w:val="center"/>
              <w:rPr>
                <w:rFonts w:cs="Arial"/>
              </w:rPr>
            </w:pPr>
            <w:r>
              <w:rPr>
                <w:rFonts w:cs="Arial"/>
              </w:rPr>
              <w:t>12</w:t>
            </w:r>
          </w:p>
          <w:p w:rsidR="00EC5949" w:rsidRPr="00B50C48" w:rsidRDefault="00EC5949" w:rsidP="007E2ACF">
            <w:pPr>
              <w:pStyle w:val="BayerBodyTextFull"/>
              <w:keepLines/>
              <w:spacing w:before="0" w:after="0"/>
              <w:jc w:val="center"/>
              <w:rPr>
                <w:rFonts w:cs="Arial"/>
              </w:rPr>
            </w:pPr>
            <w:r>
              <w:rPr>
                <w:rFonts w:cs="Arial"/>
              </w:rPr>
              <w:t xml:space="preserve">-8 m to </w:t>
            </w:r>
            <w:r w:rsidR="007E2ACF">
              <w:rPr>
                <w:rFonts w:cs="Arial"/>
              </w:rPr>
              <w:t>32</w:t>
            </w:r>
            <w:r>
              <w:rPr>
                <w:rFonts w:cs="Arial"/>
              </w:rPr>
              <w:t xml:space="preserve"> m</w:t>
            </w:r>
          </w:p>
        </w:tc>
      </w:tr>
      <w:tr w:rsidR="00A23C21" w:rsidRPr="00B50C48" w:rsidTr="00D4297D">
        <w:tc>
          <w:tcPr>
            <w:tcW w:w="3686" w:type="dxa"/>
            <w:shd w:val="clear" w:color="auto" w:fill="D9D9D9"/>
          </w:tcPr>
          <w:p w:rsidR="00A23C21" w:rsidRPr="00B50C48" w:rsidRDefault="00A23C21" w:rsidP="00D4297D">
            <w:pPr>
              <w:pStyle w:val="BayerBodyTextFull"/>
              <w:keepLines/>
              <w:spacing w:before="0" w:after="0"/>
              <w:rPr>
                <w:rFonts w:cs="Arial"/>
                <w:b/>
              </w:rPr>
            </w:pPr>
            <w:r>
              <w:rPr>
                <w:rFonts w:cs="Arial"/>
                <w:b/>
              </w:rPr>
              <w:t>WHO Functional Class III/IV</w:t>
            </w:r>
            <w:r w:rsidRPr="006239D3">
              <w:rPr>
                <w:rFonts w:cs="Arial"/>
                <w:b/>
              </w:rPr>
              <w:t xml:space="preserve"> at baseline</w:t>
            </w:r>
          </w:p>
        </w:tc>
        <w:tc>
          <w:tcPr>
            <w:tcW w:w="2693" w:type="dxa"/>
            <w:shd w:val="clear" w:color="auto" w:fill="D9D9D9"/>
          </w:tcPr>
          <w:p w:rsidR="00A23C21" w:rsidRPr="00B50C48" w:rsidRDefault="00A23C21" w:rsidP="00D4297D">
            <w:pPr>
              <w:pStyle w:val="BayerBodyTextFull"/>
              <w:keepLines/>
              <w:spacing w:before="0" w:after="0"/>
              <w:jc w:val="center"/>
              <w:rPr>
                <w:rFonts w:cs="Arial"/>
                <w:b/>
              </w:rPr>
            </w:pPr>
            <w:r w:rsidRPr="00B50C48">
              <w:rPr>
                <w:rFonts w:cs="Arial"/>
                <w:b/>
              </w:rPr>
              <w:t>Riociguat (IDT) n=</w:t>
            </w:r>
            <w:r>
              <w:rPr>
                <w:rFonts w:cs="Arial"/>
                <w:b/>
              </w:rPr>
              <w:t>141</w:t>
            </w:r>
          </w:p>
        </w:tc>
        <w:tc>
          <w:tcPr>
            <w:tcW w:w="2693" w:type="dxa"/>
            <w:shd w:val="clear" w:color="auto" w:fill="D9D9D9"/>
          </w:tcPr>
          <w:p w:rsidR="00A23C21" w:rsidRPr="00B50C48" w:rsidRDefault="00A23C21" w:rsidP="00D4297D">
            <w:pPr>
              <w:pStyle w:val="BayerBodyTextFull"/>
              <w:keepLines/>
              <w:spacing w:before="0" w:after="0"/>
              <w:jc w:val="center"/>
              <w:rPr>
                <w:rFonts w:cs="Arial"/>
                <w:b/>
              </w:rPr>
            </w:pPr>
            <w:r w:rsidRPr="00B50C48">
              <w:rPr>
                <w:rFonts w:cs="Arial"/>
                <w:b/>
              </w:rPr>
              <w:t>Placebo n=</w:t>
            </w:r>
            <w:r>
              <w:rPr>
                <w:rFonts w:cs="Arial"/>
                <w:b/>
              </w:rPr>
              <w:t>61</w:t>
            </w:r>
          </w:p>
        </w:tc>
      </w:tr>
      <w:tr w:rsidR="00A23C21" w:rsidRPr="00B50C48" w:rsidTr="00D4297D">
        <w:tc>
          <w:tcPr>
            <w:tcW w:w="3686" w:type="dxa"/>
            <w:shd w:val="clear" w:color="auto" w:fill="auto"/>
          </w:tcPr>
          <w:p w:rsidR="00A23C21" w:rsidRPr="00B50C48" w:rsidRDefault="00A23C21" w:rsidP="00D4297D">
            <w:pPr>
              <w:pStyle w:val="BayerBodyTextFull"/>
              <w:keepLines/>
              <w:spacing w:before="0" w:after="0"/>
              <w:rPr>
                <w:rFonts w:cs="Arial"/>
              </w:rPr>
            </w:pPr>
            <w:r w:rsidRPr="00B50C48">
              <w:rPr>
                <w:rFonts w:cs="Arial"/>
              </w:rPr>
              <w:t>Baseline (m)</w:t>
            </w:r>
          </w:p>
          <w:p w:rsidR="00A23C21" w:rsidRPr="00B50C48" w:rsidRDefault="00A23C21" w:rsidP="00D4297D">
            <w:pPr>
              <w:pStyle w:val="BayerBodyTextFull"/>
              <w:keepLines/>
              <w:spacing w:before="0" w:after="0"/>
              <w:rPr>
                <w:rFonts w:cs="Arial"/>
              </w:rPr>
            </w:pPr>
            <w:r w:rsidRPr="00B50C48">
              <w:rPr>
                <w:rFonts w:cs="Arial"/>
              </w:rPr>
              <w:t>[SD]</w:t>
            </w:r>
          </w:p>
        </w:tc>
        <w:tc>
          <w:tcPr>
            <w:tcW w:w="2693" w:type="dxa"/>
            <w:shd w:val="clear" w:color="auto" w:fill="auto"/>
          </w:tcPr>
          <w:p w:rsidR="00A23C21" w:rsidRDefault="005338B6" w:rsidP="00D4297D">
            <w:pPr>
              <w:pStyle w:val="BayerBodyTextFull"/>
              <w:keepLines/>
              <w:spacing w:before="0" w:after="0"/>
              <w:jc w:val="center"/>
              <w:rPr>
                <w:rFonts w:cs="Arial"/>
              </w:rPr>
            </w:pPr>
            <w:r>
              <w:rPr>
                <w:rFonts w:cs="Arial"/>
              </w:rPr>
              <w:t>338</w:t>
            </w:r>
          </w:p>
          <w:p w:rsidR="005338B6" w:rsidRPr="00B50C48" w:rsidRDefault="005338B6" w:rsidP="00D4297D">
            <w:pPr>
              <w:pStyle w:val="BayerBodyTextFull"/>
              <w:keepLines/>
              <w:spacing w:before="0" w:after="0"/>
              <w:jc w:val="center"/>
              <w:rPr>
                <w:rFonts w:cs="Arial"/>
              </w:rPr>
            </w:pPr>
            <w:r>
              <w:rPr>
                <w:rFonts w:cs="Arial"/>
              </w:rPr>
              <w:t>[70]</w:t>
            </w:r>
          </w:p>
        </w:tc>
        <w:tc>
          <w:tcPr>
            <w:tcW w:w="2693" w:type="dxa"/>
            <w:shd w:val="clear" w:color="auto" w:fill="auto"/>
          </w:tcPr>
          <w:p w:rsidR="00A23C21" w:rsidRDefault="005338B6" w:rsidP="00D4297D">
            <w:pPr>
              <w:pStyle w:val="BayerBodyTextFull"/>
              <w:keepLines/>
              <w:spacing w:before="0" w:after="0"/>
              <w:jc w:val="center"/>
              <w:rPr>
                <w:rFonts w:cs="Arial"/>
              </w:rPr>
            </w:pPr>
            <w:r>
              <w:rPr>
                <w:rFonts w:cs="Arial"/>
              </w:rPr>
              <w:t>341</w:t>
            </w:r>
          </w:p>
          <w:p w:rsidR="005338B6" w:rsidRPr="00B50C48" w:rsidRDefault="005338B6" w:rsidP="00D4297D">
            <w:pPr>
              <w:pStyle w:val="BayerBodyTextFull"/>
              <w:keepLines/>
              <w:spacing w:before="0" w:after="0"/>
              <w:jc w:val="center"/>
              <w:rPr>
                <w:rFonts w:cs="Arial"/>
              </w:rPr>
            </w:pPr>
            <w:r>
              <w:rPr>
                <w:rFonts w:cs="Arial"/>
              </w:rPr>
              <w:t>[80]</w:t>
            </w:r>
          </w:p>
        </w:tc>
      </w:tr>
      <w:tr w:rsidR="00A23C21" w:rsidRPr="00B50C48" w:rsidTr="00D4297D">
        <w:tc>
          <w:tcPr>
            <w:tcW w:w="3686" w:type="dxa"/>
            <w:shd w:val="clear" w:color="auto" w:fill="auto"/>
          </w:tcPr>
          <w:p w:rsidR="00A23C21" w:rsidRPr="00B50C48" w:rsidRDefault="00A23C21" w:rsidP="00D4297D">
            <w:pPr>
              <w:pStyle w:val="BayerBodyTextFull"/>
              <w:keepLines/>
              <w:spacing w:before="0" w:after="0"/>
              <w:rPr>
                <w:rFonts w:cs="Arial"/>
              </w:rPr>
            </w:pPr>
            <w:r w:rsidRPr="00B50C48">
              <w:rPr>
                <w:rFonts w:cs="Arial"/>
              </w:rPr>
              <w:t>Change from baseline (m)</w:t>
            </w:r>
          </w:p>
          <w:p w:rsidR="00A23C21" w:rsidRPr="00B50C48" w:rsidRDefault="00A23C21" w:rsidP="00D4297D">
            <w:pPr>
              <w:pStyle w:val="BayerBodyTextFull"/>
              <w:keepLines/>
              <w:spacing w:before="0" w:after="0"/>
              <w:rPr>
                <w:rFonts w:cs="Arial"/>
              </w:rPr>
            </w:pPr>
            <w:r w:rsidRPr="00B50C48">
              <w:rPr>
                <w:rFonts w:cs="Arial"/>
              </w:rPr>
              <w:t>[SD]</w:t>
            </w:r>
          </w:p>
        </w:tc>
        <w:tc>
          <w:tcPr>
            <w:tcW w:w="2693" w:type="dxa"/>
            <w:shd w:val="clear" w:color="auto" w:fill="auto"/>
          </w:tcPr>
          <w:p w:rsidR="00A23C21" w:rsidRDefault="005338B6" w:rsidP="00D4297D">
            <w:pPr>
              <w:pStyle w:val="BayerBodyTextFull"/>
              <w:keepLines/>
              <w:spacing w:before="0" w:after="0"/>
              <w:jc w:val="center"/>
              <w:rPr>
                <w:rFonts w:cs="Arial"/>
              </w:rPr>
            </w:pPr>
            <w:r>
              <w:rPr>
                <w:rFonts w:cs="Arial"/>
              </w:rPr>
              <w:t>39</w:t>
            </w:r>
          </w:p>
          <w:p w:rsidR="005338B6" w:rsidRPr="00B50C48" w:rsidRDefault="005338B6" w:rsidP="00D4297D">
            <w:pPr>
              <w:pStyle w:val="BayerBodyTextFull"/>
              <w:keepLines/>
              <w:spacing w:before="0" w:after="0"/>
              <w:jc w:val="center"/>
              <w:rPr>
                <w:rFonts w:cs="Arial"/>
              </w:rPr>
            </w:pPr>
            <w:r>
              <w:rPr>
                <w:rFonts w:cs="Arial"/>
              </w:rPr>
              <w:t>[65]</w:t>
            </w:r>
          </w:p>
        </w:tc>
        <w:tc>
          <w:tcPr>
            <w:tcW w:w="2693" w:type="dxa"/>
            <w:shd w:val="clear" w:color="auto" w:fill="auto"/>
          </w:tcPr>
          <w:p w:rsidR="00A23C21" w:rsidRDefault="005338B6" w:rsidP="00D4297D">
            <w:pPr>
              <w:pStyle w:val="BayerBodyTextFull"/>
              <w:keepLines/>
              <w:spacing w:before="0" w:after="0"/>
              <w:jc w:val="center"/>
              <w:rPr>
                <w:rFonts w:cs="Arial"/>
              </w:rPr>
            </w:pPr>
            <w:r>
              <w:rPr>
                <w:rFonts w:cs="Arial"/>
              </w:rPr>
              <w:t>-30</w:t>
            </w:r>
          </w:p>
          <w:p w:rsidR="005338B6" w:rsidRPr="00B50C48" w:rsidRDefault="005338B6" w:rsidP="00D4297D">
            <w:pPr>
              <w:pStyle w:val="BayerBodyTextFull"/>
              <w:keepLines/>
              <w:spacing w:before="0" w:after="0"/>
              <w:jc w:val="center"/>
              <w:rPr>
                <w:rFonts w:cs="Arial"/>
              </w:rPr>
            </w:pPr>
            <w:r>
              <w:rPr>
                <w:rFonts w:cs="Arial"/>
              </w:rPr>
              <w:t>[99]</w:t>
            </w:r>
          </w:p>
        </w:tc>
      </w:tr>
      <w:tr w:rsidR="00A23C21" w:rsidRPr="00B50C48" w:rsidTr="00D4297D">
        <w:tc>
          <w:tcPr>
            <w:tcW w:w="3686" w:type="dxa"/>
            <w:shd w:val="clear" w:color="auto" w:fill="auto"/>
          </w:tcPr>
          <w:p w:rsidR="00A23C21" w:rsidRPr="00B50C48" w:rsidRDefault="00A23C21" w:rsidP="00D4297D">
            <w:pPr>
              <w:pStyle w:val="BayerBodyTextFull"/>
              <w:keepLines/>
              <w:spacing w:before="0" w:after="0"/>
              <w:rPr>
                <w:rFonts w:cs="Arial"/>
              </w:rPr>
            </w:pPr>
            <w:r w:rsidRPr="00B50C48">
              <w:rPr>
                <w:rFonts w:cs="Arial"/>
              </w:rPr>
              <w:t>Placebo</w:t>
            </w:r>
            <w:r w:rsidRPr="00B50C48">
              <w:rPr>
                <w:rFonts w:cs="Arial"/>
              </w:rPr>
              <w:noBreakHyphen/>
              <w:t>corrected difference (m) 95% CI</w:t>
            </w:r>
          </w:p>
        </w:tc>
        <w:tc>
          <w:tcPr>
            <w:tcW w:w="5386" w:type="dxa"/>
            <w:gridSpan w:val="2"/>
            <w:shd w:val="clear" w:color="auto" w:fill="auto"/>
          </w:tcPr>
          <w:p w:rsidR="00A23C21" w:rsidRDefault="00EC5949" w:rsidP="00D4297D">
            <w:pPr>
              <w:pStyle w:val="BayerBodyTextFull"/>
              <w:keepLines/>
              <w:spacing w:before="0" w:after="0"/>
              <w:jc w:val="center"/>
              <w:rPr>
                <w:rFonts w:cs="Arial"/>
              </w:rPr>
            </w:pPr>
            <w:r>
              <w:rPr>
                <w:rFonts w:cs="Arial"/>
              </w:rPr>
              <w:t>60</w:t>
            </w:r>
          </w:p>
          <w:p w:rsidR="00EC5949" w:rsidRPr="00B50C48" w:rsidRDefault="00EC5949" w:rsidP="00D4297D">
            <w:pPr>
              <w:pStyle w:val="BayerBodyTextFull"/>
              <w:keepLines/>
              <w:spacing w:before="0" w:after="0"/>
              <w:jc w:val="center"/>
              <w:rPr>
                <w:rFonts w:cs="Arial"/>
              </w:rPr>
            </w:pPr>
            <w:r>
              <w:rPr>
                <w:rFonts w:cs="Arial"/>
              </w:rPr>
              <w:t>36 m to 83 m</w:t>
            </w:r>
          </w:p>
        </w:tc>
      </w:tr>
    </w:tbl>
    <w:p w:rsidR="008A733B" w:rsidRPr="00B50C48" w:rsidRDefault="008A733B" w:rsidP="008A733B">
      <w:pPr>
        <w:pStyle w:val="Caption"/>
        <w:ind w:hanging="907"/>
        <w:rPr>
          <w:rFonts w:cs="Arial"/>
        </w:rPr>
      </w:pPr>
      <w:bookmarkStart w:id="5" w:name="_Ref382842767"/>
      <w:r w:rsidRPr="00B50C48">
        <w:lastRenderedPageBreak/>
        <w:t xml:space="preserve">Figure </w:t>
      </w:r>
      <w:r>
        <w:fldChar w:fldCharType="begin"/>
      </w:r>
      <w:r>
        <w:instrText xml:space="preserve"> SEQ Figure \* ARABIC </w:instrText>
      </w:r>
      <w:r>
        <w:fldChar w:fldCharType="separate"/>
      </w:r>
      <w:r w:rsidR="00407B88">
        <w:rPr>
          <w:noProof/>
        </w:rPr>
        <w:t>2</w:t>
      </w:r>
      <w:r>
        <w:rPr>
          <w:noProof/>
        </w:rPr>
        <w:fldChar w:fldCharType="end"/>
      </w:r>
      <w:bookmarkEnd w:id="5"/>
      <w:r w:rsidRPr="00B50C48">
        <w:rPr>
          <w:rFonts w:cs="Arial"/>
          <w:noProof/>
        </w:rPr>
        <w:t>: 6-minute Walk Distance Over 12 Weeks</w:t>
      </w:r>
    </w:p>
    <w:p w:rsidR="008A733B" w:rsidRPr="00B50C48" w:rsidRDefault="00A86C5C" w:rsidP="008A733B">
      <w:pPr>
        <w:spacing w:before="240" w:after="120"/>
        <w:rPr>
          <w:rFonts w:eastAsia="MS Mincho"/>
          <w:sz w:val="24"/>
          <w:szCs w:val="24"/>
          <w:lang w:eastAsia="ja-JP"/>
        </w:rPr>
      </w:pPr>
      <w:r>
        <w:rPr>
          <w:rFonts w:eastAsia="MS Mincho"/>
          <w:noProof/>
          <w:sz w:val="24"/>
          <w:szCs w:val="24"/>
        </w:rPr>
        <w:drawing>
          <wp:inline distT="0" distB="0" distL="0" distR="0">
            <wp:extent cx="5096510" cy="3991610"/>
            <wp:effectExtent l="0" t="0" r="8890" b="889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6510" cy="3991610"/>
                    </a:xfrm>
                    <a:prstGeom prst="rect">
                      <a:avLst/>
                    </a:prstGeom>
                    <a:noFill/>
                    <a:ln>
                      <a:noFill/>
                    </a:ln>
                  </pic:spPr>
                </pic:pic>
              </a:graphicData>
            </a:graphic>
          </wp:inline>
        </w:drawing>
      </w:r>
    </w:p>
    <w:p w:rsidR="005C6F27" w:rsidRDefault="008A733B" w:rsidP="005C6F27">
      <w:pPr>
        <w:spacing w:before="240" w:after="120"/>
        <w:jc w:val="both"/>
        <w:rPr>
          <w:rFonts w:eastAsia="MS Mincho"/>
          <w:szCs w:val="24"/>
          <w:lang w:eastAsia="ja-JP"/>
        </w:rPr>
      </w:pPr>
      <w:r w:rsidRPr="00B50C48">
        <w:rPr>
          <w:rFonts w:eastAsia="MS Mincho"/>
          <w:szCs w:val="24"/>
          <w:lang w:eastAsia="ja-JP"/>
        </w:rPr>
        <w:t>Last visit = last observed value—not including follow-up—for patients who completed the study or withdrew, except imputed worst value (zero) in case of death or clinical worsening without a termination visit or a measurement at that termination visit.</w:t>
      </w:r>
    </w:p>
    <w:p w:rsidR="005C6F27" w:rsidRDefault="00F844DC" w:rsidP="005C6F27">
      <w:pPr>
        <w:spacing w:before="240" w:after="120"/>
        <w:jc w:val="both"/>
        <w:rPr>
          <w:sz w:val="22"/>
        </w:rPr>
      </w:pPr>
      <w:r>
        <w:rPr>
          <w:sz w:val="22"/>
        </w:rPr>
        <w:t>There was an exploratory 1.5 mg capped titration arm (n = 63). The data did not suggest incremental benefit from escalating dose from 1.5 mg three times a day to 2.5 mg three times a day.</w:t>
      </w:r>
    </w:p>
    <w:p w:rsidR="00F51C78" w:rsidRPr="005C6F27" w:rsidRDefault="00F51C78" w:rsidP="005C6F27">
      <w:pPr>
        <w:spacing w:before="240" w:after="120"/>
        <w:jc w:val="both"/>
        <w:rPr>
          <w:rFonts w:eastAsia="MS Mincho"/>
          <w:szCs w:val="24"/>
          <w:lang w:eastAsia="ja-JP"/>
        </w:rPr>
      </w:pPr>
      <w:r>
        <w:rPr>
          <w:sz w:val="22"/>
        </w:rPr>
        <w:t xml:space="preserve">A </w:t>
      </w:r>
      <w:r w:rsidRPr="00F51C78">
        <w:rPr>
          <w:i/>
          <w:sz w:val="22"/>
        </w:rPr>
        <w:t>post</w:t>
      </w:r>
      <w:r w:rsidR="00111328">
        <w:rPr>
          <w:i/>
          <w:sz w:val="22"/>
        </w:rPr>
        <w:t xml:space="preserve"> </w:t>
      </w:r>
      <w:r w:rsidRPr="00F51C78">
        <w:rPr>
          <w:i/>
          <w:sz w:val="22"/>
        </w:rPr>
        <w:t>hoc</w:t>
      </w:r>
      <w:r>
        <w:rPr>
          <w:sz w:val="22"/>
        </w:rPr>
        <w:t xml:space="preserve"> analysis was conducted in patients with PAH associated with congenital heart disease who underwent surgical correction for their atrial septal defect or ventricle septal defect. A placebo-corrected treatment response of 41 m (95% CI -0.5 to 82.6) in the 6MWD was observed. </w:t>
      </w:r>
    </w:p>
    <w:p w:rsidR="00C5155B" w:rsidRPr="00B50C48" w:rsidRDefault="00ED01F4" w:rsidP="00D92925">
      <w:pPr>
        <w:pStyle w:val="BayerBodyTextFull"/>
        <w:keepNext/>
        <w:keepLines/>
        <w:spacing w:after="240" w:line="276" w:lineRule="auto"/>
        <w:rPr>
          <w:sz w:val="22"/>
          <w:u w:val="single"/>
        </w:rPr>
      </w:pPr>
      <w:r>
        <w:rPr>
          <w:sz w:val="22"/>
          <w:u w:val="single"/>
        </w:rPr>
        <w:t>Secondary Endpoints</w:t>
      </w:r>
    </w:p>
    <w:p w:rsidR="00A13E9E" w:rsidRPr="00B50C48" w:rsidRDefault="00C5155B" w:rsidP="00A26621">
      <w:pPr>
        <w:pStyle w:val="BayerBodyTextFull"/>
        <w:spacing w:after="240" w:line="276" w:lineRule="auto"/>
        <w:rPr>
          <w:sz w:val="22"/>
        </w:rPr>
      </w:pPr>
      <w:r w:rsidRPr="00B50C48">
        <w:rPr>
          <w:sz w:val="22"/>
        </w:rPr>
        <w:t xml:space="preserve">Improvements in walking distance were complemented with consistent improvements in clinically relevant secondary endpoints. </w:t>
      </w:r>
    </w:p>
    <w:p w:rsidR="00A13E9E" w:rsidRPr="00B50C48" w:rsidRDefault="00C5155B" w:rsidP="00A26621">
      <w:pPr>
        <w:pStyle w:val="BayerBodyTextFull"/>
        <w:spacing w:after="240" w:line="276" w:lineRule="auto"/>
        <w:rPr>
          <w:sz w:val="22"/>
        </w:rPr>
      </w:pPr>
      <w:r w:rsidRPr="00B50C48">
        <w:rPr>
          <w:sz w:val="22"/>
        </w:rPr>
        <w:t>A statistically significant improvement for the riociguat group over placebo was shown for the following secondary efficacy variables:</w:t>
      </w:r>
    </w:p>
    <w:p w:rsidR="00C5155B" w:rsidRPr="00B50C48" w:rsidRDefault="00C5155B" w:rsidP="00A26621">
      <w:pPr>
        <w:pStyle w:val="BayerBodyTextFull"/>
        <w:numPr>
          <w:ilvl w:val="0"/>
          <w:numId w:val="29"/>
        </w:numPr>
        <w:spacing w:after="240" w:line="276" w:lineRule="auto"/>
        <w:rPr>
          <w:sz w:val="22"/>
        </w:rPr>
      </w:pPr>
      <w:r w:rsidRPr="00B50C48">
        <w:rPr>
          <w:sz w:val="22"/>
        </w:rPr>
        <w:t>Pulmonary vascular resistance (PVR): Significantly reduced PVR (placebo</w:t>
      </w:r>
      <w:r w:rsidRPr="00B50C48">
        <w:rPr>
          <w:sz w:val="22"/>
        </w:rPr>
        <w:noBreakHyphen/>
        <w:t xml:space="preserve">corrected mean change from baseline of </w:t>
      </w:r>
      <w:r w:rsidRPr="00B50C48">
        <w:rPr>
          <w:sz w:val="22"/>
        </w:rPr>
        <w:noBreakHyphen/>
        <w:t>226 dyn*s*cm</w:t>
      </w:r>
      <w:r w:rsidRPr="00B50C48">
        <w:rPr>
          <w:sz w:val="22"/>
          <w:vertAlign w:val="superscript"/>
        </w:rPr>
        <w:t>-5</w:t>
      </w:r>
      <w:r w:rsidRPr="00B50C48">
        <w:rPr>
          <w:sz w:val="22"/>
        </w:rPr>
        <w:t xml:space="preserve">; 95% CI </w:t>
      </w:r>
      <w:r w:rsidRPr="00B50C48">
        <w:rPr>
          <w:sz w:val="22"/>
        </w:rPr>
        <w:noBreakHyphen/>
        <w:t>281 to </w:t>
      </w:r>
      <w:r w:rsidRPr="00B50C48">
        <w:rPr>
          <w:sz w:val="22"/>
        </w:rPr>
        <w:noBreakHyphen/>
        <w:t xml:space="preserve">170; </w:t>
      </w:r>
      <w:r w:rsidRPr="00B50C48">
        <w:rPr>
          <w:color w:val="000000"/>
          <w:sz w:val="22"/>
        </w:rPr>
        <w:t>p</w:t>
      </w:r>
      <w:r w:rsidRPr="00B50C48">
        <w:rPr>
          <w:color w:val="000000"/>
          <w:sz w:val="22"/>
        </w:rPr>
        <w:sym w:font="Symbol" w:char="F03C"/>
      </w:r>
      <w:r w:rsidRPr="00B50C48">
        <w:rPr>
          <w:color w:val="000000"/>
          <w:sz w:val="22"/>
        </w:rPr>
        <w:t xml:space="preserve">0.0001; </w:t>
      </w:r>
      <w:r w:rsidR="0064114C">
        <w:rPr>
          <w:sz w:val="22"/>
        </w:rPr>
        <w:t xml:space="preserve">see </w:t>
      </w:r>
      <w:r w:rsidR="004A0E91" w:rsidRPr="005F6578">
        <w:rPr>
          <w:sz w:val="22"/>
          <w:szCs w:val="22"/>
        </w:rPr>
        <w:fldChar w:fldCharType="begin"/>
      </w:r>
      <w:r w:rsidR="004A0E91" w:rsidRPr="004A0E91">
        <w:rPr>
          <w:sz w:val="22"/>
          <w:szCs w:val="22"/>
        </w:rPr>
        <w:instrText xml:space="preserve"> REF _Ref375152830 </w:instrText>
      </w:r>
      <w:r w:rsidR="004A0E91">
        <w:rPr>
          <w:sz w:val="22"/>
          <w:szCs w:val="22"/>
        </w:rPr>
        <w:instrText xml:space="preserve"> \* MERGEFORMAT </w:instrText>
      </w:r>
      <w:r w:rsidR="004A0E91" w:rsidRPr="004A0E91">
        <w:rPr>
          <w:sz w:val="22"/>
          <w:szCs w:val="22"/>
        </w:rPr>
        <w:fldChar w:fldCharType="separate"/>
      </w:r>
      <w:r w:rsidR="00407B88" w:rsidRPr="002E3024">
        <w:rPr>
          <w:sz w:val="22"/>
          <w:szCs w:val="22"/>
        </w:rPr>
        <w:t xml:space="preserve">Table </w:t>
      </w:r>
      <w:r w:rsidR="00407B88" w:rsidRPr="002E3024">
        <w:rPr>
          <w:noProof/>
          <w:sz w:val="22"/>
          <w:szCs w:val="22"/>
        </w:rPr>
        <w:t>7</w:t>
      </w:r>
      <w:r w:rsidR="004A0E91" w:rsidRPr="004A0E91">
        <w:rPr>
          <w:sz w:val="22"/>
          <w:szCs w:val="22"/>
        </w:rPr>
        <w:fldChar w:fldCharType="end"/>
      </w:r>
      <w:r w:rsidRPr="00B50C48">
        <w:rPr>
          <w:sz w:val="22"/>
        </w:rPr>
        <w:t>).</w:t>
      </w:r>
    </w:p>
    <w:p w:rsidR="00C5155B" w:rsidRPr="00B50C48" w:rsidRDefault="00C5155B" w:rsidP="00D92925">
      <w:pPr>
        <w:pStyle w:val="BayerBodyTextFull"/>
        <w:numPr>
          <w:ilvl w:val="0"/>
          <w:numId w:val="26"/>
        </w:numPr>
        <w:spacing w:after="240" w:line="276" w:lineRule="auto"/>
        <w:jc w:val="both"/>
        <w:rPr>
          <w:sz w:val="22"/>
        </w:rPr>
      </w:pPr>
      <w:r w:rsidRPr="00B50C48">
        <w:rPr>
          <w:sz w:val="22"/>
        </w:rPr>
        <w:t>NT-proBNP: Significantly reduced NT-proBNP (placebo</w:t>
      </w:r>
      <w:r w:rsidRPr="00B50C48">
        <w:rPr>
          <w:sz w:val="22"/>
        </w:rPr>
        <w:noBreakHyphen/>
        <w:t xml:space="preserve">corrected mean change from baseline </w:t>
      </w:r>
      <w:r w:rsidRPr="00B50C48">
        <w:rPr>
          <w:sz w:val="22"/>
        </w:rPr>
        <w:noBreakHyphen/>
        <w:t xml:space="preserve">432 ng/L, 95% CI </w:t>
      </w:r>
      <w:r w:rsidRPr="00B50C48">
        <w:rPr>
          <w:sz w:val="22"/>
        </w:rPr>
        <w:noBreakHyphen/>
        <w:t>782 to </w:t>
      </w:r>
      <w:r w:rsidRPr="00B50C48">
        <w:rPr>
          <w:sz w:val="22"/>
        </w:rPr>
        <w:noBreakHyphen/>
        <w:t>82;</w:t>
      </w:r>
      <w:r w:rsidR="0034044E">
        <w:rPr>
          <w:sz w:val="22"/>
        </w:rPr>
        <w:t xml:space="preserve"> p&lt;0.0001</w:t>
      </w:r>
      <w:r w:rsidR="00EE481E">
        <w:rPr>
          <w:sz w:val="22"/>
        </w:rPr>
        <w:t>;</w:t>
      </w:r>
      <w:r w:rsidR="0064114C">
        <w:rPr>
          <w:sz w:val="22"/>
        </w:rPr>
        <w:t xml:space="preserve"> see</w:t>
      </w:r>
      <w:r w:rsidR="005F6578">
        <w:rPr>
          <w:sz w:val="22"/>
          <w:szCs w:val="22"/>
        </w:rPr>
        <w:t xml:space="preserve"> </w:t>
      </w:r>
      <w:r w:rsidR="005F6578" w:rsidRPr="005F6578">
        <w:rPr>
          <w:sz w:val="22"/>
          <w:szCs w:val="22"/>
        </w:rPr>
        <w:fldChar w:fldCharType="begin"/>
      </w:r>
      <w:r w:rsidR="005F6578" w:rsidRPr="004A0E91">
        <w:rPr>
          <w:sz w:val="22"/>
          <w:szCs w:val="22"/>
        </w:rPr>
        <w:instrText xml:space="preserve"> REF _Ref375152830 </w:instrText>
      </w:r>
      <w:r w:rsidR="005F6578">
        <w:rPr>
          <w:sz w:val="22"/>
          <w:szCs w:val="22"/>
        </w:rPr>
        <w:instrText xml:space="preserve"> \* MERGEFORMAT </w:instrText>
      </w:r>
      <w:r w:rsidR="005F6578" w:rsidRPr="004A0E91">
        <w:rPr>
          <w:sz w:val="22"/>
          <w:szCs w:val="22"/>
        </w:rPr>
        <w:fldChar w:fldCharType="separate"/>
      </w:r>
      <w:r w:rsidR="00407B88" w:rsidRPr="002E3024">
        <w:rPr>
          <w:sz w:val="22"/>
          <w:szCs w:val="22"/>
        </w:rPr>
        <w:t xml:space="preserve">Table </w:t>
      </w:r>
      <w:r w:rsidR="00407B88" w:rsidRPr="002E3024">
        <w:rPr>
          <w:noProof/>
          <w:sz w:val="22"/>
          <w:szCs w:val="22"/>
        </w:rPr>
        <w:t>7</w:t>
      </w:r>
      <w:r w:rsidR="005F6578" w:rsidRPr="004A0E91">
        <w:rPr>
          <w:sz w:val="22"/>
          <w:szCs w:val="22"/>
        </w:rPr>
        <w:fldChar w:fldCharType="end"/>
      </w:r>
      <w:r w:rsidRPr="00B50C48">
        <w:rPr>
          <w:sz w:val="22"/>
        </w:rPr>
        <w:t>).</w:t>
      </w:r>
    </w:p>
    <w:p w:rsidR="00C5155B" w:rsidRPr="00B50C48" w:rsidRDefault="00C5155B" w:rsidP="00E11053">
      <w:pPr>
        <w:pStyle w:val="BayerBodyTextFull"/>
        <w:numPr>
          <w:ilvl w:val="0"/>
          <w:numId w:val="26"/>
        </w:numPr>
        <w:spacing w:after="240" w:line="276" w:lineRule="auto"/>
        <w:jc w:val="both"/>
        <w:rPr>
          <w:sz w:val="22"/>
        </w:rPr>
      </w:pPr>
      <w:r w:rsidRPr="00B50C48">
        <w:rPr>
          <w:sz w:val="22"/>
        </w:rPr>
        <w:lastRenderedPageBreak/>
        <w:t>WHO functional class: Significant improvement of at least one functional class in the riociguat group at week 12 (last visit) of 21% vs. 14% in the placebo group</w:t>
      </w:r>
      <w:r w:rsidR="00E11053" w:rsidRPr="00E11053">
        <w:t xml:space="preserve"> </w:t>
      </w:r>
      <w:r w:rsidR="00E11053" w:rsidRPr="00E11053">
        <w:rPr>
          <w:sz w:val="22"/>
        </w:rPr>
        <w:t xml:space="preserve">and a </w:t>
      </w:r>
      <w:r w:rsidR="00FE76FD">
        <w:rPr>
          <w:sz w:val="22"/>
        </w:rPr>
        <w:t>deterioration</w:t>
      </w:r>
      <w:r w:rsidR="00FE76FD" w:rsidRPr="00E11053">
        <w:rPr>
          <w:sz w:val="22"/>
        </w:rPr>
        <w:t xml:space="preserve"> </w:t>
      </w:r>
      <w:r w:rsidR="00E11053" w:rsidRPr="00E11053">
        <w:rPr>
          <w:sz w:val="22"/>
        </w:rPr>
        <w:t>of at least one functional class was observed in 4% of patients in the riociguat gro</w:t>
      </w:r>
      <w:r w:rsidR="00E11053">
        <w:rPr>
          <w:sz w:val="22"/>
        </w:rPr>
        <w:t>up vs. 14% in the placebo group</w:t>
      </w:r>
      <w:r w:rsidRPr="00B50C48">
        <w:rPr>
          <w:sz w:val="22"/>
        </w:rPr>
        <w:t xml:space="preserve"> (</w:t>
      </w:r>
      <w:r w:rsidR="00E11053" w:rsidRPr="00E11053">
        <w:rPr>
          <w:sz w:val="22"/>
        </w:rPr>
        <w:t>p = 0.0033;</w:t>
      </w:r>
      <w:r w:rsidR="00E11053" w:rsidRPr="00B50C48">
        <w:rPr>
          <w:sz w:val="22"/>
        </w:rPr>
        <w:t xml:space="preserve"> </w:t>
      </w:r>
      <w:r w:rsidR="0064114C">
        <w:rPr>
          <w:sz w:val="22"/>
        </w:rPr>
        <w:t>see</w:t>
      </w:r>
      <w:r w:rsidR="000A762A">
        <w:rPr>
          <w:sz w:val="22"/>
        </w:rPr>
        <w:t xml:space="preserve"> </w:t>
      </w:r>
      <w:r w:rsidR="00121EC1" w:rsidRPr="00706418">
        <w:rPr>
          <w:sz w:val="22"/>
          <w:szCs w:val="22"/>
        </w:rPr>
        <w:fldChar w:fldCharType="begin"/>
      </w:r>
      <w:r w:rsidR="00121EC1" w:rsidRPr="00706418">
        <w:rPr>
          <w:sz w:val="22"/>
          <w:szCs w:val="22"/>
        </w:rPr>
        <w:instrText xml:space="preserve"> REF _Ref375152519 </w:instrText>
      </w:r>
      <w:r w:rsidR="009024CB">
        <w:rPr>
          <w:sz w:val="22"/>
          <w:szCs w:val="22"/>
        </w:rPr>
        <w:instrText xml:space="preserve"> \* MERGEFORMAT </w:instrText>
      </w:r>
      <w:r w:rsidR="00121EC1" w:rsidRPr="00706418">
        <w:rPr>
          <w:sz w:val="22"/>
          <w:szCs w:val="22"/>
        </w:rPr>
        <w:fldChar w:fldCharType="separate"/>
      </w:r>
      <w:r w:rsidR="00407B88" w:rsidRPr="002E3024">
        <w:rPr>
          <w:sz w:val="22"/>
          <w:szCs w:val="22"/>
        </w:rPr>
        <w:t xml:space="preserve">Table </w:t>
      </w:r>
      <w:r w:rsidR="00407B88" w:rsidRPr="002E3024">
        <w:rPr>
          <w:noProof/>
          <w:sz w:val="22"/>
          <w:szCs w:val="22"/>
        </w:rPr>
        <w:t>5</w:t>
      </w:r>
      <w:r w:rsidR="00121EC1" w:rsidRPr="00706418">
        <w:rPr>
          <w:sz w:val="22"/>
          <w:szCs w:val="22"/>
        </w:rPr>
        <w:fldChar w:fldCharType="end"/>
      </w:r>
      <w:r w:rsidR="005576C1">
        <w:rPr>
          <w:sz w:val="22"/>
          <w:szCs w:val="22"/>
        </w:rPr>
        <w:t xml:space="preserve"> and </w:t>
      </w:r>
      <w:r w:rsidR="00896902" w:rsidRPr="002705C8">
        <w:rPr>
          <w:sz w:val="22"/>
          <w:szCs w:val="22"/>
        </w:rPr>
        <w:fldChar w:fldCharType="begin"/>
      </w:r>
      <w:r w:rsidR="00896902" w:rsidRPr="005551E5">
        <w:rPr>
          <w:sz w:val="22"/>
          <w:szCs w:val="22"/>
        </w:rPr>
        <w:instrText xml:space="preserve"> REF _Ref375152830 </w:instrText>
      </w:r>
      <w:r w:rsidR="00896902">
        <w:rPr>
          <w:sz w:val="22"/>
          <w:szCs w:val="22"/>
        </w:rPr>
        <w:instrText xml:space="preserve"> \* MERGEFORMAT </w:instrText>
      </w:r>
      <w:r w:rsidR="00896902" w:rsidRPr="005551E5">
        <w:rPr>
          <w:sz w:val="22"/>
          <w:szCs w:val="22"/>
        </w:rPr>
        <w:fldChar w:fldCharType="separate"/>
      </w:r>
      <w:r w:rsidR="00407B88" w:rsidRPr="002E3024">
        <w:rPr>
          <w:sz w:val="22"/>
          <w:szCs w:val="22"/>
        </w:rPr>
        <w:t xml:space="preserve">Table </w:t>
      </w:r>
      <w:r w:rsidR="00407B88" w:rsidRPr="002E3024">
        <w:rPr>
          <w:noProof/>
          <w:sz w:val="22"/>
          <w:szCs w:val="22"/>
        </w:rPr>
        <w:t>7</w:t>
      </w:r>
      <w:r w:rsidR="00896902" w:rsidRPr="005576C1">
        <w:rPr>
          <w:sz w:val="22"/>
          <w:szCs w:val="22"/>
        </w:rPr>
        <w:fldChar w:fldCharType="end"/>
      </w:r>
      <w:r w:rsidRPr="00B50C48">
        <w:rPr>
          <w:sz w:val="22"/>
        </w:rPr>
        <w:t xml:space="preserve">). </w:t>
      </w:r>
      <w:r w:rsidR="00E11053" w:rsidRPr="00E11053">
        <w:rPr>
          <w:sz w:val="22"/>
        </w:rPr>
        <w:t>Functional class was unchanged in 76% of patients in the riociguat group vs. 71% in the placebo group.</w:t>
      </w:r>
    </w:p>
    <w:p w:rsidR="00C5155B" w:rsidRPr="00B50C48" w:rsidRDefault="00C5155B" w:rsidP="00D92925">
      <w:pPr>
        <w:pStyle w:val="BayerBodyTextFull"/>
        <w:numPr>
          <w:ilvl w:val="0"/>
          <w:numId w:val="26"/>
        </w:numPr>
        <w:spacing w:after="240" w:line="276" w:lineRule="auto"/>
        <w:jc w:val="both"/>
        <w:rPr>
          <w:sz w:val="22"/>
        </w:rPr>
      </w:pPr>
      <w:r w:rsidRPr="00B50C48">
        <w:rPr>
          <w:sz w:val="22"/>
        </w:rPr>
        <w:t>Time to clinical worsening: Riociguat</w:t>
      </w:r>
      <w:r w:rsidRPr="00B50C48">
        <w:rPr>
          <w:sz w:val="22"/>
        </w:rPr>
        <w:noBreakHyphen/>
      </w:r>
      <w:r w:rsidRPr="00B50C48">
        <w:rPr>
          <w:color w:val="000000"/>
          <w:sz w:val="22"/>
        </w:rPr>
        <w:t>treated patients experienced a significant delay in time to clinical worsening versus placebo</w:t>
      </w:r>
      <w:r w:rsidRPr="00B50C48">
        <w:rPr>
          <w:color w:val="000000"/>
          <w:sz w:val="22"/>
        </w:rPr>
        <w:noBreakHyphen/>
        <w:t>treated patients (p = 0.0046; Stratified log</w:t>
      </w:r>
      <w:r w:rsidRPr="00B50C48">
        <w:rPr>
          <w:color w:val="000000"/>
          <w:sz w:val="22"/>
        </w:rPr>
        <w:noBreakHyphen/>
        <w:t xml:space="preserve">rank test). </w:t>
      </w:r>
      <w:r w:rsidRPr="00B50C48">
        <w:rPr>
          <w:sz w:val="22"/>
        </w:rPr>
        <w:t>Significantly fewer events of clinical worsening up to week 12 (last visit) were observed in patients treated with riociguat (1.2%) compared to placebo (6.3%) (</w:t>
      </w:r>
      <w:r w:rsidR="0064114C">
        <w:rPr>
          <w:sz w:val="22"/>
        </w:rPr>
        <w:t xml:space="preserve">see </w:t>
      </w:r>
      <w:r w:rsidR="00121EC1" w:rsidRPr="00706418">
        <w:rPr>
          <w:sz w:val="22"/>
          <w:szCs w:val="22"/>
        </w:rPr>
        <w:fldChar w:fldCharType="begin"/>
      </w:r>
      <w:r w:rsidR="00121EC1" w:rsidRPr="00706418">
        <w:rPr>
          <w:sz w:val="22"/>
          <w:szCs w:val="22"/>
        </w:rPr>
        <w:instrText xml:space="preserve"> REF _Ref375152600 </w:instrText>
      </w:r>
      <w:r w:rsidR="009024CB">
        <w:rPr>
          <w:sz w:val="22"/>
          <w:szCs w:val="22"/>
        </w:rPr>
        <w:instrText xml:space="preserve"> \* MERGEFORMAT </w:instrText>
      </w:r>
      <w:r w:rsidR="00121EC1" w:rsidRPr="00706418">
        <w:rPr>
          <w:sz w:val="22"/>
          <w:szCs w:val="22"/>
        </w:rPr>
        <w:fldChar w:fldCharType="separate"/>
      </w:r>
      <w:r w:rsidR="00407B88" w:rsidRPr="002E3024">
        <w:rPr>
          <w:sz w:val="22"/>
          <w:szCs w:val="22"/>
        </w:rPr>
        <w:t xml:space="preserve">Table </w:t>
      </w:r>
      <w:r w:rsidR="00407B88" w:rsidRPr="002E3024">
        <w:rPr>
          <w:noProof/>
          <w:sz w:val="22"/>
          <w:szCs w:val="22"/>
        </w:rPr>
        <w:t>6</w:t>
      </w:r>
      <w:r w:rsidR="00121EC1" w:rsidRPr="00706418">
        <w:rPr>
          <w:sz w:val="22"/>
          <w:szCs w:val="22"/>
        </w:rPr>
        <w:fldChar w:fldCharType="end"/>
      </w:r>
      <w:r w:rsidR="00896902">
        <w:rPr>
          <w:sz w:val="22"/>
          <w:szCs w:val="22"/>
        </w:rPr>
        <w:t xml:space="preserve"> and </w:t>
      </w:r>
      <w:r w:rsidR="00896902" w:rsidRPr="005F6578">
        <w:rPr>
          <w:sz w:val="22"/>
          <w:szCs w:val="22"/>
        </w:rPr>
        <w:fldChar w:fldCharType="begin"/>
      </w:r>
      <w:r w:rsidR="00896902" w:rsidRPr="004A0E91">
        <w:rPr>
          <w:sz w:val="22"/>
          <w:szCs w:val="22"/>
        </w:rPr>
        <w:instrText xml:space="preserve"> REF _Ref375152830 </w:instrText>
      </w:r>
      <w:r w:rsidR="00896902">
        <w:rPr>
          <w:sz w:val="22"/>
          <w:szCs w:val="22"/>
        </w:rPr>
        <w:instrText xml:space="preserve"> \* MERGEFORMAT </w:instrText>
      </w:r>
      <w:r w:rsidR="00896902" w:rsidRPr="004A0E91">
        <w:rPr>
          <w:sz w:val="22"/>
          <w:szCs w:val="22"/>
        </w:rPr>
        <w:fldChar w:fldCharType="separate"/>
      </w:r>
      <w:r w:rsidR="00407B88" w:rsidRPr="002E3024">
        <w:rPr>
          <w:sz w:val="22"/>
          <w:szCs w:val="22"/>
        </w:rPr>
        <w:t xml:space="preserve">Table </w:t>
      </w:r>
      <w:r w:rsidR="00407B88" w:rsidRPr="002E3024">
        <w:rPr>
          <w:noProof/>
          <w:sz w:val="22"/>
          <w:szCs w:val="22"/>
        </w:rPr>
        <w:t>7</w:t>
      </w:r>
      <w:r w:rsidR="00896902" w:rsidRPr="004A0E91">
        <w:rPr>
          <w:sz w:val="22"/>
          <w:szCs w:val="22"/>
        </w:rPr>
        <w:fldChar w:fldCharType="end"/>
      </w:r>
      <w:r w:rsidRPr="00B50C48">
        <w:rPr>
          <w:sz w:val="22"/>
        </w:rPr>
        <w:t>).</w:t>
      </w:r>
    </w:p>
    <w:p w:rsidR="00C5155B" w:rsidRPr="00B50C48" w:rsidRDefault="00C5155B" w:rsidP="00D92925">
      <w:pPr>
        <w:pStyle w:val="BayerBodyTextFull"/>
        <w:numPr>
          <w:ilvl w:val="0"/>
          <w:numId w:val="26"/>
        </w:numPr>
        <w:spacing w:after="240" w:line="276" w:lineRule="auto"/>
        <w:jc w:val="both"/>
        <w:rPr>
          <w:sz w:val="22"/>
        </w:rPr>
      </w:pPr>
      <w:r w:rsidRPr="00B50C48">
        <w:rPr>
          <w:sz w:val="22"/>
        </w:rPr>
        <w:t>Borg CR 10 scale: Significant improvement in Borg CR 10 scale (</w:t>
      </w:r>
      <w:r w:rsidRPr="00B50C48">
        <w:rPr>
          <w:sz w:val="22"/>
        </w:rPr>
        <w:noBreakHyphen/>
        <w:t xml:space="preserve">0.4 for riociguat vs. +0.1 for placebo, p=0.0022; </w:t>
      </w:r>
      <w:r w:rsidR="0064114C">
        <w:rPr>
          <w:sz w:val="22"/>
        </w:rPr>
        <w:t>see</w:t>
      </w:r>
      <w:r w:rsidR="00121EC1">
        <w:rPr>
          <w:sz w:val="22"/>
        </w:rPr>
        <w:t xml:space="preserve"> </w:t>
      </w:r>
      <w:r w:rsidR="00121EC1" w:rsidRPr="00706418">
        <w:rPr>
          <w:sz w:val="22"/>
          <w:szCs w:val="22"/>
        </w:rPr>
        <w:fldChar w:fldCharType="begin"/>
      </w:r>
      <w:r w:rsidR="00121EC1" w:rsidRPr="00706418">
        <w:rPr>
          <w:sz w:val="22"/>
          <w:szCs w:val="22"/>
        </w:rPr>
        <w:instrText xml:space="preserve"> REF _Ref375152830 </w:instrText>
      </w:r>
      <w:r w:rsidR="009024CB">
        <w:rPr>
          <w:sz w:val="22"/>
          <w:szCs w:val="22"/>
        </w:rPr>
        <w:instrText xml:space="preserve"> \* MERGEFORMAT </w:instrText>
      </w:r>
      <w:r w:rsidR="00121EC1" w:rsidRPr="00706418">
        <w:rPr>
          <w:sz w:val="22"/>
          <w:szCs w:val="22"/>
        </w:rPr>
        <w:fldChar w:fldCharType="separate"/>
      </w:r>
      <w:r w:rsidR="00407B88" w:rsidRPr="002E3024">
        <w:rPr>
          <w:sz w:val="22"/>
          <w:szCs w:val="22"/>
        </w:rPr>
        <w:t xml:space="preserve">Table </w:t>
      </w:r>
      <w:r w:rsidR="00407B88" w:rsidRPr="002E3024">
        <w:rPr>
          <w:noProof/>
          <w:sz w:val="22"/>
          <w:szCs w:val="22"/>
        </w:rPr>
        <w:t>7</w:t>
      </w:r>
      <w:r w:rsidR="00121EC1" w:rsidRPr="00706418">
        <w:rPr>
          <w:sz w:val="22"/>
          <w:szCs w:val="22"/>
        </w:rPr>
        <w:fldChar w:fldCharType="end"/>
      </w:r>
      <w:r w:rsidR="00121EC1">
        <w:rPr>
          <w:sz w:val="22"/>
        </w:rPr>
        <w:t>)</w:t>
      </w:r>
      <w:r w:rsidRPr="00B50C48">
        <w:rPr>
          <w:sz w:val="22"/>
        </w:rPr>
        <w:t>.</w:t>
      </w:r>
    </w:p>
    <w:p w:rsidR="00121EC1" w:rsidRPr="00706418" w:rsidRDefault="00FE76FD" w:rsidP="00706418">
      <w:pPr>
        <w:jc w:val="both"/>
        <w:rPr>
          <w:sz w:val="22"/>
          <w:szCs w:val="22"/>
        </w:rPr>
      </w:pPr>
      <w:r w:rsidRPr="00706418">
        <w:rPr>
          <w:sz w:val="22"/>
          <w:szCs w:val="22"/>
        </w:rPr>
        <w:t xml:space="preserve">No statistically significant </w:t>
      </w:r>
      <w:r w:rsidR="00C5155B" w:rsidRPr="00706418">
        <w:rPr>
          <w:sz w:val="22"/>
          <w:szCs w:val="22"/>
        </w:rPr>
        <w:t>(below threshold of hierarchical testing</w:t>
      </w:r>
      <w:r w:rsidR="00C5155B" w:rsidRPr="00706418">
        <w:rPr>
          <w:rStyle w:val="FootnoteReference"/>
          <w:sz w:val="22"/>
          <w:szCs w:val="22"/>
        </w:rPr>
        <w:footnoteReference w:id="3"/>
      </w:r>
      <w:r w:rsidR="008F3669" w:rsidRPr="00706418">
        <w:rPr>
          <w:sz w:val="22"/>
          <w:szCs w:val="22"/>
        </w:rPr>
        <w:t xml:space="preserve">) </w:t>
      </w:r>
      <w:r w:rsidRPr="00706418">
        <w:rPr>
          <w:sz w:val="22"/>
          <w:szCs w:val="22"/>
        </w:rPr>
        <w:t xml:space="preserve">result </w:t>
      </w:r>
      <w:r w:rsidR="008F3669" w:rsidRPr="00706418">
        <w:rPr>
          <w:sz w:val="22"/>
          <w:szCs w:val="22"/>
        </w:rPr>
        <w:t xml:space="preserve">was </w:t>
      </w:r>
      <w:r w:rsidRPr="00706418">
        <w:rPr>
          <w:sz w:val="22"/>
          <w:szCs w:val="22"/>
        </w:rPr>
        <w:t>found for the European quality of life (EQ-5D) and Living with Pulmonary Hypertension (LPH) questionnaires</w:t>
      </w:r>
      <w:r w:rsidR="00713990" w:rsidRPr="00706418">
        <w:rPr>
          <w:sz w:val="22"/>
          <w:szCs w:val="22"/>
        </w:rPr>
        <w:t xml:space="preserve"> (see</w:t>
      </w:r>
      <w:r w:rsidR="00121EC1" w:rsidRPr="00706418">
        <w:rPr>
          <w:sz w:val="22"/>
          <w:szCs w:val="22"/>
        </w:rPr>
        <w:t xml:space="preserve"> </w:t>
      </w:r>
      <w:r w:rsidR="00121EC1" w:rsidRPr="00706418">
        <w:rPr>
          <w:sz w:val="22"/>
          <w:szCs w:val="22"/>
        </w:rPr>
        <w:fldChar w:fldCharType="begin"/>
      </w:r>
      <w:r w:rsidR="00121EC1" w:rsidRPr="00706418">
        <w:rPr>
          <w:sz w:val="22"/>
          <w:szCs w:val="22"/>
        </w:rPr>
        <w:instrText xml:space="preserve"> REF _Ref375152830 </w:instrText>
      </w:r>
      <w:r w:rsidR="009024CB">
        <w:rPr>
          <w:sz w:val="22"/>
          <w:szCs w:val="22"/>
        </w:rPr>
        <w:instrText xml:space="preserve"> \* MERGEFORMAT </w:instrText>
      </w:r>
      <w:r w:rsidR="00121EC1" w:rsidRPr="00706418">
        <w:rPr>
          <w:sz w:val="22"/>
          <w:szCs w:val="22"/>
        </w:rPr>
        <w:fldChar w:fldCharType="separate"/>
      </w:r>
      <w:r w:rsidR="00407B88" w:rsidRPr="002E3024">
        <w:rPr>
          <w:sz w:val="22"/>
          <w:szCs w:val="22"/>
        </w:rPr>
        <w:t xml:space="preserve">Table </w:t>
      </w:r>
      <w:r w:rsidR="00407B88" w:rsidRPr="002E3024">
        <w:rPr>
          <w:noProof/>
          <w:sz w:val="22"/>
          <w:szCs w:val="22"/>
        </w:rPr>
        <w:t>7</w:t>
      </w:r>
      <w:r w:rsidR="00121EC1" w:rsidRPr="00706418">
        <w:rPr>
          <w:sz w:val="22"/>
          <w:szCs w:val="22"/>
        </w:rPr>
        <w:fldChar w:fldCharType="end"/>
      </w:r>
      <w:r w:rsidR="00694D4D" w:rsidRPr="00706418">
        <w:rPr>
          <w:sz w:val="22"/>
          <w:szCs w:val="22"/>
        </w:rPr>
        <w:t>)</w:t>
      </w:r>
      <w:r w:rsidR="00121EC1" w:rsidRPr="00706418">
        <w:rPr>
          <w:sz w:val="22"/>
          <w:szCs w:val="22"/>
        </w:rPr>
        <w:t>.</w:t>
      </w:r>
    </w:p>
    <w:p w:rsidR="00121EC1" w:rsidRDefault="00121EC1" w:rsidP="00AD4E78"/>
    <w:p w:rsidR="00DA6DC5" w:rsidRPr="00AD4E78" w:rsidRDefault="00AD4E78" w:rsidP="00AD4E78">
      <w:pPr>
        <w:tabs>
          <w:tab w:val="left" w:pos="851"/>
        </w:tabs>
        <w:ind w:left="851" w:hanging="851"/>
        <w:rPr>
          <w:b/>
          <w:lang w:eastAsia="zh-CN"/>
        </w:rPr>
      </w:pPr>
      <w:bookmarkStart w:id="6" w:name="_Ref375152519"/>
      <w:r w:rsidRPr="00AD4E78">
        <w:rPr>
          <w:b/>
        </w:rPr>
        <w:t xml:space="preserve">Table </w:t>
      </w:r>
      <w:r w:rsidR="002740D2">
        <w:rPr>
          <w:b/>
        </w:rPr>
        <w:fldChar w:fldCharType="begin"/>
      </w:r>
      <w:r w:rsidR="002740D2">
        <w:rPr>
          <w:b/>
        </w:rPr>
        <w:instrText xml:space="preserve"> SEQ Table \* ARABIC </w:instrText>
      </w:r>
      <w:r w:rsidR="002740D2">
        <w:rPr>
          <w:b/>
        </w:rPr>
        <w:fldChar w:fldCharType="separate"/>
      </w:r>
      <w:r w:rsidR="00407B88">
        <w:rPr>
          <w:b/>
          <w:noProof/>
        </w:rPr>
        <w:t>5</w:t>
      </w:r>
      <w:r w:rsidR="002740D2">
        <w:rPr>
          <w:b/>
        </w:rPr>
        <w:fldChar w:fldCharType="end"/>
      </w:r>
      <w:bookmarkEnd w:id="6"/>
      <w:r w:rsidRPr="00AD4E78">
        <w:rPr>
          <w:b/>
        </w:rPr>
        <w:t xml:space="preserve">. </w:t>
      </w:r>
      <w:r>
        <w:rPr>
          <w:b/>
        </w:rPr>
        <w:tab/>
      </w:r>
      <w:r w:rsidRPr="00AD4E78">
        <w:rPr>
          <w:b/>
          <w:lang w:eastAsia="zh-CN"/>
        </w:rPr>
        <w:t>Effects of riociguat on the change in Functional Class in PATENT-1 at week 12 (last visit; ITT analysis set)</w:t>
      </w:r>
    </w:p>
    <w:tbl>
      <w:tblPr>
        <w:tblW w:w="9180" w:type="dxa"/>
        <w:tblInd w:w="108" w:type="dxa"/>
        <w:tblCellMar>
          <w:left w:w="0" w:type="dxa"/>
          <w:right w:w="0" w:type="dxa"/>
        </w:tblCellMar>
        <w:tblLook w:val="04A0" w:firstRow="1" w:lastRow="0" w:firstColumn="1" w:lastColumn="0" w:noHBand="0" w:noVBand="1"/>
      </w:tblPr>
      <w:tblGrid>
        <w:gridCol w:w="3794"/>
        <w:gridCol w:w="2551"/>
        <w:gridCol w:w="2835"/>
      </w:tblGrid>
      <w:tr w:rsidR="00DA6DC5" w:rsidRPr="00B50C48" w:rsidTr="00DA6DC5">
        <w:tc>
          <w:tcPr>
            <w:tcW w:w="3794"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DA6DC5" w:rsidRPr="00B50C48" w:rsidRDefault="00DA6DC5" w:rsidP="00DD77F1">
            <w:pPr>
              <w:pStyle w:val="BayerBodyTextFull"/>
              <w:keepLines/>
              <w:spacing w:before="0" w:after="0"/>
              <w:rPr>
                <w:b/>
                <w:bCs/>
                <w:szCs w:val="22"/>
              </w:rPr>
            </w:pPr>
            <w:r w:rsidRPr="00B50C48">
              <w:rPr>
                <w:b/>
                <w:bCs/>
                <w:szCs w:val="22"/>
              </w:rPr>
              <w:t>Change in Functional Class</w:t>
            </w:r>
          </w:p>
        </w:tc>
        <w:tc>
          <w:tcPr>
            <w:tcW w:w="255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A6DC5" w:rsidRPr="00B50C48" w:rsidRDefault="00DA6DC5" w:rsidP="00DD77F1">
            <w:pPr>
              <w:pStyle w:val="BayerBodyTextFull"/>
              <w:keepLines/>
              <w:spacing w:before="0" w:after="0"/>
              <w:jc w:val="center"/>
              <w:rPr>
                <w:b/>
                <w:bCs/>
                <w:szCs w:val="22"/>
              </w:rPr>
            </w:pPr>
            <w:r w:rsidRPr="00B50C48">
              <w:rPr>
                <w:b/>
                <w:bCs/>
                <w:szCs w:val="22"/>
              </w:rPr>
              <w:t>Riociguat (IDT) (n=254)</w:t>
            </w:r>
          </w:p>
        </w:tc>
        <w:tc>
          <w:tcPr>
            <w:tcW w:w="283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A6DC5" w:rsidRPr="00B50C48" w:rsidRDefault="00DA6DC5" w:rsidP="00DD77F1">
            <w:pPr>
              <w:pStyle w:val="BayerBodyTextFull"/>
              <w:keepLines/>
              <w:spacing w:before="0" w:after="0"/>
              <w:jc w:val="center"/>
              <w:rPr>
                <w:b/>
                <w:bCs/>
                <w:szCs w:val="22"/>
              </w:rPr>
            </w:pPr>
            <w:r w:rsidRPr="00B50C48">
              <w:rPr>
                <w:b/>
                <w:bCs/>
                <w:szCs w:val="22"/>
              </w:rPr>
              <w:t>Placebo (n=125)</w:t>
            </w:r>
          </w:p>
        </w:tc>
      </w:tr>
      <w:tr w:rsidR="00DA6DC5" w:rsidRPr="00B50C48" w:rsidTr="00DA6DC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rPr>
                <w:szCs w:val="22"/>
              </w:rPr>
            </w:pPr>
            <w:r w:rsidRPr="00B50C48">
              <w:rPr>
                <w:szCs w:val="22"/>
              </w:rPr>
              <w:t>Improved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53 (21%)</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18 (14%)</w:t>
            </w:r>
          </w:p>
        </w:tc>
      </w:tr>
      <w:tr w:rsidR="00DA6DC5" w:rsidRPr="00B50C48" w:rsidTr="00DA6DC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rPr>
                <w:szCs w:val="22"/>
              </w:rPr>
            </w:pPr>
            <w:r w:rsidRPr="00B50C48">
              <w:rPr>
                <w:szCs w:val="22"/>
              </w:rPr>
              <w:t>Stable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192 (76%)</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89 (71%)</w:t>
            </w:r>
          </w:p>
        </w:tc>
      </w:tr>
      <w:tr w:rsidR="00DA6DC5" w:rsidRPr="00B50C48" w:rsidTr="00DA6DC5">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rPr>
                <w:szCs w:val="22"/>
              </w:rPr>
            </w:pPr>
            <w:r w:rsidRPr="00B50C48">
              <w:rPr>
                <w:szCs w:val="22"/>
              </w:rPr>
              <w:t>Deteriorated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9 (4%)</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18 (14%)</w:t>
            </w:r>
          </w:p>
        </w:tc>
      </w:tr>
      <w:tr w:rsidR="00DA6DC5" w:rsidRPr="00B50C48" w:rsidTr="00DA6DC5">
        <w:tc>
          <w:tcPr>
            <w:tcW w:w="91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6DC5" w:rsidRPr="00B50C48" w:rsidRDefault="00DA6DC5" w:rsidP="00DD77F1">
            <w:pPr>
              <w:pStyle w:val="BayerBodyTextFull"/>
              <w:keepLines/>
              <w:spacing w:before="0" w:after="0"/>
              <w:jc w:val="center"/>
              <w:rPr>
                <w:szCs w:val="22"/>
              </w:rPr>
            </w:pPr>
            <w:r w:rsidRPr="00B50C48">
              <w:rPr>
                <w:szCs w:val="22"/>
              </w:rPr>
              <w:t>p</w:t>
            </w:r>
            <w:r w:rsidRPr="00B50C48">
              <w:rPr>
                <w:szCs w:val="22"/>
              </w:rPr>
              <w:noBreakHyphen/>
              <w:t>value = 0.0033</w:t>
            </w:r>
          </w:p>
        </w:tc>
      </w:tr>
    </w:tbl>
    <w:p w:rsidR="00DA6DC5" w:rsidRPr="00B50C48" w:rsidRDefault="00121EC1" w:rsidP="00AD4E78">
      <w:pPr>
        <w:pStyle w:val="Caption"/>
        <w:ind w:hanging="907"/>
      </w:pPr>
      <w:bookmarkStart w:id="7" w:name="_Ref346282848"/>
      <w:bookmarkStart w:id="8" w:name="_Ref375152600"/>
      <w:r>
        <w:t xml:space="preserve">Table </w:t>
      </w:r>
      <w:r w:rsidR="002740D2">
        <w:fldChar w:fldCharType="begin"/>
      </w:r>
      <w:r w:rsidR="002740D2">
        <w:instrText xml:space="preserve"> SEQ Table \* ARABIC </w:instrText>
      </w:r>
      <w:r w:rsidR="002740D2">
        <w:fldChar w:fldCharType="separate"/>
      </w:r>
      <w:r w:rsidR="00407B88">
        <w:rPr>
          <w:noProof/>
        </w:rPr>
        <w:t>6</w:t>
      </w:r>
      <w:r w:rsidR="002740D2">
        <w:fldChar w:fldCharType="end"/>
      </w:r>
      <w:bookmarkEnd w:id="8"/>
      <w:r>
        <w:t>. Effects of riociguat in PATENT-1 on events of clinical worsening (ITT analysis set)</w:t>
      </w:r>
      <w:bookmarkEnd w:id="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551"/>
        <w:gridCol w:w="2835"/>
      </w:tblGrid>
      <w:tr w:rsidR="00B64BD4" w:rsidRPr="00B50C48" w:rsidTr="00B64BD4">
        <w:tc>
          <w:tcPr>
            <w:tcW w:w="3794" w:type="dxa"/>
            <w:shd w:val="clear" w:color="auto" w:fill="EEECE1"/>
          </w:tcPr>
          <w:p w:rsidR="00B64BD4" w:rsidRPr="00B50C48" w:rsidRDefault="00B64BD4" w:rsidP="00525F32">
            <w:pPr>
              <w:pStyle w:val="BayerBodyTextFull"/>
              <w:keepNext/>
              <w:keepLines/>
              <w:spacing w:before="0" w:after="0"/>
              <w:rPr>
                <w:b/>
                <w:szCs w:val="22"/>
              </w:rPr>
            </w:pPr>
            <w:r w:rsidRPr="00B50C48">
              <w:rPr>
                <w:b/>
                <w:szCs w:val="22"/>
              </w:rPr>
              <w:t>Clinical Worsening Events</w:t>
            </w:r>
          </w:p>
        </w:tc>
        <w:tc>
          <w:tcPr>
            <w:tcW w:w="2551" w:type="dxa"/>
            <w:shd w:val="clear" w:color="auto" w:fill="EEECE1"/>
          </w:tcPr>
          <w:p w:rsidR="00B64BD4" w:rsidRPr="00B50C48" w:rsidRDefault="00B64BD4" w:rsidP="00525F32">
            <w:pPr>
              <w:pStyle w:val="BayerBodyTextFull"/>
              <w:keepNext/>
              <w:keepLines/>
              <w:spacing w:before="0" w:after="0"/>
              <w:jc w:val="center"/>
              <w:rPr>
                <w:b/>
                <w:szCs w:val="22"/>
              </w:rPr>
            </w:pPr>
            <w:r w:rsidRPr="00B50C48">
              <w:rPr>
                <w:b/>
                <w:szCs w:val="22"/>
              </w:rPr>
              <w:t>Riociguat (IDT) (n=254)</w:t>
            </w:r>
          </w:p>
        </w:tc>
        <w:tc>
          <w:tcPr>
            <w:tcW w:w="2835" w:type="dxa"/>
            <w:shd w:val="clear" w:color="auto" w:fill="EEECE1"/>
          </w:tcPr>
          <w:p w:rsidR="00B64BD4" w:rsidRPr="00B50C48" w:rsidRDefault="00B64BD4" w:rsidP="00525F32">
            <w:pPr>
              <w:pStyle w:val="BayerBodyTextFull"/>
              <w:keepNext/>
              <w:keepLines/>
              <w:spacing w:before="0" w:after="0"/>
              <w:jc w:val="center"/>
              <w:rPr>
                <w:b/>
                <w:szCs w:val="22"/>
              </w:rPr>
            </w:pPr>
            <w:r w:rsidRPr="00B50C48">
              <w:rPr>
                <w:b/>
                <w:szCs w:val="22"/>
              </w:rPr>
              <w:t>Placebo (n=126)</w:t>
            </w:r>
          </w:p>
        </w:tc>
      </w:tr>
      <w:tr w:rsidR="00B64BD4" w:rsidRPr="00B50C48" w:rsidTr="00B64BD4">
        <w:trPr>
          <w:trHeight w:val="152"/>
        </w:trPr>
        <w:tc>
          <w:tcPr>
            <w:tcW w:w="3794" w:type="dxa"/>
            <w:shd w:val="clear" w:color="auto" w:fill="auto"/>
          </w:tcPr>
          <w:p w:rsidR="00B64BD4" w:rsidRPr="00B50C48" w:rsidRDefault="00B64BD4" w:rsidP="00525F32">
            <w:pPr>
              <w:pStyle w:val="BayerBodyTextFull"/>
              <w:keepNext/>
              <w:keepLines/>
              <w:spacing w:before="0" w:after="0"/>
              <w:rPr>
                <w:szCs w:val="22"/>
              </w:rPr>
            </w:pPr>
            <w:r w:rsidRPr="00B50C48">
              <w:rPr>
                <w:szCs w:val="22"/>
              </w:rPr>
              <w:t>Patients with any clinical worsening*</w:t>
            </w:r>
          </w:p>
        </w:tc>
        <w:tc>
          <w:tcPr>
            <w:tcW w:w="2551"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3 (1.2%)</w:t>
            </w:r>
          </w:p>
        </w:tc>
        <w:tc>
          <w:tcPr>
            <w:tcW w:w="2835"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8 (6.3%)</w:t>
            </w:r>
          </w:p>
        </w:tc>
      </w:tr>
      <w:tr w:rsidR="00B64BD4" w:rsidRPr="00B50C48" w:rsidTr="00B64BD4">
        <w:tc>
          <w:tcPr>
            <w:tcW w:w="3794" w:type="dxa"/>
            <w:shd w:val="clear" w:color="auto" w:fill="auto"/>
          </w:tcPr>
          <w:p w:rsidR="00B64BD4" w:rsidRPr="00B50C48" w:rsidRDefault="00B64BD4" w:rsidP="00525F32">
            <w:pPr>
              <w:pStyle w:val="BayerBodyTextFull"/>
              <w:keepNext/>
              <w:keepLines/>
              <w:tabs>
                <w:tab w:val="left" w:pos="142"/>
              </w:tabs>
              <w:spacing w:before="0" w:after="0"/>
              <w:rPr>
                <w:szCs w:val="22"/>
              </w:rPr>
            </w:pPr>
            <w:r w:rsidRPr="00B50C48">
              <w:rPr>
                <w:szCs w:val="22"/>
              </w:rPr>
              <w:tab/>
              <w:t>Death</w:t>
            </w:r>
          </w:p>
        </w:tc>
        <w:tc>
          <w:tcPr>
            <w:tcW w:w="2551"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2 (0.8%)</w:t>
            </w:r>
          </w:p>
        </w:tc>
        <w:tc>
          <w:tcPr>
            <w:tcW w:w="2835"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3 (2.4%)</w:t>
            </w:r>
          </w:p>
        </w:tc>
      </w:tr>
      <w:tr w:rsidR="00B64BD4" w:rsidRPr="00B50C48" w:rsidTr="00B64BD4">
        <w:tc>
          <w:tcPr>
            <w:tcW w:w="3794" w:type="dxa"/>
            <w:shd w:val="clear" w:color="auto" w:fill="auto"/>
          </w:tcPr>
          <w:p w:rsidR="00B64BD4" w:rsidRPr="00B50C48" w:rsidRDefault="00B64BD4" w:rsidP="00525F32">
            <w:pPr>
              <w:pStyle w:val="BayerBodyTextFull"/>
              <w:keepNext/>
              <w:keepLines/>
              <w:tabs>
                <w:tab w:val="left" w:pos="142"/>
              </w:tabs>
              <w:spacing w:before="0" w:after="0"/>
              <w:rPr>
                <w:szCs w:val="22"/>
              </w:rPr>
            </w:pPr>
            <w:r w:rsidRPr="00B50C48">
              <w:rPr>
                <w:szCs w:val="22"/>
              </w:rPr>
              <w:tab/>
              <w:t>Hospitali</w:t>
            </w:r>
            <w:r w:rsidR="005850A9">
              <w:rPr>
                <w:szCs w:val="22"/>
              </w:rPr>
              <w:t>s</w:t>
            </w:r>
            <w:r w:rsidRPr="00B50C48">
              <w:rPr>
                <w:szCs w:val="22"/>
              </w:rPr>
              <w:t>ations due to PH</w:t>
            </w:r>
          </w:p>
        </w:tc>
        <w:tc>
          <w:tcPr>
            <w:tcW w:w="2551"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1 (0.4%)</w:t>
            </w:r>
          </w:p>
        </w:tc>
        <w:tc>
          <w:tcPr>
            <w:tcW w:w="2835"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4 (3.2%)</w:t>
            </w:r>
          </w:p>
        </w:tc>
      </w:tr>
      <w:tr w:rsidR="00B64BD4" w:rsidRPr="00B50C48" w:rsidTr="00B64BD4">
        <w:tc>
          <w:tcPr>
            <w:tcW w:w="3794" w:type="dxa"/>
            <w:shd w:val="clear" w:color="auto" w:fill="auto"/>
          </w:tcPr>
          <w:p w:rsidR="00B64BD4" w:rsidRPr="00B50C48" w:rsidRDefault="00B64BD4" w:rsidP="00525F32">
            <w:pPr>
              <w:pStyle w:val="BayerBodyTextFull"/>
              <w:keepNext/>
              <w:keepLines/>
              <w:tabs>
                <w:tab w:val="left" w:pos="142"/>
              </w:tabs>
              <w:spacing w:before="0" w:after="0"/>
              <w:rPr>
                <w:szCs w:val="22"/>
              </w:rPr>
            </w:pPr>
            <w:r w:rsidRPr="00B50C48">
              <w:rPr>
                <w:szCs w:val="22"/>
              </w:rPr>
              <w:tab/>
              <w:t>Decrease in 6MWD due to PH</w:t>
            </w:r>
          </w:p>
        </w:tc>
        <w:tc>
          <w:tcPr>
            <w:tcW w:w="2551"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1 (0.4%)</w:t>
            </w:r>
          </w:p>
        </w:tc>
        <w:tc>
          <w:tcPr>
            <w:tcW w:w="2835"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2 (1.6%)</w:t>
            </w:r>
          </w:p>
        </w:tc>
      </w:tr>
      <w:tr w:rsidR="00B64BD4" w:rsidRPr="00B50C48" w:rsidTr="00B64BD4">
        <w:tc>
          <w:tcPr>
            <w:tcW w:w="3794" w:type="dxa"/>
            <w:shd w:val="clear" w:color="auto" w:fill="auto"/>
          </w:tcPr>
          <w:p w:rsidR="00B64BD4" w:rsidRPr="00B50C48" w:rsidRDefault="00B64BD4" w:rsidP="00525F32">
            <w:pPr>
              <w:pStyle w:val="BayerBodyTextFull"/>
              <w:keepNext/>
              <w:keepLines/>
              <w:tabs>
                <w:tab w:val="left" w:pos="142"/>
              </w:tabs>
              <w:spacing w:before="0" w:after="0"/>
              <w:rPr>
                <w:szCs w:val="22"/>
              </w:rPr>
            </w:pPr>
            <w:r w:rsidRPr="00B50C48">
              <w:rPr>
                <w:szCs w:val="22"/>
              </w:rPr>
              <w:tab/>
              <w:t>Persistent worsening of FC due to PH</w:t>
            </w:r>
          </w:p>
        </w:tc>
        <w:tc>
          <w:tcPr>
            <w:tcW w:w="2551"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0</w:t>
            </w:r>
          </w:p>
        </w:tc>
        <w:tc>
          <w:tcPr>
            <w:tcW w:w="2835"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1 (0.8%)</w:t>
            </w:r>
          </w:p>
        </w:tc>
      </w:tr>
      <w:tr w:rsidR="00B64BD4" w:rsidRPr="00B50C48" w:rsidTr="00B64BD4">
        <w:tc>
          <w:tcPr>
            <w:tcW w:w="3794" w:type="dxa"/>
            <w:shd w:val="clear" w:color="auto" w:fill="auto"/>
          </w:tcPr>
          <w:p w:rsidR="00B64BD4" w:rsidRPr="00B50C48" w:rsidRDefault="00B64BD4" w:rsidP="00525F32">
            <w:pPr>
              <w:pStyle w:val="BayerBodyTextFull"/>
              <w:keepNext/>
              <w:keepLines/>
              <w:tabs>
                <w:tab w:val="left" w:pos="142"/>
              </w:tabs>
              <w:spacing w:before="0" w:after="0"/>
              <w:rPr>
                <w:szCs w:val="22"/>
              </w:rPr>
            </w:pPr>
            <w:r w:rsidRPr="00B50C48">
              <w:rPr>
                <w:szCs w:val="22"/>
              </w:rPr>
              <w:tab/>
              <w:t>Start of new PH treatment</w:t>
            </w:r>
          </w:p>
        </w:tc>
        <w:tc>
          <w:tcPr>
            <w:tcW w:w="2551"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1 (0.4%)</w:t>
            </w:r>
          </w:p>
        </w:tc>
        <w:tc>
          <w:tcPr>
            <w:tcW w:w="2835" w:type="dxa"/>
            <w:shd w:val="clear" w:color="auto" w:fill="auto"/>
          </w:tcPr>
          <w:p w:rsidR="00B64BD4" w:rsidRPr="00B50C48" w:rsidRDefault="00B64BD4" w:rsidP="00525F32">
            <w:pPr>
              <w:pStyle w:val="BayerBodyTextFull"/>
              <w:keepNext/>
              <w:keepLines/>
              <w:spacing w:before="0" w:after="0"/>
              <w:jc w:val="center"/>
              <w:rPr>
                <w:szCs w:val="22"/>
              </w:rPr>
            </w:pPr>
            <w:r w:rsidRPr="00B50C48">
              <w:rPr>
                <w:szCs w:val="22"/>
              </w:rPr>
              <w:t>5 (4.0%)</w:t>
            </w:r>
          </w:p>
        </w:tc>
      </w:tr>
    </w:tbl>
    <w:p w:rsidR="00B64BD4" w:rsidRDefault="00B17AE0" w:rsidP="00B17AE0">
      <w:pPr>
        <w:pStyle w:val="BayerBodyTextFull"/>
        <w:rPr>
          <w:lang w:eastAsia="zh-CN"/>
        </w:rPr>
      </w:pPr>
      <w:r w:rsidRPr="00B50C48">
        <w:rPr>
          <w:lang w:eastAsia="zh-CN"/>
        </w:rPr>
        <w:t>Note: Patients may have had more than one event of clinical worsening</w:t>
      </w:r>
    </w:p>
    <w:p w:rsidR="00025BAB" w:rsidRDefault="00121EC1" w:rsidP="00AD4E78">
      <w:pPr>
        <w:pStyle w:val="Caption"/>
        <w:tabs>
          <w:tab w:val="left" w:pos="851"/>
        </w:tabs>
        <w:ind w:left="851" w:hanging="851"/>
      </w:pPr>
      <w:bookmarkStart w:id="9" w:name="_Ref375152830"/>
      <w:r>
        <w:t xml:space="preserve">Table </w:t>
      </w:r>
      <w:r w:rsidR="002740D2">
        <w:fldChar w:fldCharType="begin"/>
      </w:r>
      <w:r w:rsidR="002740D2">
        <w:instrText xml:space="preserve"> SEQ Table \* ARABIC </w:instrText>
      </w:r>
      <w:r w:rsidR="002740D2">
        <w:fldChar w:fldCharType="separate"/>
      </w:r>
      <w:r w:rsidR="00407B88">
        <w:rPr>
          <w:noProof/>
        </w:rPr>
        <w:t>7</w:t>
      </w:r>
      <w:r w:rsidR="002740D2">
        <w:fldChar w:fldCharType="end"/>
      </w:r>
      <w:bookmarkEnd w:id="9"/>
      <w:r>
        <w:t xml:space="preserve">. </w:t>
      </w:r>
      <w:r>
        <w:tab/>
        <w:t>Summary of efficacy results for pre-defined variables in the hierarchical testing order – PATENT-1, ITT analysis set</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025BAB" w:rsidRPr="00E50879" w:rsidTr="00E50879">
        <w:tc>
          <w:tcPr>
            <w:tcW w:w="2321" w:type="dxa"/>
            <w:shd w:val="clear" w:color="auto" w:fill="auto"/>
          </w:tcPr>
          <w:p w:rsidR="00025BAB" w:rsidRPr="00E50879" w:rsidRDefault="00025BAB" w:rsidP="00E50879">
            <w:pPr>
              <w:jc w:val="center"/>
              <w:rPr>
                <w:rFonts w:cs="Arial"/>
                <w:b/>
              </w:rPr>
            </w:pPr>
            <w:r w:rsidRPr="00E50879">
              <w:rPr>
                <w:rFonts w:cs="Arial"/>
                <w:b/>
              </w:rPr>
              <w:t>Variable</w:t>
            </w:r>
          </w:p>
        </w:tc>
        <w:tc>
          <w:tcPr>
            <w:tcW w:w="2322" w:type="dxa"/>
            <w:shd w:val="clear" w:color="auto" w:fill="auto"/>
          </w:tcPr>
          <w:p w:rsidR="00025BAB" w:rsidRPr="00E50879" w:rsidRDefault="00025BAB" w:rsidP="00E50879">
            <w:pPr>
              <w:pStyle w:val="TableStyleColumnHeadings"/>
              <w:keepNext/>
              <w:rPr>
                <w:rFonts w:ascii="Arial" w:hAnsi="Arial" w:cs="Arial"/>
              </w:rPr>
            </w:pPr>
            <w:r w:rsidRPr="00E50879">
              <w:rPr>
                <w:rFonts w:ascii="Arial" w:hAnsi="Arial" w:cs="Arial"/>
              </w:rPr>
              <w:t>LS mean</w:t>
            </w:r>
          </w:p>
          <w:p w:rsidR="00025BAB" w:rsidRPr="00E50879" w:rsidRDefault="00025BAB" w:rsidP="00E50879">
            <w:pPr>
              <w:jc w:val="center"/>
              <w:rPr>
                <w:rFonts w:cs="Arial"/>
                <w:b/>
              </w:rPr>
            </w:pPr>
            <w:r w:rsidRPr="00E50879">
              <w:rPr>
                <w:rFonts w:cs="Arial"/>
                <w:b/>
              </w:rPr>
              <w:t>(treatment difference of riociguat IDT to placebo)</w:t>
            </w:r>
          </w:p>
        </w:tc>
        <w:tc>
          <w:tcPr>
            <w:tcW w:w="2322" w:type="dxa"/>
            <w:shd w:val="clear" w:color="auto" w:fill="auto"/>
          </w:tcPr>
          <w:p w:rsidR="00025BAB" w:rsidRPr="00E50879" w:rsidRDefault="00025BAB" w:rsidP="00E50879">
            <w:pPr>
              <w:jc w:val="center"/>
              <w:rPr>
                <w:rFonts w:cs="Arial"/>
                <w:b/>
              </w:rPr>
            </w:pPr>
            <w:r w:rsidRPr="00E50879">
              <w:rPr>
                <w:rFonts w:cs="Arial"/>
                <w:b/>
              </w:rPr>
              <w:t>95% CI</w:t>
            </w:r>
          </w:p>
        </w:tc>
        <w:tc>
          <w:tcPr>
            <w:tcW w:w="2322" w:type="dxa"/>
            <w:shd w:val="clear" w:color="auto" w:fill="auto"/>
          </w:tcPr>
          <w:p w:rsidR="00025BAB" w:rsidRPr="00E50879" w:rsidRDefault="00025BAB" w:rsidP="00E50879">
            <w:pPr>
              <w:jc w:val="center"/>
              <w:rPr>
                <w:rFonts w:cs="Arial"/>
                <w:b/>
              </w:rPr>
            </w:pPr>
            <w:r w:rsidRPr="00E50879">
              <w:rPr>
                <w:rFonts w:cs="Arial"/>
                <w:b/>
              </w:rPr>
              <w:t>Stratified Wilcoxon test</w:t>
            </w:r>
            <w:r w:rsidRPr="00E50879">
              <w:rPr>
                <w:rFonts w:cs="Arial"/>
                <w:b/>
              </w:rPr>
              <w:br/>
              <w:t>p-value</w:t>
            </w:r>
          </w:p>
        </w:tc>
      </w:tr>
      <w:tr w:rsidR="00025BAB" w:rsidRPr="00E50879" w:rsidTr="00E50879">
        <w:tc>
          <w:tcPr>
            <w:tcW w:w="2321" w:type="dxa"/>
            <w:shd w:val="clear" w:color="auto" w:fill="auto"/>
          </w:tcPr>
          <w:p w:rsidR="00025BAB" w:rsidRPr="00E50879" w:rsidRDefault="00025BAB" w:rsidP="00E50879">
            <w:pPr>
              <w:rPr>
                <w:rFonts w:cs="Arial"/>
              </w:rPr>
            </w:pPr>
            <w:r w:rsidRPr="00E50879">
              <w:rPr>
                <w:rFonts w:cs="Arial"/>
              </w:rPr>
              <w:t>6MWD (m) (primary)</w:t>
            </w:r>
          </w:p>
        </w:tc>
        <w:tc>
          <w:tcPr>
            <w:tcW w:w="2322" w:type="dxa"/>
            <w:shd w:val="clear" w:color="auto" w:fill="auto"/>
          </w:tcPr>
          <w:p w:rsidR="00025BAB" w:rsidRPr="00E50879" w:rsidRDefault="00025BAB" w:rsidP="00E50879">
            <w:pPr>
              <w:jc w:val="center"/>
              <w:rPr>
                <w:rFonts w:cs="Arial"/>
              </w:rPr>
            </w:pPr>
            <w:r w:rsidRPr="00E50879">
              <w:rPr>
                <w:rFonts w:cs="Arial"/>
              </w:rPr>
              <w:t>36</w:t>
            </w:r>
          </w:p>
        </w:tc>
        <w:tc>
          <w:tcPr>
            <w:tcW w:w="2322" w:type="dxa"/>
            <w:shd w:val="clear" w:color="auto" w:fill="auto"/>
          </w:tcPr>
          <w:p w:rsidR="00025BAB" w:rsidRPr="00E50879" w:rsidRDefault="00025BAB" w:rsidP="00E50879">
            <w:pPr>
              <w:jc w:val="center"/>
              <w:rPr>
                <w:rFonts w:cs="Arial"/>
              </w:rPr>
            </w:pPr>
            <w:r w:rsidRPr="00E50879">
              <w:rPr>
                <w:rFonts w:cs="Arial"/>
              </w:rPr>
              <w:t>20 to 52</w:t>
            </w:r>
          </w:p>
        </w:tc>
        <w:tc>
          <w:tcPr>
            <w:tcW w:w="2322" w:type="dxa"/>
            <w:shd w:val="clear" w:color="auto" w:fill="auto"/>
          </w:tcPr>
          <w:p w:rsidR="00025BAB" w:rsidRPr="00E50879" w:rsidRDefault="00025BAB" w:rsidP="00E50879">
            <w:pPr>
              <w:jc w:val="center"/>
              <w:rPr>
                <w:rFonts w:cs="Arial"/>
              </w:rPr>
            </w:pPr>
            <w:r w:rsidRPr="00E50879">
              <w:rPr>
                <w:rFonts w:cs="Arial"/>
              </w:rPr>
              <w:t>&lt;0.0001</w:t>
            </w:r>
          </w:p>
        </w:tc>
      </w:tr>
      <w:tr w:rsidR="00025BAB" w:rsidRPr="00E50879" w:rsidTr="00E50879">
        <w:tc>
          <w:tcPr>
            <w:tcW w:w="2321" w:type="dxa"/>
            <w:shd w:val="clear" w:color="auto" w:fill="auto"/>
          </w:tcPr>
          <w:p w:rsidR="00025BAB" w:rsidRPr="00E50879" w:rsidRDefault="00025BAB" w:rsidP="00E50879">
            <w:pPr>
              <w:rPr>
                <w:rFonts w:cs="Arial"/>
              </w:rPr>
            </w:pPr>
            <w:r w:rsidRPr="00E50879">
              <w:rPr>
                <w:rFonts w:cs="Arial"/>
              </w:rPr>
              <w:t>PVR (dyn*s* cm</w:t>
            </w:r>
            <w:r w:rsidRPr="00E50879">
              <w:rPr>
                <w:rFonts w:cs="Arial"/>
                <w:vertAlign w:val="superscript"/>
              </w:rPr>
              <w:t>-5</w:t>
            </w:r>
            <w:r w:rsidRPr="00E50879">
              <w:rPr>
                <w:rFonts w:cs="Arial"/>
              </w:rPr>
              <w:t>)</w:t>
            </w:r>
          </w:p>
        </w:tc>
        <w:tc>
          <w:tcPr>
            <w:tcW w:w="2322" w:type="dxa"/>
            <w:shd w:val="clear" w:color="auto" w:fill="auto"/>
          </w:tcPr>
          <w:p w:rsidR="00025BAB" w:rsidRPr="00E50879" w:rsidRDefault="00025BAB" w:rsidP="00E50879">
            <w:pPr>
              <w:jc w:val="center"/>
              <w:rPr>
                <w:rFonts w:cs="Arial"/>
              </w:rPr>
            </w:pPr>
            <w:r w:rsidRPr="00E50879">
              <w:rPr>
                <w:rFonts w:cs="Arial"/>
              </w:rPr>
              <w:t>-226</w:t>
            </w:r>
          </w:p>
        </w:tc>
        <w:tc>
          <w:tcPr>
            <w:tcW w:w="2322" w:type="dxa"/>
            <w:shd w:val="clear" w:color="auto" w:fill="auto"/>
          </w:tcPr>
          <w:p w:rsidR="00025BAB" w:rsidRPr="00E50879" w:rsidRDefault="00025BAB" w:rsidP="00E50879">
            <w:pPr>
              <w:jc w:val="center"/>
              <w:rPr>
                <w:rFonts w:cs="Arial"/>
              </w:rPr>
            </w:pPr>
            <w:r w:rsidRPr="00E50879">
              <w:rPr>
                <w:rFonts w:cs="Arial"/>
              </w:rPr>
              <w:t>-281 to -170</w:t>
            </w:r>
          </w:p>
        </w:tc>
        <w:tc>
          <w:tcPr>
            <w:tcW w:w="2322" w:type="dxa"/>
            <w:shd w:val="clear" w:color="auto" w:fill="auto"/>
          </w:tcPr>
          <w:p w:rsidR="00025BAB" w:rsidRPr="00E50879" w:rsidRDefault="00025BAB" w:rsidP="00E50879">
            <w:pPr>
              <w:jc w:val="center"/>
              <w:rPr>
                <w:rFonts w:cs="Arial"/>
              </w:rPr>
            </w:pPr>
            <w:r w:rsidRPr="00E50879">
              <w:rPr>
                <w:rFonts w:cs="Arial"/>
              </w:rPr>
              <w:t>&lt;0.0001</w:t>
            </w:r>
          </w:p>
        </w:tc>
      </w:tr>
      <w:tr w:rsidR="00025BAB" w:rsidRPr="00E50879" w:rsidTr="00E50879">
        <w:tc>
          <w:tcPr>
            <w:tcW w:w="2321" w:type="dxa"/>
            <w:shd w:val="clear" w:color="auto" w:fill="auto"/>
          </w:tcPr>
          <w:p w:rsidR="00025BAB" w:rsidRPr="00E50879" w:rsidRDefault="00025BAB" w:rsidP="00E50879">
            <w:pPr>
              <w:rPr>
                <w:rFonts w:cs="Arial"/>
              </w:rPr>
            </w:pPr>
            <w:r w:rsidRPr="00E50879">
              <w:rPr>
                <w:rFonts w:cs="Arial"/>
              </w:rPr>
              <w:t>NT-proBNP (pg/mL)</w:t>
            </w:r>
          </w:p>
        </w:tc>
        <w:tc>
          <w:tcPr>
            <w:tcW w:w="2322" w:type="dxa"/>
            <w:shd w:val="clear" w:color="auto" w:fill="auto"/>
          </w:tcPr>
          <w:p w:rsidR="00025BAB" w:rsidRPr="00E50879" w:rsidRDefault="00025BAB" w:rsidP="00E50879">
            <w:pPr>
              <w:jc w:val="center"/>
              <w:rPr>
                <w:rFonts w:cs="Arial"/>
              </w:rPr>
            </w:pPr>
            <w:r w:rsidRPr="00E50879">
              <w:rPr>
                <w:rFonts w:cs="Arial"/>
              </w:rPr>
              <w:t>-432</w:t>
            </w:r>
          </w:p>
        </w:tc>
        <w:tc>
          <w:tcPr>
            <w:tcW w:w="2322" w:type="dxa"/>
            <w:shd w:val="clear" w:color="auto" w:fill="auto"/>
          </w:tcPr>
          <w:p w:rsidR="00025BAB" w:rsidRPr="00E50879" w:rsidRDefault="00025BAB" w:rsidP="00E50879">
            <w:pPr>
              <w:jc w:val="center"/>
              <w:rPr>
                <w:rFonts w:cs="Arial"/>
              </w:rPr>
            </w:pPr>
            <w:r w:rsidRPr="00E50879">
              <w:rPr>
                <w:rFonts w:cs="Arial"/>
              </w:rPr>
              <w:t>-782 to -82</w:t>
            </w:r>
          </w:p>
        </w:tc>
        <w:tc>
          <w:tcPr>
            <w:tcW w:w="2322" w:type="dxa"/>
            <w:shd w:val="clear" w:color="auto" w:fill="auto"/>
          </w:tcPr>
          <w:p w:rsidR="00025BAB" w:rsidRPr="00E50879" w:rsidRDefault="00025BAB" w:rsidP="00E50879">
            <w:pPr>
              <w:jc w:val="center"/>
              <w:rPr>
                <w:rFonts w:cs="Arial"/>
              </w:rPr>
            </w:pPr>
            <w:r w:rsidRPr="00E50879">
              <w:rPr>
                <w:rFonts w:cs="Arial"/>
              </w:rPr>
              <w:t>&lt;0.0001</w:t>
            </w:r>
          </w:p>
        </w:tc>
      </w:tr>
      <w:tr w:rsidR="00025BAB" w:rsidRPr="00E50879" w:rsidTr="00E50879">
        <w:tc>
          <w:tcPr>
            <w:tcW w:w="2321" w:type="dxa"/>
            <w:shd w:val="clear" w:color="auto" w:fill="auto"/>
          </w:tcPr>
          <w:p w:rsidR="00025BAB" w:rsidRPr="00E50879" w:rsidRDefault="00025BAB" w:rsidP="00E50879">
            <w:pPr>
              <w:rPr>
                <w:rFonts w:cs="Arial"/>
              </w:rPr>
            </w:pPr>
            <w:r w:rsidRPr="00E50879">
              <w:rPr>
                <w:rFonts w:cs="Arial"/>
              </w:rPr>
              <w:t>WHO Functional Class</w:t>
            </w:r>
          </w:p>
        </w:tc>
        <w:tc>
          <w:tcPr>
            <w:tcW w:w="2322" w:type="dxa"/>
            <w:shd w:val="clear" w:color="auto" w:fill="auto"/>
          </w:tcPr>
          <w:p w:rsidR="00025BAB" w:rsidRPr="00E50879" w:rsidRDefault="00025BAB" w:rsidP="00E50879">
            <w:pPr>
              <w:pStyle w:val="TableDataCentre"/>
              <w:keepNext/>
              <w:rPr>
                <w:rFonts w:ascii="Arial" w:hAnsi="Arial" w:cs="Arial"/>
                <w:vertAlign w:val="superscript"/>
              </w:rPr>
            </w:pPr>
            <w:r w:rsidRPr="00E50879">
              <w:rPr>
                <w:rFonts w:ascii="Arial" w:hAnsi="Arial" w:cs="Arial"/>
              </w:rPr>
              <w:t>20.9%</w:t>
            </w:r>
            <w:r w:rsidRPr="00E50879">
              <w:rPr>
                <w:rFonts w:ascii="Arial" w:hAnsi="Arial" w:cs="Arial"/>
                <w:vertAlign w:val="superscript"/>
              </w:rPr>
              <w:t xml:space="preserve">a </w:t>
            </w:r>
            <w:r w:rsidRPr="00E50879">
              <w:rPr>
                <w:rFonts w:ascii="Arial" w:hAnsi="Arial" w:cs="Arial"/>
              </w:rPr>
              <w:t>riociguat</w:t>
            </w:r>
          </w:p>
          <w:p w:rsidR="00025BAB" w:rsidRPr="00E50879" w:rsidRDefault="00025BAB" w:rsidP="00E50879">
            <w:pPr>
              <w:jc w:val="center"/>
              <w:rPr>
                <w:rFonts w:cs="Arial"/>
              </w:rPr>
            </w:pPr>
            <w:r w:rsidRPr="00E50879">
              <w:rPr>
                <w:rFonts w:cs="Arial"/>
              </w:rPr>
              <w:t xml:space="preserve">14.4% </w:t>
            </w:r>
            <w:r w:rsidRPr="00E50879">
              <w:rPr>
                <w:rFonts w:cs="Arial"/>
                <w:vertAlign w:val="superscript"/>
              </w:rPr>
              <w:t xml:space="preserve">a </w:t>
            </w:r>
            <w:r w:rsidRPr="00E50879">
              <w:rPr>
                <w:rFonts w:cs="Arial"/>
              </w:rPr>
              <w:t>placebo</w:t>
            </w:r>
          </w:p>
        </w:tc>
        <w:tc>
          <w:tcPr>
            <w:tcW w:w="2322" w:type="dxa"/>
            <w:shd w:val="clear" w:color="auto" w:fill="auto"/>
          </w:tcPr>
          <w:p w:rsidR="00025BAB" w:rsidRPr="00E50879" w:rsidRDefault="00025BAB" w:rsidP="00E50879">
            <w:pPr>
              <w:jc w:val="center"/>
              <w:rPr>
                <w:rFonts w:cs="Arial"/>
              </w:rPr>
            </w:pPr>
            <w:r w:rsidRPr="00E50879">
              <w:rPr>
                <w:rFonts w:cs="Arial"/>
              </w:rPr>
              <w:t>N/A</w:t>
            </w:r>
          </w:p>
        </w:tc>
        <w:tc>
          <w:tcPr>
            <w:tcW w:w="2322" w:type="dxa"/>
            <w:shd w:val="clear" w:color="auto" w:fill="auto"/>
          </w:tcPr>
          <w:p w:rsidR="00025BAB" w:rsidRPr="00E50879" w:rsidRDefault="00025BAB" w:rsidP="00E50879">
            <w:pPr>
              <w:jc w:val="center"/>
              <w:rPr>
                <w:rFonts w:cs="Arial"/>
              </w:rPr>
            </w:pPr>
            <w:r w:rsidRPr="00E50879">
              <w:rPr>
                <w:rFonts w:cs="Arial"/>
              </w:rPr>
              <w:t>0.0033</w:t>
            </w:r>
          </w:p>
        </w:tc>
      </w:tr>
      <w:tr w:rsidR="00025BAB" w:rsidRPr="00E50879" w:rsidTr="00E50879">
        <w:tc>
          <w:tcPr>
            <w:tcW w:w="2321" w:type="dxa"/>
            <w:shd w:val="clear" w:color="auto" w:fill="auto"/>
          </w:tcPr>
          <w:p w:rsidR="00025BAB" w:rsidRPr="00E50879" w:rsidRDefault="00025BAB" w:rsidP="00E50879">
            <w:pPr>
              <w:rPr>
                <w:rFonts w:cs="Arial"/>
              </w:rPr>
            </w:pPr>
            <w:r w:rsidRPr="00E50879">
              <w:rPr>
                <w:rFonts w:cs="Arial"/>
              </w:rPr>
              <w:t>Time to clinical worsening</w:t>
            </w:r>
          </w:p>
        </w:tc>
        <w:tc>
          <w:tcPr>
            <w:tcW w:w="2322" w:type="dxa"/>
            <w:shd w:val="clear" w:color="auto" w:fill="auto"/>
          </w:tcPr>
          <w:p w:rsidR="00025BAB" w:rsidRPr="00E50879" w:rsidRDefault="00025BAB" w:rsidP="00E50879">
            <w:pPr>
              <w:pStyle w:val="TableDataCentre"/>
              <w:keepNext/>
              <w:rPr>
                <w:rFonts w:ascii="Arial" w:hAnsi="Arial" w:cs="Arial"/>
                <w:vertAlign w:val="superscript"/>
              </w:rPr>
            </w:pPr>
            <w:r w:rsidRPr="00E50879">
              <w:rPr>
                <w:rFonts w:ascii="Arial" w:hAnsi="Arial" w:cs="Arial"/>
              </w:rPr>
              <w:t>1%</w:t>
            </w:r>
            <w:r w:rsidRPr="00E50879">
              <w:rPr>
                <w:rFonts w:ascii="Arial" w:hAnsi="Arial" w:cs="Arial"/>
                <w:vertAlign w:val="superscript"/>
              </w:rPr>
              <w:t xml:space="preserve"> b</w:t>
            </w:r>
            <w:r w:rsidRPr="00E50879">
              <w:rPr>
                <w:rFonts w:ascii="Arial" w:hAnsi="Arial" w:cs="Arial"/>
              </w:rPr>
              <w:t xml:space="preserve"> riociguat</w:t>
            </w:r>
          </w:p>
          <w:p w:rsidR="00025BAB" w:rsidRPr="00E50879" w:rsidRDefault="00025BAB" w:rsidP="00E50879">
            <w:pPr>
              <w:jc w:val="center"/>
              <w:rPr>
                <w:rFonts w:cs="Arial"/>
              </w:rPr>
            </w:pPr>
            <w:r w:rsidRPr="00E50879">
              <w:rPr>
                <w:rFonts w:cs="Arial"/>
              </w:rPr>
              <w:t>6%</w:t>
            </w:r>
            <w:r w:rsidRPr="00E50879">
              <w:rPr>
                <w:rFonts w:cs="Arial"/>
                <w:vertAlign w:val="superscript"/>
              </w:rPr>
              <w:t xml:space="preserve"> b</w:t>
            </w:r>
            <w:r w:rsidRPr="00E50879">
              <w:rPr>
                <w:rFonts w:cs="Arial"/>
              </w:rPr>
              <w:t xml:space="preserve"> placebo</w:t>
            </w:r>
          </w:p>
        </w:tc>
        <w:tc>
          <w:tcPr>
            <w:tcW w:w="2322" w:type="dxa"/>
            <w:shd w:val="clear" w:color="auto" w:fill="auto"/>
          </w:tcPr>
          <w:p w:rsidR="00025BAB" w:rsidRPr="00E50879" w:rsidRDefault="00025BAB" w:rsidP="00E50879">
            <w:pPr>
              <w:jc w:val="center"/>
              <w:rPr>
                <w:rFonts w:cs="Arial"/>
              </w:rPr>
            </w:pPr>
            <w:r w:rsidRPr="00E50879">
              <w:rPr>
                <w:rFonts w:cs="Arial"/>
              </w:rPr>
              <w:t>N/A</w:t>
            </w:r>
          </w:p>
        </w:tc>
        <w:tc>
          <w:tcPr>
            <w:tcW w:w="2322" w:type="dxa"/>
            <w:shd w:val="clear" w:color="auto" w:fill="auto"/>
          </w:tcPr>
          <w:p w:rsidR="00025BAB" w:rsidRPr="00E50879" w:rsidRDefault="00025BAB" w:rsidP="00E50879">
            <w:pPr>
              <w:pStyle w:val="TableDataCentre"/>
              <w:keepNext/>
              <w:rPr>
                <w:rFonts w:ascii="Arial" w:hAnsi="Arial" w:cs="Arial"/>
              </w:rPr>
            </w:pPr>
            <w:r w:rsidRPr="00E50879">
              <w:rPr>
                <w:rFonts w:ascii="Arial" w:hAnsi="Arial" w:cs="Arial"/>
              </w:rPr>
              <w:t>0.0046</w:t>
            </w:r>
            <w:r w:rsidRPr="00E50879">
              <w:rPr>
                <w:rFonts w:ascii="Arial" w:hAnsi="Arial" w:cs="Arial"/>
                <w:vertAlign w:val="superscript"/>
              </w:rPr>
              <w:t>c</w:t>
            </w:r>
          </w:p>
          <w:p w:rsidR="00025BAB" w:rsidRPr="00E50879" w:rsidRDefault="00025BAB" w:rsidP="00E50879">
            <w:pPr>
              <w:jc w:val="center"/>
              <w:rPr>
                <w:rFonts w:cs="Arial"/>
              </w:rPr>
            </w:pPr>
          </w:p>
        </w:tc>
      </w:tr>
      <w:tr w:rsidR="00025BAB" w:rsidRPr="00E50879" w:rsidTr="00E50879">
        <w:tc>
          <w:tcPr>
            <w:tcW w:w="2321" w:type="dxa"/>
            <w:shd w:val="clear" w:color="auto" w:fill="auto"/>
          </w:tcPr>
          <w:p w:rsidR="00025BAB" w:rsidRPr="00E50879" w:rsidRDefault="00025BAB" w:rsidP="00E50879">
            <w:pPr>
              <w:rPr>
                <w:rFonts w:cs="Arial"/>
              </w:rPr>
            </w:pPr>
            <w:r w:rsidRPr="00E50879">
              <w:rPr>
                <w:rFonts w:cs="Arial"/>
                <w:lang w:val="fr-FR"/>
              </w:rPr>
              <w:lastRenderedPageBreak/>
              <w:t xml:space="preserve">Borg CR 10 scale </w:t>
            </w:r>
            <w:r w:rsidRPr="00E50879">
              <w:rPr>
                <w:rFonts w:cs="Arial"/>
                <w:vertAlign w:val="superscript"/>
                <w:lang w:val="fr-FR"/>
              </w:rPr>
              <w:t>d</w:t>
            </w:r>
          </w:p>
        </w:tc>
        <w:tc>
          <w:tcPr>
            <w:tcW w:w="2322" w:type="dxa"/>
            <w:shd w:val="clear" w:color="auto" w:fill="auto"/>
          </w:tcPr>
          <w:p w:rsidR="00025BAB" w:rsidRPr="00E50879" w:rsidRDefault="00025BAB" w:rsidP="00E50879">
            <w:pPr>
              <w:pStyle w:val="TableDataCentre"/>
              <w:keepNext/>
              <w:rPr>
                <w:rFonts w:ascii="Arial" w:hAnsi="Arial" w:cs="Arial"/>
              </w:rPr>
            </w:pPr>
            <w:r w:rsidRPr="00E50879">
              <w:rPr>
                <w:rFonts w:ascii="Arial" w:hAnsi="Arial" w:cs="Arial"/>
              </w:rPr>
              <w:t xml:space="preserve">-0.4 </w:t>
            </w:r>
            <w:r w:rsidRPr="00E50879">
              <w:rPr>
                <w:rFonts w:ascii="Arial" w:hAnsi="Arial" w:cs="Arial"/>
                <w:vertAlign w:val="superscript"/>
              </w:rPr>
              <w:t>e</w:t>
            </w:r>
            <w:r w:rsidRPr="00E50879">
              <w:rPr>
                <w:rFonts w:ascii="Arial" w:hAnsi="Arial" w:cs="Arial"/>
              </w:rPr>
              <w:t xml:space="preserve"> riociguat</w:t>
            </w:r>
          </w:p>
          <w:p w:rsidR="00025BAB" w:rsidRPr="00E50879" w:rsidRDefault="00025BAB" w:rsidP="00E50879">
            <w:pPr>
              <w:jc w:val="center"/>
              <w:rPr>
                <w:rFonts w:cs="Arial"/>
              </w:rPr>
            </w:pPr>
            <w:r w:rsidRPr="00E50879">
              <w:rPr>
                <w:rFonts w:cs="Arial"/>
              </w:rPr>
              <w:t xml:space="preserve">0.1 </w:t>
            </w:r>
            <w:r w:rsidRPr="00E50879">
              <w:rPr>
                <w:rFonts w:cs="Arial"/>
                <w:vertAlign w:val="superscript"/>
              </w:rPr>
              <w:t>e</w:t>
            </w:r>
            <w:r w:rsidRPr="00E50879">
              <w:rPr>
                <w:rFonts w:cs="Arial"/>
              </w:rPr>
              <w:t xml:space="preserve"> placebo</w:t>
            </w:r>
          </w:p>
        </w:tc>
        <w:tc>
          <w:tcPr>
            <w:tcW w:w="2322" w:type="dxa"/>
            <w:shd w:val="clear" w:color="auto" w:fill="auto"/>
          </w:tcPr>
          <w:p w:rsidR="00025BAB" w:rsidRPr="00E50879" w:rsidRDefault="00025BAB" w:rsidP="00E50879">
            <w:pPr>
              <w:jc w:val="center"/>
              <w:rPr>
                <w:rFonts w:cs="Arial"/>
              </w:rPr>
            </w:pPr>
            <w:r w:rsidRPr="00E50879">
              <w:rPr>
                <w:rFonts w:cs="Arial"/>
              </w:rPr>
              <w:t>N/A</w:t>
            </w:r>
          </w:p>
        </w:tc>
        <w:tc>
          <w:tcPr>
            <w:tcW w:w="2322" w:type="dxa"/>
            <w:shd w:val="clear" w:color="auto" w:fill="auto"/>
          </w:tcPr>
          <w:p w:rsidR="00025BAB" w:rsidRPr="00E50879" w:rsidRDefault="00025BAB" w:rsidP="00E50879">
            <w:pPr>
              <w:jc w:val="center"/>
              <w:rPr>
                <w:rFonts w:cs="Arial"/>
              </w:rPr>
            </w:pPr>
            <w:r w:rsidRPr="00E50879">
              <w:rPr>
                <w:rFonts w:cs="Arial"/>
              </w:rPr>
              <w:t>0.0022</w:t>
            </w:r>
          </w:p>
        </w:tc>
      </w:tr>
    </w:tbl>
    <w:p w:rsidR="00025BAB" w:rsidRDefault="00025BAB" w:rsidP="00025BAB">
      <w:pPr>
        <w:pStyle w:val="TableStyleFootnote"/>
        <w:ind w:left="0" w:firstLine="0"/>
        <w:rPr>
          <w:rFonts w:ascii="Arial" w:hAnsi="Arial" w:cs="Arial"/>
        </w:rPr>
      </w:pPr>
      <w:r w:rsidRPr="007E70BD">
        <w:rPr>
          <w:rFonts w:ascii="Arial" w:hAnsi="Arial" w:cs="Arial"/>
        </w:rPr>
        <w:t xml:space="preserve">Abbreviations: LS = least square; CI = confidence interval;  IDT = individual dose titration (riociguat 1.0 to 2.5 mg); 6MWD = 6 minute walking distance; PVR = pulmonary vascular resistance; NT-proBNP = </w:t>
      </w:r>
      <w:r w:rsidRPr="007E70BD">
        <w:rPr>
          <w:rFonts w:ascii="Arial" w:hAnsi="Arial" w:cs="Arial"/>
          <w:lang w:val="en-GB"/>
        </w:rPr>
        <w:t>N-terminal prohormone brain natriuretic peptide</w:t>
      </w:r>
    </w:p>
    <w:p w:rsidR="00025BAB" w:rsidRPr="007E70BD" w:rsidRDefault="00025BAB" w:rsidP="00025BAB">
      <w:pPr>
        <w:pStyle w:val="TableStyleFootnote"/>
        <w:ind w:left="0" w:firstLine="0"/>
        <w:rPr>
          <w:rFonts w:ascii="Arial" w:hAnsi="Arial" w:cs="Arial"/>
        </w:rPr>
      </w:pPr>
    </w:p>
    <w:p w:rsidR="00025BAB" w:rsidRPr="007E70BD" w:rsidRDefault="00025BAB" w:rsidP="00025BAB">
      <w:pPr>
        <w:pStyle w:val="TableStyleFootnote"/>
        <w:rPr>
          <w:rFonts w:ascii="Arial" w:hAnsi="Arial" w:cs="Arial"/>
        </w:rPr>
      </w:pPr>
      <w:r w:rsidRPr="007E70BD">
        <w:rPr>
          <w:rFonts w:ascii="Arial" w:hAnsi="Arial" w:cs="Arial"/>
        </w:rPr>
        <w:t>a</w:t>
      </w:r>
      <w:r w:rsidRPr="007E70BD">
        <w:rPr>
          <w:rFonts w:ascii="Arial" w:hAnsi="Arial" w:cs="Arial"/>
        </w:rPr>
        <w:tab/>
        <w:t>Improvement by at least 1 WHO Functional Class in the respective treatment group</w:t>
      </w:r>
    </w:p>
    <w:p w:rsidR="00025BAB" w:rsidRPr="007E70BD" w:rsidRDefault="00025BAB" w:rsidP="00025BAB">
      <w:pPr>
        <w:pStyle w:val="TableStyleFootnote"/>
        <w:rPr>
          <w:rFonts w:ascii="Arial" w:hAnsi="Arial" w:cs="Arial"/>
        </w:rPr>
      </w:pPr>
      <w:r w:rsidRPr="007E70BD">
        <w:rPr>
          <w:rFonts w:ascii="Arial" w:hAnsi="Arial" w:cs="Arial"/>
        </w:rPr>
        <w:t>b</w:t>
      </w:r>
      <w:r w:rsidRPr="007E70BD">
        <w:rPr>
          <w:rFonts w:ascii="Arial" w:hAnsi="Arial" w:cs="Arial"/>
        </w:rPr>
        <w:tab/>
        <w:t>Percentage of subjects with any clinical worsening event in the respective treatment group</w:t>
      </w:r>
    </w:p>
    <w:p w:rsidR="00025BAB" w:rsidRPr="007E70BD" w:rsidRDefault="00025BAB" w:rsidP="00025BAB">
      <w:pPr>
        <w:pStyle w:val="TableStyleFootnote"/>
        <w:rPr>
          <w:rFonts w:ascii="Arial" w:hAnsi="Arial" w:cs="Arial"/>
        </w:rPr>
      </w:pPr>
      <w:r w:rsidRPr="007E70BD">
        <w:rPr>
          <w:rFonts w:ascii="Arial" w:hAnsi="Arial" w:cs="Arial"/>
        </w:rPr>
        <w:t>c</w:t>
      </w:r>
      <w:r w:rsidRPr="007E70BD">
        <w:rPr>
          <w:rFonts w:ascii="Arial" w:hAnsi="Arial" w:cs="Arial"/>
        </w:rPr>
        <w:tab/>
        <w:t>Stratified log-rank test p-value for time to clinical worsening.</w:t>
      </w:r>
    </w:p>
    <w:p w:rsidR="00025BAB" w:rsidRPr="007E70BD" w:rsidRDefault="00025BAB" w:rsidP="00025BAB">
      <w:pPr>
        <w:pStyle w:val="TableStyleFootnote"/>
        <w:rPr>
          <w:rFonts w:ascii="Arial" w:hAnsi="Arial" w:cs="Arial"/>
        </w:rPr>
      </w:pPr>
      <w:r w:rsidRPr="007E70BD">
        <w:rPr>
          <w:rFonts w:ascii="Arial" w:hAnsi="Arial" w:cs="Arial"/>
        </w:rPr>
        <w:t>d</w:t>
      </w:r>
      <w:r w:rsidRPr="007E70BD">
        <w:rPr>
          <w:rFonts w:ascii="Arial" w:hAnsi="Arial" w:cs="Arial"/>
        </w:rPr>
        <w:tab/>
        <w:t>Subjects enrolled before amendment </w:t>
      </w:r>
      <w:r>
        <w:rPr>
          <w:rFonts w:ascii="Arial" w:hAnsi="Arial" w:cs="Arial"/>
        </w:rPr>
        <w:t>4</w:t>
      </w:r>
      <w:r w:rsidRPr="007E70BD">
        <w:rPr>
          <w:rFonts w:ascii="Arial" w:hAnsi="Arial" w:cs="Arial"/>
        </w:rPr>
        <w:t xml:space="preserve"> used the Modified Borg Dyspnoea Scale. </w:t>
      </w:r>
    </w:p>
    <w:p w:rsidR="00025BAB" w:rsidRDefault="00025BAB" w:rsidP="00025BAB">
      <w:pPr>
        <w:ind w:left="360" w:hanging="360"/>
        <w:rPr>
          <w:rFonts w:cs="Arial"/>
        </w:rPr>
      </w:pPr>
      <w:r w:rsidRPr="007E70BD">
        <w:rPr>
          <w:rFonts w:cs="Arial"/>
        </w:rPr>
        <w:t>e</w:t>
      </w:r>
      <w:r w:rsidRPr="007E70BD">
        <w:rPr>
          <w:rFonts w:cs="Arial"/>
        </w:rPr>
        <w:tab/>
        <w:t>Change from baseline to last visit in the respective treatment group</w:t>
      </w:r>
    </w:p>
    <w:p w:rsidR="005E046C" w:rsidRPr="00B50C48" w:rsidRDefault="005E046C" w:rsidP="006A21E1">
      <w:pPr>
        <w:pStyle w:val="BayerBodyTextFull"/>
        <w:keepNext/>
        <w:keepLines/>
        <w:spacing w:after="240" w:line="276" w:lineRule="auto"/>
        <w:jc w:val="both"/>
        <w:rPr>
          <w:sz w:val="22"/>
          <w:szCs w:val="22"/>
          <w:u w:val="single"/>
        </w:rPr>
      </w:pPr>
      <w:r w:rsidRPr="00B50C48">
        <w:rPr>
          <w:sz w:val="22"/>
          <w:szCs w:val="22"/>
          <w:u w:val="single"/>
        </w:rPr>
        <w:t>H</w:t>
      </w:r>
      <w:r w:rsidR="0069588B" w:rsidRPr="00B50C48">
        <w:rPr>
          <w:sz w:val="22"/>
          <w:szCs w:val="22"/>
          <w:u w:val="single"/>
        </w:rPr>
        <w:t>a</w:t>
      </w:r>
      <w:r w:rsidRPr="00B50C48">
        <w:rPr>
          <w:sz w:val="22"/>
          <w:szCs w:val="22"/>
          <w:u w:val="single"/>
        </w:rPr>
        <w:t xml:space="preserve">emodynamic </w:t>
      </w:r>
      <w:r w:rsidR="00ED01F4">
        <w:rPr>
          <w:sz w:val="22"/>
          <w:szCs w:val="22"/>
          <w:u w:val="single"/>
        </w:rPr>
        <w:t>P</w:t>
      </w:r>
      <w:r w:rsidRPr="00B50C48">
        <w:rPr>
          <w:sz w:val="22"/>
          <w:szCs w:val="22"/>
          <w:u w:val="single"/>
        </w:rPr>
        <w:t>arameters:</w:t>
      </w:r>
    </w:p>
    <w:p w:rsidR="005E046C" w:rsidRPr="00B50C48" w:rsidRDefault="005E046C" w:rsidP="006A21E1">
      <w:pPr>
        <w:pStyle w:val="BayerBodyTextFull"/>
        <w:keepNext/>
        <w:keepLines/>
        <w:spacing w:after="240" w:line="276" w:lineRule="auto"/>
        <w:jc w:val="both"/>
        <w:rPr>
          <w:sz w:val="22"/>
          <w:szCs w:val="22"/>
        </w:rPr>
      </w:pPr>
      <w:r w:rsidRPr="00B50C48">
        <w:rPr>
          <w:sz w:val="22"/>
          <w:szCs w:val="22"/>
        </w:rPr>
        <w:t>Right heart catheteri</w:t>
      </w:r>
      <w:r w:rsidR="00D33DA5" w:rsidRPr="00B50C48">
        <w:rPr>
          <w:sz w:val="22"/>
          <w:szCs w:val="22"/>
        </w:rPr>
        <w:t>s</w:t>
      </w:r>
      <w:r w:rsidRPr="00B50C48">
        <w:rPr>
          <w:sz w:val="22"/>
          <w:szCs w:val="22"/>
        </w:rPr>
        <w:t>ation was performed at the beginning and</w:t>
      </w:r>
      <w:r w:rsidR="00390A9E">
        <w:rPr>
          <w:sz w:val="22"/>
          <w:szCs w:val="22"/>
        </w:rPr>
        <w:t xml:space="preserve"> at</w:t>
      </w:r>
      <w:r w:rsidRPr="00B50C48">
        <w:rPr>
          <w:sz w:val="22"/>
          <w:szCs w:val="22"/>
        </w:rPr>
        <w:t xml:space="preserve"> the end of the placebo</w:t>
      </w:r>
      <w:r w:rsidRPr="00B50C48">
        <w:rPr>
          <w:sz w:val="22"/>
          <w:szCs w:val="22"/>
        </w:rPr>
        <w:noBreakHyphen/>
        <w:t>controlled study period in 339</w:t>
      </w:r>
      <w:r w:rsidR="007A31AA">
        <w:rPr>
          <w:sz w:val="22"/>
          <w:szCs w:val="22"/>
        </w:rPr>
        <w:t>/380 (89%)</w:t>
      </w:r>
      <w:r w:rsidRPr="00B50C48">
        <w:rPr>
          <w:sz w:val="22"/>
          <w:szCs w:val="22"/>
        </w:rPr>
        <w:t> patients to generate a comprehensive set of cardiopulmonary h</w:t>
      </w:r>
      <w:r w:rsidR="00A32DA0" w:rsidRPr="00B50C48">
        <w:rPr>
          <w:sz w:val="22"/>
          <w:szCs w:val="22"/>
        </w:rPr>
        <w:t>a</w:t>
      </w:r>
      <w:r w:rsidRPr="00B50C48">
        <w:rPr>
          <w:sz w:val="22"/>
          <w:szCs w:val="22"/>
        </w:rPr>
        <w:t>emodynamic data (</w:t>
      </w:r>
      <w:r w:rsidR="00456019">
        <w:rPr>
          <w:sz w:val="22"/>
          <w:szCs w:val="22"/>
        </w:rPr>
        <w:t>see</w:t>
      </w:r>
      <w:r w:rsidR="00D76255">
        <w:rPr>
          <w:sz w:val="22"/>
          <w:szCs w:val="22"/>
        </w:rPr>
        <w:t xml:space="preserve"> </w:t>
      </w:r>
      <w:r w:rsidR="00D76255" w:rsidRPr="00FD0E9F">
        <w:rPr>
          <w:sz w:val="22"/>
          <w:szCs w:val="22"/>
        </w:rPr>
        <w:fldChar w:fldCharType="begin"/>
      </w:r>
      <w:r w:rsidR="00D76255" w:rsidRPr="00AD4E78">
        <w:rPr>
          <w:sz w:val="22"/>
          <w:szCs w:val="22"/>
        </w:rPr>
        <w:instrText xml:space="preserve"> REF _Ref346283548 </w:instrText>
      </w:r>
      <w:r w:rsidR="00D76255">
        <w:rPr>
          <w:sz w:val="22"/>
          <w:szCs w:val="22"/>
        </w:rPr>
        <w:instrText xml:space="preserve"> \* MERGEFORMAT </w:instrText>
      </w:r>
      <w:r w:rsidR="00D76255" w:rsidRPr="00AD4E78">
        <w:rPr>
          <w:sz w:val="22"/>
          <w:szCs w:val="22"/>
        </w:rPr>
        <w:fldChar w:fldCharType="separate"/>
      </w:r>
      <w:r w:rsidR="00407B88" w:rsidRPr="002E3024">
        <w:rPr>
          <w:sz w:val="22"/>
          <w:szCs w:val="22"/>
        </w:rPr>
        <w:t xml:space="preserve">Table </w:t>
      </w:r>
      <w:r w:rsidR="00407B88" w:rsidRPr="002E3024">
        <w:rPr>
          <w:noProof/>
          <w:sz w:val="22"/>
          <w:szCs w:val="22"/>
        </w:rPr>
        <w:t>8</w:t>
      </w:r>
      <w:r w:rsidR="00D76255" w:rsidRPr="00AD4E78">
        <w:rPr>
          <w:sz w:val="22"/>
          <w:szCs w:val="22"/>
        </w:rPr>
        <w:fldChar w:fldCharType="end"/>
      </w:r>
      <w:r w:rsidRPr="00B50C48">
        <w:rPr>
          <w:sz w:val="22"/>
          <w:szCs w:val="22"/>
        </w:rPr>
        <w:t xml:space="preserve">). </w:t>
      </w:r>
    </w:p>
    <w:p w:rsidR="005E046C" w:rsidRDefault="005E046C" w:rsidP="006A21E1">
      <w:pPr>
        <w:pStyle w:val="BayerBodyTextFull"/>
        <w:spacing w:after="240" w:line="276" w:lineRule="auto"/>
        <w:jc w:val="both"/>
        <w:rPr>
          <w:sz w:val="22"/>
          <w:szCs w:val="22"/>
        </w:rPr>
      </w:pPr>
      <w:r w:rsidRPr="00B50C48">
        <w:rPr>
          <w:sz w:val="22"/>
          <w:szCs w:val="22"/>
        </w:rPr>
        <w:t>A statistically significant reduction of PVR (see above)</w:t>
      </w:r>
      <w:r w:rsidR="00B931E9">
        <w:rPr>
          <w:sz w:val="22"/>
          <w:szCs w:val="22"/>
        </w:rPr>
        <w:t xml:space="preserve"> </w:t>
      </w:r>
      <w:r w:rsidRPr="00B50C48">
        <w:rPr>
          <w:sz w:val="22"/>
          <w:szCs w:val="22"/>
        </w:rPr>
        <w:t xml:space="preserve">was shown in the riociguat group vs. placebo. The improvement seen for </w:t>
      </w:r>
      <w:r w:rsidR="00B401B7">
        <w:rPr>
          <w:sz w:val="22"/>
          <w:szCs w:val="22"/>
        </w:rPr>
        <w:t xml:space="preserve">PVR </w:t>
      </w:r>
      <w:r w:rsidRPr="00B50C48">
        <w:rPr>
          <w:sz w:val="22"/>
          <w:szCs w:val="22"/>
        </w:rPr>
        <w:t>was also observed in other relevant h</w:t>
      </w:r>
      <w:r w:rsidR="00606E45" w:rsidRPr="00B50C48">
        <w:rPr>
          <w:sz w:val="22"/>
          <w:szCs w:val="22"/>
        </w:rPr>
        <w:t>a</w:t>
      </w:r>
      <w:r w:rsidRPr="00B50C48">
        <w:rPr>
          <w:sz w:val="22"/>
          <w:szCs w:val="22"/>
        </w:rPr>
        <w:t>emodynamic parameters</w:t>
      </w:r>
      <w:r w:rsidR="00B401B7">
        <w:rPr>
          <w:sz w:val="22"/>
          <w:szCs w:val="22"/>
        </w:rPr>
        <w:t xml:space="preserve"> including </w:t>
      </w:r>
      <w:r w:rsidR="00B401B7" w:rsidRPr="00B50C48">
        <w:rPr>
          <w:sz w:val="22"/>
          <w:szCs w:val="22"/>
        </w:rPr>
        <w:t>mean pulmonary artery pressure (PAP</w:t>
      </w:r>
      <w:r w:rsidR="00B401B7" w:rsidRPr="00B50C48">
        <w:rPr>
          <w:sz w:val="22"/>
          <w:szCs w:val="22"/>
          <w:vertAlign w:val="subscript"/>
        </w:rPr>
        <w:t>mean</w:t>
      </w:r>
      <w:r w:rsidR="00B401B7" w:rsidRPr="00B50C48">
        <w:rPr>
          <w:sz w:val="22"/>
          <w:szCs w:val="22"/>
        </w:rPr>
        <w:t>) (</w:t>
      </w:r>
      <w:r w:rsidR="00B401B7" w:rsidRPr="00B50C48">
        <w:rPr>
          <w:sz w:val="22"/>
          <w:szCs w:val="22"/>
        </w:rPr>
        <w:noBreakHyphen/>
        <w:t>3.8</w:t>
      </w:r>
      <w:r w:rsidR="00B401B7">
        <w:rPr>
          <w:sz w:val="22"/>
          <w:szCs w:val="22"/>
        </w:rPr>
        <w:t>3</w:t>
      </w:r>
      <w:r w:rsidR="00B401B7" w:rsidRPr="00B50C48">
        <w:rPr>
          <w:sz w:val="22"/>
          <w:szCs w:val="22"/>
        </w:rPr>
        <w:t> mmHg) and an increase in cardiac index (0.56 L/min/m</w:t>
      </w:r>
      <w:r w:rsidR="00B401B7" w:rsidRPr="00B50C48">
        <w:rPr>
          <w:sz w:val="22"/>
          <w:szCs w:val="22"/>
          <w:vertAlign w:val="superscript"/>
        </w:rPr>
        <w:t>2</w:t>
      </w:r>
      <w:r w:rsidR="00B401B7" w:rsidRPr="00B50C48">
        <w:rPr>
          <w:sz w:val="22"/>
          <w:szCs w:val="22"/>
        </w:rPr>
        <w:t>)</w:t>
      </w:r>
      <w:r w:rsidRPr="00B50C48">
        <w:rPr>
          <w:sz w:val="22"/>
          <w:szCs w:val="22"/>
        </w:rPr>
        <w:t>.</w:t>
      </w:r>
    </w:p>
    <w:p w:rsidR="0023577C" w:rsidRPr="00B50C48" w:rsidRDefault="0023577C" w:rsidP="00C3017A">
      <w:pPr>
        <w:pStyle w:val="Caption"/>
        <w:tabs>
          <w:tab w:val="left" w:pos="993"/>
        </w:tabs>
        <w:ind w:left="993" w:hanging="993"/>
        <w:rPr>
          <w:sz w:val="22"/>
          <w:szCs w:val="22"/>
          <w:lang w:eastAsia="zh-CN"/>
        </w:rPr>
      </w:pPr>
      <w:bookmarkStart w:id="10" w:name="_Ref346283548"/>
      <w:r w:rsidRPr="00B50C48">
        <w:t xml:space="preserve">Table </w:t>
      </w:r>
      <w:r w:rsidR="002740D2">
        <w:fldChar w:fldCharType="begin"/>
      </w:r>
      <w:r w:rsidR="002740D2">
        <w:instrText xml:space="preserve"> SEQ Table \* ARABIC </w:instrText>
      </w:r>
      <w:r w:rsidR="002740D2">
        <w:fldChar w:fldCharType="separate"/>
      </w:r>
      <w:r w:rsidR="00407B88">
        <w:rPr>
          <w:noProof/>
        </w:rPr>
        <w:t>8</w:t>
      </w:r>
      <w:r w:rsidR="002740D2">
        <w:fldChar w:fldCharType="end"/>
      </w:r>
      <w:bookmarkEnd w:id="10"/>
      <w:r w:rsidRPr="00B50C48">
        <w:t xml:space="preserve">. </w:t>
      </w:r>
      <w:r w:rsidR="00CE0625">
        <w:tab/>
      </w:r>
      <w:r w:rsidRPr="00B50C48">
        <w:t>PATENT</w:t>
      </w:r>
      <w:r w:rsidRPr="00B50C48">
        <w:noBreakHyphen/>
        <w:t>1, c</w:t>
      </w:r>
      <w:r w:rsidRPr="00B50C48">
        <w:rPr>
          <w:noProof/>
        </w:rPr>
        <w:t>hange in h</w:t>
      </w:r>
      <w:r w:rsidR="00BA7FF6" w:rsidRPr="00B50C48">
        <w:rPr>
          <w:noProof/>
        </w:rPr>
        <w:t>a</w:t>
      </w:r>
      <w:r w:rsidRPr="00B50C48">
        <w:rPr>
          <w:noProof/>
        </w:rPr>
        <w:t>emodynamic parameters from baseline to last visit: Comparison of riociguat 1.0 – 2.5 mg (RIO) and placebo (PBO) - ITT analysis set</w:t>
      </w:r>
    </w:p>
    <w:tbl>
      <w:tblPr>
        <w:tblW w:w="0" w:type="auto"/>
        <w:tblInd w:w="56" w:type="dxa"/>
        <w:tblLayout w:type="fixed"/>
        <w:tblCellMar>
          <w:left w:w="56" w:type="dxa"/>
          <w:right w:w="56" w:type="dxa"/>
        </w:tblCellMar>
        <w:tblLook w:val="01E0" w:firstRow="1" w:lastRow="1" w:firstColumn="1" w:lastColumn="1" w:noHBand="0" w:noVBand="0"/>
      </w:tblPr>
      <w:tblGrid>
        <w:gridCol w:w="2268"/>
        <w:gridCol w:w="624"/>
        <w:gridCol w:w="624"/>
        <w:gridCol w:w="1134"/>
        <w:gridCol w:w="1928"/>
        <w:gridCol w:w="1247"/>
        <w:gridCol w:w="1248"/>
      </w:tblGrid>
      <w:tr w:rsidR="0023577C" w:rsidRPr="00B50C48" w:rsidTr="006C10B9">
        <w:trPr>
          <w:cantSplit/>
        </w:trPr>
        <w:tc>
          <w:tcPr>
            <w:tcW w:w="2268" w:type="dxa"/>
            <w:tcBorders>
              <w:top w:val="single" w:sz="12" w:space="0" w:color="auto"/>
            </w:tcBorders>
            <w:shd w:val="clear" w:color="auto" w:fill="auto"/>
            <w:noWrap/>
          </w:tcPr>
          <w:p w:rsidR="0023577C" w:rsidRPr="00B50C48" w:rsidRDefault="0023577C" w:rsidP="00DD77F1">
            <w:pPr>
              <w:pStyle w:val="BayerTableStyleLeftJustified"/>
              <w:keepNext w:val="0"/>
              <w:keepLines/>
              <w:widowControl/>
              <w:spacing w:before="40" w:after="40"/>
              <w:rPr>
                <w:rFonts w:cs="Arial"/>
                <w:b/>
              </w:rPr>
            </w:pPr>
            <w:r w:rsidRPr="00B50C48">
              <w:rPr>
                <w:rFonts w:cs="Arial"/>
                <w:b/>
              </w:rPr>
              <w:t>Parameter (unit)</w:t>
            </w:r>
          </w:p>
        </w:tc>
        <w:tc>
          <w:tcPr>
            <w:tcW w:w="1248" w:type="dxa"/>
            <w:gridSpan w:val="2"/>
            <w:tcBorders>
              <w:top w:val="single" w:sz="12" w:space="0" w:color="auto"/>
            </w:tcBorders>
            <w:shd w:val="clear" w:color="auto" w:fill="auto"/>
          </w:tcPr>
          <w:p w:rsidR="001021E8" w:rsidRDefault="00F448E1" w:rsidP="00DD77F1">
            <w:pPr>
              <w:pStyle w:val="BayerTableStyleLeftJustified"/>
              <w:keepNext w:val="0"/>
              <w:keepLines/>
              <w:widowControl/>
              <w:tabs>
                <w:tab w:val="left" w:pos="132"/>
                <w:tab w:val="left" w:pos="511"/>
              </w:tabs>
              <w:spacing w:before="40" w:after="40"/>
              <w:jc w:val="center"/>
              <w:rPr>
                <w:rFonts w:cs="Arial"/>
                <w:b/>
              </w:rPr>
            </w:pPr>
            <w:r>
              <w:rPr>
                <w:rFonts w:cs="Arial"/>
                <w:b/>
              </w:rPr>
              <w:t>Mean change</w:t>
            </w:r>
          </w:p>
          <w:p w:rsidR="001021E8" w:rsidRDefault="001021E8" w:rsidP="00DD77F1">
            <w:pPr>
              <w:pStyle w:val="BayerTableStyleLeftJustified"/>
              <w:keepNext w:val="0"/>
              <w:keepLines/>
              <w:widowControl/>
              <w:tabs>
                <w:tab w:val="left" w:pos="132"/>
                <w:tab w:val="left" w:pos="511"/>
              </w:tabs>
              <w:spacing w:before="40" w:after="40"/>
              <w:jc w:val="center"/>
              <w:rPr>
                <w:rFonts w:cs="Arial"/>
                <w:b/>
              </w:rPr>
            </w:pPr>
          </w:p>
          <w:p w:rsidR="0023577C" w:rsidRPr="00B50C48" w:rsidRDefault="0023577C" w:rsidP="00DD77F1">
            <w:pPr>
              <w:pStyle w:val="BayerTableStyleLeftJustified"/>
              <w:keepNext w:val="0"/>
              <w:keepLines/>
              <w:widowControl/>
              <w:tabs>
                <w:tab w:val="left" w:pos="86"/>
                <w:tab w:val="left" w:pos="511"/>
              </w:tabs>
              <w:spacing w:before="40" w:after="40"/>
              <w:jc w:val="right"/>
              <w:rPr>
                <w:rFonts w:cs="Arial"/>
                <w:b/>
              </w:rPr>
            </w:pPr>
            <w:r w:rsidRPr="00B50C48">
              <w:rPr>
                <w:rFonts w:cs="Arial"/>
                <w:b/>
              </w:rPr>
              <w:t>R</w:t>
            </w:r>
            <w:r w:rsidR="00F448E1">
              <w:rPr>
                <w:rFonts w:cs="Arial"/>
                <w:b/>
              </w:rPr>
              <w:t>IO</w:t>
            </w:r>
            <w:r w:rsidR="00F448E1">
              <w:rPr>
                <w:rFonts w:cs="Arial"/>
                <w:b/>
              </w:rPr>
              <w:tab/>
            </w:r>
            <w:r w:rsidR="001021E8">
              <w:rPr>
                <w:rFonts w:cs="Arial"/>
                <w:b/>
              </w:rPr>
              <w:t xml:space="preserve"> </w:t>
            </w:r>
            <w:r w:rsidRPr="00B50C48">
              <w:rPr>
                <w:rFonts w:cs="Arial"/>
                <w:b/>
              </w:rPr>
              <w:t>PBO</w:t>
            </w:r>
          </w:p>
        </w:tc>
        <w:tc>
          <w:tcPr>
            <w:tcW w:w="1134" w:type="dxa"/>
            <w:tcBorders>
              <w:top w:val="single" w:sz="12" w:space="0" w:color="auto"/>
            </w:tcBorders>
            <w:shd w:val="clear" w:color="auto" w:fill="auto"/>
          </w:tcPr>
          <w:p w:rsidR="0023577C" w:rsidRPr="00B50C48" w:rsidRDefault="0023577C" w:rsidP="00DD77F1">
            <w:pPr>
              <w:pStyle w:val="BayerTableStyleLeftJustified"/>
              <w:keepNext w:val="0"/>
              <w:keepLines/>
              <w:widowControl/>
              <w:spacing w:before="40" w:after="40"/>
              <w:jc w:val="center"/>
              <w:rPr>
                <w:rFonts w:cs="Arial"/>
                <w:b/>
              </w:rPr>
            </w:pPr>
            <w:r w:rsidRPr="00B50C48">
              <w:rPr>
                <w:rFonts w:cs="Arial"/>
                <w:b/>
              </w:rPr>
              <w:t>LS mean difference</w:t>
            </w:r>
          </w:p>
        </w:tc>
        <w:tc>
          <w:tcPr>
            <w:tcW w:w="1928" w:type="dxa"/>
            <w:tcBorders>
              <w:top w:val="single" w:sz="12" w:space="0" w:color="auto"/>
            </w:tcBorders>
            <w:shd w:val="clear" w:color="auto" w:fill="auto"/>
          </w:tcPr>
          <w:p w:rsidR="0023577C" w:rsidRPr="00B50C48" w:rsidRDefault="0023577C" w:rsidP="00DD77F1">
            <w:pPr>
              <w:pStyle w:val="BayerTableStyleLeftJustified"/>
              <w:keepNext w:val="0"/>
              <w:keepLines/>
              <w:widowControl/>
              <w:spacing w:before="40" w:after="40"/>
              <w:jc w:val="center"/>
              <w:rPr>
                <w:rFonts w:cs="Arial"/>
                <w:b/>
              </w:rPr>
            </w:pPr>
            <w:r w:rsidRPr="00B50C48">
              <w:rPr>
                <w:rFonts w:cs="Arial"/>
                <w:b/>
              </w:rPr>
              <w:t>95% CI</w:t>
            </w:r>
          </w:p>
        </w:tc>
        <w:tc>
          <w:tcPr>
            <w:tcW w:w="1247" w:type="dxa"/>
            <w:shd w:val="clear" w:color="auto" w:fill="auto"/>
            <w:noWrap/>
          </w:tcPr>
          <w:p w:rsidR="0023577C" w:rsidRPr="00B50C48" w:rsidRDefault="0023577C" w:rsidP="00DD77F1">
            <w:pPr>
              <w:pStyle w:val="BayerTableStyleLeftJustified"/>
              <w:keepNext w:val="0"/>
              <w:keepLines/>
              <w:widowControl/>
              <w:spacing w:before="40" w:after="40"/>
              <w:jc w:val="center"/>
              <w:rPr>
                <w:rFonts w:cs="Arial"/>
                <w:b/>
              </w:rPr>
            </w:pPr>
          </w:p>
        </w:tc>
        <w:tc>
          <w:tcPr>
            <w:tcW w:w="1248" w:type="dxa"/>
            <w:shd w:val="clear" w:color="auto" w:fill="auto"/>
            <w:noWrap/>
          </w:tcPr>
          <w:p w:rsidR="0023577C" w:rsidRPr="00B50C48" w:rsidRDefault="0023577C" w:rsidP="00DD77F1">
            <w:pPr>
              <w:pStyle w:val="BayerTableStyleLeftJustified"/>
              <w:keepNext w:val="0"/>
              <w:keepLines/>
              <w:widowControl/>
              <w:spacing w:before="40" w:after="40"/>
              <w:jc w:val="center"/>
              <w:rPr>
                <w:rFonts w:cs="Arial"/>
                <w:b/>
              </w:rPr>
            </w:pPr>
          </w:p>
        </w:tc>
      </w:tr>
      <w:tr w:rsidR="0023577C" w:rsidRPr="00B50C48" w:rsidTr="006C10B9">
        <w:trPr>
          <w:cantSplit/>
        </w:trPr>
        <w:tc>
          <w:tcPr>
            <w:tcW w:w="2268" w:type="dxa"/>
            <w:tcBorders>
              <w:top w:val="single" w:sz="6" w:space="0" w:color="auto"/>
            </w:tcBorders>
            <w:shd w:val="clear" w:color="auto" w:fill="auto"/>
            <w:noWrap/>
          </w:tcPr>
          <w:p w:rsidR="0023577C" w:rsidRPr="00B50C48" w:rsidRDefault="0023577C" w:rsidP="00DD77F1">
            <w:pPr>
              <w:keepLines/>
              <w:spacing w:before="120"/>
              <w:rPr>
                <w:rFonts w:cs="Arial"/>
              </w:rPr>
            </w:pPr>
            <w:r w:rsidRPr="00B50C48">
              <w:rPr>
                <w:rFonts w:cs="Arial"/>
              </w:rPr>
              <w:t>PCWP (mmHg)</w:t>
            </w:r>
          </w:p>
        </w:tc>
        <w:tc>
          <w:tcPr>
            <w:tcW w:w="624" w:type="dxa"/>
            <w:tcBorders>
              <w:top w:val="single" w:sz="6" w:space="0" w:color="auto"/>
            </w:tcBorders>
            <w:shd w:val="clear" w:color="auto" w:fill="auto"/>
          </w:tcPr>
          <w:p w:rsidR="0023577C" w:rsidRPr="00B50C48" w:rsidRDefault="0023577C" w:rsidP="00DD77F1">
            <w:pPr>
              <w:pStyle w:val="BayerTableStyleLeftJustified"/>
              <w:keepNext w:val="0"/>
              <w:keepLines/>
              <w:widowControl/>
              <w:jc w:val="right"/>
              <w:rPr>
                <w:rFonts w:cs="Arial"/>
              </w:rPr>
            </w:pPr>
            <w:r w:rsidRPr="00B50C48">
              <w:rPr>
                <w:rFonts w:cs="Arial"/>
              </w:rPr>
              <w:t>1.08</w:t>
            </w:r>
          </w:p>
        </w:tc>
        <w:tc>
          <w:tcPr>
            <w:tcW w:w="624" w:type="dxa"/>
            <w:tcBorders>
              <w:top w:val="single" w:sz="6" w:space="0" w:color="auto"/>
            </w:tcBorders>
            <w:shd w:val="clear" w:color="auto" w:fill="auto"/>
          </w:tcPr>
          <w:p w:rsidR="0023577C" w:rsidRPr="00B50C48" w:rsidRDefault="0023577C" w:rsidP="00DD77F1">
            <w:pPr>
              <w:pStyle w:val="BayerTableStyleLeftJustified"/>
              <w:keepNext w:val="0"/>
              <w:keepLines/>
              <w:widowControl/>
              <w:jc w:val="right"/>
              <w:rPr>
                <w:rFonts w:cs="Arial"/>
              </w:rPr>
            </w:pPr>
            <w:r w:rsidRPr="00B50C48">
              <w:rPr>
                <w:rFonts w:cs="Arial"/>
              </w:rPr>
              <w:t>0.46</w:t>
            </w:r>
          </w:p>
        </w:tc>
        <w:tc>
          <w:tcPr>
            <w:tcW w:w="1134" w:type="dxa"/>
            <w:tcBorders>
              <w:top w:val="single" w:sz="6" w:space="0" w:color="auto"/>
            </w:tcBorders>
            <w:shd w:val="clear" w:color="auto" w:fill="auto"/>
          </w:tcPr>
          <w:p w:rsidR="0023577C" w:rsidRPr="00B50C48" w:rsidRDefault="0023577C" w:rsidP="00DD77F1">
            <w:pPr>
              <w:pStyle w:val="BayerTableStyleLeftJustified"/>
              <w:keepNext w:val="0"/>
              <w:keepLines/>
              <w:widowControl/>
              <w:ind w:right="170"/>
              <w:jc w:val="right"/>
              <w:rPr>
                <w:rFonts w:cs="Arial"/>
              </w:rPr>
            </w:pPr>
            <w:r w:rsidRPr="00B50C48">
              <w:rPr>
                <w:rFonts w:cs="Arial"/>
              </w:rPr>
              <w:t>0.41</w:t>
            </w:r>
          </w:p>
        </w:tc>
        <w:tc>
          <w:tcPr>
            <w:tcW w:w="1928" w:type="dxa"/>
            <w:tcBorders>
              <w:top w:val="single" w:sz="6" w:space="0" w:color="auto"/>
            </w:tcBorders>
            <w:shd w:val="clear" w:color="auto" w:fill="auto"/>
          </w:tcPr>
          <w:p w:rsidR="0023577C" w:rsidRPr="00B50C48" w:rsidRDefault="0023577C" w:rsidP="00DD77F1">
            <w:pPr>
              <w:pStyle w:val="BayerTableStyleLeftJustified"/>
              <w:keepNext w:val="0"/>
              <w:keepLines/>
              <w:widowControl/>
              <w:jc w:val="center"/>
              <w:rPr>
                <w:rFonts w:cs="Arial"/>
              </w:rPr>
            </w:pPr>
            <w:r w:rsidRPr="00B50C48">
              <w:rPr>
                <w:rFonts w:cs="Arial"/>
              </w:rPr>
              <w:t>–0.36 to 1.18</w:t>
            </w:r>
          </w:p>
        </w:tc>
        <w:tc>
          <w:tcPr>
            <w:tcW w:w="1247" w:type="dxa"/>
            <w:shd w:val="clear" w:color="auto" w:fill="auto"/>
            <w:noWrap/>
          </w:tcPr>
          <w:p w:rsidR="0023577C" w:rsidRPr="00B50C48" w:rsidRDefault="0023577C" w:rsidP="00DD77F1">
            <w:pPr>
              <w:pStyle w:val="BayerTableStyleLeftJustified"/>
              <w:keepNext w:val="0"/>
              <w:keepLines/>
              <w:widowControl/>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RAP (mmHg)</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–0.20</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0.97</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–1.01</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–2.15 to 0.13</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PAPsyst (mmHg)</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–5.39</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0.78</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–6.73</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–9.43 to –4.04</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PAPdiast (mmHg)</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–3.19</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–1.12</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–2.41</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–4.15 to –0.68</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PAPmean (mmHg)</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–3.93</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–0.50</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–3.83</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–5.61 to –2.06</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MAP (mmHg)</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–8.54</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–1.40</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–7.25</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–9.60 to –4.90</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SvO</w:t>
            </w:r>
            <w:r w:rsidRPr="00B50C48">
              <w:rPr>
                <w:rFonts w:cs="Arial"/>
                <w:vertAlign w:val="subscript"/>
              </w:rPr>
              <w:t>2</w:t>
            </w:r>
            <w:r w:rsidRPr="00B50C48">
              <w:rPr>
                <w:rFonts w:cs="Arial"/>
              </w:rPr>
              <w:t xml:space="preserve"> (%)</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3.15</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–2.33</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5.02</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3.20 to 6.84</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CO (L/min)</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0.93</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–0.01</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0.93</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0.70 to 1.15</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CI (L/min/m</w:t>
            </w:r>
            <w:r w:rsidRPr="00B50C48">
              <w:rPr>
                <w:rFonts w:cs="Arial"/>
                <w:vertAlign w:val="superscript"/>
              </w:rPr>
              <w:t>2</w:t>
            </w:r>
            <w:r w:rsidRPr="00B50C48">
              <w:rPr>
                <w:rFonts w:cs="Arial"/>
              </w:rPr>
              <w:t>)</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0.54</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–0.02</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0.56</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0.44 to 0.69</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PVR* (dyn*s*cm</w:t>
            </w:r>
            <w:r w:rsidRPr="00B50C48">
              <w:rPr>
                <w:rFonts w:cs="Arial"/>
                <w:vertAlign w:val="superscript"/>
              </w:rPr>
              <w:t>-5</w:t>
            </w:r>
            <w:r w:rsidRPr="00B50C48">
              <w:rPr>
                <w:rFonts w:cs="Arial"/>
              </w:rPr>
              <w:t>)</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–223</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–8.9</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–225.72</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–281.37 to –170.08</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23577C">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PVRI (dyn*s*cm</w:t>
            </w:r>
            <w:r w:rsidRPr="00B50C48">
              <w:rPr>
                <w:rFonts w:cs="Arial"/>
                <w:vertAlign w:val="superscript"/>
              </w:rPr>
              <w:t>-5</w:t>
            </w:r>
            <w:r w:rsidRPr="00B50C48">
              <w:rPr>
                <w:rFonts w:cs="Arial"/>
              </w:rPr>
              <w:t>*m</w:t>
            </w:r>
            <w:r w:rsidRPr="00B50C48">
              <w:rPr>
                <w:rFonts w:cs="Arial"/>
                <w:vertAlign w:val="superscript"/>
              </w:rPr>
              <w:t>2</w:t>
            </w:r>
            <w:r w:rsidRPr="00B50C48">
              <w:rPr>
                <w:rFonts w:cs="Arial"/>
              </w:rPr>
              <w:t>)</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–374</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–22.4</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–376.81</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–468.90 to –284.72</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C3017A">
        <w:trPr>
          <w:cantSplit/>
        </w:trPr>
        <w:tc>
          <w:tcPr>
            <w:tcW w:w="2268" w:type="dxa"/>
            <w:shd w:val="clear" w:color="auto" w:fill="auto"/>
            <w:noWrap/>
          </w:tcPr>
          <w:p w:rsidR="0023577C" w:rsidRPr="00B50C48" w:rsidRDefault="0023577C" w:rsidP="00DD77F1">
            <w:pPr>
              <w:keepLines/>
              <w:spacing w:before="20"/>
              <w:rPr>
                <w:rFonts w:cs="Arial"/>
              </w:rPr>
            </w:pPr>
            <w:r w:rsidRPr="00B50C48">
              <w:rPr>
                <w:rFonts w:cs="Arial"/>
              </w:rPr>
              <w:t>SVR (dyn*s*cm</w:t>
            </w:r>
            <w:r w:rsidRPr="00B50C48">
              <w:rPr>
                <w:rFonts w:cs="Arial"/>
                <w:vertAlign w:val="superscript"/>
              </w:rPr>
              <w:t>-5</w:t>
            </w:r>
            <w:r w:rsidRPr="00B50C48">
              <w:rPr>
                <w:rFonts w:cs="Arial"/>
              </w:rPr>
              <w:t>)</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–448</w:t>
            </w:r>
          </w:p>
        </w:tc>
        <w:tc>
          <w:tcPr>
            <w:tcW w:w="624" w:type="dxa"/>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–67.5</w:t>
            </w:r>
          </w:p>
        </w:tc>
        <w:tc>
          <w:tcPr>
            <w:tcW w:w="1134" w:type="dxa"/>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–394.57</w:t>
            </w:r>
          </w:p>
        </w:tc>
        <w:tc>
          <w:tcPr>
            <w:tcW w:w="1928" w:type="dxa"/>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–472.95 to –316.19</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r w:rsidR="0023577C" w:rsidRPr="00B50C48" w:rsidTr="006C10B9">
        <w:trPr>
          <w:cantSplit/>
        </w:trPr>
        <w:tc>
          <w:tcPr>
            <w:tcW w:w="2268" w:type="dxa"/>
            <w:tcBorders>
              <w:bottom w:val="single" w:sz="4" w:space="0" w:color="auto"/>
            </w:tcBorders>
            <w:shd w:val="clear" w:color="auto" w:fill="auto"/>
            <w:noWrap/>
          </w:tcPr>
          <w:p w:rsidR="0023577C" w:rsidRPr="00B50C48" w:rsidRDefault="0023577C" w:rsidP="00DD77F1">
            <w:pPr>
              <w:keepLines/>
              <w:spacing w:before="20"/>
              <w:rPr>
                <w:rFonts w:cs="Arial"/>
              </w:rPr>
            </w:pPr>
            <w:r w:rsidRPr="00B50C48">
              <w:rPr>
                <w:rFonts w:cs="Arial"/>
              </w:rPr>
              <w:t>SVRI (dyn*s*cm</w:t>
            </w:r>
            <w:r w:rsidRPr="00B50C48">
              <w:rPr>
                <w:rFonts w:cs="Arial"/>
                <w:vertAlign w:val="superscript"/>
              </w:rPr>
              <w:t>-5</w:t>
            </w:r>
            <w:r w:rsidRPr="00B50C48">
              <w:rPr>
                <w:rFonts w:cs="Arial"/>
              </w:rPr>
              <w:t>*m</w:t>
            </w:r>
            <w:r w:rsidRPr="00B50C48">
              <w:rPr>
                <w:rFonts w:cs="Arial"/>
                <w:vertAlign w:val="superscript"/>
              </w:rPr>
              <w:t>2</w:t>
            </w:r>
            <w:r w:rsidRPr="00B50C48">
              <w:rPr>
                <w:rFonts w:cs="Arial"/>
              </w:rPr>
              <w:t>)</w:t>
            </w:r>
          </w:p>
        </w:tc>
        <w:tc>
          <w:tcPr>
            <w:tcW w:w="624" w:type="dxa"/>
            <w:tcBorders>
              <w:bottom w:val="single" w:sz="4" w:space="0" w:color="auto"/>
            </w:tcBorders>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–753</w:t>
            </w:r>
          </w:p>
        </w:tc>
        <w:tc>
          <w:tcPr>
            <w:tcW w:w="624" w:type="dxa"/>
            <w:tcBorders>
              <w:bottom w:val="single" w:sz="4" w:space="0" w:color="auto"/>
            </w:tcBorders>
            <w:shd w:val="clear" w:color="auto" w:fill="auto"/>
          </w:tcPr>
          <w:p w:rsidR="0023577C" w:rsidRPr="00B50C48" w:rsidRDefault="0023577C" w:rsidP="00DD77F1">
            <w:pPr>
              <w:pStyle w:val="BayerTableStyleLeftJustified"/>
              <w:keepNext w:val="0"/>
              <w:keepLines/>
              <w:widowControl/>
              <w:spacing w:before="20"/>
              <w:jc w:val="right"/>
              <w:rPr>
                <w:rFonts w:cs="Arial"/>
              </w:rPr>
            </w:pPr>
            <w:r w:rsidRPr="00B50C48">
              <w:rPr>
                <w:rFonts w:cs="Arial"/>
              </w:rPr>
              <w:t>–130</w:t>
            </w:r>
          </w:p>
        </w:tc>
        <w:tc>
          <w:tcPr>
            <w:tcW w:w="1134" w:type="dxa"/>
            <w:tcBorders>
              <w:bottom w:val="single" w:sz="4" w:space="0" w:color="auto"/>
            </w:tcBorders>
            <w:shd w:val="clear" w:color="auto" w:fill="auto"/>
          </w:tcPr>
          <w:p w:rsidR="0023577C" w:rsidRPr="00B50C48" w:rsidRDefault="0023577C" w:rsidP="00DD77F1">
            <w:pPr>
              <w:pStyle w:val="BayerTableStyleLeftJustified"/>
              <w:keepNext w:val="0"/>
              <w:keepLines/>
              <w:widowControl/>
              <w:spacing w:before="20"/>
              <w:ind w:right="170"/>
              <w:jc w:val="right"/>
              <w:rPr>
                <w:rFonts w:cs="Arial"/>
              </w:rPr>
            </w:pPr>
            <w:r w:rsidRPr="00B50C48">
              <w:rPr>
                <w:rFonts w:cs="Arial"/>
              </w:rPr>
              <w:t>–675.31</w:t>
            </w:r>
          </w:p>
        </w:tc>
        <w:tc>
          <w:tcPr>
            <w:tcW w:w="1928" w:type="dxa"/>
            <w:tcBorders>
              <w:bottom w:val="single" w:sz="4" w:space="0" w:color="auto"/>
            </w:tcBorders>
            <w:shd w:val="clear" w:color="auto" w:fill="auto"/>
          </w:tcPr>
          <w:p w:rsidR="0023577C" w:rsidRPr="00B50C48" w:rsidRDefault="0023577C" w:rsidP="00DD77F1">
            <w:pPr>
              <w:pStyle w:val="BayerTableStyleLeftJustified"/>
              <w:keepNext w:val="0"/>
              <w:keepLines/>
              <w:widowControl/>
              <w:spacing w:before="20"/>
              <w:jc w:val="center"/>
              <w:rPr>
                <w:rFonts w:cs="Arial"/>
              </w:rPr>
            </w:pPr>
            <w:r w:rsidRPr="00B50C48">
              <w:rPr>
                <w:rFonts w:cs="Arial"/>
              </w:rPr>
              <w:t>–800.84 to –549.79</w:t>
            </w:r>
          </w:p>
        </w:tc>
        <w:tc>
          <w:tcPr>
            <w:tcW w:w="1247"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c>
          <w:tcPr>
            <w:tcW w:w="1248" w:type="dxa"/>
            <w:shd w:val="clear" w:color="auto" w:fill="auto"/>
            <w:noWrap/>
          </w:tcPr>
          <w:p w:rsidR="0023577C" w:rsidRPr="00B50C48" w:rsidRDefault="0023577C" w:rsidP="00DD77F1">
            <w:pPr>
              <w:pStyle w:val="BayerTableStyleLeftJustified"/>
              <w:keepNext w:val="0"/>
              <w:keepLines/>
              <w:widowControl/>
              <w:spacing w:before="20"/>
              <w:jc w:val="center"/>
              <w:rPr>
                <w:rFonts w:cs="Arial"/>
              </w:rPr>
            </w:pPr>
          </w:p>
        </w:tc>
      </w:tr>
    </w:tbl>
    <w:p w:rsidR="00980C71" w:rsidRDefault="006420E9" w:rsidP="00C3017A">
      <w:pPr>
        <w:pStyle w:val="BayerTableFootnote"/>
        <w:keepNext w:val="0"/>
        <w:keepLines/>
        <w:widowControl/>
        <w:spacing w:before="40"/>
        <w:rPr>
          <w:rFonts w:cs="Arial"/>
          <w:lang w:val="en-AU"/>
        </w:rPr>
      </w:pPr>
      <w:r w:rsidRPr="00B50C48">
        <w:rPr>
          <w:rFonts w:cs="Arial"/>
          <w:lang w:val="en-AU"/>
        </w:rPr>
        <w:t>* PVR was a secondary endpoint in the study</w:t>
      </w:r>
    </w:p>
    <w:p w:rsidR="006420E9" w:rsidRDefault="006420E9" w:rsidP="005551E5">
      <w:pPr>
        <w:pStyle w:val="BayerTableFootnote"/>
        <w:keepNext w:val="0"/>
        <w:keepLines/>
        <w:widowControl/>
        <w:spacing w:before="40" w:after="240"/>
        <w:ind w:left="357" w:hanging="357"/>
        <w:rPr>
          <w:iCs/>
          <w:sz w:val="22"/>
          <w:szCs w:val="24"/>
          <w:u w:val="single"/>
        </w:rPr>
      </w:pPr>
      <w:r w:rsidRPr="00B50C48">
        <w:rPr>
          <w:rFonts w:cs="Arial"/>
        </w:rPr>
        <w:t>All other parameters were not pre-specified as endpoints</w:t>
      </w:r>
    </w:p>
    <w:p w:rsidR="002D7E65" w:rsidRPr="00B50C48" w:rsidRDefault="002D7E65" w:rsidP="005B342E">
      <w:pPr>
        <w:keepNext/>
        <w:keepLines/>
        <w:spacing w:before="120" w:after="240" w:line="276" w:lineRule="auto"/>
        <w:jc w:val="both"/>
        <w:rPr>
          <w:iCs/>
          <w:sz w:val="22"/>
          <w:szCs w:val="24"/>
          <w:u w:val="single"/>
        </w:rPr>
      </w:pPr>
      <w:r w:rsidRPr="00B50C48">
        <w:rPr>
          <w:iCs/>
          <w:sz w:val="22"/>
          <w:szCs w:val="24"/>
          <w:u w:val="single"/>
        </w:rPr>
        <w:t>Long</w:t>
      </w:r>
      <w:r w:rsidRPr="00B50C48">
        <w:rPr>
          <w:iCs/>
          <w:sz w:val="22"/>
          <w:szCs w:val="24"/>
          <w:u w:val="single"/>
        </w:rPr>
        <w:noBreakHyphen/>
        <w:t xml:space="preserve">term </w:t>
      </w:r>
      <w:r w:rsidR="00ED01F4">
        <w:rPr>
          <w:iCs/>
          <w:sz w:val="22"/>
          <w:szCs w:val="24"/>
          <w:u w:val="single"/>
        </w:rPr>
        <w:t>T</w:t>
      </w:r>
      <w:r w:rsidRPr="00B50C48">
        <w:rPr>
          <w:iCs/>
          <w:sz w:val="22"/>
          <w:szCs w:val="24"/>
          <w:u w:val="single"/>
        </w:rPr>
        <w:t>reatment of PAH</w:t>
      </w:r>
    </w:p>
    <w:p w:rsidR="002D7E65" w:rsidRPr="00B50C48" w:rsidRDefault="002D7E65" w:rsidP="005B342E">
      <w:pPr>
        <w:keepNext/>
        <w:keepLines/>
        <w:spacing w:before="120" w:after="240" w:line="276" w:lineRule="auto"/>
        <w:jc w:val="both"/>
        <w:rPr>
          <w:sz w:val="22"/>
          <w:szCs w:val="24"/>
          <w:lang w:eastAsia="de-DE"/>
        </w:rPr>
      </w:pPr>
      <w:r w:rsidRPr="00B50C48">
        <w:rPr>
          <w:sz w:val="22"/>
          <w:szCs w:val="24"/>
          <w:lang w:eastAsia="de-DE"/>
        </w:rPr>
        <w:t>An open label extension study (PATENT</w:t>
      </w:r>
      <w:r w:rsidRPr="00B50C48">
        <w:rPr>
          <w:sz w:val="22"/>
          <w:szCs w:val="24"/>
          <w:lang w:eastAsia="de-DE"/>
        </w:rPr>
        <w:noBreakHyphen/>
        <w:t>2) included 363 patients who had completed PATENT</w:t>
      </w:r>
      <w:r w:rsidRPr="00B50C48">
        <w:rPr>
          <w:sz w:val="22"/>
          <w:szCs w:val="24"/>
          <w:lang w:eastAsia="de-DE"/>
        </w:rPr>
        <w:noBreakHyphen/>
        <w:t>1. The mean treatment duration in PATENT</w:t>
      </w:r>
      <w:r w:rsidRPr="00B50C48">
        <w:rPr>
          <w:sz w:val="22"/>
          <w:szCs w:val="24"/>
          <w:lang w:eastAsia="de-DE"/>
        </w:rPr>
        <w:noBreakHyphen/>
        <w:t>2 at the cut-off date was 438 days with a median duration of 441 days (range 1 to 1078 days) and a total riociguat exposure of 436 patient years.</w:t>
      </w:r>
    </w:p>
    <w:p w:rsidR="0023577C" w:rsidRPr="00B50C48" w:rsidRDefault="00B21414" w:rsidP="005B342E">
      <w:pPr>
        <w:spacing w:before="120" w:after="240" w:line="276" w:lineRule="auto"/>
        <w:jc w:val="both"/>
        <w:rPr>
          <w:sz w:val="22"/>
        </w:rPr>
      </w:pPr>
      <w:r w:rsidRPr="00B21414">
        <w:rPr>
          <w:sz w:val="22"/>
          <w:szCs w:val="24"/>
          <w:lang w:eastAsia="de-DE"/>
        </w:rPr>
        <w:t xml:space="preserve">The long-term 6MWD data from </w:t>
      </w:r>
      <w:r>
        <w:rPr>
          <w:sz w:val="22"/>
          <w:szCs w:val="24"/>
          <w:lang w:eastAsia="de-DE"/>
        </w:rPr>
        <w:t xml:space="preserve">PATENT-2 </w:t>
      </w:r>
      <w:r w:rsidRPr="00B21414">
        <w:rPr>
          <w:sz w:val="22"/>
          <w:szCs w:val="24"/>
          <w:lang w:eastAsia="de-DE"/>
        </w:rPr>
        <w:t>(open label) indicate maintenance of the riociguat treatment</w:t>
      </w:r>
      <w:r>
        <w:rPr>
          <w:sz w:val="22"/>
          <w:szCs w:val="24"/>
          <w:lang w:eastAsia="de-DE"/>
        </w:rPr>
        <w:t xml:space="preserve"> </w:t>
      </w:r>
      <w:r w:rsidRPr="00B21414">
        <w:rPr>
          <w:sz w:val="22"/>
          <w:szCs w:val="24"/>
          <w:lang w:eastAsia="de-DE"/>
        </w:rPr>
        <w:t xml:space="preserve">effect that was observed in the main (controlled) phase of the </w:t>
      </w:r>
      <w:r w:rsidR="004E5120">
        <w:rPr>
          <w:sz w:val="22"/>
          <w:szCs w:val="24"/>
          <w:lang w:eastAsia="de-DE"/>
        </w:rPr>
        <w:t>study</w:t>
      </w:r>
      <w:r w:rsidRPr="00B21414">
        <w:rPr>
          <w:sz w:val="22"/>
          <w:szCs w:val="24"/>
          <w:lang w:eastAsia="de-DE"/>
        </w:rPr>
        <w:t xml:space="preserve">. </w:t>
      </w:r>
      <w:r w:rsidR="00330DD9">
        <w:rPr>
          <w:sz w:val="22"/>
          <w:szCs w:val="24"/>
          <w:lang w:eastAsia="de-DE"/>
        </w:rPr>
        <w:lastRenderedPageBreak/>
        <w:t xml:space="preserve">However, without a control group, these data must be interpreted cautiously. </w:t>
      </w:r>
      <w:r w:rsidR="002D7E65" w:rsidRPr="00B50C48">
        <w:rPr>
          <w:sz w:val="22"/>
          <w:szCs w:val="24"/>
          <w:lang w:eastAsia="de-DE"/>
        </w:rPr>
        <w:t>The probability of survival at 1-year was 96%.</w:t>
      </w:r>
      <w:r w:rsidR="002D7E65" w:rsidRPr="00B50C48">
        <w:rPr>
          <w:sz w:val="22"/>
        </w:rPr>
        <w:t xml:space="preserve"> </w:t>
      </w:r>
    </w:p>
    <w:p w:rsidR="005E1570" w:rsidRDefault="005E1570" w:rsidP="0025452C">
      <w:pPr>
        <w:pStyle w:val="Heading1"/>
        <w:numPr>
          <w:ilvl w:val="0"/>
          <w:numId w:val="0"/>
        </w:numPr>
        <w:jc w:val="both"/>
        <w:rPr>
          <w:sz w:val="24"/>
        </w:rPr>
      </w:pPr>
      <w:r w:rsidRPr="00B50C48">
        <w:rPr>
          <w:sz w:val="24"/>
        </w:rPr>
        <w:t>INDICATIONS</w:t>
      </w:r>
    </w:p>
    <w:p w:rsidR="00A53A2B" w:rsidRPr="001649A7" w:rsidRDefault="00A53A2B" w:rsidP="009F0431">
      <w:pPr>
        <w:pStyle w:val="BayerBodyTextFull"/>
        <w:spacing w:line="276" w:lineRule="auto"/>
        <w:jc w:val="both"/>
        <w:rPr>
          <w:b/>
          <w:i/>
          <w:sz w:val="22"/>
          <w:szCs w:val="22"/>
        </w:rPr>
      </w:pPr>
      <w:r w:rsidRPr="001649A7">
        <w:rPr>
          <w:b/>
          <w:i/>
          <w:sz w:val="22"/>
          <w:szCs w:val="22"/>
        </w:rPr>
        <w:t>Pulmonary arterial hypertension</w:t>
      </w:r>
    </w:p>
    <w:p w:rsidR="00A53A2B" w:rsidRPr="001649A7" w:rsidRDefault="00A53A2B" w:rsidP="009F0431">
      <w:pPr>
        <w:pStyle w:val="BayerBodyTextFull"/>
        <w:spacing w:line="276" w:lineRule="auto"/>
        <w:jc w:val="both"/>
        <w:rPr>
          <w:sz w:val="22"/>
          <w:szCs w:val="22"/>
        </w:rPr>
      </w:pPr>
      <w:r w:rsidRPr="001649A7">
        <w:rPr>
          <w:sz w:val="22"/>
          <w:szCs w:val="22"/>
        </w:rPr>
        <w:t>Adempas, as monotherapy or in combination with approved PAH treatments (endothelin receptor antagonists or inhaled or subcutaneous prostanoids), is indicated for the treatment of:</w:t>
      </w:r>
    </w:p>
    <w:p w:rsidR="00A53A2B" w:rsidRPr="001649A7" w:rsidRDefault="00A53A2B" w:rsidP="009F0431">
      <w:pPr>
        <w:pStyle w:val="BayerBodyTextFull"/>
        <w:numPr>
          <w:ilvl w:val="0"/>
          <w:numId w:val="29"/>
        </w:numPr>
        <w:spacing w:line="276" w:lineRule="auto"/>
        <w:jc w:val="both"/>
        <w:rPr>
          <w:sz w:val="22"/>
          <w:szCs w:val="22"/>
        </w:rPr>
      </w:pPr>
      <w:r w:rsidRPr="001649A7">
        <w:rPr>
          <w:sz w:val="22"/>
          <w:szCs w:val="22"/>
        </w:rPr>
        <w:t>idiopathic pulmonary arterial hypertension</w:t>
      </w:r>
    </w:p>
    <w:p w:rsidR="00A53A2B" w:rsidRPr="001649A7" w:rsidRDefault="00A53A2B" w:rsidP="009F0431">
      <w:pPr>
        <w:pStyle w:val="BayerBodyTextFull"/>
        <w:numPr>
          <w:ilvl w:val="0"/>
          <w:numId w:val="29"/>
        </w:numPr>
        <w:spacing w:line="276" w:lineRule="auto"/>
        <w:jc w:val="both"/>
        <w:rPr>
          <w:sz w:val="22"/>
          <w:szCs w:val="22"/>
        </w:rPr>
      </w:pPr>
      <w:r w:rsidRPr="001649A7">
        <w:rPr>
          <w:sz w:val="22"/>
          <w:szCs w:val="22"/>
        </w:rPr>
        <w:t>heritable pulmonary arterial hypertension</w:t>
      </w:r>
    </w:p>
    <w:p w:rsidR="00A53A2B" w:rsidRDefault="00A53A2B" w:rsidP="009F0431">
      <w:pPr>
        <w:pStyle w:val="BayerBodyTextFull"/>
        <w:numPr>
          <w:ilvl w:val="0"/>
          <w:numId w:val="29"/>
        </w:numPr>
        <w:spacing w:line="276" w:lineRule="auto"/>
        <w:jc w:val="both"/>
        <w:rPr>
          <w:sz w:val="22"/>
          <w:szCs w:val="22"/>
        </w:rPr>
      </w:pPr>
      <w:r w:rsidRPr="001649A7">
        <w:rPr>
          <w:sz w:val="22"/>
          <w:szCs w:val="22"/>
        </w:rPr>
        <w:t>pulmonary arterial hypertension associated with connective tissue diseases</w:t>
      </w:r>
      <w:r w:rsidR="000B7450">
        <w:rPr>
          <w:sz w:val="22"/>
          <w:szCs w:val="22"/>
        </w:rPr>
        <w:t xml:space="preserve"> or</w:t>
      </w:r>
    </w:p>
    <w:p w:rsidR="000B7450" w:rsidRPr="001649A7" w:rsidRDefault="000B7450" w:rsidP="009F0431">
      <w:pPr>
        <w:pStyle w:val="BayerBodyTextFull"/>
        <w:numPr>
          <w:ilvl w:val="0"/>
          <w:numId w:val="29"/>
        </w:numPr>
        <w:spacing w:line="276" w:lineRule="auto"/>
        <w:jc w:val="both"/>
        <w:rPr>
          <w:sz w:val="22"/>
          <w:szCs w:val="22"/>
        </w:rPr>
      </w:pPr>
      <w:r>
        <w:rPr>
          <w:sz w:val="22"/>
          <w:szCs w:val="22"/>
        </w:rPr>
        <w:t>pulmonary arterial hypertension associated with congenital heart disease</w:t>
      </w:r>
    </w:p>
    <w:p w:rsidR="00A36ADF" w:rsidRDefault="00A53A2B" w:rsidP="009F0431">
      <w:pPr>
        <w:pStyle w:val="BayerBodyTextFull"/>
        <w:spacing w:line="276" w:lineRule="auto"/>
        <w:jc w:val="both"/>
        <w:rPr>
          <w:b/>
          <w:i/>
          <w:sz w:val="22"/>
          <w:szCs w:val="22"/>
        </w:rPr>
      </w:pPr>
      <w:r w:rsidRPr="001649A7">
        <w:rPr>
          <w:sz w:val="22"/>
          <w:szCs w:val="22"/>
        </w:rPr>
        <w:t>in adult patients with WHO functional Class II, lll or IV symptoms</w:t>
      </w:r>
    </w:p>
    <w:p w:rsidR="00A53A2B" w:rsidRPr="001649A7" w:rsidRDefault="00A53A2B" w:rsidP="009F0431">
      <w:pPr>
        <w:pStyle w:val="BayerBodyTextFull"/>
        <w:spacing w:line="276" w:lineRule="auto"/>
        <w:jc w:val="both"/>
        <w:rPr>
          <w:b/>
          <w:i/>
          <w:sz w:val="22"/>
          <w:szCs w:val="22"/>
        </w:rPr>
      </w:pPr>
      <w:r w:rsidRPr="001649A7">
        <w:rPr>
          <w:b/>
          <w:i/>
          <w:sz w:val="22"/>
          <w:szCs w:val="22"/>
        </w:rPr>
        <w:t>Chronic thromboembolic pulmonary hypertension</w:t>
      </w:r>
    </w:p>
    <w:p w:rsidR="00A53A2B" w:rsidRPr="001649A7" w:rsidRDefault="00A53A2B" w:rsidP="009F0431">
      <w:pPr>
        <w:pStyle w:val="BayerBodyTextFull"/>
        <w:spacing w:line="276" w:lineRule="auto"/>
        <w:jc w:val="both"/>
        <w:rPr>
          <w:sz w:val="22"/>
          <w:szCs w:val="22"/>
        </w:rPr>
      </w:pPr>
      <w:r w:rsidRPr="001649A7">
        <w:rPr>
          <w:sz w:val="22"/>
          <w:szCs w:val="22"/>
        </w:rPr>
        <w:t>Adempas is indicated for the treatment of:</w:t>
      </w:r>
    </w:p>
    <w:p w:rsidR="00A53A2B" w:rsidRPr="001649A7" w:rsidRDefault="00A53A2B" w:rsidP="009F0431">
      <w:pPr>
        <w:pStyle w:val="BayerBodyTextFull"/>
        <w:numPr>
          <w:ilvl w:val="0"/>
          <w:numId w:val="32"/>
        </w:numPr>
        <w:spacing w:line="276" w:lineRule="auto"/>
        <w:jc w:val="both"/>
        <w:rPr>
          <w:sz w:val="22"/>
          <w:szCs w:val="22"/>
        </w:rPr>
      </w:pPr>
      <w:r w:rsidRPr="001649A7">
        <w:rPr>
          <w:sz w:val="22"/>
          <w:szCs w:val="22"/>
        </w:rPr>
        <w:t xml:space="preserve">Persistent or recurrent chronic thromboembolic pulmonary hypertension </w:t>
      </w:r>
      <w:r w:rsidR="00896902">
        <w:rPr>
          <w:sz w:val="22"/>
          <w:szCs w:val="22"/>
        </w:rPr>
        <w:t xml:space="preserve">(CTEPH) </w:t>
      </w:r>
      <w:r w:rsidRPr="001649A7">
        <w:rPr>
          <w:sz w:val="22"/>
          <w:szCs w:val="22"/>
        </w:rPr>
        <w:t>after surgical treatment or</w:t>
      </w:r>
    </w:p>
    <w:p w:rsidR="00A53A2B" w:rsidRPr="001649A7" w:rsidRDefault="00A53A2B" w:rsidP="009F0431">
      <w:pPr>
        <w:pStyle w:val="BayerBodyTextFull"/>
        <w:numPr>
          <w:ilvl w:val="0"/>
          <w:numId w:val="32"/>
        </w:numPr>
        <w:spacing w:line="276" w:lineRule="auto"/>
        <w:jc w:val="both"/>
        <w:rPr>
          <w:sz w:val="22"/>
          <w:szCs w:val="22"/>
        </w:rPr>
      </w:pPr>
      <w:r w:rsidRPr="001649A7">
        <w:rPr>
          <w:sz w:val="22"/>
          <w:szCs w:val="22"/>
        </w:rPr>
        <w:t>inoperable CTEPH</w:t>
      </w:r>
    </w:p>
    <w:p w:rsidR="00A53A2B" w:rsidRPr="001649A7" w:rsidRDefault="00A53A2B" w:rsidP="009F0431">
      <w:pPr>
        <w:pStyle w:val="BayerBodyTextFull"/>
        <w:spacing w:line="276" w:lineRule="auto"/>
        <w:jc w:val="both"/>
        <w:rPr>
          <w:sz w:val="22"/>
          <w:szCs w:val="22"/>
        </w:rPr>
      </w:pPr>
      <w:r w:rsidRPr="001649A7">
        <w:rPr>
          <w:sz w:val="22"/>
          <w:szCs w:val="22"/>
        </w:rPr>
        <w:t>in adult patients with WHO functional Class II, lll or IV symptoms</w:t>
      </w:r>
    </w:p>
    <w:p w:rsidR="005E1570" w:rsidRPr="00B50C48" w:rsidRDefault="005E1570" w:rsidP="009421D5">
      <w:pPr>
        <w:pStyle w:val="Heading1"/>
        <w:numPr>
          <w:ilvl w:val="0"/>
          <w:numId w:val="0"/>
        </w:numPr>
        <w:jc w:val="both"/>
        <w:rPr>
          <w:sz w:val="24"/>
        </w:rPr>
      </w:pPr>
      <w:r w:rsidRPr="00B50C48">
        <w:rPr>
          <w:sz w:val="24"/>
        </w:rPr>
        <w:t>CONTRAINDICATIONS</w:t>
      </w:r>
    </w:p>
    <w:p w:rsidR="00484E4D" w:rsidRDefault="00484E4D" w:rsidP="00714EC8">
      <w:pPr>
        <w:pStyle w:val="BayerBodyTextFull"/>
        <w:spacing w:after="240" w:line="276" w:lineRule="auto"/>
        <w:jc w:val="both"/>
        <w:rPr>
          <w:sz w:val="22"/>
        </w:rPr>
      </w:pPr>
      <w:r w:rsidRPr="00435EDC">
        <w:rPr>
          <w:sz w:val="22"/>
        </w:rPr>
        <w:t xml:space="preserve">Adempas is contraindicated in patients </w:t>
      </w:r>
      <w:r w:rsidR="001A1A0C" w:rsidRPr="00435EDC">
        <w:rPr>
          <w:sz w:val="22"/>
        </w:rPr>
        <w:t>with hypersensitivity to the active substance or to any of the excipients</w:t>
      </w:r>
      <w:r w:rsidR="00E84505" w:rsidRPr="00435EDC">
        <w:rPr>
          <w:sz w:val="22"/>
        </w:rPr>
        <w:t>.</w:t>
      </w:r>
    </w:p>
    <w:p w:rsidR="005E1570" w:rsidRDefault="00954E99" w:rsidP="00714EC8">
      <w:pPr>
        <w:pStyle w:val="BayerBodyTextFull"/>
        <w:spacing w:after="240" w:line="276" w:lineRule="auto"/>
        <w:jc w:val="both"/>
        <w:rPr>
          <w:sz w:val="22"/>
        </w:rPr>
      </w:pPr>
      <w:r w:rsidRPr="00B50C48">
        <w:rPr>
          <w:sz w:val="22"/>
        </w:rPr>
        <w:t>Adempas</w:t>
      </w:r>
      <w:r w:rsidR="00250DB6" w:rsidRPr="00B50C48">
        <w:rPr>
          <w:sz w:val="22"/>
        </w:rPr>
        <w:t xml:space="preserve"> is contraindicated during pregnancy </w:t>
      </w:r>
      <w:r w:rsidR="005E4D20">
        <w:rPr>
          <w:sz w:val="22"/>
        </w:rPr>
        <w:t xml:space="preserve">and lactation </w:t>
      </w:r>
      <w:r w:rsidR="00250DB6" w:rsidRPr="00B50C48">
        <w:rPr>
          <w:sz w:val="22"/>
        </w:rPr>
        <w:t>(see</w:t>
      </w:r>
      <w:r w:rsidR="007313F9">
        <w:rPr>
          <w:sz w:val="22"/>
        </w:rPr>
        <w:t xml:space="preserve"> boxed warning,</w:t>
      </w:r>
      <w:r w:rsidR="00250DB6" w:rsidRPr="00B50C48">
        <w:rPr>
          <w:sz w:val="22"/>
        </w:rPr>
        <w:t xml:space="preserve"> </w:t>
      </w:r>
      <w:r w:rsidR="005B7106">
        <w:rPr>
          <w:sz w:val="22"/>
        </w:rPr>
        <w:t xml:space="preserve">PRECAUTIONS, </w:t>
      </w:r>
      <w:r w:rsidR="00400329" w:rsidRPr="00B50C48">
        <w:rPr>
          <w:sz w:val="22"/>
        </w:rPr>
        <w:t xml:space="preserve">Use in </w:t>
      </w:r>
      <w:r w:rsidR="00066435">
        <w:rPr>
          <w:sz w:val="22"/>
        </w:rPr>
        <w:t>P</w:t>
      </w:r>
      <w:r w:rsidR="00400329" w:rsidRPr="00B50C48">
        <w:rPr>
          <w:sz w:val="22"/>
        </w:rPr>
        <w:t>regnancy</w:t>
      </w:r>
      <w:r w:rsidR="005E4D20">
        <w:rPr>
          <w:sz w:val="22"/>
        </w:rPr>
        <w:t>, Use in Lactation</w:t>
      </w:r>
      <w:r w:rsidR="00250DB6" w:rsidRPr="00B50C48">
        <w:rPr>
          <w:sz w:val="22"/>
        </w:rPr>
        <w:t>).</w:t>
      </w:r>
    </w:p>
    <w:p w:rsidR="007D29AD" w:rsidRPr="00B50C48" w:rsidRDefault="007D29AD" w:rsidP="00714EC8">
      <w:pPr>
        <w:pStyle w:val="BayerBodyTextFull"/>
        <w:spacing w:after="240" w:line="276" w:lineRule="auto"/>
        <w:jc w:val="both"/>
        <w:rPr>
          <w:sz w:val="22"/>
        </w:rPr>
      </w:pPr>
      <w:r w:rsidRPr="007D29AD">
        <w:rPr>
          <w:sz w:val="22"/>
        </w:rPr>
        <w:t>Women of child-bearing potential</w:t>
      </w:r>
      <w:r w:rsidR="000012DF">
        <w:rPr>
          <w:sz w:val="22"/>
        </w:rPr>
        <w:t xml:space="preserve"> </w:t>
      </w:r>
      <w:r w:rsidR="00844B61">
        <w:rPr>
          <w:sz w:val="22"/>
        </w:rPr>
        <w:t xml:space="preserve">who </w:t>
      </w:r>
      <w:r w:rsidR="000012DF" w:rsidRPr="005D220E">
        <w:rPr>
          <w:sz w:val="22"/>
        </w:rPr>
        <w:t>may become pregnant</w:t>
      </w:r>
      <w:r w:rsidRPr="007D29AD">
        <w:rPr>
          <w:sz w:val="22"/>
        </w:rPr>
        <w:t xml:space="preserve"> </w:t>
      </w:r>
      <w:r w:rsidR="00844B61">
        <w:rPr>
          <w:sz w:val="22"/>
        </w:rPr>
        <w:t xml:space="preserve">and </w:t>
      </w:r>
      <w:r w:rsidRPr="007D29AD">
        <w:rPr>
          <w:sz w:val="22"/>
        </w:rPr>
        <w:t>not using reliable contraception (</w:t>
      </w:r>
      <w:r w:rsidR="00B226DA">
        <w:rPr>
          <w:sz w:val="22"/>
        </w:rPr>
        <w:t>s</w:t>
      </w:r>
      <w:r w:rsidRPr="007D29AD">
        <w:rPr>
          <w:sz w:val="22"/>
        </w:rPr>
        <w:t xml:space="preserve">ee Use in </w:t>
      </w:r>
      <w:r w:rsidR="000012DF">
        <w:rPr>
          <w:sz w:val="22"/>
        </w:rPr>
        <w:t>Pregnancy</w:t>
      </w:r>
      <w:r w:rsidRPr="007D29AD">
        <w:rPr>
          <w:sz w:val="22"/>
        </w:rPr>
        <w:t xml:space="preserve">). Women must not become pregnant for at least </w:t>
      </w:r>
      <w:r w:rsidR="00224041">
        <w:rPr>
          <w:sz w:val="22"/>
        </w:rPr>
        <w:t xml:space="preserve">1 month </w:t>
      </w:r>
      <w:r w:rsidRPr="007D29AD">
        <w:rPr>
          <w:sz w:val="22"/>
        </w:rPr>
        <w:t xml:space="preserve">after stopping treatment with </w:t>
      </w:r>
      <w:r>
        <w:rPr>
          <w:sz w:val="22"/>
        </w:rPr>
        <w:t>Adempas</w:t>
      </w:r>
      <w:r w:rsidRPr="007D29AD">
        <w:rPr>
          <w:sz w:val="22"/>
        </w:rPr>
        <w:t>.</w:t>
      </w:r>
    </w:p>
    <w:p w:rsidR="004C33F4" w:rsidRDefault="005A2148" w:rsidP="00714EC8">
      <w:pPr>
        <w:pStyle w:val="BayerBodyTextFull"/>
        <w:spacing w:after="240" w:line="276" w:lineRule="auto"/>
        <w:jc w:val="both"/>
        <w:rPr>
          <w:sz w:val="22"/>
        </w:rPr>
      </w:pPr>
      <w:r w:rsidRPr="00B50C48">
        <w:rPr>
          <w:sz w:val="22"/>
        </w:rPr>
        <w:t>Co</w:t>
      </w:r>
      <w:r w:rsidR="000A729B" w:rsidRPr="00B50C48">
        <w:rPr>
          <w:sz w:val="22"/>
        </w:rPr>
        <w:t>-</w:t>
      </w:r>
      <w:r w:rsidRPr="00B50C48">
        <w:rPr>
          <w:sz w:val="22"/>
        </w:rPr>
        <w:t xml:space="preserve">administration of Adempas with nitrates or nitric oxide donors (such as amyl nitrite) in any form is contraindicated (see </w:t>
      </w:r>
      <w:r w:rsidR="00C42F91" w:rsidRPr="00B50C48">
        <w:rPr>
          <w:sz w:val="22"/>
        </w:rPr>
        <w:t>INTERACTIONS WITH OTHER MEDICINES</w:t>
      </w:r>
      <w:r w:rsidR="00066435">
        <w:rPr>
          <w:sz w:val="22"/>
        </w:rPr>
        <w:t>, Pharmacodynamic Interactions</w:t>
      </w:r>
      <w:r w:rsidRPr="00B50C48">
        <w:rPr>
          <w:sz w:val="22"/>
        </w:rPr>
        <w:t>).</w:t>
      </w:r>
    </w:p>
    <w:p w:rsidR="008A1C38" w:rsidRDefault="008A1C38" w:rsidP="00714EC8">
      <w:pPr>
        <w:pStyle w:val="BayerBodyTextFull"/>
        <w:spacing w:after="240" w:line="276" w:lineRule="auto"/>
        <w:jc w:val="both"/>
        <w:rPr>
          <w:noProof/>
          <w:sz w:val="22"/>
        </w:rPr>
      </w:pPr>
      <w:r>
        <w:rPr>
          <w:sz w:val="22"/>
        </w:rPr>
        <w:t xml:space="preserve">Co-administration of </w:t>
      </w:r>
      <w:r w:rsidR="002B76F0">
        <w:rPr>
          <w:sz w:val="22"/>
        </w:rPr>
        <w:t>Adempas</w:t>
      </w:r>
      <w:r>
        <w:rPr>
          <w:sz w:val="22"/>
        </w:rPr>
        <w:t xml:space="preserve"> with </w:t>
      </w:r>
      <w:r w:rsidR="007C5645">
        <w:rPr>
          <w:sz w:val="22"/>
        </w:rPr>
        <w:t xml:space="preserve">specific </w:t>
      </w:r>
      <w:r>
        <w:rPr>
          <w:sz w:val="22"/>
        </w:rPr>
        <w:t>PDE-5</w:t>
      </w:r>
      <w:r w:rsidR="0077761D">
        <w:rPr>
          <w:sz w:val="22"/>
        </w:rPr>
        <w:t>-inhibitors (such as sildenafil, tadalafil,</w:t>
      </w:r>
      <w:r w:rsidR="007C5645">
        <w:rPr>
          <w:sz w:val="22"/>
        </w:rPr>
        <w:t xml:space="preserve"> or</w:t>
      </w:r>
      <w:r w:rsidR="0077761D">
        <w:rPr>
          <w:sz w:val="22"/>
        </w:rPr>
        <w:t xml:space="preserve"> vardenafil)</w:t>
      </w:r>
      <w:r w:rsidR="007C5645">
        <w:rPr>
          <w:sz w:val="22"/>
        </w:rPr>
        <w:t xml:space="preserve"> </w:t>
      </w:r>
      <w:r w:rsidR="00F342BB">
        <w:rPr>
          <w:sz w:val="22"/>
        </w:rPr>
        <w:t>or</w:t>
      </w:r>
      <w:r w:rsidR="007C5645">
        <w:rPr>
          <w:sz w:val="22"/>
        </w:rPr>
        <w:t xml:space="preserve"> nonspecific PDE inhibitors (such as dipyridamole or theophylline)</w:t>
      </w:r>
      <w:r w:rsidR="0077761D">
        <w:rPr>
          <w:sz w:val="22"/>
        </w:rPr>
        <w:t xml:space="preserve"> is contraindicated (</w:t>
      </w:r>
      <w:r w:rsidR="0077761D" w:rsidRPr="00B50C48">
        <w:rPr>
          <w:noProof/>
          <w:sz w:val="22"/>
        </w:rPr>
        <w:t>see INTERACTIONS WITH OTHER MEDICINES</w:t>
      </w:r>
      <w:r w:rsidR="0077761D">
        <w:rPr>
          <w:noProof/>
          <w:sz w:val="22"/>
        </w:rPr>
        <w:t>, Pharmacodynamic Interactions).</w:t>
      </w:r>
    </w:p>
    <w:p w:rsidR="005E1570" w:rsidRPr="00B50C48" w:rsidRDefault="005E1570" w:rsidP="00311C2B">
      <w:pPr>
        <w:pStyle w:val="Heading1"/>
        <w:numPr>
          <w:ilvl w:val="0"/>
          <w:numId w:val="0"/>
        </w:numPr>
        <w:jc w:val="both"/>
        <w:rPr>
          <w:sz w:val="24"/>
        </w:rPr>
      </w:pPr>
      <w:r w:rsidRPr="00B50C48">
        <w:rPr>
          <w:sz w:val="24"/>
        </w:rPr>
        <w:lastRenderedPageBreak/>
        <w:t>PRECAUTIONS</w:t>
      </w:r>
    </w:p>
    <w:p w:rsidR="00B62027" w:rsidRPr="00B50C48" w:rsidRDefault="00B62027" w:rsidP="00B62027">
      <w:pPr>
        <w:pStyle w:val="Heading2"/>
        <w:numPr>
          <w:ilvl w:val="0"/>
          <w:numId w:val="0"/>
        </w:numPr>
        <w:spacing w:before="120" w:after="240" w:line="276" w:lineRule="auto"/>
        <w:jc w:val="both"/>
        <w:rPr>
          <w:sz w:val="22"/>
        </w:rPr>
      </w:pPr>
      <w:r w:rsidRPr="00B50C48">
        <w:rPr>
          <w:sz w:val="22"/>
        </w:rPr>
        <w:t xml:space="preserve">Additional </w:t>
      </w:r>
      <w:r>
        <w:rPr>
          <w:sz w:val="22"/>
        </w:rPr>
        <w:t>I</w:t>
      </w:r>
      <w:r w:rsidRPr="00B50C48">
        <w:rPr>
          <w:sz w:val="22"/>
        </w:rPr>
        <w:t xml:space="preserve">nformation on </w:t>
      </w:r>
      <w:r>
        <w:rPr>
          <w:sz w:val="22"/>
        </w:rPr>
        <w:t>S</w:t>
      </w:r>
      <w:r w:rsidRPr="00B50C48">
        <w:rPr>
          <w:sz w:val="22"/>
        </w:rPr>
        <w:t xml:space="preserve">pecial </w:t>
      </w:r>
      <w:r>
        <w:rPr>
          <w:sz w:val="22"/>
        </w:rPr>
        <w:t>P</w:t>
      </w:r>
      <w:r w:rsidRPr="00B50C48">
        <w:rPr>
          <w:sz w:val="22"/>
        </w:rPr>
        <w:t>opulations</w:t>
      </w:r>
    </w:p>
    <w:p w:rsidR="00B62027" w:rsidRDefault="00B62027" w:rsidP="00B62027">
      <w:pPr>
        <w:pStyle w:val="BayerBodyTextFull"/>
        <w:spacing w:after="240" w:line="276" w:lineRule="auto"/>
        <w:jc w:val="both"/>
        <w:rPr>
          <w:sz w:val="22"/>
        </w:rPr>
      </w:pPr>
      <w:r>
        <w:rPr>
          <w:sz w:val="22"/>
        </w:rPr>
        <w:t>Studies with riociguat have been mainly performed in PAH and CTEPH patients classified as WHO functional Class II and III. Riociguat has only been studied in a limited number of patients with WHO functional Class IV.</w:t>
      </w:r>
    </w:p>
    <w:p w:rsidR="006E23C4" w:rsidRPr="00B50C48" w:rsidRDefault="006E23C4" w:rsidP="006E23C4">
      <w:pPr>
        <w:pStyle w:val="BayerBodyTextFull"/>
        <w:spacing w:after="240" w:line="276" w:lineRule="auto"/>
        <w:jc w:val="both"/>
        <w:rPr>
          <w:sz w:val="22"/>
        </w:rPr>
      </w:pPr>
      <w:r w:rsidRPr="007D1A0E">
        <w:rPr>
          <w:sz w:val="22"/>
        </w:rPr>
        <w:t xml:space="preserve">The efficacy and safety of </w:t>
      </w:r>
      <w:r>
        <w:rPr>
          <w:sz w:val="22"/>
        </w:rPr>
        <w:t>riociguat</w:t>
      </w:r>
      <w:r w:rsidRPr="007D1A0E">
        <w:rPr>
          <w:sz w:val="22"/>
        </w:rPr>
        <w:t xml:space="preserve"> when co-administered with epoprostenol has not been </w:t>
      </w:r>
      <w:r>
        <w:rPr>
          <w:sz w:val="22"/>
        </w:rPr>
        <w:t>established</w:t>
      </w:r>
      <w:r w:rsidRPr="007D1A0E">
        <w:rPr>
          <w:sz w:val="22"/>
        </w:rPr>
        <w:t>.</w:t>
      </w:r>
    </w:p>
    <w:p w:rsidR="00B62027" w:rsidRDefault="00B62027" w:rsidP="00B62027">
      <w:pPr>
        <w:pStyle w:val="BayerBodyTextFull"/>
        <w:spacing w:after="240" w:line="276" w:lineRule="auto"/>
        <w:jc w:val="both"/>
        <w:rPr>
          <w:sz w:val="22"/>
        </w:rPr>
      </w:pPr>
      <w:r w:rsidRPr="00B50C48">
        <w:rPr>
          <w:sz w:val="22"/>
        </w:rPr>
        <w:t>In cigarette smokers riociguat exposure is reduced by 50 – 60%. Therefore patients are advised to stop smoking (see DOSAGE AND ADMINISTRATION</w:t>
      </w:r>
      <w:r>
        <w:rPr>
          <w:sz w:val="22"/>
        </w:rPr>
        <w:t>, Special Populations</w:t>
      </w:r>
      <w:r w:rsidRPr="00B50C48">
        <w:rPr>
          <w:sz w:val="22"/>
        </w:rPr>
        <w:t>).</w:t>
      </w:r>
    </w:p>
    <w:p w:rsidR="00B62027" w:rsidRDefault="00B62027" w:rsidP="00B62027">
      <w:pPr>
        <w:pStyle w:val="Heading2"/>
        <w:numPr>
          <w:ilvl w:val="0"/>
          <w:numId w:val="0"/>
        </w:numPr>
        <w:spacing w:before="120" w:after="240" w:line="276" w:lineRule="auto"/>
        <w:rPr>
          <w:noProof/>
          <w:sz w:val="22"/>
        </w:rPr>
      </w:pPr>
      <w:r>
        <w:rPr>
          <w:noProof/>
          <w:sz w:val="22"/>
        </w:rPr>
        <w:t>Hypotension</w:t>
      </w:r>
    </w:p>
    <w:p w:rsidR="00B62027" w:rsidRPr="00ED0B08" w:rsidRDefault="00B62027" w:rsidP="00B62027">
      <w:pPr>
        <w:spacing w:before="120" w:after="240" w:line="276" w:lineRule="auto"/>
        <w:jc w:val="both"/>
        <w:rPr>
          <w:sz w:val="22"/>
        </w:rPr>
      </w:pPr>
      <w:r w:rsidRPr="001D16B8">
        <w:rPr>
          <w:sz w:val="22"/>
        </w:rPr>
        <w:t>Adempas reduces blood pressure. Consider the potential for symptomatic hypotension or isch</w:t>
      </w:r>
      <w:r w:rsidR="00B226DA">
        <w:rPr>
          <w:sz w:val="22"/>
        </w:rPr>
        <w:t>a</w:t>
      </w:r>
      <w:r w:rsidRPr="001D16B8">
        <w:rPr>
          <w:sz w:val="22"/>
        </w:rPr>
        <w:t xml:space="preserve">emia in patients with hypovolemia, severe left ventricular outflow obstruction, resting hypotension, autonomic dysfunction, or concomitant treatment with antihypertensives or strong </w:t>
      </w:r>
      <w:r>
        <w:rPr>
          <w:sz w:val="22"/>
        </w:rPr>
        <w:t xml:space="preserve">multi-pathway </w:t>
      </w:r>
      <w:r w:rsidRPr="001D16B8">
        <w:rPr>
          <w:sz w:val="22"/>
        </w:rPr>
        <w:t>CYP and P-gp/BCRP</w:t>
      </w:r>
      <w:r>
        <w:rPr>
          <w:sz w:val="22"/>
        </w:rPr>
        <w:t xml:space="preserve"> inhibitors.</w:t>
      </w:r>
    </w:p>
    <w:p w:rsidR="00B62027" w:rsidRDefault="00B62027" w:rsidP="00B62027">
      <w:pPr>
        <w:pStyle w:val="BayerBodyTextFull"/>
        <w:spacing w:after="240" w:line="276" w:lineRule="auto"/>
        <w:jc w:val="both"/>
        <w:rPr>
          <w:sz w:val="22"/>
          <w:lang w:eastAsia="zh-CN"/>
        </w:rPr>
      </w:pPr>
      <w:r>
        <w:rPr>
          <w:sz w:val="22"/>
          <w:lang w:eastAsia="zh-CN"/>
        </w:rPr>
        <w:t>While the risk of hypotension is greater during titration it may occur during maintenance therapy. Dose reduction should be considered if the patient develops signs or symptoms of hypotension.</w:t>
      </w:r>
    </w:p>
    <w:p w:rsidR="00B62027" w:rsidRDefault="00B62027" w:rsidP="00B62027">
      <w:pPr>
        <w:pStyle w:val="BayerBodyTextFull"/>
        <w:spacing w:after="240" w:line="276" w:lineRule="auto"/>
        <w:jc w:val="both"/>
        <w:rPr>
          <w:sz w:val="22"/>
          <w:lang w:eastAsia="zh-CN"/>
        </w:rPr>
      </w:pPr>
      <w:r>
        <w:rPr>
          <w:sz w:val="22"/>
          <w:lang w:eastAsia="zh-CN"/>
        </w:rPr>
        <w:t xml:space="preserve">Patients with systolic blood pressure &lt; 95 mmHg at treatment initiation have not been studied and therefore the use of Adempas is not recommended. </w:t>
      </w:r>
      <w:r w:rsidR="00C260B2">
        <w:rPr>
          <w:sz w:val="22"/>
          <w:lang w:eastAsia="zh-CN"/>
        </w:rPr>
        <w:t>See CLINICAL TRIALS for information of patients excluded from the trials where caution is advised.</w:t>
      </w:r>
    </w:p>
    <w:p w:rsidR="00E12853" w:rsidRPr="00B50C48" w:rsidRDefault="00E12853" w:rsidP="00714EC8">
      <w:pPr>
        <w:pStyle w:val="Heading2"/>
        <w:numPr>
          <w:ilvl w:val="0"/>
          <w:numId w:val="0"/>
        </w:numPr>
        <w:spacing w:before="120" w:after="240" w:line="276" w:lineRule="auto"/>
        <w:rPr>
          <w:noProof/>
          <w:sz w:val="22"/>
        </w:rPr>
      </w:pPr>
      <w:r w:rsidRPr="00B50C48">
        <w:rPr>
          <w:noProof/>
          <w:sz w:val="22"/>
        </w:rPr>
        <w:t xml:space="preserve">Pulmonary </w:t>
      </w:r>
      <w:r w:rsidR="00ED01F4">
        <w:rPr>
          <w:noProof/>
          <w:sz w:val="22"/>
        </w:rPr>
        <w:t>V</w:t>
      </w:r>
      <w:r w:rsidRPr="00B50C48">
        <w:rPr>
          <w:noProof/>
          <w:sz w:val="22"/>
        </w:rPr>
        <w:t>eno</w:t>
      </w:r>
      <w:r w:rsidRPr="00B50C48">
        <w:rPr>
          <w:noProof/>
          <w:sz w:val="22"/>
        </w:rPr>
        <w:noBreakHyphen/>
        <w:t xml:space="preserve">occlusive </w:t>
      </w:r>
      <w:r w:rsidR="00ED01F4">
        <w:rPr>
          <w:noProof/>
          <w:sz w:val="22"/>
        </w:rPr>
        <w:t>D</w:t>
      </w:r>
      <w:r w:rsidRPr="00B50C48">
        <w:rPr>
          <w:noProof/>
          <w:sz w:val="22"/>
        </w:rPr>
        <w:t>isease</w:t>
      </w:r>
    </w:p>
    <w:p w:rsidR="00E12853" w:rsidRPr="00B50C48" w:rsidRDefault="00E12853" w:rsidP="00714EC8">
      <w:pPr>
        <w:spacing w:before="120" w:after="240" w:line="276" w:lineRule="auto"/>
        <w:jc w:val="both"/>
        <w:rPr>
          <w:sz w:val="22"/>
        </w:rPr>
      </w:pPr>
      <w:r w:rsidRPr="00B50C48">
        <w:rPr>
          <w:sz w:val="22"/>
        </w:rPr>
        <w:t>Pulmonary vasodilators may significantly worsen the cardiovascular status of patients with pulmonary veno</w:t>
      </w:r>
      <w:r w:rsidRPr="00B50C48">
        <w:rPr>
          <w:sz w:val="22"/>
        </w:rPr>
        <w:noBreakHyphen/>
        <w:t xml:space="preserve">occlusive disease (PVOD). Therefore, administration of Adempas to </w:t>
      </w:r>
      <w:r w:rsidR="00B216B7">
        <w:rPr>
          <w:sz w:val="22"/>
        </w:rPr>
        <w:t>these</w:t>
      </w:r>
      <w:r w:rsidR="00B216B7" w:rsidRPr="00B50C48">
        <w:rPr>
          <w:sz w:val="22"/>
        </w:rPr>
        <w:t xml:space="preserve"> </w:t>
      </w:r>
      <w:r w:rsidRPr="00B50C48">
        <w:rPr>
          <w:sz w:val="22"/>
        </w:rPr>
        <w:t>patients is not recommended. Should signs of pulmonary oedema occur, the possibility of associated PVOD should be considered and treatment with Adempas should be discontinued.</w:t>
      </w:r>
    </w:p>
    <w:p w:rsidR="00E12853" w:rsidRPr="00B50C48" w:rsidRDefault="00ED01F4" w:rsidP="00714EC8">
      <w:pPr>
        <w:pStyle w:val="Heading2"/>
        <w:numPr>
          <w:ilvl w:val="0"/>
          <w:numId w:val="0"/>
        </w:numPr>
        <w:spacing w:before="120" w:after="240" w:line="276" w:lineRule="auto"/>
        <w:rPr>
          <w:noProof/>
          <w:sz w:val="22"/>
        </w:rPr>
      </w:pPr>
      <w:r>
        <w:rPr>
          <w:noProof/>
          <w:sz w:val="22"/>
        </w:rPr>
        <w:t>B</w:t>
      </w:r>
      <w:r w:rsidR="00E12853" w:rsidRPr="00B50C48">
        <w:rPr>
          <w:noProof/>
          <w:sz w:val="22"/>
        </w:rPr>
        <w:t>leeding</w:t>
      </w:r>
    </w:p>
    <w:p w:rsidR="00E12853" w:rsidRPr="00B50C48" w:rsidRDefault="00E12853" w:rsidP="00714EC8">
      <w:pPr>
        <w:keepLines/>
        <w:spacing w:before="120" w:after="240" w:line="276" w:lineRule="auto"/>
        <w:jc w:val="both"/>
        <w:rPr>
          <w:sz w:val="22"/>
        </w:rPr>
      </w:pPr>
      <w:r w:rsidRPr="00B50C48">
        <w:rPr>
          <w:sz w:val="22"/>
        </w:rPr>
        <w:t xml:space="preserve">In </w:t>
      </w:r>
      <w:r w:rsidR="00B226DA">
        <w:rPr>
          <w:sz w:val="22"/>
        </w:rPr>
        <w:t xml:space="preserve">patients with </w:t>
      </w:r>
      <w:r w:rsidRPr="00B50C48">
        <w:rPr>
          <w:sz w:val="22"/>
        </w:rPr>
        <w:t>pulmonary hypertension</w:t>
      </w:r>
      <w:r w:rsidR="00B226DA">
        <w:rPr>
          <w:sz w:val="22"/>
        </w:rPr>
        <w:t>,</w:t>
      </w:r>
      <w:r w:rsidRPr="00B50C48">
        <w:rPr>
          <w:sz w:val="22"/>
        </w:rPr>
        <w:t xml:space="preserve"> there is increased likelihood for respiratory tract bleeding, particularly among patients receiving anticoagulation therapy.</w:t>
      </w:r>
    </w:p>
    <w:p w:rsidR="00F844DC" w:rsidRDefault="00336806" w:rsidP="00714EC8">
      <w:pPr>
        <w:spacing w:before="120" w:after="240" w:line="276" w:lineRule="auto"/>
        <w:jc w:val="both"/>
        <w:rPr>
          <w:sz w:val="22"/>
        </w:rPr>
      </w:pPr>
      <w:r w:rsidRPr="00336806">
        <w:rPr>
          <w:sz w:val="22"/>
        </w:rPr>
        <w:t xml:space="preserve">Bleeding risk should be carefully evaluated before initiating Adempas therapy, and </w:t>
      </w:r>
      <w:r w:rsidR="005551E5">
        <w:rPr>
          <w:sz w:val="22"/>
        </w:rPr>
        <w:t xml:space="preserve">patients </w:t>
      </w:r>
      <w:r w:rsidRPr="00336806">
        <w:rPr>
          <w:sz w:val="22"/>
        </w:rPr>
        <w:t>should be monitored periodically, particularly in patients taking anticoagulants.</w:t>
      </w:r>
      <w:r>
        <w:rPr>
          <w:sz w:val="22"/>
        </w:rPr>
        <w:t xml:space="preserve"> </w:t>
      </w:r>
      <w:r w:rsidR="00F844DC" w:rsidRPr="00B50C48">
        <w:rPr>
          <w:sz w:val="22"/>
        </w:rPr>
        <w:t>The prescriber should regularly assess the benefit</w:t>
      </w:r>
      <w:r w:rsidR="00F844DC" w:rsidRPr="00B50C48">
        <w:rPr>
          <w:sz w:val="22"/>
        </w:rPr>
        <w:noBreakHyphen/>
        <w:t>risk with each individual patient.</w:t>
      </w:r>
      <w:r w:rsidR="00F844DC">
        <w:rPr>
          <w:sz w:val="22"/>
        </w:rPr>
        <w:t xml:space="preserve"> </w:t>
      </w:r>
    </w:p>
    <w:p w:rsidR="00E12853" w:rsidRDefault="00E12853" w:rsidP="00714EC8">
      <w:pPr>
        <w:spacing w:before="120" w:after="240" w:line="276" w:lineRule="auto"/>
        <w:jc w:val="both"/>
        <w:rPr>
          <w:sz w:val="22"/>
        </w:rPr>
      </w:pPr>
      <w:r w:rsidRPr="00B50C48">
        <w:rPr>
          <w:sz w:val="22"/>
        </w:rPr>
        <w:t xml:space="preserve">The risk of serious and fatal </w:t>
      </w:r>
      <w:r w:rsidR="00336806">
        <w:rPr>
          <w:sz w:val="22"/>
        </w:rPr>
        <w:t xml:space="preserve">bleeding, including </w:t>
      </w:r>
      <w:r w:rsidRPr="00B50C48">
        <w:rPr>
          <w:sz w:val="22"/>
        </w:rPr>
        <w:t xml:space="preserve">respiratory tract bleeding may be further increased under treatment with Adempas, especially in the presence of risk factors, such as recent episodes of serious haemoptysis including those managed by bronchial arterial embolization. </w:t>
      </w:r>
      <w:r w:rsidR="00F844DC" w:rsidRPr="005551E5">
        <w:rPr>
          <w:sz w:val="22"/>
        </w:rPr>
        <w:t>Riociguat should be avoided in patients with a history of serious haemoptysis or who have previously unde</w:t>
      </w:r>
      <w:r w:rsidR="00F844DC">
        <w:rPr>
          <w:sz w:val="22"/>
        </w:rPr>
        <w:t>rgone bronchial arterial emboliz</w:t>
      </w:r>
      <w:r w:rsidR="00F844DC" w:rsidRPr="005551E5">
        <w:rPr>
          <w:sz w:val="22"/>
        </w:rPr>
        <w:t>ation.</w:t>
      </w:r>
      <w:r w:rsidR="00F844DC">
        <w:rPr>
          <w:sz w:val="22"/>
        </w:rPr>
        <w:t xml:space="preserve"> </w:t>
      </w:r>
    </w:p>
    <w:p w:rsidR="000F51F9" w:rsidRPr="001D16B8" w:rsidRDefault="000F51F9" w:rsidP="00714EC8">
      <w:pPr>
        <w:spacing w:before="120" w:after="240" w:line="276" w:lineRule="auto"/>
        <w:jc w:val="both"/>
        <w:rPr>
          <w:sz w:val="22"/>
          <w:szCs w:val="22"/>
          <w:lang w:eastAsia="ja-JP"/>
        </w:rPr>
      </w:pPr>
      <w:r w:rsidRPr="001D16B8">
        <w:rPr>
          <w:sz w:val="22"/>
          <w:szCs w:val="22"/>
          <w:lang w:eastAsia="ja-JP"/>
        </w:rPr>
        <w:lastRenderedPageBreak/>
        <w:t xml:space="preserve">In the placebo-controlled clinical trials program, serious bleeding occurred in 2.4% </w:t>
      </w:r>
      <w:r w:rsidR="006B43F2">
        <w:rPr>
          <w:sz w:val="22"/>
          <w:szCs w:val="22"/>
          <w:lang w:eastAsia="ja-JP"/>
        </w:rPr>
        <w:t xml:space="preserve">(12/490) </w:t>
      </w:r>
      <w:r w:rsidRPr="001D16B8">
        <w:rPr>
          <w:sz w:val="22"/>
          <w:szCs w:val="22"/>
          <w:lang w:eastAsia="ja-JP"/>
        </w:rPr>
        <w:t xml:space="preserve">of patients taking Adempas compared to 0% </w:t>
      </w:r>
      <w:r w:rsidR="006B43F2">
        <w:rPr>
          <w:sz w:val="22"/>
          <w:szCs w:val="22"/>
          <w:lang w:eastAsia="ja-JP"/>
        </w:rPr>
        <w:t xml:space="preserve">(0/214) </w:t>
      </w:r>
      <w:r w:rsidRPr="001D16B8">
        <w:rPr>
          <w:sz w:val="22"/>
          <w:szCs w:val="22"/>
          <w:lang w:eastAsia="ja-JP"/>
        </w:rPr>
        <w:t>of placebo patients. Serious h</w:t>
      </w:r>
      <w:r w:rsidR="006B43F2">
        <w:rPr>
          <w:sz w:val="22"/>
          <w:szCs w:val="22"/>
          <w:lang w:eastAsia="ja-JP"/>
        </w:rPr>
        <w:t>a</w:t>
      </w:r>
      <w:r w:rsidRPr="001D16B8">
        <w:rPr>
          <w:sz w:val="22"/>
          <w:szCs w:val="22"/>
          <w:lang w:eastAsia="ja-JP"/>
        </w:rPr>
        <w:t>emoptysis occurred in 1%</w:t>
      </w:r>
      <w:r w:rsidR="006B43F2">
        <w:rPr>
          <w:sz w:val="22"/>
          <w:szCs w:val="22"/>
          <w:lang w:eastAsia="ja-JP"/>
        </w:rPr>
        <w:t xml:space="preserve"> (5/490) </w:t>
      </w:r>
      <w:r w:rsidRPr="001D16B8">
        <w:rPr>
          <w:sz w:val="22"/>
          <w:szCs w:val="22"/>
          <w:lang w:eastAsia="ja-JP"/>
        </w:rPr>
        <w:t>patients taking Adempas compared to 0</w:t>
      </w:r>
      <w:r w:rsidR="006B43F2">
        <w:rPr>
          <w:sz w:val="22"/>
          <w:szCs w:val="22"/>
          <w:lang w:eastAsia="ja-JP"/>
        </w:rPr>
        <w:t>%</w:t>
      </w:r>
      <w:r w:rsidRPr="001D16B8">
        <w:rPr>
          <w:sz w:val="22"/>
          <w:szCs w:val="22"/>
          <w:lang w:eastAsia="ja-JP"/>
        </w:rPr>
        <w:t xml:space="preserve"> </w:t>
      </w:r>
      <w:r w:rsidR="006B43F2">
        <w:rPr>
          <w:sz w:val="22"/>
          <w:szCs w:val="22"/>
          <w:lang w:eastAsia="ja-JP"/>
        </w:rPr>
        <w:t xml:space="preserve">(0/214) </w:t>
      </w:r>
      <w:r w:rsidRPr="001D16B8">
        <w:rPr>
          <w:sz w:val="22"/>
          <w:szCs w:val="22"/>
          <w:lang w:eastAsia="ja-JP"/>
        </w:rPr>
        <w:t>placebo patients, including one event with fatal outcome. Serious h</w:t>
      </w:r>
      <w:r w:rsidR="006B43F2">
        <w:rPr>
          <w:sz w:val="22"/>
          <w:szCs w:val="22"/>
          <w:lang w:eastAsia="ja-JP"/>
        </w:rPr>
        <w:t>a</w:t>
      </w:r>
      <w:r w:rsidRPr="001D16B8">
        <w:rPr>
          <w:sz w:val="22"/>
          <w:szCs w:val="22"/>
          <w:lang w:eastAsia="ja-JP"/>
        </w:rPr>
        <w:t>emorrhagic events also included 2 patients with vaginal h</w:t>
      </w:r>
      <w:r w:rsidR="006B43F2">
        <w:rPr>
          <w:sz w:val="22"/>
          <w:szCs w:val="22"/>
          <w:lang w:eastAsia="ja-JP"/>
        </w:rPr>
        <w:t>a</w:t>
      </w:r>
      <w:r w:rsidRPr="001D16B8">
        <w:rPr>
          <w:sz w:val="22"/>
          <w:szCs w:val="22"/>
          <w:lang w:eastAsia="ja-JP"/>
        </w:rPr>
        <w:t>emorrhage, 2 with catheter site h</w:t>
      </w:r>
      <w:r w:rsidR="006B43F2">
        <w:rPr>
          <w:sz w:val="22"/>
          <w:szCs w:val="22"/>
          <w:lang w:eastAsia="ja-JP"/>
        </w:rPr>
        <w:t>a</w:t>
      </w:r>
      <w:r w:rsidRPr="001D16B8">
        <w:rPr>
          <w:sz w:val="22"/>
          <w:szCs w:val="22"/>
          <w:lang w:eastAsia="ja-JP"/>
        </w:rPr>
        <w:t>emorrhage, and 1 each with subdural h</w:t>
      </w:r>
      <w:r w:rsidR="00B226DA">
        <w:rPr>
          <w:sz w:val="22"/>
          <w:szCs w:val="22"/>
          <w:lang w:eastAsia="ja-JP"/>
        </w:rPr>
        <w:t>a</w:t>
      </w:r>
      <w:r w:rsidRPr="001D16B8">
        <w:rPr>
          <w:sz w:val="22"/>
          <w:szCs w:val="22"/>
          <w:lang w:eastAsia="ja-JP"/>
        </w:rPr>
        <w:t>ematoma, h</w:t>
      </w:r>
      <w:r w:rsidR="00B226DA">
        <w:rPr>
          <w:sz w:val="22"/>
          <w:szCs w:val="22"/>
          <w:lang w:eastAsia="ja-JP"/>
        </w:rPr>
        <w:t>a</w:t>
      </w:r>
      <w:r w:rsidRPr="001D16B8">
        <w:rPr>
          <w:sz w:val="22"/>
          <w:szCs w:val="22"/>
          <w:lang w:eastAsia="ja-JP"/>
        </w:rPr>
        <w:t>ematemesis, and intra-abdominal h</w:t>
      </w:r>
      <w:r w:rsidR="006B43F2">
        <w:rPr>
          <w:sz w:val="22"/>
          <w:szCs w:val="22"/>
          <w:lang w:eastAsia="ja-JP"/>
        </w:rPr>
        <w:t>a</w:t>
      </w:r>
      <w:r w:rsidRPr="001D16B8">
        <w:rPr>
          <w:sz w:val="22"/>
          <w:szCs w:val="22"/>
          <w:lang w:eastAsia="ja-JP"/>
        </w:rPr>
        <w:t xml:space="preserve">emorrhage. </w:t>
      </w:r>
    </w:p>
    <w:p w:rsidR="00E12853" w:rsidRPr="00B50C48" w:rsidRDefault="00E12853" w:rsidP="00714EC8">
      <w:pPr>
        <w:pStyle w:val="Heading2"/>
        <w:numPr>
          <w:ilvl w:val="0"/>
          <w:numId w:val="0"/>
        </w:numPr>
        <w:spacing w:before="120" w:after="240" w:line="276" w:lineRule="auto"/>
        <w:rPr>
          <w:noProof/>
          <w:sz w:val="22"/>
        </w:rPr>
      </w:pPr>
      <w:r w:rsidRPr="00B50C48">
        <w:rPr>
          <w:noProof/>
          <w:sz w:val="22"/>
        </w:rPr>
        <w:t xml:space="preserve">Concomitant </w:t>
      </w:r>
      <w:r w:rsidR="00ED01F4">
        <w:rPr>
          <w:noProof/>
          <w:sz w:val="22"/>
        </w:rPr>
        <w:t>U</w:t>
      </w:r>
      <w:r w:rsidRPr="00B50C48">
        <w:rPr>
          <w:noProof/>
          <w:sz w:val="22"/>
        </w:rPr>
        <w:t xml:space="preserve">se with </w:t>
      </w:r>
      <w:r w:rsidR="00ED01F4">
        <w:rPr>
          <w:noProof/>
          <w:sz w:val="22"/>
        </w:rPr>
        <w:t>Other M</w:t>
      </w:r>
      <w:r w:rsidRPr="00B50C48">
        <w:rPr>
          <w:noProof/>
          <w:sz w:val="22"/>
        </w:rPr>
        <w:t xml:space="preserve">edicinal </w:t>
      </w:r>
      <w:r w:rsidR="00ED01F4">
        <w:rPr>
          <w:noProof/>
          <w:sz w:val="22"/>
        </w:rPr>
        <w:t>P</w:t>
      </w:r>
      <w:r w:rsidRPr="00B50C48">
        <w:rPr>
          <w:noProof/>
          <w:sz w:val="22"/>
        </w:rPr>
        <w:t>roducts</w:t>
      </w:r>
    </w:p>
    <w:p w:rsidR="00E12853" w:rsidRPr="00B50C48" w:rsidRDefault="00E12853" w:rsidP="00714EC8">
      <w:pPr>
        <w:spacing w:before="120" w:after="240" w:line="276" w:lineRule="auto"/>
        <w:jc w:val="both"/>
        <w:rPr>
          <w:sz w:val="22"/>
        </w:rPr>
      </w:pPr>
      <w:r w:rsidRPr="00B50C48">
        <w:rPr>
          <w:sz w:val="22"/>
        </w:rPr>
        <w:t>The concomitant use</w:t>
      </w:r>
      <w:r w:rsidR="00273648">
        <w:rPr>
          <w:sz w:val="22"/>
        </w:rPr>
        <w:t xml:space="preserve"> of </w:t>
      </w:r>
      <w:r w:rsidR="005B7106">
        <w:rPr>
          <w:sz w:val="22"/>
        </w:rPr>
        <w:t xml:space="preserve">Adempas </w:t>
      </w:r>
      <w:r w:rsidR="00273648">
        <w:rPr>
          <w:sz w:val="22"/>
        </w:rPr>
        <w:t>with strong multi-</w:t>
      </w:r>
      <w:r w:rsidRPr="00B50C48">
        <w:rPr>
          <w:sz w:val="22"/>
        </w:rPr>
        <w:t xml:space="preserve">pathway CYP and </w:t>
      </w:r>
      <w:r w:rsidR="00273648">
        <w:rPr>
          <w:sz w:val="22"/>
        </w:rPr>
        <w:t>P</w:t>
      </w:r>
      <w:r w:rsidR="005B7106">
        <w:rPr>
          <w:sz w:val="22"/>
        </w:rPr>
        <w:noBreakHyphen/>
      </w:r>
      <w:r w:rsidR="00273648">
        <w:rPr>
          <w:sz w:val="22"/>
        </w:rPr>
        <w:t>glycoprotein (</w:t>
      </w:r>
      <w:r w:rsidRPr="00B50C48">
        <w:rPr>
          <w:sz w:val="22"/>
        </w:rPr>
        <w:t>P</w:t>
      </w:r>
      <w:r w:rsidRPr="00B50C48">
        <w:rPr>
          <w:sz w:val="22"/>
        </w:rPr>
        <w:noBreakHyphen/>
        <w:t>gp</w:t>
      </w:r>
      <w:r w:rsidR="00273648">
        <w:rPr>
          <w:sz w:val="22"/>
        </w:rPr>
        <w:t>)</w:t>
      </w:r>
      <w:r w:rsidRPr="00B50C48">
        <w:rPr>
          <w:sz w:val="22"/>
        </w:rPr>
        <w:t>/</w:t>
      </w:r>
      <w:r w:rsidR="00273648">
        <w:rPr>
          <w:sz w:val="22"/>
        </w:rPr>
        <w:t>breast cancer resistance protein (</w:t>
      </w:r>
      <w:r w:rsidRPr="00B50C48">
        <w:rPr>
          <w:sz w:val="22"/>
        </w:rPr>
        <w:t>BCRP</w:t>
      </w:r>
      <w:r w:rsidR="00273648">
        <w:rPr>
          <w:sz w:val="22"/>
        </w:rPr>
        <w:t>)</w:t>
      </w:r>
      <w:r w:rsidRPr="00B50C48">
        <w:rPr>
          <w:sz w:val="22"/>
        </w:rPr>
        <w:t xml:space="preserve"> inhibitors s</w:t>
      </w:r>
      <w:r w:rsidR="00273648">
        <w:rPr>
          <w:sz w:val="22"/>
        </w:rPr>
        <w:t>uch as azole antimycotics (e.g. </w:t>
      </w:r>
      <w:r w:rsidRPr="00B50C48">
        <w:rPr>
          <w:sz w:val="22"/>
        </w:rPr>
        <w:t xml:space="preserve">ketoconazole, itraconazole) or HIV protease inhibitors (e.g. ritonavir) is not recommended, due to </w:t>
      </w:r>
      <w:r w:rsidR="00273648">
        <w:rPr>
          <w:sz w:val="22"/>
        </w:rPr>
        <w:t>a</w:t>
      </w:r>
      <w:r w:rsidR="00273648" w:rsidRPr="00B50C48">
        <w:rPr>
          <w:sz w:val="22"/>
        </w:rPr>
        <w:t xml:space="preserve"> </w:t>
      </w:r>
      <w:r w:rsidRPr="00B50C48">
        <w:rPr>
          <w:sz w:val="22"/>
        </w:rPr>
        <w:t xml:space="preserve">pronounced increase in riociguat exposure (see </w:t>
      </w:r>
      <w:r w:rsidR="000A692F" w:rsidRPr="00B50C48">
        <w:rPr>
          <w:sz w:val="22"/>
        </w:rPr>
        <w:t>INTERACTIONS WITH OTHER MEDICINES</w:t>
      </w:r>
      <w:r w:rsidR="00C85E62">
        <w:rPr>
          <w:sz w:val="22"/>
        </w:rPr>
        <w:t>, Pharmacokinetic I</w:t>
      </w:r>
      <w:r w:rsidR="00273648">
        <w:rPr>
          <w:sz w:val="22"/>
        </w:rPr>
        <w:t>nteractions</w:t>
      </w:r>
      <w:r w:rsidRPr="00B50C48">
        <w:rPr>
          <w:sz w:val="22"/>
        </w:rPr>
        <w:t>).</w:t>
      </w:r>
    </w:p>
    <w:p w:rsidR="000F51F9" w:rsidRDefault="00E12853" w:rsidP="00714EC8">
      <w:pPr>
        <w:spacing w:before="120" w:after="240" w:line="276" w:lineRule="auto"/>
        <w:jc w:val="both"/>
        <w:rPr>
          <w:sz w:val="22"/>
          <w:shd w:val="clear" w:color="auto" w:fill="FFFFFF"/>
        </w:rPr>
      </w:pPr>
      <w:r w:rsidRPr="00B50C48">
        <w:rPr>
          <w:sz w:val="22"/>
        </w:rPr>
        <w:t xml:space="preserve">The concomitant use of </w:t>
      </w:r>
      <w:r w:rsidR="005B7106">
        <w:rPr>
          <w:sz w:val="22"/>
        </w:rPr>
        <w:t>Adempas</w:t>
      </w:r>
      <w:r w:rsidR="005B7106" w:rsidRPr="00B50C48">
        <w:rPr>
          <w:sz w:val="22"/>
        </w:rPr>
        <w:t xml:space="preserve"> </w:t>
      </w:r>
      <w:r w:rsidRPr="00B50C48">
        <w:rPr>
          <w:sz w:val="22"/>
        </w:rPr>
        <w:t>with strong CYP1A1 inhibitors, such as the tyrosine kinase inhibitor erlotinib, and strong P</w:t>
      </w:r>
      <w:r w:rsidRPr="00B50C48">
        <w:rPr>
          <w:sz w:val="22"/>
        </w:rPr>
        <w:noBreakHyphen/>
        <w:t xml:space="preserve">gp/BCRP inhibitors, such as the immunosuppressive agent cyclosporin, may increase riociguat </w:t>
      </w:r>
      <w:r w:rsidRPr="00B50C48">
        <w:rPr>
          <w:sz w:val="22"/>
          <w:shd w:val="clear" w:color="auto" w:fill="FFFFFF"/>
        </w:rPr>
        <w:t xml:space="preserve">exposure (see </w:t>
      </w:r>
      <w:r w:rsidR="00A32DA0" w:rsidRPr="00B50C48">
        <w:rPr>
          <w:sz w:val="22"/>
          <w:shd w:val="clear" w:color="auto" w:fill="FFFFFF"/>
        </w:rPr>
        <w:t>INTERACTIONS WITH OTHER MEDICINES</w:t>
      </w:r>
      <w:r w:rsidR="00C85E62">
        <w:rPr>
          <w:sz w:val="22"/>
        </w:rPr>
        <w:t>, Pharmacokinetic Interactions</w:t>
      </w:r>
      <w:r w:rsidR="00A32DA0" w:rsidRPr="00B50C48">
        <w:rPr>
          <w:sz w:val="22"/>
          <w:shd w:val="clear" w:color="auto" w:fill="FFFFFF"/>
        </w:rPr>
        <w:t>)</w:t>
      </w:r>
      <w:r w:rsidRPr="00B50C48">
        <w:rPr>
          <w:sz w:val="22"/>
          <w:shd w:val="clear" w:color="auto" w:fill="FFFFFF"/>
        </w:rPr>
        <w:t xml:space="preserve">. </w:t>
      </w:r>
    </w:p>
    <w:p w:rsidR="00E12853" w:rsidRPr="00B50C48" w:rsidRDefault="00E12853" w:rsidP="00714EC8">
      <w:pPr>
        <w:spacing w:before="120" w:after="240" w:line="276" w:lineRule="auto"/>
        <w:jc w:val="both"/>
        <w:rPr>
          <w:sz w:val="22"/>
        </w:rPr>
      </w:pPr>
      <w:r w:rsidRPr="00B50C48">
        <w:rPr>
          <w:sz w:val="22"/>
          <w:shd w:val="clear" w:color="auto" w:fill="FFFFFF"/>
        </w:rPr>
        <w:t>These</w:t>
      </w:r>
      <w:r w:rsidRPr="00B50C48">
        <w:rPr>
          <w:sz w:val="22"/>
        </w:rPr>
        <w:t xml:space="preserve"> </w:t>
      </w:r>
      <w:r w:rsidR="00273648">
        <w:rPr>
          <w:sz w:val="22"/>
        </w:rPr>
        <w:t>medicines</w:t>
      </w:r>
      <w:r w:rsidR="000F51F9">
        <w:rPr>
          <w:sz w:val="22"/>
        </w:rPr>
        <w:t xml:space="preserve"> may increase riociguat exposure </w:t>
      </w:r>
      <w:r w:rsidR="00CC0737">
        <w:rPr>
          <w:sz w:val="22"/>
        </w:rPr>
        <w:t xml:space="preserve">which </w:t>
      </w:r>
      <w:r w:rsidR="000F51F9">
        <w:rPr>
          <w:sz w:val="22"/>
        </w:rPr>
        <w:t>may cause hypotension</w:t>
      </w:r>
      <w:r w:rsidR="00CC0737">
        <w:rPr>
          <w:sz w:val="22"/>
        </w:rPr>
        <w:t>. Therefore, they</w:t>
      </w:r>
      <w:r w:rsidR="00273648" w:rsidRPr="00B50C48">
        <w:rPr>
          <w:sz w:val="22"/>
        </w:rPr>
        <w:t xml:space="preserve"> </w:t>
      </w:r>
      <w:r w:rsidRPr="00B50C48">
        <w:rPr>
          <w:sz w:val="22"/>
        </w:rPr>
        <w:t>should be used with caution. Blood pressure should be monitored and dose reduction of riociguat considered.</w:t>
      </w:r>
    </w:p>
    <w:p w:rsidR="00DB36E1" w:rsidRPr="00B50C48" w:rsidRDefault="00DB36E1" w:rsidP="00DB36E1">
      <w:pPr>
        <w:pStyle w:val="Heading2"/>
        <w:numPr>
          <w:ilvl w:val="0"/>
          <w:numId w:val="0"/>
        </w:numPr>
        <w:spacing w:before="120" w:after="240" w:line="276" w:lineRule="auto"/>
        <w:jc w:val="both"/>
        <w:rPr>
          <w:sz w:val="22"/>
        </w:rPr>
      </w:pPr>
      <w:r w:rsidRPr="00B50C48">
        <w:rPr>
          <w:sz w:val="22"/>
        </w:rPr>
        <w:t xml:space="preserve">Food and </w:t>
      </w:r>
      <w:r w:rsidR="00ED01F4">
        <w:rPr>
          <w:sz w:val="22"/>
        </w:rPr>
        <w:t>D</w:t>
      </w:r>
      <w:r w:rsidRPr="00B50C48">
        <w:rPr>
          <w:sz w:val="22"/>
        </w:rPr>
        <w:t xml:space="preserve">airy </w:t>
      </w:r>
      <w:r w:rsidR="00ED01F4">
        <w:rPr>
          <w:sz w:val="22"/>
        </w:rPr>
        <w:t>P</w:t>
      </w:r>
      <w:r w:rsidRPr="00B50C48">
        <w:rPr>
          <w:sz w:val="22"/>
        </w:rPr>
        <w:t>roducts</w:t>
      </w:r>
    </w:p>
    <w:p w:rsidR="00DB36E1" w:rsidRPr="00B50C48" w:rsidRDefault="00DB36E1" w:rsidP="00DB36E1">
      <w:pPr>
        <w:pStyle w:val="BayerBodyTextFull"/>
        <w:spacing w:after="240" w:line="276" w:lineRule="auto"/>
        <w:jc w:val="both"/>
        <w:rPr>
          <w:sz w:val="22"/>
        </w:rPr>
      </w:pPr>
      <w:r w:rsidRPr="00B50C48">
        <w:rPr>
          <w:sz w:val="22"/>
        </w:rPr>
        <w:t xml:space="preserve">No clinically relevant interaction with food was observed </w:t>
      </w:r>
      <w:r w:rsidRPr="00B50C48">
        <w:rPr>
          <w:sz w:val="22"/>
          <w:szCs w:val="22"/>
        </w:rPr>
        <w:t xml:space="preserve">(see </w:t>
      </w:r>
      <w:r>
        <w:rPr>
          <w:sz w:val="22"/>
          <w:szCs w:val="22"/>
        </w:rPr>
        <w:t xml:space="preserve">PHARMACOLOGY, </w:t>
      </w:r>
      <w:r w:rsidRPr="00B50C48">
        <w:rPr>
          <w:sz w:val="22"/>
          <w:szCs w:val="22"/>
        </w:rPr>
        <w:t>Pharmacokinetic Properties)</w:t>
      </w:r>
      <w:r w:rsidRPr="00B50C48">
        <w:rPr>
          <w:sz w:val="22"/>
        </w:rPr>
        <w:t>.</w:t>
      </w:r>
    </w:p>
    <w:p w:rsidR="00822510" w:rsidRDefault="00822510" w:rsidP="00B9264C">
      <w:pPr>
        <w:pStyle w:val="Heading2"/>
        <w:numPr>
          <w:ilvl w:val="0"/>
          <w:numId w:val="0"/>
        </w:numPr>
        <w:spacing w:after="240" w:line="276" w:lineRule="auto"/>
        <w:jc w:val="both"/>
        <w:rPr>
          <w:sz w:val="22"/>
          <w:lang w:eastAsia="zh-CN"/>
        </w:rPr>
      </w:pPr>
      <w:r>
        <w:rPr>
          <w:sz w:val="22"/>
          <w:lang w:eastAsia="zh-CN"/>
        </w:rPr>
        <w:t>Renal Impairment</w:t>
      </w:r>
    </w:p>
    <w:p w:rsidR="000C5102" w:rsidRPr="000C5102" w:rsidRDefault="000C5102" w:rsidP="000C5102">
      <w:pPr>
        <w:pStyle w:val="BayerBodyTextFull"/>
        <w:spacing w:after="240" w:line="276" w:lineRule="auto"/>
        <w:jc w:val="both"/>
        <w:rPr>
          <w:sz w:val="22"/>
          <w:lang w:eastAsia="zh-CN"/>
        </w:rPr>
      </w:pPr>
      <w:r w:rsidRPr="000C5102">
        <w:rPr>
          <w:sz w:val="22"/>
          <w:lang w:eastAsia="zh-CN"/>
        </w:rPr>
        <w:t>Patients with mild, moderate or severe renal impairment (</w:t>
      </w:r>
      <w:r w:rsidR="000F0AEB">
        <w:rPr>
          <w:sz w:val="22"/>
          <w:lang w:eastAsia="zh-CN"/>
        </w:rPr>
        <w:t xml:space="preserve">Stage 2 – 4 CKD, </w:t>
      </w:r>
      <w:r w:rsidRPr="000C5102">
        <w:rPr>
          <w:sz w:val="22"/>
          <w:lang w:eastAsia="zh-CN"/>
        </w:rPr>
        <w:t xml:space="preserve">creatinine clearance 80-15 mL/min) showed a higher exposure to Adempas and its active main metabolite (see </w:t>
      </w:r>
      <w:r w:rsidR="00874B83">
        <w:rPr>
          <w:sz w:val="22"/>
          <w:lang w:eastAsia="zh-CN"/>
        </w:rPr>
        <w:t xml:space="preserve">PHARMACOLOGY, </w:t>
      </w:r>
      <w:r w:rsidR="00D36FF8" w:rsidRPr="000C5102">
        <w:rPr>
          <w:sz w:val="22"/>
          <w:lang w:eastAsia="zh-CN"/>
        </w:rPr>
        <w:t>Pharmacokinetic Properties</w:t>
      </w:r>
      <w:r w:rsidRPr="000C5102">
        <w:rPr>
          <w:sz w:val="22"/>
          <w:lang w:eastAsia="zh-CN"/>
        </w:rPr>
        <w:t xml:space="preserve">). </w:t>
      </w:r>
      <w:r w:rsidR="007A525C">
        <w:rPr>
          <w:sz w:val="22"/>
          <w:lang w:eastAsia="zh-CN"/>
        </w:rPr>
        <w:t>There is a higher risk of hypotension in these patients, p</w:t>
      </w:r>
      <w:r w:rsidRPr="000C5102">
        <w:rPr>
          <w:sz w:val="22"/>
          <w:lang w:eastAsia="zh-CN"/>
        </w:rPr>
        <w:t>articular care should be exercised during individual dose titration. Additionally, kidney function during treatment with Adempas should be regularly checke</w:t>
      </w:r>
      <w:r>
        <w:rPr>
          <w:sz w:val="22"/>
          <w:lang w:eastAsia="zh-CN"/>
        </w:rPr>
        <w:t>d in patients with renal impair</w:t>
      </w:r>
      <w:r w:rsidRPr="000C5102">
        <w:rPr>
          <w:sz w:val="22"/>
          <w:lang w:eastAsia="zh-CN"/>
        </w:rPr>
        <w:t>ment.</w:t>
      </w:r>
    </w:p>
    <w:p w:rsidR="000C5102" w:rsidRDefault="000C5102" w:rsidP="000C5102">
      <w:pPr>
        <w:pStyle w:val="BayerBodyTextFull"/>
        <w:spacing w:after="240" w:line="276" w:lineRule="auto"/>
        <w:jc w:val="both"/>
        <w:rPr>
          <w:sz w:val="22"/>
          <w:lang w:eastAsia="zh-CN"/>
        </w:rPr>
      </w:pPr>
      <w:r w:rsidRPr="000C5102">
        <w:rPr>
          <w:sz w:val="22"/>
          <w:lang w:eastAsia="zh-CN"/>
        </w:rPr>
        <w:t xml:space="preserve">Adempas has not been sufficiently studied in </w:t>
      </w:r>
      <w:r w:rsidR="00B226DA">
        <w:rPr>
          <w:sz w:val="22"/>
          <w:lang w:eastAsia="zh-CN"/>
        </w:rPr>
        <w:t xml:space="preserve">patients with </w:t>
      </w:r>
      <w:r w:rsidRPr="000C5102">
        <w:rPr>
          <w:sz w:val="22"/>
          <w:lang w:eastAsia="zh-CN"/>
        </w:rPr>
        <w:t xml:space="preserve">pulmonary </w:t>
      </w:r>
      <w:r w:rsidR="00625A37">
        <w:rPr>
          <w:sz w:val="22"/>
          <w:lang w:eastAsia="zh-CN"/>
        </w:rPr>
        <w:t>hypertension</w:t>
      </w:r>
      <w:r w:rsidR="00625A37" w:rsidRPr="000C5102">
        <w:rPr>
          <w:sz w:val="22"/>
          <w:lang w:eastAsia="zh-CN"/>
        </w:rPr>
        <w:t xml:space="preserve"> </w:t>
      </w:r>
      <w:r w:rsidRPr="000C5102">
        <w:rPr>
          <w:sz w:val="22"/>
          <w:lang w:eastAsia="zh-CN"/>
        </w:rPr>
        <w:t>who have a creatinine clearance below &lt;30 mL/min</w:t>
      </w:r>
      <w:r w:rsidR="00A84D84">
        <w:rPr>
          <w:sz w:val="22"/>
          <w:lang w:eastAsia="zh-CN"/>
        </w:rPr>
        <w:t xml:space="preserve"> (Stage 4 CKD)</w:t>
      </w:r>
      <w:r w:rsidRPr="000C5102">
        <w:rPr>
          <w:sz w:val="22"/>
          <w:lang w:eastAsia="zh-CN"/>
        </w:rPr>
        <w:t xml:space="preserve">. Patients with creatinine clearance &lt;15 mL/min or on dialysis </w:t>
      </w:r>
      <w:r w:rsidR="00A84D84">
        <w:rPr>
          <w:sz w:val="22"/>
          <w:lang w:eastAsia="zh-CN"/>
        </w:rPr>
        <w:t xml:space="preserve">(Stage 5 CKD) </w:t>
      </w:r>
      <w:r w:rsidRPr="000C5102">
        <w:rPr>
          <w:sz w:val="22"/>
          <w:lang w:eastAsia="zh-CN"/>
        </w:rPr>
        <w:t xml:space="preserve">have not been studied and therefore use of Adempas is not recommended in these patients (see </w:t>
      </w:r>
      <w:r>
        <w:rPr>
          <w:sz w:val="22"/>
          <w:lang w:eastAsia="zh-CN"/>
        </w:rPr>
        <w:t>DOSAGE AND ADMINISTRATION</w:t>
      </w:r>
      <w:r w:rsidRPr="000C5102">
        <w:rPr>
          <w:sz w:val="22"/>
          <w:lang w:eastAsia="zh-CN"/>
        </w:rPr>
        <w:t>).</w:t>
      </w:r>
    </w:p>
    <w:p w:rsidR="00822510" w:rsidRPr="00FD0E9F" w:rsidRDefault="00822510" w:rsidP="00FD0E9F">
      <w:pPr>
        <w:pStyle w:val="Heading2"/>
        <w:numPr>
          <w:ilvl w:val="0"/>
          <w:numId w:val="0"/>
        </w:numPr>
        <w:rPr>
          <w:sz w:val="22"/>
          <w:lang w:eastAsia="zh-CN"/>
        </w:rPr>
      </w:pPr>
      <w:r w:rsidRPr="00FD0E9F">
        <w:rPr>
          <w:sz w:val="22"/>
          <w:lang w:eastAsia="zh-CN"/>
        </w:rPr>
        <w:t xml:space="preserve">Hepatic </w:t>
      </w:r>
      <w:r w:rsidR="00D36FF8" w:rsidRPr="00FD0E9F">
        <w:rPr>
          <w:sz w:val="22"/>
          <w:lang w:eastAsia="zh-CN"/>
        </w:rPr>
        <w:t>Impairment</w:t>
      </w:r>
    </w:p>
    <w:p w:rsidR="00822510" w:rsidRDefault="00822510" w:rsidP="008A6F60">
      <w:pPr>
        <w:pStyle w:val="BayerBodyTextFull"/>
        <w:spacing w:after="240" w:line="276" w:lineRule="auto"/>
        <w:jc w:val="both"/>
        <w:rPr>
          <w:sz w:val="22"/>
          <w:lang w:eastAsia="zh-CN"/>
        </w:rPr>
      </w:pPr>
      <w:r>
        <w:rPr>
          <w:sz w:val="22"/>
          <w:lang w:eastAsia="zh-CN"/>
        </w:rPr>
        <w:t>Adempas has not been studied in patients with severe hepatic impairment (Child Pugh C)</w:t>
      </w:r>
      <w:r w:rsidR="00053C33">
        <w:rPr>
          <w:sz w:val="22"/>
          <w:lang w:eastAsia="zh-CN"/>
        </w:rPr>
        <w:t>;</w:t>
      </w:r>
      <w:r>
        <w:rPr>
          <w:sz w:val="22"/>
          <w:lang w:eastAsia="zh-CN"/>
        </w:rPr>
        <w:t xml:space="preserve"> </w:t>
      </w:r>
      <w:r w:rsidR="00874B83">
        <w:rPr>
          <w:sz w:val="22"/>
          <w:lang w:eastAsia="zh-CN"/>
        </w:rPr>
        <w:t>m</w:t>
      </w:r>
      <w:r>
        <w:rPr>
          <w:sz w:val="22"/>
          <w:lang w:eastAsia="zh-CN"/>
        </w:rPr>
        <w:t>oderate hepatic impairment results in increased exposure. Adempas is not recommended for use in patients with severe hepatic impairment and should be used with caution in patients</w:t>
      </w:r>
      <w:r w:rsidR="006B575C">
        <w:rPr>
          <w:sz w:val="22"/>
          <w:lang w:eastAsia="zh-CN"/>
        </w:rPr>
        <w:t xml:space="preserve"> with</w:t>
      </w:r>
      <w:r>
        <w:rPr>
          <w:sz w:val="22"/>
          <w:lang w:eastAsia="zh-CN"/>
        </w:rPr>
        <w:t xml:space="preserve"> moderate </w:t>
      </w:r>
      <w:r w:rsidR="00F43159">
        <w:rPr>
          <w:sz w:val="22"/>
          <w:lang w:eastAsia="zh-CN"/>
        </w:rPr>
        <w:t>hepatic</w:t>
      </w:r>
      <w:r>
        <w:rPr>
          <w:sz w:val="22"/>
          <w:lang w:eastAsia="zh-CN"/>
        </w:rPr>
        <w:t xml:space="preserve"> impairment.</w:t>
      </w:r>
    </w:p>
    <w:p w:rsidR="005E1570" w:rsidRPr="00B50C48" w:rsidRDefault="005E1570" w:rsidP="00B9264C">
      <w:pPr>
        <w:pStyle w:val="Heading2"/>
        <w:numPr>
          <w:ilvl w:val="0"/>
          <w:numId w:val="0"/>
        </w:numPr>
        <w:spacing w:after="240" w:line="276" w:lineRule="auto"/>
        <w:jc w:val="both"/>
        <w:rPr>
          <w:sz w:val="22"/>
          <w:lang w:eastAsia="zh-CN"/>
        </w:rPr>
      </w:pPr>
      <w:r w:rsidRPr="00B50C48">
        <w:rPr>
          <w:sz w:val="22"/>
          <w:lang w:eastAsia="zh-CN"/>
        </w:rPr>
        <w:lastRenderedPageBreak/>
        <w:t xml:space="preserve">Effects on </w:t>
      </w:r>
      <w:r w:rsidR="00FC033C">
        <w:rPr>
          <w:sz w:val="22"/>
          <w:lang w:eastAsia="zh-CN"/>
        </w:rPr>
        <w:t>F</w:t>
      </w:r>
      <w:r w:rsidRPr="00B50C48">
        <w:rPr>
          <w:sz w:val="22"/>
          <w:lang w:eastAsia="zh-CN"/>
        </w:rPr>
        <w:t>ertility</w:t>
      </w:r>
    </w:p>
    <w:p w:rsidR="00250DB6" w:rsidRPr="00B50C48" w:rsidRDefault="00250DB6" w:rsidP="00714EC8">
      <w:pPr>
        <w:pStyle w:val="BayerBodyTextFull"/>
        <w:spacing w:after="240" w:line="276" w:lineRule="auto"/>
        <w:jc w:val="both"/>
        <w:rPr>
          <w:sz w:val="22"/>
          <w:lang w:eastAsia="zh-CN"/>
        </w:rPr>
      </w:pPr>
      <w:r w:rsidRPr="00B50C48">
        <w:rPr>
          <w:sz w:val="22"/>
          <w:lang w:eastAsia="zh-CN"/>
        </w:rPr>
        <w:t xml:space="preserve">No specific studies with </w:t>
      </w:r>
      <w:r w:rsidR="005B7106">
        <w:rPr>
          <w:sz w:val="22"/>
          <w:lang w:eastAsia="zh-CN"/>
        </w:rPr>
        <w:t>Adempas</w:t>
      </w:r>
      <w:r w:rsidR="005B7106" w:rsidRPr="00B50C48">
        <w:rPr>
          <w:sz w:val="22"/>
          <w:lang w:eastAsia="zh-CN"/>
        </w:rPr>
        <w:t xml:space="preserve"> </w:t>
      </w:r>
      <w:r w:rsidRPr="00B50C48">
        <w:rPr>
          <w:sz w:val="22"/>
          <w:lang w:eastAsia="zh-CN"/>
        </w:rPr>
        <w:t xml:space="preserve">in humans have been conducted to evaluate effects on fertility. </w:t>
      </w:r>
      <w:r w:rsidR="00E57AD5" w:rsidRPr="00B50C48">
        <w:rPr>
          <w:sz w:val="22"/>
          <w:lang w:eastAsia="zh-CN"/>
        </w:rPr>
        <w:t>No effects on fertility were seen i</w:t>
      </w:r>
      <w:r w:rsidRPr="00B50C48">
        <w:rPr>
          <w:sz w:val="22"/>
          <w:lang w:eastAsia="zh-CN"/>
        </w:rPr>
        <w:t xml:space="preserve">n a study on male and female </w:t>
      </w:r>
      <w:r w:rsidR="00E57AD5" w:rsidRPr="00B50C48">
        <w:rPr>
          <w:sz w:val="22"/>
          <w:lang w:eastAsia="zh-CN"/>
        </w:rPr>
        <w:t>rats</w:t>
      </w:r>
      <w:r w:rsidR="00250C32">
        <w:rPr>
          <w:sz w:val="22"/>
          <w:lang w:eastAsia="zh-CN"/>
        </w:rPr>
        <w:t xml:space="preserve"> at a relative exposure (unbound AUC) </w:t>
      </w:r>
      <w:r w:rsidR="006B575C">
        <w:rPr>
          <w:sz w:val="22"/>
          <w:lang w:eastAsia="zh-CN"/>
        </w:rPr>
        <w:t>of</w:t>
      </w:r>
      <w:r w:rsidR="00250C32">
        <w:rPr>
          <w:sz w:val="22"/>
          <w:lang w:eastAsia="zh-CN"/>
        </w:rPr>
        <w:t xml:space="preserve"> approximately 5 to 7</w:t>
      </w:r>
      <w:r w:rsidR="00B63C03">
        <w:rPr>
          <w:sz w:val="22"/>
          <w:lang w:eastAsia="zh-CN"/>
        </w:rPr>
        <w:t>-fold higher than observed in patients with pulmonary hypertension</w:t>
      </w:r>
      <w:r w:rsidRPr="00B50C48">
        <w:rPr>
          <w:sz w:val="22"/>
          <w:lang w:eastAsia="zh-CN"/>
        </w:rPr>
        <w:t xml:space="preserve">.    </w:t>
      </w:r>
    </w:p>
    <w:p w:rsidR="005E1570" w:rsidRPr="00B50C48" w:rsidRDefault="005E1570" w:rsidP="00714EC8">
      <w:pPr>
        <w:pStyle w:val="Heading2"/>
        <w:numPr>
          <w:ilvl w:val="0"/>
          <w:numId w:val="0"/>
        </w:numPr>
        <w:spacing w:before="120" w:after="240" w:line="276" w:lineRule="auto"/>
        <w:jc w:val="both"/>
        <w:rPr>
          <w:sz w:val="22"/>
          <w:lang w:eastAsia="zh-CN"/>
        </w:rPr>
      </w:pPr>
      <w:r w:rsidRPr="00B50C48">
        <w:rPr>
          <w:sz w:val="22"/>
          <w:lang w:eastAsia="zh-CN"/>
        </w:rPr>
        <w:t xml:space="preserve">Use in </w:t>
      </w:r>
      <w:r w:rsidR="00FC033C">
        <w:rPr>
          <w:sz w:val="22"/>
          <w:lang w:eastAsia="zh-CN"/>
        </w:rPr>
        <w:t>P</w:t>
      </w:r>
      <w:r w:rsidRPr="00B50C48">
        <w:rPr>
          <w:sz w:val="22"/>
          <w:lang w:eastAsia="zh-CN"/>
        </w:rPr>
        <w:t xml:space="preserve">regnancy </w:t>
      </w:r>
    </w:p>
    <w:p w:rsidR="000D7A70" w:rsidRPr="00B50C48" w:rsidRDefault="000D7A70" w:rsidP="00714EC8">
      <w:pPr>
        <w:pStyle w:val="BayerBodyTextFull"/>
        <w:spacing w:after="240" w:line="276" w:lineRule="auto"/>
        <w:jc w:val="both"/>
        <w:rPr>
          <w:sz w:val="22"/>
          <w:lang w:eastAsia="zh-CN"/>
        </w:rPr>
      </w:pPr>
      <w:r w:rsidRPr="00B50C48">
        <w:rPr>
          <w:sz w:val="22"/>
          <w:lang w:eastAsia="zh-CN"/>
        </w:rPr>
        <w:t xml:space="preserve">Pregnancy Category </w:t>
      </w:r>
      <w:r w:rsidR="00124BDC">
        <w:rPr>
          <w:sz w:val="22"/>
          <w:lang w:eastAsia="zh-CN"/>
        </w:rPr>
        <w:t>X</w:t>
      </w:r>
    </w:p>
    <w:p w:rsidR="00250DB6" w:rsidRDefault="00F65385" w:rsidP="00714EC8">
      <w:pPr>
        <w:pStyle w:val="BayerBodyTextFull"/>
        <w:spacing w:after="240" w:line="276" w:lineRule="auto"/>
        <w:jc w:val="both"/>
        <w:rPr>
          <w:sz w:val="22"/>
          <w:lang w:eastAsia="zh-CN"/>
        </w:rPr>
      </w:pPr>
      <w:r>
        <w:rPr>
          <w:sz w:val="22"/>
          <w:lang w:eastAsia="zh-CN"/>
        </w:rPr>
        <w:t>Adempas</w:t>
      </w:r>
      <w:r w:rsidR="009A544D">
        <w:rPr>
          <w:sz w:val="22"/>
          <w:lang w:eastAsia="zh-CN"/>
        </w:rPr>
        <w:t xml:space="preserve"> has not been studied </w:t>
      </w:r>
      <w:r w:rsidR="00250DB6" w:rsidRPr="00B50C48">
        <w:rPr>
          <w:sz w:val="22"/>
          <w:lang w:eastAsia="zh-CN"/>
        </w:rPr>
        <w:t>in pregnant women. Studies in animals have shown reproductive toxicity.</w:t>
      </w:r>
      <w:r w:rsidR="005B7106" w:rsidRPr="005B7106">
        <w:rPr>
          <w:sz w:val="22"/>
          <w:lang w:eastAsia="zh-CN"/>
        </w:rPr>
        <w:t xml:space="preserve"> </w:t>
      </w:r>
      <w:r w:rsidR="001104B7">
        <w:rPr>
          <w:sz w:val="22"/>
          <w:lang w:eastAsia="zh-CN"/>
        </w:rPr>
        <w:t xml:space="preserve">Adempas was teratogenic in rats. </w:t>
      </w:r>
      <w:r w:rsidR="005B7106" w:rsidRPr="00B50C48">
        <w:rPr>
          <w:sz w:val="22"/>
          <w:lang w:eastAsia="zh-CN"/>
        </w:rPr>
        <w:t xml:space="preserve">Therefore, Adempas is contraindicated during pregnancy (see CONTRAINDICATIONS). Women of childbearing potential have to use effective contraception during treatment with Adempas.  </w:t>
      </w:r>
    </w:p>
    <w:p w:rsidR="001052D9" w:rsidRPr="001052D9" w:rsidRDefault="00124BDC" w:rsidP="001052D9">
      <w:pPr>
        <w:pStyle w:val="BayerBodyTextFull"/>
        <w:spacing w:after="240" w:line="276" w:lineRule="auto"/>
        <w:jc w:val="both"/>
        <w:rPr>
          <w:sz w:val="22"/>
          <w:lang w:eastAsia="zh-CN"/>
        </w:rPr>
      </w:pPr>
      <w:r w:rsidRPr="00124BDC">
        <w:rPr>
          <w:sz w:val="22"/>
          <w:lang w:eastAsia="zh-CN"/>
        </w:rPr>
        <w:t xml:space="preserve">Pregnancy Testing: Female patients of reproductive potential must have a negative pregnancy test prior to starting treatment with Adempas, monthly during treatment, and one month after discontinuation of treatment with Adempas. </w:t>
      </w:r>
      <w:r w:rsidR="001052D9" w:rsidRPr="001052D9">
        <w:rPr>
          <w:sz w:val="22"/>
          <w:lang w:eastAsia="zh-CN"/>
        </w:rPr>
        <w:t xml:space="preserve">Women with childbearing potential must use </w:t>
      </w:r>
      <w:r w:rsidR="005551E5">
        <w:rPr>
          <w:sz w:val="22"/>
          <w:lang w:eastAsia="zh-CN"/>
        </w:rPr>
        <w:t xml:space="preserve">two reliable </w:t>
      </w:r>
      <w:r w:rsidR="001052D9" w:rsidRPr="001052D9">
        <w:rPr>
          <w:sz w:val="22"/>
          <w:lang w:eastAsia="zh-CN"/>
        </w:rPr>
        <w:t xml:space="preserve">methods of contraception during treatment with Adempas and for </w:t>
      </w:r>
      <w:r w:rsidR="00224041">
        <w:rPr>
          <w:sz w:val="22"/>
          <w:lang w:eastAsia="zh-CN"/>
        </w:rPr>
        <w:t xml:space="preserve">1 month </w:t>
      </w:r>
      <w:r w:rsidR="001052D9" w:rsidRPr="001052D9">
        <w:rPr>
          <w:sz w:val="22"/>
          <w:lang w:eastAsia="zh-CN"/>
        </w:rPr>
        <w:t xml:space="preserve">after treatment with Adempas. </w:t>
      </w:r>
    </w:p>
    <w:p w:rsidR="00124BDC" w:rsidRPr="00B50C48" w:rsidRDefault="001052D9" w:rsidP="001052D9">
      <w:pPr>
        <w:pStyle w:val="BayerBodyTextFull"/>
        <w:spacing w:after="240" w:line="276" w:lineRule="auto"/>
        <w:jc w:val="both"/>
        <w:rPr>
          <w:sz w:val="22"/>
          <w:lang w:eastAsia="zh-CN"/>
        </w:rPr>
      </w:pPr>
      <w:r w:rsidRPr="001052D9">
        <w:rPr>
          <w:sz w:val="22"/>
          <w:lang w:eastAsia="zh-CN"/>
        </w:rPr>
        <w:t>If there is any doubt about risk to the f</w:t>
      </w:r>
      <w:r>
        <w:rPr>
          <w:sz w:val="22"/>
          <w:lang w:eastAsia="zh-CN"/>
        </w:rPr>
        <w:t>o</w:t>
      </w:r>
      <w:r w:rsidRPr="001052D9">
        <w:rPr>
          <w:sz w:val="22"/>
          <w:lang w:eastAsia="zh-CN"/>
        </w:rPr>
        <w:t xml:space="preserve">etus or what contraceptive advice should be given to the individual patient, consultation with a gynaecologist is recommended. </w:t>
      </w:r>
      <w:r w:rsidR="00124BDC" w:rsidRPr="00124BDC">
        <w:rPr>
          <w:sz w:val="22"/>
          <w:lang w:eastAsia="zh-CN"/>
        </w:rPr>
        <w:t>Advise patients to contact their health care provider if they become pregnant or suspect they may be pregnant. Counsel patients on the risk</w:t>
      </w:r>
      <w:r w:rsidR="004D61A2">
        <w:rPr>
          <w:sz w:val="22"/>
          <w:lang w:eastAsia="zh-CN"/>
        </w:rPr>
        <w:t xml:space="preserve"> of harm</w:t>
      </w:r>
      <w:r w:rsidR="00124BDC" w:rsidRPr="00124BDC">
        <w:rPr>
          <w:sz w:val="22"/>
          <w:lang w:eastAsia="zh-CN"/>
        </w:rPr>
        <w:t xml:space="preserve"> to the f</w:t>
      </w:r>
      <w:r w:rsidR="00124BDC">
        <w:rPr>
          <w:sz w:val="22"/>
          <w:lang w:eastAsia="zh-CN"/>
        </w:rPr>
        <w:t>o</w:t>
      </w:r>
      <w:r w:rsidR="00124BDC" w:rsidRPr="00124BDC">
        <w:rPr>
          <w:sz w:val="22"/>
          <w:lang w:eastAsia="zh-CN"/>
        </w:rPr>
        <w:t>etus</w:t>
      </w:r>
      <w:r w:rsidR="00124BDC">
        <w:rPr>
          <w:sz w:val="22"/>
          <w:lang w:eastAsia="zh-CN"/>
        </w:rPr>
        <w:t>.</w:t>
      </w:r>
    </w:p>
    <w:p w:rsidR="003013DF" w:rsidRDefault="000012DF" w:rsidP="00714EC8">
      <w:pPr>
        <w:pStyle w:val="BayerBodyTextFull"/>
        <w:spacing w:after="240" w:line="276" w:lineRule="auto"/>
        <w:jc w:val="both"/>
        <w:rPr>
          <w:sz w:val="22"/>
          <w:lang w:eastAsia="zh-CN"/>
        </w:rPr>
      </w:pPr>
      <w:r>
        <w:rPr>
          <w:sz w:val="22"/>
          <w:lang w:eastAsia="zh-CN"/>
        </w:rPr>
        <w:t>No specific studies on riociguat in semen have been conducted</w:t>
      </w:r>
      <w:r w:rsidR="001104B7">
        <w:rPr>
          <w:sz w:val="22"/>
          <w:lang w:eastAsia="zh-CN"/>
        </w:rPr>
        <w:t>. It has been shown in the quantitative autoradiography that riociguat-related radioactivity was in the testes and in the accessory sex glands. Thus it can be assumed that it is in the semen.</w:t>
      </w:r>
      <w:r w:rsidR="001104B7" w:rsidDel="001104B7">
        <w:rPr>
          <w:rStyle w:val="CommentReference"/>
        </w:rPr>
        <w:t xml:space="preserve"> </w:t>
      </w:r>
      <w:r>
        <w:rPr>
          <w:sz w:val="22"/>
          <w:lang w:eastAsia="zh-CN"/>
        </w:rPr>
        <w:t>R</w:t>
      </w:r>
      <w:r w:rsidR="003013DF">
        <w:rPr>
          <w:sz w:val="22"/>
          <w:lang w:eastAsia="zh-CN"/>
        </w:rPr>
        <w:t xml:space="preserve">iociguat is non-genotoxic (see Genotoxicity), thus no effect on DNA </w:t>
      </w:r>
      <w:r w:rsidR="007E6692">
        <w:rPr>
          <w:sz w:val="22"/>
          <w:lang w:eastAsia="zh-CN"/>
        </w:rPr>
        <w:t>of</w:t>
      </w:r>
      <w:r w:rsidR="003013DF">
        <w:rPr>
          <w:sz w:val="22"/>
          <w:lang w:eastAsia="zh-CN"/>
        </w:rPr>
        <w:t xml:space="preserve"> sperm is expected. </w:t>
      </w:r>
    </w:p>
    <w:p w:rsidR="00250DB6" w:rsidRPr="00B50C48" w:rsidRDefault="0096730B" w:rsidP="00714EC8">
      <w:pPr>
        <w:pStyle w:val="BayerBodyTextFull"/>
        <w:spacing w:after="240" w:line="276" w:lineRule="auto"/>
        <w:jc w:val="both"/>
        <w:rPr>
          <w:sz w:val="22"/>
          <w:lang w:eastAsia="zh-CN"/>
        </w:rPr>
      </w:pPr>
      <w:r w:rsidRPr="00B50C48">
        <w:rPr>
          <w:sz w:val="22"/>
          <w:lang w:eastAsia="zh-CN"/>
        </w:rPr>
        <w:t>Developmental toxicity studies in rats and rabbits have shown reproductive toxicity of riociguat. In rats, an increased rate of cardiac malformation was observed as well as a reduced gestation rate due to early resorption at maternal systemic exposure of about 7</w:t>
      </w:r>
      <w:r w:rsidR="005B7106">
        <w:rPr>
          <w:sz w:val="22"/>
          <w:lang w:eastAsia="zh-CN"/>
        </w:rPr>
        <w:t>-</w:t>
      </w:r>
      <w:r w:rsidR="00250C32">
        <w:rPr>
          <w:sz w:val="22"/>
          <w:lang w:eastAsia="zh-CN"/>
        </w:rPr>
        <w:t xml:space="preserve">times the maximum anticipated </w:t>
      </w:r>
      <w:r w:rsidRPr="00B50C48">
        <w:rPr>
          <w:sz w:val="22"/>
          <w:lang w:eastAsia="zh-CN"/>
        </w:rPr>
        <w:t>human exposure (</w:t>
      </w:r>
      <w:r w:rsidR="00250C32">
        <w:rPr>
          <w:sz w:val="22"/>
          <w:lang w:eastAsia="zh-CN"/>
        </w:rPr>
        <w:t xml:space="preserve">MAHE; based on </w:t>
      </w:r>
      <w:r w:rsidRPr="00B50C48">
        <w:rPr>
          <w:sz w:val="22"/>
          <w:lang w:eastAsia="zh-CN"/>
        </w:rPr>
        <w:t>2.5 mg three times daily)</w:t>
      </w:r>
      <w:r w:rsidR="00250C32">
        <w:rPr>
          <w:sz w:val="22"/>
          <w:lang w:eastAsia="zh-CN"/>
        </w:rPr>
        <w:t>, with an NOAEL at ~2 times MAHE</w:t>
      </w:r>
      <w:r w:rsidRPr="00B50C48">
        <w:rPr>
          <w:sz w:val="22"/>
          <w:lang w:eastAsia="zh-CN"/>
        </w:rPr>
        <w:t xml:space="preserve">.  In rabbits, </w:t>
      </w:r>
      <w:r w:rsidR="00527D3F" w:rsidRPr="00B50C48">
        <w:rPr>
          <w:sz w:val="22"/>
          <w:lang w:eastAsia="zh-CN"/>
        </w:rPr>
        <w:t xml:space="preserve">abortion and </w:t>
      </w:r>
      <w:r w:rsidR="00527D3F">
        <w:rPr>
          <w:sz w:val="22"/>
          <w:lang w:eastAsia="zh-CN"/>
        </w:rPr>
        <w:t>f</w:t>
      </w:r>
      <w:r w:rsidR="00B5091F">
        <w:rPr>
          <w:sz w:val="22"/>
          <w:lang w:eastAsia="zh-CN"/>
        </w:rPr>
        <w:t>o</w:t>
      </w:r>
      <w:r w:rsidR="00527D3F">
        <w:rPr>
          <w:sz w:val="22"/>
          <w:lang w:eastAsia="zh-CN"/>
        </w:rPr>
        <w:t>etal</w:t>
      </w:r>
      <w:r w:rsidR="00527D3F" w:rsidRPr="00B50C48">
        <w:rPr>
          <w:sz w:val="22"/>
          <w:lang w:eastAsia="zh-CN"/>
        </w:rPr>
        <w:t xml:space="preserve"> toxicity were seen </w:t>
      </w:r>
      <w:r w:rsidRPr="00B50C48">
        <w:rPr>
          <w:sz w:val="22"/>
          <w:lang w:eastAsia="zh-CN"/>
        </w:rPr>
        <w:t xml:space="preserve">starting </w:t>
      </w:r>
      <w:r w:rsidR="005B7106">
        <w:rPr>
          <w:sz w:val="22"/>
          <w:lang w:eastAsia="zh-CN"/>
        </w:rPr>
        <w:t>at systemic exposure of about 3-</w:t>
      </w:r>
      <w:r w:rsidR="00250C32">
        <w:rPr>
          <w:sz w:val="22"/>
          <w:lang w:eastAsia="zh-CN"/>
        </w:rPr>
        <w:t>times MAHE, with an NOAEL similar to the MAHE</w:t>
      </w:r>
      <w:r w:rsidRPr="00B50C48">
        <w:rPr>
          <w:sz w:val="22"/>
          <w:lang w:eastAsia="zh-CN"/>
        </w:rPr>
        <w:t xml:space="preserve">.  </w:t>
      </w:r>
      <w:r w:rsidR="00250DB6" w:rsidRPr="00B50C48">
        <w:rPr>
          <w:sz w:val="22"/>
          <w:lang w:eastAsia="zh-CN"/>
        </w:rPr>
        <w:t xml:space="preserve">   </w:t>
      </w:r>
    </w:p>
    <w:p w:rsidR="005E1570" w:rsidRPr="00B50C48" w:rsidRDefault="005E1570" w:rsidP="00714EC8">
      <w:pPr>
        <w:pStyle w:val="Heading2"/>
        <w:numPr>
          <w:ilvl w:val="0"/>
          <w:numId w:val="0"/>
        </w:numPr>
        <w:spacing w:before="120" w:after="240" w:line="276" w:lineRule="auto"/>
        <w:jc w:val="both"/>
        <w:rPr>
          <w:sz w:val="22"/>
          <w:lang w:eastAsia="zh-CN"/>
        </w:rPr>
      </w:pPr>
      <w:r w:rsidRPr="00B50C48">
        <w:rPr>
          <w:sz w:val="22"/>
          <w:lang w:eastAsia="zh-CN"/>
        </w:rPr>
        <w:t xml:space="preserve">Use in </w:t>
      </w:r>
      <w:r w:rsidR="00FC033C">
        <w:rPr>
          <w:sz w:val="22"/>
          <w:lang w:eastAsia="zh-CN"/>
        </w:rPr>
        <w:t>L</w:t>
      </w:r>
      <w:r w:rsidRPr="00B50C48">
        <w:rPr>
          <w:sz w:val="22"/>
          <w:lang w:eastAsia="zh-CN"/>
        </w:rPr>
        <w:t>actation</w:t>
      </w:r>
    </w:p>
    <w:p w:rsidR="00250DB6" w:rsidRPr="00B50C48" w:rsidRDefault="00250DB6" w:rsidP="00714EC8">
      <w:pPr>
        <w:pStyle w:val="BayerBodyTextFull"/>
        <w:spacing w:after="240" w:line="276" w:lineRule="auto"/>
        <w:jc w:val="both"/>
        <w:rPr>
          <w:sz w:val="22"/>
          <w:lang w:eastAsia="zh-CN"/>
        </w:rPr>
      </w:pPr>
      <w:r w:rsidRPr="00B50C48">
        <w:rPr>
          <w:sz w:val="22"/>
          <w:lang w:eastAsia="zh-CN"/>
        </w:rPr>
        <w:t xml:space="preserve">No data on the use of </w:t>
      </w:r>
      <w:r w:rsidR="009459EC">
        <w:rPr>
          <w:sz w:val="22"/>
          <w:lang w:eastAsia="zh-CN"/>
        </w:rPr>
        <w:t>Adempas</w:t>
      </w:r>
      <w:r w:rsidR="009459EC" w:rsidRPr="00B50C48">
        <w:rPr>
          <w:sz w:val="22"/>
          <w:lang w:eastAsia="zh-CN"/>
        </w:rPr>
        <w:t xml:space="preserve"> </w:t>
      </w:r>
      <w:r w:rsidRPr="00B50C48">
        <w:rPr>
          <w:sz w:val="22"/>
          <w:lang w:eastAsia="zh-CN"/>
        </w:rPr>
        <w:t xml:space="preserve">in breastfeeding women are available. Data from animals indicate that riociguat is secreted into milk.  </w:t>
      </w:r>
    </w:p>
    <w:p w:rsidR="00250DB6" w:rsidRPr="00B50C48" w:rsidRDefault="00250DB6" w:rsidP="00714EC8">
      <w:pPr>
        <w:pStyle w:val="BayerBodyTextFull"/>
        <w:spacing w:after="240" w:line="276" w:lineRule="auto"/>
        <w:jc w:val="both"/>
        <w:rPr>
          <w:sz w:val="22"/>
          <w:lang w:eastAsia="zh-CN"/>
        </w:rPr>
      </w:pPr>
      <w:r w:rsidRPr="00B50C48">
        <w:rPr>
          <w:sz w:val="22"/>
          <w:lang w:eastAsia="zh-CN"/>
        </w:rPr>
        <w:t>Because of the potential for serious adverse reactions in nursing infants</w:t>
      </w:r>
      <w:r w:rsidR="009459EC">
        <w:rPr>
          <w:sz w:val="22"/>
          <w:lang w:eastAsia="zh-CN"/>
        </w:rPr>
        <w:t>,</w:t>
      </w:r>
      <w:r w:rsidRPr="00B50C48">
        <w:rPr>
          <w:sz w:val="22"/>
          <w:lang w:eastAsia="zh-CN"/>
        </w:rPr>
        <w:t xml:space="preserve"> </w:t>
      </w:r>
      <w:r w:rsidR="00954E99" w:rsidRPr="00B50C48">
        <w:rPr>
          <w:sz w:val="22"/>
          <w:lang w:eastAsia="zh-CN"/>
        </w:rPr>
        <w:t>Adempas</w:t>
      </w:r>
      <w:r w:rsidRPr="00B50C48">
        <w:rPr>
          <w:sz w:val="22"/>
          <w:lang w:eastAsia="zh-CN"/>
        </w:rPr>
        <w:t xml:space="preserve"> </w:t>
      </w:r>
      <w:r w:rsidR="00FD12D1">
        <w:rPr>
          <w:sz w:val="22"/>
          <w:lang w:eastAsia="zh-CN"/>
        </w:rPr>
        <w:t xml:space="preserve">is contraindicated </w:t>
      </w:r>
      <w:r w:rsidRPr="00B50C48">
        <w:rPr>
          <w:sz w:val="22"/>
          <w:lang w:eastAsia="zh-CN"/>
        </w:rPr>
        <w:t>during breastfeeding. A decision must be made whether to discontinue breast</w:t>
      </w:r>
      <w:r w:rsidR="00AC0E90">
        <w:rPr>
          <w:sz w:val="22"/>
          <w:lang w:eastAsia="zh-CN"/>
        </w:rPr>
        <w:noBreakHyphen/>
      </w:r>
      <w:r w:rsidRPr="00B50C48">
        <w:rPr>
          <w:sz w:val="22"/>
          <w:lang w:eastAsia="zh-CN"/>
        </w:rPr>
        <w:t xml:space="preserve">feeding or to discontinue/abstain from therapy, taking into account the importance of the </w:t>
      </w:r>
      <w:r w:rsidR="005B7106">
        <w:rPr>
          <w:sz w:val="22"/>
          <w:lang w:eastAsia="zh-CN"/>
        </w:rPr>
        <w:t>medicine</w:t>
      </w:r>
      <w:r w:rsidR="005B7106" w:rsidRPr="00B50C48">
        <w:rPr>
          <w:sz w:val="22"/>
          <w:lang w:eastAsia="zh-CN"/>
        </w:rPr>
        <w:t xml:space="preserve"> </w:t>
      </w:r>
      <w:r w:rsidRPr="00B50C48">
        <w:rPr>
          <w:sz w:val="22"/>
          <w:lang w:eastAsia="zh-CN"/>
        </w:rPr>
        <w:t>for the mother.</w:t>
      </w:r>
    </w:p>
    <w:p w:rsidR="005E1570" w:rsidRPr="00B50C48" w:rsidRDefault="005E1570" w:rsidP="00714EC8">
      <w:pPr>
        <w:pStyle w:val="Heading2"/>
        <w:numPr>
          <w:ilvl w:val="0"/>
          <w:numId w:val="0"/>
        </w:numPr>
        <w:spacing w:before="120" w:after="240" w:line="276" w:lineRule="auto"/>
        <w:jc w:val="both"/>
        <w:rPr>
          <w:sz w:val="22"/>
          <w:lang w:eastAsia="zh-CN"/>
        </w:rPr>
      </w:pPr>
      <w:r w:rsidRPr="00B50C48">
        <w:rPr>
          <w:sz w:val="22"/>
          <w:lang w:eastAsia="zh-CN"/>
        </w:rPr>
        <w:lastRenderedPageBreak/>
        <w:t xml:space="preserve">Paediatric </w:t>
      </w:r>
      <w:r w:rsidR="00FC033C">
        <w:rPr>
          <w:sz w:val="22"/>
          <w:lang w:eastAsia="zh-CN"/>
        </w:rPr>
        <w:t>U</w:t>
      </w:r>
      <w:r w:rsidRPr="00B50C48">
        <w:rPr>
          <w:sz w:val="22"/>
          <w:lang w:eastAsia="zh-CN"/>
        </w:rPr>
        <w:t>se</w:t>
      </w:r>
    </w:p>
    <w:p w:rsidR="0096730B" w:rsidRPr="00B50C48" w:rsidRDefault="001B4092" w:rsidP="00714EC8">
      <w:pPr>
        <w:pStyle w:val="BayerBodyTextFull"/>
        <w:spacing w:after="240" w:line="276" w:lineRule="auto"/>
        <w:jc w:val="both"/>
        <w:rPr>
          <w:sz w:val="22"/>
          <w:lang w:eastAsia="zh-CN"/>
        </w:rPr>
      </w:pPr>
      <w:r w:rsidRPr="00B50C48">
        <w:rPr>
          <w:sz w:val="22"/>
          <w:lang w:eastAsia="zh-CN"/>
        </w:rPr>
        <w:t>The safety and efficacy of Adempas have not yet been studied in patients below 18 years. No data are available.</w:t>
      </w:r>
      <w:r w:rsidR="009459EC">
        <w:rPr>
          <w:sz w:val="22"/>
          <w:lang w:eastAsia="zh-CN"/>
        </w:rPr>
        <w:t xml:space="preserve"> Therefore, Adempas is not recommended in paediatrics.</w:t>
      </w:r>
      <w:r w:rsidRPr="00B50C48">
        <w:rPr>
          <w:sz w:val="22"/>
          <w:lang w:eastAsia="zh-CN"/>
        </w:rPr>
        <w:t xml:space="preserve"> </w:t>
      </w:r>
      <w:r w:rsidR="0096730B" w:rsidRPr="00B50C48">
        <w:rPr>
          <w:sz w:val="22"/>
          <w:lang w:eastAsia="zh-CN"/>
        </w:rPr>
        <w:t>In fast growing adolescent rats effects on bone formation (i.e. an increase in overall bone mass) were seen. No such effects were observed after administration of riociguat to</w:t>
      </w:r>
      <w:r w:rsidR="00506A06">
        <w:rPr>
          <w:sz w:val="22"/>
          <w:lang w:eastAsia="zh-CN"/>
        </w:rPr>
        <w:t xml:space="preserve"> </w:t>
      </w:r>
      <w:r w:rsidR="0096730B" w:rsidRPr="00B50C48">
        <w:rPr>
          <w:sz w:val="22"/>
          <w:lang w:eastAsia="zh-CN"/>
        </w:rPr>
        <w:t xml:space="preserve">adult rats.        </w:t>
      </w:r>
    </w:p>
    <w:p w:rsidR="005E1570" w:rsidRPr="00B50C48" w:rsidRDefault="005E1570" w:rsidP="00714EC8">
      <w:pPr>
        <w:pStyle w:val="Heading2"/>
        <w:numPr>
          <w:ilvl w:val="0"/>
          <w:numId w:val="0"/>
        </w:numPr>
        <w:spacing w:before="120" w:after="240" w:line="276" w:lineRule="auto"/>
        <w:jc w:val="both"/>
        <w:rPr>
          <w:sz w:val="22"/>
          <w:lang w:eastAsia="zh-CN"/>
        </w:rPr>
      </w:pPr>
      <w:r w:rsidRPr="00B50C48">
        <w:rPr>
          <w:sz w:val="22"/>
          <w:lang w:eastAsia="zh-CN"/>
        </w:rPr>
        <w:t xml:space="preserve">Use in the </w:t>
      </w:r>
      <w:r w:rsidR="00FC033C">
        <w:rPr>
          <w:sz w:val="22"/>
          <w:lang w:eastAsia="zh-CN"/>
        </w:rPr>
        <w:t>E</w:t>
      </w:r>
      <w:r w:rsidRPr="00B50C48">
        <w:rPr>
          <w:sz w:val="22"/>
          <w:lang w:eastAsia="zh-CN"/>
        </w:rPr>
        <w:t>lderly</w:t>
      </w:r>
    </w:p>
    <w:p w:rsidR="00B06D16" w:rsidRPr="003B6885" w:rsidRDefault="00B06D16" w:rsidP="00B06D16">
      <w:pPr>
        <w:pStyle w:val="BayerBodyTextFull"/>
        <w:spacing w:after="240" w:line="276" w:lineRule="auto"/>
        <w:jc w:val="both"/>
        <w:rPr>
          <w:sz w:val="22"/>
          <w:lang w:val="en-US"/>
        </w:rPr>
      </w:pPr>
      <w:r w:rsidRPr="00B06D16">
        <w:rPr>
          <w:sz w:val="22"/>
          <w:lang w:val="en-US"/>
        </w:rPr>
        <w:t xml:space="preserve">Of the total number of subjects in the </w:t>
      </w:r>
      <w:r w:rsidR="00874B83">
        <w:rPr>
          <w:sz w:val="22"/>
          <w:lang w:val="en-US"/>
        </w:rPr>
        <w:t>P</w:t>
      </w:r>
      <w:r w:rsidRPr="00B06D16">
        <w:rPr>
          <w:sz w:val="22"/>
          <w:lang w:val="en-US"/>
        </w:rPr>
        <w:t>hase III clinical program, 23% were 65 and over, and 6% were 75 and over. The incidence of hypotension in patients between 65 and 75 treated with Adempas was 16.4%, versus 5.2% for the placebo group. The incidence of hypotension in patients 75 years and older treated with Adempas was 15.9%, ve</w:t>
      </w:r>
      <w:r>
        <w:rPr>
          <w:sz w:val="22"/>
          <w:lang w:val="en-US"/>
        </w:rPr>
        <w:t xml:space="preserve">rsus 0.0% in the placebo group. </w:t>
      </w:r>
      <w:r w:rsidRPr="00B06D16">
        <w:rPr>
          <w:sz w:val="22"/>
          <w:lang w:val="en-US"/>
        </w:rPr>
        <w:t>The incidence of hypotension in patients &lt; 65 was 7.1% in the Adempas-treated group, versus 3.4% in the placebo group. Particular care should be exercised during individual dose titration in elderly patients.</w:t>
      </w:r>
    </w:p>
    <w:p w:rsidR="005E1570" w:rsidRPr="00B50C48" w:rsidRDefault="005E1570" w:rsidP="00B80A83">
      <w:pPr>
        <w:pStyle w:val="Heading2"/>
        <w:numPr>
          <w:ilvl w:val="0"/>
          <w:numId w:val="0"/>
        </w:numPr>
        <w:spacing w:before="120" w:after="240" w:line="276" w:lineRule="auto"/>
        <w:jc w:val="both"/>
        <w:rPr>
          <w:sz w:val="22"/>
          <w:lang w:eastAsia="zh-CN"/>
        </w:rPr>
      </w:pPr>
      <w:r w:rsidRPr="00B50C48">
        <w:rPr>
          <w:sz w:val="22"/>
          <w:lang w:eastAsia="zh-CN"/>
        </w:rPr>
        <w:t>Genotoxicity</w:t>
      </w:r>
    </w:p>
    <w:p w:rsidR="00EA46B7" w:rsidRPr="009459EC" w:rsidRDefault="00FD7BCF" w:rsidP="009459EC">
      <w:pPr>
        <w:pStyle w:val="BayerBodyTextFull"/>
        <w:spacing w:after="240" w:line="276" w:lineRule="auto"/>
        <w:jc w:val="both"/>
        <w:rPr>
          <w:sz w:val="22"/>
          <w:lang w:eastAsia="zh-CN"/>
        </w:rPr>
      </w:pPr>
      <w:r w:rsidRPr="009459EC">
        <w:rPr>
          <w:sz w:val="22"/>
          <w:lang w:eastAsia="zh-CN"/>
        </w:rPr>
        <w:t xml:space="preserve">Riociguat showed no genotoxicity potential in bacterial mutagenicity tests, chromosomal aberration assays in Chinese hamster cells or in an </w:t>
      </w:r>
      <w:r w:rsidRPr="009459EC">
        <w:rPr>
          <w:i/>
          <w:sz w:val="22"/>
          <w:lang w:eastAsia="zh-CN"/>
        </w:rPr>
        <w:t>in vivo</w:t>
      </w:r>
      <w:r w:rsidRPr="009459EC">
        <w:rPr>
          <w:sz w:val="22"/>
          <w:lang w:eastAsia="zh-CN"/>
        </w:rPr>
        <w:t xml:space="preserve"> mouse micronucleus assay.</w:t>
      </w:r>
    </w:p>
    <w:p w:rsidR="005E1570" w:rsidRPr="00B50C48" w:rsidRDefault="005E1570" w:rsidP="00714EC8">
      <w:pPr>
        <w:pStyle w:val="Heading2"/>
        <w:numPr>
          <w:ilvl w:val="0"/>
          <w:numId w:val="0"/>
        </w:numPr>
        <w:spacing w:before="120" w:after="240" w:line="276" w:lineRule="auto"/>
        <w:jc w:val="both"/>
        <w:rPr>
          <w:sz w:val="22"/>
          <w:lang w:eastAsia="zh-CN"/>
        </w:rPr>
      </w:pPr>
      <w:r w:rsidRPr="00B50C48">
        <w:rPr>
          <w:sz w:val="22"/>
          <w:lang w:eastAsia="zh-CN"/>
        </w:rPr>
        <w:t>Carcinogenicity</w:t>
      </w:r>
    </w:p>
    <w:p w:rsidR="0096730B" w:rsidRPr="00B50C48" w:rsidRDefault="0096730B" w:rsidP="00714EC8">
      <w:pPr>
        <w:pStyle w:val="BayerBodyTextFull"/>
        <w:spacing w:after="240" w:line="276" w:lineRule="auto"/>
        <w:jc w:val="both"/>
        <w:rPr>
          <w:sz w:val="22"/>
          <w:lang w:eastAsia="zh-CN"/>
        </w:rPr>
      </w:pPr>
      <w:r w:rsidRPr="00B50C48">
        <w:rPr>
          <w:sz w:val="22"/>
          <w:lang w:eastAsia="zh-CN"/>
        </w:rPr>
        <w:t>In rats, at systemic exposure corresponding up to 7</w:t>
      </w:r>
      <w:r w:rsidR="009459EC">
        <w:rPr>
          <w:sz w:val="22"/>
          <w:lang w:eastAsia="zh-CN"/>
        </w:rPr>
        <w:t>-</w:t>
      </w:r>
      <w:r w:rsidRPr="00B50C48">
        <w:rPr>
          <w:sz w:val="22"/>
          <w:lang w:eastAsia="zh-CN"/>
        </w:rPr>
        <w:t xml:space="preserve">fold the human exposure, </w:t>
      </w:r>
      <w:r w:rsidR="00954E99" w:rsidRPr="00B50C48">
        <w:rPr>
          <w:sz w:val="22"/>
          <w:lang w:eastAsia="zh-CN"/>
        </w:rPr>
        <w:t>Adempas</w:t>
      </w:r>
      <w:r w:rsidR="00F45BDB">
        <w:rPr>
          <w:sz w:val="22"/>
          <w:lang w:eastAsia="zh-CN"/>
        </w:rPr>
        <w:t xml:space="preserve"> was non-</w:t>
      </w:r>
      <w:r w:rsidRPr="00B50C48">
        <w:rPr>
          <w:sz w:val="22"/>
          <w:lang w:eastAsia="zh-CN"/>
        </w:rPr>
        <w:t xml:space="preserve">carcinogenic. </w:t>
      </w:r>
    </w:p>
    <w:p w:rsidR="0096730B" w:rsidRPr="00B50C48" w:rsidRDefault="0096730B" w:rsidP="00714EC8">
      <w:pPr>
        <w:pStyle w:val="BayerBodyTextFull"/>
        <w:spacing w:after="240" w:line="276" w:lineRule="auto"/>
        <w:jc w:val="both"/>
        <w:rPr>
          <w:sz w:val="22"/>
          <w:lang w:eastAsia="zh-CN"/>
        </w:rPr>
      </w:pPr>
      <w:r w:rsidRPr="00B50C48">
        <w:rPr>
          <w:sz w:val="22"/>
          <w:lang w:eastAsia="zh-CN"/>
        </w:rPr>
        <w:t>In the carcinogenicity study in mice, at exposure levels close to the human therapeutic exposure, impaired gastrointestinal motility, dysbiosis and chronic inflammation followed by mucosal degeneration and reactive hyperplasia as well as a statistically non-significant increase in intestinal tumours were seen. This sequence of events is a typical reaction in mice to a stimulus like inflammation or degeneration</w:t>
      </w:r>
      <w:r w:rsidR="00F45BDB">
        <w:rPr>
          <w:sz w:val="22"/>
          <w:lang w:eastAsia="zh-CN"/>
        </w:rPr>
        <w:t xml:space="preserve"> and</w:t>
      </w:r>
      <w:r w:rsidRPr="00B50C48">
        <w:rPr>
          <w:sz w:val="22"/>
          <w:lang w:eastAsia="zh-CN"/>
        </w:rPr>
        <w:t xml:space="preserve"> therefore these tumours are not considered as relevant for humans.    </w:t>
      </w:r>
    </w:p>
    <w:p w:rsidR="005E1570" w:rsidRPr="00B50C48" w:rsidRDefault="00FC033C" w:rsidP="00714EC8">
      <w:pPr>
        <w:pStyle w:val="Heading2"/>
        <w:numPr>
          <w:ilvl w:val="0"/>
          <w:numId w:val="0"/>
        </w:numPr>
        <w:spacing w:before="120" w:after="240" w:line="276" w:lineRule="auto"/>
        <w:jc w:val="both"/>
        <w:rPr>
          <w:sz w:val="22"/>
          <w:lang w:eastAsia="zh-CN"/>
        </w:rPr>
      </w:pPr>
      <w:r>
        <w:rPr>
          <w:sz w:val="22"/>
          <w:lang w:eastAsia="zh-CN"/>
        </w:rPr>
        <w:t>Effect on L</w:t>
      </w:r>
      <w:r w:rsidR="005E1570" w:rsidRPr="00B50C48">
        <w:rPr>
          <w:sz w:val="22"/>
          <w:lang w:eastAsia="zh-CN"/>
        </w:rPr>
        <w:t xml:space="preserve">aboratory </w:t>
      </w:r>
      <w:r>
        <w:rPr>
          <w:sz w:val="22"/>
          <w:lang w:eastAsia="zh-CN"/>
        </w:rPr>
        <w:t>T</w:t>
      </w:r>
      <w:r w:rsidR="005E1570" w:rsidRPr="00B50C48">
        <w:rPr>
          <w:sz w:val="22"/>
          <w:lang w:eastAsia="zh-CN"/>
        </w:rPr>
        <w:t>ests</w:t>
      </w:r>
    </w:p>
    <w:p w:rsidR="00307B3B" w:rsidRPr="00307B3B" w:rsidRDefault="00307B3B" w:rsidP="008A6F60">
      <w:pPr>
        <w:spacing w:before="120" w:after="240" w:line="276" w:lineRule="auto"/>
        <w:jc w:val="both"/>
        <w:rPr>
          <w:sz w:val="22"/>
          <w:lang w:val="en-US"/>
        </w:rPr>
      </w:pPr>
      <w:r w:rsidRPr="00307B3B">
        <w:rPr>
          <w:sz w:val="22"/>
          <w:lang w:val="en-US"/>
        </w:rPr>
        <w:t xml:space="preserve">In the Phase III studies with </w:t>
      </w:r>
      <w:r w:rsidR="00AC0E90">
        <w:rPr>
          <w:sz w:val="22"/>
          <w:lang w:val="en-US"/>
        </w:rPr>
        <w:t>Adempas</w:t>
      </w:r>
      <w:r w:rsidRPr="00307B3B">
        <w:rPr>
          <w:sz w:val="22"/>
          <w:lang w:val="en-US"/>
        </w:rPr>
        <w:t xml:space="preserve"> in patients with CTEPH and PAH, mean changes in laboratory tests from baseline to end of study were clinically insignificant for the majority of the chemistry parameters tested.</w:t>
      </w:r>
    </w:p>
    <w:p w:rsidR="00250DB6" w:rsidRPr="00B50C48" w:rsidRDefault="00FC033C" w:rsidP="00714EC8">
      <w:pPr>
        <w:pStyle w:val="Heading2"/>
        <w:numPr>
          <w:ilvl w:val="0"/>
          <w:numId w:val="0"/>
        </w:numPr>
        <w:spacing w:before="120" w:after="240" w:line="276" w:lineRule="auto"/>
        <w:rPr>
          <w:sz w:val="22"/>
        </w:rPr>
      </w:pPr>
      <w:bookmarkStart w:id="11" w:name="_Toc341337125"/>
      <w:r>
        <w:rPr>
          <w:sz w:val="22"/>
        </w:rPr>
        <w:t>Effects on A</w:t>
      </w:r>
      <w:r w:rsidR="00250DB6" w:rsidRPr="00B50C48">
        <w:rPr>
          <w:sz w:val="22"/>
        </w:rPr>
        <w:t xml:space="preserve">bility to </w:t>
      </w:r>
      <w:r>
        <w:rPr>
          <w:sz w:val="22"/>
        </w:rPr>
        <w:t>Drive or U</w:t>
      </w:r>
      <w:r w:rsidR="00250DB6" w:rsidRPr="00B50C48">
        <w:rPr>
          <w:sz w:val="22"/>
        </w:rPr>
        <w:t xml:space="preserve">se </w:t>
      </w:r>
      <w:r>
        <w:rPr>
          <w:sz w:val="22"/>
        </w:rPr>
        <w:t>M</w:t>
      </w:r>
      <w:r w:rsidR="00250DB6" w:rsidRPr="00B50C48">
        <w:rPr>
          <w:sz w:val="22"/>
        </w:rPr>
        <w:t>achines</w:t>
      </w:r>
      <w:bookmarkEnd w:id="11"/>
    </w:p>
    <w:p w:rsidR="00250DB6" w:rsidRPr="00B50C48" w:rsidRDefault="0084372A" w:rsidP="00714EC8">
      <w:pPr>
        <w:pStyle w:val="BayerBodyTextFull"/>
        <w:spacing w:after="240" w:line="276" w:lineRule="auto"/>
        <w:jc w:val="both"/>
        <w:rPr>
          <w:sz w:val="22"/>
        </w:rPr>
      </w:pPr>
      <w:r w:rsidRPr="00B50C48">
        <w:rPr>
          <w:sz w:val="22"/>
        </w:rPr>
        <w:t>Dizziness has been reported and may affect the ability to drive and use machines (see ADVERSE EFFECTS). Patients should be aware of how they react to Adempas, before driving or operating machinery.</w:t>
      </w:r>
    </w:p>
    <w:p w:rsidR="005E1570" w:rsidRPr="00B50C48" w:rsidRDefault="005E1570" w:rsidP="001B5221">
      <w:pPr>
        <w:pStyle w:val="Heading1"/>
        <w:numPr>
          <w:ilvl w:val="0"/>
          <w:numId w:val="0"/>
        </w:numPr>
        <w:jc w:val="both"/>
        <w:rPr>
          <w:sz w:val="24"/>
        </w:rPr>
      </w:pPr>
      <w:r w:rsidRPr="00B50C48">
        <w:rPr>
          <w:sz w:val="24"/>
        </w:rPr>
        <w:lastRenderedPageBreak/>
        <w:t>INTERACTIONS WITH OTHER MEDICINES</w:t>
      </w:r>
    </w:p>
    <w:p w:rsidR="005E1570" w:rsidRPr="00B50C48" w:rsidRDefault="007D5332" w:rsidP="001B5221">
      <w:pPr>
        <w:pStyle w:val="Heading2"/>
        <w:numPr>
          <w:ilvl w:val="0"/>
          <w:numId w:val="0"/>
        </w:numPr>
        <w:spacing w:before="120" w:after="240" w:line="276" w:lineRule="auto"/>
        <w:jc w:val="both"/>
        <w:rPr>
          <w:sz w:val="22"/>
        </w:rPr>
      </w:pPr>
      <w:r w:rsidRPr="00B50C48">
        <w:rPr>
          <w:sz w:val="22"/>
        </w:rPr>
        <w:t>Pharmacokinetic Interactions</w:t>
      </w:r>
    </w:p>
    <w:p w:rsidR="007D5332" w:rsidRPr="00FC033C" w:rsidRDefault="007D5332" w:rsidP="001B5221">
      <w:pPr>
        <w:keepNext/>
        <w:spacing w:before="120" w:after="240" w:line="276" w:lineRule="auto"/>
        <w:jc w:val="both"/>
        <w:rPr>
          <w:sz w:val="22"/>
          <w:u w:val="single"/>
        </w:rPr>
      </w:pPr>
      <w:r w:rsidRPr="00FC033C">
        <w:rPr>
          <w:sz w:val="22"/>
          <w:u w:val="single"/>
        </w:rPr>
        <w:t xml:space="preserve">Effects of </w:t>
      </w:r>
      <w:r w:rsidR="00FC033C">
        <w:rPr>
          <w:sz w:val="22"/>
          <w:u w:val="single"/>
        </w:rPr>
        <w:t>Other S</w:t>
      </w:r>
      <w:r w:rsidRPr="00FC033C">
        <w:rPr>
          <w:sz w:val="22"/>
          <w:u w:val="single"/>
        </w:rPr>
        <w:t xml:space="preserve">ubstances on </w:t>
      </w:r>
      <w:r w:rsidR="00D47723" w:rsidRPr="00FC033C">
        <w:rPr>
          <w:sz w:val="22"/>
          <w:u w:val="single"/>
        </w:rPr>
        <w:t>Adempas</w:t>
      </w:r>
    </w:p>
    <w:p w:rsidR="007D5332" w:rsidRPr="00B50C48" w:rsidRDefault="007D5332" w:rsidP="006D1809">
      <w:pPr>
        <w:pStyle w:val="BayerBodyTextFull"/>
        <w:spacing w:after="240" w:line="276" w:lineRule="auto"/>
        <w:jc w:val="both"/>
        <w:rPr>
          <w:sz w:val="22"/>
          <w:szCs w:val="22"/>
        </w:rPr>
      </w:pPr>
      <w:r w:rsidRPr="00B50C48">
        <w:rPr>
          <w:sz w:val="22"/>
          <w:szCs w:val="22"/>
        </w:rPr>
        <w:t>Riociguat is cleared mainly via cytochrome P450</w:t>
      </w:r>
      <w:r w:rsidRPr="00B50C48">
        <w:rPr>
          <w:sz w:val="22"/>
          <w:szCs w:val="22"/>
        </w:rPr>
        <w:noBreakHyphen/>
        <w:t>mediated (CYP1A1, CYP3A4, CYP2C8, CYP2J2) oxidative metabolism, direct biliary/f</w:t>
      </w:r>
      <w:r w:rsidR="00A50ABB" w:rsidRPr="00B50C48">
        <w:rPr>
          <w:sz w:val="22"/>
          <w:szCs w:val="22"/>
        </w:rPr>
        <w:t>a</w:t>
      </w:r>
      <w:r w:rsidRPr="00B50C48">
        <w:rPr>
          <w:sz w:val="22"/>
          <w:szCs w:val="22"/>
        </w:rPr>
        <w:t xml:space="preserve">ecal excretion of the unchanged drug, and renal excretion of the unchanged drug via glomerular filtration. Based on </w:t>
      </w:r>
      <w:r w:rsidRPr="00B50C48">
        <w:rPr>
          <w:i/>
          <w:sz w:val="22"/>
          <w:szCs w:val="22"/>
        </w:rPr>
        <w:t>in vitro</w:t>
      </w:r>
      <w:r w:rsidRPr="00B50C48">
        <w:rPr>
          <w:sz w:val="22"/>
          <w:szCs w:val="22"/>
        </w:rPr>
        <w:t xml:space="preserve"> studies, riociguat was found to be a substrate for the membrane transport proteins P</w:t>
      </w:r>
      <w:r w:rsidRPr="00B50C48">
        <w:rPr>
          <w:sz w:val="22"/>
          <w:szCs w:val="22"/>
        </w:rPr>
        <w:noBreakHyphen/>
        <w:t>gp/BCRP. Inhibitors or inducers of these enzymes or transporters may affect riociguat exposure.</w:t>
      </w:r>
    </w:p>
    <w:p w:rsidR="007D5332" w:rsidRPr="00B50C48" w:rsidRDefault="007D5332" w:rsidP="006D1809">
      <w:pPr>
        <w:pStyle w:val="BayerBodyTextFull"/>
        <w:spacing w:after="240" w:line="276" w:lineRule="auto"/>
        <w:jc w:val="both"/>
        <w:rPr>
          <w:sz w:val="22"/>
          <w:szCs w:val="22"/>
        </w:rPr>
      </w:pPr>
      <w:r w:rsidRPr="00B50C48">
        <w:rPr>
          <w:i/>
          <w:sz w:val="22"/>
          <w:szCs w:val="22"/>
        </w:rPr>
        <w:t xml:space="preserve">In vitro, </w:t>
      </w:r>
      <w:r w:rsidRPr="00B50C48">
        <w:rPr>
          <w:sz w:val="22"/>
          <w:szCs w:val="22"/>
        </w:rPr>
        <w:t xml:space="preserve">ketoconazole, classified as </w:t>
      </w:r>
      <w:r w:rsidR="00F45BDB">
        <w:rPr>
          <w:sz w:val="22"/>
          <w:szCs w:val="22"/>
        </w:rPr>
        <w:t xml:space="preserve">a </w:t>
      </w:r>
      <w:r w:rsidRPr="00B50C48">
        <w:rPr>
          <w:sz w:val="22"/>
          <w:szCs w:val="22"/>
        </w:rPr>
        <w:t>strong CYP3A4 and P</w:t>
      </w:r>
      <w:r w:rsidRPr="00B50C48">
        <w:rPr>
          <w:sz w:val="22"/>
          <w:szCs w:val="22"/>
        </w:rPr>
        <w:noBreakHyphen/>
        <w:t>gp inhibitor, has been shown to be a ‘multi-pathway CYP and P</w:t>
      </w:r>
      <w:r w:rsidRPr="00B50C48">
        <w:rPr>
          <w:sz w:val="22"/>
          <w:szCs w:val="22"/>
        </w:rPr>
        <w:noBreakHyphen/>
        <w:t xml:space="preserve">gp/BCRP inhibitor’ for riociguat metabolism and excretion. Concomitant administration of </w:t>
      </w:r>
      <w:r w:rsidR="00F45BDB" w:rsidRPr="00B50C48">
        <w:rPr>
          <w:sz w:val="22"/>
          <w:szCs w:val="22"/>
        </w:rPr>
        <w:t xml:space="preserve">ketoconazole </w:t>
      </w:r>
      <w:r w:rsidRPr="00B50C48">
        <w:rPr>
          <w:sz w:val="22"/>
          <w:szCs w:val="22"/>
        </w:rPr>
        <w:t>400 mg once daily led to a 150% (range up to 370%) increase in riociguat mean AUC and a 46% increase in mean C</w:t>
      </w:r>
      <w:r w:rsidRPr="00B50C48">
        <w:rPr>
          <w:sz w:val="22"/>
          <w:szCs w:val="22"/>
          <w:vertAlign w:val="subscript"/>
        </w:rPr>
        <w:t>max</w:t>
      </w:r>
      <w:r w:rsidRPr="00B50C48">
        <w:rPr>
          <w:sz w:val="22"/>
          <w:szCs w:val="22"/>
        </w:rPr>
        <w:t>. Terminal half-life increased from 7.3 to 9.2 hours and total body clearance decreased from 6.1 to 2.4 L/h.</w:t>
      </w:r>
    </w:p>
    <w:p w:rsidR="007D5332" w:rsidRPr="00B50C48" w:rsidRDefault="007D5332" w:rsidP="006D1809">
      <w:pPr>
        <w:pStyle w:val="BayerBodyTextFull"/>
        <w:spacing w:after="240" w:line="276" w:lineRule="auto"/>
        <w:jc w:val="both"/>
        <w:rPr>
          <w:sz w:val="22"/>
          <w:szCs w:val="22"/>
        </w:rPr>
      </w:pPr>
      <w:r w:rsidRPr="00B50C48">
        <w:rPr>
          <w:sz w:val="22"/>
          <w:szCs w:val="22"/>
        </w:rPr>
        <w:t>Therefore concomitant use with strong multi-pathway CYP and P</w:t>
      </w:r>
      <w:r w:rsidRPr="00B50C48">
        <w:rPr>
          <w:sz w:val="22"/>
          <w:szCs w:val="22"/>
        </w:rPr>
        <w:noBreakHyphen/>
        <w:t>gp/BCRP inhibitors, such as azole antimycotics (e.g. ketoconazole, itraconazole) or HIV protease inhibitors (e.g. ritonavir) is not recommended (see</w:t>
      </w:r>
      <w:r w:rsidR="00FE059D" w:rsidRPr="00B50C48">
        <w:rPr>
          <w:sz w:val="22"/>
          <w:szCs w:val="22"/>
        </w:rPr>
        <w:t xml:space="preserve"> PRECAUTIONS</w:t>
      </w:r>
      <w:r w:rsidR="00F45BDB">
        <w:rPr>
          <w:sz w:val="22"/>
          <w:szCs w:val="22"/>
        </w:rPr>
        <w:t xml:space="preserve">, Concomitant </w:t>
      </w:r>
      <w:r w:rsidR="001B5221">
        <w:rPr>
          <w:sz w:val="22"/>
          <w:szCs w:val="22"/>
        </w:rPr>
        <w:t>U</w:t>
      </w:r>
      <w:r w:rsidR="00F45BDB">
        <w:rPr>
          <w:sz w:val="22"/>
          <w:szCs w:val="22"/>
        </w:rPr>
        <w:t xml:space="preserve">se with </w:t>
      </w:r>
      <w:r w:rsidR="001B5221">
        <w:rPr>
          <w:sz w:val="22"/>
          <w:szCs w:val="22"/>
        </w:rPr>
        <w:t>O</w:t>
      </w:r>
      <w:r w:rsidR="00F45BDB">
        <w:rPr>
          <w:sz w:val="22"/>
          <w:szCs w:val="22"/>
        </w:rPr>
        <w:t xml:space="preserve">ther </w:t>
      </w:r>
      <w:r w:rsidR="001B5221">
        <w:rPr>
          <w:sz w:val="22"/>
          <w:szCs w:val="22"/>
        </w:rPr>
        <w:t>M</w:t>
      </w:r>
      <w:r w:rsidR="00F45BDB">
        <w:rPr>
          <w:sz w:val="22"/>
          <w:szCs w:val="22"/>
        </w:rPr>
        <w:t xml:space="preserve">edicinal </w:t>
      </w:r>
      <w:r w:rsidR="001B5221">
        <w:rPr>
          <w:sz w:val="22"/>
          <w:szCs w:val="22"/>
        </w:rPr>
        <w:t>P</w:t>
      </w:r>
      <w:r w:rsidR="00F45BDB">
        <w:rPr>
          <w:sz w:val="22"/>
          <w:szCs w:val="22"/>
        </w:rPr>
        <w:t>roducts</w:t>
      </w:r>
      <w:r w:rsidR="00B12310" w:rsidRPr="00B50C48">
        <w:rPr>
          <w:sz w:val="22"/>
          <w:szCs w:val="22"/>
        </w:rPr>
        <w:t>)</w:t>
      </w:r>
      <w:r w:rsidRPr="00B50C48">
        <w:rPr>
          <w:sz w:val="22"/>
          <w:szCs w:val="22"/>
        </w:rPr>
        <w:t>.</w:t>
      </w:r>
    </w:p>
    <w:p w:rsidR="007D5332" w:rsidRPr="00B50C48" w:rsidRDefault="005B7106" w:rsidP="006D1809">
      <w:pPr>
        <w:pStyle w:val="BayerBodyTextFull"/>
        <w:spacing w:after="240" w:line="276" w:lineRule="auto"/>
        <w:jc w:val="both"/>
        <w:rPr>
          <w:sz w:val="22"/>
          <w:szCs w:val="22"/>
        </w:rPr>
      </w:pPr>
      <w:r>
        <w:rPr>
          <w:sz w:val="22"/>
          <w:szCs w:val="22"/>
        </w:rPr>
        <w:t>Medicines</w:t>
      </w:r>
      <w:r w:rsidRPr="00B50C48">
        <w:rPr>
          <w:sz w:val="22"/>
          <w:szCs w:val="22"/>
        </w:rPr>
        <w:t xml:space="preserve"> </w:t>
      </w:r>
      <w:r w:rsidR="007D5332" w:rsidRPr="00B50C48">
        <w:rPr>
          <w:sz w:val="22"/>
          <w:szCs w:val="22"/>
        </w:rPr>
        <w:t>strongly inhibiting P</w:t>
      </w:r>
      <w:r w:rsidR="007D5332" w:rsidRPr="00B50C48">
        <w:rPr>
          <w:sz w:val="22"/>
          <w:szCs w:val="22"/>
        </w:rPr>
        <w:noBreakHyphen/>
        <w:t xml:space="preserve">gp/BCRP such as the immunosuppressive agent cyclosporin, should be used with caution </w:t>
      </w:r>
      <w:r w:rsidR="007D5332" w:rsidRPr="00B50C48">
        <w:rPr>
          <w:i/>
          <w:sz w:val="22"/>
          <w:szCs w:val="22"/>
        </w:rPr>
        <w:t>(</w:t>
      </w:r>
      <w:r w:rsidR="00F45BDB" w:rsidRPr="00B50C48">
        <w:rPr>
          <w:sz w:val="22"/>
          <w:szCs w:val="22"/>
        </w:rPr>
        <w:t>see PRECAUTIONS</w:t>
      </w:r>
      <w:r w:rsidR="00F45BDB">
        <w:rPr>
          <w:sz w:val="22"/>
          <w:szCs w:val="22"/>
        </w:rPr>
        <w:t xml:space="preserve">, Concomitant </w:t>
      </w:r>
      <w:r w:rsidR="001B5221">
        <w:rPr>
          <w:sz w:val="22"/>
          <w:szCs w:val="22"/>
        </w:rPr>
        <w:t>U</w:t>
      </w:r>
      <w:r w:rsidR="00F45BDB">
        <w:rPr>
          <w:sz w:val="22"/>
          <w:szCs w:val="22"/>
        </w:rPr>
        <w:t xml:space="preserve">se with </w:t>
      </w:r>
      <w:r w:rsidR="001B5221">
        <w:rPr>
          <w:sz w:val="22"/>
          <w:szCs w:val="22"/>
        </w:rPr>
        <w:t>O</w:t>
      </w:r>
      <w:r w:rsidR="00F45BDB">
        <w:rPr>
          <w:sz w:val="22"/>
          <w:szCs w:val="22"/>
        </w:rPr>
        <w:t xml:space="preserve">ther </w:t>
      </w:r>
      <w:r w:rsidR="001B5221">
        <w:rPr>
          <w:sz w:val="22"/>
          <w:szCs w:val="22"/>
        </w:rPr>
        <w:t>M</w:t>
      </w:r>
      <w:r w:rsidR="00F45BDB">
        <w:rPr>
          <w:sz w:val="22"/>
          <w:szCs w:val="22"/>
        </w:rPr>
        <w:t xml:space="preserve">edicinal </w:t>
      </w:r>
      <w:r w:rsidR="001B5221">
        <w:rPr>
          <w:sz w:val="22"/>
          <w:szCs w:val="22"/>
        </w:rPr>
        <w:t>P</w:t>
      </w:r>
      <w:r w:rsidR="00F45BDB">
        <w:rPr>
          <w:sz w:val="22"/>
          <w:szCs w:val="22"/>
        </w:rPr>
        <w:t>roducts</w:t>
      </w:r>
      <w:r w:rsidR="007D5332" w:rsidRPr="00B50C48">
        <w:rPr>
          <w:i/>
          <w:sz w:val="22"/>
          <w:szCs w:val="22"/>
        </w:rPr>
        <w:t>)</w:t>
      </w:r>
      <w:r w:rsidR="007D5332" w:rsidRPr="00B50C48">
        <w:rPr>
          <w:sz w:val="22"/>
          <w:szCs w:val="22"/>
        </w:rPr>
        <w:t>.</w:t>
      </w:r>
    </w:p>
    <w:p w:rsidR="007D5332" w:rsidRPr="00B50C48" w:rsidRDefault="007D5332" w:rsidP="006D1809">
      <w:pPr>
        <w:pStyle w:val="BayerBodyTextFull"/>
        <w:spacing w:after="240" w:line="276" w:lineRule="auto"/>
        <w:jc w:val="both"/>
        <w:rPr>
          <w:sz w:val="22"/>
          <w:szCs w:val="22"/>
        </w:rPr>
      </w:pPr>
      <w:r w:rsidRPr="00B50C48">
        <w:rPr>
          <w:sz w:val="22"/>
          <w:szCs w:val="22"/>
        </w:rPr>
        <w:t xml:space="preserve">From the recombinant CYP isoforms investigated </w:t>
      </w:r>
      <w:r w:rsidRPr="00B50C48">
        <w:rPr>
          <w:i/>
          <w:sz w:val="22"/>
          <w:szCs w:val="22"/>
        </w:rPr>
        <w:t>in vitro</w:t>
      </w:r>
      <w:r w:rsidR="00A2794B">
        <w:rPr>
          <w:sz w:val="22"/>
          <w:szCs w:val="22"/>
        </w:rPr>
        <w:t>,</w:t>
      </w:r>
      <w:r w:rsidRPr="00B50C48">
        <w:rPr>
          <w:sz w:val="22"/>
          <w:szCs w:val="22"/>
        </w:rPr>
        <w:t xml:space="preserve"> CYP1A1 most effectively cataly</w:t>
      </w:r>
      <w:r w:rsidR="00312036" w:rsidRPr="00B50C48">
        <w:rPr>
          <w:sz w:val="22"/>
          <w:szCs w:val="22"/>
        </w:rPr>
        <w:t>s</w:t>
      </w:r>
      <w:r w:rsidRPr="00B50C48">
        <w:rPr>
          <w:sz w:val="22"/>
          <w:szCs w:val="22"/>
        </w:rPr>
        <w:t xml:space="preserve">ed formation of </w:t>
      </w:r>
      <w:r w:rsidR="00A2794B">
        <w:rPr>
          <w:sz w:val="22"/>
          <w:szCs w:val="22"/>
        </w:rPr>
        <w:t xml:space="preserve">the </w:t>
      </w:r>
      <w:r w:rsidRPr="00B50C48">
        <w:rPr>
          <w:sz w:val="22"/>
          <w:szCs w:val="22"/>
        </w:rPr>
        <w:t xml:space="preserve">riociguat main metabolite. The class of tyrosine kinase inhibitors was identified as potent inhibitors of CYP1A1, with erlotinib and gefitinib exhibiting the highest inhibitory potency </w:t>
      </w:r>
      <w:r w:rsidRPr="00B50C48">
        <w:rPr>
          <w:i/>
          <w:sz w:val="22"/>
          <w:szCs w:val="22"/>
        </w:rPr>
        <w:t>in vitro</w:t>
      </w:r>
      <w:r w:rsidRPr="00B50C48">
        <w:rPr>
          <w:sz w:val="22"/>
          <w:szCs w:val="22"/>
        </w:rPr>
        <w:t>. Therefore, drug</w:t>
      </w:r>
      <w:r w:rsidRPr="00B50C48">
        <w:rPr>
          <w:sz w:val="22"/>
          <w:szCs w:val="22"/>
        </w:rPr>
        <w:noBreakHyphen/>
        <w:t xml:space="preserve">drug interactions by inhibition of CYP1A1 </w:t>
      </w:r>
      <w:r w:rsidR="00B12310" w:rsidRPr="00B50C48">
        <w:rPr>
          <w:sz w:val="22"/>
          <w:szCs w:val="22"/>
        </w:rPr>
        <w:t xml:space="preserve">(see </w:t>
      </w:r>
      <w:r w:rsidR="00A2794B">
        <w:rPr>
          <w:sz w:val="22"/>
          <w:szCs w:val="22"/>
        </w:rPr>
        <w:t xml:space="preserve">PHARMACOLOGY, </w:t>
      </w:r>
      <w:r w:rsidR="00B12310" w:rsidRPr="00B50C48">
        <w:rPr>
          <w:sz w:val="22"/>
          <w:szCs w:val="22"/>
        </w:rPr>
        <w:t>Pharmacokinetic Properties)</w:t>
      </w:r>
      <w:r w:rsidRPr="00B50C48">
        <w:rPr>
          <w:i/>
          <w:sz w:val="22"/>
          <w:szCs w:val="22"/>
        </w:rPr>
        <w:t xml:space="preserve"> </w:t>
      </w:r>
      <w:r w:rsidRPr="00B50C48">
        <w:rPr>
          <w:sz w:val="22"/>
          <w:szCs w:val="22"/>
        </w:rPr>
        <w:t>could result in increased riociguat exposure, especially in smokers. Therefore</w:t>
      </w:r>
      <w:r w:rsidR="00A2794B">
        <w:rPr>
          <w:sz w:val="22"/>
          <w:szCs w:val="22"/>
        </w:rPr>
        <w:t>,</w:t>
      </w:r>
      <w:r w:rsidRPr="00B50C48">
        <w:rPr>
          <w:sz w:val="22"/>
          <w:szCs w:val="22"/>
        </w:rPr>
        <w:t xml:space="preserve"> strong CYP1A1 inhibitors should be used with caution (see </w:t>
      </w:r>
      <w:r w:rsidR="0013706A" w:rsidRPr="00B50C48">
        <w:rPr>
          <w:sz w:val="22"/>
          <w:szCs w:val="22"/>
        </w:rPr>
        <w:t>PRECAUTIONS</w:t>
      </w:r>
      <w:r w:rsidR="00A2794B">
        <w:rPr>
          <w:sz w:val="22"/>
          <w:szCs w:val="22"/>
        </w:rPr>
        <w:t xml:space="preserve">, Concomitant </w:t>
      </w:r>
      <w:r w:rsidR="00E94FBE">
        <w:rPr>
          <w:sz w:val="22"/>
          <w:szCs w:val="22"/>
        </w:rPr>
        <w:t>Use with O</w:t>
      </w:r>
      <w:r w:rsidR="00A2794B">
        <w:rPr>
          <w:sz w:val="22"/>
          <w:szCs w:val="22"/>
        </w:rPr>
        <w:t xml:space="preserve">ther </w:t>
      </w:r>
      <w:r w:rsidR="00E94FBE">
        <w:rPr>
          <w:sz w:val="22"/>
          <w:szCs w:val="22"/>
        </w:rPr>
        <w:t>M</w:t>
      </w:r>
      <w:r w:rsidR="00A2794B">
        <w:rPr>
          <w:sz w:val="22"/>
          <w:szCs w:val="22"/>
        </w:rPr>
        <w:t xml:space="preserve">edicinal </w:t>
      </w:r>
      <w:r w:rsidR="00E94FBE">
        <w:rPr>
          <w:sz w:val="22"/>
          <w:szCs w:val="22"/>
        </w:rPr>
        <w:t>P</w:t>
      </w:r>
      <w:r w:rsidR="00A2794B">
        <w:rPr>
          <w:sz w:val="22"/>
          <w:szCs w:val="22"/>
        </w:rPr>
        <w:t>roducts</w:t>
      </w:r>
      <w:r w:rsidRPr="00B50C48">
        <w:rPr>
          <w:sz w:val="22"/>
          <w:szCs w:val="22"/>
        </w:rPr>
        <w:t>).</w:t>
      </w:r>
    </w:p>
    <w:p w:rsidR="007D5332" w:rsidRPr="00B50C48" w:rsidRDefault="007D5332" w:rsidP="006D1809">
      <w:pPr>
        <w:pStyle w:val="BayerBodyTextFull"/>
        <w:spacing w:after="240" w:line="276" w:lineRule="auto"/>
        <w:jc w:val="both"/>
        <w:rPr>
          <w:sz w:val="22"/>
          <w:szCs w:val="22"/>
        </w:rPr>
      </w:pPr>
      <w:r w:rsidRPr="00B50C48">
        <w:rPr>
          <w:sz w:val="22"/>
          <w:szCs w:val="22"/>
        </w:rPr>
        <w:t xml:space="preserve">Co-administration of clarithromycin (500 mg twice daily), classified as </w:t>
      </w:r>
      <w:r w:rsidR="00E94FBE">
        <w:rPr>
          <w:sz w:val="22"/>
          <w:szCs w:val="22"/>
        </w:rPr>
        <w:t>a</w:t>
      </w:r>
      <w:r w:rsidR="00D12E58">
        <w:rPr>
          <w:sz w:val="22"/>
          <w:szCs w:val="22"/>
        </w:rPr>
        <w:t xml:space="preserve"> </w:t>
      </w:r>
      <w:r w:rsidRPr="00B50C48">
        <w:rPr>
          <w:sz w:val="22"/>
          <w:szCs w:val="22"/>
        </w:rPr>
        <w:t>strong and selective CYP3A4 inhibitor and also reported to be a weak-to-moderate P</w:t>
      </w:r>
      <w:r w:rsidRPr="00B50C48">
        <w:rPr>
          <w:sz w:val="22"/>
          <w:szCs w:val="22"/>
        </w:rPr>
        <w:noBreakHyphen/>
        <w:t>gp inhibitor, increased riociguat mean AUC by 41% without significant change in C</w:t>
      </w:r>
      <w:r w:rsidRPr="00B50C48">
        <w:rPr>
          <w:sz w:val="22"/>
          <w:szCs w:val="22"/>
          <w:vertAlign w:val="subscript"/>
        </w:rPr>
        <w:t>max</w:t>
      </w:r>
      <w:r w:rsidRPr="00B50C48">
        <w:rPr>
          <w:sz w:val="22"/>
          <w:szCs w:val="22"/>
        </w:rPr>
        <w:t xml:space="preserve">. </w:t>
      </w:r>
    </w:p>
    <w:p w:rsidR="007D5332" w:rsidRPr="00B50C48" w:rsidRDefault="007D5332" w:rsidP="006D1809">
      <w:pPr>
        <w:pStyle w:val="BayerBodyTextFull"/>
        <w:spacing w:after="240" w:line="276" w:lineRule="auto"/>
        <w:jc w:val="both"/>
        <w:rPr>
          <w:sz w:val="22"/>
          <w:szCs w:val="22"/>
        </w:rPr>
      </w:pPr>
      <w:r w:rsidRPr="00B50C48">
        <w:rPr>
          <w:sz w:val="22"/>
          <w:szCs w:val="22"/>
        </w:rPr>
        <w:t xml:space="preserve">Riociguat exhibits a reduced solubility at neutral pH </w:t>
      </w:r>
      <w:r w:rsidRPr="00B50C48">
        <w:rPr>
          <w:i/>
          <w:sz w:val="22"/>
          <w:szCs w:val="22"/>
        </w:rPr>
        <w:t>vs.</w:t>
      </w:r>
      <w:r w:rsidRPr="00B50C48">
        <w:rPr>
          <w:sz w:val="22"/>
          <w:szCs w:val="22"/>
        </w:rPr>
        <w:t xml:space="preserve"> acidic medium. Co</w:t>
      </w:r>
      <w:r w:rsidRPr="00B50C48">
        <w:rPr>
          <w:sz w:val="22"/>
          <w:szCs w:val="22"/>
        </w:rPr>
        <w:noBreakHyphen/>
        <w:t xml:space="preserve">medication of </w:t>
      </w:r>
      <w:r w:rsidR="005B7106">
        <w:rPr>
          <w:sz w:val="22"/>
          <w:szCs w:val="22"/>
        </w:rPr>
        <w:t>medicines</w:t>
      </w:r>
      <w:r w:rsidR="005B7106" w:rsidRPr="00B50C48">
        <w:rPr>
          <w:sz w:val="22"/>
          <w:szCs w:val="22"/>
        </w:rPr>
        <w:t xml:space="preserve"> </w:t>
      </w:r>
      <w:r w:rsidRPr="00B50C48">
        <w:rPr>
          <w:sz w:val="22"/>
          <w:szCs w:val="22"/>
        </w:rPr>
        <w:t>increasing the upper gastro</w:t>
      </w:r>
      <w:r w:rsidRPr="00B50C48">
        <w:rPr>
          <w:sz w:val="22"/>
          <w:szCs w:val="22"/>
        </w:rPr>
        <w:noBreakHyphen/>
        <w:t>intestinal pH may lead to lower oral bioavailability.</w:t>
      </w:r>
    </w:p>
    <w:p w:rsidR="007D5332" w:rsidRPr="00B50C48" w:rsidRDefault="007D5332" w:rsidP="006D1809">
      <w:pPr>
        <w:pStyle w:val="BayerBodyTextFull"/>
        <w:spacing w:after="240" w:line="276" w:lineRule="auto"/>
        <w:jc w:val="both"/>
        <w:rPr>
          <w:sz w:val="22"/>
          <w:szCs w:val="22"/>
        </w:rPr>
      </w:pPr>
      <w:r w:rsidRPr="00B50C48">
        <w:rPr>
          <w:sz w:val="22"/>
          <w:szCs w:val="22"/>
        </w:rPr>
        <w:t>Pre</w:t>
      </w:r>
      <w:r w:rsidRPr="00B50C48">
        <w:rPr>
          <w:sz w:val="22"/>
          <w:szCs w:val="22"/>
        </w:rPr>
        <w:noBreakHyphen/>
        <w:t xml:space="preserve"> and co</w:t>
      </w:r>
      <w:r w:rsidRPr="00B50C48">
        <w:rPr>
          <w:sz w:val="22"/>
          <w:szCs w:val="22"/>
        </w:rPr>
        <w:noBreakHyphen/>
        <w:t>treatment with the proton pump inhibitor omeprazole (40 mg once daily) reduced riociguat mean AUC by 26% and mean C</w:t>
      </w:r>
      <w:r w:rsidRPr="00B50C48">
        <w:rPr>
          <w:sz w:val="22"/>
          <w:szCs w:val="22"/>
          <w:vertAlign w:val="subscript"/>
        </w:rPr>
        <w:t>max</w:t>
      </w:r>
      <w:r w:rsidRPr="00B50C48">
        <w:rPr>
          <w:sz w:val="22"/>
          <w:szCs w:val="22"/>
        </w:rPr>
        <w:t xml:space="preserve"> by 35%. This is not considered clinically relevant.</w:t>
      </w:r>
    </w:p>
    <w:p w:rsidR="007D5332" w:rsidRPr="00B50C48" w:rsidRDefault="007D5332" w:rsidP="006D1809">
      <w:pPr>
        <w:pStyle w:val="BayerBodyTextFull"/>
        <w:spacing w:after="240" w:line="276" w:lineRule="auto"/>
        <w:jc w:val="both"/>
        <w:rPr>
          <w:sz w:val="22"/>
          <w:szCs w:val="22"/>
        </w:rPr>
      </w:pPr>
      <w:r w:rsidRPr="00B50C48">
        <w:rPr>
          <w:sz w:val="22"/>
          <w:szCs w:val="22"/>
        </w:rPr>
        <w:t>Co</w:t>
      </w:r>
      <w:r w:rsidRPr="00B50C48">
        <w:rPr>
          <w:sz w:val="22"/>
          <w:szCs w:val="22"/>
        </w:rPr>
        <w:noBreakHyphen/>
        <w:t>administration of the antacid alumin</w:t>
      </w:r>
      <w:r w:rsidR="006822C6" w:rsidRPr="00B50C48">
        <w:rPr>
          <w:sz w:val="22"/>
          <w:szCs w:val="22"/>
        </w:rPr>
        <w:t>i</w:t>
      </w:r>
      <w:r w:rsidRPr="00B50C48">
        <w:rPr>
          <w:sz w:val="22"/>
          <w:szCs w:val="22"/>
        </w:rPr>
        <w:t xml:space="preserve">um hydroxide / magnesium hydroxide reduced </w:t>
      </w:r>
      <w:r w:rsidRPr="00435EDC">
        <w:rPr>
          <w:sz w:val="22"/>
          <w:szCs w:val="22"/>
        </w:rPr>
        <w:t>riociguat mean AUC by 34% and mean C</w:t>
      </w:r>
      <w:r w:rsidRPr="00435EDC">
        <w:rPr>
          <w:sz w:val="22"/>
          <w:szCs w:val="22"/>
          <w:vertAlign w:val="subscript"/>
        </w:rPr>
        <w:t>max</w:t>
      </w:r>
      <w:r w:rsidRPr="00435EDC">
        <w:rPr>
          <w:sz w:val="22"/>
          <w:szCs w:val="22"/>
        </w:rPr>
        <w:t xml:space="preserve"> by 56% (see </w:t>
      </w:r>
      <w:r w:rsidR="006822C6" w:rsidRPr="00435EDC">
        <w:rPr>
          <w:sz w:val="22"/>
          <w:szCs w:val="22"/>
        </w:rPr>
        <w:t>DOSAGE AND ADMINISTRATION</w:t>
      </w:r>
      <w:r w:rsidRPr="00435EDC">
        <w:rPr>
          <w:i/>
          <w:sz w:val="22"/>
          <w:szCs w:val="22"/>
        </w:rPr>
        <w:t>)</w:t>
      </w:r>
      <w:r w:rsidRPr="00435EDC">
        <w:rPr>
          <w:sz w:val="22"/>
          <w:szCs w:val="22"/>
        </w:rPr>
        <w:t>. Antacids should be taken at least 1 hour after Adempas.</w:t>
      </w:r>
    </w:p>
    <w:p w:rsidR="007D5332" w:rsidRPr="00B50C48" w:rsidRDefault="007D5332" w:rsidP="006D1809">
      <w:pPr>
        <w:pStyle w:val="BayerBodyTextFull"/>
        <w:spacing w:after="240" w:line="276" w:lineRule="auto"/>
        <w:jc w:val="both"/>
        <w:rPr>
          <w:sz w:val="22"/>
          <w:szCs w:val="22"/>
        </w:rPr>
      </w:pPr>
      <w:r w:rsidRPr="00B50C48">
        <w:rPr>
          <w:sz w:val="22"/>
          <w:szCs w:val="22"/>
        </w:rPr>
        <w:lastRenderedPageBreak/>
        <w:t xml:space="preserve">Bosentan, reported to be a moderate inducer of CYP3A4, led to a decrease of riociguat steady-state plasma concentrations in PAH patients by 27% without compromising the efficacy of the combination (see </w:t>
      </w:r>
      <w:r w:rsidR="00DB79D7" w:rsidRPr="00B50C48">
        <w:rPr>
          <w:sz w:val="22"/>
          <w:szCs w:val="22"/>
        </w:rPr>
        <w:t>INDICATIONS and CLINICAL TRIALS</w:t>
      </w:r>
      <w:r w:rsidR="00BE7027">
        <w:rPr>
          <w:sz w:val="22"/>
          <w:szCs w:val="22"/>
        </w:rPr>
        <w:t>, Treatment of Pulmonary Arterial Hypertension</w:t>
      </w:r>
      <w:r w:rsidRPr="00B50C48">
        <w:rPr>
          <w:sz w:val="22"/>
          <w:szCs w:val="22"/>
        </w:rPr>
        <w:t>).</w:t>
      </w:r>
    </w:p>
    <w:p w:rsidR="007D5332" w:rsidRPr="00B50C48" w:rsidRDefault="007D5332" w:rsidP="006D1809">
      <w:pPr>
        <w:pStyle w:val="BayerBodyTextFull"/>
        <w:spacing w:after="240" w:line="276" w:lineRule="auto"/>
        <w:jc w:val="both"/>
        <w:rPr>
          <w:sz w:val="22"/>
          <w:szCs w:val="22"/>
        </w:rPr>
      </w:pPr>
      <w:r w:rsidRPr="00B50C48">
        <w:rPr>
          <w:sz w:val="22"/>
          <w:szCs w:val="22"/>
        </w:rPr>
        <w:t xml:space="preserve">The concomitant use of </w:t>
      </w:r>
      <w:r w:rsidR="00226915">
        <w:rPr>
          <w:sz w:val="22"/>
          <w:szCs w:val="22"/>
        </w:rPr>
        <w:t>Adempas</w:t>
      </w:r>
      <w:r w:rsidR="00226915" w:rsidRPr="00B50C48">
        <w:rPr>
          <w:sz w:val="22"/>
          <w:szCs w:val="22"/>
        </w:rPr>
        <w:t xml:space="preserve"> </w:t>
      </w:r>
      <w:r w:rsidRPr="00B50C48">
        <w:rPr>
          <w:sz w:val="22"/>
          <w:szCs w:val="22"/>
        </w:rPr>
        <w:t>with strong CYP3A4 inducers (e.g. phenytoin, carbamazepine, phenobarbitone or St. John’s Wort) may also lead to decreased riociguat plasma concentration.</w:t>
      </w:r>
    </w:p>
    <w:p w:rsidR="007D5332" w:rsidRPr="00FC033C" w:rsidRDefault="007D5332" w:rsidP="00672AF9">
      <w:pPr>
        <w:jc w:val="both"/>
        <w:rPr>
          <w:sz w:val="22"/>
          <w:szCs w:val="22"/>
          <w:u w:val="single"/>
        </w:rPr>
      </w:pPr>
      <w:r w:rsidRPr="00FC033C">
        <w:rPr>
          <w:sz w:val="22"/>
          <w:szCs w:val="22"/>
          <w:u w:val="single"/>
        </w:rPr>
        <w:t xml:space="preserve">Effects of </w:t>
      </w:r>
      <w:r w:rsidR="00D47723" w:rsidRPr="00FC033C">
        <w:rPr>
          <w:sz w:val="22"/>
          <w:szCs w:val="22"/>
          <w:u w:val="single"/>
        </w:rPr>
        <w:t>Adempas</w:t>
      </w:r>
      <w:r w:rsidR="00FC033C">
        <w:rPr>
          <w:sz w:val="22"/>
          <w:szCs w:val="22"/>
          <w:u w:val="single"/>
        </w:rPr>
        <w:t xml:space="preserve"> on O</w:t>
      </w:r>
      <w:r w:rsidRPr="00FC033C">
        <w:rPr>
          <w:sz w:val="22"/>
          <w:szCs w:val="22"/>
          <w:u w:val="single"/>
        </w:rPr>
        <w:t xml:space="preserve">ther </w:t>
      </w:r>
      <w:r w:rsidR="00FC033C">
        <w:rPr>
          <w:sz w:val="22"/>
          <w:szCs w:val="22"/>
          <w:u w:val="single"/>
        </w:rPr>
        <w:t>S</w:t>
      </w:r>
      <w:r w:rsidRPr="00FC033C">
        <w:rPr>
          <w:sz w:val="22"/>
          <w:szCs w:val="22"/>
          <w:u w:val="single"/>
        </w:rPr>
        <w:t>ubstances</w:t>
      </w:r>
    </w:p>
    <w:p w:rsidR="007D5332" w:rsidRPr="00B50C48" w:rsidRDefault="007D5332" w:rsidP="00D47723">
      <w:pPr>
        <w:pStyle w:val="BayerBodyTextFull"/>
        <w:spacing w:after="240" w:line="276" w:lineRule="auto"/>
        <w:jc w:val="both"/>
        <w:rPr>
          <w:sz w:val="22"/>
          <w:szCs w:val="22"/>
        </w:rPr>
      </w:pPr>
      <w:r w:rsidRPr="00B50C48">
        <w:rPr>
          <w:sz w:val="22"/>
          <w:szCs w:val="22"/>
        </w:rPr>
        <w:t>Riociguat and its main metabolite are neither inhibitors nor inducers of major CYP isoforms (including CYP3A4) or transporters (e.g. P</w:t>
      </w:r>
      <w:r w:rsidRPr="00B50C48">
        <w:rPr>
          <w:sz w:val="22"/>
          <w:szCs w:val="22"/>
        </w:rPr>
        <w:noBreakHyphen/>
        <w:t xml:space="preserve">gp/BCRP) </w:t>
      </w:r>
      <w:r w:rsidRPr="00D47723">
        <w:rPr>
          <w:i/>
          <w:sz w:val="22"/>
          <w:szCs w:val="22"/>
        </w:rPr>
        <w:t>in vitro</w:t>
      </w:r>
      <w:r w:rsidRPr="00B50C48">
        <w:rPr>
          <w:sz w:val="22"/>
          <w:szCs w:val="22"/>
        </w:rPr>
        <w:t xml:space="preserve"> at therapeutic plasma concentrations.</w:t>
      </w:r>
    </w:p>
    <w:p w:rsidR="007D5332" w:rsidRPr="00B50C48" w:rsidRDefault="007D5332" w:rsidP="00D47723">
      <w:pPr>
        <w:pStyle w:val="BayerBodyTextFull"/>
        <w:spacing w:after="240" w:line="276" w:lineRule="auto"/>
        <w:jc w:val="both"/>
        <w:rPr>
          <w:sz w:val="22"/>
          <w:szCs w:val="22"/>
        </w:rPr>
      </w:pPr>
      <w:r w:rsidRPr="005B143E">
        <w:rPr>
          <w:sz w:val="22"/>
          <w:szCs w:val="22"/>
        </w:rPr>
        <w:t>Lack of mutual pharmacokinetic interactions between riociguat and</w:t>
      </w:r>
      <w:r w:rsidRPr="00F540C0">
        <w:rPr>
          <w:sz w:val="22"/>
          <w:szCs w:val="22"/>
        </w:rPr>
        <w:t xml:space="preserve"> the CYP3A4 probe substrate</w:t>
      </w:r>
      <w:r w:rsidRPr="00B50C48">
        <w:rPr>
          <w:sz w:val="22"/>
          <w:szCs w:val="22"/>
        </w:rPr>
        <w:t xml:space="preserve"> midazolam was demonstrated </w:t>
      </w:r>
      <w:r w:rsidRPr="00D47723">
        <w:rPr>
          <w:i/>
          <w:sz w:val="22"/>
          <w:szCs w:val="22"/>
        </w:rPr>
        <w:t>in vivo</w:t>
      </w:r>
      <w:r w:rsidRPr="00B50C48">
        <w:rPr>
          <w:sz w:val="22"/>
          <w:szCs w:val="22"/>
        </w:rPr>
        <w:t>.</w:t>
      </w:r>
    </w:p>
    <w:p w:rsidR="007D5332" w:rsidRPr="00B50C48" w:rsidRDefault="007D5332" w:rsidP="00D47723">
      <w:pPr>
        <w:pStyle w:val="BayerBodyTextFull"/>
        <w:spacing w:after="240" w:line="276" w:lineRule="auto"/>
        <w:jc w:val="both"/>
        <w:rPr>
          <w:sz w:val="22"/>
          <w:szCs w:val="22"/>
        </w:rPr>
      </w:pPr>
      <w:r w:rsidRPr="00B50C48">
        <w:rPr>
          <w:sz w:val="22"/>
          <w:szCs w:val="22"/>
        </w:rPr>
        <w:t xml:space="preserve">Riociguat and its main metabolite revealed to be strong inhibitors of CYP1A1 </w:t>
      </w:r>
      <w:r w:rsidRPr="00D47723">
        <w:rPr>
          <w:i/>
          <w:sz w:val="22"/>
          <w:szCs w:val="22"/>
        </w:rPr>
        <w:t>in vitro</w:t>
      </w:r>
      <w:r w:rsidRPr="00B50C48">
        <w:rPr>
          <w:sz w:val="22"/>
          <w:szCs w:val="22"/>
        </w:rPr>
        <w:t>. Therefore, clinically relevant drug</w:t>
      </w:r>
      <w:r w:rsidRPr="00B50C48">
        <w:rPr>
          <w:sz w:val="22"/>
          <w:szCs w:val="22"/>
        </w:rPr>
        <w:noBreakHyphen/>
        <w:t>drug interactions with co-medications which are significantly cleared by CYP1A1</w:t>
      </w:r>
      <w:r w:rsidRPr="00B50C48">
        <w:rPr>
          <w:sz w:val="22"/>
          <w:szCs w:val="22"/>
        </w:rPr>
        <w:noBreakHyphen/>
        <w:t>mediated biotransformation, such as erlotinib or granisetron, cannot be ruled out.</w:t>
      </w:r>
    </w:p>
    <w:p w:rsidR="00881AFD" w:rsidRPr="00B50C48" w:rsidRDefault="00881AFD" w:rsidP="00F778A2">
      <w:pPr>
        <w:pStyle w:val="Heading2"/>
        <w:numPr>
          <w:ilvl w:val="0"/>
          <w:numId w:val="0"/>
        </w:numPr>
        <w:spacing w:before="120" w:after="240" w:line="276" w:lineRule="auto"/>
        <w:rPr>
          <w:sz w:val="22"/>
        </w:rPr>
      </w:pPr>
      <w:r w:rsidRPr="00B50C48">
        <w:rPr>
          <w:sz w:val="22"/>
        </w:rPr>
        <w:t>Pharmacodynamic Interactions</w:t>
      </w:r>
    </w:p>
    <w:p w:rsidR="00B9054C" w:rsidRPr="00FC033C" w:rsidRDefault="00B9054C" w:rsidP="00F778A2">
      <w:pPr>
        <w:pStyle w:val="BayerBodyTextFull"/>
        <w:spacing w:after="240" w:line="276" w:lineRule="auto"/>
        <w:jc w:val="both"/>
        <w:rPr>
          <w:sz w:val="22"/>
          <w:u w:val="single"/>
        </w:rPr>
      </w:pPr>
      <w:r w:rsidRPr="00FC033C">
        <w:rPr>
          <w:sz w:val="22"/>
          <w:u w:val="single"/>
        </w:rPr>
        <w:t>Nitrates</w:t>
      </w:r>
    </w:p>
    <w:p w:rsidR="00B9054C" w:rsidRPr="00B50C48" w:rsidRDefault="00B9054C" w:rsidP="00F778A2">
      <w:pPr>
        <w:pStyle w:val="BayerBodyTextFull"/>
        <w:spacing w:after="240" w:line="276" w:lineRule="auto"/>
        <w:jc w:val="both"/>
        <w:rPr>
          <w:sz w:val="22"/>
        </w:rPr>
      </w:pPr>
      <w:r w:rsidRPr="00B50C48">
        <w:rPr>
          <w:bCs/>
          <w:sz w:val="22"/>
        </w:rPr>
        <w:t>Adempas</w:t>
      </w:r>
      <w:r w:rsidRPr="00B50C48">
        <w:rPr>
          <w:sz w:val="22"/>
        </w:rPr>
        <w:t xml:space="preserve"> 2.5 mg tablets potentiated the blood pressure lowering effect of sublingual nitroglycerin (0.4 mg) taken 4 and 8 hours after </w:t>
      </w:r>
      <w:r w:rsidR="00D47723">
        <w:rPr>
          <w:sz w:val="22"/>
        </w:rPr>
        <w:t>Adempas</w:t>
      </w:r>
      <w:r w:rsidRPr="00B50C48">
        <w:rPr>
          <w:sz w:val="22"/>
        </w:rPr>
        <w:t>. Therefore co</w:t>
      </w:r>
      <w:r w:rsidRPr="00B50C48">
        <w:rPr>
          <w:sz w:val="22"/>
        </w:rPr>
        <w:noBreakHyphen/>
        <w:t>administration of Adempas with nitrates or nitric oxide donors (such as amyl nitrite) in any form is contraindicated</w:t>
      </w:r>
      <w:r w:rsidRPr="00B50C48">
        <w:rPr>
          <w:i/>
          <w:sz w:val="22"/>
        </w:rPr>
        <w:t xml:space="preserve"> </w:t>
      </w:r>
      <w:r w:rsidRPr="00B50C48">
        <w:rPr>
          <w:sz w:val="22"/>
        </w:rPr>
        <w:t xml:space="preserve">(see </w:t>
      </w:r>
      <w:r w:rsidR="00103427" w:rsidRPr="00B50C48">
        <w:rPr>
          <w:sz w:val="22"/>
        </w:rPr>
        <w:t>CONTRAINDICATIONS</w:t>
      </w:r>
      <w:r w:rsidRPr="00B50C48">
        <w:rPr>
          <w:sz w:val="22"/>
        </w:rPr>
        <w:t>).</w:t>
      </w:r>
    </w:p>
    <w:p w:rsidR="00B9054C" w:rsidRPr="00FC033C" w:rsidRDefault="00B9054C" w:rsidP="00F778A2">
      <w:pPr>
        <w:pStyle w:val="BayerBodyTextFull"/>
        <w:spacing w:after="240" w:line="276" w:lineRule="auto"/>
        <w:jc w:val="both"/>
        <w:rPr>
          <w:sz w:val="22"/>
          <w:u w:val="single"/>
        </w:rPr>
      </w:pPr>
      <w:r w:rsidRPr="00FC033C">
        <w:rPr>
          <w:sz w:val="22"/>
          <w:u w:val="single"/>
        </w:rPr>
        <w:t>PDE</w:t>
      </w:r>
      <w:r w:rsidR="00B06D16">
        <w:rPr>
          <w:sz w:val="22"/>
          <w:u w:val="single"/>
        </w:rPr>
        <w:t xml:space="preserve"> </w:t>
      </w:r>
      <w:r w:rsidRPr="00FC033C">
        <w:rPr>
          <w:sz w:val="22"/>
          <w:u w:val="single"/>
        </w:rPr>
        <w:t>inhibitors</w:t>
      </w:r>
    </w:p>
    <w:p w:rsidR="002950AD" w:rsidRPr="00B50C48" w:rsidRDefault="002950AD" w:rsidP="002950AD">
      <w:pPr>
        <w:spacing w:before="120" w:after="240" w:line="276" w:lineRule="auto"/>
        <w:jc w:val="both"/>
        <w:rPr>
          <w:noProof/>
          <w:sz w:val="22"/>
        </w:rPr>
      </w:pPr>
      <w:r w:rsidRPr="00B50C48">
        <w:rPr>
          <w:noProof/>
          <w:sz w:val="22"/>
        </w:rPr>
        <w:t>Riociguat and PDE</w:t>
      </w:r>
      <w:r w:rsidRPr="00B50C48">
        <w:rPr>
          <w:noProof/>
          <w:sz w:val="22"/>
        </w:rPr>
        <w:noBreakHyphen/>
        <w:t>5</w:t>
      </w:r>
      <w:r w:rsidRPr="00B50C48">
        <w:rPr>
          <w:noProof/>
          <w:sz w:val="22"/>
        </w:rPr>
        <w:noBreakHyphen/>
        <w:t>inhibitors are modulators of intra</w:t>
      </w:r>
      <w:r w:rsidRPr="00B50C48">
        <w:rPr>
          <w:noProof/>
          <w:sz w:val="22"/>
        </w:rPr>
        <w:noBreakHyphen/>
        <w:t xml:space="preserve">cellular cGMP through different modes of action, but both act as vasodilators clinically. When cGMP is elevated by combining both principles, an additive effect on systemic blood pressure </w:t>
      </w:r>
      <w:r w:rsidR="00490DD7">
        <w:rPr>
          <w:noProof/>
          <w:sz w:val="22"/>
        </w:rPr>
        <w:t xml:space="preserve">is </w:t>
      </w:r>
      <w:r w:rsidRPr="00B50C48">
        <w:rPr>
          <w:noProof/>
          <w:sz w:val="22"/>
        </w:rPr>
        <w:t>anticipated</w:t>
      </w:r>
      <w:r w:rsidR="00490DD7">
        <w:rPr>
          <w:noProof/>
          <w:sz w:val="22"/>
        </w:rPr>
        <w:t xml:space="preserve"> (see CONTRAINDICATIONS)</w:t>
      </w:r>
      <w:r w:rsidRPr="00B50C48">
        <w:rPr>
          <w:noProof/>
          <w:sz w:val="22"/>
        </w:rPr>
        <w:t>.</w:t>
      </w:r>
    </w:p>
    <w:p w:rsidR="00B9054C" w:rsidRDefault="00B9054C" w:rsidP="00F778A2">
      <w:pPr>
        <w:pStyle w:val="BayerBodyTextFull"/>
        <w:spacing w:after="240" w:line="276" w:lineRule="auto"/>
        <w:jc w:val="both"/>
        <w:rPr>
          <w:sz w:val="22"/>
        </w:rPr>
      </w:pPr>
      <w:r w:rsidRPr="00B50C48">
        <w:rPr>
          <w:sz w:val="22"/>
        </w:rPr>
        <w:t>Preclinical studies in animal models showed additive systemic blood pressure lowering effect when riociguat was combined with either sildenafil or vardenafil. With increased doses, over additive effects on systemic blood pressure were observed in some cases.</w:t>
      </w:r>
    </w:p>
    <w:p w:rsidR="002950AD" w:rsidRPr="00B50C48" w:rsidRDefault="002950AD" w:rsidP="002950AD">
      <w:pPr>
        <w:pStyle w:val="BayerBodyTextFull"/>
        <w:spacing w:after="240" w:line="276" w:lineRule="auto"/>
        <w:jc w:val="both"/>
        <w:rPr>
          <w:noProof/>
          <w:sz w:val="22"/>
        </w:rPr>
      </w:pPr>
      <w:r w:rsidRPr="00B50C48">
        <w:rPr>
          <w:noProof/>
          <w:sz w:val="22"/>
        </w:rPr>
        <w:t xml:space="preserve">In some patients, concomitant use of these two </w:t>
      </w:r>
      <w:r>
        <w:rPr>
          <w:noProof/>
          <w:sz w:val="22"/>
        </w:rPr>
        <w:t>medicine</w:t>
      </w:r>
      <w:r w:rsidRPr="00B50C48">
        <w:rPr>
          <w:noProof/>
          <w:sz w:val="22"/>
        </w:rPr>
        <w:t xml:space="preserve"> classes can lower blood pressure significantly leading to symptomatic hypotension (see </w:t>
      </w:r>
      <w:r>
        <w:rPr>
          <w:noProof/>
          <w:sz w:val="22"/>
        </w:rPr>
        <w:t>CONTRAINDICATIONS)</w:t>
      </w:r>
      <w:r w:rsidRPr="00B50C48">
        <w:rPr>
          <w:noProof/>
          <w:sz w:val="22"/>
        </w:rPr>
        <w:t>.</w:t>
      </w:r>
    </w:p>
    <w:p w:rsidR="00B9054C" w:rsidRPr="00B50C48" w:rsidRDefault="00B9054C" w:rsidP="00F778A2">
      <w:pPr>
        <w:pStyle w:val="BayerBodyTextFull"/>
        <w:spacing w:after="240" w:line="276" w:lineRule="auto"/>
        <w:jc w:val="both"/>
        <w:rPr>
          <w:sz w:val="22"/>
        </w:rPr>
      </w:pPr>
      <w:r w:rsidRPr="00B50C48">
        <w:rPr>
          <w:sz w:val="22"/>
        </w:rPr>
        <w:t xml:space="preserve">In an exploratory interaction study in 7 patients with PAH on stable sildenafil treatment (20 mg three times daily) </w:t>
      </w:r>
      <w:r w:rsidR="0084079E">
        <w:rPr>
          <w:sz w:val="22"/>
        </w:rPr>
        <w:t xml:space="preserve">and </w:t>
      </w:r>
      <w:r w:rsidRPr="00B50C48">
        <w:rPr>
          <w:sz w:val="22"/>
        </w:rPr>
        <w:t>single doses of riociguat (0.5 mg and 1 mg sequentially) showed additive h</w:t>
      </w:r>
      <w:r w:rsidR="000D3E83" w:rsidRPr="00B50C48">
        <w:rPr>
          <w:sz w:val="22"/>
        </w:rPr>
        <w:t>a</w:t>
      </w:r>
      <w:r w:rsidRPr="00B50C48">
        <w:rPr>
          <w:sz w:val="22"/>
        </w:rPr>
        <w:t>emodynamic effects. Doses above 1 mg riociguat were not investigated in this study.</w:t>
      </w:r>
    </w:p>
    <w:p w:rsidR="00B9054C" w:rsidRPr="00B50C48" w:rsidRDefault="00B9054C" w:rsidP="00F778A2">
      <w:pPr>
        <w:pStyle w:val="BayerBodyTextFull"/>
        <w:spacing w:after="240" w:line="276" w:lineRule="auto"/>
        <w:jc w:val="both"/>
        <w:rPr>
          <w:sz w:val="22"/>
        </w:rPr>
      </w:pPr>
      <w:r w:rsidRPr="00B50C48">
        <w:rPr>
          <w:sz w:val="22"/>
        </w:rPr>
        <w:lastRenderedPageBreak/>
        <w:t>A 12 week combination study in 18 patients with PAH on stable sildenafil treatment (20 mg three times daily) and riociguat (1.0 mg</w:t>
      </w:r>
      <w:r w:rsidR="00E4481A" w:rsidRPr="00B50C48">
        <w:rPr>
          <w:sz w:val="22"/>
        </w:rPr>
        <w:t xml:space="preserve"> – 2.5 mg </w:t>
      </w:r>
      <w:r w:rsidRPr="00B50C48">
        <w:rPr>
          <w:sz w:val="22"/>
        </w:rPr>
        <w:t>three times daily) compared to sildenafil alone was performed. In th</w:t>
      </w:r>
      <w:r w:rsidR="006968B2" w:rsidRPr="00B50C48">
        <w:rPr>
          <w:sz w:val="22"/>
        </w:rPr>
        <w:t>e long term extension part (non-</w:t>
      </w:r>
      <w:r w:rsidRPr="00B50C48">
        <w:rPr>
          <w:sz w:val="22"/>
        </w:rPr>
        <w:t>controlled) the concomitant use of sildenafil and riociguat resulted in a high rate of discontinuation, predominately due to hypotension. There was no evidence of a favo</w:t>
      </w:r>
      <w:r w:rsidR="000C215B" w:rsidRPr="00B50C48">
        <w:rPr>
          <w:sz w:val="22"/>
        </w:rPr>
        <w:t>u</w:t>
      </w:r>
      <w:r w:rsidRPr="00B50C48">
        <w:rPr>
          <w:sz w:val="22"/>
        </w:rPr>
        <w:t>rable clinical effect of the combination in the population studied.</w:t>
      </w:r>
    </w:p>
    <w:p w:rsidR="00B9054C" w:rsidRPr="00B50C48" w:rsidRDefault="00B9054C" w:rsidP="00F778A2">
      <w:pPr>
        <w:pStyle w:val="BayerBodyTextFull"/>
        <w:spacing w:after="240" w:line="276" w:lineRule="auto"/>
        <w:jc w:val="both"/>
        <w:rPr>
          <w:sz w:val="22"/>
        </w:rPr>
      </w:pPr>
      <w:r w:rsidRPr="00B50C48">
        <w:rPr>
          <w:sz w:val="22"/>
        </w:rPr>
        <w:t xml:space="preserve">Concomitant administration of </w:t>
      </w:r>
      <w:r w:rsidR="00FC6367">
        <w:rPr>
          <w:sz w:val="22"/>
        </w:rPr>
        <w:t>Adempas</w:t>
      </w:r>
      <w:r w:rsidR="00FC6367" w:rsidRPr="00B50C48">
        <w:rPr>
          <w:sz w:val="22"/>
        </w:rPr>
        <w:t xml:space="preserve"> </w:t>
      </w:r>
      <w:r w:rsidRPr="00B50C48">
        <w:rPr>
          <w:sz w:val="22"/>
        </w:rPr>
        <w:t>with PDE</w:t>
      </w:r>
      <w:r w:rsidRPr="00B50C48">
        <w:rPr>
          <w:sz w:val="22"/>
        </w:rPr>
        <w:noBreakHyphen/>
        <w:t>5</w:t>
      </w:r>
      <w:r w:rsidRPr="00B50C48">
        <w:rPr>
          <w:sz w:val="22"/>
        </w:rPr>
        <w:noBreakHyphen/>
        <w:t xml:space="preserve">inhibitors (such as sildenafil, tadalafil, vardenafil) </w:t>
      </w:r>
      <w:r w:rsidR="004938B1">
        <w:rPr>
          <w:sz w:val="22"/>
        </w:rPr>
        <w:t xml:space="preserve">or non-specific PDE inhibitors (such as dypyridamole or theophylline) </w:t>
      </w:r>
      <w:r w:rsidR="008F0BF8">
        <w:rPr>
          <w:sz w:val="22"/>
        </w:rPr>
        <w:t xml:space="preserve">is contraindicated </w:t>
      </w:r>
      <w:r w:rsidRPr="00B50C48">
        <w:rPr>
          <w:sz w:val="22"/>
        </w:rPr>
        <w:t xml:space="preserve">(see </w:t>
      </w:r>
      <w:r w:rsidR="008F0BF8">
        <w:rPr>
          <w:sz w:val="22"/>
        </w:rPr>
        <w:t>CONTRAINDICATIONS</w:t>
      </w:r>
      <w:r w:rsidRPr="00B50C48">
        <w:rPr>
          <w:sz w:val="22"/>
        </w:rPr>
        <w:t>).</w:t>
      </w:r>
    </w:p>
    <w:p w:rsidR="00B9054C" w:rsidRPr="00FC033C" w:rsidRDefault="00B9054C" w:rsidP="00F778A2">
      <w:pPr>
        <w:pStyle w:val="BayerBodyTextFull"/>
        <w:spacing w:after="240" w:line="276" w:lineRule="auto"/>
        <w:jc w:val="both"/>
        <w:rPr>
          <w:sz w:val="22"/>
          <w:u w:val="single"/>
        </w:rPr>
      </w:pPr>
      <w:r w:rsidRPr="00FC033C">
        <w:rPr>
          <w:sz w:val="22"/>
          <w:u w:val="single"/>
        </w:rPr>
        <w:t>Warfarin</w:t>
      </w:r>
      <w:r w:rsidR="0031088D" w:rsidRPr="00FC033C">
        <w:rPr>
          <w:sz w:val="22"/>
          <w:u w:val="single"/>
        </w:rPr>
        <w:t xml:space="preserve"> </w:t>
      </w:r>
      <w:r w:rsidRPr="00FC033C">
        <w:rPr>
          <w:sz w:val="22"/>
          <w:u w:val="single"/>
        </w:rPr>
        <w:t>/</w:t>
      </w:r>
      <w:r w:rsidR="0031088D" w:rsidRPr="00FC033C">
        <w:rPr>
          <w:sz w:val="22"/>
          <w:u w:val="single"/>
        </w:rPr>
        <w:t xml:space="preserve"> </w:t>
      </w:r>
      <w:r w:rsidRPr="00FC033C">
        <w:rPr>
          <w:sz w:val="22"/>
          <w:u w:val="single"/>
        </w:rPr>
        <w:t>Phenprocoumon</w:t>
      </w:r>
    </w:p>
    <w:p w:rsidR="00B9054C" w:rsidRPr="00B50C48" w:rsidRDefault="00B9054C" w:rsidP="00F778A2">
      <w:pPr>
        <w:pStyle w:val="BayerBodyTextFull"/>
        <w:spacing w:after="240" w:line="276" w:lineRule="auto"/>
        <w:jc w:val="both"/>
        <w:rPr>
          <w:sz w:val="22"/>
        </w:rPr>
      </w:pPr>
      <w:r w:rsidRPr="00B50C48">
        <w:rPr>
          <w:sz w:val="22"/>
        </w:rPr>
        <w:t xml:space="preserve">Concomitant treatment of riociguat and warfarin did not alter prothrombin time induced by the anticoagulant. The concomitant use of </w:t>
      </w:r>
      <w:r w:rsidR="00FC6367">
        <w:rPr>
          <w:sz w:val="22"/>
        </w:rPr>
        <w:t>Adempas</w:t>
      </w:r>
      <w:r w:rsidR="00FC6367" w:rsidRPr="00B50C48">
        <w:rPr>
          <w:sz w:val="22"/>
        </w:rPr>
        <w:t xml:space="preserve"> </w:t>
      </w:r>
      <w:r w:rsidRPr="00B50C48">
        <w:rPr>
          <w:sz w:val="22"/>
        </w:rPr>
        <w:t>with other coumarin-derivates (e.g. phenprocoumon) is also not expected to alter prothrombin time.</w:t>
      </w:r>
    </w:p>
    <w:p w:rsidR="00B9054C" w:rsidRPr="00B50C48" w:rsidRDefault="00B9054C" w:rsidP="00F778A2">
      <w:pPr>
        <w:pStyle w:val="BayerBodyTextFull"/>
        <w:spacing w:after="240" w:line="276" w:lineRule="auto"/>
        <w:jc w:val="both"/>
        <w:rPr>
          <w:sz w:val="22"/>
        </w:rPr>
      </w:pPr>
      <w:r w:rsidRPr="00B50C48">
        <w:rPr>
          <w:sz w:val="22"/>
        </w:rPr>
        <w:t xml:space="preserve">Lack of mutual pharmacokinetic interactions between riociguat and the CYP2C9 substrate warfarin was demonstrated </w:t>
      </w:r>
      <w:r w:rsidRPr="00B50C48">
        <w:rPr>
          <w:i/>
          <w:sz w:val="22"/>
        </w:rPr>
        <w:t>in vivo</w:t>
      </w:r>
      <w:r w:rsidRPr="00B50C48">
        <w:rPr>
          <w:sz w:val="22"/>
        </w:rPr>
        <w:t>.</w:t>
      </w:r>
    </w:p>
    <w:p w:rsidR="00B9054C" w:rsidRPr="00FC033C" w:rsidRDefault="00B9054C" w:rsidP="00F778A2">
      <w:pPr>
        <w:pStyle w:val="BayerBodyTextFull"/>
        <w:keepNext/>
        <w:keepLines/>
        <w:spacing w:after="240" w:line="276" w:lineRule="auto"/>
        <w:jc w:val="both"/>
        <w:rPr>
          <w:sz w:val="22"/>
          <w:u w:val="single"/>
        </w:rPr>
      </w:pPr>
      <w:r w:rsidRPr="00FC033C">
        <w:rPr>
          <w:sz w:val="22"/>
          <w:u w:val="single"/>
        </w:rPr>
        <w:t xml:space="preserve">Acetylsalicylic </w:t>
      </w:r>
      <w:r w:rsidR="00FC033C">
        <w:rPr>
          <w:sz w:val="22"/>
          <w:u w:val="single"/>
        </w:rPr>
        <w:t>A</w:t>
      </w:r>
      <w:r w:rsidRPr="00FC033C">
        <w:rPr>
          <w:sz w:val="22"/>
          <w:u w:val="single"/>
        </w:rPr>
        <w:t>cid</w:t>
      </w:r>
    </w:p>
    <w:p w:rsidR="00B9054C" w:rsidRPr="00B50C48" w:rsidRDefault="00FC6367" w:rsidP="00F778A2">
      <w:pPr>
        <w:pStyle w:val="BayerBodyTextFull"/>
        <w:keepNext/>
        <w:keepLines/>
        <w:spacing w:after="240" w:line="276" w:lineRule="auto"/>
        <w:jc w:val="both"/>
        <w:rPr>
          <w:sz w:val="22"/>
        </w:rPr>
      </w:pPr>
      <w:r>
        <w:rPr>
          <w:sz w:val="22"/>
        </w:rPr>
        <w:t>Adempas</w:t>
      </w:r>
      <w:r w:rsidRPr="00B50C48">
        <w:rPr>
          <w:sz w:val="22"/>
        </w:rPr>
        <w:t xml:space="preserve"> </w:t>
      </w:r>
      <w:r w:rsidR="00B9054C" w:rsidRPr="00B50C48">
        <w:rPr>
          <w:sz w:val="22"/>
        </w:rPr>
        <w:t>neither potentiate</w:t>
      </w:r>
      <w:r>
        <w:rPr>
          <w:sz w:val="22"/>
        </w:rPr>
        <w:t>d</w:t>
      </w:r>
      <w:r w:rsidR="00B9054C" w:rsidRPr="00B50C48">
        <w:rPr>
          <w:sz w:val="22"/>
        </w:rPr>
        <w:t xml:space="preserve"> the bleeding time caused by acetylsalicylic acid nor affect</w:t>
      </w:r>
      <w:r>
        <w:rPr>
          <w:sz w:val="22"/>
        </w:rPr>
        <w:t>ed</w:t>
      </w:r>
      <w:r w:rsidR="00B9054C" w:rsidRPr="00B50C48">
        <w:rPr>
          <w:sz w:val="22"/>
        </w:rPr>
        <w:t xml:space="preserve"> the platelet aggregation in humans.</w:t>
      </w:r>
    </w:p>
    <w:p w:rsidR="005E1570" w:rsidRPr="00B50C48" w:rsidRDefault="005E1570" w:rsidP="009421D5">
      <w:pPr>
        <w:pStyle w:val="Heading1"/>
        <w:numPr>
          <w:ilvl w:val="0"/>
          <w:numId w:val="0"/>
        </w:numPr>
        <w:jc w:val="both"/>
        <w:rPr>
          <w:sz w:val="24"/>
          <w:lang w:eastAsia="zh-CN"/>
        </w:rPr>
      </w:pPr>
      <w:r w:rsidRPr="00B50C48">
        <w:rPr>
          <w:sz w:val="24"/>
          <w:lang w:eastAsia="zh-CN"/>
        </w:rPr>
        <w:t>ADVERSE EFFECTS</w:t>
      </w:r>
    </w:p>
    <w:p w:rsidR="005A6462" w:rsidRPr="00B50C48" w:rsidRDefault="005A6462" w:rsidP="003D5F11">
      <w:pPr>
        <w:pStyle w:val="BayerBodyTextFull"/>
        <w:spacing w:after="240" w:line="276" w:lineRule="auto"/>
        <w:jc w:val="both"/>
        <w:rPr>
          <w:sz w:val="22"/>
        </w:rPr>
      </w:pPr>
      <w:r w:rsidRPr="00B50C48">
        <w:rPr>
          <w:sz w:val="22"/>
        </w:rPr>
        <w:t xml:space="preserve">The safety of Adempas has been evaluated in Phase III trials of more than 650 patients with CTEPH or PAH receiving at least one dose of riociguat </w:t>
      </w:r>
      <w:r w:rsidR="00377B8C" w:rsidRPr="00B50C48">
        <w:rPr>
          <w:sz w:val="22"/>
          <w:szCs w:val="22"/>
        </w:rPr>
        <w:t xml:space="preserve">(see </w:t>
      </w:r>
      <w:r w:rsidR="00FC6367">
        <w:rPr>
          <w:sz w:val="22"/>
          <w:szCs w:val="22"/>
        </w:rPr>
        <w:t>CLINICAL TRIALS</w:t>
      </w:r>
      <w:r w:rsidR="00377B8C" w:rsidRPr="00B50C48">
        <w:rPr>
          <w:sz w:val="22"/>
          <w:szCs w:val="22"/>
        </w:rPr>
        <w:t>)</w:t>
      </w:r>
      <w:r w:rsidRPr="00B50C48">
        <w:rPr>
          <w:sz w:val="22"/>
        </w:rPr>
        <w:t>.</w:t>
      </w:r>
    </w:p>
    <w:p w:rsidR="00F9272A" w:rsidRDefault="005A6462" w:rsidP="003D5F11">
      <w:pPr>
        <w:pStyle w:val="BayerBodyTextFull"/>
        <w:spacing w:after="240" w:line="276" w:lineRule="auto"/>
        <w:jc w:val="both"/>
        <w:rPr>
          <w:sz w:val="22"/>
          <w:szCs w:val="22"/>
        </w:rPr>
      </w:pPr>
      <w:r w:rsidRPr="00B50C48">
        <w:rPr>
          <w:sz w:val="22"/>
        </w:rPr>
        <w:t xml:space="preserve">The safety profile of Adempas in </w:t>
      </w:r>
      <w:r w:rsidR="00FC6367">
        <w:rPr>
          <w:sz w:val="22"/>
        </w:rPr>
        <w:t>CTEPH and PAH</w:t>
      </w:r>
      <w:r w:rsidRPr="00B50C48">
        <w:rPr>
          <w:sz w:val="22"/>
        </w:rPr>
        <w:t xml:space="preserve"> appeared to be similar, therefore adverse drug reactions (ADRs) identified from placebo controlled 12 and 16 </w:t>
      </w:r>
      <w:r w:rsidR="00FC6367">
        <w:rPr>
          <w:sz w:val="22"/>
        </w:rPr>
        <w:t>week</w:t>
      </w:r>
      <w:r w:rsidR="00FC6367" w:rsidRPr="00B50C48">
        <w:rPr>
          <w:sz w:val="22"/>
        </w:rPr>
        <w:t xml:space="preserve"> </w:t>
      </w:r>
      <w:r w:rsidRPr="00B50C48">
        <w:rPr>
          <w:sz w:val="22"/>
        </w:rPr>
        <w:t xml:space="preserve">clinical trials are presented as pooled frequency in the table </w:t>
      </w:r>
      <w:r w:rsidRPr="00B50C48">
        <w:rPr>
          <w:sz w:val="22"/>
          <w:szCs w:val="22"/>
        </w:rPr>
        <w:t>listed below (see</w:t>
      </w:r>
      <w:r w:rsidR="0084079E">
        <w:rPr>
          <w:sz w:val="22"/>
          <w:szCs w:val="22"/>
        </w:rPr>
        <w:t xml:space="preserve"> </w:t>
      </w:r>
      <w:r w:rsidR="0084079E" w:rsidRPr="0084079E">
        <w:rPr>
          <w:sz w:val="22"/>
          <w:szCs w:val="22"/>
        </w:rPr>
        <w:fldChar w:fldCharType="begin"/>
      </w:r>
      <w:r w:rsidR="0084079E" w:rsidRPr="0084079E">
        <w:rPr>
          <w:sz w:val="22"/>
          <w:szCs w:val="22"/>
        </w:rPr>
        <w:instrText xml:space="preserve"> REF _Ref377128640 </w:instrText>
      </w:r>
      <w:r w:rsidR="0084079E">
        <w:rPr>
          <w:sz w:val="22"/>
          <w:szCs w:val="22"/>
        </w:rPr>
        <w:instrText xml:space="preserve"> \* MERGEFORMAT </w:instrText>
      </w:r>
      <w:r w:rsidR="0084079E" w:rsidRPr="0084079E">
        <w:rPr>
          <w:sz w:val="22"/>
          <w:szCs w:val="22"/>
        </w:rPr>
        <w:fldChar w:fldCharType="separate"/>
      </w:r>
      <w:r w:rsidR="0084079E" w:rsidRPr="0084079E">
        <w:rPr>
          <w:sz w:val="22"/>
          <w:szCs w:val="22"/>
        </w:rPr>
        <w:t xml:space="preserve">Table </w:t>
      </w:r>
      <w:r w:rsidR="0084079E" w:rsidRPr="0084079E">
        <w:rPr>
          <w:noProof/>
          <w:sz w:val="22"/>
          <w:szCs w:val="22"/>
        </w:rPr>
        <w:t>10</w:t>
      </w:r>
      <w:r w:rsidR="0084079E" w:rsidRPr="0084079E">
        <w:rPr>
          <w:sz w:val="22"/>
          <w:szCs w:val="22"/>
        </w:rPr>
        <w:fldChar w:fldCharType="end"/>
      </w:r>
      <w:r w:rsidRPr="00B50C48">
        <w:rPr>
          <w:sz w:val="22"/>
          <w:szCs w:val="22"/>
        </w:rPr>
        <w:t>).</w:t>
      </w:r>
    </w:p>
    <w:p w:rsidR="005A6462" w:rsidRPr="00B50C48" w:rsidRDefault="005A6462" w:rsidP="003D5F11">
      <w:pPr>
        <w:pStyle w:val="BayerBodyTextFull"/>
        <w:spacing w:after="240" w:line="276" w:lineRule="auto"/>
        <w:jc w:val="both"/>
        <w:rPr>
          <w:sz w:val="22"/>
        </w:rPr>
      </w:pPr>
      <w:r w:rsidRPr="00B50C48">
        <w:rPr>
          <w:sz w:val="22"/>
        </w:rPr>
        <w:t xml:space="preserve">Most of the undesirable effects are caused by relaxation of smooth muscle cells in </w:t>
      </w:r>
      <w:r w:rsidR="00485DFE" w:rsidRPr="00B50C48">
        <w:rPr>
          <w:sz w:val="22"/>
        </w:rPr>
        <w:t xml:space="preserve">the </w:t>
      </w:r>
      <w:r w:rsidRPr="00B50C48">
        <w:rPr>
          <w:sz w:val="22"/>
        </w:rPr>
        <w:t>vasculature or gastrointestinal tract.</w:t>
      </w:r>
    </w:p>
    <w:p w:rsidR="005A6462" w:rsidRPr="00B50C48" w:rsidRDefault="005A6462" w:rsidP="003D5F11">
      <w:pPr>
        <w:pStyle w:val="BayerBodyTextFull"/>
        <w:spacing w:after="240" w:line="276" w:lineRule="auto"/>
        <w:jc w:val="both"/>
        <w:rPr>
          <w:sz w:val="22"/>
        </w:rPr>
      </w:pPr>
      <w:r w:rsidRPr="00B50C48">
        <w:rPr>
          <w:sz w:val="22"/>
        </w:rPr>
        <w:t>The most commonly reported adverse reactions, occurring in ≥</w:t>
      </w:r>
      <w:r w:rsidR="00250392" w:rsidRPr="00B50C48">
        <w:rPr>
          <w:sz w:val="22"/>
        </w:rPr>
        <w:t xml:space="preserve"> </w:t>
      </w:r>
      <w:r w:rsidRPr="00B50C48">
        <w:rPr>
          <w:sz w:val="22"/>
        </w:rPr>
        <w:t xml:space="preserve">10% of patients </w:t>
      </w:r>
      <w:r w:rsidR="005063CD">
        <w:rPr>
          <w:sz w:val="22"/>
        </w:rPr>
        <w:t>on</w:t>
      </w:r>
      <w:r w:rsidR="005063CD" w:rsidRPr="00B50C48">
        <w:rPr>
          <w:sz w:val="22"/>
        </w:rPr>
        <w:t xml:space="preserve"> </w:t>
      </w:r>
      <w:r w:rsidRPr="00B50C48">
        <w:rPr>
          <w:sz w:val="22"/>
        </w:rPr>
        <w:t xml:space="preserve">Adempas treatment (up to 2.5 mg </w:t>
      </w:r>
      <w:r w:rsidR="007F2E48">
        <w:rPr>
          <w:sz w:val="22"/>
        </w:rPr>
        <w:t>TDS</w:t>
      </w:r>
      <w:r w:rsidRPr="00B50C48">
        <w:rPr>
          <w:sz w:val="22"/>
        </w:rPr>
        <w:t xml:space="preserve">), were headache, dizziness, dyspepsia, peripheral </w:t>
      </w:r>
      <w:r w:rsidR="00250392" w:rsidRPr="00B50C48">
        <w:rPr>
          <w:sz w:val="22"/>
        </w:rPr>
        <w:t>o</w:t>
      </w:r>
      <w:r w:rsidRPr="00B50C48">
        <w:rPr>
          <w:sz w:val="22"/>
        </w:rPr>
        <w:t>edema, nausea, diarrh</w:t>
      </w:r>
      <w:r w:rsidR="00250392" w:rsidRPr="00B50C48">
        <w:rPr>
          <w:sz w:val="22"/>
        </w:rPr>
        <w:t>o</w:t>
      </w:r>
      <w:r w:rsidRPr="00B50C48">
        <w:rPr>
          <w:sz w:val="22"/>
        </w:rPr>
        <w:t>ea and vomiting.</w:t>
      </w:r>
    </w:p>
    <w:p w:rsidR="005A6462" w:rsidRPr="00B50C48" w:rsidRDefault="005A6462" w:rsidP="003D5F11">
      <w:pPr>
        <w:pStyle w:val="BayerBodyTextFull"/>
        <w:spacing w:after="240" w:line="276" w:lineRule="auto"/>
        <w:jc w:val="both"/>
        <w:rPr>
          <w:sz w:val="22"/>
        </w:rPr>
      </w:pPr>
      <w:r w:rsidRPr="00B50C48">
        <w:rPr>
          <w:sz w:val="22"/>
        </w:rPr>
        <w:t>With longer observation in uncontrolled long term extension studies</w:t>
      </w:r>
      <w:r w:rsidR="005063CD">
        <w:rPr>
          <w:sz w:val="22"/>
        </w:rPr>
        <w:t>,</w:t>
      </w:r>
      <w:r w:rsidRPr="00B50C48">
        <w:rPr>
          <w:sz w:val="22"/>
        </w:rPr>
        <w:t xml:space="preserve"> the safety profile was similar </w:t>
      </w:r>
      <w:r w:rsidR="00372C13">
        <w:rPr>
          <w:sz w:val="22"/>
        </w:rPr>
        <w:t>to that observed in the placebo-</w:t>
      </w:r>
      <w:r w:rsidRPr="00B50C48">
        <w:rPr>
          <w:sz w:val="22"/>
        </w:rPr>
        <w:t xml:space="preserve">controlled </w:t>
      </w:r>
      <w:r w:rsidR="00250392" w:rsidRPr="00B50C48">
        <w:rPr>
          <w:sz w:val="22"/>
        </w:rPr>
        <w:t xml:space="preserve">Phase </w:t>
      </w:r>
      <w:r w:rsidRPr="00B50C48">
        <w:rPr>
          <w:sz w:val="22"/>
        </w:rPr>
        <w:t xml:space="preserve">III trials. </w:t>
      </w:r>
    </w:p>
    <w:p w:rsidR="005A6462" w:rsidRPr="00B50C48" w:rsidRDefault="005A6462" w:rsidP="003D5F11">
      <w:pPr>
        <w:pStyle w:val="BayerBodyTextFull"/>
        <w:spacing w:after="240" w:line="276" w:lineRule="auto"/>
        <w:jc w:val="both"/>
        <w:rPr>
          <w:sz w:val="22"/>
        </w:rPr>
      </w:pPr>
      <w:r w:rsidRPr="00B50C48">
        <w:rPr>
          <w:sz w:val="22"/>
        </w:rPr>
        <w:t>Serious h</w:t>
      </w:r>
      <w:r w:rsidR="00250392" w:rsidRPr="00B50C48">
        <w:rPr>
          <w:sz w:val="22"/>
        </w:rPr>
        <w:t>a</w:t>
      </w:r>
      <w:r w:rsidRPr="00B50C48">
        <w:rPr>
          <w:sz w:val="22"/>
        </w:rPr>
        <w:t>emoptysis and pulmonary h</w:t>
      </w:r>
      <w:r w:rsidR="00250392" w:rsidRPr="00B50C48">
        <w:rPr>
          <w:sz w:val="22"/>
        </w:rPr>
        <w:t>a</w:t>
      </w:r>
      <w:r w:rsidRPr="00B50C48">
        <w:rPr>
          <w:sz w:val="22"/>
        </w:rPr>
        <w:t xml:space="preserve">emorrhage, including cases with fatal outcome have been observed in patients with CTEPH or PAH treated with Adempas (see </w:t>
      </w:r>
      <w:r w:rsidR="00DE6EA3" w:rsidRPr="00B50C48">
        <w:rPr>
          <w:sz w:val="22"/>
        </w:rPr>
        <w:t>PRECAUTIONS</w:t>
      </w:r>
      <w:r w:rsidR="00372C13">
        <w:rPr>
          <w:sz w:val="22"/>
        </w:rPr>
        <w:t>, B</w:t>
      </w:r>
      <w:r w:rsidR="00F72DE4">
        <w:rPr>
          <w:sz w:val="22"/>
        </w:rPr>
        <w:t>leeding</w:t>
      </w:r>
      <w:r w:rsidRPr="00B50C48">
        <w:rPr>
          <w:sz w:val="22"/>
        </w:rPr>
        <w:t xml:space="preserve">). </w:t>
      </w:r>
    </w:p>
    <w:p w:rsidR="00D94ED3" w:rsidRPr="001D16B8" w:rsidRDefault="005A6462" w:rsidP="003D5F11">
      <w:pPr>
        <w:pStyle w:val="BayerBodyTextFull"/>
        <w:spacing w:after="240" w:line="276" w:lineRule="auto"/>
        <w:jc w:val="both"/>
        <w:rPr>
          <w:sz w:val="22"/>
          <w:szCs w:val="22"/>
        </w:rPr>
      </w:pPr>
      <w:r w:rsidRPr="00B50C48">
        <w:rPr>
          <w:sz w:val="22"/>
        </w:rPr>
        <w:t>The overall rates of discontinuation due to an adverse event (AE) in the pivotal placebo controlled trials were low in all treatment arms (Pooled data: 2.9% for Adempas and 5.1% for placebo).</w:t>
      </w:r>
      <w:r w:rsidR="00D94ED3" w:rsidRPr="001D16B8">
        <w:rPr>
          <w:sz w:val="22"/>
          <w:szCs w:val="22"/>
        </w:rPr>
        <w:t xml:space="preserve">The </w:t>
      </w:r>
      <w:r w:rsidR="00E06CCD" w:rsidRPr="001D16B8">
        <w:rPr>
          <w:sz w:val="22"/>
          <w:szCs w:val="22"/>
        </w:rPr>
        <w:t xml:space="preserve">adverse events </w:t>
      </w:r>
      <w:r w:rsidR="00D94ED3" w:rsidRPr="001D16B8">
        <w:rPr>
          <w:sz w:val="22"/>
          <w:szCs w:val="22"/>
        </w:rPr>
        <w:t xml:space="preserve">observed with </w:t>
      </w:r>
      <w:r w:rsidR="00954E99" w:rsidRPr="001D16B8">
        <w:rPr>
          <w:sz w:val="22"/>
          <w:szCs w:val="22"/>
        </w:rPr>
        <w:t>Adempas</w:t>
      </w:r>
      <w:r w:rsidR="00D94ED3" w:rsidRPr="001D16B8">
        <w:rPr>
          <w:sz w:val="22"/>
          <w:szCs w:val="22"/>
        </w:rPr>
        <w:t xml:space="preserve"> </w:t>
      </w:r>
      <w:r w:rsidR="00E06CCD" w:rsidRPr="001D16B8">
        <w:rPr>
          <w:sz w:val="22"/>
          <w:szCs w:val="22"/>
        </w:rPr>
        <w:t xml:space="preserve">at a cut-off of 5% </w:t>
      </w:r>
      <w:r w:rsidR="00D94ED3" w:rsidRPr="001D16B8">
        <w:rPr>
          <w:sz w:val="22"/>
          <w:szCs w:val="22"/>
        </w:rPr>
        <w:t xml:space="preserve">are </w:t>
      </w:r>
      <w:r w:rsidR="00D94ED3" w:rsidRPr="00A53A2B">
        <w:rPr>
          <w:sz w:val="22"/>
          <w:szCs w:val="22"/>
        </w:rPr>
        <w:t xml:space="preserve">represented in </w:t>
      </w:r>
      <w:r w:rsidR="00E06CCD" w:rsidRPr="001D16B8">
        <w:rPr>
          <w:sz w:val="22"/>
          <w:szCs w:val="22"/>
        </w:rPr>
        <w:lastRenderedPageBreak/>
        <w:fldChar w:fldCharType="begin"/>
      </w:r>
      <w:r w:rsidR="00E06CCD" w:rsidRPr="001D16B8">
        <w:rPr>
          <w:sz w:val="22"/>
          <w:szCs w:val="22"/>
        </w:rPr>
        <w:instrText xml:space="preserve"> REF _Ref377127959 </w:instrText>
      </w:r>
      <w:r w:rsidR="00A3091A">
        <w:rPr>
          <w:sz w:val="22"/>
          <w:szCs w:val="22"/>
        </w:rPr>
        <w:instrText xml:space="preserve"> \* MERGEFORMAT </w:instrText>
      </w:r>
      <w:r w:rsidR="00E06CCD" w:rsidRPr="001D16B8">
        <w:rPr>
          <w:sz w:val="22"/>
          <w:szCs w:val="22"/>
        </w:rPr>
        <w:fldChar w:fldCharType="separate"/>
      </w:r>
      <w:r w:rsidR="00407B88" w:rsidRPr="0084079E">
        <w:rPr>
          <w:sz w:val="22"/>
          <w:szCs w:val="22"/>
        </w:rPr>
        <w:t xml:space="preserve">Table </w:t>
      </w:r>
      <w:r w:rsidR="00407B88" w:rsidRPr="0084079E">
        <w:rPr>
          <w:noProof/>
          <w:sz w:val="22"/>
          <w:szCs w:val="22"/>
        </w:rPr>
        <w:t>9</w:t>
      </w:r>
      <w:r w:rsidR="00E06CCD" w:rsidRPr="001D16B8">
        <w:rPr>
          <w:sz w:val="22"/>
          <w:szCs w:val="22"/>
        </w:rPr>
        <w:fldChar w:fldCharType="end"/>
      </w:r>
      <w:r w:rsidR="00BF26E9">
        <w:rPr>
          <w:sz w:val="22"/>
          <w:szCs w:val="22"/>
        </w:rPr>
        <w:t>.</w:t>
      </w:r>
      <w:r w:rsidR="00E06CCD" w:rsidRPr="001D16B8">
        <w:rPr>
          <w:sz w:val="22"/>
          <w:szCs w:val="22"/>
        </w:rPr>
        <w:t xml:space="preserve"> </w:t>
      </w:r>
      <w:r w:rsidR="00BF26E9">
        <w:rPr>
          <w:sz w:val="22"/>
          <w:szCs w:val="22"/>
        </w:rPr>
        <w:t>A</w:t>
      </w:r>
      <w:r w:rsidR="00E06CCD" w:rsidRPr="001D16B8">
        <w:rPr>
          <w:sz w:val="22"/>
          <w:szCs w:val="22"/>
        </w:rPr>
        <w:t xml:space="preserve">dverse drug reactions </w:t>
      </w:r>
      <w:r w:rsidR="00A3091A" w:rsidRPr="001D16B8">
        <w:rPr>
          <w:sz w:val="22"/>
          <w:szCs w:val="22"/>
        </w:rPr>
        <w:t xml:space="preserve">at a cut-off of 1% </w:t>
      </w:r>
      <w:r w:rsidR="00E06CCD" w:rsidRPr="001D16B8">
        <w:rPr>
          <w:sz w:val="22"/>
          <w:szCs w:val="22"/>
        </w:rPr>
        <w:t>are listed in</w:t>
      </w:r>
      <w:r w:rsidR="002740D2" w:rsidRPr="001D16B8">
        <w:rPr>
          <w:sz w:val="22"/>
          <w:szCs w:val="22"/>
        </w:rPr>
        <w:t xml:space="preserve"> </w:t>
      </w:r>
      <w:r w:rsidR="002740D2" w:rsidRPr="001D16B8">
        <w:rPr>
          <w:sz w:val="22"/>
          <w:szCs w:val="22"/>
        </w:rPr>
        <w:fldChar w:fldCharType="begin"/>
      </w:r>
      <w:r w:rsidR="002740D2" w:rsidRPr="001D16B8">
        <w:rPr>
          <w:sz w:val="22"/>
          <w:szCs w:val="22"/>
        </w:rPr>
        <w:instrText xml:space="preserve"> REF _Ref377128640 </w:instrText>
      </w:r>
      <w:r w:rsidR="00A3091A">
        <w:rPr>
          <w:sz w:val="22"/>
          <w:szCs w:val="22"/>
        </w:rPr>
        <w:instrText xml:space="preserve"> \* MERGEFORMAT </w:instrText>
      </w:r>
      <w:r w:rsidR="002740D2" w:rsidRPr="001D16B8">
        <w:rPr>
          <w:sz w:val="22"/>
          <w:szCs w:val="22"/>
        </w:rPr>
        <w:fldChar w:fldCharType="separate"/>
      </w:r>
      <w:r w:rsidR="00407B88" w:rsidRPr="0084079E">
        <w:rPr>
          <w:sz w:val="22"/>
          <w:szCs w:val="22"/>
        </w:rPr>
        <w:t xml:space="preserve">Table </w:t>
      </w:r>
      <w:r w:rsidR="00407B88" w:rsidRPr="0084079E">
        <w:rPr>
          <w:noProof/>
          <w:sz w:val="22"/>
          <w:szCs w:val="22"/>
        </w:rPr>
        <w:t>10</w:t>
      </w:r>
      <w:r w:rsidR="002740D2" w:rsidRPr="001D16B8">
        <w:rPr>
          <w:sz w:val="22"/>
          <w:szCs w:val="22"/>
        </w:rPr>
        <w:fldChar w:fldCharType="end"/>
      </w:r>
      <w:r w:rsidR="00E06CCD" w:rsidRPr="001D16B8">
        <w:rPr>
          <w:sz w:val="22"/>
          <w:szCs w:val="22"/>
        </w:rPr>
        <w:t xml:space="preserve"> </w:t>
      </w:r>
      <w:r w:rsidR="00D94ED3" w:rsidRPr="001D16B8">
        <w:rPr>
          <w:sz w:val="22"/>
          <w:szCs w:val="22"/>
        </w:rPr>
        <w:t>below</w:t>
      </w:r>
      <w:r w:rsidR="00BF26E9">
        <w:rPr>
          <w:sz w:val="22"/>
          <w:szCs w:val="22"/>
        </w:rPr>
        <w:t>,</w:t>
      </w:r>
      <w:r w:rsidR="00D94ED3" w:rsidRPr="001D16B8">
        <w:rPr>
          <w:sz w:val="22"/>
          <w:szCs w:val="22"/>
        </w:rPr>
        <w:t xml:space="preserve"> </w:t>
      </w:r>
      <w:r w:rsidR="00BF26E9">
        <w:rPr>
          <w:sz w:val="22"/>
          <w:szCs w:val="22"/>
        </w:rPr>
        <w:t>t</w:t>
      </w:r>
      <w:r w:rsidR="00D94ED3" w:rsidRPr="001D16B8">
        <w:rPr>
          <w:sz w:val="22"/>
          <w:szCs w:val="22"/>
        </w:rPr>
        <w:t>hey are classified according to System Organ Class (MedDRA version 15.0). The most appropriate MedDRA term is used to describe a certain reaction and its synonyms and related conditions.</w:t>
      </w:r>
    </w:p>
    <w:p w:rsidR="00E06CCD" w:rsidRDefault="00E06CCD" w:rsidP="001D16B8">
      <w:pPr>
        <w:pStyle w:val="Caption"/>
        <w:tabs>
          <w:tab w:val="left" w:pos="993"/>
        </w:tabs>
        <w:ind w:left="993" w:hanging="993"/>
        <w:rPr>
          <w:rFonts w:cs="Arial"/>
        </w:rPr>
      </w:pPr>
      <w:bookmarkStart w:id="12" w:name="_Ref377127959"/>
      <w:r>
        <w:t xml:space="preserve">Table </w:t>
      </w:r>
      <w:r w:rsidR="002740D2">
        <w:fldChar w:fldCharType="begin"/>
      </w:r>
      <w:r w:rsidR="002740D2">
        <w:instrText xml:space="preserve"> SEQ Table \* ARABIC </w:instrText>
      </w:r>
      <w:r w:rsidR="002740D2">
        <w:fldChar w:fldCharType="separate"/>
      </w:r>
      <w:r w:rsidR="00407B88">
        <w:rPr>
          <w:noProof/>
        </w:rPr>
        <w:t>9</w:t>
      </w:r>
      <w:r w:rsidR="002740D2">
        <w:fldChar w:fldCharType="end"/>
      </w:r>
      <w:bookmarkEnd w:id="12"/>
      <w:r>
        <w:t xml:space="preserve"> </w:t>
      </w:r>
      <w:r>
        <w:tab/>
        <w:t xml:space="preserve">All treatment-emergent adverse events reported in </w:t>
      </w:r>
      <w:r w:rsidRPr="00B50C48">
        <w:rPr>
          <w:rFonts w:cs="Arial"/>
        </w:rPr>
        <w:t>≥</w:t>
      </w:r>
      <w:r>
        <w:rPr>
          <w:rFonts w:cs="Arial"/>
        </w:rPr>
        <w:t xml:space="preserve"> 5% patients in Phase III studies (pooled CHEST-1 and PATENT-1 data)</w:t>
      </w:r>
    </w:p>
    <w:tbl>
      <w:tblPr>
        <w:tblW w:w="7621" w:type="dxa"/>
        <w:tblInd w:w="108" w:type="dxa"/>
        <w:tblBorders>
          <w:top w:val="single" w:sz="4" w:space="0" w:color="auto"/>
          <w:bottom w:val="single" w:sz="4" w:space="0" w:color="auto"/>
          <w:insideV w:val="single" w:sz="4" w:space="0" w:color="auto"/>
        </w:tblBorders>
        <w:tblLook w:val="04A0" w:firstRow="1" w:lastRow="0" w:firstColumn="1" w:lastColumn="0" w:noHBand="0" w:noVBand="1"/>
      </w:tblPr>
      <w:tblGrid>
        <w:gridCol w:w="2977"/>
        <w:gridCol w:w="2322"/>
        <w:gridCol w:w="2322"/>
      </w:tblGrid>
      <w:tr w:rsidR="00D6382B" w:rsidRPr="000D2344" w:rsidTr="00B21EAD">
        <w:trPr>
          <w:trHeight w:val="521"/>
          <w:tblHeader/>
        </w:trPr>
        <w:tc>
          <w:tcPr>
            <w:tcW w:w="2977" w:type="dxa"/>
            <w:tcBorders>
              <w:top w:val="single" w:sz="4" w:space="0" w:color="auto"/>
              <w:bottom w:val="single" w:sz="4" w:space="0" w:color="auto"/>
            </w:tcBorders>
            <w:shd w:val="clear" w:color="auto" w:fill="D9D9D9"/>
            <w:vAlign w:val="center"/>
          </w:tcPr>
          <w:p w:rsidR="00D6382B" w:rsidRPr="000D2344" w:rsidRDefault="00D6382B" w:rsidP="00B21EAD">
            <w:pPr>
              <w:pStyle w:val="BayerBodyTextFull"/>
              <w:spacing w:before="20" w:after="20"/>
              <w:jc w:val="center"/>
              <w:rPr>
                <w:rFonts w:cs="Arial"/>
                <w:b/>
              </w:rPr>
            </w:pPr>
            <w:r w:rsidRPr="000D2344">
              <w:rPr>
                <w:rFonts w:cs="Arial"/>
                <w:b/>
              </w:rPr>
              <w:t xml:space="preserve">MedDRA </w:t>
            </w:r>
          </w:p>
          <w:p w:rsidR="00D6382B" w:rsidRPr="000D2344" w:rsidRDefault="00D6382B" w:rsidP="00B21EAD">
            <w:pPr>
              <w:pStyle w:val="BayerBodyTextFull"/>
              <w:spacing w:before="20" w:after="20"/>
              <w:jc w:val="center"/>
              <w:rPr>
                <w:rFonts w:cs="Arial"/>
              </w:rPr>
            </w:pPr>
            <w:r w:rsidRPr="000D2344">
              <w:rPr>
                <w:rFonts w:cs="Arial"/>
                <w:b/>
              </w:rPr>
              <w:t>Preferred term</w:t>
            </w:r>
          </w:p>
        </w:tc>
        <w:tc>
          <w:tcPr>
            <w:tcW w:w="2322" w:type="dxa"/>
            <w:tcBorders>
              <w:top w:val="single" w:sz="4" w:space="0" w:color="auto"/>
              <w:bottom w:val="single" w:sz="4" w:space="0" w:color="auto"/>
            </w:tcBorders>
            <w:shd w:val="clear" w:color="auto" w:fill="D9D9D9"/>
            <w:vAlign w:val="center"/>
          </w:tcPr>
          <w:p w:rsidR="00D6382B" w:rsidRPr="000D2344" w:rsidRDefault="00D6382B" w:rsidP="00B21EAD">
            <w:pPr>
              <w:pStyle w:val="BayerBodyTextFull"/>
              <w:keepNext/>
              <w:spacing w:before="20" w:after="20" w:line="276" w:lineRule="auto"/>
              <w:jc w:val="center"/>
              <w:rPr>
                <w:rFonts w:cs="Arial"/>
                <w:b/>
              </w:rPr>
            </w:pPr>
            <w:r w:rsidRPr="000D2344">
              <w:rPr>
                <w:rFonts w:cs="Arial"/>
                <w:b/>
              </w:rPr>
              <w:t>Placebo %</w:t>
            </w:r>
          </w:p>
          <w:p w:rsidR="00D6382B" w:rsidRPr="000D2344" w:rsidRDefault="00D6382B" w:rsidP="00B21EAD">
            <w:pPr>
              <w:pStyle w:val="BayerBodyTextFull"/>
              <w:spacing w:before="20" w:after="20" w:line="276" w:lineRule="auto"/>
              <w:jc w:val="center"/>
              <w:rPr>
                <w:rFonts w:cs="Arial"/>
              </w:rPr>
            </w:pPr>
            <w:r w:rsidRPr="000D2344">
              <w:rPr>
                <w:rFonts w:cs="Arial"/>
                <w:b/>
              </w:rPr>
              <w:t>(n = 214)</w:t>
            </w:r>
          </w:p>
        </w:tc>
        <w:tc>
          <w:tcPr>
            <w:tcW w:w="2322" w:type="dxa"/>
            <w:tcBorders>
              <w:top w:val="single" w:sz="4" w:space="0" w:color="auto"/>
              <w:bottom w:val="single" w:sz="4" w:space="0" w:color="auto"/>
            </w:tcBorders>
            <w:shd w:val="clear" w:color="auto" w:fill="D9D9D9"/>
            <w:vAlign w:val="center"/>
          </w:tcPr>
          <w:p w:rsidR="00D6382B" w:rsidRPr="000D2344" w:rsidRDefault="00D6382B" w:rsidP="00B21EAD">
            <w:pPr>
              <w:pStyle w:val="BayerBodyTextFull"/>
              <w:keepNext/>
              <w:spacing w:before="20" w:after="20" w:line="276" w:lineRule="auto"/>
              <w:jc w:val="center"/>
              <w:rPr>
                <w:rFonts w:cs="Arial"/>
                <w:b/>
              </w:rPr>
            </w:pPr>
            <w:r w:rsidRPr="000D2344">
              <w:rPr>
                <w:rFonts w:cs="Arial"/>
                <w:b/>
              </w:rPr>
              <w:t>Adempas %</w:t>
            </w:r>
          </w:p>
          <w:p w:rsidR="00D6382B" w:rsidRPr="000D2344" w:rsidRDefault="00D6382B" w:rsidP="00B21EAD">
            <w:pPr>
              <w:pStyle w:val="BayerBodyTextFull"/>
              <w:spacing w:before="20" w:after="20" w:line="276" w:lineRule="auto"/>
              <w:jc w:val="center"/>
              <w:rPr>
                <w:rFonts w:cs="Arial"/>
              </w:rPr>
            </w:pPr>
            <w:r w:rsidRPr="000D2344">
              <w:rPr>
                <w:rFonts w:cs="Arial"/>
                <w:b/>
              </w:rPr>
              <w:t>(n = 490)</w:t>
            </w:r>
          </w:p>
        </w:tc>
      </w:tr>
      <w:tr w:rsidR="00D6382B" w:rsidRPr="000D2344" w:rsidTr="00FB338C">
        <w:trPr>
          <w:trHeight w:val="296"/>
        </w:trPr>
        <w:tc>
          <w:tcPr>
            <w:tcW w:w="2977" w:type="dxa"/>
            <w:tcBorders>
              <w:top w:val="single" w:sz="4" w:space="0" w:color="auto"/>
            </w:tcBorders>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Headache</w:t>
            </w:r>
          </w:p>
        </w:tc>
        <w:tc>
          <w:tcPr>
            <w:tcW w:w="2322" w:type="dxa"/>
            <w:tcBorders>
              <w:top w:val="single" w:sz="4" w:space="0" w:color="auto"/>
            </w:tcBorders>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17.3%</w:t>
            </w:r>
          </w:p>
        </w:tc>
        <w:tc>
          <w:tcPr>
            <w:tcW w:w="2322" w:type="dxa"/>
            <w:tcBorders>
              <w:top w:val="single" w:sz="4" w:space="0" w:color="auto"/>
            </w:tcBorders>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26.9%</w:t>
            </w:r>
          </w:p>
        </w:tc>
      </w:tr>
      <w:tr w:rsidR="00D6382B" w:rsidRPr="000D2344" w:rsidTr="00FB338C">
        <w:tc>
          <w:tcPr>
            <w:tcW w:w="2977" w:type="dxa"/>
            <w:shd w:val="clear" w:color="auto" w:fill="auto"/>
          </w:tcPr>
          <w:p w:rsidR="00D6382B" w:rsidRPr="005B694A" w:rsidRDefault="00D6382B" w:rsidP="00DE5BED">
            <w:pPr>
              <w:pStyle w:val="BayerBodyTextFull"/>
              <w:spacing w:before="60" w:after="0" w:line="276" w:lineRule="auto"/>
              <w:rPr>
                <w:rFonts w:cs="Arial"/>
              </w:rPr>
            </w:pPr>
            <w:r w:rsidRPr="005B694A">
              <w:rPr>
                <w:rFonts w:cs="Arial"/>
              </w:rPr>
              <w:t>Dizziness</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12.1%</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19.2%</w:t>
            </w:r>
          </w:p>
        </w:tc>
      </w:tr>
      <w:tr w:rsidR="00D6382B" w:rsidRPr="000D2344"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Dyspepsia</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7.9%</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17.8%</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Oedema peripheral</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15.0%</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17.3%</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Nausea</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10.7%</w:t>
            </w:r>
          </w:p>
        </w:tc>
        <w:tc>
          <w:tcPr>
            <w:tcW w:w="2322" w:type="dxa"/>
            <w:shd w:val="clear" w:color="auto" w:fill="auto"/>
          </w:tcPr>
          <w:p w:rsidR="00D6382B" w:rsidRPr="005B694A" w:rsidRDefault="00BA38AC" w:rsidP="005B694A">
            <w:pPr>
              <w:pStyle w:val="BayerBodyTextFull"/>
              <w:keepNext/>
              <w:tabs>
                <w:tab w:val="left" w:pos="615"/>
                <w:tab w:val="center" w:pos="1053"/>
              </w:tabs>
              <w:spacing w:before="60" w:after="0" w:line="276" w:lineRule="auto"/>
              <w:rPr>
                <w:rFonts w:cs="Arial"/>
              </w:rPr>
            </w:pPr>
            <w:r w:rsidRPr="005B694A">
              <w:rPr>
                <w:rFonts w:cs="Arial"/>
              </w:rPr>
              <w:tab/>
            </w:r>
            <w:r w:rsidRPr="005B694A">
              <w:rPr>
                <w:rFonts w:cs="Arial"/>
              </w:rPr>
              <w:tab/>
            </w:r>
            <w:r w:rsidR="00D6382B" w:rsidRPr="005B694A">
              <w:rPr>
                <w:rFonts w:cs="Arial"/>
              </w:rPr>
              <w:t>14.1%</w:t>
            </w:r>
          </w:p>
        </w:tc>
      </w:tr>
      <w:tr w:rsidR="00D6382B" w:rsidRPr="005B694A" w:rsidTr="00FB338C">
        <w:tc>
          <w:tcPr>
            <w:tcW w:w="2977" w:type="dxa"/>
            <w:shd w:val="clear" w:color="auto" w:fill="auto"/>
          </w:tcPr>
          <w:p w:rsidR="00D6382B" w:rsidRPr="005B694A" w:rsidRDefault="00D6382B" w:rsidP="00DE5BED">
            <w:pPr>
              <w:pStyle w:val="BayerBodyTextFull"/>
              <w:spacing w:before="60" w:after="0" w:line="276" w:lineRule="auto"/>
              <w:rPr>
                <w:rFonts w:cs="Arial"/>
              </w:rPr>
            </w:pPr>
            <w:r w:rsidRPr="005B694A">
              <w:rPr>
                <w:rFonts w:cs="Arial"/>
              </w:rPr>
              <w:t>Nasopharyngitis</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10.3%</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11.8%</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Diarrhoea</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7.9%</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11.8%</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Vomiting</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6.5%</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10.2%</w:t>
            </w:r>
          </w:p>
        </w:tc>
      </w:tr>
      <w:tr w:rsidR="00D6382B" w:rsidRPr="005B694A" w:rsidTr="00FB338C">
        <w:tc>
          <w:tcPr>
            <w:tcW w:w="2977" w:type="dxa"/>
            <w:shd w:val="clear" w:color="auto" w:fill="auto"/>
          </w:tcPr>
          <w:p w:rsidR="00D6382B" w:rsidRPr="005B694A" w:rsidRDefault="00D6382B" w:rsidP="00DE5BED">
            <w:pPr>
              <w:pStyle w:val="BayerBodyTextFull"/>
              <w:spacing w:before="60" w:after="0" w:line="276" w:lineRule="auto"/>
              <w:rPr>
                <w:rFonts w:cs="Arial"/>
              </w:rPr>
            </w:pPr>
            <w:r w:rsidRPr="005B694A">
              <w:rPr>
                <w:rFonts w:cs="Arial"/>
              </w:rPr>
              <w:t>Hypotension</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2.8%</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8.8%</w:t>
            </w:r>
          </w:p>
        </w:tc>
      </w:tr>
      <w:tr w:rsidR="00D6382B" w:rsidRPr="005B694A" w:rsidTr="00FB338C">
        <w:tc>
          <w:tcPr>
            <w:tcW w:w="2977" w:type="dxa"/>
            <w:shd w:val="clear" w:color="auto" w:fill="auto"/>
          </w:tcPr>
          <w:p w:rsidR="00D6382B" w:rsidRPr="005B694A" w:rsidRDefault="00D6382B" w:rsidP="00DE5BED">
            <w:pPr>
              <w:pStyle w:val="BayerBodyTextFull"/>
              <w:spacing w:before="60" w:after="0" w:line="276" w:lineRule="auto"/>
              <w:rPr>
                <w:rFonts w:cs="Arial"/>
              </w:rPr>
            </w:pPr>
            <w:r w:rsidRPr="005B694A">
              <w:rPr>
                <w:rFonts w:cs="Arial"/>
              </w:rPr>
              <w:t>Palpitations</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4.7%</w:t>
            </w:r>
          </w:p>
        </w:tc>
        <w:tc>
          <w:tcPr>
            <w:tcW w:w="2322" w:type="dxa"/>
            <w:shd w:val="clear" w:color="auto" w:fill="auto"/>
          </w:tcPr>
          <w:p w:rsidR="00D6382B" w:rsidRPr="005B694A" w:rsidRDefault="00BA38AC" w:rsidP="005B694A">
            <w:pPr>
              <w:pStyle w:val="BayerBodyTextFull"/>
              <w:tabs>
                <w:tab w:val="left" w:pos="780"/>
                <w:tab w:val="center" w:pos="1053"/>
              </w:tabs>
              <w:spacing w:before="60" w:after="0" w:line="276" w:lineRule="auto"/>
              <w:rPr>
                <w:rFonts w:cs="Arial"/>
              </w:rPr>
            </w:pPr>
            <w:r w:rsidRPr="005B694A">
              <w:rPr>
                <w:rFonts w:cs="Arial"/>
              </w:rPr>
              <w:tab/>
            </w:r>
            <w:r w:rsidRPr="005B694A">
              <w:rPr>
                <w:rFonts w:cs="Arial"/>
              </w:rPr>
              <w:tab/>
            </w:r>
            <w:r w:rsidR="00D6382B" w:rsidRPr="005B694A">
              <w:rPr>
                <w:rFonts w:cs="Arial"/>
              </w:rPr>
              <w:t>6.3%</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Chest pain</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7.0%</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5.9%</w:t>
            </w:r>
          </w:p>
        </w:tc>
      </w:tr>
      <w:tr w:rsidR="00D6382B" w:rsidRPr="005B694A" w:rsidTr="00FB338C">
        <w:tc>
          <w:tcPr>
            <w:tcW w:w="2977" w:type="dxa"/>
            <w:shd w:val="clear" w:color="auto" w:fill="auto"/>
          </w:tcPr>
          <w:p w:rsidR="00D6382B" w:rsidRPr="005B694A" w:rsidRDefault="00D6382B" w:rsidP="007F742D">
            <w:pPr>
              <w:pStyle w:val="BayerBodyTextFull"/>
              <w:spacing w:before="60" w:after="0" w:line="276" w:lineRule="auto"/>
              <w:rPr>
                <w:rFonts w:cs="Arial"/>
              </w:rPr>
            </w:pPr>
            <w:r w:rsidRPr="005B694A">
              <w:rPr>
                <w:rFonts w:cs="Arial"/>
              </w:rPr>
              <w:t xml:space="preserve">Anaemia </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1.9%</w:t>
            </w:r>
          </w:p>
        </w:tc>
        <w:tc>
          <w:tcPr>
            <w:tcW w:w="2322" w:type="dxa"/>
            <w:shd w:val="clear" w:color="auto" w:fill="auto"/>
          </w:tcPr>
          <w:p w:rsidR="00D6382B" w:rsidRPr="005B694A" w:rsidRDefault="00D6382B" w:rsidP="00FB338C">
            <w:pPr>
              <w:pStyle w:val="BayerBodyTextFull"/>
              <w:spacing w:before="60" w:after="0" w:line="276" w:lineRule="auto"/>
              <w:jc w:val="center"/>
              <w:rPr>
                <w:rFonts w:cs="Arial"/>
              </w:rPr>
            </w:pPr>
            <w:r w:rsidRPr="005B694A">
              <w:rPr>
                <w:rFonts w:cs="Arial"/>
              </w:rPr>
              <w:t>5.7%</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Dyspnoea</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12.1%</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5.7%</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Gastrooesophageal          reflux disease</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1.9%</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5.1%</w:t>
            </w:r>
          </w:p>
        </w:tc>
      </w:tr>
      <w:tr w:rsidR="00D6382B" w:rsidRPr="005B694A" w:rsidTr="00FB338C">
        <w:trPr>
          <w:trHeight w:val="258"/>
        </w:trPr>
        <w:tc>
          <w:tcPr>
            <w:tcW w:w="2977" w:type="dxa"/>
            <w:shd w:val="clear" w:color="auto" w:fill="auto"/>
          </w:tcPr>
          <w:p w:rsidR="00D6382B" w:rsidRPr="005B694A" w:rsidRDefault="00D6382B" w:rsidP="00DE5BED">
            <w:pPr>
              <w:pStyle w:val="BayerTableStyleLeftJustified"/>
              <w:spacing w:before="60" w:line="276" w:lineRule="auto"/>
              <w:rPr>
                <w:rFonts w:cs="Arial"/>
              </w:rPr>
            </w:pPr>
            <w:r w:rsidRPr="005B694A">
              <w:rPr>
                <w:rFonts w:cs="Arial"/>
              </w:rPr>
              <w:t>Cough</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13.6%</w:t>
            </w:r>
          </w:p>
        </w:tc>
        <w:tc>
          <w:tcPr>
            <w:tcW w:w="2322" w:type="dxa"/>
            <w:shd w:val="clear" w:color="auto" w:fill="auto"/>
          </w:tcPr>
          <w:p w:rsidR="00D6382B" w:rsidRPr="005B694A" w:rsidRDefault="00BA38AC" w:rsidP="005B694A">
            <w:pPr>
              <w:pStyle w:val="BayerBodyTextFull"/>
              <w:keepNext/>
              <w:tabs>
                <w:tab w:val="left" w:pos="720"/>
                <w:tab w:val="center" w:pos="1053"/>
              </w:tabs>
              <w:spacing w:before="60" w:after="0" w:line="276" w:lineRule="auto"/>
              <w:rPr>
                <w:rFonts w:cs="Arial"/>
              </w:rPr>
            </w:pPr>
            <w:r w:rsidRPr="005B694A">
              <w:rPr>
                <w:rFonts w:cs="Arial"/>
              </w:rPr>
              <w:tab/>
            </w:r>
            <w:r w:rsidRPr="005B694A">
              <w:rPr>
                <w:rFonts w:cs="Arial"/>
              </w:rPr>
              <w:tab/>
            </w:r>
            <w:r w:rsidR="00D6382B" w:rsidRPr="005B694A">
              <w:rPr>
                <w:rFonts w:cs="Arial"/>
              </w:rPr>
              <w:t>4.9%</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Chest discomfort</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5.6%</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3.1%</w:t>
            </w:r>
          </w:p>
        </w:tc>
      </w:tr>
      <w:tr w:rsidR="00D6382B" w:rsidRPr="005B694A"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Pain in extremity</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5.1%</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2.9%</w:t>
            </w:r>
          </w:p>
        </w:tc>
      </w:tr>
      <w:tr w:rsidR="00D6382B" w:rsidRPr="000D2344" w:rsidTr="00FB338C">
        <w:tc>
          <w:tcPr>
            <w:tcW w:w="2977" w:type="dxa"/>
            <w:shd w:val="clear" w:color="auto" w:fill="auto"/>
          </w:tcPr>
          <w:p w:rsidR="00D6382B" w:rsidRPr="005B694A" w:rsidRDefault="00D6382B" w:rsidP="00DE5BED">
            <w:pPr>
              <w:pStyle w:val="BayerBodyTextFull"/>
              <w:keepNext/>
              <w:spacing w:before="60" w:after="0" w:line="276" w:lineRule="auto"/>
              <w:rPr>
                <w:rFonts w:cs="Arial"/>
              </w:rPr>
            </w:pPr>
            <w:r w:rsidRPr="005B694A">
              <w:rPr>
                <w:rFonts w:cs="Arial"/>
              </w:rPr>
              <w:t>Fatigue</w:t>
            </w:r>
          </w:p>
        </w:tc>
        <w:tc>
          <w:tcPr>
            <w:tcW w:w="2322" w:type="dxa"/>
            <w:shd w:val="clear" w:color="auto" w:fill="auto"/>
          </w:tcPr>
          <w:p w:rsidR="00D6382B" w:rsidRPr="005B694A" w:rsidRDefault="00D6382B" w:rsidP="00FB338C">
            <w:pPr>
              <w:pStyle w:val="BayerBodyTextFull"/>
              <w:keepNext/>
              <w:spacing w:before="60" w:after="0" w:line="276" w:lineRule="auto"/>
              <w:jc w:val="center"/>
              <w:rPr>
                <w:rFonts w:cs="Arial"/>
              </w:rPr>
            </w:pPr>
            <w:r w:rsidRPr="005B694A">
              <w:rPr>
                <w:rFonts w:cs="Arial"/>
              </w:rPr>
              <w:t>5.6%</w:t>
            </w:r>
          </w:p>
        </w:tc>
        <w:tc>
          <w:tcPr>
            <w:tcW w:w="2322" w:type="dxa"/>
            <w:shd w:val="clear" w:color="auto" w:fill="auto"/>
          </w:tcPr>
          <w:p w:rsidR="00D6382B" w:rsidRPr="005B694A" w:rsidRDefault="00BA38AC" w:rsidP="005B694A">
            <w:pPr>
              <w:pStyle w:val="BayerBodyTextFull"/>
              <w:keepNext/>
              <w:tabs>
                <w:tab w:val="left" w:pos="795"/>
                <w:tab w:val="center" w:pos="1053"/>
              </w:tabs>
              <w:spacing w:before="60" w:after="0" w:line="276" w:lineRule="auto"/>
              <w:rPr>
                <w:rFonts w:cs="Arial"/>
              </w:rPr>
            </w:pPr>
            <w:r w:rsidRPr="005B694A">
              <w:rPr>
                <w:rFonts w:cs="Arial"/>
              </w:rPr>
              <w:tab/>
            </w:r>
            <w:r w:rsidRPr="005B694A">
              <w:rPr>
                <w:rFonts w:cs="Arial"/>
              </w:rPr>
              <w:tab/>
            </w:r>
            <w:r w:rsidR="00D6382B" w:rsidRPr="005B694A">
              <w:rPr>
                <w:rFonts w:cs="Arial"/>
              </w:rPr>
              <w:t>2.4%</w:t>
            </w:r>
          </w:p>
        </w:tc>
      </w:tr>
    </w:tbl>
    <w:p w:rsidR="00BA3056" w:rsidRDefault="00BA3056" w:rsidP="001D16B8"/>
    <w:p w:rsidR="00B21EAD" w:rsidRDefault="00B21EAD" w:rsidP="001D16B8"/>
    <w:p w:rsidR="00B21EAD" w:rsidRDefault="00B21EAD" w:rsidP="001D16B8"/>
    <w:p w:rsidR="00B21EAD" w:rsidRDefault="00B21EAD" w:rsidP="001D16B8"/>
    <w:p w:rsidR="007A5309" w:rsidRPr="00D6382B" w:rsidRDefault="002740D2" w:rsidP="001D16B8">
      <w:pPr>
        <w:pStyle w:val="Caption"/>
        <w:tabs>
          <w:tab w:val="left" w:pos="993"/>
        </w:tabs>
        <w:ind w:left="993" w:hanging="993"/>
        <w:rPr>
          <w:sz w:val="22"/>
        </w:rPr>
      </w:pPr>
      <w:bookmarkStart w:id="13" w:name="_Ref377128640"/>
      <w:r w:rsidRPr="00D6382B">
        <w:t xml:space="preserve">Table </w:t>
      </w:r>
      <w:r w:rsidRPr="00D6382B">
        <w:fldChar w:fldCharType="begin"/>
      </w:r>
      <w:r w:rsidRPr="00D6382B">
        <w:instrText xml:space="preserve"> SEQ Table \* ARABIC </w:instrText>
      </w:r>
      <w:r w:rsidRPr="00D6382B">
        <w:fldChar w:fldCharType="separate"/>
      </w:r>
      <w:r w:rsidR="00407B88">
        <w:rPr>
          <w:noProof/>
        </w:rPr>
        <w:t>10</w:t>
      </w:r>
      <w:r w:rsidRPr="00D6382B">
        <w:fldChar w:fldCharType="end"/>
      </w:r>
      <w:bookmarkEnd w:id="13"/>
      <w:r w:rsidRPr="00D6382B">
        <w:t xml:space="preserve"> </w:t>
      </w:r>
      <w:r w:rsidRPr="00D6382B">
        <w:tab/>
        <w:t xml:space="preserve">All treatment-emergent adverse drug reactions reported in </w:t>
      </w:r>
      <w:r w:rsidRPr="00D6382B">
        <w:rPr>
          <w:rFonts w:cs="Arial"/>
        </w:rPr>
        <w:t>≥</w:t>
      </w:r>
      <w:r w:rsidRPr="00D6382B">
        <w:t xml:space="preserve">  1% patients in Phase III studies (pooled CHEST-1 and PATENT-1 data)</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7A5309" w:rsidRPr="00B50C48" w:rsidTr="00B21EAD">
        <w:trPr>
          <w:trHeight w:val="884"/>
          <w:tblHeader/>
        </w:trPr>
        <w:tc>
          <w:tcPr>
            <w:tcW w:w="2321" w:type="dxa"/>
            <w:shd w:val="clear" w:color="auto" w:fill="D9D9D9"/>
            <w:vAlign w:val="center"/>
          </w:tcPr>
          <w:p w:rsidR="007A5309" w:rsidRPr="00DF046D" w:rsidRDefault="007A5309" w:rsidP="00B21EAD">
            <w:pPr>
              <w:pStyle w:val="BayerBodyTextFull"/>
              <w:spacing w:before="20" w:after="20"/>
              <w:jc w:val="center"/>
              <w:rPr>
                <w:sz w:val="22"/>
              </w:rPr>
            </w:pPr>
            <w:r w:rsidRPr="00DF046D">
              <w:rPr>
                <w:b/>
              </w:rPr>
              <w:t>System Organ Class</w:t>
            </w:r>
            <w:r w:rsidRPr="00DF046D">
              <w:rPr>
                <w:b/>
              </w:rPr>
              <w:br/>
              <w:t>(MedDRA)</w:t>
            </w:r>
          </w:p>
        </w:tc>
        <w:tc>
          <w:tcPr>
            <w:tcW w:w="2322" w:type="dxa"/>
            <w:shd w:val="clear" w:color="auto" w:fill="D9D9D9"/>
            <w:vAlign w:val="center"/>
          </w:tcPr>
          <w:p w:rsidR="007A5309" w:rsidRPr="00DF046D" w:rsidRDefault="001730E3" w:rsidP="00B21EAD">
            <w:pPr>
              <w:pStyle w:val="BayerBodyTextFull"/>
              <w:spacing w:before="20" w:after="20"/>
              <w:jc w:val="center"/>
              <w:rPr>
                <w:b/>
              </w:rPr>
            </w:pPr>
            <w:r w:rsidRPr="00DF046D">
              <w:rPr>
                <w:b/>
              </w:rPr>
              <w:t>MedDRA labeling grouping</w:t>
            </w:r>
          </w:p>
          <w:p w:rsidR="007A5309" w:rsidRPr="00DF046D" w:rsidRDefault="007A5309" w:rsidP="00B21EAD">
            <w:pPr>
              <w:pStyle w:val="BayerBodyTextFull"/>
              <w:spacing w:before="20" w:after="20"/>
              <w:jc w:val="center"/>
              <w:rPr>
                <w:sz w:val="22"/>
              </w:rPr>
            </w:pPr>
            <w:r w:rsidRPr="00DF046D">
              <w:rPr>
                <w:b/>
              </w:rPr>
              <w:t>(Preferred term)</w:t>
            </w:r>
          </w:p>
        </w:tc>
        <w:tc>
          <w:tcPr>
            <w:tcW w:w="2322" w:type="dxa"/>
            <w:shd w:val="clear" w:color="auto" w:fill="D9D9D9"/>
            <w:vAlign w:val="center"/>
          </w:tcPr>
          <w:p w:rsidR="007A5309" w:rsidRPr="00DF046D" w:rsidRDefault="007A5309" w:rsidP="00B21EAD">
            <w:pPr>
              <w:pStyle w:val="BayerBodyTextFull"/>
              <w:keepNext/>
              <w:spacing w:before="20" w:after="20"/>
              <w:jc w:val="center"/>
              <w:rPr>
                <w:b/>
              </w:rPr>
            </w:pPr>
            <w:r w:rsidRPr="00DF046D">
              <w:rPr>
                <w:b/>
              </w:rPr>
              <w:t>Placebo %</w:t>
            </w:r>
          </w:p>
          <w:p w:rsidR="007A5309" w:rsidRPr="00DF046D" w:rsidRDefault="007A5309" w:rsidP="00B21EAD">
            <w:pPr>
              <w:pStyle w:val="BayerBodyTextFull"/>
              <w:spacing w:before="20" w:after="20"/>
              <w:jc w:val="center"/>
              <w:rPr>
                <w:sz w:val="22"/>
              </w:rPr>
            </w:pPr>
            <w:r w:rsidRPr="00DF046D">
              <w:rPr>
                <w:b/>
              </w:rPr>
              <w:t>(n = 214)</w:t>
            </w:r>
          </w:p>
        </w:tc>
        <w:tc>
          <w:tcPr>
            <w:tcW w:w="2322" w:type="dxa"/>
            <w:shd w:val="clear" w:color="auto" w:fill="D9D9D9"/>
            <w:vAlign w:val="center"/>
          </w:tcPr>
          <w:p w:rsidR="007A5309" w:rsidRPr="00DF046D" w:rsidRDefault="007A5309" w:rsidP="00B21EAD">
            <w:pPr>
              <w:pStyle w:val="BayerBodyTextFull"/>
              <w:keepNext/>
              <w:spacing w:before="20" w:after="20"/>
              <w:jc w:val="center"/>
              <w:rPr>
                <w:b/>
              </w:rPr>
            </w:pPr>
            <w:r w:rsidRPr="00DF046D">
              <w:rPr>
                <w:b/>
              </w:rPr>
              <w:t>Adempas %</w:t>
            </w:r>
          </w:p>
          <w:p w:rsidR="007A5309" w:rsidRPr="00DF046D" w:rsidRDefault="007A5309" w:rsidP="00B21EAD">
            <w:pPr>
              <w:pStyle w:val="BayerBodyTextFull"/>
              <w:spacing w:before="20" w:after="20"/>
              <w:jc w:val="center"/>
              <w:rPr>
                <w:sz w:val="22"/>
              </w:rPr>
            </w:pPr>
            <w:r w:rsidRPr="00DF046D">
              <w:rPr>
                <w:b/>
              </w:rPr>
              <w:t>(n = 490)</w:t>
            </w:r>
          </w:p>
        </w:tc>
      </w:tr>
      <w:tr w:rsidR="007A5309" w:rsidRPr="00B50C48" w:rsidTr="00DF046D">
        <w:tc>
          <w:tcPr>
            <w:tcW w:w="2321" w:type="dxa"/>
            <w:shd w:val="clear" w:color="auto" w:fill="auto"/>
          </w:tcPr>
          <w:p w:rsidR="007A5309" w:rsidRPr="00DF046D" w:rsidRDefault="007A5309" w:rsidP="00DF046D">
            <w:pPr>
              <w:pStyle w:val="BayerBodyTextFull"/>
              <w:spacing w:before="60" w:after="0" w:line="276" w:lineRule="auto"/>
              <w:rPr>
                <w:sz w:val="22"/>
              </w:rPr>
            </w:pPr>
            <w:r w:rsidRPr="00DF046D">
              <w:rPr>
                <w:b/>
              </w:rPr>
              <w:t>Infections and Infestations</w:t>
            </w:r>
          </w:p>
        </w:tc>
        <w:tc>
          <w:tcPr>
            <w:tcW w:w="2322" w:type="dxa"/>
            <w:shd w:val="clear" w:color="auto" w:fill="auto"/>
          </w:tcPr>
          <w:p w:rsidR="007A5309" w:rsidRPr="00DF046D" w:rsidRDefault="007A5309" w:rsidP="00DF046D">
            <w:pPr>
              <w:pStyle w:val="BayerBodyTextFull"/>
              <w:spacing w:before="60" w:after="0" w:line="276" w:lineRule="auto"/>
              <w:rPr>
                <w:sz w:val="22"/>
              </w:rPr>
            </w:pPr>
            <w:r w:rsidRPr="00B50C48">
              <w:t>Gastroenteritis</w:t>
            </w:r>
          </w:p>
        </w:tc>
        <w:tc>
          <w:tcPr>
            <w:tcW w:w="2322" w:type="dxa"/>
            <w:shd w:val="clear" w:color="auto" w:fill="auto"/>
          </w:tcPr>
          <w:p w:rsidR="007A5309" w:rsidRPr="00DF046D" w:rsidRDefault="007A5309" w:rsidP="00DF046D">
            <w:pPr>
              <w:pStyle w:val="BayerBodyTextFull"/>
              <w:spacing w:before="60" w:after="0" w:line="276" w:lineRule="auto"/>
              <w:jc w:val="center"/>
              <w:rPr>
                <w:sz w:val="22"/>
              </w:rPr>
            </w:pPr>
            <w:r w:rsidRPr="00B50C48">
              <w:t>0.9%</w:t>
            </w:r>
          </w:p>
        </w:tc>
        <w:tc>
          <w:tcPr>
            <w:tcW w:w="2322" w:type="dxa"/>
            <w:shd w:val="clear" w:color="auto" w:fill="auto"/>
          </w:tcPr>
          <w:p w:rsidR="007A5309" w:rsidRPr="00DF046D" w:rsidRDefault="007A5309" w:rsidP="00DF046D">
            <w:pPr>
              <w:pStyle w:val="BayerBodyTextFull"/>
              <w:spacing w:before="60" w:after="0" w:line="276" w:lineRule="auto"/>
              <w:jc w:val="center"/>
              <w:rPr>
                <w:sz w:val="22"/>
              </w:rPr>
            </w:pPr>
            <w:r w:rsidRPr="00B50C48">
              <w:t>2.4%</w:t>
            </w:r>
          </w:p>
        </w:tc>
      </w:tr>
      <w:tr w:rsidR="007A5309" w:rsidRPr="00B50C48" w:rsidTr="00DF046D">
        <w:tc>
          <w:tcPr>
            <w:tcW w:w="2321" w:type="dxa"/>
            <w:shd w:val="clear" w:color="auto" w:fill="auto"/>
          </w:tcPr>
          <w:p w:rsidR="007A5309" w:rsidRPr="00DF046D" w:rsidRDefault="007A5309" w:rsidP="00DF046D">
            <w:pPr>
              <w:pStyle w:val="BayerBodyTextFull"/>
              <w:spacing w:before="60" w:after="0" w:line="276" w:lineRule="auto"/>
              <w:rPr>
                <w:sz w:val="22"/>
              </w:rPr>
            </w:pPr>
            <w:r w:rsidRPr="00DF046D">
              <w:rPr>
                <w:b/>
              </w:rPr>
              <w:t>Blood and lymphatic system disorders</w:t>
            </w:r>
          </w:p>
        </w:tc>
        <w:tc>
          <w:tcPr>
            <w:tcW w:w="2322" w:type="dxa"/>
            <w:tcBorders>
              <w:bottom w:val="single" w:sz="4" w:space="0" w:color="auto"/>
            </w:tcBorders>
            <w:shd w:val="clear" w:color="auto" w:fill="auto"/>
          </w:tcPr>
          <w:p w:rsidR="007A5309" w:rsidRPr="00DF046D" w:rsidRDefault="007A5309" w:rsidP="00DF046D">
            <w:pPr>
              <w:pStyle w:val="BayerBodyTextFull"/>
              <w:spacing w:before="60" w:after="0" w:line="276" w:lineRule="auto"/>
              <w:rPr>
                <w:sz w:val="22"/>
              </w:rPr>
            </w:pPr>
            <w:r w:rsidRPr="00B50C48">
              <w:t>Anaemia (incl. respective laboratory parameters</w:t>
            </w:r>
            <w:r w:rsidRPr="00DF046D">
              <w:rPr>
                <w:i/>
              </w:rPr>
              <w:t>)</w:t>
            </w:r>
          </w:p>
        </w:tc>
        <w:tc>
          <w:tcPr>
            <w:tcW w:w="2322" w:type="dxa"/>
            <w:tcBorders>
              <w:bottom w:val="single" w:sz="4" w:space="0" w:color="auto"/>
            </w:tcBorders>
            <w:shd w:val="clear" w:color="auto" w:fill="auto"/>
          </w:tcPr>
          <w:p w:rsidR="007A5309" w:rsidRPr="00DF046D" w:rsidRDefault="007A5309" w:rsidP="00DF046D">
            <w:pPr>
              <w:pStyle w:val="BayerBodyTextFull"/>
              <w:spacing w:before="60" w:after="0" w:line="276" w:lineRule="auto"/>
              <w:jc w:val="center"/>
              <w:rPr>
                <w:sz w:val="22"/>
              </w:rPr>
            </w:pPr>
            <w:r w:rsidRPr="00B50C48">
              <w:t>2.3%</w:t>
            </w:r>
          </w:p>
        </w:tc>
        <w:tc>
          <w:tcPr>
            <w:tcW w:w="2322" w:type="dxa"/>
            <w:tcBorders>
              <w:bottom w:val="single" w:sz="4" w:space="0" w:color="auto"/>
            </w:tcBorders>
            <w:shd w:val="clear" w:color="auto" w:fill="auto"/>
          </w:tcPr>
          <w:p w:rsidR="007A5309" w:rsidRPr="00DF046D" w:rsidRDefault="007A5309" w:rsidP="00DF046D">
            <w:pPr>
              <w:pStyle w:val="BayerBodyTextFull"/>
              <w:spacing w:before="60" w:after="0" w:line="276" w:lineRule="auto"/>
              <w:jc w:val="center"/>
              <w:rPr>
                <w:sz w:val="22"/>
              </w:rPr>
            </w:pPr>
            <w:r w:rsidRPr="00B50C48">
              <w:t>6.7%</w:t>
            </w:r>
          </w:p>
        </w:tc>
      </w:tr>
      <w:tr w:rsidR="00447EE9" w:rsidRPr="00B50C48" w:rsidTr="00DF046D">
        <w:trPr>
          <w:trHeight w:val="296"/>
        </w:trPr>
        <w:tc>
          <w:tcPr>
            <w:tcW w:w="2321" w:type="dxa"/>
            <w:vMerge w:val="restart"/>
            <w:tcBorders>
              <w:right w:val="single" w:sz="4" w:space="0" w:color="auto"/>
            </w:tcBorders>
            <w:shd w:val="clear" w:color="auto" w:fill="auto"/>
          </w:tcPr>
          <w:p w:rsidR="00447EE9" w:rsidRPr="00DF046D" w:rsidRDefault="00447EE9" w:rsidP="00DF046D">
            <w:pPr>
              <w:pStyle w:val="BayerBodyTextFull"/>
              <w:spacing w:before="60" w:after="0" w:line="276" w:lineRule="auto"/>
              <w:rPr>
                <w:sz w:val="22"/>
              </w:rPr>
            </w:pPr>
            <w:r w:rsidRPr="00DF046D">
              <w:rPr>
                <w:b/>
              </w:rPr>
              <w:t>Nervous system disorders</w:t>
            </w:r>
          </w:p>
        </w:tc>
        <w:tc>
          <w:tcPr>
            <w:tcW w:w="2322" w:type="dxa"/>
            <w:tcBorders>
              <w:top w:val="single" w:sz="4" w:space="0" w:color="auto"/>
              <w:left w:val="single" w:sz="4" w:space="0" w:color="auto"/>
              <w:bottom w:val="nil"/>
              <w:right w:val="single" w:sz="4" w:space="0" w:color="auto"/>
            </w:tcBorders>
            <w:shd w:val="clear" w:color="auto" w:fill="auto"/>
          </w:tcPr>
          <w:p w:rsidR="00447EE9" w:rsidRPr="00DF046D" w:rsidRDefault="00447EE9" w:rsidP="00DF046D">
            <w:pPr>
              <w:pStyle w:val="BayerBodyTextFull"/>
              <w:keepNext/>
              <w:spacing w:before="60" w:after="0" w:line="276" w:lineRule="auto"/>
              <w:rPr>
                <w:sz w:val="22"/>
              </w:rPr>
            </w:pPr>
            <w:r w:rsidRPr="00B50C48">
              <w:t>Headache</w:t>
            </w:r>
          </w:p>
        </w:tc>
        <w:tc>
          <w:tcPr>
            <w:tcW w:w="2322" w:type="dxa"/>
            <w:tcBorders>
              <w:top w:val="single" w:sz="4" w:space="0" w:color="auto"/>
              <w:left w:val="single" w:sz="4" w:space="0" w:color="auto"/>
              <w:bottom w:val="nil"/>
              <w:right w:val="single" w:sz="4" w:space="0" w:color="auto"/>
            </w:tcBorders>
            <w:shd w:val="clear" w:color="auto" w:fill="auto"/>
          </w:tcPr>
          <w:p w:rsidR="00447EE9" w:rsidRPr="00DF046D" w:rsidRDefault="00447EE9" w:rsidP="00DF046D">
            <w:pPr>
              <w:pStyle w:val="BayerBodyTextFull"/>
              <w:keepNext/>
              <w:spacing w:before="60" w:after="0" w:line="276" w:lineRule="auto"/>
              <w:jc w:val="center"/>
              <w:rPr>
                <w:sz w:val="22"/>
              </w:rPr>
            </w:pPr>
            <w:r w:rsidRPr="00B50C48">
              <w:t>17.8%</w:t>
            </w:r>
          </w:p>
        </w:tc>
        <w:tc>
          <w:tcPr>
            <w:tcW w:w="2322" w:type="dxa"/>
            <w:tcBorders>
              <w:top w:val="single" w:sz="4" w:space="0" w:color="auto"/>
              <w:left w:val="single" w:sz="4" w:space="0" w:color="auto"/>
              <w:bottom w:val="nil"/>
              <w:right w:val="single" w:sz="4" w:space="0" w:color="auto"/>
            </w:tcBorders>
            <w:shd w:val="clear" w:color="auto" w:fill="auto"/>
          </w:tcPr>
          <w:p w:rsidR="00447EE9" w:rsidRPr="00DF046D" w:rsidRDefault="00447EE9" w:rsidP="00DF046D">
            <w:pPr>
              <w:pStyle w:val="BayerBodyTextFull"/>
              <w:keepNext/>
              <w:spacing w:before="60" w:after="0" w:line="276" w:lineRule="auto"/>
              <w:jc w:val="center"/>
              <w:rPr>
                <w:sz w:val="22"/>
              </w:rPr>
            </w:pPr>
            <w:r w:rsidRPr="00B50C48">
              <w:t>26.9%</w:t>
            </w:r>
          </w:p>
        </w:tc>
      </w:tr>
      <w:tr w:rsidR="00447EE9" w:rsidRPr="00B50C48" w:rsidTr="00DF046D">
        <w:tc>
          <w:tcPr>
            <w:tcW w:w="2321" w:type="dxa"/>
            <w:vMerge/>
            <w:tcBorders>
              <w:right w:val="single" w:sz="4" w:space="0" w:color="auto"/>
            </w:tcBorders>
            <w:shd w:val="clear" w:color="auto" w:fill="auto"/>
          </w:tcPr>
          <w:p w:rsidR="00447EE9" w:rsidRPr="00DF046D" w:rsidRDefault="00447EE9" w:rsidP="00DF046D">
            <w:pPr>
              <w:pStyle w:val="BayerBodyTextFull"/>
              <w:spacing w:before="60" w:after="0" w:line="276" w:lineRule="auto"/>
              <w:jc w:val="both"/>
              <w:rPr>
                <w:b/>
              </w:rPr>
            </w:pPr>
          </w:p>
        </w:tc>
        <w:tc>
          <w:tcPr>
            <w:tcW w:w="2322" w:type="dxa"/>
            <w:tcBorders>
              <w:top w:val="nil"/>
              <w:left w:val="single" w:sz="4" w:space="0" w:color="auto"/>
              <w:bottom w:val="single" w:sz="4" w:space="0" w:color="auto"/>
              <w:right w:val="single" w:sz="4" w:space="0" w:color="auto"/>
            </w:tcBorders>
            <w:shd w:val="clear" w:color="auto" w:fill="auto"/>
          </w:tcPr>
          <w:p w:rsidR="00447EE9" w:rsidRPr="00B50C48" w:rsidRDefault="00447EE9" w:rsidP="00DF046D">
            <w:pPr>
              <w:pStyle w:val="BayerBodyTextFull"/>
              <w:spacing w:before="60" w:after="0" w:line="276" w:lineRule="auto"/>
            </w:pPr>
            <w:r w:rsidRPr="00B50C48">
              <w:t>Dizziness</w:t>
            </w:r>
          </w:p>
        </w:tc>
        <w:tc>
          <w:tcPr>
            <w:tcW w:w="2322" w:type="dxa"/>
            <w:tcBorders>
              <w:top w:val="nil"/>
              <w:left w:val="single" w:sz="4" w:space="0" w:color="auto"/>
              <w:bottom w:val="single" w:sz="4" w:space="0" w:color="auto"/>
              <w:right w:val="single" w:sz="4" w:space="0" w:color="auto"/>
            </w:tcBorders>
            <w:shd w:val="clear" w:color="auto" w:fill="auto"/>
          </w:tcPr>
          <w:p w:rsidR="00447EE9" w:rsidRPr="00B50C48" w:rsidRDefault="00447EE9" w:rsidP="00DF046D">
            <w:pPr>
              <w:pStyle w:val="BayerBodyTextFull"/>
              <w:spacing w:before="60" w:after="0" w:line="276" w:lineRule="auto"/>
              <w:jc w:val="center"/>
            </w:pPr>
            <w:r w:rsidRPr="00B50C48">
              <w:t>13.1%</w:t>
            </w:r>
          </w:p>
        </w:tc>
        <w:tc>
          <w:tcPr>
            <w:tcW w:w="2322" w:type="dxa"/>
            <w:tcBorders>
              <w:top w:val="nil"/>
              <w:left w:val="single" w:sz="4" w:space="0" w:color="auto"/>
              <w:bottom w:val="single" w:sz="4" w:space="0" w:color="auto"/>
              <w:right w:val="single" w:sz="4" w:space="0" w:color="auto"/>
            </w:tcBorders>
            <w:shd w:val="clear" w:color="auto" w:fill="auto"/>
          </w:tcPr>
          <w:p w:rsidR="00447EE9" w:rsidRPr="00B50C48" w:rsidRDefault="00447EE9" w:rsidP="00DF046D">
            <w:pPr>
              <w:pStyle w:val="BayerBodyTextFull"/>
              <w:spacing w:before="60" w:after="0" w:line="276" w:lineRule="auto"/>
              <w:jc w:val="center"/>
            </w:pPr>
            <w:r w:rsidRPr="00B50C48">
              <w:t>19.8%</w:t>
            </w:r>
          </w:p>
        </w:tc>
      </w:tr>
      <w:tr w:rsidR="007A5309" w:rsidRPr="00B50C48" w:rsidTr="00DF046D">
        <w:tc>
          <w:tcPr>
            <w:tcW w:w="2321" w:type="dxa"/>
            <w:shd w:val="clear" w:color="auto" w:fill="auto"/>
          </w:tcPr>
          <w:p w:rsidR="007A5309" w:rsidRPr="00DF046D" w:rsidRDefault="007A5309" w:rsidP="00DF046D">
            <w:pPr>
              <w:pStyle w:val="BayerBodyTextFull"/>
              <w:spacing w:before="60" w:after="0" w:line="276" w:lineRule="auto"/>
              <w:jc w:val="both"/>
              <w:rPr>
                <w:b/>
              </w:rPr>
            </w:pPr>
            <w:r w:rsidRPr="00DF046D">
              <w:rPr>
                <w:b/>
              </w:rPr>
              <w:t>Cardiac disorders</w:t>
            </w:r>
          </w:p>
        </w:tc>
        <w:tc>
          <w:tcPr>
            <w:tcW w:w="2322" w:type="dxa"/>
            <w:tcBorders>
              <w:top w:val="single" w:sz="4" w:space="0" w:color="auto"/>
            </w:tcBorders>
            <w:shd w:val="clear" w:color="auto" w:fill="auto"/>
          </w:tcPr>
          <w:p w:rsidR="007A5309" w:rsidRPr="00DF046D" w:rsidRDefault="007A5309" w:rsidP="00DF046D">
            <w:pPr>
              <w:pStyle w:val="BayerBodyTextFull"/>
              <w:spacing w:before="60" w:after="0" w:line="276" w:lineRule="auto"/>
              <w:rPr>
                <w:sz w:val="22"/>
              </w:rPr>
            </w:pPr>
            <w:r w:rsidRPr="00B50C48">
              <w:t>Palpitations</w:t>
            </w:r>
          </w:p>
        </w:tc>
        <w:tc>
          <w:tcPr>
            <w:tcW w:w="2322" w:type="dxa"/>
            <w:tcBorders>
              <w:top w:val="single" w:sz="4" w:space="0" w:color="auto"/>
            </w:tcBorders>
            <w:shd w:val="clear" w:color="auto" w:fill="auto"/>
          </w:tcPr>
          <w:p w:rsidR="007A5309" w:rsidRPr="00DF046D" w:rsidRDefault="007A5309" w:rsidP="00DF046D">
            <w:pPr>
              <w:pStyle w:val="BayerBodyTextFull"/>
              <w:spacing w:before="60" w:after="0" w:line="276" w:lineRule="auto"/>
              <w:jc w:val="center"/>
              <w:rPr>
                <w:sz w:val="22"/>
              </w:rPr>
            </w:pPr>
            <w:r w:rsidRPr="00B50C48">
              <w:t>4.7%</w:t>
            </w:r>
          </w:p>
        </w:tc>
        <w:tc>
          <w:tcPr>
            <w:tcW w:w="2322" w:type="dxa"/>
            <w:tcBorders>
              <w:top w:val="single" w:sz="4" w:space="0" w:color="auto"/>
            </w:tcBorders>
            <w:shd w:val="clear" w:color="auto" w:fill="auto"/>
          </w:tcPr>
          <w:p w:rsidR="007A5309" w:rsidRPr="00DF046D" w:rsidRDefault="007A5309" w:rsidP="00DF046D">
            <w:pPr>
              <w:pStyle w:val="BayerBodyTextFull"/>
              <w:spacing w:before="60" w:after="0" w:line="276" w:lineRule="auto"/>
              <w:jc w:val="center"/>
              <w:rPr>
                <w:sz w:val="22"/>
              </w:rPr>
            </w:pPr>
            <w:r w:rsidRPr="00B50C48">
              <w:t>6.3%</w:t>
            </w:r>
          </w:p>
        </w:tc>
      </w:tr>
      <w:tr w:rsidR="007A5309" w:rsidRPr="00B50C48" w:rsidTr="00DF046D">
        <w:tc>
          <w:tcPr>
            <w:tcW w:w="2321" w:type="dxa"/>
            <w:shd w:val="clear" w:color="auto" w:fill="auto"/>
          </w:tcPr>
          <w:p w:rsidR="007A5309" w:rsidRPr="00DF046D" w:rsidRDefault="007A5309" w:rsidP="00DF046D">
            <w:pPr>
              <w:pStyle w:val="BayerBodyTextFull"/>
              <w:spacing w:before="60" w:after="0" w:line="276" w:lineRule="auto"/>
              <w:jc w:val="both"/>
              <w:rPr>
                <w:b/>
              </w:rPr>
            </w:pPr>
            <w:r w:rsidRPr="00DF046D">
              <w:rPr>
                <w:b/>
              </w:rPr>
              <w:t>Vascular disorders</w:t>
            </w:r>
          </w:p>
        </w:tc>
        <w:tc>
          <w:tcPr>
            <w:tcW w:w="2322" w:type="dxa"/>
            <w:tcBorders>
              <w:bottom w:val="single" w:sz="4" w:space="0" w:color="auto"/>
            </w:tcBorders>
            <w:shd w:val="clear" w:color="auto" w:fill="auto"/>
          </w:tcPr>
          <w:p w:rsidR="007A5309" w:rsidRPr="00DF046D" w:rsidRDefault="007A5309" w:rsidP="00DF046D">
            <w:pPr>
              <w:pStyle w:val="BayerBodyTextFull"/>
              <w:spacing w:before="60" w:after="0" w:line="276" w:lineRule="auto"/>
              <w:rPr>
                <w:sz w:val="22"/>
              </w:rPr>
            </w:pPr>
            <w:r w:rsidRPr="00B50C48">
              <w:t>Hypotension</w:t>
            </w:r>
          </w:p>
        </w:tc>
        <w:tc>
          <w:tcPr>
            <w:tcW w:w="2322" w:type="dxa"/>
            <w:tcBorders>
              <w:bottom w:val="single" w:sz="4" w:space="0" w:color="auto"/>
            </w:tcBorders>
            <w:shd w:val="clear" w:color="auto" w:fill="auto"/>
          </w:tcPr>
          <w:p w:rsidR="007A5309" w:rsidRPr="00DF046D" w:rsidRDefault="007A5309" w:rsidP="00DF046D">
            <w:pPr>
              <w:pStyle w:val="BayerBodyTextFull"/>
              <w:spacing w:before="60" w:after="0" w:line="276" w:lineRule="auto"/>
              <w:jc w:val="center"/>
              <w:rPr>
                <w:sz w:val="22"/>
              </w:rPr>
            </w:pPr>
            <w:r w:rsidRPr="00B50C48">
              <w:t>3.7%</w:t>
            </w:r>
          </w:p>
        </w:tc>
        <w:tc>
          <w:tcPr>
            <w:tcW w:w="2322" w:type="dxa"/>
            <w:tcBorders>
              <w:bottom w:val="single" w:sz="4" w:space="0" w:color="auto"/>
            </w:tcBorders>
            <w:shd w:val="clear" w:color="auto" w:fill="auto"/>
          </w:tcPr>
          <w:p w:rsidR="007A5309" w:rsidRPr="00DF046D" w:rsidRDefault="007A5309" w:rsidP="00DF046D">
            <w:pPr>
              <w:pStyle w:val="BayerBodyTextFull"/>
              <w:spacing w:before="60" w:after="0" w:line="276" w:lineRule="auto"/>
              <w:jc w:val="center"/>
              <w:rPr>
                <w:sz w:val="22"/>
              </w:rPr>
            </w:pPr>
            <w:r w:rsidRPr="00B50C48">
              <w:t>9.8%</w:t>
            </w:r>
          </w:p>
        </w:tc>
      </w:tr>
      <w:tr w:rsidR="007A5309" w:rsidRPr="00B50C48" w:rsidTr="00DF046D">
        <w:trPr>
          <w:trHeight w:val="258"/>
        </w:trPr>
        <w:tc>
          <w:tcPr>
            <w:tcW w:w="2321" w:type="dxa"/>
            <w:vMerge w:val="restart"/>
            <w:tcBorders>
              <w:right w:val="single" w:sz="4" w:space="0" w:color="auto"/>
            </w:tcBorders>
            <w:shd w:val="clear" w:color="auto" w:fill="auto"/>
          </w:tcPr>
          <w:p w:rsidR="007A5309" w:rsidRPr="00DF046D" w:rsidRDefault="007A5309" w:rsidP="00DF046D">
            <w:pPr>
              <w:pStyle w:val="BayerBodyTextFull"/>
              <w:spacing w:before="60" w:after="0" w:line="276" w:lineRule="auto"/>
              <w:rPr>
                <w:b/>
              </w:rPr>
            </w:pPr>
            <w:r w:rsidRPr="00DF046D">
              <w:rPr>
                <w:b/>
              </w:rPr>
              <w:lastRenderedPageBreak/>
              <w:t>Respiratory, thoracic and mediastinal disorders</w:t>
            </w:r>
          </w:p>
        </w:tc>
        <w:tc>
          <w:tcPr>
            <w:tcW w:w="2322" w:type="dxa"/>
            <w:tcBorders>
              <w:top w:val="single" w:sz="4" w:space="0" w:color="auto"/>
              <w:left w:val="single" w:sz="4" w:space="0" w:color="auto"/>
              <w:bottom w:val="nil"/>
              <w:right w:val="single" w:sz="4" w:space="0" w:color="auto"/>
            </w:tcBorders>
            <w:shd w:val="clear" w:color="auto" w:fill="auto"/>
          </w:tcPr>
          <w:p w:rsidR="007A5309" w:rsidRPr="00B50C48" w:rsidRDefault="007A5309" w:rsidP="00DF046D">
            <w:pPr>
              <w:pStyle w:val="BayerTableStyleLeftJustified"/>
              <w:spacing w:before="60" w:line="276" w:lineRule="auto"/>
            </w:pPr>
            <w:r w:rsidRPr="00B50C48">
              <w:t>Nasal congestion</w:t>
            </w:r>
          </w:p>
        </w:tc>
        <w:tc>
          <w:tcPr>
            <w:tcW w:w="2322" w:type="dxa"/>
            <w:tcBorders>
              <w:top w:val="single" w:sz="4" w:space="0" w:color="auto"/>
              <w:left w:val="single" w:sz="4" w:space="0" w:color="auto"/>
              <w:bottom w:val="nil"/>
              <w:right w:val="single" w:sz="4" w:space="0" w:color="auto"/>
            </w:tcBorders>
            <w:shd w:val="clear" w:color="auto" w:fill="auto"/>
          </w:tcPr>
          <w:p w:rsidR="007A5309" w:rsidRPr="00DF046D" w:rsidRDefault="007A5309" w:rsidP="00DF046D">
            <w:pPr>
              <w:pStyle w:val="BayerBodyTextFull"/>
              <w:keepNext/>
              <w:spacing w:before="60" w:after="0" w:line="276" w:lineRule="auto"/>
              <w:jc w:val="center"/>
              <w:rPr>
                <w:sz w:val="22"/>
              </w:rPr>
            </w:pPr>
            <w:r w:rsidRPr="00B50C48">
              <w:t>2.8%</w:t>
            </w:r>
          </w:p>
        </w:tc>
        <w:tc>
          <w:tcPr>
            <w:tcW w:w="2322" w:type="dxa"/>
            <w:tcBorders>
              <w:top w:val="single" w:sz="4" w:space="0" w:color="auto"/>
              <w:left w:val="single" w:sz="4" w:space="0" w:color="auto"/>
              <w:bottom w:val="nil"/>
              <w:right w:val="single" w:sz="4" w:space="0" w:color="auto"/>
            </w:tcBorders>
            <w:shd w:val="clear" w:color="auto" w:fill="auto"/>
          </w:tcPr>
          <w:p w:rsidR="007A5309" w:rsidRPr="00DF046D" w:rsidRDefault="007A5309" w:rsidP="00DF046D">
            <w:pPr>
              <w:pStyle w:val="BayerBodyTextFull"/>
              <w:keepNext/>
              <w:spacing w:before="60" w:after="0" w:line="276" w:lineRule="auto"/>
              <w:jc w:val="center"/>
              <w:rPr>
                <w:sz w:val="22"/>
              </w:rPr>
            </w:pPr>
            <w:r w:rsidRPr="00B50C48">
              <w:t>4.3%</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Epistaxis</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1.4%</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2.9%</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single" w:sz="4" w:space="0" w:color="auto"/>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Haemoptysis</w:t>
            </w:r>
          </w:p>
        </w:tc>
        <w:tc>
          <w:tcPr>
            <w:tcW w:w="2322" w:type="dxa"/>
            <w:tcBorders>
              <w:top w:val="nil"/>
              <w:left w:val="single" w:sz="4" w:space="0" w:color="auto"/>
              <w:bottom w:val="single" w:sz="4" w:space="0" w:color="auto"/>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0.9%</w:t>
            </w:r>
          </w:p>
        </w:tc>
        <w:tc>
          <w:tcPr>
            <w:tcW w:w="2322" w:type="dxa"/>
            <w:tcBorders>
              <w:top w:val="nil"/>
              <w:left w:val="single" w:sz="4" w:space="0" w:color="auto"/>
              <w:bottom w:val="single" w:sz="4" w:space="0" w:color="auto"/>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2.0%</w:t>
            </w:r>
          </w:p>
        </w:tc>
      </w:tr>
      <w:tr w:rsidR="007A5309" w:rsidRPr="00B50C48" w:rsidTr="00DF046D">
        <w:tc>
          <w:tcPr>
            <w:tcW w:w="2321" w:type="dxa"/>
            <w:vMerge w:val="restart"/>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r w:rsidRPr="00DF046D">
              <w:rPr>
                <w:b/>
              </w:rPr>
              <w:t>Gastrointestinal disorders</w:t>
            </w:r>
          </w:p>
        </w:tc>
        <w:tc>
          <w:tcPr>
            <w:tcW w:w="2322" w:type="dxa"/>
            <w:tcBorders>
              <w:top w:val="single" w:sz="4" w:space="0" w:color="auto"/>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Dyspepsia</w:t>
            </w:r>
          </w:p>
        </w:tc>
        <w:tc>
          <w:tcPr>
            <w:tcW w:w="2322" w:type="dxa"/>
            <w:tcBorders>
              <w:top w:val="single" w:sz="4" w:space="0" w:color="auto"/>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8.4%</w:t>
            </w:r>
          </w:p>
        </w:tc>
        <w:tc>
          <w:tcPr>
            <w:tcW w:w="2322" w:type="dxa"/>
            <w:tcBorders>
              <w:top w:val="single" w:sz="4" w:space="0" w:color="auto"/>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18.6%</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Nausea</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10.7%</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14.1%</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Diarrhoea</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7.9%</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12.0%</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Vomiting</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6.5%</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10.2%</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Gastrointestinal and abdominal pains</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7.0%</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9.4%</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Gastrooesophageal          reflux disease</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1.9%</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5.1%</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Constipation</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1.4%</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4.5%</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Gastritis</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0%</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2.9%</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pPr>
            <w:r w:rsidRPr="00B50C48">
              <w:t>Dysphagia</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0%</w:t>
            </w:r>
          </w:p>
        </w:tc>
        <w:tc>
          <w:tcPr>
            <w:tcW w:w="2322" w:type="dxa"/>
            <w:tcBorders>
              <w:top w:val="nil"/>
              <w:left w:val="single" w:sz="4" w:space="0" w:color="auto"/>
              <w:bottom w:val="nil"/>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2.2%</w:t>
            </w:r>
          </w:p>
        </w:tc>
      </w:tr>
      <w:tr w:rsidR="007A5309" w:rsidRPr="00B50C48" w:rsidTr="00DF046D">
        <w:tc>
          <w:tcPr>
            <w:tcW w:w="2321" w:type="dxa"/>
            <w:vMerge/>
            <w:tcBorders>
              <w:right w:val="single" w:sz="4" w:space="0" w:color="auto"/>
            </w:tcBorders>
            <w:shd w:val="clear" w:color="auto" w:fill="auto"/>
          </w:tcPr>
          <w:p w:rsidR="007A5309" w:rsidRPr="00DF046D" w:rsidRDefault="007A5309" w:rsidP="00DF046D">
            <w:pPr>
              <w:pStyle w:val="BayerBodyTextFull"/>
              <w:spacing w:before="60" w:after="0" w:line="276" w:lineRule="auto"/>
              <w:jc w:val="both"/>
              <w:rPr>
                <w:b/>
              </w:rPr>
            </w:pPr>
          </w:p>
        </w:tc>
        <w:tc>
          <w:tcPr>
            <w:tcW w:w="2322" w:type="dxa"/>
            <w:tcBorders>
              <w:top w:val="nil"/>
              <w:left w:val="single" w:sz="4" w:space="0" w:color="auto"/>
              <w:bottom w:val="single" w:sz="4" w:space="0" w:color="auto"/>
              <w:right w:val="single" w:sz="4" w:space="0" w:color="auto"/>
            </w:tcBorders>
            <w:shd w:val="clear" w:color="auto" w:fill="auto"/>
          </w:tcPr>
          <w:p w:rsidR="00923DCF" w:rsidRPr="00B50C48" w:rsidRDefault="007A5309" w:rsidP="003F1DC3">
            <w:pPr>
              <w:pStyle w:val="BayerBodyTextFull"/>
              <w:keepNext/>
              <w:spacing w:before="60" w:after="0" w:line="276" w:lineRule="auto"/>
            </w:pPr>
            <w:r w:rsidRPr="00B50C48">
              <w:t>Abdominal distension</w:t>
            </w:r>
          </w:p>
        </w:tc>
        <w:tc>
          <w:tcPr>
            <w:tcW w:w="2322" w:type="dxa"/>
            <w:tcBorders>
              <w:top w:val="nil"/>
              <w:left w:val="single" w:sz="4" w:space="0" w:color="auto"/>
              <w:bottom w:val="single" w:sz="4" w:space="0" w:color="auto"/>
              <w:righ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0.5%</w:t>
            </w:r>
          </w:p>
        </w:tc>
        <w:tc>
          <w:tcPr>
            <w:tcW w:w="2322" w:type="dxa"/>
            <w:tcBorders>
              <w:top w:val="nil"/>
              <w:left w:val="single" w:sz="4" w:space="0" w:color="auto"/>
            </w:tcBorders>
            <w:shd w:val="clear" w:color="auto" w:fill="auto"/>
          </w:tcPr>
          <w:p w:rsidR="007A5309" w:rsidRPr="00B50C48" w:rsidRDefault="007A5309" w:rsidP="00DF046D">
            <w:pPr>
              <w:pStyle w:val="BayerBodyTextFull"/>
              <w:keepNext/>
              <w:spacing w:before="60" w:after="0" w:line="276" w:lineRule="auto"/>
              <w:jc w:val="center"/>
            </w:pPr>
            <w:r w:rsidRPr="00B50C48">
              <w:t>2.0%</w:t>
            </w:r>
          </w:p>
        </w:tc>
      </w:tr>
      <w:tr w:rsidR="007A5309" w:rsidRPr="00B50C48" w:rsidTr="002E3024">
        <w:tc>
          <w:tcPr>
            <w:tcW w:w="2321" w:type="dxa"/>
            <w:shd w:val="clear" w:color="auto" w:fill="auto"/>
          </w:tcPr>
          <w:p w:rsidR="007A5309" w:rsidRPr="00DF046D" w:rsidRDefault="007A5309" w:rsidP="003F1DC3">
            <w:pPr>
              <w:pStyle w:val="BayerBodyTextFull"/>
              <w:keepNext/>
              <w:spacing w:before="60" w:after="0" w:line="276" w:lineRule="auto"/>
              <w:rPr>
                <w:b/>
              </w:rPr>
            </w:pPr>
            <w:r w:rsidRPr="00DF046D">
              <w:rPr>
                <w:b/>
              </w:rPr>
              <w:t>General disorders and administration site conditions</w:t>
            </w:r>
          </w:p>
        </w:tc>
        <w:tc>
          <w:tcPr>
            <w:tcW w:w="2322" w:type="dxa"/>
            <w:tcBorders>
              <w:top w:val="single" w:sz="4" w:space="0" w:color="auto"/>
              <w:bottom w:val="single" w:sz="4" w:space="0" w:color="auto"/>
            </w:tcBorders>
            <w:shd w:val="clear" w:color="auto" w:fill="auto"/>
          </w:tcPr>
          <w:p w:rsidR="007A5309" w:rsidRPr="00DF046D" w:rsidRDefault="007A5309" w:rsidP="003F1DC3">
            <w:pPr>
              <w:pStyle w:val="BayerBodyTextFull"/>
              <w:keepNext/>
              <w:spacing w:before="60" w:after="0" w:line="276" w:lineRule="auto"/>
              <w:rPr>
                <w:sz w:val="22"/>
              </w:rPr>
            </w:pPr>
            <w:r w:rsidRPr="00B50C48">
              <w:t>Oedema peripheral</w:t>
            </w:r>
          </w:p>
        </w:tc>
        <w:tc>
          <w:tcPr>
            <w:tcW w:w="2322" w:type="dxa"/>
            <w:tcBorders>
              <w:top w:val="single" w:sz="4" w:space="0" w:color="auto"/>
              <w:bottom w:val="single" w:sz="4" w:space="0" w:color="auto"/>
            </w:tcBorders>
            <w:shd w:val="clear" w:color="auto" w:fill="auto"/>
          </w:tcPr>
          <w:p w:rsidR="007A5309" w:rsidRPr="00DF046D" w:rsidRDefault="007A5309" w:rsidP="003F1DC3">
            <w:pPr>
              <w:pStyle w:val="BayerBodyTextFull"/>
              <w:keepNext/>
              <w:spacing w:before="60" w:after="0" w:line="276" w:lineRule="auto"/>
              <w:jc w:val="center"/>
              <w:rPr>
                <w:sz w:val="22"/>
              </w:rPr>
            </w:pPr>
            <w:r w:rsidRPr="00B50C48">
              <w:t>15.0%</w:t>
            </w:r>
          </w:p>
        </w:tc>
        <w:tc>
          <w:tcPr>
            <w:tcW w:w="2322" w:type="dxa"/>
            <w:shd w:val="clear" w:color="auto" w:fill="auto"/>
          </w:tcPr>
          <w:p w:rsidR="007A5309" w:rsidRPr="00DF046D" w:rsidRDefault="007A5309" w:rsidP="003F1DC3">
            <w:pPr>
              <w:pStyle w:val="BayerBodyTextFull"/>
              <w:keepNext/>
              <w:spacing w:before="60" w:after="0" w:line="276" w:lineRule="auto"/>
              <w:jc w:val="center"/>
              <w:rPr>
                <w:sz w:val="22"/>
              </w:rPr>
            </w:pPr>
            <w:r w:rsidRPr="00B50C48">
              <w:t>17.3%</w:t>
            </w:r>
          </w:p>
        </w:tc>
      </w:tr>
    </w:tbl>
    <w:p w:rsidR="007A5309" w:rsidRPr="00B50C48" w:rsidRDefault="007A5309" w:rsidP="00372C13">
      <w:pPr>
        <w:pStyle w:val="BayerBodyTextFull"/>
        <w:spacing w:after="0" w:line="276" w:lineRule="auto"/>
        <w:jc w:val="both"/>
        <w:rPr>
          <w:sz w:val="22"/>
        </w:rPr>
      </w:pPr>
    </w:p>
    <w:p w:rsidR="00B21EAD" w:rsidRDefault="00D65B78" w:rsidP="00B21EAD">
      <w:pPr>
        <w:spacing w:after="240"/>
        <w:rPr>
          <w:b/>
          <w:sz w:val="22"/>
        </w:rPr>
      </w:pPr>
      <w:r w:rsidRPr="00B50C48">
        <w:rPr>
          <w:b/>
          <w:sz w:val="22"/>
        </w:rPr>
        <w:t>Less frequent Adverse Drug Reactions &lt; 1% in the Phase III studies:</w:t>
      </w:r>
    </w:p>
    <w:tbl>
      <w:tblPr>
        <w:tblW w:w="9287" w:type="dxa"/>
        <w:tblInd w:w="-34" w:type="dxa"/>
        <w:tblLook w:val="04A0" w:firstRow="1" w:lastRow="0" w:firstColumn="1" w:lastColumn="0" w:noHBand="0" w:noVBand="1"/>
      </w:tblPr>
      <w:tblGrid>
        <w:gridCol w:w="4643"/>
        <w:gridCol w:w="4644"/>
      </w:tblGrid>
      <w:tr w:rsidR="00B21EAD" w:rsidRPr="00A920A6" w:rsidTr="00A920A6">
        <w:tc>
          <w:tcPr>
            <w:tcW w:w="4643" w:type="dxa"/>
            <w:shd w:val="clear" w:color="auto" w:fill="auto"/>
          </w:tcPr>
          <w:p w:rsidR="00B21EAD" w:rsidRPr="00A920A6" w:rsidRDefault="00B21EAD" w:rsidP="00CA0102">
            <w:pPr>
              <w:rPr>
                <w:b/>
                <w:sz w:val="22"/>
              </w:rPr>
            </w:pPr>
            <w:r w:rsidRPr="00A920A6">
              <w:rPr>
                <w:b/>
                <w:sz w:val="22"/>
              </w:rPr>
              <w:t>Respiratory, thoracic and mediastinal disorders:</w:t>
            </w:r>
          </w:p>
        </w:tc>
        <w:tc>
          <w:tcPr>
            <w:tcW w:w="4644" w:type="dxa"/>
            <w:shd w:val="clear" w:color="auto" w:fill="auto"/>
          </w:tcPr>
          <w:p w:rsidR="00B21EAD" w:rsidRPr="00A920A6" w:rsidRDefault="00B21EAD" w:rsidP="00CA0102">
            <w:pPr>
              <w:rPr>
                <w:b/>
                <w:sz w:val="22"/>
              </w:rPr>
            </w:pPr>
            <w:r w:rsidRPr="00A920A6">
              <w:rPr>
                <w:sz w:val="22"/>
              </w:rPr>
              <w:t>pulmonary haemorrhage*</w:t>
            </w:r>
          </w:p>
        </w:tc>
      </w:tr>
    </w:tbl>
    <w:p w:rsidR="00B21EAD" w:rsidRDefault="00B21EAD" w:rsidP="00CA0102">
      <w:pPr>
        <w:rPr>
          <w:b/>
          <w:sz w:val="22"/>
        </w:rPr>
      </w:pPr>
    </w:p>
    <w:p w:rsidR="00B21EAD" w:rsidRPr="00B21EAD" w:rsidRDefault="00B21EAD" w:rsidP="00B21EAD">
      <w:pPr>
        <w:pStyle w:val="BayerTableFootnote"/>
        <w:keepLines/>
        <w:spacing w:after="240"/>
        <w:ind w:left="0" w:firstLine="0"/>
        <w:rPr>
          <w:lang w:val="en-AU"/>
        </w:rPr>
      </w:pPr>
      <w:r w:rsidRPr="00B50C48">
        <w:rPr>
          <w:lang w:val="en-AU"/>
        </w:rPr>
        <w:t>* fatal pulmonary haemorrhage was reported in uncontrolled long term extension studies</w:t>
      </w:r>
    </w:p>
    <w:p w:rsidR="00B21EAD" w:rsidRPr="001D76FF" w:rsidRDefault="00B21EAD" w:rsidP="00B21EAD">
      <w:pPr>
        <w:pStyle w:val="BayerTableFootnote"/>
        <w:keepLines/>
        <w:spacing w:before="120" w:after="240" w:line="276" w:lineRule="auto"/>
        <w:ind w:left="0" w:firstLine="0"/>
        <w:jc w:val="both"/>
        <w:rPr>
          <w:sz w:val="22"/>
          <w:u w:val="single"/>
          <w:lang w:val="en-AU"/>
        </w:rPr>
      </w:pPr>
      <w:r w:rsidRPr="001D76FF">
        <w:rPr>
          <w:sz w:val="22"/>
          <w:u w:val="single"/>
          <w:lang w:val="en-AU"/>
        </w:rPr>
        <w:t>Abnormal H</w:t>
      </w:r>
      <w:r>
        <w:rPr>
          <w:sz w:val="22"/>
          <w:u w:val="single"/>
          <w:lang w:val="en-AU"/>
        </w:rPr>
        <w:t>a</w:t>
      </w:r>
      <w:r w:rsidRPr="001D76FF">
        <w:rPr>
          <w:sz w:val="22"/>
          <w:u w:val="single"/>
          <w:lang w:val="en-AU"/>
        </w:rPr>
        <w:t>ematologic and Clinical Chemistry Findings</w:t>
      </w:r>
    </w:p>
    <w:p w:rsidR="00B21EAD" w:rsidRPr="001D76FF" w:rsidRDefault="00B21EAD" w:rsidP="00B21EAD">
      <w:pPr>
        <w:pStyle w:val="BayerTableFootnote"/>
        <w:keepLines/>
        <w:spacing w:before="120" w:after="240" w:line="276" w:lineRule="auto"/>
        <w:ind w:left="0" w:firstLine="0"/>
        <w:jc w:val="both"/>
        <w:rPr>
          <w:sz w:val="22"/>
          <w:lang w:val="en-AU"/>
        </w:rPr>
      </w:pPr>
      <w:r w:rsidRPr="001D76FF">
        <w:rPr>
          <w:sz w:val="22"/>
          <w:lang w:val="en-AU"/>
        </w:rPr>
        <w:t>Treatment-emergent values below the lower limit of normal for erythrocytes, h</w:t>
      </w:r>
      <w:r>
        <w:rPr>
          <w:sz w:val="22"/>
          <w:lang w:val="en-AU"/>
        </w:rPr>
        <w:t>a</w:t>
      </w:r>
      <w:r w:rsidRPr="001D76FF">
        <w:rPr>
          <w:sz w:val="22"/>
          <w:lang w:val="en-AU"/>
        </w:rPr>
        <w:t>ematocrit, and</w:t>
      </w:r>
      <w:r>
        <w:rPr>
          <w:sz w:val="22"/>
          <w:lang w:val="en-AU"/>
        </w:rPr>
        <w:t xml:space="preserve"> </w:t>
      </w:r>
      <w:r w:rsidRPr="001D76FF">
        <w:rPr>
          <w:sz w:val="22"/>
          <w:lang w:val="en-AU"/>
        </w:rPr>
        <w:t>haemoglobin were observed more frequently in the riociguat group than in the placebo</w:t>
      </w:r>
      <w:r>
        <w:rPr>
          <w:sz w:val="22"/>
          <w:lang w:val="en-AU"/>
        </w:rPr>
        <w:t xml:space="preserve"> </w:t>
      </w:r>
      <w:r w:rsidRPr="001D76FF">
        <w:rPr>
          <w:sz w:val="22"/>
          <w:lang w:val="en-AU"/>
        </w:rPr>
        <w:t>group.</w:t>
      </w:r>
    </w:p>
    <w:p w:rsidR="00B21EAD" w:rsidRPr="001D76FF" w:rsidRDefault="00B21EAD" w:rsidP="00B21EAD">
      <w:pPr>
        <w:pStyle w:val="BayerTableFootnote"/>
        <w:keepLines/>
        <w:spacing w:before="120" w:after="240" w:line="276" w:lineRule="auto"/>
        <w:ind w:left="0" w:firstLine="0"/>
        <w:jc w:val="both"/>
        <w:rPr>
          <w:sz w:val="22"/>
          <w:lang w:val="en-AU"/>
        </w:rPr>
      </w:pPr>
      <w:r w:rsidRPr="001D76FF">
        <w:rPr>
          <w:sz w:val="22"/>
          <w:lang w:val="en-AU"/>
        </w:rPr>
        <w:t>In a pooled analysis of placebo-controlled Phase III studies in subjects with CTEPH or PAH,</w:t>
      </w:r>
      <w:r>
        <w:rPr>
          <w:sz w:val="22"/>
          <w:lang w:val="en-AU"/>
        </w:rPr>
        <w:t xml:space="preserve"> </w:t>
      </w:r>
      <w:r w:rsidRPr="001D76FF">
        <w:rPr>
          <w:sz w:val="22"/>
          <w:lang w:val="en-AU"/>
        </w:rPr>
        <w:t>changes from baseline in mean h</w:t>
      </w:r>
      <w:r>
        <w:rPr>
          <w:sz w:val="22"/>
          <w:lang w:val="en-AU"/>
        </w:rPr>
        <w:t>a</w:t>
      </w:r>
      <w:r w:rsidRPr="001D76FF">
        <w:rPr>
          <w:sz w:val="22"/>
          <w:lang w:val="en-AU"/>
        </w:rPr>
        <w:t>emoglobin (-0.58 g/dL vs. 0.13 g/dL) and h</w:t>
      </w:r>
      <w:r>
        <w:rPr>
          <w:sz w:val="22"/>
          <w:lang w:val="en-AU"/>
        </w:rPr>
        <w:t>a</w:t>
      </w:r>
      <w:r w:rsidRPr="001D76FF">
        <w:rPr>
          <w:sz w:val="22"/>
          <w:lang w:val="en-AU"/>
        </w:rPr>
        <w:t>ematocrit (-1.66%</w:t>
      </w:r>
      <w:r>
        <w:rPr>
          <w:sz w:val="22"/>
          <w:lang w:val="en-AU"/>
        </w:rPr>
        <w:t xml:space="preserve"> </w:t>
      </w:r>
      <w:r w:rsidRPr="001D76FF">
        <w:rPr>
          <w:sz w:val="22"/>
          <w:lang w:val="en-AU"/>
        </w:rPr>
        <w:t>vs. 0.45%) were observed in patients receiving Adempas or placebo, respectively. Decreases</w:t>
      </w:r>
      <w:r>
        <w:rPr>
          <w:sz w:val="22"/>
          <w:lang w:val="en-AU"/>
        </w:rPr>
        <w:t xml:space="preserve"> </w:t>
      </w:r>
      <w:r w:rsidRPr="001D76FF">
        <w:rPr>
          <w:sz w:val="22"/>
          <w:lang w:val="en-AU"/>
        </w:rPr>
        <w:t>in h</w:t>
      </w:r>
      <w:r>
        <w:rPr>
          <w:sz w:val="22"/>
          <w:lang w:val="en-AU"/>
        </w:rPr>
        <w:t>a</w:t>
      </w:r>
      <w:r w:rsidRPr="001D76FF">
        <w:rPr>
          <w:sz w:val="22"/>
          <w:lang w:val="en-AU"/>
        </w:rPr>
        <w:t>emoglobin (24.1% vs. 9.1%) and h</w:t>
      </w:r>
      <w:r>
        <w:rPr>
          <w:sz w:val="22"/>
          <w:lang w:val="en-AU"/>
        </w:rPr>
        <w:t>a</w:t>
      </w:r>
      <w:r w:rsidRPr="001D76FF">
        <w:rPr>
          <w:sz w:val="22"/>
          <w:lang w:val="en-AU"/>
        </w:rPr>
        <w:t>ematocrit (13.3% vs. 4.9%) were observed in patients</w:t>
      </w:r>
      <w:r>
        <w:rPr>
          <w:sz w:val="22"/>
          <w:lang w:val="en-AU"/>
        </w:rPr>
        <w:t xml:space="preserve"> </w:t>
      </w:r>
      <w:r w:rsidRPr="001D76FF">
        <w:rPr>
          <w:sz w:val="22"/>
          <w:lang w:val="en-AU"/>
        </w:rPr>
        <w:t xml:space="preserve">receiving </w:t>
      </w:r>
      <w:r>
        <w:rPr>
          <w:sz w:val="22"/>
          <w:lang w:val="en-AU"/>
        </w:rPr>
        <w:t>Adempas</w:t>
      </w:r>
      <w:r w:rsidRPr="001D76FF">
        <w:rPr>
          <w:sz w:val="22"/>
          <w:lang w:val="en-AU"/>
        </w:rPr>
        <w:t xml:space="preserve"> and placebo, respectively. An</w:t>
      </w:r>
      <w:r>
        <w:rPr>
          <w:sz w:val="22"/>
          <w:lang w:val="en-AU"/>
        </w:rPr>
        <w:t>a</w:t>
      </w:r>
      <w:r w:rsidRPr="001D76FF">
        <w:rPr>
          <w:sz w:val="22"/>
          <w:lang w:val="en-AU"/>
        </w:rPr>
        <w:t>emia had a higher rate in the Adempas</w:t>
      </w:r>
      <w:r>
        <w:rPr>
          <w:sz w:val="22"/>
          <w:lang w:val="en-AU"/>
        </w:rPr>
        <w:t xml:space="preserve"> </w:t>
      </w:r>
      <w:r w:rsidRPr="001D76FF">
        <w:rPr>
          <w:sz w:val="22"/>
          <w:lang w:val="en-AU"/>
        </w:rPr>
        <w:t>group (6.7%) compared to placebo (2.3%).</w:t>
      </w:r>
    </w:p>
    <w:p w:rsidR="00B21EAD" w:rsidRPr="001D76FF" w:rsidRDefault="00B21EAD" w:rsidP="00B21EAD">
      <w:pPr>
        <w:pStyle w:val="BayerTableFootnote"/>
        <w:keepLines/>
        <w:spacing w:before="120" w:after="240" w:line="276" w:lineRule="auto"/>
        <w:ind w:left="0" w:firstLine="0"/>
        <w:jc w:val="both"/>
        <w:rPr>
          <w:sz w:val="22"/>
          <w:lang w:val="en-AU"/>
        </w:rPr>
      </w:pPr>
      <w:r w:rsidRPr="001D76FF">
        <w:rPr>
          <w:sz w:val="22"/>
          <w:lang w:val="en-AU"/>
        </w:rPr>
        <w:t>Mean changes in group values from baseline were small for most of the clinical chemistry</w:t>
      </w:r>
      <w:r>
        <w:rPr>
          <w:sz w:val="22"/>
          <w:lang w:val="en-AU"/>
        </w:rPr>
        <w:t xml:space="preserve"> </w:t>
      </w:r>
      <w:r w:rsidRPr="001D76FF">
        <w:rPr>
          <w:sz w:val="22"/>
          <w:lang w:val="en-AU"/>
        </w:rPr>
        <w:t>parameters in the pooled controlled Phase III studies.</w:t>
      </w:r>
    </w:p>
    <w:p w:rsidR="00B21EAD" w:rsidRPr="00B50C48" w:rsidRDefault="00B21EAD" w:rsidP="00CA0102"/>
    <w:p w:rsidR="005E1570" w:rsidRPr="00B50C48" w:rsidRDefault="005E1570" w:rsidP="009421D5">
      <w:pPr>
        <w:pStyle w:val="Heading1"/>
        <w:numPr>
          <w:ilvl w:val="0"/>
          <w:numId w:val="0"/>
        </w:numPr>
        <w:jc w:val="both"/>
        <w:rPr>
          <w:sz w:val="24"/>
          <w:lang w:eastAsia="zh-CN"/>
        </w:rPr>
      </w:pPr>
      <w:r w:rsidRPr="00B50C48">
        <w:rPr>
          <w:sz w:val="24"/>
          <w:lang w:eastAsia="zh-CN"/>
        </w:rPr>
        <w:lastRenderedPageBreak/>
        <w:t>DOSAGE AND ADMINISTRATION</w:t>
      </w:r>
    </w:p>
    <w:p w:rsidR="005677BD" w:rsidRPr="00B50C48" w:rsidRDefault="005677BD" w:rsidP="00372C13">
      <w:pPr>
        <w:spacing w:before="120" w:after="240" w:line="276" w:lineRule="auto"/>
        <w:jc w:val="both"/>
        <w:rPr>
          <w:sz w:val="22"/>
          <w:szCs w:val="24"/>
        </w:rPr>
      </w:pPr>
      <w:r w:rsidRPr="00B50C48">
        <w:rPr>
          <w:sz w:val="22"/>
          <w:szCs w:val="24"/>
        </w:rPr>
        <w:t>Treatment should only be initiated and monitored by a physician experienced in the treatment of CTEPH or PAH.</w:t>
      </w:r>
    </w:p>
    <w:p w:rsidR="00372C13" w:rsidRDefault="00DB36E1" w:rsidP="00372C13">
      <w:pPr>
        <w:spacing w:before="120" w:after="240" w:line="276" w:lineRule="auto"/>
        <w:jc w:val="both"/>
        <w:rPr>
          <w:sz w:val="22"/>
          <w:szCs w:val="24"/>
        </w:rPr>
      </w:pPr>
      <w:r w:rsidRPr="00B50C48">
        <w:rPr>
          <w:sz w:val="22"/>
          <w:szCs w:val="24"/>
        </w:rPr>
        <w:t>Tablets should be taken three times daily approximately 6 to 8 hours apart</w:t>
      </w:r>
      <w:r w:rsidR="005850A9">
        <w:rPr>
          <w:sz w:val="22"/>
          <w:szCs w:val="24"/>
        </w:rPr>
        <w:t>. Adempas can be taken</w:t>
      </w:r>
      <w:r w:rsidRPr="00B50C48">
        <w:rPr>
          <w:sz w:val="22"/>
          <w:szCs w:val="24"/>
        </w:rPr>
        <w:t xml:space="preserve"> with or without food.</w:t>
      </w:r>
      <w:r w:rsidR="00CF2644" w:rsidRPr="00372C13">
        <w:rPr>
          <w:sz w:val="22"/>
          <w:szCs w:val="24"/>
        </w:rPr>
        <w:t xml:space="preserve"> </w:t>
      </w:r>
    </w:p>
    <w:p w:rsidR="005677BD" w:rsidRPr="00372C13" w:rsidRDefault="00372C13" w:rsidP="00372C13">
      <w:pPr>
        <w:spacing w:before="120" w:after="240" w:line="276" w:lineRule="auto"/>
        <w:jc w:val="both"/>
        <w:rPr>
          <w:sz w:val="22"/>
          <w:szCs w:val="24"/>
        </w:rPr>
      </w:pPr>
      <w:r w:rsidRPr="00435EDC">
        <w:rPr>
          <w:sz w:val="22"/>
          <w:szCs w:val="24"/>
        </w:rPr>
        <w:t>A</w:t>
      </w:r>
      <w:r w:rsidR="00CF2644" w:rsidRPr="00435EDC">
        <w:rPr>
          <w:sz w:val="22"/>
          <w:szCs w:val="24"/>
        </w:rPr>
        <w:t>ntacids</w:t>
      </w:r>
      <w:r w:rsidRPr="00435EDC">
        <w:rPr>
          <w:sz w:val="22"/>
          <w:szCs w:val="24"/>
        </w:rPr>
        <w:t>,</w:t>
      </w:r>
      <w:r w:rsidR="00CF2644" w:rsidRPr="00435EDC">
        <w:rPr>
          <w:sz w:val="22"/>
          <w:szCs w:val="24"/>
        </w:rPr>
        <w:t xml:space="preserve"> </w:t>
      </w:r>
      <w:r w:rsidRPr="00435EDC">
        <w:rPr>
          <w:sz w:val="22"/>
          <w:szCs w:val="24"/>
        </w:rPr>
        <w:t xml:space="preserve">if required, </w:t>
      </w:r>
      <w:r w:rsidR="00CF2644" w:rsidRPr="00435EDC">
        <w:rPr>
          <w:sz w:val="22"/>
          <w:szCs w:val="24"/>
        </w:rPr>
        <w:t>should be taken at least 1 hour after Adempas (see INTERACTIONS WITH OTHER MEDICINES, Pharmacokinetic Interactions).</w:t>
      </w:r>
    </w:p>
    <w:p w:rsidR="005677BD" w:rsidRPr="00B50C48" w:rsidRDefault="005677BD" w:rsidP="00DA58D3">
      <w:pPr>
        <w:pStyle w:val="Heading2"/>
        <w:numPr>
          <w:ilvl w:val="0"/>
          <w:numId w:val="0"/>
        </w:numPr>
        <w:spacing w:before="120" w:after="240" w:line="276" w:lineRule="auto"/>
        <w:rPr>
          <w:sz w:val="22"/>
          <w:lang w:bidi="he-IL"/>
        </w:rPr>
      </w:pPr>
      <w:r w:rsidRPr="00B50C48">
        <w:rPr>
          <w:sz w:val="22"/>
          <w:lang w:bidi="he-IL"/>
        </w:rPr>
        <w:t>Adults</w:t>
      </w:r>
    </w:p>
    <w:p w:rsidR="005677BD" w:rsidRPr="00DA58D3" w:rsidRDefault="00772769" w:rsidP="00DA58D3">
      <w:pPr>
        <w:keepNext/>
        <w:spacing w:before="120" w:after="240" w:line="276" w:lineRule="auto"/>
        <w:jc w:val="both"/>
        <w:rPr>
          <w:sz w:val="22"/>
          <w:szCs w:val="24"/>
          <w:u w:val="single"/>
          <w:lang w:bidi="he-IL"/>
        </w:rPr>
      </w:pPr>
      <w:r>
        <w:rPr>
          <w:sz w:val="22"/>
          <w:szCs w:val="24"/>
          <w:u w:val="single"/>
          <w:lang w:bidi="he-IL"/>
        </w:rPr>
        <w:t>Treatment I</w:t>
      </w:r>
      <w:r w:rsidR="005677BD" w:rsidRPr="00772769">
        <w:rPr>
          <w:sz w:val="22"/>
          <w:szCs w:val="24"/>
          <w:u w:val="single"/>
          <w:lang w:bidi="he-IL"/>
        </w:rPr>
        <w:t>nitiation</w:t>
      </w:r>
    </w:p>
    <w:p w:rsidR="00FC021A" w:rsidRPr="00435EDC" w:rsidRDefault="005677BD" w:rsidP="00B02947">
      <w:pPr>
        <w:spacing w:before="120" w:after="240" w:line="276" w:lineRule="auto"/>
        <w:jc w:val="both"/>
        <w:rPr>
          <w:sz w:val="22"/>
          <w:szCs w:val="24"/>
          <w:lang w:bidi="he-IL"/>
        </w:rPr>
      </w:pPr>
      <w:r w:rsidRPr="00B50C48">
        <w:rPr>
          <w:sz w:val="22"/>
          <w:szCs w:val="24"/>
        </w:rPr>
        <w:t>The recommended starting dose is 1.0 mg three times daily for 2 weeks</w:t>
      </w:r>
      <w:r w:rsidRPr="00B50C48">
        <w:rPr>
          <w:sz w:val="22"/>
          <w:szCs w:val="24"/>
          <w:lang w:bidi="he-IL"/>
        </w:rPr>
        <w:t xml:space="preserve">. </w:t>
      </w:r>
      <w:r w:rsidR="00CD1BA3">
        <w:rPr>
          <w:sz w:val="22"/>
          <w:szCs w:val="24"/>
          <w:lang w:bidi="he-IL"/>
        </w:rPr>
        <w:t xml:space="preserve">For patients who may not tolerate the hypotensive effect of Adempas, consider a starting dose of 0.5 mg taken three times a day. </w:t>
      </w:r>
      <w:r w:rsidRPr="00B50C48">
        <w:rPr>
          <w:sz w:val="22"/>
          <w:szCs w:val="24"/>
          <w:lang w:bidi="he-IL"/>
        </w:rPr>
        <w:t>Dosage should be increased in 2</w:t>
      </w:r>
      <w:r w:rsidRPr="00B50C48">
        <w:rPr>
          <w:sz w:val="22"/>
          <w:szCs w:val="24"/>
          <w:lang w:bidi="he-IL"/>
        </w:rPr>
        <w:noBreakHyphen/>
        <w:t>week intervals by 0.5 mg increments to a maximum of 2.5 mg three times daily, if systolic blood pressure is ≥</w:t>
      </w:r>
      <w:r w:rsidR="00AA7360" w:rsidRPr="00B50C48">
        <w:rPr>
          <w:sz w:val="22"/>
          <w:szCs w:val="24"/>
          <w:lang w:bidi="he-IL"/>
        </w:rPr>
        <w:t xml:space="preserve"> </w:t>
      </w:r>
      <w:r w:rsidRPr="00B50C48">
        <w:rPr>
          <w:sz w:val="22"/>
          <w:szCs w:val="24"/>
          <w:lang w:bidi="he-IL"/>
        </w:rPr>
        <w:t xml:space="preserve">95 mmHg and the patient has no signs or symptoms of </w:t>
      </w:r>
      <w:r w:rsidRPr="00435EDC">
        <w:rPr>
          <w:sz w:val="22"/>
          <w:szCs w:val="24"/>
          <w:lang w:bidi="he-IL"/>
        </w:rPr>
        <w:t xml:space="preserve">hypotension. </w:t>
      </w:r>
      <w:r w:rsidR="00DA58D3" w:rsidRPr="00435EDC">
        <w:rPr>
          <w:sz w:val="22"/>
          <w:szCs w:val="24"/>
          <w:lang w:bidi="he-IL"/>
        </w:rPr>
        <w:t>D</w:t>
      </w:r>
      <w:r w:rsidRPr="00435EDC">
        <w:rPr>
          <w:sz w:val="22"/>
          <w:szCs w:val="24"/>
          <w:lang w:bidi="he-IL"/>
        </w:rPr>
        <w:t>uring the up</w:t>
      </w:r>
      <w:r w:rsidRPr="00435EDC">
        <w:rPr>
          <w:sz w:val="22"/>
          <w:szCs w:val="24"/>
          <w:lang w:bidi="he-IL"/>
        </w:rPr>
        <w:noBreakHyphen/>
        <w:t>titration phase</w:t>
      </w:r>
      <w:r w:rsidR="00B02947" w:rsidRPr="00435EDC">
        <w:rPr>
          <w:sz w:val="22"/>
          <w:szCs w:val="24"/>
          <w:lang w:bidi="he-IL"/>
        </w:rPr>
        <w:t>:</w:t>
      </w:r>
      <w:r w:rsidRPr="00435EDC">
        <w:rPr>
          <w:sz w:val="22"/>
          <w:szCs w:val="24"/>
          <w:lang w:bidi="he-IL"/>
        </w:rPr>
        <w:t xml:space="preserve"> </w:t>
      </w:r>
      <w:r w:rsidR="00FC021A" w:rsidRPr="00435EDC">
        <w:rPr>
          <w:sz w:val="22"/>
          <w:szCs w:val="24"/>
          <w:lang w:bidi="he-IL"/>
        </w:rPr>
        <w:t xml:space="preserve"> </w:t>
      </w:r>
    </w:p>
    <w:p w:rsidR="00FC021A" w:rsidRPr="00435EDC" w:rsidRDefault="00DA58D3" w:rsidP="00FC021A">
      <w:pPr>
        <w:numPr>
          <w:ilvl w:val="0"/>
          <w:numId w:val="28"/>
        </w:numPr>
        <w:spacing w:before="120" w:after="240" w:line="276" w:lineRule="auto"/>
        <w:jc w:val="both"/>
        <w:rPr>
          <w:sz w:val="22"/>
          <w:szCs w:val="24"/>
          <w:lang w:bidi="he-IL"/>
        </w:rPr>
      </w:pPr>
      <w:r w:rsidRPr="00435EDC">
        <w:rPr>
          <w:sz w:val="22"/>
          <w:szCs w:val="24"/>
          <w:lang w:bidi="he-IL"/>
        </w:rPr>
        <w:t xml:space="preserve">if </w:t>
      </w:r>
      <w:r w:rsidR="00FC021A" w:rsidRPr="00435EDC">
        <w:rPr>
          <w:sz w:val="22"/>
          <w:szCs w:val="24"/>
          <w:lang w:bidi="he-IL"/>
        </w:rPr>
        <w:t xml:space="preserve">systolic blood pressure is </w:t>
      </w:r>
      <w:r w:rsidR="00FC021A" w:rsidRPr="00435EDC">
        <w:rPr>
          <w:rFonts w:cs="Arial"/>
          <w:sz w:val="22"/>
          <w:szCs w:val="24"/>
          <w:lang w:bidi="he-IL"/>
        </w:rPr>
        <w:t>≥</w:t>
      </w:r>
      <w:r w:rsidR="00FC021A" w:rsidRPr="00435EDC">
        <w:rPr>
          <w:sz w:val="22"/>
          <w:szCs w:val="24"/>
          <w:lang w:bidi="he-IL"/>
        </w:rPr>
        <w:t xml:space="preserve"> 95 mmHg and the patient has signs or symptoms of hypotension, the dosage should be </w:t>
      </w:r>
      <w:r w:rsidR="00401EA6" w:rsidRPr="00435EDC">
        <w:rPr>
          <w:sz w:val="22"/>
          <w:szCs w:val="24"/>
          <w:lang w:bidi="he-IL"/>
        </w:rPr>
        <w:t xml:space="preserve">decreased by 0.5 mg </w:t>
      </w:r>
      <w:r w:rsidR="007F2E48">
        <w:rPr>
          <w:sz w:val="22"/>
          <w:szCs w:val="24"/>
          <w:lang w:bidi="he-IL"/>
        </w:rPr>
        <w:t>TDS</w:t>
      </w:r>
      <w:r w:rsidR="007F2E48" w:rsidRPr="00435EDC">
        <w:rPr>
          <w:sz w:val="22"/>
          <w:szCs w:val="24"/>
          <w:lang w:bidi="he-IL"/>
        </w:rPr>
        <w:t xml:space="preserve"> </w:t>
      </w:r>
    </w:p>
    <w:p w:rsidR="00FC021A" w:rsidRPr="00435EDC" w:rsidRDefault="00DA58D3" w:rsidP="00401EA6">
      <w:pPr>
        <w:numPr>
          <w:ilvl w:val="0"/>
          <w:numId w:val="28"/>
        </w:numPr>
        <w:spacing w:before="120" w:after="240" w:line="276" w:lineRule="auto"/>
        <w:jc w:val="both"/>
        <w:rPr>
          <w:sz w:val="22"/>
          <w:szCs w:val="24"/>
          <w:lang w:bidi="he-IL"/>
        </w:rPr>
      </w:pPr>
      <w:r w:rsidRPr="00435EDC">
        <w:rPr>
          <w:sz w:val="22"/>
          <w:szCs w:val="24"/>
          <w:lang w:bidi="he-IL"/>
        </w:rPr>
        <w:t xml:space="preserve">if </w:t>
      </w:r>
      <w:r w:rsidR="00FC021A" w:rsidRPr="00435EDC">
        <w:rPr>
          <w:sz w:val="22"/>
          <w:szCs w:val="24"/>
          <w:lang w:bidi="he-IL"/>
        </w:rPr>
        <w:t>systolic blood pressure is &lt; 95 mmHg and the patient has no signs or symptoms of hypotension, the dosage should be maintained</w:t>
      </w:r>
    </w:p>
    <w:p w:rsidR="00FC021A" w:rsidRPr="00435EDC" w:rsidRDefault="00DA58D3" w:rsidP="00401EA6">
      <w:pPr>
        <w:numPr>
          <w:ilvl w:val="0"/>
          <w:numId w:val="28"/>
        </w:numPr>
        <w:spacing w:before="120" w:after="240" w:line="276" w:lineRule="auto"/>
        <w:jc w:val="both"/>
        <w:rPr>
          <w:sz w:val="22"/>
          <w:szCs w:val="24"/>
          <w:lang w:bidi="he-IL"/>
        </w:rPr>
      </w:pPr>
      <w:r w:rsidRPr="00435EDC">
        <w:rPr>
          <w:sz w:val="22"/>
          <w:szCs w:val="24"/>
          <w:lang w:bidi="he-IL"/>
        </w:rPr>
        <w:t xml:space="preserve">if </w:t>
      </w:r>
      <w:r w:rsidR="00FC021A" w:rsidRPr="00435EDC">
        <w:rPr>
          <w:sz w:val="22"/>
          <w:szCs w:val="24"/>
          <w:lang w:bidi="he-IL"/>
        </w:rPr>
        <w:t xml:space="preserve">systolic blood pressure is &lt; 95 mmHg and the patient has signs or symptoms of hypotension, the dosage should be decreased by 0.5 mg </w:t>
      </w:r>
      <w:r w:rsidR="007F2E48">
        <w:rPr>
          <w:sz w:val="22"/>
          <w:szCs w:val="24"/>
          <w:lang w:bidi="he-IL"/>
        </w:rPr>
        <w:t>TDS</w:t>
      </w:r>
    </w:p>
    <w:p w:rsidR="005677BD" w:rsidRPr="00772769" w:rsidRDefault="00772769" w:rsidP="003F1DC3">
      <w:pPr>
        <w:keepLines/>
        <w:spacing w:before="120" w:after="240" w:line="276" w:lineRule="auto"/>
        <w:jc w:val="both"/>
        <w:rPr>
          <w:sz w:val="22"/>
          <w:szCs w:val="24"/>
          <w:u w:val="single"/>
          <w:lang w:bidi="he-IL"/>
        </w:rPr>
      </w:pPr>
      <w:r>
        <w:rPr>
          <w:sz w:val="22"/>
          <w:szCs w:val="24"/>
          <w:u w:val="single"/>
          <w:lang w:bidi="he-IL"/>
        </w:rPr>
        <w:t>Maintenance D</w:t>
      </w:r>
      <w:r w:rsidR="005677BD" w:rsidRPr="00772769">
        <w:rPr>
          <w:sz w:val="22"/>
          <w:szCs w:val="24"/>
          <w:u w:val="single"/>
          <w:lang w:bidi="he-IL"/>
        </w:rPr>
        <w:t>ose</w:t>
      </w:r>
    </w:p>
    <w:p w:rsidR="005677BD" w:rsidRPr="00B50C48" w:rsidRDefault="005677BD" w:rsidP="003F1DC3">
      <w:pPr>
        <w:keepLines/>
        <w:spacing w:before="120" w:after="240" w:line="276" w:lineRule="auto"/>
        <w:jc w:val="both"/>
        <w:rPr>
          <w:sz w:val="22"/>
          <w:szCs w:val="24"/>
          <w:lang w:bidi="he-IL"/>
        </w:rPr>
      </w:pPr>
      <w:r w:rsidRPr="00B50C48">
        <w:rPr>
          <w:sz w:val="22"/>
          <w:szCs w:val="24"/>
          <w:lang w:bidi="he-IL"/>
        </w:rPr>
        <w:t>The established individual dose should be maintained unless signs and symptoms of hypotension occur. The maximum total daily dose of Adempas is 7.5 mg. If a dose is missed, treatment should be continued with the next dose as planned.</w:t>
      </w:r>
    </w:p>
    <w:p w:rsidR="00781B3C" w:rsidRDefault="006C7FC3" w:rsidP="00A22B1D">
      <w:pPr>
        <w:spacing w:before="120" w:after="240" w:line="276" w:lineRule="auto"/>
        <w:jc w:val="both"/>
        <w:rPr>
          <w:sz w:val="22"/>
          <w:szCs w:val="24"/>
          <w:lang w:bidi="he-IL"/>
        </w:rPr>
      </w:pPr>
      <w:r w:rsidRPr="006C7FC3">
        <w:rPr>
          <w:sz w:val="22"/>
          <w:szCs w:val="24"/>
          <w:lang w:bidi="he-IL"/>
        </w:rPr>
        <w:t>If at any time, the patient has symptoms of hypotension, decrease the dosage by 0.5 mg taken three times a day</w:t>
      </w:r>
      <w:r w:rsidR="00D05A41">
        <w:rPr>
          <w:sz w:val="22"/>
          <w:szCs w:val="24"/>
          <w:lang w:bidi="he-IL"/>
        </w:rPr>
        <w:t>.</w:t>
      </w:r>
      <w:r w:rsidRPr="006C7FC3" w:rsidDel="006C7FC3">
        <w:rPr>
          <w:sz w:val="22"/>
          <w:szCs w:val="24"/>
          <w:lang w:bidi="he-IL"/>
        </w:rPr>
        <w:t xml:space="preserve"> </w:t>
      </w:r>
    </w:p>
    <w:p w:rsidR="005677BD" w:rsidRPr="00772769" w:rsidRDefault="005677BD" w:rsidP="00A22B1D">
      <w:pPr>
        <w:spacing w:before="120" w:after="240" w:line="276" w:lineRule="auto"/>
        <w:jc w:val="both"/>
        <w:rPr>
          <w:sz w:val="22"/>
          <w:szCs w:val="24"/>
          <w:u w:val="single"/>
          <w:lang w:bidi="he-IL"/>
        </w:rPr>
      </w:pPr>
      <w:r w:rsidRPr="00772769">
        <w:rPr>
          <w:sz w:val="22"/>
          <w:szCs w:val="24"/>
          <w:u w:val="single"/>
          <w:lang w:bidi="he-IL"/>
        </w:rPr>
        <w:t xml:space="preserve">Treatment </w:t>
      </w:r>
      <w:r w:rsidR="00772769">
        <w:rPr>
          <w:sz w:val="22"/>
          <w:szCs w:val="24"/>
          <w:u w:val="single"/>
          <w:lang w:bidi="he-IL"/>
        </w:rPr>
        <w:t>D</w:t>
      </w:r>
      <w:r w:rsidRPr="00772769">
        <w:rPr>
          <w:sz w:val="22"/>
          <w:szCs w:val="24"/>
          <w:u w:val="single"/>
          <w:lang w:bidi="he-IL"/>
        </w:rPr>
        <w:t>iscontinuation</w:t>
      </w:r>
    </w:p>
    <w:p w:rsidR="005E1570" w:rsidRPr="00B50C48" w:rsidRDefault="005677BD" w:rsidP="00A22B1D">
      <w:pPr>
        <w:spacing w:before="120" w:after="240" w:line="276" w:lineRule="auto"/>
        <w:jc w:val="both"/>
        <w:rPr>
          <w:sz w:val="22"/>
          <w:szCs w:val="24"/>
          <w:lang w:bidi="he-IL"/>
        </w:rPr>
      </w:pPr>
      <w:r w:rsidRPr="00B50C48">
        <w:rPr>
          <w:sz w:val="22"/>
          <w:szCs w:val="24"/>
          <w:lang w:bidi="he-IL"/>
        </w:rPr>
        <w:t>In case treatment has to be interrupted for 3 days or more, restart treatment at 1 mg three times daily for 2 weeks, and continue treatment with the dose titration regimen as described above.</w:t>
      </w:r>
    </w:p>
    <w:p w:rsidR="008A3E8B" w:rsidRPr="00B50C48" w:rsidRDefault="008A3E8B" w:rsidP="00A22B1D">
      <w:pPr>
        <w:pStyle w:val="Heading2"/>
        <w:numPr>
          <w:ilvl w:val="0"/>
          <w:numId w:val="0"/>
        </w:numPr>
        <w:spacing w:before="120" w:after="240" w:line="276" w:lineRule="auto"/>
        <w:rPr>
          <w:sz w:val="22"/>
          <w:lang w:bidi="he-IL"/>
        </w:rPr>
      </w:pPr>
      <w:r w:rsidRPr="00B50C48">
        <w:rPr>
          <w:sz w:val="22"/>
          <w:lang w:bidi="he-IL"/>
        </w:rPr>
        <w:t>Special Populations</w:t>
      </w:r>
    </w:p>
    <w:p w:rsidR="00DA58D3" w:rsidRPr="00DA58D3" w:rsidRDefault="00DA58D3" w:rsidP="00DA58D3">
      <w:pPr>
        <w:spacing w:before="120" w:after="240" w:line="276" w:lineRule="auto"/>
        <w:jc w:val="both"/>
        <w:rPr>
          <w:sz w:val="22"/>
          <w:szCs w:val="24"/>
          <w:lang w:bidi="he-IL"/>
        </w:rPr>
      </w:pPr>
      <w:r w:rsidRPr="00DA58D3">
        <w:rPr>
          <w:sz w:val="22"/>
          <w:szCs w:val="24"/>
          <w:lang w:bidi="he-IL"/>
        </w:rPr>
        <w:t>Individual dose titration at treatment initiation allows to adjust the dose to the patient’s needs.</w:t>
      </w:r>
    </w:p>
    <w:p w:rsidR="00B21EAD" w:rsidRDefault="00B21EAD" w:rsidP="00A22B1D">
      <w:pPr>
        <w:spacing w:before="120" w:after="240" w:line="276" w:lineRule="auto"/>
        <w:jc w:val="both"/>
        <w:rPr>
          <w:sz w:val="22"/>
          <w:szCs w:val="24"/>
          <w:u w:val="single"/>
          <w:lang w:bidi="he-IL"/>
        </w:rPr>
      </w:pPr>
    </w:p>
    <w:p w:rsidR="00B21EAD" w:rsidRDefault="00B21EAD" w:rsidP="00A22B1D">
      <w:pPr>
        <w:spacing w:before="120" w:after="240" w:line="276" w:lineRule="auto"/>
        <w:jc w:val="both"/>
        <w:rPr>
          <w:sz w:val="22"/>
          <w:szCs w:val="24"/>
          <w:u w:val="single"/>
          <w:lang w:bidi="he-IL"/>
        </w:rPr>
      </w:pPr>
    </w:p>
    <w:p w:rsidR="005C6F27" w:rsidRDefault="00CD166E" w:rsidP="00A22B1D">
      <w:pPr>
        <w:spacing w:before="120" w:after="240" w:line="276" w:lineRule="auto"/>
        <w:jc w:val="both"/>
        <w:rPr>
          <w:sz w:val="22"/>
          <w:szCs w:val="24"/>
          <w:u w:val="single"/>
          <w:lang w:bidi="he-IL"/>
        </w:rPr>
      </w:pPr>
      <w:r w:rsidRPr="00772769">
        <w:rPr>
          <w:sz w:val="22"/>
          <w:szCs w:val="24"/>
          <w:u w:val="single"/>
          <w:lang w:bidi="he-IL"/>
        </w:rPr>
        <w:lastRenderedPageBreak/>
        <w:t xml:space="preserve">Paediatric </w:t>
      </w:r>
      <w:r w:rsidR="00DC253E">
        <w:rPr>
          <w:sz w:val="22"/>
          <w:szCs w:val="24"/>
          <w:u w:val="single"/>
          <w:lang w:bidi="he-IL"/>
        </w:rPr>
        <w:t>Use</w:t>
      </w:r>
    </w:p>
    <w:p w:rsidR="00CD166E" w:rsidRPr="005C6F27" w:rsidRDefault="00CD166E" w:rsidP="00A22B1D">
      <w:pPr>
        <w:spacing w:before="120" w:after="240" w:line="276" w:lineRule="auto"/>
        <w:jc w:val="both"/>
        <w:rPr>
          <w:sz w:val="22"/>
          <w:szCs w:val="24"/>
          <w:u w:val="single"/>
          <w:lang w:bidi="he-IL"/>
        </w:rPr>
      </w:pPr>
      <w:r w:rsidRPr="00B50C48">
        <w:rPr>
          <w:sz w:val="22"/>
          <w:szCs w:val="24"/>
          <w:lang w:bidi="he-IL"/>
        </w:rPr>
        <w:t xml:space="preserve">The safety and efficacy of Adempas have not yet been </w:t>
      </w:r>
      <w:r w:rsidR="008D3B4B" w:rsidRPr="00B50C48">
        <w:rPr>
          <w:sz w:val="22"/>
          <w:szCs w:val="24"/>
          <w:lang w:bidi="he-IL"/>
        </w:rPr>
        <w:t xml:space="preserve">studied </w:t>
      </w:r>
      <w:r w:rsidRPr="00B50C48">
        <w:rPr>
          <w:sz w:val="22"/>
          <w:szCs w:val="24"/>
          <w:lang w:bidi="he-IL"/>
        </w:rPr>
        <w:t>in patients below 18 years. No data are available. Therefore, Adempas is not recommended for use in paediatric</w:t>
      </w:r>
      <w:r w:rsidR="00DC253E">
        <w:rPr>
          <w:sz w:val="22"/>
          <w:szCs w:val="24"/>
          <w:lang w:bidi="he-IL"/>
        </w:rPr>
        <w:t xml:space="preserve"> patient</w:t>
      </w:r>
      <w:r w:rsidRPr="00B50C48">
        <w:rPr>
          <w:sz w:val="22"/>
          <w:szCs w:val="24"/>
          <w:lang w:bidi="he-IL"/>
        </w:rPr>
        <w:t>s.</w:t>
      </w:r>
    </w:p>
    <w:p w:rsidR="00910A81" w:rsidRPr="00772769" w:rsidRDefault="00DC253E" w:rsidP="00A22B1D">
      <w:pPr>
        <w:spacing w:before="120" w:after="240" w:line="276" w:lineRule="auto"/>
        <w:jc w:val="both"/>
        <w:rPr>
          <w:sz w:val="22"/>
          <w:szCs w:val="24"/>
          <w:u w:val="single"/>
          <w:lang w:bidi="he-IL"/>
        </w:rPr>
      </w:pPr>
      <w:r>
        <w:rPr>
          <w:sz w:val="22"/>
          <w:szCs w:val="24"/>
          <w:u w:val="single"/>
          <w:lang w:bidi="he-IL"/>
        </w:rPr>
        <w:t>Use in the Elderly</w:t>
      </w:r>
    </w:p>
    <w:p w:rsidR="00910A81" w:rsidRPr="00B50C48" w:rsidRDefault="00910A81" w:rsidP="00A22B1D">
      <w:pPr>
        <w:spacing w:before="120" w:after="240" w:line="276" w:lineRule="auto"/>
        <w:jc w:val="both"/>
        <w:rPr>
          <w:sz w:val="22"/>
          <w:szCs w:val="24"/>
          <w:lang w:bidi="he-IL"/>
        </w:rPr>
      </w:pPr>
      <w:r w:rsidRPr="00B50C48">
        <w:rPr>
          <w:sz w:val="22"/>
          <w:szCs w:val="24"/>
          <w:lang w:bidi="he-IL"/>
        </w:rPr>
        <w:t xml:space="preserve">In elderly </w:t>
      </w:r>
      <w:r w:rsidR="00F72DE4">
        <w:rPr>
          <w:sz w:val="22"/>
          <w:szCs w:val="24"/>
          <w:lang w:bidi="he-IL"/>
        </w:rPr>
        <w:t xml:space="preserve">patients </w:t>
      </w:r>
      <w:r w:rsidRPr="00B50C48">
        <w:rPr>
          <w:sz w:val="22"/>
          <w:szCs w:val="24"/>
          <w:lang w:bidi="he-IL"/>
        </w:rPr>
        <w:t>(≥</w:t>
      </w:r>
      <w:r w:rsidR="00D31284" w:rsidRPr="00B50C48">
        <w:rPr>
          <w:sz w:val="22"/>
          <w:szCs w:val="24"/>
          <w:lang w:bidi="he-IL"/>
        </w:rPr>
        <w:t xml:space="preserve"> </w:t>
      </w:r>
      <w:r w:rsidRPr="00B50C48">
        <w:rPr>
          <w:sz w:val="22"/>
          <w:szCs w:val="24"/>
          <w:lang w:bidi="he-IL"/>
        </w:rPr>
        <w:t xml:space="preserve">65 years) particular care should be exercised during individual dose titration </w:t>
      </w:r>
      <w:r w:rsidR="00AF1F6B" w:rsidRPr="00B50C48">
        <w:rPr>
          <w:sz w:val="22"/>
          <w:szCs w:val="22"/>
        </w:rPr>
        <w:t xml:space="preserve">(see </w:t>
      </w:r>
      <w:r w:rsidR="00F72DE4">
        <w:rPr>
          <w:sz w:val="22"/>
          <w:szCs w:val="22"/>
        </w:rPr>
        <w:t xml:space="preserve">PHARMACOLOGY, </w:t>
      </w:r>
      <w:r w:rsidR="00AF1F6B" w:rsidRPr="00B50C48">
        <w:rPr>
          <w:sz w:val="22"/>
          <w:szCs w:val="22"/>
        </w:rPr>
        <w:t>Pharmacokinetic Properties)</w:t>
      </w:r>
      <w:r w:rsidRPr="00B50C48">
        <w:rPr>
          <w:sz w:val="22"/>
          <w:szCs w:val="24"/>
          <w:lang w:bidi="he-IL"/>
        </w:rPr>
        <w:t>.</w:t>
      </w:r>
    </w:p>
    <w:p w:rsidR="00D31284" w:rsidRPr="00772769" w:rsidRDefault="00772769" w:rsidP="00A22B1D">
      <w:pPr>
        <w:spacing w:before="120" w:after="240" w:line="276" w:lineRule="auto"/>
        <w:jc w:val="both"/>
        <w:rPr>
          <w:sz w:val="22"/>
          <w:szCs w:val="24"/>
          <w:u w:val="single"/>
          <w:lang w:bidi="he-IL"/>
        </w:rPr>
      </w:pPr>
      <w:r>
        <w:rPr>
          <w:sz w:val="22"/>
          <w:szCs w:val="24"/>
          <w:u w:val="single"/>
          <w:lang w:bidi="he-IL"/>
        </w:rPr>
        <w:t>H</w:t>
      </w:r>
      <w:r w:rsidR="00D31284" w:rsidRPr="00772769">
        <w:rPr>
          <w:sz w:val="22"/>
          <w:szCs w:val="24"/>
          <w:u w:val="single"/>
          <w:lang w:bidi="he-IL"/>
        </w:rPr>
        <w:t xml:space="preserve">epatic </w:t>
      </w:r>
      <w:r>
        <w:rPr>
          <w:sz w:val="22"/>
          <w:szCs w:val="24"/>
          <w:u w:val="single"/>
          <w:lang w:bidi="he-IL"/>
        </w:rPr>
        <w:t>I</w:t>
      </w:r>
      <w:r w:rsidR="00D31284" w:rsidRPr="00772769">
        <w:rPr>
          <w:sz w:val="22"/>
          <w:szCs w:val="24"/>
          <w:u w:val="single"/>
          <w:lang w:bidi="he-IL"/>
        </w:rPr>
        <w:t>mpairment</w:t>
      </w:r>
    </w:p>
    <w:p w:rsidR="00D31284" w:rsidRPr="00B50C48" w:rsidRDefault="009734A6" w:rsidP="00A22B1D">
      <w:pPr>
        <w:spacing w:before="120" w:after="240" w:line="276" w:lineRule="auto"/>
        <w:jc w:val="both"/>
        <w:rPr>
          <w:sz w:val="22"/>
          <w:szCs w:val="24"/>
          <w:lang w:bidi="he-IL"/>
        </w:rPr>
      </w:pPr>
      <w:r>
        <w:rPr>
          <w:sz w:val="22"/>
          <w:szCs w:val="24"/>
          <w:lang w:bidi="he-IL"/>
        </w:rPr>
        <w:t xml:space="preserve">Patients (non-smokers) with mild hepatic impairment (Child Pugh A) had an increased exposure of riociguat by 35% compared to healthy controls which is within the day to day variability. </w:t>
      </w:r>
      <w:r w:rsidR="00D31284" w:rsidRPr="00B50C48">
        <w:rPr>
          <w:sz w:val="22"/>
          <w:szCs w:val="24"/>
          <w:lang w:bidi="he-IL"/>
        </w:rPr>
        <w:t xml:space="preserve">Patients with moderate hepatic impairment (Child Pugh B) showed a higher exposure to Adempas </w:t>
      </w:r>
      <w:r w:rsidR="00AF1F6B" w:rsidRPr="00B50C48">
        <w:rPr>
          <w:sz w:val="22"/>
          <w:szCs w:val="22"/>
        </w:rPr>
        <w:t xml:space="preserve">(see </w:t>
      </w:r>
      <w:r w:rsidR="00F72DE4">
        <w:rPr>
          <w:sz w:val="22"/>
          <w:szCs w:val="22"/>
        </w:rPr>
        <w:t xml:space="preserve">PHARMACOLOGY, </w:t>
      </w:r>
      <w:r w:rsidR="00AF1F6B" w:rsidRPr="00B50C48">
        <w:rPr>
          <w:sz w:val="22"/>
          <w:szCs w:val="22"/>
        </w:rPr>
        <w:t>Pharmacokinetic Properties)</w:t>
      </w:r>
      <w:r w:rsidR="00D31284" w:rsidRPr="00B50C48">
        <w:rPr>
          <w:sz w:val="22"/>
          <w:szCs w:val="24"/>
          <w:lang w:bidi="he-IL"/>
        </w:rPr>
        <w:t>. Particular care should be exercised during individual dose titration.</w:t>
      </w:r>
    </w:p>
    <w:p w:rsidR="00D31284" w:rsidRPr="00B50C48" w:rsidRDefault="00D31284" w:rsidP="00A22B1D">
      <w:pPr>
        <w:spacing w:before="120" w:after="240" w:line="276" w:lineRule="auto"/>
        <w:jc w:val="both"/>
        <w:rPr>
          <w:sz w:val="22"/>
          <w:szCs w:val="24"/>
          <w:lang w:bidi="he-IL"/>
        </w:rPr>
      </w:pPr>
      <w:r w:rsidRPr="00B50C48">
        <w:rPr>
          <w:sz w:val="22"/>
          <w:szCs w:val="24"/>
          <w:lang w:bidi="he-IL"/>
        </w:rPr>
        <w:t xml:space="preserve">Patients with severe hepatic impairment (Child Pugh C) have not been studied and therefore use of Adempas is not recommended in these patients (see </w:t>
      </w:r>
      <w:r w:rsidR="00155A83" w:rsidRPr="00B50C48">
        <w:rPr>
          <w:sz w:val="22"/>
          <w:szCs w:val="24"/>
          <w:lang w:bidi="he-IL"/>
        </w:rPr>
        <w:t>PRECAUTIONS</w:t>
      </w:r>
      <w:r w:rsidR="00F72DE4">
        <w:rPr>
          <w:sz w:val="22"/>
          <w:szCs w:val="24"/>
          <w:lang w:bidi="he-IL"/>
        </w:rPr>
        <w:t xml:space="preserve">, </w:t>
      </w:r>
      <w:r w:rsidR="0084079E">
        <w:rPr>
          <w:sz w:val="22"/>
          <w:szCs w:val="24"/>
          <w:lang w:bidi="he-IL"/>
        </w:rPr>
        <w:t>Hepatic Impairment</w:t>
      </w:r>
      <w:r w:rsidRPr="00B50C48">
        <w:rPr>
          <w:sz w:val="22"/>
          <w:szCs w:val="24"/>
          <w:lang w:bidi="he-IL"/>
        </w:rPr>
        <w:t xml:space="preserve">).  </w:t>
      </w:r>
    </w:p>
    <w:p w:rsidR="00671AF4" w:rsidRPr="00772769" w:rsidRDefault="00772769" w:rsidP="00A22B1D">
      <w:pPr>
        <w:spacing w:before="120" w:after="240" w:line="276" w:lineRule="auto"/>
        <w:jc w:val="both"/>
        <w:rPr>
          <w:sz w:val="22"/>
          <w:szCs w:val="24"/>
          <w:u w:val="single"/>
          <w:lang w:bidi="he-IL"/>
        </w:rPr>
      </w:pPr>
      <w:r>
        <w:rPr>
          <w:sz w:val="22"/>
          <w:szCs w:val="24"/>
          <w:u w:val="single"/>
          <w:lang w:bidi="he-IL"/>
        </w:rPr>
        <w:t>R</w:t>
      </w:r>
      <w:r w:rsidR="00671AF4" w:rsidRPr="00772769">
        <w:rPr>
          <w:sz w:val="22"/>
          <w:szCs w:val="24"/>
          <w:u w:val="single"/>
          <w:lang w:bidi="he-IL"/>
        </w:rPr>
        <w:t xml:space="preserve">enal </w:t>
      </w:r>
      <w:r>
        <w:rPr>
          <w:sz w:val="22"/>
          <w:szCs w:val="24"/>
          <w:u w:val="single"/>
          <w:lang w:bidi="he-IL"/>
        </w:rPr>
        <w:t>I</w:t>
      </w:r>
      <w:r w:rsidR="00671AF4" w:rsidRPr="00772769">
        <w:rPr>
          <w:sz w:val="22"/>
          <w:szCs w:val="24"/>
          <w:u w:val="single"/>
          <w:lang w:bidi="he-IL"/>
        </w:rPr>
        <w:t>mpairment</w:t>
      </w:r>
    </w:p>
    <w:p w:rsidR="00671AF4" w:rsidRPr="00B50C48" w:rsidRDefault="00671AF4" w:rsidP="00A22B1D">
      <w:pPr>
        <w:spacing w:before="120" w:after="240" w:line="276" w:lineRule="auto"/>
        <w:jc w:val="both"/>
        <w:rPr>
          <w:sz w:val="22"/>
          <w:szCs w:val="24"/>
          <w:lang w:bidi="he-IL"/>
        </w:rPr>
      </w:pPr>
      <w:r w:rsidRPr="00B50C48">
        <w:rPr>
          <w:sz w:val="22"/>
          <w:szCs w:val="24"/>
          <w:lang w:bidi="he-IL"/>
        </w:rPr>
        <w:t>Patients with mild</w:t>
      </w:r>
      <w:r w:rsidR="00481B7F">
        <w:rPr>
          <w:sz w:val="22"/>
          <w:szCs w:val="24"/>
          <w:lang w:bidi="he-IL"/>
        </w:rPr>
        <w:t xml:space="preserve"> (Stage 2 CKD)</w:t>
      </w:r>
      <w:r w:rsidRPr="00B50C48">
        <w:rPr>
          <w:sz w:val="22"/>
          <w:szCs w:val="24"/>
          <w:lang w:bidi="he-IL"/>
        </w:rPr>
        <w:t>, moderate</w:t>
      </w:r>
      <w:r w:rsidR="00481B7F">
        <w:rPr>
          <w:sz w:val="22"/>
          <w:szCs w:val="24"/>
          <w:lang w:bidi="he-IL"/>
        </w:rPr>
        <w:t xml:space="preserve"> (Stage 3 CKD)</w:t>
      </w:r>
      <w:r w:rsidRPr="00B50C48">
        <w:rPr>
          <w:sz w:val="22"/>
          <w:szCs w:val="24"/>
          <w:lang w:bidi="he-IL"/>
        </w:rPr>
        <w:t xml:space="preserve"> or severe </w:t>
      </w:r>
      <w:r w:rsidR="00481B7F">
        <w:rPr>
          <w:sz w:val="22"/>
          <w:szCs w:val="24"/>
          <w:lang w:bidi="he-IL"/>
        </w:rPr>
        <w:t xml:space="preserve">(Stage 4 CKD) </w:t>
      </w:r>
      <w:r w:rsidRPr="00B50C48">
        <w:rPr>
          <w:sz w:val="22"/>
          <w:szCs w:val="24"/>
          <w:lang w:bidi="he-IL"/>
        </w:rPr>
        <w:t xml:space="preserve">renal impairment (creatinine clearance 80 – 15 mL/min) showed a higher exposure to Adempas </w:t>
      </w:r>
      <w:r w:rsidR="00AF1F6B" w:rsidRPr="00B50C48">
        <w:rPr>
          <w:sz w:val="22"/>
          <w:szCs w:val="22"/>
        </w:rPr>
        <w:t xml:space="preserve">(see </w:t>
      </w:r>
      <w:r w:rsidR="00F72DE4">
        <w:rPr>
          <w:sz w:val="22"/>
          <w:szCs w:val="22"/>
        </w:rPr>
        <w:t xml:space="preserve">PHARMACOLOGY, </w:t>
      </w:r>
      <w:r w:rsidR="00AF1F6B" w:rsidRPr="00B50C48">
        <w:rPr>
          <w:sz w:val="22"/>
          <w:szCs w:val="22"/>
        </w:rPr>
        <w:t>Pharmacokinetic Properties)</w:t>
      </w:r>
      <w:r w:rsidRPr="00B50C48">
        <w:rPr>
          <w:sz w:val="22"/>
          <w:szCs w:val="24"/>
          <w:lang w:bidi="he-IL"/>
        </w:rPr>
        <w:t>. Particular care should be exercised during individual dose titration.</w:t>
      </w:r>
    </w:p>
    <w:p w:rsidR="008446DF" w:rsidRPr="00301A59" w:rsidRDefault="00671AF4" w:rsidP="00A22B1D">
      <w:pPr>
        <w:spacing w:before="120" w:after="240" w:line="276" w:lineRule="auto"/>
        <w:jc w:val="both"/>
        <w:rPr>
          <w:sz w:val="22"/>
          <w:szCs w:val="22"/>
        </w:rPr>
      </w:pPr>
      <w:r w:rsidRPr="00B50C48">
        <w:rPr>
          <w:sz w:val="22"/>
          <w:szCs w:val="24"/>
          <w:lang w:bidi="he-IL"/>
        </w:rPr>
        <w:t>Patients with creatinine clearance &lt;</w:t>
      </w:r>
      <w:r w:rsidR="0069091C" w:rsidRPr="00B50C48">
        <w:rPr>
          <w:sz w:val="22"/>
          <w:szCs w:val="24"/>
          <w:lang w:bidi="he-IL"/>
        </w:rPr>
        <w:t xml:space="preserve"> </w:t>
      </w:r>
      <w:r w:rsidRPr="00B50C48">
        <w:rPr>
          <w:sz w:val="22"/>
          <w:szCs w:val="24"/>
          <w:lang w:bidi="he-IL"/>
        </w:rPr>
        <w:t xml:space="preserve">15 mL/min or on dialysis </w:t>
      </w:r>
      <w:r w:rsidR="00A84D84">
        <w:rPr>
          <w:sz w:val="22"/>
          <w:szCs w:val="24"/>
          <w:lang w:bidi="he-IL"/>
        </w:rPr>
        <w:t xml:space="preserve">(Stage 5) </w:t>
      </w:r>
      <w:r w:rsidRPr="00B50C48">
        <w:rPr>
          <w:sz w:val="22"/>
          <w:szCs w:val="24"/>
          <w:lang w:bidi="he-IL"/>
        </w:rPr>
        <w:t xml:space="preserve">have not been studied and therefore use of Adempas is not recommended in these patients (see </w:t>
      </w:r>
      <w:r w:rsidR="0069091C" w:rsidRPr="00B50C48">
        <w:rPr>
          <w:sz w:val="22"/>
          <w:szCs w:val="24"/>
          <w:lang w:bidi="he-IL"/>
        </w:rPr>
        <w:t>PRECAUTIONS</w:t>
      </w:r>
      <w:r w:rsidR="00F72DE4">
        <w:rPr>
          <w:sz w:val="22"/>
          <w:szCs w:val="24"/>
          <w:lang w:bidi="he-IL"/>
        </w:rPr>
        <w:t xml:space="preserve">, </w:t>
      </w:r>
      <w:r w:rsidR="0084079E">
        <w:rPr>
          <w:sz w:val="22"/>
          <w:szCs w:val="22"/>
        </w:rPr>
        <w:t>Renal Impairment</w:t>
      </w:r>
      <w:r w:rsidRPr="00301A59">
        <w:rPr>
          <w:sz w:val="22"/>
          <w:szCs w:val="22"/>
        </w:rPr>
        <w:t>).</w:t>
      </w:r>
    </w:p>
    <w:p w:rsidR="008446DF" w:rsidRPr="00772769" w:rsidRDefault="008446DF" w:rsidP="00DC253E">
      <w:pPr>
        <w:keepNext/>
        <w:spacing w:before="120" w:after="240" w:line="276" w:lineRule="auto"/>
        <w:jc w:val="both"/>
        <w:rPr>
          <w:sz w:val="22"/>
          <w:szCs w:val="24"/>
          <w:u w:val="single"/>
          <w:lang w:bidi="he-IL"/>
        </w:rPr>
      </w:pPr>
      <w:r w:rsidRPr="00772769">
        <w:rPr>
          <w:sz w:val="22"/>
          <w:szCs w:val="24"/>
          <w:u w:val="single"/>
          <w:lang w:bidi="he-IL"/>
        </w:rPr>
        <w:t xml:space="preserve">Smoking </w:t>
      </w:r>
      <w:r w:rsidR="00772769">
        <w:rPr>
          <w:sz w:val="22"/>
          <w:szCs w:val="24"/>
          <w:u w:val="single"/>
          <w:lang w:bidi="he-IL"/>
        </w:rPr>
        <w:t>S</w:t>
      </w:r>
      <w:r w:rsidRPr="00772769">
        <w:rPr>
          <w:sz w:val="22"/>
          <w:szCs w:val="24"/>
          <w:u w:val="single"/>
          <w:lang w:bidi="he-IL"/>
        </w:rPr>
        <w:t>tatus</w:t>
      </w:r>
    </w:p>
    <w:p w:rsidR="00671AF4" w:rsidRDefault="00137FA9" w:rsidP="00A22B1D">
      <w:pPr>
        <w:spacing w:before="120" w:after="240" w:line="276" w:lineRule="auto"/>
        <w:jc w:val="both"/>
        <w:rPr>
          <w:sz w:val="22"/>
          <w:szCs w:val="24"/>
          <w:lang w:bidi="he-IL"/>
        </w:rPr>
      </w:pPr>
      <w:r w:rsidRPr="00B50C48">
        <w:rPr>
          <w:sz w:val="22"/>
          <w:szCs w:val="24"/>
          <w:lang w:bidi="he-IL"/>
        </w:rPr>
        <w:t xml:space="preserve">Current smokers should be advised to stop smoking. Plasma concentrations of riociguat in smokers are reduced compared to non-smokers. Dose adjustment of </w:t>
      </w:r>
      <w:r w:rsidR="00F72DE4">
        <w:rPr>
          <w:sz w:val="22"/>
          <w:szCs w:val="24"/>
          <w:lang w:bidi="he-IL"/>
        </w:rPr>
        <w:t>Adempas</w:t>
      </w:r>
      <w:r w:rsidR="00F72DE4" w:rsidRPr="00B50C48">
        <w:rPr>
          <w:sz w:val="22"/>
          <w:szCs w:val="24"/>
          <w:lang w:bidi="he-IL"/>
        </w:rPr>
        <w:t xml:space="preserve"> </w:t>
      </w:r>
      <w:r w:rsidRPr="00B50C48">
        <w:rPr>
          <w:sz w:val="22"/>
          <w:szCs w:val="24"/>
          <w:lang w:bidi="he-IL"/>
        </w:rPr>
        <w:t>may be required in patients who stop or start smoking during treatment (see</w:t>
      </w:r>
      <w:r w:rsidR="00B655DB">
        <w:rPr>
          <w:sz w:val="22"/>
          <w:szCs w:val="24"/>
          <w:lang w:bidi="he-IL"/>
        </w:rPr>
        <w:t xml:space="preserve"> PRECAUTIOINS,</w:t>
      </w:r>
      <w:r w:rsidRPr="00B50C48">
        <w:rPr>
          <w:sz w:val="22"/>
          <w:szCs w:val="24"/>
          <w:lang w:bidi="he-IL"/>
        </w:rPr>
        <w:t xml:space="preserve"> </w:t>
      </w:r>
      <w:r w:rsidR="00F72DE4">
        <w:rPr>
          <w:sz w:val="22"/>
          <w:szCs w:val="24"/>
          <w:lang w:bidi="he-IL"/>
        </w:rPr>
        <w:t xml:space="preserve">Additional </w:t>
      </w:r>
      <w:r w:rsidR="00301A59">
        <w:rPr>
          <w:sz w:val="22"/>
          <w:szCs w:val="24"/>
          <w:lang w:bidi="he-IL"/>
        </w:rPr>
        <w:t>I</w:t>
      </w:r>
      <w:r w:rsidR="00F72DE4">
        <w:rPr>
          <w:sz w:val="22"/>
          <w:szCs w:val="24"/>
          <w:lang w:bidi="he-IL"/>
        </w:rPr>
        <w:t xml:space="preserve">nformation on </w:t>
      </w:r>
      <w:r w:rsidR="00301A59">
        <w:rPr>
          <w:sz w:val="22"/>
          <w:szCs w:val="24"/>
          <w:lang w:bidi="he-IL"/>
        </w:rPr>
        <w:t>S</w:t>
      </w:r>
      <w:r w:rsidR="00F72DE4">
        <w:rPr>
          <w:sz w:val="22"/>
          <w:szCs w:val="24"/>
          <w:lang w:bidi="he-IL"/>
        </w:rPr>
        <w:t xml:space="preserve">pecial </w:t>
      </w:r>
      <w:r w:rsidR="00301A59">
        <w:rPr>
          <w:sz w:val="22"/>
          <w:szCs w:val="24"/>
          <w:lang w:bidi="he-IL"/>
        </w:rPr>
        <w:t>P</w:t>
      </w:r>
      <w:r w:rsidR="00F72DE4">
        <w:rPr>
          <w:sz w:val="22"/>
          <w:szCs w:val="24"/>
          <w:lang w:bidi="he-IL"/>
        </w:rPr>
        <w:t>opulations</w:t>
      </w:r>
      <w:r w:rsidR="00AF1F6B" w:rsidRPr="00B50C48">
        <w:rPr>
          <w:sz w:val="22"/>
          <w:szCs w:val="22"/>
        </w:rPr>
        <w:t>)</w:t>
      </w:r>
      <w:r w:rsidRPr="00B50C48">
        <w:rPr>
          <w:sz w:val="22"/>
          <w:szCs w:val="24"/>
          <w:lang w:bidi="he-IL"/>
        </w:rPr>
        <w:t>.</w:t>
      </w:r>
      <w:r w:rsidR="00671AF4" w:rsidRPr="00B50C48">
        <w:rPr>
          <w:sz w:val="22"/>
          <w:szCs w:val="24"/>
          <w:lang w:bidi="he-IL"/>
        </w:rPr>
        <w:t xml:space="preserve">      </w:t>
      </w:r>
    </w:p>
    <w:p w:rsidR="00FB626C" w:rsidRPr="00FD0E9F" w:rsidRDefault="00FB626C" w:rsidP="00A22B1D">
      <w:pPr>
        <w:spacing w:before="120" w:after="240" w:line="276" w:lineRule="auto"/>
        <w:jc w:val="both"/>
        <w:rPr>
          <w:sz w:val="22"/>
          <w:szCs w:val="24"/>
          <w:u w:val="single"/>
          <w:lang w:bidi="he-IL"/>
        </w:rPr>
      </w:pPr>
      <w:r w:rsidRPr="00FD0E9F">
        <w:rPr>
          <w:sz w:val="22"/>
          <w:szCs w:val="24"/>
          <w:u w:val="single"/>
          <w:lang w:bidi="he-IL"/>
        </w:rPr>
        <w:t>Pregnancy</w:t>
      </w:r>
    </w:p>
    <w:p w:rsidR="0021401C" w:rsidRPr="00B50C48" w:rsidRDefault="00B655DB" w:rsidP="00A22B1D">
      <w:pPr>
        <w:spacing w:before="120" w:after="240" w:line="276" w:lineRule="auto"/>
        <w:jc w:val="both"/>
        <w:rPr>
          <w:sz w:val="22"/>
          <w:szCs w:val="24"/>
          <w:lang w:bidi="he-IL"/>
        </w:rPr>
      </w:pPr>
      <w:r>
        <w:rPr>
          <w:sz w:val="22"/>
          <w:szCs w:val="24"/>
          <w:lang w:bidi="he-IL"/>
        </w:rPr>
        <w:t xml:space="preserve">Adempas is contraindicated during pregnancy (see CONTRAINDICATIONS). </w:t>
      </w:r>
      <w:r w:rsidR="00FB626C">
        <w:rPr>
          <w:sz w:val="22"/>
          <w:szCs w:val="24"/>
          <w:lang w:bidi="he-IL"/>
        </w:rPr>
        <w:t>Women of child-bearing potential should be tested for pregnanc</w:t>
      </w:r>
      <w:r w:rsidR="0021401C">
        <w:rPr>
          <w:sz w:val="22"/>
          <w:szCs w:val="24"/>
          <w:lang w:bidi="he-IL"/>
        </w:rPr>
        <w:t>y prior to initiating treatment,</w:t>
      </w:r>
      <w:r w:rsidR="00FB626C">
        <w:rPr>
          <w:sz w:val="22"/>
          <w:szCs w:val="24"/>
          <w:lang w:bidi="he-IL"/>
        </w:rPr>
        <w:t xml:space="preserve"> at reg</w:t>
      </w:r>
      <w:r w:rsidR="0021401C">
        <w:rPr>
          <w:sz w:val="22"/>
          <w:szCs w:val="24"/>
          <w:lang w:bidi="he-IL"/>
        </w:rPr>
        <w:t xml:space="preserve">ular intervals during treatment and one month after discontinuation of treatment with Adempas. </w:t>
      </w:r>
    </w:p>
    <w:p w:rsidR="005E1570" w:rsidRPr="00B50C48" w:rsidRDefault="005E1570" w:rsidP="009421D5">
      <w:pPr>
        <w:pStyle w:val="Heading1"/>
        <w:numPr>
          <w:ilvl w:val="0"/>
          <w:numId w:val="0"/>
        </w:numPr>
        <w:jc w:val="both"/>
        <w:rPr>
          <w:sz w:val="24"/>
        </w:rPr>
      </w:pPr>
      <w:r w:rsidRPr="00B50C48">
        <w:rPr>
          <w:sz w:val="24"/>
        </w:rPr>
        <w:lastRenderedPageBreak/>
        <w:t>OVERDOSAGE</w:t>
      </w:r>
    </w:p>
    <w:p w:rsidR="007B21B3" w:rsidRPr="00B50C48" w:rsidRDefault="007B21B3" w:rsidP="00F11EBD">
      <w:pPr>
        <w:pStyle w:val="BayerBodyTextFull"/>
        <w:spacing w:after="240" w:line="276" w:lineRule="auto"/>
        <w:jc w:val="both"/>
        <w:rPr>
          <w:sz w:val="22"/>
        </w:rPr>
      </w:pPr>
      <w:r w:rsidRPr="00B50C48">
        <w:rPr>
          <w:sz w:val="22"/>
        </w:rPr>
        <w:t xml:space="preserve">Inadvertent overdosing with total daily doses of </w:t>
      </w:r>
      <w:r w:rsidR="00E87797">
        <w:rPr>
          <w:sz w:val="22"/>
        </w:rPr>
        <w:t>Adempas</w:t>
      </w:r>
      <w:r w:rsidR="00E87797" w:rsidRPr="00B50C48">
        <w:rPr>
          <w:sz w:val="22"/>
        </w:rPr>
        <w:t xml:space="preserve"> </w:t>
      </w:r>
      <w:r w:rsidRPr="00B50C48">
        <w:rPr>
          <w:sz w:val="22"/>
        </w:rPr>
        <w:t xml:space="preserve">9 – 25 mg </w:t>
      </w:r>
      <w:r w:rsidR="00E87797">
        <w:rPr>
          <w:sz w:val="22"/>
        </w:rPr>
        <w:t>for periods</w:t>
      </w:r>
      <w:r w:rsidR="00E87797" w:rsidRPr="00B50C48">
        <w:rPr>
          <w:sz w:val="22"/>
        </w:rPr>
        <w:t xml:space="preserve"> </w:t>
      </w:r>
      <w:r w:rsidRPr="00B50C48">
        <w:rPr>
          <w:sz w:val="22"/>
        </w:rPr>
        <w:t xml:space="preserve">2 – 32 days </w:t>
      </w:r>
      <w:r w:rsidR="00E87797">
        <w:rPr>
          <w:sz w:val="22"/>
        </w:rPr>
        <w:t>has been</w:t>
      </w:r>
      <w:r w:rsidR="00E87797" w:rsidRPr="00B50C48">
        <w:rPr>
          <w:sz w:val="22"/>
        </w:rPr>
        <w:t xml:space="preserve"> </w:t>
      </w:r>
      <w:r w:rsidRPr="00B50C48">
        <w:rPr>
          <w:sz w:val="22"/>
        </w:rPr>
        <w:t xml:space="preserve">reported. Adverse reactions were similar to those seen at lower doses (see </w:t>
      </w:r>
      <w:r w:rsidR="00A75613" w:rsidRPr="00B50C48">
        <w:rPr>
          <w:sz w:val="22"/>
        </w:rPr>
        <w:t>ADVERSE EFFECTS</w:t>
      </w:r>
      <w:r w:rsidRPr="00B50C48">
        <w:rPr>
          <w:sz w:val="22"/>
        </w:rPr>
        <w:t>).</w:t>
      </w:r>
    </w:p>
    <w:p w:rsidR="005E1570" w:rsidRDefault="007B21B3" w:rsidP="00F11EBD">
      <w:pPr>
        <w:pStyle w:val="BayerBodyTextFull"/>
        <w:spacing w:after="240" w:line="276" w:lineRule="auto"/>
        <w:jc w:val="both"/>
        <w:rPr>
          <w:sz w:val="22"/>
        </w:rPr>
      </w:pPr>
      <w:r w:rsidRPr="00B50C48">
        <w:rPr>
          <w:sz w:val="22"/>
        </w:rPr>
        <w:t>No specific antidote is available.</w:t>
      </w:r>
      <w:r w:rsidR="00E87797">
        <w:rPr>
          <w:sz w:val="22"/>
        </w:rPr>
        <w:t xml:space="preserve"> </w:t>
      </w:r>
      <w:r w:rsidRPr="00B50C48">
        <w:rPr>
          <w:sz w:val="22"/>
        </w:rPr>
        <w:t>In case of overdose, standard supportive measures should be adopted as required.</w:t>
      </w:r>
      <w:r w:rsidR="00E87797">
        <w:rPr>
          <w:sz w:val="22"/>
        </w:rPr>
        <w:t xml:space="preserve"> </w:t>
      </w:r>
      <w:r w:rsidRPr="00B50C48">
        <w:rPr>
          <w:sz w:val="22"/>
        </w:rPr>
        <w:t>In case of pronounced hypotension, active cardiovascular support may be required.</w:t>
      </w:r>
      <w:r w:rsidR="00E87797">
        <w:rPr>
          <w:sz w:val="22"/>
        </w:rPr>
        <w:t xml:space="preserve"> </w:t>
      </w:r>
      <w:r w:rsidRPr="00B50C48">
        <w:rPr>
          <w:sz w:val="22"/>
        </w:rPr>
        <w:t xml:space="preserve">Based on the high plasma protein binding riociguat is not expected to be </w:t>
      </w:r>
      <w:r w:rsidR="00BA4E6A" w:rsidRPr="00B50C48">
        <w:rPr>
          <w:sz w:val="22"/>
        </w:rPr>
        <w:t>dialy</w:t>
      </w:r>
      <w:r w:rsidR="002142A1">
        <w:rPr>
          <w:sz w:val="22"/>
        </w:rPr>
        <w:t>s</w:t>
      </w:r>
      <w:r w:rsidR="00BA4E6A" w:rsidRPr="00B50C48">
        <w:rPr>
          <w:sz w:val="22"/>
        </w:rPr>
        <w:t>able</w:t>
      </w:r>
      <w:r w:rsidRPr="00B50C48">
        <w:rPr>
          <w:sz w:val="22"/>
        </w:rPr>
        <w:t xml:space="preserve">.  </w:t>
      </w:r>
    </w:p>
    <w:p w:rsidR="00E87797" w:rsidRPr="00B50C48" w:rsidRDefault="00E87797" w:rsidP="00F11EBD">
      <w:pPr>
        <w:pStyle w:val="BayerBodyTextFull"/>
        <w:spacing w:after="240" w:line="276" w:lineRule="auto"/>
        <w:jc w:val="both"/>
        <w:rPr>
          <w:sz w:val="22"/>
        </w:rPr>
      </w:pPr>
      <w:r w:rsidRPr="00435EDC">
        <w:rPr>
          <w:sz w:val="22"/>
        </w:rPr>
        <w:t>For information on the management of overdose, contact the Poisons Information Centre on 13 11 26.</w:t>
      </w:r>
    </w:p>
    <w:p w:rsidR="005E1570" w:rsidRPr="00B50C48" w:rsidRDefault="005E1570" w:rsidP="009421D5">
      <w:pPr>
        <w:pStyle w:val="Heading1"/>
        <w:numPr>
          <w:ilvl w:val="0"/>
          <w:numId w:val="0"/>
        </w:numPr>
        <w:jc w:val="both"/>
        <w:rPr>
          <w:sz w:val="24"/>
          <w:lang w:eastAsia="zh-CN"/>
        </w:rPr>
      </w:pPr>
      <w:r w:rsidRPr="00B50C48">
        <w:rPr>
          <w:sz w:val="24"/>
          <w:lang w:eastAsia="zh-CN"/>
        </w:rPr>
        <w:t>PRESENTATION AND STORAGE CONDITIONS</w:t>
      </w:r>
    </w:p>
    <w:p w:rsidR="00E87797" w:rsidRPr="00E87797" w:rsidRDefault="00E87797" w:rsidP="009421D5">
      <w:pPr>
        <w:pStyle w:val="BayerBodyTextFull"/>
        <w:jc w:val="both"/>
        <w:rPr>
          <w:b/>
          <w:sz w:val="22"/>
          <w:lang w:eastAsia="zh-CN"/>
        </w:rPr>
      </w:pPr>
      <w:r w:rsidRPr="00E87797">
        <w:rPr>
          <w:b/>
          <w:sz w:val="22"/>
          <w:lang w:eastAsia="zh-CN"/>
        </w:rPr>
        <w:t>Presentation</w:t>
      </w:r>
    </w:p>
    <w:p w:rsidR="00E87797" w:rsidRDefault="00E87797" w:rsidP="009421D5">
      <w:pPr>
        <w:pStyle w:val="BayerBodyTextFull"/>
        <w:jc w:val="both"/>
        <w:rPr>
          <w:sz w:val="22"/>
          <w:lang w:eastAsia="zh-CN"/>
        </w:rPr>
      </w:pPr>
      <w:r>
        <w:rPr>
          <w:sz w:val="22"/>
          <w:lang w:eastAsia="zh-CN"/>
        </w:rPr>
        <w:t>Adempas 0.5 mg, 1 mg, 1.5 mg, 2 mg and 2.5 mg film-coated tablets in polypropylene</w:t>
      </w:r>
      <w:r w:rsidR="00D4795A">
        <w:rPr>
          <w:sz w:val="22"/>
          <w:lang w:eastAsia="zh-CN"/>
        </w:rPr>
        <w:t xml:space="preserve"> / aluminium</w:t>
      </w:r>
      <w:r>
        <w:rPr>
          <w:sz w:val="22"/>
          <w:lang w:eastAsia="zh-CN"/>
        </w:rPr>
        <w:t xml:space="preserve"> blister packs: 21, 42 and 84 tablet packs</w:t>
      </w:r>
      <w:r w:rsidR="00125010">
        <w:rPr>
          <w:sz w:val="22"/>
          <w:lang w:eastAsia="zh-CN"/>
        </w:rPr>
        <w:t xml:space="preserve"> (not all pack sizes may be marketed).</w:t>
      </w:r>
    </w:p>
    <w:p w:rsidR="005E1570" w:rsidRPr="00B50C48" w:rsidRDefault="00954E99" w:rsidP="009421D5">
      <w:pPr>
        <w:pStyle w:val="BayerBodyTextFull"/>
        <w:jc w:val="both"/>
        <w:rPr>
          <w:sz w:val="22"/>
          <w:lang w:eastAsia="zh-CN"/>
        </w:rPr>
      </w:pPr>
      <w:r w:rsidRPr="00B50C48">
        <w:rPr>
          <w:sz w:val="22"/>
          <w:lang w:eastAsia="zh-CN"/>
        </w:rPr>
        <w:t>Adempas</w:t>
      </w:r>
      <w:r w:rsidR="005E1570" w:rsidRPr="00B50C48">
        <w:rPr>
          <w:sz w:val="22"/>
          <w:lang w:eastAsia="zh-CN"/>
        </w:rPr>
        <w:t xml:space="preserve"> 0.5 mg film</w:t>
      </w:r>
      <w:r w:rsidR="00E87797">
        <w:rPr>
          <w:sz w:val="22"/>
          <w:lang w:eastAsia="zh-CN"/>
        </w:rPr>
        <w:t>-</w:t>
      </w:r>
      <w:r w:rsidR="005E1570" w:rsidRPr="00B50C48">
        <w:rPr>
          <w:sz w:val="22"/>
          <w:lang w:eastAsia="zh-CN"/>
        </w:rPr>
        <w:t>coated tablets: White, round, biconvex tablets marked with the Bayer cross on one side and 0.5 and an “R” on the other side.</w:t>
      </w:r>
    </w:p>
    <w:p w:rsidR="005E1570" w:rsidRPr="00B50C48" w:rsidRDefault="00954E99" w:rsidP="009421D5">
      <w:pPr>
        <w:pStyle w:val="BayerBodyTextFull"/>
        <w:jc w:val="both"/>
        <w:rPr>
          <w:sz w:val="22"/>
          <w:lang w:eastAsia="zh-CN"/>
        </w:rPr>
      </w:pPr>
      <w:r w:rsidRPr="00B50C48">
        <w:rPr>
          <w:sz w:val="22"/>
          <w:lang w:eastAsia="zh-CN"/>
        </w:rPr>
        <w:t>Adempas</w:t>
      </w:r>
      <w:r w:rsidR="005E1570" w:rsidRPr="00B50C48">
        <w:rPr>
          <w:sz w:val="22"/>
          <w:lang w:eastAsia="zh-CN"/>
        </w:rPr>
        <w:t xml:space="preserve"> 1 mg film</w:t>
      </w:r>
      <w:r w:rsidR="00E87797">
        <w:rPr>
          <w:sz w:val="22"/>
          <w:lang w:eastAsia="zh-CN"/>
        </w:rPr>
        <w:t>-</w:t>
      </w:r>
      <w:r w:rsidR="005E1570" w:rsidRPr="00B50C48">
        <w:rPr>
          <w:sz w:val="22"/>
          <w:lang w:eastAsia="zh-CN"/>
        </w:rPr>
        <w:t xml:space="preserve">coated tablets: Pale yellow, round, biconvex tablets marked with the Bayer cross on one side and </w:t>
      </w:r>
      <w:r w:rsidR="00E87797">
        <w:rPr>
          <w:sz w:val="22"/>
          <w:lang w:eastAsia="zh-CN"/>
        </w:rPr>
        <w:t>1</w:t>
      </w:r>
      <w:r w:rsidR="005E1570" w:rsidRPr="00B50C48">
        <w:rPr>
          <w:sz w:val="22"/>
          <w:lang w:eastAsia="zh-CN"/>
        </w:rPr>
        <w:t xml:space="preserve"> and an “R” on the other side.</w:t>
      </w:r>
    </w:p>
    <w:p w:rsidR="005E1570" w:rsidRPr="00B50C48" w:rsidRDefault="00954E99" w:rsidP="009421D5">
      <w:pPr>
        <w:pStyle w:val="BayerBodyTextFull"/>
        <w:jc w:val="both"/>
        <w:rPr>
          <w:sz w:val="22"/>
          <w:lang w:eastAsia="zh-CN"/>
        </w:rPr>
      </w:pPr>
      <w:r w:rsidRPr="00B50C48">
        <w:rPr>
          <w:sz w:val="22"/>
          <w:lang w:eastAsia="zh-CN"/>
        </w:rPr>
        <w:t>Adempas</w:t>
      </w:r>
      <w:r w:rsidR="005E1570" w:rsidRPr="00B50C48">
        <w:rPr>
          <w:sz w:val="22"/>
          <w:lang w:eastAsia="zh-CN"/>
        </w:rPr>
        <w:t xml:space="preserve"> 1.5 mg film</w:t>
      </w:r>
      <w:r w:rsidR="00E87797">
        <w:rPr>
          <w:sz w:val="22"/>
          <w:lang w:eastAsia="zh-CN"/>
        </w:rPr>
        <w:t>-</w:t>
      </w:r>
      <w:r w:rsidR="005E1570" w:rsidRPr="00B50C48">
        <w:rPr>
          <w:sz w:val="22"/>
          <w:lang w:eastAsia="zh-CN"/>
        </w:rPr>
        <w:t>coated tablets: Yellow orange, round, biconvex tablets marked with the Bayer cross on one side and 1.5 and an “R” on the other side.</w:t>
      </w:r>
    </w:p>
    <w:p w:rsidR="005E1570" w:rsidRPr="00B50C48" w:rsidRDefault="00954E99" w:rsidP="009421D5">
      <w:pPr>
        <w:pStyle w:val="BayerBodyTextFull"/>
        <w:jc w:val="both"/>
        <w:rPr>
          <w:sz w:val="22"/>
          <w:lang w:eastAsia="zh-CN"/>
        </w:rPr>
      </w:pPr>
      <w:r w:rsidRPr="00B50C48">
        <w:rPr>
          <w:sz w:val="22"/>
          <w:lang w:eastAsia="zh-CN"/>
        </w:rPr>
        <w:t>Adempas</w:t>
      </w:r>
      <w:r w:rsidR="005E1570" w:rsidRPr="00B50C48">
        <w:rPr>
          <w:sz w:val="22"/>
          <w:lang w:eastAsia="zh-CN"/>
        </w:rPr>
        <w:t xml:space="preserve"> 2 mg film</w:t>
      </w:r>
      <w:r w:rsidR="00E87797">
        <w:rPr>
          <w:sz w:val="22"/>
          <w:lang w:eastAsia="zh-CN"/>
        </w:rPr>
        <w:t>-</w:t>
      </w:r>
      <w:r w:rsidR="005E1570" w:rsidRPr="00B50C48">
        <w:rPr>
          <w:sz w:val="22"/>
          <w:lang w:eastAsia="zh-CN"/>
        </w:rPr>
        <w:t xml:space="preserve">coated tablets: Pale orange, round, biconvex tablets marked with the Bayer cross on one side and </w:t>
      </w:r>
      <w:r w:rsidR="00E87797">
        <w:rPr>
          <w:sz w:val="22"/>
          <w:lang w:eastAsia="zh-CN"/>
        </w:rPr>
        <w:t>2</w:t>
      </w:r>
      <w:r w:rsidR="005E1570" w:rsidRPr="00B50C48">
        <w:rPr>
          <w:sz w:val="22"/>
          <w:lang w:eastAsia="zh-CN"/>
        </w:rPr>
        <w:t xml:space="preserve"> and an “R” on the other side.</w:t>
      </w:r>
    </w:p>
    <w:p w:rsidR="005E1570" w:rsidRPr="00B50C48" w:rsidRDefault="00954E99" w:rsidP="009421D5">
      <w:pPr>
        <w:pStyle w:val="BayerBodyTextFull"/>
        <w:jc w:val="both"/>
        <w:rPr>
          <w:sz w:val="22"/>
          <w:lang w:eastAsia="zh-CN"/>
        </w:rPr>
      </w:pPr>
      <w:r w:rsidRPr="00B50C48">
        <w:rPr>
          <w:sz w:val="22"/>
          <w:lang w:eastAsia="zh-CN"/>
        </w:rPr>
        <w:t>Adempas</w:t>
      </w:r>
      <w:r w:rsidR="005E1570" w:rsidRPr="00B50C48">
        <w:rPr>
          <w:sz w:val="22"/>
          <w:lang w:eastAsia="zh-CN"/>
        </w:rPr>
        <w:t xml:space="preserve"> 2.5 mg film</w:t>
      </w:r>
      <w:r w:rsidR="00E87797">
        <w:rPr>
          <w:sz w:val="22"/>
          <w:lang w:eastAsia="zh-CN"/>
        </w:rPr>
        <w:t>-</w:t>
      </w:r>
      <w:r w:rsidR="005E1570" w:rsidRPr="00B50C48">
        <w:rPr>
          <w:sz w:val="22"/>
          <w:lang w:eastAsia="zh-CN"/>
        </w:rPr>
        <w:t>coated tablets: Red orange, round, biconvex tablets marked with the Bayer cross on one side and 2.5 and an “R” on the other side.</w:t>
      </w:r>
    </w:p>
    <w:p w:rsidR="009D3C43" w:rsidRDefault="009D3C43" w:rsidP="009D3C43">
      <w:pPr>
        <w:pStyle w:val="BayerBodyTextFull"/>
        <w:jc w:val="both"/>
        <w:rPr>
          <w:b/>
          <w:sz w:val="22"/>
          <w:lang w:eastAsia="zh-CN"/>
        </w:rPr>
      </w:pPr>
      <w:r>
        <w:rPr>
          <w:b/>
          <w:sz w:val="22"/>
          <w:lang w:eastAsia="zh-CN"/>
        </w:rPr>
        <w:t>Storage Conditions</w:t>
      </w:r>
    </w:p>
    <w:p w:rsidR="009D3C43" w:rsidRPr="009D3C43" w:rsidRDefault="009D3C43" w:rsidP="009D3C43">
      <w:pPr>
        <w:pStyle w:val="BayerBodyTextFull"/>
        <w:jc w:val="both"/>
        <w:rPr>
          <w:sz w:val="22"/>
          <w:lang w:eastAsia="zh-CN"/>
        </w:rPr>
      </w:pPr>
      <w:r w:rsidRPr="009D3C43">
        <w:rPr>
          <w:sz w:val="22"/>
          <w:lang w:eastAsia="zh-CN"/>
        </w:rPr>
        <w:t>Store below</w:t>
      </w:r>
      <w:r>
        <w:rPr>
          <w:sz w:val="22"/>
          <w:lang w:eastAsia="zh-CN"/>
        </w:rPr>
        <w:t xml:space="preserve"> 30</w:t>
      </w:r>
      <w:r>
        <w:rPr>
          <w:rFonts w:cs="Arial"/>
          <w:sz w:val="22"/>
          <w:lang w:eastAsia="zh-CN"/>
        </w:rPr>
        <w:t>°</w:t>
      </w:r>
      <w:r>
        <w:rPr>
          <w:sz w:val="22"/>
          <w:lang w:eastAsia="zh-CN"/>
        </w:rPr>
        <w:t>C.</w:t>
      </w:r>
    </w:p>
    <w:p w:rsidR="005E1570" w:rsidRPr="00B50C48" w:rsidRDefault="005E1570" w:rsidP="009421D5">
      <w:pPr>
        <w:pStyle w:val="Heading1"/>
        <w:numPr>
          <w:ilvl w:val="0"/>
          <w:numId w:val="0"/>
        </w:numPr>
        <w:jc w:val="both"/>
        <w:rPr>
          <w:sz w:val="24"/>
          <w:lang w:eastAsia="zh-CN"/>
        </w:rPr>
      </w:pPr>
      <w:r w:rsidRPr="00B50C48">
        <w:rPr>
          <w:sz w:val="24"/>
          <w:lang w:eastAsia="zh-CN"/>
        </w:rPr>
        <w:t>NAME AND ADDRESS OF THE SPONSOR</w:t>
      </w:r>
    </w:p>
    <w:p w:rsidR="005E1570" w:rsidRPr="00B50C48" w:rsidRDefault="009D3C43" w:rsidP="009421D5">
      <w:pPr>
        <w:pStyle w:val="BayerBodyTextFull"/>
        <w:jc w:val="both"/>
        <w:rPr>
          <w:sz w:val="22"/>
          <w:lang w:eastAsia="zh-CN"/>
        </w:rPr>
      </w:pPr>
      <w:r>
        <w:rPr>
          <w:sz w:val="22"/>
          <w:lang w:eastAsia="zh-CN"/>
        </w:rPr>
        <w:t>Bayer Australia Ltd</w:t>
      </w:r>
    </w:p>
    <w:p w:rsidR="005E1570" w:rsidRPr="00B50C48" w:rsidRDefault="005E1570" w:rsidP="009421D5">
      <w:pPr>
        <w:pStyle w:val="BayerBodyTextFull"/>
        <w:jc w:val="both"/>
        <w:rPr>
          <w:sz w:val="22"/>
          <w:lang w:eastAsia="zh-CN"/>
        </w:rPr>
      </w:pPr>
      <w:r w:rsidRPr="00B50C48">
        <w:rPr>
          <w:sz w:val="22"/>
          <w:lang w:eastAsia="zh-CN"/>
        </w:rPr>
        <w:t>ABN 22 000 138 714</w:t>
      </w:r>
    </w:p>
    <w:p w:rsidR="005E1570" w:rsidRPr="00B50C48" w:rsidRDefault="005E1570" w:rsidP="009421D5">
      <w:pPr>
        <w:pStyle w:val="BayerBodyTextFull"/>
        <w:jc w:val="both"/>
        <w:rPr>
          <w:sz w:val="22"/>
          <w:lang w:eastAsia="zh-CN"/>
        </w:rPr>
      </w:pPr>
      <w:r w:rsidRPr="00B50C48">
        <w:rPr>
          <w:sz w:val="22"/>
          <w:lang w:eastAsia="zh-CN"/>
        </w:rPr>
        <w:t>875 Pacific Highway</w:t>
      </w:r>
    </w:p>
    <w:p w:rsidR="005E1570" w:rsidRDefault="009D3C43" w:rsidP="009421D5">
      <w:pPr>
        <w:pStyle w:val="BayerBodyTextFull"/>
        <w:jc w:val="both"/>
        <w:rPr>
          <w:sz w:val="22"/>
          <w:lang w:eastAsia="zh-CN"/>
        </w:rPr>
      </w:pPr>
      <w:r>
        <w:rPr>
          <w:sz w:val="22"/>
          <w:lang w:eastAsia="zh-CN"/>
        </w:rPr>
        <w:t>Pymble</w:t>
      </w:r>
      <w:r w:rsidR="005E1570" w:rsidRPr="00B50C48">
        <w:rPr>
          <w:sz w:val="22"/>
          <w:lang w:eastAsia="zh-CN"/>
        </w:rPr>
        <w:t xml:space="preserve"> NSW 2073</w:t>
      </w:r>
    </w:p>
    <w:p w:rsidR="00662382" w:rsidRPr="00B50C48" w:rsidRDefault="00662382" w:rsidP="009421D5">
      <w:pPr>
        <w:pStyle w:val="BayerBodyTextFull"/>
        <w:jc w:val="both"/>
        <w:rPr>
          <w:sz w:val="22"/>
          <w:lang w:eastAsia="zh-CN"/>
        </w:rPr>
      </w:pPr>
      <w:r>
        <w:rPr>
          <w:sz w:val="22"/>
          <w:lang w:eastAsia="zh-CN"/>
        </w:rPr>
        <w:t xml:space="preserve">Bayer </w:t>
      </w:r>
      <w:r w:rsidR="00075B87">
        <w:rPr>
          <w:sz w:val="22"/>
          <w:lang w:eastAsia="zh-CN"/>
        </w:rPr>
        <w:t>Medical Information and Drug safety</w:t>
      </w:r>
      <w:r>
        <w:rPr>
          <w:sz w:val="22"/>
          <w:lang w:eastAsia="zh-CN"/>
        </w:rPr>
        <w:t>: 1800 673 270</w:t>
      </w:r>
      <w:r w:rsidR="00075B87">
        <w:rPr>
          <w:sz w:val="22"/>
          <w:lang w:eastAsia="zh-CN"/>
        </w:rPr>
        <w:t xml:space="preserve"> (Toll free)</w:t>
      </w:r>
    </w:p>
    <w:p w:rsidR="005E1570" w:rsidRPr="00B50C48" w:rsidRDefault="005E1570" w:rsidP="009421D5">
      <w:pPr>
        <w:pStyle w:val="Heading1"/>
        <w:numPr>
          <w:ilvl w:val="0"/>
          <w:numId w:val="0"/>
        </w:numPr>
        <w:jc w:val="both"/>
        <w:rPr>
          <w:sz w:val="24"/>
          <w:lang w:eastAsia="zh-CN"/>
        </w:rPr>
      </w:pPr>
      <w:r w:rsidRPr="00B50C48">
        <w:rPr>
          <w:sz w:val="24"/>
          <w:lang w:eastAsia="zh-CN"/>
        </w:rPr>
        <w:t>POISON SCHEDULE OF THE MEDICINE</w:t>
      </w:r>
    </w:p>
    <w:p w:rsidR="005E1570" w:rsidRPr="00B50C48" w:rsidRDefault="005E1570" w:rsidP="009421D5">
      <w:pPr>
        <w:pStyle w:val="BayerBodyTextFull"/>
        <w:jc w:val="both"/>
        <w:rPr>
          <w:sz w:val="22"/>
          <w:lang w:eastAsia="zh-CN"/>
        </w:rPr>
      </w:pPr>
      <w:r w:rsidRPr="00B50C48">
        <w:rPr>
          <w:sz w:val="22"/>
          <w:lang w:eastAsia="zh-CN"/>
        </w:rPr>
        <w:t>PRESCRIPTION ONLY MEDICINE</w:t>
      </w:r>
    </w:p>
    <w:p w:rsidR="005E1570" w:rsidRDefault="005E1570" w:rsidP="009421D5">
      <w:pPr>
        <w:pStyle w:val="Heading1"/>
        <w:numPr>
          <w:ilvl w:val="0"/>
          <w:numId w:val="0"/>
        </w:numPr>
        <w:jc w:val="both"/>
        <w:rPr>
          <w:sz w:val="24"/>
          <w:lang w:eastAsia="zh-CN"/>
        </w:rPr>
      </w:pPr>
      <w:r w:rsidRPr="00B50C48">
        <w:rPr>
          <w:sz w:val="24"/>
        </w:rPr>
        <w:t xml:space="preserve">DATE OF FIRST INCLUSION IN THE </w:t>
      </w:r>
      <w:r w:rsidRPr="00B50C48">
        <w:rPr>
          <w:sz w:val="24"/>
          <w:lang w:eastAsia="zh-CN"/>
        </w:rPr>
        <w:t>ARTG:</w:t>
      </w:r>
    </w:p>
    <w:p w:rsidR="00624002" w:rsidRPr="002C2A47" w:rsidRDefault="00143192" w:rsidP="002C2A47">
      <w:pPr>
        <w:rPr>
          <w:sz w:val="22"/>
          <w:lang w:eastAsia="zh-CN"/>
        </w:rPr>
      </w:pPr>
      <w:r>
        <w:rPr>
          <w:sz w:val="22"/>
          <w:lang w:eastAsia="zh-CN"/>
        </w:rPr>
        <w:t>14 April 2014</w:t>
      </w:r>
    </w:p>
    <w:p w:rsidR="0082273D" w:rsidRDefault="0082273D" w:rsidP="009421D5">
      <w:pPr>
        <w:pStyle w:val="BayerSectionHeading"/>
        <w:jc w:val="both"/>
        <w:rPr>
          <w:b w:val="0"/>
          <w:sz w:val="22"/>
          <w:vertAlign w:val="superscript"/>
        </w:rPr>
      </w:pPr>
    </w:p>
    <w:p w:rsidR="002A19F3" w:rsidRPr="00B50C48" w:rsidRDefault="00650EE9" w:rsidP="009421D5">
      <w:pPr>
        <w:pStyle w:val="BayerSectionHeading"/>
        <w:jc w:val="both"/>
        <w:rPr>
          <w:b w:val="0"/>
          <w:sz w:val="22"/>
        </w:rPr>
      </w:pPr>
      <w:r w:rsidRPr="00B50C48">
        <w:rPr>
          <w:b w:val="0"/>
          <w:sz w:val="22"/>
          <w:vertAlign w:val="superscript"/>
        </w:rPr>
        <w:t xml:space="preserve">® </w:t>
      </w:r>
      <w:r w:rsidRPr="00B50C48">
        <w:rPr>
          <w:b w:val="0"/>
          <w:sz w:val="22"/>
        </w:rPr>
        <w:t>Registered Trademark of Bayer AG</w:t>
      </w:r>
    </w:p>
    <w:sectPr w:rsidR="002A19F3" w:rsidRPr="00B50C48" w:rsidSect="00AF61BF">
      <w:headerReference w:type="default" r:id="rId15"/>
      <w:footerReference w:type="default" r:id="rId16"/>
      <w:pgSz w:w="11907" w:h="16839" w:code="9"/>
      <w:pgMar w:top="1134" w:right="1418" w:bottom="1560" w:left="1418" w:header="142" w:footer="9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FC" w:rsidRDefault="00FD5DFC">
      <w:r>
        <w:separator/>
      </w:r>
    </w:p>
  </w:endnote>
  <w:endnote w:type="continuationSeparator" w:id="0">
    <w:p w:rsidR="00FD5DFC" w:rsidRDefault="00FD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 Monospac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ahoma"/>
    <w:panose1 w:val="00000000000000000000"/>
    <w:charset w:val="00"/>
    <w:family w:val="roman"/>
    <w:notTrueType/>
    <w:pitch w:val="default"/>
    <w:sig w:usb0="00000003" w:usb1="00000000" w:usb2="00000000" w:usb3="00000000" w:csb0="0061004D" w:csb1="006C0072"/>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2" w:rsidRDefault="00416CF7" w:rsidP="00133315">
    <w:pPr>
      <w:pStyle w:val="Footer"/>
      <w:pBdr>
        <w:top w:val="single" w:sz="4" w:space="3" w:color="auto"/>
      </w:pBdr>
      <w:tabs>
        <w:tab w:val="clear" w:pos="9072"/>
        <w:tab w:val="right" w:pos="9071"/>
      </w:tabs>
    </w:pPr>
    <w:r>
      <w:t>1</w:t>
    </w:r>
    <w:r w:rsidR="00980C71">
      <w:t>4</w:t>
    </w:r>
    <w:r w:rsidR="00143192">
      <w:t xml:space="preserve">0414 </w:t>
    </w:r>
    <w:r w:rsidR="00133315">
      <w:t>A</w:t>
    </w:r>
    <w:r w:rsidR="00143192">
      <w:t xml:space="preserve">dempas </w:t>
    </w:r>
    <w:r w:rsidR="000B4082">
      <w:t>PI</w:t>
    </w:r>
    <w:r w:rsidR="000B4082">
      <w:tab/>
    </w:r>
    <w:r w:rsidR="000B4082">
      <w:tab/>
    </w:r>
    <w:r w:rsidR="000B4082">
      <w:fldChar w:fldCharType="begin"/>
    </w:r>
    <w:r w:rsidR="000B4082">
      <w:instrText xml:space="preserve"> PAGE   \* MERGEFORMAT </w:instrText>
    </w:r>
    <w:r w:rsidR="000B4082">
      <w:fldChar w:fldCharType="separate"/>
    </w:r>
    <w:r w:rsidR="00A86C5C">
      <w:rPr>
        <w:noProof/>
      </w:rPr>
      <w:t>1</w:t>
    </w:r>
    <w:r w:rsidR="000B408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FC" w:rsidRDefault="00FD5DFC">
      <w:r>
        <w:separator/>
      </w:r>
    </w:p>
  </w:footnote>
  <w:footnote w:type="continuationSeparator" w:id="0">
    <w:p w:rsidR="00FD5DFC" w:rsidRDefault="00FD5DFC">
      <w:r>
        <w:continuationSeparator/>
      </w:r>
    </w:p>
  </w:footnote>
  <w:footnote w:id="1">
    <w:p w:rsidR="000B4082" w:rsidRPr="00576173" w:rsidRDefault="000B4082" w:rsidP="00E42BF6">
      <w:pPr>
        <w:pStyle w:val="FootnoteText"/>
      </w:pPr>
      <w:r w:rsidRPr="00B12FCD">
        <w:rPr>
          <w:rStyle w:val="FootnoteReference"/>
        </w:rPr>
        <w:footnoteRef/>
      </w:r>
      <w:r w:rsidRPr="00B12FCD">
        <w:t xml:space="preserve"> All subsequent endpoints cannot be considered statistically significant in a formal sense because statistical significance was not achieved for </w:t>
      </w:r>
      <w:r>
        <w:t>Time to clinical worsening</w:t>
      </w:r>
      <w:r w:rsidRPr="00B12FCD">
        <w:t xml:space="preserve"> in the hierarchical testing of the secondary efficacy variables.</w:t>
      </w:r>
    </w:p>
  </w:footnote>
  <w:footnote w:id="2">
    <w:p w:rsidR="003D53F4" w:rsidRPr="0017326F" w:rsidRDefault="003D53F4" w:rsidP="003D53F4">
      <w:pPr>
        <w:pStyle w:val="FootnoteText"/>
      </w:pPr>
      <w:r w:rsidRPr="00457953">
        <w:rPr>
          <w:rStyle w:val="FootnoteReference"/>
        </w:rPr>
        <w:footnoteRef/>
      </w:r>
      <w:r w:rsidRPr="00457953">
        <w:t xml:space="preserve"> Three patients were pre</w:t>
      </w:r>
      <w:r w:rsidRPr="00457953">
        <w:noBreakHyphen/>
        <w:t>treated with an ERA and prostacyclin analogue at the same time.</w:t>
      </w:r>
    </w:p>
  </w:footnote>
  <w:footnote w:id="3">
    <w:p w:rsidR="000B4082" w:rsidRPr="00576173" w:rsidRDefault="000B4082" w:rsidP="00C5155B">
      <w:pPr>
        <w:pStyle w:val="FootnoteText"/>
      </w:pPr>
      <w:r w:rsidRPr="00D405FF">
        <w:rPr>
          <w:rStyle w:val="FootnoteReference"/>
        </w:rPr>
        <w:footnoteRef/>
      </w:r>
      <w:r w:rsidRPr="00D405FF">
        <w:t xml:space="preserve"> All subsequent endpoints cannot be considered statistically significant in a formal sense because statistical significance was not achieved for EQ-5D in the hierarchical testing of the secondary efficacy variables.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shd w:val="clear" w:color="auto" w:fill="E4F2E0"/>
      <w:tblLook w:val="04A0" w:firstRow="1" w:lastRow="0" w:firstColumn="1" w:lastColumn="0" w:noHBand="0" w:noVBand="1"/>
    </w:tblPr>
    <w:tblGrid>
      <w:gridCol w:w="8720"/>
    </w:tblGrid>
    <w:tr w:rsidR="00AF61BF" w:rsidRPr="00AF61BF" w:rsidTr="00FD5DFC">
      <w:tc>
        <w:tcPr>
          <w:tcW w:w="8720" w:type="dxa"/>
          <w:shd w:val="clear" w:color="auto" w:fill="E4F2E0"/>
        </w:tcPr>
        <w:p w:rsidR="00AF61BF" w:rsidRPr="00AF61BF" w:rsidRDefault="00AF61BF" w:rsidP="00FD5DFC">
          <w:pPr>
            <w:spacing w:before="40" w:after="40" w:line="240" w:lineRule="atLeast"/>
            <w:rPr>
              <w:rFonts w:ascii="Cambria" w:eastAsia="Cambria" w:hAnsi="Cambria"/>
              <w:b/>
              <w:szCs w:val="22"/>
              <w:lang w:eastAsia="en-US"/>
            </w:rPr>
          </w:pPr>
          <w:r w:rsidRPr="00AF61BF">
            <w:rPr>
              <w:rFonts w:ascii="Cambria" w:eastAsia="Cambria" w:hAnsi="Cambria"/>
              <w:b/>
              <w:szCs w:val="22"/>
              <w:lang w:eastAsia="en-US"/>
            </w:rPr>
            <w:t>Attachment 1: Product information for AusPAR Adempas Riociguat Bayer Australia Ltd PM-2013-00307-1-3 Final 12 June 2014. This Product Information was approved at the time this AusPAR was published.</w:t>
          </w:r>
        </w:p>
      </w:tc>
    </w:tr>
  </w:tbl>
  <w:p w:rsidR="000B4082" w:rsidRDefault="000B4082" w:rsidP="00AF6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65B"/>
    <w:multiLevelType w:val="multilevel"/>
    <w:tmpl w:val="FD02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4517B"/>
    <w:multiLevelType w:val="hybridMultilevel"/>
    <w:tmpl w:val="368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E7AB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C9D155A"/>
    <w:multiLevelType w:val="hybridMultilevel"/>
    <w:tmpl w:val="C8866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D9D7590"/>
    <w:multiLevelType w:val="hybridMultilevel"/>
    <w:tmpl w:val="D924E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6800B2"/>
    <w:multiLevelType w:val="hybridMultilevel"/>
    <w:tmpl w:val="3DB6FF0A"/>
    <w:lvl w:ilvl="0" w:tplc="3654C6C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17B6E"/>
    <w:multiLevelType w:val="multilevel"/>
    <w:tmpl w:val="0C090023"/>
    <w:styleLink w:val="ArticleSection"/>
    <w:lvl w:ilvl="0">
      <w:start w:val="1"/>
      <w:numFmt w:val="upperRoman"/>
      <w:lvlText w:val="Article %1."/>
      <w:lvlJc w:val="left"/>
      <w:pPr>
        <w:ind w:left="0" w:firstLine="0"/>
      </w:pPr>
      <w:rPr>
        <w:rFonts w:ascii="Arial" w:hAnsi="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26DF05DB"/>
    <w:multiLevelType w:val="hybridMultilevel"/>
    <w:tmpl w:val="59DA9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184E32"/>
    <w:multiLevelType w:val="multilevel"/>
    <w:tmpl w:val="1180973C"/>
    <w:lvl w:ilvl="0">
      <w:start w:val="1"/>
      <w:numFmt w:val="none"/>
      <w:lvlText w:val="%1"/>
      <w:lvlJc w:val="left"/>
      <w:pPr>
        <w:tabs>
          <w:tab w:val="num" w:pos="432"/>
        </w:tabs>
        <w:ind w:left="432" w:firstLine="0"/>
      </w:pPr>
      <w:rPr>
        <w:rFonts w:hint="default"/>
        <w:b/>
        <w:sz w:val="28"/>
      </w:rPr>
    </w:lvl>
    <w:lvl w:ilvl="1">
      <w:start w:val="1"/>
      <w:numFmt w:val="none"/>
      <w:lvlText w:val="%1"/>
      <w:lvlJc w:val="left"/>
      <w:pPr>
        <w:tabs>
          <w:tab w:val="num" w:pos="1339"/>
        </w:tabs>
        <w:ind w:left="1339" w:hanging="907"/>
      </w:pPr>
      <w:rPr>
        <w:rFonts w:hint="default"/>
        <w:b/>
      </w:rPr>
    </w:lvl>
    <w:lvl w:ilvl="2">
      <w:start w:val="1"/>
      <w:numFmt w:val="none"/>
      <w:lvlText w:val="%1"/>
      <w:lvlJc w:val="left"/>
      <w:pPr>
        <w:tabs>
          <w:tab w:val="num" w:pos="1339"/>
        </w:tabs>
        <w:ind w:left="1339" w:hanging="907"/>
      </w:pPr>
      <w:rPr>
        <w:rFonts w:hint="default"/>
        <w:b/>
      </w:rPr>
    </w:lvl>
    <w:lvl w:ilvl="3">
      <w:start w:val="1"/>
      <w:numFmt w:val="decimal"/>
      <w:lvlText w:val="%1.%2.%3.%4"/>
      <w:lvlJc w:val="left"/>
      <w:pPr>
        <w:tabs>
          <w:tab w:val="num" w:pos="432"/>
        </w:tabs>
        <w:ind w:left="1339" w:hanging="864"/>
      </w:pPr>
      <w:rPr>
        <w:rFonts w:hint="default"/>
      </w:rPr>
    </w:lvl>
    <w:lvl w:ilvl="4">
      <w:start w:val="1"/>
      <w:numFmt w:val="decimal"/>
      <w:lvlText w:val="%1.%2.%3.%4.%5"/>
      <w:lvlJc w:val="left"/>
      <w:pPr>
        <w:tabs>
          <w:tab w:val="num" w:pos="432"/>
        </w:tabs>
        <w:ind w:left="1339" w:hanging="1008"/>
      </w:pPr>
      <w:rPr>
        <w:rFonts w:hint="default"/>
      </w:rPr>
    </w:lvl>
    <w:lvl w:ilvl="5">
      <w:start w:val="1"/>
      <w:numFmt w:val="decimal"/>
      <w:lvlText w:val="%1.%2.%3.%4.%5.%6"/>
      <w:lvlJc w:val="left"/>
      <w:pPr>
        <w:tabs>
          <w:tab w:val="num" w:pos="432"/>
        </w:tabs>
        <w:ind w:left="1584" w:hanging="1152"/>
      </w:pPr>
      <w:rPr>
        <w:rFonts w:hint="default"/>
      </w:rPr>
    </w:lvl>
    <w:lvl w:ilvl="6">
      <w:start w:val="1"/>
      <w:numFmt w:val="decimal"/>
      <w:lvlText w:val="%1.%2.%3.%4.%5.%6.%7"/>
      <w:lvlJc w:val="left"/>
      <w:pPr>
        <w:tabs>
          <w:tab w:val="num" w:pos="432"/>
        </w:tabs>
        <w:ind w:left="1728" w:hanging="1296"/>
      </w:pPr>
      <w:rPr>
        <w:rFonts w:hint="default"/>
      </w:rPr>
    </w:lvl>
    <w:lvl w:ilvl="7">
      <w:start w:val="1"/>
      <w:numFmt w:val="decimal"/>
      <w:lvlText w:val="%1.%2.%3.%4.%5.%6.%7.%8"/>
      <w:lvlJc w:val="left"/>
      <w:pPr>
        <w:tabs>
          <w:tab w:val="num" w:pos="432"/>
        </w:tabs>
        <w:ind w:left="1872" w:hanging="1440"/>
      </w:pPr>
      <w:rPr>
        <w:rFonts w:hint="default"/>
      </w:rPr>
    </w:lvl>
    <w:lvl w:ilvl="8">
      <w:start w:val="1"/>
      <w:numFmt w:val="decimal"/>
      <w:lvlText w:val="%1.%2.%3.%4.%5.%6.%7.%8.%9"/>
      <w:lvlJc w:val="left"/>
      <w:pPr>
        <w:tabs>
          <w:tab w:val="num" w:pos="432"/>
        </w:tabs>
        <w:ind w:left="2016" w:hanging="1584"/>
      </w:pPr>
      <w:rPr>
        <w:rFonts w:hint="default"/>
      </w:rPr>
    </w:lvl>
  </w:abstractNum>
  <w:abstractNum w:abstractNumId="9">
    <w:nsid w:val="30B13C9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2814C3A"/>
    <w:multiLevelType w:val="singleLevel"/>
    <w:tmpl w:val="164A6F20"/>
    <w:lvl w:ilvl="0">
      <w:start w:val="1"/>
      <w:numFmt w:val="bullet"/>
      <w:pStyle w:val="Bullet2BayerBodyText"/>
      <w:lvlText w:val=""/>
      <w:lvlJc w:val="left"/>
      <w:pPr>
        <w:tabs>
          <w:tab w:val="num" w:pos="1778"/>
        </w:tabs>
        <w:ind w:left="1778" w:hanging="360"/>
      </w:pPr>
      <w:rPr>
        <w:rFonts w:ascii="Symbol" w:hAnsi="Symbol" w:hint="default"/>
      </w:rPr>
    </w:lvl>
  </w:abstractNum>
  <w:abstractNum w:abstractNumId="11">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44E11CA9"/>
    <w:multiLevelType w:val="multilevel"/>
    <w:tmpl w:val="0C09001F"/>
    <w:styleLink w:val="111111"/>
    <w:lvl w:ilvl="0">
      <w:start w:val="1"/>
      <w:numFmt w:val="decimal"/>
      <w:lvlText w:val="%1."/>
      <w:lvlJc w:val="left"/>
      <w:pPr>
        <w:ind w:left="360" w:hanging="360"/>
      </w:pPr>
      <w:rPr>
        <w:rFonts w:ascii="Arial" w:hAnsi="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0633EB"/>
    <w:multiLevelType w:val="multilevel"/>
    <w:tmpl w:val="0C09001D"/>
    <w:styleLink w:val="1ai"/>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FD45B3"/>
    <w:multiLevelType w:val="hybridMultilevel"/>
    <w:tmpl w:val="35627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B865FD"/>
    <w:multiLevelType w:val="hybridMultilevel"/>
    <w:tmpl w:val="724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83037"/>
    <w:multiLevelType w:val="multilevel"/>
    <w:tmpl w:val="3E2A222E"/>
    <w:lvl w:ilvl="0">
      <w:start w:val="1"/>
      <w:numFmt w:val="decimal"/>
      <w:pStyle w:val="Heading1"/>
      <w:lvlText w:val="%1."/>
      <w:lvlJc w:val="left"/>
      <w:pPr>
        <w:tabs>
          <w:tab w:val="num" w:pos="360"/>
        </w:tabs>
        <w:ind w:left="0" w:firstLine="0"/>
      </w:pPr>
      <w:rPr>
        <w:b/>
        <w:sz w:val="28"/>
      </w:rPr>
    </w:lvl>
    <w:lvl w:ilvl="1">
      <w:start w:val="1"/>
      <w:numFmt w:val="decimal"/>
      <w:pStyle w:val="Heading2"/>
      <w:lvlText w:val="%1.%2"/>
      <w:lvlJc w:val="left"/>
      <w:pPr>
        <w:tabs>
          <w:tab w:val="num" w:pos="0"/>
        </w:tabs>
        <w:ind w:left="907" w:hanging="576"/>
      </w:pPr>
      <w:rPr>
        <w:b/>
      </w:rPr>
    </w:lvl>
    <w:lvl w:ilvl="2">
      <w:start w:val="1"/>
      <w:numFmt w:val="decimal"/>
      <w:pStyle w:val="Heading3"/>
      <w:lvlText w:val="%1.%2.%3"/>
      <w:lvlJc w:val="left"/>
      <w:pPr>
        <w:tabs>
          <w:tab w:val="num" w:pos="0"/>
        </w:tabs>
        <w:ind w:left="907" w:hanging="720"/>
      </w:pPr>
      <w:rPr>
        <w:b/>
      </w:rPr>
    </w:lvl>
    <w:lvl w:ilvl="3">
      <w:start w:val="1"/>
      <w:numFmt w:val="decimal"/>
      <w:pStyle w:val="Heading4"/>
      <w:lvlText w:val="%1.%2.%3.%4"/>
      <w:lvlJc w:val="left"/>
      <w:pPr>
        <w:tabs>
          <w:tab w:val="num" w:pos="0"/>
        </w:tabs>
        <w:ind w:left="907" w:hanging="864"/>
      </w:pPr>
    </w:lvl>
    <w:lvl w:ilvl="4">
      <w:start w:val="1"/>
      <w:numFmt w:val="decimal"/>
      <w:pStyle w:val="Heading5"/>
      <w:lvlText w:val="%1.%2.%3.%4.%5"/>
      <w:lvlJc w:val="left"/>
      <w:pPr>
        <w:tabs>
          <w:tab w:val="num" w:pos="0"/>
        </w:tabs>
        <w:ind w:left="907"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7">
    <w:nsid w:val="5C6851DD"/>
    <w:multiLevelType w:val="multilevel"/>
    <w:tmpl w:val="0AE445D6"/>
    <w:lvl w:ilvl="0">
      <w:start w:val="1"/>
      <w:numFmt w:val="none"/>
      <w:lvlText w:val="%1"/>
      <w:lvlJc w:val="left"/>
      <w:pPr>
        <w:tabs>
          <w:tab w:val="num" w:pos="0"/>
        </w:tabs>
        <w:ind w:left="0" w:firstLine="0"/>
      </w:pPr>
      <w:rPr>
        <w:rFonts w:hint="default"/>
        <w:b/>
        <w:sz w:val="28"/>
      </w:rPr>
    </w:lvl>
    <w:lvl w:ilvl="1">
      <w:start w:val="1"/>
      <w:numFmt w:val="none"/>
      <w:lvlText w:val="%1"/>
      <w:lvlJc w:val="left"/>
      <w:pPr>
        <w:tabs>
          <w:tab w:val="num" w:pos="907"/>
        </w:tabs>
        <w:ind w:left="907" w:hanging="907"/>
      </w:pPr>
      <w:rPr>
        <w:rFonts w:hint="default"/>
        <w:b/>
      </w:rPr>
    </w:lvl>
    <w:lvl w:ilvl="2">
      <w:start w:val="1"/>
      <w:numFmt w:val="none"/>
      <w:lvlText w:val="%1"/>
      <w:lvlJc w:val="left"/>
      <w:pPr>
        <w:tabs>
          <w:tab w:val="num" w:pos="907"/>
        </w:tabs>
        <w:ind w:left="907" w:hanging="907"/>
      </w:pPr>
      <w:rPr>
        <w:rFonts w:hint="default"/>
        <w:b/>
      </w:rPr>
    </w:lvl>
    <w:lvl w:ilvl="3">
      <w:start w:val="1"/>
      <w:numFmt w:val="decimal"/>
      <w:lvlText w:val="%1.%2.%3.%4"/>
      <w:lvlJc w:val="left"/>
      <w:pPr>
        <w:tabs>
          <w:tab w:val="num" w:pos="0"/>
        </w:tabs>
        <w:ind w:left="907" w:hanging="864"/>
      </w:pPr>
      <w:rPr>
        <w:rFonts w:hint="default"/>
      </w:rPr>
    </w:lvl>
    <w:lvl w:ilvl="4">
      <w:start w:val="1"/>
      <w:numFmt w:val="decimal"/>
      <w:lvlText w:val="%1.%2.%3.%4.%5"/>
      <w:lvlJc w:val="left"/>
      <w:pPr>
        <w:tabs>
          <w:tab w:val="num" w:pos="0"/>
        </w:tabs>
        <w:ind w:left="907"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8">
    <w:nsid w:val="6D580B76"/>
    <w:multiLevelType w:val="hybridMultilevel"/>
    <w:tmpl w:val="D1AC3A52"/>
    <w:lvl w:ilvl="0" w:tplc="0407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7C522B1"/>
    <w:multiLevelType w:val="hybridMultilevel"/>
    <w:tmpl w:val="277AF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8372D1D"/>
    <w:multiLevelType w:val="hybridMultilevel"/>
    <w:tmpl w:val="B198A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B5F437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17"/>
  </w:num>
  <w:num w:numId="3">
    <w:abstractNumId w:val="8"/>
  </w:num>
  <w:num w:numId="4">
    <w:abstractNumId w:val="16"/>
  </w:num>
  <w:num w:numId="5">
    <w:abstractNumId w:val="9"/>
  </w:num>
  <w:num w:numId="6">
    <w:abstractNumId w:val="2"/>
  </w:num>
  <w:num w:numId="7">
    <w:abstractNumId w:val="21"/>
  </w:num>
  <w:num w:numId="8">
    <w:abstractNumId w:val="16"/>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1"/>
  </w:num>
  <w:num w:numId="20">
    <w:abstractNumId w:val="12"/>
  </w:num>
  <w:num w:numId="21">
    <w:abstractNumId w:val="13"/>
  </w:num>
  <w:num w:numId="22">
    <w:abstractNumId w:val="6"/>
  </w:num>
  <w:num w:numId="23">
    <w:abstractNumId w:val="0"/>
  </w:num>
  <w:num w:numId="24">
    <w:abstractNumId w:val="4"/>
  </w:num>
  <w:num w:numId="25">
    <w:abstractNumId w:val="1"/>
  </w:num>
  <w:num w:numId="26">
    <w:abstractNumId w:val="15"/>
  </w:num>
  <w:num w:numId="27">
    <w:abstractNumId w:val="18"/>
  </w:num>
  <w:num w:numId="28">
    <w:abstractNumId w:val="7"/>
  </w:num>
  <w:num w:numId="29">
    <w:abstractNumId w:val="20"/>
  </w:num>
  <w:num w:numId="30">
    <w:abstractNumId w:val="14"/>
  </w:num>
  <w:num w:numId="31">
    <w:abstractNumId w:val="3"/>
  </w:num>
  <w:num w:numId="32">
    <w:abstractNumId w:val="19"/>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97_42" w:val="0 Footnotes"/>
    <w:docVar w:name="DOCX97_43" w:val="0 Endnotes"/>
    <w:docVar w:name="DOCX97_66" w:val="GoodQuotes"/>
    <w:docVar w:name="DOCX97_89" w:val="Word8MacrosDone"/>
    <w:docVar w:name="DOCX97_91" w:val="Bayer"/>
  </w:docVars>
  <w:rsids>
    <w:rsidRoot w:val="005E1570"/>
    <w:rsid w:val="000012DF"/>
    <w:rsid w:val="00001C0F"/>
    <w:rsid w:val="0000521A"/>
    <w:rsid w:val="00007576"/>
    <w:rsid w:val="00010FB1"/>
    <w:rsid w:val="000120D3"/>
    <w:rsid w:val="00025BAB"/>
    <w:rsid w:val="00026BA7"/>
    <w:rsid w:val="000311BA"/>
    <w:rsid w:val="00031DFE"/>
    <w:rsid w:val="000326A5"/>
    <w:rsid w:val="0003478F"/>
    <w:rsid w:val="00035A93"/>
    <w:rsid w:val="00035CB6"/>
    <w:rsid w:val="00036A50"/>
    <w:rsid w:val="00037982"/>
    <w:rsid w:val="00037E1E"/>
    <w:rsid w:val="0004483B"/>
    <w:rsid w:val="00044EC4"/>
    <w:rsid w:val="00047D83"/>
    <w:rsid w:val="0005266E"/>
    <w:rsid w:val="00053C33"/>
    <w:rsid w:val="00053C4C"/>
    <w:rsid w:val="0005430E"/>
    <w:rsid w:val="00055C9C"/>
    <w:rsid w:val="00055CF8"/>
    <w:rsid w:val="00056017"/>
    <w:rsid w:val="00056424"/>
    <w:rsid w:val="00056804"/>
    <w:rsid w:val="000578D2"/>
    <w:rsid w:val="00057F8D"/>
    <w:rsid w:val="00063269"/>
    <w:rsid w:val="000654D5"/>
    <w:rsid w:val="00066435"/>
    <w:rsid w:val="00066F9E"/>
    <w:rsid w:val="00073388"/>
    <w:rsid w:val="00075B87"/>
    <w:rsid w:val="00081587"/>
    <w:rsid w:val="000853C7"/>
    <w:rsid w:val="00096909"/>
    <w:rsid w:val="000A664A"/>
    <w:rsid w:val="000A692F"/>
    <w:rsid w:val="000A729B"/>
    <w:rsid w:val="000A762A"/>
    <w:rsid w:val="000B00E5"/>
    <w:rsid w:val="000B1C89"/>
    <w:rsid w:val="000B1EA9"/>
    <w:rsid w:val="000B4082"/>
    <w:rsid w:val="000B4A9B"/>
    <w:rsid w:val="000B56AD"/>
    <w:rsid w:val="000B7450"/>
    <w:rsid w:val="000B7CC3"/>
    <w:rsid w:val="000C0BB1"/>
    <w:rsid w:val="000C215B"/>
    <w:rsid w:val="000C38CE"/>
    <w:rsid w:val="000C508E"/>
    <w:rsid w:val="000C5102"/>
    <w:rsid w:val="000C64CA"/>
    <w:rsid w:val="000D2344"/>
    <w:rsid w:val="000D2B2E"/>
    <w:rsid w:val="000D2CBC"/>
    <w:rsid w:val="000D3A02"/>
    <w:rsid w:val="000D3E83"/>
    <w:rsid w:val="000D5B44"/>
    <w:rsid w:val="000D69DA"/>
    <w:rsid w:val="000D7A70"/>
    <w:rsid w:val="000E25F7"/>
    <w:rsid w:val="000E2806"/>
    <w:rsid w:val="000E4D98"/>
    <w:rsid w:val="000E6FA7"/>
    <w:rsid w:val="000F0AEB"/>
    <w:rsid w:val="000F0EA1"/>
    <w:rsid w:val="000F29E5"/>
    <w:rsid w:val="000F392B"/>
    <w:rsid w:val="000F46B6"/>
    <w:rsid w:val="000F51F9"/>
    <w:rsid w:val="000F58E7"/>
    <w:rsid w:val="00100321"/>
    <w:rsid w:val="00101101"/>
    <w:rsid w:val="00101B05"/>
    <w:rsid w:val="001021E8"/>
    <w:rsid w:val="001031DA"/>
    <w:rsid w:val="00103427"/>
    <w:rsid w:val="00104CEB"/>
    <w:rsid w:val="001052D9"/>
    <w:rsid w:val="001104B7"/>
    <w:rsid w:val="00110BD6"/>
    <w:rsid w:val="00111328"/>
    <w:rsid w:val="00111D83"/>
    <w:rsid w:val="00113E8F"/>
    <w:rsid w:val="00121E28"/>
    <w:rsid w:val="00121EC1"/>
    <w:rsid w:val="001236A8"/>
    <w:rsid w:val="0012388A"/>
    <w:rsid w:val="00124BDC"/>
    <w:rsid w:val="00125010"/>
    <w:rsid w:val="00130946"/>
    <w:rsid w:val="00131FE3"/>
    <w:rsid w:val="00133315"/>
    <w:rsid w:val="00134A24"/>
    <w:rsid w:val="0013706A"/>
    <w:rsid w:val="00137FA9"/>
    <w:rsid w:val="00140235"/>
    <w:rsid w:val="00143192"/>
    <w:rsid w:val="00143C52"/>
    <w:rsid w:val="00143FC9"/>
    <w:rsid w:val="00145C6E"/>
    <w:rsid w:val="00146E4B"/>
    <w:rsid w:val="00152F56"/>
    <w:rsid w:val="00154893"/>
    <w:rsid w:val="00155A83"/>
    <w:rsid w:val="00156BEB"/>
    <w:rsid w:val="001623FB"/>
    <w:rsid w:val="001649A7"/>
    <w:rsid w:val="00166F37"/>
    <w:rsid w:val="00167361"/>
    <w:rsid w:val="00171791"/>
    <w:rsid w:val="0017234D"/>
    <w:rsid w:val="001730E3"/>
    <w:rsid w:val="0017369E"/>
    <w:rsid w:val="0017755D"/>
    <w:rsid w:val="001779EA"/>
    <w:rsid w:val="00177AD0"/>
    <w:rsid w:val="00190689"/>
    <w:rsid w:val="001907D9"/>
    <w:rsid w:val="00193159"/>
    <w:rsid w:val="001A06AB"/>
    <w:rsid w:val="001A1A0C"/>
    <w:rsid w:val="001A55E2"/>
    <w:rsid w:val="001A5DCB"/>
    <w:rsid w:val="001A74AE"/>
    <w:rsid w:val="001B053D"/>
    <w:rsid w:val="001B4092"/>
    <w:rsid w:val="001B5221"/>
    <w:rsid w:val="001C0C0A"/>
    <w:rsid w:val="001C3FF9"/>
    <w:rsid w:val="001D16B8"/>
    <w:rsid w:val="001D1FDC"/>
    <w:rsid w:val="001D23F6"/>
    <w:rsid w:val="001D413A"/>
    <w:rsid w:val="001D76FF"/>
    <w:rsid w:val="001E17DF"/>
    <w:rsid w:val="001E3999"/>
    <w:rsid w:val="001E452F"/>
    <w:rsid w:val="001E5CFA"/>
    <w:rsid w:val="001F45E2"/>
    <w:rsid w:val="001F7566"/>
    <w:rsid w:val="002065DE"/>
    <w:rsid w:val="00207C74"/>
    <w:rsid w:val="002111F4"/>
    <w:rsid w:val="0021401C"/>
    <w:rsid w:val="002142A1"/>
    <w:rsid w:val="00223408"/>
    <w:rsid w:val="00224041"/>
    <w:rsid w:val="00226915"/>
    <w:rsid w:val="002274ED"/>
    <w:rsid w:val="00227DDC"/>
    <w:rsid w:val="0023153A"/>
    <w:rsid w:val="00232DD6"/>
    <w:rsid w:val="0023577C"/>
    <w:rsid w:val="00236DFA"/>
    <w:rsid w:val="00245A2E"/>
    <w:rsid w:val="00246257"/>
    <w:rsid w:val="00250392"/>
    <w:rsid w:val="00250C32"/>
    <w:rsid w:val="00250DB6"/>
    <w:rsid w:val="0025300A"/>
    <w:rsid w:val="0025452C"/>
    <w:rsid w:val="002572F2"/>
    <w:rsid w:val="0026081D"/>
    <w:rsid w:val="002615EC"/>
    <w:rsid w:val="00262F16"/>
    <w:rsid w:val="002658AA"/>
    <w:rsid w:val="002705C8"/>
    <w:rsid w:val="00272D59"/>
    <w:rsid w:val="002734BB"/>
    <w:rsid w:val="00273648"/>
    <w:rsid w:val="00273E9B"/>
    <w:rsid w:val="002740D2"/>
    <w:rsid w:val="00274E9C"/>
    <w:rsid w:val="002752C2"/>
    <w:rsid w:val="002778E2"/>
    <w:rsid w:val="00280DC5"/>
    <w:rsid w:val="0028182B"/>
    <w:rsid w:val="00283361"/>
    <w:rsid w:val="002835DC"/>
    <w:rsid w:val="00283E80"/>
    <w:rsid w:val="00284E24"/>
    <w:rsid w:val="00291876"/>
    <w:rsid w:val="00293902"/>
    <w:rsid w:val="002950AD"/>
    <w:rsid w:val="00295F80"/>
    <w:rsid w:val="00297AD4"/>
    <w:rsid w:val="002A069C"/>
    <w:rsid w:val="002A19F3"/>
    <w:rsid w:val="002A334F"/>
    <w:rsid w:val="002A398B"/>
    <w:rsid w:val="002A3F9D"/>
    <w:rsid w:val="002A4437"/>
    <w:rsid w:val="002A459E"/>
    <w:rsid w:val="002A4AB0"/>
    <w:rsid w:val="002B76F0"/>
    <w:rsid w:val="002C1C14"/>
    <w:rsid w:val="002C2A47"/>
    <w:rsid w:val="002C301C"/>
    <w:rsid w:val="002C30BC"/>
    <w:rsid w:val="002C3222"/>
    <w:rsid w:val="002C56DA"/>
    <w:rsid w:val="002C7652"/>
    <w:rsid w:val="002D05F7"/>
    <w:rsid w:val="002D324D"/>
    <w:rsid w:val="002D3966"/>
    <w:rsid w:val="002D636E"/>
    <w:rsid w:val="002D6744"/>
    <w:rsid w:val="002D7E65"/>
    <w:rsid w:val="002E2F80"/>
    <w:rsid w:val="002E3024"/>
    <w:rsid w:val="002E3CBB"/>
    <w:rsid w:val="002E5499"/>
    <w:rsid w:val="002E64DD"/>
    <w:rsid w:val="002E7460"/>
    <w:rsid w:val="002F2E1E"/>
    <w:rsid w:val="002F3263"/>
    <w:rsid w:val="002F3825"/>
    <w:rsid w:val="002F6A52"/>
    <w:rsid w:val="003013DF"/>
    <w:rsid w:val="00301A59"/>
    <w:rsid w:val="00303A8E"/>
    <w:rsid w:val="0030783F"/>
    <w:rsid w:val="00307B3B"/>
    <w:rsid w:val="0031088D"/>
    <w:rsid w:val="003110BF"/>
    <w:rsid w:val="00311C2B"/>
    <w:rsid w:val="00312036"/>
    <w:rsid w:val="003142D7"/>
    <w:rsid w:val="00315EE2"/>
    <w:rsid w:val="00316A5A"/>
    <w:rsid w:val="003202C9"/>
    <w:rsid w:val="0032149B"/>
    <w:rsid w:val="00325BD0"/>
    <w:rsid w:val="00330459"/>
    <w:rsid w:val="003308C5"/>
    <w:rsid w:val="00330DD9"/>
    <w:rsid w:val="00332136"/>
    <w:rsid w:val="003333AE"/>
    <w:rsid w:val="00333982"/>
    <w:rsid w:val="00336806"/>
    <w:rsid w:val="00340007"/>
    <w:rsid w:val="0034044E"/>
    <w:rsid w:val="00341294"/>
    <w:rsid w:val="00344583"/>
    <w:rsid w:val="003453D2"/>
    <w:rsid w:val="0034556D"/>
    <w:rsid w:val="00347B27"/>
    <w:rsid w:val="00357F70"/>
    <w:rsid w:val="00362987"/>
    <w:rsid w:val="00364B02"/>
    <w:rsid w:val="003676CC"/>
    <w:rsid w:val="0037275F"/>
    <w:rsid w:val="00372C13"/>
    <w:rsid w:val="00373E1C"/>
    <w:rsid w:val="00377B8C"/>
    <w:rsid w:val="00377BB8"/>
    <w:rsid w:val="003824E6"/>
    <w:rsid w:val="003832E7"/>
    <w:rsid w:val="00390A9E"/>
    <w:rsid w:val="00390B32"/>
    <w:rsid w:val="00392B2F"/>
    <w:rsid w:val="00392F17"/>
    <w:rsid w:val="00395367"/>
    <w:rsid w:val="00396255"/>
    <w:rsid w:val="003A0A87"/>
    <w:rsid w:val="003A1531"/>
    <w:rsid w:val="003A6E8C"/>
    <w:rsid w:val="003B01E5"/>
    <w:rsid w:val="003B1367"/>
    <w:rsid w:val="003B2EF0"/>
    <w:rsid w:val="003B38BE"/>
    <w:rsid w:val="003B3FEE"/>
    <w:rsid w:val="003B4487"/>
    <w:rsid w:val="003B5868"/>
    <w:rsid w:val="003B6667"/>
    <w:rsid w:val="003B6885"/>
    <w:rsid w:val="003B78FB"/>
    <w:rsid w:val="003C0FAC"/>
    <w:rsid w:val="003C3E72"/>
    <w:rsid w:val="003C6B50"/>
    <w:rsid w:val="003D0F86"/>
    <w:rsid w:val="003D1239"/>
    <w:rsid w:val="003D3A8A"/>
    <w:rsid w:val="003D40B6"/>
    <w:rsid w:val="003D5158"/>
    <w:rsid w:val="003D51E3"/>
    <w:rsid w:val="003D53F4"/>
    <w:rsid w:val="003D5F11"/>
    <w:rsid w:val="003D7122"/>
    <w:rsid w:val="003D75A9"/>
    <w:rsid w:val="003E14DF"/>
    <w:rsid w:val="003E24E3"/>
    <w:rsid w:val="003E62EB"/>
    <w:rsid w:val="003E7E7E"/>
    <w:rsid w:val="003F1DC3"/>
    <w:rsid w:val="003F2896"/>
    <w:rsid w:val="003F506D"/>
    <w:rsid w:val="003F766D"/>
    <w:rsid w:val="00400329"/>
    <w:rsid w:val="00401EA6"/>
    <w:rsid w:val="00403790"/>
    <w:rsid w:val="00406EDD"/>
    <w:rsid w:val="00407595"/>
    <w:rsid w:val="00407B88"/>
    <w:rsid w:val="0041516E"/>
    <w:rsid w:val="00416CF7"/>
    <w:rsid w:val="00417CE2"/>
    <w:rsid w:val="004203E0"/>
    <w:rsid w:val="0042636D"/>
    <w:rsid w:val="0042717D"/>
    <w:rsid w:val="00435EDC"/>
    <w:rsid w:val="00435F43"/>
    <w:rsid w:val="00436211"/>
    <w:rsid w:val="00443C03"/>
    <w:rsid w:val="00447DE5"/>
    <w:rsid w:val="00447EE9"/>
    <w:rsid w:val="004527CB"/>
    <w:rsid w:val="00454A0E"/>
    <w:rsid w:val="00456019"/>
    <w:rsid w:val="00456FFE"/>
    <w:rsid w:val="00457953"/>
    <w:rsid w:val="00457F0B"/>
    <w:rsid w:val="00461D80"/>
    <w:rsid w:val="00467871"/>
    <w:rsid w:val="00473299"/>
    <w:rsid w:val="0047362A"/>
    <w:rsid w:val="00473672"/>
    <w:rsid w:val="00473E7E"/>
    <w:rsid w:val="004757B6"/>
    <w:rsid w:val="00481796"/>
    <w:rsid w:val="00481B7F"/>
    <w:rsid w:val="00484E4D"/>
    <w:rsid w:val="00485DFE"/>
    <w:rsid w:val="00486809"/>
    <w:rsid w:val="0048791E"/>
    <w:rsid w:val="00487F2F"/>
    <w:rsid w:val="00490DD7"/>
    <w:rsid w:val="00493281"/>
    <w:rsid w:val="004938B1"/>
    <w:rsid w:val="0049457D"/>
    <w:rsid w:val="00497913"/>
    <w:rsid w:val="00497CB1"/>
    <w:rsid w:val="004A0E91"/>
    <w:rsid w:val="004A1BBE"/>
    <w:rsid w:val="004A2079"/>
    <w:rsid w:val="004A4191"/>
    <w:rsid w:val="004A57E2"/>
    <w:rsid w:val="004A74CF"/>
    <w:rsid w:val="004B0FDE"/>
    <w:rsid w:val="004B3AD7"/>
    <w:rsid w:val="004C33F4"/>
    <w:rsid w:val="004C39EE"/>
    <w:rsid w:val="004C5CFE"/>
    <w:rsid w:val="004D5D7C"/>
    <w:rsid w:val="004D61A2"/>
    <w:rsid w:val="004D7F65"/>
    <w:rsid w:val="004E3899"/>
    <w:rsid w:val="004E5120"/>
    <w:rsid w:val="004E6E8D"/>
    <w:rsid w:val="004E7D3A"/>
    <w:rsid w:val="004F06ED"/>
    <w:rsid w:val="004F4A70"/>
    <w:rsid w:val="004F500E"/>
    <w:rsid w:val="004F54A7"/>
    <w:rsid w:val="00500786"/>
    <w:rsid w:val="00500B01"/>
    <w:rsid w:val="00503C34"/>
    <w:rsid w:val="00504CAA"/>
    <w:rsid w:val="00506080"/>
    <w:rsid w:val="005063CD"/>
    <w:rsid w:val="00506A06"/>
    <w:rsid w:val="00510061"/>
    <w:rsid w:val="00515384"/>
    <w:rsid w:val="00515C55"/>
    <w:rsid w:val="00521F5B"/>
    <w:rsid w:val="005220B6"/>
    <w:rsid w:val="00523680"/>
    <w:rsid w:val="00524065"/>
    <w:rsid w:val="00524941"/>
    <w:rsid w:val="00525F32"/>
    <w:rsid w:val="00526F20"/>
    <w:rsid w:val="00527A9F"/>
    <w:rsid w:val="00527D3F"/>
    <w:rsid w:val="005338B6"/>
    <w:rsid w:val="0053698C"/>
    <w:rsid w:val="00541818"/>
    <w:rsid w:val="0054251D"/>
    <w:rsid w:val="005439B8"/>
    <w:rsid w:val="00545F67"/>
    <w:rsid w:val="0054739D"/>
    <w:rsid w:val="0055354B"/>
    <w:rsid w:val="005551E5"/>
    <w:rsid w:val="005576C1"/>
    <w:rsid w:val="005577E6"/>
    <w:rsid w:val="005621C8"/>
    <w:rsid w:val="00566845"/>
    <w:rsid w:val="00566CF0"/>
    <w:rsid w:val="005677BD"/>
    <w:rsid w:val="00571B12"/>
    <w:rsid w:val="0057568B"/>
    <w:rsid w:val="0057649D"/>
    <w:rsid w:val="00582BE0"/>
    <w:rsid w:val="00584116"/>
    <w:rsid w:val="005850A9"/>
    <w:rsid w:val="00590F7C"/>
    <w:rsid w:val="005936BB"/>
    <w:rsid w:val="00593F66"/>
    <w:rsid w:val="00595B6A"/>
    <w:rsid w:val="00597133"/>
    <w:rsid w:val="00597A06"/>
    <w:rsid w:val="00597F17"/>
    <w:rsid w:val="005A2148"/>
    <w:rsid w:val="005A4347"/>
    <w:rsid w:val="005A5E8D"/>
    <w:rsid w:val="005A6462"/>
    <w:rsid w:val="005A770A"/>
    <w:rsid w:val="005B143E"/>
    <w:rsid w:val="005B2309"/>
    <w:rsid w:val="005B2D34"/>
    <w:rsid w:val="005B342E"/>
    <w:rsid w:val="005B3582"/>
    <w:rsid w:val="005B5332"/>
    <w:rsid w:val="005B694A"/>
    <w:rsid w:val="005B7106"/>
    <w:rsid w:val="005B76B4"/>
    <w:rsid w:val="005C3893"/>
    <w:rsid w:val="005C6F27"/>
    <w:rsid w:val="005D220E"/>
    <w:rsid w:val="005D39C6"/>
    <w:rsid w:val="005D4060"/>
    <w:rsid w:val="005D45FE"/>
    <w:rsid w:val="005D4D85"/>
    <w:rsid w:val="005E046C"/>
    <w:rsid w:val="005E1570"/>
    <w:rsid w:val="005E2385"/>
    <w:rsid w:val="005E3A2C"/>
    <w:rsid w:val="005E4D20"/>
    <w:rsid w:val="005E58FA"/>
    <w:rsid w:val="005F1E8F"/>
    <w:rsid w:val="005F3519"/>
    <w:rsid w:val="005F3962"/>
    <w:rsid w:val="005F6578"/>
    <w:rsid w:val="006044BB"/>
    <w:rsid w:val="00606E45"/>
    <w:rsid w:val="00614254"/>
    <w:rsid w:val="006151D9"/>
    <w:rsid w:val="00616314"/>
    <w:rsid w:val="006168D1"/>
    <w:rsid w:val="00621AD9"/>
    <w:rsid w:val="006239D3"/>
    <w:rsid w:val="00624002"/>
    <w:rsid w:val="00625A37"/>
    <w:rsid w:val="0063570C"/>
    <w:rsid w:val="006358E2"/>
    <w:rsid w:val="0064114C"/>
    <w:rsid w:val="00641666"/>
    <w:rsid w:val="006418BF"/>
    <w:rsid w:val="006420E9"/>
    <w:rsid w:val="00643442"/>
    <w:rsid w:val="006449B5"/>
    <w:rsid w:val="00650EE9"/>
    <w:rsid w:val="0065432D"/>
    <w:rsid w:val="00656523"/>
    <w:rsid w:val="00656C33"/>
    <w:rsid w:val="00662382"/>
    <w:rsid w:val="00667E67"/>
    <w:rsid w:val="00671AF4"/>
    <w:rsid w:val="00672AF9"/>
    <w:rsid w:val="006731E1"/>
    <w:rsid w:val="00675CDD"/>
    <w:rsid w:val="006822C6"/>
    <w:rsid w:val="00683F27"/>
    <w:rsid w:val="0069091C"/>
    <w:rsid w:val="00690CD6"/>
    <w:rsid w:val="00691A27"/>
    <w:rsid w:val="006924AD"/>
    <w:rsid w:val="00692D6F"/>
    <w:rsid w:val="00694304"/>
    <w:rsid w:val="00694D4D"/>
    <w:rsid w:val="0069588B"/>
    <w:rsid w:val="006968B2"/>
    <w:rsid w:val="00697924"/>
    <w:rsid w:val="006A03F5"/>
    <w:rsid w:val="006A0FC0"/>
    <w:rsid w:val="006A21E1"/>
    <w:rsid w:val="006A35DC"/>
    <w:rsid w:val="006A54C2"/>
    <w:rsid w:val="006B0C85"/>
    <w:rsid w:val="006B384D"/>
    <w:rsid w:val="006B43F2"/>
    <w:rsid w:val="006B44B8"/>
    <w:rsid w:val="006B575C"/>
    <w:rsid w:val="006C10B9"/>
    <w:rsid w:val="006C274D"/>
    <w:rsid w:val="006C34FB"/>
    <w:rsid w:val="006C4A68"/>
    <w:rsid w:val="006C543E"/>
    <w:rsid w:val="006C7655"/>
    <w:rsid w:val="006C7DDC"/>
    <w:rsid w:val="006C7FC3"/>
    <w:rsid w:val="006D0A2C"/>
    <w:rsid w:val="006D1809"/>
    <w:rsid w:val="006D1840"/>
    <w:rsid w:val="006D37C4"/>
    <w:rsid w:val="006D3CD2"/>
    <w:rsid w:val="006D68BA"/>
    <w:rsid w:val="006D7BA8"/>
    <w:rsid w:val="006E049E"/>
    <w:rsid w:val="006E23C4"/>
    <w:rsid w:val="006E5E0B"/>
    <w:rsid w:val="006E5F3A"/>
    <w:rsid w:val="006F02F4"/>
    <w:rsid w:val="006F06D9"/>
    <w:rsid w:val="006F1411"/>
    <w:rsid w:val="006F3498"/>
    <w:rsid w:val="006F3D43"/>
    <w:rsid w:val="006F570D"/>
    <w:rsid w:val="006F63EB"/>
    <w:rsid w:val="006F6B02"/>
    <w:rsid w:val="006F7C3C"/>
    <w:rsid w:val="00700F2D"/>
    <w:rsid w:val="0070100F"/>
    <w:rsid w:val="00706418"/>
    <w:rsid w:val="00707AFD"/>
    <w:rsid w:val="007124D1"/>
    <w:rsid w:val="00713990"/>
    <w:rsid w:val="00714EC8"/>
    <w:rsid w:val="007155B9"/>
    <w:rsid w:val="00716CA3"/>
    <w:rsid w:val="00721533"/>
    <w:rsid w:val="00723E82"/>
    <w:rsid w:val="00726DC7"/>
    <w:rsid w:val="00727F43"/>
    <w:rsid w:val="007313F9"/>
    <w:rsid w:val="007316BD"/>
    <w:rsid w:val="00732099"/>
    <w:rsid w:val="00732B00"/>
    <w:rsid w:val="007345AA"/>
    <w:rsid w:val="00734AEF"/>
    <w:rsid w:val="0073596C"/>
    <w:rsid w:val="007371BE"/>
    <w:rsid w:val="00741B50"/>
    <w:rsid w:val="00745F31"/>
    <w:rsid w:val="007624D3"/>
    <w:rsid w:val="00762BCC"/>
    <w:rsid w:val="0076317A"/>
    <w:rsid w:val="00763A9E"/>
    <w:rsid w:val="00764656"/>
    <w:rsid w:val="00767EE2"/>
    <w:rsid w:val="007709E4"/>
    <w:rsid w:val="00772769"/>
    <w:rsid w:val="00772F04"/>
    <w:rsid w:val="00773E62"/>
    <w:rsid w:val="00776C1D"/>
    <w:rsid w:val="0077761D"/>
    <w:rsid w:val="00781B3C"/>
    <w:rsid w:val="00784C0B"/>
    <w:rsid w:val="00790DEE"/>
    <w:rsid w:val="00791DD8"/>
    <w:rsid w:val="007940FF"/>
    <w:rsid w:val="00794DF9"/>
    <w:rsid w:val="007964F9"/>
    <w:rsid w:val="007A0145"/>
    <w:rsid w:val="007A1029"/>
    <w:rsid w:val="007A31AA"/>
    <w:rsid w:val="007A525C"/>
    <w:rsid w:val="007A5309"/>
    <w:rsid w:val="007A5EC8"/>
    <w:rsid w:val="007A6D9B"/>
    <w:rsid w:val="007B00E7"/>
    <w:rsid w:val="007B1E68"/>
    <w:rsid w:val="007B21B3"/>
    <w:rsid w:val="007B2A61"/>
    <w:rsid w:val="007B5500"/>
    <w:rsid w:val="007B782C"/>
    <w:rsid w:val="007B7E9E"/>
    <w:rsid w:val="007C5645"/>
    <w:rsid w:val="007C63F6"/>
    <w:rsid w:val="007D05A3"/>
    <w:rsid w:val="007D0B78"/>
    <w:rsid w:val="007D1A0E"/>
    <w:rsid w:val="007D29AD"/>
    <w:rsid w:val="007D5332"/>
    <w:rsid w:val="007D6B80"/>
    <w:rsid w:val="007E1C09"/>
    <w:rsid w:val="007E1FA4"/>
    <w:rsid w:val="007E2ACF"/>
    <w:rsid w:val="007E6692"/>
    <w:rsid w:val="007F2798"/>
    <w:rsid w:val="007F2E48"/>
    <w:rsid w:val="007F359D"/>
    <w:rsid w:val="007F5973"/>
    <w:rsid w:val="007F742D"/>
    <w:rsid w:val="0080208C"/>
    <w:rsid w:val="008125D2"/>
    <w:rsid w:val="008137F3"/>
    <w:rsid w:val="00814FC1"/>
    <w:rsid w:val="00815193"/>
    <w:rsid w:val="00817EBB"/>
    <w:rsid w:val="00822510"/>
    <w:rsid w:val="0082273D"/>
    <w:rsid w:val="00825628"/>
    <w:rsid w:val="00830531"/>
    <w:rsid w:val="008312B9"/>
    <w:rsid w:val="0084079E"/>
    <w:rsid w:val="00841852"/>
    <w:rsid w:val="0084239E"/>
    <w:rsid w:val="0084372A"/>
    <w:rsid w:val="00844312"/>
    <w:rsid w:val="008446DF"/>
    <w:rsid w:val="00844B61"/>
    <w:rsid w:val="008463A6"/>
    <w:rsid w:val="0084784B"/>
    <w:rsid w:val="00850C69"/>
    <w:rsid w:val="00852C76"/>
    <w:rsid w:val="00861D87"/>
    <w:rsid w:val="008651A5"/>
    <w:rsid w:val="00865799"/>
    <w:rsid w:val="00865C80"/>
    <w:rsid w:val="0086610A"/>
    <w:rsid w:val="0087080E"/>
    <w:rsid w:val="00871505"/>
    <w:rsid w:val="00872BB2"/>
    <w:rsid w:val="00874B83"/>
    <w:rsid w:val="00875C31"/>
    <w:rsid w:val="00876A37"/>
    <w:rsid w:val="00881AFD"/>
    <w:rsid w:val="00881F60"/>
    <w:rsid w:val="0088570E"/>
    <w:rsid w:val="0089011A"/>
    <w:rsid w:val="008929CE"/>
    <w:rsid w:val="00896902"/>
    <w:rsid w:val="008A1C38"/>
    <w:rsid w:val="008A3E8B"/>
    <w:rsid w:val="008A6CAC"/>
    <w:rsid w:val="008A6F60"/>
    <w:rsid w:val="008A733B"/>
    <w:rsid w:val="008A7AD7"/>
    <w:rsid w:val="008A7D35"/>
    <w:rsid w:val="008B2249"/>
    <w:rsid w:val="008B46E4"/>
    <w:rsid w:val="008B478B"/>
    <w:rsid w:val="008B5747"/>
    <w:rsid w:val="008B6A84"/>
    <w:rsid w:val="008C3042"/>
    <w:rsid w:val="008C4F64"/>
    <w:rsid w:val="008C72AD"/>
    <w:rsid w:val="008D1843"/>
    <w:rsid w:val="008D30FF"/>
    <w:rsid w:val="008D3B4B"/>
    <w:rsid w:val="008D5244"/>
    <w:rsid w:val="008E54CD"/>
    <w:rsid w:val="008E7D53"/>
    <w:rsid w:val="008F0B66"/>
    <w:rsid w:val="008F0BF8"/>
    <w:rsid w:val="008F0E53"/>
    <w:rsid w:val="008F3669"/>
    <w:rsid w:val="00901186"/>
    <w:rsid w:val="009024CB"/>
    <w:rsid w:val="009041D3"/>
    <w:rsid w:val="00904FE5"/>
    <w:rsid w:val="00910A81"/>
    <w:rsid w:val="009115E3"/>
    <w:rsid w:val="0091195D"/>
    <w:rsid w:val="00916212"/>
    <w:rsid w:val="00920FD7"/>
    <w:rsid w:val="00921C2A"/>
    <w:rsid w:val="00923DCF"/>
    <w:rsid w:val="0092617A"/>
    <w:rsid w:val="00927067"/>
    <w:rsid w:val="00930608"/>
    <w:rsid w:val="009311BF"/>
    <w:rsid w:val="0093204F"/>
    <w:rsid w:val="00932CBE"/>
    <w:rsid w:val="009340BE"/>
    <w:rsid w:val="0094110C"/>
    <w:rsid w:val="00941EF4"/>
    <w:rsid w:val="0094203E"/>
    <w:rsid w:val="009421D5"/>
    <w:rsid w:val="00942CB6"/>
    <w:rsid w:val="009457AA"/>
    <w:rsid w:val="009459EC"/>
    <w:rsid w:val="0094745F"/>
    <w:rsid w:val="00947934"/>
    <w:rsid w:val="00947F82"/>
    <w:rsid w:val="00953F74"/>
    <w:rsid w:val="00954E99"/>
    <w:rsid w:val="009556DC"/>
    <w:rsid w:val="00957BCB"/>
    <w:rsid w:val="009606F5"/>
    <w:rsid w:val="009620EF"/>
    <w:rsid w:val="0096730B"/>
    <w:rsid w:val="009734A6"/>
    <w:rsid w:val="009744B3"/>
    <w:rsid w:val="0097717B"/>
    <w:rsid w:val="00980C71"/>
    <w:rsid w:val="00980CE3"/>
    <w:rsid w:val="00984AB5"/>
    <w:rsid w:val="00984F49"/>
    <w:rsid w:val="00986036"/>
    <w:rsid w:val="009A13D3"/>
    <w:rsid w:val="009A4445"/>
    <w:rsid w:val="009A544D"/>
    <w:rsid w:val="009B19FD"/>
    <w:rsid w:val="009B1E58"/>
    <w:rsid w:val="009B2214"/>
    <w:rsid w:val="009B404C"/>
    <w:rsid w:val="009B69E2"/>
    <w:rsid w:val="009B79A1"/>
    <w:rsid w:val="009C184E"/>
    <w:rsid w:val="009D3C43"/>
    <w:rsid w:val="009D599F"/>
    <w:rsid w:val="009E3AAE"/>
    <w:rsid w:val="009E511E"/>
    <w:rsid w:val="009F0431"/>
    <w:rsid w:val="009F58F8"/>
    <w:rsid w:val="009F6A67"/>
    <w:rsid w:val="00A00319"/>
    <w:rsid w:val="00A04E10"/>
    <w:rsid w:val="00A07077"/>
    <w:rsid w:val="00A10816"/>
    <w:rsid w:val="00A13798"/>
    <w:rsid w:val="00A13E9E"/>
    <w:rsid w:val="00A15969"/>
    <w:rsid w:val="00A16F78"/>
    <w:rsid w:val="00A17963"/>
    <w:rsid w:val="00A17EF5"/>
    <w:rsid w:val="00A21404"/>
    <w:rsid w:val="00A22B1D"/>
    <w:rsid w:val="00A23C21"/>
    <w:rsid w:val="00A24E05"/>
    <w:rsid w:val="00A25FBA"/>
    <w:rsid w:val="00A26621"/>
    <w:rsid w:val="00A2794B"/>
    <w:rsid w:val="00A3091A"/>
    <w:rsid w:val="00A32DA0"/>
    <w:rsid w:val="00A3468B"/>
    <w:rsid w:val="00A36ADF"/>
    <w:rsid w:val="00A37FB8"/>
    <w:rsid w:val="00A40164"/>
    <w:rsid w:val="00A42F71"/>
    <w:rsid w:val="00A4342A"/>
    <w:rsid w:val="00A4346C"/>
    <w:rsid w:val="00A464B2"/>
    <w:rsid w:val="00A468C6"/>
    <w:rsid w:val="00A503CE"/>
    <w:rsid w:val="00A50ABB"/>
    <w:rsid w:val="00A511CD"/>
    <w:rsid w:val="00A53A2B"/>
    <w:rsid w:val="00A56344"/>
    <w:rsid w:val="00A56CA9"/>
    <w:rsid w:val="00A60DCB"/>
    <w:rsid w:val="00A61690"/>
    <w:rsid w:val="00A626D4"/>
    <w:rsid w:val="00A6468D"/>
    <w:rsid w:val="00A673E4"/>
    <w:rsid w:val="00A70B7D"/>
    <w:rsid w:val="00A740AE"/>
    <w:rsid w:val="00A75613"/>
    <w:rsid w:val="00A80D35"/>
    <w:rsid w:val="00A80F2D"/>
    <w:rsid w:val="00A83AE3"/>
    <w:rsid w:val="00A84D84"/>
    <w:rsid w:val="00A86C5C"/>
    <w:rsid w:val="00A920A6"/>
    <w:rsid w:val="00A926F6"/>
    <w:rsid w:val="00A94A64"/>
    <w:rsid w:val="00AA1F9A"/>
    <w:rsid w:val="00AA233A"/>
    <w:rsid w:val="00AA33E7"/>
    <w:rsid w:val="00AA6460"/>
    <w:rsid w:val="00AA7360"/>
    <w:rsid w:val="00AB14DA"/>
    <w:rsid w:val="00AB4C4E"/>
    <w:rsid w:val="00AB7494"/>
    <w:rsid w:val="00AC0E90"/>
    <w:rsid w:val="00AC4102"/>
    <w:rsid w:val="00AC694C"/>
    <w:rsid w:val="00AC7915"/>
    <w:rsid w:val="00AD0CF7"/>
    <w:rsid w:val="00AD3E98"/>
    <w:rsid w:val="00AD4E78"/>
    <w:rsid w:val="00AD5E55"/>
    <w:rsid w:val="00AD737A"/>
    <w:rsid w:val="00AE0D73"/>
    <w:rsid w:val="00AE1408"/>
    <w:rsid w:val="00AE48A0"/>
    <w:rsid w:val="00AE7003"/>
    <w:rsid w:val="00AF1859"/>
    <w:rsid w:val="00AF1F6B"/>
    <w:rsid w:val="00AF22C1"/>
    <w:rsid w:val="00AF2ABC"/>
    <w:rsid w:val="00AF53E6"/>
    <w:rsid w:val="00AF61BF"/>
    <w:rsid w:val="00AF6405"/>
    <w:rsid w:val="00B01DB7"/>
    <w:rsid w:val="00B02947"/>
    <w:rsid w:val="00B06D16"/>
    <w:rsid w:val="00B1068C"/>
    <w:rsid w:val="00B11737"/>
    <w:rsid w:val="00B12310"/>
    <w:rsid w:val="00B12FCD"/>
    <w:rsid w:val="00B14C01"/>
    <w:rsid w:val="00B14CBD"/>
    <w:rsid w:val="00B1519F"/>
    <w:rsid w:val="00B16894"/>
    <w:rsid w:val="00B16FD3"/>
    <w:rsid w:val="00B17998"/>
    <w:rsid w:val="00B17AE0"/>
    <w:rsid w:val="00B21414"/>
    <w:rsid w:val="00B216B7"/>
    <w:rsid w:val="00B21A5D"/>
    <w:rsid w:val="00B21EAD"/>
    <w:rsid w:val="00B226DA"/>
    <w:rsid w:val="00B2677A"/>
    <w:rsid w:val="00B336EA"/>
    <w:rsid w:val="00B401B7"/>
    <w:rsid w:val="00B40FE4"/>
    <w:rsid w:val="00B420EE"/>
    <w:rsid w:val="00B46F4E"/>
    <w:rsid w:val="00B5091F"/>
    <w:rsid w:val="00B50C48"/>
    <w:rsid w:val="00B51CBE"/>
    <w:rsid w:val="00B53B5E"/>
    <w:rsid w:val="00B571C8"/>
    <w:rsid w:val="00B61EDB"/>
    <w:rsid w:val="00B62027"/>
    <w:rsid w:val="00B635AF"/>
    <w:rsid w:val="00B63B35"/>
    <w:rsid w:val="00B63C03"/>
    <w:rsid w:val="00B64BD4"/>
    <w:rsid w:val="00B655DB"/>
    <w:rsid w:val="00B65AEB"/>
    <w:rsid w:val="00B7008D"/>
    <w:rsid w:val="00B73754"/>
    <w:rsid w:val="00B777B6"/>
    <w:rsid w:val="00B80A83"/>
    <w:rsid w:val="00B8260D"/>
    <w:rsid w:val="00B8308B"/>
    <w:rsid w:val="00B84554"/>
    <w:rsid w:val="00B84D2B"/>
    <w:rsid w:val="00B871C3"/>
    <w:rsid w:val="00B9054C"/>
    <w:rsid w:val="00B9264C"/>
    <w:rsid w:val="00B931E9"/>
    <w:rsid w:val="00B97556"/>
    <w:rsid w:val="00BA153E"/>
    <w:rsid w:val="00BA3056"/>
    <w:rsid w:val="00BA38AC"/>
    <w:rsid w:val="00BA4503"/>
    <w:rsid w:val="00BA4506"/>
    <w:rsid w:val="00BA4750"/>
    <w:rsid w:val="00BA4E6A"/>
    <w:rsid w:val="00BA62AC"/>
    <w:rsid w:val="00BA6F26"/>
    <w:rsid w:val="00BA7FF6"/>
    <w:rsid w:val="00BB23F6"/>
    <w:rsid w:val="00BB2F10"/>
    <w:rsid w:val="00BB5191"/>
    <w:rsid w:val="00BB6B53"/>
    <w:rsid w:val="00BB7F75"/>
    <w:rsid w:val="00BC57A9"/>
    <w:rsid w:val="00BC6DF1"/>
    <w:rsid w:val="00BD0230"/>
    <w:rsid w:val="00BD2BA4"/>
    <w:rsid w:val="00BD4887"/>
    <w:rsid w:val="00BD5CDD"/>
    <w:rsid w:val="00BE0FE1"/>
    <w:rsid w:val="00BE3D2F"/>
    <w:rsid w:val="00BE7027"/>
    <w:rsid w:val="00BE7299"/>
    <w:rsid w:val="00BF1532"/>
    <w:rsid w:val="00BF26E9"/>
    <w:rsid w:val="00BF546E"/>
    <w:rsid w:val="00BF66E4"/>
    <w:rsid w:val="00C13678"/>
    <w:rsid w:val="00C16D73"/>
    <w:rsid w:val="00C22226"/>
    <w:rsid w:val="00C2468D"/>
    <w:rsid w:val="00C252EA"/>
    <w:rsid w:val="00C260B2"/>
    <w:rsid w:val="00C269CC"/>
    <w:rsid w:val="00C3017A"/>
    <w:rsid w:val="00C348A1"/>
    <w:rsid w:val="00C36CDC"/>
    <w:rsid w:val="00C42F91"/>
    <w:rsid w:val="00C5155B"/>
    <w:rsid w:val="00C517AB"/>
    <w:rsid w:val="00C567FC"/>
    <w:rsid w:val="00C60478"/>
    <w:rsid w:val="00C61C42"/>
    <w:rsid w:val="00C63132"/>
    <w:rsid w:val="00C6319B"/>
    <w:rsid w:val="00C67A20"/>
    <w:rsid w:val="00C778CD"/>
    <w:rsid w:val="00C85E62"/>
    <w:rsid w:val="00C863D8"/>
    <w:rsid w:val="00C871B5"/>
    <w:rsid w:val="00C92090"/>
    <w:rsid w:val="00CA0102"/>
    <w:rsid w:val="00CA2800"/>
    <w:rsid w:val="00CA439C"/>
    <w:rsid w:val="00CA5029"/>
    <w:rsid w:val="00CA609C"/>
    <w:rsid w:val="00CA6DF5"/>
    <w:rsid w:val="00CB1146"/>
    <w:rsid w:val="00CB2574"/>
    <w:rsid w:val="00CB3881"/>
    <w:rsid w:val="00CB5276"/>
    <w:rsid w:val="00CB547A"/>
    <w:rsid w:val="00CB6441"/>
    <w:rsid w:val="00CC007E"/>
    <w:rsid w:val="00CC0737"/>
    <w:rsid w:val="00CC1CA0"/>
    <w:rsid w:val="00CC1E42"/>
    <w:rsid w:val="00CC2789"/>
    <w:rsid w:val="00CD024D"/>
    <w:rsid w:val="00CD0B60"/>
    <w:rsid w:val="00CD0C3F"/>
    <w:rsid w:val="00CD166E"/>
    <w:rsid w:val="00CD1BA3"/>
    <w:rsid w:val="00CD5056"/>
    <w:rsid w:val="00CD7F64"/>
    <w:rsid w:val="00CE0625"/>
    <w:rsid w:val="00CE135F"/>
    <w:rsid w:val="00CE4044"/>
    <w:rsid w:val="00CE72A5"/>
    <w:rsid w:val="00CF2363"/>
    <w:rsid w:val="00CF2644"/>
    <w:rsid w:val="00CF37D7"/>
    <w:rsid w:val="00CF38FB"/>
    <w:rsid w:val="00CF72AB"/>
    <w:rsid w:val="00D00CAE"/>
    <w:rsid w:val="00D0567D"/>
    <w:rsid w:val="00D05A41"/>
    <w:rsid w:val="00D1028D"/>
    <w:rsid w:val="00D114A2"/>
    <w:rsid w:val="00D12E58"/>
    <w:rsid w:val="00D14F09"/>
    <w:rsid w:val="00D172B3"/>
    <w:rsid w:val="00D234BA"/>
    <w:rsid w:val="00D25061"/>
    <w:rsid w:val="00D257E3"/>
    <w:rsid w:val="00D27A43"/>
    <w:rsid w:val="00D303B7"/>
    <w:rsid w:val="00D31284"/>
    <w:rsid w:val="00D33DA5"/>
    <w:rsid w:val="00D36AC3"/>
    <w:rsid w:val="00D36FF8"/>
    <w:rsid w:val="00D405FF"/>
    <w:rsid w:val="00D4297D"/>
    <w:rsid w:val="00D443D5"/>
    <w:rsid w:val="00D47723"/>
    <w:rsid w:val="00D4795A"/>
    <w:rsid w:val="00D5500B"/>
    <w:rsid w:val="00D572FA"/>
    <w:rsid w:val="00D6382B"/>
    <w:rsid w:val="00D65B78"/>
    <w:rsid w:val="00D6700D"/>
    <w:rsid w:val="00D7001A"/>
    <w:rsid w:val="00D7003F"/>
    <w:rsid w:val="00D71466"/>
    <w:rsid w:val="00D76255"/>
    <w:rsid w:val="00D7633C"/>
    <w:rsid w:val="00D77184"/>
    <w:rsid w:val="00D80AC2"/>
    <w:rsid w:val="00D85F1A"/>
    <w:rsid w:val="00D87548"/>
    <w:rsid w:val="00D92925"/>
    <w:rsid w:val="00D93227"/>
    <w:rsid w:val="00D94ED3"/>
    <w:rsid w:val="00D963E0"/>
    <w:rsid w:val="00D9762A"/>
    <w:rsid w:val="00DA1525"/>
    <w:rsid w:val="00DA2583"/>
    <w:rsid w:val="00DA58D3"/>
    <w:rsid w:val="00DA6DC5"/>
    <w:rsid w:val="00DB36E1"/>
    <w:rsid w:val="00DB79D7"/>
    <w:rsid w:val="00DC253E"/>
    <w:rsid w:val="00DC5635"/>
    <w:rsid w:val="00DC5F7B"/>
    <w:rsid w:val="00DC6E05"/>
    <w:rsid w:val="00DD215E"/>
    <w:rsid w:val="00DD37AD"/>
    <w:rsid w:val="00DD5421"/>
    <w:rsid w:val="00DD753D"/>
    <w:rsid w:val="00DD77F1"/>
    <w:rsid w:val="00DE0191"/>
    <w:rsid w:val="00DE5BED"/>
    <w:rsid w:val="00DE6EA3"/>
    <w:rsid w:val="00DF038A"/>
    <w:rsid w:val="00DF046D"/>
    <w:rsid w:val="00DF0A72"/>
    <w:rsid w:val="00DF5885"/>
    <w:rsid w:val="00E01FEB"/>
    <w:rsid w:val="00E06CCD"/>
    <w:rsid w:val="00E07F12"/>
    <w:rsid w:val="00E11053"/>
    <w:rsid w:val="00E12853"/>
    <w:rsid w:val="00E1524B"/>
    <w:rsid w:val="00E2055B"/>
    <w:rsid w:val="00E34841"/>
    <w:rsid w:val="00E41DC3"/>
    <w:rsid w:val="00E42BF6"/>
    <w:rsid w:val="00E430B1"/>
    <w:rsid w:val="00E4481A"/>
    <w:rsid w:val="00E50879"/>
    <w:rsid w:val="00E5413A"/>
    <w:rsid w:val="00E57AD5"/>
    <w:rsid w:val="00E60CBA"/>
    <w:rsid w:val="00E62FF2"/>
    <w:rsid w:val="00E63935"/>
    <w:rsid w:val="00E65D23"/>
    <w:rsid w:val="00E71534"/>
    <w:rsid w:val="00E72513"/>
    <w:rsid w:val="00E74457"/>
    <w:rsid w:val="00E77F6E"/>
    <w:rsid w:val="00E84505"/>
    <w:rsid w:val="00E85242"/>
    <w:rsid w:val="00E8655F"/>
    <w:rsid w:val="00E87797"/>
    <w:rsid w:val="00E9089F"/>
    <w:rsid w:val="00E918BC"/>
    <w:rsid w:val="00E922A5"/>
    <w:rsid w:val="00E9238D"/>
    <w:rsid w:val="00E92950"/>
    <w:rsid w:val="00E93C7D"/>
    <w:rsid w:val="00E94FBE"/>
    <w:rsid w:val="00E96A5F"/>
    <w:rsid w:val="00E9797D"/>
    <w:rsid w:val="00EA1149"/>
    <w:rsid w:val="00EA3F70"/>
    <w:rsid w:val="00EA46B7"/>
    <w:rsid w:val="00EA5C7F"/>
    <w:rsid w:val="00EA7FE4"/>
    <w:rsid w:val="00EB0DF8"/>
    <w:rsid w:val="00EB16F4"/>
    <w:rsid w:val="00EC39A3"/>
    <w:rsid w:val="00EC4012"/>
    <w:rsid w:val="00EC43C8"/>
    <w:rsid w:val="00EC5949"/>
    <w:rsid w:val="00ED01F4"/>
    <w:rsid w:val="00ED0B08"/>
    <w:rsid w:val="00ED200A"/>
    <w:rsid w:val="00ED4473"/>
    <w:rsid w:val="00EE370E"/>
    <w:rsid w:val="00EE3855"/>
    <w:rsid w:val="00EE481E"/>
    <w:rsid w:val="00EE6E2A"/>
    <w:rsid w:val="00EE6FFE"/>
    <w:rsid w:val="00EE79A2"/>
    <w:rsid w:val="00EE7E28"/>
    <w:rsid w:val="00EF4166"/>
    <w:rsid w:val="00EF76E2"/>
    <w:rsid w:val="00F023B7"/>
    <w:rsid w:val="00F02442"/>
    <w:rsid w:val="00F06A09"/>
    <w:rsid w:val="00F10E84"/>
    <w:rsid w:val="00F11EBD"/>
    <w:rsid w:val="00F150E3"/>
    <w:rsid w:val="00F15C26"/>
    <w:rsid w:val="00F169DA"/>
    <w:rsid w:val="00F20F0A"/>
    <w:rsid w:val="00F224CE"/>
    <w:rsid w:val="00F23E9D"/>
    <w:rsid w:val="00F23F97"/>
    <w:rsid w:val="00F24772"/>
    <w:rsid w:val="00F24D62"/>
    <w:rsid w:val="00F252FB"/>
    <w:rsid w:val="00F31B87"/>
    <w:rsid w:val="00F33C9F"/>
    <w:rsid w:val="00F342BB"/>
    <w:rsid w:val="00F37844"/>
    <w:rsid w:val="00F43159"/>
    <w:rsid w:val="00F431C7"/>
    <w:rsid w:val="00F448E1"/>
    <w:rsid w:val="00F44CB5"/>
    <w:rsid w:val="00F45B0C"/>
    <w:rsid w:val="00F45BDB"/>
    <w:rsid w:val="00F4626E"/>
    <w:rsid w:val="00F51603"/>
    <w:rsid w:val="00F51C78"/>
    <w:rsid w:val="00F540C0"/>
    <w:rsid w:val="00F551F8"/>
    <w:rsid w:val="00F568AD"/>
    <w:rsid w:val="00F56CA5"/>
    <w:rsid w:val="00F65385"/>
    <w:rsid w:val="00F65A7A"/>
    <w:rsid w:val="00F726E0"/>
    <w:rsid w:val="00F72DE4"/>
    <w:rsid w:val="00F72FFB"/>
    <w:rsid w:val="00F73754"/>
    <w:rsid w:val="00F740C2"/>
    <w:rsid w:val="00F74165"/>
    <w:rsid w:val="00F772E8"/>
    <w:rsid w:val="00F778A2"/>
    <w:rsid w:val="00F844DC"/>
    <w:rsid w:val="00F85051"/>
    <w:rsid w:val="00F868C9"/>
    <w:rsid w:val="00F87573"/>
    <w:rsid w:val="00F87813"/>
    <w:rsid w:val="00F9272A"/>
    <w:rsid w:val="00F9379B"/>
    <w:rsid w:val="00FA121F"/>
    <w:rsid w:val="00FA4D60"/>
    <w:rsid w:val="00FA578E"/>
    <w:rsid w:val="00FA6FD8"/>
    <w:rsid w:val="00FA72FC"/>
    <w:rsid w:val="00FB0312"/>
    <w:rsid w:val="00FB091D"/>
    <w:rsid w:val="00FB1FDB"/>
    <w:rsid w:val="00FB338C"/>
    <w:rsid w:val="00FB41D1"/>
    <w:rsid w:val="00FB5208"/>
    <w:rsid w:val="00FB626C"/>
    <w:rsid w:val="00FC021A"/>
    <w:rsid w:val="00FC033C"/>
    <w:rsid w:val="00FC3819"/>
    <w:rsid w:val="00FC425D"/>
    <w:rsid w:val="00FC4B34"/>
    <w:rsid w:val="00FC6367"/>
    <w:rsid w:val="00FC6F4B"/>
    <w:rsid w:val="00FC787A"/>
    <w:rsid w:val="00FD0E9F"/>
    <w:rsid w:val="00FD12D1"/>
    <w:rsid w:val="00FD1B08"/>
    <w:rsid w:val="00FD5DFC"/>
    <w:rsid w:val="00FD7BCF"/>
    <w:rsid w:val="00FE059D"/>
    <w:rsid w:val="00FE76FD"/>
    <w:rsid w:val="00FF12E1"/>
    <w:rsid w:val="00FF52D8"/>
    <w:rsid w:val="00FF6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ayer Normal"/>
    <w:qFormat/>
    <w:rsid w:val="00FA578E"/>
  </w:style>
  <w:style w:type="paragraph" w:styleId="Heading1">
    <w:name w:val="heading 1"/>
    <w:aliases w:val="Bayer-Heading 1"/>
    <w:basedOn w:val="Normal"/>
    <w:next w:val="BayerBodyTextFull"/>
    <w:qFormat/>
    <w:rsid w:val="005577E6"/>
    <w:pPr>
      <w:keepNext/>
      <w:numPr>
        <w:numId w:val="18"/>
      </w:numPr>
      <w:tabs>
        <w:tab w:val="clear" w:pos="360"/>
        <w:tab w:val="left" w:pos="1134"/>
      </w:tabs>
      <w:spacing w:before="240" w:after="120"/>
      <w:ind w:left="1138" w:hanging="1138"/>
      <w:outlineLvl w:val="0"/>
    </w:pPr>
    <w:rPr>
      <w:b/>
      <w:kern w:val="28"/>
      <w:sz w:val="28"/>
    </w:rPr>
  </w:style>
  <w:style w:type="paragraph" w:styleId="Heading2">
    <w:name w:val="heading 2"/>
    <w:aliases w:val="Bayer-Heading 2"/>
    <w:basedOn w:val="Heading1"/>
    <w:next w:val="BayerBodyTextFull"/>
    <w:qFormat/>
    <w:rsid w:val="003142D7"/>
    <w:pPr>
      <w:numPr>
        <w:ilvl w:val="1"/>
      </w:numPr>
      <w:tabs>
        <w:tab w:val="clear" w:pos="0"/>
      </w:tabs>
      <w:ind w:left="1138" w:hanging="1138"/>
      <w:outlineLvl w:val="1"/>
    </w:pPr>
    <w:rPr>
      <w:sz w:val="26"/>
    </w:rPr>
  </w:style>
  <w:style w:type="paragraph" w:styleId="Heading3">
    <w:name w:val="heading 3"/>
    <w:aliases w:val="Bayer-Heading 3"/>
    <w:basedOn w:val="Heading1"/>
    <w:next w:val="BayerBodyTextFull"/>
    <w:qFormat/>
    <w:rsid w:val="003142D7"/>
    <w:pPr>
      <w:numPr>
        <w:ilvl w:val="2"/>
      </w:numPr>
      <w:tabs>
        <w:tab w:val="clear" w:pos="0"/>
      </w:tabs>
      <w:ind w:left="1138" w:hanging="1138"/>
      <w:outlineLvl w:val="2"/>
    </w:pPr>
    <w:rPr>
      <w:sz w:val="26"/>
    </w:rPr>
  </w:style>
  <w:style w:type="paragraph" w:styleId="Heading4">
    <w:name w:val="heading 4"/>
    <w:aliases w:val="Bayer-Heading 4"/>
    <w:basedOn w:val="Heading1"/>
    <w:next w:val="BayerBodyTextFull"/>
    <w:link w:val="Heading4Char"/>
    <w:qFormat/>
    <w:rsid w:val="00FA72FC"/>
    <w:pPr>
      <w:numPr>
        <w:ilvl w:val="3"/>
      </w:numPr>
      <w:tabs>
        <w:tab w:val="clear" w:pos="0"/>
        <w:tab w:val="num" w:pos="360"/>
      </w:tabs>
      <w:ind w:left="0" w:firstLine="0"/>
      <w:outlineLvl w:val="3"/>
    </w:pPr>
    <w:rPr>
      <w:sz w:val="26"/>
    </w:rPr>
  </w:style>
  <w:style w:type="paragraph" w:styleId="Heading5">
    <w:name w:val="heading 5"/>
    <w:aliases w:val="Bayer-Heading 5"/>
    <w:basedOn w:val="Heading1"/>
    <w:next w:val="BayerBodyTextFull"/>
    <w:qFormat/>
    <w:rsid w:val="00FA72FC"/>
    <w:pPr>
      <w:numPr>
        <w:ilvl w:val="4"/>
      </w:numPr>
      <w:tabs>
        <w:tab w:val="clear" w:pos="0"/>
        <w:tab w:val="num" w:pos="360"/>
      </w:tabs>
      <w:ind w:left="0" w:firstLine="0"/>
      <w:outlineLvl w:val="4"/>
    </w:pPr>
    <w:rPr>
      <w:sz w:val="26"/>
    </w:rPr>
  </w:style>
  <w:style w:type="paragraph" w:styleId="Heading6">
    <w:name w:val="heading 6"/>
    <w:aliases w:val="Bayer-Heading 6"/>
    <w:basedOn w:val="Heading1"/>
    <w:next w:val="BayerBodyTextFull"/>
    <w:qFormat/>
    <w:rsid w:val="00FA72FC"/>
    <w:pPr>
      <w:numPr>
        <w:ilvl w:val="5"/>
      </w:numPr>
      <w:tabs>
        <w:tab w:val="clear" w:pos="0"/>
        <w:tab w:val="num" w:pos="360"/>
      </w:tabs>
      <w:ind w:left="0" w:firstLine="0"/>
      <w:outlineLvl w:val="5"/>
    </w:pPr>
    <w:rPr>
      <w:sz w:val="26"/>
    </w:rPr>
  </w:style>
  <w:style w:type="paragraph" w:styleId="Heading7">
    <w:name w:val="heading 7"/>
    <w:aliases w:val="Bayer-Heading 7"/>
    <w:basedOn w:val="Heading1"/>
    <w:next w:val="BayerBodyTextFull"/>
    <w:qFormat/>
    <w:rsid w:val="00FA72FC"/>
    <w:pPr>
      <w:numPr>
        <w:ilvl w:val="6"/>
      </w:numPr>
      <w:tabs>
        <w:tab w:val="clear" w:pos="0"/>
        <w:tab w:val="num" w:pos="360"/>
      </w:tabs>
      <w:ind w:left="0" w:firstLine="0"/>
      <w:outlineLvl w:val="6"/>
    </w:pPr>
    <w:rPr>
      <w:sz w:val="26"/>
    </w:rPr>
  </w:style>
  <w:style w:type="paragraph" w:styleId="Heading8">
    <w:name w:val="heading 8"/>
    <w:aliases w:val="Bayer-Heading 8"/>
    <w:basedOn w:val="Heading1"/>
    <w:next w:val="BayerBodyTextFull"/>
    <w:qFormat/>
    <w:rsid w:val="00FA72FC"/>
    <w:pPr>
      <w:numPr>
        <w:ilvl w:val="7"/>
      </w:numPr>
      <w:tabs>
        <w:tab w:val="clear" w:pos="0"/>
        <w:tab w:val="num" w:pos="360"/>
      </w:tabs>
      <w:spacing w:after="60"/>
      <w:ind w:left="0" w:firstLine="0"/>
      <w:outlineLvl w:val="7"/>
    </w:pPr>
    <w:rPr>
      <w:sz w:val="26"/>
    </w:rPr>
  </w:style>
  <w:style w:type="paragraph" w:styleId="Heading9">
    <w:name w:val="heading 9"/>
    <w:aliases w:val="Bayer-Heading 9"/>
    <w:basedOn w:val="Heading1"/>
    <w:next w:val="BayerBodyTextFull"/>
    <w:qFormat/>
    <w:rsid w:val="00FA72FC"/>
    <w:pPr>
      <w:numPr>
        <w:ilvl w:val="8"/>
      </w:numPr>
      <w:tabs>
        <w:tab w:val="clear" w:pos="0"/>
        <w:tab w:val="num" w:pos="360"/>
      </w:tabs>
      <w:spacing w:after="60"/>
      <w:ind w:left="0" w:firstLine="0"/>
      <w:outlineLvl w:val="8"/>
    </w:pPr>
    <w:rPr>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yerXspace">
    <w:name w:val="Bayer Xspace"/>
    <w:basedOn w:val="Normal"/>
    <w:next w:val="BayerBodyTextFull"/>
    <w:rsid w:val="005577E6"/>
    <w:rPr>
      <w:sz w:val="8"/>
    </w:rPr>
  </w:style>
  <w:style w:type="paragraph" w:customStyle="1" w:styleId="BayerTableRowHeadings">
    <w:name w:val="Bayer Table Row Headings"/>
    <w:basedOn w:val="BayerTableStyleRightJustified"/>
    <w:rsid w:val="00FA72FC"/>
    <w:pPr>
      <w:jc w:val="left"/>
    </w:pPr>
  </w:style>
  <w:style w:type="paragraph" w:customStyle="1" w:styleId="BayerBodyTextFull">
    <w:name w:val="Bayer Body Text Full"/>
    <w:basedOn w:val="Normal"/>
    <w:link w:val="BayerBodyTextFullZchn"/>
    <w:uiPriority w:val="99"/>
    <w:rsid w:val="005577E6"/>
    <w:pPr>
      <w:spacing w:before="120" w:after="120"/>
    </w:pPr>
  </w:style>
  <w:style w:type="character" w:styleId="CommentReference">
    <w:name w:val="annotation reference"/>
    <w:rsid w:val="005577E6"/>
    <w:rPr>
      <w:rFonts w:ascii="Arial" w:hAnsi="Arial"/>
      <w:sz w:val="16"/>
      <w:szCs w:val="16"/>
    </w:rPr>
  </w:style>
  <w:style w:type="paragraph" w:styleId="DocumentMap">
    <w:name w:val="Document Map"/>
    <w:basedOn w:val="Normal"/>
    <w:rsid w:val="00FA72FC"/>
    <w:pPr>
      <w:shd w:val="clear" w:color="auto" w:fill="000080"/>
    </w:pPr>
    <w:rPr>
      <w:rFonts w:ascii="Tahoma" w:hAnsi="Tahoma"/>
    </w:rPr>
  </w:style>
  <w:style w:type="paragraph" w:customStyle="1" w:styleId="BayerBibliography">
    <w:name w:val="Bayer Bibliography"/>
    <w:basedOn w:val="Normal"/>
    <w:link w:val="BayerBibliographyZchn"/>
    <w:rsid w:val="005577E6"/>
    <w:pPr>
      <w:spacing w:after="120"/>
      <w:ind w:left="1627" w:hanging="720"/>
    </w:pPr>
  </w:style>
  <w:style w:type="paragraph" w:customStyle="1" w:styleId="BayerTRDASectionHeading2">
    <w:name w:val="Bayer TRD_A_Section Heading 2"/>
    <w:basedOn w:val="BayerTRDASectionHeading1"/>
    <w:next w:val="BayerBodyTextFull"/>
    <w:rsid w:val="00FA72FC"/>
    <w:pPr>
      <w:ind w:left="1418"/>
      <w:outlineLvl w:val="1"/>
    </w:pPr>
    <w:rPr>
      <w:b w:val="0"/>
      <w:szCs w:val="24"/>
    </w:rPr>
  </w:style>
  <w:style w:type="paragraph" w:customStyle="1" w:styleId="BulletBayerBodyText">
    <w:name w:val="Bullet Bayer Body Text"/>
    <w:basedOn w:val="Normal"/>
    <w:rsid w:val="005577E6"/>
    <w:pPr>
      <w:numPr>
        <w:numId w:val="19"/>
      </w:numPr>
      <w:tabs>
        <w:tab w:val="left" w:pos="1264"/>
      </w:tabs>
      <w:spacing w:after="120"/>
      <w:ind w:left="714" w:hanging="357"/>
    </w:pPr>
  </w:style>
  <w:style w:type="paragraph" w:customStyle="1" w:styleId="BayerTableColumnHeadings">
    <w:name w:val="Bayer Table Column Headings"/>
    <w:basedOn w:val="Normal"/>
    <w:rsid w:val="00FA72FC"/>
    <w:pPr>
      <w:jc w:val="center"/>
    </w:pPr>
    <w:rPr>
      <w:b/>
    </w:rPr>
  </w:style>
  <w:style w:type="paragraph" w:customStyle="1" w:styleId="BayerTableFootnote">
    <w:name w:val="Bayer Table Footnote"/>
    <w:basedOn w:val="BayerTableStyleRightJustified"/>
    <w:link w:val="BayerTableFootnoteZchn"/>
    <w:rsid w:val="00FA72FC"/>
    <w:pPr>
      <w:ind w:left="360" w:hanging="360"/>
      <w:jc w:val="left"/>
    </w:pPr>
  </w:style>
  <w:style w:type="paragraph" w:customStyle="1" w:styleId="BayerFootnote">
    <w:name w:val="Bayer Footnote"/>
    <w:basedOn w:val="Normal"/>
    <w:rsid w:val="005577E6"/>
    <w:pPr>
      <w:tabs>
        <w:tab w:val="left" w:pos="907"/>
      </w:tabs>
      <w:spacing w:after="60"/>
      <w:ind w:left="907"/>
    </w:pPr>
  </w:style>
  <w:style w:type="paragraph" w:customStyle="1" w:styleId="BayerSectionHeading">
    <w:name w:val="Bayer Section Heading"/>
    <w:basedOn w:val="Normal"/>
    <w:next w:val="Normal"/>
    <w:rsid w:val="005577E6"/>
    <w:rPr>
      <w:b/>
      <w:sz w:val="28"/>
    </w:rPr>
  </w:style>
  <w:style w:type="paragraph" w:customStyle="1" w:styleId="BayerSubscript">
    <w:name w:val="Bayer Subscript"/>
    <w:basedOn w:val="Normal"/>
    <w:rsid w:val="005577E6"/>
    <w:rPr>
      <w:vertAlign w:val="subscript"/>
    </w:rPr>
  </w:style>
  <w:style w:type="paragraph" w:customStyle="1" w:styleId="BayerSuperscript">
    <w:name w:val="Bayer Superscript"/>
    <w:basedOn w:val="Normal"/>
    <w:rsid w:val="005577E6"/>
    <w:rPr>
      <w:vertAlign w:val="superscript"/>
    </w:rPr>
  </w:style>
  <w:style w:type="paragraph" w:styleId="TOC1">
    <w:name w:val="toc 1"/>
    <w:basedOn w:val="Normal"/>
    <w:next w:val="Normal"/>
    <w:autoRedefine/>
    <w:rsid w:val="00FA72FC"/>
    <w:pPr>
      <w:tabs>
        <w:tab w:val="right" w:leader="dot" w:pos="9356"/>
      </w:tabs>
      <w:ind w:left="425" w:hanging="425"/>
    </w:pPr>
  </w:style>
  <w:style w:type="paragraph" w:customStyle="1" w:styleId="SynopsisLeftColumn">
    <w:name w:val="Synopsis Left Column"/>
    <w:basedOn w:val="Normal"/>
    <w:rsid w:val="00FA72FC"/>
    <w:pPr>
      <w:spacing w:before="120" w:after="120"/>
      <w:jc w:val="right"/>
    </w:pPr>
    <w:rPr>
      <w:b/>
    </w:rPr>
  </w:style>
  <w:style w:type="paragraph" w:customStyle="1" w:styleId="SynopsisRightColumn">
    <w:name w:val="Synopsis Right Column"/>
    <w:basedOn w:val="Normal"/>
    <w:rsid w:val="00FA72FC"/>
    <w:pPr>
      <w:spacing w:before="120" w:after="120"/>
    </w:pPr>
  </w:style>
  <w:style w:type="paragraph" w:styleId="TOC2">
    <w:name w:val="toc 2"/>
    <w:basedOn w:val="TOC1"/>
    <w:next w:val="Normal"/>
    <w:autoRedefine/>
    <w:rsid w:val="00FA72FC"/>
    <w:pPr>
      <w:ind w:left="879" w:hanging="652"/>
    </w:pPr>
  </w:style>
  <w:style w:type="paragraph" w:styleId="TOC3">
    <w:name w:val="toc 3"/>
    <w:basedOn w:val="TOC1"/>
    <w:next w:val="Normal"/>
    <w:autoRedefine/>
    <w:rsid w:val="00FA72FC"/>
    <w:pPr>
      <w:ind w:left="1333" w:hanging="879"/>
    </w:pPr>
  </w:style>
  <w:style w:type="paragraph" w:styleId="TOC4">
    <w:name w:val="toc 4"/>
    <w:basedOn w:val="TOC1"/>
    <w:next w:val="Normal"/>
    <w:autoRedefine/>
    <w:rsid w:val="00FA72FC"/>
    <w:pPr>
      <w:ind w:left="1786" w:hanging="1106"/>
    </w:pPr>
  </w:style>
  <w:style w:type="paragraph" w:styleId="TOC5">
    <w:name w:val="toc 5"/>
    <w:basedOn w:val="TOC1"/>
    <w:next w:val="Normal"/>
    <w:autoRedefine/>
    <w:rsid w:val="00FA72FC"/>
    <w:pPr>
      <w:ind w:left="2239" w:hanging="1332"/>
    </w:pPr>
  </w:style>
  <w:style w:type="paragraph" w:customStyle="1" w:styleId="BayerGuidanceNotes">
    <w:name w:val="Bayer Guidance Notes"/>
    <w:basedOn w:val="Normal"/>
    <w:rsid w:val="005577E6"/>
    <w:rPr>
      <w:i/>
      <w:color w:val="0000FF"/>
    </w:rPr>
  </w:style>
  <w:style w:type="paragraph" w:styleId="CommentText">
    <w:name w:val="annotation text"/>
    <w:basedOn w:val="Normal"/>
    <w:rsid w:val="005577E6"/>
  </w:style>
  <w:style w:type="paragraph" w:styleId="CommentSubject">
    <w:name w:val="annotation subject"/>
    <w:basedOn w:val="CommentText"/>
    <w:next w:val="CommentText"/>
    <w:rsid w:val="005577E6"/>
    <w:rPr>
      <w:b/>
      <w:bCs/>
    </w:rPr>
  </w:style>
  <w:style w:type="paragraph" w:customStyle="1" w:styleId="BayerTableStyleCentered">
    <w:name w:val="Bayer TableStyle Centered"/>
    <w:basedOn w:val="Normal"/>
    <w:rsid w:val="00FA72FC"/>
    <w:pPr>
      <w:keepNext/>
      <w:widowControl w:val="0"/>
      <w:jc w:val="center"/>
    </w:pPr>
  </w:style>
  <w:style w:type="paragraph" w:styleId="BalloonText">
    <w:name w:val="Balloon Text"/>
    <w:basedOn w:val="Normal"/>
    <w:rsid w:val="00FA72FC"/>
    <w:rPr>
      <w:rFonts w:ascii="Tahoma" w:hAnsi="Tahoma" w:cs="Tahoma"/>
      <w:sz w:val="16"/>
      <w:szCs w:val="16"/>
    </w:rPr>
  </w:style>
  <w:style w:type="paragraph" w:customStyle="1" w:styleId="BayerTRDASectionHeading1">
    <w:name w:val="Bayer TRD_A_Section Heading 1"/>
    <w:basedOn w:val="Heading1"/>
    <w:next w:val="BayerBodyTextFull"/>
    <w:rsid w:val="005577E6"/>
    <w:pPr>
      <w:numPr>
        <w:numId w:val="0"/>
      </w:numPr>
      <w:spacing w:before="60" w:after="60"/>
      <w:ind w:left="1134" w:hanging="1134"/>
    </w:pPr>
    <w:rPr>
      <w:sz w:val="24"/>
    </w:rPr>
  </w:style>
  <w:style w:type="paragraph" w:customStyle="1" w:styleId="BayerTRDSource">
    <w:name w:val="Bayer TRD Source"/>
    <w:basedOn w:val="Normal"/>
    <w:next w:val="BayerBodyTextFull"/>
    <w:rsid w:val="005577E6"/>
    <w:pPr>
      <w:spacing w:after="120"/>
      <w:ind w:left="1417" w:hanging="992"/>
    </w:pPr>
    <w:rPr>
      <w:i/>
      <w:sz w:val="22"/>
      <w:szCs w:val="22"/>
    </w:rPr>
  </w:style>
  <w:style w:type="paragraph" w:customStyle="1" w:styleId="BayerTRDASectionHeading3">
    <w:name w:val="Bayer TRD_A_Section Heading 3"/>
    <w:basedOn w:val="BayerTRDASectionHeading1"/>
    <w:next w:val="BayerBodyTextFull"/>
    <w:rsid w:val="00FA72FC"/>
    <w:pPr>
      <w:ind w:left="1559"/>
      <w:outlineLvl w:val="2"/>
    </w:pPr>
    <w:rPr>
      <w:b w:val="0"/>
      <w:szCs w:val="24"/>
    </w:rPr>
  </w:style>
  <w:style w:type="paragraph" w:customStyle="1" w:styleId="BayerTRDASectionHeading4">
    <w:name w:val="Bayer TRD_A_Section Heading 4"/>
    <w:basedOn w:val="BayerTRDASectionHeading1"/>
    <w:next w:val="BayerBodyTextFull"/>
    <w:rsid w:val="00FA72FC"/>
    <w:pPr>
      <w:ind w:left="1701"/>
      <w:outlineLvl w:val="3"/>
    </w:pPr>
    <w:rPr>
      <w:b w:val="0"/>
    </w:rPr>
  </w:style>
  <w:style w:type="paragraph" w:styleId="TOC6">
    <w:name w:val="toc 6"/>
    <w:basedOn w:val="Normal"/>
    <w:next w:val="Normal"/>
    <w:autoRedefine/>
    <w:rsid w:val="00FA72FC"/>
    <w:pPr>
      <w:tabs>
        <w:tab w:val="left" w:pos="2520"/>
        <w:tab w:val="right" w:leader="dot" w:pos="9029"/>
      </w:tabs>
      <w:ind w:left="878"/>
    </w:pPr>
  </w:style>
  <w:style w:type="paragraph" w:styleId="TOC7">
    <w:name w:val="toc 7"/>
    <w:basedOn w:val="Normal"/>
    <w:next w:val="Normal"/>
    <w:autoRedefine/>
    <w:rsid w:val="00FA72FC"/>
    <w:pPr>
      <w:tabs>
        <w:tab w:val="left" w:pos="3067"/>
        <w:tab w:val="right" w:leader="dot" w:pos="9029"/>
      </w:tabs>
      <w:ind w:left="878"/>
    </w:pPr>
  </w:style>
  <w:style w:type="paragraph" w:customStyle="1" w:styleId="BayerTRDASectionHeading5">
    <w:name w:val="Bayer TRD_A_Section Heading 5"/>
    <w:basedOn w:val="BayerTRDASectionHeading1"/>
    <w:next w:val="BayerBodyTextFull"/>
    <w:rsid w:val="00FA72FC"/>
    <w:pPr>
      <w:ind w:left="1701"/>
      <w:outlineLvl w:val="4"/>
    </w:pPr>
    <w:rPr>
      <w:b w:val="0"/>
    </w:rPr>
  </w:style>
  <w:style w:type="table" w:customStyle="1" w:styleId="BayerTableStyle">
    <w:name w:val="Bayer Table Style"/>
    <w:basedOn w:val="TableNormal"/>
    <w:rsid w:val="00FA72FC"/>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Arial" w:hAnsi="Arial"/>
        <w:sz w:val="20"/>
      </w:rPr>
      <w:tblPr/>
      <w:tcPr>
        <w:tcBorders>
          <w:top w:val="single" w:sz="12" w:space="0" w:color="auto"/>
          <w:left w:val="nil"/>
          <w:bottom w:val="single" w:sz="6" w:space="0" w:color="auto"/>
          <w:right w:val="nil"/>
          <w:insideH w:val="nil"/>
          <w:insideV w:val="nil"/>
          <w:tl2br w:val="nil"/>
          <w:tr2bl w:val="nil"/>
        </w:tcBorders>
      </w:tcPr>
    </w:tblStylePr>
    <w:tblStylePr w:type="firstCol">
      <w:pPr>
        <w:jc w:val="left"/>
      </w:pPr>
      <w:rPr>
        <w:rFonts w:ascii="Arial" w:hAnsi="Arial"/>
        <w:sz w:val="20"/>
      </w:rPr>
    </w:tblStylePr>
  </w:style>
  <w:style w:type="paragraph" w:customStyle="1" w:styleId="BayerTableStyleLeftJustified">
    <w:name w:val="Bayer TableStyle Left Justified"/>
    <w:basedOn w:val="Normal"/>
    <w:rsid w:val="00FA72FC"/>
    <w:pPr>
      <w:keepNext/>
      <w:widowControl w:val="0"/>
    </w:pPr>
  </w:style>
  <w:style w:type="paragraph" w:customStyle="1" w:styleId="BayerTableStyleRightJustified">
    <w:name w:val="Bayer TableStyle Right Justified"/>
    <w:rsid w:val="00FA72FC"/>
    <w:pPr>
      <w:keepNext/>
      <w:widowControl w:val="0"/>
      <w:jc w:val="right"/>
    </w:pPr>
    <w:rPr>
      <w:lang w:val="en-US" w:eastAsia="en-US"/>
    </w:rPr>
  </w:style>
  <w:style w:type="paragraph" w:styleId="Caption">
    <w:name w:val="caption"/>
    <w:aliases w:val="Bayer Caption,Bayer Normal Zchn Zchn,NDA,IB Caption,Medical Caption,NDA Char,Bayer Normal Char,Bayer Normal Char Char,Table Caption,Caption-FUSA,Légende eCTD"/>
    <w:basedOn w:val="Normal"/>
    <w:next w:val="Normal"/>
    <w:link w:val="CaptionChar"/>
    <w:qFormat/>
    <w:rsid w:val="00FA72FC"/>
    <w:pPr>
      <w:keepNext/>
      <w:spacing w:before="120" w:after="120"/>
      <w:ind w:left="907"/>
    </w:pPr>
    <w:rPr>
      <w:b/>
    </w:rPr>
  </w:style>
  <w:style w:type="paragraph" w:customStyle="1" w:styleId="BayerSASCaption">
    <w:name w:val="Bayer SAS Caption"/>
    <w:basedOn w:val="Caption"/>
    <w:next w:val="BayerSASMono"/>
    <w:rsid w:val="00FA72FC"/>
    <w:pPr>
      <w:spacing w:before="0" w:after="0"/>
      <w:ind w:left="1814" w:hanging="907"/>
    </w:pPr>
    <w:rPr>
      <w:rFonts w:ascii="SAS Monospace" w:hAnsi="SAS Monospace"/>
      <w:sz w:val="16"/>
    </w:rPr>
  </w:style>
  <w:style w:type="paragraph" w:customStyle="1" w:styleId="BayerSASMono">
    <w:name w:val="Bayer SAS Mono"/>
    <w:basedOn w:val="Normal"/>
    <w:rsid w:val="00FA72FC"/>
    <w:rPr>
      <w:rFonts w:ascii="SAS Monospace" w:hAnsi="SAS Monospace"/>
      <w:sz w:val="16"/>
      <w:szCs w:val="16"/>
    </w:rPr>
  </w:style>
  <w:style w:type="paragraph" w:customStyle="1" w:styleId="Bullet2BayerBodyText">
    <w:name w:val="Bullet_2 Bayer Body Text"/>
    <w:basedOn w:val="BulletBayerBodyText"/>
    <w:next w:val="BayerBodyTextFull"/>
    <w:rsid w:val="004B0FDE"/>
    <w:pPr>
      <w:numPr>
        <w:numId w:val="10"/>
      </w:numPr>
      <w:tabs>
        <w:tab w:val="clear" w:pos="1264"/>
        <w:tab w:val="clear" w:pos="1778"/>
      </w:tabs>
      <w:ind w:left="1440" w:hanging="720"/>
    </w:pPr>
  </w:style>
  <w:style w:type="paragraph" w:styleId="Header">
    <w:name w:val="header"/>
    <w:basedOn w:val="Normal"/>
    <w:rsid w:val="005577E6"/>
    <w:pPr>
      <w:tabs>
        <w:tab w:val="center" w:pos="4536"/>
        <w:tab w:val="right" w:pos="9072"/>
      </w:tabs>
    </w:pPr>
  </w:style>
  <w:style w:type="paragraph" w:styleId="Footer">
    <w:name w:val="footer"/>
    <w:basedOn w:val="Normal"/>
    <w:link w:val="FooterChar"/>
    <w:uiPriority w:val="99"/>
    <w:rsid w:val="005577E6"/>
    <w:pPr>
      <w:tabs>
        <w:tab w:val="center" w:pos="4536"/>
        <w:tab w:val="right" w:pos="9072"/>
      </w:tabs>
    </w:pPr>
  </w:style>
  <w:style w:type="character" w:styleId="PageNumber">
    <w:name w:val="page number"/>
    <w:rsid w:val="009340BE"/>
  </w:style>
  <w:style w:type="character" w:customStyle="1" w:styleId="Heading4Char">
    <w:name w:val="Heading 4 Char"/>
    <w:aliases w:val="Bayer-Heading 4 Char"/>
    <w:link w:val="Heading4"/>
    <w:uiPriority w:val="9"/>
    <w:rsid w:val="005E1570"/>
    <w:rPr>
      <w:b/>
      <w:kern w:val="28"/>
      <w:sz w:val="26"/>
      <w:lang w:eastAsia="en-AU"/>
    </w:rPr>
  </w:style>
  <w:style w:type="numbering" w:styleId="111111">
    <w:name w:val="Outline List 2"/>
    <w:basedOn w:val="NoList"/>
    <w:rsid w:val="005577E6"/>
    <w:pPr>
      <w:numPr>
        <w:numId w:val="20"/>
      </w:numPr>
    </w:pPr>
  </w:style>
  <w:style w:type="numbering" w:styleId="1ai">
    <w:name w:val="Outline List 1"/>
    <w:basedOn w:val="NoList"/>
    <w:rsid w:val="005577E6"/>
    <w:pPr>
      <w:numPr>
        <w:numId w:val="21"/>
      </w:numPr>
    </w:pPr>
  </w:style>
  <w:style w:type="numbering" w:styleId="ArticleSection">
    <w:name w:val="Outline List 3"/>
    <w:basedOn w:val="NoList"/>
    <w:rsid w:val="005577E6"/>
    <w:pPr>
      <w:numPr>
        <w:numId w:val="22"/>
      </w:numPr>
    </w:pPr>
  </w:style>
  <w:style w:type="paragraph" w:styleId="BlockText">
    <w:name w:val="Block Text"/>
    <w:basedOn w:val="Normal"/>
    <w:rsid w:val="005577E6"/>
    <w:pPr>
      <w:spacing w:after="120"/>
      <w:ind w:left="1440" w:right="1440"/>
    </w:pPr>
  </w:style>
  <w:style w:type="paragraph" w:styleId="BodyText">
    <w:name w:val="Body Text"/>
    <w:basedOn w:val="Normal"/>
    <w:link w:val="BodyTextChar"/>
    <w:rsid w:val="005577E6"/>
    <w:pPr>
      <w:spacing w:after="120"/>
    </w:pPr>
  </w:style>
  <w:style w:type="character" w:customStyle="1" w:styleId="BodyTextChar">
    <w:name w:val="Body Text Char"/>
    <w:link w:val="BodyText"/>
    <w:rsid w:val="005577E6"/>
    <w:rPr>
      <w:rFonts w:ascii="Arial" w:hAnsi="Arial"/>
      <w:sz w:val="24"/>
      <w:lang w:val="en-US" w:eastAsia="en-US"/>
    </w:rPr>
  </w:style>
  <w:style w:type="paragraph" w:styleId="BodyText2">
    <w:name w:val="Body Text 2"/>
    <w:basedOn w:val="Normal"/>
    <w:link w:val="BodyText2Char"/>
    <w:rsid w:val="005577E6"/>
    <w:pPr>
      <w:spacing w:after="120" w:line="480" w:lineRule="auto"/>
    </w:pPr>
  </w:style>
  <w:style w:type="character" w:customStyle="1" w:styleId="BodyText2Char">
    <w:name w:val="Body Text 2 Char"/>
    <w:link w:val="BodyText2"/>
    <w:rsid w:val="005577E6"/>
    <w:rPr>
      <w:rFonts w:ascii="Arial" w:hAnsi="Arial"/>
      <w:sz w:val="24"/>
      <w:lang w:val="en-US" w:eastAsia="en-US"/>
    </w:rPr>
  </w:style>
  <w:style w:type="paragraph" w:styleId="BodyText3">
    <w:name w:val="Body Text 3"/>
    <w:basedOn w:val="Normal"/>
    <w:link w:val="BodyText3Char"/>
    <w:rsid w:val="005577E6"/>
    <w:pPr>
      <w:spacing w:after="120"/>
    </w:pPr>
    <w:rPr>
      <w:sz w:val="16"/>
      <w:szCs w:val="16"/>
    </w:rPr>
  </w:style>
  <w:style w:type="character" w:customStyle="1" w:styleId="BodyText3Char">
    <w:name w:val="Body Text 3 Char"/>
    <w:link w:val="BodyText3"/>
    <w:rsid w:val="005577E6"/>
    <w:rPr>
      <w:rFonts w:ascii="Arial" w:hAnsi="Arial"/>
      <w:sz w:val="16"/>
      <w:szCs w:val="16"/>
      <w:lang w:val="en-US" w:eastAsia="en-US"/>
    </w:rPr>
  </w:style>
  <w:style w:type="paragraph" w:styleId="BodyTextFirstIndent">
    <w:name w:val="Body Text First Indent"/>
    <w:basedOn w:val="BodyText"/>
    <w:link w:val="BodyTextFirstIndentChar"/>
    <w:rsid w:val="005577E6"/>
    <w:pPr>
      <w:ind w:firstLine="210"/>
    </w:pPr>
  </w:style>
  <w:style w:type="character" w:customStyle="1" w:styleId="BodyTextFirstIndentChar">
    <w:name w:val="Body Text First Indent Char"/>
    <w:link w:val="BodyTextFirstIndent"/>
    <w:rsid w:val="005577E6"/>
    <w:rPr>
      <w:rFonts w:ascii="Arial" w:hAnsi="Arial"/>
      <w:sz w:val="24"/>
      <w:lang w:val="en-US" w:eastAsia="en-US"/>
    </w:rPr>
  </w:style>
  <w:style w:type="paragraph" w:styleId="BodyTextIndent">
    <w:name w:val="Body Text Indent"/>
    <w:basedOn w:val="Normal"/>
    <w:link w:val="BodyTextIndentChar"/>
    <w:rsid w:val="005577E6"/>
    <w:pPr>
      <w:spacing w:after="120"/>
      <w:ind w:left="283"/>
    </w:pPr>
  </w:style>
  <w:style w:type="character" w:customStyle="1" w:styleId="BodyTextIndentChar">
    <w:name w:val="Body Text Indent Char"/>
    <w:link w:val="BodyTextIndent"/>
    <w:rsid w:val="005577E6"/>
    <w:rPr>
      <w:rFonts w:ascii="Arial" w:hAnsi="Arial"/>
      <w:sz w:val="24"/>
      <w:lang w:val="en-US" w:eastAsia="en-US"/>
    </w:rPr>
  </w:style>
  <w:style w:type="paragraph" w:styleId="BodyTextFirstIndent2">
    <w:name w:val="Body Text First Indent 2"/>
    <w:basedOn w:val="BodyTextIndent"/>
    <w:link w:val="BodyTextFirstIndent2Char"/>
    <w:rsid w:val="005577E6"/>
    <w:pPr>
      <w:ind w:firstLine="210"/>
    </w:pPr>
  </w:style>
  <w:style w:type="character" w:customStyle="1" w:styleId="BodyTextFirstIndent2Char">
    <w:name w:val="Body Text First Indent 2 Char"/>
    <w:link w:val="BodyTextFirstIndent2"/>
    <w:rsid w:val="005577E6"/>
    <w:rPr>
      <w:rFonts w:ascii="Arial" w:hAnsi="Arial"/>
      <w:sz w:val="24"/>
      <w:lang w:val="en-US" w:eastAsia="en-US"/>
    </w:rPr>
  </w:style>
  <w:style w:type="paragraph" w:styleId="BodyTextIndent2">
    <w:name w:val="Body Text Indent 2"/>
    <w:basedOn w:val="Normal"/>
    <w:link w:val="BodyTextIndent2Char"/>
    <w:rsid w:val="005577E6"/>
    <w:pPr>
      <w:spacing w:after="120" w:line="480" w:lineRule="auto"/>
      <w:ind w:left="283"/>
    </w:pPr>
  </w:style>
  <w:style w:type="character" w:customStyle="1" w:styleId="BodyTextIndent2Char">
    <w:name w:val="Body Text Indent 2 Char"/>
    <w:link w:val="BodyTextIndent2"/>
    <w:rsid w:val="005577E6"/>
    <w:rPr>
      <w:rFonts w:ascii="Arial" w:hAnsi="Arial"/>
      <w:sz w:val="24"/>
      <w:lang w:val="en-US" w:eastAsia="en-US"/>
    </w:rPr>
  </w:style>
  <w:style w:type="paragraph" w:styleId="BodyTextIndent3">
    <w:name w:val="Body Text Indent 3"/>
    <w:basedOn w:val="Normal"/>
    <w:link w:val="BodyTextIndent3Char"/>
    <w:rsid w:val="005577E6"/>
    <w:pPr>
      <w:spacing w:after="120"/>
      <w:ind w:left="283"/>
    </w:pPr>
    <w:rPr>
      <w:sz w:val="16"/>
      <w:szCs w:val="16"/>
    </w:rPr>
  </w:style>
  <w:style w:type="character" w:customStyle="1" w:styleId="BodyTextIndent3Char">
    <w:name w:val="Body Text Indent 3 Char"/>
    <w:link w:val="BodyTextIndent3"/>
    <w:rsid w:val="005577E6"/>
    <w:rPr>
      <w:rFonts w:ascii="Arial" w:hAnsi="Arial"/>
      <w:sz w:val="16"/>
      <w:szCs w:val="16"/>
      <w:lang w:val="en-US" w:eastAsia="en-US"/>
    </w:rPr>
  </w:style>
  <w:style w:type="paragraph" w:styleId="Closing">
    <w:name w:val="Closing"/>
    <w:basedOn w:val="Normal"/>
    <w:link w:val="ClosingChar"/>
    <w:rsid w:val="005577E6"/>
    <w:pPr>
      <w:ind w:left="4252"/>
    </w:pPr>
  </w:style>
  <w:style w:type="character" w:customStyle="1" w:styleId="ClosingChar">
    <w:name w:val="Closing Char"/>
    <w:link w:val="Closing"/>
    <w:rsid w:val="005577E6"/>
    <w:rPr>
      <w:rFonts w:ascii="Arial" w:hAnsi="Arial"/>
      <w:sz w:val="24"/>
      <w:lang w:val="en-US" w:eastAsia="en-US"/>
    </w:rPr>
  </w:style>
  <w:style w:type="paragraph" w:styleId="Date">
    <w:name w:val="Date"/>
    <w:basedOn w:val="Normal"/>
    <w:next w:val="Normal"/>
    <w:link w:val="DateChar"/>
    <w:rsid w:val="005577E6"/>
  </w:style>
  <w:style w:type="character" w:customStyle="1" w:styleId="DateChar">
    <w:name w:val="Date Char"/>
    <w:link w:val="Date"/>
    <w:rsid w:val="005577E6"/>
    <w:rPr>
      <w:rFonts w:ascii="Arial" w:hAnsi="Arial"/>
      <w:sz w:val="24"/>
      <w:lang w:val="en-US" w:eastAsia="en-US"/>
    </w:rPr>
  </w:style>
  <w:style w:type="paragraph" w:styleId="E-mailSignature">
    <w:name w:val="E-mail Signature"/>
    <w:basedOn w:val="Normal"/>
    <w:link w:val="E-mailSignatureChar"/>
    <w:rsid w:val="005577E6"/>
  </w:style>
  <w:style w:type="character" w:customStyle="1" w:styleId="E-mailSignatureChar">
    <w:name w:val="E-mail Signature Char"/>
    <w:link w:val="E-mailSignature"/>
    <w:rsid w:val="005577E6"/>
    <w:rPr>
      <w:rFonts w:ascii="Arial" w:hAnsi="Arial"/>
      <w:sz w:val="24"/>
      <w:lang w:val="en-US" w:eastAsia="en-US"/>
    </w:rPr>
  </w:style>
  <w:style w:type="character" w:styleId="Emphasis">
    <w:name w:val="Emphasis"/>
    <w:qFormat/>
    <w:rsid w:val="005577E6"/>
    <w:rPr>
      <w:rFonts w:ascii="Arial" w:hAnsi="Arial"/>
      <w:i/>
      <w:iCs/>
    </w:rPr>
  </w:style>
  <w:style w:type="character" w:styleId="EndnoteReference">
    <w:name w:val="endnote reference"/>
    <w:rsid w:val="005577E6"/>
    <w:rPr>
      <w:rFonts w:ascii="Arial" w:hAnsi="Arial"/>
      <w:vertAlign w:val="superscript"/>
    </w:rPr>
  </w:style>
  <w:style w:type="paragraph" w:styleId="EndnoteText">
    <w:name w:val="endnote text"/>
    <w:basedOn w:val="Normal"/>
    <w:link w:val="EndnoteTextChar"/>
    <w:rsid w:val="005577E6"/>
  </w:style>
  <w:style w:type="character" w:customStyle="1" w:styleId="EndnoteTextChar">
    <w:name w:val="Endnote Text Char"/>
    <w:link w:val="EndnoteText"/>
    <w:rsid w:val="005577E6"/>
    <w:rPr>
      <w:rFonts w:ascii="Arial" w:hAnsi="Arial"/>
      <w:lang w:val="en-US" w:eastAsia="en-US"/>
    </w:rPr>
  </w:style>
  <w:style w:type="paragraph" w:styleId="EnvelopeAddress">
    <w:name w:val="envelope address"/>
    <w:basedOn w:val="Normal"/>
    <w:rsid w:val="005577E6"/>
    <w:pPr>
      <w:framePr w:w="7920" w:h="1980" w:hRule="exact" w:hSpace="180" w:wrap="auto" w:hAnchor="page" w:xAlign="center" w:yAlign="bottom"/>
      <w:ind w:left="2880"/>
    </w:pPr>
    <w:rPr>
      <w:rFonts w:ascii="Cambria" w:hAnsi="Cambria"/>
      <w:szCs w:val="24"/>
    </w:rPr>
  </w:style>
  <w:style w:type="character" w:styleId="FollowedHyperlink">
    <w:name w:val="FollowedHyperlink"/>
    <w:rsid w:val="005577E6"/>
    <w:rPr>
      <w:rFonts w:ascii="Arial" w:hAnsi="Arial"/>
      <w:color w:val="800080"/>
      <w:u w:val="single"/>
    </w:rPr>
  </w:style>
  <w:style w:type="character" w:styleId="FootnoteReference">
    <w:name w:val="footnote reference"/>
    <w:uiPriority w:val="99"/>
    <w:rsid w:val="005577E6"/>
    <w:rPr>
      <w:rFonts w:ascii="Arial" w:hAnsi="Arial"/>
      <w:vertAlign w:val="superscript"/>
    </w:rPr>
  </w:style>
  <w:style w:type="paragraph" w:styleId="FootnoteText">
    <w:name w:val="footnote text"/>
    <w:basedOn w:val="Normal"/>
    <w:link w:val="FootnoteTextChar"/>
    <w:uiPriority w:val="99"/>
    <w:rsid w:val="005577E6"/>
  </w:style>
  <w:style w:type="character" w:customStyle="1" w:styleId="FootnoteTextChar">
    <w:name w:val="Footnote Text Char"/>
    <w:link w:val="FootnoteText"/>
    <w:uiPriority w:val="99"/>
    <w:rsid w:val="005577E6"/>
    <w:rPr>
      <w:rFonts w:ascii="Arial" w:hAnsi="Arial"/>
      <w:lang w:val="en-US" w:eastAsia="en-US"/>
    </w:rPr>
  </w:style>
  <w:style w:type="character" w:styleId="HTMLAcronym">
    <w:name w:val="HTML Acronym"/>
    <w:rsid w:val="005577E6"/>
    <w:rPr>
      <w:rFonts w:ascii="Arial" w:hAnsi="Arial"/>
    </w:rPr>
  </w:style>
  <w:style w:type="paragraph" w:styleId="HTMLAddress">
    <w:name w:val="HTML Address"/>
    <w:basedOn w:val="Normal"/>
    <w:link w:val="HTMLAddressChar"/>
    <w:rsid w:val="005577E6"/>
    <w:rPr>
      <w:i/>
      <w:iCs/>
    </w:rPr>
  </w:style>
  <w:style w:type="character" w:customStyle="1" w:styleId="HTMLAddressChar">
    <w:name w:val="HTML Address Char"/>
    <w:link w:val="HTMLAddress"/>
    <w:rsid w:val="005577E6"/>
    <w:rPr>
      <w:rFonts w:ascii="Arial" w:hAnsi="Arial"/>
      <w:i/>
      <w:iCs/>
      <w:sz w:val="24"/>
      <w:lang w:val="en-US" w:eastAsia="en-US"/>
    </w:rPr>
  </w:style>
  <w:style w:type="character" w:styleId="HTMLCite">
    <w:name w:val="HTML Cite"/>
    <w:rsid w:val="005577E6"/>
    <w:rPr>
      <w:rFonts w:ascii="Arial" w:hAnsi="Arial"/>
      <w:i/>
      <w:iCs/>
    </w:rPr>
  </w:style>
  <w:style w:type="character" w:styleId="HTMLDefinition">
    <w:name w:val="HTML Definition"/>
    <w:rsid w:val="005577E6"/>
    <w:rPr>
      <w:rFonts w:ascii="Arial" w:hAnsi="Arial"/>
      <w:i/>
      <w:iCs/>
    </w:rPr>
  </w:style>
  <w:style w:type="character" w:styleId="Hyperlink">
    <w:name w:val="Hyperlink"/>
    <w:rsid w:val="005577E6"/>
    <w:rPr>
      <w:rFonts w:ascii="Arial" w:hAnsi="Arial"/>
      <w:color w:val="0000FF"/>
      <w:u w:val="single"/>
    </w:rPr>
  </w:style>
  <w:style w:type="paragraph" w:styleId="Index1">
    <w:name w:val="index 1"/>
    <w:basedOn w:val="Normal"/>
    <w:next w:val="Normal"/>
    <w:autoRedefine/>
    <w:rsid w:val="005577E6"/>
    <w:pPr>
      <w:ind w:left="240" w:hanging="240"/>
    </w:pPr>
  </w:style>
  <w:style w:type="paragraph" w:styleId="Index2">
    <w:name w:val="index 2"/>
    <w:basedOn w:val="Normal"/>
    <w:next w:val="Normal"/>
    <w:autoRedefine/>
    <w:rsid w:val="005577E6"/>
    <w:pPr>
      <w:ind w:left="480" w:hanging="240"/>
    </w:pPr>
  </w:style>
  <w:style w:type="character" w:customStyle="1" w:styleId="BayerBodyTextFullZchn">
    <w:name w:val="Bayer Body Text Full Zchn"/>
    <w:link w:val="BayerBodyTextFull"/>
    <w:uiPriority w:val="99"/>
    <w:rsid w:val="009421D5"/>
    <w:rPr>
      <w:lang w:eastAsia="en-AU"/>
    </w:rPr>
  </w:style>
  <w:style w:type="character" w:customStyle="1" w:styleId="BayerBibliographyZchn">
    <w:name w:val="Bayer Bibliography Zchn"/>
    <w:link w:val="BayerBibliography"/>
    <w:rsid w:val="007D5332"/>
    <w:rPr>
      <w:lang w:eastAsia="en-AU"/>
    </w:rPr>
  </w:style>
  <w:style w:type="character" w:customStyle="1" w:styleId="BayerTableFootnoteZchn">
    <w:name w:val="Bayer Table Footnote Zchn"/>
    <w:link w:val="BayerTableFootnote"/>
    <w:locked/>
    <w:rsid w:val="00C16D73"/>
    <w:rPr>
      <w:lang w:val="en-US" w:eastAsia="en-US"/>
    </w:rPr>
  </w:style>
  <w:style w:type="character" w:customStyle="1" w:styleId="FooterChar">
    <w:name w:val="Footer Char"/>
    <w:link w:val="Footer"/>
    <w:uiPriority w:val="99"/>
    <w:rsid w:val="0041516E"/>
    <w:rPr>
      <w:lang w:eastAsia="en-AU"/>
    </w:rPr>
  </w:style>
  <w:style w:type="character" w:customStyle="1" w:styleId="CaptionChar">
    <w:name w:val="Caption Char"/>
    <w:aliases w:val="Bayer Caption Char,Bayer Normal Zchn Zchn Char,NDA Char1,IB Caption Char,Medical Caption Char,NDA Char Char,Bayer Normal Char Char1,Bayer Normal Char Char Char,Table Caption Char,Caption-FUSA Char,Légende eCTD Char"/>
    <w:link w:val="Caption"/>
    <w:locked/>
    <w:rsid w:val="003D7122"/>
    <w:rPr>
      <w:b/>
      <w:lang w:eastAsia="en-AU"/>
    </w:rPr>
  </w:style>
  <w:style w:type="paragraph" w:customStyle="1" w:styleId="Body">
    <w:name w:val="Body"/>
    <w:basedOn w:val="Normal"/>
    <w:qFormat/>
    <w:rsid w:val="003D7122"/>
    <w:pPr>
      <w:spacing w:after="110"/>
    </w:pPr>
    <w:rPr>
      <w:rFonts w:ascii="Times New Roman" w:eastAsia="Calibri" w:hAnsi="Times New Roman"/>
      <w:sz w:val="22"/>
      <w:szCs w:val="22"/>
      <w:lang w:val="en-US" w:eastAsia="ja-JP"/>
    </w:rPr>
  </w:style>
  <w:style w:type="table" w:styleId="TableGrid">
    <w:name w:val="Table Grid"/>
    <w:basedOn w:val="TableNormal"/>
    <w:rsid w:val="00D65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7AFD"/>
  </w:style>
  <w:style w:type="paragraph" w:customStyle="1" w:styleId="TableColumnHeadingCentre">
    <w:name w:val="Table Column Heading Centre"/>
    <w:basedOn w:val="Normal"/>
    <w:rsid w:val="00656C33"/>
    <w:pPr>
      <w:jc w:val="center"/>
    </w:pPr>
    <w:rPr>
      <w:rFonts w:ascii="Times New Roman" w:hAnsi="Times New Roman"/>
      <w:b/>
      <w:szCs w:val="24"/>
      <w:lang w:val="en-CA" w:eastAsia="en-US"/>
    </w:rPr>
  </w:style>
  <w:style w:type="paragraph" w:customStyle="1" w:styleId="TableRowHeadingLeft">
    <w:name w:val="Table Row Heading Left"/>
    <w:basedOn w:val="Normal"/>
    <w:rsid w:val="00656C33"/>
    <w:rPr>
      <w:rFonts w:ascii="Times New Roman" w:hAnsi="Times New Roman"/>
      <w:szCs w:val="24"/>
      <w:lang w:val="en-CA" w:eastAsia="en-US"/>
    </w:rPr>
  </w:style>
  <w:style w:type="paragraph" w:customStyle="1" w:styleId="TableDataCentre">
    <w:name w:val="Table Data Centre"/>
    <w:basedOn w:val="TableRowHeadingLeft"/>
    <w:rsid w:val="00656C33"/>
    <w:pPr>
      <w:jc w:val="center"/>
    </w:pPr>
  </w:style>
  <w:style w:type="paragraph" w:customStyle="1" w:styleId="TableStyleFootnote">
    <w:name w:val="Table Style Footnote"/>
    <w:basedOn w:val="Normal"/>
    <w:rsid w:val="00656C33"/>
    <w:pPr>
      <w:keepNext/>
      <w:widowControl w:val="0"/>
      <w:ind w:left="360" w:hanging="360"/>
    </w:pPr>
    <w:rPr>
      <w:rFonts w:ascii="Times New Roman" w:hAnsi="Times New Roman"/>
      <w:lang w:val="en-US" w:eastAsia="en-US"/>
    </w:rPr>
  </w:style>
  <w:style w:type="paragraph" w:customStyle="1" w:styleId="TableStyleColumnHeadings">
    <w:name w:val="Table Style Column Headings"/>
    <w:basedOn w:val="Normal"/>
    <w:rsid w:val="00713990"/>
    <w:pPr>
      <w:jc w:val="center"/>
    </w:pPr>
    <w:rPr>
      <w:rFonts w:ascii="Times New Roman Bold" w:hAnsi="Times New Roman Bold"/>
      <w:b/>
      <w:lang w:val="en-US" w:eastAsia="en-US"/>
    </w:rPr>
  </w:style>
  <w:style w:type="paragraph" w:styleId="NormalWeb">
    <w:name w:val="Normal (Web)"/>
    <w:basedOn w:val="Normal"/>
    <w:uiPriority w:val="99"/>
    <w:unhideWhenUsed/>
    <w:rsid w:val="00BB7F75"/>
    <w:pPr>
      <w:spacing w:before="100" w:beforeAutospacing="1" w:after="100" w:afterAutospacing="1"/>
    </w:pPr>
    <w:rPr>
      <w:rFonts w:ascii="Times New Roman" w:hAnsi="Times New Roman"/>
      <w:sz w:val="24"/>
      <w:szCs w:val="24"/>
      <w:lang w:val="de-DE" w:eastAsia="de-DE"/>
    </w:rPr>
  </w:style>
  <w:style w:type="table" w:customStyle="1" w:styleId="TableGrid1">
    <w:name w:val="Table Grid1"/>
    <w:basedOn w:val="TableNormal"/>
    <w:next w:val="TableGrid"/>
    <w:uiPriority w:val="59"/>
    <w:rsid w:val="00AF61BF"/>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ayer Normal"/>
    <w:qFormat/>
    <w:rsid w:val="00FA578E"/>
  </w:style>
  <w:style w:type="paragraph" w:styleId="Heading1">
    <w:name w:val="heading 1"/>
    <w:aliases w:val="Bayer-Heading 1"/>
    <w:basedOn w:val="Normal"/>
    <w:next w:val="BayerBodyTextFull"/>
    <w:qFormat/>
    <w:rsid w:val="005577E6"/>
    <w:pPr>
      <w:keepNext/>
      <w:numPr>
        <w:numId w:val="18"/>
      </w:numPr>
      <w:tabs>
        <w:tab w:val="clear" w:pos="360"/>
        <w:tab w:val="left" w:pos="1134"/>
      </w:tabs>
      <w:spacing w:before="240" w:after="120"/>
      <w:ind w:left="1138" w:hanging="1138"/>
      <w:outlineLvl w:val="0"/>
    </w:pPr>
    <w:rPr>
      <w:b/>
      <w:kern w:val="28"/>
      <w:sz w:val="28"/>
    </w:rPr>
  </w:style>
  <w:style w:type="paragraph" w:styleId="Heading2">
    <w:name w:val="heading 2"/>
    <w:aliases w:val="Bayer-Heading 2"/>
    <w:basedOn w:val="Heading1"/>
    <w:next w:val="BayerBodyTextFull"/>
    <w:qFormat/>
    <w:rsid w:val="003142D7"/>
    <w:pPr>
      <w:numPr>
        <w:ilvl w:val="1"/>
      </w:numPr>
      <w:tabs>
        <w:tab w:val="clear" w:pos="0"/>
      </w:tabs>
      <w:ind w:left="1138" w:hanging="1138"/>
      <w:outlineLvl w:val="1"/>
    </w:pPr>
    <w:rPr>
      <w:sz w:val="26"/>
    </w:rPr>
  </w:style>
  <w:style w:type="paragraph" w:styleId="Heading3">
    <w:name w:val="heading 3"/>
    <w:aliases w:val="Bayer-Heading 3"/>
    <w:basedOn w:val="Heading1"/>
    <w:next w:val="BayerBodyTextFull"/>
    <w:qFormat/>
    <w:rsid w:val="003142D7"/>
    <w:pPr>
      <w:numPr>
        <w:ilvl w:val="2"/>
      </w:numPr>
      <w:tabs>
        <w:tab w:val="clear" w:pos="0"/>
      </w:tabs>
      <w:ind w:left="1138" w:hanging="1138"/>
      <w:outlineLvl w:val="2"/>
    </w:pPr>
    <w:rPr>
      <w:sz w:val="26"/>
    </w:rPr>
  </w:style>
  <w:style w:type="paragraph" w:styleId="Heading4">
    <w:name w:val="heading 4"/>
    <w:aliases w:val="Bayer-Heading 4"/>
    <w:basedOn w:val="Heading1"/>
    <w:next w:val="BayerBodyTextFull"/>
    <w:link w:val="Heading4Char"/>
    <w:qFormat/>
    <w:rsid w:val="00FA72FC"/>
    <w:pPr>
      <w:numPr>
        <w:ilvl w:val="3"/>
      </w:numPr>
      <w:tabs>
        <w:tab w:val="clear" w:pos="0"/>
        <w:tab w:val="num" w:pos="360"/>
      </w:tabs>
      <w:ind w:left="0" w:firstLine="0"/>
      <w:outlineLvl w:val="3"/>
    </w:pPr>
    <w:rPr>
      <w:sz w:val="26"/>
    </w:rPr>
  </w:style>
  <w:style w:type="paragraph" w:styleId="Heading5">
    <w:name w:val="heading 5"/>
    <w:aliases w:val="Bayer-Heading 5"/>
    <w:basedOn w:val="Heading1"/>
    <w:next w:val="BayerBodyTextFull"/>
    <w:qFormat/>
    <w:rsid w:val="00FA72FC"/>
    <w:pPr>
      <w:numPr>
        <w:ilvl w:val="4"/>
      </w:numPr>
      <w:tabs>
        <w:tab w:val="clear" w:pos="0"/>
        <w:tab w:val="num" w:pos="360"/>
      </w:tabs>
      <w:ind w:left="0" w:firstLine="0"/>
      <w:outlineLvl w:val="4"/>
    </w:pPr>
    <w:rPr>
      <w:sz w:val="26"/>
    </w:rPr>
  </w:style>
  <w:style w:type="paragraph" w:styleId="Heading6">
    <w:name w:val="heading 6"/>
    <w:aliases w:val="Bayer-Heading 6"/>
    <w:basedOn w:val="Heading1"/>
    <w:next w:val="BayerBodyTextFull"/>
    <w:qFormat/>
    <w:rsid w:val="00FA72FC"/>
    <w:pPr>
      <w:numPr>
        <w:ilvl w:val="5"/>
      </w:numPr>
      <w:tabs>
        <w:tab w:val="clear" w:pos="0"/>
        <w:tab w:val="num" w:pos="360"/>
      </w:tabs>
      <w:ind w:left="0" w:firstLine="0"/>
      <w:outlineLvl w:val="5"/>
    </w:pPr>
    <w:rPr>
      <w:sz w:val="26"/>
    </w:rPr>
  </w:style>
  <w:style w:type="paragraph" w:styleId="Heading7">
    <w:name w:val="heading 7"/>
    <w:aliases w:val="Bayer-Heading 7"/>
    <w:basedOn w:val="Heading1"/>
    <w:next w:val="BayerBodyTextFull"/>
    <w:qFormat/>
    <w:rsid w:val="00FA72FC"/>
    <w:pPr>
      <w:numPr>
        <w:ilvl w:val="6"/>
      </w:numPr>
      <w:tabs>
        <w:tab w:val="clear" w:pos="0"/>
        <w:tab w:val="num" w:pos="360"/>
      </w:tabs>
      <w:ind w:left="0" w:firstLine="0"/>
      <w:outlineLvl w:val="6"/>
    </w:pPr>
    <w:rPr>
      <w:sz w:val="26"/>
    </w:rPr>
  </w:style>
  <w:style w:type="paragraph" w:styleId="Heading8">
    <w:name w:val="heading 8"/>
    <w:aliases w:val="Bayer-Heading 8"/>
    <w:basedOn w:val="Heading1"/>
    <w:next w:val="BayerBodyTextFull"/>
    <w:qFormat/>
    <w:rsid w:val="00FA72FC"/>
    <w:pPr>
      <w:numPr>
        <w:ilvl w:val="7"/>
      </w:numPr>
      <w:tabs>
        <w:tab w:val="clear" w:pos="0"/>
        <w:tab w:val="num" w:pos="360"/>
      </w:tabs>
      <w:spacing w:after="60"/>
      <w:ind w:left="0" w:firstLine="0"/>
      <w:outlineLvl w:val="7"/>
    </w:pPr>
    <w:rPr>
      <w:sz w:val="26"/>
    </w:rPr>
  </w:style>
  <w:style w:type="paragraph" w:styleId="Heading9">
    <w:name w:val="heading 9"/>
    <w:aliases w:val="Bayer-Heading 9"/>
    <w:basedOn w:val="Heading1"/>
    <w:next w:val="BayerBodyTextFull"/>
    <w:qFormat/>
    <w:rsid w:val="00FA72FC"/>
    <w:pPr>
      <w:numPr>
        <w:ilvl w:val="8"/>
      </w:numPr>
      <w:tabs>
        <w:tab w:val="clear" w:pos="0"/>
        <w:tab w:val="num" w:pos="360"/>
      </w:tabs>
      <w:spacing w:after="60"/>
      <w:ind w:left="0" w:firstLine="0"/>
      <w:outlineLvl w:val="8"/>
    </w:pPr>
    <w:rPr>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yerXspace">
    <w:name w:val="Bayer Xspace"/>
    <w:basedOn w:val="Normal"/>
    <w:next w:val="BayerBodyTextFull"/>
    <w:rsid w:val="005577E6"/>
    <w:rPr>
      <w:sz w:val="8"/>
    </w:rPr>
  </w:style>
  <w:style w:type="paragraph" w:customStyle="1" w:styleId="BayerTableRowHeadings">
    <w:name w:val="Bayer Table Row Headings"/>
    <w:basedOn w:val="BayerTableStyleRightJustified"/>
    <w:rsid w:val="00FA72FC"/>
    <w:pPr>
      <w:jc w:val="left"/>
    </w:pPr>
  </w:style>
  <w:style w:type="paragraph" w:customStyle="1" w:styleId="BayerBodyTextFull">
    <w:name w:val="Bayer Body Text Full"/>
    <w:basedOn w:val="Normal"/>
    <w:link w:val="BayerBodyTextFullZchn"/>
    <w:uiPriority w:val="99"/>
    <w:rsid w:val="005577E6"/>
    <w:pPr>
      <w:spacing w:before="120" w:after="120"/>
    </w:pPr>
  </w:style>
  <w:style w:type="character" w:styleId="CommentReference">
    <w:name w:val="annotation reference"/>
    <w:rsid w:val="005577E6"/>
    <w:rPr>
      <w:rFonts w:ascii="Arial" w:hAnsi="Arial"/>
      <w:sz w:val="16"/>
      <w:szCs w:val="16"/>
    </w:rPr>
  </w:style>
  <w:style w:type="paragraph" w:styleId="DocumentMap">
    <w:name w:val="Document Map"/>
    <w:basedOn w:val="Normal"/>
    <w:rsid w:val="00FA72FC"/>
    <w:pPr>
      <w:shd w:val="clear" w:color="auto" w:fill="000080"/>
    </w:pPr>
    <w:rPr>
      <w:rFonts w:ascii="Tahoma" w:hAnsi="Tahoma"/>
    </w:rPr>
  </w:style>
  <w:style w:type="paragraph" w:customStyle="1" w:styleId="BayerBibliography">
    <w:name w:val="Bayer Bibliography"/>
    <w:basedOn w:val="Normal"/>
    <w:link w:val="BayerBibliographyZchn"/>
    <w:rsid w:val="005577E6"/>
    <w:pPr>
      <w:spacing w:after="120"/>
      <w:ind w:left="1627" w:hanging="720"/>
    </w:pPr>
  </w:style>
  <w:style w:type="paragraph" w:customStyle="1" w:styleId="BayerTRDASectionHeading2">
    <w:name w:val="Bayer TRD_A_Section Heading 2"/>
    <w:basedOn w:val="BayerTRDASectionHeading1"/>
    <w:next w:val="BayerBodyTextFull"/>
    <w:rsid w:val="00FA72FC"/>
    <w:pPr>
      <w:ind w:left="1418"/>
      <w:outlineLvl w:val="1"/>
    </w:pPr>
    <w:rPr>
      <w:b w:val="0"/>
      <w:szCs w:val="24"/>
    </w:rPr>
  </w:style>
  <w:style w:type="paragraph" w:customStyle="1" w:styleId="BulletBayerBodyText">
    <w:name w:val="Bullet Bayer Body Text"/>
    <w:basedOn w:val="Normal"/>
    <w:rsid w:val="005577E6"/>
    <w:pPr>
      <w:numPr>
        <w:numId w:val="19"/>
      </w:numPr>
      <w:tabs>
        <w:tab w:val="left" w:pos="1264"/>
      </w:tabs>
      <w:spacing w:after="120"/>
      <w:ind w:left="714" w:hanging="357"/>
    </w:pPr>
  </w:style>
  <w:style w:type="paragraph" w:customStyle="1" w:styleId="BayerTableColumnHeadings">
    <w:name w:val="Bayer Table Column Headings"/>
    <w:basedOn w:val="Normal"/>
    <w:rsid w:val="00FA72FC"/>
    <w:pPr>
      <w:jc w:val="center"/>
    </w:pPr>
    <w:rPr>
      <w:b/>
    </w:rPr>
  </w:style>
  <w:style w:type="paragraph" w:customStyle="1" w:styleId="BayerTableFootnote">
    <w:name w:val="Bayer Table Footnote"/>
    <w:basedOn w:val="BayerTableStyleRightJustified"/>
    <w:link w:val="BayerTableFootnoteZchn"/>
    <w:rsid w:val="00FA72FC"/>
    <w:pPr>
      <w:ind w:left="360" w:hanging="360"/>
      <w:jc w:val="left"/>
    </w:pPr>
  </w:style>
  <w:style w:type="paragraph" w:customStyle="1" w:styleId="BayerFootnote">
    <w:name w:val="Bayer Footnote"/>
    <w:basedOn w:val="Normal"/>
    <w:rsid w:val="005577E6"/>
    <w:pPr>
      <w:tabs>
        <w:tab w:val="left" w:pos="907"/>
      </w:tabs>
      <w:spacing w:after="60"/>
      <w:ind w:left="907"/>
    </w:pPr>
  </w:style>
  <w:style w:type="paragraph" w:customStyle="1" w:styleId="BayerSectionHeading">
    <w:name w:val="Bayer Section Heading"/>
    <w:basedOn w:val="Normal"/>
    <w:next w:val="Normal"/>
    <w:rsid w:val="005577E6"/>
    <w:rPr>
      <w:b/>
      <w:sz w:val="28"/>
    </w:rPr>
  </w:style>
  <w:style w:type="paragraph" w:customStyle="1" w:styleId="BayerSubscript">
    <w:name w:val="Bayer Subscript"/>
    <w:basedOn w:val="Normal"/>
    <w:rsid w:val="005577E6"/>
    <w:rPr>
      <w:vertAlign w:val="subscript"/>
    </w:rPr>
  </w:style>
  <w:style w:type="paragraph" w:customStyle="1" w:styleId="BayerSuperscript">
    <w:name w:val="Bayer Superscript"/>
    <w:basedOn w:val="Normal"/>
    <w:rsid w:val="005577E6"/>
    <w:rPr>
      <w:vertAlign w:val="superscript"/>
    </w:rPr>
  </w:style>
  <w:style w:type="paragraph" w:styleId="TOC1">
    <w:name w:val="toc 1"/>
    <w:basedOn w:val="Normal"/>
    <w:next w:val="Normal"/>
    <w:autoRedefine/>
    <w:rsid w:val="00FA72FC"/>
    <w:pPr>
      <w:tabs>
        <w:tab w:val="right" w:leader="dot" w:pos="9356"/>
      </w:tabs>
      <w:ind w:left="425" w:hanging="425"/>
    </w:pPr>
  </w:style>
  <w:style w:type="paragraph" w:customStyle="1" w:styleId="SynopsisLeftColumn">
    <w:name w:val="Synopsis Left Column"/>
    <w:basedOn w:val="Normal"/>
    <w:rsid w:val="00FA72FC"/>
    <w:pPr>
      <w:spacing w:before="120" w:after="120"/>
      <w:jc w:val="right"/>
    </w:pPr>
    <w:rPr>
      <w:b/>
    </w:rPr>
  </w:style>
  <w:style w:type="paragraph" w:customStyle="1" w:styleId="SynopsisRightColumn">
    <w:name w:val="Synopsis Right Column"/>
    <w:basedOn w:val="Normal"/>
    <w:rsid w:val="00FA72FC"/>
    <w:pPr>
      <w:spacing w:before="120" w:after="120"/>
    </w:pPr>
  </w:style>
  <w:style w:type="paragraph" w:styleId="TOC2">
    <w:name w:val="toc 2"/>
    <w:basedOn w:val="TOC1"/>
    <w:next w:val="Normal"/>
    <w:autoRedefine/>
    <w:rsid w:val="00FA72FC"/>
    <w:pPr>
      <w:ind w:left="879" w:hanging="652"/>
    </w:pPr>
  </w:style>
  <w:style w:type="paragraph" w:styleId="TOC3">
    <w:name w:val="toc 3"/>
    <w:basedOn w:val="TOC1"/>
    <w:next w:val="Normal"/>
    <w:autoRedefine/>
    <w:rsid w:val="00FA72FC"/>
    <w:pPr>
      <w:ind w:left="1333" w:hanging="879"/>
    </w:pPr>
  </w:style>
  <w:style w:type="paragraph" w:styleId="TOC4">
    <w:name w:val="toc 4"/>
    <w:basedOn w:val="TOC1"/>
    <w:next w:val="Normal"/>
    <w:autoRedefine/>
    <w:rsid w:val="00FA72FC"/>
    <w:pPr>
      <w:ind w:left="1786" w:hanging="1106"/>
    </w:pPr>
  </w:style>
  <w:style w:type="paragraph" w:styleId="TOC5">
    <w:name w:val="toc 5"/>
    <w:basedOn w:val="TOC1"/>
    <w:next w:val="Normal"/>
    <w:autoRedefine/>
    <w:rsid w:val="00FA72FC"/>
    <w:pPr>
      <w:ind w:left="2239" w:hanging="1332"/>
    </w:pPr>
  </w:style>
  <w:style w:type="paragraph" w:customStyle="1" w:styleId="BayerGuidanceNotes">
    <w:name w:val="Bayer Guidance Notes"/>
    <w:basedOn w:val="Normal"/>
    <w:rsid w:val="005577E6"/>
    <w:rPr>
      <w:i/>
      <w:color w:val="0000FF"/>
    </w:rPr>
  </w:style>
  <w:style w:type="paragraph" w:styleId="CommentText">
    <w:name w:val="annotation text"/>
    <w:basedOn w:val="Normal"/>
    <w:rsid w:val="005577E6"/>
  </w:style>
  <w:style w:type="paragraph" w:styleId="CommentSubject">
    <w:name w:val="annotation subject"/>
    <w:basedOn w:val="CommentText"/>
    <w:next w:val="CommentText"/>
    <w:rsid w:val="005577E6"/>
    <w:rPr>
      <w:b/>
      <w:bCs/>
    </w:rPr>
  </w:style>
  <w:style w:type="paragraph" w:customStyle="1" w:styleId="BayerTableStyleCentered">
    <w:name w:val="Bayer TableStyle Centered"/>
    <w:basedOn w:val="Normal"/>
    <w:rsid w:val="00FA72FC"/>
    <w:pPr>
      <w:keepNext/>
      <w:widowControl w:val="0"/>
      <w:jc w:val="center"/>
    </w:pPr>
  </w:style>
  <w:style w:type="paragraph" w:styleId="BalloonText">
    <w:name w:val="Balloon Text"/>
    <w:basedOn w:val="Normal"/>
    <w:rsid w:val="00FA72FC"/>
    <w:rPr>
      <w:rFonts w:ascii="Tahoma" w:hAnsi="Tahoma" w:cs="Tahoma"/>
      <w:sz w:val="16"/>
      <w:szCs w:val="16"/>
    </w:rPr>
  </w:style>
  <w:style w:type="paragraph" w:customStyle="1" w:styleId="BayerTRDASectionHeading1">
    <w:name w:val="Bayer TRD_A_Section Heading 1"/>
    <w:basedOn w:val="Heading1"/>
    <w:next w:val="BayerBodyTextFull"/>
    <w:rsid w:val="005577E6"/>
    <w:pPr>
      <w:numPr>
        <w:numId w:val="0"/>
      </w:numPr>
      <w:spacing w:before="60" w:after="60"/>
      <w:ind w:left="1134" w:hanging="1134"/>
    </w:pPr>
    <w:rPr>
      <w:sz w:val="24"/>
    </w:rPr>
  </w:style>
  <w:style w:type="paragraph" w:customStyle="1" w:styleId="BayerTRDSource">
    <w:name w:val="Bayer TRD Source"/>
    <w:basedOn w:val="Normal"/>
    <w:next w:val="BayerBodyTextFull"/>
    <w:rsid w:val="005577E6"/>
    <w:pPr>
      <w:spacing w:after="120"/>
      <w:ind w:left="1417" w:hanging="992"/>
    </w:pPr>
    <w:rPr>
      <w:i/>
      <w:sz w:val="22"/>
      <w:szCs w:val="22"/>
    </w:rPr>
  </w:style>
  <w:style w:type="paragraph" w:customStyle="1" w:styleId="BayerTRDASectionHeading3">
    <w:name w:val="Bayer TRD_A_Section Heading 3"/>
    <w:basedOn w:val="BayerTRDASectionHeading1"/>
    <w:next w:val="BayerBodyTextFull"/>
    <w:rsid w:val="00FA72FC"/>
    <w:pPr>
      <w:ind w:left="1559"/>
      <w:outlineLvl w:val="2"/>
    </w:pPr>
    <w:rPr>
      <w:b w:val="0"/>
      <w:szCs w:val="24"/>
    </w:rPr>
  </w:style>
  <w:style w:type="paragraph" w:customStyle="1" w:styleId="BayerTRDASectionHeading4">
    <w:name w:val="Bayer TRD_A_Section Heading 4"/>
    <w:basedOn w:val="BayerTRDASectionHeading1"/>
    <w:next w:val="BayerBodyTextFull"/>
    <w:rsid w:val="00FA72FC"/>
    <w:pPr>
      <w:ind w:left="1701"/>
      <w:outlineLvl w:val="3"/>
    </w:pPr>
    <w:rPr>
      <w:b w:val="0"/>
    </w:rPr>
  </w:style>
  <w:style w:type="paragraph" w:styleId="TOC6">
    <w:name w:val="toc 6"/>
    <w:basedOn w:val="Normal"/>
    <w:next w:val="Normal"/>
    <w:autoRedefine/>
    <w:rsid w:val="00FA72FC"/>
    <w:pPr>
      <w:tabs>
        <w:tab w:val="left" w:pos="2520"/>
        <w:tab w:val="right" w:leader="dot" w:pos="9029"/>
      </w:tabs>
      <w:ind w:left="878"/>
    </w:pPr>
  </w:style>
  <w:style w:type="paragraph" w:styleId="TOC7">
    <w:name w:val="toc 7"/>
    <w:basedOn w:val="Normal"/>
    <w:next w:val="Normal"/>
    <w:autoRedefine/>
    <w:rsid w:val="00FA72FC"/>
    <w:pPr>
      <w:tabs>
        <w:tab w:val="left" w:pos="3067"/>
        <w:tab w:val="right" w:leader="dot" w:pos="9029"/>
      </w:tabs>
      <w:ind w:left="878"/>
    </w:pPr>
  </w:style>
  <w:style w:type="paragraph" w:customStyle="1" w:styleId="BayerTRDASectionHeading5">
    <w:name w:val="Bayer TRD_A_Section Heading 5"/>
    <w:basedOn w:val="BayerTRDASectionHeading1"/>
    <w:next w:val="BayerBodyTextFull"/>
    <w:rsid w:val="00FA72FC"/>
    <w:pPr>
      <w:ind w:left="1701"/>
      <w:outlineLvl w:val="4"/>
    </w:pPr>
    <w:rPr>
      <w:b w:val="0"/>
    </w:rPr>
  </w:style>
  <w:style w:type="table" w:customStyle="1" w:styleId="BayerTableStyle">
    <w:name w:val="Bayer Table Style"/>
    <w:basedOn w:val="TableNormal"/>
    <w:rsid w:val="00FA72FC"/>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Arial" w:hAnsi="Arial"/>
        <w:sz w:val="20"/>
      </w:rPr>
      <w:tblPr/>
      <w:tcPr>
        <w:tcBorders>
          <w:top w:val="single" w:sz="12" w:space="0" w:color="auto"/>
          <w:left w:val="nil"/>
          <w:bottom w:val="single" w:sz="6" w:space="0" w:color="auto"/>
          <w:right w:val="nil"/>
          <w:insideH w:val="nil"/>
          <w:insideV w:val="nil"/>
          <w:tl2br w:val="nil"/>
          <w:tr2bl w:val="nil"/>
        </w:tcBorders>
      </w:tcPr>
    </w:tblStylePr>
    <w:tblStylePr w:type="firstCol">
      <w:pPr>
        <w:jc w:val="left"/>
      </w:pPr>
      <w:rPr>
        <w:rFonts w:ascii="Arial" w:hAnsi="Arial"/>
        <w:sz w:val="20"/>
      </w:rPr>
    </w:tblStylePr>
  </w:style>
  <w:style w:type="paragraph" w:customStyle="1" w:styleId="BayerTableStyleLeftJustified">
    <w:name w:val="Bayer TableStyle Left Justified"/>
    <w:basedOn w:val="Normal"/>
    <w:rsid w:val="00FA72FC"/>
    <w:pPr>
      <w:keepNext/>
      <w:widowControl w:val="0"/>
    </w:pPr>
  </w:style>
  <w:style w:type="paragraph" w:customStyle="1" w:styleId="BayerTableStyleRightJustified">
    <w:name w:val="Bayer TableStyle Right Justified"/>
    <w:rsid w:val="00FA72FC"/>
    <w:pPr>
      <w:keepNext/>
      <w:widowControl w:val="0"/>
      <w:jc w:val="right"/>
    </w:pPr>
    <w:rPr>
      <w:lang w:val="en-US" w:eastAsia="en-US"/>
    </w:rPr>
  </w:style>
  <w:style w:type="paragraph" w:styleId="Caption">
    <w:name w:val="caption"/>
    <w:aliases w:val="Bayer Caption,Bayer Normal Zchn Zchn,NDA,IB Caption,Medical Caption,NDA Char,Bayer Normal Char,Bayer Normal Char Char,Table Caption,Caption-FUSA,Légende eCTD"/>
    <w:basedOn w:val="Normal"/>
    <w:next w:val="Normal"/>
    <w:link w:val="CaptionChar"/>
    <w:qFormat/>
    <w:rsid w:val="00FA72FC"/>
    <w:pPr>
      <w:keepNext/>
      <w:spacing w:before="120" w:after="120"/>
      <w:ind w:left="907"/>
    </w:pPr>
    <w:rPr>
      <w:b/>
    </w:rPr>
  </w:style>
  <w:style w:type="paragraph" w:customStyle="1" w:styleId="BayerSASCaption">
    <w:name w:val="Bayer SAS Caption"/>
    <w:basedOn w:val="Caption"/>
    <w:next w:val="BayerSASMono"/>
    <w:rsid w:val="00FA72FC"/>
    <w:pPr>
      <w:spacing w:before="0" w:after="0"/>
      <w:ind w:left="1814" w:hanging="907"/>
    </w:pPr>
    <w:rPr>
      <w:rFonts w:ascii="SAS Monospace" w:hAnsi="SAS Monospace"/>
      <w:sz w:val="16"/>
    </w:rPr>
  </w:style>
  <w:style w:type="paragraph" w:customStyle="1" w:styleId="BayerSASMono">
    <w:name w:val="Bayer SAS Mono"/>
    <w:basedOn w:val="Normal"/>
    <w:rsid w:val="00FA72FC"/>
    <w:rPr>
      <w:rFonts w:ascii="SAS Monospace" w:hAnsi="SAS Monospace"/>
      <w:sz w:val="16"/>
      <w:szCs w:val="16"/>
    </w:rPr>
  </w:style>
  <w:style w:type="paragraph" w:customStyle="1" w:styleId="Bullet2BayerBodyText">
    <w:name w:val="Bullet_2 Bayer Body Text"/>
    <w:basedOn w:val="BulletBayerBodyText"/>
    <w:next w:val="BayerBodyTextFull"/>
    <w:rsid w:val="004B0FDE"/>
    <w:pPr>
      <w:numPr>
        <w:numId w:val="10"/>
      </w:numPr>
      <w:tabs>
        <w:tab w:val="clear" w:pos="1264"/>
        <w:tab w:val="clear" w:pos="1778"/>
      </w:tabs>
      <w:ind w:left="1440" w:hanging="720"/>
    </w:pPr>
  </w:style>
  <w:style w:type="paragraph" w:styleId="Header">
    <w:name w:val="header"/>
    <w:basedOn w:val="Normal"/>
    <w:rsid w:val="005577E6"/>
    <w:pPr>
      <w:tabs>
        <w:tab w:val="center" w:pos="4536"/>
        <w:tab w:val="right" w:pos="9072"/>
      </w:tabs>
    </w:pPr>
  </w:style>
  <w:style w:type="paragraph" w:styleId="Footer">
    <w:name w:val="footer"/>
    <w:basedOn w:val="Normal"/>
    <w:link w:val="FooterChar"/>
    <w:uiPriority w:val="99"/>
    <w:rsid w:val="005577E6"/>
    <w:pPr>
      <w:tabs>
        <w:tab w:val="center" w:pos="4536"/>
        <w:tab w:val="right" w:pos="9072"/>
      </w:tabs>
    </w:pPr>
  </w:style>
  <w:style w:type="character" w:styleId="PageNumber">
    <w:name w:val="page number"/>
    <w:rsid w:val="009340BE"/>
  </w:style>
  <w:style w:type="character" w:customStyle="1" w:styleId="Heading4Char">
    <w:name w:val="Heading 4 Char"/>
    <w:aliases w:val="Bayer-Heading 4 Char"/>
    <w:link w:val="Heading4"/>
    <w:uiPriority w:val="9"/>
    <w:rsid w:val="005E1570"/>
    <w:rPr>
      <w:b/>
      <w:kern w:val="28"/>
      <w:sz w:val="26"/>
      <w:lang w:eastAsia="en-AU"/>
    </w:rPr>
  </w:style>
  <w:style w:type="numbering" w:styleId="111111">
    <w:name w:val="Outline List 2"/>
    <w:basedOn w:val="NoList"/>
    <w:rsid w:val="005577E6"/>
    <w:pPr>
      <w:numPr>
        <w:numId w:val="20"/>
      </w:numPr>
    </w:pPr>
  </w:style>
  <w:style w:type="numbering" w:styleId="1ai">
    <w:name w:val="Outline List 1"/>
    <w:basedOn w:val="NoList"/>
    <w:rsid w:val="005577E6"/>
    <w:pPr>
      <w:numPr>
        <w:numId w:val="21"/>
      </w:numPr>
    </w:pPr>
  </w:style>
  <w:style w:type="numbering" w:styleId="ArticleSection">
    <w:name w:val="Outline List 3"/>
    <w:basedOn w:val="NoList"/>
    <w:rsid w:val="005577E6"/>
    <w:pPr>
      <w:numPr>
        <w:numId w:val="22"/>
      </w:numPr>
    </w:pPr>
  </w:style>
  <w:style w:type="paragraph" w:styleId="BlockText">
    <w:name w:val="Block Text"/>
    <w:basedOn w:val="Normal"/>
    <w:rsid w:val="005577E6"/>
    <w:pPr>
      <w:spacing w:after="120"/>
      <w:ind w:left="1440" w:right="1440"/>
    </w:pPr>
  </w:style>
  <w:style w:type="paragraph" w:styleId="BodyText">
    <w:name w:val="Body Text"/>
    <w:basedOn w:val="Normal"/>
    <w:link w:val="BodyTextChar"/>
    <w:rsid w:val="005577E6"/>
    <w:pPr>
      <w:spacing w:after="120"/>
    </w:pPr>
  </w:style>
  <w:style w:type="character" w:customStyle="1" w:styleId="BodyTextChar">
    <w:name w:val="Body Text Char"/>
    <w:link w:val="BodyText"/>
    <w:rsid w:val="005577E6"/>
    <w:rPr>
      <w:rFonts w:ascii="Arial" w:hAnsi="Arial"/>
      <w:sz w:val="24"/>
      <w:lang w:val="en-US" w:eastAsia="en-US"/>
    </w:rPr>
  </w:style>
  <w:style w:type="paragraph" w:styleId="BodyText2">
    <w:name w:val="Body Text 2"/>
    <w:basedOn w:val="Normal"/>
    <w:link w:val="BodyText2Char"/>
    <w:rsid w:val="005577E6"/>
    <w:pPr>
      <w:spacing w:after="120" w:line="480" w:lineRule="auto"/>
    </w:pPr>
  </w:style>
  <w:style w:type="character" w:customStyle="1" w:styleId="BodyText2Char">
    <w:name w:val="Body Text 2 Char"/>
    <w:link w:val="BodyText2"/>
    <w:rsid w:val="005577E6"/>
    <w:rPr>
      <w:rFonts w:ascii="Arial" w:hAnsi="Arial"/>
      <w:sz w:val="24"/>
      <w:lang w:val="en-US" w:eastAsia="en-US"/>
    </w:rPr>
  </w:style>
  <w:style w:type="paragraph" w:styleId="BodyText3">
    <w:name w:val="Body Text 3"/>
    <w:basedOn w:val="Normal"/>
    <w:link w:val="BodyText3Char"/>
    <w:rsid w:val="005577E6"/>
    <w:pPr>
      <w:spacing w:after="120"/>
    </w:pPr>
    <w:rPr>
      <w:sz w:val="16"/>
      <w:szCs w:val="16"/>
    </w:rPr>
  </w:style>
  <w:style w:type="character" w:customStyle="1" w:styleId="BodyText3Char">
    <w:name w:val="Body Text 3 Char"/>
    <w:link w:val="BodyText3"/>
    <w:rsid w:val="005577E6"/>
    <w:rPr>
      <w:rFonts w:ascii="Arial" w:hAnsi="Arial"/>
      <w:sz w:val="16"/>
      <w:szCs w:val="16"/>
      <w:lang w:val="en-US" w:eastAsia="en-US"/>
    </w:rPr>
  </w:style>
  <w:style w:type="paragraph" w:styleId="BodyTextFirstIndent">
    <w:name w:val="Body Text First Indent"/>
    <w:basedOn w:val="BodyText"/>
    <w:link w:val="BodyTextFirstIndentChar"/>
    <w:rsid w:val="005577E6"/>
    <w:pPr>
      <w:ind w:firstLine="210"/>
    </w:pPr>
  </w:style>
  <w:style w:type="character" w:customStyle="1" w:styleId="BodyTextFirstIndentChar">
    <w:name w:val="Body Text First Indent Char"/>
    <w:link w:val="BodyTextFirstIndent"/>
    <w:rsid w:val="005577E6"/>
    <w:rPr>
      <w:rFonts w:ascii="Arial" w:hAnsi="Arial"/>
      <w:sz w:val="24"/>
      <w:lang w:val="en-US" w:eastAsia="en-US"/>
    </w:rPr>
  </w:style>
  <w:style w:type="paragraph" w:styleId="BodyTextIndent">
    <w:name w:val="Body Text Indent"/>
    <w:basedOn w:val="Normal"/>
    <w:link w:val="BodyTextIndentChar"/>
    <w:rsid w:val="005577E6"/>
    <w:pPr>
      <w:spacing w:after="120"/>
      <w:ind w:left="283"/>
    </w:pPr>
  </w:style>
  <w:style w:type="character" w:customStyle="1" w:styleId="BodyTextIndentChar">
    <w:name w:val="Body Text Indent Char"/>
    <w:link w:val="BodyTextIndent"/>
    <w:rsid w:val="005577E6"/>
    <w:rPr>
      <w:rFonts w:ascii="Arial" w:hAnsi="Arial"/>
      <w:sz w:val="24"/>
      <w:lang w:val="en-US" w:eastAsia="en-US"/>
    </w:rPr>
  </w:style>
  <w:style w:type="paragraph" w:styleId="BodyTextFirstIndent2">
    <w:name w:val="Body Text First Indent 2"/>
    <w:basedOn w:val="BodyTextIndent"/>
    <w:link w:val="BodyTextFirstIndent2Char"/>
    <w:rsid w:val="005577E6"/>
    <w:pPr>
      <w:ind w:firstLine="210"/>
    </w:pPr>
  </w:style>
  <w:style w:type="character" w:customStyle="1" w:styleId="BodyTextFirstIndent2Char">
    <w:name w:val="Body Text First Indent 2 Char"/>
    <w:link w:val="BodyTextFirstIndent2"/>
    <w:rsid w:val="005577E6"/>
    <w:rPr>
      <w:rFonts w:ascii="Arial" w:hAnsi="Arial"/>
      <w:sz w:val="24"/>
      <w:lang w:val="en-US" w:eastAsia="en-US"/>
    </w:rPr>
  </w:style>
  <w:style w:type="paragraph" w:styleId="BodyTextIndent2">
    <w:name w:val="Body Text Indent 2"/>
    <w:basedOn w:val="Normal"/>
    <w:link w:val="BodyTextIndent2Char"/>
    <w:rsid w:val="005577E6"/>
    <w:pPr>
      <w:spacing w:after="120" w:line="480" w:lineRule="auto"/>
      <w:ind w:left="283"/>
    </w:pPr>
  </w:style>
  <w:style w:type="character" w:customStyle="1" w:styleId="BodyTextIndent2Char">
    <w:name w:val="Body Text Indent 2 Char"/>
    <w:link w:val="BodyTextIndent2"/>
    <w:rsid w:val="005577E6"/>
    <w:rPr>
      <w:rFonts w:ascii="Arial" w:hAnsi="Arial"/>
      <w:sz w:val="24"/>
      <w:lang w:val="en-US" w:eastAsia="en-US"/>
    </w:rPr>
  </w:style>
  <w:style w:type="paragraph" w:styleId="BodyTextIndent3">
    <w:name w:val="Body Text Indent 3"/>
    <w:basedOn w:val="Normal"/>
    <w:link w:val="BodyTextIndent3Char"/>
    <w:rsid w:val="005577E6"/>
    <w:pPr>
      <w:spacing w:after="120"/>
      <w:ind w:left="283"/>
    </w:pPr>
    <w:rPr>
      <w:sz w:val="16"/>
      <w:szCs w:val="16"/>
    </w:rPr>
  </w:style>
  <w:style w:type="character" w:customStyle="1" w:styleId="BodyTextIndent3Char">
    <w:name w:val="Body Text Indent 3 Char"/>
    <w:link w:val="BodyTextIndent3"/>
    <w:rsid w:val="005577E6"/>
    <w:rPr>
      <w:rFonts w:ascii="Arial" w:hAnsi="Arial"/>
      <w:sz w:val="16"/>
      <w:szCs w:val="16"/>
      <w:lang w:val="en-US" w:eastAsia="en-US"/>
    </w:rPr>
  </w:style>
  <w:style w:type="paragraph" w:styleId="Closing">
    <w:name w:val="Closing"/>
    <w:basedOn w:val="Normal"/>
    <w:link w:val="ClosingChar"/>
    <w:rsid w:val="005577E6"/>
    <w:pPr>
      <w:ind w:left="4252"/>
    </w:pPr>
  </w:style>
  <w:style w:type="character" w:customStyle="1" w:styleId="ClosingChar">
    <w:name w:val="Closing Char"/>
    <w:link w:val="Closing"/>
    <w:rsid w:val="005577E6"/>
    <w:rPr>
      <w:rFonts w:ascii="Arial" w:hAnsi="Arial"/>
      <w:sz w:val="24"/>
      <w:lang w:val="en-US" w:eastAsia="en-US"/>
    </w:rPr>
  </w:style>
  <w:style w:type="paragraph" w:styleId="Date">
    <w:name w:val="Date"/>
    <w:basedOn w:val="Normal"/>
    <w:next w:val="Normal"/>
    <w:link w:val="DateChar"/>
    <w:rsid w:val="005577E6"/>
  </w:style>
  <w:style w:type="character" w:customStyle="1" w:styleId="DateChar">
    <w:name w:val="Date Char"/>
    <w:link w:val="Date"/>
    <w:rsid w:val="005577E6"/>
    <w:rPr>
      <w:rFonts w:ascii="Arial" w:hAnsi="Arial"/>
      <w:sz w:val="24"/>
      <w:lang w:val="en-US" w:eastAsia="en-US"/>
    </w:rPr>
  </w:style>
  <w:style w:type="paragraph" w:styleId="E-mailSignature">
    <w:name w:val="E-mail Signature"/>
    <w:basedOn w:val="Normal"/>
    <w:link w:val="E-mailSignatureChar"/>
    <w:rsid w:val="005577E6"/>
  </w:style>
  <w:style w:type="character" w:customStyle="1" w:styleId="E-mailSignatureChar">
    <w:name w:val="E-mail Signature Char"/>
    <w:link w:val="E-mailSignature"/>
    <w:rsid w:val="005577E6"/>
    <w:rPr>
      <w:rFonts w:ascii="Arial" w:hAnsi="Arial"/>
      <w:sz w:val="24"/>
      <w:lang w:val="en-US" w:eastAsia="en-US"/>
    </w:rPr>
  </w:style>
  <w:style w:type="character" w:styleId="Emphasis">
    <w:name w:val="Emphasis"/>
    <w:qFormat/>
    <w:rsid w:val="005577E6"/>
    <w:rPr>
      <w:rFonts w:ascii="Arial" w:hAnsi="Arial"/>
      <w:i/>
      <w:iCs/>
    </w:rPr>
  </w:style>
  <w:style w:type="character" w:styleId="EndnoteReference">
    <w:name w:val="endnote reference"/>
    <w:rsid w:val="005577E6"/>
    <w:rPr>
      <w:rFonts w:ascii="Arial" w:hAnsi="Arial"/>
      <w:vertAlign w:val="superscript"/>
    </w:rPr>
  </w:style>
  <w:style w:type="paragraph" w:styleId="EndnoteText">
    <w:name w:val="endnote text"/>
    <w:basedOn w:val="Normal"/>
    <w:link w:val="EndnoteTextChar"/>
    <w:rsid w:val="005577E6"/>
  </w:style>
  <w:style w:type="character" w:customStyle="1" w:styleId="EndnoteTextChar">
    <w:name w:val="Endnote Text Char"/>
    <w:link w:val="EndnoteText"/>
    <w:rsid w:val="005577E6"/>
    <w:rPr>
      <w:rFonts w:ascii="Arial" w:hAnsi="Arial"/>
      <w:lang w:val="en-US" w:eastAsia="en-US"/>
    </w:rPr>
  </w:style>
  <w:style w:type="paragraph" w:styleId="EnvelopeAddress">
    <w:name w:val="envelope address"/>
    <w:basedOn w:val="Normal"/>
    <w:rsid w:val="005577E6"/>
    <w:pPr>
      <w:framePr w:w="7920" w:h="1980" w:hRule="exact" w:hSpace="180" w:wrap="auto" w:hAnchor="page" w:xAlign="center" w:yAlign="bottom"/>
      <w:ind w:left="2880"/>
    </w:pPr>
    <w:rPr>
      <w:rFonts w:ascii="Cambria" w:hAnsi="Cambria"/>
      <w:szCs w:val="24"/>
    </w:rPr>
  </w:style>
  <w:style w:type="character" w:styleId="FollowedHyperlink">
    <w:name w:val="FollowedHyperlink"/>
    <w:rsid w:val="005577E6"/>
    <w:rPr>
      <w:rFonts w:ascii="Arial" w:hAnsi="Arial"/>
      <w:color w:val="800080"/>
      <w:u w:val="single"/>
    </w:rPr>
  </w:style>
  <w:style w:type="character" w:styleId="FootnoteReference">
    <w:name w:val="footnote reference"/>
    <w:uiPriority w:val="99"/>
    <w:rsid w:val="005577E6"/>
    <w:rPr>
      <w:rFonts w:ascii="Arial" w:hAnsi="Arial"/>
      <w:vertAlign w:val="superscript"/>
    </w:rPr>
  </w:style>
  <w:style w:type="paragraph" w:styleId="FootnoteText">
    <w:name w:val="footnote text"/>
    <w:basedOn w:val="Normal"/>
    <w:link w:val="FootnoteTextChar"/>
    <w:uiPriority w:val="99"/>
    <w:rsid w:val="005577E6"/>
  </w:style>
  <w:style w:type="character" w:customStyle="1" w:styleId="FootnoteTextChar">
    <w:name w:val="Footnote Text Char"/>
    <w:link w:val="FootnoteText"/>
    <w:uiPriority w:val="99"/>
    <w:rsid w:val="005577E6"/>
    <w:rPr>
      <w:rFonts w:ascii="Arial" w:hAnsi="Arial"/>
      <w:lang w:val="en-US" w:eastAsia="en-US"/>
    </w:rPr>
  </w:style>
  <w:style w:type="character" w:styleId="HTMLAcronym">
    <w:name w:val="HTML Acronym"/>
    <w:rsid w:val="005577E6"/>
    <w:rPr>
      <w:rFonts w:ascii="Arial" w:hAnsi="Arial"/>
    </w:rPr>
  </w:style>
  <w:style w:type="paragraph" w:styleId="HTMLAddress">
    <w:name w:val="HTML Address"/>
    <w:basedOn w:val="Normal"/>
    <w:link w:val="HTMLAddressChar"/>
    <w:rsid w:val="005577E6"/>
    <w:rPr>
      <w:i/>
      <w:iCs/>
    </w:rPr>
  </w:style>
  <w:style w:type="character" w:customStyle="1" w:styleId="HTMLAddressChar">
    <w:name w:val="HTML Address Char"/>
    <w:link w:val="HTMLAddress"/>
    <w:rsid w:val="005577E6"/>
    <w:rPr>
      <w:rFonts w:ascii="Arial" w:hAnsi="Arial"/>
      <w:i/>
      <w:iCs/>
      <w:sz w:val="24"/>
      <w:lang w:val="en-US" w:eastAsia="en-US"/>
    </w:rPr>
  </w:style>
  <w:style w:type="character" w:styleId="HTMLCite">
    <w:name w:val="HTML Cite"/>
    <w:rsid w:val="005577E6"/>
    <w:rPr>
      <w:rFonts w:ascii="Arial" w:hAnsi="Arial"/>
      <w:i/>
      <w:iCs/>
    </w:rPr>
  </w:style>
  <w:style w:type="character" w:styleId="HTMLDefinition">
    <w:name w:val="HTML Definition"/>
    <w:rsid w:val="005577E6"/>
    <w:rPr>
      <w:rFonts w:ascii="Arial" w:hAnsi="Arial"/>
      <w:i/>
      <w:iCs/>
    </w:rPr>
  </w:style>
  <w:style w:type="character" w:styleId="Hyperlink">
    <w:name w:val="Hyperlink"/>
    <w:rsid w:val="005577E6"/>
    <w:rPr>
      <w:rFonts w:ascii="Arial" w:hAnsi="Arial"/>
      <w:color w:val="0000FF"/>
      <w:u w:val="single"/>
    </w:rPr>
  </w:style>
  <w:style w:type="paragraph" w:styleId="Index1">
    <w:name w:val="index 1"/>
    <w:basedOn w:val="Normal"/>
    <w:next w:val="Normal"/>
    <w:autoRedefine/>
    <w:rsid w:val="005577E6"/>
    <w:pPr>
      <w:ind w:left="240" w:hanging="240"/>
    </w:pPr>
  </w:style>
  <w:style w:type="paragraph" w:styleId="Index2">
    <w:name w:val="index 2"/>
    <w:basedOn w:val="Normal"/>
    <w:next w:val="Normal"/>
    <w:autoRedefine/>
    <w:rsid w:val="005577E6"/>
    <w:pPr>
      <w:ind w:left="480" w:hanging="240"/>
    </w:pPr>
  </w:style>
  <w:style w:type="character" w:customStyle="1" w:styleId="BayerBodyTextFullZchn">
    <w:name w:val="Bayer Body Text Full Zchn"/>
    <w:link w:val="BayerBodyTextFull"/>
    <w:uiPriority w:val="99"/>
    <w:rsid w:val="009421D5"/>
    <w:rPr>
      <w:lang w:eastAsia="en-AU"/>
    </w:rPr>
  </w:style>
  <w:style w:type="character" w:customStyle="1" w:styleId="BayerBibliographyZchn">
    <w:name w:val="Bayer Bibliography Zchn"/>
    <w:link w:val="BayerBibliography"/>
    <w:rsid w:val="007D5332"/>
    <w:rPr>
      <w:lang w:eastAsia="en-AU"/>
    </w:rPr>
  </w:style>
  <w:style w:type="character" w:customStyle="1" w:styleId="BayerTableFootnoteZchn">
    <w:name w:val="Bayer Table Footnote Zchn"/>
    <w:link w:val="BayerTableFootnote"/>
    <w:locked/>
    <w:rsid w:val="00C16D73"/>
    <w:rPr>
      <w:lang w:val="en-US" w:eastAsia="en-US"/>
    </w:rPr>
  </w:style>
  <w:style w:type="character" w:customStyle="1" w:styleId="FooterChar">
    <w:name w:val="Footer Char"/>
    <w:link w:val="Footer"/>
    <w:uiPriority w:val="99"/>
    <w:rsid w:val="0041516E"/>
    <w:rPr>
      <w:lang w:eastAsia="en-AU"/>
    </w:rPr>
  </w:style>
  <w:style w:type="character" w:customStyle="1" w:styleId="CaptionChar">
    <w:name w:val="Caption Char"/>
    <w:aliases w:val="Bayer Caption Char,Bayer Normal Zchn Zchn Char,NDA Char1,IB Caption Char,Medical Caption Char,NDA Char Char,Bayer Normal Char Char1,Bayer Normal Char Char Char,Table Caption Char,Caption-FUSA Char,Légende eCTD Char"/>
    <w:link w:val="Caption"/>
    <w:locked/>
    <w:rsid w:val="003D7122"/>
    <w:rPr>
      <w:b/>
      <w:lang w:eastAsia="en-AU"/>
    </w:rPr>
  </w:style>
  <w:style w:type="paragraph" w:customStyle="1" w:styleId="Body">
    <w:name w:val="Body"/>
    <w:basedOn w:val="Normal"/>
    <w:qFormat/>
    <w:rsid w:val="003D7122"/>
    <w:pPr>
      <w:spacing w:after="110"/>
    </w:pPr>
    <w:rPr>
      <w:rFonts w:ascii="Times New Roman" w:eastAsia="Calibri" w:hAnsi="Times New Roman"/>
      <w:sz w:val="22"/>
      <w:szCs w:val="22"/>
      <w:lang w:val="en-US" w:eastAsia="ja-JP"/>
    </w:rPr>
  </w:style>
  <w:style w:type="table" w:styleId="TableGrid">
    <w:name w:val="Table Grid"/>
    <w:basedOn w:val="TableNormal"/>
    <w:rsid w:val="00D65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07AFD"/>
  </w:style>
  <w:style w:type="paragraph" w:customStyle="1" w:styleId="TableColumnHeadingCentre">
    <w:name w:val="Table Column Heading Centre"/>
    <w:basedOn w:val="Normal"/>
    <w:rsid w:val="00656C33"/>
    <w:pPr>
      <w:jc w:val="center"/>
    </w:pPr>
    <w:rPr>
      <w:rFonts w:ascii="Times New Roman" w:hAnsi="Times New Roman"/>
      <w:b/>
      <w:szCs w:val="24"/>
      <w:lang w:val="en-CA" w:eastAsia="en-US"/>
    </w:rPr>
  </w:style>
  <w:style w:type="paragraph" w:customStyle="1" w:styleId="TableRowHeadingLeft">
    <w:name w:val="Table Row Heading Left"/>
    <w:basedOn w:val="Normal"/>
    <w:rsid w:val="00656C33"/>
    <w:rPr>
      <w:rFonts w:ascii="Times New Roman" w:hAnsi="Times New Roman"/>
      <w:szCs w:val="24"/>
      <w:lang w:val="en-CA" w:eastAsia="en-US"/>
    </w:rPr>
  </w:style>
  <w:style w:type="paragraph" w:customStyle="1" w:styleId="TableDataCentre">
    <w:name w:val="Table Data Centre"/>
    <w:basedOn w:val="TableRowHeadingLeft"/>
    <w:rsid w:val="00656C33"/>
    <w:pPr>
      <w:jc w:val="center"/>
    </w:pPr>
  </w:style>
  <w:style w:type="paragraph" w:customStyle="1" w:styleId="TableStyleFootnote">
    <w:name w:val="Table Style Footnote"/>
    <w:basedOn w:val="Normal"/>
    <w:rsid w:val="00656C33"/>
    <w:pPr>
      <w:keepNext/>
      <w:widowControl w:val="0"/>
      <w:ind w:left="360" w:hanging="360"/>
    </w:pPr>
    <w:rPr>
      <w:rFonts w:ascii="Times New Roman" w:hAnsi="Times New Roman"/>
      <w:lang w:val="en-US" w:eastAsia="en-US"/>
    </w:rPr>
  </w:style>
  <w:style w:type="paragraph" w:customStyle="1" w:styleId="TableStyleColumnHeadings">
    <w:name w:val="Table Style Column Headings"/>
    <w:basedOn w:val="Normal"/>
    <w:rsid w:val="00713990"/>
    <w:pPr>
      <w:jc w:val="center"/>
    </w:pPr>
    <w:rPr>
      <w:rFonts w:ascii="Times New Roman Bold" w:hAnsi="Times New Roman Bold"/>
      <w:b/>
      <w:lang w:val="en-US" w:eastAsia="en-US"/>
    </w:rPr>
  </w:style>
  <w:style w:type="paragraph" w:styleId="NormalWeb">
    <w:name w:val="Normal (Web)"/>
    <w:basedOn w:val="Normal"/>
    <w:uiPriority w:val="99"/>
    <w:unhideWhenUsed/>
    <w:rsid w:val="00BB7F75"/>
    <w:pPr>
      <w:spacing w:before="100" w:beforeAutospacing="1" w:after="100" w:afterAutospacing="1"/>
    </w:pPr>
    <w:rPr>
      <w:rFonts w:ascii="Times New Roman" w:hAnsi="Times New Roman"/>
      <w:sz w:val="24"/>
      <w:szCs w:val="24"/>
      <w:lang w:val="de-DE" w:eastAsia="de-DE"/>
    </w:rPr>
  </w:style>
  <w:style w:type="table" w:customStyle="1" w:styleId="TableGrid1">
    <w:name w:val="Table Grid1"/>
    <w:basedOn w:val="TableNormal"/>
    <w:next w:val="TableGrid"/>
    <w:uiPriority w:val="59"/>
    <w:rsid w:val="00AF61BF"/>
    <w:rPr>
      <w:rFonts w:ascii="Cambria" w:eastAsia="Cambria" w:hAnsi="Cambria"/>
      <w:sz w:val="22"/>
      <w:szCs w:val="22"/>
      <w:lang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4095">
      <w:bodyDiv w:val="1"/>
      <w:marLeft w:val="0"/>
      <w:marRight w:val="0"/>
      <w:marTop w:val="0"/>
      <w:marBottom w:val="0"/>
      <w:divBdr>
        <w:top w:val="none" w:sz="0" w:space="0" w:color="auto"/>
        <w:left w:val="none" w:sz="0" w:space="0" w:color="auto"/>
        <w:bottom w:val="none" w:sz="0" w:space="0" w:color="auto"/>
        <w:right w:val="none" w:sz="0" w:space="0" w:color="auto"/>
      </w:divBdr>
    </w:div>
    <w:div w:id="216286798">
      <w:bodyDiv w:val="1"/>
      <w:marLeft w:val="0"/>
      <w:marRight w:val="0"/>
      <w:marTop w:val="0"/>
      <w:marBottom w:val="0"/>
      <w:divBdr>
        <w:top w:val="none" w:sz="0" w:space="0" w:color="auto"/>
        <w:left w:val="none" w:sz="0" w:space="0" w:color="auto"/>
        <w:bottom w:val="none" w:sz="0" w:space="0" w:color="auto"/>
        <w:right w:val="none" w:sz="0" w:space="0" w:color="auto"/>
      </w:divBdr>
    </w:div>
    <w:div w:id="309990727">
      <w:bodyDiv w:val="1"/>
      <w:marLeft w:val="0"/>
      <w:marRight w:val="0"/>
      <w:marTop w:val="0"/>
      <w:marBottom w:val="0"/>
      <w:divBdr>
        <w:top w:val="none" w:sz="0" w:space="0" w:color="auto"/>
        <w:left w:val="none" w:sz="0" w:space="0" w:color="auto"/>
        <w:bottom w:val="none" w:sz="0" w:space="0" w:color="auto"/>
        <w:right w:val="none" w:sz="0" w:space="0" w:color="auto"/>
      </w:divBdr>
    </w:div>
    <w:div w:id="310408124">
      <w:bodyDiv w:val="1"/>
      <w:marLeft w:val="0"/>
      <w:marRight w:val="0"/>
      <w:marTop w:val="0"/>
      <w:marBottom w:val="0"/>
      <w:divBdr>
        <w:top w:val="none" w:sz="0" w:space="0" w:color="auto"/>
        <w:left w:val="none" w:sz="0" w:space="0" w:color="auto"/>
        <w:bottom w:val="none" w:sz="0" w:space="0" w:color="auto"/>
        <w:right w:val="none" w:sz="0" w:space="0" w:color="auto"/>
      </w:divBdr>
    </w:div>
    <w:div w:id="318074366">
      <w:bodyDiv w:val="1"/>
      <w:marLeft w:val="0"/>
      <w:marRight w:val="0"/>
      <w:marTop w:val="0"/>
      <w:marBottom w:val="0"/>
      <w:divBdr>
        <w:top w:val="none" w:sz="0" w:space="0" w:color="auto"/>
        <w:left w:val="none" w:sz="0" w:space="0" w:color="auto"/>
        <w:bottom w:val="none" w:sz="0" w:space="0" w:color="auto"/>
        <w:right w:val="none" w:sz="0" w:space="0" w:color="auto"/>
      </w:divBdr>
      <w:divsChild>
        <w:div w:id="1175345209">
          <w:marLeft w:val="0"/>
          <w:marRight w:val="0"/>
          <w:marTop w:val="0"/>
          <w:marBottom w:val="0"/>
          <w:divBdr>
            <w:top w:val="none" w:sz="0" w:space="0" w:color="auto"/>
            <w:left w:val="none" w:sz="0" w:space="0" w:color="auto"/>
            <w:bottom w:val="none" w:sz="0" w:space="0" w:color="auto"/>
            <w:right w:val="none" w:sz="0" w:space="0" w:color="auto"/>
          </w:divBdr>
          <w:divsChild>
            <w:div w:id="18932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4023">
      <w:bodyDiv w:val="1"/>
      <w:marLeft w:val="0"/>
      <w:marRight w:val="0"/>
      <w:marTop w:val="0"/>
      <w:marBottom w:val="0"/>
      <w:divBdr>
        <w:top w:val="none" w:sz="0" w:space="0" w:color="auto"/>
        <w:left w:val="none" w:sz="0" w:space="0" w:color="auto"/>
        <w:bottom w:val="none" w:sz="0" w:space="0" w:color="auto"/>
        <w:right w:val="none" w:sz="0" w:space="0" w:color="auto"/>
      </w:divBdr>
    </w:div>
    <w:div w:id="467013344">
      <w:bodyDiv w:val="1"/>
      <w:marLeft w:val="0"/>
      <w:marRight w:val="0"/>
      <w:marTop w:val="0"/>
      <w:marBottom w:val="0"/>
      <w:divBdr>
        <w:top w:val="none" w:sz="0" w:space="0" w:color="auto"/>
        <w:left w:val="none" w:sz="0" w:space="0" w:color="auto"/>
        <w:bottom w:val="none" w:sz="0" w:space="0" w:color="auto"/>
        <w:right w:val="none" w:sz="0" w:space="0" w:color="auto"/>
      </w:divBdr>
      <w:divsChild>
        <w:div w:id="1772774968">
          <w:marLeft w:val="0"/>
          <w:marRight w:val="0"/>
          <w:marTop w:val="0"/>
          <w:marBottom w:val="0"/>
          <w:divBdr>
            <w:top w:val="none" w:sz="0" w:space="0" w:color="auto"/>
            <w:left w:val="none" w:sz="0" w:space="0" w:color="auto"/>
            <w:bottom w:val="none" w:sz="0" w:space="0" w:color="auto"/>
            <w:right w:val="none" w:sz="0" w:space="0" w:color="auto"/>
          </w:divBdr>
          <w:divsChild>
            <w:div w:id="91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6573">
      <w:bodyDiv w:val="1"/>
      <w:marLeft w:val="0"/>
      <w:marRight w:val="0"/>
      <w:marTop w:val="0"/>
      <w:marBottom w:val="0"/>
      <w:divBdr>
        <w:top w:val="none" w:sz="0" w:space="0" w:color="auto"/>
        <w:left w:val="none" w:sz="0" w:space="0" w:color="auto"/>
        <w:bottom w:val="none" w:sz="0" w:space="0" w:color="auto"/>
        <w:right w:val="none" w:sz="0" w:space="0" w:color="auto"/>
      </w:divBdr>
    </w:div>
    <w:div w:id="696850715">
      <w:bodyDiv w:val="1"/>
      <w:marLeft w:val="0"/>
      <w:marRight w:val="0"/>
      <w:marTop w:val="0"/>
      <w:marBottom w:val="0"/>
      <w:divBdr>
        <w:top w:val="none" w:sz="0" w:space="0" w:color="auto"/>
        <w:left w:val="none" w:sz="0" w:space="0" w:color="auto"/>
        <w:bottom w:val="none" w:sz="0" w:space="0" w:color="auto"/>
        <w:right w:val="none" w:sz="0" w:space="0" w:color="auto"/>
      </w:divBdr>
    </w:div>
    <w:div w:id="750809772">
      <w:bodyDiv w:val="1"/>
      <w:marLeft w:val="0"/>
      <w:marRight w:val="0"/>
      <w:marTop w:val="0"/>
      <w:marBottom w:val="0"/>
      <w:divBdr>
        <w:top w:val="none" w:sz="0" w:space="0" w:color="auto"/>
        <w:left w:val="none" w:sz="0" w:space="0" w:color="auto"/>
        <w:bottom w:val="none" w:sz="0" w:space="0" w:color="auto"/>
        <w:right w:val="none" w:sz="0" w:space="0" w:color="auto"/>
      </w:divBdr>
      <w:divsChild>
        <w:div w:id="1281910759">
          <w:marLeft w:val="0"/>
          <w:marRight w:val="0"/>
          <w:marTop w:val="0"/>
          <w:marBottom w:val="0"/>
          <w:divBdr>
            <w:top w:val="none" w:sz="0" w:space="0" w:color="auto"/>
            <w:left w:val="none" w:sz="0" w:space="0" w:color="auto"/>
            <w:bottom w:val="none" w:sz="0" w:space="0" w:color="auto"/>
            <w:right w:val="none" w:sz="0" w:space="0" w:color="auto"/>
          </w:divBdr>
          <w:divsChild>
            <w:div w:id="19538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57118">
      <w:bodyDiv w:val="1"/>
      <w:marLeft w:val="0"/>
      <w:marRight w:val="0"/>
      <w:marTop w:val="0"/>
      <w:marBottom w:val="0"/>
      <w:divBdr>
        <w:top w:val="none" w:sz="0" w:space="0" w:color="auto"/>
        <w:left w:val="none" w:sz="0" w:space="0" w:color="auto"/>
        <w:bottom w:val="none" w:sz="0" w:space="0" w:color="auto"/>
        <w:right w:val="none" w:sz="0" w:space="0" w:color="auto"/>
      </w:divBdr>
    </w:div>
    <w:div w:id="800540892">
      <w:bodyDiv w:val="1"/>
      <w:marLeft w:val="0"/>
      <w:marRight w:val="0"/>
      <w:marTop w:val="0"/>
      <w:marBottom w:val="0"/>
      <w:divBdr>
        <w:top w:val="none" w:sz="0" w:space="0" w:color="auto"/>
        <w:left w:val="none" w:sz="0" w:space="0" w:color="auto"/>
        <w:bottom w:val="none" w:sz="0" w:space="0" w:color="auto"/>
        <w:right w:val="none" w:sz="0" w:space="0" w:color="auto"/>
      </w:divBdr>
      <w:divsChild>
        <w:div w:id="1853490281">
          <w:marLeft w:val="0"/>
          <w:marRight w:val="0"/>
          <w:marTop w:val="0"/>
          <w:marBottom w:val="0"/>
          <w:divBdr>
            <w:top w:val="none" w:sz="0" w:space="0" w:color="auto"/>
            <w:left w:val="none" w:sz="0" w:space="0" w:color="auto"/>
            <w:bottom w:val="none" w:sz="0" w:space="0" w:color="auto"/>
            <w:right w:val="none" w:sz="0" w:space="0" w:color="auto"/>
          </w:divBdr>
          <w:divsChild>
            <w:div w:id="16247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689">
      <w:bodyDiv w:val="1"/>
      <w:marLeft w:val="0"/>
      <w:marRight w:val="0"/>
      <w:marTop w:val="0"/>
      <w:marBottom w:val="0"/>
      <w:divBdr>
        <w:top w:val="none" w:sz="0" w:space="0" w:color="auto"/>
        <w:left w:val="none" w:sz="0" w:space="0" w:color="auto"/>
        <w:bottom w:val="none" w:sz="0" w:space="0" w:color="auto"/>
        <w:right w:val="none" w:sz="0" w:space="0" w:color="auto"/>
      </w:divBdr>
      <w:divsChild>
        <w:div w:id="1290625436">
          <w:marLeft w:val="0"/>
          <w:marRight w:val="0"/>
          <w:marTop w:val="0"/>
          <w:marBottom w:val="0"/>
          <w:divBdr>
            <w:top w:val="none" w:sz="0" w:space="0" w:color="auto"/>
            <w:left w:val="none" w:sz="0" w:space="0" w:color="auto"/>
            <w:bottom w:val="none" w:sz="0" w:space="0" w:color="auto"/>
            <w:right w:val="none" w:sz="0" w:space="0" w:color="auto"/>
          </w:divBdr>
          <w:divsChild>
            <w:div w:id="2847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5832">
      <w:bodyDiv w:val="1"/>
      <w:marLeft w:val="0"/>
      <w:marRight w:val="0"/>
      <w:marTop w:val="0"/>
      <w:marBottom w:val="0"/>
      <w:divBdr>
        <w:top w:val="none" w:sz="0" w:space="0" w:color="auto"/>
        <w:left w:val="none" w:sz="0" w:space="0" w:color="auto"/>
        <w:bottom w:val="none" w:sz="0" w:space="0" w:color="auto"/>
        <w:right w:val="none" w:sz="0" w:space="0" w:color="auto"/>
      </w:divBdr>
    </w:div>
    <w:div w:id="1023361139">
      <w:bodyDiv w:val="1"/>
      <w:marLeft w:val="0"/>
      <w:marRight w:val="0"/>
      <w:marTop w:val="0"/>
      <w:marBottom w:val="0"/>
      <w:divBdr>
        <w:top w:val="none" w:sz="0" w:space="0" w:color="auto"/>
        <w:left w:val="none" w:sz="0" w:space="0" w:color="auto"/>
        <w:bottom w:val="none" w:sz="0" w:space="0" w:color="auto"/>
        <w:right w:val="none" w:sz="0" w:space="0" w:color="auto"/>
      </w:divBdr>
    </w:div>
    <w:div w:id="1063411306">
      <w:bodyDiv w:val="1"/>
      <w:marLeft w:val="0"/>
      <w:marRight w:val="0"/>
      <w:marTop w:val="0"/>
      <w:marBottom w:val="0"/>
      <w:divBdr>
        <w:top w:val="none" w:sz="0" w:space="0" w:color="auto"/>
        <w:left w:val="none" w:sz="0" w:space="0" w:color="auto"/>
        <w:bottom w:val="none" w:sz="0" w:space="0" w:color="auto"/>
        <w:right w:val="none" w:sz="0" w:space="0" w:color="auto"/>
      </w:divBdr>
      <w:divsChild>
        <w:div w:id="1492259259">
          <w:marLeft w:val="0"/>
          <w:marRight w:val="0"/>
          <w:marTop w:val="0"/>
          <w:marBottom w:val="0"/>
          <w:divBdr>
            <w:top w:val="none" w:sz="0" w:space="0" w:color="auto"/>
            <w:left w:val="none" w:sz="0" w:space="0" w:color="auto"/>
            <w:bottom w:val="none" w:sz="0" w:space="0" w:color="auto"/>
            <w:right w:val="none" w:sz="0" w:space="0" w:color="auto"/>
          </w:divBdr>
          <w:divsChild>
            <w:div w:id="20153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7891">
      <w:bodyDiv w:val="1"/>
      <w:marLeft w:val="0"/>
      <w:marRight w:val="0"/>
      <w:marTop w:val="0"/>
      <w:marBottom w:val="0"/>
      <w:divBdr>
        <w:top w:val="none" w:sz="0" w:space="0" w:color="auto"/>
        <w:left w:val="none" w:sz="0" w:space="0" w:color="auto"/>
        <w:bottom w:val="none" w:sz="0" w:space="0" w:color="auto"/>
        <w:right w:val="none" w:sz="0" w:space="0" w:color="auto"/>
      </w:divBdr>
    </w:div>
    <w:div w:id="1171874706">
      <w:bodyDiv w:val="1"/>
      <w:marLeft w:val="0"/>
      <w:marRight w:val="0"/>
      <w:marTop w:val="0"/>
      <w:marBottom w:val="0"/>
      <w:divBdr>
        <w:top w:val="none" w:sz="0" w:space="0" w:color="auto"/>
        <w:left w:val="none" w:sz="0" w:space="0" w:color="auto"/>
        <w:bottom w:val="none" w:sz="0" w:space="0" w:color="auto"/>
        <w:right w:val="none" w:sz="0" w:space="0" w:color="auto"/>
      </w:divBdr>
      <w:divsChild>
        <w:div w:id="41444668">
          <w:marLeft w:val="0"/>
          <w:marRight w:val="0"/>
          <w:marTop w:val="0"/>
          <w:marBottom w:val="0"/>
          <w:divBdr>
            <w:top w:val="none" w:sz="0" w:space="0" w:color="auto"/>
            <w:left w:val="none" w:sz="0" w:space="0" w:color="auto"/>
            <w:bottom w:val="none" w:sz="0" w:space="0" w:color="auto"/>
            <w:right w:val="none" w:sz="0" w:space="0" w:color="auto"/>
          </w:divBdr>
          <w:divsChild>
            <w:div w:id="4859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3431">
      <w:bodyDiv w:val="1"/>
      <w:marLeft w:val="0"/>
      <w:marRight w:val="0"/>
      <w:marTop w:val="0"/>
      <w:marBottom w:val="0"/>
      <w:divBdr>
        <w:top w:val="none" w:sz="0" w:space="0" w:color="auto"/>
        <w:left w:val="none" w:sz="0" w:space="0" w:color="auto"/>
        <w:bottom w:val="none" w:sz="0" w:space="0" w:color="auto"/>
        <w:right w:val="none" w:sz="0" w:space="0" w:color="auto"/>
      </w:divBdr>
      <w:divsChild>
        <w:div w:id="645203066">
          <w:marLeft w:val="0"/>
          <w:marRight w:val="0"/>
          <w:marTop w:val="0"/>
          <w:marBottom w:val="0"/>
          <w:divBdr>
            <w:top w:val="none" w:sz="0" w:space="0" w:color="auto"/>
            <w:left w:val="none" w:sz="0" w:space="0" w:color="auto"/>
            <w:bottom w:val="none" w:sz="0" w:space="0" w:color="auto"/>
            <w:right w:val="none" w:sz="0" w:space="0" w:color="auto"/>
          </w:divBdr>
          <w:divsChild>
            <w:div w:id="15171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9808">
      <w:bodyDiv w:val="1"/>
      <w:marLeft w:val="0"/>
      <w:marRight w:val="0"/>
      <w:marTop w:val="0"/>
      <w:marBottom w:val="0"/>
      <w:divBdr>
        <w:top w:val="none" w:sz="0" w:space="0" w:color="auto"/>
        <w:left w:val="none" w:sz="0" w:space="0" w:color="auto"/>
        <w:bottom w:val="none" w:sz="0" w:space="0" w:color="auto"/>
        <w:right w:val="none" w:sz="0" w:space="0" w:color="auto"/>
      </w:divBdr>
    </w:div>
    <w:div w:id="1240479953">
      <w:bodyDiv w:val="1"/>
      <w:marLeft w:val="0"/>
      <w:marRight w:val="0"/>
      <w:marTop w:val="0"/>
      <w:marBottom w:val="0"/>
      <w:divBdr>
        <w:top w:val="none" w:sz="0" w:space="0" w:color="auto"/>
        <w:left w:val="none" w:sz="0" w:space="0" w:color="auto"/>
        <w:bottom w:val="none" w:sz="0" w:space="0" w:color="auto"/>
        <w:right w:val="none" w:sz="0" w:space="0" w:color="auto"/>
      </w:divBdr>
    </w:div>
    <w:div w:id="1250693669">
      <w:bodyDiv w:val="1"/>
      <w:marLeft w:val="0"/>
      <w:marRight w:val="0"/>
      <w:marTop w:val="0"/>
      <w:marBottom w:val="0"/>
      <w:divBdr>
        <w:top w:val="none" w:sz="0" w:space="0" w:color="auto"/>
        <w:left w:val="none" w:sz="0" w:space="0" w:color="auto"/>
        <w:bottom w:val="none" w:sz="0" w:space="0" w:color="auto"/>
        <w:right w:val="none" w:sz="0" w:space="0" w:color="auto"/>
      </w:divBdr>
    </w:div>
    <w:div w:id="1290935961">
      <w:bodyDiv w:val="1"/>
      <w:marLeft w:val="0"/>
      <w:marRight w:val="0"/>
      <w:marTop w:val="0"/>
      <w:marBottom w:val="0"/>
      <w:divBdr>
        <w:top w:val="none" w:sz="0" w:space="0" w:color="auto"/>
        <w:left w:val="none" w:sz="0" w:space="0" w:color="auto"/>
        <w:bottom w:val="none" w:sz="0" w:space="0" w:color="auto"/>
        <w:right w:val="none" w:sz="0" w:space="0" w:color="auto"/>
      </w:divBdr>
    </w:div>
    <w:div w:id="1395273925">
      <w:bodyDiv w:val="1"/>
      <w:marLeft w:val="0"/>
      <w:marRight w:val="0"/>
      <w:marTop w:val="0"/>
      <w:marBottom w:val="0"/>
      <w:divBdr>
        <w:top w:val="none" w:sz="0" w:space="0" w:color="auto"/>
        <w:left w:val="none" w:sz="0" w:space="0" w:color="auto"/>
        <w:bottom w:val="none" w:sz="0" w:space="0" w:color="auto"/>
        <w:right w:val="none" w:sz="0" w:space="0" w:color="auto"/>
      </w:divBdr>
      <w:divsChild>
        <w:div w:id="952129170">
          <w:marLeft w:val="0"/>
          <w:marRight w:val="0"/>
          <w:marTop w:val="0"/>
          <w:marBottom w:val="0"/>
          <w:divBdr>
            <w:top w:val="none" w:sz="0" w:space="0" w:color="auto"/>
            <w:left w:val="none" w:sz="0" w:space="0" w:color="auto"/>
            <w:bottom w:val="none" w:sz="0" w:space="0" w:color="auto"/>
            <w:right w:val="none" w:sz="0" w:space="0" w:color="auto"/>
          </w:divBdr>
          <w:divsChild>
            <w:div w:id="2653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8532">
      <w:bodyDiv w:val="1"/>
      <w:marLeft w:val="0"/>
      <w:marRight w:val="0"/>
      <w:marTop w:val="0"/>
      <w:marBottom w:val="0"/>
      <w:divBdr>
        <w:top w:val="none" w:sz="0" w:space="0" w:color="auto"/>
        <w:left w:val="none" w:sz="0" w:space="0" w:color="auto"/>
        <w:bottom w:val="none" w:sz="0" w:space="0" w:color="auto"/>
        <w:right w:val="none" w:sz="0" w:space="0" w:color="auto"/>
      </w:divBdr>
    </w:div>
    <w:div w:id="1518763759">
      <w:bodyDiv w:val="1"/>
      <w:marLeft w:val="0"/>
      <w:marRight w:val="0"/>
      <w:marTop w:val="0"/>
      <w:marBottom w:val="0"/>
      <w:divBdr>
        <w:top w:val="none" w:sz="0" w:space="0" w:color="auto"/>
        <w:left w:val="none" w:sz="0" w:space="0" w:color="auto"/>
        <w:bottom w:val="none" w:sz="0" w:space="0" w:color="auto"/>
        <w:right w:val="none" w:sz="0" w:space="0" w:color="auto"/>
      </w:divBdr>
      <w:divsChild>
        <w:div w:id="566765993">
          <w:marLeft w:val="0"/>
          <w:marRight w:val="0"/>
          <w:marTop w:val="0"/>
          <w:marBottom w:val="0"/>
          <w:divBdr>
            <w:top w:val="none" w:sz="0" w:space="0" w:color="auto"/>
            <w:left w:val="none" w:sz="0" w:space="0" w:color="auto"/>
            <w:bottom w:val="none" w:sz="0" w:space="0" w:color="auto"/>
            <w:right w:val="none" w:sz="0" w:space="0" w:color="auto"/>
          </w:divBdr>
          <w:divsChild>
            <w:div w:id="20522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3137">
      <w:bodyDiv w:val="1"/>
      <w:marLeft w:val="0"/>
      <w:marRight w:val="0"/>
      <w:marTop w:val="0"/>
      <w:marBottom w:val="0"/>
      <w:divBdr>
        <w:top w:val="none" w:sz="0" w:space="0" w:color="auto"/>
        <w:left w:val="none" w:sz="0" w:space="0" w:color="auto"/>
        <w:bottom w:val="none" w:sz="0" w:space="0" w:color="auto"/>
        <w:right w:val="none" w:sz="0" w:space="0" w:color="auto"/>
      </w:divBdr>
      <w:divsChild>
        <w:div w:id="615872810">
          <w:marLeft w:val="0"/>
          <w:marRight w:val="0"/>
          <w:marTop w:val="0"/>
          <w:marBottom w:val="0"/>
          <w:divBdr>
            <w:top w:val="none" w:sz="0" w:space="0" w:color="auto"/>
            <w:left w:val="none" w:sz="0" w:space="0" w:color="auto"/>
            <w:bottom w:val="none" w:sz="0" w:space="0" w:color="auto"/>
            <w:right w:val="none" w:sz="0" w:space="0" w:color="auto"/>
          </w:divBdr>
          <w:divsChild>
            <w:div w:id="20353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69415">
      <w:bodyDiv w:val="1"/>
      <w:marLeft w:val="0"/>
      <w:marRight w:val="0"/>
      <w:marTop w:val="0"/>
      <w:marBottom w:val="0"/>
      <w:divBdr>
        <w:top w:val="none" w:sz="0" w:space="0" w:color="auto"/>
        <w:left w:val="none" w:sz="0" w:space="0" w:color="auto"/>
        <w:bottom w:val="none" w:sz="0" w:space="0" w:color="auto"/>
        <w:right w:val="none" w:sz="0" w:space="0" w:color="auto"/>
      </w:divBdr>
      <w:divsChild>
        <w:div w:id="359864101">
          <w:marLeft w:val="0"/>
          <w:marRight w:val="0"/>
          <w:marTop w:val="0"/>
          <w:marBottom w:val="0"/>
          <w:divBdr>
            <w:top w:val="none" w:sz="0" w:space="0" w:color="auto"/>
            <w:left w:val="none" w:sz="0" w:space="0" w:color="auto"/>
            <w:bottom w:val="none" w:sz="0" w:space="0" w:color="auto"/>
            <w:right w:val="none" w:sz="0" w:space="0" w:color="auto"/>
          </w:divBdr>
          <w:divsChild>
            <w:div w:id="8630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1811">
      <w:bodyDiv w:val="1"/>
      <w:marLeft w:val="0"/>
      <w:marRight w:val="0"/>
      <w:marTop w:val="0"/>
      <w:marBottom w:val="0"/>
      <w:divBdr>
        <w:top w:val="none" w:sz="0" w:space="0" w:color="auto"/>
        <w:left w:val="none" w:sz="0" w:space="0" w:color="auto"/>
        <w:bottom w:val="none" w:sz="0" w:space="0" w:color="auto"/>
        <w:right w:val="none" w:sz="0" w:space="0" w:color="auto"/>
      </w:divBdr>
    </w:div>
    <w:div w:id="1789540677">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sChild>
        <w:div w:id="398751518">
          <w:marLeft w:val="0"/>
          <w:marRight w:val="0"/>
          <w:marTop w:val="0"/>
          <w:marBottom w:val="0"/>
          <w:divBdr>
            <w:top w:val="none" w:sz="0" w:space="0" w:color="auto"/>
            <w:left w:val="none" w:sz="0" w:space="0" w:color="auto"/>
            <w:bottom w:val="none" w:sz="0" w:space="0" w:color="auto"/>
            <w:right w:val="none" w:sz="0" w:space="0" w:color="auto"/>
          </w:divBdr>
          <w:divsChild>
            <w:div w:id="2823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8149">
      <w:bodyDiv w:val="1"/>
      <w:marLeft w:val="0"/>
      <w:marRight w:val="0"/>
      <w:marTop w:val="0"/>
      <w:marBottom w:val="0"/>
      <w:divBdr>
        <w:top w:val="none" w:sz="0" w:space="0" w:color="auto"/>
        <w:left w:val="none" w:sz="0" w:space="0" w:color="auto"/>
        <w:bottom w:val="none" w:sz="0" w:space="0" w:color="auto"/>
        <w:right w:val="none" w:sz="0" w:space="0" w:color="auto"/>
      </w:divBdr>
    </w:div>
    <w:div w:id="2067534367">
      <w:bodyDiv w:val="1"/>
      <w:marLeft w:val="0"/>
      <w:marRight w:val="0"/>
      <w:marTop w:val="0"/>
      <w:marBottom w:val="0"/>
      <w:divBdr>
        <w:top w:val="none" w:sz="0" w:space="0" w:color="auto"/>
        <w:left w:val="none" w:sz="0" w:space="0" w:color="auto"/>
        <w:bottom w:val="none" w:sz="0" w:space="0" w:color="auto"/>
        <w:right w:val="none" w:sz="0" w:space="0" w:color="auto"/>
      </w:divBdr>
      <w:divsChild>
        <w:div w:id="1312826594">
          <w:marLeft w:val="0"/>
          <w:marRight w:val="0"/>
          <w:marTop w:val="0"/>
          <w:marBottom w:val="0"/>
          <w:divBdr>
            <w:top w:val="none" w:sz="0" w:space="0" w:color="auto"/>
            <w:left w:val="none" w:sz="0" w:space="0" w:color="auto"/>
            <w:bottom w:val="none" w:sz="0" w:space="0" w:color="auto"/>
            <w:right w:val="none" w:sz="0" w:space="0" w:color="auto"/>
          </w:divBdr>
          <w:divsChild>
            <w:div w:id="5110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7363">
      <w:bodyDiv w:val="1"/>
      <w:marLeft w:val="0"/>
      <w:marRight w:val="0"/>
      <w:marTop w:val="0"/>
      <w:marBottom w:val="0"/>
      <w:divBdr>
        <w:top w:val="none" w:sz="0" w:space="0" w:color="auto"/>
        <w:left w:val="none" w:sz="0" w:space="0" w:color="auto"/>
        <w:bottom w:val="none" w:sz="0" w:space="0" w:color="auto"/>
        <w:right w:val="none" w:sz="0" w:space="0" w:color="auto"/>
      </w:divBdr>
      <w:divsChild>
        <w:div w:id="921255230">
          <w:marLeft w:val="0"/>
          <w:marRight w:val="0"/>
          <w:marTop w:val="0"/>
          <w:marBottom w:val="0"/>
          <w:divBdr>
            <w:top w:val="none" w:sz="0" w:space="0" w:color="auto"/>
            <w:left w:val="none" w:sz="0" w:space="0" w:color="auto"/>
            <w:bottom w:val="none" w:sz="0" w:space="0" w:color="auto"/>
            <w:right w:val="none" w:sz="0" w:space="0" w:color="auto"/>
          </w:divBdr>
          <w:divsChild>
            <w:div w:id="6062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ech\AppData\Roaming\Microsoft\Templates\ANZ%20M1%20template%20-%20A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D0CE8CE-3D27-425D-B20E-C18212F0144C}">
  <ds:schemaRefs>
    <ds:schemaRef ds:uri="http://schemas.openxmlformats.org/officeDocument/2006/bibliography"/>
  </ds:schemaRefs>
</ds:datastoreItem>
</file>

<file path=customXml/itemProps2.xml><?xml version="1.0" encoding="utf-8"?>
<ds:datastoreItem xmlns:ds="http://schemas.openxmlformats.org/officeDocument/2006/customXml" ds:itemID="{2C405E43-A504-4672-937E-2F9651020A5D}">
  <ds:schemaRefs>
    <ds:schemaRef ds:uri="http://schemas.openxmlformats.org/officeDocument/2006/bibliography"/>
  </ds:schemaRefs>
</ds:datastoreItem>
</file>

<file path=customXml/itemProps3.xml><?xml version="1.0" encoding="utf-8"?>
<ds:datastoreItem xmlns:ds="http://schemas.openxmlformats.org/officeDocument/2006/customXml" ds:itemID="{DBE53318-8CDC-473E-BC8A-76E1C6E8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ANZ M1 template - Arial.dot</Template>
  <TotalTime>0</TotalTime>
  <Pages>26</Pages>
  <Words>8683</Words>
  <Characters>49496</Characters>
  <Application>Microsoft Office Word</Application>
  <DocSecurity>0</DocSecurity>
  <Lines>412</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1. Product Information for Riociguat</vt:lpstr>
      <vt:lpstr/>
    </vt:vector>
  </TitlesOfParts>
  <Company>Bayer Australia Ltd</Company>
  <LinksUpToDate>false</LinksUpToDate>
  <CharactersWithSpaces>58063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Riociguat</dc:title>
  <dc:subject>prescription medicine regulation</dc:subject>
  <dc:creator>Bayer Australia Ltd</dc:creator>
  <cp:keywords>product, information, prescription, medicine, regulation,bayer, riociguat, adempas</cp:keywords>
  <cp:lastModifiedBy>dixonj</cp:lastModifiedBy>
  <cp:revision>2</cp:revision>
  <cp:lastPrinted>2014-04-01T04:15:00Z</cp:lastPrinted>
  <dcterms:created xsi:type="dcterms:W3CDTF">2014-07-07T04:15:00Z</dcterms:created>
  <dcterms:modified xsi:type="dcterms:W3CDTF">2014-07-07T04:15:00Z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-98149725</vt:i4>
  </property>
  <property fmtid="{D5CDD505-2E9C-101B-9397-08002B2CF9AE}" pid="4" name="_EmailSubject">
    <vt:lpwstr>TGA Second Round Draft AusPAR for Adempas (riociguat)- PM-2013-00307-1-3 [SEC=UNCLASSIFIED]</vt:lpwstr>
  </property>
  <property fmtid="{D5CDD505-2E9C-101B-9397-08002B2CF9AE}" pid="5" name="_AuthorEmail">
    <vt:lpwstr>ellen.chan@bayer.com</vt:lpwstr>
  </property>
  <property fmtid="{D5CDD505-2E9C-101B-9397-08002B2CF9AE}" pid="6" name="_AuthorEmailDisplayName">
    <vt:lpwstr>Ellen Chan</vt:lpwstr>
  </property>
  <property fmtid="{D5CDD505-2E9C-101B-9397-08002B2CF9AE}" pid="7" name="_ReviewingToolsShownOnce">
    <vt:lpwstr/>
  </property>
</Properties>
</file>