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4FCD9" w14:textId="355B6381" w:rsidR="002C4189" w:rsidRDefault="00FB7D91">
      <w:pPr>
        <w:tabs>
          <w:tab w:val="left" w:pos="284"/>
        </w:tabs>
        <w:spacing w:after="480" w:line="240" w:lineRule="auto"/>
        <w:rPr>
          <w:rFonts w:asciiTheme="majorHAnsi" w:hAnsiTheme="majorHAnsi"/>
        </w:rPr>
      </w:pPr>
      <w:bookmarkStart w:id="0" w:name="_Hlk26453310"/>
      <w:r>
        <w:rPr>
          <w:noProof/>
          <w:lang w:eastAsia="en-AU"/>
        </w:rPr>
        <mc:AlternateContent>
          <mc:Choice Requires="wps">
            <w:drawing>
              <wp:inline distT="0" distB="0" distL="0" distR="0" wp14:anchorId="7A29FFC0" wp14:editId="3845631C">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6AEA1" w14:textId="77777777" w:rsidR="007435DD" w:rsidRDefault="007435DD">
                            <w:pPr>
                              <w:spacing w:after="0"/>
                              <w:rPr>
                                <w:rFonts w:ascii="Wingdings 3" w:hAnsi="Wingdings 3"/>
                                <w:sz w:val="24"/>
                              </w:rPr>
                            </w:pPr>
                            <w:r>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7A29FFC0"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" stroked="f">
                <v:textbox inset="0,0,0,0">
                  <w:txbxContent>
                    <w:p w14:paraId="2376AEA1" w14:textId="77777777" w:rsidR="007435DD" w:rsidRDefault="007435DD">
                      <w:pPr>
                        <w:spacing w:after="0"/>
                        <w:rPr>
                          <w:rFonts w:ascii="Wingdings 3" w:hAnsi="Wingdings 3"/>
                          <w:sz w:val="24"/>
                        </w:rPr>
                      </w:pPr>
                      <w:r>
                        <w:rPr>
                          <w:rFonts w:ascii="SimSun" w:eastAsia="SimSun" w:hAnsi="SimSun" w:cs="Arial" w:hint="eastAsia"/>
                          <w:sz w:val="40"/>
                        </w:rPr>
                        <w:t>▼</w:t>
                      </w:r>
                    </w:p>
                  </w:txbxContent>
                </v:textbox>
                <w10:anchorlock/>
              </v:shape>
            </w:pict>
          </mc:Fallback>
        </mc:AlternateContent>
      </w:r>
      <w:bookmarkStart w:id="1" w:name="_Hlk26455486"/>
      <w:r>
        <w:rPr>
          <w:rFonts w:asciiTheme="majorHAnsi" w:hAnsiTheme="majorHAnsi"/>
        </w:rPr>
        <w:t xml:space="preserve">This medicinal product is subject to additional monitoring in Australia. This will allow quick identification of new safety information. Healthcare professionals are asked to report any suspected adverse events at </w:t>
      </w:r>
      <w:hyperlink r:id="rId8" w:history="1">
        <w:r>
          <w:rPr>
            <w:rStyle w:val="Hyperlink"/>
            <w:rFonts w:asciiTheme="majorHAnsi" w:hAnsiTheme="majorHAnsi"/>
          </w:rPr>
          <w:t>www.tga.gov.au/reporting-problems</w:t>
        </w:r>
      </w:hyperlink>
      <w:r>
        <w:rPr>
          <w:rFonts w:asciiTheme="majorHAnsi" w:hAnsiTheme="majorHAnsi"/>
        </w:rPr>
        <w:t>.</w:t>
      </w:r>
    </w:p>
    <w:p w14:paraId="1944C79B" w14:textId="45AF824C" w:rsidR="002C4189" w:rsidRDefault="00FB7D91">
      <w:pPr>
        <w:pStyle w:val="Heading1"/>
        <w:numPr>
          <w:ilvl w:val="0"/>
          <w:numId w:val="0"/>
        </w:numPr>
        <w:spacing w:after="240"/>
        <w:rPr>
          <w:rFonts w:eastAsia="SimSun" w:cstheme="minorHAnsi"/>
        </w:rPr>
      </w:pPr>
      <w:r>
        <w:rPr>
          <w:rFonts w:eastAsia="SimSun" w:cstheme="minorHAnsi"/>
        </w:rPr>
        <w:t>Australian Product Information – QINLOCK</w:t>
      </w:r>
      <w:r w:rsidR="003C1C12">
        <w:rPr>
          <w:rFonts w:eastAsia="SimSun" w:cstheme="minorHAnsi"/>
        </w:rPr>
        <w:t>™</w:t>
      </w:r>
      <w:r>
        <w:rPr>
          <w:rFonts w:eastAsia="SimSun" w:cstheme="minorHAnsi"/>
        </w:rPr>
        <w:t xml:space="preserve"> (</w:t>
      </w:r>
      <w:r>
        <w:rPr>
          <w:rFonts w:eastAsiaTheme="minorHAnsi" w:cstheme="minorHAnsi"/>
          <w:caps w:val="0"/>
          <w:lang w:val="en"/>
        </w:rPr>
        <w:t>ripretinib</w:t>
      </w:r>
      <w:r>
        <w:rPr>
          <w:rFonts w:eastAsia="SimSun" w:cstheme="minorHAnsi"/>
        </w:rPr>
        <w:t>) TABLETS</w:t>
      </w:r>
    </w:p>
    <w:p w14:paraId="7EAA56AD" w14:textId="77777777" w:rsidR="002C4189" w:rsidRDefault="00FB7D91">
      <w:pPr>
        <w:pStyle w:val="Heading1"/>
        <w:spacing w:before="0" w:after="120"/>
        <w:ind w:left="431" w:hanging="431"/>
        <w:rPr>
          <w:rFonts w:cstheme="minorHAnsi"/>
        </w:rPr>
      </w:pPr>
      <w:r>
        <w:rPr>
          <w:rFonts w:cstheme="minorHAnsi"/>
        </w:rPr>
        <w:t>Name of the medicine</w:t>
      </w:r>
    </w:p>
    <w:p w14:paraId="67CC3517" w14:textId="77777777" w:rsidR="002C4189" w:rsidRDefault="00FB7D91">
      <w:pPr>
        <w:rPr>
          <w:rFonts w:asciiTheme="majorHAnsi" w:hAnsiTheme="majorHAnsi" w:cstheme="minorHAnsi"/>
          <w:lang w:val="en"/>
        </w:rPr>
      </w:pPr>
      <w:r>
        <w:rPr>
          <w:rFonts w:asciiTheme="majorHAnsi" w:hAnsiTheme="majorHAnsi" w:cstheme="minorHAnsi"/>
          <w:lang w:val="en"/>
        </w:rPr>
        <w:t>Ripretinib</w:t>
      </w:r>
    </w:p>
    <w:p w14:paraId="201D9224" w14:textId="77777777" w:rsidR="002C4189" w:rsidRDefault="00FB7D91">
      <w:pPr>
        <w:pStyle w:val="Heading1"/>
        <w:spacing w:before="0" w:after="120"/>
        <w:rPr>
          <w:rFonts w:cstheme="minorHAnsi"/>
        </w:rPr>
      </w:pPr>
      <w:r>
        <w:rPr>
          <w:rFonts w:cstheme="minorHAnsi"/>
        </w:rPr>
        <w:t>Qualitative and quantitative composition</w:t>
      </w:r>
    </w:p>
    <w:p w14:paraId="297C404D" w14:textId="77777777" w:rsidR="002C4189" w:rsidRDefault="00FB7D91">
      <w:pPr>
        <w:rPr>
          <w:rFonts w:asciiTheme="majorHAnsi" w:hAnsiTheme="majorHAnsi" w:cstheme="minorHAnsi"/>
          <w:lang w:val="en"/>
        </w:rPr>
      </w:pPr>
      <w:r>
        <w:rPr>
          <w:rFonts w:asciiTheme="majorHAnsi" w:hAnsiTheme="majorHAnsi" w:cstheme="minorHAnsi"/>
          <w:lang w:val="en"/>
        </w:rPr>
        <w:t>Each QINLOCK tablet contains 50 mg of ripretinib.</w:t>
      </w:r>
    </w:p>
    <w:p w14:paraId="1EBB9FEB" w14:textId="77777777" w:rsidR="002C4189" w:rsidRDefault="00FB7D91">
      <w:pPr>
        <w:rPr>
          <w:rFonts w:asciiTheme="majorHAnsi" w:hAnsiTheme="majorHAnsi" w:cstheme="minorHAnsi"/>
        </w:rPr>
      </w:pPr>
      <w:r>
        <w:rPr>
          <w:rFonts w:asciiTheme="majorHAnsi" w:hAnsiTheme="majorHAnsi" w:cstheme="minorHAnsi"/>
        </w:rPr>
        <w:t>Ripretinib is a white to off-white crystalline solid. Ripretinib is a lipophilic, weak base compound, practically insoluble in aqueous media.</w:t>
      </w:r>
    </w:p>
    <w:p w14:paraId="1EF2BAF6" w14:textId="77777777" w:rsidR="002C4189" w:rsidRDefault="00FB7D91">
      <w:pPr>
        <w:rPr>
          <w:rFonts w:asciiTheme="majorHAnsi" w:hAnsiTheme="majorHAnsi" w:cstheme="minorHAnsi"/>
        </w:rPr>
      </w:pPr>
      <w:r>
        <w:rPr>
          <w:rFonts w:asciiTheme="majorHAnsi" w:hAnsiTheme="majorHAnsi" w:cstheme="minorHAnsi"/>
        </w:rPr>
        <w:t>Excipients with known effect: lactose.</w:t>
      </w:r>
    </w:p>
    <w:p w14:paraId="60FB38DF" w14:textId="53D9A9D4" w:rsidR="002C4189" w:rsidRDefault="00FB7D91">
      <w:pPr>
        <w:rPr>
          <w:rFonts w:asciiTheme="majorHAnsi" w:hAnsiTheme="majorHAnsi" w:cstheme="minorHAnsi"/>
        </w:rPr>
      </w:pPr>
      <w:r>
        <w:rPr>
          <w:rFonts w:asciiTheme="majorHAnsi" w:hAnsiTheme="majorHAnsi" w:cstheme="minorHAnsi"/>
        </w:rPr>
        <w:t xml:space="preserve">For the full list of excipients, see </w:t>
      </w:r>
      <w:r>
        <w:rPr>
          <w:rFonts w:asciiTheme="majorHAnsi" w:hAnsiTheme="majorHAnsi" w:cstheme="minorHAnsi"/>
          <w:color w:val="0000FF"/>
        </w:rPr>
        <w:t>Section 6.1</w:t>
      </w:r>
      <w:r>
        <w:rPr>
          <w:rFonts w:asciiTheme="majorHAnsi" w:hAnsiTheme="majorHAnsi" w:cstheme="minorHAnsi"/>
        </w:rPr>
        <w:t xml:space="preserve"> List of Excipients</w:t>
      </w:r>
      <w:r w:rsidR="009D2610">
        <w:rPr>
          <w:rFonts w:asciiTheme="majorHAnsi" w:hAnsiTheme="majorHAnsi" w:cstheme="minorHAnsi"/>
        </w:rPr>
        <w:t>.</w:t>
      </w:r>
    </w:p>
    <w:p w14:paraId="20C1A41F" w14:textId="77777777" w:rsidR="002C4189" w:rsidRDefault="00FB7D91">
      <w:pPr>
        <w:pStyle w:val="Heading1"/>
        <w:spacing w:before="0" w:after="120"/>
        <w:rPr>
          <w:rFonts w:cstheme="minorHAnsi"/>
        </w:rPr>
      </w:pPr>
      <w:r>
        <w:rPr>
          <w:rFonts w:cstheme="minorHAnsi"/>
        </w:rPr>
        <w:t>Pharmaceutical form</w:t>
      </w:r>
    </w:p>
    <w:p w14:paraId="3FC1FC53" w14:textId="05151ACB" w:rsidR="002C4189" w:rsidRDefault="00FB7D91">
      <w:pPr>
        <w:rPr>
          <w:rFonts w:asciiTheme="majorHAnsi" w:hAnsiTheme="majorHAnsi" w:cstheme="minorHAnsi"/>
          <w:lang w:val="en"/>
        </w:rPr>
      </w:pPr>
      <w:r>
        <w:rPr>
          <w:rFonts w:asciiTheme="majorHAnsi" w:hAnsiTheme="majorHAnsi" w:cstheme="minorHAnsi"/>
          <w:lang w:val="en"/>
        </w:rPr>
        <w:t>QINLOCK tablets are white to off-white oval shaped tablets debossed with 'DC1' on one side.</w:t>
      </w:r>
    </w:p>
    <w:p w14:paraId="0FF9C56F" w14:textId="77777777" w:rsidR="002C4189" w:rsidRDefault="00FB7D91">
      <w:pPr>
        <w:pStyle w:val="Heading1"/>
        <w:spacing w:before="0" w:after="120"/>
        <w:rPr>
          <w:rFonts w:cstheme="minorHAnsi"/>
        </w:rPr>
      </w:pPr>
      <w:r>
        <w:rPr>
          <w:rFonts w:cstheme="minorHAnsi"/>
        </w:rPr>
        <w:t>Clinical particulars</w:t>
      </w:r>
    </w:p>
    <w:p w14:paraId="7C17FF86" w14:textId="77777777" w:rsidR="002C4189" w:rsidRDefault="00FB7D91">
      <w:pPr>
        <w:pStyle w:val="Heading2"/>
        <w:spacing w:before="0" w:after="120"/>
        <w:rPr>
          <w:rFonts w:cstheme="minorHAnsi"/>
        </w:rPr>
      </w:pPr>
      <w:r>
        <w:rPr>
          <w:rFonts w:cstheme="minorHAnsi"/>
        </w:rPr>
        <w:t xml:space="preserve">Therapeutic indications </w:t>
      </w:r>
    </w:p>
    <w:p w14:paraId="3FB2AD78" w14:textId="0E4A8B1A" w:rsidR="002C4189" w:rsidRPr="00BC58E7" w:rsidRDefault="00D517A6">
      <w:pPr>
        <w:rPr>
          <w:rFonts w:asciiTheme="majorHAnsi" w:hAnsiTheme="majorHAnsi" w:cstheme="minorHAnsi"/>
          <w:lang w:val="en"/>
        </w:rPr>
      </w:pPr>
      <w:bookmarkStart w:id="2" w:name="_Hlk26785471"/>
      <w:r w:rsidRPr="00BC58E7">
        <w:rPr>
          <w:rFonts w:asciiTheme="majorHAnsi" w:hAnsiTheme="majorHAnsi" w:cstheme="minorHAnsi"/>
          <w:lang w:val="en"/>
        </w:rPr>
        <w:t xml:space="preserve">QINLOCK is </w:t>
      </w:r>
      <w:bookmarkEnd w:id="2"/>
      <w:r w:rsidR="00B0323F" w:rsidRPr="00BC58E7">
        <w:rPr>
          <w:rFonts w:asciiTheme="majorHAnsi" w:hAnsiTheme="majorHAnsi" w:cstheme="minorHAnsi"/>
          <w:lang w:val="en"/>
        </w:rPr>
        <w:t xml:space="preserve">a kinase inhibitor indicated for the treatment of </w:t>
      </w:r>
      <w:r w:rsidR="0029042E" w:rsidRPr="00590419">
        <w:rPr>
          <w:rFonts w:asciiTheme="majorHAnsi" w:hAnsiTheme="majorHAnsi" w:cstheme="minorHAnsi"/>
          <w:lang w:val="en"/>
        </w:rPr>
        <w:t xml:space="preserve">adult </w:t>
      </w:r>
      <w:r w:rsidR="00B0323F" w:rsidRPr="0081743B">
        <w:rPr>
          <w:rFonts w:asciiTheme="majorHAnsi" w:hAnsiTheme="majorHAnsi" w:cstheme="minorHAnsi"/>
          <w:lang w:val="en"/>
        </w:rPr>
        <w:t>patients with advanced gastrointestinal stromal tumours (GIST) who have received</w:t>
      </w:r>
      <w:r w:rsidR="0038407C" w:rsidRPr="0081743B">
        <w:rPr>
          <w:rFonts w:asciiTheme="majorHAnsi" w:hAnsiTheme="majorHAnsi" w:cstheme="minorHAnsi"/>
          <w:lang w:val="en"/>
        </w:rPr>
        <w:t xml:space="preserve"> </w:t>
      </w:r>
      <w:r w:rsidR="0038407C" w:rsidRPr="00590419">
        <w:rPr>
          <w:rFonts w:ascii="Cambria" w:hAnsi="Cambria"/>
        </w:rPr>
        <w:t>prior treatment with</w:t>
      </w:r>
      <w:r w:rsidR="0038407C" w:rsidRPr="00590419">
        <w:rPr>
          <w:rFonts w:asciiTheme="majorHAnsi" w:hAnsiTheme="majorHAnsi" w:cstheme="minorHAnsi"/>
          <w:lang w:val="en"/>
        </w:rPr>
        <w:t xml:space="preserve"> </w:t>
      </w:r>
      <w:r w:rsidR="0038407C" w:rsidRPr="00590419">
        <w:rPr>
          <w:rFonts w:ascii="Cambria" w:hAnsi="Cambria"/>
        </w:rPr>
        <w:t>3 or more kinase inhibitors</w:t>
      </w:r>
      <w:r w:rsidR="002D170A" w:rsidRPr="00590419">
        <w:rPr>
          <w:rFonts w:ascii="Cambria" w:hAnsi="Cambria"/>
        </w:rPr>
        <w:t>, including imatinib</w:t>
      </w:r>
      <w:r w:rsidR="0038407C" w:rsidRPr="0081743B">
        <w:rPr>
          <w:rFonts w:asciiTheme="majorHAnsi" w:hAnsiTheme="majorHAnsi" w:cstheme="minorHAnsi"/>
          <w:lang w:val="en"/>
        </w:rPr>
        <w:t>.</w:t>
      </w:r>
    </w:p>
    <w:p w14:paraId="44B59CC0" w14:textId="77777777" w:rsidR="002C4189" w:rsidRDefault="00FB7D91">
      <w:pPr>
        <w:pStyle w:val="Heading2"/>
        <w:spacing w:before="0" w:after="120"/>
        <w:rPr>
          <w:rFonts w:cstheme="minorHAnsi"/>
        </w:rPr>
      </w:pPr>
      <w:r>
        <w:rPr>
          <w:rFonts w:cstheme="minorHAnsi"/>
        </w:rPr>
        <w:t xml:space="preserve">Dose and method of administration </w:t>
      </w:r>
    </w:p>
    <w:p w14:paraId="064B4885" w14:textId="77777777" w:rsidR="002C4189" w:rsidRDefault="00FB7D91">
      <w:pPr>
        <w:pStyle w:val="Heading3"/>
        <w:spacing w:before="0" w:after="120"/>
        <w:ind w:left="0"/>
        <w:rPr>
          <w:rFonts w:cstheme="minorHAnsi"/>
        </w:rPr>
      </w:pPr>
      <w:r>
        <w:rPr>
          <w:rFonts w:cstheme="minorHAnsi"/>
        </w:rPr>
        <w:t>Dosage</w:t>
      </w:r>
    </w:p>
    <w:p w14:paraId="1129D6D5" w14:textId="5CB9CCBC" w:rsidR="002C4189" w:rsidRPr="008E2496" w:rsidRDefault="00FB7D91">
      <w:pPr>
        <w:rPr>
          <w:rFonts w:asciiTheme="majorHAnsi" w:hAnsiTheme="majorHAnsi" w:cstheme="minorHAnsi"/>
          <w:lang w:val="en"/>
        </w:rPr>
      </w:pPr>
      <w:r w:rsidRPr="008E2496">
        <w:rPr>
          <w:rFonts w:asciiTheme="majorHAnsi" w:hAnsiTheme="majorHAnsi" w:cstheme="minorHAnsi"/>
          <w:lang w:val="en"/>
        </w:rPr>
        <w:t>The recommended dos</w:t>
      </w:r>
      <w:r w:rsidR="00D916BC" w:rsidRPr="008E2496">
        <w:rPr>
          <w:rFonts w:asciiTheme="majorHAnsi" w:hAnsiTheme="majorHAnsi" w:cstheme="minorHAnsi"/>
          <w:lang w:val="en"/>
        </w:rPr>
        <w:t>age</w:t>
      </w:r>
      <w:r w:rsidRPr="008E2496">
        <w:rPr>
          <w:rFonts w:asciiTheme="majorHAnsi" w:hAnsiTheme="majorHAnsi" w:cstheme="minorHAnsi"/>
          <w:lang w:val="en"/>
        </w:rPr>
        <w:t xml:space="preserve"> of QINLOCK is 150 mg (three 50 mg tablets)</w:t>
      </w:r>
      <w:r w:rsidRPr="00590419">
        <w:rPr>
          <w:rFonts w:asciiTheme="majorHAnsi" w:hAnsiTheme="majorHAnsi" w:cstheme="minorHAnsi"/>
          <w:lang w:val="en"/>
        </w:rPr>
        <w:t xml:space="preserve"> </w:t>
      </w:r>
      <w:r w:rsidR="00A26142" w:rsidRPr="00590419">
        <w:rPr>
          <w:rFonts w:asciiTheme="majorHAnsi" w:hAnsiTheme="majorHAnsi" w:cstheme="minorHAnsi"/>
          <w:lang w:val="en"/>
        </w:rPr>
        <w:t xml:space="preserve">orally once daily </w:t>
      </w:r>
      <w:r w:rsidR="00A41165" w:rsidRPr="00590419">
        <w:rPr>
          <w:rFonts w:asciiTheme="majorHAnsi" w:hAnsiTheme="majorHAnsi" w:cstheme="minorHAnsi"/>
          <w:lang w:val="en"/>
        </w:rPr>
        <w:t>with or without food until disease progression or unacceptable toxicity</w:t>
      </w:r>
      <w:r w:rsidRPr="008E2496">
        <w:rPr>
          <w:rFonts w:asciiTheme="majorHAnsi" w:hAnsiTheme="majorHAnsi" w:cstheme="minorHAnsi"/>
          <w:lang w:val="en"/>
        </w:rPr>
        <w:t xml:space="preserve">. </w:t>
      </w:r>
    </w:p>
    <w:p w14:paraId="29F8C426" w14:textId="77777777" w:rsidR="00A41165" w:rsidRPr="00590419" w:rsidRDefault="00A41165" w:rsidP="00A41165">
      <w:pPr>
        <w:pStyle w:val="Paragraph"/>
        <w:rPr>
          <w:rFonts w:asciiTheme="majorHAnsi" w:eastAsiaTheme="minorHAnsi" w:hAnsiTheme="majorHAnsi" w:cstheme="minorHAnsi"/>
          <w:sz w:val="22"/>
          <w:szCs w:val="22"/>
          <w:lang w:val="en"/>
        </w:rPr>
      </w:pPr>
      <w:r w:rsidRPr="00590419">
        <w:rPr>
          <w:rFonts w:asciiTheme="majorHAnsi" w:eastAsiaTheme="minorHAnsi" w:hAnsiTheme="majorHAnsi" w:cstheme="minorHAnsi"/>
          <w:sz w:val="22"/>
          <w:szCs w:val="22"/>
          <w:lang w:val="en"/>
        </w:rPr>
        <w:t>Instruct patients to swallow tablets whole.</w:t>
      </w:r>
    </w:p>
    <w:p w14:paraId="4789A27F" w14:textId="77777777" w:rsidR="00A41165" w:rsidRPr="00590419" w:rsidRDefault="00A41165" w:rsidP="00A41165">
      <w:pPr>
        <w:pStyle w:val="Paragraph"/>
        <w:rPr>
          <w:rFonts w:asciiTheme="majorHAnsi" w:eastAsiaTheme="minorHAnsi" w:hAnsiTheme="majorHAnsi" w:cstheme="minorHAnsi"/>
          <w:sz w:val="22"/>
          <w:szCs w:val="22"/>
          <w:lang w:val="en"/>
        </w:rPr>
      </w:pPr>
      <w:r w:rsidRPr="00590419">
        <w:rPr>
          <w:rFonts w:asciiTheme="majorHAnsi" w:eastAsiaTheme="minorHAnsi" w:hAnsiTheme="majorHAnsi" w:cstheme="minorHAnsi"/>
          <w:sz w:val="22"/>
          <w:szCs w:val="22"/>
          <w:lang w:val="en"/>
        </w:rPr>
        <w:t>Advise patients to take QINLOCK at the same time each day.</w:t>
      </w:r>
    </w:p>
    <w:p w14:paraId="062BC0ED" w14:textId="77777777" w:rsidR="00A41165" w:rsidRPr="00590419" w:rsidRDefault="00A41165" w:rsidP="00A41165">
      <w:pPr>
        <w:pStyle w:val="Paragraph"/>
        <w:rPr>
          <w:rFonts w:asciiTheme="majorHAnsi" w:eastAsiaTheme="minorHAnsi" w:hAnsiTheme="majorHAnsi" w:cstheme="minorHAnsi"/>
          <w:sz w:val="22"/>
          <w:szCs w:val="22"/>
          <w:lang w:val="en"/>
        </w:rPr>
      </w:pPr>
      <w:r w:rsidRPr="00590419">
        <w:rPr>
          <w:rFonts w:asciiTheme="majorHAnsi" w:eastAsiaTheme="minorHAnsi" w:hAnsiTheme="majorHAnsi" w:cstheme="minorHAnsi"/>
          <w:sz w:val="22"/>
          <w:szCs w:val="22"/>
          <w:lang w:val="en"/>
        </w:rPr>
        <w:t>Advise patients to take a missed dose if less than 8 hours have passed since the missed scheduled dose.</w:t>
      </w:r>
    </w:p>
    <w:p w14:paraId="5794EEF5" w14:textId="3B2E7466" w:rsidR="00A41165" w:rsidRPr="00590419" w:rsidRDefault="00A41165" w:rsidP="00A41165">
      <w:pPr>
        <w:pStyle w:val="Paragraph"/>
        <w:rPr>
          <w:rFonts w:asciiTheme="majorHAnsi" w:eastAsiaTheme="minorHAnsi" w:hAnsiTheme="majorHAnsi" w:cstheme="minorHAnsi"/>
          <w:sz w:val="22"/>
          <w:szCs w:val="22"/>
          <w:lang w:val="en"/>
        </w:rPr>
      </w:pPr>
      <w:r w:rsidRPr="00590419">
        <w:rPr>
          <w:rFonts w:asciiTheme="majorHAnsi" w:eastAsiaTheme="minorHAnsi" w:hAnsiTheme="majorHAnsi" w:cstheme="minorHAnsi"/>
          <w:sz w:val="22"/>
          <w:szCs w:val="22"/>
          <w:lang w:val="en"/>
        </w:rPr>
        <w:t>Advise patients not to take an additional dose if vomiting occurs after taking QINLOCK and to continue with</w:t>
      </w:r>
      <w:r w:rsidR="00371131" w:rsidRPr="00590419">
        <w:rPr>
          <w:rFonts w:asciiTheme="majorHAnsi" w:eastAsiaTheme="minorHAnsi" w:hAnsiTheme="majorHAnsi" w:cstheme="minorHAnsi"/>
          <w:sz w:val="22"/>
          <w:szCs w:val="22"/>
          <w:lang w:val="en"/>
        </w:rPr>
        <w:t xml:space="preserve"> their next scheduled dose.</w:t>
      </w:r>
    </w:p>
    <w:p w14:paraId="1BD51CA3" w14:textId="77777777" w:rsidR="002C4189" w:rsidRPr="008E2496" w:rsidRDefault="00FB7D91">
      <w:pPr>
        <w:pStyle w:val="Heading3"/>
        <w:spacing w:before="0" w:after="120"/>
        <w:ind w:left="0"/>
        <w:rPr>
          <w:rFonts w:cstheme="minorHAnsi"/>
        </w:rPr>
      </w:pPr>
      <w:r w:rsidRPr="008E2496">
        <w:rPr>
          <w:rFonts w:cstheme="minorHAnsi"/>
        </w:rPr>
        <w:lastRenderedPageBreak/>
        <w:t>Dose modification guidelines</w:t>
      </w:r>
    </w:p>
    <w:p w14:paraId="0E0E9F19" w14:textId="77777777" w:rsidR="00452FC4" w:rsidRPr="00590419" w:rsidRDefault="00452FC4" w:rsidP="00452FC4">
      <w:pPr>
        <w:rPr>
          <w:rFonts w:asciiTheme="majorHAnsi" w:hAnsiTheme="majorHAnsi"/>
        </w:rPr>
      </w:pPr>
      <w:r w:rsidRPr="00590419">
        <w:rPr>
          <w:rFonts w:asciiTheme="majorHAnsi" w:hAnsiTheme="majorHAnsi"/>
        </w:rPr>
        <w:t>The recommended dose reduction for adverse reactions is:</w:t>
      </w:r>
    </w:p>
    <w:p w14:paraId="5D229CD3" w14:textId="77777777" w:rsidR="00672BA3" w:rsidRPr="00590419" w:rsidRDefault="00452FC4" w:rsidP="000A7AB2">
      <w:pPr>
        <w:pStyle w:val="ListParagraph"/>
        <w:numPr>
          <w:ilvl w:val="0"/>
          <w:numId w:val="32"/>
        </w:numPr>
        <w:rPr>
          <w:rFonts w:asciiTheme="majorHAnsi" w:hAnsiTheme="majorHAnsi"/>
        </w:rPr>
      </w:pPr>
      <w:r w:rsidRPr="00590419">
        <w:rPr>
          <w:rFonts w:asciiTheme="majorHAnsi" w:hAnsiTheme="majorHAnsi"/>
        </w:rPr>
        <w:t xml:space="preserve">QINLOCK 100 mg orally once daily. </w:t>
      </w:r>
    </w:p>
    <w:p w14:paraId="59B853A8" w14:textId="2E36223D" w:rsidR="002C4189" w:rsidRPr="00590419" w:rsidRDefault="00452FC4">
      <w:pPr>
        <w:rPr>
          <w:rFonts w:asciiTheme="majorHAnsi" w:hAnsiTheme="majorHAnsi"/>
        </w:rPr>
      </w:pPr>
      <w:r w:rsidRPr="00590419">
        <w:rPr>
          <w:rFonts w:asciiTheme="majorHAnsi" w:hAnsiTheme="majorHAnsi"/>
        </w:rPr>
        <w:t>Permanently discontinue QINLOCK in patients who are unable to tolerate 100 mg orally once daily.</w:t>
      </w:r>
    </w:p>
    <w:p w14:paraId="746494AA" w14:textId="5A4CD28B" w:rsidR="002C4189" w:rsidRPr="00590419" w:rsidRDefault="00B01B2C" w:rsidP="00161977">
      <w:pPr>
        <w:rPr>
          <w:rFonts w:asciiTheme="majorHAnsi" w:hAnsiTheme="majorHAnsi"/>
          <w:lang w:val="en-US"/>
        </w:rPr>
      </w:pPr>
      <w:r w:rsidRPr="00590419">
        <w:rPr>
          <w:rFonts w:asciiTheme="majorHAnsi" w:hAnsiTheme="majorHAnsi"/>
          <w:lang w:val="en-US"/>
        </w:rPr>
        <w:t>The recommended dosage modifications of QINLOCK for adverse reactions are provided in</w:t>
      </w:r>
      <w:r w:rsidR="001650EE" w:rsidRPr="00590419">
        <w:rPr>
          <w:rFonts w:asciiTheme="majorHAnsi" w:hAnsiTheme="majorHAnsi"/>
          <w:lang w:val="en-US"/>
        </w:rPr>
        <w:t xml:space="preserve"> </w:t>
      </w:r>
      <w:r w:rsidR="001650EE" w:rsidRPr="00590419">
        <w:rPr>
          <w:rFonts w:asciiTheme="majorHAnsi" w:eastAsia="Times New Roman" w:hAnsiTheme="majorHAnsi" w:cs="Times New Roman"/>
          <w:color w:val="0000FF"/>
          <w:lang w:val="en-US"/>
        </w:rPr>
        <w:fldChar w:fldCharType="begin"/>
      </w:r>
      <w:r w:rsidR="001650EE" w:rsidRPr="00590419">
        <w:rPr>
          <w:rFonts w:asciiTheme="majorHAnsi" w:eastAsia="Times New Roman" w:hAnsiTheme="majorHAnsi" w:cs="Times New Roman"/>
          <w:color w:val="0000FF"/>
          <w:lang w:val="en-US"/>
        </w:rPr>
        <w:instrText xml:space="preserve"> REF _Ref22975631 \h  \* MERGEFORMAT </w:instrText>
      </w:r>
      <w:r w:rsidR="001650EE" w:rsidRPr="00590419">
        <w:rPr>
          <w:rFonts w:asciiTheme="majorHAnsi" w:eastAsia="Times New Roman" w:hAnsiTheme="majorHAnsi" w:cs="Times New Roman"/>
          <w:color w:val="0000FF"/>
          <w:lang w:val="en-US"/>
        </w:rPr>
      </w:r>
      <w:r w:rsidR="001650EE" w:rsidRPr="00590419">
        <w:rPr>
          <w:rFonts w:asciiTheme="majorHAnsi" w:eastAsia="Times New Roman" w:hAnsiTheme="majorHAnsi" w:cs="Times New Roman"/>
          <w:color w:val="0000FF"/>
          <w:lang w:val="en-US"/>
        </w:rPr>
        <w:fldChar w:fldCharType="separate"/>
      </w:r>
      <w:r w:rsidR="001650EE" w:rsidRPr="00590419">
        <w:rPr>
          <w:rFonts w:asciiTheme="majorHAnsi" w:eastAsia="Times New Roman" w:hAnsiTheme="majorHAnsi" w:cs="Times New Roman"/>
          <w:color w:val="0000FF"/>
          <w:lang w:val="en-US"/>
        </w:rPr>
        <w:t>Table 1</w:t>
      </w:r>
      <w:r w:rsidR="001650EE" w:rsidRPr="00590419">
        <w:rPr>
          <w:rFonts w:asciiTheme="majorHAnsi" w:eastAsia="Times New Roman" w:hAnsiTheme="majorHAnsi" w:cs="Times New Roman"/>
          <w:color w:val="0000FF"/>
          <w:lang w:val="en-US"/>
        </w:rPr>
        <w:fldChar w:fldCharType="end"/>
      </w:r>
      <w:r w:rsidR="001650EE" w:rsidRPr="00590419">
        <w:rPr>
          <w:rFonts w:asciiTheme="majorHAnsi" w:hAnsiTheme="majorHAnsi"/>
        </w:rPr>
        <w:t>.</w:t>
      </w:r>
    </w:p>
    <w:p w14:paraId="51A82BE7" w14:textId="6FD04215" w:rsidR="002C4189" w:rsidRPr="00440269" w:rsidRDefault="00FB7D91" w:rsidP="00161977">
      <w:pPr>
        <w:rPr>
          <w:rFonts w:asciiTheme="majorHAnsi" w:hAnsiTheme="majorHAnsi"/>
          <w:color w:val="00B050"/>
          <w:lang w:val="en-US"/>
        </w:rPr>
      </w:pPr>
      <w:r w:rsidRPr="00590419">
        <w:rPr>
          <w:rFonts w:asciiTheme="majorHAnsi" w:hAnsiTheme="majorHAnsi"/>
          <w:lang w:val="en-US"/>
        </w:rPr>
        <w:t>Interrupt dosing or reduce dose for toxicities. See for dose modification guidelines.</w:t>
      </w:r>
    </w:p>
    <w:p w14:paraId="3BA9175B" w14:textId="79CAA30C" w:rsidR="002C4189" w:rsidRPr="00E87B71" w:rsidRDefault="00FB7D91" w:rsidP="00E87B71">
      <w:pPr>
        <w:ind w:left="900" w:hanging="900"/>
        <w:rPr>
          <w:rFonts w:asciiTheme="majorHAnsi" w:hAnsiTheme="majorHAnsi"/>
          <w:b/>
          <w:bCs/>
        </w:rPr>
      </w:pPr>
      <w:bookmarkStart w:id="3" w:name="_Ref22975631"/>
      <w:r w:rsidRPr="0081743B">
        <w:rPr>
          <w:rFonts w:asciiTheme="majorHAnsi" w:hAnsiTheme="majorHAnsi"/>
          <w:b/>
          <w:bCs/>
        </w:rPr>
        <w:t xml:space="preserve">Table </w:t>
      </w:r>
      <w:r w:rsidRPr="00590419">
        <w:rPr>
          <w:rFonts w:asciiTheme="majorHAnsi" w:hAnsiTheme="majorHAnsi"/>
          <w:b/>
          <w:bCs/>
        </w:rPr>
        <w:fldChar w:fldCharType="begin"/>
      </w:r>
      <w:r w:rsidRPr="00590419">
        <w:rPr>
          <w:rFonts w:asciiTheme="majorHAnsi" w:hAnsiTheme="majorHAnsi"/>
          <w:b/>
          <w:bCs/>
        </w:rPr>
        <w:instrText xml:space="preserve"> SEQ Table \* ARABIC </w:instrText>
      </w:r>
      <w:r w:rsidRPr="00590419">
        <w:rPr>
          <w:rFonts w:asciiTheme="majorHAnsi" w:hAnsiTheme="majorHAnsi"/>
          <w:b/>
          <w:bCs/>
        </w:rPr>
        <w:fldChar w:fldCharType="separate"/>
      </w:r>
      <w:r w:rsidR="00C8101D" w:rsidRPr="00590419">
        <w:rPr>
          <w:rFonts w:asciiTheme="majorHAnsi" w:hAnsiTheme="majorHAnsi"/>
          <w:b/>
          <w:bCs/>
          <w:noProof/>
        </w:rPr>
        <w:t>1</w:t>
      </w:r>
      <w:r w:rsidRPr="00590419">
        <w:rPr>
          <w:rFonts w:asciiTheme="majorHAnsi" w:hAnsiTheme="majorHAnsi"/>
          <w:b/>
          <w:bCs/>
        </w:rPr>
        <w:fldChar w:fldCharType="end"/>
      </w:r>
      <w:bookmarkEnd w:id="3"/>
      <w:r w:rsidRPr="0081743B">
        <w:rPr>
          <w:rFonts w:asciiTheme="majorHAnsi" w:hAnsiTheme="majorHAnsi"/>
          <w:b/>
          <w:bCs/>
        </w:rPr>
        <w:t xml:space="preserve">: Recommended </w:t>
      </w:r>
      <w:r w:rsidRPr="00E87B71">
        <w:rPr>
          <w:rFonts w:asciiTheme="majorHAnsi" w:hAnsiTheme="majorHAnsi"/>
          <w:b/>
          <w:bCs/>
        </w:rPr>
        <w:t>Dose Modifications for QINLOCK</w:t>
      </w:r>
    </w:p>
    <w:tbl>
      <w:tblPr>
        <w:tblStyle w:val="TableGrid"/>
        <w:tblW w:w="5107" w:type="pct"/>
        <w:tblLook w:val="04A0" w:firstRow="1" w:lastRow="0" w:firstColumn="1" w:lastColumn="0" w:noHBand="0" w:noVBand="1"/>
      </w:tblPr>
      <w:tblGrid>
        <w:gridCol w:w="2151"/>
        <w:gridCol w:w="3196"/>
        <w:gridCol w:w="3862"/>
      </w:tblGrid>
      <w:tr w:rsidR="002C4189" w14:paraId="7BCEAC07" w14:textId="77777777" w:rsidTr="00BF0559">
        <w:trPr>
          <w:tblHeader/>
        </w:trPr>
        <w:tc>
          <w:tcPr>
            <w:tcW w:w="1168" w:type="pct"/>
          </w:tcPr>
          <w:p w14:paraId="60F1E11D" w14:textId="77777777" w:rsidR="002C4189" w:rsidRDefault="00FB7D91">
            <w:pPr>
              <w:spacing w:after="200" w:line="276" w:lineRule="auto"/>
              <w:rPr>
                <w:rFonts w:asciiTheme="majorHAnsi" w:hAnsiTheme="majorHAnsi"/>
                <w:b/>
                <w:sz w:val="22"/>
                <w:szCs w:val="22"/>
              </w:rPr>
            </w:pPr>
            <w:r>
              <w:rPr>
                <w:rFonts w:asciiTheme="majorHAnsi" w:hAnsiTheme="majorHAnsi"/>
                <w:b/>
                <w:sz w:val="22"/>
                <w:szCs w:val="22"/>
              </w:rPr>
              <w:t>Adverse Reaction</w:t>
            </w:r>
          </w:p>
        </w:tc>
        <w:tc>
          <w:tcPr>
            <w:tcW w:w="1735" w:type="pct"/>
          </w:tcPr>
          <w:p w14:paraId="3A55F452" w14:textId="77777777" w:rsidR="002C4189" w:rsidRDefault="00FB7D91">
            <w:pPr>
              <w:spacing w:after="200" w:line="276" w:lineRule="auto"/>
              <w:rPr>
                <w:rFonts w:asciiTheme="majorHAnsi" w:hAnsiTheme="majorHAnsi"/>
                <w:b/>
                <w:sz w:val="22"/>
                <w:szCs w:val="22"/>
              </w:rPr>
            </w:pPr>
            <w:r>
              <w:rPr>
                <w:rFonts w:asciiTheme="majorHAnsi" w:hAnsiTheme="majorHAnsi"/>
                <w:b/>
                <w:sz w:val="22"/>
                <w:szCs w:val="22"/>
              </w:rPr>
              <w:t>Severity</w:t>
            </w:r>
            <w:r>
              <w:rPr>
                <w:rFonts w:asciiTheme="majorHAnsi" w:hAnsiTheme="majorHAnsi"/>
                <w:b/>
                <w:sz w:val="22"/>
                <w:szCs w:val="22"/>
                <w:vertAlign w:val="superscript"/>
              </w:rPr>
              <w:t>a</w:t>
            </w:r>
          </w:p>
        </w:tc>
        <w:tc>
          <w:tcPr>
            <w:tcW w:w="2097" w:type="pct"/>
          </w:tcPr>
          <w:p w14:paraId="0E8ABF04" w14:textId="77777777" w:rsidR="002C4189" w:rsidRDefault="00FB7D91">
            <w:pPr>
              <w:spacing w:after="200" w:line="276" w:lineRule="auto"/>
              <w:rPr>
                <w:rFonts w:asciiTheme="majorHAnsi" w:hAnsiTheme="majorHAnsi"/>
                <w:b/>
                <w:sz w:val="22"/>
                <w:szCs w:val="22"/>
              </w:rPr>
            </w:pPr>
            <w:r>
              <w:rPr>
                <w:rFonts w:asciiTheme="majorHAnsi" w:hAnsiTheme="majorHAnsi"/>
                <w:b/>
                <w:sz w:val="22"/>
                <w:szCs w:val="22"/>
              </w:rPr>
              <w:t>Dosage Modifications</w:t>
            </w:r>
          </w:p>
        </w:tc>
      </w:tr>
      <w:tr w:rsidR="0081743B" w:rsidRPr="0081743B" w14:paraId="2E810BED" w14:textId="77777777" w:rsidTr="00BF0559">
        <w:tc>
          <w:tcPr>
            <w:tcW w:w="1168" w:type="pct"/>
            <w:vMerge w:val="restart"/>
            <w:vAlign w:val="center"/>
          </w:tcPr>
          <w:p w14:paraId="42AA95DC" w14:textId="068E3BE2" w:rsidR="002C4189" w:rsidRDefault="00B300B2" w:rsidP="00D81DF6">
            <w:pPr>
              <w:rPr>
                <w:rFonts w:asciiTheme="majorHAnsi" w:hAnsiTheme="majorHAnsi"/>
                <w:bCs/>
                <w:sz w:val="22"/>
                <w:szCs w:val="22"/>
              </w:rPr>
            </w:pPr>
            <w:bookmarkStart w:id="4" w:name="_Hlk27025353"/>
            <w:r w:rsidRPr="00590419">
              <w:rPr>
                <w:rFonts w:asciiTheme="majorHAnsi" w:hAnsiTheme="majorHAnsi"/>
                <w:bCs/>
                <w:sz w:val="22"/>
                <w:szCs w:val="22"/>
              </w:rPr>
              <w:t>P</w:t>
            </w:r>
            <w:bookmarkStart w:id="5" w:name="_Hlk26993358"/>
            <w:r w:rsidR="001650EE" w:rsidRPr="00590419">
              <w:rPr>
                <w:rFonts w:asciiTheme="majorHAnsi" w:hAnsiTheme="majorHAnsi"/>
                <w:bCs/>
                <w:sz w:val="22"/>
                <w:szCs w:val="22"/>
              </w:rPr>
              <w:t>almar-Plantar</w:t>
            </w:r>
            <w:r w:rsidR="0062668A" w:rsidRPr="00590419">
              <w:rPr>
                <w:rFonts w:asciiTheme="majorHAnsi" w:hAnsiTheme="majorHAnsi"/>
                <w:bCs/>
                <w:sz w:val="22"/>
                <w:szCs w:val="22"/>
              </w:rPr>
              <w:t xml:space="preserve"> </w:t>
            </w:r>
            <w:r w:rsidR="001650EE" w:rsidRPr="00590419">
              <w:rPr>
                <w:rFonts w:asciiTheme="majorHAnsi" w:hAnsiTheme="majorHAnsi"/>
                <w:bCs/>
                <w:sz w:val="22"/>
                <w:szCs w:val="22"/>
              </w:rPr>
              <w:t>E</w:t>
            </w:r>
            <w:r w:rsidR="00275ABA" w:rsidRPr="00590419">
              <w:rPr>
                <w:rFonts w:asciiTheme="majorHAnsi" w:hAnsiTheme="majorHAnsi"/>
                <w:bCs/>
                <w:sz w:val="22"/>
                <w:szCs w:val="22"/>
              </w:rPr>
              <w:t>rythrodys</w:t>
            </w:r>
            <w:r w:rsidR="00F32F8A" w:rsidRPr="0081743B">
              <w:rPr>
                <w:rFonts w:asciiTheme="majorHAnsi" w:hAnsiTheme="majorHAnsi"/>
                <w:sz w:val="22"/>
                <w:szCs w:val="22"/>
              </w:rPr>
              <w:t>a</w:t>
            </w:r>
            <w:r w:rsidR="00275ABA" w:rsidRPr="00590419">
              <w:rPr>
                <w:rFonts w:asciiTheme="majorHAnsi" w:hAnsiTheme="majorHAnsi"/>
                <w:bCs/>
                <w:sz w:val="22"/>
                <w:szCs w:val="22"/>
              </w:rPr>
              <w:t>esthesia</w:t>
            </w:r>
            <w:r w:rsidR="00275ABA" w:rsidRPr="0081743B">
              <w:rPr>
                <w:rFonts w:asciiTheme="majorHAnsi" w:hAnsiTheme="majorHAnsi"/>
                <w:sz w:val="22"/>
                <w:szCs w:val="22"/>
              </w:rPr>
              <w:t xml:space="preserve"> </w:t>
            </w:r>
            <w:r w:rsidR="001650EE" w:rsidRPr="00590419">
              <w:rPr>
                <w:rFonts w:asciiTheme="majorHAnsi" w:hAnsiTheme="majorHAnsi"/>
                <w:bCs/>
                <w:sz w:val="22"/>
                <w:szCs w:val="22"/>
              </w:rPr>
              <w:t>S</w:t>
            </w:r>
            <w:r w:rsidR="0062668A" w:rsidRPr="0081743B">
              <w:rPr>
                <w:rFonts w:asciiTheme="majorHAnsi" w:hAnsiTheme="majorHAnsi"/>
                <w:sz w:val="22"/>
                <w:szCs w:val="22"/>
              </w:rPr>
              <w:t xml:space="preserve">yndrome </w:t>
            </w:r>
            <w:r w:rsidR="0062668A">
              <w:rPr>
                <w:rFonts w:asciiTheme="majorHAnsi" w:hAnsiTheme="majorHAnsi"/>
                <w:sz w:val="22"/>
                <w:szCs w:val="22"/>
              </w:rPr>
              <w:t>[PPES])</w:t>
            </w:r>
            <w:r w:rsidR="00FB7D91">
              <w:rPr>
                <w:rFonts w:asciiTheme="majorHAnsi" w:hAnsiTheme="majorHAnsi"/>
                <w:sz w:val="22"/>
                <w:szCs w:val="22"/>
              </w:rPr>
              <w:t xml:space="preserve"> </w:t>
            </w:r>
            <w:bookmarkEnd w:id="4"/>
            <w:bookmarkEnd w:id="5"/>
            <w:r w:rsidR="00FB7D91" w:rsidRPr="00235EA4">
              <w:rPr>
                <w:rFonts w:asciiTheme="majorHAnsi" w:hAnsiTheme="majorHAnsi"/>
                <w:sz w:val="22"/>
                <w:szCs w:val="22"/>
              </w:rPr>
              <w:t xml:space="preserve">[see </w:t>
            </w:r>
            <w:r w:rsidR="00FB7D91" w:rsidRPr="00235EA4">
              <w:rPr>
                <w:rFonts w:asciiTheme="majorHAnsi" w:hAnsiTheme="majorHAnsi"/>
                <w:color w:val="0000FF"/>
                <w:sz w:val="22"/>
                <w:szCs w:val="22"/>
              </w:rPr>
              <w:t xml:space="preserve">Section 4.4 </w:t>
            </w:r>
            <w:r w:rsidR="00FB7D91" w:rsidRPr="00235EA4">
              <w:rPr>
                <w:rFonts w:asciiTheme="majorHAnsi" w:hAnsiTheme="majorHAnsi"/>
                <w:sz w:val="22"/>
                <w:szCs w:val="22"/>
              </w:rPr>
              <w:t>Special Warnings and Precautions for Use]</w:t>
            </w:r>
          </w:p>
        </w:tc>
        <w:tc>
          <w:tcPr>
            <w:tcW w:w="1735" w:type="pct"/>
          </w:tcPr>
          <w:p w14:paraId="2543E294" w14:textId="77777777" w:rsidR="002C4189" w:rsidRDefault="00FB7D91">
            <w:pPr>
              <w:spacing w:after="200" w:line="276" w:lineRule="auto"/>
              <w:rPr>
                <w:rFonts w:asciiTheme="majorHAnsi" w:hAnsiTheme="majorHAnsi"/>
                <w:bCs/>
                <w:sz w:val="22"/>
                <w:szCs w:val="22"/>
              </w:rPr>
            </w:pPr>
            <w:r>
              <w:rPr>
                <w:rFonts w:asciiTheme="majorHAnsi" w:hAnsiTheme="majorHAnsi"/>
                <w:bCs/>
                <w:sz w:val="22"/>
                <w:szCs w:val="22"/>
              </w:rPr>
              <w:t xml:space="preserve">Grade 2 </w:t>
            </w:r>
          </w:p>
        </w:tc>
        <w:tc>
          <w:tcPr>
            <w:tcW w:w="2097" w:type="pct"/>
          </w:tcPr>
          <w:p w14:paraId="38581072" w14:textId="4D32A16E" w:rsidR="002C4189" w:rsidRPr="00590419" w:rsidRDefault="00B300B2" w:rsidP="00D916BC">
            <w:pPr>
              <w:numPr>
                <w:ilvl w:val="0"/>
                <w:numId w:val="12"/>
              </w:numPr>
              <w:rPr>
                <w:rFonts w:asciiTheme="majorHAnsi" w:hAnsiTheme="majorHAnsi"/>
                <w:bCs/>
                <w:sz w:val="22"/>
                <w:szCs w:val="22"/>
              </w:rPr>
            </w:pPr>
            <w:r w:rsidRPr="00590419">
              <w:rPr>
                <w:rFonts w:asciiTheme="majorHAnsi" w:hAnsiTheme="majorHAnsi"/>
                <w:bCs/>
                <w:sz w:val="22"/>
                <w:szCs w:val="22"/>
              </w:rPr>
              <w:t>Withhold QINLOCK until Grade ≤1 or baseline. If recovered within 7 days, resume QINLOCK at same dose; otherwise resume at reduced dose.</w:t>
            </w:r>
            <w:r w:rsidR="005671A0" w:rsidRPr="00590419">
              <w:rPr>
                <w:rFonts w:asciiTheme="majorHAnsi" w:hAnsiTheme="majorHAnsi"/>
                <w:bCs/>
                <w:sz w:val="22"/>
                <w:szCs w:val="22"/>
              </w:rPr>
              <w:t xml:space="preserve"> </w:t>
            </w:r>
          </w:p>
          <w:p w14:paraId="3ECD18CD" w14:textId="77777777" w:rsidR="00D916BC" w:rsidRPr="00590419" w:rsidRDefault="00B300B2" w:rsidP="00D916BC">
            <w:pPr>
              <w:numPr>
                <w:ilvl w:val="0"/>
                <w:numId w:val="12"/>
              </w:numPr>
              <w:rPr>
                <w:rFonts w:asciiTheme="majorHAnsi" w:hAnsiTheme="majorHAnsi"/>
                <w:bCs/>
                <w:sz w:val="22"/>
                <w:szCs w:val="22"/>
              </w:rPr>
            </w:pPr>
            <w:r w:rsidRPr="00590419">
              <w:rPr>
                <w:rFonts w:asciiTheme="majorHAnsi" w:hAnsiTheme="majorHAnsi"/>
                <w:bCs/>
                <w:sz w:val="22"/>
                <w:szCs w:val="22"/>
              </w:rPr>
              <w:t>Consider re</w:t>
            </w:r>
            <w:r w:rsidR="005671A0" w:rsidRPr="00590419">
              <w:rPr>
                <w:rFonts w:asciiTheme="majorHAnsi" w:hAnsiTheme="majorHAnsi"/>
                <w:bCs/>
                <w:sz w:val="22"/>
                <w:szCs w:val="22"/>
              </w:rPr>
              <w:noBreakHyphen/>
            </w:r>
            <w:r w:rsidRPr="00590419">
              <w:rPr>
                <w:rFonts w:asciiTheme="majorHAnsi" w:hAnsiTheme="majorHAnsi"/>
                <w:bCs/>
                <w:sz w:val="22"/>
                <w:szCs w:val="22"/>
              </w:rPr>
              <w:t>escalating QINLOCK if maintained at Grade ≤1 or baseline for at least 28 days.</w:t>
            </w:r>
            <w:r w:rsidR="00582B52" w:rsidRPr="00590419">
              <w:rPr>
                <w:rFonts w:asciiTheme="majorHAnsi" w:hAnsiTheme="majorHAnsi"/>
                <w:bCs/>
                <w:sz w:val="22"/>
                <w:szCs w:val="22"/>
              </w:rPr>
              <w:t xml:space="preserve"> </w:t>
            </w:r>
          </w:p>
          <w:p w14:paraId="30CC73BE" w14:textId="786E4890" w:rsidR="002C4189" w:rsidRPr="00590419" w:rsidRDefault="00B300B2" w:rsidP="0081743B">
            <w:pPr>
              <w:numPr>
                <w:ilvl w:val="0"/>
                <w:numId w:val="12"/>
              </w:numPr>
              <w:rPr>
                <w:rFonts w:asciiTheme="majorHAnsi" w:hAnsiTheme="majorHAnsi"/>
                <w:sz w:val="22"/>
                <w:szCs w:val="22"/>
              </w:rPr>
            </w:pPr>
            <w:r w:rsidRPr="00590419">
              <w:rPr>
                <w:rFonts w:asciiTheme="majorHAnsi" w:hAnsiTheme="majorHAnsi"/>
                <w:bCs/>
                <w:sz w:val="22"/>
                <w:szCs w:val="22"/>
              </w:rPr>
              <w:t>If PPES recurs, withhold QINLOCK until Grade ≤1 or baseline and then resume QINLOCK at a reduced dose regardless of time to improvement.</w:t>
            </w:r>
          </w:p>
        </w:tc>
      </w:tr>
      <w:tr w:rsidR="0081743B" w:rsidRPr="0081743B" w14:paraId="50C89601" w14:textId="77777777" w:rsidTr="00BF0559">
        <w:tc>
          <w:tcPr>
            <w:tcW w:w="1168" w:type="pct"/>
            <w:vMerge/>
            <w:vAlign w:val="center"/>
          </w:tcPr>
          <w:p w14:paraId="27B35D03" w14:textId="77777777" w:rsidR="002C4189" w:rsidRDefault="002C4189">
            <w:pPr>
              <w:spacing w:after="200" w:line="276" w:lineRule="auto"/>
              <w:rPr>
                <w:rFonts w:asciiTheme="majorHAnsi" w:hAnsiTheme="majorHAnsi"/>
                <w:bCs/>
                <w:sz w:val="22"/>
                <w:szCs w:val="22"/>
              </w:rPr>
            </w:pPr>
          </w:p>
        </w:tc>
        <w:tc>
          <w:tcPr>
            <w:tcW w:w="1735" w:type="pct"/>
          </w:tcPr>
          <w:p w14:paraId="270414BB" w14:textId="77777777" w:rsidR="002C4189" w:rsidRDefault="00FB7D91">
            <w:pPr>
              <w:spacing w:after="200" w:line="276" w:lineRule="auto"/>
              <w:rPr>
                <w:rFonts w:asciiTheme="majorHAnsi" w:hAnsiTheme="majorHAnsi"/>
                <w:bCs/>
                <w:sz w:val="22"/>
                <w:szCs w:val="22"/>
              </w:rPr>
            </w:pPr>
            <w:r>
              <w:rPr>
                <w:rFonts w:asciiTheme="majorHAnsi" w:hAnsiTheme="majorHAnsi"/>
                <w:bCs/>
                <w:sz w:val="22"/>
                <w:szCs w:val="22"/>
              </w:rPr>
              <w:t>Grade 3</w:t>
            </w:r>
          </w:p>
        </w:tc>
        <w:tc>
          <w:tcPr>
            <w:tcW w:w="2097" w:type="pct"/>
          </w:tcPr>
          <w:p w14:paraId="12B7B7FB" w14:textId="77777777" w:rsidR="00D916BC" w:rsidRPr="00590419" w:rsidRDefault="00B300B2" w:rsidP="00D916BC">
            <w:pPr>
              <w:numPr>
                <w:ilvl w:val="0"/>
                <w:numId w:val="12"/>
              </w:numPr>
              <w:rPr>
                <w:rFonts w:asciiTheme="majorHAnsi" w:hAnsiTheme="majorHAnsi"/>
                <w:bCs/>
                <w:sz w:val="22"/>
                <w:szCs w:val="22"/>
              </w:rPr>
            </w:pPr>
            <w:r w:rsidRPr="00590419">
              <w:rPr>
                <w:rFonts w:asciiTheme="majorHAnsi" w:hAnsiTheme="majorHAnsi"/>
                <w:bCs/>
                <w:sz w:val="22"/>
                <w:szCs w:val="22"/>
              </w:rPr>
              <w:t xml:space="preserve">Withhold QINLOCK for at least 7 days or until Grade ≤1 or baseline (maximum 28 days). Resume QINLOCK at a reduced dose. </w:t>
            </w:r>
          </w:p>
          <w:p w14:paraId="1A65DC7E" w14:textId="21006BFC" w:rsidR="002C4189" w:rsidRPr="00590419" w:rsidRDefault="00B300B2" w:rsidP="0081743B">
            <w:pPr>
              <w:numPr>
                <w:ilvl w:val="0"/>
                <w:numId w:val="12"/>
              </w:numPr>
              <w:rPr>
                <w:rFonts w:asciiTheme="majorHAnsi" w:hAnsiTheme="majorHAnsi"/>
                <w:bCs/>
                <w:sz w:val="22"/>
                <w:szCs w:val="22"/>
              </w:rPr>
            </w:pPr>
            <w:r w:rsidRPr="00590419">
              <w:rPr>
                <w:rFonts w:asciiTheme="majorHAnsi" w:hAnsiTheme="majorHAnsi"/>
                <w:bCs/>
                <w:sz w:val="22"/>
                <w:szCs w:val="22"/>
              </w:rPr>
              <w:t>Consider re-escalating QINLOCK if maintained at Grade ≤1 or baseline for at least 28 days.</w:t>
            </w:r>
            <w:r w:rsidR="00FB7D91" w:rsidRPr="00590419">
              <w:rPr>
                <w:rFonts w:asciiTheme="majorHAnsi" w:hAnsiTheme="majorHAnsi"/>
                <w:bCs/>
                <w:strike/>
                <w:sz w:val="22"/>
                <w:szCs w:val="22"/>
              </w:rPr>
              <w:t xml:space="preserve"> </w:t>
            </w:r>
          </w:p>
        </w:tc>
      </w:tr>
      <w:tr w:rsidR="0081743B" w:rsidRPr="0081743B" w14:paraId="723BA35A" w14:textId="77777777" w:rsidTr="00BF0559">
        <w:tc>
          <w:tcPr>
            <w:tcW w:w="1168" w:type="pct"/>
            <w:vMerge w:val="restart"/>
            <w:vAlign w:val="center"/>
          </w:tcPr>
          <w:p w14:paraId="3A2F8219" w14:textId="77777777" w:rsidR="002C4189" w:rsidRDefault="00FB7D91">
            <w:pPr>
              <w:spacing w:after="200" w:line="276" w:lineRule="auto"/>
              <w:rPr>
                <w:rFonts w:asciiTheme="majorHAnsi" w:hAnsiTheme="majorHAnsi"/>
                <w:bCs/>
                <w:sz w:val="22"/>
                <w:szCs w:val="22"/>
              </w:rPr>
            </w:pPr>
            <w:r>
              <w:rPr>
                <w:rFonts w:asciiTheme="majorHAnsi" w:hAnsiTheme="majorHAnsi"/>
                <w:bCs/>
                <w:sz w:val="22"/>
                <w:szCs w:val="22"/>
              </w:rPr>
              <w:t xml:space="preserve">Hypertension </w:t>
            </w:r>
            <w:r w:rsidRPr="00235EA4">
              <w:rPr>
                <w:rFonts w:asciiTheme="majorHAnsi" w:hAnsiTheme="majorHAnsi"/>
                <w:bCs/>
                <w:sz w:val="22"/>
                <w:szCs w:val="22"/>
              </w:rPr>
              <w:t>[see</w:t>
            </w:r>
            <w:r w:rsidRPr="00A53DA3">
              <w:rPr>
                <w:rFonts w:asciiTheme="majorHAnsi" w:hAnsiTheme="majorHAnsi"/>
                <w:bCs/>
                <w:sz w:val="22"/>
                <w:szCs w:val="22"/>
              </w:rPr>
              <w:t xml:space="preserve"> </w:t>
            </w:r>
            <w:r w:rsidRPr="00235EA4">
              <w:rPr>
                <w:rFonts w:asciiTheme="majorHAnsi" w:hAnsiTheme="majorHAnsi"/>
                <w:bCs/>
                <w:color w:val="0000FF"/>
                <w:sz w:val="22"/>
                <w:szCs w:val="22"/>
              </w:rPr>
              <w:t>Section 4.4</w:t>
            </w:r>
            <w:r w:rsidRPr="00A53DA3">
              <w:rPr>
                <w:rFonts w:asciiTheme="majorHAnsi" w:hAnsiTheme="majorHAnsi"/>
                <w:bCs/>
                <w:color w:val="0000FF"/>
                <w:sz w:val="22"/>
                <w:szCs w:val="22"/>
              </w:rPr>
              <w:t xml:space="preserve"> </w:t>
            </w:r>
            <w:r w:rsidRPr="00235EA4">
              <w:rPr>
                <w:rFonts w:asciiTheme="majorHAnsi" w:hAnsiTheme="majorHAnsi"/>
                <w:sz w:val="22"/>
                <w:szCs w:val="22"/>
              </w:rPr>
              <w:t>Special Warnings and Precautions for Use]</w:t>
            </w:r>
          </w:p>
        </w:tc>
        <w:tc>
          <w:tcPr>
            <w:tcW w:w="1735" w:type="pct"/>
          </w:tcPr>
          <w:p w14:paraId="4B9EDBD6" w14:textId="2727091D" w:rsidR="002C4189" w:rsidRDefault="00FB7D91">
            <w:pPr>
              <w:spacing w:after="200" w:line="276" w:lineRule="auto"/>
              <w:rPr>
                <w:rFonts w:asciiTheme="majorHAnsi" w:hAnsiTheme="majorHAnsi"/>
                <w:bCs/>
                <w:sz w:val="22"/>
                <w:szCs w:val="22"/>
              </w:rPr>
            </w:pPr>
            <w:r>
              <w:rPr>
                <w:rFonts w:asciiTheme="majorHAnsi" w:hAnsiTheme="majorHAnsi"/>
                <w:bCs/>
                <w:sz w:val="22"/>
                <w:szCs w:val="22"/>
              </w:rPr>
              <w:t>Grade 3</w:t>
            </w:r>
          </w:p>
        </w:tc>
        <w:tc>
          <w:tcPr>
            <w:tcW w:w="2097" w:type="pct"/>
          </w:tcPr>
          <w:p w14:paraId="2AD19387" w14:textId="77777777" w:rsidR="00D916BC" w:rsidRPr="00590419" w:rsidRDefault="00B300B2" w:rsidP="00D916BC">
            <w:pPr>
              <w:numPr>
                <w:ilvl w:val="0"/>
                <w:numId w:val="12"/>
              </w:numPr>
              <w:rPr>
                <w:rFonts w:asciiTheme="majorHAnsi" w:hAnsiTheme="majorHAnsi"/>
                <w:bCs/>
                <w:sz w:val="22"/>
                <w:szCs w:val="22"/>
              </w:rPr>
            </w:pPr>
            <w:r w:rsidRPr="00590419">
              <w:rPr>
                <w:rFonts w:asciiTheme="majorHAnsi" w:hAnsiTheme="majorHAnsi"/>
                <w:bCs/>
                <w:sz w:val="22"/>
                <w:szCs w:val="22"/>
              </w:rPr>
              <w:t>If symptomatic, withhold QINLOCK until symptoms have resolved and blood pressure is controlled.</w:t>
            </w:r>
          </w:p>
          <w:p w14:paraId="4840D1B0" w14:textId="77777777" w:rsidR="00D916BC" w:rsidRPr="00590419" w:rsidRDefault="00B300B2" w:rsidP="00D916BC">
            <w:pPr>
              <w:numPr>
                <w:ilvl w:val="0"/>
                <w:numId w:val="12"/>
              </w:numPr>
              <w:rPr>
                <w:rFonts w:asciiTheme="majorHAnsi" w:hAnsiTheme="majorHAnsi"/>
                <w:bCs/>
                <w:sz w:val="22"/>
                <w:szCs w:val="22"/>
              </w:rPr>
            </w:pPr>
            <w:r w:rsidRPr="00590419">
              <w:rPr>
                <w:rFonts w:asciiTheme="majorHAnsi" w:hAnsiTheme="majorHAnsi"/>
                <w:bCs/>
                <w:sz w:val="22"/>
                <w:szCs w:val="22"/>
              </w:rPr>
              <w:t xml:space="preserve">If blood pressure is controlled to Grade ≤1 or baseline, resume QINLOCK at the same dose; otherwise, resume QINLOCK at reduced dose. </w:t>
            </w:r>
          </w:p>
          <w:p w14:paraId="4C1F9248" w14:textId="7D6422ED" w:rsidR="002C4189" w:rsidRPr="00590419" w:rsidRDefault="00B300B2" w:rsidP="0081743B">
            <w:pPr>
              <w:numPr>
                <w:ilvl w:val="0"/>
                <w:numId w:val="12"/>
              </w:numPr>
              <w:rPr>
                <w:rFonts w:asciiTheme="majorHAnsi" w:hAnsiTheme="majorHAnsi"/>
                <w:bCs/>
                <w:sz w:val="22"/>
                <w:szCs w:val="22"/>
              </w:rPr>
            </w:pPr>
            <w:r w:rsidRPr="00590419">
              <w:rPr>
                <w:rFonts w:asciiTheme="majorHAnsi" w:hAnsiTheme="majorHAnsi"/>
                <w:bCs/>
                <w:sz w:val="22"/>
                <w:szCs w:val="22"/>
              </w:rPr>
              <w:t>If Grade 3 hypertension recurs, withhold QINLOCK until symptoms have resolved and blood pressure is controlled.</w:t>
            </w:r>
            <w:r w:rsidR="00414B07">
              <w:rPr>
                <w:rFonts w:asciiTheme="majorHAnsi" w:hAnsiTheme="majorHAnsi"/>
                <w:bCs/>
                <w:sz w:val="22"/>
                <w:szCs w:val="22"/>
              </w:rPr>
              <w:t xml:space="preserve"> </w:t>
            </w:r>
            <w:r w:rsidRPr="00590419">
              <w:rPr>
                <w:rFonts w:asciiTheme="majorHAnsi" w:hAnsiTheme="majorHAnsi"/>
                <w:bCs/>
                <w:sz w:val="22"/>
                <w:szCs w:val="22"/>
              </w:rPr>
              <w:lastRenderedPageBreak/>
              <w:t>Resume QINLOCK at a reduced dose.</w:t>
            </w:r>
            <w:r w:rsidR="00FB7D91" w:rsidRPr="00590419">
              <w:rPr>
                <w:rFonts w:asciiTheme="majorHAnsi" w:hAnsiTheme="majorHAnsi"/>
                <w:strike/>
                <w:sz w:val="22"/>
                <w:szCs w:val="22"/>
              </w:rPr>
              <w:t xml:space="preserve"> </w:t>
            </w:r>
          </w:p>
        </w:tc>
      </w:tr>
      <w:tr w:rsidR="0081743B" w:rsidRPr="0081743B" w14:paraId="3A429B41" w14:textId="77777777" w:rsidTr="00BF0559">
        <w:tc>
          <w:tcPr>
            <w:tcW w:w="1168" w:type="pct"/>
            <w:vMerge/>
            <w:vAlign w:val="center"/>
          </w:tcPr>
          <w:p w14:paraId="74F6B3AC" w14:textId="77777777" w:rsidR="000C52B7" w:rsidRDefault="000C52B7" w:rsidP="000C52B7">
            <w:pPr>
              <w:spacing w:after="200" w:line="276" w:lineRule="auto"/>
              <w:rPr>
                <w:rFonts w:asciiTheme="majorHAnsi" w:hAnsiTheme="majorHAnsi"/>
                <w:bCs/>
                <w:sz w:val="22"/>
                <w:szCs w:val="22"/>
              </w:rPr>
            </w:pPr>
          </w:p>
        </w:tc>
        <w:tc>
          <w:tcPr>
            <w:tcW w:w="1735" w:type="pct"/>
          </w:tcPr>
          <w:p w14:paraId="3757B09E" w14:textId="77777777" w:rsidR="000C52B7" w:rsidRDefault="000C52B7" w:rsidP="000C52B7">
            <w:pPr>
              <w:spacing w:after="200" w:line="276" w:lineRule="auto"/>
              <w:rPr>
                <w:rFonts w:asciiTheme="majorHAnsi" w:hAnsiTheme="majorHAnsi"/>
                <w:bCs/>
                <w:sz w:val="22"/>
                <w:szCs w:val="22"/>
              </w:rPr>
            </w:pPr>
            <w:r>
              <w:rPr>
                <w:rFonts w:asciiTheme="majorHAnsi" w:hAnsiTheme="majorHAnsi"/>
                <w:bCs/>
                <w:sz w:val="22"/>
                <w:szCs w:val="22"/>
              </w:rPr>
              <w:t>Grade 4</w:t>
            </w:r>
          </w:p>
          <w:p w14:paraId="3A1F5CDD" w14:textId="77777777" w:rsidR="000C52B7" w:rsidRDefault="000C52B7" w:rsidP="000C52B7">
            <w:pPr>
              <w:spacing w:after="200" w:line="276" w:lineRule="auto"/>
              <w:rPr>
                <w:rFonts w:asciiTheme="majorHAnsi" w:hAnsiTheme="majorHAnsi"/>
                <w:bCs/>
                <w:sz w:val="22"/>
                <w:szCs w:val="22"/>
              </w:rPr>
            </w:pPr>
            <w:r>
              <w:rPr>
                <w:rFonts w:asciiTheme="majorHAnsi" w:hAnsiTheme="majorHAnsi"/>
                <w:bCs/>
                <w:sz w:val="22"/>
                <w:szCs w:val="22"/>
              </w:rPr>
              <w:t>Life-threatening consequences (e.g., malignant hypertension, transient or permanent neurologic deficit, hypertensive crisis)</w:t>
            </w:r>
          </w:p>
        </w:tc>
        <w:tc>
          <w:tcPr>
            <w:tcW w:w="2097" w:type="pct"/>
          </w:tcPr>
          <w:p w14:paraId="603A5E5A" w14:textId="619C9B70" w:rsidR="000C52B7" w:rsidRPr="00590419" w:rsidRDefault="000C52B7" w:rsidP="000C52B7">
            <w:pPr>
              <w:spacing w:after="200" w:line="276" w:lineRule="auto"/>
              <w:rPr>
                <w:rFonts w:asciiTheme="majorHAnsi" w:hAnsiTheme="majorHAnsi"/>
                <w:bCs/>
                <w:sz w:val="22"/>
                <w:szCs w:val="22"/>
              </w:rPr>
            </w:pPr>
            <w:r w:rsidRPr="00590419">
              <w:rPr>
                <w:rFonts w:asciiTheme="majorHAnsi" w:hAnsiTheme="majorHAnsi"/>
                <w:bCs/>
                <w:sz w:val="22"/>
                <w:szCs w:val="22"/>
              </w:rPr>
              <w:t>Permanently discontinue QINLOCK</w:t>
            </w:r>
            <w:r w:rsidRPr="00590419">
              <w:rPr>
                <w:rFonts w:asciiTheme="majorHAnsi" w:hAnsiTheme="majorHAnsi"/>
                <w:sz w:val="22"/>
                <w:szCs w:val="22"/>
              </w:rPr>
              <w:t>.</w:t>
            </w:r>
            <w:r w:rsidR="00A9028C" w:rsidRPr="00590419">
              <w:rPr>
                <w:rFonts w:asciiTheme="majorHAnsi" w:hAnsiTheme="majorHAnsi"/>
                <w:sz w:val="22"/>
                <w:szCs w:val="22"/>
              </w:rPr>
              <w:t xml:space="preserve"> </w:t>
            </w:r>
          </w:p>
        </w:tc>
      </w:tr>
      <w:tr w:rsidR="0081743B" w:rsidRPr="0081743B" w14:paraId="45DCC818" w14:textId="77777777" w:rsidTr="00BF0559">
        <w:tc>
          <w:tcPr>
            <w:tcW w:w="1168" w:type="pct"/>
            <w:vAlign w:val="center"/>
          </w:tcPr>
          <w:p w14:paraId="177CD71D" w14:textId="20249A54" w:rsidR="000C52B7" w:rsidRPr="008C6334" w:rsidRDefault="000C52B7" w:rsidP="000C52B7">
            <w:pPr>
              <w:rPr>
                <w:rFonts w:asciiTheme="majorHAnsi" w:hAnsiTheme="majorHAnsi"/>
                <w:bCs/>
                <w:color w:val="00B050"/>
                <w:sz w:val="22"/>
                <w:szCs w:val="22"/>
                <w:u w:val="single"/>
              </w:rPr>
            </w:pPr>
            <w:r w:rsidRPr="00590419">
              <w:rPr>
                <w:rFonts w:asciiTheme="majorHAnsi" w:hAnsiTheme="majorHAnsi"/>
                <w:bCs/>
                <w:sz w:val="22"/>
                <w:szCs w:val="22"/>
              </w:rPr>
              <w:t xml:space="preserve">Left Ventricular Systolic Dysfunction [see </w:t>
            </w:r>
            <w:r w:rsidRPr="00590419">
              <w:rPr>
                <w:rFonts w:asciiTheme="majorHAnsi" w:hAnsiTheme="majorHAnsi"/>
                <w:bCs/>
                <w:color w:val="0000FF"/>
                <w:sz w:val="22"/>
                <w:szCs w:val="22"/>
              </w:rPr>
              <w:t xml:space="preserve">Section 4.4 </w:t>
            </w:r>
            <w:r w:rsidRPr="00590419">
              <w:rPr>
                <w:rFonts w:asciiTheme="majorHAnsi" w:hAnsiTheme="majorHAnsi"/>
                <w:bCs/>
                <w:sz w:val="22"/>
                <w:szCs w:val="22"/>
              </w:rPr>
              <w:t>Special Warnings and Precautions for Use]</w:t>
            </w:r>
          </w:p>
        </w:tc>
        <w:tc>
          <w:tcPr>
            <w:tcW w:w="1735" w:type="pct"/>
          </w:tcPr>
          <w:p w14:paraId="2B553420" w14:textId="18965019" w:rsidR="000C52B7" w:rsidRPr="00590419" w:rsidRDefault="000C52B7" w:rsidP="00804735">
            <w:pPr>
              <w:spacing w:after="200" w:line="276" w:lineRule="auto"/>
              <w:rPr>
                <w:rFonts w:asciiTheme="majorHAnsi" w:hAnsiTheme="majorHAnsi"/>
                <w:bCs/>
                <w:color w:val="00B050"/>
                <w:sz w:val="22"/>
                <w:szCs w:val="22"/>
              </w:rPr>
            </w:pPr>
            <w:r w:rsidRPr="00590419">
              <w:rPr>
                <w:rFonts w:asciiTheme="majorHAnsi" w:hAnsiTheme="majorHAnsi"/>
                <w:bCs/>
                <w:sz w:val="22"/>
                <w:szCs w:val="22"/>
              </w:rPr>
              <w:t>Grade 3 or 4</w:t>
            </w:r>
          </w:p>
        </w:tc>
        <w:tc>
          <w:tcPr>
            <w:tcW w:w="2097" w:type="pct"/>
          </w:tcPr>
          <w:p w14:paraId="7EBD7920" w14:textId="211B591A" w:rsidR="000C52B7" w:rsidRPr="00590419" w:rsidRDefault="00514028" w:rsidP="000C52B7">
            <w:pPr>
              <w:rPr>
                <w:rFonts w:asciiTheme="majorHAnsi" w:hAnsiTheme="majorHAnsi"/>
                <w:sz w:val="22"/>
                <w:szCs w:val="22"/>
              </w:rPr>
            </w:pPr>
            <w:r w:rsidRPr="00590419">
              <w:rPr>
                <w:rFonts w:asciiTheme="majorHAnsi" w:hAnsiTheme="majorHAnsi"/>
                <w:bCs/>
                <w:sz w:val="22"/>
                <w:szCs w:val="22"/>
              </w:rPr>
              <w:t>Permanently discontinue QINLOCK</w:t>
            </w:r>
            <w:r w:rsidRPr="00590419">
              <w:rPr>
                <w:rFonts w:asciiTheme="majorHAnsi" w:hAnsiTheme="majorHAnsi"/>
                <w:sz w:val="22"/>
                <w:szCs w:val="22"/>
              </w:rPr>
              <w:t>.</w:t>
            </w:r>
          </w:p>
        </w:tc>
      </w:tr>
      <w:tr w:rsidR="0081743B" w:rsidRPr="0081743B" w14:paraId="4DA16EC9" w14:textId="77777777" w:rsidTr="00BF0559">
        <w:tc>
          <w:tcPr>
            <w:tcW w:w="1168" w:type="pct"/>
            <w:vMerge w:val="restart"/>
            <w:vAlign w:val="center"/>
          </w:tcPr>
          <w:p w14:paraId="284AF06B" w14:textId="77777777" w:rsidR="000C52B7" w:rsidRDefault="000C52B7" w:rsidP="000C52B7">
            <w:pPr>
              <w:spacing w:after="200" w:line="276" w:lineRule="auto"/>
              <w:rPr>
                <w:rFonts w:asciiTheme="majorHAnsi" w:hAnsiTheme="majorHAnsi"/>
                <w:bCs/>
                <w:sz w:val="22"/>
                <w:szCs w:val="22"/>
              </w:rPr>
            </w:pPr>
            <w:r>
              <w:rPr>
                <w:rFonts w:asciiTheme="majorHAnsi" w:hAnsiTheme="majorHAnsi"/>
                <w:bCs/>
                <w:sz w:val="22"/>
                <w:szCs w:val="22"/>
              </w:rPr>
              <w:t>Arthralgia or Myalgia</w:t>
            </w:r>
          </w:p>
        </w:tc>
        <w:tc>
          <w:tcPr>
            <w:tcW w:w="1735" w:type="pct"/>
          </w:tcPr>
          <w:p w14:paraId="43E82569" w14:textId="420EE6B2" w:rsidR="000C52B7" w:rsidRDefault="000C52B7" w:rsidP="000C52B7">
            <w:pPr>
              <w:spacing w:after="200" w:line="276" w:lineRule="auto"/>
              <w:rPr>
                <w:rFonts w:asciiTheme="majorHAnsi" w:hAnsiTheme="majorHAnsi"/>
                <w:bCs/>
                <w:sz w:val="22"/>
                <w:szCs w:val="22"/>
              </w:rPr>
            </w:pPr>
            <w:r>
              <w:rPr>
                <w:rFonts w:asciiTheme="majorHAnsi" w:hAnsiTheme="majorHAnsi"/>
                <w:bCs/>
                <w:sz w:val="22"/>
                <w:szCs w:val="22"/>
              </w:rPr>
              <w:t>Grade 2</w:t>
            </w:r>
          </w:p>
        </w:tc>
        <w:tc>
          <w:tcPr>
            <w:tcW w:w="2097" w:type="pct"/>
          </w:tcPr>
          <w:p w14:paraId="688EF012" w14:textId="77777777" w:rsidR="000C52B7" w:rsidRPr="00590419" w:rsidRDefault="000C52B7" w:rsidP="000C52B7">
            <w:pPr>
              <w:numPr>
                <w:ilvl w:val="0"/>
                <w:numId w:val="12"/>
              </w:numPr>
              <w:rPr>
                <w:rFonts w:asciiTheme="majorHAnsi" w:hAnsiTheme="majorHAnsi"/>
                <w:bCs/>
                <w:sz w:val="22"/>
                <w:szCs w:val="22"/>
              </w:rPr>
            </w:pPr>
            <w:r w:rsidRPr="00590419">
              <w:rPr>
                <w:rFonts w:asciiTheme="majorHAnsi" w:hAnsiTheme="majorHAnsi"/>
                <w:bCs/>
                <w:sz w:val="22"/>
                <w:szCs w:val="22"/>
              </w:rPr>
              <w:t>Withhold QINLOCK until Grade ≤1 or baseline. If recovered within 7 days, resume QINLOCK at same dose; otherwise resume QINLOCK at reduced dose.</w:t>
            </w:r>
          </w:p>
          <w:p w14:paraId="6F04BA9F" w14:textId="77777777" w:rsidR="000C52B7" w:rsidRPr="00590419" w:rsidRDefault="000C52B7" w:rsidP="000C52B7">
            <w:pPr>
              <w:numPr>
                <w:ilvl w:val="0"/>
                <w:numId w:val="12"/>
              </w:numPr>
              <w:rPr>
                <w:rFonts w:asciiTheme="majorHAnsi" w:hAnsiTheme="majorHAnsi"/>
                <w:bCs/>
                <w:sz w:val="22"/>
                <w:szCs w:val="22"/>
              </w:rPr>
            </w:pPr>
            <w:r w:rsidRPr="00590419">
              <w:rPr>
                <w:rFonts w:asciiTheme="majorHAnsi" w:hAnsiTheme="majorHAnsi"/>
                <w:bCs/>
                <w:sz w:val="22"/>
                <w:szCs w:val="22"/>
              </w:rPr>
              <w:t xml:space="preserve">Consider re-escalating QINLOCK if maintained at Grade ≤1 or baseline for at least 28 days. </w:t>
            </w:r>
          </w:p>
          <w:p w14:paraId="1257CEB3" w14:textId="7A0687F4" w:rsidR="000C52B7" w:rsidRPr="00590419" w:rsidRDefault="000C52B7" w:rsidP="0081743B">
            <w:pPr>
              <w:numPr>
                <w:ilvl w:val="0"/>
                <w:numId w:val="12"/>
              </w:numPr>
              <w:rPr>
                <w:rFonts w:asciiTheme="majorHAnsi" w:hAnsiTheme="majorHAnsi"/>
                <w:bCs/>
                <w:sz w:val="22"/>
                <w:szCs w:val="22"/>
              </w:rPr>
            </w:pPr>
            <w:r w:rsidRPr="00590419">
              <w:rPr>
                <w:rFonts w:asciiTheme="majorHAnsi" w:hAnsiTheme="majorHAnsi"/>
                <w:bCs/>
                <w:sz w:val="22"/>
                <w:szCs w:val="22"/>
              </w:rPr>
              <w:t>If arthralgia or myalgia recurs, withhold QINLOCK until Grade ≤1 or baseline and then resume QINLOCK at a reduced dose regardless of time to improvement.</w:t>
            </w:r>
          </w:p>
        </w:tc>
      </w:tr>
      <w:tr w:rsidR="0081743B" w:rsidRPr="0081743B" w14:paraId="5DD3199A" w14:textId="77777777" w:rsidTr="00BF0559">
        <w:tc>
          <w:tcPr>
            <w:tcW w:w="1168" w:type="pct"/>
            <w:vMerge/>
            <w:vAlign w:val="center"/>
          </w:tcPr>
          <w:p w14:paraId="4523F2FB" w14:textId="77777777" w:rsidR="000C52B7" w:rsidRDefault="000C52B7" w:rsidP="000C52B7">
            <w:pPr>
              <w:spacing w:after="200" w:line="276" w:lineRule="auto"/>
              <w:rPr>
                <w:rFonts w:asciiTheme="majorHAnsi" w:hAnsiTheme="majorHAnsi"/>
                <w:bCs/>
                <w:sz w:val="22"/>
                <w:szCs w:val="22"/>
              </w:rPr>
            </w:pPr>
          </w:p>
        </w:tc>
        <w:tc>
          <w:tcPr>
            <w:tcW w:w="1735" w:type="pct"/>
          </w:tcPr>
          <w:p w14:paraId="0F2D587C" w14:textId="77777777" w:rsidR="000C52B7" w:rsidRDefault="000C52B7" w:rsidP="000C52B7">
            <w:pPr>
              <w:spacing w:after="200" w:line="276" w:lineRule="auto"/>
              <w:rPr>
                <w:rFonts w:asciiTheme="majorHAnsi" w:hAnsiTheme="majorHAnsi"/>
                <w:bCs/>
                <w:sz w:val="22"/>
                <w:szCs w:val="22"/>
              </w:rPr>
            </w:pPr>
            <w:r>
              <w:rPr>
                <w:rFonts w:asciiTheme="majorHAnsi" w:hAnsiTheme="majorHAnsi"/>
                <w:bCs/>
                <w:sz w:val="22"/>
                <w:szCs w:val="22"/>
              </w:rPr>
              <w:t>Grade 3</w:t>
            </w:r>
          </w:p>
        </w:tc>
        <w:tc>
          <w:tcPr>
            <w:tcW w:w="2097" w:type="pct"/>
          </w:tcPr>
          <w:p w14:paraId="3F3EBC0F" w14:textId="77777777" w:rsidR="000C52B7" w:rsidRPr="00590419" w:rsidRDefault="000C52B7" w:rsidP="000C52B7">
            <w:pPr>
              <w:numPr>
                <w:ilvl w:val="0"/>
                <w:numId w:val="12"/>
              </w:numPr>
              <w:rPr>
                <w:rFonts w:asciiTheme="majorHAnsi" w:hAnsiTheme="majorHAnsi"/>
                <w:bCs/>
                <w:sz w:val="22"/>
                <w:szCs w:val="22"/>
              </w:rPr>
            </w:pPr>
            <w:r w:rsidRPr="00590419">
              <w:rPr>
                <w:rFonts w:asciiTheme="majorHAnsi" w:hAnsiTheme="majorHAnsi"/>
                <w:bCs/>
                <w:sz w:val="22"/>
                <w:szCs w:val="22"/>
              </w:rPr>
              <w:t xml:space="preserve">Withhold QINLOCK for at least 7 days or until Grade ≤1 or baseline (maximum of 28 days). Resume QINLOCK at a reduced dose.  </w:t>
            </w:r>
          </w:p>
          <w:p w14:paraId="2736010D" w14:textId="46660841" w:rsidR="000C52B7" w:rsidRPr="00590419" w:rsidRDefault="000C52B7" w:rsidP="0081743B">
            <w:pPr>
              <w:numPr>
                <w:ilvl w:val="0"/>
                <w:numId w:val="12"/>
              </w:numPr>
              <w:rPr>
                <w:rFonts w:asciiTheme="majorHAnsi" w:hAnsiTheme="majorHAnsi"/>
                <w:bCs/>
                <w:sz w:val="22"/>
                <w:szCs w:val="22"/>
              </w:rPr>
            </w:pPr>
            <w:r w:rsidRPr="00590419">
              <w:rPr>
                <w:rFonts w:asciiTheme="majorHAnsi" w:hAnsiTheme="majorHAnsi"/>
                <w:bCs/>
                <w:sz w:val="22"/>
                <w:szCs w:val="22"/>
              </w:rPr>
              <w:t>Consider re-escalating QINLOCK if maintained at Grade ≤1 or baseline for at least 28 days.</w:t>
            </w:r>
          </w:p>
        </w:tc>
      </w:tr>
      <w:tr w:rsidR="0081743B" w:rsidRPr="0081743B" w14:paraId="3F4F0C6B" w14:textId="77777777" w:rsidTr="00BF0559">
        <w:tc>
          <w:tcPr>
            <w:tcW w:w="1168" w:type="pct"/>
            <w:tcBorders>
              <w:bottom w:val="single" w:sz="4" w:space="0" w:color="auto"/>
            </w:tcBorders>
          </w:tcPr>
          <w:p w14:paraId="78296439" w14:textId="0D2B4D0E" w:rsidR="000C52B7" w:rsidRDefault="000C52B7" w:rsidP="000C52B7">
            <w:pPr>
              <w:spacing w:after="200" w:line="276" w:lineRule="auto"/>
              <w:rPr>
                <w:rFonts w:asciiTheme="majorHAnsi" w:hAnsiTheme="majorHAnsi"/>
                <w:sz w:val="22"/>
                <w:szCs w:val="22"/>
              </w:rPr>
            </w:pPr>
            <w:r>
              <w:rPr>
                <w:rFonts w:asciiTheme="majorHAnsi" w:hAnsiTheme="majorHAnsi"/>
                <w:sz w:val="22"/>
                <w:szCs w:val="22"/>
              </w:rPr>
              <w:t>Other adverse reactions</w:t>
            </w:r>
          </w:p>
        </w:tc>
        <w:tc>
          <w:tcPr>
            <w:tcW w:w="1735" w:type="pct"/>
            <w:tcBorders>
              <w:bottom w:val="single" w:sz="4" w:space="0" w:color="auto"/>
            </w:tcBorders>
          </w:tcPr>
          <w:p w14:paraId="66F6D039" w14:textId="60E93DFB" w:rsidR="000C52B7" w:rsidRDefault="000C52B7" w:rsidP="000C52B7">
            <w:pPr>
              <w:spacing w:after="200" w:line="276" w:lineRule="auto"/>
              <w:rPr>
                <w:rFonts w:asciiTheme="majorHAnsi" w:hAnsiTheme="majorHAnsi"/>
                <w:bCs/>
                <w:sz w:val="22"/>
                <w:szCs w:val="22"/>
              </w:rPr>
            </w:pPr>
            <w:r>
              <w:rPr>
                <w:rFonts w:asciiTheme="majorHAnsi" w:hAnsiTheme="majorHAnsi"/>
                <w:bCs/>
                <w:sz w:val="22"/>
                <w:szCs w:val="22"/>
              </w:rPr>
              <w:t xml:space="preserve">Grade 3 </w:t>
            </w:r>
            <w:r w:rsidRPr="009A1E0E">
              <w:rPr>
                <w:rFonts w:asciiTheme="majorHAnsi" w:hAnsiTheme="majorHAnsi"/>
                <w:bCs/>
                <w:sz w:val="22"/>
                <w:szCs w:val="22"/>
              </w:rPr>
              <w:t>or</w:t>
            </w:r>
            <w:r w:rsidRPr="0081743B">
              <w:rPr>
                <w:rFonts w:asciiTheme="majorHAnsi" w:hAnsiTheme="majorHAnsi"/>
                <w:bCs/>
                <w:sz w:val="22"/>
                <w:szCs w:val="22"/>
              </w:rPr>
              <w:t xml:space="preserve"> </w:t>
            </w:r>
            <w:r w:rsidRPr="00590419">
              <w:rPr>
                <w:rFonts w:asciiTheme="majorHAnsi" w:hAnsiTheme="majorHAnsi"/>
                <w:bCs/>
                <w:sz w:val="22"/>
                <w:szCs w:val="22"/>
                <w:u w:val="single"/>
              </w:rPr>
              <w:t>4</w:t>
            </w:r>
          </w:p>
        </w:tc>
        <w:tc>
          <w:tcPr>
            <w:tcW w:w="2097" w:type="pct"/>
            <w:tcBorders>
              <w:bottom w:val="single" w:sz="4" w:space="0" w:color="auto"/>
            </w:tcBorders>
          </w:tcPr>
          <w:p w14:paraId="1B820BD8" w14:textId="77777777" w:rsidR="00956A10" w:rsidRPr="00590419" w:rsidRDefault="000C52B7" w:rsidP="000C52B7">
            <w:pPr>
              <w:pStyle w:val="ListParagraph"/>
              <w:numPr>
                <w:ilvl w:val="0"/>
                <w:numId w:val="34"/>
              </w:numPr>
              <w:rPr>
                <w:rFonts w:asciiTheme="majorHAnsi" w:hAnsiTheme="majorHAnsi"/>
                <w:bCs/>
                <w:sz w:val="22"/>
                <w:szCs w:val="22"/>
              </w:rPr>
            </w:pPr>
            <w:r w:rsidRPr="00590419">
              <w:rPr>
                <w:rFonts w:asciiTheme="majorHAnsi" w:hAnsiTheme="majorHAnsi"/>
                <w:bCs/>
                <w:sz w:val="22"/>
                <w:szCs w:val="22"/>
              </w:rPr>
              <w:t xml:space="preserve">Withhold QINLOCK until Grade ≤1 or baseline (maximum 28 days), and then resume QINLOCK at a reduced dose; otherwise permanently discontinue. </w:t>
            </w:r>
          </w:p>
          <w:p w14:paraId="689EA903" w14:textId="77777777" w:rsidR="00F32F8A" w:rsidRPr="00590419" w:rsidRDefault="000C52B7" w:rsidP="000C52B7">
            <w:pPr>
              <w:pStyle w:val="ListParagraph"/>
              <w:numPr>
                <w:ilvl w:val="0"/>
                <w:numId w:val="34"/>
              </w:numPr>
              <w:rPr>
                <w:rFonts w:asciiTheme="majorHAnsi" w:hAnsiTheme="majorHAnsi"/>
                <w:bCs/>
                <w:sz w:val="22"/>
                <w:szCs w:val="22"/>
              </w:rPr>
            </w:pPr>
            <w:r w:rsidRPr="00590419">
              <w:rPr>
                <w:rFonts w:asciiTheme="majorHAnsi" w:hAnsiTheme="majorHAnsi"/>
                <w:bCs/>
                <w:sz w:val="22"/>
                <w:szCs w:val="22"/>
              </w:rPr>
              <w:t>Consider re</w:t>
            </w:r>
            <w:r w:rsidRPr="00590419">
              <w:rPr>
                <w:rFonts w:asciiTheme="majorHAnsi" w:hAnsiTheme="majorHAnsi"/>
                <w:bCs/>
                <w:sz w:val="22"/>
                <w:szCs w:val="22"/>
              </w:rPr>
              <w:noBreakHyphen/>
              <w:t xml:space="preserve">escalating QINLOCK if no recurrence of the adverse reaction for at least 28 days. </w:t>
            </w:r>
          </w:p>
          <w:p w14:paraId="1D5775CD" w14:textId="49B137AD" w:rsidR="000C52B7" w:rsidRPr="0081743B" w:rsidRDefault="000C52B7" w:rsidP="00590419">
            <w:pPr>
              <w:pStyle w:val="ListParagraph"/>
              <w:numPr>
                <w:ilvl w:val="0"/>
                <w:numId w:val="34"/>
              </w:numPr>
            </w:pPr>
            <w:r w:rsidRPr="00590419">
              <w:rPr>
                <w:rFonts w:asciiTheme="majorHAnsi" w:hAnsiTheme="majorHAnsi"/>
                <w:bCs/>
                <w:sz w:val="22"/>
                <w:szCs w:val="22"/>
              </w:rPr>
              <w:t>If Grade 3 or 4 recurs, permanently discontinue QINLOCK.</w:t>
            </w:r>
          </w:p>
        </w:tc>
      </w:tr>
      <w:tr w:rsidR="000C52B7" w14:paraId="438EB8BF" w14:textId="77777777" w:rsidTr="00BF0559">
        <w:tc>
          <w:tcPr>
            <w:tcW w:w="5000" w:type="pct"/>
            <w:gridSpan w:val="3"/>
            <w:tcBorders>
              <w:left w:val="nil"/>
              <w:bottom w:val="nil"/>
              <w:right w:val="nil"/>
            </w:tcBorders>
          </w:tcPr>
          <w:p w14:paraId="569C41A2" w14:textId="1E20183B" w:rsidR="000C52B7" w:rsidRDefault="000C52B7" w:rsidP="000C52B7">
            <w:pPr>
              <w:numPr>
                <w:ilvl w:val="0"/>
                <w:numId w:val="11"/>
              </w:numPr>
              <w:spacing w:after="200"/>
              <w:rPr>
                <w:rFonts w:asciiTheme="majorHAnsi" w:hAnsiTheme="majorHAnsi"/>
                <w:sz w:val="22"/>
                <w:szCs w:val="22"/>
              </w:rPr>
            </w:pPr>
            <w:r>
              <w:rPr>
                <w:rFonts w:asciiTheme="majorHAnsi" w:hAnsiTheme="majorHAnsi"/>
              </w:rPr>
              <w:lastRenderedPageBreak/>
              <w:t>Graded per National Cancer Institute Common Terminology Criteria for Adverse Events</w:t>
            </w:r>
            <w:r w:rsidR="005840EB">
              <w:rPr>
                <w:rFonts w:asciiTheme="majorHAnsi" w:hAnsiTheme="majorHAnsi"/>
              </w:rPr>
              <w:t xml:space="preserve"> </w:t>
            </w:r>
            <w:r>
              <w:rPr>
                <w:rFonts w:asciiTheme="majorHAnsi" w:hAnsiTheme="majorHAnsi"/>
              </w:rPr>
              <w:t>(NCI CTCAE</w:t>
            </w:r>
            <w:r w:rsidR="00956A10">
              <w:rPr>
                <w:rFonts w:asciiTheme="majorHAnsi" w:hAnsiTheme="majorHAnsi"/>
              </w:rPr>
              <w:t xml:space="preserve"> </w:t>
            </w:r>
            <w:r w:rsidR="00956A10" w:rsidRPr="00590419">
              <w:rPr>
                <w:rFonts w:asciiTheme="majorHAnsi" w:hAnsiTheme="majorHAnsi"/>
              </w:rPr>
              <w:t>v4.03</w:t>
            </w:r>
            <w:r w:rsidR="00956A10" w:rsidRPr="0081743B">
              <w:rPr>
                <w:rFonts w:asciiTheme="majorHAnsi" w:hAnsiTheme="majorHAnsi"/>
              </w:rPr>
              <w:t>)</w:t>
            </w:r>
            <w:r w:rsidR="0081743B" w:rsidRPr="0081743B">
              <w:rPr>
                <w:rFonts w:asciiTheme="majorHAnsi" w:hAnsiTheme="majorHAnsi"/>
              </w:rPr>
              <w:t>.</w:t>
            </w:r>
          </w:p>
        </w:tc>
      </w:tr>
    </w:tbl>
    <w:p w14:paraId="2757DCDA" w14:textId="19CAD766" w:rsidR="002C4189" w:rsidRDefault="00FB7D91">
      <w:pPr>
        <w:rPr>
          <w:rFonts w:asciiTheme="majorHAnsi" w:hAnsiTheme="majorHAnsi" w:cstheme="minorHAnsi"/>
          <w:b/>
          <w:bCs/>
          <w:i/>
          <w:iCs/>
        </w:rPr>
      </w:pPr>
      <w:r>
        <w:rPr>
          <w:rFonts w:asciiTheme="majorHAnsi" w:hAnsiTheme="majorHAnsi" w:cstheme="minorHAnsi"/>
          <w:b/>
          <w:bCs/>
          <w:i/>
          <w:iCs/>
        </w:rPr>
        <w:t xml:space="preserve">Paediatrics </w:t>
      </w:r>
    </w:p>
    <w:p w14:paraId="70C04E1D" w14:textId="77777777" w:rsidR="002C4189" w:rsidRDefault="00FB7D91">
      <w:pPr>
        <w:rPr>
          <w:rFonts w:asciiTheme="majorHAnsi" w:hAnsiTheme="majorHAnsi" w:cstheme="minorHAnsi"/>
          <w:lang w:val="en-US"/>
        </w:rPr>
      </w:pPr>
      <w:r>
        <w:rPr>
          <w:rFonts w:asciiTheme="majorHAnsi" w:hAnsiTheme="majorHAnsi" w:cstheme="minorHAnsi"/>
          <w:lang w:val="en-US"/>
        </w:rPr>
        <w:t>The safety and effectiveness of QINLOCK in paediatric patients have not been established.</w:t>
      </w:r>
    </w:p>
    <w:p w14:paraId="1C81B436" w14:textId="77777777" w:rsidR="002C4189" w:rsidRDefault="00FB7D91" w:rsidP="00545784">
      <w:pPr>
        <w:keepNext/>
        <w:rPr>
          <w:rFonts w:asciiTheme="majorHAnsi" w:hAnsiTheme="majorHAnsi" w:cstheme="minorHAnsi"/>
          <w:b/>
          <w:bCs/>
          <w:i/>
          <w:iCs/>
        </w:rPr>
      </w:pPr>
      <w:bookmarkStart w:id="6" w:name="_Hlk26301844"/>
      <w:r>
        <w:rPr>
          <w:rFonts w:asciiTheme="majorHAnsi" w:hAnsiTheme="majorHAnsi" w:cstheme="minorHAnsi"/>
          <w:b/>
          <w:bCs/>
          <w:i/>
          <w:iCs/>
        </w:rPr>
        <w:t>Patients with renal impairment</w:t>
      </w:r>
    </w:p>
    <w:p w14:paraId="36EB30E4" w14:textId="2B21F53D" w:rsidR="002C4189" w:rsidRPr="0081743B" w:rsidRDefault="00FB7D91">
      <w:pPr>
        <w:rPr>
          <w:rFonts w:asciiTheme="majorHAnsi" w:hAnsiTheme="majorHAnsi" w:cstheme="minorHAnsi"/>
          <w:lang w:val="en-US"/>
        </w:rPr>
      </w:pPr>
      <w:r>
        <w:rPr>
          <w:rFonts w:asciiTheme="majorHAnsi" w:hAnsiTheme="majorHAnsi" w:cstheme="minorHAnsi"/>
          <w:lang w:val="en-US"/>
        </w:rPr>
        <w:t>No dose adjustment is recommended for patients with mild and moderate renal impairment [creatinine clearance (</w:t>
      </w:r>
      <w:r w:rsidR="00F24D4F" w:rsidRPr="00590419">
        <w:rPr>
          <w:rFonts w:asciiTheme="majorHAnsi" w:hAnsiTheme="majorHAnsi" w:cstheme="minorHAnsi"/>
          <w:u w:val="single"/>
          <w:lang w:val="en-US"/>
        </w:rPr>
        <w:t>CLC</w:t>
      </w:r>
      <w:r w:rsidR="00981A2A" w:rsidRPr="00590419">
        <w:rPr>
          <w:rFonts w:asciiTheme="majorHAnsi" w:hAnsiTheme="majorHAnsi" w:cstheme="minorHAnsi"/>
          <w:u w:val="single"/>
          <w:lang w:val="en-US"/>
        </w:rPr>
        <w:t>r</w:t>
      </w:r>
      <w:r>
        <w:rPr>
          <w:rFonts w:asciiTheme="majorHAnsi" w:hAnsiTheme="majorHAnsi" w:cstheme="minorHAnsi"/>
          <w:lang w:val="en-US"/>
        </w:rPr>
        <w:t xml:space="preserve"> 30 to 89 mL/min estimated by Cockcroft-Gault)]. The pharmacokinetics and safety of QINLOCK in patients with severe renal </w:t>
      </w:r>
      <w:r w:rsidRPr="0081743B">
        <w:rPr>
          <w:rFonts w:asciiTheme="majorHAnsi" w:hAnsiTheme="majorHAnsi" w:cstheme="minorHAnsi"/>
          <w:lang w:val="en-US"/>
        </w:rPr>
        <w:t>impairment (</w:t>
      </w:r>
      <w:r w:rsidR="0081743B" w:rsidRPr="00590419">
        <w:rPr>
          <w:rFonts w:asciiTheme="majorHAnsi" w:hAnsiTheme="majorHAnsi" w:cstheme="minorHAnsi"/>
          <w:lang w:val="en-US"/>
        </w:rPr>
        <w:t>ClCr</w:t>
      </w:r>
      <w:r w:rsidR="00981A2A">
        <w:rPr>
          <w:rFonts w:asciiTheme="majorHAnsi" w:hAnsiTheme="majorHAnsi" w:cstheme="minorHAnsi"/>
          <w:lang w:val="en-US"/>
        </w:rPr>
        <w:t xml:space="preserve"> </w:t>
      </w:r>
      <w:r w:rsidRPr="0081743B">
        <w:rPr>
          <w:rFonts w:asciiTheme="majorHAnsi" w:hAnsiTheme="majorHAnsi" w:cstheme="minorHAnsi"/>
          <w:lang w:val="en-US"/>
        </w:rPr>
        <w:t>15 to 29 mL/min estimated by Cockcroft-Gault) have not been studied.</w:t>
      </w:r>
    </w:p>
    <w:p w14:paraId="77BF7A49" w14:textId="77777777" w:rsidR="002C4189" w:rsidRPr="0081743B" w:rsidRDefault="00FB7D91">
      <w:pPr>
        <w:rPr>
          <w:rFonts w:asciiTheme="majorHAnsi" w:hAnsiTheme="majorHAnsi" w:cstheme="minorHAnsi"/>
          <w:b/>
          <w:bCs/>
          <w:i/>
          <w:iCs/>
        </w:rPr>
      </w:pPr>
      <w:r w:rsidRPr="0081743B">
        <w:rPr>
          <w:rFonts w:asciiTheme="majorHAnsi" w:hAnsiTheme="majorHAnsi" w:cstheme="minorHAnsi"/>
          <w:b/>
          <w:bCs/>
          <w:i/>
          <w:iCs/>
        </w:rPr>
        <w:t>Patients with hepatic impairment</w:t>
      </w:r>
    </w:p>
    <w:p w14:paraId="7BDCDAC1" w14:textId="3881452A" w:rsidR="00896745" w:rsidRPr="0081743B" w:rsidRDefault="00FB7D91" w:rsidP="00B4305A">
      <w:pPr>
        <w:rPr>
          <w:rFonts w:cstheme="minorHAnsi"/>
          <w:lang w:val="en-US"/>
        </w:rPr>
      </w:pPr>
      <w:bookmarkStart w:id="7" w:name="_Hlk26455346"/>
      <w:r w:rsidRPr="0081743B">
        <w:rPr>
          <w:rFonts w:asciiTheme="majorHAnsi" w:hAnsiTheme="majorHAnsi" w:cstheme="minorHAnsi"/>
          <w:lang w:val="en-US"/>
        </w:rPr>
        <w:t xml:space="preserve">No dose adjustment is recommended in patients with mild </w:t>
      </w:r>
      <w:r w:rsidR="00B300B2" w:rsidRPr="00590419">
        <w:rPr>
          <w:rFonts w:asciiTheme="majorHAnsi" w:hAnsiTheme="majorHAnsi" w:cstheme="minorHAnsi"/>
          <w:lang w:val="en-US"/>
        </w:rPr>
        <w:t xml:space="preserve">hepatic impairment </w:t>
      </w:r>
      <w:r w:rsidRPr="0081743B">
        <w:rPr>
          <w:rFonts w:asciiTheme="majorHAnsi" w:hAnsiTheme="majorHAnsi" w:cstheme="minorHAnsi"/>
          <w:lang w:val="en-US"/>
        </w:rPr>
        <w:t>(total bilirubin ≤ 1 x ULN and AST &gt; 1 x ULN, or total bilirubin 1.0 to 1.5 x ULN</w:t>
      </w:r>
      <w:r w:rsidR="00B300B2" w:rsidRPr="00590419">
        <w:rPr>
          <w:rFonts w:asciiTheme="majorHAnsi" w:hAnsiTheme="majorHAnsi" w:cstheme="minorHAnsi"/>
          <w:lang w:val="en-US"/>
        </w:rPr>
        <w:t xml:space="preserve"> and AST any</w:t>
      </w:r>
      <w:r w:rsidR="00B300B2" w:rsidRPr="0081743B">
        <w:rPr>
          <w:rFonts w:asciiTheme="majorHAnsi" w:hAnsiTheme="majorHAnsi" w:cstheme="minorHAnsi"/>
          <w:lang w:val="en-US"/>
        </w:rPr>
        <w:t>)</w:t>
      </w:r>
      <w:r w:rsidRPr="00590419">
        <w:rPr>
          <w:rFonts w:asciiTheme="majorHAnsi" w:hAnsiTheme="majorHAnsi" w:cstheme="minorHAnsi"/>
          <w:lang w:val="en-US"/>
        </w:rPr>
        <w:t xml:space="preserve">. </w:t>
      </w:r>
      <w:r w:rsidRPr="0081743B">
        <w:rPr>
          <w:rFonts w:asciiTheme="majorHAnsi" w:hAnsiTheme="majorHAnsi" w:cstheme="minorHAnsi"/>
          <w:lang w:val="en-US"/>
        </w:rPr>
        <w:t>The pharmacokinetics and safety of QINLOCK in patients with moderate</w:t>
      </w:r>
      <w:r w:rsidRPr="00590419">
        <w:rPr>
          <w:rFonts w:asciiTheme="majorHAnsi" w:hAnsiTheme="majorHAnsi" w:cstheme="minorHAnsi"/>
          <w:lang w:val="en-US"/>
        </w:rPr>
        <w:t xml:space="preserve"> </w:t>
      </w:r>
      <w:r w:rsidR="00B300B2" w:rsidRPr="00590419">
        <w:rPr>
          <w:rFonts w:asciiTheme="majorHAnsi" w:hAnsiTheme="majorHAnsi" w:cstheme="minorHAnsi"/>
          <w:lang w:val="en-US"/>
        </w:rPr>
        <w:t xml:space="preserve">to </w:t>
      </w:r>
      <w:r w:rsidRPr="0081743B">
        <w:rPr>
          <w:rFonts w:asciiTheme="majorHAnsi" w:hAnsiTheme="majorHAnsi" w:cstheme="minorHAnsi"/>
          <w:lang w:val="en-US"/>
        </w:rPr>
        <w:t>severe hepatic impairment</w:t>
      </w:r>
      <w:r w:rsidR="00B300B2" w:rsidRPr="0081743B">
        <w:rPr>
          <w:rFonts w:asciiTheme="majorHAnsi" w:hAnsiTheme="majorHAnsi" w:cstheme="minorHAnsi"/>
          <w:lang w:val="en-US"/>
        </w:rPr>
        <w:t xml:space="preserve"> </w:t>
      </w:r>
      <w:r w:rsidR="00B300B2" w:rsidRPr="00590419">
        <w:rPr>
          <w:rFonts w:asciiTheme="majorHAnsi" w:hAnsiTheme="majorHAnsi" w:cstheme="minorHAnsi"/>
          <w:lang w:val="en-US"/>
        </w:rPr>
        <w:t>(total bilirubin &gt;1.5 × ULN, AST any)</w:t>
      </w:r>
      <w:r w:rsidRPr="00590419">
        <w:rPr>
          <w:rFonts w:asciiTheme="majorHAnsi" w:hAnsiTheme="majorHAnsi" w:cstheme="minorHAnsi"/>
          <w:lang w:val="en-US"/>
        </w:rPr>
        <w:t xml:space="preserve"> </w:t>
      </w:r>
      <w:r w:rsidRPr="0081743B">
        <w:rPr>
          <w:rFonts w:asciiTheme="majorHAnsi" w:hAnsiTheme="majorHAnsi" w:cstheme="minorHAnsi"/>
          <w:lang w:val="en-US"/>
        </w:rPr>
        <w:t>have not been studied</w:t>
      </w:r>
      <w:bookmarkEnd w:id="7"/>
      <w:r w:rsidRPr="0081743B">
        <w:rPr>
          <w:rFonts w:asciiTheme="majorHAnsi" w:hAnsiTheme="majorHAnsi" w:cstheme="minorHAnsi"/>
          <w:lang w:val="en-US"/>
        </w:rPr>
        <w:t>.</w:t>
      </w:r>
      <w:bookmarkEnd w:id="6"/>
    </w:p>
    <w:p w14:paraId="657F6C02" w14:textId="2256ED5D" w:rsidR="002C4189" w:rsidRPr="00896745" w:rsidRDefault="00FB7D91" w:rsidP="00440269">
      <w:pPr>
        <w:pStyle w:val="Heading2"/>
        <w:keepNext/>
        <w:ind w:left="763"/>
      </w:pPr>
      <w:r w:rsidRPr="00896745">
        <w:t>Contraindications</w:t>
      </w:r>
    </w:p>
    <w:p w14:paraId="645F7A04" w14:textId="77777777" w:rsidR="002C4189" w:rsidRDefault="00FB7D91">
      <w:pPr>
        <w:rPr>
          <w:rFonts w:asciiTheme="majorHAnsi" w:hAnsiTheme="majorHAnsi"/>
        </w:rPr>
      </w:pPr>
      <w:r>
        <w:rPr>
          <w:rFonts w:asciiTheme="majorHAnsi" w:hAnsiTheme="majorHAnsi"/>
        </w:rPr>
        <w:t>Use of QINLOCK is contraindicated in patients with hypersensitivity to ripretinib or to any other component of QINLOCK tablets.</w:t>
      </w:r>
    </w:p>
    <w:p w14:paraId="3DD8DDDE" w14:textId="4FEAE9E2" w:rsidR="002C4189" w:rsidRDefault="00FB7D91" w:rsidP="00F92162">
      <w:pPr>
        <w:pStyle w:val="Heading2"/>
        <w:rPr>
          <w:rFonts w:cstheme="minorHAnsi"/>
        </w:rPr>
      </w:pPr>
      <w:r>
        <w:rPr>
          <w:rFonts w:cstheme="minorHAnsi"/>
        </w:rPr>
        <w:t>Special warnings and precautions for use</w:t>
      </w:r>
    </w:p>
    <w:p w14:paraId="43C47580" w14:textId="606262F9" w:rsidR="002C4189" w:rsidRPr="00590419" w:rsidRDefault="00404BCB">
      <w:pPr>
        <w:pStyle w:val="Heading3"/>
        <w:spacing w:before="0" w:after="120"/>
        <w:ind w:left="0"/>
        <w:rPr>
          <w:rFonts w:cstheme="minorHAnsi"/>
        </w:rPr>
      </w:pPr>
      <w:r w:rsidRPr="00590419">
        <w:rPr>
          <w:rFonts w:cstheme="minorHAnsi"/>
          <w:u w:val="single"/>
        </w:rPr>
        <w:t>Palmar-</w:t>
      </w:r>
      <w:r w:rsidR="009A1E0E" w:rsidRPr="00590419">
        <w:rPr>
          <w:rFonts w:cstheme="minorHAnsi"/>
          <w:u w:val="single"/>
        </w:rPr>
        <w:t>P</w:t>
      </w:r>
      <w:r w:rsidRPr="00590419">
        <w:rPr>
          <w:rFonts w:cstheme="minorHAnsi"/>
          <w:u w:val="single"/>
        </w:rPr>
        <w:t xml:space="preserve">lantar </w:t>
      </w:r>
      <w:r w:rsidR="009A1E0E" w:rsidRPr="00590419">
        <w:rPr>
          <w:rFonts w:cstheme="minorHAnsi"/>
          <w:u w:val="single"/>
        </w:rPr>
        <w:t>Erythrodys</w:t>
      </w:r>
      <w:r w:rsidR="002C18CC" w:rsidRPr="00590419">
        <w:rPr>
          <w:rFonts w:cstheme="minorHAnsi"/>
          <w:u w:val="single"/>
        </w:rPr>
        <w:t>a</w:t>
      </w:r>
      <w:r w:rsidR="009A1E0E" w:rsidRPr="00590419">
        <w:rPr>
          <w:rFonts w:cstheme="minorHAnsi"/>
          <w:u w:val="single"/>
        </w:rPr>
        <w:t>esthesia Syndrome</w:t>
      </w:r>
    </w:p>
    <w:p w14:paraId="525A8F6B" w14:textId="58D57FF0" w:rsidR="00775CC3" w:rsidRPr="00590419" w:rsidRDefault="00FB7D91">
      <w:pPr>
        <w:rPr>
          <w:rFonts w:asciiTheme="majorHAnsi" w:hAnsiTheme="majorHAnsi" w:cstheme="minorHAnsi"/>
          <w:lang w:val="en-US"/>
        </w:rPr>
      </w:pPr>
      <w:r>
        <w:rPr>
          <w:rFonts w:asciiTheme="majorHAnsi" w:hAnsiTheme="majorHAnsi" w:cstheme="minorHAnsi"/>
          <w:lang w:val="en-US"/>
        </w:rPr>
        <w:t>In the double-blind period of a randomised, placebo-controlled phase 3 trial (INVICTUS</w:t>
      </w:r>
      <w:r w:rsidRPr="005548AB">
        <w:rPr>
          <w:rFonts w:asciiTheme="majorHAnsi" w:hAnsiTheme="majorHAnsi" w:cstheme="minorHAnsi"/>
          <w:lang w:val="en-US"/>
        </w:rPr>
        <w:t xml:space="preserve">), </w:t>
      </w:r>
      <w:r w:rsidR="00404BCB" w:rsidRPr="00590419">
        <w:rPr>
          <w:rFonts w:asciiTheme="majorHAnsi" w:hAnsiTheme="majorHAnsi" w:cstheme="minorHAnsi"/>
          <w:lang w:val="en-US"/>
        </w:rPr>
        <w:t xml:space="preserve">Grade 1-2 palmar-plantar </w:t>
      </w:r>
      <w:r w:rsidR="00275ABA" w:rsidRPr="00590419">
        <w:rPr>
          <w:rFonts w:asciiTheme="majorHAnsi" w:hAnsiTheme="majorHAnsi" w:cstheme="minorHAnsi"/>
          <w:lang w:val="en-US"/>
        </w:rPr>
        <w:t>erythrodys</w:t>
      </w:r>
      <w:r w:rsidR="002C18CC" w:rsidRPr="00590419">
        <w:rPr>
          <w:rFonts w:asciiTheme="majorHAnsi" w:hAnsiTheme="majorHAnsi" w:cstheme="minorHAnsi"/>
          <w:lang w:val="en-US"/>
        </w:rPr>
        <w:t>a</w:t>
      </w:r>
      <w:r w:rsidR="00275ABA" w:rsidRPr="00590419">
        <w:rPr>
          <w:rFonts w:asciiTheme="majorHAnsi" w:hAnsiTheme="majorHAnsi" w:cstheme="minorHAnsi"/>
          <w:lang w:val="en-US"/>
        </w:rPr>
        <w:t>esthesia</w:t>
      </w:r>
      <w:r w:rsidR="00404BCB" w:rsidRPr="00590419">
        <w:rPr>
          <w:rFonts w:asciiTheme="majorHAnsi" w:hAnsiTheme="majorHAnsi" w:cstheme="minorHAnsi"/>
          <w:lang w:val="en-US"/>
        </w:rPr>
        <w:t xml:space="preserve"> syndrome (PPES) occurred in 21% of the 85 patients who received QINLOCK</w:t>
      </w:r>
      <w:r w:rsidR="00F3381C" w:rsidRPr="00590419">
        <w:rPr>
          <w:rFonts w:asciiTheme="majorHAnsi" w:hAnsiTheme="majorHAnsi" w:cstheme="minorHAnsi"/>
          <w:u w:val="single"/>
          <w:lang w:val="en-US"/>
        </w:rPr>
        <w:t xml:space="preserve"> </w:t>
      </w:r>
      <w:r>
        <w:rPr>
          <w:rFonts w:asciiTheme="majorHAnsi" w:hAnsiTheme="majorHAnsi" w:cstheme="minorHAnsi"/>
          <w:lang w:val="en-US"/>
        </w:rPr>
        <w:t xml:space="preserve">[see </w:t>
      </w:r>
      <w:r w:rsidR="000639AA" w:rsidRPr="000639AA">
        <w:rPr>
          <w:rFonts w:asciiTheme="majorHAnsi" w:eastAsiaTheme="majorEastAsia" w:hAnsiTheme="majorHAnsi" w:cstheme="minorHAnsi"/>
          <w:color w:val="0000FF"/>
          <w:lang w:val="en-US"/>
        </w:rPr>
        <w:t xml:space="preserve">Section </w:t>
      </w:r>
      <w:r w:rsidRPr="000639AA">
        <w:rPr>
          <w:rFonts w:asciiTheme="majorHAnsi" w:eastAsiaTheme="majorEastAsia" w:hAnsiTheme="majorHAnsi" w:cstheme="minorHAnsi"/>
          <w:color w:val="0000FF"/>
          <w:lang w:val="en-US"/>
        </w:rPr>
        <w:t xml:space="preserve">4.8 </w:t>
      </w:r>
      <w:r w:rsidRPr="000639AA">
        <w:rPr>
          <w:rFonts w:asciiTheme="majorHAnsi" w:eastAsiaTheme="majorEastAsia" w:hAnsiTheme="majorHAnsi" w:cstheme="minorHAnsi"/>
          <w:lang w:val="en-US"/>
        </w:rPr>
        <w:t>Adverse Effects</w:t>
      </w:r>
      <w:r w:rsidRPr="000639AA">
        <w:rPr>
          <w:rFonts w:asciiTheme="majorHAnsi" w:hAnsiTheme="majorHAnsi" w:cstheme="minorHAnsi"/>
          <w:lang w:val="en-US"/>
        </w:rPr>
        <w:t xml:space="preserve"> </w:t>
      </w:r>
      <w:r>
        <w:rPr>
          <w:rFonts w:asciiTheme="majorHAnsi" w:hAnsiTheme="majorHAnsi" w:cstheme="minorHAnsi"/>
          <w:lang w:val="en-US"/>
        </w:rPr>
        <w:t>(Undesirable Effects)].</w:t>
      </w:r>
      <w:r w:rsidR="00404BCB" w:rsidRPr="00F3381C">
        <w:rPr>
          <w:rFonts w:asciiTheme="majorHAnsi" w:hAnsiTheme="majorHAnsi" w:cstheme="minorHAnsi"/>
          <w:color w:val="00B050"/>
          <w:u w:val="single"/>
          <w:lang w:val="en-US"/>
        </w:rPr>
        <w:t xml:space="preserve"> </w:t>
      </w:r>
      <w:r w:rsidR="00404BCB" w:rsidRPr="00590419">
        <w:rPr>
          <w:rFonts w:asciiTheme="majorHAnsi" w:hAnsiTheme="majorHAnsi" w:cstheme="minorHAnsi"/>
          <w:lang w:val="en-US"/>
        </w:rPr>
        <w:t>PPES led to dose discontinuation in 1.2% of patients, dose interruption in 2.4% of patients, and dose reduction in 1.2% of patients.</w:t>
      </w:r>
    </w:p>
    <w:p w14:paraId="62DC7FE5" w14:textId="1F381DD3" w:rsidR="002C4189" w:rsidRPr="000C12A1" w:rsidRDefault="00404BCB">
      <w:pPr>
        <w:rPr>
          <w:rFonts w:asciiTheme="majorHAnsi" w:eastAsiaTheme="majorEastAsia" w:hAnsiTheme="majorHAnsi" w:cstheme="minorHAnsi"/>
          <w:strike/>
          <w:color w:val="00B050"/>
        </w:rPr>
      </w:pPr>
      <w:r w:rsidRPr="00590419">
        <w:rPr>
          <w:rFonts w:asciiTheme="majorHAnsi" w:hAnsiTheme="majorHAnsi" w:cstheme="minorHAnsi"/>
          <w:lang w:val="en-US"/>
        </w:rPr>
        <w:t>Based on severity, withhold QINLOCK and then resume at same or reduced dose</w:t>
      </w:r>
      <w:r w:rsidR="005548AB">
        <w:rPr>
          <w:rFonts w:asciiTheme="majorHAnsi" w:hAnsiTheme="majorHAnsi" w:cstheme="minorHAnsi"/>
          <w:color w:val="00B050"/>
          <w:u w:val="single"/>
          <w:lang w:val="en-US"/>
        </w:rPr>
        <w:t xml:space="preserve"> </w:t>
      </w:r>
      <w:r w:rsidR="00FB7D91">
        <w:rPr>
          <w:rFonts w:asciiTheme="majorHAnsi" w:hAnsiTheme="majorHAnsi" w:cstheme="minorHAnsi"/>
          <w:lang w:val="en-US"/>
        </w:rPr>
        <w:t xml:space="preserve">[see </w:t>
      </w:r>
      <w:r w:rsidR="000639AA" w:rsidRPr="000639AA">
        <w:rPr>
          <w:rFonts w:asciiTheme="majorHAnsi" w:eastAsiaTheme="majorEastAsia" w:hAnsiTheme="majorHAnsi" w:cstheme="minorHAnsi"/>
          <w:color w:val="0000FF"/>
          <w:lang w:val="en-US"/>
        </w:rPr>
        <w:t xml:space="preserve">Section </w:t>
      </w:r>
      <w:r w:rsidR="00FB7D91" w:rsidRPr="000639AA">
        <w:rPr>
          <w:rFonts w:asciiTheme="majorHAnsi" w:eastAsiaTheme="majorEastAsia" w:hAnsiTheme="majorHAnsi" w:cstheme="minorHAnsi"/>
          <w:color w:val="0000FF"/>
          <w:lang w:val="en-US"/>
        </w:rPr>
        <w:t>4.2</w:t>
      </w:r>
      <w:r w:rsidR="00FB7D91">
        <w:rPr>
          <w:rFonts w:asciiTheme="majorHAnsi" w:hAnsiTheme="majorHAnsi" w:cstheme="minorHAnsi"/>
          <w:lang w:val="en-US"/>
        </w:rPr>
        <w:t xml:space="preserve"> Dosage and Administration]. </w:t>
      </w:r>
    </w:p>
    <w:p w14:paraId="19664582" w14:textId="74DD16F1" w:rsidR="00703425" w:rsidRPr="00590419" w:rsidRDefault="00703425" w:rsidP="00703425">
      <w:pPr>
        <w:pStyle w:val="Heading3"/>
        <w:spacing w:before="0" w:after="120"/>
        <w:ind w:left="0"/>
        <w:rPr>
          <w:rFonts w:cstheme="minorHAnsi"/>
        </w:rPr>
      </w:pPr>
      <w:r w:rsidRPr="00590419">
        <w:rPr>
          <w:rFonts w:cstheme="minorHAnsi"/>
        </w:rPr>
        <w:t xml:space="preserve">New </w:t>
      </w:r>
      <w:r w:rsidR="009A1E0E" w:rsidRPr="00590419">
        <w:rPr>
          <w:rFonts w:cstheme="minorHAnsi"/>
        </w:rPr>
        <w:t>Primary C</w:t>
      </w:r>
      <w:r w:rsidRPr="00590419">
        <w:rPr>
          <w:rFonts w:cstheme="minorHAnsi"/>
        </w:rPr>
        <w:t xml:space="preserve">utaneous </w:t>
      </w:r>
      <w:r w:rsidR="009A1E0E" w:rsidRPr="00590419">
        <w:rPr>
          <w:rFonts w:cstheme="minorHAnsi"/>
        </w:rPr>
        <w:t>Malignancies</w:t>
      </w:r>
    </w:p>
    <w:p w14:paraId="1B719C26" w14:textId="02E60E56" w:rsidR="00703425" w:rsidRPr="00590419" w:rsidRDefault="00703425" w:rsidP="00703425">
      <w:pPr>
        <w:rPr>
          <w:rFonts w:asciiTheme="majorHAnsi" w:hAnsiTheme="majorHAnsi" w:cstheme="minorHAnsi"/>
          <w:lang w:val="en-US"/>
        </w:rPr>
      </w:pPr>
      <w:r w:rsidRPr="00590419">
        <w:rPr>
          <w:rFonts w:asciiTheme="majorHAnsi" w:hAnsiTheme="majorHAnsi" w:cstheme="minorHAnsi"/>
          <w:lang w:val="en-US"/>
        </w:rPr>
        <w:t xml:space="preserve">In </w:t>
      </w:r>
      <w:r w:rsidR="00031415" w:rsidRPr="00590419">
        <w:rPr>
          <w:rFonts w:asciiTheme="majorHAnsi" w:hAnsiTheme="majorHAnsi" w:cstheme="minorHAnsi"/>
          <w:lang w:val="en-US"/>
        </w:rPr>
        <w:t xml:space="preserve">INVICTUS, </w:t>
      </w:r>
      <w:r w:rsidRPr="00590419">
        <w:rPr>
          <w:rFonts w:asciiTheme="majorHAnsi" w:hAnsiTheme="majorHAnsi" w:cstheme="minorHAnsi"/>
          <w:lang w:val="en-US"/>
        </w:rPr>
        <w:t>cutaneous squamous cell carcinoma (cuSCC) occurred in 4.7% of the 85 patients who received QINLOCK, with a median time to event of 4.6 months (range: 3.8 to 6 months). In the pooled safety population, cuSCC and keratoacanthoma occurred in 7% and 1.9% of 351</w:t>
      </w:r>
      <w:r w:rsidR="000F6E96" w:rsidRPr="00590419">
        <w:rPr>
          <w:rFonts w:asciiTheme="majorHAnsi" w:hAnsiTheme="majorHAnsi" w:cstheme="minorHAnsi"/>
          <w:lang w:val="en-US"/>
        </w:rPr>
        <w:t> </w:t>
      </w:r>
      <w:r w:rsidRPr="00590419">
        <w:rPr>
          <w:rFonts w:asciiTheme="majorHAnsi" w:hAnsiTheme="majorHAnsi" w:cstheme="minorHAnsi"/>
          <w:lang w:val="en-US"/>
        </w:rPr>
        <w:t>patients, respectively.</w:t>
      </w:r>
    </w:p>
    <w:p w14:paraId="708011A7" w14:textId="460BDEE3" w:rsidR="00703425" w:rsidRPr="00590419" w:rsidRDefault="00031415" w:rsidP="00703425">
      <w:pPr>
        <w:rPr>
          <w:rFonts w:asciiTheme="majorHAnsi" w:hAnsiTheme="majorHAnsi" w:cstheme="minorHAnsi"/>
          <w:lang w:val="en-US"/>
        </w:rPr>
      </w:pPr>
      <w:r w:rsidRPr="00590419">
        <w:rPr>
          <w:rFonts w:asciiTheme="majorHAnsi" w:hAnsiTheme="majorHAnsi" w:cstheme="minorHAnsi"/>
          <w:lang w:val="en-US"/>
        </w:rPr>
        <w:t>In INVICTUS</w:t>
      </w:r>
      <w:r w:rsidR="00703425" w:rsidRPr="00590419">
        <w:rPr>
          <w:rFonts w:asciiTheme="majorHAnsi" w:hAnsiTheme="majorHAnsi" w:cstheme="minorHAnsi"/>
          <w:lang w:val="en-US"/>
        </w:rPr>
        <w:t>, melanoma occurred in 2.4% of the 85 of patients who received QINLOCK. In the pooled safety population, melanoma occurred in 0.9% of 351 patients.</w:t>
      </w:r>
    </w:p>
    <w:p w14:paraId="2C819962" w14:textId="77777777" w:rsidR="000C12A1" w:rsidRDefault="00703425" w:rsidP="00703425">
      <w:pPr>
        <w:rPr>
          <w:rFonts w:asciiTheme="majorHAnsi" w:hAnsiTheme="majorHAnsi" w:cstheme="minorHAnsi"/>
          <w:color w:val="00B050"/>
          <w:u w:val="single"/>
          <w:lang w:val="en-US"/>
        </w:rPr>
      </w:pPr>
      <w:r w:rsidRPr="00590419">
        <w:rPr>
          <w:rFonts w:asciiTheme="majorHAnsi" w:hAnsiTheme="majorHAnsi" w:cstheme="minorHAnsi"/>
          <w:lang w:val="en-US"/>
        </w:rPr>
        <w:lastRenderedPageBreak/>
        <w:t>Perform dermatologic evaluations when initiating QINLOCK and routinely during treatment. Manage suspicious skin lesions with excision and dermatopathologic evaluation. Continue QINLOCK at the same dose.</w:t>
      </w:r>
    </w:p>
    <w:p w14:paraId="36ED68C0" w14:textId="77777777" w:rsidR="002C4189" w:rsidRDefault="00FB7D91">
      <w:pPr>
        <w:pStyle w:val="Heading3"/>
        <w:spacing w:before="0" w:after="120"/>
        <w:ind w:left="0"/>
        <w:rPr>
          <w:rFonts w:cstheme="minorHAnsi"/>
        </w:rPr>
      </w:pPr>
      <w:r>
        <w:rPr>
          <w:rFonts w:cstheme="minorHAnsi"/>
        </w:rPr>
        <w:t>Hypertension</w:t>
      </w:r>
    </w:p>
    <w:p w14:paraId="4CD86F3B" w14:textId="4CC9E34B" w:rsidR="002C4189" w:rsidRDefault="00031415">
      <w:pPr>
        <w:rPr>
          <w:rFonts w:asciiTheme="majorHAnsi" w:eastAsiaTheme="majorEastAsia" w:hAnsiTheme="majorHAnsi" w:cstheme="minorHAnsi"/>
          <w:lang w:val="en-US"/>
        </w:rPr>
      </w:pPr>
      <w:r w:rsidRPr="00590419">
        <w:rPr>
          <w:rFonts w:asciiTheme="majorHAnsi" w:hAnsiTheme="majorHAnsi" w:cstheme="minorHAnsi"/>
          <w:lang w:val="en-US"/>
        </w:rPr>
        <w:t>In INVICTUS</w:t>
      </w:r>
      <w:r w:rsidR="00703425" w:rsidRPr="00590419">
        <w:rPr>
          <w:rFonts w:asciiTheme="majorHAnsi" w:eastAsiaTheme="majorEastAsia" w:hAnsiTheme="majorHAnsi" w:cstheme="minorHAnsi"/>
          <w:lang w:val="en-US"/>
        </w:rPr>
        <w:t>, Grade 1-3 hypertension occurred in 14% of the 85 patients who received QINLOCK, including Grade 3 hypertension in 7%</w:t>
      </w:r>
      <w:r w:rsidR="00FB7D91" w:rsidRPr="00590419">
        <w:rPr>
          <w:rFonts w:asciiTheme="majorHAnsi" w:eastAsiaTheme="majorEastAsia" w:hAnsiTheme="majorHAnsi" w:cstheme="minorHAnsi"/>
          <w:lang w:val="en-US"/>
        </w:rPr>
        <w:t xml:space="preserve"> </w:t>
      </w:r>
      <w:r w:rsidR="00FB7D91">
        <w:rPr>
          <w:rFonts w:asciiTheme="majorHAnsi" w:eastAsiaTheme="majorEastAsia" w:hAnsiTheme="majorHAnsi" w:cstheme="minorHAnsi"/>
          <w:lang w:val="en-US"/>
        </w:rPr>
        <w:t xml:space="preserve">[see </w:t>
      </w:r>
      <w:r w:rsidR="000639AA" w:rsidRPr="000639AA">
        <w:rPr>
          <w:rFonts w:asciiTheme="majorHAnsi" w:eastAsiaTheme="majorEastAsia" w:hAnsiTheme="majorHAnsi" w:cstheme="minorHAnsi"/>
          <w:color w:val="0000FF"/>
          <w:lang w:val="en-US"/>
        </w:rPr>
        <w:t xml:space="preserve">Section </w:t>
      </w:r>
      <w:r w:rsidR="00FB7D91" w:rsidRPr="000639AA">
        <w:rPr>
          <w:rFonts w:asciiTheme="majorHAnsi" w:eastAsiaTheme="majorEastAsia" w:hAnsiTheme="majorHAnsi" w:cstheme="minorHAnsi"/>
          <w:color w:val="0000FF"/>
          <w:lang w:val="en-US"/>
        </w:rPr>
        <w:t>4.8</w:t>
      </w:r>
      <w:r w:rsidR="00FB7D91">
        <w:rPr>
          <w:rFonts w:asciiTheme="majorHAnsi" w:eastAsiaTheme="majorEastAsia" w:hAnsiTheme="majorHAnsi" w:cstheme="minorHAnsi"/>
          <w:lang w:val="en-US"/>
        </w:rPr>
        <w:t xml:space="preserve"> Adverse Effects </w:t>
      </w:r>
      <w:r w:rsidR="00FB7D91">
        <w:rPr>
          <w:rFonts w:asciiTheme="majorHAnsi" w:eastAsiaTheme="majorEastAsia" w:hAnsiTheme="majorHAnsi" w:cstheme="minorHAnsi"/>
        </w:rPr>
        <w:t>(Undesirable Effects)].</w:t>
      </w:r>
    </w:p>
    <w:p w14:paraId="26301057" w14:textId="7BA048B6" w:rsidR="002C4189" w:rsidRPr="00590419" w:rsidRDefault="00703425">
      <w:pPr>
        <w:rPr>
          <w:rFonts w:asciiTheme="majorHAnsi" w:eastAsiaTheme="majorEastAsia" w:hAnsiTheme="majorHAnsi" w:cstheme="minorHAnsi"/>
          <w:color w:val="00B050"/>
          <w:lang w:val="en-US"/>
        </w:rPr>
      </w:pPr>
      <w:r w:rsidRPr="00590419">
        <w:rPr>
          <w:rFonts w:asciiTheme="majorHAnsi" w:eastAsiaTheme="majorEastAsia" w:hAnsiTheme="majorHAnsi" w:cstheme="minorHAnsi"/>
          <w:lang w:val="en-US"/>
        </w:rPr>
        <w:t>Do not initiate QINLOCK in patients with uncontrolled hypertension. Adequately control blood pressure prior to initiating QINLOCK. Monitor blood pressure as clinically indicated during treatment with QINLOCK, and initiate or adjust antihypertensive therapy as appropriate.</w:t>
      </w:r>
      <w:r w:rsidR="00151EB5" w:rsidRPr="00590419">
        <w:rPr>
          <w:rFonts w:asciiTheme="majorHAnsi" w:eastAsiaTheme="majorEastAsia" w:hAnsiTheme="majorHAnsi" w:cstheme="minorHAnsi"/>
          <w:lang w:val="en-US"/>
        </w:rPr>
        <w:t xml:space="preserve"> </w:t>
      </w:r>
    </w:p>
    <w:p w14:paraId="1CEF8E48" w14:textId="690800F8" w:rsidR="002C4189" w:rsidRPr="00151EB5" w:rsidRDefault="00703425">
      <w:pPr>
        <w:rPr>
          <w:rFonts w:asciiTheme="majorHAnsi" w:eastAsiaTheme="majorEastAsia" w:hAnsiTheme="majorHAnsi" w:cstheme="minorHAnsi"/>
          <w:u w:val="single"/>
          <w:lang w:val="en-US"/>
        </w:rPr>
      </w:pPr>
      <w:r w:rsidRPr="00590419">
        <w:rPr>
          <w:rFonts w:asciiTheme="majorHAnsi" w:eastAsiaTheme="majorEastAsia" w:hAnsiTheme="majorHAnsi" w:cstheme="minorHAnsi"/>
          <w:lang w:val="en-US"/>
        </w:rPr>
        <w:t xml:space="preserve">Based on severity, withhold QINLOCK and then resume at same or reduced dose or permanently discontinue </w:t>
      </w:r>
      <w:r w:rsidR="00FB7D91">
        <w:rPr>
          <w:rFonts w:asciiTheme="majorHAnsi" w:eastAsiaTheme="majorEastAsia" w:hAnsiTheme="majorHAnsi" w:cstheme="minorHAnsi"/>
          <w:lang w:val="en-US"/>
        </w:rPr>
        <w:t xml:space="preserve">[see </w:t>
      </w:r>
      <w:r w:rsidR="000639AA" w:rsidRPr="000639AA">
        <w:rPr>
          <w:rFonts w:asciiTheme="majorHAnsi" w:eastAsiaTheme="majorEastAsia" w:hAnsiTheme="majorHAnsi" w:cstheme="minorHAnsi"/>
          <w:color w:val="0000FF"/>
          <w:lang w:val="en-US"/>
        </w:rPr>
        <w:t xml:space="preserve">Section </w:t>
      </w:r>
      <w:r w:rsidR="00FB7D91" w:rsidRPr="000639AA">
        <w:rPr>
          <w:rFonts w:asciiTheme="majorHAnsi" w:eastAsiaTheme="majorEastAsia" w:hAnsiTheme="majorHAnsi" w:cstheme="minorHAnsi"/>
          <w:color w:val="0000FF"/>
          <w:lang w:val="en-US"/>
        </w:rPr>
        <w:t>4.2</w:t>
      </w:r>
      <w:r w:rsidR="00FB7D91">
        <w:rPr>
          <w:rFonts w:asciiTheme="majorHAnsi" w:eastAsiaTheme="majorEastAsia" w:hAnsiTheme="majorHAnsi" w:cstheme="minorHAnsi"/>
          <w:lang w:val="en-US"/>
        </w:rPr>
        <w:t xml:space="preserve"> </w:t>
      </w:r>
      <w:r w:rsidR="00FB7D91">
        <w:rPr>
          <w:rFonts w:asciiTheme="majorHAnsi" w:eastAsiaTheme="majorEastAsia" w:hAnsiTheme="majorHAnsi" w:cstheme="minorHAnsi"/>
          <w:iCs/>
          <w:lang w:val="en-US"/>
        </w:rPr>
        <w:t>Dosage and Administration</w:t>
      </w:r>
      <w:r w:rsidR="00FB7D91">
        <w:rPr>
          <w:rFonts w:asciiTheme="majorHAnsi" w:eastAsiaTheme="majorEastAsia" w:hAnsiTheme="majorHAnsi" w:cstheme="minorHAnsi"/>
          <w:lang w:val="en-US"/>
        </w:rPr>
        <w:t>].</w:t>
      </w:r>
    </w:p>
    <w:p w14:paraId="4776B187" w14:textId="7615E47F" w:rsidR="00F06272" w:rsidRPr="00590419" w:rsidRDefault="009A1E0E" w:rsidP="00F06272">
      <w:pPr>
        <w:pStyle w:val="Heading3"/>
        <w:spacing w:before="0" w:after="120"/>
        <w:ind w:left="0"/>
        <w:rPr>
          <w:rFonts w:cstheme="minorHAnsi"/>
        </w:rPr>
      </w:pPr>
      <w:r w:rsidRPr="00590419">
        <w:rPr>
          <w:rFonts w:cstheme="minorHAnsi"/>
        </w:rPr>
        <w:t xml:space="preserve">Cardiac </w:t>
      </w:r>
      <w:r w:rsidR="00F06272" w:rsidRPr="00590419">
        <w:rPr>
          <w:rFonts w:cstheme="minorHAnsi"/>
        </w:rPr>
        <w:t>Dysfunction</w:t>
      </w:r>
    </w:p>
    <w:p w14:paraId="3EFD2FD7" w14:textId="232A72C8" w:rsidR="00F06272" w:rsidRPr="00590419" w:rsidRDefault="00031415" w:rsidP="00F06272">
      <w:pPr>
        <w:rPr>
          <w:rFonts w:asciiTheme="majorHAnsi" w:hAnsiTheme="majorHAnsi"/>
        </w:rPr>
      </w:pPr>
      <w:r w:rsidRPr="00590419">
        <w:rPr>
          <w:rFonts w:asciiTheme="majorHAnsi" w:hAnsiTheme="majorHAnsi" w:cstheme="minorHAnsi"/>
          <w:lang w:val="en-US"/>
        </w:rPr>
        <w:t>In INVICTUS</w:t>
      </w:r>
      <w:r w:rsidR="00F06272" w:rsidRPr="00590419">
        <w:rPr>
          <w:rFonts w:asciiTheme="majorHAnsi" w:hAnsiTheme="majorHAnsi"/>
        </w:rPr>
        <w:t xml:space="preserve">, cardiac failure occurred in 1.2% of the 85 patients who received QINLOCK. In the pooled safety population, cardiac dysfunction (including cardiac failure, acute left ventricular failure, diastolic dysfunction, and ventricular hypertrophy) occurred in 1.7% of 351 patients, including Grade 3 adverse reactions in 1.1%. </w:t>
      </w:r>
    </w:p>
    <w:p w14:paraId="12212E17" w14:textId="145E1103" w:rsidR="00F06272" w:rsidRPr="00590419" w:rsidRDefault="00F06272" w:rsidP="00F06272">
      <w:pPr>
        <w:rPr>
          <w:rFonts w:asciiTheme="majorHAnsi" w:hAnsiTheme="majorHAnsi"/>
        </w:rPr>
      </w:pPr>
      <w:r w:rsidRPr="00590419">
        <w:rPr>
          <w:rFonts w:asciiTheme="majorHAnsi" w:hAnsiTheme="majorHAnsi"/>
        </w:rPr>
        <w:t>In INVICTUS, Grade 3 decreased ejection fraction occurred in 2.6% of the 77 patients who received QINLOCK and who had a baseline and at least one post-baseline echocardiogram. In the pooled safety population, Grade 3 decreased ejection fraction occurred in 3.4% of the 263</w:t>
      </w:r>
      <w:r w:rsidR="000F6E96" w:rsidRPr="00590419">
        <w:rPr>
          <w:rFonts w:asciiTheme="majorHAnsi" w:hAnsiTheme="majorHAnsi"/>
        </w:rPr>
        <w:t> </w:t>
      </w:r>
      <w:r w:rsidRPr="00590419">
        <w:rPr>
          <w:rFonts w:asciiTheme="majorHAnsi" w:hAnsiTheme="majorHAnsi"/>
        </w:rPr>
        <w:t xml:space="preserve">patients in the pooled safety population who received QINLOCK and who had a baseline and at least one post-baseline echocardiogram. </w:t>
      </w:r>
    </w:p>
    <w:p w14:paraId="1DF1D9D0" w14:textId="77777777" w:rsidR="00F06272" w:rsidRPr="00590419" w:rsidRDefault="00F06272" w:rsidP="00F06272">
      <w:pPr>
        <w:rPr>
          <w:rFonts w:asciiTheme="majorHAnsi" w:hAnsiTheme="majorHAnsi"/>
        </w:rPr>
      </w:pPr>
      <w:r w:rsidRPr="00590419">
        <w:rPr>
          <w:rFonts w:asciiTheme="majorHAnsi" w:hAnsiTheme="majorHAnsi"/>
        </w:rPr>
        <w:t xml:space="preserve">In INVICTUS, cardiac dysfunction led to dose discontinuation in 1.2% of the 85 patients who received QINLOCK. The safety of QINLOCK has not been assessed in patients with a baseline ejection fraction below 50%. </w:t>
      </w:r>
    </w:p>
    <w:p w14:paraId="3018B5A4" w14:textId="4BAE9027" w:rsidR="00F06272" w:rsidRPr="00590419" w:rsidRDefault="00F06272" w:rsidP="006250DA">
      <w:pPr>
        <w:rPr>
          <w:color w:val="00B050"/>
        </w:rPr>
      </w:pPr>
      <w:r w:rsidRPr="00590419">
        <w:rPr>
          <w:rFonts w:asciiTheme="majorHAnsi" w:hAnsiTheme="majorHAnsi"/>
        </w:rPr>
        <w:t>Assess ejection fraction by echocardiogram or MUGA scan</w:t>
      </w:r>
      <w:r w:rsidR="00ED4DA0" w:rsidRPr="00590419">
        <w:t xml:space="preserve"> </w:t>
      </w:r>
      <w:r w:rsidR="00ED4DA0" w:rsidRPr="00590419">
        <w:rPr>
          <w:rFonts w:asciiTheme="majorHAnsi" w:hAnsiTheme="majorHAnsi"/>
        </w:rPr>
        <w:t>prior to initiating QINLOCK and</w:t>
      </w:r>
      <w:r w:rsidRPr="00590419">
        <w:rPr>
          <w:rFonts w:asciiTheme="majorHAnsi" w:hAnsiTheme="majorHAnsi"/>
        </w:rPr>
        <w:t xml:space="preserve"> during treatment, as clinically indicated. Permanently discontinue QINLOCK for Grade 3 or 4 left ventricular systolic dysfunction </w:t>
      </w:r>
      <w:r w:rsidRPr="00590419">
        <w:rPr>
          <w:rFonts w:asciiTheme="majorHAnsi" w:eastAsiaTheme="majorEastAsia" w:hAnsiTheme="majorHAnsi" w:cstheme="minorHAnsi"/>
          <w:lang w:val="en-US"/>
        </w:rPr>
        <w:t>[see</w:t>
      </w:r>
      <w:r w:rsidRPr="00590419">
        <w:rPr>
          <w:rFonts w:asciiTheme="majorHAnsi" w:eastAsiaTheme="majorEastAsia" w:hAnsiTheme="majorHAnsi" w:cstheme="minorHAnsi"/>
          <w:color w:val="00B050"/>
          <w:lang w:val="en-US"/>
        </w:rPr>
        <w:t xml:space="preserve"> </w:t>
      </w:r>
      <w:r w:rsidRPr="00590419">
        <w:rPr>
          <w:rFonts w:asciiTheme="majorHAnsi" w:eastAsiaTheme="majorEastAsia" w:hAnsiTheme="majorHAnsi" w:cstheme="minorHAnsi"/>
          <w:color w:val="0000FF"/>
          <w:lang w:val="en-US"/>
        </w:rPr>
        <w:t>Section 4.2</w:t>
      </w:r>
      <w:r w:rsidRPr="00590419">
        <w:rPr>
          <w:rFonts w:asciiTheme="majorHAnsi" w:eastAsiaTheme="majorEastAsia" w:hAnsiTheme="majorHAnsi" w:cstheme="minorHAnsi"/>
          <w:color w:val="00B050"/>
          <w:lang w:val="en-US"/>
        </w:rPr>
        <w:t xml:space="preserve"> </w:t>
      </w:r>
      <w:r w:rsidRPr="00590419">
        <w:rPr>
          <w:rFonts w:asciiTheme="majorHAnsi" w:eastAsiaTheme="majorEastAsia" w:hAnsiTheme="majorHAnsi" w:cstheme="minorHAnsi"/>
          <w:lang w:val="en-US"/>
        </w:rPr>
        <w:t>Dosage and Administration].</w:t>
      </w:r>
    </w:p>
    <w:p w14:paraId="2D322E3C" w14:textId="77777777" w:rsidR="002C4189" w:rsidRPr="004D0771" w:rsidRDefault="00FB7D91">
      <w:pPr>
        <w:pStyle w:val="Heading3"/>
        <w:spacing w:before="0" w:after="120"/>
        <w:ind w:left="0"/>
        <w:rPr>
          <w:rFonts w:cstheme="minorHAnsi"/>
        </w:rPr>
      </w:pPr>
      <w:r w:rsidRPr="004D0771">
        <w:rPr>
          <w:rFonts w:cstheme="minorHAnsi"/>
        </w:rPr>
        <w:t>Use in the elderly</w:t>
      </w:r>
    </w:p>
    <w:p w14:paraId="7924719C" w14:textId="5054BFB1" w:rsidR="002C4189" w:rsidRPr="00590419" w:rsidRDefault="00151EB5">
      <w:pPr>
        <w:rPr>
          <w:rFonts w:asciiTheme="majorHAnsi" w:eastAsiaTheme="majorEastAsia" w:hAnsiTheme="majorHAnsi" w:cstheme="minorHAnsi"/>
          <w:lang w:val="en-US"/>
        </w:rPr>
      </w:pPr>
      <w:r w:rsidRPr="00590419">
        <w:rPr>
          <w:rFonts w:asciiTheme="majorHAnsi" w:eastAsiaTheme="majorEastAsia" w:hAnsiTheme="majorHAnsi" w:cstheme="minorHAnsi"/>
          <w:lang w:val="en-US"/>
        </w:rPr>
        <w:t>Of the 85 patients in INVICTUS who received QINLOCK 150 mg orally once daily, 24% were between 65 to 74 years of age and 9% were 75 years of age or older. Clinical studies of QINLOCK did not include sufficient numbers of patients aged 65 and older to determine whether they respond differently from younger patients.</w:t>
      </w:r>
    </w:p>
    <w:p w14:paraId="06276842" w14:textId="77777777" w:rsidR="002C4189" w:rsidRDefault="00FB7D91">
      <w:pPr>
        <w:pStyle w:val="Heading3"/>
        <w:spacing w:before="0" w:after="120"/>
        <w:ind w:left="0"/>
        <w:rPr>
          <w:rFonts w:cstheme="minorHAnsi"/>
        </w:rPr>
      </w:pPr>
      <w:r>
        <w:rPr>
          <w:rFonts w:cstheme="minorHAnsi"/>
        </w:rPr>
        <w:t>Paediatric use</w:t>
      </w:r>
    </w:p>
    <w:p w14:paraId="30D765BF" w14:textId="77777777" w:rsidR="002C4189" w:rsidRDefault="00FB7D91">
      <w:pPr>
        <w:rPr>
          <w:rFonts w:asciiTheme="majorHAnsi" w:eastAsiaTheme="majorEastAsia" w:hAnsiTheme="majorHAnsi" w:cstheme="minorHAnsi"/>
          <w:lang w:val="en-US"/>
        </w:rPr>
      </w:pPr>
      <w:r>
        <w:rPr>
          <w:rFonts w:asciiTheme="majorHAnsi" w:eastAsiaTheme="majorEastAsia" w:hAnsiTheme="majorHAnsi" w:cstheme="minorHAnsi"/>
          <w:lang w:val="en-US"/>
        </w:rPr>
        <w:t>The safety and effectiveness of QINLOCK in paediatric patients have not been established.</w:t>
      </w:r>
    </w:p>
    <w:p w14:paraId="52672BF3" w14:textId="77777777" w:rsidR="002C4189" w:rsidRDefault="00FB7D91">
      <w:pPr>
        <w:pStyle w:val="Heading3"/>
        <w:spacing w:before="0" w:after="120"/>
        <w:ind w:left="0"/>
        <w:rPr>
          <w:rFonts w:cstheme="minorHAnsi"/>
        </w:rPr>
      </w:pPr>
      <w:r>
        <w:rPr>
          <w:rFonts w:cstheme="minorHAnsi"/>
        </w:rPr>
        <w:t>Effects on laboratory tests</w:t>
      </w:r>
    </w:p>
    <w:p w14:paraId="5B0DE1C4" w14:textId="77777777" w:rsidR="002C4189" w:rsidRDefault="00FB7D91">
      <w:pPr>
        <w:rPr>
          <w:rFonts w:asciiTheme="majorHAnsi" w:eastAsiaTheme="majorEastAsia" w:hAnsiTheme="majorHAnsi" w:cstheme="minorHAnsi"/>
          <w:lang w:val="en-US"/>
        </w:rPr>
      </w:pPr>
      <w:r>
        <w:rPr>
          <w:rFonts w:asciiTheme="majorHAnsi" w:eastAsiaTheme="majorEastAsia" w:hAnsiTheme="majorHAnsi" w:cstheme="minorHAnsi"/>
          <w:lang w:val="en-US"/>
        </w:rPr>
        <w:t xml:space="preserve">See </w:t>
      </w:r>
      <w:r>
        <w:rPr>
          <w:rFonts w:asciiTheme="majorHAnsi" w:eastAsiaTheme="majorEastAsia" w:hAnsiTheme="majorHAnsi" w:cstheme="minorHAnsi"/>
          <w:color w:val="0000FF"/>
          <w:lang w:val="en-US"/>
        </w:rPr>
        <w:t xml:space="preserve">Section 4.8 </w:t>
      </w:r>
      <w:r>
        <w:rPr>
          <w:rFonts w:asciiTheme="majorHAnsi" w:eastAsiaTheme="majorEastAsia" w:hAnsiTheme="majorHAnsi" w:cstheme="minorHAnsi"/>
          <w:lang w:val="en-US"/>
        </w:rPr>
        <w:t>Adverse effects (Undesirable effects).</w:t>
      </w:r>
    </w:p>
    <w:p w14:paraId="3E9B09E6" w14:textId="71AEF9DB" w:rsidR="002C4189" w:rsidRPr="00382560" w:rsidRDefault="00FB7D91" w:rsidP="00440269">
      <w:pPr>
        <w:pStyle w:val="Heading2"/>
        <w:keepNext/>
        <w:ind w:left="763"/>
        <w:rPr>
          <w:rFonts w:cstheme="minorHAnsi"/>
        </w:rPr>
      </w:pPr>
      <w:r w:rsidRPr="00382560">
        <w:rPr>
          <w:rFonts w:cstheme="minorHAnsi"/>
        </w:rPr>
        <w:lastRenderedPageBreak/>
        <w:t>Interactions with other medicines and other forms of interactions</w:t>
      </w:r>
    </w:p>
    <w:p w14:paraId="5CD79365" w14:textId="77777777" w:rsidR="002C4189" w:rsidRDefault="00FB7D91">
      <w:pPr>
        <w:rPr>
          <w:rFonts w:asciiTheme="majorHAnsi" w:eastAsiaTheme="majorEastAsia" w:hAnsiTheme="majorHAnsi" w:cstheme="minorHAnsi"/>
          <w:b/>
          <w:bCs/>
          <w:lang w:val="en-US"/>
        </w:rPr>
      </w:pPr>
      <w:bookmarkStart w:id="8" w:name="_Hlk41541926"/>
      <w:r>
        <w:rPr>
          <w:rFonts w:asciiTheme="majorHAnsi" w:eastAsiaTheme="majorEastAsia" w:hAnsiTheme="majorHAnsi" w:cstheme="minorHAnsi"/>
          <w:b/>
          <w:bCs/>
          <w:lang w:val="en-US"/>
        </w:rPr>
        <w:t>Effect of other medications on QINLOCK</w:t>
      </w:r>
    </w:p>
    <w:p w14:paraId="267CA721" w14:textId="29B94905" w:rsidR="00161977" w:rsidRPr="00590419" w:rsidRDefault="00161977" w:rsidP="00376023">
      <w:pPr>
        <w:rPr>
          <w:rFonts w:asciiTheme="majorHAnsi" w:eastAsiaTheme="majorEastAsia" w:hAnsiTheme="majorHAnsi" w:cstheme="minorHAnsi"/>
          <w:lang w:val="en-US"/>
        </w:rPr>
      </w:pPr>
      <w:r w:rsidRPr="00590419">
        <w:rPr>
          <w:rFonts w:asciiTheme="majorHAnsi" w:eastAsiaTheme="majorEastAsia" w:hAnsiTheme="majorHAnsi" w:cstheme="minorHAnsi"/>
          <w:lang w:val="en-US"/>
        </w:rPr>
        <w:t>Since both ripretinib and its active metabolite are mainly cleared by CYP3A, plasma concentrations of ripretinib and the active metabolite</w:t>
      </w:r>
      <w:r w:rsidR="00725384" w:rsidRPr="00590419">
        <w:rPr>
          <w:rFonts w:asciiTheme="majorHAnsi" w:eastAsiaTheme="majorEastAsia" w:hAnsiTheme="majorHAnsi" w:cstheme="minorHAnsi"/>
          <w:lang w:val="en-US"/>
        </w:rPr>
        <w:t xml:space="preserve"> </w:t>
      </w:r>
      <w:r w:rsidRPr="00590419">
        <w:rPr>
          <w:rFonts w:asciiTheme="majorHAnsi" w:eastAsiaTheme="majorEastAsia" w:hAnsiTheme="majorHAnsi" w:cstheme="minorHAnsi"/>
          <w:lang w:val="en-US"/>
        </w:rPr>
        <w:t>DP-5439 are expected to be increased by CYP3A</w:t>
      </w:r>
      <w:r w:rsidR="005548AB" w:rsidRPr="00590419">
        <w:rPr>
          <w:rFonts w:asciiTheme="majorHAnsi" w:eastAsiaTheme="majorEastAsia" w:hAnsiTheme="majorHAnsi" w:cstheme="minorHAnsi"/>
          <w:lang w:val="en-US"/>
        </w:rPr>
        <w:t xml:space="preserve"> </w:t>
      </w:r>
      <w:r w:rsidRPr="00590419">
        <w:rPr>
          <w:rFonts w:asciiTheme="majorHAnsi" w:eastAsiaTheme="majorEastAsia" w:hAnsiTheme="majorHAnsi" w:cstheme="minorHAnsi"/>
          <w:lang w:val="en-US"/>
        </w:rPr>
        <w:t>inhibitors and decreased by CYP3A</w:t>
      </w:r>
      <w:r w:rsidR="005548AB" w:rsidRPr="00590419">
        <w:rPr>
          <w:rFonts w:asciiTheme="majorHAnsi" w:eastAsiaTheme="majorEastAsia" w:hAnsiTheme="majorHAnsi" w:cstheme="minorHAnsi"/>
          <w:lang w:val="en-US"/>
        </w:rPr>
        <w:t xml:space="preserve"> </w:t>
      </w:r>
      <w:r w:rsidRPr="00590419">
        <w:rPr>
          <w:rFonts w:asciiTheme="majorHAnsi" w:eastAsiaTheme="majorEastAsia" w:hAnsiTheme="majorHAnsi" w:cstheme="minorHAnsi"/>
          <w:lang w:val="en-US"/>
        </w:rPr>
        <w:t>inducers.</w:t>
      </w:r>
    </w:p>
    <w:p w14:paraId="71DC1DD6" w14:textId="00A6DFE2" w:rsidR="00161977" w:rsidRPr="00590419" w:rsidRDefault="00161977" w:rsidP="00376023">
      <w:pPr>
        <w:rPr>
          <w:rFonts w:asciiTheme="majorHAnsi" w:eastAsiaTheme="majorEastAsia" w:hAnsiTheme="majorHAnsi" w:cstheme="minorHAnsi"/>
          <w:lang w:val="en-US"/>
        </w:rPr>
      </w:pPr>
      <w:r w:rsidRPr="005548AB">
        <w:rPr>
          <w:rFonts w:asciiTheme="majorHAnsi" w:eastAsiaTheme="majorEastAsia" w:hAnsiTheme="majorHAnsi" w:cstheme="minorHAnsi"/>
          <w:b/>
          <w:bCs/>
        </w:rPr>
        <w:t>Effect of Strong CYP3</w:t>
      </w:r>
      <w:r w:rsidR="00524BD8" w:rsidRPr="005548AB">
        <w:rPr>
          <w:rFonts w:asciiTheme="majorHAnsi" w:eastAsiaTheme="majorEastAsia" w:hAnsiTheme="majorHAnsi" w:cstheme="minorHAnsi"/>
          <w:b/>
          <w:bCs/>
        </w:rPr>
        <w:t>A</w:t>
      </w:r>
      <w:r w:rsidRPr="005548AB">
        <w:rPr>
          <w:rFonts w:asciiTheme="majorHAnsi" w:eastAsiaTheme="majorEastAsia" w:hAnsiTheme="majorHAnsi" w:cstheme="minorHAnsi"/>
          <w:b/>
          <w:bCs/>
        </w:rPr>
        <w:t xml:space="preserve"> Inhibitors:</w:t>
      </w:r>
      <w:r w:rsidRPr="005548AB">
        <w:rPr>
          <w:rFonts w:ascii="Calibri" w:hAnsi="Calibri" w:cs="Calibri"/>
          <w:sz w:val="20"/>
          <w:szCs w:val="20"/>
        </w:rPr>
        <w:t xml:space="preserve"> </w:t>
      </w:r>
      <w:r w:rsidRPr="005548AB">
        <w:rPr>
          <w:rFonts w:asciiTheme="majorHAnsi" w:eastAsiaTheme="majorEastAsia" w:hAnsiTheme="majorHAnsi" w:cstheme="minorHAnsi"/>
          <w:lang w:val="en-US"/>
        </w:rPr>
        <w:t>Coadministration of itraconazole (a strong CYP3A</w:t>
      </w:r>
      <w:r w:rsidR="005548AB" w:rsidRPr="005548AB">
        <w:rPr>
          <w:rFonts w:asciiTheme="majorHAnsi" w:eastAsiaTheme="majorEastAsia" w:hAnsiTheme="majorHAnsi" w:cstheme="minorHAnsi"/>
          <w:lang w:val="en-US"/>
        </w:rPr>
        <w:t xml:space="preserve"> </w:t>
      </w:r>
      <w:r w:rsidRPr="005548AB">
        <w:rPr>
          <w:rFonts w:asciiTheme="majorHAnsi" w:eastAsiaTheme="majorEastAsia" w:hAnsiTheme="majorHAnsi" w:cstheme="minorHAnsi"/>
          <w:lang w:val="en-US"/>
        </w:rPr>
        <w:t>inhibitor) increased ripretinib C</w:t>
      </w:r>
      <w:r w:rsidRPr="005548AB">
        <w:rPr>
          <w:rFonts w:asciiTheme="majorHAnsi" w:eastAsiaTheme="majorEastAsia" w:hAnsiTheme="majorHAnsi" w:cstheme="minorHAnsi"/>
          <w:vertAlign w:val="subscript"/>
          <w:lang w:val="en-US"/>
        </w:rPr>
        <w:t xml:space="preserve">max </w:t>
      </w:r>
      <w:r w:rsidRPr="005548AB">
        <w:rPr>
          <w:rFonts w:asciiTheme="majorHAnsi" w:eastAsiaTheme="majorEastAsia" w:hAnsiTheme="majorHAnsi" w:cstheme="minorHAnsi"/>
          <w:lang w:val="en-US"/>
        </w:rPr>
        <w:t>by 36% and AUC∞ by 99%.</w:t>
      </w:r>
      <w:r w:rsidRPr="00590419">
        <w:rPr>
          <w:rFonts w:asciiTheme="majorHAnsi" w:eastAsiaTheme="majorEastAsia" w:hAnsiTheme="majorHAnsi" w:cstheme="minorHAnsi"/>
          <w:lang w:val="en-US"/>
        </w:rPr>
        <w:t xml:space="preserve"> </w:t>
      </w:r>
      <w:r w:rsidRPr="00590419">
        <w:rPr>
          <w:rFonts w:ascii="Cambria" w:eastAsia="Cambria" w:hAnsi="Cambria" w:cs="Cambria"/>
          <w:lang w:eastAsia="en-AU" w:bidi="en-AU"/>
        </w:rPr>
        <w:t>Strong CYP3A inhibitors should be used with caution and patients should be monitored.</w:t>
      </w:r>
    </w:p>
    <w:p w14:paraId="27452F9E" w14:textId="147B3B78" w:rsidR="00376023" w:rsidRPr="00590419" w:rsidRDefault="00376023" w:rsidP="00161977">
      <w:pPr>
        <w:rPr>
          <w:rFonts w:asciiTheme="majorHAnsi" w:eastAsiaTheme="majorEastAsia" w:hAnsiTheme="majorHAnsi" w:cstheme="minorHAnsi"/>
          <w:lang w:val="en-US"/>
        </w:rPr>
      </w:pPr>
      <w:r w:rsidRPr="00590419">
        <w:rPr>
          <w:rFonts w:asciiTheme="majorHAnsi" w:eastAsiaTheme="majorEastAsia" w:hAnsiTheme="majorHAnsi" w:cstheme="minorHAnsi"/>
          <w:lang w:val="en-US"/>
        </w:rPr>
        <w:t>Ripretinib and its active metabolite DP-5439 are substrates of P-gp (MDR1) and BCRP</w:t>
      </w:r>
      <w:r w:rsidR="00C10F06" w:rsidRPr="00590419">
        <w:rPr>
          <w:rFonts w:asciiTheme="majorHAnsi" w:eastAsiaTheme="majorEastAsia" w:hAnsiTheme="majorHAnsi" w:cstheme="minorHAnsi"/>
          <w:lang w:val="en-US"/>
        </w:rPr>
        <w:t xml:space="preserve">, as indicated by </w:t>
      </w:r>
      <w:r w:rsidR="00C10F06" w:rsidRPr="00590419">
        <w:rPr>
          <w:rFonts w:asciiTheme="majorHAnsi" w:eastAsiaTheme="majorEastAsia" w:hAnsiTheme="majorHAnsi" w:cstheme="minorHAnsi"/>
          <w:i/>
          <w:iCs/>
          <w:lang w:val="en-US"/>
        </w:rPr>
        <w:t>in vitro</w:t>
      </w:r>
      <w:r w:rsidR="00C10F06" w:rsidRPr="00590419">
        <w:rPr>
          <w:rFonts w:asciiTheme="majorHAnsi" w:eastAsiaTheme="majorEastAsia" w:hAnsiTheme="majorHAnsi" w:cstheme="minorHAnsi"/>
          <w:lang w:val="en-US"/>
        </w:rPr>
        <w:t xml:space="preserve"> studies</w:t>
      </w:r>
      <w:r w:rsidRPr="00590419">
        <w:rPr>
          <w:rFonts w:asciiTheme="majorHAnsi" w:eastAsiaTheme="majorEastAsia" w:hAnsiTheme="majorHAnsi" w:cstheme="minorHAnsi"/>
          <w:lang w:val="en-US"/>
        </w:rPr>
        <w:t xml:space="preserve">. P-gp inhibitors may increase plasma concentrations of ripretinib and its active metabolite DP-5439. </w:t>
      </w:r>
    </w:p>
    <w:p w14:paraId="587CA78C" w14:textId="72281C45" w:rsidR="002C4189" w:rsidRPr="005548AB" w:rsidRDefault="00FB7D91">
      <w:pPr>
        <w:rPr>
          <w:rFonts w:asciiTheme="majorHAnsi" w:eastAsiaTheme="majorEastAsia" w:hAnsiTheme="majorHAnsi" w:cstheme="minorHAnsi"/>
          <w:lang w:val="en-US"/>
        </w:rPr>
      </w:pPr>
      <w:r>
        <w:rPr>
          <w:rFonts w:asciiTheme="majorHAnsi" w:eastAsiaTheme="majorEastAsia" w:hAnsiTheme="majorHAnsi" w:cstheme="minorHAnsi"/>
          <w:b/>
          <w:bCs/>
          <w:lang w:val="en-US"/>
        </w:rPr>
        <w:t>Effect of Acid-Reducing Agents</w:t>
      </w:r>
      <w:r>
        <w:rPr>
          <w:rFonts w:asciiTheme="majorHAnsi" w:eastAsiaTheme="majorEastAsia" w:hAnsiTheme="majorHAnsi" w:cstheme="minorHAnsi"/>
          <w:lang w:val="en-US"/>
        </w:rPr>
        <w:t xml:space="preserve">: Coadministration of pantoprazole (a proton pump inhibitor) </w:t>
      </w:r>
      <w:r w:rsidRPr="005548AB">
        <w:rPr>
          <w:rFonts w:asciiTheme="majorHAnsi" w:eastAsiaTheme="majorEastAsia" w:hAnsiTheme="majorHAnsi" w:cstheme="minorHAnsi"/>
          <w:lang w:val="en-US"/>
        </w:rPr>
        <w:t>did not affect exposure to ripretinib.</w:t>
      </w:r>
    </w:p>
    <w:p w14:paraId="07D184FF" w14:textId="4128DD12" w:rsidR="00161977" w:rsidRPr="00590419" w:rsidRDefault="00161977">
      <w:pPr>
        <w:rPr>
          <w:rFonts w:asciiTheme="majorHAnsi" w:eastAsiaTheme="majorEastAsia" w:hAnsiTheme="majorHAnsi" w:cstheme="minorHAnsi"/>
          <w:b/>
          <w:bCs/>
          <w:lang w:val="en-US"/>
        </w:rPr>
      </w:pPr>
      <w:r w:rsidRPr="00590419">
        <w:rPr>
          <w:rFonts w:asciiTheme="majorHAnsi" w:eastAsiaTheme="majorEastAsia" w:hAnsiTheme="majorHAnsi" w:cstheme="minorHAnsi"/>
          <w:b/>
          <w:bCs/>
          <w:lang w:val="en-US"/>
        </w:rPr>
        <w:t>Effect of QINLOCK on other medications</w:t>
      </w:r>
    </w:p>
    <w:p w14:paraId="71023B34" w14:textId="752C82E4" w:rsidR="00CB12EF" w:rsidRPr="00590419" w:rsidRDefault="00382560" w:rsidP="00CB12EF">
      <w:pPr>
        <w:rPr>
          <w:rFonts w:asciiTheme="majorHAnsi" w:eastAsiaTheme="majorEastAsia" w:hAnsiTheme="majorHAnsi" w:cstheme="minorHAnsi"/>
          <w:color w:val="FF0000"/>
          <w:lang w:val="en-US"/>
        </w:rPr>
      </w:pPr>
      <w:r w:rsidRPr="00590419">
        <w:rPr>
          <w:rFonts w:asciiTheme="majorHAnsi" w:eastAsiaTheme="majorEastAsia" w:hAnsiTheme="majorHAnsi" w:cstheme="minorHAnsi"/>
          <w:lang w:val="en-US"/>
        </w:rPr>
        <w:t>Ripretinib and DP-5439 are inhibitors of CYP2C8. Ripretinib is expected to increase clinical exposures of drugs that are predominantly cleared by CYP2C8</w:t>
      </w:r>
      <w:r w:rsidR="00CB12EF" w:rsidRPr="00590419">
        <w:rPr>
          <w:rFonts w:asciiTheme="majorHAnsi" w:eastAsiaTheme="majorEastAsia" w:hAnsiTheme="majorHAnsi" w:cstheme="minorHAnsi"/>
          <w:lang w:val="en-US"/>
        </w:rPr>
        <w:t xml:space="preserve">. </w:t>
      </w:r>
    </w:p>
    <w:bookmarkEnd w:id="8"/>
    <w:p w14:paraId="41348B76" w14:textId="0F897E68" w:rsidR="002C4189" w:rsidRDefault="00FB7D91" w:rsidP="00F92162">
      <w:pPr>
        <w:pStyle w:val="Heading2"/>
      </w:pPr>
      <w:r>
        <w:t xml:space="preserve">Fertility, pregnancy and lactation </w:t>
      </w:r>
    </w:p>
    <w:p w14:paraId="17D71366" w14:textId="77777777" w:rsidR="002C4189" w:rsidRDefault="00FB7D91">
      <w:pPr>
        <w:pStyle w:val="Heading3"/>
        <w:spacing w:before="0" w:after="120"/>
        <w:ind w:left="0"/>
        <w:rPr>
          <w:rFonts w:cstheme="minorHAnsi"/>
        </w:rPr>
      </w:pPr>
      <w:r>
        <w:rPr>
          <w:rFonts w:cstheme="minorHAnsi"/>
        </w:rPr>
        <w:t>Effects on fertility</w:t>
      </w:r>
    </w:p>
    <w:p w14:paraId="310FE841" w14:textId="6EE7E725" w:rsidR="002C4189" w:rsidRPr="00B3660C" w:rsidRDefault="00FB7D91">
      <w:pPr>
        <w:rPr>
          <w:rFonts w:asciiTheme="majorHAnsi" w:eastAsiaTheme="majorEastAsia" w:hAnsiTheme="majorHAnsi" w:cstheme="minorHAnsi"/>
          <w:color w:val="FF0000"/>
          <w:u w:val="single"/>
          <w:lang w:val="en-US"/>
        </w:rPr>
      </w:pPr>
      <w:r>
        <w:rPr>
          <w:rFonts w:asciiTheme="majorHAnsi" w:eastAsiaTheme="majorEastAsia" w:hAnsiTheme="majorHAnsi" w:cstheme="minorHAnsi"/>
          <w:lang w:val="en-US"/>
        </w:rPr>
        <w:t xml:space="preserve">Based on </w:t>
      </w:r>
      <w:r w:rsidR="0062668A">
        <w:rPr>
          <w:rFonts w:asciiTheme="majorHAnsi" w:eastAsiaTheme="majorEastAsia" w:hAnsiTheme="majorHAnsi" w:cstheme="minorHAnsi"/>
          <w:lang w:val="en-US"/>
        </w:rPr>
        <w:t xml:space="preserve">findings from </w:t>
      </w:r>
      <w:r>
        <w:rPr>
          <w:rFonts w:asciiTheme="majorHAnsi" w:eastAsiaTheme="majorEastAsia" w:hAnsiTheme="majorHAnsi" w:cstheme="minorHAnsi"/>
          <w:lang w:val="en-US"/>
        </w:rPr>
        <w:t>animal studies, QINLOCK may impair fertility in males of reproductive potential.</w:t>
      </w:r>
      <w:r w:rsidR="00376023">
        <w:rPr>
          <w:rFonts w:asciiTheme="majorHAnsi" w:eastAsiaTheme="majorEastAsia" w:hAnsiTheme="majorHAnsi" w:cstheme="minorHAnsi"/>
          <w:lang w:val="en-US"/>
        </w:rPr>
        <w:t xml:space="preserve"> </w:t>
      </w:r>
      <w:r w:rsidR="00376023" w:rsidRPr="00590419">
        <w:rPr>
          <w:rFonts w:asciiTheme="majorHAnsi" w:eastAsiaTheme="majorEastAsia" w:hAnsiTheme="majorHAnsi" w:cstheme="minorHAnsi"/>
          <w:lang w:val="en-US"/>
        </w:rPr>
        <w:t>Decreased testis and epididymis weights, as well as atrophy of the testes and degeneration of the seminiferous epithelium were observed in male rats at exposure levels (AUC) similar to the human exposure at 150 mg once daily</w:t>
      </w:r>
      <w:r w:rsidR="00961CA4" w:rsidRPr="00590419">
        <w:rPr>
          <w:rFonts w:asciiTheme="majorHAnsi" w:eastAsiaTheme="majorEastAsia" w:hAnsiTheme="majorHAnsi" w:cstheme="minorHAnsi"/>
          <w:lang w:val="en-US"/>
        </w:rPr>
        <w:t>.</w:t>
      </w:r>
    </w:p>
    <w:p w14:paraId="4A4DC1EE" w14:textId="77777777" w:rsidR="002C4189" w:rsidRDefault="00FB7D91">
      <w:pPr>
        <w:pStyle w:val="Heading3"/>
        <w:spacing w:before="0" w:after="120"/>
        <w:ind w:left="0"/>
        <w:rPr>
          <w:rFonts w:cstheme="minorHAnsi"/>
        </w:rPr>
      </w:pPr>
      <w:r>
        <w:rPr>
          <w:rFonts w:cstheme="minorHAnsi"/>
        </w:rPr>
        <w:t>Use in pregnancy</w:t>
      </w:r>
    </w:p>
    <w:p w14:paraId="2415A9C5" w14:textId="77777777" w:rsidR="002C4189" w:rsidRDefault="00FB7D91">
      <w:pPr>
        <w:rPr>
          <w:rFonts w:asciiTheme="majorHAnsi" w:eastAsiaTheme="majorEastAsia" w:hAnsiTheme="majorHAnsi" w:cstheme="minorHAnsi"/>
          <w:b/>
          <w:bCs/>
          <w:lang w:val="en-US"/>
        </w:rPr>
      </w:pPr>
      <w:r>
        <w:rPr>
          <w:rFonts w:asciiTheme="majorHAnsi" w:eastAsiaTheme="majorEastAsia" w:hAnsiTheme="majorHAnsi" w:cstheme="minorHAnsi"/>
          <w:b/>
          <w:bCs/>
          <w:lang w:val="en-US"/>
        </w:rPr>
        <w:t>Category D</w:t>
      </w:r>
    </w:p>
    <w:p w14:paraId="6E1EAA07" w14:textId="1FB3A348" w:rsidR="002C4189" w:rsidRDefault="00FB7D91">
      <w:pPr>
        <w:rPr>
          <w:rFonts w:asciiTheme="majorHAnsi" w:eastAsiaTheme="majorEastAsia" w:hAnsiTheme="majorHAnsi" w:cstheme="minorHAnsi"/>
          <w:lang w:val="en-US"/>
        </w:rPr>
      </w:pPr>
      <w:r w:rsidRPr="00A229A4">
        <w:rPr>
          <w:rFonts w:asciiTheme="majorHAnsi" w:eastAsiaTheme="majorEastAsia" w:hAnsiTheme="majorHAnsi" w:cstheme="minorHAnsi"/>
          <w:lang w:val="en-US"/>
        </w:rPr>
        <w:t>There are no clinical data on the use of QINLOCK in pregnant women to inform a drug</w:t>
      </w:r>
      <w:r w:rsidR="00AE6F78">
        <w:rPr>
          <w:rFonts w:asciiTheme="majorHAnsi" w:eastAsiaTheme="majorEastAsia" w:hAnsiTheme="majorHAnsi" w:cstheme="minorHAnsi"/>
          <w:lang w:val="en-US"/>
        </w:rPr>
        <w:noBreakHyphen/>
      </w:r>
      <w:r w:rsidRPr="00A229A4">
        <w:rPr>
          <w:rFonts w:asciiTheme="majorHAnsi" w:eastAsiaTheme="majorEastAsia" w:hAnsiTheme="majorHAnsi" w:cstheme="minorHAnsi"/>
          <w:lang w:val="en-US"/>
        </w:rPr>
        <w:t xml:space="preserve">associated risk of major birth defects </w:t>
      </w:r>
      <w:r w:rsidR="00F60876">
        <w:rPr>
          <w:rFonts w:asciiTheme="majorHAnsi" w:eastAsiaTheme="majorEastAsia" w:hAnsiTheme="majorHAnsi" w:cstheme="minorHAnsi"/>
          <w:lang w:val="en-US"/>
        </w:rPr>
        <w:t>and</w:t>
      </w:r>
      <w:r w:rsidRPr="00A229A4">
        <w:rPr>
          <w:rFonts w:asciiTheme="majorHAnsi" w:eastAsiaTheme="majorEastAsia" w:hAnsiTheme="majorHAnsi" w:cstheme="minorHAnsi"/>
          <w:lang w:val="en-US"/>
        </w:rPr>
        <w:t xml:space="preserve"> miscarriage.</w:t>
      </w:r>
    </w:p>
    <w:p w14:paraId="11D982CA" w14:textId="29712200" w:rsidR="00AE6F78" w:rsidRDefault="00FB7D91">
      <w:pPr>
        <w:rPr>
          <w:rFonts w:asciiTheme="majorHAnsi" w:eastAsiaTheme="majorEastAsia" w:hAnsiTheme="majorHAnsi" w:cstheme="minorHAnsi"/>
          <w:lang w:val="en-US"/>
        </w:rPr>
      </w:pPr>
      <w:r>
        <w:rPr>
          <w:rFonts w:asciiTheme="majorHAnsi" w:eastAsiaTheme="majorEastAsia" w:hAnsiTheme="majorHAnsi" w:cstheme="minorHAnsi"/>
          <w:lang w:val="en-US"/>
        </w:rPr>
        <w:t xml:space="preserve">Based on findings from animal studies, QINLOCK can cause embryo-fetal harm when administered to a pregnant woman. QINLOCK should not be used during pregnancy. </w:t>
      </w:r>
    </w:p>
    <w:p w14:paraId="289E72AC" w14:textId="0F174102" w:rsidR="009A1E0E" w:rsidRPr="00590419" w:rsidRDefault="009A1E0E" w:rsidP="009A1E0E">
      <w:pPr>
        <w:rPr>
          <w:rFonts w:asciiTheme="majorHAnsi" w:eastAsiaTheme="majorEastAsia" w:hAnsiTheme="majorHAnsi" w:cstheme="minorHAnsi"/>
          <w:strike/>
          <w:lang w:val="en-US"/>
        </w:rPr>
      </w:pPr>
      <w:r w:rsidRPr="00637001">
        <w:rPr>
          <w:rFonts w:asciiTheme="majorHAnsi" w:eastAsiaTheme="majorEastAsia" w:hAnsiTheme="majorHAnsi" w:cstheme="minorHAnsi"/>
          <w:lang w:val="en-US"/>
        </w:rPr>
        <w:t xml:space="preserve">QINLOCK should not be used during pregnancy. In an embryo-fetal development study in which pregnant rats were administered daily doses of ripretinib during organogenesis, ripretinib was given from gestational days 6 through 18 at doses 1, 5, or 20 mg/kg/day. Dose-related malformations primarily associated with the cardiovascular and skeletal systems were observed at a dose of 20 mg/kg/day (approximately </w:t>
      </w:r>
      <w:r w:rsidRPr="00590419">
        <w:rPr>
          <w:rFonts w:asciiTheme="majorHAnsi" w:eastAsiaTheme="majorEastAsia" w:hAnsiTheme="majorHAnsi" w:cstheme="minorHAnsi"/>
          <w:u w:val="single"/>
          <w:lang w:val="en-US"/>
        </w:rPr>
        <w:t>0.4</w:t>
      </w:r>
      <w:r w:rsidRPr="00590419">
        <w:rPr>
          <w:rFonts w:asciiTheme="majorHAnsi" w:eastAsiaTheme="majorEastAsia" w:hAnsiTheme="majorHAnsi" w:cstheme="minorHAnsi"/>
          <w:lang w:val="en-US"/>
        </w:rPr>
        <w:t xml:space="preserve"> </w:t>
      </w:r>
      <w:r w:rsidRPr="00637001">
        <w:rPr>
          <w:rFonts w:asciiTheme="majorHAnsi" w:eastAsiaTheme="majorEastAsia" w:hAnsiTheme="majorHAnsi" w:cstheme="minorHAnsi"/>
          <w:lang w:val="en-US"/>
        </w:rPr>
        <w:t xml:space="preserve">times the human exposure at 150 mg once daily). </w:t>
      </w:r>
    </w:p>
    <w:p w14:paraId="2FFBA242" w14:textId="5CF71BF2" w:rsidR="009A1E0E" w:rsidRPr="00161EDF" w:rsidRDefault="009A1E0E" w:rsidP="009A1E0E">
      <w:pPr>
        <w:rPr>
          <w:rFonts w:asciiTheme="majorHAnsi" w:eastAsiaTheme="majorEastAsia" w:hAnsiTheme="majorHAnsi" w:cstheme="minorHAnsi"/>
          <w:lang w:val="en-US"/>
        </w:rPr>
      </w:pPr>
      <w:r>
        <w:rPr>
          <w:rFonts w:asciiTheme="majorHAnsi" w:eastAsiaTheme="majorEastAsia" w:hAnsiTheme="majorHAnsi" w:cstheme="minorHAnsi"/>
          <w:lang w:val="en-US"/>
        </w:rPr>
        <w:lastRenderedPageBreak/>
        <w:t xml:space="preserve">An increased </w:t>
      </w:r>
      <w:r w:rsidRPr="00161EDF">
        <w:rPr>
          <w:rFonts w:asciiTheme="majorHAnsi" w:eastAsiaTheme="majorEastAsia" w:hAnsiTheme="majorHAnsi" w:cstheme="minorHAnsi"/>
          <w:lang w:val="en-US"/>
        </w:rPr>
        <w:t xml:space="preserve">incidence of anatomic variations, indicative of developmental toxicity, also occurred at 20 mg/kg/day. </w:t>
      </w:r>
      <w:r w:rsidRPr="00590419">
        <w:rPr>
          <w:rFonts w:asciiTheme="majorHAnsi" w:eastAsiaTheme="majorEastAsia" w:hAnsiTheme="majorHAnsi" w:cstheme="minorHAnsi"/>
          <w:lang w:val="en-US"/>
        </w:rPr>
        <w:t>V</w:t>
      </w:r>
      <w:r w:rsidRPr="00161EDF">
        <w:rPr>
          <w:rFonts w:asciiTheme="majorHAnsi" w:eastAsiaTheme="majorEastAsia" w:hAnsiTheme="majorHAnsi" w:cstheme="minorHAnsi"/>
          <w:lang w:val="en-US"/>
        </w:rPr>
        <w:t>ariations included malpositioned carotid and subclavian artery origins, malpositioned subclavian artery, absent or elongated innominate artery</w:t>
      </w:r>
      <w:r w:rsidR="00D67CC3" w:rsidRPr="00590419">
        <w:rPr>
          <w:rFonts w:asciiTheme="majorHAnsi" w:eastAsiaTheme="majorEastAsia" w:hAnsiTheme="majorHAnsi" w:cstheme="minorHAnsi"/>
          <w:lang w:val="en-US"/>
        </w:rPr>
        <w:t>,</w:t>
      </w:r>
      <w:r w:rsidRPr="00161EDF">
        <w:rPr>
          <w:rFonts w:asciiTheme="majorHAnsi" w:eastAsiaTheme="majorEastAsia" w:hAnsiTheme="majorHAnsi" w:cstheme="minorHAnsi"/>
          <w:lang w:val="en-US"/>
        </w:rPr>
        <w:t xml:space="preserve"> misshapen and nodulated ribs; bipartite, incompletely ossified, or unossified vertebral centra</w:t>
      </w:r>
      <w:r w:rsidR="00D67CC3" w:rsidRPr="00590419">
        <w:rPr>
          <w:rFonts w:asciiTheme="majorHAnsi" w:eastAsiaTheme="majorEastAsia" w:hAnsiTheme="majorHAnsi" w:cstheme="minorHAnsi"/>
          <w:lang w:val="en-US"/>
        </w:rPr>
        <w:t>,</w:t>
      </w:r>
      <w:r w:rsidRPr="00161EDF">
        <w:rPr>
          <w:rFonts w:asciiTheme="majorHAnsi" w:eastAsiaTheme="majorEastAsia" w:hAnsiTheme="majorHAnsi" w:cstheme="minorHAnsi"/>
          <w:lang w:val="en-US"/>
        </w:rPr>
        <w:t xml:space="preserve"> small or misshapen vertebral arches</w:t>
      </w:r>
      <w:r w:rsidR="00D67CC3" w:rsidRPr="00590419">
        <w:rPr>
          <w:rFonts w:asciiTheme="majorHAnsi" w:eastAsiaTheme="majorEastAsia" w:hAnsiTheme="majorHAnsi" w:cstheme="minorHAnsi"/>
          <w:lang w:val="en-US"/>
        </w:rPr>
        <w:t>, and</w:t>
      </w:r>
      <w:r w:rsidR="00725384" w:rsidRPr="00161EDF">
        <w:rPr>
          <w:rFonts w:asciiTheme="majorHAnsi" w:eastAsiaTheme="majorEastAsia" w:hAnsiTheme="majorHAnsi" w:cstheme="minorHAnsi"/>
          <w:lang w:val="en-US"/>
        </w:rPr>
        <w:t xml:space="preserve"> r</w:t>
      </w:r>
      <w:r w:rsidRPr="00161EDF">
        <w:rPr>
          <w:rFonts w:asciiTheme="majorHAnsi" w:eastAsiaTheme="majorEastAsia" w:hAnsiTheme="majorHAnsi" w:cstheme="minorHAnsi"/>
          <w:lang w:val="en-US"/>
        </w:rPr>
        <w:t>eductions in ossified forelimb and hindlimb phalanges, hindlimb metatarsals, and caudal vertebrae were also observed at 20 mg/kg/day.</w:t>
      </w:r>
    </w:p>
    <w:p w14:paraId="3F07CA00" w14:textId="03644A58" w:rsidR="002C4189" w:rsidRPr="00161EDF" w:rsidRDefault="00FB7D91" w:rsidP="00792A36">
      <w:pPr>
        <w:rPr>
          <w:rFonts w:asciiTheme="majorHAnsi" w:eastAsiaTheme="majorEastAsia" w:hAnsiTheme="majorHAnsi" w:cstheme="minorHAnsi"/>
          <w:lang w:val="en-US"/>
        </w:rPr>
      </w:pPr>
      <w:r w:rsidRPr="00161EDF">
        <w:rPr>
          <w:rFonts w:asciiTheme="majorHAnsi" w:eastAsiaTheme="majorEastAsia" w:hAnsiTheme="majorHAnsi" w:cstheme="minorHAnsi"/>
          <w:lang w:val="en-US"/>
        </w:rPr>
        <w:t xml:space="preserve">Verify the pregnancy status of females of reproductive potential prior to initiating QINLOCK . Advise female patients of reproductive potential to use effective contraception during treatment and for at least </w:t>
      </w:r>
      <w:r w:rsidR="00A547FB" w:rsidRPr="00590419">
        <w:rPr>
          <w:rFonts w:asciiTheme="majorHAnsi" w:eastAsiaTheme="majorEastAsia" w:hAnsiTheme="majorHAnsi" w:cstheme="minorHAnsi"/>
          <w:lang w:val="en-US"/>
        </w:rPr>
        <w:t xml:space="preserve">1 week </w:t>
      </w:r>
      <w:r w:rsidRPr="00161EDF">
        <w:rPr>
          <w:rFonts w:asciiTheme="majorHAnsi" w:eastAsiaTheme="majorEastAsia" w:hAnsiTheme="majorHAnsi" w:cstheme="minorHAnsi"/>
          <w:lang w:val="en-US"/>
        </w:rPr>
        <w:t xml:space="preserve">after the final dose. </w:t>
      </w:r>
      <w:r w:rsidRPr="00590419">
        <w:rPr>
          <w:rFonts w:asciiTheme="majorHAnsi" w:eastAsiaTheme="majorEastAsia" w:hAnsiTheme="majorHAnsi" w:cstheme="minorHAnsi"/>
          <w:lang w:val="en-US"/>
        </w:rPr>
        <w:t xml:space="preserve"> </w:t>
      </w:r>
      <w:r w:rsidRPr="00161EDF">
        <w:rPr>
          <w:rFonts w:asciiTheme="majorHAnsi" w:eastAsiaTheme="majorEastAsia" w:hAnsiTheme="majorHAnsi" w:cstheme="minorHAnsi"/>
          <w:lang w:val="en-US"/>
        </w:rPr>
        <w:t xml:space="preserve">Advise male patients with female partners of reproductive potential to use effective contraception during treatment and for at least </w:t>
      </w:r>
      <w:r w:rsidR="00E74B6B" w:rsidRPr="00590419">
        <w:rPr>
          <w:rFonts w:asciiTheme="majorHAnsi" w:eastAsiaTheme="majorEastAsia" w:hAnsiTheme="majorHAnsi" w:cstheme="minorHAnsi"/>
          <w:lang w:val="en-US"/>
        </w:rPr>
        <w:t xml:space="preserve">1 week </w:t>
      </w:r>
      <w:r w:rsidRPr="00161EDF">
        <w:rPr>
          <w:rFonts w:asciiTheme="majorHAnsi" w:eastAsiaTheme="majorEastAsia" w:hAnsiTheme="majorHAnsi" w:cstheme="minorHAnsi"/>
          <w:lang w:val="en-US"/>
        </w:rPr>
        <w:t xml:space="preserve">after the final dose. </w:t>
      </w:r>
    </w:p>
    <w:p w14:paraId="28DD31A7" w14:textId="77777777" w:rsidR="002C4189" w:rsidRDefault="00FB7D91">
      <w:pPr>
        <w:pStyle w:val="Heading3"/>
        <w:spacing w:before="0" w:after="120"/>
        <w:ind w:left="0"/>
        <w:rPr>
          <w:rFonts w:cstheme="minorHAnsi"/>
        </w:rPr>
      </w:pPr>
      <w:r>
        <w:rPr>
          <w:rFonts w:cstheme="minorHAnsi"/>
        </w:rPr>
        <w:t>Use in lactation</w:t>
      </w:r>
    </w:p>
    <w:p w14:paraId="48C68A5E" w14:textId="04D4AF0C" w:rsidR="002C4189" w:rsidRPr="00161EDF" w:rsidRDefault="00FB7D91">
      <w:pPr>
        <w:rPr>
          <w:rFonts w:asciiTheme="majorHAnsi" w:eastAsiaTheme="majorEastAsia" w:hAnsiTheme="majorHAnsi" w:cstheme="minorHAnsi"/>
          <w:lang w:val="en-US"/>
        </w:rPr>
      </w:pPr>
      <w:r w:rsidRPr="00161EDF">
        <w:rPr>
          <w:rFonts w:asciiTheme="majorHAnsi" w:eastAsiaTheme="majorEastAsia" w:hAnsiTheme="majorHAnsi" w:cstheme="minorHAnsi"/>
          <w:lang w:val="en-US"/>
        </w:rPr>
        <w:t>There</w:t>
      </w:r>
      <w:r w:rsidR="00D67CC3" w:rsidRPr="00161EDF">
        <w:rPr>
          <w:rFonts w:asciiTheme="majorHAnsi" w:eastAsiaTheme="majorEastAsia" w:hAnsiTheme="majorHAnsi" w:cstheme="minorHAnsi"/>
          <w:lang w:val="en-US"/>
        </w:rPr>
        <w:t xml:space="preserve"> </w:t>
      </w:r>
      <w:r w:rsidR="00D67CC3" w:rsidRPr="00590419">
        <w:rPr>
          <w:rFonts w:asciiTheme="majorHAnsi" w:hAnsiTheme="majorHAnsi"/>
        </w:rPr>
        <w:t>are no data</w:t>
      </w:r>
      <w:r w:rsidR="00D67CC3" w:rsidRPr="00590419">
        <w:rPr>
          <w:rFonts w:asciiTheme="majorHAnsi" w:eastAsiaTheme="majorEastAsia" w:hAnsiTheme="majorHAnsi" w:cstheme="minorHAnsi"/>
          <w:lang w:val="en-US"/>
        </w:rPr>
        <w:t xml:space="preserve"> </w:t>
      </w:r>
      <w:r w:rsidRPr="00161EDF">
        <w:rPr>
          <w:rFonts w:asciiTheme="majorHAnsi" w:eastAsiaTheme="majorEastAsia" w:hAnsiTheme="majorHAnsi" w:cstheme="minorHAnsi"/>
          <w:lang w:val="en-US"/>
        </w:rPr>
        <w:t xml:space="preserve">regarding the presence of ripretinib or its metabolites in human milk or their effects on the breastfed infant or on milk production. Because of the potential for adverse reactions in breastfed infants, advise women not to breastfeed during treatment with ripretinib and for at least </w:t>
      </w:r>
      <w:r w:rsidR="00A547FB" w:rsidRPr="00590419">
        <w:rPr>
          <w:rFonts w:asciiTheme="majorHAnsi" w:eastAsiaTheme="majorEastAsia" w:hAnsiTheme="majorHAnsi" w:cstheme="minorHAnsi"/>
          <w:lang w:val="en-US"/>
        </w:rPr>
        <w:t xml:space="preserve">1 </w:t>
      </w:r>
      <w:r w:rsidRPr="00161EDF">
        <w:rPr>
          <w:rFonts w:asciiTheme="majorHAnsi" w:eastAsiaTheme="majorEastAsia" w:hAnsiTheme="majorHAnsi" w:cstheme="minorHAnsi"/>
          <w:lang w:val="en-US"/>
        </w:rPr>
        <w:t>week</w:t>
      </w:r>
      <w:r w:rsidR="00161EDF" w:rsidRPr="00161EDF">
        <w:rPr>
          <w:rFonts w:asciiTheme="majorHAnsi" w:eastAsiaTheme="majorEastAsia" w:hAnsiTheme="majorHAnsi" w:cstheme="minorHAnsi"/>
          <w:lang w:val="en-US"/>
        </w:rPr>
        <w:t xml:space="preserve"> </w:t>
      </w:r>
      <w:r w:rsidRPr="00161EDF">
        <w:rPr>
          <w:rFonts w:asciiTheme="majorHAnsi" w:eastAsiaTheme="majorEastAsia" w:hAnsiTheme="majorHAnsi" w:cstheme="minorHAnsi"/>
          <w:lang w:val="en-US"/>
        </w:rPr>
        <w:t>after the final dose.</w:t>
      </w:r>
    </w:p>
    <w:p w14:paraId="03B7028E" w14:textId="77777777" w:rsidR="002C4189" w:rsidRDefault="00FB7D91" w:rsidP="00F92162">
      <w:pPr>
        <w:pStyle w:val="Heading2"/>
        <w:rPr>
          <w:rFonts w:cstheme="minorHAnsi"/>
        </w:rPr>
      </w:pPr>
      <w:r>
        <w:rPr>
          <w:rFonts w:cstheme="minorHAnsi"/>
        </w:rPr>
        <w:t xml:space="preserve">Effects on ability to drive and use machines </w:t>
      </w:r>
    </w:p>
    <w:p w14:paraId="194FEB6E" w14:textId="0DBCE8FD" w:rsidR="00E03628" w:rsidRDefault="00E03628">
      <w:pPr>
        <w:rPr>
          <w:rFonts w:asciiTheme="majorHAnsi" w:hAnsiTheme="majorHAnsi" w:cstheme="minorHAnsi"/>
          <w:lang w:val="en"/>
        </w:rPr>
      </w:pPr>
      <w:r>
        <w:rPr>
          <w:rFonts w:asciiTheme="majorHAnsi" w:hAnsiTheme="majorHAnsi" w:cstheme="minorHAnsi"/>
          <w:lang w:val="en"/>
        </w:rPr>
        <w:t>No data available.</w:t>
      </w:r>
    </w:p>
    <w:p w14:paraId="08F3400C" w14:textId="77777777" w:rsidR="002C4189" w:rsidRDefault="00FB7D91" w:rsidP="00F92162">
      <w:pPr>
        <w:pStyle w:val="Heading2"/>
        <w:rPr>
          <w:rFonts w:cstheme="minorHAnsi"/>
        </w:rPr>
      </w:pPr>
      <w:r>
        <w:rPr>
          <w:rFonts w:cstheme="minorHAnsi"/>
        </w:rPr>
        <w:t>Adverse effects (Undesirable effects)</w:t>
      </w:r>
    </w:p>
    <w:p w14:paraId="76ECB3C5" w14:textId="77777777" w:rsidR="002C4189" w:rsidRPr="00F92162" w:rsidRDefault="00FB7D91" w:rsidP="00F92162">
      <w:pPr>
        <w:pStyle w:val="Heading3"/>
        <w:spacing w:before="0" w:after="120"/>
        <w:ind w:left="0"/>
      </w:pPr>
      <w:r w:rsidRPr="00F92162">
        <w:t>Summary of the safety profile</w:t>
      </w:r>
    </w:p>
    <w:p w14:paraId="71B97B3C" w14:textId="32B3802B" w:rsidR="002C4189" w:rsidRDefault="00FB7D91">
      <w:pPr>
        <w:rPr>
          <w:rFonts w:asciiTheme="majorHAnsi" w:eastAsiaTheme="majorEastAsia" w:hAnsiTheme="majorHAnsi" w:cstheme="minorHAnsi"/>
          <w:lang w:val="en-US"/>
        </w:rPr>
      </w:pPr>
      <w:r>
        <w:rPr>
          <w:rFonts w:asciiTheme="majorHAnsi" w:eastAsiaTheme="majorEastAsia" w:hAnsiTheme="majorHAnsi" w:cstheme="minorHAnsi"/>
          <w:lang w:val="en-US"/>
        </w:rPr>
        <w:t xml:space="preserve">In the Phase 3 double-blind, randomised (2:1), placebo-controlled trial (INVICTUS), 129 study participants with a diagnosis of advanced GIST were randomised to QINLOCK (n=85) or placebo (n=44) [see </w:t>
      </w:r>
      <w:r w:rsidR="000639AA" w:rsidRPr="000639AA">
        <w:rPr>
          <w:rFonts w:asciiTheme="majorHAnsi" w:eastAsiaTheme="majorEastAsia" w:hAnsiTheme="majorHAnsi" w:cstheme="minorHAnsi"/>
          <w:color w:val="0000FF"/>
          <w:lang w:val="en-US"/>
        </w:rPr>
        <w:t xml:space="preserve">Section </w:t>
      </w:r>
      <w:r w:rsidRPr="000639AA">
        <w:rPr>
          <w:rFonts w:asciiTheme="majorHAnsi" w:eastAsiaTheme="majorEastAsia" w:hAnsiTheme="majorHAnsi" w:cstheme="minorHAnsi"/>
          <w:color w:val="0000FF"/>
          <w:lang w:val="en-US"/>
        </w:rPr>
        <w:t>5.</w:t>
      </w:r>
      <w:r w:rsidRPr="0034268B">
        <w:rPr>
          <w:rFonts w:asciiTheme="majorHAnsi" w:eastAsiaTheme="majorEastAsia" w:hAnsiTheme="majorHAnsi" w:cstheme="minorHAnsi"/>
          <w:color w:val="0000FF"/>
          <w:lang w:val="en-US"/>
        </w:rPr>
        <w:t>1</w:t>
      </w:r>
      <w:r>
        <w:rPr>
          <w:rFonts w:asciiTheme="majorHAnsi" w:eastAsiaTheme="majorEastAsia" w:hAnsiTheme="majorHAnsi" w:cstheme="minorHAnsi"/>
          <w:lang w:val="en-US"/>
        </w:rPr>
        <w:t xml:space="preserve"> Clinical trials]. The data described in this section reflect the safety population (n=128) who had received at least one dose of QINLOCK (n=85) or placebo (n=43). One study participant who was randomised to the placebo arm did not receive placebo. The safety results from the double-blind </w:t>
      </w:r>
      <w:r w:rsidR="0062668A">
        <w:rPr>
          <w:rFonts w:asciiTheme="majorHAnsi" w:eastAsiaTheme="majorEastAsia" w:hAnsiTheme="majorHAnsi" w:cstheme="minorHAnsi"/>
          <w:lang w:val="en-US"/>
        </w:rPr>
        <w:t xml:space="preserve">treatment </w:t>
      </w:r>
      <w:r>
        <w:rPr>
          <w:rFonts w:asciiTheme="majorHAnsi" w:eastAsiaTheme="majorEastAsia" w:hAnsiTheme="majorHAnsi" w:cstheme="minorHAnsi"/>
          <w:lang w:val="en-US"/>
        </w:rPr>
        <w:t xml:space="preserve">period of INVICTUS are described below. </w:t>
      </w:r>
    </w:p>
    <w:p w14:paraId="5AEA0C47" w14:textId="5ABDE9F7" w:rsidR="00D67CC3" w:rsidRDefault="00D67CC3" w:rsidP="00D67CC3">
      <w:pPr>
        <w:rPr>
          <w:rFonts w:asciiTheme="majorHAnsi" w:eastAsiaTheme="majorEastAsia" w:hAnsiTheme="majorHAnsi" w:cstheme="minorHAnsi"/>
          <w:lang w:val="en-US"/>
        </w:rPr>
      </w:pPr>
      <w:r w:rsidRPr="00A229A4">
        <w:rPr>
          <w:rFonts w:asciiTheme="majorHAnsi" w:eastAsiaTheme="majorEastAsia" w:hAnsiTheme="majorHAnsi" w:cstheme="minorHAnsi"/>
          <w:lang w:val="en-US"/>
        </w:rPr>
        <w:t xml:space="preserve">The most common adverse events (≥20%) observed in patients treated with QINLOCK (all grades) were alopecia, fatigue, nausea, abdominal pain, constipation, myalgia, diarrhea, decreased appetite, palmar-plantar </w:t>
      </w:r>
      <w:r>
        <w:rPr>
          <w:rFonts w:asciiTheme="majorHAnsi" w:eastAsiaTheme="majorEastAsia" w:hAnsiTheme="majorHAnsi" w:cstheme="minorHAnsi"/>
          <w:lang w:val="en-US"/>
        </w:rPr>
        <w:t>erythrodys</w:t>
      </w:r>
      <w:r w:rsidR="00636516" w:rsidRPr="00590419">
        <w:rPr>
          <w:rFonts w:asciiTheme="majorHAnsi" w:eastAsiaTheme="majorEastAsia" w:hAnsiTheme="majorHAnsi" w:cstheme="minorHAnsi"/>
          <w:lang w:val="en-US"/>
        </w:rPr>
        <w:t>a</w:t>
      </w:r>
      <w:r>
        <w:rPr>
          <w:rFonts w:asciiTheme="majorHAnsi" w:eastAsiaTheme="majorEastAsia" w:hAnsiTheme="majorHAnsi" w:cstheme="minorHAnsi"/>
          <w:lang w:val="en-US"/>
        </w:rPr>
        <w:t xml:space="preserve">esthesia </w:t>
      </w:r>
      <w:r w:rsidRPr="00A229A4">
        <w:rPr>
          <w:rFonts w:asciiTheme="majorHAnsi" w:eastAsiaTheme="majorEastAsia" w:hAnsiTheme="majorHAnsi" w:cstheme="minorHAnsi"/>
          <w:lang w:val="en-US"/>
        </w:rPr>
        <w:t xml:space="preserve">syndrome </w:t>
      </w:r>
      <w:r>
        <w:rPr>
          <w:rFonts w:asciiTheme="majorHAnsi" w:eastAsiaTheme="majorEastAsia" w:hAnsiTheme="majorHAnsi" w:cstheme="minorHAnsi"/>
          <w:lang w:val="en-US"/>
        </w:rPr>
        <w:t>(PPES)</w:t>
      </w:r>
      <w:r w:rsidR="00F0606C">
        <w:rPr>
          <w:rFonts w:asciiTheme="majorHAnsi" w:eastAsiaTheme="majorEastAsia" w:hAnsiTheme="majorHAnsi" w:cstheme="minorHAnsi"/>
          <w:strike/>
          <w:color w:val="00B050"/>
          <w:lang w:val="en-US"/>
        </w:rPr>
        <w:t xml:space="preserve">, </w:t>
      </w:r>
      <w:r w:rsidRPr="00A229A4">
        <w:rPr>
          <w:rFonts w:asciiTheme="majorHAnsi" w:eastAsiaTheme="majorEastAsia" w:hAnsiTheme="majorHAnsi" w:cstheme="minorHAnsi"/>
          <w:lang w:val="en-US"/>
        </w:rPr>
        <w:t>and vomiting</w:t>
      </w:r>
      <w:r w:rsidRPr="00F0606C">
        <w:rPr>
          <w:rFonts w:asciiTheme="majorHAnsi" w:eastAsiaTheme="majorEastAsia" w:hAnsiTheme="majorHAnsi" w:cstheme="minorHAnsi"/>
          <w:lang w:val="en-US"/>
        </w:rPr>
        <w:t>.</w:t>
      </w:r>
      <w:r w:rsidR="002528D8" w:rsidRPr="00590419">
        <w:rPr>
          <w:rFonts w:asciiTheme="majorHAnsi" w:eastAsiaTheme="majorEastAsia" w:hAnsiTheme="majorHAnsi" w:cstheme="minorHAnsi"/>
          <w:lang w:val="en-US"/>
        </w:rPr>
        <w:t xml:space="preserve"> The most common Grade 3 or 4 laboratory abnormalities were increased lipase and decreased phosphate.</w:t>
      </w:r>
    </w:p>
    <w:p w14:paraId="49722DC9" w14:textId="77777777" w:rsidR="00044068" w:rsidRPr="00F92162" w:rsidRDefault="00044068" w:rsidP="00F92162">
      <w:pPr>
        <w:pStyle w:val="Heading3"/>
        <w:spacing w:before="0" w:after="120"/>
        <w:ind w:left="0"/>
        <w:rPr>
          <w:rFonts w:cstheme="minorHAnsi"/>
          <w:b w:val="0"/>
          <w:bCs w:val="0"/>
        </w:rPr>
      </w:pPr>
      <w:r w:rsidRPr="00F92162">
        <w:rPr>
          <w:rFonts w:cstheme="minorHAnsi"/>
        </w:rPr>
        <w:t>Tabulated list of adverse events</w:t>
      </w:r>
    </w:p>
    <w:p w14:paraId="31129A15" w14:textId="7CDAB9DE" w:rsidR="002C4189" w:rsidRDefault="00BF3161">
      <w:pPr>
        <w:rPr>
          <w:rFonts w:asciiTheme="majorHAnsi" w:eastAsiaTheme="majorEastAsia" w:hAnsiTheme="majorHAnsi" w:cstheme="minorHAnsi"/>
          <w:lang w:val="en-US"/>
        </w:rPr>
      </w:pPr>
      <w:r w:rsidRPr="000B2499">
        <w:rPr>
          <w:rFonts w:asciiTheme="majorHAnsi" w:eastAsiaTheme="majorEastAsia" w:hAnsiTheme="majorHAnsi" w:cstheme="minorHAnsi"/>
          <w:color w:val="0000FF"/>
          <w:lang w:val="en-US"/>
        </w:rPr>
        <w:fldChar w:fldCharType="begin"/>
      </w:r>
      <w:r w:rsidRPr="009D2610">
        <w:rPr>
          <w:rFonts w:asciiTheme="majorHAnsi" w:eastAsiaTheme="majorEastAsia" w:hAnsiTheme="majorHAnsi" w:cstheme="minorHAnsi"/>
          <w:color w:val="0000FF"/>
          <w:lang w:val="en-US"/>
        </w:rPr>
        <w:instrText xml:space="preserve"> REF _Ref27027810 \h  \* MERGEFORMAT </w:instrText>
      </w:r>
      <w:r w:rsidRPr="000B2499">
        <w:rPr>
          <w:rFonts w:asciiTheme="majorHAnsi" w:eastAsiaTheme="majorEastAsia" w:hAnsiTheme="majorHAnsi" w:cstheme="minorHAnsi"/>
          <w:color w:val="0000FF"/>
          <w:lang w:val="en-US"/>
        </w:rPr>
      </w:r>
      <w:r w:rsidRPr="000B2499">
        <w:rPr>
          <w:rFonts w:asciiTheme="majorHAnsi" w:eastAsiaTheme="majorEastAsia" w:hAnsiTheme="majorHAnsi" w:cstheme="minorHAnsi"/>
          <w:color w:val="0000FF"/>
          <w:lang w:val="en-US"/>
        </w:rPr>
        <w:fldChar w:fldCharType="separate"/>
      </w:r>
      <w:r w:rsidR="00C8101D" w:rsidRPr="00C8101D">
        <w:rPr>
          <w:rFonts w:asciiTheme="majorHAnsi" w:hAnsiTheme="majorHAnsi"/>
          <w:color w:val="0000FF"/>
        </w:rPr>
        <w:t xml:space="preserve">Table </w:t>
      </w:r>
      <w:r w:rsidR="00C8101D" w:rsidRPr="00C8101D">
        <w:rPr>
          <w:rFonts w:asciiTheme="majorHAnsi" w:hAnsiTheme="majorHAnsi"/>
          <w:noProof/>
          <w:color w:val="0000FF"/>
        </w:rPr>
        <w:t>2</w:t>
      </w:r>
      <w:r w:rsidRPr="000B2499">
        <w:rPr>
          <w:rFonts w:asciiTheme="majorHAnsi" w:eastAsiaTheme="majorEastAsia" w:hAnsiTheme="majorHAnsi" w:cstheme="minorHAnsi"/>
          <w:color w:val="0000FF"/>
          <w:lang w:val="en-US"/>
        </w:rPr>
        <w:fldChar w:fldCharType="end"/>
      </w:r>
      <w:r>
        <w:rPr>
          <w:rFonts w:asciiTheme="majorHAnsi" w:eastAsiaTheme="majorEastAsia" w:hAnsiTheme="majorHAnsi" w:cstheme="minorHAnsi"/>
          <w:color w:val="0000FF"/>
          <w:lang w:val="en-US"/>
        </w:rPr>
        <w:t xml:space="preserve"> </w:t>
      </w:r>
      <w:r w:rsidR="00FB7D91">
        <w:rPr>
          <w:rFonts w:asciiTheme="majorHAnsi" w:eastAsiaTheme="majorEastAsia" w:hAnsiTheme="majorHAnsi" w:cstheme="minorHAnsi"/>
          <w:lang w:val="en-US"/>
        </w:rPr>
        <w:t>summarizes the most frequently reported treatment-emergent adverse events (TEAEs) in ≥10% of patients with advanced GIST who received QINLOCK in the double-blind treatment period of INVICTUS.</w:t>
      </w:r>
    </w:p>
    <w:p w14:paraId="23941AA2" w14:textId="7DF17AA9" w:rsidR="002528D8" w:rsidRPr="00590419" w:rsidRDefault="002528D8" w:rsidP="004072E8">
      <w:pPr>
        <w:pageBreakBefore/>
        <w:ind w:left="902" w:hanging="902"/>
        <w:rPr>
          <w:rFonts w:asciiTheme="majorHAnsi" w:hAnsiTheme="majorHAnsi"/>
          <w:b/>
          <w:bCs/>
          <w:vertAlign w:val="superscript"/>
        </w:rPr>
      </w:pPr>
      <w:bookmarkStart w:id="9" w:name="_Ref27027810"/>
      <w:r w:rsidRPr="00590419">
        <w:rPr>
          <w:rFonts w:asciiTheme="majorHAnsi" w:hAnsiTheme="majorHAnsi"/>
          <w:b/>
          <w:bCs/>
        </w:rPr>
        <w:lastRenderedPageBreak/>
        <w:t xml:space="preserve">Table </w:t>
      </w:r>
      <w:r w:rsidRPr="00590419">
        <w:rPr>
          <w:rFonts w:asciiTheme="majorHAnsi" w:hAnsiTheme="majorHAnsi"/>
          <w:b/>
          <w:bCs/>
        </w:rPr>
        <w:fldChar w:fldCharType="begin"/>
      </w:r>
      <w:r w:rsidRPr="00590419">
        <w:rPr>
          <w:rFonts w:asciiTheme="majorHAnsi" w:hAnsiTheme="majorHAnsi"/>
          <w:b/>
          <w:bCs/>
        </w:rPr>
        <w:instrText xml:space="preserve"> SEQ Table \* ARABIC </w:instrText>
      </w:r>
      <w:r w:rsidRPr="00590419">
        <w:rPr>
          <w:rFonts w:asciiTheme="majorHAnsi" w:hAnsiTheme="majorHAnsi"/>
          <w:b/>
          <w:bCs/>
        </w:rPr>
        <w:fldChar w:fldCharType="separate"/>
      </w:r>
      <w:r w:rsidRPr="00590419">
        <w:rPr>
          <w:rFonts w:asciiTheme="majorHAnsi" w:hAnsiTheme="majorHAnsi"/>
          <w:b/>
          <w:bCs/>
          <w:noProof/>
        </w:rPr>
        <w:t>2</w:t>
      </w:r>
      <w:r w:rsidRPr="00590419">
        <w:rPr>
          <w:rFonts w:asciiTheme="majorHAnsi" w:hAnsiTheme="majorHAnsi"/>
          <w:b/>
          <w:bCs/>
        </w:rPr>
        <w:fldChar w:fldCharType="end"/>
      </w:r>
      <w:bookmarkEnd w:id="9"/>
      <w:r w:rsidRPr="00590419">
        <w:rPr>
          <w:rFonts w:asciiTheme="majorHAnsi" w:hAnsiTheme="majorHAnsi"/>
          <w:b/>
          <w:bCs/>
        </w:rPr>
        <w:t xml:space="preserve">: Treatment-Emergent Adverse Events (TEAEs) Reported in ≥10% of </w:t>
      </w:r>
      <w:r w:rsidR="00A4321A" w:rsidRPr="00590419">
        <w:rPr>
          <w:rFonts w:asciiTheme="majorHAnsi" w:hAnsiTheme="majorHAnsi"/>
          <w:b/>
          <w:bCs/>
        </w:rPr>
        <w:t xml:space="preserve">Patients Who Received QINLOCK with a Difference Between Arms of &gt;5% Compared to Placebo in </w:t>
      </w:r>
      <w:r w:rsidRPr="00590419">
        <w:rPr>
          <w:rFonts w:asciiTheme="majorHAnsi" w:hAnsiTheme="majorHAnsi"/>
          <w:b/>
          <w:bCs/>
        </w:rPr>
        <w:t>INVICTUS</w:t>
      </w:r>
    </w:p>
    <w:tbl>
      <w:tblPr>
        <w:tblStyle w:val="TableGrid10"/>
        <w:tblW w:w="5002" w:type="pct"/>
        <w:tblLook w:val="0000" w:firstRow="0" w:lastRow="0" w:firstColumn="0" w:lastColumn="0" w:noHBand="0" w:noVBand="0"/>
      </w:tblPr>
      <w:tblGrid>
        <w:gridCol w:w="3530"/>
        <w:gridCol w:w="1373"/>
        <w:gridCol w:w="1373"/>
        <w:gridCol w:w="1373"/>
        <w:gridCol w:w="1371"/>
      </w:tblGrid>
      <w:tr w:rsidR="00F0606C" w:rsidRPr="00F0606C" w14:paraId="748E00A1" w14:textId="77777777" w:rsidTr="00C454EF">
        <w:tc>
          <w:tcPr>
            <w:tcW w:w="1957" w:type="pct"/>
            <w:vMerge w:val="restart"/>
          </w:tcPr>
          <w:p w14:paraId="03CE8CA0" w14:textId="77777777" w:rsidR="002528D8" w:rsidRPr="00590419" w:rsidRDefault="002528D8" w:rsidP="00C454EF">
            <w:pPr>
              <w:keepNext/>
              <w:adjustRightInd w:val="0"/>
              <w:spacing w:before="20" w:after="20"/>
              <w:rPr>
                <w:rFonts w:asciiTheme="majorHAnsi" w:hAnsiTheme="majorHAnsi"/>
                <w:b/>
                <w:bCs/>
                <w:sz w:val="22"/>
                <w:szCs w:val="22"/>
              </w:rPr>
            </w:pPr>
            <w:r w:rsidRPr="00590419">
              <w:rPr>
                <w:rFonts w:asciiTheme="majorHAnsi" w:hAnsiTheme="majorHAnsi"/>
                <w:b/>
                <w:bCs/>
                <w:sz w:val="22"/>
                <w:szCs w:val="22"/>
              </w:rPr>
              <w:t>Treatment-Emergent Adverse Events</w:t>
            </w:r>
          </w:p>
        </w:tc>
        <w:tc>
          <w:tcPr>
            <w:tcW w:w="1522" w:type="pct"/>
            <w:gridSpan w:val="2"/>
          </w:tcPr>
          <w:p w14:paraId="25F58C73" w14:textId="77777777" w:rsidR="002528D8" w:rsidRPr="00590419" w:rsidRDefault="002528D8" w:rsidP="00C454EF">
            <w:pPr>
              <w:keepNext/>
              <w:adjustRightInd w:val="0"/>
              <w:spacing w:before="20" w:after="20"/>
              <w:jc w:val="center"/>
              <w:rPr>
                <w:rFonts w:asciiTheme="majorHAnsi" w:hAnsiTheme="majorHAnsi"/>
                <w:b/>
                <w:bCs/>
                <w:sz w:val="22"/>
                <w:szCs w:val="22"/>
              </w:rPr>
            </w:pPr>
            <w:r w:rsidRPr="00590419">
              <w:rPr>
                <w:rFonts w:asciiTheme="majorHAnsi" w:hAnsiTheme="majorHAnsi"/>
                <w:b/>
                <w:bCs/>
                <w:sz w:val="22"/>
                <w:szCs w:val="22"/>
              </w:rPr>
              <w:t>QINLOCK</w:t>
            </w:r>
            <w:r w:rsidRPr="00590419">
              <w:rPr>
                <w:rFonts w:asciiTheme="majorHAnsi" w:hAnsiTheme="majorHAnsi"/>
                <w:b/>
                <w:bCs/>
                <w:sz w:val="22"/>
                <w:szCs w:val="22"/>
              </w:rPr>
              <w:br/>
              <w:t>(N=85)</w:t>
            </w:r>
          </w:p>
        </w:tc>
        <w:tc>
          <w:tcPr>
            <w:tcW w:w="1522" w:type="pct"/>
            <w:gridSpan w:val="2"/>
          </w:tcPr>
          <w:p w14:paraId="5819E5B4" w14:textId="77777777" w:rsidR="002528D8" w:rsidRPr="00590419" w:rsidRDefault="002528D8" w:rsidP="00C454EF">
            <w:pPr>
              <w:keepNext/>
              <w:adjustRightInd w:val="0"/>
              <w:spacing w:before="20" w:after="20"/>
              <w:jc w:val="center"/>
              <w:rPr>
                <w:rFonts w:asciiTheme="majorHAnsi" w:hAnsiTheme="majorHAnsi"/>
                <w:b/>
                <w:bCs/>
                <w:sz w:val="22"/>
                <w:szCs w:val="22"/>
              </w:rPr>
            </w:pPr>
            <w:r w:rsidRPr="00590419">
              <w:rPr>
                <w:rFonts w:asciiTheme="majorHAnsi" w:hAnsiTheme="majorHAnsi"/>
                <w:b/>
                <w:bCs/>
                <w:sz w:val="22"/>
                <w:szCs w:val="22"/>
              </w:rPr>
              <w:t xml:space="preserve">Placebo </w:t>
            </w:r>
            <w:r w:rsidRPr="00590419">
              <w:rPr>
                <w:rFonts w:asciiTheme="majorHAnsi" w:hAnsiTheme="majorHAnsi"/>
                <w:b/>
                <w:bCs/>
                <w:sz w:val="22"/>
                <w:szCs w:val="22"/>
              </w:rPr>
              <w:br/>
              <w:t>(N=43)</w:t>
            </w:r>
          </w:p>
        </w:tc>
      </w:tr>
      <w:tr w:rsidR="00F0606C" w:rsidRPr="00F0606C" w14:paraId="21260955" w14:textId="77777777" w:rsidTr="00C454EF">
        <w:tc>
          <w:tcPr>
            <w:tcW w:w="1957" w:type="pct"/>
            <w:vMerge/>
          </w:tcPr>
          <w:p w14:paraId="06BB2351" w14:textId="77777777" w:rsidR="002528D8" w:rsidRPr="00590419" w:rsidRDefault="002528D8" w:rsidP="00C454EF">
            <w:pPr>
              <w:keepNext/>
              <w:adjustRightInd w:val="0"/>
              <w:spacing w:before="20" w:after="20"/>
              <w:rPr>
                <w:rFonts w:asciiTheme="majorHAnsi" w:hAnsiTheme="majorHAnsi"/>
                <w:b/>
                <w:bCs/>
                <w:sz w:val="22"/>
                <w:szCs w:val="22"/>
              </w:rPr>
            </w:pPr>
          </w:p>
        </w:tc>
        <w:tc>
          <w:tcPr>
            <w:tcW w:w="761" w:type="pct"/>
          </w:tcPr>
          <w:p w14:paraId="54469398" w14:textId="77777777" w:rsidR="002528D8" w:rsidRPr="00590419" w:rsidRDefault="002528D8" w:rsidP="00C454EF">
            <w:pPr>
              <w:keepNext/>
              <w:adjustRightInd w:val="0"/>
              <w:spacing w:before="20" w:after="20"/>
              <w:jc w:val="center"/>
              <w:rPr>
                <w:rFonts w:asciiTheme="majorHAnsi" w:hAnsiTheme="majorHAnsi"/>
                <w:b/>
                <w:bCs/>
                <w:sz w:val="22"/>
                <w:szCs w:val="22"/>
              </w:rPr>
            </w:pPr>
            <w:r w:rsidRPr="00590419">
              <w:rPr>
                <w:rFonts w:asciiTheme="majorHAnsi" w:hAnsiTheme="majorHAnsi"/>
                <w:b/>
                <w:bCs/>
              </w:rPr>
              <w:t>Grades 1-4</w:t>
            </w:r>
          </w:p>
        </w:tc>
        <w:tc>
          <w:tcPr>
            <w:tcW w:w="761" w:type="pct"/>
          </w:tcPr>
          <w:p w14:paraId="32991EC3" w14:textId="77777777" w:rsidR="002528D8" w:rsidRPr="00590419" w:rsidRDefault="002528D8" w:rsidP="00C454EF">
            <w:pPr>
              <w:keepNext/>
              <w:adjustRightInd w:val="0"/>
              <w:spacing w:before="20" w:after="20"/>
              <w:jc w:val="center"/>
              <w:rPr>
                <w:rFonts w:asciiTheme="majorHAnsi" w:hAnsiTheme="majorHAnsi"/>
                <w:b/>
                <w:bCs/>
                <w:sz w:val="22"/>
                <w:szCs w:val="22"/>
              </w:rPr>
            </w:pPr>
            <w:r w:rsidRPr="00590419">
              <w:rPr>
                <w:rFonts w:asciiTheme="majorHAnsi" w:hAnsiTheme="majorHAnsi"/>
                <w:b/>
                <w:bCs/>
              </w:rPr>
              <w:t>Grades 3-4</w:t>
            </w:r>
          </w:p>
        </w:tc>
        <w:tc>
          <w:tcPr>
            <w:tcW w:w="761" w:type="pct"/>
          </w:tcPr>
          <w:p w14:paraId="373DF1F0" w14:textId="77777777" w:rsidR="002528D8" w:rsidRPr="00590419" w:rsidRDefault="002528D8" w:rsidP="00C454EF">
            <w:pPr>
              <w:keepNext/>
              <w:adjustRightInd w:val="0"/>
              <w:spacing w:before="20" w:after="20"/>
              <w:jc w:val="center"/>
              <w:rPr>
                <w:rFonts w:asciiTheme="majorHAnsi" w:hAnsiTheme="majorHAnsi"/>
                <w:b/>
                <w:bCs/>
                <w:sz w:val="22"/>
                <w:szCs w:val="22"/>
              </w:rPr>
            </w:pPr>
            <w:r w:rsidRPr="00590419">
              <w:rPr>
                <w:rFonts w:asciiTheme="majorHAnsi" w:hAnsiTheme="majorHAnsi"/>
                <w:b/>
                <w:bCs/>
              </w:rPr>
              <w:t>Grades 1-4</w:t>
            </w:r>
          </w:p>
        </w:tc>
        <w:tc>
          <w:tcPr>
            <w:tcW w:w="761" w:type="pct"/>
          </w:tcPr>
          <w:p w14:paraId="5E774885" w14:textId="77777777" w:rsidR="002528D8" w:rsidRPr="00590419" w:rsidRDefault="002528D8" w:rsidP="00C454EF">
            <w:pPr>
              <w:keepNext/>
              <w:adjustRightInd w:val="0"/>
              <w:spacing w:before="20" w:after="20"/>
              <w:jc w:val="center"/>
              <w:rPr>
                <w:rFonts w:asciiTheme="majorHAnsi" w:hAnsiTheme="majorHAnsi"/>
                <w:b/>
                <w:bCs/>
                <w:sz w:val="22"/>
                <w:szCs w:val="22"/>
              </w:rPr>
            </w:pPr>
            <w:r w:rsidRPr="00590419">
              <w:rPr>
                <w:rFonts w:asciiTheme="majorHAnsi" w:hAnsiTheme="majorHAnsi"/>
                <w:b/>
                <w:bCs/>
              </w:rPr>
              <w:t>Grades 3-4</w:t>
            </w:r>
          </w:p>
        </w:tc>
      </w:tr>
      <w:tr w:rsidR="00F0606C" w:rsidRPr="00F0606C" w14:paraId="112E9F8C" w14:textId="77777777" w:rsidTr="00C454EF">
        <w:tc>
          <w:tcPr>
            <w:tcW w:w="5000" w:type="pct"/>
            <w:gridSpan w:val="5"/>
          </w:tcPr>
          <w:p w14:paraId="4B40D4C0" w14:textId="77777777" w:rsidR="002528D8" w:rsidRPr="00590419" w:rsidRDefault="002528D8" w:rsidP="00C454EF">
            <w:pPr>
              <w:adjustRightInd w:val="0"/>
              <w:spacing w:before="20" w:after="20"/>
              <w:rPr>
                <w:rFonts w:asciiTheme="majorHAnsi" w:hAnsiTheme="majorHAnsi"/>
                <w:sz w:val="22"/>
                <w:szCs w:val="22"/>
              </w:rPr>
            </w:pPr>
            <w:r w:rsidRPr="00590419">
              <w:rPr>
                <w:rFonts w:asciiTheme="majorHAnsi" w:hAnsiTheme="majorHAnsi"/>
                <w:b/>
                <w:bCs/>
              </w:rPr>
              <w:t xml:space="preserve">Skin and subcutaneous tissue </w:t>
            </w:r>
          </w:p>
        </w:tc>
      </w:tr>
      <w:tr w:rsidR="00F0606C" w:rsidRPr="00F0606C" w14:paraId="1B695244" w14:textId="77777777" w:rsidTr="00C454EF">
        <w:tc>
          <w:tcPr>
            <w:tcW w:w="1957" w:type="pct"/>
          </w:tcPr>
          <w:p w14:paraId="44AB7083" w14:textId="77777777" w:rsidR="002528D8" w:rsidRPr="00590419" w:rsidRDefault="002528D8" w:rsidP="00C454EF">
            <w:pPr>
              <w:adjustRightInd w:val="0"/>
              <w:spacing w:before="20" w:after="20"/>
              <w:rPr>
                <w:rFonts w:asciiTheme="majorHAnsi" w:hAnsiTheme="majorHAnsi"/>
                <w:sz w:val="22"/>
                <w:szCs w:val="22"/>
              </w:rPr>
            </w:pPr>
            <w:r w:rsidRPr="00590419">
              <w:rPr>
                <w:rFonts w:asciiTheme="majorHAnsi" w:hAnsiTheme="majorHAnsi"/>
              </w:rPr>
              <w:t>Alopecia</w:t>
            </w:r>
          </w:p>
        </w:tc>
        <w:tc>
          <w:tcPr>
            <w:tcW w:w="761" w:type="pct"/>
          </w:tcPr>
          <w:p w14:paraId="00082357"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52</w:t>
            </w:r>
          </w:p>
        </w:tc>
        <w:tc>
          <w:tcPr>
            <w:tcW w:w="761" w:type="pct"/>
          </w:tcPr>
          <w:p w14:paraId="53407A99"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c>
          <w:tcPr>
            <w:tcW w:w="761" w:type="pct"/>
          </w:tcPr>
          <w:p w14:paraId="6BAC300C"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4.7</w:t>
            </w:r>
          </w:p>
        </w:tc>
        <w:tc>
          <w:tcPr>
            <w:tcW w:w="761" w:type="pct"/>
          </w:tcPr>
          <w:p w14:paraId="47BC3C7D"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r>
      <w:tr w:rsidR="00F0606C" w:rsidRPr="00F0606C" w14:paraId="562B689B" w14:textId="77777777" w:rsidTr="00C454EF">
        <w:tc>
          <w:tcPr>
            <w:tcW w:w="1957" w:type="pct"/>
          </w:tcPr>
          <w:p w14:paraId="3285BFCA" w14:textId="4841171C" w:rsidR="002528D8" w:rsidRPr="00590419" w:rsidRDefault="002528D8" w:rsidP="00C454EF">
            <w:pPr>
              <w:adjustRightInd w:val="0"/>
              <w:spacing w:before="20" w:after="20"/>
              <w:rPr>
                <w:rFonts w:asciiTheme="majorHAnsi" w:hAnsiTheme="majorHAnsi"/>
                <w:sz w:val="22"/>
                <w:szCs w:val="22"/>
              </w:rPr>
            </w:pPr>
            <w:r w:rsidRPr="00590419">
              <w:rPr>
                <w:rFonts w:asciiTheme="majorHAnsi" w:hAnsiTheme="majorHAnsi"/>
              </w:rPr>
              <w:t>Palmar-plantar erythrodys</w:t>
            </w:r>
            <w:r w:rsidR="00636516" w:rsidRPr="00590419">
              <w:rPr>
                <w:rFonts w:asciiTheme="majorHAnsi" w:hAnsiTheme="majorHAnsi"/>
              </w:rPr>
              <w:t>a</w:t>
            </w:r>
            <w:r w:rsidRPr="00590419">
              <w:rPr>
                <w:rFonts w:asciiTheme="majorHAnsi" w:hAnsiTheme="majorHAnsi"/>
              </w:rPr>
              <w:t>esthesia syndrome</w:t>
            </w:r>
          </w:p>
        </w:tc>
        <w:tc>
          <w:tcPr>
            <w:tcW w:w="761" w:type="pct"/>
          </w:tcPr>
          <w:p w14:paraId="501B6DFE"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21</w:t>
            </w:r>
          </w:p>
        </w:tc>
        <w:tc>
          <w:tcPr>
            <w:tcW w:w="761" w:type="pct"/>
          </w:tcPr>
          <w:p w14:paraId="4757794C"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c>
          <w:tcPr>
            <w:tcW w:w="761" w:type="pct"/>
          </w:tcPr>
          <w:p w14:paraId="01D53227"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c>
          <w:tcPr>
            <w:tcW w:w="761" w:type="pct"/>
          </w:tcPr>
          <w:p w14:paraId="6AF1B7F7"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r>
      <w:tr w:rsidR="00F0606C" w:rsidRPr="00F0606C" w14:paraId="5FDA2BE8" w14:textId="77777777" w:rsidTr="00C454EF">
        <w:tc>
          <w:tcPr>
            <w:tcW w:w="1957" w:type="pct"/>
          </w:tcPr>
          <w:p w14:paraId="5A58E609" w14:textId="77777777" w:rsidR="002528D8" w:rsidRPr="00590419" w:rsidRDefault="002528D8" w:rsidP="00C454EF">
            <w:pPr>
              <w:adjustRightInd w:val="0"/>
              <w:spacing w:before="20" w:after="20"/>
              <w:rPr>
                <w:rFonts w:asciiTheme="majorHAnsi" w:hAnsiTheme="majorHAnsi"/>
                <w:sz w:val="22"/>
                <w:szCs w:val="22"/>
              </w:rPr>
            </w:pPr>
            <w:r w:rsidRPr="00590419">
              <w:rPr>
                <w:rFonts w:asciiTheme="majorHAnsi" w:hAnsiTheme="majorHAnsi"/>
              </w:rPr>
              <w:t>Dry skin</w:t>
            </w:r>
          </w:p>
        </w:tc>
        <w:tc>
          <w:tcPr>
            <w:tcW w:w="761" w:type="pct"/>
          </w:tcPr>
          <w:p w14:paraId="1F7DDE68"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13</w:t>
            </w:r>
          </w:p>
        </w:tc>
        <w:tc>
          <w:tcPr>
            <w:tcW w:w="761" w:type="pct"/>
          </w:tcPr>
          <w:p w14:paraId="3ACA0E47"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c>
          <w:tcPr>
            <w:tcW w:w="761" w:type="pct"/>
          </w:tcPr>
          <w:p w14:paraId="7492931B"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7</w:t>
            </w:r>
          </w:p>
        </w:tc>
        <w:tc>
          <w:tcPr>
            <w:tcW w:w="761" w:type="pct"/>
          </w:tcPr>
          <w:p w14:paraId="3622606E"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r>
      <w:tr w:rsidR="00F0606C" w:rsidRPr="00F0606C" w14:paraId="2CA9A4C0" w14:textId="77777777" w:rsidTr="00C454EF">
        <w:tc>
          <w:tcPr>
            <w:tcW w:w="1957" w:type="pct"/>
          </w:tcPr>
          <w:p w14:paraId="4FD35C37" w14:textId="77777777" w:rsidR="002528D8" w:rsidRPr="00590419" w:rsidRDefault="002528D8" w:rsidP="00C454EF">
            <w:pPr>
              <w:adjustRightInd w:val="0"/>
              <w:spacing w:before="20" w:after="20"/>
              <w:rPr>
                <w:rFonts w:asciiTheme="majorHAnsi" w:hAnsiTheme="majorHAnsi"/>
                <w:sz w:val="22"/>
                <w:szCs w:val="22"/>
              </w:rPr>
            </w:pPr>
            <w:r w:rsidRPr="00590419">
              <w:rPr>
                <w:rFonts w:asciiTheme="majorHAnsi" w:hAnsiTheme="majorHAnsi"/>
              </w:rPr>
              <w:t>Pruritus</w:t>
            </w:r>
          </w:p>
        </w:tc>
        <w:tc>
          <w:tcPr>
            <w:tcW w:w="761" w:type="pct"/>
          </w:tcPr>
          <w:p w14:paraId="7A858A43"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11</w:t>
            </w:r>
          </w:p>
        </w:tc>
        <w:tc>
          <w:tcPr>
            <w:tcW w:w="761" w:type="pct"/>
          </w:tcPr>
          <w:p w14:paraId="701615D6"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c>
          <w:tcPr>
            <w:tcW w:w="761" w:type="pct"/>
          </w:tcPr>
          <w:p w14:paraId="1A50A95B"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4.7</w:t>
            </w:r>
          </w:p>
        </w:tc>
        <w:tc>
          <w:tcPr>
            <w:tcW w:w="761" w:type="pct"/>
          </w:tcPr>
          <w:p w14:paraId="237DD037"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r>
      <w:tr w:rsidR="00F0606C" w:rsidRPr="00F0606C" w14:paraId="4E56653D" w14:textId="77777777" w:rsidTr="00C454EF">
        <w:tc>
          <w:tcPr>
            <w:tcW w:w="5000" w:type="pct"/>
            <w:gridSpan w:val="5"/>
          </w:tcPr>
          <w:p w14:paraId="03221A44" w14:textId="77777777" w:rsidR="002528D8" w:rsidRPr="00590419" w:rsidRDefault="002528D8" w:rsidP="00C454EF">
            <w:pPr>
              <w:adjustRightInd w:val="0"/>
              <w:spacing w:before="20" w:after="20"/>
              <w:rPr>
                <w:rFonts w:asciiTheme="majorHAnsi" w:hAnsiTheme="majorHAnsi"/>
                <w:sz w:val="22"/>
                <w:szCs w:val="22"/>
              </w:rPr>
            </w:pPr>
            <w:r w:rsidRPr="00590419">
              <w:rPr>
                <w:rFonts w:asciiTheme="majorHAnsi" w:hAnsiTheme="majorHAnsi"/>
                <w:b/>
                <w:bCs/>
              </w:rPr>
              <w:t xml:space="preserve">General </w:t>
            </w:r>
          </w:p>
        </w:tc>
      </w:tr>
      <w:tr w:rsidR="00F0606C" w:rsidRPr="00F0606C" w14:paraId="7C59F836" w14:textId="77777777" w:rsidTr="00C454EF">
        <w:tc>
          <w:tcPr>
            <w:tcW w:w="1957" w:type="pct"/>
          </w:tcPr>
          <w:p w14:paraId="6376BA64" w14:textId="77777777" w:rsidR="002528D8" w:rsidRPr="00590419" w:rsidRDefault="002528D8" w:rsidP="00C454EF">
            <w:pPr>
              <w:adjustRightInd w:val="0"/>
              <w:spacing w:before="20" w:after="20"/>
              <w:rPr>
                <w:rFonts w:asciiTheme="majorHAnsi" w:hAnsiTheme="majorHAnsi"/>
                <w:sz w:val="22"/>
                <w:szCs w:val="22"/>
              </w:rPr>
            </w:pPr>
            <w:r w:rsidRPr="00590419">
              <w:rPr>
                <w:rFonts w:asciiTheme="majorHAnsi" w:hAnsiTheme="majorHAnsi"/>
              </w:rPr>
              <w:t>Fatigue</w:t>
            </w:r>
          </w:p>
        </w:tc>
        <w:tc>
          <w:tcPr>
            <w:tcW w:w="761" w:type="pct"/>
          </w:tcPr>
          <w:p w14:paraId="5CD96804"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42</w:t>
            </w:r>
          </w:p>
        </w:tc>
        <w:tc>
          <w:tcPr>
            <w:tcW w:w="761" w:type="pct"/>
          </w:tcPr>
          <w:p w14:paraId="1B784B8E"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3.5</w:t>
            </w:r>
          </w:p>
        </w:tc>
        <w:tc>
          <w:tcPr>
            <w:tcW w:w="761" w:type="pct"/>
          </w:tcPr>
          <w:p w14:paraId="70F741DA"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23</w:t>
            </w:r>
          </w:p>
        </w:tc>
        <w:tc>
          <w:tcPr>
            <w:tcW w:w="761" w:type="pct"/>
          </w:tcPr>
          <w:p w14:paraId="58A63C09"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2.3</w:t>
            </w:r>
          </w:p>
        </w:tc>
      </w:tr>
      <w:tr w:rsidR="00F0606C" w:rsidRPr="00F0606C" w14:paraId="1B3F3262" w14:textId="77777777" w:rsidTr="00C454EF">
        <w:tc>
          <w:tcPr>
            <w:tcW w:w="1957" w:type="pct"/>
          </w:tcPr>
          <w:p w14:paraId="229432BE" w14:textId="77777777" w:rsidR="002528D8" w:rsidRPr="00590419" w:rsidRDefault="002528D8" w:rsidP="00C454EF">
            <w:pPr>
              <w:adjustRightInd w:val="0"/>
              <w:spacing w:before="20" w:after="20"/>
              <w:rPr>
                <w:rFonts w:asciiTheme="majorHAnsi" w:hAnsiTheme="majorHAnsi"/>
                <w:sz w:val="22"/>
                <w:szCs w:val="22"/>
              </w:rPr>
            </w:pPr>
            <w:r w:rsidRPr="00590419">
              <w:rPr>
                <w:rFonts w:asciiTheme="majorHAnsi" w:hAnsiTheme="majorHAnsi"/>
              </w:rPr>
              <w:t>Peripheral edema</w:t>
            </w:r>
          </w:p>
        </w:tc>
        <w:tc>
          <w:tcPr>
            <w:tcW w:w="761" w:type="pct"/>
          </w:tcPr>
          <w:p w14:paraId="2A6B7812"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17</w:t>
            </w:r>
          </w:p>
        </w:tc>
        <w:tc>
          <w:tcPr>
            <w:tcW w:w="761" w:type="pct"/>
          </w:tcPr>
          <w:p w14:paraId="77EA043B"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1.2</w:t>
            </w:r>
          </w:p>
        </w:tc>
        <w:tc>
          <w:tcPr>
            <w:tcW w:w="761" w:type="pct"/>
          </w:tcPr>
          <w:p w14:paraId="67B14664"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7</w:t>
            </w:r>
          </w:p>
        </w:tc>
        <w:tc>
          <w:tcPr>
            <w:tcW w:w="761" w:type="pct"/>
          </w:tcPr>
          <w:p w14:paraId="16E64704"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r>
      <w:tr w:rsidR="00F0606C" w:rsidRPr="00F0606C" w14:paraId="66B0B502" w14:textId="77777777" w:rsidTr="00C454EF">
        <w:tc>
          <w:tcPr>
            <w:tcW w:w="1957" w:type="pct"/>
          </w:tcPr>
          <w:p w14:paraId="627C897B" w14:textId="77777777" w:rsidR="002528D8" w:rsidRPr="00590419" w:rsidRDefault="002528D8" w:rsidP="00C454EF">
            <w:pPr>
              <w:adjustRightInd w:val="0"/>
              <w:spacing w:before="20" w:after="20"/>
              <w:rPr>
                <w:rFonts w:asciiTheme="majorHAnsi" w:hAnsiTheme="majorHAnsi"/>
                <w:sz w:val="22"/>
                <w:szCs w:val="22"/>
              </w:rPr>
            </w:pPr>
            <w:r w:rsidRPr="00590419">
              <w:rPr>
                <w:rFonts w:asciiTheme="majorHAnsi" w:hAnsiTheme="majorHAnsi"/>
              </w:rPr>
              <w:t>Asthenia</w:t>
            </w:r>
          </w:p>
        </w:tc>
        <w:tc>
          <w:tcPr>
            <w:tcW w:w="761" w:type="pct"/>
          </w:tcPr>
          <w:p w14:paraId="5EB31025"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13</w:t>
            </w:r>
          </w:p>
        </w:tc>
        <w:tc>
          <w:tcPr>
            <w:tcW w:w="761" w:type="pct"/>
          </w:tcPr>
          <w:p w14:paraId="167F3AD4"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1.2</w:t>
            </w:r>
          </w:p>
        </w:tc>
        <w:tc>
          <w:tcPr>
            <w:tcW w:w="761" w:type="pct"/>
          </w:tcPr>
          <w:p w14:paraId="2A009342"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14</w:t>
            </w:r>
          </w:p>
        </w:tc>
        <w:tc>
          <w:tcPr>
            <w:tcW w:w="761" w:type="pct"/>
          </w:tcPr>
          <w:p w14:paraId="731E2650"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4.7</w:t>
            </w:r>
          </w:p>
        </w:tc>
      </w:tr>
      <w:tr w:rsidR="00F0606C" w:rsidRPr="00F0606C" w14:paraId="08C63F7C" w14:textId="77777777" w:rsidTr="00C454EF">
        <w:tc>
          <w:tcPr>
            <w:tcW w:w="5000" w:type="pct"/>
            <w:gridSpan w:val="5"/>
          </w:tcPr>
          <w:p w14:paraId="241D07F0" w14:textId="77777777" w:rsidR="002528D8" w:rsidRPr="00590419" w:rsidRDefault="002528D8" w:rsidP="00C454EF">
            <w:pPr>
              <w:adjustRightInd w:val="0"/>
              <w:spacing w:before="20" w:after="20"/>
              <w:rPr>
                <w:rFonts w:asciiTheme="majorHAnsi" w:hAnsiTheme="majorHAnsi"/>
                <w:b/>
                <w:bCs/>
                <w:sz w:val="22"/>
                <w:szCs w:val="22"/>
              </w:rPr>
            </w:pPr>
            <w:r w:rsidRPr="00590419">
              <w:rPr>
                <w:rFonts w:asciiTheme="majorHAnsi" w:hAnsiTheme="majorHAnsi"/>
                <w:b/>
                <w:bCs/>
              </w:rPr>
              <w:t xml:space="preserve">Gastrointestinal </w:t>
            </w:r>
          </w:p>
        </w:tc>
      </w:tr>
      <w:tr w:rsidR="00F0606C" w:rsidRPr="00F0606C" w14:paraId="67B8BA14" w14:textId="77777777" w:rsidTr="00C454EF">
        <w:tc>
          <w:tcPr>
            <w:tcW w:w="1957" w:type="pct"/>
          </w:tcPr>
          <w:p w14:paraId="387E1B7D" w14:textId="77777777" w:rsidR="002528D8" w:rsidRPr="00590419" w:rsidRDefault="002528D8" w:rsidP="00C454EF">
            <w:pPr>
              <w:adjustRightInd w:val="0"/>
              <w:spacing w:before="20" w:after="20"/>
              <w:rPr>
                <w:rFonts w:asciiTheme="majorHAnsi" w:hAnsiTheme="majorHAnsi"/>
                <w:sz w:val="22"/>
                <w:szCs w:val="22"/>
              </w:rPr>
            </w:pPr>
            <w:r w:rsidRPr="00590419">
              <w:rPr>
                <w:rFonts w:asciiTheme="majorHAnsi" w:hAnsiTheme="majorHAnsi"/>
              </w:rPr>
              <w:t>Nausea</w:t>
            </w:r>
          </w:p>
        </w:tc>
        <w:tc>
          <w:tcPr>
            <w:tcW w:w="761" w:type="pct"/>
          </w:tcPr>
          <w:p w14:paraId="58F16107"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39</w:t>
            </w:r>
          </w:p>
        </w:tc>
        <w:tc>
          <w:tcPr>
            <w:tcW w:w="761" w:type="pct"/>
          </w:tcPr>
          <w:p w14:paraId="3F24227C"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3.5</w:t>
            </w:r>
          </w:p>
        </w:tc>
        <w:tc>
          <w:tcPr>
            <w:tcW w:w="761" w:type="pct"/>
          </w:tcPr>
          <w:p w14:paraId="684BB9D3"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12</w:t>
            </w:r>
          </w:p>
        </w:tc>
        <w:tc>
          <w:tcPr>
            <w:tcW w:w="761" w:type="pct"/>
          </w:tcPr>
          <w:p w14:paraId="3C24B822"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r>
      <w:tr w:rsidR="00F0606C" w:rsidRPr="00F0606C" w14:paraId="2A2E35D3" w14:textId="77777777" w:rsidTr="00C454EF">
        <w:tc>
          <w:tcPr>
            <w:tcW w:w="1957" w:type="pct"/>
          </w:tcPr>
          <w:p w14:paraId="34C78747" w14:textId="77777777" w:rsidR="002528D8" w:rsidRPr="00590419" w:rsidRDefault="002528D8" w:rsidP="00C454EF">
            <w:pPr>
              <w:adjustRightInd w:val="0"/>
              <w:spacing w:before="20" w:after="20"/>
              <w:rPr>
                <w:rFonts w:asciiTheme="majorHAnsi" w:hAnsiTheme="majorHAnsi"/>
                <w:sz w:val="22"/>
                <w:szCs w:val="22"/>
              </w:rPr>
            </w:pPr>
            <w:r w:rsidRPr="00590419">
              <w:rPr>
                <w:rFonts w:asciiTheme="majorHAnsi" w:hAnsiTheme="majorHAnsi"/>
              </w:rPr>
              <w:t>Abdominal pain</w:t>
            </w:r>
          </w:p>
        </w:tc>
        <w:tc>
          <w:tcPr>
            <w:tcW w:w="761" w:type="pct"/>
          </w:tcPr>
          <w:p w14:paraId="659D8BDA"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36</w:t>
            </w:r>
          </w:p>
        </w:tc>
        <w:tc>
          <w:tcPr>
            <w:tcW w:w="761" w:type="pct"/>
          </w:tcPr>
          <w:p w14:paraId="680B1AF6"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7</w:t>
            </w:r>
          </w:p>
        </w:tc>
        <w:tc>
          <w:tcPr>
            <w:tcW w:w="761" w:type="pct"/>
          </w:tcPr>
          <w:p w14:paraId="0D16375F"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30</w:t>
            </w:r>
          </w:p>
        </w:tc>
        <w:tc>
          <w:tcPr>
            <w:tcW w:w="761" w:type="pct"/>
          </w:tcPr>
          <w:p w14:paraId="2856EF7C"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4.7</w:t>
            </w:r>
          </w:p>
        </w:tc>
      </w:tr>
      <w:tr w:rsidR="00F0606C" w:rsidRPr="00F0606C" w14:paraId="16C20EA0" w14:textId="77777777" w:rsidTr="00C454EF">
        <w:tc>
          <w:tcPr>
            <w:tcW w:w="1957" w:type="pct"/>
          </w:tcPr>
          <w:p w14:paraId="49D3A7F5" w14:textId="77777777" w:rsidR="002528D8" w:rsidRPr="00590419" w:rsidRDefault="002528D8" w:rsidP="00C454EF">
            <w:pPr>
              <w:adjustRightInd w:val="0"/>
              <w:spacing w:before="20" w:after="20"/>
              <w:rPr>
                <w:rFonts w:asciiTheme="majorHAnsi" w:hAnsiTheme="majorHAnsi"/>
                <w:sz w:val="22"/>
                <w:szCs w:val="22"/>
              </w:rPr>
            </w:pPr>
            <w:r w:rsidRPr="00590419">
              <w:rPr>
                <w:rFonts w:asciiTheme="majorHAnsi" w:hAnsiTheme="majorHAnsi"/>
              </w:rPr>
              <w:t>Constipation</w:t>
            </w:r>
          </w:p>
        </w:tc>
        <w:tc>
          <w:tcPr>
            <w:tcW w:w="761" w:type="pct"/>
          </w:tcPr>
          <w:p w14:paraId="57DF46B5"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34</w:t>
            </w:r>
          </w:p>
        </w:tc>
        <w:tc>
          <w:tcPr>
            <w:tcW w:w="761" w:type="pct"/>
          </w:tcPr>
          <w:p w14:paraId="2BA86C64"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1.2</w:t>
            </w:r>
          </w:p>
        </w:tc>
        <w:tc>
          <w:tcPr>
            <w:tcW w:w="761" w:type="pct"/>
          </w:tcPr>
          <w:p w14:paraId="7752FB9C"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19</w:t>
            </w:r>
          </w:p>
        </w:tc>
        <w:tc>
          <w:tcPr>
            <w:tcW w:w="761" w:type="pct"/>
          </w:tcPr>
          <w:p w14:paraId="458B9438"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r>
      <w:tr w:rsidR="00F0606C" w:rsidRPr="00F0606C" w14:paraId="48FABC21" w14:textId="77777777" w:rsidTr="00C454EF">
        <w:tc>
          <w:tcPr>
            <w:tcW w:w="1957" w:type="pct"/>
          </w:tcPr>
          <w:p w14:paraId="2DB7C148" w14:textId="77777777" w:rsidR="002528D8" w:rsidRPr="00590419" w:rsidRDefault="002528D8" w:rsidP="00C454EF">
            <w:pPr>
              <w:adjustRightInd w:val="0"/>
              <w:spacing w:before="20" w:after="20"/>
              <w:rPr>
                <w:rFonts w:asciiTheme="majorHAnsi" w:hAnsiTheme="majorHAnsi"/>
                <w:sz w:val="22"/>
                <w:szCs w:val="22"/>
              </w:rPr>
            </w:pPr>
            <w:r w:rsidRPr="00590419">
              <w:rPr>
                <w:rFonts w:asciiTheme="majorHAnsi" w:hAnsiTheme="majorHAnsi"/>
              </w:rPr>
              <w:t>Diarrhea</w:t>
            </w:r>
          </w:p>
        </w:tc>
        <w:tc>
          <w:tcPr>
            <w:tcW w:w="761" w:type="pct"/>
          </w:tcPr>
          <w:p w14:paraId="7D7EA09F"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28</w:t>
            </w:r>
          </w:p>
        </w:tc>
        <w:tc>
          <w:tcPr>
            <w:tcW w:w="761" w:type="pct"/>
          </w:tcPr>
          <w:p w14:paraId="7DE5002D"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1.2</w:t>
            </w:r>
          </w:p>
        </w:tc>
        <w:tc>
          <w:tcPr>
            <w:tcW w:w="761" w:type="pct"/>
          </w:tcPr>
          <w:p w14:paraId="5544A779"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14</w:t>
            </w:r>
          </w:p>
        </w:tc>
        <w:tc>
          <w:tcPr>
            <w:tcW w:w="761" w:type="pct"/>
          </w:tcPr>
          <w:p w14:paraId="45D9A0CD"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2.3</w:t>
            </w:r>
          </w:p>
        </w:tc>
      </w:tr>
      <w:tr w:rsidR="00F0606C" w:rsidRPr="00F0606C" w14:paraId="5C5DC64A" w14:textId="77777777" w:rsidTr="00C454EF">
        <w:tc>
          <w:tcPr>
            <w:tcW w:w="1957" w:type="pct"/>
          </w:tcPr>
          <w:p w14:paraId="561007CB" w14:textId="77777777" w:rsidR="002528D8" w:rsidRPr="00590419" w:rsidRDefault="002528D8" w:rsidP="00C454EF">
            <w:pPr>
              <w:adjustRightInd w:val="0"/>
              <w:spacing w:before="20" w:after="20"/>
              <w:rPr>
                <w:rFonts w:asciiTheme="majorHAnsi" w:hAnsiTheme="majorHAnsi"/>
                <w:sz w:val="22"/>
                <w:szCs w:val="22"/>
              </w:rPr>
            </w:pPr>
            <w:r w:rsidRPr="00590419">
              <w:rPr>
                <w:rFonts w:asciiTheme="majorHAnsi" w:hAnsiTheme="majorHAnsi"/>
              </w:rPr>
              <w:t>Vomiting</w:t>
            </w:r>
          </w:p>
        </w:tc>
        <w:tc>
          <w:tcPr>
            <w:tcW w:w="761" w:type="pct"/>
          </w:tcPr>
          <w:p w14:paraId="4007CD5D"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21</w:t>
            </w:r>
          </w:p>
        </w:tc>
        <w:tc>
          <w:tcPr>
            <w:tcW w:w="761" w:type="pct"/>
          </w:tcPr>
          <w:p w14:paraId="065E41BB"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3.5</w:t>
            </w:r>
          </w:p>
        </w:tc>
        <w:tc>
          <w:tcPr>
            <w:tcW w:w="761" w:type="pct"/>
          </w:tcPr>
          <w:p w14:paraId="690C4759"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7</w:t>
            </w:r>
          </w:p>
        </w:tc>
        <w:tc>
          <w:tcPr>
            <w:tcW w:w="761" w:type="pct"/>
          </w:tcPr>
          <w:p w14:paraId="171A05D0"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r>
      <w:tr w:rsidR="00F0606C" w:rsidRPr="00F0606C" w14:paraId="768CB0FC" w14:textId="77777777" w:rsidTr="00C454EF">
        <w:tc>
          <w:tcPr>
            <w:tcW w:w="1957" w:type="pct"/>
          </w:tcPr>
          <w:p w14:paraId="148CFAE6" w14:textId="77777777" w:rsidR="002528D8" w:rsidRPr="00590419" w:rsidRDefault="002528D8" w:rsidP="00C454EF">
            <w:pPr>
              <w:adjustRightInd w:val="0"/>
              <w:spacing w:before="20" w:after="20"/>
              <w:rPr>
                <w:rFonts w:asciiTheme="majorHAnsi" w:hAnsiTheme="majorHAnsi"/>
                <w:sz w:val="22"/>
                <w:szCs w:val="22"/>
              </w:rPr>
            </w:pPr>
            <w:r w:rsidRPr="00590419">
              <w:rPr>
                <w:rFonts w:asciiTheme="majorHAnsi" w:hAnsiTheme="majorHAnsi"/>
              </w:rPr>
              <w:t>Stomatitis</w:t>
            </w:r>
          </w:p>
        </w:tc>
        <w:tc>
          <w:tcPr>
            <w:tcW w:w="761" w:type="pct"/>
          </w:tcPr>
          <w:p w14:paraId="7F820040"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11</w:t>
            </w:r>
          </w:p>
        </w:tc>
        <w:tc>
          <w:tcPr>
            <w:tcW w:w="761" w:type="pct"/>
          </w:tcPr>
          <w:p w14:paraId="39508805"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c>
          <w:tcPr>
            <w:tcW w:w="761" w:type="pct"/>
          </w:tcPr>
          <w:p w14:paraId="617EE987"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c>
          <w:tcPr>
            <w:tcW w:w="761" w:type="pct"/>
          </w:tcPr>
          <w:p w14:paraId="5CD1C558"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r>
      <w:tr w:rsidR="00F0606C" w:rsidRPr="00F0606C" w14:paraId="45605C30" w14:textId="77777777" w:rsidTr="00C454EF">
        <w:tc>
          <w:tcPr>
            <w:tcW w:w="5000" w:type="pct"/>
            <w:gridSpan w:val="5"/>
          </w:tcPr>
          <w:p w14:paraId="0E6EA298" w14:textId="77777777" w:rsidR="002528D8" w:rsidRPr="00590419" w:rsidRDefault="002528D8" w:rsidP="00C454EF">
            <w:pPr>
              <w:keepNext/>
              <w:adjustRightInd w:val="0"/>
              <w:spacing w:before="20" w:after="20"/>
              <w:rPr>
                <w:rFonts w:asciiTheme="majorHAnsi" w:hAnsiTheme="majorHAnsi"/>
                <w:b/>
                <w:bCs/>
                <w:sz w:val="22"/>
                <w:szCs w:val="22"/>
              </w:rPr>
            </w:pPr>
            <w:r w:rsidRPr="00590419">
              <w:rPr>
                <w:rFonts w:asciiTheme="majorHAnsi" w:hAnsiTheme="majorHAnsi"/>
                <w:b/>
                <w:bCs/>
              </w:rPr>
              <w:t xml:space="preserve">Musculoskeletal and connective tissue </w:t>
            </w:r>
          </w:p>
        </w:tc>
      </w:tr>
      <w:tr w:rsidR="00F0606C" w:rsidRPr="00F0606C" w14:paraId="23A0FD13" w14:textId="77777777" w:rsidTr="00C454EF">
        <w:tc>
          <w:tcPr>
            <w:tcW w:w="1957" w:type="pct"/>
          </w:tcPr>
          <w:p w14:paraId="1CBD7568" w14:textId="77777777" w:rsidR="002528D8" w:rsidRPr="00590419" w:rsidRDefault="002528D8" w:rsidP="00C454EF">
            <w:pPr>
              <w:adjustRightInd w:val="0"/>
              <w:spacing w:before="20" w:after="20"/>
              <w:rPr>
                <w:rFonts w:asciiTheme="majorHAnsi" w:hAnsiTheme="majorHAnsi"/>
                <w:sz w:val="22"/>
                <w:szCs w:val="22"/>
              </w:rPr>
            </w:pPr>
            <w:r w:rsidRPr="00590419">
              <w:rPr>
                <w:rFonts w:asciiTheme="majorHAnsi" w:hAnsiTheme="majorHAnsi"/>
              </w:rPr>
              <w:t>Myalgia</w:t>
            </w:r>
          </w:p>
        </w:tc>
        <w:tc>
          <w:tcPr>
            <w:tcW w:w="761" w:type="pct"/>
          </w:tcPr>
          <w:p w14:paraId="2B4DD3B3"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32</w:t>
            </w:r>
          </w:p>
        </w:tc>
        <w:tc>
          <w:tcPr>
            <w:tcW w:w="761" w:type="pct"/>
          </w:tcPr>
          <w:p w14:paraId="63BF475A"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1.2</w:t>
            </w:r>
          </w:p>
        </w:tc>
        <w:tc>
          <w:tcPr>
            <w:tcW w:w="761" w:type="pct"/>
          </w:tcPr>
          <w:p w14:paraId="3C2132EB"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12</w:t>
            </w:r>
          </w:p>
        </w:tc>
        <w:tc>
          <w:tcPr>
            <w:tcW w:w="761" w:type="pct"/>
          </w:tcPr>
          <w:p w14:paraId="60AB3870"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r>
      <w:tr w:rsidR="00F0606C" w:rsidRPr="00F0606C" w14:paraId="0A4A04E3" w14:textId="77777777" w:rsidTr="00C454EF">
        <w:tc>
          <w:tcPr>
            <w:tcW w:w="1957" w:type="pct"/>
          </w:tcPr>
          <w:p w14:paraId="72199A51" w14:textId="77777777" w:rsidR="002528D8" w:rsidRPr="00590419" w:rsidRDefault="002528D8" w:rsidP="00C454EF">
            <w:pPr>
              <w:adjustRightInd w:val="0"/>
              <w:spacing w:before="20" w:after="20"/>
              <w:rPr>
                <w:rFonts w:asciiTheme="majorHAnsi" w:hAnsiTheme="majorHAnsi"/>
                <w:sz w:val="22"/>
                <w:szCs w:val="22"/>
              </w:rPr>
            </w:pPr>
            <w:r w:rsidRPr="00590419">
              <w:rPr>
                <w:rFonts w:asciiTheme="majorHAnsi" w:hAnsiTheme="majorHAnsi"/>
              </w:rPr>
              <w:t>Arthralgia</w:t>
            </w:r>
          </w:p>
        </w:tc>
        <w:tc>
          <w:tcPr>
            <w:tcW w:w="761" w:type="pct"/>
          </w:tcPr>
          <w:p w14:paraId="5B41FC27"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18</w:t>
            </w:r>
          </w:p>
        </w:tc>
        <w:tc>
          <w:tcPr>
            <w:tcW w:w="761" w:type="pct"/>
          </w:tcPr>
          <w:p w14:paraId="0D733F36"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c>
          <w:tcPr>
            <w:tcW w:w="761" w:type="pct"/>
          </w:tcPr>
          <w:p w14:paraId="194CA255"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4.7</w:t>
            </w:r>
          </w:p>
        </w:tc>
        <w:tc>
          <w:tcPr>
            <w:tcW w:w="761" w:type="pct"/>
          </w:tcPr>
          <w:p w14:paraId="2BFC54B2"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r>
      <w:tr w:rsidR="00F0606C" w:rsidRPr="00F0606C" w14:paraId="07879343" w14:textId="77777777" w:rsidTr="00C454EF">
        <w:tc>
          <w:tcPr>
            <w:tcW w:w="1957" w:type="pct"/>
          </w:tcPr>
          <w:p w14:paraId="54AA323C" w14:textId="77777777" w:rsidR="002528D8" w:rsidRPr="00590419" w:rsidRDefault="002528D8" w:rsidP="00C454EF">
            <w:pPr>
              <w:adjustRightInd w:val="0"/>
              <w:spacing w:before="20" w:after="20"/>
              <w:rPr>
                <w:rFonts w:asciiTheme="majorHAnsi" w:hAnsiTheme="majorHAnsi"/>
                <w:sz w:val="22"/>
                <w:szCs w:val="22"/>
              </w:rPr>
            </w:pPr>
            <w:r w:rsidRPr="00590419">
              <w:rPr>
                <w:rFonts w:asciiTheme="majorHAnsi" w:hAnsiTheme="majorHAnsi"/>
              </w:rPr>
              <w:t>Muscle spasms</w:t>
            </w:r>
          </w:p>
        </w:tc>
        <w:tc>
          <w:tcPr>
            <w:tcW w:w="761" w:type="pct"/>
          </w:tcPr>
          <w:p w14:paraId="2056035D"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15</w:t>
            </w:r>
          </w:p>
        </w:tc>
        <w:tc>
          <w:tcPr>
            <w:tcW w:w="761" w:type="pct"/>
          </w:tcPr>
          <w:p w14:paraId="1ECBB8EA"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c>
          <w:tcPr>
            <w:tcW w:w="761" w:type="pct"/>
          </w:tcPr>
          <w:p w14:paraId="0881B058"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4.7</w:t>
            </w:r>
          </w:p>
        </w:tc>
        <w:tc>
          <w:tcPr>
            <w:tcW w:w="761" w:type="pct"/>
          </w:tcPr>
          <w:p w14:paraId="7256D072"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r>
      <w:tr w:rsidR="00F0606C" w:rsidRPr="00F0606C" w14:paraId="021FA476" w14:textId="77777777" w:rsidTr="00C454EF">
        <w:tc>
          <w:tcPr>
            <w:tcW w:w="5000" w:type="pct"/>
            <w:gridSpan w:val="5"/>
          </w:tcPr>
          <w:p w14:paraId="77292FE7" w14:textId="77777777" w:rsidR="002528D8" w:rsidRPr="00590419" w:rsidRDefault="002528D8" w:rsidP="00C454EF">
            <w:pPr>
              <w:adjustRightInd w:val="0"/>
              <w:spacing w:before="20" w:after="20"/>
              <w:rPr>
                <w:rFonts w:asciiTheme="majorHAnsi" w:hAnsiTheme="majorHAnsi"/>
                <w:b/>
                <w:bCs/>
                <w:sz w:val="22"/>
                <w:szCs w:val="22"/>
              </w:rPr>
            </w:pPr>
            <w:r w:rsidRPr="00590419">
              <w:rPr>
                <w:rFonts w:asciiTheme="majorHAnsi" w:hAnsiTheme="majorHAnsi"/>
                <w:b/>
                <w:bCs/>
              </w:rPr>
              <w:t xml:space="preserve">Metabolism and nutrition </w:t>
            </w:r>
          </w:p>
        </w:tc>
      </w:tr>
      <w:tr w:rsidR="00F0606C" w:rsidRPr="00F0606C" w14:paraId="1E8D5E3C" w14:textId="77777777" w:rsidTr="00C454EF">
        <w:tc>
          <w:tcPr>
            <w:tcW w:w="1957" w:type="pct"/>
          </w:tcPr>
          <w:p w14:paraId="12F4F9F1" w14:textId="77777777" w:rsidR="002528D8" w:rsidRPr="00590419" w:rsidRDefault="002528D8" w:rsidP="00C454EF">
            <w:pPr>
              <w:adjustRightInd w:val="0"/>
              <w:spacing w:before="20" w:after="20"/>
              <w:rPr>
                <w:rFonts w:asciiTheme="majorHAnsi" w:hAnsiTheme="majorHAnsi"/>
                <w:sz w:val="22"/>
                <w:szCs w:val="22"/>
              </w:rPr>
            </w:pPr>
            <w:r w:rsidRPr="00590419">
              <w:rPr>
                <w:rFonts w:asciiTheme="majorHAnsi" w:hAnsiTheme="majorHAnsi"/>
              </w:rPr>
              <w:t>Decreased appetite</w:t>
            </w:r>
          </w:p>
        </w:tc>
        <w:tc>
          <w:tcPr>
            <w:tcW w:w="761" w:type="pct"/>
          </w:tcPr>
          <w:p w14:paraId="5B25596F"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27</w:t>
            </w:r>
          </w:p>
        </w:tc>
        <w:tc>
          <w:tcPr>
            <w:tcW w:w="761" w:type="pct"/>
          </w:tcPr>
          <w:p w14:paraId="42E4E1B9"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1.2</w:t>
            </w:r>
          </w:p>
        </w:tc>
        <w:tc>
          <w:tcPr>
            <w:tcW w:w="761" w:type="pct"/>
          </w:tcPr>
          <w:p w14:paraId="61B44D59"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21</w:t>
            </w:r>
          </w:p>
        </w:tc>
        <w:tc>
          <w:tcPr>
            <w:tcW w:w="761" w:type="pct"/>
          </w:tcPr>
          <w:p w14:paraId="5D0832AF"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2.3</w:t>
            </w:r>
          </w:p>
        </w:tc>
      </w:tr>
      <w:tr w:rsidR="00F0606C" w:rsidRPr="00F0606C" w14:paraId="29A03336" w14:textId="77777777" w:rsidTr="00C454EF">
        <w:tc>
          <w:tcPr>
            <w:tcW w:w="5000" w:type="pct"/>
            <w:gridSpan w:val="5"/>
          </w:tcPr>
          <w:p w14:paraId="3064E489" w14:textId="77777777" w:rsidR="002528D8" w:rsidRPr="00590419" w:rsidRDefault="002528D8" w:rsidP="00C454EF">
            <w:pPr>
              <w:adjustRightInd w:val="0"/>
              <w:spacing w:before="20" w:after="20"/>
              <w:rPr>
                <w:rFonts w:asciiTheme="majorHAnsi" w:hAnsiTheme="majorHAnsi"/>
                <w:b/>
                <w:bCs/>
                <w:sz w:val="22"/>
                <w:szCs w:val="22"/>
              </w:rPr>
            </w:pPr>
            <w:r w:rsidRPr="00590419">
              <w:rPr>
                <w:rFonts w:asciiTheme="majorHAnsi" w:hAnsiTheme="majorHAnsi"/>
                <w:b/>
                <w:bCs/>
              </w:rPr>
              <w:t>Investigations</w:t>
            </w:r>
          </w:p>
        </w:tc>
      </w:tr>
      <w:tr w:rsidR="00F0606C" w:rsidRPr="00F0606C" w14:paraId="6DEBFBF8" w14:textId="77777777" w:rsidTr="00C454EF">
        <w:tc>
          <w:tcPr>
            <w:tcW w:w="1957" w:type="pct"/>
          </w:tcPr>
          <w:p w14:paraId="01D9777C" w14:textId="77777777" w:rsidR="002528D8" w:rsidRPr="00590419" w:rsidRDefault="002528D8" w:rsidP="00C454EF">
            <w:pPr>
              <w:adjustRightInd w:val="0"/>
              <w:spacing w:before="20" w:after="20"/>
              <w:rPr>
                <w:rFonts w:asciiTheme="majorHAnsi" w:hAnsiTheme="majorHAnsi"/>
                <w:sz w:val="22"/>
                <w:szCs w:val="22"/>
              </w:rPr>
            </w:pPr>
            <w:r w:rsidRPr="00590419">
              <w:rPr>
                <w:rFonts w:asciiTheme="majorHAnsi" w:hAnsiTheme="majorHAnsi"/>
              </w:rPr>
              <w:t>Decreased weight</w:t>
            </w:r>
          </w:p>
        </w:tc>
        <w:tc>
          <w:tcPr>
            <w:tcW w:w="761" w:type="pct"/>
          </w:tcPr>
          <w:p w14:paraId="0EC993DC"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19</w:t>
            </w:r>
          </w:p>
        </w:tc>
        <w:tc>
          <w:tcPr>
            <w:tcW w:w="761" w:type="pct"/>
          </w:tcPr>
          <w:p w14:paraId="663A2129"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c>
          <w:tcPr>
            <w:tcW w:w="761" w:type="pct"/>
          </w:tcPr>
          <w:p w14:paraId="5F170240"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12</w:t>
            </w:r>
          </w:p>
        </w:tc>
        <w:tc>
          <w:tcPr>
            <w:tcW w:w="761" w:type="pct"/>
          </w:tcPr>
          <w:p w14:paraId="10BE41B8"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r>
      <w:tr w:rsidR="00F0606C" w:rsidRPr="00F0606C" w14:paraId="3789A85C" w14:textId="77777777" w:rsidTr="00C454EF">
        <w:tc>
          <w:tcPr>
            <w:tcW w:w="5000" w:type="pct"/>
            <w:gridSpan w:val="5"/>
          </w:tcPr>
          <w:p w14:paraId="112E47EA" w14:textId="77777777" w:rsidR="002528D8" w:rsidRPr="00590419" w:rsidRDefault="002528D8" w:rsidP="00C454EF">
            <w:pPr>
              <w:adjustRightInd w:val="0"/>
              <w:spacing w:before="20" w:after="20"/>
              <w:rPr>
                <w:rFonts w:asciiTheme="majorHAnsi" w:hAnsiTheme="majorHAnsi"/>
                <w:b/>
                <w:bCs/>
                <w:sz w:val="22"/>
                <w:szCs w:val="22"/>
              </w:rPr>
            </w:pPr>
            <w:r w:rsidRPr="00590419">
              <w:rPr>
                <w:rFonts w:asciiTheme="majorHAnsi" w:hAnsiTheme="majorHAnsi"/>
                <w:b/>
                <w:bCs/>
              </w:rPr>
              <w:t xml:space="preserve">Nervous system </w:t>
            </w:r>
          </w:p>
        </w:tc>
      </w:tr>
      <w:tr w:rsidR="00F0606C" w:rsidRPr="00F0606C" w14:paraId="572BFEA2" w14:textId="77777777" w:rsidTr="00C454EF">
        <w:tc>
          <w:tcPr>
            <w:tcW w:w="1957" w:type="pct"/>
          </w:tcPr>
          <w:p w14:paraId="370CAEC9" w14:textId="77777777" w:rsidR="002528D8" w:rsidRPr="00590419" w:rsidRDefault="002528D8" w:rsidP="00C454EF">
            <w:pPr>
              <w:adjustRightInd w:val="0"/>
              <w:spacing w:before="20" w:after="20"/>
              <w:rPr>
                <w:rFonts w:asciiTheme="majorHAnsi" w:hAnsiTheme="majorHAnsi"/>
                <w:sz w:val="22"/>
                <w:szCs w:val="22"/>
              </w:rPr>
            </w:pPr>
            <w:r w:rsidRPr="00590419">
              <w:rPr>
                <w:rFonts w:asciiTheme="majorHAnsi" w:hAnsiTheme="majorHAnsi"/>
              </w:rPr>
              <w:t>Headache</w:t>
            </w:r>
          </w:p>
        </w:tc>
        <w:tc>
          <w:tcPr>
            <w:tcW w:w="761" w:type="pct"/>
          </w:tcPr>
          <w:p w14:paraId="7C9A14EE"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19</w:t>
            </w:r>
          </w:p>
        </w:tc>
        <w:tc>
          <w:tcPr>
            <w:tcW w:w="761" w:type="pct"/>
          </w:tcPr>
          <w:p w14:paraId="3E21EC57"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c>
          <w:tcPr>
            <w:tcW w:w="761" w:type="pct"/>
          </w:tcPr>
          <w:p w14:paraId="3674A571"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4.7</w:t>
            </w:r>
          </w:p>
        </w:tc>
        <w:tc>
          <w:tcPr>
            <w:tcW w:w="761" w:type="pct"/>
          </w:tcPr>
          <w:p w14:paraId="33FB9FBE"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r>
      <w:tr w:rsidR="00F0606C" w:rsidRPr="00F0606C" w14:paraId="6B34A649" w14:textId="77777777" w:rsidTr="00C454EF">
        <w:tc>
          <w:tcPr>
            <w:tcW w:w="5000" w:type="pct"/>
            <w:gridSpan w:val="5"/>
          </w:tcPr>
          <w:p w14:paraId="4DD4790C" w14:textId="77777777" w:rsidR="002528D8" w:rsidRPr="00590419" w:rsidRDefault="002528D8" w:rsidP="00C454EF">
            <w:pPr>
              <w:adjustRightInd w:val="0"/>
              <w:spacing w:before="20" w:after="20"/>
              <w:rPr>
                <w:rFonts w:asciiTheme="majorHAnsi" w:hAnsiTheme="majorHAnsi"/>
                <w:b/>
                <w:bCs/>
                <w:sz w:val="22"/>
                <w:szCs w:val="22"/>
              </w:rPr>
            </w:pPr>
            <w:r w:rsidRPr="00590419">
              <w:rPr>
                <w:rFonts w:asciiTheme="majorHAnsi" w:hAnsiTheme="majorHAnsi"/>
                <w:b/>
                <w:bCs/>
              </w:rPr>
              <w:t xml:space="preserve">Vascular </w:t>
            </w:r>
          </w:p>
        </w:tc>
      </w:tr>
      <w:tr w:rsidR="00F0606C" w:rsidRPr="00F0606C" w14:paraId="5CCF65D2" w14:textId="77777777" w:rsidTr="00C454EF">
        <w:tc>
          <w:tcPr>
            <w:tcW w:w="1957" w:type="pct"/>
          </w:tcPr>
          <w:p w14:paraId="5DDC320F" w14:textId="77777777" w:rsidR="002528D8" w:rsidRPr="00590419" w:rsidRDefault="002528D8" w:rsidP="00C454EF">
            <w:pPr>
              <w:adjustRightInd w:val="0"/>
              <w:spacing w:before="20" w:after="20"/>
              <w:rPr>
                <w:rFonts w:asciiTheme="majorHAnsi" w:hAnsiTheme="majorHAnsi"/>
                <w:sz w:val="22"/>
                <w:szCs w:val="22"/>
              </w:rPr>
            </w:pPr>
            <w:r w:rsidRPr="00590419">
              <w:rPr>
                <w:rFonts w:asciiTheme="majorHAnsi" w:hAnsiTheme="majorHAnsi"/>
              </w:rPr>
              <w:t>Hypertension</w:t>
            </w:r>
          </w:p>
        </w:tc>
        <w:tc>
          <w:tcPr>
            <w:tcW w:w="761" w:type="pct"/>
            <w:vAlign w:val="center"/>
          </w:tcPr>
          <w:p w14:paraId="637946E2"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14</w:t>
            </w:r>
          </w:p>
        </w:tc>
        <w:tc>
          <w:tcPr>
            <w:tcW w:w="761" w:type="pct"/>
            <w:vAlign w:val="center"/>
          </w:tcPr>
          <w:p w14:paraId="3EA13959"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7</w:t>
            </w:r>
          </w:p>
        </w:tc>
        <w:tc>
          <w:tcPr>
            <w:tcW w:w="761" w:type="pct"/>
            <w:vAlign w:val="center"/>
          </w:tcPr>
          <w:p w14:paraId="4A21DEBA"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4.7</w:t>
            </w:r>
          </w:p>
        </w:tc>
        <w:tc>
          <w:tcPr>
            <w:tcW w:w="761" w:type="pct"/>
            <w:vAlign w:val="center"/>
          </w:tcPr>
          <w:p w14:paraId="106A65C8"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r>
      <w:tr w:rsidR="00F0606C" w:rsidRPr="00F0606C" w14:paraId="6AACC1E2" w14:textId="77777777" w:rsidTr="00C454EF">
        <w:tc>
          <w:tcPr>
            <w:tcW w:w="5000" w:type="pct"/>
            <w:gridSpan w:val="5"/>
          </w:tcPr>
          <w:p w14:paraId="1B822406" w14:textId="77777777" w:rsidR="002528D8" w:rsidRPr="00590419" w:rsidRDefault="002528D8" w:rsidP="00C454EF">
            <w:pPr>
              <w:adjustRightInd w:val="0"/>
              <w:spacing w:before="20" w:after="20"/>
              <w:rPr>
                <w:rFonts w:asciiTheme="majorHAnsi" w:hAnsiTheme="majorHAnsi"/>
                <w:b/>
                <w:bCs/>
                <w:sz w:val="22"/>
                <w:szCs w:val="22"/>
              </w:rPr>
            </w:pPr>
            <w:r w:rsidRPr="00590419">
              <w:rPr>
                <w:rFonts w:asciiTheme="majorHAnsi" w:hAnsiTheme="majorHAnsi"/>
                <w:b/>
                <w:bCs/>
              </w:rPr>
              <w:t xml:space="preserve">Respiratory, thoracic and mediastinal </w:t>
            </w:r>
          </w:p>
        </w:tc>
      </w:tr>
      <w:tr w:rsidR="002528D8" w:rsidRPr="00F0606C" w14:paraId="340870B4" w14:textId="77777777" w:rsidTr="00C454EF">
        <w:tc>
          <w:tcPr>
            <w:tcW w:w="1957" w:type="pct"/>
          </w:tcPr>
          <w:p w14:paraId="0096F4CA" w14:textId="77777777" w:rsidR="002528D8" w:rsidRPr="00590419" w:rsidRDefault="002528D8" w:rsidP="00C454EF">
            <w:pPr>
              <w:adjustRightInd w:val="0"/>
              <w:spacing w:before="20" w:after="20"/>
              <w:rPr>
                <w:rFonts w:asciiTheme="majorHAnsi" w:hAnsiTheme="majorHAnsi"/>
                <w:sz w:val="22"/>
                <w:szCs w:val="22"/>
              </w:rPr>
            </w:pPr>
            <w:r w:rsidRPr="00590419">
              <w:rPr>
                <w:rFonts w:asciiTheme="majorHAnsi" w:hAnsiTheme="majorHAnsi"/>
              </w:rPr>
              <w:t>Dyspnea</w:t>
            </w:r>
          </w:p>
        </w:tc>
        <w:tc>
          <w:tcPr>
            <w:tcW w:w="761" w:type="pct"/>
          </w:tcPr>
          <w:p w14:paraId="3A399C43"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13</w:t>
            </w:r>
          </w:p>
        </w:tc>
        <w:tc>
          <w:tcPr>
            <w:tcW w:w="761" w:type="pct"/>
          </w:tcPr>
          <w:p w14:paraId="4F2C76A1"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c>
          <w:tcPr>
            <w:tcW w:w="761" w:type="pct"/>
          </w:tcPr>
          <w:p w14:paraId="77CFDDF2"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c>
          <w:tcPr>
            <w:tcW w:w="761" w:type="pct"/>
          </w:tcPr>
          <w:p w14:paraId="7C82767C" w14:textId="77777777" w:rsidR="002528D8" w:rsidRPr="00590419" w:rsidRDefault="002528D8" w:rsidP="00C454EF">
            <w:pPr>
              <w:adjustRightInd w:val="0"/>
              <w:spacing w:before="20" w:after="20"/>
              <w:jc w:val="center"/>
              <w:rPr>
                <w:rFonts w:asciiTheme="majorHAnsi" w:hAnsiTheme="majorHAnsi"/>
                <w:sz w:val="22"/>
                <w:szCs w:val="22"/>
              </w:rPr>
            </w:pPr>
            <w:r w:rsidRPr="00590419">
              <w:rPr>
                <w:rFonts w:asciiTheme="majorHAnsi" w:hAnsiTheme="majorHAnsi"/>
              </w:rPr>
              <w:t>0</w:t>
            </w:r>
          </w:p>
        </w:tc>
      </w:tr>
    </w:tbl>
    <w:p w14:paraId="4CBE5681" w14:textId="77777777" w:rsidR="00D059A0" w:rsidRPr="00F0606C" w:rsidRDefault="00D059A0" w:rsidP="00E87B71">
      <w:pPr>
        <w:ind w:left="900" w:hanging="900"/>
        <w:rPr>
          <w:rFonts w:asciiTheme="majorHAnsi" w:hAnsiTheme="majorHAnsi"/>
          <w:b/>
          <w:bCs/>
        </w:rPr>
      </w:pPr>
    </w:p>
    <w:p w14:paraId="0D62FB2B" w14:textId="5AA2142A" w:rsidR="00BF3161" w:rsidRDefault="00F16B09" w:rsidP="00C740E8">
      <w:pPr>
        <w:rPr>
          <w:rFonts w:asciiTheme="majorHAnsi" w:eastAsiaTheme="majorEastAsia" w:hAnsiTheme="majorHAnsi" w:cstheme="minorHAnsi"/>
          <w:lang w:val="en-US"/>
        </w:rPr>
      </w:pPr>
      <w:r w:rsidRPr="00F16B09">
        <w:rPr>
          <w:rFonts w:asciiTheme="majorHAnsi" w:eastAsiaTheme="majorEastAsia" w:hAnsiTheme="majorHAnsi" w:cstheme="minorHAnsi"/>
          <w:color w:val="0000FF"/>
          <w:lang w:val="en-US"/>
        </w:rPr>
        <w:fldChar w:fldCharType="begin"/>
      </w:r>
      <w:r w:rsidRPr="00F16B09">
        <w:rPr>
          <w:rFonts w:asciiTheme="majorHAnsi" w:eastAsiaTheme="majorEastAsia" w:hAnsiTheme="majorHAnsi" w:cstheme="minorHAnsi"/>
          <w:color w:val="0000FF"/>
          <w:lang w:val="en-US"/>
        </w:rPr>
        <w:instrText xml:space="preserve"> REF _Ref27030305 \h  \* MERGEFORMAT </w:instrText>
      </w:r>
      <w:r w:rsidRPr="00F16B09">
        <w:rPr>
          <w:rFonts w:asciiTheme="majorHAnsi" w:eastAsiaTheme="majorEastAsia" w:hAnsiTheme="majorHAnsi" w:cstheme="minorHAnsi"/>
          <w:color w:val="0000FF"/>
          <w:lang w:val="en-US"/>
        </w:rPr>
      </w:r>
      <w:r w:rsidRPr="00F16B09">
        <w:rPr>
          <w:rFonts w:asciiTheme="majorHAnsi" w:eastAsiaTheme="majorEastAsia" w:hAnsiTheme="majorHAnsi" w:cstheme="minorHAnsi"/>
          <w:color w:val="0000FF"/>
          <w:lang w:val="en-US"/>
        </w:rPr>
        <w:fldChar w:fldCharType="separate"/>
      </w:r>
      <w:r w:rsidR="00C8101D" w:rsidRPr="00C8101D">
        <w:rPr>
          <w:rFonts w:asciiTheme="majorHAnsi" w:hAnsiTheme="majorHAnsi"/>
          <w:color w:val="0000FF"/>
        </w:rPr>
        <w:t xml:space="preserve">Table </w:t>
      </w:r>
      <w:r w:rsidR="00C8101D" w:rsidRPr="00C8101D">
        <w:rPr>
          <w:rFonts w:asciiTheme="majorHAnsi" w:hAnsiTheme="majorHAnsi"/>
          <w:noProof/>
          <w:color w:val="0000FF"/>
        </w:rPr>
        <w:t>3</w:t>
      </w:r>
      <w:r w:rsidRPr="00F16B09">
        <w:rPr>
          <w:rFonts w:asciiTheme="majorHAnsi" w:eastAsiaTheme="majorEastAsia" w:hAnsiTheme="majorHAnsi" w:cstheme="minorHAnsi"/>
          <w:color w:val="0000FF"/>
          <w:lang w:val="en-US"/>
        </w:rPr>
        <w:fldChar w:fldCharType="end"/>
      </w:r>
      <w:r w:rsidR="00C27993">
        <w:rPr>
          <w:rFonts w:asciiTheme="majorHAnsi" w:eastAsiaTheme="majorEastAsia" w:hAnsiTheme="majorHAnsi" w:cstheme="minorHAnsi"/>
          <w:color w:val="0000FF"/>
          <w:lang w:val="en-US"/>
        </w:rPr>
        <w:t xml:space="preserve"> </w:t>
      </w:r>
      <w:r w:rsidR="00FB7D91">
        <w:rPr>
          <w:rFonts w:asciiTheme="majorHAnsi" w:eastAsiaTheme="majorEastAsia" w:hAnsiTheme="majorHAnsi" w:cstheme="minorHAnsi"/>
          <w:lang w:val="en-US"/>
        </w:rPr>
        <w:t>summarises the most frequently reported treatment-emergent laboratory abnormalities in ≥10% of patients with advanced GIST who received QINLOCK in the double-blind treatment period of INVICTUS.</w:t>
      </w:r>
    </w:p>
    <w:p w14:paraId="40794DB0" w14:textId="77777777" w:rsidR="002528D8" w:rsidRPr="00590419" w:rsidRDefault="002528D8" w:rsidP="002528D8">
      <w:pPr>
        <w:ind w:left="900" w:hanging="900"/>
        <w:rPr>
          <w:rFonts w:asciiTheme="majorHAnsi" w:eastAsiaTheme="majorEastAsia" w:hAnsiTheme="majorHAnsi" w:cstheme="minorHAnsi"/>
          <w:lang w:val="en-US"/>
        </w:rPr>
      </w:pPr>
      <w:bookmarkStart w:id="10" w:name="_Ref27030305"/>
      <w:r w:rsidRPr="00590419">
        <w:rPr>
          <w:rFonts w:asciiTheme="majorHAnsi" w:hAnsiTheme="majorHAnsi"/>
          <w:b/>
          <w:bCs/>
        </w:rPr>
        <w:t xml:space="preserve">Table </w:t>
      </w:r>
      <w:r w:rsidRPr="00590419">
        <w:rPr>
          <w:rFonts w:asciiTheme="majorHAnsi" w:hAnsiTheme="majorHAnsi"/>
          <w:b/>
          <w:bCs/>
          <w:i/>
          <w:iCs/>
        </w:rPr>
        <w:fldChar w:fldCharType="begin"/>
      </w:r>
      <w:r w:rsidRPr="00590419">
        <w:rPr>
          <w:rFonts w:asciiTheme="majorHAnsi" w:hAnsiTheme="majorHAnsi"/>
          <w:b/>
          <w:bCs/>
        </w:rPr>
        <w:instrText xml:space="preserve"> SEQ Table \* ARABIC </w:instrText>
      </w:r>
      <w:r w:rsidRPr="00590419">
        <w:rPr>
          <w:rFonts w:asciiTheme="majorHAnsi" w:hAnsiTheme="majorHAnsi"/>
          <w:b/>
          <w:bCs/>
          <w:i/>
          <w:iCs/>
        </w:rPr>
        <w:fldChar w:fldCharType="separate"/>
      </w:r>
      <w:r w:rsidRPr="00590419">
        <w:rPr>
          <w:rFonts w:asciiTheme="majorHAnsi" w:hAnsiTheme="majorHAnsi"/>
          <w:b/>
          <w:bCs/>
          <w:noProof/>
        </w:rPr>
        <w:t>3</w:t>
      </w:r>
      <w:r w:rsidRPr="00590419">
        <w:rPr>
          <w:rFonts w:asciiTheme="majorHAnsi" w:hAnsiTheme="majorHAnsi"/>
          <w:b/>
          <w:bCs/>
          <w:i/>
          <w:iCs/>
        </w:rPr>
        <w:fldChar w:fldCharType="end"/>
      </w:r>
      <w:bookmarkEnd w:id="10"/>
      <w:r w:rsidRPr="00590419">
        <w:rPr>
          <w:rFonts w:asciiTheme="majorHAnsi" w:hAnsiTheme="majorHAnsi"/>
          <w:b/>
          <w:bCs/>
        </w:rPr>
        <w:t>:  Laboratory Abnormalities Reported in ≥10% of Patients Who Received QINLOCK in the Double-Blind Treatment Period of INVICTUS</w:t>
      </w:r>
      <w:r w:rsidRPr="00590419">
        <w:rPr>
          <w:rFonts w:asciiTheme="majorHAnsi" w:hAnsiTheme="majorHAnsi"/>
          <w:b/>
          <w:bCs/>
          <w:vertAlign w:val="superscript"/>
        </w:rPr>
        <w:t>a</w:t>
      </w:r>
    </w:p>
    <w:tbl>
      <w:tblPr>
        <w:tblStyle w:val="TableGrid"/>
        <w:tblW w:w="5000" w:type="pct"/>
        <w:tblLook w:val="0000" w:firstRow="0" w:lastRow="0" w:firstColumn="0" w:lastColumn="0" w:noHBand="0" w:noVBand="0"/>
      </w:tblPr>
      <w:tblGrid>
        <w:gridCol w:w="3235"/>
        <w:gridCol w:w="1529"/>
        <w:gridCol w:w="1441"/>
        <w:gridCol w:w="1441"/>
        <w:gridCol w:w="1370"/>
      </w:tblGrid>
      <w:tr w:rsidR="00F0606C" w:rsidRPr="00F0606C" w14:paraId="585016BD" w14:textId="77777777" w:rsidTr="00C454EF">
        <w:tc>
          <w:tcPr>
            <w:tcW w:w="1794" w:type="pct"/>
            <w:vMerge w:val="restart"/>
          </w:tcPr>
          <w:p w14:paraId="08A62ECF" w14:textId="77777777" w:rsidR="002528D8" w:rsidRPr="00590419" w:rsidRDefault="002528D8" w:rsidP="00C454EF">
            <w:pPr>
              <w:spacing w:after="200" w:line="276" w:lineRule="auto"/>
              <w:rPr>
                <w:rFonts w:asciiTheme="majorHAnsi" w:eastAsiaTheme="majorEastAsia" w:hAnsiTheme="majorHAnsi" w:cstheme="minorHAnsi"/>
                <w:b/>
                <w:bCs/>
                <w:sz w:val="22"/>
                <w:szCs w:val="22"/>
              </w:rPr>
            </w:pPr>
            <w:bookmarkStart w:id="11" w:name="_Hlk40085171"/>
            <w:r w:rsidRPr="00590419">
              <w:rPr>
                <w:rFonts w:asciiTheme="majorHAnsi" w:eastAsiaTheme="majorEastAsia" w:hAnsiTheme="majorHAnsi" w:cstheme="minorHAnsi"/>
                <w:b/>
                <w:bCs/>
                <w:sz w:val="22"/>
                <w:szCs w:val="22"/>
              </w:rPr>
              <w:lastRenderedPageBreak/>
              <w:t>Laboratory Abnormality</w:t>
            </w:r>
          </w:p>
        </w:tc>
        <w:tc>
          <w:tcPr>
            <w:tcW w:w="1647" w:type="pct"/>
            <w:gridSpan w:val="2"/>
          </w:tcPr>
          <w:p w14:paraId="6A5E74D1" w14:textId="77777777" w:rsidR="002528D8" w:rsidRPr="00590419" w:rsidRDefault="002528D8" w:rsidP="00C454EF">
            <w:pPr>
              <w:spacing w:after="200" w:line="276" w:lineRule="auto"/>
              <w:jc w:val="center"/>
              <w:rPr>
                <w:rFonts w:asciiTheme="majorHAnsi" w:eastAsiaTheme="majorEastAsia" w:hAnsiTheme="majorHAnsi" w:cstheme="minorHAnsi"/>
                <w:b/>
                <w:bCs/>
                <w:sz w:val="22"/>
                <w:szCs w:val="22"/>
              </w:rPr>
            </w:pPr>
            <w:r w:rsidRPr="00590419">
              <w:rPr>
                <w:rFonts w:asciiTheme="majorHAnsi" w:eastAsiaTheme="majorEastAsia" w:hAnsiTheme="majorHAnsi" w:cstheme="minorHAnsi"/>
                <w:b/>
                <w:bCs/>
                <w:sz w:val="22"/>
                <w:szCs w:val="22"/>
              </w:rPr>
              <w:t>QINLOCK</w:t>
            </w:r>
            <w:r w:rsidRPr="00590419">
              <w:rPr>
                <w:rFonts w:asciiTheme="majorHAnsi" w:eastAsiaTheme="majorEastAsia" w:hAnsiTheme="majorHAnsi" w:cstheme="minorHAnsi"/>
                <w:b/>
                <w:bCs/>
                <w:sz w:val="22"/>
                <w:szCs w:val="22"/>
                <w:vertAlign w:val="superscript"/>
              </w:rPr>
              <w:t>a</w:t>
            </w:r>
            <w:r w:rsidRPr="00590419">
              <w:rPr>
                <w:rFonts w:asciiTheme="majorHAnsi" w:eastAsiaTheme="majorEastAsia" w:hAnsiTheme="majorHAnsi" w:cstheme="minorHAnsi"/>
                <w:b/>
                <w:bCs/>
                <w:sz w:val="22"/>
                <w:szCs w:val="22"/>
              </w:rPr>
              <w:br/>
              <w:t>(N=85)</w:t>
            </w:r>
          </w:p>
        </w:tc>
        <w:tc>
          <w:tcPr>
            <w:tcW w:w="1559" w:type="pct"/>
            <w:gridSpan w:val="2"/>
          </w:tcPr>
          <w:p w14:paraId="44B469EA" w14:textId="77777777" w:rsidR="002528D8" w:rsidRPr="00590419" w:rsidRDefault="002528D8" w:rsidP="00C454EF">
            <w:pPr>
              <w:spacing w:after="200" w:line="276" w:lineRule="auto"/>
              <w:jc w:val="center"/>
              <w:rPr>
                <w:rFonts w:asciiTheme="majorHAnsi" w:eastAsiaTheme="majorEastAsia" w:hAnsiTheme="majorHAnsi" w:cstheme="minorHAnsi"/>
                <w:b/>
                <w:bCs/>
                <w:sz w:val="22"/>
                <w:szCs w:val="22"/>
              </w:rPr>
            </w:pPr>
            <w:r w:rsidRPr="00590419">
              <w:rPr>
                <w:rFonts w:asciiTheme="majorHAnsi" w:eastAsiaTheme="majorEastAsia" w:hAnsiTheme="majorHAnsi" w:cstheme="minorHAnsi"/>
                <w:b/>
                <w:bCs/>
                <w:sz w:val="22"/>
                <w:szCs w:val="22"/>
              </w:rPr>
              <w:t>Placebo</w:t>
            </w:r>
            <w:r w:rsidRPr="00590419">
              <w:rPr>
                <w:rFonts w:asciiTheme="majorHAnsi" w:eastAsiaTheme="majorEastAsia" w:hAnsiTheme="majorHAnsi" w:cstheme="minorHAnsi"/>
                <w:b/>
                <w:bCs/>
                <w:sz w:val="22"/>
                <w:szCs w:val="22"/>
                <w:vertAlign w:val="superscript"/>
              </w:rPr>
              <w:t>a</w:t>
            </w:r>
            <w:r w:rsidRPr="00590419">
              <w:rPr>
                <w:rFonts w:asciiTheme="majorHAnsi" w:eastAsiaTheme="majorEastAsia" w:hAnsiTheme="majorHAnsi" w:cstheme="minorHAnsi"/>
                <w:b/>
                <w:bCs/>
                <w:sz w:val="22"/>
                <w:szCs w:val="22"/>
              </w:rPr>
              <w:t xml:space="preserve"> </w:t>
            </w:r>
            <w:r w:rsidRPr="00590419">
              <w:rPr>
                <w:rFonts w:asciiTheme="majorHAnsi" w:eastAsiaTheme="majorEastAsia" w:hAnsiTheme="majorHAnsi" w:cstheme="minorHAnsi"/>
                <w:b/>
                <w:bCs/>
                <w:sz w:val="22"/>
                <w:szCs w:val="22"/>
              </w:rPr>
              <w:br/>
              <w:t>(N=43)</w:t>
            </w:r>
          </w:p>
        </w:tc>
      </w:tr>
      <w:tr w:rsidR="00F0606C" w:rsidRPr="00F0606C" w14:paraId="3BB6F2A6" w14:textId="77777777" w:rsidTr="00C454EF">
        <w:tc>
          <w:tcPr>
            <w:tcW w:w="1794" w:type="pct"/>
            <w:vMerge/>
          </w:tcPr>
          <w:p w14:paraId="13853D9C" w14:textId="77777777" w:rsidR="002528D8" w:rsidRPr="00590419" w:rsidRDefault="002528D8" w:rsidP="00C454EF">
            <w:pPr>
              <w:spacing w:after="200" w:line="276" w:lineRule="auto"/>
              <w:rPr>
                <w:rFonts w:asciiTheme="majorHAnsi" w:eastAsiaTheme="majorEastAsia" w:hAnsiTheme="majorHAnsi" w:cstheme="minorHAnsi"/>
                <w:b/>
                <w:bCs/>
                <w:sz w:val="22"/>
                <w:szCs w:val="22"/>
              </w:rPr>
            </w:pPr>
          </w:p>
        </w:tc>
        <w:tc>
          <w:tcPr>
            <w:tcW w:w="848" w:type="pct"/>
          </w:tcPr>
          <w:p w14:paraId="79994131" w14:textId="77777777" w:rsidR="002528D8" w:rsidRPr="00590419" w:rsidRDefault="002528D8" w:rsidP="00C454EF">
            <w:pPr>
              <w:spacing w:after="200" w:line="276" w:lineRule="auto"/>
              <w:rPr>
                <w:rFonts w:asciiTheme="majorHAnsi" w:eastAsiaTheme="majorEastAsia" w:hAnsiTheme="majorHAnsi" w:cstheme="minorHAnsi"/>
                <w:b/>
                <w:bCs/>
                <w:sz w:val="22"/>
                <w:szCs w:val="22"/>
              </w:rPr>
            </w:pPr>
            <w:r w:rsidRPr="00590419">
              <w:rPr>
                <w:rFonts w:asciiTheme="majorHAnsi" w:eastAsiaTheme="majorEastAsia" w:hAnsiTheme="majorHAnsi" w:cstheme="minorHAnsi"/>
                <w:b/>
                <w:bCs/>
                <w:sz w:val="22"/>
                <w:szCs w:val="22"/>
              </w:rPr>
              <w:t>Grades 1-4</w:t>
            </w:r>
          </w:p>
        </w:tc>
        <w:tc>
          <w:tcPr>
            <w:tcW w:w="799" w:type="pct"/>
          </w:tcPr>
          <w:p w14:paraId="0766E57F" w14:textId="77777777" w:rsidR="002528D8" w:rsidRPr="00590419" w:rsidRDefault="002528D8" w:rsidP="00C454EF">
            <w:pPr>
              <w:spacing w:after="200" w:line="276" w:lineRule="auto"/>
              <w:rPr>
                <w:rFonts w:asciiTheme="majorHAnsi" w:eastAsiaTheme="majorEastAsia" w:hAnsiTheme="majorHAnsi" w:cstheme="minorHAnsi"/>
                <w:b/>
                <w:bCs/>
                <w:sz w:val="22"/>
                <w:szCs w:val="22"/>
              </w:rPr>
            </w:pPr>
            <w:r w:rsidRPr="00590419">
              <w:rPr>
                <w:rFonts w:asciiTheme="majorHAnsi" w:eastAsiaTheme="majorEastAsia" w:hAnsiTheme="majorHAnsi" w:cstheme="minorHAnsi"/>
                <w:b/>
                <w:bCs/>
                <w:sz w:val="22"/>
                <w:szCs w:val="22"/>
              </w:rPr>
              <w:t>Grades 3-4</w:t>
            </w:r>
            <w:r w:rsidRPr="00590419">
              <w:rPr>
                <w:rFonts w:asciiTheme="majorHAnsi" w:eastAsiaTheme="majorEastAsia" w:hAnsiTheme="majorHAnsi" w:cstheme="minorHAnsi"/>
                <w:b/>
                <w:bCs/>
                <w:sz w:val="22"/>
                <w:szCs w:val="22"/>
                <w:vertAlign w:val="superscript"/>
              </w:rPr>
              <w:t>b</w:t>
            </w:r>
          </w:p>
        </w:tc>
        <w:tc>
          <w:tcPr>
            <w:tcW w:w="799" w:type="pct"/>
          </w:tcPr>
          <w:p w14:paraId="117EF3CF" w14:textId="77777777" w:rsidR="002528D8" w:rsidRPr="00590419" w:rsidRDefault="002528D8" w:rsidP="00C454EF">
            <w:pPr>
              <w:spacing w:after="200" w:line="276" w:lineRule="auto"/>
              <w:rPr>
                <w:rFonts w:asciiTheme="majorHAnsi" w:eastAsiaTheme="majorEastAsia" w:hAnsiTheme="majorHAnsi" w:cstheme="minorHAnsi"/>
                <w:b/>
                <w:bCs/>
                <w:sz w:val="22"/>
                <w:szCs w:val="22"/>
              </w:rPr>
            </w:pPr>
            <w:r w:rsidRPr="00590419">
              <w:rPr>
                <w:rFonts w:asciiTheme="majorHAnsi" w:eastAsiaTheme="majorEastAsia" w:hAnsiTheme="majorHAnsi" w:cstheme="minorHAnsi"/>
                <w:b/>
                <w:bCs/>
                <w:sz w:val="22"/>
                <w:szCs w:val="22"/>
              </w:rPr>
              <w:t>Grades 1-4</w:t>
            </w:r>
          </w:p>
        </w:tc>
        <w:tc>
          <w:tcPr>
            <w:tcW w:w="760" w:type="pct"/>
          </w:tcPr>
          <w:p w14:paraId="4E5C084B" w14:textId="77777777" w:rsidR="002528D8" w:rsidRPr="00590419" w:rsidRDefault="002528D8" w:rsidP="00C454EF">
            <w:pPr>
              <w:spacing w:after="200" w:line="276" w:lineRule="auto"/>
              <w:rPr>
                <w:rFonts w:asciiTheme="majorHAnsi" w:eastAsiaTheme="majorEastAsia" w:hAnsiTheme="majorHAnsi" w:cstheme="minorHAnsi"/>
                <w:b/>
                <w:bCs/>
                <w:sz w:val="22"/>
                <w:szCs w:val="22"/>
              </w:rPr>
            </w:pPr>
            <w:r w:rsidRPr="00590419">
              <w:rPr>
                <w:rFonts w:asciiTheme="majorHAnsi" w:eastAsiaTheme="majorEastAsia" w:hAnsiTheme="majorHAnsi" w:cstheme="minorHAnsi"/>
                <w:b/>
                <w:bCs/>
                <w:sz w:val="22"/>
                <w:szCs w:val="22"/>
              </w:rPr>
              <w:t>Grades 3-4</w:t>
            </w:r>
          </w:p>
        </w:tc>
      </w:tr>
      <w:tr w:rsidR="00F0606C" w:rsidRPr="00F0606C" w14:paraId="1097694D" w14:textId="77777777" w:rsidTr="00C454EF">
        <w:tc>
          <w:tcPr>
            <w:tcW w:w="5000" w:type="pct"/>
            <w:gridSpan w:val="5"/>
          </w:tcPr>
          <w:p w14:paraId="74879621" w14:textId="77777777" w:rsidR="002528D8" w:rsidRPr="00590419" w:rsidRDefault="002528D8" w:rsidP="00C454EF">
            <w:pPr>
              <w:spacing w:after="200" w:line="276" w:lineRule="auto"/>
              <w:rPr>
                <w:rFonts w:asciiTheme="majorHAnsi" w:eastAsiaTheme="majorEastAsia" w:hAnsiTheme="majorHAnsi" w:cstheme="minorHAnsi"/>
                <w:b/>
                <w:bCs/>
                <w:sz w:val="22"/>
                <w:szCs w:val="22"/>
              </w:rPr>
            </w:pPr>
            <w:bookmarkStart w:id="12" w:name="_Hlk40101210"/>
            <w:bookmarkStart w:id="13" w:name="_Hlk40085470"/>
            <w:r w:rsidRPr="00590419">
              <w:rPr>
                <w:rFonts w:asciiTheme="majorHAnsi" w:eastAsiaTheme="majorEastAsia" w:hAnsiTheme="majorHAnsi" w:cstheme="minorHAnsi"/>
                <w:b/>
                <w:bCs/>
                <w:sz w:val="22"/>
                <w:szCs w:val="22"/>
              </w:rPr>
              <w:t>Hematology</w:t>
            </w:r>
          </w:p>
        </w:tc>
      </w:tr>
      <w:tr w:rsidR="00F0606C" w:rsidRPr="00F0606C" w14:paraId="382B01CE" w14:textId="77777777" w:rsidTr="00C454EF">
        <w:tc>
          <w:tcPr>
            <w:tcW w:w="1794" w:type="pct"/>
          </w:tcPr>
          <w:p w14:paraId="1BAF6573" w14:textId="77777777" w:rsidR="002528D8" w:rsidRPr="00590419" w:rsidRDefault="002528D8" w:rsidP="00C454EF">
            <w:pPr>
              <w:spacing w:after="200" w:line="276" w:lineRule="auto"/>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Increased activated partial thromboplastin time</w:t>
            </w:r>
          </w:p>
        </w:tc>
        <w:tc>
          <w:tcPr>
            <w:tcW w:w="848" w:type="pct"/>
            <w:vAlign w:val="center"/>
          </w:tcPr>
          <w:p w14:paraId="32D3A247"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35</w:t>
            </w:r>
          </w:p>
        </w:tc>
        <w:tc>
          <w:tcPr>
            <w:tcW w:w="799" w:type="pct"/>
            <w:vAlign w:val="center"/>
          </w:tcPr>
          <w:p w14:paraId="7C054BCA"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0</w:t>
            </w:r>
          </w:p>
        </w:tc>
        <w:tc>
          <w:tcPr>
            <w:tcW w:w="799" w:type="pct"/>
            <w:vAlign w:val="center"/>
          </w:tcPr>
          <w:p w14:paraId="723987F4"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9</w:t>
            </w:r>
          </w:p>
        </w:tc>
        <w:tc>
          <w:tcPr>
            <w:tcW w:w="760" w:type="pct"/>
            <w:vAlign w:val="center"/>
          </w:tcPr>
          <w:p w14:paraId="24219A59"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0</w:t>
            </w:r>
          </w:p>
        </w:tc>
      </w:tr>
      <w:tr w:rsidR="00F0606C" w:rsidRPr="00F0606C" w14:paraId="51A4DBD1" w14:textId="77777777" w:rsidTr="00C454EF">
        <w:tc>
          <w:tcPr>
            <w:tcW w:w="1794" w:type="pct"/>
          </w:tcPr>
          <w:p w14:paraId="64F0FB86" w14:textId="77777777" w:rsidR="002528D8" w:rsidRPr="00590419" w:rsidRDefault="002528D8" w:rsidP="00C454EF">
            <w:pPr>
              <w:spacing w:after="200" w:line="276" w:lineRule="auto"/>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Increased INR</w:t>
            </w:r>
          </w:p>
        </w:tc>
        <w:tc>
          <w:tcPr>
            <w:tcW w:w="848" w:type="pct"/>
            <w:vAlign w:val="center"/>
          </w:tcPr>
          <w:p w14:paraId="0BEE2CA8"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21</w:t>
            </w:r>
          </w:p>
        </w:tc>
        <w:tc>
          <w:tcPr>
            <w:tcW w:w="799" w:type="pct"/>
            <w:vAlign w:val="center"/>
          </w:tcPr>
          <w:p w14:paraId="4B33EEDD"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3.8</w:t>
            </w:r>
          </w:p>
        </w:tc>
        <w:tc>
          <w:tcPr>
            <w:tcW w:w="799" w:type="pct"/>
            <w:vAlign w:val="center"/>
          </w:tcPr>
          <w:p w14:paraId="225F7937"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15</w:t>
            </w:r>
          </w:p>
        </w:tc>
        <w:tc>
          <w:tcPr>
            <w:tcW w:w="760" w:type="pct"/>
            <w:vAlign w:val="center"/>
          </w:tcPr>
          <w:p w14:paraId="43BA0028"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0</w:t>
            </w:r>
          </w:p>
        </w:tc>
      </w:tr>
      <w:tr w:rsidR="00F0606C" w:rsidRPr="00F0606C" w14:paraId="4FCEE0A1" w14:textId="77777777" w:rsidTr="00C454EF">
        <w:tc>
          <w:tcPr>
            <w:tcW w:w="1794" w:type="pct"/>
          </w:tcPr>
          <w:p w14:paraId="3C91C03C" w14:textId="77777777" w:rsidR="002528D8" w:rsidRPr="00590419" w:rsidRDefault="002528D8" w:rsidP="00C454EF">
            <w:pPr>
              <w:spacing w:after="200" w:line="276" w:lineRule="auto"/>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Decreased neutrophil count</w:t>
            </w:r>
          </w:p>
        </w:tc>
        <w:tc>
          <w:tcPr>
            <w:tcW w:w="848" w:type="pct"/>
            <w:vAlign w:val="center"/>
          </w:tcPr>
          <w:p w14:paraId="3E88996F"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10</w:t>
            </w:r>
          </w:p>
        </w:tc>
        <w:tc>
          <w:tcPr>
            <w:tcW w:w="799" w:type="pct"/>
            <w:vAlign w:val="center"/>
          </w:tcPr>
          <w:p w14:paraId="197316C9"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0</w:t>
            </w:r>
          </w:p>
        </w:tc>
        <w:tc>
          <w:tcPr>
            <w:tcW w:w="799" w:type="pct"/>
            <w:vAlign w:val="center"/>
          </w:tcPr>
          <w:p w14:paraId="6F3DE03A"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2.5</w:t>
            </w:r>
          </w:p>
        </w:tc>
        <w:tc>
          <w:tcPr>
            <w:tcW w:w="760" w:type="pct"/>
            <w:vAlign w:val="center"/>
          </w:tcPr>
          <w:p w14:paraId="33D00EA7"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0</w:t>
            </w:r>
          </w:p>
        </w:tc>
      </w:tr>
      <w:tr w:rsidR="00F0606C" w:rsidRPr="00F0606C" w14:paraId="77FF4ADE" w14:textId="77777777" w:rsidTr="002528D8">
        <w:tc>
          <w:tcPr>
            <w:tcW w:w="5000" w:type="pct"/>
            <w:gridSpan w:val="5"/>
            <w:vAlign w:val="center"/>
          </w:tcPr>
          <w:p w14:paraId="4E8C50A9" w14:textId="77777777" w:rsidR="002528D8" w:rsidRPr="00590419" w:rsidRDefault="002528D8" w:rsidP="002528D8">
            <w:pPr>
              <w:spacing w:after="200" w:line="276" w:lineRule="auto"/>
              <w:rPr>
                <w:rFonts w:asciiTheme="majorHAnsi" w:eastAsiaTheme="majorEastAsia" w:hAnsiTheme="majorHAnsi" w:cstheme="minorHAnsi"/>
                <w:b/>
                <w:bCs/>
                <w:sz w:val="22"/>
                <w:szCs w:val="22"/>
              </w:rPr>
            </w:pPr>
            <w:r w:rsidRPr="00590419">
              <w:rPr>
                <w:rFonts w:asciiTheme="majorHAnsi" w:eastAsiaTheme="majorEastAsia" w:hAnsiTheme="majorHAnsi" w:cstheme="minorHAnsi"/>
                <w:b/>
                <w:bCs/>
                <w:sz w:val="22"/>
                <w:szCs w:val="22"/>
              </w:rPr>
              <w:t>Chemistry</w:t>
            </w:r>
          </w:p>
        </w:tc>
      </w:tr>
      <w:tr w:rsidR="00F0606C" w:rsidRPr="00F0606C" w14:paraId="666D5F37" w14:textId="77777777" w:rsidTr="00C454EF">
        <w:tc>
          <w:tcPr>
            <w:tcW w:w="1794" w:type="pct"/>
          </w:tcPr>
          <w:p w14:paraId="17E820EF" w14:textId="77777777" w:rsidR="002528D8" w:rsidRPr="00590419" w:rsidRDefault="002528D8" w:rsidP="00C454EF">
            <w:pPr>
              <w:spacing w:after="200" w:line="276" w:lineRule="auto"/>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 xml:space="preserve">Increased lipase </w:t>
            </w:r>
          </w:p>
        </w:tc>
        <w:tc>
          <w:tcPr>
            <w:tcW w:w="848" w:type="pct"/>
            <w:vAlign w:val="center"/>
          </w:tcPr>
          <w:p w14:paraId="3F443516"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32</w:t>
            </w:r>
          </w:p>
        </w:tc>
        <w:tc>
          <w:tcPr>
            <w:tcW w:w="799" w:type="pct"/>
            <w:vAlign w:val="center"/>
          </w:tcPr>
          <w:p w14:paraId="36B552AD"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7</w:t>
            </w:r>
          </w:p>
        </w:tc>
        <w:tc>
          <w:tcPr>
            <w:tcW w:w="799" w:type="pct"/>
            <w:vAlign w:val="center"/>
          </w:tcPr>
          <w:p w14:paraId="65318DD6"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13</w:t>
            </w:r>
          </w:p>
        </w:tc>
        <w:tc>
          <w:tcPr>
            <w:tcW w:w="760" w:type="pct"/>
            <w:vAlign w:val="center"/>
          </w:tcPr>
          <w:p w14:paraId="391B4686"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8</w:t>
            </w:r>
          </w:p>
        </w:tc>
      </w:tr>
      <w:tr w:rsidR="00F0606C" w:rsidRPr="00F0606C" w14:paraId="63B126F1" w14:textId="77777777" w:rsidTr="00C454EF">
        <w:tc>
          <w:tcPr>
            <w:tcW w:w="1794" w:type="pct"/>
          </w:tcPr>
          <w:p w14:paraId="0CEAA756" w14:textId="77777777" w:rsidR="002528D8" w:rsidRPr="00590419" w:rsidRDefault="002528D8" w:rsidP="00C454EF">
            <w:pPr>
              <w:spacing w:after="200" w:line="276" w:lineRule="auto"/>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 xml:space="preserve">Decreased phosphate </w:t>
            </w:r>
          </w:p>
        </w:tc>
        <w:tc>
          <w:tcPr>
            <w:tcW w:w="848" w:type="pct"/>
            <w:vAlign w:val="center"/>
          </w:tcPr>
          <w:p w14:paraId="2122465E"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26</w:t>
            </w:r>
          </w:p>
        </w:tc>
        <w:tc>
          <w:tcPr>
            <w:tcW w:w="799" w:type="pct"/>
            <w:vAlign w:val="center"/>
          </w:tcPr>
          <w:p w14:paraId="3AF2397F"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4.9</w:t>
            </w:r>
          </w:p>
        </w:tc>
        <w:tc>
          <w:tcPr>
            <w:tcW w:w="799" w:type="pct"/>
            <w:vAlign w:val="center"/>
          </w:tcPr>
          <w:p w14:paraId="7994A38F"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2.5</w:t>
            </w:r>
          </w:p>
        </w:tc>
        <w:tc>
          <w:tcPr>
            <w:tcW w:w="760" w:type="pct"/>
            <w:vAlign w:val="center"/>
          </w:tcPr>
          <w:p w14:paraId="5653B0C4"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0</w:t>
            </w:r>
          </w:p>
        </w:tc>
      </w:tr>
      <w:tr w:rsidR="00F0606C" w:rsidRPr="00F0606C" w14:paraId="79EAF5FE" w14:textId="77777777" w:rsidTr="00C454EF">
        <w:tc>
          <w:tcPr>
            <w:tcW w:w="1794" w:type="pct"/>
          </w:tcPr>
          <w:p w14:paraId="1E2FE04B" w14:textId="77777777" w:rsidR="002528D8" w:rsidRPr="00590419" w:rsidRDefault="002528D8" w:rsidP="00C454EF">
            <w:pPr>
              <w:spacing w:after="200" w:line="276" w:lineRule="auto"/>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Increased triglycerides</w:t>
            </w:r>
          </w:p>
        </w:tc>
        <w:tc>
          <w:tcPr>
            <w:tcW w:w="848" w:type="pct"/>
            <w:vAlign w:val="center"/>
          </w:tcPr>
          <w:p w14:paraId="2DBC5093"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26</w:t>
            </w:r>
          </w:p>
        </w:tc>
        <w:tc>
          <w:tcPr>
            <w:tcW w:w="799" w:type="pct"/>
            <w:vAlign w:val="center"/>
          </w:tcPr>
          <w:p w14:paraId="2C6BDB24"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2.4</w:t>
            </w:r>
          </w:p>
        </w:tc>
        <w:tc>
          <w:tcPr>
            <w:tcW w:w="799" w:type="pct"/>
            <w:vAlign w:val="center"/>
          </w:tcPr>
          <w:p w14:paraId="40C2AF59"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23</w:t>
            </w:r>
          </w:p>
        </w:tc>
        <w:tc>
          <w:tcPr>
            <w:tcW w:w="760" w:type="pct"/>
            <w:vAlign w:val="center"/>
          </w:tcPr>
          <w:p w14:paraId="07CDB6D0"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0</w:t>
            </w:r>
          </w:p>
        </w:tc>
      </w:tr>
      <w:tr w:rsidR="00F0606C" w:rsidRPr="00F0606C" w14:paraId="3DF14FB4" w14:textId="77777777" w:rsidTr="00C454EF">
        <w:tc>
          <w:tcPr>
            <w:tcW w:w="1794" w:type="pct"/>
          </w:tcPr>
          <w:p w14:paraId="45EC0676" w14:textId="77777777" w:rsidR="002528D8" w:rsidRPr="00590419" w:rsidRDefault="002528D8" w:rsidP="00C454EF">
            <w:pPr>
              <w:spacing w:after="200" w:line="276" w:lineRule="auto"/>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Decreased calcium</w:t>
            </w:r>
          </w:p>
        </w:tc>
        <w:tc>
          <w:tcPr>
            <w:tcW w:w="848" w:type="pct"/>
            <w:vAlign w:val="center"/>
          </w:tcPr>
          <w:p w14:paraId="0AC0BA02"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23</w:t>
            </w:r>
          </w:p>
        </w:tc>
        <w:tc>
          <w:tcPr>
            <w:tcW w:w="799" w:type="pct"/>
            <w:vAlign w:val="center"/>
          </w:tcPr>
          <w:p w14:paraId="1EAC89BD"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0</w:t>
            </w:r>
          </w:p>
        </w:tc>
        <w:tc>
          <w:tcPr>
            <w:tcW w:w="799" w:type="pct"/>
            <w:vAlign w:val="center"/>
          </w:tcPr>
          <w:p w14:paraId="5C2CD52D"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8</w:t>
            </w:r>
          </w:p>
        </w:tc>
        <w:tc>
          <w:tcPr>
            <w:tcW w:w="760" w:type="pct"/>
            <w:vAlign w:val="center"/>
          </w:tcPr>
          <w:p w14:paraId="3EFAFE0F"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0</w:t>
            </w:r>
          </w:p>
        </w:tc>
      </w:tr>
      <w:tr w:rsidR="00F0606C" w:rsidRPr="00F0606C" w14:paraId="51B3A69F" w14:textId="77777777" w:rsidTr="00C454EF">
        <w:tc>
          <w:tcPr>
            <w:tcW w:w="1794" w:type="pct"/>
          </w:tcPr>
          <w:p w14:paraId="6D8B8674" w14:textId="77777777" w:rsidR="002528D8" w:rsidRPr="00590419" w:rsidRDefault="002528D8" w:rsidP="00C454EF">
            <w:pPr>
              <w:spacing w:after="200" w:line="276" w:lineRule="auto"/>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 xml:space="preserve">Increased blood bilirubin </w:t>
            </w:r>
          </w:p>
        </w:tc>
        <w:tc>
          <w:tcPr>
            <w:tcW w:w="848" w:type="pct"/>
            <w:vAlign w:val="center"/>
          </w:tcPr>
          <w:p w14:paraId="1CB1F6B8"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22</w:t>
            </w:r>
          </w:p>
        </w:tc>
        <w:tc>
          <w:tcPr>
            <w:tcW w:w="799" w:type="pct"/>
            <w:vAlign w:val="center"/>
          </w:tcPr>
          <w:p w14:paraId="7252BDF1"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0</w:t>
            </w:r>
          </w:p>
        </w:tc>
        <w:tc>
          <w:tcPr>
            <w:tcW w:w="799" w:type="pct"/>
            <w:vAlign w:val="center"/>
          </w:tcPr>
          <w:p w14:paraId="6B4DC33B"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5</w:t>
            </w:r>
          </w:p>
        </w:tc>
        <w:tc>
          <w:tcPr>
            <w:tcW w:w="760" w:type="pct"/>
            <w:vAlign w:val="center"/>
          </w:tcPr>
          <w:p w14:paraId="214791DE"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2.5</w:t>
            </w:r>
          </w:p>
        </w:tc>
      </w:tr>
      <w:tr w:rsidR="00F0606C" w:rsidRPr="00F0606C" w14:paraId="07137BAB" w14:textId="77777777" w:rsidTr="00C454EF">
        <w:tc>
          <w:tcPr>
            <w:tcW w:w="1794" w:type="pct"/>
          </w:tcPr>
          <w:p w14:paraId="740C0BB5" w14:textId="77777777" w:rsidR="002528D8" w:rsidRPr="00590419" w:rsidRDefault="002528D8" w:rsidP="00C454EF">
            <w:pPr>
              <w:spacing w:after="200" w:line="276" w:lineRule="auto"/>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 xml:space="preserve">Increased CPK </w:t>
            </w:r>
          </w:p>
        </w:tc>
        <w:tc>
          <w:tcPr>
            <w:tcW w:w="848" w:type="pct"/>
            <w:vAlign w:val="center"/>
          </w:tcPr>
          <w:p w14:paraId="0D2A18D1"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21</w:t>
            </w:r>
          </w:p>
        </w:tc>
        <w:tc>
          <w:tcPr>
            <w:tcW w:w="799" w:type="pct"/>
            <w:vAlign w:val="center"/>
          </w:tcPr>
          <w:p w14:paraId="2306B95C"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1.2</w:t>
            </w:r>
          </w:p>
        </w:tc>
        <w:tc>
          <w:tcPr>
            <w:tcW w:w="799" w:type="pct"/>
            <w:vAlign w:val="center"/>
          </w:tcPr>
          <w:p w14:paraId="5401B113"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10</w:t>
            </w:r>
          </w:p>
        </w:tc>
        <w:tc>
          <w:tcPr>
            <w:tcW w:w="760" w:type="pct"/>
            <w:vAlign w:val="center"/>
          </w:tcPr>
          <w:p w14:paraId="5FF2F7A6"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0</w:t>
            </w:r>
          </w:p>
        </w:tc>
      </w:tr>
      <w:tr w:rsidR="00F0606C" w:rsidRPr="00F0606C" w14:paraId="582DD64C" w14:textId="77777777" w:rsidTr="00C454EF">
        <w:tc>
          <w:tcPr>
            <w:tcW w:w="1794" w:type="pct"/>
          </w:tcPr>
          <w:p w14:paraId="117BF2DD" w14:textId="77777777" w:rsidR="002528D8" w:rsidRPr="00590419" w:rsidRDefault="002528D8" w:rsidP="00C454EF">
            <w:pPr>
              <w:spacing w:after="200" w:line="276" w:lineRule="auto"/>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 xml:space="preserve">Decreased sodium </w:t>
            </w:r>
          </w:p>
        </w:tc>
        <w:tc>
          <w:tcPr>
            <w:tcW w:w="848" w:type="pct"/>
            <w:vAlign w:val="center"/>
          </w:tcPr>
          <w:p w14:paraId="5B20D469"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17</w:t>
            </w:r>
          </w:p>
        </w:tc>
        <w:tc>
          <w:tcPr>
            <w:tcW w:w="799" w:type="pct"/>
            <w:vAlign w:val="center"/>
          </w:tcPr>
          <w:p w14:paraId="1581AEF7"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2.4</w:t>
            </w:r>
          </w:p>
        </w:tc>
        <w:tc>
          <w:tcPr>
            <w:tcW w:w="799" w:type="pct"/>
            <w:vAlign w:val="center"/>
          </w:tcPr>
          <w:p w14:paraId="2B220602"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10</w:t>
            </w:r>
          </w:p>
        </w:tc>
        <w:tc>
          <w:tcPr>
            <w:tcW w:w="760" w:type="pct"/>
            <w:vAlign w:val="center"/>
          </w:tcPr>
          <w:p w14:paraId="534D511E"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2.5</w:t>
            </w:r>
          </w:p>
        </w:tc>
      </w:tr>
      <w:bookmarkEnd w:id="12"/>
      <w:tr w:rsidR="00F0606C" w:rsidRPr="00F0606C" w14:paraId="17A875BF" w14:textId="77777777" w:rsidTr="00C454EF">
        <w:tc>
          <w:tcPr>
            <w:tcW w:w="1794" w:type="pct"/>
          </w:tcPr>
          <w:p w14:paraId="7182F8C0" w14:textId="77777777" w:rsidR="002528D8" w:rsidRPr="00590419" w:rsidRDefault="002528D8" w:rsidP="00C454EF">
            <w:pPr>
              <w:spacing w:after="200" w:line="276" w:lineRule="auto"/>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Increased creatinine</w:t>
            </w:r>
          </w:p>
        </w:tc>
        <w:tc>
          <w:tcPr>
            <w:tcW w:w="848" w:type="pct"/>
            <w:vAlign w:val="center"/>
          </w:tcPr>
          <w:p w14:paraId="488DC11B"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16</w:t>
            </w:r>
          </w:p>
        </w:tc>
        <w:tc>
          <w:tcPr>
            <w:tcW w:w="799" w:type="pct"/>
            <w:vAlign w:val="center"/>
          </w:tcPr>
          <w:p w14:paraId="0135FD42"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0</w:t>
            </w:r>
          </w:p>
        </w:tc>
        <w:tc>
          <w:tcPr>
            <w:tcW w:w="799" w:type="pct"/>
            <w:vAlign w:val="center"/>
          </w:tcPr>
          <w:p w14:paraId="0F41754B"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18</w:t>
            </w:r>
          </w:p>
        </w:tc>
        <w:tc>
          <w:tcPr>
            <w:tcW w:w="760" w:type="pct"/>
            <w:vAlign w:val="center"/>
          </w:tcPr>
          <w:p w14:paraId="5D3D6715"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0</w:t>
            </w:r>
          </w:p>
        </w:tc>
      </w:tr>
      <w:tr w:rsidR="00F0606C" w:rsidRPr="00F0606C" w14:paraId="799EC3C1" w14:textId="77777777" w:rsidTr="00C454EF">
        <w:tc>
          <w:tcPr>
            <w:tcW w:w="1794" w:type="pct"/>
          </w:tcPr>
          <w:p w14:paraId="34B9EBC4" w14:textId="77777777" w:rsidR="002528D8" w:rsidRPr="00590419" w:rsidRDefault="002528D8" w:rsidP="00C454EF">
            <w:pPr>
              <w:spacing w:after="200" w:line="276" w:lineRule="auto"/>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 xml:space="preserve">Increased serum amylase </w:t>
            </w:r>
          </w:p>
        </w:tc>
        <w:tc>
          <w:tcPr>
            <w:tcW w:w="848" w:type="pct"/>
            <w:vAlign w:val="center"/>
          </w:tcPr>
          <w:p w14:paraId="5B968DB3"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13</w:t>
            </w:r>
          </w:p>
        </w:tc>
        <w:tc>
          <w:tcPr>
            <w:tcW w:w="799" w:type="pct"/>
            <w:vAlign w:val="center"/>
          </w:tcPr>
          <w:p w14:paraId="39C70184"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1.2</w:t>
            </w:r>
          </w:p>
        </w:tc>
        <w:tc>
          <w:tcPr>
            <w:tcW w:w="799" w:type="pct"/>
            <w:vAlign w:val="center"/>
          </w:tcPr>
          <w:p w14:paraId="2291F79A"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5</w:t>
            </w:r>
          </w:p>
        </w:tc>
        <w:tc>
          <w:tcPr>
            <w:tcW w:w="760" w:type="pct"/>
            <w:vAlign w:val="center"/>
          </w:tcPr>
          <w:p w14:paraId="54D48FD5"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0</w:t>
            </w:r>
          </w:p>
        </w:tc>
      </w:tr>
      <w:tr w:rsidR="00F0606C" w:rsidRPr="00F0606C" w14:paraId="61941D80" w14:textId="77777777" w:rsidTr="00C454EF">
        <w:tc>
          <w:tcPr>
            <w:tcW w:w="1794" w:type="pct"/>
          </w:tcPr>
          <w:p w14:paraId="5AC8BA19" w14:textId="77777777" w:rsidR="002528D8" w:rsidRPr="00590419" w:rsidRDefault="002528D8" w:rsidP="00C454EF">
            <w:pPr>
              <w:spacing w:after="200" w:line="276" w:lineRule="auto"/>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 xml:space="preserve">Increased ALT </w:t>
            </w:r>
          </w:p>
        </w:tc>
        <w:tc>
          <w:tcPr>
            <w:tcW w:w="848" w:type="pct"/>
            <w:vAlign w:val="center"/>
          </w:tcPr>
          <w:p w14:paraId="61983C01"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12</w:t>
            </w:r>
          </w:p>
        </w:tc>
        <w:tc>
          <w:tcPr>
            <w:tcW w:w="799" w:type="pct"/>
            <w:vAlign w:val="center"/>
          </w:tcPr>
          <w:p w14:paraId="2842D3EC"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1.2</w:t>
            </w:r>
          </w:p>
        </w:tc>
        <w:tc>
          <w:tcPr>
            <w:tcW w:w="799" w:type="pct"/>
            <w:vAlign w:val="center"/>
          </w:tcPr>
          <w:p w14:paraId="26C8CB3E"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5</w:t>
            </w:r>
          </w:p>
        </w:tc>
        <w:tc>
          <w:tcPr>
            <w:tcW w:w="760" w:type="pct"/>
            <w:vAlign w:val="center"/>
          </w:tcPr>
          <w:p w14:paraId="0029E072" w14:textId="77777777" w:rsidR="002528D8" w:rsidRPr="00590419" w:rsidRDefault="002528D8" w:rsidP="00C454EF">
            <w:pPr>
              <w:spacing w:after="200" w:line="276" w:lineRule="auto"/>
              <w:jc w:val="center"/>
              <w:rPr>
                <w:rFonts w:asciiTheme="majorHAnsi" w:eastAsiaTheme="majorEastAsia" w:hAnsiTheme="majorHAnsi" w:cstheme="minorHAnsi"/>
                <w:sz w:val="22"/>
                <w:szCs w:val="22"/>
              </w:rPr>
            </w:pPr>
            <w:r w:rsidRPr="00590419">
              <w:rPr>
                <w:rFonts w:asciiTheme="majorHAnsi" w:eastAsiaTheme="majorEastAsia" w:hAnsiTheme="majorHAnsi" w:cstheme="minorHAnsi"/>
                <w:sz w:val="22"/>
                <w:szCs w:val="22"/>
              </w:rPr>
              <w:t>0</w:t>
            </w:r>
          </w:p>
        </w:tc>
      </w:tr>
      <w:bookmarkEnd w:id="13"/>
      <w:tr w:rsidR="00F0606C" w:rsidRPr="00F0606C" w14:paraId="2D09AD50" w14:textId="77777777" w:rsidTr="00C454EF">
        <w:tc>
          <w:tcPr>
            <w:tcW w:w="5000" w:type="pct"/>
            <w:gridSpan w:val="5"/>
            <w:shd w:val="clear" w:color="auto" w:fill="auto"/>
          </w:tcPr>
          <w:p w14:paraId="0A3C982A" w14:textId="77777777" w:rsidR="002528D8" w:rsidRPr="00590419" w:rsidRDefault="002528D8" w:rsidP="00C454EF">
            <w:pPr>
              <w:rPr>
                <w:rFonts w:asciiTheme="majorHAnsi" w:eastAsiaTheme="majorEastAsia" w:hAnsiTheme="majorHAnsi" w:cstheme="minorHAnsi"/>
              </w:rPr>
            </w:pPr>
            <w:r w:rsidRPr="00590419">
              <w:rPr>
                <w:rFonts w:asciiTheme="majorHAnsi" w:eastAsiaTheme="majorEastAsia" w:hAnsiTheme="majorHAnsi" w:cstheme="minorHAnsi"/>
              </w:rPr>
              <w:t>CPK=creatine phosphokinase; INR=international normalized ratio; AST=aspartate aminotransferase; ALT=alanine aminotransferase</w:t>
            </w:r>
          </w:p>
          <w:p w14:paraId="51A62AE5" w14:textId="77777777" w:rsidR="002528D8" w:rsidRPr="00590419" w:rsidRDefault="002528D8" w:rsidP="00C454EF">
            <w:pPr>
              <w:rPr>
                <w:rFonts w:asciiTheme="majorHAnsi" w:eastAsiaTheme="majorEastAsia" w:hAnsiTheme="majorHAnsi" w:cstheme="minorHAnsi"/>
              </w:rPr>
            </w:pPr>
          </w:p>
          <w:p w14:paraId="6EC87066" w14:textId="77777777" w:rsidR="002528D8" w:rsidRPr="00590419" w:rsidRDefault="002528D8" w:rsidP="007C20C5">
            <w:pPr>
              <w:numPr>
                <w:ilvl w:val="0"/>
                <w:numId w:val="36"/>
              </w:numPr>
              <w:rPr>
                <w:rFonts w:asciiTheme="majorHAnsi" w:eastAsiaTheme="majorEastAsia" w:hAnsiTheme="majorHAnsi" w:cstheme="minorHAnsi"/>
              </w:rPr>
            </w:pPr>
            <w:r w:rsidRPr="00590419">
              <w:rPr>
                <w:rFonts w:asciiTheme="majorHAnsi" w:eastAsiaTheme="majorEastAsia" w:hAnsiTheme="majorHAnsi" w:cstheme="minorHAnsi"/>
              </w:rPr>
              <w:t>The denominator used to calculate the rate varied from 82 to 83 for QINLOCK and 34 to 40 for placebo based on the number of patients with a baseline value and at least one post-treatment value.</w:t>
            </w:r>
          </w:p>
          <w:p w14:paraId="1A8CF7C3" w14:textId="77777777" w:rsidR="002528D8" w:rsidRPr="00590419" w:rsidRDefault="002528D8" w:rsidP="007C20C5">
            <w:pPr>
              <w:numPr>
                <w:ilvl w:val="0"/>
                <w:numId w:val="36"/>
              </w:numPr>
              <w:rPr>
                <w:rFonts w:asciiTheme="majorHAnsi" w:eastAsiaTheme="majorEastAsia" w:hAnsiTheme="majorHAnsi" w:cstheme="minorHAnsi"/>
                <w:sz w:val="22"/>
                <w:szCs w:val="22"/>
              </w:rPr>
            </w:pPr>
            <w:r w:rsidRPr="00590419">
              <w:rPr>
                <w:rFonts w:asciiTheme="majorHAnsi" w:eastAsiaTheme="majorEastAsia" w:hAnsiTheme="majorHAnsi" w:cstheme="minorHAnsi"/>
              </w:rPr>
              <w:t>Only includes Grade 3 laboratory abnormalities.</w:t>
            </w:r>
          </w:p>
        </w:tc>
      </w:tr>
      <w:bookmarkEnd w:id="11"/>
    </w:tbl>
    <w:p w14:paraId="515958CD" w14:textId="11EC78ED" w:rsidR="00BF3161" w:rsidRPr="009D2610" w:rsidRDefault="00BF3161" w:rsidP="00E6784E">
      <w:pPr>
        <w:pStyle w:val="Caption"/>
        <w:keepNext/>
        <w:rPr>
          <w:rFonts w:asciiTheme="majorHAnsi" w:hAnsiTheme="majorHAnsi"/>
          <w:b/>
          <w:bCs/>
          <w:i w:val="0"/>
          <w:iCs w:val="0"/>
          <w:color w:val="auto"/>
          <w:sz w:val="22"/>
          <w:szCs w:val="22"/>
        </w:rPr>
      </w:pPr>
    </w:p>
    <w:tbl>
      <w:tblPr>
        <w:tblStyle w:val="TableGrid"/>
        <w:tblW w:w="0" w:type="auto"/>
        <w:tblLook w:val="04A0" w:firstRow="1" w:lastRow="0" w:firstColumn="1" w:lastColumn="0" w:noHBand="0" w:noVBand="1"/>
      </w:tblPr>
      <w:tblGrid>
        <w:gridCol w:w="3005"/>
        <w:gridCol w:w="3005"/>
        <w:gridCol w:w="3006"/>
      </w:tblGrid>
      <w:tr w:rsidR="00BF3161" w14:paraId="431E91BD" w14:textId="77777777" w:rsidTr="009D2610">
        <w:tc>
          <w:tcPr>
            <w:tcW w:w="9016" w:type="dxa"/>
            <w:gridSpan w:val="3"/>
            <w:tcBorders>
              <w:top w:val="nil"/>
              <w:left w:val="nil"/>
              <w:right w:val="nil"/>
            </w:tcBorders>
            <w:vAlign w:val="bottom"/>
          </w:tcPr>
          <w:p w14:paraId="4AEEB83B" w14:textId="6D0F5907" w:rsidR="00BF3161" w:rsidRPr="009D2610" w:rsidRDefault="00BF3161" w:rsidP="00E6784E">
            <w:pPr>
              <w:keepNext/>
              <w:ind w:left="900" w:hanging="900"/>
              <w:rPr>
                <w:rFonts w:asciiTheme="majorHAnsi" w:hAnsiTheme="majorHAnsi"/>
                <w:b/>
                <w:bCs/>
                <w:i/>
                <w:iCs/>
                <w:sz w:val="22"/>
                <w:szCs w:val="22"/>
              </w:rPr>
            </w:pPr>
            <w:r w:rsidRPr="00E87B71">
              <w:rPr>
                <w:rFonts w:asciiTheme="majorHAnsi" w:eastAsiaTheme="minorHAnsi" w:hAnsiTheme="majorHAnsi" w:cstheme="minorBidi"/>
                <w:b/>
                <w:bCs/>
                <w:sz w:val="22"/>
                <w:szCs w:val="22"/>
                <w:lang w:val="en-AU"/>
              </w:rPr>
              <w:t xml:space="preserve">Table </w:t>
            </w:r>
            <w:r w:rsidRPr="00E87B71">
              <w:rPr>
                <w:rFonts w:asciiTheme="majorHAnsi" w:hAnsiTheme="majorHAnsi"/>
                <w:b/>
                <w:bCs/>
              </w:rPr>
              <w:fldChar w:fldCharType="begin"/>
            </w:r>
            <w:r w:rsidRPr="00E87B71">
              <w:rPr>
                <w:rFonts w:asciiTheme="majorHAnsi" w:eastAsiaTheme="minorHAnsi" w:hAnsiTheme="majorHAnsi" w:cstheme="minorBidi"/>
                <w:b/>
                <w:bCs/>
                <w:sz w:val="22"/>
                <w:szCs w:val="22"/>
                <w:lang w:val="en-AU"/>
              </w:rPr>
              <w:instrText xml:space="preserve"> SEQ Table \* ARABIC </w:instrText>
            </w:r>
            <w:r w:rsidRPr="00E87B71">
              <w:rPr>
                <w:rFonts w:asciiTheme="majorHAnsi" w:hAnsiTheme="majorHAnsi"/>
                <w:b/>
                <w:bCs/>
              </w:rPr>
              <w:fldChar w:fldCharType="separate"/>
            </w:r>
            <w:r w:rsidR="00C8101D">
              <w:rPr>
                <w:rFonts w:asciiTheme="majorHAnsi" w:eastAsiaTheme="minorHAnsi" w:hAnsiTheme="majorHAnsi" w:cstheme="minorBidi"/>
                <w:b/>
                <w:bCs/>
                <w:noProof/>
                <w:sz w:val="22"/>
                <w:szCs w:val="22"/>
                <w:lang w:val="en-AU"/>
              </w:rPr>
              <w:t>4</w:t>
            </w:r>
            <w:r w:rsidRPr="00E87B71">
              <w:rPr>
                <w:rFonts w:asciiTheme="majorHAnsi" w:hAnsiTheme="majorHAnsi"/>
                <w:b/>
                <w:bCs/>
              </w:rPr>
              <w:fldChar w:fldCharType="end"/>
            </w:r>
            <w:r w:rsidRPr="00E87B71">
              <w:rPr>
                <w:rFonts w:asciiTheme="majorHAnsi" w:eastAsiaTheme="minorHAnsi" w:hAnsiTheme="majorHAnsi" w:cstheme="minorBidi"/>
                <w:b/>
                <w:bCs/>
                <w:sz w:val="22"/>
                <w:szCs w:val="22"/>
                <w:lang w:val="en-AU"/>
              </w:rPr>
              <w:t xml:space="preserve">: Dose </w:t>
            </w:r>
            <w:r w:rsidR="0034268B" w:rsidRPr="00E87B71">
              <w:rPr>
                <w:rFonts w:asciiTheme="majorHAnsi" w:eastAsiaTheme="minorHAnsi" w:hAnsiTheme="majorHAnsi" w:cstheme="minorBidi"/>
                <w:b/>
                <w:bCs/>
                <w:sz w:val="22"/>
                <w:szCs w:val="22"/>
                <w:lang w:val="en-AU"/>
              </w:rPr>
              <w:t>I</w:t>
            </w:r>
            <w:r w:rsidRPr="00E87B71">
              <w:rPr>
                <w:rFonts w:asciiTheme="majorHAnsi" w:eastAsiaTheme="minorHAnsi" w:hAnsiTheme="majorHAnsi" w:cstheme="minorBidi"/>
                <w:b/>
                <w:bCs/>
                <w:sz w:val="22"/>
                <w:szCs w:val="22"/>
                <w:lang w:val="en-AU"/>
              </w:rPr>
              <w:t xml:space="preserve">nterruptions, </w:t>
            </w:r>
            <w:r w:rsidR="0034268B" w:rsidRPr="00E87B71">
              <w:rPr>
                <w:rFonts w:asciiTheme="majorHAnsi" w:eastAsiaTheme="minorHAnsi" w:hAnsiTheme="majorHAnsi" w:cstheme="minorBidi"/>
                <w:b/>
                <w:bCs/>
                <w:sz w:val="22"/>
                <w:szCs w:val="22"/>
                <w:lang w:val="en-AU"/>
              </w:rPr>
              <w:t>D</w:t>
            </w:r>
            <w:r w:rsidRPr="00E87B71">
              <w:rPr>
                <w:rFonts w:asciiTheme="majorHAnsi" w:eastAsiaTheme="minorHAnsi" w:hAnsiTheme="majorHAnsi" w:cstheme="minorBidi"/>
                <w:b/>
                <w:bCs/>
                <w:sz w:val="22"/>
                <w:szCs w:val="22"/>
                <w:lang w:val="en-AU"/>
              </w:rPr>
              <w:t xml:space="preserve">ose </w:t>
            </w:r>
            <w:r w:rsidR="0034268B" w:rsidRPr="00E87B71">
              <w:rPr>
                <w:rFonts w:asciiTheme="majorHAnsi" w:eastAsiaTheme="minorHAnsi" w:hAnsiTheme="majorHAnsi" w:cstheme="minorBidi"/>
                <w:b/>
                <w:bCs/>
                <w:sz w:val="22"/>
                <w:szCs w:val="22"/>
                <w:lang w:val="en-AU"/>
              </w:rPr>
              <w:t>R</w:t>
            </w:r>
            <w:r w:rsidRPr="00E87B71">
              <w:rPr>
                <w:rFonts w:asciiTheme="majorHAnsi" w:eastAsiaTheme="minorHAnsi" w:hAnsiTheme="majorHAnsi" w:cstheme="minorBidi"/>
                <w:b/>
                <w:bCs/>
                <w:sz w:val="22"/>
                <w:szCs w:val="22"/>
                <w:lang w:val="en-AU"/>
              </w:rPr>
              <w:t xml:space="preserve">eductions, and </w:t>
            </w:r>
            <w:r w:rsidR="0034268B" w:rsidRPr="00E87B71">
              <w:rPr>
                <w:rFonts w:asciiTheme="majorHAnsi" w:eastAsiaTheme="minorHAnsi" w:hAnsiTheme="majorHAnsi" w:cstheme="minorBidi"/>
                <w:b/>
                <w:bCs/>
                <w:sz w:val="22"/>
                <w:szCs w:val="22"/>
                <w:lang w:val="en-AU"/>
              </w:rPr>
              <w:t>T</w:t>
            </w:r>
            <w:r w:rsidRPr="00E87B71">
              <w:rPr>
                <w:rFonts w:asciiTheme="majorHAnsi" w:eastAsiaTheme="minorHAnsi" w:hAnsiTheme="majorHAnsi" w:cstheme="minorBidi"/>
                <w:b/>
                <w:bCs/>
                <w:sz w:val="22"/>
                <w:szCs w:val="22"/>
                <w:lang w:val="en-AU"/>
              </w:rPr>
              <w:t xml:space="preserve">reatment </w:t>
            </w:r>
            <w:r w:rsidR="0034268B" w:rsidRPr="00E87B71">
              <w:rPr>
                <w:rFonts w:asciiTheme="majorHAnsi" w:eastAsiaTheme="minorHAnsi" w:hAnsiTheme="majorHAnsi" w:cstheme="minorBidi"/>
                <w:b/>
                <w:bCs/>
                <w:sz w:val="22"/>
                <w:szCs w:val="22"/>
                <w:lang w:val="en-AU"/>
              </w:rPr>
              <w:t>D</w:t>
            </w:r>
            <w:r w:rsidRPr="00E87B71">
              <w:rPr>
                <w:rFonts w:asciiTheme="majorHAnsi" w:eastAsiaTheme="minorHAnsi" w:hAnsiTheme="majorHAnsi" w:cstheme="minorBidi"/>
                <w:b/>
                <w:bCs/>
                <w:sz w:val="22"/>
                <w:szCs w:val="22"/>
                <w:lang w:val="en-AU"/>
              </w:rPr>
              <w:t xml:space="preserve">iscontinuations </w:t>
            </w:r>
            <w:r w:rsidR="0052500F">
              <w:rPr>
                <w:rFonts w:asciiTheme="majorHAnsi" w:eastAsiaTheme="minorHAnsi" w:hAnsiTheme="majorHAnsi" w:cstheme="minorBidi"/>
                <w:b/>
                <w:bCs/>
                <w:sz w:val="22"/>
                <w:szCs w:val="22"/>
                <w:lang w:val="en-AU"/>
              </w:rPr>
              <w:t>d</w:t>
            </w:r>
            <w:r w:rsidRPr="00E87B71">
              <w:rPr>
                <w:rFonts w:asciiTheme="majorHAnsi" w:eastAsiaTheme="minorHAnsi" w:hAnsiTheme="majorHAnsi" w:cstheme="minorBidi"/>
                <w:b/>
                <w:bCs/>
                <w:sz w:val="22"/>
                <w:szCs w:val="22"/>
                <w:lang w:val="en-AU"/>
              </w:rPr>
              <w:t xml:space="preserve">ue </w:t>
            </w:r>
            <w:r w:rsidR="0034268B" w:rsidRPr="00E87B71">
              <w:rPr>
                <w:rFonts w:asciiTheme="majorHAnsi" w:eastAsiaTheme="minorHAnsi" w:hAnsiTheme="majorHAnsi" w:cstheme="minorBidi"/>
                <w:b/>
                <w:bCs/>
                <w:sz w:val="22"/>
                <w:szCs w:val="22"/>
                <w:lang w:val="en-AU"/>
              </w:rPr>
              <w:t>t</w:t>
            </w:r>
            <w:r w:rsidRPr="00E87B71">
              <w:rPr>
                <w:rFonts w:asciiTheme="majorHAnsi" w:eastAsiaTheme="minorHAnsi" w:hAnsiTheme="majorHAnsi" w:cstheme="minorBidi"/>
                <w:b/>
                <w:bCs/>
                <w:sz w:val="22"/>
                <w:szCs w:val="22"/>
                <w:lang w:val="en-AU"/>
              </w:rPr>
              <w:t xml:space="preserve">o </w:t>
            </w:r>
            <w:r w:rsidR="0034268B" w:rsidRPr="00E87B71">
              <w:rPr>
                <w:rFonts w:asciiTheme="majorHAnsi" w:eastAsiaTheme="minorHAnsi" w:hAnsiTheme="majorHAnsi" w:cstheme="minorBidi"/>
                <w:b/>
                <w:bCs/>
                <w:sz w:val="22"/>
                <w:szCs w:val="22"/>
                <w:lang w:val="en-AU"/>
              </w:rPr>
              <w:t>A</w:t>
            </w:r>
            <w:r w:rsidRPr="00E87B71">
              <w:rPr>
                <w:rFonts w:asciiTheme="majorHAnsi" w:eastAsiaTheme="minorHAnsi" w:hAnsiTheme="majorHAnsi" w:cstheme="minorBidi"/>
                <w:b/>
                <w:bCs/>
                <w:sz w:val="22"/>
                <w:szCs w:val="22"/>
                <w:lang w:val="en-AU"/>
              </w:rPr>
              <w:t xml:space="preserve">dverse </w:t>
            </w:r>
            <w:r w:rsidR="0034268B" w:rsidRPr="00E87B71">
              <w:rPr>
                <w:rFonts w:asciiTheme="majorHAnsi" w:eastAsiaTheme="minorHAnsi" w:hAnsiTheme="majorHAnsi" w:cstheme="minorBidi"/>
                <w:b/>
                <w:bCs/>
                <w:sz w:val="22"/>
                <w:szCs w:val="22"/>
                <w:lang w:val="en-AU"/>
              </w:rPr>
              <w:t>R</w:t>
            </w:r>
            <w:r w:rsidRPr="00E87B71">
              <w:rPr>
                <w:rFonts w:asciiTheme="majorHAnsi" w:eastAsiaTheme="minorHAnsi" w:hAnsiTheme="majorHAnsi" w:cstheme="minorBidi"/>
                <w:b/>
                <w:bCs/>
                <w:sz w:val="22"/>
                <w:szCs w:val="22"/>
                <w:lang w:val="en-AU"/>
              </w:rPr>
              <w:t>eactions</w:t>
            </w:r>
            <w:r w:rsidRPr="00C95C38">
              <w:rPr>
                <w:rFonts w:asciiTheme="majorHAnsi" w:hAnsiTheme="majorHAnsi"/>
                <w:b/>
                <w:bCs/>
                <w:sz w:val="22"/>
                <w:szCs w:val="22"/>
              </w:rPr>
              <w:t xml:space="preserve"> </w:t>
            </w:r>
          </w:p>
        </w:tc>
      </w:tr>
      <w:tr w:rsidR="002C4189" w14:paraId="1E1BB780" w14:textId="77777777">
        <w:tc>
          <w:tcPr>
            <w:tcW w:w="3005" w:type="dxa"/>
            <w:vAlign w:val="bottom"/>
          </w:tcPr>
          <w:p w14:paraId="78865DCA" w14:textId="77777777" w:rsidR="002C4189" w:rsidRDefault="00FB7D91" w:rsidP="00E6784E">
            <w:pPr>
              <w:keepNext/>
              <w:rPr>
                <w:rFonts w:asciiTheme="majorHAnsi" w:hAnsiTheme="majorHAnsi" w:cstheme="minorHAnsi"/>
                <w:b/>
                <w:bCs/>
                <w:sz w:val="22"/>
                <w:szCs w:val="22"/>
                <w:highlight w:val="yellow"/>
                <w:lang w:val="en"/>
              </w:rPr>
            </w:pPr>
            <w:r>
              <w:rPr>
                <w:rFonts w:asciiTheme="majorHAnsi" w:eastAsiaTheme="majorEastAsia" w:hAnsiTheme="majorHAnsi" w:cstheme="minorHAnsi"/>
                <w:b/>
                <w:sz w:val="22"/>
                <w:szCs w:val="22"/>
              </w:rPr>
              <w:t>Event</w:t>
            </w:r>
          </w:p>
        </w:tc>
        <w:tc>
          <w:tcPr>
            <w:tcW w:w="3005" w:type="dxa"/>
          </w:tcPr>
          <w:p w14:paraId="55C8F70E" w14:textId="77777777" w:rsidR="002C4189" w:rsidRDefault="00FB7D91" w:rsidP="0052500F">
            <w:pPr>
              <w:keepNext/>
              <w:jc w:val="center"/>
              <w:rPr>
                <w:rFonts w:asciiTheme="majorHAnsi" w:eastAsiaTheme="majorEastAsia" w:hAnsiTheme="majorHAnsi" w:cstheme="minorHAnsi"/>
                <w:b/>
                <w:sz w:val="22"/>
                <w:szCs w:val="22"/>
              </w:rPr>
            </w:pPr>
            <w:r>
              <w:rPr>
                <w:rFonts w:asciiTheme="majorHAnsi" w:eastAsiaTheme="majorEastAsia" w:hAnsiTheme="majorHAnsi" w:cstheme="minorHAnsi"/>
                <w:b/>
                <w:sz w:val="22"/>
                <w:szCs w:val="22"/>
              </w:rPr>
              <w:t>QINLOCK</w:t>
            </w:r>
            <w:r>
              <w:rPr>
                <w:rFonts w:asciiTheme="majorHAnsi" w:eastAsiaTheme="majorEastAsia" w:hAnsiTheme="majorHAnsi" w:cstheme="minorHAnsi"/>
                <w:b/>
                <w:sz w:val="22"/>
                <w:szCs w:val="22"/>
              </w:rPr>
              <w:br/>
              <w:t>(N=85)</w:t>
            </w:r>
          </w:p>
          <w:p w14:paraId="19BACADA" w14:textId="77777777" w:rsidR="002C4189" w:rsidRDefault="00FB7D91" w:rsidP="0052500F">
            <w:pPr>
              <w:keepNext/>
              <w:jc w:val="center"/>
              <w:rPr>
                <w:rFonts w:asciiTheme="majorHAnsi" w:hAnsiTheme="majorHAnsi" w:cstheme="minorHAnsi"/>
                <w:sz w:val="22"/>
                <w:szCs w:val="22"/>
                <w:lang w:val="en"/>
              </w:rPr>
            </w:pPr>
            <w:r>
              <w:rPr>
                <w:rFonts w:asciiTheme="majorHAnsi" w:hAnsiTheme="majorHAnsi" w:cstheme="minorHAnsi"/>
                <w:sz w:val="22"/>
                <w:szCs w:val="22"/>
                <w:lang w:val="en"/>
              </w:rPr>
              <w:t>%</w:t>
            </w:r>
          </w:p>
        </w:tc>
        <w:tc>
          <w:tcPr>
            <w:tcW w:w="3006" w:type="dxa"/>
          </w:tcPr>
          <w:p w14:paraId="2E04BCDA" w14:textId="77777777" w:rsidR="002C4189" w:rsidRDefault="00FB7D91" w:rsidP="0052500F">
            <w:pPr>
              <w:keepNext/>
              <w:jc w:val="center"/>
              <w:rPr>
                <w:rFonts w:asciiTheme="majorHAnsi" w:eastAsiaTheme="majorEastAsia" w:hAnsiTheme="majorHAnsi" w:cstheme="minorHAnsi"/>
                <w:b/>
                <w:sz w:val="22"/>
                <w:szCs w:val="22"/>
              </w:rPr>
            </w:pPr>
            <w:r>
              <w:rPr>
                <w:rFonts w:asciiTheme="majorHAnsi" w:eastAsiaTheme="majorEastAsia" w:hAnsiTheme="majorHAnsi" w:cstheme="minorHAnsi"/>
                <w:b/>
                <w:sz w:val="22"/>
                <w:szCs w:val="22"/>
              </w:rPr>
              <w:t xml:space="preserve">Placebo </w:t>
            </w:r>
            <w:r>
              <w:rPr>
                <w:rFonts w:asciiTheme="majorHAnsi" w:eastAsiaTheme="majorEastAsia" w:hAnsiTheme="majorHAnsi" w:cstheme="minorHAnsi"/>
                <w:b/>
                <w:sz w:val="22"/>
                <w:szCs w:val="22"/>
              </w:rPr>
              <w:br/>
              <w:t>(N=43)</w:t>
            </w:r>
          </w:p>
          <w:p w14:paraId="06CDBEC1" w14:textId="77777777" w:rsidR="002C4189" w:rsidRDefault="00FB7D91" w:rsidP="0052500F">
            <w:pPr>
              <w:keepNext/>
              <w:jc w:val="center"/>
              <w:rPr>
                <w:rFonts w:asciiTheme="majorHAnsi" w:hAnsiTheme="majorHAnsi" w:cstheme="minorHAnsi"/>
                <w:sz w:val="22"/>
                <w:szCs w:val="22"/>
                <w:lang w:val="en"/>
              </w:rPr>
            </w:pPr>
            <w:r>
              <w:rPr>
                <w:rFonts w:asciiTheme="majorHAnsi" w:hAnsiTheme="majorHAnsi" w:cstheme="minorHAnsi"/>
                <w:sz w:val="22"/>
                <w:szCs w:val="22"/>
                <w:lang w:val="en"/>
              </w:rPr>
              <w:t>%</w:t>
            </w:r>
          </w:p>
        </w:tc>
      </w:tr>
      <w:tr w:rsidR="002C4189" w14:paraId="2B0F512B" w14:textId="77777777">
        <w:tc>
          <w:tcPr>
            <w:tcW w:w="3005" w:type="dxa"/>
          </w:tcPr>
          <w:p w14:paraId="285B649F" w14:textId="77777777" w:rsidR="002C4189" w:rsidRDefault="00FB7D91">
            <w:pPr>
              <w:rPr>
                <w:rFonts w:asciiTheme="majorHAnsi" w:hAnsiTheme="majorHAnsi" w:cstheme="minorHAnsi"/>
                <w:sz w:val="22"/>
                <w:szCs w:val="22"/>
                <w:lang w:val="en"/>
              </w:rPr>
            </w:pPr>
            <w:r>
              <w:rPr>
                <w:rFonts w:asciiTheme="majorHAnsi" w:hAnsiTheme="majorHAnsi" w:cstheme="minorHAnsi"/>
                <w:sz w:val="22"/>
                <w:szCs w:val="22"/>
                <w:lang w:val="en"/>
              </w:rPr>
              <w:t>Dose interruption</w:t>
            </w:r>
          </w:p>
        </w:tc>
        <w:tc>
          <w:tcPr>
            <w:tcW w:w="3005" w:type="dxa"/>
            <w:shd w:val="clear" w:color="auto" w:fill="auto"/>
          </w:tcPr>
          <w:p w14:paraId="552FE74D" w14:textId="77777777" w:rsidR="002C4189" w:rsidRPr="002833FC" w:rsidRDefault="00FB7D91">
            <w:pPr>
              <w:jc w:val="center"/>
              <w:rPr>
                <w:rFonts w:asciiTheme="majorHAnsi" w:hAnsiTheme="majorHAnsi" w:cstheme="minorHAnsi"/>
                <w:sz w:val="22"/>
                <w:szCs w:val="22"/>
                <w:lang w:val="en"/>
              </w:rPr>
            </w:pPr>
            <w:r w:rsidRPr="002833FC">
              <w:rPr>
                <w:rFonts w:asciiTheme="majorHAnsi" w:hAnsiTheme="majorHAnsi" w:cstheme="minorHAnsi"/>
                <w:sz w:val="22"/>
                <w:szCs w:val="22"/>
                <w:lang w:val="en"/>
              </w:rPr>
              <w:t>23.5</w:t>
            </w:r>
          </w:p>
        </w:tc>
        <w:tc>
          <w:tcPr>
            <w:tcW w:w="3006" w:type="dxa"/>
            <w:shd w:val="clear" w:color="auto" w:fill="auto"/>
          </w:tcPr>
          <w:p w14:paraId="29C95003" w14:textId="77777777" w:rsidR="002C4189" w:rsidRPr="002833FC" w:rsidRDefault="00FB7D91">
            <w:pPr>
              <w:jc w:val="center"/>
              <w:rPr>
                <w:rFonts w:asciiTheme="majorHAnsi" w:hAnsiTheme="majorHAnsi" w:cstheme="minorHAnsi"/>
                <w:sz w:val="22"/>
                <w:szCs w:val="22"/>
                <w:lang w:val="en"/>
              </w:rPr>
            </w:pPr>
            <w:r w:rsidRPr="002833FC">
              <w:rPr>
                <w:rFonts w:asciiTheme="majorHAnsi" w:hAnsiTheme="majorHAnsi" w:cstheme="minorHAnsi"/>
                <w:sz w:val="22"/>
                <w:szCs w:val="22"/>
                <w:lang w:val="en"/>
              </w:rPr>
              <w:t>20.9</w:t>
            </w:r>
          </w:p>
        </w:tc>
      </w:tr>
      <w:tr w:rsidR="002C4189" w14:paraId="4A5EDA12" w14:textId="77777777">
        <w:tc>
          <w:tcPr>
            <w:tcW w:w="3005" w:type="dxa"/>
          </w:tcPr>
          <w:p w14:paraId="05A99C71" w14:textId="77777777" w:rsidR="002C4189" w:rsidRDefault="00FB7D91">
            <w:pPr>
              <w:rPr>
                <w:rFonts w:asciiTheme="majorHAnsi" w:hAnsiTheme="majorHAnsi" w:cstheme="minorHAnsi"/>
                <w:sz w:val="22"/>
                <w:szCs w:val="22"/>
                <w:lang w:val="en"/>
              </w:rPr>
            </w:pPr>
            <w:r>
              <w:rPr>
                <w:rFonts w:asciiTheme="majorHAnsi" w:hAnsiTheme="majorHAnsi" w:cstheme="minorHAnsi"/>
                <w:sz w:val="22"/>
                <w:szCs w:val="22"/>
                <w:lang w:val="en"/>
              </w:rPr>
              <w:t>Dose reduction</w:t>
            </w:r>
          </w:p>
        </w:tc>
        <w:tc>
          <w:tcPr>
            <w:tcW w:w="3005" w:type="dxa"/>
          </w:tcPr>
          <w:p w14:paraId="56E348E8" w14:textId="77777777" w:rsidR="002C4189" w:rsidRPr="002833FC" w:rsidRDefault="00FB7D91">
            <w:pPr>
              <w:jc w:val="center"/>
              <w:rPr>
                <w:rFonts w:asciiTheme="majorHAnsi" w:hAnsiTheme="majorHAnsi" w:cstheme="minorHAnsi"/>
                <w:sz w:val="22"/>
                <w:szCs w:val="22"/>
                <w:lang w:val="en"/>
              </w:rPr>
            </w:pPr>
            <w:r w:rsidRPr="002833FC">
              <w:rPr>
                <w:rFonts w:asciiTheme="majorHAnsi" w:hAnsiTheme="majorHAnsi" w:cstheme="minorHAnsi"/>
                <w:sz w:val="22"/>
                <w:szCs w:val="22"/>
                <w:lang w:val="en"/>
              </w:rPr>
              <w:t>7.1</w:t>
            </w:r>
          </w:p>
        </w:tc>
        <w:tc>
          <w:tcPr>
            <w:tcW w:w="3006" w:type="dxa"/>
          </w:tcPr>
          <w:p w14:paraId="6870CC69" w14:textId="77777777" w:rsidR="002C4189" w:rsidRPr="002833FC" w:rsidRDefault="00FB7D91">
            <w:pPr>
              <w:jc w:val="center"/>
              <w:rPr>
                <w:rFonts w:asciiTheme="majorHAnsi" w:hAnsiTheme="majorHAnsi" w:cstheme="minorHAnsi"/>
                <w:sz w:val="22"/>
                <w:szCs w:val="22"/>
                <w:lang w:val="en"/>
              </w:rPr>
            </w:pPr>
            <w:r w:rsidRPr="002833FC">
              <w:rPr>
                <w:rFonts w:asciiTheme="majorHAnsi" w:hAnsiTheme="majorHAnsi" w:cstheme="minorHAnsi"/>
                <w:sz w:val="22"/>
                <w:szCs w:val="22"/>
                <w:lang w:val="en"/>
              </w:rPr>
              <w:t>2.3</w:t>
            </w:r>
          </w:p>
        </w:tc>
      </w:tr>
      <w:tr w:rsidR="002C4189" w14:paraId="28E217D9" w14:textId="77777777">
        <w:tc>
          <w:tcPr>
            <w:tcW w:w="3005" w:type="dxa"/>
          </w:tcPr>
          <w:p w14:paraId="33E0BD08" w14:textId="77777777" w:rsidR="002C4189" w:rsidRDefault="00FB7D91">
            <w:pPr>
              <w:rPr>
                <w:rFonts w:asciiTheme="majorHAnsi" w:hAnsiTheme="majorHAnsi" w:cstheme="minorHAnsi"/>
                <w:sz w:val="22"/>
                <w:szCs w:val="22"/>
                <w:lang w:val="en"/>
              </w:rPr>
            </w:pPr>
            <w:r>
              <w:rPr>
                <w:rFonts w:asciiTheme="majorHAnsi" w:hAnsiTheme="majorHAnsi" w:cstheme="minorHAnsi"/>
                <w:sz w:val="22"/>
                <w:szCs w:val="22"/>
                <w:lang w:val="en"/>
              </w:rPr>
              <w:t>Treatment discontinuation</w:t>
            </w:r>
          </w:p>
        </w:tc>
        <w:tc>
          <w:tcPr>
            <w:tcW w:w="3005" w:type="dxa"/>
          </w:tcPr>
          <w:p w14:paraId="4FC0A33D" w14:textId="77777777" w:rsidR="002C4189" w:rsidRPr="002833FC" w:rsidRDefault="00FB7D91">
            <w:pPr>
              <w:jc w:val="center"/>
              <w:rPr>
                <w:rFonts w:asciiTheme="majorHAnsi" w:hAnsiTheme="majorHAnsi" w:cstheme="minorHAnsi"/>
                <w:sz w:val="22"/>
                <w:szCs w:val="22"/>
                <w:lang w:val="en"/>
              </w:rPr>
            </w:pPr>
            <w:r w:rsidRPr="002833FC">
              <w:rPr>
                <w:rFonts w:asciiTheme="majorHAnsi" w:hAnsiTheme="majorHAnsi" w:cstheme="minorHAnsi"/>
                <w:sz w:val="22"/>
                <w:szCs w:val="22"/>
                <w:lang w:val="en"/>
              </w:rPr>
              <w:t>8.2</w:t>
            </w:r>
          </w:p>
        </w:tc>
        <w:tc>
          <w:tcPr>
            <w:tcW w:w="3006" w:type="dxa"/>
          </w:tcPr>
          <w:p w14:paraId="2C433201" w14:textId="77777777" w:rsidR="002C4189" w:rsidRPr="002833FC" w:rsidRDefault="00FB7D91">
            <w:pPr>
              <w:jc w:val="center"/>
              <w:rPr>
                <w:rFonts w:asciiTheme="majorHAnsi" w:hAnsiTheme="majorHAnsi" w:cstheme="minorHAnsi"/>
                <w:sz w:val="22"/>
                <w:szCs w:val="22"/>
                <w:lang w:val="en"/>
              </w:rPr>
            </w:pPr>
            <w:r w:rsidRPr="002833FC">
              <w:rPr>
                <w:rFonts w:asciiTheme="majorHAnsi" w:hAnsiTheme="majorHAnsi" w:cstheme="minorHAnsi"/>
                <w:sz w:val="22"/>
                <w:szCs w:val="22"/>
                <w:lang w:val="en"/>
              </w:rPr>
              <w:t>11.6</w:t>
            </w:r>
          </w:p>
        </w:tc>
      </w:tr>
    </w:tbl>
    <w:p w14:paraId="5FF8BC7D" w14:textId="77777777" w:rsidR="002C4189" w:rsidRPr="00F92162" w:rsidRDefault="00FB7D91" w:rsidP="00F92162">
      <w:pPr>
        <w:pStyle w:val="Heading3"/>
        <w:spacing w:before="0" w:after="120"/>
        <w:ind w:left="0"/>
        <w:rPr>
          <w:b w:val="0"/>
        </w:rPr>
      </w:pPr>
      <w:r w:rsidRPr="00F92162">
        <w:lastRenderedPageBreak/>
        <w:t>Reporting suspected adverse effects</w:t>
      </w:r>
    </w:p>
    <w:p w14:paraId="6463ECF0" w14:textId="7FBBE4D0" w:rsidR="002C4189" w:rsidRDefault="00FB7D91">
      <w:pPr>
        <w:rPr>
          <w:rFonts w:asciiTheme="majorHAnsi" w:hAnsiTheme="majorHAnsi" w:cstheme="minorHAnsi"/>
        </w:rPr>
      </w:pPr>
      <w:r>
        <w:rPr>
          <w:rFonts w:asciiTheme="majorHAnsi" w:hAnsiTheme="majorHAnsi" w:cstheme="minorHAnsi"/>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9" w:history="1">
        <w:r>
          <w:rPr>
            <w:rStyle w:val="Hyperlink"/>
            <w:rFonts w:asciiTheme="majorHAnsi" w:hAnsiTheme="majorHAnsi" w:cstheme="minorHAnsi"/>
            <w:lang w:val="en"/>
          </w:rPr>
          <w:t>www.tga.gov.au/reporting-problems</w:t>
        </w:r>
      </w:hyperlink>
      <w:r>
        <w:rPr>
          <w:rFonts w:asciiTheme="majorHAnsi" w:hAnsiTheme="majorHAnsi" w:cstheme="minorHAnsi"/>
          <w:lang w:val="en"/>
        </w:rPr>
        <w:t>.</w:t>
      </w:r>
    </w:p>
    <w:p w14:paraId="688591BF" w14:textId="77777777" w:rsidR="002C4189" w:rsidRPr="00F92162" w:rsidRDefault="00FB7D91" w:rsidP="00F92162">
      <w:pPr>
        <w:pStyle w:val="Heading2"/>
        <w:spacing w:before="0" w:after="120"/>
        <w:rPr>
          <w:lang w:val="en-US"/>
        </w:rPr>
      </w:pPr>
      <w:r w:rsidRPr="00F92162">
        <w:rPr>
          <w:lang w:val="en-US"/>
        </w:rPr>
        <w:t>Overdose</w:t>
      </w:r>
    </w:p>
    <w:p w14:paraId="67352F11" w14:textId="52375171" w:rsidR="002C4189" w:rsidRDefault="00FB7D91">
      <w:pPr>
        <w:rPr>
          <w:rFonts w:asciiTheme="majorHAnsi" w:hAnsiTheme="majorHAnsi" w:cstheme="minorHAnsi"/>
          <w:lang w:val="en"/>
        </w:rPr>
      </w:pPr>
      <w:r w:rsidRPr="004E2441">
        <w:rPr>
          <w:rFonts w:asciiTheme="majorHAnsi" w:hAnsiTheme="majorHAnsi" w:cstheme="minorHAnsi"/>
          <w:lang w:val="en"/>
        </w:rPr>
        <w:t>There is no known specific antidote for QINLOCK overdose. In the event of suspected overdose, interrupt QINLOCK, undertake general supportive measures, and observe until clinical stabilisation.</w:t>
      </w:r>
    </w:p>
    <w:p w14:paraId="7E5B817A" w14:textId="77777777" w:rsidR="002C4189" w:rsidRDefault="00FB7D91">
      <w:pPr>
        <w:rPr>
          <w:rFonts w:asciiTheme="majorHAnsi" w:hAnsiTheme="majorHAnsi" w:cstheme="minorHAnsi"/>
        </w:rPr>
      </w:pPr>
      <w:r>
        <w:rPr>
          <w:rFonts w:asciiTheme="majorHAnsi" w:hAnsiTheme="majorHAnsi" w:cstheme="minorHAnsi"/>
          <w:lang w:val="en"/>
        </w:rPr>
        <w:t>For information on the management of overdose, contact the Poisons Information Centre on 13 11 26 (Australia).</w:t>
      </w:r>
    </w:p>
    <w:p w14:paraId="17833184" w14:textId="77777777" w:rsidR="002C4189" w:rsidRDefault="00FB7D91">
      <w:pPr>
        <w:pStyle w:val="Heading1"/>
        <w:spacing w:before="0" w:after="120"/>
        <w:rPr>
          <w:rFonts w:cstheme="minorHAnsi"/>
          <w:lang w:val="en-US"/>
        </w:rPr>
      </w:pPr>
      <w:r>
        <w:rPr>
          <w:rFonts w:cstheme="minorHAnsi"/>
          <w:lang w:val="en-US"/>
        </w:rPr>
        <w:t>Pharmacological properties</w:t>
      </w:r>
    </w:p>
    <w:p w14:paraId="1F0F42BD" w14:textId="77777777" w:rsidR="002C4189" w:rsidRDefault="00FB7D91">
      <w:pPr>
        <w:pStyle w:val="Heading2"/>
        <w:spacing w:before="0" w:after="120"/>
        <w:rPr>
          <w:rFonts w:cstheme="minorHAnsi"/>
          <w:lang w:val="en-US"/>
        </w:rPr>
      </w:pPr>
      <w:r>
        <w:rPr>
          <w:rFonts w:cstheme="minorHAnsi"/>
          <w:lang w:val="en-US"/>
        </w:rPr>
        <w:t xml:space="preserve">Pharmacodynamic properties </w:t>
      </w:r>
    </w:p>
    <w:p w14:paraId="277FFF77" w14:textId="77777777" w:rsidR="002C4189" w:rsidRDefault="00FB7D91">
      <w:pPr>
        <w:pStyle w:val="Heading3"/>
        <w:spacing w:before="0" w:after="120"/>
        <w:ind w:left="0"/>
        <w:rPr>
          <w:rFonts w:cstheme="minorHAnsi"/>
        </w:rPr>
      </w:pPr>
      <w:r>
        <w:rPr>
          <w:rFonts w:cstheme="minorHAnsi"/>
        </w:rPr>
        <w:t>Mechanism of action</w:t>
      </w:r>
    </w:p>
    <w:p w14:paraId="035F2110" w14:textId="2F3D9ACF" w:rsidR="00F0606C" w:rsidRDefault="00FB7D91" w:rsidP="000A706A">
      <w:pPr>
        <w:pStyle w:val="BodyText"/>
        <w:spacing w:before="101"/>
        <w:ind w:left="0"/>
        <w:rPr>
          <w:rFonts w:asciiTheme="majorHAnsi" w:eastAsiaTheme="majorEastAsia" w:hAnsiTheme="majorHAnsi" w:cstheme="minorHAnsi"/>
          <w:b/>
          <w:bCs/>
          <w:i/>
          <w:iCs/>
          <w:lang w:val="en-US" w:eastAsia="en-US" w:bidi="ar-SA"/>
        </w:rPr>
      </w:pPr>
      <w:r w:rsidRPr="00F0606C">
        <w:rPr>
          <w:rFonts w:asciiTheme="majorHAnsi" w:eastAsiaTheme="majorEastAsia" w:hAnsiTheme="majorHAnsi" w:cstheme="minorHAnsi"/>
        </w:rPr>
        <w:t xml:space="preserve">Ripretinib is a switch-control tyrosine kinase inhibitor </w:t>
      </w:r>
      <w:r w:rsidR="00481C3C" w:rsidRPr="00590419">
        <w:rPr>
          <w:rFonts w:asciiTheme="majorHAnsi" w:eastAsiaTheme="majorEastAsia" w:hAnsiTheme="majorHAnsi" w:cstheme="minorHAnsi"/>
        </w:rPr>
        <w:t>with</w:t>
      </w:r>
      <w:r w:rsidR="000A706A" w:rsidRPr="00590419">
        <w:rPr>
          <w:rStyle w:val="CommentReference"/>
        </w:rPr>
        <w:t xml:space="preserve"> </w:t>
      </w:r>
      <w:r w:rsidRPr="00F0606C">
        <w:rPr>
          <w:rFonts w:asciiTheme="majorHAnsi" w:eastAsiaTheme="majorEastAsia" w:hAnsiTheme="majorHAnsi" w:cstheme="minorHAnsi"/>
        </w:rPr>
        <w:t>a dual mechanism of action. Ripretinib bin</w:t>
      </w:r>
      <w:r w:rsidR="00E601D9" w:rsidRPr="00F0606C">
        <w:rPr>
          <w:rFonts w:asciiTheme="majorHAnsi" w:eastAsiaTheme="majorEastAsia" w:hAnsiTheme="majorHAnsi" w:cstheme="minorHAnsi"/>
        </w:rPr>
        <w:t>d</w:t>
      </w:r>
      <w:r w:rsidR="000A706A" w:rsidRPr="00590419">
        <w:rPr>
          <w:rFonts w:asciiTheme="majorHAnsi" w:eastAsiaTheme="majorEastAsia" w:hAnsiTheme="majorHAnsi" w:cstheme="minorHAnsi"/>
        </w:rPr>
        <w:t xml:space="preserve">s </w:t>
      </w:r>
      <w:r w:rsidR="000A706A" w:rsidRPr="00F0606C">
        <w:rPr>
          <w:rFonts w:asciiTheme="majorHAnsi" w:eastAsiaTheme="majorEastAsia" w:hAnsiTheme="majorHAnsi" w:cstheme="minorHAnsi"/>
        </w:rPr>
        <w:t xml:space="preserve">to both the switch pocket </w:t>
      </w:r>
      <w:r w:rsidR="000A706A" w:rsidRPr="00590419">
        <w:rPr>
          <w:rFonts w:ascii="Times New Roman" w:hAnsi="Times New Roman" w:cs="Times New Roman"/>
        </w:rPr>
        <w:t xml:space="preserve">and the activation loop </w:t>
      </w:r>
      <w:r w:rsidR="000A706A" w:rsidRPr="00F0606C">
        <w:rPr>
          <w:rFonts w:ascii="Times New Roman" w:hAnsi="Times New Roman" w:cs="Times New Roman"/>
        </w:rPr>
        <w:t xml:space="preserve">to lock the kinase in the inactive state, preventing downstream signalling and cell proliferation. </w:t>
      </w:r>
      <w:r w:rsidRPr="00F0606C">
        <w:rPr>
          <w:rFonts w:asciiTheme="majorHAnsi" w:eastAsiaTheme="majorEastAsia" w:hAnsiTheme="majorHAnsi" w:cstheme="minorHAnsi"/>
        </w:rPr>
        <w:t>This dual mechanism of action provides broad inhibition of KIT and PDGFRA kinase</w:t>
      </w:r>
      <w:r w:rsidR="00BF0B22" w:rsidRPr="00F0606C">
        <w:rPr>
          <w:rFonts w:asciiTheme="majorHAnsi" w:eastAsiaTheme="majorEastAsia" w:hAnsiTheme="majorHAnsi" w:cstheme="minorHAnsi"/>
        </w:rPr>
        <w:t xml:space="preserve"> </w:t>
      </w:r>
      <w:r w:rsidRPr="00F0606C">
        <w:rPr>
          <w:rFonts w:asciiTheme="majorHAnsi" w:eastAsiaTheme="majorEastAsia" w:hAnsiTheme="majorHAnsi" w:cstheme="minorHAnsi"/>
        </w:rPr>
        <w:t xml:space="preserve">activity, including wild type and multiple primary and secondary mutations. Ripretinib also inhibits other kinases </w:t>
      </w:r>
      <w:r w:rsidRPr="00F0606C">
        <w:rPr>
          <w:rFonts w:asciiTheme="majorHAnsi" w:eastAsiaTheme="majorEastAsia" w:hAnsiTheme="majorHAnsi" w:cstheme="minorHAnsi"/>
          <w:i/>
          <w:iCs/>
        </w:rPr>
        <w:t>in vitro</w:t>
      </w:r>
      <w:r w:rsidRPr="00F0606C">
        <w:rPr>
          <w:rFonts w:asciiTheme="majorHAnsi" w:eastAsiaTheme="majorEastAsia" w:hAnsiTheme="majorHAnsi" w:cstheme="minorHAnsi"/>
        </w:rPr>
        <w:t xml:space="preserve">, such </w:t>
      </w:r>
      <w:r w:rsidR="00BF7CA7" w:rsidRPr="00F0606C">
        <w:rPr>
          <w:rFonts w:asciiTheme="majorHAnsi" w:eastAsiaTheme="majorEastAsia" w:hAnsiTheme="majorHAnsi" w:cstheme="minorHAnsi"/>
        </w:rPr>
        <w:t>as</w:t>
      </w:r>
      <w:r w:rsidR="00F0606C" w:rsidRPr="00590419">
        <w:rPr>
          <w:rFonts w:asciiTheme="majorHAnsi" w:eastAsiaTheme="majorEastAsia" w:hAnsiTheme="majorHAnsi" w:cstheme="minorHAnsi"/>
        </w:rPr>
        <w:t xml:space="preserve"> </w:t>
      </w:r>
      <w:r w:rsidRPr="00590419">
        <w:rPr>
          <w:rFonts w:asciiTheme="majorHAnsi" w:eastAsiaTheme="majorEastAsia" w:hAnsiTheme="majorHAnsi" w:cstheme="minorHAnsi"/>
        </w:rPr>
        <w:t>PDGFRB,</w:t>
      </w:r>
      <w:r w:rsidR="00617807" w:rsidRPr="00590419">
        <w:rPr>
          <w:rFonts w:asciiTheme="majorHAnsi" w:eastAsiaTheme="majorEastAsia" w:hAnsiTheme="majorHAnsi" w:cstheme="minorHAnsi"/>
        </w:rPr>
        <w:t xml:space="preserve"> </w:t>
      </w:r>
      <w:r w:rsidRPr="00590419">
        <w:rPr>
          <w:rFonts w:asciiTheme="majorHAnsi" w:eastAsiaTheme="majorEastAsia" w:hAnsiTheme="majorHAnsi" w:cstheme="minorHAnsi"/>
        </w:rPr>
        <w:t>TIE2, VEGFR2, and</w:t>
      </w:r>
      <w:r w:rsidR="00BF7CA7" w:rsidRPr="00590419">
        <w:rPr>
          <w:rFonts w:asciiTheme="majorHAnsi" w:eastAsiaTheme="majorEastAsia" w:hAnsiTheme="majorHAnsi" w:cstheme="minorHAnsi"/>
        </w:rPr>
        <w:t xml:space="preserve"> </w:t>
      </w:r>
      <w:r w:rsidRPr="00590419">
        <w:rPr>
          <w:rFonts w:asciiTheme="majorHAnsi" w:eastAsiaTheme="majorEastAsia" w:hAnsiTheme="majorHAnsi" w:cstheme="minorHAnsi"/>
        </w:rPr>
        <w:t>BRAF</w:t>
      </w:r>
      <w:r w:rsidRPr="00F0606C">
        <w:rPr>
          <w:rFonts w:asciiTheme="majorHAnsi" w:eastAsiaTheme="majorEastAsia" w:hAnsiTheme="majorHAnsi" w:cstheme="minorHAnsi"/>
        </w:rPr>
        <w:t>.</w:t>
      </w:r>
    </w:p>
    <w:p w14:paraId="7478318C" w14:textId="61F80831" w:rsidR="002C4189" w:rsidRPr="00590419" w:rsidRDefault="002C4189" w:rsidP="000A706A">
      <w:pPr>
        <w:pStyle w:val="BodyText"/>
        <w:spacing w:before="101"/>
        <w:ind w:left="0"/>
        <w:rPr>
          <w:rFonts w:asciiTheme="majorHAnsi" w:eastAsiaTheme="majorEastAsia" w:hAnsiTheme="majorHAnsi" w:cstheme="minorHAnsi"/>
          <w:b/>
          <w:bCs/>
          <w:i/>
          <w:iCs/>
          <w:lang w:val="en-US" w:eastAsia="en-US" w:bidi="ar-SA"/>
        </w:rPr>
      </w:pPr>
    </w:p>
    <w:p w14:paraId="4211C657" w14:textId="77777777" w:rsidR="002C4189" w:rsidRDefault="00FB7D91">
      <w:pPr>
        <w:rPr>
          <w:rFonts w:asciiTheme="majorHAnsi" w:eastAsiaTheme="majorEastAsia" w:hAnsiTheme="majorHAnsi" w:cstheme="minorHAnsi"/>
          <w:b/>
          <w:bCs/>
          <w:i/>
          <w:iCs/>
          <w:lang w:val="en-US"/>
        </w:rPr>
      </w:pPr>
      <w:r>
        <w:rPr>
          <w:rFonts w:asciiTheme="majorHAnsi" w:eastAsiaTheme="majorEastAsia" w:hAnsiTheme="majorHAnsi" w:cstheme="minorHAnsi"/>
          <w:b/>
          <w:bCs/>
          <w:i/>
          <w:iCs/>
          <w:lang w:val="en-US"/>
        </w:rPr>
        <w:t>Cardiac Electrophysiology</w:t>
      </w:r>
    </w:p>
    <w:p w14:paraId="3EF2C276" w14:textId="77777777" w:rsidR="002C4189" w:rsidRPr="00B14044" w:rsidRDefault="00FB7D91">
      <w:pPr>
        <w:rPr>
          <w:rFonts w:asciiTheme="majorHAnsi" w:eastAsiaTheme="majorEastAsia" w:hAnsiTheme="majorHAnsi" w:cstheme="minorHAnsi"/>
        </w:rPr>
      </w:pPr>
      <w:r w:rsidRPr="00B14044">
        <w:rPr>
          <w:rFonts w:asciiTheme="majorHAnsi" w:eastAsiaTheme="majorEastAsia" w:hAnsiTheme="majorHAnsi" w:cstheme="minorHAnsi"/>
        </w:rPr>
        <w:t>Following treatment with QINLOCK 150 mg once daily, no clinically meaningful QT interval prolongation was observed.</w:t>
      </w:r>
    </w:p>
    <w:p w14:paraId="021AEDF5" w14:textId="77777777" w:rsidR="002C4189" w:rsidRDefault="00FB7D91">
      <w:pPr>
        <w:pStyle w:val="Heading3"/>
        <w:spacing w:before="0" w:after="120"/>
        <w:ind w:left="0"/>
        <w:rPr>
          <w:rFonts w:cstheme="minorHAnsi"/>
          <w:lang w:val="en-US"/>
        </w:rPr>
      </w:pPr>
      <w:r>
        <w:rPr>
          <w:rFonts w:cstheme="minorHAnsi"/>
        </w:rPr>
        <w:t>Clinical</w:t>
      </w:r>
      <w:r>
        <w:rPr>
          <w:rFonts w:cstheme="minorHAnsi"/>
          <w:lang w:val="en-US"/>
        </w:rPr>
        <w:t xml:space="preserve"> trials</w:t>
      </w:r>
    </w:p>
    <w:p w14:paraId="07D28E9F" w14:textId="42F80B64" w:rsidR="00FD5D9F" w:rsidRPr="00590419" w:rsidRDefault="00E67443" w:rsidP="00E67443">
      <w:pPr>
        <w:rPr>
          <w:rFonts w:asciiTheme="majorHAnsi" w:eastAsiaTheme="majorEastAsia" w:hAnsiTheme="majorHAnsi" w:cstheme="minorHAnsi"/>
        </w:rPr>
      </w:pPr>
      <w:r w:rsidRPr="00590419">
        <w:rPr>
          <w:rFonts w:asciiTheme="majorHAnsi" w:eastAsiaTheme="majorEastAsia" w:hAnsiTheme="majorHAnsi" w:cstheme="minorHAnsi"/>
        </w:rPr>
        <w:t>The efficacy of QINLOCK was evaluated in INVICTUS, an international, multi-cent</w:t>
      </w:r>
      <w:r w:rsidR="002528D8" w:rsidRPr="00590419">
        <w:rPr>
          <w:rFonts w:asciiTheme="majorHAnsi" w:eastAsiaTheme="majorEastAsia" w:hAnsiTheme="majorHAnsi" w:cstheme="minorHAnsi"/>
        </w:rPr>
        <w:t>re</w:t>
      </w:r>
      <w:r w:rsidRPr="00590419">
        <w:rPr>
          <w:rFonts w:asciiTheme="majorHAnsi" w:eastAsiaTheme="majorEastAsia" w:hAnsiTheme="majorHAnsi" w:cstheme="minorHAnsi"/>
        </w:rPr>
        <w:t>, randomi</w:t>
      </w:r>
      <w:r w:rsidR="002528D8" w:rsidRPr="00590419">
        <w:rPr>
          <w:rFonts w:asciiTheme="majorHAnsi" w:eastAsiaTheme="majorEastAsia" w:hAnsiTheme="majorHAnsi" w:cstheme="minorHAnsi"/>
        </w:rPr>
        <w:t>s</w:t>
      </w:r>
      <w:r w:rsidRPr="00590419">
        <w:rPr>
          <w:rFonts w:asciiTheme="majorHAnsi" w:eastAsiaTheme="majorEastAsia" w:hAnsiTheme="majorHAnsi" w:cstheme="minorHAnsi"/>
        </w:rPr>
        <w:t>ed (2:1), double-blind, placebo-controlled trial. Eligible patients had unresectable, locally advanced or metastatic gastrointestinal stromal tumour (GIST) and had received prior treatment with imatinib, sunitinib, and regorafenib. Randomization was stratified by prior lines of therapy (3 versus ≥4) and Eastern Cooperative Oncology Group (ECOG) performance status (0 versus 1 or 2). Patients received QINLOCK 150 mg or placebo orally once daily until disease progression or unacceptable toxicity. Tumour response assessments were performed every 28 days</w:t>
      </w:r>
      <w:r w:rsidR="00502555" w:rsidRPr="00590419">
        <w:rPr>
          <w:rFonts w:asciiTheme="majorHAnsi" w:eastAsiaTheme="majorEastAsia" w:hAnsiTheme="majorHAnsi" w:cstheme="minorHAnsi"/>
        </w:rPr>
        <w:t xml:space="preserve"> through</w:t>
      </w:r>
      <w:r w:rsidRPr="00590419">
        <w:rPr>
          <w:rFonts w:asciiTheme="majorHAnsi" w:eastAsiaTheme="majorEastAsia" w:hAnsiTheme="majorHAnsi" w:cstheme="minorHAnsi"/>
        </w:rPr>
        <w:t xml:space="preserve"> for the first 4 months and then every 56 days thereafter.</w:t>
      </w:r>
    </w:p>
    <w:p w14:paraId="23594E10" w14:textId="40D9E487" w:rsidR="00E67443" w:rsidRPr="00590419" w:rsidRDefault="00E67443" w:rsidP="00E67443">
      <w:pPr>
        <w:rPr>
          <w:rFonts w:asciiTheme="majorHAnsi" w:eastAsiaTheme="majorEastAsia" w:hAnsiTheme="majorHAnsi" w:cstheme="minorHAnsi"/>
        </w:rPr>
      </w:pPr>
      <w:r w:rsidRPr="00590419">
        <w:rPr>
          <w:rFonts w:asciiTheme="majorHAnsi" w:eastAsiaTheme="majorEastAsia" w:hAnsiTheme="majorHAnsi" w:cstheme="minorHAnsi"/>
        </w:rPr>
        <w:t>The major efficacy outcome measure was progression-free survival (PFS) based on disease assessment by blinded independent central review (BICR) using modified RECIST 1.1 criteria, in which lymph nodes and bone lesions were not target lesions and a progressively growing new tumour nodule within a pre-existing tumour mass must meet specific criteria to be considered unequivocal evidence of progression. Additional efficacy outcome measures</w:t>
      </w:r>
      <w:r w:rsidRPr="00590419">
        <w:t xml:space="preserve"> </w:t>
      </w:r>
      <w:r w:rsidRPr="00590419">
        <w:rPr>
          <w:rFonts w:asciiTheme="majorHAnsi" w:eastAsiaTheme="majorEastAsia" w:hAnsiTheme="majorHAnsi" w:cstheme="minorHAnsi"/>
        </w:rPr>
        <w:t xml:space="preserve">included objective </w:t>
      </w:r>
      <w:r w:rsidRPr="00590419">
        <w:rPr>
          <w:rFonts w:asciiTheme="majorHAnsi" w:eastAsiaTheme="majorEastAsia" w:hAnsiTheme="majorHAnsi" w:cstheme="minorHAnsi"/>
        </w:rPr>
        <w:lastRenderedPageBreak/>
        <w:t>response rate (ORR) by BICR and overall survival (OS). Patients randomi</w:t>
      </w:r>
      <w:r w:rsidR="00FD340D" w:rsidRPr="00590419">
        <w:rPr>
          <w:rFonts w:asciiTheme="majorHAnsi" w:eastAsiaTheme="majorEastAsia" w:hAnsiTheme="majorHAnsi" w:cstheme="minorHAnsi"/>
        </w:rPr>
        <w:t>s</w:t>
      </w:r>
      <w:r w:rsidRPr="00590419">
        <w:rPr>
          <w:rFonts w:asciiTheme="majorHAnsi" w:eastAsiaTheme="majorEastAsia" w:hAnsiTheme="majorHAnsi" w:cstheme="minorHAnsi"/>
        </w:rPr>
        <w:t>ed to receive placebo could be treated with QINLOCK at the time of disease progression.</w:t>
      </w:r>
    </w:p>
    <w:p w14:paraId="341490DB" w14:textId="7170772E" w:rsidR="00E67443" w:rsidRPr="00590419" w:rsidRDefault="00E67443" w:rsidP="00E67443">
      <w:pPr>
        <w:rPr>
          <w:rFonts w:asciiTheme="majorHAnsi" w:eastAsiaTheme="majorEastAsia" w:hAnsiTheme="majorHAnsi" w:cstheme="minorHAnsi"/>
        </w:rPr>
      </w:pPr>
      <w:r w:rsidRPr="00590419">
        <w:rPr>
          <w:rFonts w:asciiTheme="majorHAnsi" w:eastAsiaTheme="majorEastAsia" w:hAnsiTheme="majorHAnsi" w:cstheme="minorHAnsi"/>
        </w:rPr>
        <w:t>A total of 129 patients were randomi</w:t>
      </w:r>
      <w:r w:rsidR="006752A9" w:rsidRPr="00590419">
        <w:rPr>
          <w:rFonts w:asciiTheme="majorHAnsi" w:eastAsiaTheme="majorEastAsia" w:hAnsiTheme="majorHAnsi" w:cstheme="minorHAnsi"/>
        </w:rPr>
        <w:t>s</w:t>
      </w:r>
      <w:r w:rsidRPr="00590419">
        <w:rPr>
          <w:rFonts w:asciiTheme="majorHAnsi" w:eastAsiaTheme="majorEastAsia" w:hAnsiTheme="majorHAnsi" w:cstheme="minorHAnsi"/>
        </w:rPr>
        <w:t>ed, 85 to QINLOCK and 44 to placebo.</w:t>
      </w:r>
    </w:p>
    <w:p w14:paraId="5CE3B858" w14:textId="508940D2" w:rsidR="00E67443" w:rsidRPr="00590419" w:rsidRDefault="00E67443" w:rsidP="00E67443">
      <w:pPr>
        <w:rPr>
          <w:rFonts w:asciiTheme="majorHAnsi" w:eastAsiaTheme="majorEastAsia" w:hAnsiTheme="majorHAnsi" w:cstheme="minorHAnsi"/>
        </w:rPr>
      </w:pPr>
      <w:r w:rsidRPr="00590419">
        <w:rPr>
          <w:rFonts w:asciiTheme="majorHAnsi" w:eastAsiaTheme="majorEastAsia" w:hAnsiTheme="majorHAnsi" w:cstheme="minorHAnsi"/>
        </w:rPr>
        <w:t>Patient characteristics of the intent-to-treat (ITT) population in INVICTUS were median age of 60 years (range: 29 to 83 years), with 39% aged</w:t>
      </w:r>
      <w:r w:rsidR="008E0371" w:rsidRPr="00590419">
        <w:rPr>
          <w:rFonts w:asciiTheme="majorHAnsi" w:eastAsiaTheme="majorEastAsia" w:hAnsiTheme="majorHAnsi" w:cstheme="minorHAnsi"/>
        </w:rPr>
        <w:t xml:space="preserve"> </w:t>
      </w:r>
      <w:r w:rsidR="00C5519C" w:rsidRPr="00590419">
        <w:rPr>
          <w:rFonts w:asciiTheme="majorHAnsi" w:eastAsiaTheme="majorEastAsia" w:hAnsiTheme="majorHAnsi" w:cstheme="minorHAnsi"/>
        </w:rPr>
        <w:t>≥</w:t>
      </w:r>
      <w:r w:rsidRPr="00590419">
        <w:rPr>
          <w:rFonts w:asciiTheme="majorHAnsi" w:eastAsiaTheme="majorEastAsia" w:hAnsiTheme="majorHAnsi" w:cstheme="minorHAnsi"/>
        </w:rPr>
        <w:t>65 years; 57% were male; 75% were White; and 92% had an ECOG performance status of 0 or 1. Sixty-three percent (63%) of patients received 3 prior therapies and 37% received 4 or more prior therapies. Sixty-six percent (66%) of patients randomi</w:t>
      </w:r>
      <w:r w:rsidR="006752A9" w:rsidRPr="00590419">
        <w:rPr>
          <w:rFonts w:asciiTheme="majorHAnsi" w:eastAsiaTheme="majorEastAsia" w:hAnsiTheme="majorHAnsi" w:cstheme="minorHAnsi"/>
        </w:rPr>
        <w:t>s</w:t>
      </w:r>
      <w:r w:rsidRPr="00590419">
        <w:rPr>
          <w:rFonts w:asciiTheme="majorHAnsi" w:eastAsiaTheme="majorEastAsia" w:hAnsiTheme="majorHAnsi" w:cstheme="minorHAnsi"/>
        </w:rPr>
        <w:t>ed to placebo switched to QINLOCK after disease progression.</w:t>
      </w:r>
    </w:p>
    <w:p w14:paraId="43911683" w14:textId="087D4DE1" w:rsidR="00892F8C" w:rsidRDefault="00FB7D91" w:rsidP="00892F8C">
      <w:pPr>
        <w:rPr>
          <w:rFonts w:asciiTheme="majorHAnsi" w:eastAsiaTheme="majorEastAsia" w:hAnsiTheme="majorHAnsi" w:cstheme="minorHAnsi"/>
        </w:rPr>
      </w:pPr>
      <w:r>
        <w:rPr>
          <w:rFonts w:asciiTheme="majorHAnsi" w:eastAsiaTheme="majorEastAsia" w:hAnsiTheme="majorHAnsi" w:cstheme="minorHAnsi"/>
        </w:rPr>
        <w:t>Efficacy results from INVICTUS are summarised in</w:t>
      </w:r>
      <w:r w:rsidR="0034268B">
        <w:rPr>
          <w:rFonts w:asciiTheme="majorHAnsi" w:eastAsiaTheme="majorEastAsia" w:hAnsiTheme="majorHAnsi" w:cstheme="minorHAnsi"/>
        </w:rPr>
        <w:t xml:space="preserve"> </w:t>
      </w:r>
      <w:r w:rsidR="004E4837">
        <w:rPr>
          <w:rFonts w:asciiTheme="majorHAnsi" w:eastAsiaTheme="majorEastAsia" w:hAnsiTheme="majorHAnsi" w:cstheme="minorHAnsi"/>
        </w:rPr>
        <w:t xml:space="preserve">Table </w:t>
      </w:r>
      <w:r w:rsidR="00971B03" w:rsidRPr="00590419">
        <w:rPr>
          <w:rStyle w:val="Hyperlink"/>
          <w:rFonts w:asciiTheme="majorHAnsi" w:hAnsiTheme="majorHAnsi"/>
          <w:u w:val="none"/>
          <w:lang w:val="en"/>
        </w:rPr>
        <w:t>5</w:t>
      </w:r>
      <w:r>
        <w:rPr>
          <w:rFonts w:asciiTheme="majorHAnsi" w:eastAsiaTheme="majorEastAsia" w:hAnsiTheme="majorHAnsi" w:cstheme="minorHAnsi"/>
        </w:rPr>
        <w:t>.</w:t>
      </w:r>
    </w:p>
    <w:p w14:paraId="719A357F" w14:textId="3F9F3486" w:rsidR="00F75362" w:rsidRPr="00590419" w:rsidRDefault="00F75362" w:rsidP="003C262A">
      <w:pPr>
        <w:ind w:left="900" w:hanging="900"/>
        <w:rPr>
          <w:rFonts w:asciiTheme="majorHAnsi" w:hAnsiTheme="majorHAnsi"/>
          <w:b/>
          <w:bCs/>
        </w:rPr>
      </w:pPr>
      <w:bookmarkStart w:id="14" w:name="_Ref40956433"/>
      <w:r w:rsidRPr="00590419">
        <w:rPr>
          <w:rFonts w:asciiTheme="majorHAnsi" w:hAnsiTheme="majorHAnsi"/>
          <w:b/>
          <w:bCs/>
        </w:rPr>
        <w:t xml:space="preserve">Table </w:t>
      </w:r>
      <w:r w:rsidRPr="00590419">
        <w:rPr>
          <w:rFonts w:asciiTheme="majorHAnsi" w:hAnsiTheme="majorHAnsi"/>
          <w:b/>
          <w:bCs/>
        </w:rPr>
        <w:fldChar w:fldCharType="begin"/>
      </w:r>
      <w:r w:rsidRPr="00590419">
        <w:rPr>
          <w:rFonts w:asciiTheme="majorHAnsi" w:hAnsiTheme="majorHAnsi"/>
          <w:b/>
          <w:bCs/>
        </w:rPr>
        <w:instrText xml:space="preserve"> SEQ Table \* ARABIC </w:instrText>
      </w:r>
      <w:r w:rsidRPr="00590419">
        <w:rPr>
          <w:rFonts w:asciiTheme="majorHAnsi" w:hAnsiTheme="majorHAnsi"/>
          <w:b/>
          <w:bCs/>
        </w:rPr>
        <w:fldChar w:fldCharType="separate"/>
      </w:r>
      <w:r w:rsidR="00C8101D" w:rsidRPr="00590419">
        <w:rPr>
          <w:rFonts w:asciiTheme="majorHAnsi" w:hAnsiTheme="majorHAnsi"/>
          <w:b/>
          <w:bCs/>
          <w:noProof/>
        </w:rPr>
        <w:t>5</w:t>
      </w:r>
      <w:r w:rsidRPr="00590419">
        <w:rPr>
          <w:rFonts w:asciiTheme="majorHAnsi" w:hAnsiTheme="majorHAnsi"/>
          <w:b/>
          <w:bCs/>
        </w:rPr>
        <w:fldChar w:fldCharType="end"/>
      </w:r>
      <w:bookmarkEnd w:id="14"/>
      <w:r w:rsidRPr="00590419">
        <w:rPr>
          <w:rFonts w:asciiTheme="majorHAnsi" w:hAnsiTheme="majorHAnsi"/>
          <w:b/>
          <w:bCs/>
        </w:rPr>
        <w:t>. Efficacy Results of INVICTUS</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2560"/>
        <w:gridCol w:w="2405"/>
      </w:tblGrid>
      <w:tr w:rsidR="00590419" w:rsidRPr="00590419" w14:paraId="117487B3" w14:textId="77777777" w:rsidTr="007D1408">
        <w:trPr>
          <w:trHeight w:val="458"/>
          <w:tblHeader/>
        </w:trPr>
        <w:tc>
          <w:tcPr>
            <w:tcW w:w="2250" w:type="pct"/>
            <w:hideMark/>
          </w:tcPr>
          <w:p w14:paraId="7E7F4EDB" w14:textId="7FA26BFB" w:rsidR="002C4189" w:rsidRPr="00590419" w:rsidRDefault="002C4189">
            <w:pPr>
              <w:rPr>
                <w:rFonts w:asciiTheme="majorHAnsi" w:hAnsiTheme="majorHAnsi"/>
                <w:u w:val="single"/>
                <w:lang w:val="en-GB"/>
              </w:rPr>
            </w:pPr>
          </w:p>
        </w:tc>
        <w:tc>
          <w:tcPr>
            <w:tcW w:w="1418" w:type="pct"/>
            <w:hideMark/>
          </w:tcPr>
          <w:p w14:paraId="750126A2" w14:textId="77777777" w:rsidR="002C4189" w:rsidRPr="004D0771" w:rsidRDefault="00FB7D91">
            <w:pPr>
              <w:jc w:val="center"/>
              <w:rPr>
                <w:rFonts w:asciiTheme="majorHAnsi" w:hAnsiTheme="majorHAnsi"/>
                <w:lang w:val="en-GB"/>
              </w:rPr>
            </w:pPr>
            <w:r w:rsidRPr="004D0771">
              <w:rPr>
                <w:rFonts w:asciiTheme="majorHAnsi" w:hAnsiTheme="majorHAnsi"/>
                <w:b/>
                <w:bCs/>
                <w:lang w:val="en-US"/>
              </w:rPr>
              <w:t>QINLOCK</w:t>
            </w:r>
            <w:r w:rsidRPr="004D0771">
              <w:rPr>
                <w:rFonts w:asciiTheme="majorHAnsi" w:hAnsiTheme="majorHAnsi"/>
                <w:b/>
                <w:bCs/>
                <w:lang w:val="en-US"/>
              </w:rPr>
              <w:br/>
              <w:t>(N=85)</w:t>
            </w:r>
          </w:p>
        </w:tc>
        <w:tc>
          <w:tcPr>
            <w:tcW w:w="1332" w:type="pct"/>
            <w:hideMark/>
          </w:tcPr>
          <w:p w14:paraId="48341774" w14:textId="77777777" w:rsidR="002C4189" w:rsidRPr="004D0771" w:rsidRDefault="00FB7D91">
            <w:pPr>
              <w:jc w:val="center"/>
              <w:rPr>
                <w:rFonts w:asciiTheme="majorHAnsi" w:hAnsiTheme="majorHAnsi"/>
                <w:lang w:val="en-GB"/>
              </w:rPr>
            </w:pPr>
            <w:r w:rsidRPr="004D0771">
              <w:rPr>
                <w:rFonts w:asciiTheme="majorHAnsi" w:hAnsiTheme="majorHAnsi"/>
                <w:b/>
                <w:bCs/>
                <w:lang w:val="en-US"/>
              </w:rPr>
              <w:t>Placebo</w:t>
            </w:r>
            <w:r w:rsidRPr="004D0771">
              <w:rPr>
                <w:rFonts w:asciiTheme="majorHAnsi" w:hAnsiTheme="majorHAnsi"/>
                <w:b/>
                <w:bCs/>
                <w:lang w:val="en-US"/>
              </w:rPr>
              <w:br/>
              <w:t>(N=44)</w:t>
            </w:r>
          </w:p>
        </w:tc>
      </w:tr>
      <w:tr w:rsidR="00590419" w:rsidRPr="00590419" w14:paraId="49FF0541" w14:textId="77777777" w:rsidTr="007D1408">
        <w:trPr>
          <w:trHeight w:val="50"/>
        </w:trPr>
        <w:tc>
          <w:tcPr>
            <w:tcW w:w="5000" w:type="pct"/>
            <w:gridSpan w:val="3"/>
            <w:hideMark/>
          </w:tcPr>
          <w:p w14:paraId="3E86873D" w14:textId="77777777" w:rsidR="002C4189" w:rsidRPr="004D0771" w:rsidRDefault="00FB7D91">
            <w:pPr>
              <w:rPr>
                <w:rFonts w:asciiTheme="majorHAnsi" w:hAnsiTheme="majorHAnsi"/>
                <w:lang w:val="en-GB"/>
              </w:rPr>
            </w:pPr>
            <w:r w:rsidRPr="004D0771">
              <w:rPr>
                <w:rFonts w:asciiTheme="majorHAnsi" w:hAnsiTheme="majorHAnsi"/>
                <w:b/>
                <w:bCs/>
                <w:lang w:val="en-US"/>
              </w:rPr>
              <w:t>Progression-Free Survival (PFS)</w:t>
            </w:r>
            <w:r w:rsidRPr="004D0771">
              <w:rPr>
                <w:rFonts w:asciiTheme="majorHAnsi" w:hAnsiTheme="majorHAnsi"/>
                <w:b/>
                <w:bCs/>
                <w:vertAlign w:val="superscript"/>
                <w:lang w:val="en-US"/>
              </w:rPr>
              <w:t>a</w:t>
            </w:r>
          </w:p>
        </w:tc>
      </w:tr>
      <w:tr w:rsidR="00590419" w:rsidRPr="00590419" w14:paraId="7ABF973F" w14:textId="77777777" w:rsidTr="007F13FF">
        <w:tc>
          <w:tcPr>
            <w:tcW w:w="2250" w:type="pct"/>
            <w:hideMark/>
          </w:tcPr>
          <w:p w14:paraId="57795D23" w14:textId="308EEEA2" w:rsidR="002C4189" w:rsidRPr="004D0771" w:rsidRDefault="00FB7D91">
            <w:pPr>
              <w:rPr>
                <w:rFonts w:asciiTheme="majorHAnsi" w:hAnsiTheme="majorHAnsi"/>
                <w:lang w:val="en-GB"/>
              </w:rPr>
            </w:pPr>
            <w:r w:rsidRPr="004D0771">
              <w:rPr>
                <w:rFonts w:asciiTheme="majorHAnsi" w:hAnsiTheme="majorHAnsi"/>
                <w:lang w:val="en-US"/>
              </w:rPr>
              <w:t>Number of event</w:t>
            </w:r>
            <w:r w:rsidR="00E67443" w:rsidRPr="00590419">
              <w:rPr>
                <w:rFonts w:asciiTheme="majorHAnsi" w:hAnsiTheme="majorHAnsi"/>
                <w:lang w:val="en-US"/>
              </w:rPr>
              <w:t>s</w:t>
            </w:r>
            <w:r w:rsidR="004D0771" w:rsidRPr="00590419">
              <w:rPr>
                <w:rFonts w:asciiTheme="majorHAnsi" w:hAnsiTheme="majorHAnsi"/>
                <w:lang w:val="en-US"/>
              </w:rPr>
              <w:t xml:space="preserve"> </w:t>
            </w:r>
            <w:r w:rsidRPr="004D0771">
              <w:rPr>
                <w:rFonts w:asciiTheme="majorHAnsi" w:hAnsiTheme="majorHAnsi"/>
                <w:lang w:val="en-US"/>
              </w:rPr>
              <w:t>(%)</w:t>
            </w:r>
          </w:p>
        </w:tc>
        <w:tc>
          <w:tcPr>
            <w:tcW w:w="1418" w:type="pct"/>
            <w:vAlign w:val="center"/>
            <w:hideMark/>
          </w:tcPr>
          <w:p w14:paraId="65F6EF57" w14:textId="5AC1D10E" w:rsidR="002C4189" w:rsidRPr="004D0771" w:rsidRDefault="00FB7D91" w:rsidP="007F13FF">
            <w:pPr>
              <w:jc w:val="center"/>
              <w:rPr>
                <w:rFonts w:asciiTheme="majorHAnsi" w:hAnsiTheme="majorHAnsi"/>
                <w:lang w:val="en-GB"/>
              </w:rPr>
            </w:pPr>
            <w:r w:rsidRPr="004D0771">
              <w:rPr>
                <w:rFonts w:asciiTheme="majorHAnsi" w:hAnsiTheme="majorHAnsi"/>
                <w:lang w:val="en-US"/>
              </w:rPr>
              <w:t>51 (60)</w:t>
            </w:r>
          </w:p>
        </w:tc>
        <w:tc>
          <w:tcPr>
            <w:tcW w:w="1332" w:type="pct"/>
            <w:vAlign w:val="center"/>
            <w:hideMark/>
          </w:tcPr>
          <w:p w14:paraId="4D48BE76" w14:textId="587DEC5D" w:rsidR="002C4189" w:rsidRPr="004D0771" w:rsidRDefault="00FB7D91" w:rsidP="007F13FF">
            <w:pPr>
              <w:jc w:val="center"/>
              <w:rPr>
                <w:rFonts w:asciiTheme="majorHAnsi" w:hAnsiTheme="majorHAnsi"/>
                <w:lang w:val="en-GB"/>
              </w:rPr>
            </w:pPr>
            <w:r w:rsidRPr="004D0771">
              <w:rPr>
                <w:rFonts w:asciiTheme="majorHAnsi" w:hAnsiTheme="majorHAnsi"/>
                <w:lang w:val="en-US"/>
              </w:rPr>
              <w:t>37 (84)</w:t>
            </w:r>
          </w:p>
        </w:tc>
      </w:tr>
      <w:tr w:rsidR="00F0606C" w:rsidRPr="00590419" w14:paraId="6DA178F6" w14:textId="77777777" w:rsidTr="007F13FF">
        <w:tc>
          <w:tcPr>
            <w:tcW w:w="2250" w:type="pct"/>
            <w:vAlign w:val="center"/>
          </w:tcPr>
          <w:p w14:paraId="469793DD" w14:textId="463B1986" w:rsidR="00E67443" w:rsidRPr="00590419" w:rsidRDefault="00E67443" w:rsidP="00E67443">
            <w:pPr>
              <w:rPr>
                <w:rFonts w:asciiTheme="majorHAnsi" w:hAnsiTheme="majorHAnsi"/>
                <w:lang w:val="en-US"/>
              </w:rPr>
            </w:pPr>
            <w:r w:rsidRPr="00590419">
              <w:rPr>
                <w:rFonts w:asciiTheme="majorHAnsi" w:hAnsiTheme="majorHAnsi"/>
                <w:lang w:val="en-US"/>
              </w:rPr>
              <w:t xml:space="preserve">         Progressive disease </w:t>
            </w:r>
          </w:p>
        </w:tc>
        <w:tc>
          <w:tcPr>
            <w:tcW w:w="1418" w:type="pct"/>
            <w:vAlign w:val="center"/>
          </w:tcPr>
          <w:p w14:paraId="4010542F" w14:textId="1AC0CDDD" w:rsidR="00E67443" w:rsidRPr="00590419" w:rsidRDefault="00E67443" w:rsidP="007F13FF">
            <w:pPr>
              <w:jc w:val="center"/>
              <w:rPr>
                <w:rFonts w:asciiTheme="majorHAnsi" w:hAnsiTheme="majorHAnsi"/>
                <w:lang w:val="en-US"/>
              </w:rPr>
            </w:pPr>
            <w:r w:rsidRPr="00590419">
              <w:rPr>
                <w:rFonts w:asciiTheme="majorHAnsi" w:hAnsiTheme="majorHAnsi"/>
                <w:lang w:val="en-US"/>
              </w:rPr>
              <w:t>46 (54)</w:t>
            </w:r>
          </w:p>
        </w:tc>
        <w:tc>
          <w:tcPr>
            <w:tcW w:w="1332" w:type="pct"/>
            <w:vAlign w:val="center"/>
          </w:tcPr>
          <w:p w14:paraId="4D7A732E" w14:textId="71A65373" w:rsidR="00E67443" w:rsidRPr="00590419" w:rsidRDefault="00E67443" w:rsidP="007F13FF">
            <w:pPr>
              <w:jc w:val="center"/>
              <w:rPr>
                <w:rFonts w:asciiTheme="majorHAnsi" w:hAnsiTheme="majorHAnsi"/>
                <w:lang w:val="en-US"/>
              </w:rPr>
            </w:pPr>
            <w:r w:rsidRPr="00590419">
              <w:rPr>
                <w:rFonts w:asciiTheme="majorHAnsi" w:hAnsiTheme="majorHAnsi"/>
                <w:lang w:val="en-US"/>
              </w:rPr>
              <w:t>32 (73)</w:t>
            </w:r>
          </w:p>
        </w:tc>
      </w:tr>
      <w:tr w:rsidR="00590419" w:rsidRPr="00590419" w14:paraId="09FDC5D9" w14:textId="77777777" w:rsidTr="007F13FF">
        <w:tc>
          <w:tcPr>
            <w:tcW w:w="2250" w:type="pct"/>
            <w:vAlign w:val="center"/>
          </w:tcPr>
          <w:p w14:paraId="33674B3C" w14:textId="6CF8AAE4" w:rsidR="00E67443" w:rsidRPr="00590419" w:rsidRDefault="00E67443" w:rsidP="00E67443">
            <w:pPr>
              <w:rPr>
                <w:rFonts w:asciiTheme="majorHAnsi" w:hAnsiTheme="majorHAnsi"/>
                <w:lang w:val="en-US"/>
              </w:rPr>
            </w:pPr>
            <w:r w:rsidRPr="00590419">
              <w:rPr>
                <w:rFonts w:asciiTheme="majorHAnsi" w:hAnsiTheme="majorHAnsi"/>
                <w:lang w:val="en-US"/>
              </w:rPr>
              <w:t xml:space="preserve">          Deaths </w:t>
            </w:r>
          </w:p>
        </w:tc>
        <w:tc>
          <w:tcPr>
            <w:tcW w:w="1418" w:type="pct"/>
            <w:vAlign w:val="center"/>
          </w:tcPr>
          <w:p w14:paraId="1CBE0375" w14:textId="14DC5D83" w:rsidR="00E67443" w:rsidRPr="00590419" w:rsidRDefault="00E67443" w:rsidP="007F13FF">
            <w:pPr>
              <w:jc w:val="center"/>
              <w:rPr>
                <w:rFonts w:asciiTheme="majorHAnsi" w:hAnsiTheme="majorHAnsi"/>
                <w:lang w:val="en-US"/>
              </w:rPr>
            </w:pPr>
            <w:r w:rsidRPr="00590419">
              <w:rPr>
                <w:rFonts w:asciiTheme="majorHAnsi" w:hAnsiTheme="majorHAnsi"/>
                <w:lang w:val="en-US"/>
              </w:rPr>
              <w:t>5 (6)</w:t>
            </w:r>
          </w:p>
        </w:tc>
        <w:tc>
          <w:tcPr>
            <w:tcW w:w="1332" w:type="pct"/>
            <w:vAlign w:val="center"/>
          </w:tcPr>
          <w:p w14:paraId="40975DFF" w14:textId="64FC3272" w:rsidR="00E67443" w:rsidRPr="00590419" w:rsidRDefault="00E67443" w:rsidP="007F13FF">
            <w:pPr>
              <w:jc w:val="center"/>
              <w:rPr>
                <w:rFonts w:asciiTheme="majorHAnsi" w:hAnsiTheme="majorHAnsi"/>
                <w:lang w:val="en-US"/>
              </w:rPr>
            </w:pPr>
            <w:r w:rsidRPr="00590419">
              <w:rPr>
                <w:rFonts w:asciiTheme="majorHAnsi" w:hAnsiTheme="majorHAnsi"/>
                <w:lang w:val="en-US"/>
              </w:rPr>
              <w:t>5 (11)</w:t>
            </w:r>
          </w:p>
        </w:tc>
      </w:tr>
      <w:tr w:rsidR="00590419" w:rsidRPr="00590419" w14:paraId="05E28B89" w14:textId="77777777" w:rsidTr="007F13FF">
        <w:trPr>
          <w:trHeight w:val="50"/>
        </w:trPr>
        <w:tc>
          <w:tcPr>
            <w:tcW w:w="2250" w:type="pct"/>
            <w:hideMark/>
          </w:tcPr>
          <w:p w14:paraId="231A38AF" w14:textId="77777777" w:rsidR="002C4189" w:rsidRPr="004D0771" w:rsidRDefault="00FB7D91">
            <w:pPr>
              <w:rPr>
                <w:rFonts w:asciiTheme="majorHAnsi" w:hAnsiTheme="majorHAnsi"/>
                <w:lang w:val="en-GB"/>
              </w:rPr>
            </w:pPr>
            <w:r w:rsidRPr="004D0771">
              <w:rPr>
                <w:rFonts w:asciiTheme="majorHAnsi" w:hAnsiTheme="majorHAnsi"/>
                <w:lang w:val="en-US"/>
              </w:rPr>
              <w:t>Median PFS (months) (95% CI)</w:t>
            </w:r>
          </w:p>
        </w:tc>
        <w:tc>
          <w:tcPr>
            <w:tcW w:w="1418" w:type="pct"/>
            <w:vAlign w:val="center"/>
            <w:hideMark/>
          </w:tcPr>
          <w:p w14:paraId="3FFD6186" w14:textId="77777777" w:rsidR="002C4189" w:rsidRPr="004D0771" w:rsidRDefault="00FB7D91" w:rsidP="007F13FF">
            <w:pPr>
              <w:jc w:val="center"/>
              <w:rPr>
                <w:rFonts w:asciiTheme="majorHAnsi" w:hAnsiTheme="majorHAnsi"/>
                <w:lang w:val="en-GB"/>
              </w:rPr>
            </w:pPr>
            <w:r w:rsidRPr="004D0771">
              <w:rPr>
                <w:rFonts w:asciiTheme="majorHAnsi" w:hAnsiTheme="majorHAnsi"/>
                <w:lang w:val="en-US"/>
              </w:rPr>
              <w:t>6.3 (4.6, 6.9)</w:t>
            </w:r>
          </w:p>
        </w:tc>
        <w:tc>
          <w:tcPr>
            <w:tcW w:w="1332" w:type="pct"/>
            <w:vAlign w:val="center"/>
            <w:hideMark/>
          </w:tcPr>
          <w:p w14:paraId="7693243F" w14:textId="77777777" w:rsidR="002C4189" w:rsidRPr="004D0771" w:rsidRDefault="00FB7D91" w:rsidP="007F13FF">
            <w:pPr>
              <w:jc w:val="center"/>
              <w:rPr>
                <w:rFonts w:asciiTheme="majorHAnsi" w:hAnsiTheme="majorHAnsi"/>
                <w:lang w:val="en-GB"/>
              </w:rPr>
            </w:pPr>
            <w:r w:rsidRPr="004D0771">
              <w:rPr>
                <w:rFonts w:asciiTheme="majorHAnsi" w:hAnsiTheme="majorHAnsi"/>
                <w:lang w:val="en-US"/>
              </w:rPr>
              <w:t>1.0 (0.9, 1.7)</w:t>
            </w:r>
          </w:p>
        </w:tc>
      </w:tr>
      <w:tr w:rsidR="00590419" w:rsidRPr="00590419" w14:paraId="70EBCAD8" w14:textId="77777777" w:rsidTr="003C262A">
        <w:trPr>
          <w:trHeight w:val="50"/>
        </w:trPr>
        <w:tc>
          <w:tcPr>
            <w:tcW w:w="2250" w:type="pct"/>
          </w:tcPr>
          <w:p w14:paraId="3EF67A08" w14:textId="623FFF42" w:rsidR="00E67443" w:rsidRPr="00590419" w:rsidRDefault="00E67443" w:rsidP="00E67443">
            <w:pPr>
              <w:rPr>
                <w:rFonts w:asciiTheme="majorHAnsi" w:hAnsiTheme="majorHAnsi"/>
                <w:lang w:val="en-US"/>
              </w:rPr>
            </w:pPr>
            <w:r w:rsidRPr="00590419">
              <w:rPr>
                <w:rFonts w:asciiTheme="majorHAnsi" w:hAnsiTheme="majorHAnsi"/>
                <w:lang w:val="en-US"/>
              </w:rPr>
              <w:t>Hazard ratio (95% CI)</w:t>
            </w:r>
            <w:r w:rsidR="007923B8" w:rsidRPr="00590419">
              <w:rPr>
                <w:rFonts w:asciiTheme="majorHAnsi" w:hAnsiTheme="majorHAnsi"/>
                <w:vertAlign w:val="superscript"/>
                <w:lang w:val="en-US"/>
              </w:rPr>
              <w:t>b</w:t>
            </w:r>
          </w:p>
        </w:tc>
        <w:tc>
          <w:tcPr>
            <w:tcW w:w="2750" w:type="pct"/>
            <w:gridSpan w:val="2"/>
            <w:vAlign w:val="center"/>
          </w:tcPr>
          <w:p w14:paraId="10B45349" w14:textId="20525694" w:rsidR="00E67443" w:rsidRPr="00590419" w:rsidRDefault="00E67443" w:rsidP="00E67443">
            <w:pPr>
              <w:jc w:val="center"/>
              <w:rPr>
                <w:rFonts w:asciiTheme="majorHAnsi" w:hAnsiTheme="majorHAnsi"/>
                <w:lang w:val="en-US"/>
              </w:rPr>
            </w:pPr>
            <w:r w:rsidRPr="00590419">
              <w:rPr>
                <w:rFonts w:asciiTheme="majorHAnsi" w:hAnsiTheme="majorHAnsi"/>
                <w:lang w:val="en-US"/>
              </w:rPr>
              <w:t>0.15 (0.09, 0.25)</w:t>
            </w:r>
          </w:p>
        </w:tc>
      </w:tr>
      <w:tr w:rsidR="00590419" w:rsidRPr="00590419" w14:paraId="3B722861" w14:textId="77777777" w:rsidTr="003C262A">
        <w:trPr>
          <w:trHeight w:val="50"/>
        </w:trPr>
        <w:tc>
          <w:tcPr>
            <w:tcW w:w="2250" w:type="pct"/>
            <w:hideMark/>
          </w:tcPr>
          <w:p w14:paraId="5F0FC9FB" w14:textId="38E673BE" w:rsidR="002C4189" w:rsidRPr="004D0771" w:rsidRDefault="00FB7D91">
            <w:pPr>
              <w:rPr>
                <w:rFonts w:asciiTheme="majorHAnsi" w:hAnsiTheme="majorHAnsi"/>
                <w:lang w:val="en-GB"/>
              </w:rPr>
            </w:pPr>
            <w:r w:rsidRPr="004D0771">
              <w:rPr>
                <w:rFonts w:asciiTheme="majorHAnsi" w:hAnsiTheme="majorHAnsi"/>
                <w:lang w:val="en-US"/>
              </w:rPr>
              <w:t>p</w:t>
            </w:r>
            <w:r w:rsidR="004D0771" w:rsidRPr="00590419">
              <w:rPr>
                <w:rFonts w:asciiTheme="majorHAnsi" w:hAnsiTheme="majorHAnsi"/>
                <w:strike/>
                <w:vertAlign w:val="superscript"/>
                <w:lang w:val="en-US"/>
              </w:rPr>
              <w:t>-</w:t>
            </w:r>
            <w:r w:rsidR="007923B8" w:rsidRPr="00590419">
              <w:rPr>
                <w:rFonts w:asciiTheme="majorHAnsi" w:hAnsiTheme="majorHAnsi"/>
                <w:lang w:val="en-US"/>
              </w:rPr>
              <w:t>value</w:t>
            </w:r>
            <w:r w:rsidR="007923B8" w:rsidRPr="00590419">
              <w:rPr>
                <w:rFonts w:asciiTheme="majorHAnsi" w:hAnsiTheme="majorHAnsi"/>
                <w:vertAlign w:val="superscript"/>
                <w:lang w:val="en-US"/>
              </w:rPr>
              <w:t>c</w:t>
            </w:r>
          </w:p>
        </w:tc>
        <w:tc>
          <w:tcPr>
            <w:tcW w:w="2750" w:type="pct"/>
            <w:gridSpan w:val="2"/>
            <w:vAlign w:val="center"/>
            <w:hideMark/>
          </w:tcPr>
          <w:p w14:paraId="7BC47966" w14:textId="77777777" w:rsidR="002C4189" w:rsidRPr="004D0771" w:rsidRDefault="00FB7D91" w:rsidP="00E67443">
            <w:pPr>
              <w:jc w:val="center"/>
              <w:rPr>
                <w:rFonts w:asciiTheme="majorHAnsi" w:hAnsiTheme="majorHAnsi"/>
                <w:lang w:val="en-GB"/>
              </w:rPr>
            </w:pPr>
            <w:r w:rsidRPr="004D0771">
              <w:rPr>
                <w:rFonts w:asciiTheme="majorHAnsi" w:hAnsiTheme="majorHAnsi"/>
                <w:lang w:val="en-US"/>
              </w:rPr>
              <w:t>&lt; 0.0001</w:t>
            </w:r>
          </w:p>
        </w:tc>
      </w:tr>
      <w:tr w:rsidR="009E60C1" w:rsidRPr="009E60C1" w14:paraId="5FB43C04" w14:textId="77777777" w:rsidTr="003C262A">
        <w:trPr>
          <w:trHeight w:val="50"/>
        </w:trPr>
        <w:tc>
          <w:tcPr>
            <w:tcW w:w="5000" w:type="pct"/>
            <w:gridSpan w:val="3"/>
            <w:vAlign w:val="center"/>
            <w:hideMark/>
          </w:tcPr>
          <w:p w14:paraId="2CBC590A" w14:textId="7BF32493" w:rsidR="002C4189" w:rsidRPr="009E60C1" w:rsidRDefault="00E67443" w:rsidP="00E67443">
            <w:pPr>
              <w:rPr>
                <w:rFonts w:asciiTheme="majorHAnsi" w:hAnsiTheme="majorHAnsi"/>
                <w:lang w:val="en-GB"/>
              </w:rPr>
            </w:pPr>
            <w:r w:rsidRPr="00590419">
              <w:rPr>
                <w:rFonts w:asciiTheme="majorHAnsi" w:hAnsiTheme="majorHAnsi"/>
                <w:b/>
                <w:bCs/>
                <w:lang w:val="en-US"/>
              </w:rPr>
              <w:t xml:space="preserve">Overall </w:t>
            </w:r>
            <w:r w:rsidR="00FB7D91" w:rsidRPr="009E60C1">
              <w:rPr>
                <w:rFonts w:asciiTheme="majorHAnsi" w:hAnsiTheme="majorHAnsi"/>
                <w:b/>
                <w:bCs/>
                <w:lang w:val="en-US"/>
              </w:rPr>
              <w:t>Response Rate (ORR)</w:t>
            </w:r>
            <w:r w:rsidR="00FB7D91" w:rsidRPr="009E60C1">
              <w:rPr>
                <w:rFonts w:asciiTheme="majorHAnsi" w:hAnsiTheme="majorHAnsi"/>
                <w:b/>
                <w:bCs/>
                <w:vertAlign w:val="superscript"/>
                <w:lang w:val="en-US"/>
              </w:rPr>
              <w:t>a</w:t>
            </w:r>
          </w:p>
        </w:tc>
      </w:tr>
      <w:tr w:rsidR="00590419" w:rsidRPr="00590419" w14:paraId="4BDB95E1" w14:textId="77777777" w:rsidTr="007F13FF">
        <w:trPr>
          <w:trHeight w:val="197"/>
        </w:trPr>
        <w:tc>
          <w:tcPr>
            <w:tcW w:w="2250" w:type="pct"/>
            <w:vAlign w:val="center"/>
            <w:hideMark/>
          </w:tcPr>
          <w:p w14:paraId="2195D27F" w14:textId="32EC11C9" w:rsidR="002C4189" w:rsidRPr="009E60C1" w:rsidRDefault="00971B03" w:rsidP="007F13FF">
            <w:pPr>
              <w:rPr>
                <w:rFonts w:asciiTheme="majorHAnsi" w:hAnsiTheme="majorHAnsi"/>
                <w:lang w:val="en-GB"/>
              </w:rPr>
            </w:pPr>
            <w:r w:rsidRPr="00590419">
              <w:rPr>
                <w:rFonts w:asciiTheme="majorHAnsi" w:hAnsiTheme="majorHAnsi"/>
                <w:lang w:val="en-US"/>
              </w:rPr>
              <w:t>Overall</w:t>
            </w:r>
            <w:r w:rsidRPr="00590419">
              <w:rPr>
                <w:rFonts w:asciiTheme="majorHAnsi" w:hAnsiTheme="majorHAnsi"/>
                <w:b/>
                <w:bCs/>
                <w:lang w:val="en-US"/>
              </w:rPr>
              <w:t xml:space="preserve"> </w:t>
            </w:r>
            <w:r w:rsidR="00FB7D91" w:rsidRPr="009E60C1">
              <w:rPr>
                <w:rFonts w:asciiTheme="majorHAnsi" w:hAnsiTheme="majorHAnsi"/>
                <w:lang w:val="en-US"/>
              </w:rPr>
              <w:t>Response Rate (%)</w:t>
            </w:r>
          </w:p>
        </w:tc>
        <w:tc>
          <w:tcPr>
            <w:tcW w:w="1418" w:type="pct"/>
            <w:vAlign w:val="center"/>
            <w:hideMark/>
          </w:tcPr>
          <w:p w14:paraId="0BB9296F" w14:textId="25730EC8" w:rsidR="002C4189" w:rsidRPr="009E60C1" w:rsidRDefault="00FB7D91" w:rsidP="007F13FF">
            <w:pPr>
              <w:jc w:val="center"/>
              <w:rPr>
                <w:rFonts w:asciiTheme="majorHAnsi" w:hAnsiTheme="majorHAnsi"/>
                <w:lang w:val="en-GB"/>
              </w:rPr>
            </w:pPr>
            <w:r w:rsidRPr="009E60C1">
              <w:rPr>
                <w:rFonts w:asciiTheme="majorHAnsi" w:hAnsiTheme="majorHAnsi"/>
                <w:lang w:val="en-US"/>
              </w:rPr>
              <w:t>9</w:t>
            </w:r>
          </w:p>
        </w:tc>
        <w:tc>
          <w:tcPr>
            <w:tcW w:w="1332" w:type="pct"/>
            <w:vAlign w:val="center"/>
            <w:hideMark/>
          </w:tcPr>
          <w:p w14:paraId="59772BE3" w14:textId="4A0AE26D" w:rsidR="002C4189" w:rsidRPr="009E60C1" w:rsidRDefault="00FB7D91" w:rsidP="007F13FF">
            <w:pPr>
              <w:jc w:val="center"/>
              <w:rPr>
                <w:rFonts w:asciiTheme="majorHAnsi" w:hAnsiTheme="majorHAnsi"/>
                <w:lang w:val="en-GB"/>
              </w:rPr>
            </w:pPr>
            <w:r w:rsidRPr="009E60C1">
              <w:rPr>
                <w:rFonts w:asciiTheme="majorHAnsi" w:hAnsiTheme="majorHAnsi"/>
                <w:lang w:val="en-US"/>
              </w:rPr>
              <w:t xml:space="preserve">0 </w:t>
            </w:r>
          </w:p>
        </w:tc>
      </w:tr>
      <w:tr w:rsidR="00590419" w:rsidRPr="00590419" w14:paraId="63CD219F" w14:textId="77777777" w:rsidTr="00542BF3">
        <w:trPr>
          <w:trHeight w:val="269"/>
        </w:trPr>
        <w:tc>
          <w:tcPr>
            <w:tcW w:w="2250" w:type="pct"/>
            <w:vAlign w:val="center"/>
          </w:tcPr>
          <w:p w14:paraId="520CF2C3" w14:textId="55B7E9F4" w:rsidR="00E67443" w:rsidRPr="00590419" w:rsidDel="00E67443" w:rsidRDefault="00E67443" w:rsidP="00E67443">
            <w:pPr>
              <w:rPr>
                <w:rFonts w:asciiTheme="majorHAnsi" w:hAnsiTheme="majorHAnsi"/>
                <w:lang w:val="en-US"/>
              </w:rPr>
            </w:pPr>
            <w:r w:rsidRPr="00590419">
              <w:rPr>
                <w:rFonts w:asciiTheme="majorHAnsi" w:hAnsiTheme="majorHAnsi"/>
                <w:lang w:val="en-US"/>
              </w:rPr>
              <w:t>(95%, CI)</w:t>
            </w:r>
          </w:p>
        </w:tc>
        <w:tc>
          <w:tcPr>
            <w:tcW w:w="1418" w:type="pct"/>
            <w:vAlign w:val="bottom"/>
          </w:tcPr>
          <w:p w14:paraId="55CA0BAA" w14:textId="5DD7FB77" w:rsidR="00E67443" w:rsidRPr="00590419" w:rsidRDefault="00E67443" w:rsidP="00542BF3">
            <w:pPr>
              <w:jc w:val="center"/>
              <w:rPr>
                <w:rFonts w:asciiTheme="majorHAnsi" w:hAnsiTheme="majorHAnsi"/>
                <w:lang w:val="en-US"/>
              </w:rPr>
            </w:pPr>
            <w:r w:rsidRPr="00590419">
              <w:rPr>
                <w:rFonts w:asciiTheme="majorHAnsi" w:hAnsiTheme="majorHAnsi"/>
                <w:lang w:val="en-US"/>
              </w:rPr>
              <w:t>(4.2, 1</w:t>
            </w:r>
            <w:r w:rsidR="006752A9" w:rsidRPr="00590419">
              <w:rPr>
                <w:rFonts w:asciiTheme="majorHAnsi" w:hAnsiTheme="majorHAnsi"/>
                <w:lang w:val="en-US"/>
              </w:rPr>
              <w:t>8</w:t>
            </w:r>
            <w:r w:rsidRPr="00590419">
              <w:rPr>
                <w:rFonts w:asciiTheme="majorHAnsi" w:hAnsiTheme="majorHAnsi"/>
                <w:lang w:val="en-US"/>
              </w:rPr>
              <w:t>)</w:t>
            </w:r>
          </w:p>
        </w:tc>
        <w:tc>
          <w:tcPr>
            <w:tcW w:w="1332" w:type="pct"/>
            <w:vAlign w:val="bottom"/>
          </w:tcPr>
          <w:p w14:paraId="432E5705" w14:textId="7C9F0162" w:rsidR="00E67443" w:rsidRPr="00590419" w:rsidRDefault="00E67443" w:rsidP="00542BF3">
            <w:pPr>
              <w:jc w:val="center"/>
              <w:rPr>
                <w:rFonts w:asciiTheme="majorHAnsi" w:hAnsiTheme="majorHAnsi"/>
                <w:lang w:val="en-US"/>
              </w:rPr>
            </w:pPr>
            <w:r w:rsidRPr="00590419">
              <w:rPr>
                <w:rFonts w:asciiTheme="majorHAnsi" w:hAnsiTheme="majorHAnsi"/>
                <w:lang w:val="en-US"/>
              </w:rPr>
              <w:t>(0, 8)</w:t>
            </w:r>
          </w:p>
        </w:tc>
      </w:tr>
      <w:tr w:rsidR="00590419" w:rsidRPr="00590419" w14:paraId="746C60A1" w14:textId="77777777" w:rsidTr="003C262A">
        <w:trPr>
          <w:trHeight w:val="269"/>
        </w:trPr>
        <w:tc>
          <w:tcPr>
            <w:tcW w:w="2250" w:type="pct"/>
            <w:vAlign w:val="center"/>
          </w:tcPr>
          <w:p w14:paraId="4211C097" w14:textId="77777777" w:rsidR="002C4189" w:rsidRPr="009E60C1" w:rsidRDefault="00FB7D91" w:rsidP="00E67443">
            <w:pPr>
              <w:rPr>
                <w:rFonts w:asciiTheme="majorHAnsi" w:hAnsiTheme="majorHAnsi"/>
                <w:lang w:val="en-US"/>
              </w:rPr>
            </w:pPr>
            <w:r w:rsidRPr="009E60C1">
              <w:rPr>
                <w:rFonts w:asciiTheme="majorHAnsi" w:hAnsiTheme="majorHAnsi"/>
                <w:lang w:val="en-US"/>
              </w:rPr>
              <w:t>p-value</w:t>
            </w:r>
            <w:r w:rsidRPr="009E60C1">
              <w:rPr>
                <w:rFonts w:asciiTheme="majorHAnsi" w:hAnsiTheme="majorHAnsi"/>
                <w:vertAlign w:val="superscript"/>
                <w:lang w:val="en-US"/>
              </w:rPr>
              <w:t>d</w:t>
            </w:r>
          </w:p>
        </w:tc>
        <w:tc>
          <w:tcPr>
            <w:tcW w:w="2750" w:type="pct"/>
            <w:gridSpan w:val="2"/>
            <w:vAlign w:val="center"/>
          </w:tcPr>
          <w:p w14:paraId="3E163141" w14:textId="77777777" w:rsidR="002C4189" w:rsidRPr="009E60C1" w:rsidRDefault="00FB7D91" w:rsidP="00E67443">
            <w:pPr>
              <w:jc w:val="center"/>
              <w:rPr>
                <w:rFonts w:asciiTheme="majorHAnsi" w:hAnsiTheme="majorHAnsi"/>
                <w:lang w:val="en-US"/>
              </w:rPr>
            </w:pPr>
            <w:r w:rsidRPr="009E60C1">
              <w:rPr>
                <w:rFonts w:asciiTheme="majorHAnsi" w:hAnsiTheme="majorHAnsi"/>
                <w:lang w:val="en-US"/>
              </w:rPr>
              <w:t>0.0504</w:t>
            </w:r>
          </w:p>
        </w:tc>
      </w:tr>
      <w:tr w:rsidR="00590419" w:rsidRPr="00590419" w14:paraId="039DF79B" w14:textId="77777777" w:rsidTr="003C262A">
        <w:trPr>
          <w:trHeight w:val="50"/>
        </w:trPr>
        <w:tc>
          <w:tcPr>
            <w:tcW w:w="5000" w:type="pct"/>
            <w:gridSpan w:val="3"/>
            <w:vAlign w:val="center"/>
            <w:hideMark/>
          </w:tcPr>
          <w:p w14:paraId="7CC3EE68" w14:textId="58720F36" w:rsidR="002C4189" w:rsidRPr="00994934" w:rsidRDefault="00FB7D91" w:rsidP="00E67443">
            <w:pPr>
              <w:rPr>
                <w:rFonts w:asciiTheme="majorHAnsi" w:hAnsiTheme="majorHAnsi"/>
                <w:lang w:val="en-GB"/>
              </w:rPr>
            </w:pPr>
            <w:r w:rsidRPr="00994934">
              <w:rPr>
                <w:rFonts w:asciiTheme="majorHAnsi" w:hAnsiTheme="majorHAnsi"/>
                <w:b/>
                <w:bCs/>
                <w:lang w:val="en-US"/>
              </w:rPr>
              <w:t>Overall Survival (OS)</w:t>
            </w:r>
            <w:r w:rsidR="00B85923" w:rsidRPr="00590419">
              <w:rPr>
                <w:rFonts w:asciiTheme="majorHAnsi" w:hAnsiTheme="majorHAnsi"/>
                <w:b/>
                <w:bCs/>
                <w:vertAlign w:val="superscript"/>
                <w:lang w:val="en-US"/>
              </w:rPr>
              <w:t>e</w:t>
            </w:r>
          </w:p>
        </w:tc>
      </w:tr>
      <w:tr w:rsidR="00590419" w:rsidRPr="00590419" w14:paraId="4115F745" w14:textId="77777777" w:rsidTr="003C262A">
        <w:trPr>
          <w:trHeight w:val="50"/>
        </w:trPr>
        <w:tc>
          <w:tcPr>
            <w:tcW w:w="2250" w:type="pct"/>
            <w:vAlign w:val="center"/>
            <w:hideMark/>
          </w:tcPr>
          <w:p w14:paraId="5E30B778" w14:textId="77777777" w:rsidR="002C4189" w:rsidRPr="00994934" w:rsidRDefault="00FB7D91" w:rsidP="00E67443">
            <w:pPr>
              <w:rPr>
                <w:rFonts w:asciiTheme="majorHAnsi" w:hAnsiTheme="majorHAnsi"/>
                <w:lang w:val="en-GB"/>
              </w:rPr>
            </w:pPr>
            <w:r w:rsidRPr="00994934">
              <w:rPr>
                <w:rFonts w:asciiTheme="majorHAnsi" w:hAnsiTheme="majorHAnsi"/>
                <w:lang w:val="en-US"/>
              </w:rPr>
              <w:t>Number of Deaths, N (%)</w:t>
            </w:r>
          </w:p>
        </w:tc>
        <w:tc>
          <w:tcPr>
            <w:tcW w:w="1418" w:type="pct"/>
            <w:vAlign w:val="center"/>
            <w:hideMark/>
          </w:tcPr>
          <w:p w14:paraId="0DFB5F59" w14:textId="1E9D4C49" w:rsidR="002C4189" w:rsidRPr="00994934" w:rsidRDefault="00FB7D91" w:rsidP="00E67443">
            <w:pPr>
              <w:jc w:val="center"/>
              <w:rPr>
                <w:rFonts w:asciiTheme="majorHAnsi" w:hAnsiTheme="majorHAnsi"/>
                <w:lang w:val="en-GB"/>
              </w:rPr>
            </w:pPr>
            <w:r w:rsidRPr="00994934">
              <w:rPr>
                <w:rFonts w:asciiTheme="majorHAnsi" w:hAnsiTheme="majorHAnsi"/>
                <w:lang w:val="en-US"/>
              </w:rPr>
              <w:t>26 (3</w:t>
            </w:r>
            <w:r w:rsidR="00E67443" w:rsidRPr="00590419">
              <w:rPr>
                <w:rFonts w:asciiTheme="majorHAnsi" w:hAnsiTheme="majorHAnsi"/>
                <w:lang w:val="en-US"/>
              </w:rPr>
              <w:t>1</w:t>
            </w:r>
            <w:r w:rsidRPr="00994934">
              <w:rPr>
                <w:rFonts w:asciiTheme="majorHAnsi" w:hAnsiTheme="majorHAnsi"/>
                <w:lang w:val="en-US"/>
              </w:rPr>
              <w:t>)</w:t>
            </w:r>
          </w:p>
        </w:tc>
        <w:tc>
          <w:tcPr>
            <w:tcW w:w="1332" w:type="pct"/>
            <w:vAlign w:val="center"/>
            <w:hideMark/>
          </w:tcPr>
          <w:p w14:paraId="7F858A42" w14:textId="13845A73" w:rsidR="002C4189" w:rsidRPr="00994934" w:rsidRDefault="00FB7D91" w:rsidP="00E67443">
            <w:pPr>
              <w:jc w:val="center"/>
              <w:rPr>
                <w:rFonts w:asciiTheme="majorHAnsi" w:hAnsiTheme="majorHAnsi"/>
                <w:lang w:val="en-GB"/>
              </w:rPr>
            </w:pPr>
            <w:r w:rsidRPr="00994934">
              <w:rPr>
                <w:rFonts w:asciiTheme="majorHAnsi" w:hAnsiTheme="majorHAnsi"/>
                <w:lang w:val="en-US"/>
              </w:rPr>
              <w:t>26 (59)</w:t>
            </w:r>
          </w:p>
        </w:tc>
      </w:tr>
      <w:tr w:rsidR="00590419" w:rsidRPr="00590419" w14:paraId="258488D4" w14:textId="77777777" w:rsidTr="003C262A">
        <w:trPr>
          <w:trHeight w:val="50"/>
        </w:trPr>
        <w:tc>
          <w:tcPr>
            <w:tcW w:w="2250" w:type="pct"/>
            <w:vAlign w:val="center"/>
            <w:hideMark/>
          </w:tcPr>
          <w:p w14:paraId="02BBDE1F" w14:textId="77777777" w:rsidR="002C4189" w:rsidRPr="00994934" w:rsidRDefault="00FB7D91" w:rsidP="00E67443">
            <w:pPr>
              <w:rPr>
                <w:rFonts w:asciiTheme="majorHAnsi" w:hAnsiTheme="majorHAnsi"/>
                <w:lang w:val="en-GB"/>
              </w:rPr>
            </w:pPr>
            <w:r w:rsidRPr="00994934">
              <w:rPr>
                <w:rFonts w:asciiTheme="majorHAnsi" w:hAnsiTheme="majorHAnsi"/>
                <w:lang w:val="en-US"/>
              </w:rPr>
              <w:t>Median OS (months) (95% CI)</w:t>
            </w:r>
            <w:r w:rsidRPr="00590419">
              <w:rPr>
                <w:rFonts w:asciiTheme="majorHAnsi" w:hAnsiTheme="majorHAnsi"/>
                <w:strike/>
                <w:vertAlign w:val="superscript"/>
                <w:lang w:val="en-US"/>
              </w:rPr>
              <w:t>e</w:t>
            </w:r>
          </w:p>
        </w:tc>
        <w:tc>
          <w:tcPr>
            <w:tcW w:w="1418" w:type="pct"/>
            <w:vAlign w:val="center"/>
            <w:hideMark/>
          </w:tcPr>
          <w:p w14:paraId="7C450CBF" w14:textId="77777777" w:rsidR="002C4189" w:rsidRPr="00994934" w:rsidRDefault="00FB7D91" w:rsidP="00E67443">
            <w:pPr>
              <w:jc w:val="center"/>
              <w:rPr>
                <w:rFonts w:asciiTheme="majorHAnsi" w:hAnsiTheme="majorHAnsi"/>
                <w:lang w:val="en-GB"/>
              </w:rPr>
            </w:pPr>
            <w:r w:rsidRPr="00994934">
              <w:rPr>
                <w:rFonts w:asciiTheme="majorHAnsi" w:hAnsiTheme="majorHAnsi"/>
                <w:lang w:val="en-US"/>
              </w:rPr>
              <w:t>15.1 (12.3, 15.1)</w:t>
            </w:r>
          </w:p>
        </w:tc>
        <w:tc>
          <w:tcPr>
            <w:tcW w:w="1332" w:type="pct"/>
            <w:vAlign w:val="center"/>
            <w:hideMark/>
          </w:tcPr>
          <w:p w14:paraId="0006F228" w14:textId="77777777" w:rsidR="002C4189" w:rsidRPr="00994934" w:rsidRDefault="00FB7D91" w:rsidP="00E67443">
            <w:pPr>
              <w:jc w:val="center"/>
              <w:rPr>
                <w:rFonts w:asciiTheme="majorHAnsi" w:hAnsiTheme="majorHAnsi"/>
                <w:lang w:val="en-GB"/>
              </w:rPr>
            </w:pPr>
            <w:r w:rsidRPr="00994934">
              <w:rPr>
                <w:rFonts w:asciiTheme="majorHAnsi" w:hAnsiTheme="majorHAnsi"/>
                <w:lang w:val="en-US"/>
              </w:rPr>
              <w:t>6.6 (4.1, 11.6)</w:t>
            </w:r>
          </w:p>
        </w:tc>
      </w:tr>
      <w:tr w:rsidR="00590419" w:rsidRPr="00590419" w14:paraId="0F06CC32" w14:textId="77777777" w:rsidTr="003C262A">
        <w:trPr>
          <w:trHeight w:val="50"/>
        </w:trPr>
        <w:tc>
          <w:tcPr>
            <w:tcW w:w="2250" w:type="pct"/>
            <w:tcBorders>
              <w:bottom w:val="single" w:sz="4" w:space="0" w:color="auto"/>
            </w:tcBorders>
            <w:vAlign w:val="center"/>
          </w:tcPr>
          <w:p w14:paraId="6881EB81" w14:textId="578E9DA8" w:rsidR="002C4189" w:rsidRPr="00994934" w:rsidRDefault="009D44A9" w:rsidP="00E67443">
            <w:pPr>
              <w:rPr>
                <w:rFonts w:asciiTheme="majorHAnsi" w:hAnsiTheme="majorHAnsi"/>
                <w:lang w:val="en-US"/>
              </w:rPr>
            </w:pPr>
            <w:r w:rsidRPr="00590419">
              <w:rPr>
                <w:rFonts w:asciiTheme="majorHAnsi" w:hAnsiTheme="majorHAnsi"/>
                <w:lang w:val="en-US"/>
              </w:rPr>
              <w:t xml:space="preserve">Hazard Ratio </w:t>
            </w:r>
            <w:r w:rsidR="00FB7D91" w:rsidRPr="00994934">
              <w:rPr>
                <w:rFonts w:asciiTheme="majorHAnsi" w:hAnsiTheme="majorHAnsi"/>
                <w:lang w:val="en-US"/>
              </w:rPr>
              <w:t>(95% CI)</w:t>
            </w:r>
            <w:r w:rsidR="00FB7D91" w:rsidRPr="00994934">
              <w:rPr>
                <w:rFonts w:asciiTheme="majorHAnsi" w:hAnsiTheme="majorHAnsi"/>
                <w:vertAlign w:val="superscript"/>
                <w:lang w:val="en-US"/>
              </w:rPr>
              <w:t>c</w:t>
            </w:r>
          </w:p>
        </w:tc>
        <w:tc>
          <w:tcPr>
            <w:tcW w:w="2750" w:type="pct"/>
            <w:gridSpan w:val="2"/>
            <w:tcBorders>
              <w:bottom w:val="single" w:sz="4" w:space="0" w:color="auto"/>
            </w:tcBorders>
            <w:vAlign w:val="center"/>
          </w:tcPr>
          <w:p w14:paraId="5B34AE12" w14:textId="77777777" w:rsidR="002C4189" w:rsidRPr="00994934" w:rsidRDefault="00FB7D91" w:rsidP="00E67443">
            <w:pPr>
              <w:jc w:val="center"/>
              <w:rPr>
                <w:rFonts w:asciiTheme="majorHAnsi" w:hAnsiTheme="majorHAnsi"/>
                <w:lang w:val="en-US"/>
              </w:rPr>
            </w:pPr>
            <w:r w:rsidRPr="00994934">
              <w:rPr>
                <w:rFonts w:asciiTheme="majorHAnsi" w:hAnsiTheme="majorHAnsi"/>
                <w:lang w:val="en-US"/>
              </w:rPr>
              <w:t>0.36 (0.21, 0.62)</w:t>
            </w:r>
          </w:p>
        </w:tc>
      </w:tr>
      <w:tr w:rsidR="002C4189" w:rsidRPr="00590419" w14:paraId="514BDB7E" w14:textId="77777777" w:rsidTr="007D1408">
        <w:trPr>
          <w:trHeight w:val="50"/>
        </w:trPr>
        <w:tc>
          <w:tcPr>
            <w:tcW w:w="5000" w:type="pct"/>
            <w:gridSpan w:val="3"/>
            <w:tcBorders>
              <w:left w:val="single" w:sz="4" w:space="0" w:color="auto"/>
              <w:bottom w:val="single" w:sz="4" w:space="0" w:color="auto"/>
              <w:right w:val="single" w:sz="4" w:space="0" w:color="auto"/>
            </w:tcBorders>
          </w:tcPr>
          <w:p w14:paraId="5DB6351D" w14:textId="77777777" w:rsidR="004072E8" w:rsidRDefault="00FB7D91" w:rsidP="004072E8">
            <w:pPr>
              <w:spacing w:line="240" w:lineRule="auto"/>
              <w:rPr>
                <w:rFonts w:asciiTheme="majorHAnsi" w:hAnsiTheme="majorHAnsi"/>
                <w:sz w:val="20"/>
                <w:szCs w:val="20"/>
                <w:lang w:val="en-US"/>
              </w:rPr>
            </w:pPr>
            <w:r w:rsidRPr="00994934">
              <w:rPr>
                <w:rFonts w:asciiTheme="majorHAnsi" w:hAnsiTheme="majorHAnsi"/>
                <w:sz w:val="20"/>
                <w:szCs w:val="20"/>
                <w:lang w:val="en-US"/>
              </w:rPr>
              <w:t>BICR=Blinded Independent Central Review;</w:t>
            </w:r>
            <w:r w:rsidR="00994934">
              <w:rPr>
                <w:rFonts w:asciiTheme="majorHAnsi" w:hAnsiTheme="majorHAnsi"/>
                <w:sz w:val="20"/>
                <w:szCs w:val="20"/>
                <w:lang w:val="en-US"/>
              </w:rPr>
              <w:t xml:space="preserve"> </w:t>
            </w:r>
            <w:r w:rsidRPr="00994934">
              <w:rPr>
                <w:rFonts w:asciiTheme="majorHAnsi" w:hAnsiTheme="majorHAnsi"/>
                <w:sz w:val="20"/>
                <w:szCs w:val="20"/>
                <w:lang w:val="en-US"/>
              </w:rPr>
              <w:t>CI=Confidence Interval</w:t>
            </w:r>
            <w:r w:rsidR="004072E8">
              <w:rPr>
                <w:rFonts w:asciiTheme="majorHAnsi" w:hAnsiTheme="majorHAnsi"/>
                <w:sz w:val="20"/>
                <w:szCs w:val="20"/>
                <w:lang w:val="en-US"/>
              </w:rPr>
              <w:br/>
            </w:r>
            <w:r w:rsidRPr="00F0606C">
              <w:rPr>
                <w:rFonts w:asciiTheme="majorHAnsi" w:hAnsiTheme="majorHAnsi"/>
                <w:sz w:val="20"/>
                <w:szCs w:val="20"/>
                <w:lang w:val="en-US"/>
              </w:rPr>
              <w:t xml:space="preserve">Assessed per </w:t>
            </w:r>
            <w:r w:rsidR="00F0606C" w:rsidRPr="00590419">
              <w:rPr>
                <w:rFonts w:asciiTheme="majorHAnsi" w:hAnsiTheme="majorHAnsi"/>
                <w:sz w:val="20"/>
                <w:szCs w:val="20"/>
                <w:lang w:val="en-US"/>
              </w:rPr>
              <w:t>BICR</w:t>
            </w:r>
          </w:p>
          <w:p w14:paraId="15FC3C4E" w14:textId="43E25A7D" w:rsidR="002C4189" w:rsidRPr="00F0606C" w:rsidRDefault="00FB7D91" w:rsidP="004072E8">
            <w:pPr>
              <w:spacing w:line="240" w:lineRule="auto"/>
              <w:rPr>
                <w:rFonts w:asciiTheme="majorHAnsi" w:hAnsiTheme="majorHAnsi"/>
                <w:sz w:val="20"/>
                <w:szCs w:val="20"/>
                <w:lang w:val="en-GB"/>
              </w:rPr>
            </w:pPr>
            <w:r w:rsidRPr="00F0606C">
              <w:rPr>
                <w:rFonts w:asciiTheme="majorHAnsi" w:hAnsiTheme="majorHAnsi"/>
                <w:sz w:val="20"/>
                <w:szCs w:val="20"/>
                <w:lang w:val="en-US"/>
              </w:rPr>
              <w:lastRenderedPageBreak/>
              <w:t>Hazard ratio is based on Cox proportional hazards regression model. This model includes treatment and randomisation stratification factors as fixed factors</w:t>
            </w:r>
            <w:r w:rsidRPr="00F0606C">
              <w:rPr>
                <w:rFonts w:ascii="Calibri" w:hAnsi="Calibri" w:cs="Calibri"/>
                <w:sz w:val="20"/>
                <w:szCs w:val="20"/>
              </w:rPr>
              <w:t>.</w:t>
            </w:r>
          </w:p>
          <w:p w14:paraId="15139C6C" w14:textId="2C64A26B" w:rsidR="007923B8" w:rsidRPr="00590419" w:rsidRDefault="007923B8" w:rsidP="00F92162">
            <w:pPr>
              <w:numPr>
                <w:ilvl w:val="0"/>
                <w:numId w:val="14"/>
              </w:numPr>
              <w:spacing w:after="0" w:line="240" w:lineRule="auto"/>
              <w:rPr>
                <w:rFonts w:asciiTheme="majorHAnsi" w:hAnsiTheme="majorHAnsi"/>
                <w:sz w:val="20"/>
                <w:szCs w:val="20"/>
                <w:lang w:val="en-GB"/>
              </w:rPr>
            </w:pPr>
            <w:r w:rsidRPr="00590419">
              <w:rPr>
                <w:rFonts w:asciiTheme="majorHAnsi" w:hAnsiTheme="majorHAnsi"/>
                <w:sz w:val="20"/>
                <w:szCs w:val="20"/>
                <w:lang w:val="en-US"/>
              </w:rPr>
              <w:t>p-value is based on 2-sided stratified Log Rank test.</w:t>
            </w:r>
          </w:p>
          <w:p w14:paraId="08A2416C" w14:textId="3CD65299" w:rsidR="002C4189" w:rsidRPr="00590419" w:rsidRDefault="00E67443" w:rsidP="00F92162">
            <w:pPr>
              <w:numPr>
                <w:ilvl w:val="0"/>
                <w:numId w:val="14"/>
              </w:numPr>
              <w:spacing w:after="0" w:line="240" w:lineRule="auto"/>
              <w:rPr>
                <w:rFonts w:asciiTheme="majorHAnsi" w:hAnsiTheme="majorHAnsi"/>
                <w:sz w:val="20"/>
                <w:szCs w:val="20"/>
                <w:lang w:val="en-US"/>
              </w:rPr>
            </w:pPr>
            <w:r w:rsidRPr="00590419">
              <w:rPr>
                <w:rFonts w:asciiTheme="majorHAnsi" w:hAnsiTheme="majorHAnsi"/>
                <w:sz w:val="20"/>
                <w:szCs w:val="20"/>
                <w:lang w:val="en-US"/>
              </w:rPr>
              <w:t>B</w:t>
            </w:r>
            <w:r w:rsidR="00FB7D91" w:rsidRPr="00F0606C">
              <w:rPr>
                <w:rFonts w:asciiTheme="majorHAnsi" w:hAnsiTheme="majorHAnsi"/>
                <w:sz w:val="20"/>
                <w:szCs w:val="20"/>
                <w:lang w:val="en-US"/>
              </w:rPr>
              <w:t>ased on Fisher’s exact test.</w:t>
            </w:r>
            <w:r w:rsidRPr="00590419">
              <w:rPr>
                <w:rFonts w:asciiTheme="majorHAnsi" w:hAnsiTheme="majorHAnsi"/>
                <w:sz w:val="20"/>
                <w:szCs w:val="20"/>
                <w:lang w:val="en-US"/>
              </w:rPr>
              <w:t xml:space="preserve"> The p-value is not statistically significant.</w:t>
            </w:r>
          </w:p>
          <w:p w14:paraId="53B491D8" w14:textId="72151DD0" w:rsidR="002C4189" w:rsidRPr="00590419" w:rsidRDefault="00B85923" w:rsidP="00F92162">
            <w:pPr>
              <w:numPr>
                <w:ilvl w:val="0"/>
                <w:numId w:val="14"/>
              </w:numPr>
              <w:spacing w:after="0" w:line="240" w:lineRule="auto"/>
              <w:rPr>
                <w:rFonts w:asciiTheme="majorHAnsi" w:hAnsiTheme="majorHAnsi"/>
                <w:u w:val="single"/>
                <w:lang w:val="en-US"/>
              </w:rPr>
            </w:pPr>
            <w:r w:rsidRPr="00590419">
              <w:rPr>
                <w:rFonts w:asciiTheme="majorHAnsi" w:hAnsiTheme="majorHAnsi"/>
                <w:sz w:val="20"/>
                <w:szCs w:val="20"/>
                <w:lang w:val="en-US"/>
              </w:rPr>
              <w:t>Not evaluated for statistical significance as a result of the sequential testing procedure for the secondary endpoints of ORR and OS.</w:t>
            </w:r>
          </w:p>
        </w:tc>
      </w:tr>
    </w:tbl>
    <w:p w14:paraId="66304A50" w14:textId="77777777" w:rsidR="002C4189" w:rsidRDefault="002C4189">
      <w:pPr>
        <w:rPr>
          <w:rFonts w:asciiTheme="majorHAnsi" w:hAnsiTheme="majorHAnsi"/>
          <w:lang w:val="en-US"/>
        </w:rPr>
      </w:pPr>
    </w:p>
    <w:p w14:paraId="659FBB39" w14:textId="4FFCE9EB" w:rsidR="002C4189" w:rsidRPr="00810DAB" w:rsidRDefault="00FB7D91" w:rsidP="00F92162">
      <w:pPr>
        <w:keepNext/>
        <w:rPr>
          <w:rFonts w:asciiTheme="majorHAnsi" w:hAnsiTheme="majorHAnsi"/>
          <w:b/>
          <w:u w:val="single"/>
          <w:lang w:val="en-US"/>
        </w:rPr>
      </w:pPr>
      <w:bookmarkStart w:id="15" w:name="IDX"/>
      <w:bookmarkStart w:id="16" w:name="_Ref22187748"/>
      <w:bookmarkEnd w:id="15"/>
      <w:r>
        <w:rPr>
          <w:rFonts w:asciiTheme="majorHAnsi" w:hAnsiTheme="majorHAnsi"/>
          <w:b/>
          <w:lang w:val="en-US"/>
        </w:rPr>
        <w:t xml:space="preserve">Figure </w:t>
      </w:r>
      <w:r>
        <w:rPr>
          <w:rFonts w:asciiTheme="majorHAnsi" w:hAnsiTheme="majorHAnsi"/>
          <w:b/>
          <w:lang w:val="en-US"/>
        </w:rPr>
        <w:fldChar w:fldCharType="begin"/>
      </w:r>
      <w:r>
        <w:rPr>
          <w:rFonts w:asciiTheme="majorHAnsi" w:hAnsiTheme="majorHAnsi"/>
          <w:b/>
          <w:lang w:val="en-US"/>
        </w:rPr>
        <w:instrText xml:space="preserve"> SEQ Figure \* ARABIC </w:instrText>
      </w:r>
      <w:r>
        <w:rPr>
          <w:rFonts w:asciiTheme="majorHAnsi" w:hAnsiTheme="majorHAnsi"/>
          <w:b/>
          <w:lang w:val="en-US"/>
        </w:rPr>
        <w:fldChar w:fldCharType="separate"/>
      </w:r>
      <w:r w:rsidR="00C8101D">
        <w:rPr>
          <w:rFonts w:asciiTheme="majorHAnsi" w:hAnsiTheme="majorHAnsi"/>
          <w:b/>
          <w:noProof/>
          <w:lang w:val="en-US"/>
        </w:rPr>
        <w:t>1</w:t>
      </w:r>
      <w:r>
        <w:rPr>
          <w:rFonts w:asciiTheme="majorHAnsi" w:hAnsiTheme="majorHAnsi"/>
          <w:lang w:val="en-US"/>
        </w:rPr>
        <w:fldChar w:fldCharType="end"/>
      </w:r>
      <w:bookmarkEnd w:id="16"/>
      <w:r>
        <w:rPr>
          <w:rFonts w:asciiTheme="majorHAnsi" w:hAnsiTheme="majorHAnsi"/>
          <w:b/>
          <w:lang w:val="en-US"/>
        </w:rPr>
        <w:t>: Kaplan-Meier Curve of Progression-Free Surviva</w:t>
      </w:r>
      <w:r w:rsidRPr="00A13A67">
        <w:rPr>
          <w:rFonts w:asciiTheme="majorHAnsi" w:hAnsiTheme="majorHAnsi"/>
          <w:b/>
          <w:lang w:val="en-US"/>
        </w:rPr>
        <w:t>l</w:t>
      </w:r>
      <w:r w:rsidR="00A13A67" w:rsidRPr="00590419">
        <w:rPr>
          <w:rFonts w:asciiTheme="majorHAnsi" w:hAnsiTheme="majorHAnsi"/>
          <w:b/>
          <w:lang w:val="en-US"/>
        </w:rPr>
        <w:t xml:space="preserve"> </w:t>
      </w:r>
      <w:r w:rsidR="00B85923" w:rsidRPr="00590419">
        <w:rPr>
          <w:rFonts w:asciiTheme="majorHAnsi" w:hAnsiTheme="majorHAnsi"/>
          <w:b/>
          <w:lang w:val="en-US"/>
        </w:rPr>
        <w:t>in INVICTUS</w:t>
      </w:r>
    </w:p>
    <w:p w14:paraId="08804F7D" w14:textId="6C95FC5F" w:rsidR="00B85923" w:rsidRDefault="005A065E" w:rsidP="004072E8">
      <w:pPr>
        <w:rPr>
          <w:rFonts w:asciiTheme="majorHAnsi" w:hAnsiTheme="majorHAnsi"/>
          <w:b/>
          <w:lang w:val="en-US"/>
        </w:rPr>
      </w:pPr>
      <w:r w:rsidRPr="00810DAB">
        <w:rPr>
          <w:noProof/>
          <w:lang w:eastAsia="en-AU"/>
        </w:rPr>
        <w:drawing>
          <wp:inline distT="0" distB="0" distL="0" distR="0" wp14:anchorId="2A68A918" wp14:editId="0C2BCD39">
            <wp:extent cx="5052507" cy="2962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1390" cy="2973346"/>
                    </a:xfrm>
                    <a:prstGeom prst="rect">
                      <a:avLst/>
                    </a:prstGeom>
                    <a:noFill/>
                    <a:ln>
                      <a:noFill/>
                    </a:ln>
                  </pic:spPr>
                </pic:pic>
              </a:graphicData>
            </a:graphic>
          </wp:inline>
        </w:drawing>
      </w:r>
    </w:p>
    <w:p w14:paraId="3BDE6395" w14:textId="547B56E8" w:rsidR="002C4189" w:rsidRDefault="002C4189">
      <w:pPr>
        <w:rPr>
          <w:lang w:val="en-US"/>
        </w:rPr>
      </w:pPr>
    </w:p>
    <w:p w14:paraId="5D9F17DB" w14:textId="7C4F9446" w:rsidR="002C4189" w:rsidRPr="00810DAB" w:rsidRDefault="00FB7D91" w:rsidP="002B0592">
      <w:pPr>
        <w:keepNext/>
        <w:rPr>
          <w:rFonts w:asciiTheme="majorHAnsi" w:hAnsiTheme="majorHAnsi"/>
          <w:b/>
          <w:color w:val="00B050"/>
          <w:u w:val="single"/>
          <w:lang w:val="en-US"/>
        </w:rPr>
      </w:pPr>
      <w:bookmarkStart w:id="17" w:name="_Ref22187802"/>
      <w:bookmarkStart w:id="18" w:name="_Ref22975824"/>
      <w:r>
        <w:rPr>
          <w:rFonts w:asciiTheme="majorHAnsi" w:hAnsiTheme="majorHAnsi"/>
          <w:b/>
          <w:lang w:val="en-US"/>
        </w:rPr>
        <w:lastRenderedPageBreak/>
        <w:t xml:space="preserve">Figure </w:t>
      </w:r>
      <w:r>
        <w:rPr>
          <w:rFonts w:asciiTheme="majorHAnsi" w:hAnsiTheme="majorHAnsi"/>
          <w:b/>
          <w:lang w:val="en-US"/>
        </w:rPr>
        <w:fldChar w:fldCharType="begin"/>
      </w:r>
      <w:r>
        <w:rPr>
          <w:rFonts w:asciiTheme="majorHAnsi" w:hAnsiTheme="majorHAnsi"/>
          <w:b/>
          <w:lang w:val="en-US"/>
        </w:rPr>
        <w:instrText xml:space="preserve"> SEQ Figure \* ARABIC </w:instrText>
      </w:r>
      <w:r>
        <w:rPr>
          <w:rFonts w:asciiTheme="majorHAnsi" w:hAnsiTheme="majorHAnsi"/>
          <w:b/>
          <w:lang w:val="en-US"/>
        </w:rPr>
        <w:fldChar w:fldCharType="separate"/>
      </w:r>
      <w:r w:rsidR="00C8101D">
        <w:rPr>
          <w:rFonts w:asciiTheme="majorHAnsi" w:hAnsiTheme="majorHAnsi"/>
          <w:b/>
          <w:noProof/>
          <w:lang w:val="en-US"/>
        </w:rPr>
        <w:t>2</w:t>
      </w:r>
      <w:r>
        <w:rPr>
          <w:rFonts w:asciiTheme="majorHAnsi" w:hAnsiTheme="majorHAnsi"/>
          <w:lang w:val="en-US"/>
        </w:rPr>
        <w:fldChar w:fldCharType="end"/>
      </w:r>
      <w:bookmarkEnd w:id="17"/>
      <w:r>
        <w:rPr>
          <w:rFonts w:asciiTheme="majorHAnsi" w:hAnsiTheme="majorHAnsi"/>
          <w:b/>
          <w:lang w:val="en-US"/>
        </w:rPr>
        <w:t>:</w:t>
      </w:r>
      <w:r w:rsidR="000B74D1">
        <w:rPr>
          <w:rFonts w:asciiTheme="majorHAnsi" w:hAnsiTheme="majorHAnsi"/>
          <w:b/>
          <w:lang w:val="en-US"/>
        </w:rPr>
        <w:t xml:space="preserve"> </w:t>
      </w:r>
      <w:r>
        <w:rPr>
          <w:rFonts w:asciiTheme="majorHAnsi" w:hAnsiTheme="majorHAnsi"/>
          <w:b/>
          <w:lang w:val="en-US"/>
        </w:rPr>
        <w:t>Kaplan-Meier Curve of Overall Survival</w:t>
      </w:r>
      <w:r w:rsidR="00A13A67" w:rsidRPr="00590419">
        <w:rPr>
          <w:rFonts w:asciiTheme="majorHAnsi" w:hAnsiTheme="majorHAnsi"/>
          <w:b/>
          <w:lang w:val="en-US"/>
        </w:rPr>
        <w:t xml:space="preserve"> </w:t>
      </w:r>
      <w:bookmarkEnd w:id="18"/>
      <w:r w:rsidR="00B85923" w:rsidRPr="00590419">
        <w:rPr>
          <w:rFonts w:asciiTheme="majorHAnsi" w:hAnsiTheme="majorHAnsi"/>
          <w:b/>
          <w:lang w:val="en-US"/>
        </w:rPr>
        <w:t>in INVICTUS</w:t>
      </w:r>
    </w:p>
    <w:p w14:paraId="541A9F65" w14:textId="0EB51745" w:rsidR="00B85923" w:rsidRDefault="005A065E" w:rsidP="004072E8">
      <w:pPr>
        <w:rPr>
          <w:rFonts w:asciiTheme="majorHAnsi" w:hAnsiTheme="majorHAnsi"/>
          <w:b/>
          <w:lang w:val="en-US"/>
        </w:rPr>
      </w:pPr>
      <w:r w:rsidRPr="00575528">
        <w:rPr>
          <w:noProof/>
          <w:lang w:eastAsia="en-AU"/>
        </w:rPr>
        <w:drawing>
          <wp:inline distT="0" distB="0" distL="0" distR="0" wp14:anchorId="544A682A" wp14:editId="458AF2A4">
            <wp:extent cx="5043170" cy="2828925"/>
            <wp:effectExtent l="0" t="0" r="508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57334" cy="2836870"/>
                    </a:xfrm>
                    <a:prstGeom prst="rect">
                      <a:avLst/>
                    </a:prstGeom>
                    <a:noFill/>
                    <a:ln>
                      <a:noFill/>
                    </a:ln>
                  </pic:spPr>
                </pic:pic>
              </a:graphicData>
            </a:graphic>
          </wp:inline>
        </w:drawing>
      </w:r>
    </w:p>
    <w:p w14:paraId="5667E0F5" w14:textId="77777777" w:rsidR="002C4189" w:rsidRDefault="00FB7D91">
      <w:pPr>
        <w:pStyle w:val="Heading2"/>
        <w:keepNext/>
        <w:spacing w:before="0" w:after="120"/>
        <w:rPr>
          <w:rFonts w:cstheme="minorHAnsi"/>
          <w:lang w:val="en-US"/>
        </w:rPr>
      </w:pPr>
      <w:r>
        <w:rPr>
          <w:rFonts w:cstheme="minorHAnsi"/>
          <w:lang w:val="en-US"/>
        </w:rPr>
        <w:t xml:space="preserve">Pharmacokinetic properties </w:t>
      </w:r>
    </w:p>
    <w:p w14:paraId="6A2E0B97" w14:textId="77777777" w:rsidR="002C4189" w:rsidRDefault="00FB7D91">
      <w:pPr>
        <w:pStyle w:val="Heading3"/>
        <w:spacing w:before="0" w:after="120"/>
        <w:ind w:left="0"/>
        <w:rPr>
          <w:rFonts w:cstheme="minorHAnsi"/>
        </w:rPr>
      </w:pPr>
      <w:r>
        <w:rPr>
          <w:rFonts w:cstheme="minorHAnsi"/>
        </w:rPr>
        <w:t xml:space="preserve">Absorption </w:t>
      </w:r>
    </w:p>
    <w:p w14:paraId="037F91FA" w14:textId="552776D9" w:rsidR="002C4189" w:rsidRDefault="00FB7D91">
      <w:pPr>
        <w:rPr>
          <w:rFonts w:asciiTheme="majorHAnsi" w:hAnsiTheme="majorHAnsi" w:cstheme="minorHAnsi"/>
          <w:lang w:val="en-US"/>
        </w:rPr>
      </w:pPr>
      <w:r w:rsidRPr="00086F2D">
        <w:rPr>
          <w:rFonts w:asciiTheme="majorHAnsi" w:hAnsiTheme="majorHAnsi" w:cstheme="minorHAnsi"/>
          <w:lang w:val="en-US"/>
        </w:rPr>
        <w:t>Ripretinib reaches peak plasma concentrations at 4 hours after a single oral dose of 150 mg ripretinib (given as three tablets each containing 50 mg). The steady state AUC</w:t>
      </w:r>
      <w:r w:rsidR="00E813B1" w:rsidRPr="00F92162">
        <w:rPr>
          <w:rFonts w:asciiTheme="majorHAnsi" w:hAnsiTheme="majorHAnsi" w:cstheme="minorHAnsi"/>
          <w:vertAlign w:val="subscript"/>
          <w:lang w:val="en-US"/>
        </w:rPr>
        <w:t>0-12</w:t>
      </w:r>
      <w:r w:rsidR="00492509">
        <w:rPr>
          <w:rFonts w:asciiTheme="majorHAnsi" w:hAnsiTheme="majorHAnsi" w:cstheme="minorHAnsi"/>
          <w:vertAlign w:val="subscript"/>
          <w:lang w:val="en-US"/>
        </w:rPr>
        <w:t>h</w:t>
      </w:r>
      <w:r w:rsidRPr="00E813B1">
        <w:rPr>
          <w:rFonts w:asciiTheme="majorHAnsi" w:hAnsiTheme="majorHAnsi" w:cstheme="minorHAnsi"/>
          <w:lang w:val="en-US"/>
        </w:rPr>
        <w:t xml:space="preserve"> </w:t>
      </w:r>
      <w:r w:rsidRPr="00086F2D">
        <w:rPr>
          <w:rFonts w:asciiTheme="majorHAnsi" w:hAnsiTheme="majorHAnsi" w:cstheme="minorHAnsi"/>
          <w:lang w:val="en-US"/>
        </w:rPr>
        <w:t>observed in patients at 150 mg is 5678 ng•h/mL. Steady state is achieved by approximately Day 15. Administration with a high-fat meal increased ripretinib AUC</w:t>
      </w:r>
      <w:r w:rsidRPr="00086F2D">
        <w:rPr>
          <w:rFonts w:asciiTheme="majorHAnsi" w:hAnsiTheme="majorHAnsi" w:cstheme="minorHAnsi"/>
          <w:vertAlign w:val="subscript"/>
          <w:lang w:val="en-US"/>
        </w:rPr>
        <w:t xml:space="preserve">0-24 </w:t>
      </w:r>
      <w:r w:rsidRPr="00086F2D">
        <w:rPr>
          <w:rFonts w:asciiTheme="majorHAnsi" w:hAnsiTheme="majorHAnsi" w:cstheme="minorHAnsi"/>
          <w:lang w:val="en-US"/>
        </w:rPr>
        <w:t>and C</w:t>
      </w:r>
      <w:r w:rsidRPr="00086F2D">
        <w:rPr>
          <w:rFonts w:asciiTheme="majorHAnsi" w:hAnsiTheme="majorHAnsi" w:cstheme="minorHAnsi"/>
          <w:vertAlign w:val="subscript"/>
          <w:lang w:val="en-US"/>
        </w:rPr>
        <w:t>max</w:t>
      </w:r>
      <w:r w:rsidRPr="00086F2D">
        <w:rPr>
          <w:rFonts w:asciiTheme="majorHAnsi" w:hAnsiTheme="majorHAnsi" w:cstheme="minorHAnsi"/>
          <w:lang w:val="en-US"/>
        </w:rPr>
        <w:t xml:space="preserve"> by 30% and 22%, respectively. DP-5439 AUC</w:t>
      </w:r>
      <w:r w:rsidRPr="00086F2D">
        <w:rPr>
          <w:rFonts w:asciiTheme="majorHAnsi" w:hAnsiTheme="majorHAnsi" w:cstheme="minorHAnsi"/>
          <w:vertAlign w:val="subscript"/>
          <w:lang w:val="en-US"/>
        </w:rPr>
        <w:t xml:space="preserve">0-24 </w:t>
      </w:r>
      <w:r w:rsidRPr="00086F2D">
        <w:rPr>
          <w:rFonts w:asciiTheme="majorHAnsi" w:hAnsiTheme="majorHAnsi" w:cstheme="minorHAnsi"/>
          <w:lang w:val="en-US"/>
        </w:rPr>
        <w:t>and C</w:t>
      </w:r>
      <w:r w:rsidRPr="00086F2D">
        <w:rPr>
          <w:rFonts w:asciiTheme="majorHAnsi" w:hAnsiTheme="majorHAnsi" w:cstheme="minorHAnsi"/>
          <w:vertAlign w:val="subscript"/>
          <w:lang w:val="en-US"/>
        </w:rPr>
        <w:t>max</w:t>
      </w:r>
      <w:r w:rsidRPr="00086F2D">
        <w:rPr>
          <w:rFonts w:asciiTheme="majorHAnsi" w:hAnsiTheme="majorHAnsi" w:cstheme="minorHAnsi"/>
          <w:lang w:val="en-US"/>
        </w:rPr>
        <w:t xml:space="preserve"> were higher by 47% and 66%, respectively.</w:t>
      </w:r>
    </w:p>
    <w:p w14:paraId="500FC96F" w14:textId="77777777" w:rsidR="002C4189" w:rsidRDefault="00FB7D91">
      <w:pPr>
        <w:pStyle w:val="Heading3"/>
        <w:spacing w:before="0" w:after="120"/>
        <w:ind w:left="0"/>
        <w:rPr>
          <w:rFonts w:cstheme="minorHAnsi"/>
        </w:rPr>
      </w:pPr>
      <w:r>
        <w:rPr>
          <w:rFonts w:cstheme="minorHAnsi"/>
        </w:rPr>
        <w:t xml:space="preserve">Distribution </w:t>
      </w:r>
    </w:p>
    <w:p w14:paraId="08AF8836" w14:textId="3D1099AA" w:rsidR="002C4189" w:rsidRPr="00B4305A" w:rsidRDefault="00FB7D91">
      <w:pPr>
        <w:rPr>
          <w:rFonts w:asciiTheme="majorHAnsi" w:hAnsiTheme="majorHAnsi" w:cstheme="minorHAnsi"/>
          <w:sz w:val="24"/>
          <w:szCs w:val="24"/>
          <w:lang w:val="en-US"/>
        </w:rPr>
      </w:pPr>
      <w:r w:rsidRPr="00B4305A">
        <w:rPr>
          <w:rFonts w:asciiTheme="majorHAnsi" w:hAnsiTheme="majorHAnsi" w:cs="Calibri"/>
        </w:rPr>
        <w:t>Both ripretinib and its active metabolite DP-5439 bind to plasma proteins at ≥ 99%. The apparent volume of distribution (Vss/F) is approximately 307 L.</w:t>
      </w:r>
    </w:p>
    <w:p w14:paraId="51092DC6" w14:textId="77777777" w:rsidR="002C4189" w:rsidRDefault="00FB7D91">
      <w:pPr>
        <w:pStyle w:val="Heading3"/>
        <w:spacing w:before="0" w:after="120"/>
        <w:ind w:left="0"/>
        <w:rPr>
          <w:rFonts w:cstheme="minorHAnsi"/>
        </w:rPr>
      </w:pPr>
      <w:r>
        <w:rPr>
          <w:rFonts w:cstheme="minorHAnsi"/>
        </w:rPr>
        <w:t xml:space="preserve">Metabolism </w:t>
      </w:r>
    </w:p>
    <w:p w14:paraId="682DDA92" w14:textId="78DAF566" w:rsidR="002C4189" w:rsidRDefault="00FB7D91">
      <w:pPr>
        <w:rPr>
          <w:rFonts w:asciiTheme="majorHAnsi" w:hAnsiTheme="majorHAnsi" w:cstheme="minorHAnsi"/>
          <w:lang w:val="en"/>
        </w:rPr>
      </w:pPr>
      <w:r>
        <w:rPr>
          <w:rFonts w:asciiTheme="majorHAnsi" w:hAnsiTheme="majorHAnsi" w:cstheme="minorHAnsi"/>
          <w:lang w:val="en"/>
        </w:rPr>
        <w:t>Ripretinib was metabolised</w:t>
      </w:r>
      <w:r>
        <w:rPr>
          <w:rFonts w:asciiTheme="majorHAnsi" w:hAnsiTheme="majorHAnsi" w:cstheme="minorHAnsi"/>
          <w:i/>
          <w:iCs/>
          <w:lang w:val="en"/>
        </w:rPr>
        <w:t xml:space="preserve"> in vitro</w:t>
      </w:r>
      <w:r>
        <w:rPr>
          <w:rFonts w:asciiTheme="majorHAnsi" w:hAnsiTheme="majorHAnsi" w:cstheme="minorHAnsi"/>
          <w:lang w:val="en"/>
        </w:rPr>
        <w:t xml:space="preserve">. CYP3A4/5 is the major metaboliser of ripretinib </w:t>
      </w:r>
      <w:r w:rsidR="00866225" w:rsidRPr="00590419">
        <w:rPr>
          <w:rFonts w:asciiTheme="majorHAnsi" w:hAnsiTheme="majorHAnsi" w:cstheme="minorHAnsi"/>
          <w:lang w:val="en"/>
        </w:rPr>
        <w:t xml:space="preserve">and its active metabolite, </w:t>
      </w:r>
      <w:r w:rsidR="00C83172" w:rsidRPr="00590419">
        <w:rPr>
          <w:rFonts w:asciiTheme="majorHAnsi" w:hAnsiTheme="majorHAnsi" w:cstheme="minorHAnsi"/>
          <w:lang w:val="en"/>
        </w:rPr>
        <w:t>DP-5439</w:t>
      </w:r>
      <w:r w:rsidR="007A5D0F" w:rsidRPr="00590419">
        <w:rPr>
          <w:rFonts w:asciiTheme="majorHAnsi" w:hAnsiTheme="majorHAnsi" w:cstheme="minorHAnsi"/>
          <w:lang w:val="en"/>
        </w:rPr>
        <w:t>,</w:t>
      </w:r>
      <w:r w:rsidR="00866225" w:rsidRPr="00590419">
        <w:rPr>
          <w:rFonts w:asciiTheme="majorHAnsi" w:hAnsiTheme="majorHAnsi" w:cstheme="minorHAnsi"/>
          <w:lang w:val="en"/>
        </w:rPr>
        <w:t xml:space="preserve"> </w:t>
      </w:r>
      <w:r w:rsidRPr="0018295F">
        <w:rPr>
          <w:rFonts w:asciiTheme="majorHAnsi" w:hAnsiTheme="majorHAnsi" w:cstheme="minorHAnsi"/>
          <w:lang w:val="en"/>
        </w:rPr>
        <w:t xml:space="preserve">while CYP2C8 and CYP2D6 are only minor metabolisers. </w:t>
      </w:r>
    </w:p>
    <w:p w14:paraId="4227047B" w14:textId="77777777" w:rsidR="002C4189" w:rsidRDefault="00FB7D91">
      <w:pPr>
        <w:pStyle w:val="Heading3"/>
        <w:spacing w:before="0" w:after="120"/>
        <w:ind w:left="0"/>
        <w:rPr>
          <w:rFonts w:cstheme="minorHAnsi"/>
        </w:rPr>
      </w:pPr>
      <w:r>
        <w:rPr>
          <w:rFonts w:cstheme="minorHAnsi"/>
        </w:rPr>
        <w:t xml:space="preserve">Excretion </w:t>
      </w:r>
    </w:p>
    <w:p w14:paraId="6DE3BCAC" w14:textId="7DBD90EE" w:rsidR="002C4189" w:rsidRDefault="00FB7D91">
      <w:pPr>
        <w:rPr>
          <w:rFonts w:asciiTheme="majorHAnsi" w:hAnsiTheme="majorHAnsi" w:cstheme="minorHAnsi"/>
          <w:b/>
          <w:bCs/>
          <w:lang w:val="en-US"/>
        </w:rPr>
      </w:pPr>
      <w:r>
        <w:rPr>
          <w:rFonts w:asciiTheme="majorHAnsi" w:hAnsiTheme="majorHAnsi" w:cstheme="minorHAnsi"/>
          <w:lang w:val="en-US"/>
        </w:rPr>
        <w:t>Following oral administration of ripretinib 150 mg once daily, the mean apparent oral clearance (CL/F) of ripretinib at steady-state is 15.3 L/hr and the mean plasma elimination half-life is 14.8</w:t>
      </w:r>
      <w:r w:rsidR="009F6A6C" w:rsidRPr="00735CD8">
        <w:rPr>
          <w:rFonts w:asciiTheme="majorHAnsi" w:hAnsiTheme="majorHAnsi" w:cstheme="minorHAnsi"/>
          <w:color w:val="00B0F0"/>
          <w:u w:val="single"/>
          <w:lang w:val="en-US"/>
        </w:rPr>
        <w:t> </w:t>
      </w:r>
      <w:r w:rsidRPr="00735CD8">
        <w:rPr>
          <w:rFonts w:asciiTheme="majorHAnsi" w:hAnsiTheme="majorHAnsi" w:cstheme="minorHAnsi"/>
          <w:strike/>
          <w:color w:val="00B0F0"/>
          <w:lang w:val="en-US"/>
        </w:rPr>
        <w:t xml:space="preserve"> </w:t>
      </w:r>
      <w:r>
        <w:rPr>
          <w:rFonts w:asciiTheme="majorHAnsi" w:hAnsiTheme="majorHAnsi" w:cstheme="minorHAnsi"/>
          <w:lang w:val="en-US"/>
        </w:rPr>
        <w:t>hours</w:t>
      </w:r>
    </w:p>
    <w:p w14:paraId="54C9F218" w14:textId="03054A90" w:rsidR="002C4189" w:rsidRDefault="00FB7D91">
      <w:pPr>
        <w:rPr>
          <w:rFonts w:asciiTheme="majorHAnsi" w:hAnsiTheme="majorHAnsi" w:cstheme="minorHAnsi"/>
          <w:lang w:val="en"/>
        </w:rPr>
      </w:pPr>
      <w:r>
        <w:rPr>
          <w:rFonts w:asciiTheme="majorHAnsi" w:hAnsiTheme="majorHAnsi" w:cstheme="minorHAnsi"/>
          <w:lang w:val="en-US"/>
        </w:rPr>
        <w:t xml:space="preserve">In preclinical species, </w:t>
      </w:r>
      <w:r>
        <w:rPr>
          <w:rFonts w:asciiTheme="majorHAnsi" w:hAnsiTheme="majorHAnsi" w:cstheme="minorHAnsi"/>
          <w:vertAlign w:val="superscript"/>
          <w:lang w:val="en-US"/>
        </w:rPr>
        <w:t>14</w:t>
      </w:r>
      <w:r>
        <w:rPr>
          <w:rFonts w:asciiTheme="majorHAnsi" w:hAnsiTheme="majorHAnsi" w:cstheme="minorHAnsi"/>
          <w:lang w:val="en-US"/>
        </w:rPr>
        <w:t xml:space="preserve">C-labeled ripretinib dosed to Sprague-Dawley rats (oral) and beagle dogs (intravenous [iv]), resulted in greater than </w:t>
      </w:r>
      <w:r w:rsidR="00866225" w:rsidRPr="00590419">
        <w:rPr>
          <w:rFonts w:asciiTheme="majorHAnsi" w:hAnsiTheme="majorHAnsi" w:cstheme="minorHAnsi"/>
          <w:lang w:val="en-US"/>
        </w:rPr>
        <w:t>87</w:t>
      </w:r>
      <w:r w:rsidRPr="00094F2D">
        <w:rPr>
          <w:rFonts w:asciiTheme="majorHAnsi" w:hAnsiTheme="majorHAnsi" w:cstheme="minorHAnsi"/>
          <w:lang w:val="en-US"/>
        </w:rPr>
        <w:t xml:space="preserve">% </w:t>
      </w:r>
      <w:r>
        <w:rPr>
          <w:rFonts w:asciiTheme="majorHAnsi" w:hAnsiTheme="majorHAnsi" w:cstheme="minorHAnsi"/>
          <w:lang w:val="en-US"/>
        </w:rPr>
        <w:t>of the radioactive dose being excreted in f</w:t>
      </w:r>
      <w:r w:rsidR="00866225" w:rsidRPr="00590419">
        <w:rPr>
          <w:rFonts w:asciiTheme="majorHAnsi" w:hAnsiTheme="majorHAnsi" w:cstheme="minorHAnsi"/>
          <w:lang w:val="en-US"/>
        </w:rPr>
        <w:t>a</w:t>
      </w:r>
      <w:r>
        <w:rPr>
          <w:rFonts w:asciiTheme="majorHAnsi" w:hAnsiTheme="majorHAnsi" w:cstheme="minorHAnsi"/>
          <w:lang w:val="en-US"/>
        </w:rPr>
        <w:t>eces and 1.8% or less in the urine.</w:t>
      </w:r>
    </w:p>
    <w:p w14:paraId="625953DD" w14:textId="61D3E0E7" w:rsidR="002C4189" w:rsidRDefault="00FB7D91">
      <w:pPr>
        <w:rPr>
          <w:rFonts w:asciiTheme="majorHAnsi" w:hAnsiTheme="majorHAnsi" w:cstheme="minorHAnsi"/>
          <w:lang w:val="en"/>
        </w:rPr>
      </w:pPr>
      <w:r>
        <w:rPr>
          <w:rFonts w:asciiTheme="majorHAnsi" w:hAnsiTheme="majorHAnsi"/>
        </w:rPr>
        <w:t>PK analyses obtained from urine and f</w:t>
      </w:r>
      <w:r w:rsidR="00896745">
        <w:rPr>
          <w:rFonts w:asciiTheme="majorHAnsi" w:hAnsiTheme="majorHAnsi"/>
        </w:rPr>
        <w:t>a</w:t>
      </w:r>
      <w:r>
        <w:rPr>
          <w:rFonts w:asciiTheme="majorHAnsi" w:hAnsiTheme="majorHAnsi"/>
        </w:rPr>
        <w:t xml:space="preserve">eces samples in 10 healthy volunteers showed that systemic elimination of ripretinib was not primarily attributed to the kidney. Through 1 week </w:t>
      </w:r>
      <w:r>
        <w:rPr>
          <w:rFonts w:asciiTheme="majorHAnsi" w:hAnsiTheme="majorHAnsi"/>
        </w:rPr>
        <w:lastRenderedPageBreak/>
        <w:t>(168 hours) after a single oral administration of 50 mg ripretinib (given alone), 0.02% of the ripretinib dose was excreted as ripretinib in urine and 34.2% of the ripretinib dose was excreted as ripretinib in f</w:t>
      </w:r>
      <w:r w:rsidR="00896745">
        <w:rPr>
          <w:rFonts w:asciiTheme="majorHAnsi" w:hAnsiTheme="majorHAnsi"/>
        </w:rPr>
        <w:t>a</w:t>
      </w:r>
      <w:r>
        <w:rPr>
          <w:rFonts w:asciiTheme="majorHAnsi" w:hAnsiTheme="majorHAnsi"/>
        </w:rPr>
        <w:t>eces.</w:t>
      </w:r>
    </w:p>
    <w:p w14:paraId="17F33AA0" w14:textId="77777777" w:rsidR="002C4189" w:rsidRDefault="00FB7D91">
      <w:pPr>
        <w:pStyle w:val="Heading3"/>
        <w:spacing w:before="0" w:after="120"/>
        <w:ind w:left="0"/>
      </w:pPr>
      <w:bookmarkStart w:id="19" w:name="_Hlk26177172"/>
      <w:r>
        <w:rPr>
          <w:rFonts w:cstheme="minorHAnsi"/>
        </w:rPr>
        <w:t xml:space="preserve">Pharmacokinetics in special patient populations </w:t>
      </w:r>
      <w:bookmarkStart w:id="20" w:name="_Hlk25588425"/>
    </w:p>
    <w:bookmarkEnd w:id="20"/>
    <w:p w14:paraId="691CD0D5" w14:textId="4FCA551F" w:rsidR="002C4189" w:rsidRPr="007F13FF" w:rsidRDefault="00FB7D91">
      <w:pPr>
        <w:rPr>
          <w:rFonts w:asciiTheme="majorHAnsi" w:hAnsiTheme="majorHAnsi"/>
        </w:rPr>
      </w:pPr>
      <w:r>
        <w:rPr>
          <w:rFonts w:asciiTheme="majorHAnsi" w:hAnsiTheme="majorHAnsi"/>
        </w:rPr>
        <w:t>Population pharmacokinetic analyses of demographic data indicate that no clinically meaningful differences in the pharmacokinetics of ripretinib were observed based on age (19 to 87 years), sex, race (White, Black, and Asian), body weight (39 to 138 kg), tumo</w:t>
      </w:r>
      <w:r w:rsidR="00896745">
        <w:rPr>
          <w:rFonts w:asciiTheme="majorHAnsi" w:hAnsiTheme="majorHAnsi"/>
        </w:rPr>
        <w:t>u</w:t>
      </w:r>
      <w:r>
        <w:rPr>
          <w:rFonts w:asciiTheme="majorHAnsi" w:hAnsiTheme="majorHAnsi"/>
        </w:rPr>
        <w:t>r type (GIST or other solid tumo</w:t>
      </w:r>
      <w:r w:rsidR="00896745">
        <w:rPr>
          <w:rFonts w:asciiTheme="majorHAnsi" w:hAnsiTheme="majorHAnsi"/>
        </w:rPr>
        <w:t>u</w:t>
      </w:r>
      <w:r>
        <w:rPr>
          <w:rFonts w:asciiTheme="majorHAnsi" w:hAnsiTheme="majorHAnsi"/>
        </w:rPr>
        <w:t xml:space="preserve">r), prior gastrectomy, mild to moderate renal impairment </w:t>
      </w:r>
      <w:r w:rsidRPr="0018295F">
        <w:rPr>
          <w:rFonts w:asciiTheme="majorHAnsi" w:hAnsiTheme="majorHAnsi"/>
        </w:rPr>
        <w:t>(</w:t>
      </w:r>
      <w:r w:rsidR="00F24D4F" w:rsidRPr="00590419">
        <w:rPr>
          <w:rFonts w:asciiTheme="majorHAnsi" w:hAnsiTheme="majorHAnsi"/>
        </w:rPr>
        <w:t xml:space="preserve">CLCr </w:t>
      </w:r>
      <w:r w:rsidRPr="0018295F">
        <w:rPr>
          <w:rFonts w:asciiTheme="majorHAnsi" w:hAnsiTheme="majorHAnsi"/>
        </w:rPr>
        <w:t>30 to &lt; 90 mL/min</w:t>
      </w:r>
      <w:r w:rsidR="00866225" w:rsidRPr="00590419">
        <w:rPr>
          <w:rFonts w:asciiTheme="majorHAnsi" w:hAnsiTheme="majorHAnsi"/>
        </w:rPr>
        <w:t xml:space="preserve"> estimated by Cockcroft-Gault</w:t>
      </w:r>
      <w:r w:rsidRPr="0018295F">
        <w:rPr>
          <w:rFonts w:asciiTheme="majorHAnsi" w:hAnsiTheme="majorHAnsi"/>
        </w:rPr>
        <w:t xml:space="preserve">) and mild hepatic impairment </w:t>
      </w:r>
      <w:r w:rsidR="00502B89" w:rsidRPr="00590419">
        <w:rPr>
          <w:rFonts w:asciiTheme="majorHAnsi" w:hAnsiTheme="majorHAnsi"/>
        </w:rPr>
        <w:t>(total bilirubin ≤ULN and AST &gt;ULN or total bilirubin 1 to 1.5 × ULN and AST any).</w:t>
      </w:r>
      <w:bookmarkEnd w:id="19"/>
      <w:r w:rsidR="007F13FF" w:rsidRPr="0018295F">
        <w:rPr>
          <w:rFonts w:asciiTheme="majorHAnsi" w:hAnsiTheme="majorHAnsi"/>
        </w:rPr>
        <w:t xml:space="preserve"> </w:t>
      </w:r>
      <w:r w:rsidR="006752A9" w:rsidRPr="00590419">
        <w:rPr>
          <w:rFonts w:asciiTheme="majorHAnsi" w:hAnsiTheme="majorHAnsi"/>
        </w:rPr>
        <w:t xml:space="preserve">The effects of severe renal impairment </w:t>
      </w:r>
      <w:r w:rsidR="007F13FF" w:rsidRPr="00590419">
        <w:rPr>
          <w:rFonts w:asciiTheme="majorHAnsi" w:hAnsiTheme="majorHAnsi"/>
        </w:rPr>
        <w:t>(</w:t>
      </w:r>
      <w:r w:rsidR="00F24D4F" w:rsidRPr="00590419">
        <w:rPr>
          <w:rFonts w:asciiTheme="majorHAnsi" w:hAnsiTheme="majorHAnsi"/>
        </w:rPr>
        <w:t xml:space="preserve">CLCr </w:t>
      </w:r>
      <w:r w:rsidR="007F13FF" w:rsidRPr="00590419">
        <w:rPr>
          <w:rFonts w:asciiTheme="majorHAnsi" w:hAnsiTheme="majorHAnsi"/>
        </w:rPr>
        <w:t>15 to 29 mL/min)</w:t>
      </w:r>
      <w:r w:rsidR="006752A9" w:rsidRPr="00590419">
        <w:rPr>
          <w:rFonts w:asciiTheme="majorHAnsi" w:hAnsiTheme="majorHAnsi"/>
        </w:rPr>
        <w:t xml:space="preserve"> or moderate to severe hepatic impairment (total bilirubin &gt;1.5 × ULN, AST any) on the pharmacokinetics of ripretinib have not been studied.</w:t>
      </w:r>
    </w:p>
    <w:p w14:paraId="11846AE0" w14:textId="77777777" w:rsidR="002C4189" w:rsidRDefault="00FB7D91">
      <w:pPr>
        <w:pStyle w:val="Heading2"/>
        <w:spacing w:before="0" w:after="120"/>
        <w:rPr>
          <w:rFonts w:cstheme="minorHAnsi"/>
          <w:lang w:val="en-US"/>
        </w:rPr>
      </w:pPr>
      <w:r>
        <w:rPr>
          <w:rFonts w:cstheme="minorHAnsi"/>
          <w:lang w:val="en-US"/>
        </w:rPr>
        <w:t>Preclinical safety data</w:t>
      </w:r>
    </w:p>
    <w:p w14:paraId="2004D1A5" w14:textId="77777777" w:rsidR="002C4189" w:rsidRDefault="00FB7D91">
      <w:pPr>
        <w:pStyle w:val="Heading3"/>
        <w:spacing w:before="0" w:after="120"/>
        <w:ind w:left="0"/>
        <w:rPr>
          <w:rFonts w:cstheme="minorHAnsi"/>
        </w:rPr>
      </w:pPr>
      <w:r>
        <w:rPr>
          <w:rFonts w:cstheme="minorHAnsi"/>
        </w:rPr>
        <w:t>Genotoxicity</w:t>
      </w:r>
    </w:p>
    <w:p w14:paraId="73EB583E" w14:textId="1FD5AFCE" w:rsidR="002C4189" w:rsidRPr="00094F2D" w:rsidRDefault="00FB7D91">
      <w:pPr>
        <w:rPr>
          <w:rFonts w:asciiTheme="majorHAnsi" w:hAnsiTheme="majorHAnsi" w:cstheme="minorHAnsi"/>
        </w:rPr>
      </w:pPr>
      <w:r>
        <w:rPr>
          <w:rFonts w:asciiTheme="majorHAnsi" w:hAnsiTheme="majorHAnsi" w:cstheme="minorHAnsi"/>
        </w:rPr>
        <w:t xml:space="preserve">Ripretinib was not mutagenic in an </w:t>
      </w:r>
      <w:r>
        <w:rPr>
          <w:rFonts w:asciiTheme="majorHAnsi" w:hAnsiTheme="majorHAnsi" w:cstheme="minorHAnsi"/>
          <w:i/>
          <w:iCs/>
        </w:rPr>
        <w:t>in vitro</w:t>
      </w:r>
      <w:r>
        <w:rPr>
          <w:rFonts w:asciiTheme="majorHAnsi" w:hAnsiTheme="majorHAnsi" w:cstheme="minorHAnsi"/>
        </w:rPr>
        <w:t xml:space="preserve"> bacterial reverse mutation (Ames) assay </w:t>
      </w:r>
      <w:r w:rsidR="000A706A" w:rsidRPr="00590419">
        <w:rPr>
          <w:rFonts w:asciiTheme="majorHAnsi" w:hAnsiTheme="majorHAnsi" w:cstheme="minorHAnsi"/>
        </w:rPr>
        <w:t>or</w:t>
      </w:r>
      <w:r w:rsidR="000A706A" w:rsidRPr="00094F2D">
        <w:rPr>
          <w:rFonts w:asciiTheme="majorHAnsi" w:hAnsiTheme="majorHAnsi" w:cstheme="minorHAnsi"/>
        </w:rPr>
        <w:t xml:space="preserve"> </w:t>
      </w:r>
      <w:r w:rsidRPr="00094F2D">
        <w:rPr>
          <w:rFonts w:asciiTheme="majorHAnsi" w:hAnsiTheme="majorHAnsi" w:cstheme="minorHAnsi"/>
        </w:rPr>
        <w:t xml:space="preserve">in </w:t>
      </w:r>
      <w:r w:rsidR="000A706A" w:rsidRPr="00590419">
        <w:rPr>
          <w:rFonts w:asciiTheme="majorHAnsi" w:hAnsiTheme="majorHAnsi" w:cstheme="minorHAnsi"/>
        </w:rPr>
        <w:t xml:space="preserve">clastogenic </w:t>
      </w:r>
      <w:r w:rsidRPr="00094F2D">
        <w:rPr>
          <w:rFonts w:asciiTheme="majorHAnsi" w:hAnsiTheme="majorHAnsi" w:cstheme="minorHAnsi"/>
        </w:rPr>
        <w:t xml:space="preserve">an </w:t>
      </w:r>
      <w:r w:rsidRPr="00094F2D">
        <w:rPr>
          <w:rFonts w:asciiTheme="majorHAnsi" w:hAnsiTheme="majorHAnsi" w:cstheme="minorHAnsi"/>
          <w:i/>
          <w:iCs/>
        </w:rPr>
        <w:t>in vivo</w:t>
      </w:r>
      <w:r w:rsidRPr="00094F2D">
        <w:rPr>
          <w:rFonts w:asciiTheme="majorHAnsi" w:hAnsiTheme="majorHAnsi" w:cstheme="minorHAnsi"/>
        </w:rPr>
        <w:t xml:space="preserve"> rat bone marrow micronucleus assay.</w:t>
      </w:r>
      <w:r w:rsidR="00D5548B" w:rsidRPr="00094F2D">
        <w:rPr>
          <w:rFonts w:asciiTheme="majorHAnsi" w:hAnsiTheme="majorHAnsi" w:cstheme="minorHAnsi"/>
        </w:rPr>
        <w:t xml:space="preserve"> </w:t>
      </w:r>
      <w:r w:rsidR="00D5548B" w:rsidRPr="00590419">
        <w:rPr>
          <w:rFonts w:asciiTheme="majorHAnsi" w:hAnsiTheme="majorHAnsi" w:cstheme="minorHAnsi"/>
        </w:rPr>
        <w:t xml:space="preserve">Ripretinib was weakly positive in an </w:t>
      </w:r>
      <w:r w:rsidR="00D5548B" w:rsidRPr="00590419">
        <w:rPr>
          <w:rFonts w:asciiTheme="majorHAnsi" w:hAnsiTheme="majorHAnsi" w:cstheme="minorHAnsi"/>
          <w:i/>
          <w:iCs/>
        </w:rPr>
        <w:t>in vitro</w:t>
      </w:r>
      <w:r w:rsidR="00D5548B" w:rsidRPr="00590419">
        <w:rPr>
          <w:rFonts w:asciiTheme="majorHAnsi" w:hAnsiTheme="majorHAnsi" w:cstheme="minorHAnsi"/>
        </w:rPr>
        <w:t xml:space="preserve"> clastogenicity assay in human lymphocytes without metabolic activation. Ripretinib’s </w:t>
      </w:r>
      <w:r w:rsidR="00C83172" w:rsidRPr="00590419">
        <w:rPr>
          <w:rFonts w:asciiTheme="majorHAnsi" w:hAnsiTheme="majorHAnsi" w:cstheme="minorHAnsi"/>
        </w:rPr>
        <w:t>active</w:t>
      </w:r>
      <w:r w:rsidR="00D5548B" w:rsidRPr="00590419">
        <w:rPr>
          <w:rFonts w:asciiTheme="majorHAnsi" w:hAnsiTheme="majorHAnsi" w:cstheme="minorHAnsi"/>
        </w:rPr>
        <w:t xml:space="preserve"> metabolite (</w:t>
      </w:r>
      <w:r w:rsidR="00C83172" w:rsidRPr="00590419">
        <w:rPr>
          <w:rFonts w:asciiTheme="majorHAnsi" w:hAnsiTheme="majorHAnsi" w:cstheme="minorHAnsi"/>
        </w:rPr>
        <w:t>DP-5439</w:t>
      </w:r>
      <w:r w:rsidR="00D5548B" w:rsidRPr="00590419">
        <w:rPr>
          <w:rFonts w:asciiTheme="majorHAnsi" w:hAnsiTheme="majorHAnsi" w:cstheme="minorHAnsi"/>
        </w:rPr>
        <w:t xml:space="preserve">) was not mutagenic in an </w:t>
      </w:r>
      <w:r w:rsidR="00D5548B" w:rsidRPr="00590419">
        <w:rPr>
          <w:rFonts w:asciiTheme="majorHAnsi" w:hAnsiTheme="majorHAnsi" w:cstheme="minorHAnsi"/>
          <w:i/>
          <w:iCs/>
        </w:rPr>
        <w:t>in vitro</w:t>
      </w:r>
      <w:r w:rsidR="00D5548B" w:rsidRPr="00590419">
        <w:rPr>
          <w:rFonts w:asciiTheme="majorHAnsi" w:hAnsiTheme="majorHAnsi" w:cstheme="minorHAnsi"/>
        </w:rPr>
        <w:t xml:space="preserve"> bacterial reverse mutation test or clastogenic in an </w:t>
      </w:r>
      <w:r w:rsidR="00D5548B" w:rsidRPr="00590419">
        <w:rPr>
          <w:rFonts w:asciiTheme="majorHAnsi" w:hAnsiTheme="majorHAnsi" w:cstheme="minorHAnsi"/>
          <w:i/>
          <w:iCs/>
        </w:rPr>
        <w:t>in vitro</w:t>
      </w:r>
      <w:r w:rsidR="00D5548B" w:rsidRPr="00590419">
        <w:rPr>
          <w:rFonts w:asciiTheme="majorHAnsi" w:hAnsiTheme="majorHAnsi" w:cstheme="minorHAnsi"/>
        </w:rPr>
        <w:t xml:space="preserve"> chromosomal aberration assay in isolated human lymphocytes. Ripretinib is not expected to pose a genotoxic risk.</w:t>
      </w:r>
    </w:p>
    <w:p w14:paraId="26A5304C" w14:textId="77777777" w:rsidR="002C4189" w:rsidRDefault="00FB7D91">
      <w:pPr>
        <w:pStyle w:val="Heading3"/>
        <w:spacing w:before="0" w:after="120"/>
        <w:ind w:left="0"/>
        <w:rPr>
          <w:rFonts w:cstheme="minorHAnsi"/>
          <w:lang w:val="en-US"/>
        </w:rPr>
      </w:pPr>
      <w:r>
        <w:rPr>
          <w:rFonts w:cstheme="minorHAnsi"/>
        </w:rPr>
        <w:t>Carcin</w:t>
      </w:r>
      <w:r>
        <w:rPr>
          <w:rFonts w:cstheme="minorHAnsi"/>
          <w:lang w:val="en-US"/>
        </w:rPr>
        <w:t>ogenicity</w:t>
      </w:r>
    </w:p>
    <w:p w14:paraId="2A3A8B22" w14:textId="77777777" w:rsidR="002C4189" w:rsidRDefault="00FB7D91">
      <w:pPr>
        <w:rPr>
          <w:rFonts w:asciiTheme="majorHAnsi" w:hAnsiTheme="majorHAnsi" w:cstheme="minorHAnsi"/>
        </w:rPr>
      </w:pPr>
      <w:r>
        <w:rPr>
          <w:rFonts w:asciiTheme="majorHAnsi" w:hAnsiTheme="majorHAnsi" w:cstheme="minorHAnsi"/>
        </w:rPr>
        <w:t>Carcinogenicity studies have not been conducted with ripretinib.</w:t>
      </w:r>
    </w:p>
    <w:p w14:paraId="22F861AF" w14:textId="77777777" w:rsidR="002C4189" w:rsidRDefault="00FB7D91">
      <w:pPr>
        <w:pStyle w:val="Heading1"/>
        <w:spacing w:before="0" w:after="120"/>
        <w:rPr>
          <w:rFonts w:cstheme="minorHAnsi"/>
          <w:lang w:val="en-US"/>
        </w:rPr>
      </w:pPr>
      <w:r>
        <w:rPr>
          <w:rFonts w:cstheme="minorHAnsi"/>
          <w:lang w:val="en-US"/>
        </w:rPr>
        <w:t>Pharmaceutical particulars</w:t>
      </w:r>
    </w:p>
    <w:p w14:paraId="2DC8313F" w14:textId="77777777" w:rsidR="002C4189" w:rsidRDefault="00FB7D91">
      <w:pPr>
        <w:pStyle w:val="Heading2"/>
        <w:spacing w:before="0" w:after="120"/>
        <w:rPr>
          <w:rFonts w:cstheme="minorHAnsi"/>
          <w:lang w:val="en-US"/>
        </w:rPr>
      </w:pPr>
      <w:r>
        <w:rPr>
          <w:rFonts w:cstheme="minorHAnsi"/>
          <w:lang w:val="en-US"/>
        </w:rPr>
        <w:t xml:space="preserve">List of excipients </w:t>
      </w:r>
    </w:p>
    <w:p w14:paraId="7415F9FA" w14:textId="75AFA699" w:rsidR="002C4189" w:rsidRDefault="00FB7D91">
      <w:pPr>
        <w:rPr>
          <w:rFonts w:asciiTheme="majorHAnsi" w:hAnsiTheme="majorHAnsi" w:cstheme="minorHAnsi"/>
          <w:lang w:val="en"/>
        </w:rPr>
      </w:pPr>
      <w:r>
        <w:rPr>
          <w:rFonts w:asciiTheme="majorHAnsi" w:hAnsiTheme="majorHAnsi" w:cstheme="minorHAnsi"/>
          <w:lang w:val="en"/>
        </w:rPr>
        <w:t xml:space="preserve">Each QINLOCK </w:t>
      </w:r>
      <w:r w:rsidR="00A010DC">
        <w:rPr>
          <w:rFonts w:asciiTheme="majorHAnsi" w:hAnsiTheme="majorHAnsi" w:cstheme="minorHAnsi"/>
          <w:lang w:val="en"/>
        </w:rPr>
        <w:t xml:space="preserve">tablet </w:t>
      </w:r>
      <w:r>
        <w:rPr>
          <w:rFonts w:asciiTheme="majorHAnsi" w:hAnsiTheme="majorHAnsi" w:cstheme="minorHAnsi"/>
          <w:lang w:val="en"/>
        </w:rPr>
        <w:t>contains the following inactive ingredients:</w:t>
      </w:r>
    </w:p>
    <w:p w14:paraId="56C37F30" w14:textId="3FCF5224" w:rsidR="00311BDB" w:rsidRPr="00590419" w:rsidRDefault="00BE35CE" w:rsidP="00542BF3">
      <w:pPr>
        <w:pStyle w:val="ListParagraph"/>
        <w:numPr>
          <w:ilvl w:val="0"/>
          <w:numId w:val="17"/>
        </w:numPr>
        <w:rPr>
          <w:rFonts w:asciiTheme="majorHAnsi" w:hAnsiTheme="majorHAnsi" w:cstheme="minorHAnsi"/>
          <w:lang w:val="en-US"/>
        </w:rPr>
      </w:pPr>
      <w:r w:rsidRPr="00590419">
        <w:rPr>
          <w:rFonts w:asciiTheme="majorHAnsi" w:hAnsiTheme="majorHAnsi" w:cstheme="minorHAnsi"/>
          <w:lang w:val="en-US"/>
        </w:rPr>
        <w:t>crospovidone;</w:t>
      </w:r>
    </w:p>
    <w:p w14:paraId="0A23DF97" w14:textId="4BE46DDC" w:rsidR="002C4189" w:rsidRPr="00094F2D" w:rsidRDefault="00FB7D91">
      <w:pPr>
        <w:pStyle w:val="ListParagraph"/>
        <w:numPr>
          <w:ilvl w:val="0"/>
          <w:numId w:val="17"/>
        </w:numPr>
        <w:rPr>
          <w:rFonts w:asciiTheme="majorHAnsi" w:hAnsiTheme="majorHAnsi" w:cstheme="minorHAnsi"/>
          <w:lang w:val="en-US"/>
        </w:rPr>
      </w:pPr>
      <w:r w:rsidRPr="00094F2D">
        <w:rPr>
          <w:rFonts w:asciiTheme="majorHAnsi" w:hAnsiTheme="majorHAnsi" w:cstheme="minorHAnsi"/>
          <w:lang w:val="en-US"/>
        </w:rPr>
        <w:t>hypromellose acetate succinate;</w:t>
      </w:r>
    </w:p>
    <w:p w14:paraId="1557739B" w14:textId="0F8F0B18" w:rsidR="00BE35CE" w:rsidRPr="00590419" w:rsidRDefault="00BE35CE">
      <w:pPr>
        <w:pStyle w:val="ListParagraph"/>
        <w:numPr>
          <w:ilvl w:val="0"/>
          <w:numId w:val="17"/>
        </w:numPr>
        <w:rPr>
          <w:rFonts w:asciiTheme="majorHAnsi" w:hAnsiTheme="majorHAnsi" w:cstheme="minorHAnsi"/>
          <w:lang w:val="en-US"/>
        </w:rPr>
      </w:pPr>
      <w:bookmarkStart w:id="21" w:name="_Hlk42011141"/>
      <w:r w:rsidRPr="00590419">
        <w:rPr>
          <w:rFonts w:asciiTheme="majorHAnsi" w:hAnsiTheme="majorHAnsi" w:cstheme="minorHAnsi"/>
          <w:lang w:val="en-US"/>
        </w:rPr>
        <w:t>lactose monohydrate;</w:t>
      </w:r>
    </w:p>
    <w:bookmarkEnd w:id="21"/>
    <w:p w14:paraId="4EC9F378" w14:textId="7DA94D4A" w:rsidR="00BE35CE" w:rsidRPr="00590419" w:rsidRDefault="00BE35CE">
      <w:pPr>
        <w:pStyle w:val="ListParagraph"/>
        <w:numPr>
          <w:ilvl w:val="0"/>
          <w:numId w:val="17"/>
        </w:numPr>
        <w:rPr>
          <w:rFonts w:asciiTheme="majorHAnsi" w:hAnsiTheme="majorHAnsi" w:cstheme="minorHAnsi"/>
          <w:lang w:val="en-US"/>
        </w:rPr>
      </w:pPr>
      <w:r w:rsidRPr="00590419">
        <w:rPr>
          <w:rFonts w:asciiTheme="majorHAnsi" w:hAnsiTheme="majorHAnsi" w:cstheme="minorHAnsi"/>
          <w:lang w:val="en-US"/>
        </w:rPr>
        <w:t>magnesium stearate;</w:t>
      </w:r>
    </w:p>
    <w:p w14:paraId="1D454966" w14:textId="534332FD" w:rsidR="002C4189" w:rsidRPr="00094F2D" w:rsidRDefault="00FB7D91">
      <w:pPr>
        <w:pStyle w:val="ListParagraph"/>
        <w:numPr>
          <w:ilvl w:val="0"/>
          <w:numId w:val="17"/>
        </w:numPr>
        <w:rPr>
          <w:rFonts w:asciiTheme="majorHAnsi" w:hAnsiTheme="majorHAnsi" w:cstheme="minorHAnsi"/>
          <w:lang w:val="en-US"/>
        </w:rPr>
      </w:pPr>
      <w:r w:rsidRPr="00094F2D">
        <w:rPr>
          <w:rFonts w:asciiTheme="majorHAnsi" w:hAnsiTheme="majorHAnsi" w:cstheme="minorHAnsi"/>
          <w:lang w:val="en-US"/>
        </w:rPr>
        <w:t>microcrystalline cellulose;</w:t>
      </w:r>
    </w:p>
    <w:p w14:paraId="35438FAB" w14:textId="6D0B053C" w:rsidR="00094F2D" w:rsidRPr="00590419" w:rsidRDefault="00FB7D91" w:rsidP="00094F2D">
      <w:pPr>
        <w:pStyle w:val="ListParagraph"/>
        <w:numPr>
          <w:ilvl w:val="0"/>
          <w:numId w:val="17"/>
        </w:numPr>
        <w:rPr>
          <w:rFonts w:asciiTheme="majorHAnsi" w:hAnsiTheme="majorHAnsi" w:cstheme="minorHAnsi"/>
          <w:lang w:val="en-US"/>
        </w:rPr>
      </w:pPr>
      <w:r w:rsidRPr="00094F2D">
        <w:rPr>
          <w:rFonts w:asciiTheme="majorHAnsi" w:hAnsiTheme="majorHAnsi" w:cstheme="minorHAnsi"/>
          <w:lang w:val="en-US"/>
        </w:rPr>
        <w:t>silicon dioxide</w:t>
      </w:r>
      <w:r w:rsidR="00C60632" w:rsidRPr="00590419">
        <w:rPr>
          <w:rFonts w:asciiTheme="majorHAnsi" w:hAnsiTheme="majorHAnsi" w:cstheme="minorHAnsi"/>
          <w:lang w:val="en-US"/>
        </w:rPr>
        <w:t>.</w:t>
      </w:r>
    </w:p>
    <w:p w14:paraId="39299E19" w14:textId="77777777" w:rsidR="002C4189" w:rsidRDefault="00FB7D91">
      <w:pPr>
        <w:pStyle w:val="Heading2"/>
        <w:keepNext/>
        <w:keepLines/>
        <w:spacing w:before="0" w:after="120"/>
        <w:rPr>
          <w:rFonts w:cstheme="minorHAnsi"/>
          <w:lang w:val="en-US"/>
        </w:rPr>
      </w:pPr>
      <w:r>
        <w:rPr>
          <w:rFonts w:cstheme="minorHAnsi"/>
          <w:lang w:val="en-US"/>
        </w:rPr>
        <w:t xml:space="preserve">Incompatibilities </w:t>
      </w:r>
    </w:p>
    <w:p w14:paraId="0CA302D2" w14:textId="77777777" w:rsidR="002C4189" w:rsidRDefault="00FB7D91">
      <w:pPr>
        <w:rPr>
          <w:rFonts w:asciiTheme="majorHAnsi" w:hAnsiTheme="majorHAnsi" w:cstheme="minorHAnsi"/>
          <w:lang w:val="en-US"/>
        </w:rPr>
      </w:pPr>
      <w:r>
        <w:rPr>
          <w:rFonts w:asciiTheme="majorHAnsi" w:hAnsiTheme="majorHAnsi" w:cstheme="minorHAnsi"/>
          <w:lang w:val="en-US"/>
        </w:rPr>
        <w:t>No incompatibilities have been identified.</w:t>
      </w:r>
    </w:p>
    <w:p w14:paraId="64AFEEAE" w14:textId="77777777" w:rsidR="002C4189" w:rsidRDefault="00FB7D91" w:rsidP="00AB6CB6">
      <w:pPr>
        <w:pStyle w:val="Heading2"/>
        <w:keepNext/>
        <w:spacing w:before="0" w:after="120"/>
        <w:ind w:left="763"/>
        <w:rPr>
          <w:rFonts w:cstheme="minorHAnsi"/>
          <w:lang w:val="en-US"/>
        </w:rPr>
      </w:pPr>
      <w:r>
        <w:rPr>
          <w:rFonts w:cstheme="minorHAnsi"/>
          <w:lang w:val="en-US"/>
        </w:rPr>
        <w:t xml:space="preserve">Shelf life </w:t>
      </w:r>
    </w:p>
    <w:p w14:paraId="4C64727C" w14:textId="77777777" w:rsidR="002C4189" w:rsidRDefault="00FB7D91">
      <w:pPr>
        <w:rPr>
          <w:rFonts w:asciiTheme="majorHAnsi" w:hAnsiTheme="majorHAnsi" w:cstheme="minorHAnsi"/>
          <w:lang w:val="en-US"/>
        </w:rPr>
      </w:pPr>
      <w:r>
        <w:rPr>
          <w:rFonts w:asciiTheme="majorHAnsi" w:hAnsiTheme="majorHAnsi" w:cstheme="minorHAnsi"/>
          <w:lang w:val="en"/>
        </w:rPr>
        <w:t xml:space="preserve">In Australia, information on the shelf life can be found on the public summary of the Australian Register of Therapeutic Goods (ARTG). The expiry date can be found on the packaging. </w:t>
      </w:r>
    </w:p>
    <w:p w14:paraId="4488E0C1" w14:textId="77777777" w:rsidR="002C4189" w:rsidRDefault="00FB7D91">
      <w:pPr>
        <w:pStyle w:val="Heading2"/>
        <w:keepNext/>
        <w:keepLines/>
        <w:spacing w:before="0" w:after="120"/>
        <w:rPr>
          <w:rFonts w:cstheme="minorHAnsi"/>
          <w:lang w:val="en-US"/>
        </w:rPr>
      </w:pPr>
      <w:r>
        <w:rPr>
          <w:rFonts w:cstheme="minorHAnsi"/>
          <w:lang w:val="en-US"/>
        </w:rPr>
        <w:lastRenderedPageBreak/>
        <w:t xml:space="preserve">Special precautions for storage </w:t>
      </w:r>
    </w:p>
    <w:p w14:paraId="5223208F" w14:textId="41D2819B" w:rsidR="005A7820" w:rsidRDefault="00FB7D91">
      <w:pPr>
        <w:rPr>
          <w:rFonts w:asciiTheme="majorHAnsi" w:hAnsiTheme="majorHAnsi"/>
          <w:lang w:val="en"/>
        </w:rPr>
      </w:pPr>
      <w:r w:rsidRPr="00F92162">
        <w:rPr>
          <w:rFonts w:asciiTheme="majorHAnsi" w:hAnsiTheme="majorHAnsi"/>
          <w:lang w:val="en"/>
        </w:rPr>
        <w:t>Store below 25°C.</w:t>
      </w:r>
      <w:r w:rsidR="00187CFD">
        <w:rPr>
          <w:rFonts w:asciiTheme="majorHAnsi" w:hAnsiTheme="majorHAnsi"/>
          <w:lang w:val="en"/>
        </w:rPr>
        <w:t xml:space="preserve"> Protect from light.</w:t>
      </w:r>
    </w:p>
    <w:p w14:paraId="28A4DCA0" w14:textId="77777777" w:rsidR="002C4189" w:rsidRDefault="00FB7D91">
      <w:pPr>
        <w:pStyle w:val="Heading2"/>
        <w:spacing w:before="0" w:after="120"/>
        <w:rPr>
          <w:rFonts w:cstheme="minorHAnsi"/>
          <w:lang w:val="en-US"/>
        </w:rPr>
      </w:pPr>
      <w:r>
        <w:rPr>
          <w:rFonts w:cstheme="minorHAnsi"/>
          <w:lang w:val="en-US"/>
        </w:rPr>
        <w:t xml:space="preserve">Nature and contents of container </w:t>
      </w:r>
    </w:p>
    <w:p w14:paraId="57B0B553" w14:textId="77777777" w:rsidR="002C4189" w:rsidRDefault="00FB7D91" w:rsidP="00F92162">
      <w:pPr>
        <w:rPr>
          <w:rFonts w:asciiTheme="majorHAnsi" w:hAnsiTheme="majorHAnsi" w:cstheme="minorHAnsi"/>
          <w:lang w:val="en"/>
        </w:rPr>
      </w:pPr>
      <w:bookmarkStart w:id="22" w:name="_Hlk25148690"/>
      <w:r>
        <w:rPr>
          <w:rFonts w:asciiTheme="majorHAnsi" w:hAnsiTheme="majorHAnsi" w:cstheme="minorHAnsi"/>
          <w:lang w:val="en"/>
        </w:rPr>
        <w:t>QINLOCK 50 mg tablets are packaged with silica gel desiccant into white high-density polyethylene (HDPE) bottles. The bottles are closed with polypropylene child resistant closures with a polyethylene-faced induction heat seal liner. Each HDPE bottle contains 90 tablets.</w:t>
      </w:r>
    </w:p>
    <w:bookmarkEnd w:id="22"/>
    <w:p w14:paraId="31290AC5" w14:textId="77777777" w:rsidR="002C4189" w:rsidRDefault="00FB7D91">
      <w:pPr>
        <w:pStyle w:val="Heading2"/>
        <w:spacing w:before="0" w:after="120"/>
        <w:rPr>
          <w:rFonts w:cstheme="minorHAnsi"/>
          <w:lang w:val="en-US"/>
        </w:rPr>
      </w:pPr>
      <w:r>
        <w:rPr>
          <w:rFonts w:cstheme="minorHAnsi"/>
          <w:lang w:val="en-US"/>
        </w:rPr>
        <w:t xml:space="preserve">Special precautions for disposal </w:t>
      </w:r>
    </w:p>
    <w:p w14:paraId="0E8EE456" w14:textId="77777777" w:rsidR="002C4189" w:rsidRDefault="00FB7D91">
      <w:pPr>
        <w:rPr>
          <w:rFonts w:asciiTheme="majorHAnsi" w:hAnsiTheme="majorHAnsi" w:cstheme="minorHAnsi"/>
          <w:lang w:val="en"/>
        </w:rPr>
      </w:pPr>
      <w:r>
        <w:rPr>
          <w:rFonts w:asciiTheme="majorHAnsi" w:hAnsiTheme="majorHAnsi" w:cstheme="minorHAnsi"/>
          <w:lang w:val="en"/>
        </w:rPr>
        <w:t xml:space="preserve">In Australia, any unused medicine or waste material should be disposed of by taking to your local pharmacy. </w:t>
      </w:r>
    </w:p>
    <w:p w14:paraId="1ADA76A2" w14:textId="77777777" w:rsidR="002C4189" w:rsidRDefault="00FB7D91" w:rsidP="0046431B">
      <w:pPr>
        <w:pStyle w:val="Heading2"/>
        <w:keepNext/>
        <w:keepLines/>
        <w:spacing w:before="0" w:after="120"/>
        <w:rPr>
          <w:rFonts w:cstheme="minorHAnsi"/>
          <w:lang w:val="en-US"/>
        </w:rPr>
      </w:pPr>
      <w:r>
        <w:rPr>
          <w:rFonts w:cstheme="minorHAnsi"/>
          <w:lang w:val="en-US"/>
        </w:rPr>
        <w:t>Physicochemical properties</w:t>
      </w:r>
    </w:p>
    <w:p w14:paraId="4A05F1F4" w14:textId="77777777" w:rsidR="002C4189" w:rsidRDefault="00FB7D91" w:rsidP="0046431B">
      <w:pPr>
        <w:pStyle w:val="Heading3"/>
        <w:spacing w:before="0" w:after="120"/>
        <w:ind w:left="0"/>
        <w:rPr>
          <w:rFonts w:cstheme="minorHAnsi"/>
          <w:lang w:val="en-US"/>
        </w:rPr>
      </w:pPr>
      <w:r>
        <w:rPr>
          <w:rFonts w:cstheme="minorHAnsi"/>
          <w:lang w:val="en-US"/>
        </w:rPr>
        <w:t>Chemical structure</w:t>
      </w:r>
    </w:p>
    <w:p w14:paraId="611FF3F5" w14:textId="77777777" w:rsidR="002C4189" w:rsidRDefault="00FB7D91" w:rsidP="0046431B">
      <w:pPr>
        <w:keepNext/>
        <w:keepLines/>
        <w:rPr>
          <w:rFonts w:asciiTheme="majorHAnsi" w:hAnsiTheme="majorHAnsi" w:cstheme="minorHAnsi"/>
          <w:lang w:val="en"/>
        </w:rPr>
      </w:pPr>
      <w:r>
        <w:rPr>
          <w:rFonts w:asciiTheme="majorHAnsi" w:hAnsiTheme="majorHAnsi" w:cstheme="minorHAnsi"/>
          <w:lang w:val="en"/>
        </w:rPr>
        <w:t>The chemical structure of ripretinib is shown below:</w:t>
      </w:r>
    </w:p>
    <w:p w14:paraId="21DEE170" w14:textId="77777777" w:rsidR="002C4189" w:rsidRDefault="00FB7D91" w:rsidP="004072E8">
      <w:pPr>
        <w:rPr>
          <w:lang w:val="en"/>
        </w:rPr>
      </w:pPr>
      <w:r>
        <w:rPr>
          <w:noProof/>
          <w:lang w:eastAsia="en-AU"/>
        </w:rPr>
        <w:drawing>
          <wp:inline distT="0" distB="0" distL="0" distR="0" wp14:anchorId="3001C390" wp14:editId="4EB83F02">
            <wp:extent cx="2707005" cy="11220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7005" cy="1122045"/>
                    </a:xfrm>
                    <a:prstGeom prst="rect">
                      <a:avLst/>
                    </a:prstGeom>
                    <a:noFill/>
                  </pic:spPr>
                </pic:pic>
              </a:graphicData>
            </a:graphic>
          </wp:inline>
        </w:drawing>
      </w:r>
    </w:p>
    <w:p w14:paraId="7E7B3A95" w14:textId="77777777" w:rsidR="002C4189" w:rsidRDefault="00FB7D91" w:rsidP="0046431B">
      <w:pPr>
        <w:keepNext/>
        <w:keepLines/>
        <w:ind w:left="2127" w:hanging="2127"/>
        <w:rPr>
          <w:rFonts w:asciiTheme="majorHAnsi" w:hAnsiTheme="majorHAnsi" w:cstheme="minorHAnsi"/>
          <w:lang w:val="en"/>
        </w:rPr>
      </w:pPr>
      <w:r>
        <w:rPr>
          <w:rFonts w:asciiTheme="majorHAnsi" w:hAnsiTheme="majorHAnsi" w:cstheme="minorHAnsi"/>
          <w:lang w:val="en"/>
        </w:rPr>
        <w:t>Chemical name:</w:t>
      </w:r>
      <w:r>
        <w:rPr>
          <w:rFonts w:asciiTheme="majorHAnsi" w:hAnsiTheme="majorHAnsi" w:cstheme="minorHAnsi"/>
          <w:lang w:val="en"/>
        </w:rPr>
        <w:tab/>
        <w:t>1-(4-bromo-5-[1-ethyl-7-(methylamino)-2-oxo-1,2-dihydro-1,6-naphthyridin-3-yl]-2-fluorophenyl)-3-phenylurea</w:t>
      </w:r>
    </w:p>
    <w:p w14:paraId="58836F79" w14:textId="77777777" w:rsidR="002C4189" w:rsidRDefault="00FB7D91" w:rsidP="0046431B">
      <w:pPr>
        <w:keepNext/>
        <w:keepLines/>
        <w:ind w:left="2127" w:hanging="2127"/>
        <w:rPr>
          <w:rFonts w:asciiTheme="majorHAnsi" w:hAnsiTheme="majorHAnsi" w:cstheme="minorHAnsi"/>
          <w:lang w:val="en"/>
        </w:rPr>
      </w:pPr>
      <w:r>
        <w:rPr>
          <w:rFonts w:asciiTheme="majorHAnsi" w:hAnsiTheme="majorHAnsi" w:cstheme="minorHAnsi"/>
          <w:lang w:val="en"/>
        </w:rPr>
        <w:t>Molecular Formula:</w:t>
      </w:r>
      <w:r>
        <w:rPr>
          <w:rFonts w:asciiTheme="majorHAnsi" w:hAnsiTheme="majorHAnsi" w:cstheme="minorHAnsi"/>
          <w:lang w:val="en"/>
        </w:rPr>
        <w:tab/>
        <w:t>C</w:t>
      </w:r>
      <w:r>
        <w:rPr>
          <w:rFonts w:asciiTheme="majorHAnsi" w:hAnsiTheme="majorHAnsi" w:cstheme="minorHAnsi"/>
          <w:vertAlign w:val="subscript"/>
          <w:lang w:val="en"/>
        </w:rPr>
        <w:t>24</w:t>
      </w:r>
      <w:r>
        <w:rPr>
          <w:rFonts w:asciiTheme="majorHAnsi" w:hAnsiTheme="majorHAnsi" w:cstheme="minorHAnsi"/>
          <w:lang w:val="en"/>
        </w:rPr>
        <w:t>H</w:t>
      </w:r>
      <w:r>
        <w:rPr>
          <w:rFonts w:asciiTheme="majorHAnsi" w:hAnsiTheme="majorHAnsi" w:cstheme="minorHAnsi"/>
          <w:vertAlign w:val="subscript"/>
          <w:lang w:val="en"/>
        </w:rPr>
        <w:t>21</w:t>
      </w:r>
      <w:r>
        <w:rPr>
          <w:rFonts w:asciiTheme="majorHAnsi" w:hAnsiTheme="majorHAnsi" w:cstheme="minorHAnsi"/>
          <w:lang w:val="en"/>
        </w:rPr>
        <w:t>BrFN</w:t>
      </w:r>
      <w:r>
        <w:rPr>
          <w:rFonts w:asciiTheme="majorHAnsi" w:hAnsiTheme="majorHAnsi" w:cstheme="minorHAnsi"/>
          <w:vertAlign w:val="subscript"/>
          <w:lang w:val="en"/>
        </w:rPr>
        <w:t>5</w:t>
      </w:r>
      <w:r>
        <w:rPr>
          <w:rFonts w:asciiTheme="majorHAnsi" w:hAnsiTheme="majorHAnsi" w:cstheme="minorHAnsi"/>
          <w:lang w:val="en"/>
        </w:rPr>
        <w:t>O</w:t>
      </w:r>
      <w:r>
        <w:rPr>
          <w:rFonts w:asciiTheme="majorHAnsi" w:hAnsiTheme="majorHAnsi" w:cstheme="minorHAnsi"/>
          <w:vertAlign w:val="subscript"/>
          <w:lang w:val="en"/>
        </w:rPr>
        <w:t>2</w:t>
      </w:r>
    </w:p>
    <w:p w14:paraId="45584CD9" w14:textId="77777777" w:rsidR="002C4189" w:rsidRDefault="00FB7D91" w:rsidP="0046431B">
      <w:pPr>
        <w:keepNext/>
        <w:keepLines/>
        <w:ind w:left="2127" w:hanging="2127"/>
        <w:rPr>
          <w:rFonts w:asciiTheme="majorHAnsi" w:hAnsiTheme="majorHAnsi" w:cstheme="minorHAnsi"/>
          <w:lang w:val="en"/>
        </w:rPr>
      </w:pPr>
      <w:r>
        <w:rPr>
          <w:rFonts w:asciiTheme="majorHAnsi" w:hAnsiTheme="majorHAnsi" w:cstheme="minorHAnsi"/>
          <w:lang w:val="en"/>
        </w:rPr>
        <w:t xml:space="preserve">Molecular Weight: </w:t>
      </w:r>
      <w:r>
        <w:rPr>
          <w:rFonts w:asciiTheme="majorHAnsi" w:hAnsiTheme="majorHAnsi" w:cstheme="minorHAnsi"/>
          <w:lang w:val="en"/>
        </w:rPr>
        <w:tab/>
        <w:t>510.36 g/mol</w:t>
      </w:r>
    </w:p>
    <w:p w14:paraId="70933FC1" w14:textId="77777777" w:rsidR="0073130E" w:rsidRPr="00F92162" w:rsidRDefault="00FB7D91" w:rsidP="0046431B">
      <w:pPr>
        <w:pStyle w:val="Heading3"/>
        <w:spacing w:before="0" w:after="120"/>
        <w:ind w:left="0"/>
        <w:rPr>
          <w:rFonts w:cstheme="minorHAnsi"/>
          <w:lang w:val="en-US"/>
        </w:rPr>
      </w:pPr>
      <w:r w:rsidRPr="00F92162">
        <w:rPr>
          <w:lang w:val="en-US"/>
        </w:rPr>
        <w:t>CAS number</w:t>
      </w:r>
    </w:p>
    <w:p w14:paraId="6788FD24" w14:textId="2A6E462B" w:rsidR="002C4189" w:rsidRDefault="00FB7D91" w:rsidP="0046431B">
      <w:pPr>
        <w:keepLines/>
        <w:ind w:left="2127" w:hanging="2127"/>
        <w:rPr>
          <w:rFonts w:asciiTheme="majorHAnsi" w:hAnsiTheme="majorHAnsi" w:cstheme="minorHAnsi"/>
          <w:lang w:val="en"/>
        </w:rPr>
      </w:pPr>
      <w:r>
        <w:rPr>
          <w:rFonts w:asciiTheme="majorHAnsi" w:hAnsiTheme="majorHAnsi" w:cstheme="minorHAnsi"/>
          <w:lang w:val="en"/>
        </w:rPr>
        <w:t xml:space="preserve">1442472-39-0 </w:t>
      </w:r>
    </w:p>
    <w:p w14:paraId="0D6445E4" w14:textId="6386A501" w:rsidR="002C4189" w:rsidRDefault="00FB7D91" w:rsidP="00F92162">
      <w:pPr>
        <w:pStyle w:val="Heading1"/>
        <w:spacing w:before="0" w:after="120"/>
        <w:rPr>
          <w:lang w:val="en-US"/>
        </w:rPr>
      </w:pPr>
      <w:r w:rsidRPr="007D73A9">
        <w:rPr>
          <w:lang w:val="en-US"/>
        </w:rPr>
        <w:t>MEDICINE SCHEDULE (POISONS STANDARD)</w:t>
      </w:r>
    </w:p>
    <w:p w14:paraId="5ADA0050" w14:textId="77777777" w:rsidR="002C4189" w:rsidRDefault="00FB7D91">
      <w:pPr>
        <w:rPr>
          <w:rFonts w:asciiTheme="majorHAnsi" w:hAnsiTheme="majorHAnsi" w:cstheme="minorHAnsi"/>
          <w:lang w:val="en"/>
        </w:rPr>
      </w:pPr>
      <w:r>
        <w:rPr>
          <w:rFonts w:asciiTheme="majorHAnsi" w:hAnsiTheme="majorHAnsi" w:cstheme="minorHAnsi"/>
          <w:lang w:val="en"/>
        </w:rPr>
        <w:t>S4 – Prescription Only Medicine</w:t>
      </w:r>
    </w:p>
    <w:p w14:paraId="784AD7A6" w14:textId="77777777" w:rsidR="002C4189" w:rsidRDefault="00FB7D91">
      <w:pPr>
        <w:pStyle w:val="Heading1"/>
        <w:numPr>
          <w:ilvl w:val="0"/>
          <w:numId w:val="21"/>
        </w:numPr>
        <w:spacing w:before="0" w:after="120"/>
        <w:rPr>
          <w:rFonts w:cstheme="minorHAnsi"/>
          <w:lang w:val="en-US"/>
        </w:rPr>
      </w:pPr>
      <w:r>
        <w:rPr>
          <w:rFonts w:cstheme="minorHAnsi"/>
          <w:lang w:val="en-US"/>
        </w:rPr>
        <w:t>Sponsor</w:t>
      </w:r>
    </w:p>
    <w:p w14:paraId="6A3FEC4B" w14:textId="77777777" w:rsidR="002C4189" w:rsidRDefault="00FB7D91">
      <w:pPr>
        <w:spacing w:after="0"/>
        <w:rPr>
          <w:rFonts w:asciiTheme="majorHAnsi" w:hAnsiTheme="majorHAnsi" w:cstheme="minorHAnsi"/>
          <w:lang w:val="en"/>
        </w:rPr>
      </w:pPr>
      <w:r>
        <w:rPr>
          <w:rFonts w:asciiTheme="majorHAnsi" w:hAnsiTheme="majorHAnsi" w:cstheme="minorHAnsi"/>
          <w:lang w:val="en"/>
        </w:rPr>
        <w:t>TudorRose Consulting Pty Ltd</w:t>
      </w:r>
    </w:p>
    <w:p w14:paraId="3158F627" w14:textId="77777777" w:rsidR="002C4189" w:rsidRDefault="00FB7D91">
      <w:pPr>
        <w:spacing w:after="0"/>
        <w:rPr>
          <w:rFonts w:asciiTheme="majorHAnsi" w:hAnsiTheme="majorHAnsi" w:cstheme="minorHAnsi"/>
          <w:lang w:val="en"/>
        </w:rPr>
      </w:pPr>
      <w:r>
        <w:rPr>
          <w:rFonts w:asciiTheme="majorHAnsi" w:hAnsiTheme="majorHAnsi" w:cstheme="minorHAnsi"/>
          <w:lang w:val="en"/>
        </w:rPr>
        <w:t>3 Grandview Avenue</w:t>
      </w:r>
    </w:p>
    <w:p w14:paraId="3CE80824" w14:textId="77777777" w:rsidR="002C4189" w:rsidRDefault="00FB7D91">
      <w:pPr>
        <w:spacing w:after="0"/>
        <w:rPr>
          <w:rFonts w:asciiTheme="majorHAnsi" w:hAnsiTheme="majorHAnsi" w:cstheme="minorHAnsi"/>
          <w:lang w:val="en"/>
        </w:rPr>
      </w:pPr>
      <w:r>
        <w:rPr>
          <w:rFonts w:asciiTheme="majorHAnsi" w:hAnsiTheme="majorHAnsi" w:cstheme="minorHAnsi"/>
          <w:lang w:val="en"/>
        </w:rPr>
        <w:t>Point Cook</w:t>
      </w:r>
    </w:p>
    <w:p w14:paraId="2C8D1BFB" w14:textId="77777777" w:rsidR="002C4189" w:rsidRDefault="00FB7D91">
      <w:pPr>
        <w:spacing w:after="0"/>
        <w:rPr>
          <w:rFonts w:asciiTheme="majorHAnsi" w:hAnsiTheme="majorHAnsi" w:cstheme="minorHAnsi"/>
          <w:lang w:val="en"/>
        </w:rPr>
      </w:pPr>
      <w:r>
        <w:rPr>
          <w:rFonts w:asciiTheme="majorHAnsi" w:hAnsiTheme="majorHAnsi" w:cstheme="minorHAnsi"/>
          <w:lang w:val="en"/>
        </w:rPr>
        <w:t>VIC 3030</w:t>
      </w:r>
    </w:p>
    <w:p w14:paraId="3C7729ED" w14:textId="77777777" w:rsidR="002C4189" w:rsidRDefault="00FB7D91">
      <w:pPr>
        <w:spacing w:after="0"/>
        <w:rPr>
          <w:rFonts w:asciiTheme="majorHAnsi" w:hAnsiTheme="majorHAnsi" w:cstheme="minorHAnsi"/>
          <w:lang w:val="en"/>
        </w:rPr>
      </w:pPr>
      <w:r>
        <w:rPr>
          <w:rFonts w:asciiTheme="majorHAnsi" w:hAnsiTheme="majorHAnsi" w:cstheme="minorHAnsi"/>
          <w:lang w:val="en"/>
        </w:rPr>
        <w:t>Australia</w:t>
      </w:r>
    </w:p>
    <w:p w14:paraId="3181D896" w14:textId="77777777" w:rsidR="002C4189" w:rsidRDefault="00FB7D91">
      <w:pPr>
        <w:spacing w:after="0"/>
        <w:rPr>
          <w:rFonts w:asciiTheme="majorHAnsi" w:hAnsiTheme="majorHAnsi" w:cstheme="minorHAnsi"/>
          <w:lang w:val="en"/>
        </w:rPr>
      </w:pPr>
      <w:bookmarkStart w:id="23" w:name="_GoBack"/>
      <w:bookmarkEnd w:id="23"/>
      <w:r>
        <w:rPr>
          <w:rFonts w:asciiTheme="majorHAnsi" w:hAnsiTheme="majorHAnsi" w:cstheme="minorHAnsi"/>
          <w:lang w:val="en"/>
        </w:rPr>
        <w:t>Phone: 0418 314 763</w:t>
      </w:r>
    </w:p>
    <w:p w14:paraId="5D5ECDAE" w14:textId="77777777" w:rsidR="002C4189" w:rsidRDefault="00FB7D91">
      <w:pPr>
        <w:spacing w:after="0"/>
        <w:rPr>
          <w:rFonts w:asciiTheme="majorHAnsi" w:hAnsiTheme="majorHAnsi" w:cstheme="minorHAnsi"/>
          <w:lang w:val="en"/>
        </w:rPr>
      </w:pPr>
      <w:r>
        <w:rPr>
          <w:rFonts w:asciiTheme="majorHAnsi" w:hAnsiTheme="majorHAnsi" w:cstheme="minorHAnsi"/>
          <w:lang w:val="en"/>
        </w:rPr>
        <w:t>Email: info@tudorroseconsulting.com.au</w:t>
      </w:r>
    </w:p>
    <w:p w14:paraId="1905683A" w14:textId="77777777" w:rsidR="002C4189" w:rsidRDefault="002C4189">
      <w:pPr>
        <w:spacing w:after="0"/>
        <w:rPr>
          <w:rFonts w:asciiTheme="majorHAnsi" w:hAnsiTheme="majorHAnsi" w:cstheme="minorHAnsi"/>
          <w:lang w:val="en"/>
        </w:rPr>
      </w:pPr>
    </w:p>
    <w:p w14:paraId="7F7C2EA4" w14:textId="77777777" w:rsidR="002C4189" w:rsidRDefault="00FB7D91">
      <w:pPr>
        <w:pStyle w:val="Heading1"/>
        <w:spacing w:before="0" w:after="120"/>
        <w:rPr>
          <w:rFonts w:cstheme="minorHAnsi"/>
          <w:lang w:val="en-US"/>
        </w:rPr>
      </w:pPr>
      <w:r>
        <w:rPr>
          <w:rFonts w:cstheme="minorHAnsi"/>
          <w:lang w:val="en-US"/>
        </w:rPr>
        <w:t>Date of first approval</w:t>
      </w:r>
    </w:p>
    <w:p w14:paraId="5A1644E9" w14:textId="1D7E067B" w:rsidR="002C4189" w:rsidRDefault="0096619A">
      <w:pPr>
        <w:rPr>
          <w:rFonts w:asciiTheme="majorHAnsi" w:hAnsiTheme="majorHAnsi" w:cstheme="minorHAnsi"/>
          <w:lang w:val="en"/>
        </w:rPr>
      </w:pPr>
      <w:r>
        <w:rPr>
          <w:rFonts w:asciiTheme="majorHAnsi" w:hAnsiTheme="majorHAnsi" w:cstheme="minorHAnsi"/>
          <w:lang w:val="en"/>
        </w:rPr>
        <w:t>13 July 2020</w:t>
      </w:r>
    </w:p>
    <w:p w14:paraId="060B309A" w14:textId="40E9588B" w:rsidR="0073130E" w:rsidRDefault="00FB7D91" w:rsidP="0073130E">
      <w:pPr>
        <w:pStyle w:val="Heading1"/>
        <w:spacing w:before="0" w:after="120"/>
        <w:rPr>
          <w:rFonts w:cstheme="minorHAnsi"/>
          <w:lang w:val="en-US"/>
        </w:rPr>
      </w:pPr>
      <w:r>
        <w:rPr>
          <w:rFonts w:cstheme="minorHAnsi"/>
          <w:lang w:val="en-US"/>
        </w:rPr>
        <w:t xml:space="preserve">Date of revision </w:t>
      </w:r>
      <w:bookmarkEnd w:id="0"/>
      <w:bookmarkEnd w:id="1"/>
    </w:p>
    <w:p w14:paraId="235E77E3" w14:textId="7074B078" w:rsidR="002C4189" w:rsidRPr="00F92162" w:rsidRDefault="0073130E" w:rsidP="00F92162">
      <w:pPr>
        <w:rPr>
          <w:rFonts w:asciiTheme="majorHAnsi" w:hAnsiTheme="majorHAnsi"/>
          <w:lang w:val="en"/>
        </w:rPr>
      </w:pPr>
      <w:r w:rsidRPr="0073130E">
        <w:rPr>
          <w:rFonts w:asciiTheme="majorHAnsi" w:hAnsiTheme="majorHAnsi" w:cstheme="minorHAnsi"/>
          <w:lang w:val="en"/>
        </w:rPr>
        <w:t>Not applicable</w:t>
      </w:r>
      <w:r w:rsidR="0062668A">
        <w:rPr>
          <w:rFonts w:asciiTheme="majorHAnsi" w:hAnsiTheme="majorHAnsi" w:cstheme="minorHAnsi"/>
          <w:lang w:val="en"/>
        </w:rPr>
        <w:t>.</w:t>
      </w:r>
    </w:p>
    <w:sectPr w:rsidR="002C4189" w:rsidRPr="00F92162">
      <w:headerReference w:type="default" r:id="rId13"/>
      <w:footerReference w:type="default" r:id="rId14"/>
      <w:pgSz w:w="11906" w:h="16838"/>
      <w:pgMar w:top="1440" w:right="1440" w:bottom="1440" w:left="1440"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D5272" w14:textId="77777777" w:rsidR="0061120D" w:rsidRDefault="0061120D">
      <w:pPr>
        <w:spacing w:after="0" w:line="240" w:lineRule="auto"/>
      </w:pPr>
      <w:r>
        <w:separator/>
      </w:r>
    </w:p>
  </w:endnote>
  <w:endnote w:type="continuationSeparator" w:id="0">
    <w:p w14:paraId="360A2E3B" w14:textId="77777777" w:rsidR="0061120D" w:rsidRDefault="0061120D">
      <w:pPr>
        <w:spacing w:after="0" w:line="240" w:lineRule="auto"/>
      </w:pPr>
      <w:r>
        <w:continuationSeparator/>
      </w:r>
    </w:p>
  </w:endnote>
  <w:endnote w:type="continuationNotice" w:id="1">
    <w:p w14:paraId="6C0DB2CD" w14:textId="77777777" w:rsidR="0061120D" w:rsidRDefault="006112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E390B" w14:textId="77777777" w:rsidR="007435DD" w:rsidRDefault="007435DD">
    <w:pPr>
      <w:spacing w:after="65" w:line="259" w:lineRule="auto"/>
      <w:ind w:left="-29"/>
    </w:pPr>
    <w:r>
      <w:rPr>
        <w:noProof/>
        <w:lang w:eastAsia="en-AU"/>
      </w:rPr>
      <mc:AlternateContent>
        <mc:Choice Requires="wpg">
          <w:drawing>
            <wp:inline distT="0" distB="0" distL="0" distR="0" wp14:anchorId="732352B8" wp14:editId="5F2412D9">
              <wp:extent cx="6589776" cy="9144"/>
              <wp:effectExtent l="0" t="0" r="0" b="0"/>
              <wp:docPr id="10379" name="Group 10379"/>
              <wp:cNvGraphicFramePr/>
              <a:graphic xmlns:a="http://schemas.openxmlformats.org/drawingml/2006/main">
                <a:graphicData uri="http://schemas.microsoft.com/office/word/2010/wordprocessingGroup">
                  <wpg:wgp>
                    <wpg:cNvGrpSpPr/>
                    <wpg:grpSpPr>
                      <a:xfrm>
                        <a:off x="0" y="0"/>
                        <a:ext cx="6589776" cy="9144"/>
                        <a:chOff x="0" y="0"/>
                        <a:chExt cx="6589776" cy="9144"/>
                      </a:xfrm>
                    </wpg:grpSpPr>
                    <wps:wsp>
                      <wps:cNvPr id="10380" name="Shape 10744"/>
                      <wps:cNvSpPr/>
                      <wps:spPr>
                        <a:xfrm>
                          <a:off x="0" y="0"/>
                          <a:ext cx="6589776" cy="9144"/>
                        </a:xfrm>
                        <a:custGeom>
                          <a:avLst/>
                          <a:gdLst/>
                          <a:ahLst/>
                          <a:cxnLst/>
                          <a:rect l="0" t="0" r="0" b="0"/>
                          <a:pathLst>
                            <a:path w="6589776" h="9144">
                              <a:moveTo>
                                <a:pt x="0" y="0"/>
                              </a:moveTo>
                              <a:lnTo>
                                <a:pt x="6589776" y="0"/>
                              </a:lnTo>
                              <a:lnTo>
                                <a:pt x="65897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7A31F1" id="Group 10379" o:spid="_x0000_s1026" style="width:518.9pt;height:.7pt;mso-position-horizontal-relative:char;mso-position-vertical-relative:line" coordsize="658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">
              <v:shape id="Shape 10744" o:spid="_x0000_s1027" style="position:absolute;width:65897;height:91;visibility:visible;mso-wrap-style:square;v-text-anchor:top" coordsize="65897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" path="m,l6589776,r,9144l,9144,,e" fillcolor="black" stroked="f" strokeweight="0">
                <v:stroke miterlimit="83231f" joinstyle="miter"/>
                <v:path arrowok="t" textboxrect="0,0,6589776,9144"/>
              </v:shape>
              <w10:anchorlock/>
            </v:group>
          </w:pict>
        </mc:Fallback>
      </mc:AlternateContent>
    </w:r>
  </w:p>
  <w:p w14:paraId="65FF28C5" w14:textId="11D6377E" w:rsidR="007435DD" w:rsidRPr="002D20CA" w:rsidRDefault="00BF0559" w:rsidP="002D20CA">
    <w:pPr>
      <w:tabs>
        <w:tab w:val="left" w:pos="3945"/>
        <w:tab w:val="left" w:pos="4410"/>
        <w:tab w:val="right" w:pos="10206"/>
      </w:tabs>
      <w:spacing w:after="160" w:line="259" w:lineRule="auto"/>
      <w:rPr>
        <w:rFonts w:asciiTheme="majorHAnsi" w:hAnsiTheme="majorHAnsi"/>
        <w:szCs w:val="20"/>
      </w:rPr>
    </w:pPr>
    <w:r>
      <w:rPr>
        <w:rFonts w:asciiTheme="majorHAnsi" w:hAnsiTheme="majorHAnsi"/>
        <w:szCs w:val="20"/>
      </w:rPr>
      <w:t>Version 1.0</w:t>
    </w:r>
    <w:r w:rsidR="007435DD" w:rsidRPr="005812A9">
      <w:rPr>
        <w:szCs w:val="20"/>
      </w:rPr>
      <w:tab/>
    </w:r>
    <w:r w:rsidR="007435DD">
      <w:rPr>
        <w:szCs w:val="20"/>
      </w:rPr>
      <w:tab/>
    </w:r>
    <w:r w:rsidR="007435DD">
      <w:rPr>
        <w:szCs w:val="20"/>
      </w:rPr>
      <w:tab/>
    </w:r>
    <w:r w:rsidR="007435DD" w:rsidRPr="002D20CA">
      <w:rPr>
        <w:rFonts w:asciiTheme="majorHAnsi" w:hAnsiTheme="majorHAnsi" w:cs="Times New Roman"/>
        <w:szCs w:val="20"/>
        <w:lang w:val="en-US"/>
      </w:rPr>
      <w:t xml:space="preserve">Page </w:t>
    </w:r>
    <w:r w:rsidR="007435DD" w:rsidRPr="002D20CA">
      <w:rPr>
        <w:rFonts w:asciiTheme="majorHAnsi" w:hAnsiTheme="majorHAnsi" w:cs="Times New Roman"/>
        <w:szCs w:val="20"/>
        <w:lang w:val="en-US"/>
      </w:rPr>
      <w:fldChar w:fldCharType="begin"/>
    </w:r>
    <w:r w:rsidR="007435DD" w:rsidRPr="002D20CA">
      <w:rPr>
        <w:rFonts w:asciiTheme="majorHAnsi" w:hAnsiTheme="majorHAnsi" w:cs="Times New Roman"/>
        <w:szCs w:val="20"/>
        <w:lang w:val="en-US"/>
      </w:rPr>
      <w:instrText xml:space="preserve"> PAGE </w:instrText>
    </w:r>
    <w:r w:rsidR="007435DD" w:rsidRPr="002D20CA">
      <w:rPr>
        <w:rFonts w:asciiTheme="majorHAnsi" w:hAnsiTheme="majorHAnsi" w:cs="Times New Roman"/>
        <w:szCs w:val="20"/>
        <w:lang w:val="en-US"/>
      </w:rPr>
      <w:fldChar w:fldCharType="separate"/>
    </w:r>
    <w:r w:rsidR="004072E8">
      <w:rPr>
        <w:rFonts w:asciiTheme="majorHAnsi" w:hAnsiTheme="majorHAnsi" w:cs="Times New Roman"/>
        <w:noProof/>
        <w:szCs w:val="20"/>
        <w:lang w:val="en-US"/>
      </w:rPr>
      <w:t>14</w:t>
    </w:r>
    <w:r w:rsidR="007435DD" w:rsidRPr="002D20CA">
      <w:rPr>
        <w:rFonts w:asciiTheme="majorHAnsi" w:hAnsiTheme="majorHAnsi" w:cs="Times New Roman"/>
        <w:szCs w:val="20"/>
        <w:lang w:val="en-US"/>
      </w:rPr>
      <w:fldChar w:fldCharType="end"/>
    </w:r>
    <w:r w:rsidR="007435DD" w:rsidRPr="002D20CA">
      <w:rPr>
        <w:rFonts w:asciiTheme="majorHAnsi" w:hAnsiTheme="majorHAnsi" w:cs="Times New Roman"/>
        <w:szCs w:val="20"/>
        <w:lang w:val="en-US"/>
      </w:rPr>
      <w:t xml:space="preserve"> of </w:t>
    </w:r>
    <w:r w:rsidR="007435DD" w:rsidRPr="002D20CA">
      <w:rPr>
        <w:rFonts w:asciiTheme="majorHAnsi" w:hAnsiTheme="majorHAnsi" w:cs="Times New Roman"/>
        <w:szCs w:val="20"/>
        <w:lang w:val="en-US"/>
      </w:rPr>
      <w:fldChar w:fldCharType="begin"/>
    </w:r>
    <w:r w:rsidR="007435DD" w:rsidRPr="002D20CA">
      <w:rPr>
        <w:rFonts w:asciiTheme="majorHAnsi" w:hAnsiTheme="majorHAnsi" w:cs="Times New Roman"/>
        <w:szCs w:val="20"/>
        <w:lang w:val="en-US"/>
      </w:rPr>
      <w:instrText xml:space="preserve"> NUMPAGES </w:instrText>
    </w:r>
    <w:r w:rsidR="007435DD" w:rsidRPr="002D20CA">
      <w:rPr>
        <w:rFonts w:asciiTheme="majorHAnsi" w:hAnsiTheme="majorHAnsi" w:cs="Times New Roman"/>
        <w:szCs w:val="20"/>
        <w:lang w:val="en-US"/>
      </w:rPr>
      <w:fldChar w:fldCharType="separate"/>
    </w:r>
    <w:r w:rsidR="004072E8">
      <w:rPr>
        <w:rFonts w:asciiTheme="majorHAnsi" w:hAnsiTheme="majorHAnsi" w:cs="Times New Roman"/>
        <w:noProof/>
        <w:szCs w:val="20"/>
        <w:lang w:val="en-US"/>
      </w:rPr>
      <w:t>16</w:t>
    </w:r>
    <w:r w:rsidR="007435DD" w:rsidRPr="002D20CA">
      <w:rPr>
        <w:rFonts w:asciiTheme="majorHAnsi" w:hAnsiTheme="majorHAnsi" w:cs="Times New Roman"/>
        <w:szCs w:val="20"/>
        <w:lang w:val="en-US"/>
      </w:rPr>
      <w:fldChar w:fldCharType="end"/>
    </w:r>
  </w:p>
  <w:p w14:paraId="14986E81" w14:textId="77777777" w:rsidR="007435DD" w:rsidRDefault="007435D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27476" w14:textId="77777777" w:rsidR="0061120D" w:rsidRDefault="0061120D">
      <w:pPr>
        <w:spacing w:after="0" w:line="240" w:lineRule="auto"/>
      </w:pPr>
      <w:r>
        <w:separator/>
      </w:r>
    </w:p>
  </w:footnote>
  <w:footnote w:type="continuationSeparator" w:id="0">
    <w:p w14:paraId="25252A02" w14:textId="77777777" w:rsidR="0061120D" w:rsidRDefault="0061120D">
      <w:pPr>
        <w:spacing w:after="0" w:line="240" w:lineRule="auto"/>
      </w:pPr>
      <w:r>
        <w:continuationSeparator/>
      </w:r>
    </w:p>
  </w:footnote>
  <w:footnote w:type="continuationNotice" w:id="1">
    <w:p w14:paraId="5130A632" w14:textId="77777777" w:rsidR="0061120D" w:rsidRDefault="006112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4072E8" w:rsidRPr="000B2145" w14:paraId="69B2B0F3" w14:textId="77777777" w:rsidTr="000130C5">
      <w:trPr>
        <w:trHeight w:val="590"/>
      </w:trPr>
      <w:tc>
        <w:tcPr>
          <w:tcW w:w="8720" w:type="dxa"/>
          <w:shd w:val="clear" w:color="auto" w:fill="E4F2E0"/>
        </w:tcPr>
        <w:p w14:paraId="302DECBE" w14:textId="77777777" w:rsidR="004072E8" w:rsidRPr="00292C38" w:rsidRDefault="004072E8" w:rsidP="004072E8">
          <w:pPr>
            <w:pStyle w:val="Footer"/>
            <w:rPr>
              <w:b/>
              <w:sz w:val="18"/>
              <w:szCs w:val="18"/>
            </w:rPr>
          </w:pPr>
          <w:r w:rsidRPr="00EA0C3C">
            <w:rPr>
              <w:b/>
              <w:sz w:val="18"/>
              <w:szCs w:val="18"/>
            </w:rPr>
            <w:t>Attachment 1:</w:t>
          </w:r>
          <w:r>
            <w:rPr>
              <w:b/>
              <w:sz w:val="18"/>
              <w:szCs w:val="18"/>
            </w:rPr>
            <w:t xml:space="preserve"> </w:t>
          </w:r>
          <w:r w:rsidRPr="00292C38">
            <w:rPr>
              <w:b/>
              <w:sz w:val="18"/>
              <w:szCs w:val="18"/>
            </w:rPr>
            <w:t>AusPAR - Qinlock – ripretinib – TudorRose Consulting Pty Ltd - PM-2019-05961-1-4</w:t>
          </w:r>
        </w:p>
        <w:p w14:paraId="6CE0087E" w14:textId="77777777" w:rsidR="004072E8" w:rsidRPr="000B2145" w:rsidRDefault="004072E8" w:rsidP="004072E8">
          <w:pPr>
            <w:pStyle w:val="Footer"/>
            <w:rPr>
              <w:b/>
              <w:sz w:val="18"/>
              <w:szCs w:val="18"/>
            </w:rPr>
          </w:pPr>
          <w:r w:rsidRPr="00292C38">
            <w:rPr>
              <w:b/>
              <w:sz w:val="18"/>
              <w:szCs w:val="18"/>
            </w:rPr>
            <w:t>FINAL 20 November 2020</w:t>
          </w:r>
          <w:r>
            <w:rPr>
              <w:b/>
              <w:sz w:val="18"/>
              <w:szCs w:val="18"/>
            </w:rPr>
            <w:t xml:space="preserve">. </w:t>
          </w:r>
          <w:r w:rsidRPr="000B2145">
            <w:rPr>
              <w:b/>
              <w:sz w:val="18"/>
              <w:szCs w:val="18"/>
            </w:rPr>
            <w:t>This is the Product Information that was approved with the submission described in this AusPAR. It may have been superseded. For the most recent PI, please refer to the TGA website at &lt;</w:t>
          </w:r>
          <w:hyperlink r:id="rId1" w:history="1">
            <w:r w:rsidRPr="000B2145">
              <w:rPr>
                <w:rStyle w:val="Hyperlink"/>
                <w:b/>
                <w:sz w:val="18"/>
                <w:szCs w:val="18"/>
              </w:rPr>
              <w:t>https://www.tga.gov.au/product-information-pi</w:t>
            </w:r>
          </w:hyperlink>
          <w:r w:rsidRPr="000B2145">
            <w:rPr>
              <w:b/>
              <w:sz w:val="18"/>
              <w:szCs w:val="18"/>
              <w:u w:val="single"/>
            </w:rPr>
            <w:t>&gt;</w:t>
          </w:r>
        </w:p>
      </w:tc>
    </w:tr>
  </w:tbl>
  <w:p w14:paraId="09F31A8B" w14:textId="77777777" w:rsidR="004072E8" w:rsidRDefault="00407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B56F1"/>
    <w:multiLevelType w:val="hybridMultilevel"/>
    <w:tmpl w:val="6646E40A"/>
    <w:lvl w:ilvl="0" w:tplc="F04E865E">
      <w:start w:val="1"/>
      <w:numFmt w:val="decimal"/>
      <w:lvlText w:val="%1."/>
      <w:lvlJc w:val="left"/>
      <w:pPr>
        <w:ind w:left="360"/>
      </w:pPr>
      <w:rPr>
        <w:rFonts w:ascii="Calibri" w:eastAsia="Calibri" w:hAnsi="Calibri" w:cs="Calibri"/>
        <w:b/>
        <w:bCs/>
        <w:i w:val="0"/>
        <w:strike w:val="0"/>
        <w:dstrike w:val="0"/>
        <w:color w:val="FFFFFF"/>
        <w:sz w:val="26"/>
        <w:szCs w:val="26"/>
        <w:u w:val="none" w:color="000000"/>
        <w:bdr w:val="none" w:sz="0" w:space="0" w:color="auto"/>
        <w:shd w:val="clear" w:color="auto" w:fill="auto"/>
        <w:vertAlign w:val="baseline"/>
      </w:rPr>
    </w:lvl>
    <w:lvl w:ilvl="1" w:tplc="6D863EB2">
      <w:start w:val="1"/>
      <w:numFmt w:val="lowerLetter"/>
      <w:lvlText w:val="%2"/>
      <w:lvlJc w:val="left"/>
      <w:pPr>
        <w:ind w:left="1081"/>
      </w:pPr>
      <w:rPr>
        <w:rFonts w:ascii="Calibri" w:eastAsia="Calibri" w:hAnsi="Calibri" w:cs="Calibri"/>
        <w:b/>
        <w:bCs/>
        <w:i w:val="0"/>
        <w:strike w:val="0"/>
        <w:dstrike w:val="0"/>
        <w:color w:val="FFFFFF"/>
        <w:sz w:val="26"/>
        <w:szCs w:val="26"/>
        <w:u w:val="none" w:color="000000"/>
        <w:bdr w:val="none" w:sz="0" w:space="0" w:color="auto"/>
        <w:shd w:val="clear" w:color="auto" w:fill="auto"/>
        <w:vertAlign w:val="baseline"/>
      </w:rPr>
    </w:lvl>
    <w:lvl w:ilvl="2" w:tplc="8FA40602">
      <w:start w:val="1"/>
      <w:numFmt w:val="lowerRoman"/>
      <w:lvlText w:val="%3"/>
      <w:lvlJc w:val="left"/>
      <w:pPr>
        <w:ind w:left="1801"/>
      </w:pPr>
      <w:rPr>
        <w:rFonts w:ascii="Calibri" w:eastAsia="Calibri" w:hAnsi="Calibri" w:cs="Calibri"/>
        <w:b/>
        <w:bCs/>
        <w:i w:val="0"/>
        <w:strike w:val="0"/>
        <w:dstrike w:val="0"/>
        <w:color w:val="FFFFFF"/>
        <w:sz w:val="26"/>
        <w:szCs w:val="26"/>
        <w:u w:val="none" w:color="000000"/>
        <w:bdr w:val="none" w:sz="0" w:space="0" w:color="auto"/>
        <w:shd w:val="clear" w:color="auto" w:fill="auto"/>
        <w:vertAlign w:val="baseline"/>
      </w:rPr>
    </w:lvl>
    <w:lvl w:ilvl="3" w:tplc="BD24B8B0">
      <w:start w:val="1"/>
      <w:numFmt w:val="decimal"/>
      <w:lvlText w:val="%4"/>
      <w:lvlJc w:val="left"/>
      <w:pPr>
        <w:ind w:left="2521"/>
      </w:pPr>
      <w:rPr>
        <w:rFonts w:ascii="Calibri" w:eastAsia="Calibri" w:hAnsi="Calibri" w:cs="Calibri"/>
        <w:b/>
        <w:bCs/>
        <w:i w:val="0"/>
        <w:strike w:val="0"/>
        <w:dstrike w:val="0"/>
        <w:color w:val="FFFFFF"/>
        <w:sz w:val="26"/>
        <w:szCs w:val="26"/>
        <w:u w:val="none" w:color="000000"/>
        <w:bdr w:val="none" w:sz="0" w:space="0" w:color="auto"/>
        <w:shd w:val="clear" w:color="auto" w:fill="auto"/>
        <w:vertAlign w:val="baseline"/>
      </w:rPr>
    </w:lvl>
    <w:lvl w:ilvl="4" w:tplc="D38C6036">
      <w:start w:val="1"/>
      <w:numFmt w:val="lowerLetter"/>
      <w:lvlText w:val="%5"/>
      <w:lvlJc w:val="left"/>
      <w:pPr>
        <w:ind w:left="3241"/>
      </w:pPr>
      <w:rPr>
        <w:rFonts w:ascii="Calibri" w:eastAsia="Calibri" w:hAnsi="Calibri" w:cs="Calibri"/>
        <w:b/>
        <w:bCs/>
        <w:i w:val="0"/>
        <w:strike w:val="0"/>
        <w:dstrike w:val="0"/>
        <w:color w:val="FFFFFF"/>
        <w:sz w:val="26"/>
        <w:szCs w:val="26"/>
        <w:u w:val="none" w:color="000000"/>
        <w:bdr w:val="none" w:sz="0" w:space="0" w:color="auto"/>
        <w:shd w:val="clear" w:color="auto" w:fill="auto"/>
        <w:vertAlign w:val="baseline"/>
      </w:rPr>
    </w:lvl>
    <w:lvl w:ilvl="5" w:tplc="591C1F58">
      <w:start w:val="1"/>
      <w:numFmt w:val="lowerRoman"/>
      <w:lvlText w:val="%6"/>
      <w:lvlJc w:val="left"/>
      <w:pPr>
        <w:ind w:left="3961"/>
      </w:pPr>
      <w:rPr>
        <w:rFonts w:ascii="Calibri" w:eastAsia="Calibri" w:hAnsi="Calibri" w:cs="Calibri"/>
        <w:b/>
        <w:bCs/>
        <w:i w:val="0"/>
        <w:strike w:val="0"/>
        <w:dstrike w:val="0"/>
        <w:color w:val="FFFFFF"/>
        <w:sz w:val="26"/>
        <w:szCs w:val="26"/>
        <w:u w:val="none" w:color="000000"/>
        <w:bdr w:val="none" w:sz="0" w:space="0" w:color="auto"/>
        <w:shd w:val="clear" w:color="auto" w:fill="auto"/>
        <w:vertAlign w:val="baseline"/>
      </w:rPr>
    </w:lvl>
    <w:lvl w:ilvl="6" w:tplc="EA8EF07E">
      <w:start w:val="1"/>
      <w:numFmt w:val="decimal"/>
      <w:lvlText w:val="%7"/>
      <w:lvlJc w:val="left"/>
      <w:pPr>
        <w:ind w:left="4681"/>
      </w:pPr>
      <w:rPr>
        <w:rFonts w:ascii="Calibri" w:eastAsia="Calibri" w:hAnsi="Calibri" w:cs="Calibri"/>
        <w:b/>
        <w:bCs/>
        <w:i w:val="0"/>
        <w:strike w:val="0"/>
        <w:dstrike w:val="0"/>
        <w:color w:val="FFFFFF"/>
        <w:sz w:val="26"/>
        <w:szCs w:val="26"/>
        <w:u w:val="none" w:color="000000"/>
        <w:bdr w:val="none" w:sz="0" w:space="0" w:color="auto"/>
        <w:shd w:val="clear" w:color="auto" w:fill="auto"/>
        <w:vertAlign w:val="baseline"/>
      </w:rPr>
    </w:lvl>
    <w:lvl w:ilvl="7" w:tplc="A0AA4094">
      <w:start w:val="1"/>
      <w:numFmt w:val="lowerLetter"/>
      <w:lvlText w:val="%8"/>
      <w:lvlJc w:val="left"/>
      <w:pPr>
        <w:ind w:left="5401"/>
      </w:pPr>
      <w:rPr>
        <w:rFonts w:ascii="Calibri" w:eastAsia="Calibri" w:hAnsi="Calibri" w:cs="Calibri"/>
        <w:b/>
        <w:bCs/>
        <w:i w:val="0"/>
        <w:strike w:val="0"/>
        <w:dstrike w:val="0"/>
        <w:color w:val="FFFFFF"/>
        <w:sz w:val="26"/>
        <w:szCs w:val="26"/>
        <w:u w:val="none" w:color="000000"/>
        <w:bdr w:val="none" w:sz="0" w:space="0" w:color="auto"/>
        <w:shd w:val="clear" w:color="auto" w:fill="auto"/>
        <w:vertAlign w:val="baseline"/>
      </w:rPr>
    </w:lvl>
    <w:lvl w:ilvl="8" w:tplc="FB5EED18">
      <w:start w:val="1"/>
      <w:numFmt w:val="lowerRoman"/>
      <w:lvlText w:val="%9"/>
      <w:lvlJc w:val="left"/>
      <w:pPr>
        <w:ind w:left="6121"/>
      </w:pPr>
      <w:rPr>
        <w:rFonts w:ascii="Calibri" w:eastAsia="Calibri" w:hAnsi="Calibri" w:cs="Calibri"/>
        <w:b/>
        <w:bCs/>
        <w:i w:val="0"/>
        <w:strike w:val="0"/>
        <w:dstrike w:val="0"/>
        <w:color w:val="FFFFFF"/>
        <w:sz w:val="26"/>
        <w:szCs w:val="26"/>
        <w:u w:val="none" w:color="000000"/>
        <w:bdr w:val="none" w:sz="0" w:space="0" w:color="auto"/>
        <w:shd w:val="clear" w:color="auto" w:fill="auto"/>
        <w:vertAlign w:val="baseline"/>
      </w:rPr>
    </w:lvl>
  </w:abstractNum>
  <w:abstractNum w:abstractNumId="2"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047E50"/>
    <w:multiLevelType w:val="hybridMultilevel"/>
    <w:tmpl w:val="C61E0694"/>
    <w:lvl w:ilvl="0" w:tplc="BD4EE3C4">
      <w:start w:val="1"/>
      <w:numFmt w:val="lowerLetter"/>
      <w:lvlText w:val="%1."/>
      <w:lvlJc w:val="left"/>
      <w:pPr>
        <w:ind w:left="360" w:hanging="360"/>
      </w:pPr>
      <w:rPr>
        <w:vertAlign w:val="superscrip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9707B6"/>
    <w:multiLevelType w:val="hybridMultilevel"/>
    <w:tmpl w:val="F10860EA"/>
    <w:lvl w:ilvl="0" w:tplc="8DA6BBB6">
      <w:start w:val="1"/>
      <w:numFmt w:val="decimal"/>
      <w:lvlText w:val="%1."/>
      <w:lvlJc w:val="left"/>
      <w:pPr>
        <w:ind w:left="480"/>
      </w:pPr>
      <w:rPr>
        <w:rFonts w:ascii="Calibri" w:eastAsia="Calibri" w:hAnsi="Calibri" w:cs="Calibri"/>
        <w:b w:val="0"/>
        <w:i w:val="0"/>
        <w:strike w:val="0"/>
        <w:dstrike w:val="0"/>
        <w:color w:val="1F3864"/>
        <w:sz w:val="20"/>
        <w:szCs w:val="20"/>
        <w:u w:val="single" w:color="1F3864"/>
        <w:bdr w:val="none" w:sz="0" w:space="0" w:color="auto"/>
        <w:shd w:val="clear" w:color="auto" w:fill="auto"/>
        <w:vertAlign w:val="baseline"/>
      </w:rPr>
    </w:lvl>
    <w:lvl w:ilvl="1" w:tplc="B70028C6">
      <w:start w:val="1"/>
      <w:numFmt w:val="lowerLetter"/>
      <w:lvlText w:val="%2"/>
      <w:lvlJc w:val="left"/>
      <w:pPr>
        <w:ind w:left="1080"/>
      </w:pPr>
      <w:rPr>
        <w:rFonts w:ascii="Calibri" w:eastAsia="Calibri" w:hAnsi="Calibri" w:cs="Calibri"/>
        <w:b w:val="0"/>
        <w:i w:val="0"/>
        <w:strike w:val="0"/>
        <w:dstrike w:val="0"/>
        <w:color w:val="1F3864"/>
        <w:sz w:val="20"/>
        <w:szCs w:val="20"/>
        <w:u w:val="single" w:color="1F3864"/>
        <w:bdr w:val="none" w:sz="0" w:space="0" w:color="auto"/>
        <w:shd w:val="clear" w:color="auto" w:fill="auto"/>
        <w:vertAlign w:val="baseline"/>
      </w:rPr>
    </w:lvl>
    <w:lvl w:ilvl="2" w:tplc="B7FCBC9A">
      <w:start w:val="1"/>
      <w:numFmt w:val="lowerRoman"/>
      <w:lvlText w:val="%3"/>
      <w:lvlJc w:val="left"/>
      <w:pPr>
        <w:ind w:left="1800"/>
      </w:pPr>
      <w:rPr>
        <w:rFonts w:ascii="Calibri" w:eastAsia="Calibri" w:hAnsi="Calibri" w:cs="Calibri"/>
        <w:b w:val="0"/>
        <w:i w:val="0"/>
        <w:strike w:val="0"/>
        <w:dstrike w:val="0"/>
        <w:color w:val="1F3864"/>
        <w:sz w:val="20"/>
        <w:szCs w:val="20"/>
        <w:u w:val="single" w:color="1F3864"/>
        <w:bdr w:val="none" w:sz="0" w:space="0" w:color="auto"/>
        <w:shd w:val="clear" w:color="auto" w:fill="auto"/>
        <w:vertAlign w:val="baseline"/>
      </w:rPr>
    </w:lvl>
    <w:lvl w:ilvl="3" w:tplc="E3C0C528">
      <w:start w:val="1"/>
      <w:numFmt w:val="decimal"/>
      <w:lvlText w:val="%4"/>
      <w:lvlJc w:val="left"/>
      <w:pPr>
        <w:ind w:left="2520"/>
      </w:pPr>
      <w:rPr>
        <w:rFonts w:ascii="Calibri" w:eastAsia="Calibri" w:hAnsi="Calibri" w:cs="Calibri"/>
        <w:b w:val="0"/>
        <w:i w:val="0"/>
        <w:strike w:val="0"/>
        <w:dstrike w:val="0"/>
        <w:color w:val="1F3864"/>
        <w:sz w:val="20"/>
        <w:szCs w:val="20"/>
        <w:u w:val="single" w:color="1F3864"/>
        <w:bdr w:val="none" w:sz="0" w:space="0" w:color="auto"/>
        <w:shd w:val="clear" w:color="auto" w:fill="auto"/>
        <w:vertAlign w:val="baseline"/>
      </w:rPr>
    </w:lvl>
    <w:lvl w:ilvl="4" w:tplc="4CCC9136">
      <w:start w:val="1"/>
      <w:numFmt w:val="lowerLetter"/>
      <w:lvlText w:val="%5"/>
      <w:lvlJc w:val="left"/>
      <w:pPr>
        <w:ind w:left="3240"/>
      </w:pPr>
      <w:rPr>
        <w:rFonts w:ascii="Calibri" w:eastAsia="Calibri" w:hAnsi="Calibri" w:cs="Calibri"/>
        <w:b w:val="0"/>
        <w:i w:val="0"/>
        <w:strike w:val="0"/>
        <w:dstrike w:val="0"/>
        <w:color w:val="1F3864"/>
        <w:sz w:val="20"/>
        <w:szCs w:val="20"/>
        <w:u w:val="single" w:color="1F3864"/>
        <w:bdr w:val="none" w:sz="0" w:space="0" w:color="auto"/>
        <w:shd w:val="clear" w:color="auto" w:fill="auto"/>
        <w:vertAlign w:val="baseline"/>
      </w:rPr>
    </w:lvl>
    <w:lvl w:ilvl="5" w:tplc="2D021ED8">
      <w:start w:val="1"/>
      <w:numFmt w:val="lowerRoman"/>
      <w:lvlText w:val="%6"/>
      <w:lvlJc w:val="left"/>
      <w:pPr>
        <w:ind w:left="3960"/>
      </w:pPr>
      <w:rPr>
        <w:rFonts w:ascii="Calibri" w:eastAsia="Calibri" w:hAnsi="Calibri" w:cs="Calibri"/>
        <w:b w:val="0"/>
        <w:i w:val="0"/>
        <w:strike w:val="0"/>
        <w:dstrike w:val="0"/>
        <w:color w:val="1F3864"/>
        <w:sz w:val="20"/>
        <w:szCs w:val="20"/>
        <w:u w:val="single" w:color="1F3864"/>
        <w:bdr w:val="none" w:sz="0" w:space="0" w:color="auto"/>
        <w:shd w:val="clear" w:color="auto" w:fill="auto"/>
        <w:vertAlign w:val="baseline"/>
      </w:rPr>
    </w:lvl>
    <w:lvl w:ilvl="6" w:tplc="840ADE6E">
      <w:start w:val="1"/>
      <w:numFmt w:val="decimal"/>
      <w:lvlText w:val="%7"/>
      <w:lvlJc w:val="left"/>
      <w:pPr>
        <w:ind w:left="4680"/>
      </w:pPr>
      <w:rPr>
        <w:rFonts w:ascii="Calibri" w:eastAsia="Calibri" w:hAnsi="Calibri" w:cs="Calibri"/>
        <w:b w:val="0"/>
        <w:i w:val="0"/>
        <w:strike w:val="0"/>
        <w:dstrike w:val="0"/>
        <w:color w:val="1F3864"/>
        <w:sz w:val="20"/>
        <w:szCs w:val="20"/>
        <w:u w:val="single" w:color="1F3864"/>
        <w:bdr w:val="none" w:sz="0" w:space="0" w:color="auto"/>
        <w:shd w:val="clear" w:color="auto" w:fill="auto"/>
        <w:vertAlign w:val="baseline"/>
      </w:rPr>
    </w:lvl>
    <w:lvl w:ilvl="7" w:tplc="CCBE5344">
      <w:start w:val="1"/>
      <w:numFmt w:val="lowerLetter"/>
      <w:lvlText w:val="%8"/>
      <w:lvlJc w:val="left"/>
      <w:pPr>
        <w:ind w:left="5400"/>
      </w:pPr>
      <w:rPr>
        <w:rFonts w:ascii="Calibri" w:eastAsia="Calibri" w:hAnsi="Calibri" w:cs="Calibri"/>
        <w:b w:val="0"/>
        <w:i w:val="0"/>
        <w:strike w:val="0"/>
        <w:dstrike w:val="0"/>
        <w:color w:val="1F3864"/>
        <w:sz w:val="20"/>
        <w:szCs w:val="20"/>
        <w:u w:val="single" w:color="1F3864"/>
        <w:bdr w:val="none" w:sz="0" w:space="0" w:color="auto"/>
        <w:shd w:val="clear" w:color="auto" w:fill="auto"/>
        <w:vertAlign w:val="baseline"/>
      </w:rPr>
    </w:lvl>
    <w:lvl w:ilvl="8" w:tplc="B8CC22BA">
      <w:start w:val="1"/>
      <w:numFmt w:val="lowerRoman"/>
      <w:lvlText w:val="%9"/>
      <w:lvlJc w:val="left"/>
      <w:pPr>
        <w:ind w:left="6120"/>
      </w:pPr>
      <w:rPr>
        <w:rFonts w:ascii="Calibri" w:eastAsia="Calibri" w:hAnsi="Calibri" w:cs="Calibri"/>
        <w:b w:val="0"/>
        <w:i w:val="0"/>
        <w:strike w:val="0"/>
        <w:dstrike w:val="0"/>
        <w:color w:val="1F3864"/>
        <w:sz w:val="20"/>
        <w:szCs w:val="20"/>
        <w:u w:val="single" w:color="1F3864"/>
        <w:bdr w:val="none" w:sz="0" w:space="0" w:color="auto"/>
        <w:shd w:val="clear" w:color="auto" w:fill="auto"/>
        <w:vertAlign w:val="baseline"/>
      </w:rPr>
    </w:lvl>
  </w:abstractNum>
  <w:abstractNum w:abstractNumId="5" w15:restartNumberingAfterBreak="0">
    <w:nsid w:val="155467CA"/>
    <w:multiLevelType w:val="hybridMultilevel"/>
    <w:tmpl w:val="13A86E6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640841"/>
    <w:multiLevelType w:val="hybridMultilevel"/>
    <w:tmpl w:val="910263E4"/>
    <w:lvl w:ilvl="0" w:tplc="B75CE878">
      <w:start w:val="4"/>
      <w:numFmt w:val="decimal"/>
      <w:lvlText w:val="%1."/>
      <w:lvlJc w:val="left"/>
      <w:pPr>
        <w:ind w:left="358"/>
      </w:pPr>
      <w:rPr>
        <w:rFonts w:ascii="Calibri" w:eastAsia="Calibri" w:hAnsi="Calibri" w:cs="Calibri"/>
        <w:b/>
        <w:bCs/>
        <w:i w:val="0"/>
        <w:strike w:val="0"/>
        <w:dstrike w:val="0"/>
        <w:color w:val="FFFFFF"/>
        <w:sz w:val="26"/>
        <w:szCs w:val="26"/>
        <w:u w:val="none" w:color="000000"/>
        <w:bdr w:val="none" w:sz="0" w:space="0" w:color="auto"/>
        <w:shd w:val="clear" w:color="auto" w:fill="auto"/>
        <w:vertAlign w:val="baseline"/>
      </w:rPr>
    </w:lvl>
    <w:lvl w:ilvl="1" w:tplc="FE8A98E2">
      <w:start w:val="1"/>
      <w:numFmt w:val="bullet"/>
      <w:lvlText w:val="•"/>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F08446">
      <w:start w:val="1"/>
      <w:numFmt w:val="bullet"/>
      <w:lvlText w:val="▪"/>
      <w:lvlJc w:val="left"/>
      <w:pPr>
        <w:ind w:left="1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C04A36">
      <w:start w:val="1"/>
      <w:numFmt w:val="bullet"/>
      <w:lvlText w:val="•"/>
      <w:lvlJc w:val="left"/>
      <w:pPr>
        <w:ind w:left="2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66E8BC">
      <w:start w:val="1"/>
      <w:numFmt w:val="bullet"/>
      <w:lvlText w:val="o"/>
      <w:lvlJc w:val="left"/>
      <w:pPr>
        <w:ind w:left="28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0E61CC">
      <w:start w:val="1"/>
      <w:numFmt w:val="bullet"/>
      <w:lvlText w:val="▪"/>
      <w:lvlJc w:val="left"/>
      <w:pPr>
        <w:ind w:left="3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DEFEFE">
      <w:start w:val="1"/>
      <w:numFmt w:val="bullet"/>
      <w:lvlText w:val="•"/>
      <w:lvlJc w:val="left"/>
      <w:pPr>
        <w:ind w:left="4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50D3A0">
      <w:start w:val="1"/>
      <w:numFmt w:val="bullet"/>
      <w:lvlText w:val="o"/>
      <w:lvlJc w:val="left"/>
      <w:pPr>
        <w:ind w:left="4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762498">
      <w:start w:val="1"/>
      <w:numFmt w:val="bullet"/>
      <w:lvlText w:val="▪"/>
      <w:lvlJc w:val="left"/>
      <w:pPr>
        <w:ind w:left="5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3344CBB"/>
    <w:multiLevelType w:val="hybridMultilevel"/>
    <w:tmpl w:val="C61E0694"/>
    <w:lvl w:ilvl="0" w:tplc="BD4EE3C4">
      <w:start w:val="1"/>
      <w:numFmt w:val="lowerLetter"/>
      <w:lvlText w:val="%1."/>
      <w:lvlJc w:val="left"/>
      <w:pPr>
        <w:ind w:left="360" w:hanging="360"/>
      </w:pPr>
      <w:rPr>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B12DB0"/>
    <w:multiLevelType w:val="hybridMultilevel"/>
    <w:tmpl w:val="E8F2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6667A"/>
    <w:multiLevelType w:val="hybridMultilevel"/>
    <w:tmpl w:val="C61E0694"/>
    <w:lvl w:ilvl="0" w:tplc="BD4EE3C4">
      <w:start w:val="1"/>
      <w:numFmt w:val="lowerLetter"/>
      <w:lvlText w:val="%1."/>
      <w:lvlJc w:val="left"/>
      <w:pPr>
        <w:ind w:left="360" w:hanging="360"/>
      </w:pPr>
      <w:rPr>
        <w:vertAlign w:val="superscrip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C55857"/>
    <w:multiLevelType w:val="hybridMultilevel"/>
    <w:tmpl w:val="99526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F33C55"/>
    <w:multiLevelType w:val="hybridMultilevel"/>
    <w:tmpl w:val="654EFC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47294265"/>
    <w:multiLevelType w:val="hybridMultilevel"/>
    <w:tmpl w:val="CEFC2274"/>
    <w:lvl w:ilvl="0" w:tplc="3A16EE06">
      <w:start w:val="1"/>
      <w:numFmt w:val="decimal"/>
      <w:lvlText w:val="%1."/>
      <w:lvlJc w:val="left"/>
      <w:pPr>
        <w:ind w:left="440"/>
      </w:pPr>
      <w:rPr>
        <w:rFonts w:ascii="Calibri" w:eastAsia="Calibri" w:hAnsi="Calibri" w:cs="Calibri"/>
        <w:b/>
        <w:bCs/>
        <w:i w:val="0"/>
        <w:strike w:val="0"/>
        <w:dstrike w:val="0"/>
        <w:color w:val="FFFFFF"/>
        <w:sz w:val="26"/>
        <w:szCs w:val="26"/>
        <w:u w:val="none" w:color="000000"/>
        <w:bdr w:val="none" w:sz="0" w:space="0" w:color="auto"/>
        <w:shd w:val="clear" w:color="auto" w:fill="auto"/>
        <w:vertAlign w:val="baseline"/>
      </w:rPr>
    </w:lvl>
    <w:lvl w:ilvl="1" w:tplc="DB887E8C">
      <w:start w:val="1"/>
      <w:numFmt w:val="lowerLetter"/>
      <w:lvlText w:val="%2"/>
      <w:lvlJc w:val="left"/>
      <w:pPr>
        <w:ind w:left="1080"/>
      </w:pPr>
      <w:rPr>
        <w:rFonts w:ascii="Calibri" w:eastAsia="Calibri" w:hAnsi="Calibri" w:cs="Calibri"/>
        <w:b/>
        <w:bCs/>
        <w:i w:val="0"/>
        <w:strike w:val="0"/>
        <w:dstrike w:val="0"/>
        <w:color w:val="FFFFFF"/>
        <w:sz w:val="26"/>
        <w:szCs w:val="26"/>
        <w:u w:val="none" w:color="000000"/>
        <w:bdr w:val="none" w:sz="0" w:space="0" w:color="auto"/>
        <w:shd w:val="clear" w:color="auto" w:fill="auto"/>
        <w:vertAlign w:val="baseline"/>
      </w:rPr>
    </w:lvl>
    <w:lvl w:ilvl="2" w:tplc="21900D80">
      <w:start w:val="1"/>
      <w:numFmt w:val="lowerRoman"/>
      <w:lvlText w:val="%3"/>
      <w:lvlJc w:val="left"/>
      <w:pPr>
        <w:ind w:left="1800"/>
      </w:pPr>
      <w:rPr>
        <w:rFonts w:ascii="Calibri" w:eastAsia="Calibri" w:hAnsi="Calibri" w:cs="Calibri"/>
        <w:b/>
        <w:bCs/>
        <w:i w:val="0"/>
        <w:strike w:val="0"/>
        <w:dstrike w:val="0"/>
        <w:color w:val="FFFFFF"/>
        <w:sz w:val="26"/>
        <w:szCs w:val="26"/>
        <w:u w:val="none" w:color="000000"/>
        <w:bdr w:val="none" w:sz="0" w:space="0" w:color="auto"/>
        <w:shd w:val="clear" w:color="auto" w:fill="auto"/>
        <w:vertAlign w:val="baseline"/>
      </w:rPr>
    </w:lvl>
    <w:lvl w:ilvl="3" w:tplc="2BB2CFC4">
      <w:start w:val="1"/>
      <w:numFmt w:val="decimal"/>
      <w:lvlText w:val="%4"/>
      <w:lvlJc w:val="left"/>
      <w:pPr>
        <w:ind w:left="2520"/>
      </w:pPr>
      <w:rPr>
        <w:rFonts w:ascii="Calibri" w:eastAsia="Calibri" w:hAnsi="Calibri" w:cs="Calibri"/>
        <w:b/>
        <w:bCs/>
        <w:i w:val="0"/>
        <w:strike w:val="0"/>
        <w:dstrike w:val="0"/>
        <w:color w:val="FFFFFF"/>
        <w:sz w:val="26"/>
        <w:szCs w:val="26"/>
        <w:u w:val="none" w:color="000000"/>
        <w:bdr w:val="none" w:sz="0" w:space="0" w:color="auto"/>
        <w:shd w:val="clear" w:color="auto" w:fill="auto"/>
        <w:vertAlign w:val="baseline"/>
      </w:rPr>
    </w:lvl>
    <w:lvl w:ilvl="4" w:tplc="0E529BB0">
      <w:start w:val="1"/>
      <w:numFmt w:val="lowerLetter"/>
      <w:lvlText w:val="%5"/>
      <w:lvlJc w:val="left"/>
      <w:pPr>
        <w:ind w:left="3240"/>
      </w:pPr>
      <w:rPr>
        <w:rFonts w:ascii="Calibri" w:eastAsia="Calibri" w:hAnsi="Calibri" w:cs="Calibri"/>
        <w:b/>
        <w:bCs/>
        <w:i w:val="0"/>
        <w:strike w:val="0"/>
        <w:dstrike w:val="0"/>
        <w:color w:val="FFFFFF"/>
        <w:sz w:val="26"/>
        <w:szCs w:val="26"/>
        <w:u w:val="none" w:color="000000"/>
        <w:bdr w:val="none" w:sz="0" w:space="0" w:color="auto"/>
        <w:shd w:val="clear" w:color="auto" w:fill="auto"/>
        <w:vertAlign w:val="baseline"/>
      </w:rPr>
    </w:lvl>
    <w:lvl w:ilvl="5" w:tplc="14045FB2">
      <w:start w:val="1"/>
      <w:numFmt w:val="lowerRoman"/>
      <w:lvlText w:val="%6"/>
      <w:lvlJc w:val="left"/>
      <w:pPr>
        <w:ind w:left="3960"/>
      </w:pPr>
      <w:rPr>
        <w:rFonts w:ascii="Calibri" w:eastAsia="Calibri" w:hAnsi="Calibri" w:cs="Calibri"/>
        <w:b/>
        <w:bCs/>
        <w:i w:val="0"/>
        <w:strike w:val="0"/>
        <w:dstrike w:val="0"/>
        <w:color w:val="FFFFFF"/>
        <w:sz w:val="26"/>
        <w:szCs w:val="26"/>
        <w:u w:val="none" w:color="000000"/>
        <w:bdr w:val="none" w:sz="0" w:space="0" w:color="auto"/>
        <w:shd w:val="clear" w:color="auto" w:fill="auto"/>
        <w:vertAlign w:val="baseline"/>
      </w:rPr>
    </w:lvl>
    <w:lvl w:ilvl="6" w:tplc="9E8CC99A">
      <w:start w:val="1"/>
      <w:numFmt w:val="decimal"/>
      <w:lvlText w:val="%7"/>
      <w:lvlJc w:val="left"/>
      <w:pPr>
        <w:ind w:left="4680"/>
      </w:pPr>
      <w:rPr>
        <w:rFonts w:ascii="Calibri" w:eastAsia="Calibri" w:hAnsi="Calibri" w:cs="Calibri"/>
        <w:b/>
        <w:bCs/>
        <w:i w:val="0"/>
        <w:strike w:val="0"/>
        <w:dstrike w:val="0"/>
        <w:color w:val="FFFFFF"/>
        <w:sz w:val="26"/>
        <w:szCs w:val="26"/>
        <w:u w:val="none" w:color="000000"/>
        <w:bdr w:val="none" w:sz="0" w:space="0" w:color="auto"/>
        <w:shd w:val="clear" w:color="auto" w:fill="auto"/>
        <w:vertAlign w:val="baseline"/>
      </w:rPr>
    </w:lvl>
    <w:lvl w:ilvl="7" w:tplc="97226044">
      <w:start w:val="1"/>
      <w:numFmt w:val="lowerLetter"/>
      <w:lvlText w:val="%8"/>
      <w:lvlJc w:val="left"/>
      <w:pPr>
        <w:ind w:left="5400"/>
      </w:pPr>
      <w:rPr>
        <w:rFonts w:ascii="Calibri" w:eastAsia="Calibri" w:hAnsi="Calibri" w:cs="Calibri"/>
        <w:b/>
        <w:bCs/>
        <w:i w:val="0"/>
        <w:strike w:val="0"/>
        <w:dstrike w:val="0"/>
        <w:color w:val="FFFFFF"/>
        <w:sz w:val="26"/>
        <w:szCs w:val="26"/>
        <w:u w:val="none" w:color="000000"/>
        <w:bdr w:val="none" w:sz="0" w:space="0" w:color="auto"/>
        <w:shd w:val="clear" w:color="auto" w:fill="auto"/>
        <w:vertAlign w:val="baseline"/>
      </w:rPr>
    </w:lvl>
    <w:lvl w:ilvl="8" w:tplc="AFFA8F9C">
      <w:start w:val="1"/>
      <w:numFmt w:val="lowerRoman"/>
      <w:lvlText w:val="%9"/>
      <w:lvlJc w:val="left"/>
      <w:pPr>
        <w:ind w:left="6120"/>
      </w:pPr>
      <w:rPr>
        <w:rFonts w:ascii="Calibri" w:eastAsia="Calibri" w:hAnsi="Calibri" w:cs="Calibri"/>
        <w:b/>
        <w:bCs/>
        <w:i w:val="0"/>
        <w:strike w:val="0"/>
        <w:dstrike w:val="0"/>
        <w:color w:val="FFFFFF"/>
        <w:sz w:val="26"/>
        <w:szCs w:val="26"/>
        <w:u w:val="none" w:color="000000"/>
        <w:bdr w:val="none" w:sz="0" w:space="0" w:color="auto"/>
        <w:shd w:val="clear" w:color="auto" w:fill="auto"/>
        <w:vertAlign w:val="baseline"/>
      </w:rPr>
    </w:lvl>
  </w:abstractNum>
  <w:abstractNum w:abstractNumId="14" w15:restartNumberingAfterBreak="0">
    <w:nsid w:val="49771690"/>
    <w:multiLevelType w:val="hybridMultilevel"/>
    <w:tmpl w:val="8042FCEA"/>
    <w:lvl w:ilvl="0" w:tplc="395E2748">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B8AE28">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42EB9E">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CA0116">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128FE6">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8AFEE2">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EA6EA0">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740300">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CC1F7E">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C56315C"/>
    <w:multiLevelType w:val="hybridMultilevel"/>
    <w:tmpl w:val="80D4DB12"/>
    <w:lvl w:ilvl="0" w:tplc="F600FB5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6C413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EC616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1EBC5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687AD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04E43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5E9DC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B0995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8CCD6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4515D2B"/>
    <w:multiLevelType w:val="hybridMultilevel"/>
    <w:tmpl w:val="747A0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CE5757"/>
    <w:multiLevelType w:val="hybridMultilevel"/>
    <w:tmpl w:val="FBEE8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9F5252"/>
    <w:multiLevelType w:val="hybridMultilevel"/>
    <w:tmpl w:val="C61E0694"/>
    <w:lvl w:ilvl="0" w:tplc="BD4EE3C4">
      <w:start w:val="1"/>
      <w:numFmt w:val="lowerLetter"/>
      <w:lvlText w:val="%1."/>
      <w:lvlJc w:val="left"/>
      <w:pPr>
        <w:ind w:left="360" w:hanging="360"/>
      </w:pPr>
      <w:rPr>
        <w:vertAlign w:val="superscrip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194B14"/>
    <w:multiLevelType w:val="hybridMultilevel"/>
    <w:tmpl w:val="C61E0694"/>
    <w:lvl w:ilvl="0" w:tplc="BD4EE3C4">
      <w:start w:val="1"/>
      <w:numFmt w:val="lowerLetter"/>
      <w:lvlText w:val="%1."/>
      <w:lvlJc w:val="left"/>
      <w:pPr>
        <w:ind w:left="360" w:hanging="360"/>
      </w:pPr>
      <w:rPr>
        <w:vertAlign w:val="superscrip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391BB4"/>
    <w:multiLevelType w:val="hybridMultilevel"/>
    <w:tmpl w:val="EDBA8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75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0E37E4C"/>
    <w:multiLevelType w:val="hybridMultilevel"/>
    <w:tmpl w:val="E0E8BFBE"/>
    <w:lvl w:ilvl="0" w:tplc="841A6E5C">
      <w:start w:val="1"/>
      <w:numFmt w:val="bullet"/>
      <w:pStyle w:val="Bulletlis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7F72F4"/>
    <w:multiLevelType w:val="hybridMultilevel"/>
    <w:tmpl w:val="B5E4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624B27"/>
    <w:multiLevelType w:val="hybridMultilevel"/>
    <w:tmpl w:val="DD742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B1C3AE9"/>
    <w:multiLevelType w:val="hybridMultilevel"/>
    <w:tmpl w:val="746CD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0"/>
  </w:num>
  <w:num w:numId="4">
    <w:abstractNumId w:val="17"/>
  </w:num>
  <w:num w:numId="5">
    <w:abstractNumId w:val="31"/>
  </w:num>
  <w:num w:numId="6">
    <w:abstractNumId w:val="26"/>
  </w:num>
  <w:num w:numId="7">
    <w:abstractNumId w:val="21"/>
  </w:num>
  <w:num w:numId="8">
    <w:abstractNumId w:val="27"/>
  </w:num>
  <w:num w:numId="9">
    <w:abstractNumId w:val="8"/>
  </w:num>
  <w:num w:numId="10">
    <w:abstractNumId w:val="20"/>
  </w:num>
  <w:num w:numId="11">
    <w:abstractNumId w:val="19"/>
  </w:num>
  <w:num w:numId="12">
    <w:abstractNumId w:val="18"/>
  </w:num>
  <w:num w:numId="13">
    <w:abstractNumId w:val="16"/>
  </w:num>
  <w:num w:numId="14">
    <w:abstractNumId w:val="10"/>
  </w:num>
  <w:num w:numId="15">
    <w:abstractNumId w:val="7"/>
  </w:num>
  <w:num w:numId="16">
    <w:abstractNumId w:val="22"/>
  </w:num>
  <w:num w:numId="17">
    <w:abstractNumId w:val="30"/>
  </w:num>
  <w:num w:numId="18">
    <w:abstractNumId w:val="24"/>
  </w:num>
  <w:num w:numId="19">
    <w:abstractNumId w:val="24"/>
    <w:lvlOverride w:ilvl="0">
      <w:startOverride w:val="4"/>
    </w:lvlOverride>
    <w:lvlOverride w:ilvl="1">
      <w:startOverride w:val="5"/>
    </w:lvlOverride>
  </w:num>
  <w:num w:numId="20">
    <w:abstractNumId w:val="24"/>
    <w:lvlOverride w:ilvl="0">
      <w:startOverride w:val="4"/>
    </w:lvlOverride>
    <w:lvlOverride w:ilvl="1">
      <w:startOverride w:val="6"/>
    </w:lvlOverride>
  </w:num>
  <w:num w:numId="21">
    <w:abstractNumId w:val="24"/>
    <w:lvlOverride w:ilvl="0">
      <w:startOverride w:val="8"/>
    </w:lvlOverride>
  </w:num>
  <w:num w:numId="22">
    <w:abstractNumId w:val="23"/>
  </w:num>
  <w:num w:numId="23">
    <w:abstractNumId w:val="1"/>
  </w:num>
  <w:num w:numId="24">
    <w:abstractNumId w:val="6"/>
  </w:num>
  <w:num w:numId="25">
    <w:abstractNumId w:val="4"/>
  </w:num>
  <w:num w:numId="26">
    <w:abstractNumId w:val="13"/>
  </w:num>
  <w:num w:numId="27">
    <w:abstractNumId w:val="14"/>
  </w:num>
  <w:num w:numId="28">
    <w:abstractNumId w:val="15"/>
  </w:num>
  <w:num w:numId="29">
    <w:abstractNumId w:val="25"/>
  </w:num>
  <w:num w:numId="30">
    <w:abstractNumId w:val="29"/>
  </w:num>
  <w:num w:numId="31">
    <w:abstractNumId w:val="28"/>
  </w:num>
  <w:num w:numId="32">
    <w:abstractNumId w:val="9"/>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6C9"/>
    <w:rsid w:val="00031415"/>
    <w:rsid w:val="00032246"/>
    <w:rsid w:val="00032310"/>
    <w:rsid w:val="00032610"/>
    <w:rsid w:val="0004330D"/>
    <w:rsid w:val="00044068"/>
    <w:rsid w:val="00045A3B"/>
    <w:rsid w:val="00046D41"/>
    <w:rsid w:val="0005295E"/>
    <w:rsid w:val="00055201"/>
    <w:rsid w:val="00060A82"/>
    <w:rsid w:val="00061B1D"/>
    <w:rsid w:val="000634FE"/>
    <w:rsid w:val="000639AA"/>
    <w:rsid w:val="00065D73"/>
    <w:rsid w:val="00066DDC"/>
    <w:rsid w:val="00075197"/>
    <w:rsid w:val="00077FAF"/>
    <w:rsid w:val="000815AA"/>
    <w:rsid w:val="00082471"/>
    <w:rsid w:val="00086F2D"/>
    <w:rsid w:val="00091927"/>
    <w:rsid w:val="00094F2D"/>
    <w:rsid w:val="00095315"/>
    <w:rsid w:val="000A0067"/>
    <w:rsid w:val="000A3DEB"/>
    <w:rsid w:val="000A6AE3"/>
    <w:rsid w:val="000A706A"/>
    <w:rsid w:val="000A7AB2"/>
    <w:rsid w:val="000B2499"/>
    <w:rsid w:val="000B361F"/>
    <w:rsid w:val="000B74D1"/>
    <w:rsid w:val="000C12A1"/>
    <w:rsid w:val="000C1A75"/>
    <w:rsid w:val="000C52B7"/>
    <w:rsid w:val="000C542A"/>
    <w:rsid w:val="000D04F3"/>
    <w:rsid w:val="000D0D1F"/>
    <w:rsid w:val="000D2AB2"/>
    <w:rsid w:val="000E5711"/>
    <w:rsid w:val="000F6E96"/>
    <w:rsid w:val="00102A83"/>
    <w:rsid w:val="0010591C"/>
    <w:rsid w:val="001060CE"/>
    <w:rsid w:val="0010636E"/>
    <w:rsid w:val="001068C2"/>
    <w:rsid w:val="00106E4F"/>
    <w:rsid w:val="00111D0B"/>
    <w:rsid w:val="00113AB3"/>
    <w:rsid w:val="00122FAC"/>
    <w:rsid w:val="00123A97"/>
    <w:rsid w:val="00131433"/>
    <w:rsid w:val="00150D39"/>
    <w:rsid w:val="00151EB5"/>
    <w:rsid w:val="0015292C"/>
    <w:rsid w:val="001556C9"/>
    <w:rsid w:val="001567C5"/>
    <w:rsid w:val="00161977"/>
    <w:rsid w:val="00161EDF"/>
    <w:rsid w:val="00161FB9"/>
    <w:rsid w:val="001650EE"/>
    <w:rsid w:val="0016524D"/>
    <w:rsid w:val="0017090E"/>
    <w:rsid w:val="001721A7"/>
    <w:rsid w:val="0018295F"/>
    <w:rsid w:val="00187CFD"/>
    <w:rsid w:val="00196B8E"/>
    <w:rsid w:val="001A0027"/>
    <w:rsid w:val="001A3992"/>
    <w:rsid w:val="001A67FA"/>
    <w:rsid w:val="001B067D"/>
    <w:rsid w:val="001D04E5"/>
    <w:rsid w:val="001D0D43"/>
    <w:rsid w:val="001D1483"/>
    <w:rsid w:val="001D4EDC"/>
    <w:rsid w:val="001D5C3A"/>
    <w:rsid w:val="001E3C30"/>
    <w:rsid w:val="001E7B69"/>
    <w:rsid w:val="001E7DD1"/>
    <w:rsid w:val="001F3EEA"/>
    <w:rsid w:val="001F7E47"/>
    <w:rsid w:val="002023E4"/>
    <w:rsid w:val="00213574"/>
    <w:rsid w:val="00220A20"/>
    <w:rsid w:val="0022323C"/>
    <w:rsid w:val="00227637"/>
    <w:rsid w:val="002316AA"/>
    <w:rsid w:val="00235EA4"/>
    <w:rsid w:val="002362E7"/>
    <w:rsid w:val="002441E7"/>
    <w:rsid w:val="00244DCA"/>
    <w:rsid w:val="00246091"/>
    <w:rsid w:val="0024765E"/>
    <w:rsid w:val="002528D8"/>
    <w:rsid w:val="00253C32"/>
    <w:rsid w:val="002561DA"/>
    <w:rsid w:val="002565E6"/>
    <w:rsid w:val="00260D09"/>
    <w:rsid w:val="0026494C"/>
    <w:rsid w:val="00271CFC"/>
    <w:rsid w:val="00273591"/>
    <w:rsid w:val="00275ABA"/>
    <w:rsid w:val="00280556"/>
    <w:rsid w:val="002806D7"/>
    <w:rsid w:val="002833FC"/>
    <w:rsid w:val="00286D14"/>
    <w:rsid w:val="0029042E"/>
    <w:rsid w:val="00291A8A"/>
    <w:rsid w:val="002923A3"/>
    <w:rsid w:val="002954F8"/>
    <w:rsid w:val="00297B98"/>
    <w:rsid w:val="002A1D95"/>
    <w:rsid w:val="002A20C9"/>
    <w:rsid w:val="002A6966"/>
    <w:rsid w:val="002A6C1A"/>
    <w:rsid w:val="002B0592"/>
    <w:rsid w:val="002B2150"/>
    <w:rsid w:val="002B2567"/>
    <w:rsid w:val="002B424E"/>
    <w:rsid w:val="002B6E59"/>
    <w:rsid w:val="002C18CC"/>
    <w:rsid w:val="002C407A"/>
    <w:rsid w:val="002C4189"/>
    <w:rsid w:val="002C6FEC"/>
    <w:rsid w:val="002D170A"/>
    <w:rsid w:val="002D20CA"/>
    <w:rsid w:val="002D2D58"/>
    <w:rsid w:val="002E277D"/>
    <w:rsid w:val="002E2802"/>
    <w:rsid w:val="002F0C3D"/>
    <w:rsid w:val="003012FE"/>
    <w:rsid w:val="003043F3"/>
    <w:rsid w:val="00306395"/>
    <w:rsid w:val="00310AD0"/>
    <w:rsid w:val="00311BDB"/>
    <w:rsid w:val="0031309B"/>
    <w:rsid w:val="00314254"/>
    <w:rsid w:val="003205BA"/>
    <w:rsid w:val="0032589B"/>
    <w:rsid w:val="00336493"/>
    <w:rsid w:val="0034268B"/>
    <w:rsid w:val="0034429E"/>
    <w:rsid w:val="003442B2"/>
    <w:rsid w:val="00355C6E"/>
    <w:rsid w:val="00355E37"/>
    <w:rsid w:val="00357A45"/>
    <w:rsid w:val="00366895"/>
    <w:rsid w:val="00367662"/>
    <w:rsid w:val="00370E5A"/>
    <w:rsid w:val="00371131"/>
    <w:rsid w:val="0037166F"/>
    <w:rsid w:val="00376023"/>
    <w:rsid w:val="00376A39"/>
    <w:rsid w:val="00382560"/>
    <w:rsid w:val="003834B2"/>
    <w:rsid w:val="0038407C"/>
    <w:rsid w:val="003843A4"/>
    <w:rsid w:val="00387CD5"/>
    <w:rsid w:val="003929B0"/>
    <w:rsid w:val="003A3153"/>
    <w:rsid w:val="003A47A1"/>
    <w:rsid w:val="003A7C7F"/>
    <w:rsid w:val="003B1B30"/>
    <w:rsid w:val="003C0DF6"/>
    <w:rsid w:val="003C1C12"/>
    <w:rsid w:val="003C262A"/>
    <w:rsid w:val="003C307B"/>
    <w:rsid w:val="003D419E"/>
    <w:rsid w:val="003E27EF"/>
    <w:rsid w:val="003E3D16"/>
    <w:rsid w:val="003F689B"/>
    <w:rsid w:val="004032BD"/>
    <w:rsid w:val="00404BCB"/>
    <w:rsid w:val="004072E8"/>
    <w:rsid w:val="0040739A"/>
    <w:rsid w:val="0041309D"/>
    <w:rsid w:val="00414B07"/>
    <w:rsid w:val="00414B91"/>
    <w:rsid w:val="00420692"/>
    <w:rsid w:val="00431ACD"/>
    <w:rsid w:val="00440269"/>
    <w:rsid w:val="0044141F"/>
    <w:rsid w:val="00444B33"/>
    <w:rsid w:val="0044710F"/>
    <w:rsid w:val="00452FC4"/>
    <w:rsid w:val="004570FF"/>
    <w:rsid w:val="0046024D"/>
    <w:rsid w:val="0046189E"/>
    <w:rsid w:val="00461BA7"/>
    <w:rsid w:val="004624E3"/>
    <w:rsid w:val="0046431B"/>
    <w:rsid w:val="00466E86"/>
    <w:rsid w:val="00481C3C"/>
    <w:rsid w:val="00484F75"/>
    <w:rsid w:val="00492509"/>
    <w:rsid w:val="00496E4A"/>
    <w:rsid w:val="00497C85"/>
    <w:rsid w:val="004A1B3E"/>
    <w:rsid w:val="004A68F0"/>
    <w:rsid w:val="004C09E6"/>
    <w:rsid w:val="004C4015"/>
    <w:rsid w:val="004C40EB"/>
    <w:rsid w:val="004C6656"/>
    <w:rsid w:val="004C7358"/>
    <w:rsid w:val="004D0771"/>
    <w:rsid w:val="004D5B09"/>
    <w:rsid w:val="004D6831"/>
    <w:rsid w:val="004E0102"/>
    <w:rsid w:val="004E2441"/>
    <w:rsid w:val="004E3986"/>
    <w:rsid w:val="004E4837"/>
    <w:rsid w:val="004E6B22"/>
    <w:rsid w:val="004E72A4"/>
    <w:rsid w:val="004F4E94"/>
    <w:rsid w:val="00502555"/>
    <w:rsid w:val="00502B89"/>
    <w:rsid w:val="005036BA"/>
    <w:rsid w:val="00504C8C"/>
    <w:rsid w:val="00506015"/>
    <w:rsid w:val="005075C6"/>
    <w:rsid w:val="00512BA0"/>
    <w:rsid w:val="00514028"/>
    <w:rsid w:val="00524BD8"/>
    <w:rsid w:val="0052500F"/>
    <w:rsid w:val="00526208"/>
    <w:rsid w:val="00541706"/>
    <w:rsid w:val="00542BF3"/>
    <w:rsid w:val="00545784"/>
    <w:rsid w:val="0055345D"/>
    <w:rsid w:val="005548AB"/>
    <w:rsid w:val="00554E03"/>
    <w:rsid w:val="0056070C"/>
    <w:rsid w:val="00562337"/>
    <w:rsid w:val="005629E9"/>
    <w:rsid w:val="005670F9"/>
    <w:rsid w:val="005671A0"/>
    <w:rsid w:val="00575528"/>
    <w:rsid w:val="00575B19"/>
    <w:rsid w:val="005767D8"/>
    <w:rsid w:val="005812A9"/>
    <w:rsid w:val="0058134A"/>
    <w:rsid w:val="00582B52"/>
    <w:rsid w:val="005840A7"/>
    <w:rsid w:val="005840EB"/>
    <w:rsid w:val="005876E3"/>
    <w:rsid w:val="00590419"/>
    <w:rsid w:val="005906B7"/>
    <w:rsid w:val="005A03A4"/>
    <w:rsid w:val="005A065E"/>
    <w:rsid w:val="005A0AD5"/>
    <w:rsid w:val="005A4881"/>
    <w:rsid w:val="005A7820"/>
    <w:rsid w:val="005B5F35"/>
    <w:rsid w:val="005C0A0D"/>
    <w:rsid w:val="005C2376"/>
    <w:rsid w:val="005C2660"/>
    <w:rsid w:val="005D1B58"/>
    <w:rsid w:val="005D3FDC"/>
    <w:rsid w:val="005D5C69"/>
    <w:rsid w:val="005D678F"/>
    <w:rsid w:val="005D73EF"/>
    <w:rsid w:val="005E011C"/>
    <w:rsid w:val="005E014D"/>
    <w:rsid w:val="005E27AF"/>
    <w:rsid w:val="005E4376"/>
    <w:rsid w:val="005E6D96"/>
    <w:rsid w:val="005F11CE"/>
    <w:rsid w:val="005F4E0C"/>
    <w:rsid w:val="005F71A8"/>
    <w:rsid w:val="0061120D"/>
    <w:rsid w:val="0061371A"/>
    <w:rsid w:val="00617807"/>
    <w:rsid w:val="0062115B"/>
    <w:rsid w:val="006229EC"/>
    <w:rsid w:val="00623D16"/>
    <w:rsid w:val="006250DA"/>
    <w:rsid w:val="0062668A"/>
    <w:rsid w:val="00627B66"/>
    <w:rsid w:val="006356B4"/>
    <w:rsid w:val="00636516"/>
    <w:rsid w:val="00637001"/>
    <w:rsid w:val="0064313E"/>
    <w:rsid w:val="00650BDB"/>
    <w:rsid w:val="00657A1F"/>
    <w:rsid w:val="0066308F"/>
    <w:rsid w:val="0066632F"/>
    <w:rsid w:val="00672BA3"/>
    <w:rsid w:val="00674D42"/>
    <w:rsid w:val="00675151"/>
    <w:rsid w:val="006752A9"/>
    <w:rsid w:val="00677840"/>
    <w:rsid w:val="006975A6"/>
    <w:rsid w:val="006A4E07"/>
    <w:rsid w:val="006A561D"/>
    <w:rsid w:val="006B2111"/>
    <w:rsid w:val="006B5C90"/>
    <w:rsid w:val="006B772F"/>
    <w:rsid w:val="006C1E53"/>
    <w:rsid w:val="006D4409"/>
    <w:rsid w:val="006D56D4"/>
    <w:rsid w:val="006D71B3"/>
    <w:rsid w:val="006E1E10"/>
    <w:rsid w:val="006E1F8F"/>
    <w:rsid w:val="006E20A5"/>
    <w:rsid w:val="006E329E"/>
    <w:rsid w:val="006E3419"/>
    <w:rsid w:val="006E7314"/>
    <w:rsid w:val="006F2387"/>
    <w:rsid w:val="00701ED6"/>
    <w:rsid w:val="00703425"/>
    <w:rsid w:val="00704FBF"/>
    <w:rsid w:val="00705FE9"/>
    <w:rsid w:val="00711929"/>
    <w:rsid w:val="0071445A"/>
    <w:rsid w:val="00715596"/>
    <w:rsid w:val="00717851"/>
    <w:rsid w:val="00722998"/>
    <w:rsid w:val="0072315A"/>
    <w:rsid w:val="007244FE"/>
    <w:rsid w:val="00725384"/>
    <w:rsid w:val="0073130E"/>
    <w:rsid w:val="007317EC"/>
    <w:rsid w:val="00735CD8"/>
    <w:rsid w:val="00742B67"/>
    <w:rsid w:val="007435DD"/>
    <w:rsid w:val="007756A3"/>
    <w:rsid w:val="00775CC3"/>
    <w:rsid w:val="00781BF9"/>
    <w:rsid w:val="007923B8"/>
    <w:rsid w:val="00792A36"/>
    <w:rsid w:val="00794FB4"/>
    <w:rsid w:val="00795790"/>
    <w:rsid w:val="007A0EA4"/>
    <w:rsid w:val="007A5D0F"/>
    <w:rsid w:val="007B02C0"/>
    <w:rsid w:val="007B6C0C"/>
    <w:rsid w:val="007C0CF1"/>
    <w:rsid w:val="007C1800"/>
    <w:rsid w:val="007C20C5"/>
    <w:rsid w:val="007C3A9B"/>
    <w:rsid w:val="007D1408"/>
    <w:rsid w:val="007D1E7D"/>
    <w:rsid w:val="007D73A9"/>
    <w:rsid w:val="007D7FAF"/>
    <w:rsid w:val="007E108A"/>
    <w:rsid w:val="007E693C"/>
    <w:rsid w:val="007E71CE"/>
    <w:rsid w:val="007F1189"/>
    <w:rsid w:val="007F13FF"/>
    <w:rsid w:val="00804735"/>
    <w:rsid w:val="00810DAB"/>
    <w:rsid w:val="00815E3C"/>
    <w:rsid w:val="008170D8"/>
    <w:rsid w:val="0081743B"/>
    <w:rsid w:val="008207D5"/>
    <w:rsid w:val="00821B0C"/>
    <w:rsid w:val="00823BBC"/>
    <w:rsid w:val="00826FCA"/>
    <w:rsid w:val="0083179A"/>
    <w:rsid w:val="008334C3"/>
    <w:rsid w:val="00844903"/>
    <w:rsid w:val="00845733"/>
    <w:rsid w:val="00854FA1"/>
    <w:rsid w:val="008611E0"/>
    <w:rsid w:val="0086332D"/>
    <w:rsid w:val="00864A8D"/>
    <w:rsid w:val="00865029"/>
    <w:rsid w:val="00866225"/>
    <w:rsid w:val="0086715D"/>
    <w:rsid w:val="00871A96"/>
    <w:rsid w:val="00876C25"/>
    <w:rsid w:val="00876E7B"/>
    <w:rsid w:val="00880A04"/>
    <w:rsid w:val="0088298F"/>
    <w:rsid w:val="00892462"/>
    <w:rsid w:val="00892D73"/>
    <w:rsid w:val="00892F8C"/>
    <w:rsid w:val="00896745"/>
    <w:rsid w:val="008A18D7"/>
    <w:rsid w:val="008A3558"/>
    <w:rsid w:val="008A6AAE"/>
    <w:rsid w:val="008A763D"/>
    <w:rsid w:val="008B4556"/>
    <w:rsid w:val="008B683B"/>
    <w:rsid w:val="008B7501"/>
    <w:rsid w:val="008C0552"/>
    <w:rsid w:val="008C6334"/>
    <w:rsid w:val="008D2057"/>
    <w:rsid w:val="008D22D5"/>
    <w:rsid w:val="008D429A"/>
    <w:rsid w:val="008E0371"/>
    <w:rsid w:val="008E2496"/>
    <w:rsid w:val="008F06B2"/>
    <w:rsid w:val="008F38D9"/>
    <w:rsid w:val="008F59A4"/>
    <w:rsid w:val="008F5F6F"/>
    <w:rsid w:val="008F74BA"/>
    <w:rsid w:val="009043ED"/>
    <w:rsid w:val="00912A44"/>
    <w:rsid w:val="00916BF0"/>
    <w:rsid w:val="0092116D"/>
    <w:rsid w:val="00922B65"/>
    <w:rsid w:val="00925542"/>
    <w:rsid w:val="00926873"/>
    <w:rsid w:val="0093608A"/>
    <w:rsid w:val="009400DA"/>
    <w:rsid w:val="00954A6F"/>
    <w:rsid w:val="00956A10"/>
    <w:rsid w:val="009579E3"/>
    <w:rsid w:val="00960CD5"/>
    <w:rsid w:val="00961343"/>
    <w:rsid w:val="00961CA4"/>
    <w:rsid w:val="00963974"/>
    <w:rsid w:val="0096619A"/>
    <w:rsid w:val="0097029F"/>
    <w:rsid w:val="0097072C"/>
    <w:rsid w:val="00971B03"/>
    <w:rsid w:val="00975EA6"/>
    <w:rsid w:val="00977A02"/>
    <w:rsid w:val="00981A2A"/>
    <w:rsid w:val="00983AF2"/>
    <w:rsid w:val="00985438"/>
    <w:rsid w:val="00986AF9"/>
    <w:rsid w:val="00987E78"/>
    <w:rsid w:val="00990C79"/>
    <w:rsid w:val="00994934"/>
    <w:rsid w:val="00995A37"/>
    <w:rsid w:val="009A0482"/>
    <w:rsid w:val="009A15F6"/>
    <w:rsid w:val="009A1E0E"/>
    <w:rsid w:val="009A6040"/>
    <w:rsid w:val="009C643B"/>
    <w:rsid w:val="009C6C3F"/>
    <w:rsid w:val="009D2610"/>
    <w:rsid w:val="009D44A9"/>
    <w:rsid w:val="009D4D74"/>
    <w:rsid w:val="009D7BF7"/>
    <w:rsid w:val="009E5836"/>
    <w:rsid w:val="009E60C1"/>
    <w:rsid w:val="009F076F"/>
    <w:rsid w:val="009F572D"/>
    <w:rsid w:val="009F5EFE"/>
    <w:rsid w:val="009F67C0"/>
    <w:rsid w:val="009F6A6C"/>
    <w:rsid w:val="009F79FF"/>
    <w:rsid w:val="00A010DC"/>
    <w:rsid w:val="00A1056B"/>
    <w:rsid w:val="00A1184A"/>
    <w:rsid w:val="00A1214E"/>
    <w:rsid w:val="00A13A67"/>
    <w:rsid w:val="00A229A4"/>
    <w:rsid w:val="00A26142"/>
    <w:rsid w:val="00A27B67"/>
    <w:rsid w:val="00A30D49"/>
    <w:rsid w:val="00A3457A"/>
    <w:rsid w:val="00A35240"/>
    <w:rsid w:val="00A36E82"/>
    <w:rsid w:val="00A41165"/>
    <w:rsid w:val="00A4321A"/>
    <w:rsid w:val="00A4750C"/>
    <w:rsid w:val="00A4791D"/>
    <w:rsid w:val="00A51D4D"/>
    <w:rsid w:val="00A537FC"/>
    <w:rsid w:val="00A53DA3"/>
    <w:rsid w:val="00A547FB"/>
    <w:rsid w:val="00A627B1"/>
    <w:rsid w:val="00A64CA6"/>
    <w:rsid w:val="00A711F2"/>
    <w:rsid w:val="00A71833"/>
    <w:rsid w:val="00A72161"/>
    <w:rsid w:val="00A75338"/>
    <w:rsid w:val="00A83262"/>
    <w:rsid w:val="00A865FA"/>
    <w:rsid w:val="00A9028C"/>
    <w:rsid w:val="00A94C59"/>
    <w:rsid w:val="00AA01BC"/>
    <w:rsid w:val="00AA45E8"/>
    <w:rsid w:val="00AB6CB6"/>
    <w:rsid w:val="00AB6E06"/>
    <w:rsid w:val="00AB76A8"/>
    <w:rsid w:val="00AC0B60"/>
    <w:rsid w:val="00AC5CE7"/>
    <w:rsid w:val="00AC6F1D"/>
    <w:rsid w:val="00AD49AA"/>
    <w:rsid w:val="00AE090A"/>
    <w:rsid w:val="00AE348B"/>
    <w:rsid w:val="00AE6F78"/>
    <w:rsid w:val="00AF4419"/>
    <w:rsid w:val="00AF544D"/>
    <w:rsid w:val="00AF5C90"/>
    <w:rsid w:val="00AF60AA"/>
    <w:rsid w:val="00AF6387"/>
    <w:rsid w:val="00B01B2C"/>
    <w:rsid w:val="00B0258D"/>
    <w:rsid w:val="00B0323F"/>
    <w:rsid w:val="00B049BA"/>
    <w:rsid w:val="00B05F8F"/>
    <w:rsid w:val="00B14044"/>
    <w:rsid w:val="00B15F50"/>
    <w:rsid w:val="00B20CD3"/>
    <w:rsid w:val="00B2203B"/>
    <w:rsid w:val="00B2210D"/>
    <w:rsid w:val="00B23F68"/>
    <w:rsid w:val="00B26140"/>
    <w:rsid w:val="00B27597"/>
    <w:rsid w:val="00B300B2"/>
    <w:rsid w:val="00B34CF8"/>
    <w:rsid w:val="00B3660C"/>
    <w:rsid w:val="00B4049B"/>
    <w:rsid w:val="00B41950"/>
    <w:rsid w:val="00B4305A"/>
    <w:rsid w:val="00B45DC9"/>
    <w:rsid w:val="00B47EA8"/>
    <w:rsid w:val="00B6359E"/>
    <w:rsid w:val="00B64C0C"/>
    <w:rsid w:val="00B75711"/>
    <w:rsid w:val="00B77F62"/>
    <w:rsid w:val="00B82899"/>
    <w:rsid w:val="00B85923"/>
    <w:rsid w:val="00B94D47"/>
    <w:rsid w:val="00BA287C"/>
    <w:rsid w:val="00BA2C7C"/>
    <w:rsid w:val="00BA3624"/>
    <w:rsid w:val="00BA57DC"/>
    <w:rsid w:val="00BB0292"/>
    <w:rsid w:val="00BB220A"/>
    <w:rsid w:val="00BB2253"/>
    <w:rsid w:val="00BC0B45"/>
    <w:rsid w:val="00BC1C14"/>
    <w:rsid w:val="00BC58E7"/>
    <w:rsid w:val="00BD034E"/>
    <w:rsid w:val="00BE35CE"/>
    <w:rsid w:val="00BF0559"/>
    <w:rsid w:val="00BF0B22"/>
    <w:rsid w:val="00BF3161"/>
    <w:rsid w:val="00BF7CA7"/>
    <w:rsid w:val="00C054A7"/>
    <w:rsid w:val="00C10F06"/>
    <w:rsid w:val="00C20183"/>
    <w:rsid w:val="00C24C75"/>
    <w:rsid w:val="00C26C9E"/>
    <w:rsid w:val="00C27728"/>
    <w:rsid w:val="00C27993"/>
    <w:rsid w:val="00C27A5E"/>
    <w:rsid w:val="00C379F1"/>
    <w:rsid w:val="00C454EF"/>
    <w:rsid w:val="00C5519C"/>
    <w:rsid w:val="00C558EB"/>
    <w:rsid w:val="00C60632"/>
    <w:rsid w:val="00C66A05"/>
    <w:rsid w:val="00C740E8"/>
    <w:rsid w:val="00C7474D"/>
    <w:rsid w:val="00C77AC8"/>
    <w:rsid w:val="00C8101D"/>
    <w:rsid w:val="00C83172"/>
    <w:rsid w:val="00C85692"/>
    <w:rsid w:val="00C91283"/>
    <w:rsid w:val="00C92AF3"/>
    <w:rsid w:val="00C94145"/>
    <w:rsid w:val="00CA4044"/>
    <w:rsid w:val="00CA596C"/>
    <w:rsid w:val="00CA6CCF"/>
    <w:rsid w:val="00CB12EF"/>
    <w:rsid w:val="00CB2B1B"/>
    <w:rsid w:val="00CC0B8A"/>
    <w:rsid w:val="00CC2D09"/>
    <w:rsid w:val="00CC7AE6"/>
    <w:rsid w:val="00CD7239"/>
    <w:rsid w:val="00CE53E8"/>
    <w:rsid w:val="00CF050A"/>
    <w:rsid w:val="00CF5D25"/>
    <w:rsid w:val="00D00DD7"/>
    <w:rsid w:val="00D01599"/>
    <w:rsid w:val="00D02FD3"/>
    <w:rsid w:val="00D03B2C"/>
    <w:rsid w:val="00D04D15"/>
    <w:rsid w:val="00D059A0"/>
    <w:rsid w:val="00D0666E"/>
    <w:rsid w:val="00D12231"/>
    <w:rsid w:val="00D2155A"/>
    <w:rsid w:val="00D22419"/>
    <w:rsid w:val="00D23767"/>
    <w:rsid w:val="00D316B3"/>
    <w:rsid w:val="00D420B9"/>
    <w:rsid w:val="00D44BA0"/>
    <w:rsid w:val="00D472CF"/>
    <w:rsid w:val="00D517A6"/>
    <w:rsid w:val="00D542AD"/>
    <w:rsid w:val="00D5548B"/>
    <w:rsid w:val="00D577A2"/>
    <w:rsid w:val="00D60119"/>
    <w:rsid w:val="00D60CB6"/>
    <w:rsid w:val="00D63161"/>
    <w:rsid w:val="00D67B87"/>
    <w:rsid w:val="00D67CC3"/>
    <w:rsid w:val="00D7354E"/>
    <w:rsid w:val="00D80278"/>
    <w:rsid w:val="00D81DF6"/>
    <w:rsid w:val="00D85A86"/>
    <w:rsid w:val="00D916BC"/>
    <w:rsid w:val="00D9446F"/>
    <w:rsid w:val="00D95B8D"/>
    <w:rsid w:val="00DA23F6"/>
    <w:rsid w:val="00DA2750"/>
    <w:rsid w:val="00DA66F0"/>
    <w:rsid w:val="00DA79FD"/>
    <w:rsid w:val="00DB1A36"/>
    <w:rsid w:val="00DB2598"/>
    <w:rsid w:val="00DB6654"/>
    <w:rsid w:val="00DB69F2"/>
    <w:rsid w:val="00DC58E7"/>
    <w:rsid w:val="00DE186B"/>
    <w:rsid w:val="00DE3E4A"/>
    <w:rsid w:val="00DE40C7"/>
    <w:rsid w:val="00DE785A"/>
    <w:rsid w:val="00DF0833"/>
    <w:rsid w:val="00DF5E99"/>
    <w:rsid w:val="00E014A0"/>
    <w:rsid w:val="00E02509"/>
    <w:rsid w:val="00E02B06"/>
    <w:rsid w:val="00E03628"/>
    <w:rsid w:val="00E0373C"/>
    <w:rsid w:val="00E05C5B"/>
    <w:rsid w:val="00E07CF1"/>
    <w:rsid w:val="00E11EA7"/>
    <w:rsid w:val="00E1235B"/>
    <w:rsid w:val="00E147A5"/>
    <w:rsid w:val="00E23202"/>
    <w:rsid w:val="00E24EBF"/>
    <w:rsid w:val="00E32619"/>
    <w:rsid w:val="00E34095"/>
    <w:rsid w:val="00E355DE"/>
    <w:rsid w:val="00E40EF7"/>
    <w:rsid w:val="00E439D4"/>
    <w:rsid w:val="00E47D4E"/>
    <w:rsid w:val="00E516C1"/>
    <w:rsid w:val="00E548A1"/>
    <w:rsid w:val="00E601D9"/>
    <w:rsid w:val="00E6528F"/>
    <w:rsid w:val="00E656E6"/>
    <w:rsid w:val="00E667BC"/>
    <w:rsid w:val="00E67443"/>
    <w:rsid w:val="00E6784E"/>
    <w:rsid w:val="00E67B75"/>
    <w:rsid w:val="00E70BD1"/>
    <w:rsid w:val="00E71826"/>
    <w:rsid w:val="00E739D3"/>
    <w:rsid w:val="00E74A56"/>
    <w:rsid w:val="00E74B6B"/>
    <w:rsid w:val="00E74FAF"/>
    <w:rsid w:val="00E75FE0"/>
    <w:rsid w:val="00E80D1E"/>
    <w:rsid w:val="00E813B1"/>
    <w:rsid w:val="00E83956"/>
    <w:rsid w:val="00E87B71"/>
    <w:rsid w:val="00E91885"/>
    <w:rsid w:val="00E94C26"/>
    <w:rsid w:val="00EA1BCB"/>
    <w:rsid w:val="00EA62E2"/>
    <w:rsid w:val="00EB2F91"/>
    <w:rsid w:val="00EC178F"/>
    <w:rsid w:val="00EC3A92"/>
    <w:rsid w:val="00EC6C0D"/>
    <w:rsid w:val="00ED0151"/>
    <w:rsid w:val="00ED0937"/>
    <w:rsid w:val="00ED4656"/>
    <w:rsid w:val="00ED4D5A"/>
    <w:rsid w:val="00ED4DA0"/>
    <w:rsid w:val="00ED5C39"/>
    <w:rsid w:val="00EE09BE"/>
    <w:rsid w:val="00EE63B2"/>
    <w:rsid w:val="00EF01E7"/>
    <w:rsid w:val="00F058CB"/>
    <w:rsid w:val="00F0606C"/>
    <w:rsid w:val="00F06272"/>
    <w:rsid w:val="00F1249B"/>
    <w:rsid w:val="00F16B09"/>
    <w:rsid w:val="00F17774"/>
    <w:rsid w:val="00F24751"/>
    <w:rsid w:val="00F24D4F"/>
    <w:rsid w:val="00F30F6F"/>
    <w:rsid w:val="00F32F8A"/>
    <w:rsid w:val="00F3300A"/>
    <w:rsid w:val="00F3381C"/>
    <w:rsid w:val="00F33CDA"/>
    <w:rsid w:val="00F36D67"/>
    <w:rsid w:val="00F40B44"/>
    <w:rsid w:val="00F435D4"/>
    <w:rsid w:val="00F43DB8"/>
    <w:rsid w:val="00F476E4"/>
    <w:rsid w:val="00F5063D"/>
    <w:rsid w:val="00F50E04"/>
    <w:rsid w:val="00F553D8"/>
    <w:rsid w:val="00F55FB4"/>
    <w:rsid w:val="00F60876"/>
    <w:rsid w:val="00F62D7D"/>
    <w:rsid w:val="00F65D94"/>
    <w:rsid w:val="00F65FDA"/>
    <w:rsid w:val="00F7460C"/>
    <w:rsid w:val="00F75362"/>
    <w:rsid w:val="00F77862"/>
    <w:rsid w:val="00F85A4E"/>
    <w:rsid w:val="00F8659F"/>
    <w:rsid w:val="00F90308"/>
    <w:rsid w:val="00F91C1E"/>
    <w:rsid w:val="00F92162"/>
    <w:rsid w:val="00F92617"/>
    <w:rsid w:val="00F97132"/>
    <w:rsid w:val="00FA2FDC"/>
    <w:rsid w:val="00FA371E"/>
    <w:rsid w:val="00FA6F83"/>
    <w:rsid w:val="00FB26C3"/>
    <w:rsid w:val="00FB2F4F"/>
    <w:rsid w:val="00FB32F5"/>
    <w:rsid w:val="00FB7D91"/>
    <w:rsid w:val="00FC0802"/>
    <w:rsid w:val="00FC1477"/>
    <w:rsid w:val="00FC2BD9"/>
    <w:rsid w:val="00FC75F7"/>
    <w:rsid w:val="00FD162B"/>
    <w:rsid w:val="00FD340D"/>
    <w:rsid w:val="00FD59E6"/>
    <w:rsid w:val="00FD5D9F"/>
    <w:rsid w:val="00FD6AF6"/>
    <w:rsid w:val="00FD78CE"/>
    <w:rsid w:val="00FE32B4"/>
    <w:rsid w:val="00FE32FA"/>
    <w:rsid w:val="00FF1F9E"/>
    <w:rsid w:val="00FF7918"/>
    <w:rsid w:val="00FF7D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8FE164"/>
  <w15:docId w15:val="{92370270-16A8-4609-8CE0-173E4411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pPr>
      <w:numPr>
        <w:ilvl w:val="1"/>
        <w:numId w:val="1"/>
      </w:numPr>
      <w:spacing w:before="240"/>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Pr>
      <w:rFonts w:asciiTheme="majorHAnsi" w:hAnsiTheme="majorHAnsi"/>
      <w:b/>
      <w:smallCaps/>
      <w:sz w:val="24"/>
    </w:rPr>
  </w:style>
  <w:style w:type="character" w:customStyle="1" w:styleId="Heading3Char">
    <w:name w:val="Heading 3 Char"/>
    <w:basedOn w:val="DefaultParagraphFont"/>
    <w:link w:val="Heading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pPr>
      <w:ind w:left="720"/>
      <w:contextualSpacing/>
    </w:pPr>
    <w:rPr>
      <w:rFonts w:ascii="Cambria" w:hAnsi="Cambri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Pr>
      <w:rFonts w:ascii="Cambria" w:hAnsi="Cambria"/>
      <w:sz w:val="20"/>
      <w:szCs w:val="20"/>
    </w:rPr>
  </w:style>
  <w:style w:type="paragraph" w:styleId="FootnoteText">
    <w:name w:val="footnote text"/>
    <w:basedOn w:val="Normal"/>
    <w:link w:val="FootnoteTextChar"/>
    <w:uiPriority w:val="99"/>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Pr>
      <w:rFonts w:ascii="Calibri" w:eastAsia="Calibri" w:hAnsi="Calibri" w:cs="Times New Roman"/>
      <w:sz w:val="20"/>
    </w:rPr>
  </w:style>
  <w:style w:type="character" w:styleId="FootnoteReference">
    <w:name w:val="footnote reference"/>
    <w:basedOn w:val="DefaultParagraphFont"/>
    <w:uiPriority w:val="99"/>
    <w:unhideWhenUsed/>
    <w:rPr>
      <w:vertAlign w:val="superscript"/>
    </w:rPr>
  </w:style>
  <w:style w:type="paragraph" w:styleId="ListBullet">
    <w:name w:val="List Bullet"/>
    <w:basedOn w:val="Normal"/>
    <w:uiPriority w:val="99"/>
    <w:unhideWhenUsed/>
    <w:pPr>
      <w:ind w:left="425" w:hanging="425"/>
      <w:contextualSpacing/>
    </w:pPr>
    <w:rPr>
      <w:rFonts w:ascii="Cambria" w:hAnsi="Cambria"/>
    </w:rPr>
  </w:style>
  <w:style w:type="character" w:styleId="Hyperlink">
    <w:name w:val="Hyperlink"/>
    <w:basedOn w:val="DefaultParagraphFont"/>
    <w:uiPriority w:val="99"/>
    <w:unhideWhenUsed/>
    <w:rPr>
      <w:color w:val="0000FF" w:themeColor="hyperlink"/>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Pr>
      <w:rFonts w:ascii="Cambria" w:hAnsi="Cambri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rFonts w:asciiTheme="minorHAnsi" w:hAnsiTheme="minorHAnsi"/>
      <w:b/>
      <w:bCs/>
    </w:rPr>
  </w:style>
  <w:style w:type="character" w:customStyle="1" w:styleId="CommentSubjectChar">
    <w:name w:val="Comment Subject Char"/>
    <w:basedOn w:val="CommentTextChar"/>
    <w:link w:val="CommentSubject"/>
    <w:uiPriority w:val="99"/>
    <w:semiHidden/>
    <w:rPr>
      <w:rFonts w:ascii="Cambria" w:hAnsi="Cambria"/>
      <w:b/>
      <w:bCs/>
      <w:sz w:val="20"/>
      <w:szCs w:val="20"/>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C-BodyText">
    <w:name w:val="C-Body Text"/>
    <w:link w:val="C-BodyTextChar"/>
    <w:pPr>
      <w:spacing w:before="120" w:after="120" w:line="280" w:lineRule="atLeast"/>
    </w:pPr>
    <w:rPr>
      <w:rFonts w:ascii="Times New Roman" w:eastAsia="Times New Roman" w:hAnsi="Times New Roman" w:cs="Times New Roman"/>
      <w:sz w:val="24"/>
      <w:szCs w:val="20"/>
      <w:lang w:val="en-US"/>
    </w:rPr>
  </w:style>
  <w:style w:type="character" w:customStyle="1" w:styleId="C-BodyTextChar">
    <w:name w:val="C-Body Text Char"/>
    <w:link w:val="C-BodyText"/>
    <w:rPr>
      <w:rFonts w:ascii="Times New Roman" w:eastAsia="Times New Roman" w:hAnsi="Times New Roman" w:cs="Times New Roman"/>
      <w:sz w:val="24"/>
      <w:szCs w:val="20"/>
      <w:lang w:val="en-US"/>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link w:val="ParagraphChar"/>
    <w:qFormat/>
    <w:pPr>
      <w:spacing w:after="240" w:line="240" w:lineRule="auto"/>
    </w:pPr>
    <w:rPr>
      <w:rFonts w:ascii="Times New Roman" w:eastAsia="Times New Roman" w:hAnsi="Times New Roman" w:cs="Times New Roman"/>
      <w:sz w:val="24"/>
      <w:szCs w:val="24"/>
      <w:lang w:val="en-US"/>
    </w:rPr>
  </w:style>
  <w:style w:type="character" w:customStyle="1" w:styleId="ParagraphChar">
    <w:name w:val="Paragraph Char"/>
    <w:basedOn w:val="DefaultParagraphFont"/>
    <w:link w:val="Paragraph"/>
    <w:locked/>
    <w:rPr>
      <w:rFonts w:ascii="Times New Roman" w:eastAsia="Times New Roman" w:hAnsi="Times New Roman" w:cs="Times New Roman"/>
      <w:sz w:val="24"/>
      <w:szCs w:val="24"/>
      <w:lang w:val="en-US"/>
    </w:rPr>
  </w:style>
  <w:style w:type="table" w:customStyle="1" w:styleId="TableGrid0">
    <w:name w:val="TableGrid"/>
    <w:pPr>
      <w:spacing w:after="0" w:line="240" w:lineRule="auto"/>
    </w:pPr>
    <w:rPr>
      <w:rFonts w:eastAsiaTheme="minorEastAsia"/>
      <w:lang w:eastAsia="en-AU"/>
    </w:rPr>
    <w:tblPr>
      <w:tblCellMar>
        <w:top w:w="0" w:type="dxa"/>
        <w:left w:w="0" w:type="dxa"/>
        <w:bottom w:w="0" w:type="dxa"/>
        <w:right w:w="0" w:type="dxa"/>
      </w:tblCellMar>
    </w:tblPr>
  </w:style>
  <w:style w:type="paragraph" w:customStyle="1" w:styleId="Bulletlist">
    <w:name w:val="Bullet list"/>
    <w:basedOn w:val="Normal"/>
    <w:link w:val="BulletlistChar"/>
    <w:qFormat/>
    <w:pPr>
      <w:numPr>
        <w:numId w:val="29"/>
      </w:numPr>
      <w:spacing w:after="54" w:line="247" w:lineRule="auto"/>
    </w:pPr>
    <w:rPr>
      <w:rFonts w:ascii="Calibri" w:eastAsia="Calibri" w:hAnsi="Calibri" w:cs="Calibri"/>
      <w:color w:val="000000"/>
      <w:sz w:val="20"/>
      <w:lang w:eastAsia="en-AU"/>
    </w:rPr>
  </w:style>
  <w:style w:type="character" w:customStyle="1" w:styleId="BulletlistChar">
    <w:name w:val="Bullet list Char"/>
    <w:basedOn w:val="DefaultParagraphFont"/>
    <w:link w:val="Bulletlist"/>
    <w:rPr>
      <w:rFonts w:ascii="Calibri" w:eastAsia="Calibri" w:hAnsi="Calibri" w:cs="Calibri"/>
      <w:color w:val="000000"/>
      <w:sz w:val="20"/>
      <w:lang w:eastAsia="en-AU"/>
    </w:rPr>
  </w:style>
  <w:style w:type="table" w:customStyle="1" w:styleId="TableGrid1">
    <w:name w:val="TableGrid1"/>
    <w:pPr>
      <w:spacing w:after="0" w:line="240" w:lineRule="auto"/>
    </w:pPr>
    <w:rPr>
      <w:rFonts w:eastAsia="Times New Roman"/>
      <w:lang w:eastAsia="en-AU"/>
    </w:rPr>
    <w:tblPr>
      <w:tblCellMar>
        <w:top w:w="0" w:type="dxa"/>
        <w:left w:w="0" w:type="dxa"/>
        <w:bottom w:w="0" w:type="dxa"/>
        <w:right w:w="0" w:type="dxa"/>
      </w:tblCellMar>
    </w:tblPr>
  </w:style>
  <w:style w:type="paragraph" w:styleId="Caption">
    <w:name w:val="caption"/>
    <w:basedOn w:val="Normal"/>
    <w:next w:val="Normal"/>
    <w:uiPriority w:val="35"/>
    <w:unhideWhenUsed/>
    <w:qFormat/>
    <w:rsid w:val="00BF3161"/>
    <w:pPr>
      <w:spacing w:line="240" w:lineRule="auto"/>
    </w:pPr>
    <w:rPr>
      <w:i/>
      <w:iCs/>
      <w:color w:val="1F497D" w:themeColor="text2"/>
      <w:sz w:val="18"/>
      <w:szCs w:val="18"/>
    </w:rPr>
  </w:style>
  <w:style w:type="table" w:customStyle="1" w:styleId="TableGrid10">
    <w:name w:val="Table Grid1"/>
    <w:basedOn w:val="TableNormal"/>
    <w:next w:val="TableGrid"/>
    <w:rsid w:val="00D059A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A706A"/>
    <w:pPr>
      <w:widowControl w:val="0"/>
      <w:autoSpaceDE w:val="0"/>
      <w:autoSpaceDN w:val="0"/>
      <w:spacing w:after="0" w:line="240" w:lineRule="auto"/>
      <w:ind w:left="223"/>
    </w:pPr>
    <w:rPr>
      <w:rFonts w:ascii="Cambria" w:eastAsia="Cambria" w:hAnsi="Cambria" w:cs="Cambria"/>
      <w:lang w:eastAsia="en-AU" w:bidi="en-AU"/>
    </w:rPr>
  </w:style>
  <w:style w:type="character" w:customStyle="1" w:styleId="BodyTextChar">
    <w:name w:val="Body Text Char"/>
    <w:basedOn w:val="DefaultParagraphFont"/>
    <w:link w:val="BodyText"/>
    <w:uiPriority w:val="1"/>
    <w:rsid w:val="000A706A"/>
    <w:rPr>
      <w:rFonts w:ascii="Cambria" w:eastAsia="Cambria" w:hAnsi="Cambria" w:cs="Cambria"/>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18486">
      <w:bodyDiv w:val="1"/>
      <w:marLeft w:val="0"/>
      <w:marRight w:val="0"/>
      <w:marTop w:val="0"/>
      <w:marBottom w:val="0"/>
      <w:divBdr>
        <w:top w:val="none" w:sz="0" w:space="0" w:color="auto"/>
        <w:left w:val="none" w:sz="0" w:space="0" w:color="auto"/>
        <w:bottom w:val="none" w:sz="0" w:space="0" w:color="auto"/>
        <w:right w:val="none" w:sz="0" w:space="0" w:color="auto"/>
      </w:divBdr>
    </w:div>
    <w:div w:id="1208954851">
      <w:bodyDiv w:val="1"/>
      <w:marLeft w:val="0"/>
      <w:marRight w:val="0"/>
      <w:marTop w:val="0"/>
      <w:marBottom w:val="0"/>
      <w:divBdr>
        <w:top w:val="none" w:sz="0" w:space="0" w:color="auto"/>
        <w:left w:val="none" w:sz="0" w:space="0" w:color="auto"/>
        <w:bottom w:val="none" w:sz="0" w:space="0" w:color="auto"/>
        <w:right w:val="none" w:sz="0" w:space="0" w:color="auto"/>
      </w:divBdr>
    </w:div>
    <w:div w:id="1395160226">
      <w:bodyDiv w:val="1"/>
      <w:marLeft w:val="0"/>
      <w:marRight w:val="0"/>
      <w:marTop w:val="0"/>
      <w:marBottom w:val="0"/>
      <w:divBdr>
        <w:top w:val="none" w:sz="0" w:space="0" w:color="auto"/>
        <w:left w:val="none" w:sz="0" w:space="0" w:color="auto"/>
        <w:bottom w:val="none" w:sz="0" w:space="0" w:color="auto"/>
        <w:right w:val="none" w:sz="0" w:space="0" w:color="auto"/>
      </w:divBdr>
      <w:divsChild>
        <w:div w:id="71161735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tga.gov.au/reporting-problem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ggins\Box\'Sophie%20Higgins\DCC-2618\NDA\Label\pi-template-new-forma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A0647BE1-7E72-4B1B-BE12-0FBE01CF8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pi-template-new-format (1).dotx</Template>
  <TotalTime>0</TotalTime>
  <Pages>16</Pages>
  <Words>3975</Words>
  <Characters>22381</Characters>
  <Application>Microsoft Office Word</Application>
  <DocSecurity>0</DocSecurity>
  <Lines>520</Lines>
  <Paragraphs>306</Paragraphs>
  <ScaleCrop>false</ScaleCrop>
  <HeadingPairs>
    <vt:vector size="2" baseType="variant">
      <vt:variant>
        <vt:lpstr>Title</vt:lpstr>
      </vt:variant>
      <vt:variant>
        <vt:i4>1</vt:i4>
      </vt:variant>
    </vt:vector>
  </HeadingPairs>
  <TitlesOfParts>
    <vt:vector size="1" baseType="lpstr">
      <vt:lpstr>Attachment: Product Information for Riptretinib</vt:lpstr>
    </vt:vector>
  </TitlesOfParts>
  <Company/>
  <LinksUpToDate>false</LinksUpToDate>
  <CharactersWithSpaces>26050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Riptretinib</dc:title>
  <dc:subject>prescription medicines</dc:subject>
  <cp:lastPrinted>2019-12-12T13:05:00Z</cp:lastPrinted>
  <dcterms:created xsi:type="dcterms:W3CDTF">2020-11-29T23:52:00Z</dcterms:created>
  <dcterms:modified xsi:type="dcterms:W3CDTF">2020-11-29T23:52:00Z</dcterms:modified>
</cp:coreProperties>
</file>