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F4AA444" w14:textId="77777777" w:rsidTr="00BF1190">
        <w:trPr>
          <w:trHeight w:val="1863"/>
        </w:trPr>
        <w:tc>
          <w:tcPr>
            <w:tcW w:w="3652" w:type="dxa"/>
            <w:tcBorders>
              <w:top w:val="nil"/>
              <w:left w:val="nil"/>
              <w:bottom w:val="nil"/>
              <w:right w:val="nil"/>
            </w:tcBorders>
          </w:tcPr>
          <w:p w14:paraId="7F4AA443" w14:textId="7770C32D" w:rsidR="008E7846" w:rsidRPr="00096AA7" w:rsidRDefault="00296BBC" w:rsidP="00096AA7">
            <w:pPr>
              <w:rPr>
                <w:rFonts w:ascii="Arial" w:hAnsi="Arial" w:cs="Arial"/>
                <w:b/>
                <w:color w:val="002C47"/>
                <w:sz w:val="36"/>
                <w:szCs w:val="36"/>
              </w:rPr>
            </w:pPr>
            <w:r>
              <w:rPr>
                <w:rFonts w:ascii="Arial" w:hAnsi="Arial" w:cs="Arial"/>
                <w:b/>
                <w:color w:val="002C47"/>
                <w:sz w:val="36"/>
                <w:szCs w:val="36"/>
              </w:rPr>
              <w:t xml:space="preserve">August </w:t>
            </w:r>
            <w:r w:rsidR="00803944">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F4AA446" w14:textId="77777777" w:rsidTr="0032583B">
        <w:trPr>
          <w:trHeight w:val="868"/>
        </w:trPr>
        <w:tc>
          <w:tcPr>
            <w:tcW w:w="9079" w:type="dxa"/>
          </w:tcPr>
          <w:p w14:paraId="7F4AA445" w14:textId="04F55CB6" w:rsidR="0032583B" w:rsidRPr="00A964D1" w:rsidRDefault="0032583B" w:rsidP="00FA61C9">
            <w:pPr>
              <w:pStyle w:val="Title"/>
              <w:rPr>
                <w:color w:val="FFFFFF" w:themeColor="background1"/>
              </w:rPr>
            </w:pPr>
            <w:r w:rsidRPr="00A964D1">
              <w:rPr>
                <w:color w:val="FFFFFF" w:themeColor="background1"/>
              </w:rPr>
              <w:t xml:space="preserve">Australian Public Assessment Report for </w:t>
            </w:r>
            <w:r w:rsidR="00FA61C9">
              <w:rPr>
                <w:color w:val="FFFFFF" w:themeColor="background1"/>
              </w:rPr>
              <w:t>R</w:t>
            </w:r>
            <w:r w:rsidR="00803944">
              <w:rPr>
                <w:color w:val="FFFFFF" w:themeColor="background1"/>
              </w:rPr>
              <w:t>ituximab</w:t>
            </w:r>
          </w:p>
        </w:tc>
      </w:tr>
      <w:tr w:rsidR="0032583B" w:rsidRPr="00B64760" w14:paraId="7F4AA448" w14:textId="77777777" w:rsidTr="0032583B">
        <w:tc>
          <w:tcPr>
            <w:tcW w:w="9079" w:type="dxa"/>
          </w:tcPr>
          <w:p w14:paraId="7F4AA447" w14:textId="77777777" w:rsidR="0032583B" w:rsidRPr="008E7846" w:rsidRDefault="0032583B" w:rsidP="00803944">
            <w:pPr>
              <w:pStyle w:val="Subtitle"/>
              <w:rPr>
                <w:color w:val="FFFFFF" w:themeColor="background1"/>
              </w:rPr>
            </w:pPr>
            <w:r w:rsidRPr="008E7846">
              <w:rPr>
                <w:color w:val="FFFFFF" w:themeColor="background1"/>
              </w:rPr>
              <w:t xml:space="preserve">Proprietary Product Name: </w:t>
            </w:r>
            <w:r w:rsidR="00334CAC">
              <w:rPr>
                <w:color w:val="FFFFFF" w:themeColor="background1"/>
              </w:rPr>
              <w:t>Riximyo</w:t>
            </w:r>
          </w:p>
        </w:tc>
      </w:tr>
      <w:tr w:rsidR="0032583B" w:rsidRPr="00B64760" w14:paraId="7F4AA44A" w14:textId="77777777" w:rsidTr="0032583B">
        <w:trPr>
          <w:trHeight w:val="486"/>
        </w:trPr>
        <w:tc>
          <w:tcPr>
            <w:tcW w:w="9079" w:type="dxa"/>
          </w:tcPr>
          <w:p w14:paraId="7F4AA449" w14:textId="46654773" w:rsidR="0032583B" w:rsidRPr="008E7846" w:rsidRDefault="0032583B" w:rsidP="0032583B">
            <w:pPr>
              <w:pStyle w:val="Subtitle"/>
              <w:rPr>
                <w:color w:val="FFFFFF" w:themeColor="background1"/>
              </w:rPr>
            </w:pPr>
            <w:r w:rsidRPr="008E7846">
              <w:rPr>
                <w:color w:val="FFFFFF" w:themeColor="background1"/>
              </w:rPr>
              <w:t xml:space="preserve">Sponsor: </w:t>
            </w:r>
            <w:r w:rsidR="00803944" w:rsidRPr="00803944">
              <w:rPr>
                <w:color w:val="FFFFFF" w:themeColor="background1"/>
              </w:rPr>
              <w:t>Sandoz Pty Ltd</w:t>
            </w:r>
          </w:p>
        </w:tc>
      </w:tr>
    </w:tbl>
    <w:p w14:paraId="7F4AA44B" w14:textId="77777777" w:rsidR="008E7846" w:rsidRPr="00631340" w:rsidRDefault="008E7846" w:rsidP="0085156D">
      <w:pPr>
        <w:rPr>
          <w:lang w:val="en-US"/>
        </w:rPr>
      </w:pPr>
      <w:r w:rsidRPr="0085156D">
        <w:br w:type="page"/>
      </w:r>
    </w:p>
    <w:p w14:paraId="7F4AA44C" w14:textId="77777777" w:rsidR="008E7846" w:rsidRPr="001F6CBA" w:rsidRDefault="008E7846" w:rsidP="008E7846">
      <w:pPr>
        <w:pStyle w:val="NonTOCHeading2"/>
      </w:pPr>
      <w:r w:rsidRPr="001F6CBA">
        <w:lastRenderedPageBreak/>
        <w:t>About the Therapeutic Goods Administration (TGA)</w:t>
      </w:r>
    </w:p>
    <w:p w14:paraId="7F4AA44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4AA44E"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F4AA44F"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F4AA45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F4AA451"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7F4AA452" w14:textId="77777777" w:rsidR="008E7846" w:rsidRDefault="008E7846" w:rsidP="00875A6B">
      <w:pPr>
        <w:pStyle w:val="NonTOCHeading2"/>
      </w:pPr>
      <w:r>
        <w:t>About AusPARs</w:t>
      </w:r>
    </w:p>
    <w:p w14:paraId="7F4AA45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F4AA454" w14:textId="77777777" w:rsidR="008E7846" w:rsidRDefault="008E7846" w:rsidP="008E7846">
      <w:pPr>
        <w:pStyle w:val="ListBullet"/>
        <w:numPr>
          <w:ilvl w:val="0"/>
          <w:numId w:val="3"/>
        </w:numPr>
        <w:ind w:left="357" w:hanging="357"/>
      </w:pPr>
      <w:r>
        <w:t>AusPARs are prepared and published by the TGA.</w:t>
      </w:r>
    </w:p>
    <w:p w14:paraId="7F4AA455"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7F4AA45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F4AA45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F4AA458" w14:textId="77777777" w:rsidR="00924482" w:rsidRPr="00DF1D7F" w:rsidRDefault="00924482" w:rsidP="00F54B65">
      <w:pPr>
        <w:pStyle w:val="LegalSubheading"/>
        <w:spacing w:before="3120"/>
      </w:pPr>
      <w:r w:rsidRPr="00DF1D7F">
        <w:t>Copyright</w:t>
      </w:r>
    </w:p>
    <w:p w14:paraId="7F4AA459" w14:textId="6FAA045F" w:rsidR="00924482" w:rsidRDefault="00924482" w:rsidP="00924482">
      <w:pPr>
        <w:pStyle w:val="LegalCopy"/>
      </w:pPr>
      <w:r w:rsidRPr="00191B3B">
        <w:rPr>
          <w:rFonts w:cs="Arial"/>
          <w:lang w:val="en-GB"/>
        </w:rPr>
        <w:t>© Comm</w:t>
      </w:r>
      <w:r>
        <w:rPr>
          <w:rFonts w:cs="Arial"/>
          <w:lang w:val="en-GB"/>
        </w:rPr>
        <w:t>onwealth of Australia 201</w:t>
      </w:r>
      <w:r w:rsidR="00EA1DF3">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7F4AA45A"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F4AA45B" w14:textId="77777777" w:rsidR="0089635C" w:rsidRPr="0089635C" w:rsidRDefault="0089635C" w:rsidP="0010788A">
          <w:pPr>
            <w:pStyle w:val="Contents"/>
          </w:pPr>
          <w:r w:rsidRPr="0010788A">
            <w:t>Conte</w:t>
          </w:r>
          <w:bookmarkStart w:id="2" w:name="_GoBack"/>
          <w:bookmarkEnd w:id="2"/>
          <w:r w:rsidRPr="0010788A">
            <w:t>nts</w:t>
          </w:r>
        </w:p>
        <w:p w14:paraId="60A4BC41" w14:textId="77777777" w:rsidR="00EA516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4426259" w:history="1">
            <w:r w:rsidR="00EA516A" w:rsidRPr="001139EF">
              <w:rPr>
                <w:rStyle w:val="Hyperlink"/>
                <w:noProof/>
              </w:rPr>
              <w:t>Common abbreviations</w:t>
            </w:r>
            <w:r w:rsidR="00EA516A">
              <w:rPr>
                <w:noProof/>
                <w:webHidden/>
              </w:rPr>
              <w:tab/>
            </w:r>
            <w:r w:rsidR="00EA516A">
              <w:rPr>
                <w:noProof/>
                <w:webHidden/>
              </w:rPr>
              <w:fldChar w:fldCharType="begin"/>
            </w:r>
            <w:r w:rsidR="00EA516A">
              <w:rPr>
                <w:noProof/>
                <w:webHidden/>
              </w:rPr>
              <w:instrText xml:space="preserve"> PAGEREF _Toc524426259 \h </w:instrText>
            </w:r>
            <w:r w:rsidR="00EA516A">
              <w:rPr>
                <w:noProof/>
                <w:webHidden/>
              </w:rPr>
            </w:r>
            <w:r w:rsidR="00EA516A">
              <w:rPr>
                <w:noProof/>
                <w:webHidden/>
              </w:rPr>
              <w:fldChar w:fldCharType="separate"/>
            </w:r>
            <w:r w:rsidR="00EA516A">
              <w:rPr>
                <w:noProof/>
                <w:webHidden/>
              </w:rPr>
              <w:t>5</w:t>
            </w:r>
            <w:r w:rsidR="00EA516A">
              <w:rPr>
                <w:noProof/>
                <w:webHidden/>
              </w:rPr>
              <w:fldChar w:fldCharType="end"/>
            </w:r>
          </w:hyperlink>
        </w:p>
        <w:p w14:paraId="2AD6E69A" w14:textId="77777777" w:rsidR="00EA516A" w:rsidRDefault="00EA516A">
          <w:pPr>
            <w:pStyle w:val="TOC2"/>
            <w:rPr>
              <w:rFonts w:asciiTheme="minorHAnsi" w:eastAsiaTheme="minorEastAsia" w:hAnsiTheme="minorHAnsi" w:cstheme="minorBidi"/>
              <w:b w:val="0"/>
              <w:noProof/>
              <w:sz w:val="22"/>
              <w:lang w:eastAsia="en-AU"/>
            </w:rPr>
          </w:pPr>
          <w:hyperlink w:anchor="_Toc524426260" w:history="1">
            <w:r w:rsidRPr="001139EF">
              <w:rPr>
                <w:rStyle w:val="Hyperlink"/>
                <w:noProof/>
              </w:rPr>
              <w:t>I. Introduction to product submission</w:t>
            </w:r>
            <w:r>
              <w:rPr>
                <w:noProof/>
                <w:webHidden/>
              </w:rPr>
              <w:tab/>
            </w:r>
            <w:r>
              <w:rPr>
                <w:noProof/>
                <w:webHidden/>
              </w:rPr>
              <w:fldChar w:fldCharType="begin"/>
            </w:r>
            <w:r>
              <w:rPr>
                <w:noProof/>
                <w:webHidden/>
              </w:rPr>
              <w:instrText xml:space="preserve"> PAGEREF _Toc524426260 \h </w:instrText>
            </w:r>
            <w:r>
              <w:rPr>
                <w:noProof/>
                <w:webHidden/>
              </w:rPr>
            </w:r>
            <w:r>
              <w:rPr>
                <w:noProof/>
                <w:webHidden/>
              </w:rPr>
              <w:fldChar w:fldCharType="separate"/>
            </w:r>
            <w:r>
              <w:rPr>
                <w:noProof/>
                <w:webHidden/>
              </w:rPr>
              <w:t>9</w:t>
            </w:r>
            <w:r>
              <w:rPr>
                <w:noProof/>
                <w:webHidden/>
              </w:rPr>
              <w:fldChar w:fldCharType="end"/>
            </w:r>
          </w:hyperlink>
        </w:p>
        <w:p w14:paraId="11596562" w14:textId="77777777" w:rsidR="00EA516A" w:rsidRDefault="00EA516A">
          <w:pPr>
            <w:pStyle w:val="TOC3"/>
            <w:rPr>
              <w:rFonts w:asciiTheme="minorHAnsi" w:eastAsiaTheme="minorEastAsia" w:hAnsiTheme="minorHAnsi" w:cstheme="minorBidi"/>
              <w:noProof/>
              <w:lang w:eastAsia="en-AU"/>
            </w:rPr>
          </w:pPr>
          <w:hyperlink w:anchor="_Toc524426261" w:history="1">
            <w:r w:rsidRPr="001139EF">
              <w:rPr>
                <w:rStyle w:val="Hyperlink"/>
                <w:noProof/>
                <w:lang w:eastAsia="en-AU"/>
              </w:rPr>
              <w:t>Submission details</w:t>
            </w:r>
            <w:r>
              <w:rPr>
                <w:noProof/>
                <w:webHidden/>
              </w:rPr>
              <w:tab/>
            </w:r>
            <w:r>
              <w:rPr>
                <w:noProof/>
                <w:webHidden/>
              </w:rPr>
              <w:fldChar w:fldCharType="begin"/>
            </w:r>
            <w:r>
              <w:rPr>
                <w:noProof/>
                <w:webHidden/>
              </w:rPr>
              <w:instrText xml:space="preserve"> PAGEREF _Toc524426261 \h </w:instrText>
            </w:r>
            <w:r>
              <w:rPr>
                <w:noProof/>
                <w:webHidden/>
              </w:rPr>
            </w:r>
            <w:r>
              <w:rPr>
                <w:noProof/>
                <w:webHidden/>
              </w:rPr>
              <w:fldChar w:fldCharType="separate"/>
            </w:r>
            <w:r>
              <w:rPr>
                <w:noProof/>
                <w:webHidden/>
              </w:rPr>
              <w:t>9</w:t>
            </w:r>
            <w:r>
              <w:rPr>
                <w:noProof/>
                <w:webHidden/>
              </w:rPr>
              <w:fldChar w:fldCharType="end"/>
            </w:r>
          </w:hyperlink>
        </w:p>
        <w:p w14:paraId="2D93265C" w14:textId="77777777" w:rsidR="00EA516A" w:rsidRDefault="00EA516A">
          <w:pPr>
            <w:pStyle w:val="TOC3"/>
            <w:rPr>
              <w:rFonts w:asciiTheme="minorHAnsi" w:eastAsiaTheme="minorEastAsia" w:hAnsiTheme="minorHAnsi" w:cstheme="minorBidi"/>
              <w:noProof/>
              <w:lang w:eastAsia="en-AU"/>
            </w:rPr>
          </w:pPr>
          <w:hyperlink w:anchor="_Toc524426262" w:history="1">
            <w:r w:rsidRPr="001139EF">
              <w:rPr>
                <w:rStyle w:val="Hyperlink"/>
                <w:noProof/>
              </w:rPr>
              <w:t>Product background</w:t>
            </w:r>
            <w:r>
              <w:rPr>
                <w:noProof/>
                <w:webHidden/>
              </w:rPr>
              <w:tab/>
            </w:r>
            <w:r>
              <w:rPr>
                <w:noProof/>
                <w:webHidden/>
              </w:rPr>
              <w:fldChar w:fldCharType="begin"/>
            </w:r>
            <w:r>
              <w:rPr>
                <w:noProof/>
                <w:webHidden/>
              </w:rPr>
              <w:instrText xml:space="preserve"> PAGEREF _Toc524426262 \h </w:instrText>
            </w:r>
            <w:r>
              <w:rPr>
                <w:noProof/>
                <w:webHidden/>
              </w:rPr>
            </w:r>
            <w:r>
              <w:rPr>
                <w:noProof/>
                <w:webHidden/>
              </w:rPr>
              <w:fldChar w:fldCharType="separate"/>
            </w:r>
            <w:r>
              <w:rPr>
                <w:noProof/>
                <w:webHidden/>
              </w:rPr>
              <w:t>10</w:t>
            </w:r>
            <w:r>
              <w:rPr>
                <w:noProof/>
                <w:webHidden/>
              </w:rPr>
              <w:fldChar w:fldCharType="end"/>
            </w:r>
          </w:hyperlink>
        </w:p>
        <w:p w14:paraId="01337563" w14:textId="77777777" w:rsidR="00EA516A" w:rsidRDefault="00EA516A">
          <w:pPr>
            <w:pStyle w:val="TOC3"/>
            <w:rPr>
              <w:rFonts w:asciiTheme="minorHAnsi" w:eastAsiaTheme="minorEastAsia" w:hAnsiTheme="minorHAnsi" w:cstheme="minorBidi"/>
              <w:noProof/>
              <w:lang w:eastAsia="en-AU"/>
            </w:rPr>
          </w:pPr>
          <w:hyperlink w:anchor="_Toc524426263" w:history="1">
            <w:r w:rsidRPr="001139EF">
              <w:rPr>
                <w:rStyle w:val="Hyperlink"/>
                <w:noProof/>
              </w:rPr>
              <w:t>Regulatory status</w:t>
            </w:r>
            <w:r>
              <w:rPr>
                <w:noProof/>
                <w:webHidden/>
              </w:rPr>
              <w:tab/>
            </w:r>
            <w:r>
              <w:rPr>
                <w:noProof/>
                <w:webHidden/>
              </w:rPr>
              <w:fldChar w:fldCharType="begin"/>
            </w:r>
            <w:r>
              <w:rPr>
                <w:noProof/>
                <w:webHidden/>
              </w:rPr>
              <w:instrText xml:space="preserve"> PAGEREF _Toc524426263 \h </w:instrText>
            </w:r>
            <w:r>
              <w:rPr>
                <w:noProof/>
                <w:webHidden/>
              </w:rPr>
            </w:r>
            <w:r>
              <w:rPr>
                <w:noProof/>
                <w:webHidden/>
              </w:rPr>
              <w:fldChar w:fldCharType="separate"/>
            </w:r>
            <w:r>
              <w:rPr>
                <w:noProof/>
                <w:webHidden/>
              </w:rPr>
              <w:t>12</w:t>
            </w:r>
            <w:r>
              <w:rPr>
                <w:noProof/>
                <w:webHidden/>
              </w:rPr>
              <w:fldChar w:fldCharType="end"/>
            </w:r>
          </w:hyperlink>
        </w:p>
        <w:p w14:paraId="2E2B01E6" w14:textId="77777777" w:rsidR="00EA516A" w:rsidRDefault="00EA516A">
          <w:pPr>
            <w:pStyle w:val="TOC3"/>
            <w:rPr>
              <w:rFonts w:asciiTheme="minorHAnsi" w:eastAsiaTheme="minorEastAsia" w:hAnsiTheme="minorHAnsi" w:cstheme="minorBidi"/>
              <w:noProof/>
              <w:lang w:eastAsia="en-AU"/>
            </w:rPr>
          </w:pPr>
          <w:hyperlink w:anchor="_Toc524426264" w:history="1">
            <w:r w:rsidRPr="001139EF">
              <w:rPr>
                <w:rStyle w:val="Hyperlink"/>
                <w:noProof/>
              </w:rPr>
              <w:t>Product Information</w:t>
            </w:r>
            <w:r>
              <w:rPr>
                <w:noProof/>
                <w:webHidden/>
              </w:rPr>
              <w:tab/>
            </w:r>
            <w:r>
              <w:rPr>
                <w:noProof/>
                <w:webHidden/>
              </w:rPr>
              <w:fldChar w:fldCharType="begin"/>
            </w:r>
            <w:r>
              <w:rPr>
                <w:noProof/>
                <w:webHidden/>
              </w:rPr>
              <w:instrText xml:space="preserve"> PAGEREF _Toc524426264 \h </w:instrText>
            </w:r>
            <w:r>
              <w:rPr>
                <w:noProof/>
                <w:webHidden/>
              </w:rPr>
            </w:r>
            <w:r>
              <w:rPr>
                <w:noProof/>
                <w:webHidden/>
              </w:rPr>
              <w:fldChar w:fldCharType="separate"/>
            </w:r>
            <w:r>
              <w:rPr>
                <w:noProof/>
                <w:webHidden/>
              </w:rPr>
              <w:t>14</w:t>
            </w:r>
            <w:r>
              <w:rPr>
                <w:noProof/>
                <w:webHidden/>
              </w:rPr>
              <w:fldChar w:fldCharType="end"/>
            </w:r>
          </w:hyperlink>
        </w:p>
        <w:p w14:paraId="42F4B178" w14:textId="77777777" w:rsidR="00EA516A" w:rsidRDefault="00EA516A">
          <w:pPr>
            <w:pStyle w:val="TOC2"/>
            <w:rPr>
              <w:rFonts w:asciiTheme="minorHAnsi" w:eastAsiaTheme="minorEastAsia" w:hAnsiTheme="minorHAnsi" w:cstheme="minorBidi"/>
              <w:b w:val="0"/>
              <w:noProof/>
              <w:sz w:val="22"/>
              <w:lang w:eastAsia="en-AU"/>
            </w:rPr>
          </w:pPr>
          <w:hyperlink w:anchor="_Toc524426265" w:history="1">
            <w:r w:rsidRPr="001139EF">
              <w:rPr>
                <w:rStyle w:val="Hyperlink"/>
                <w:noProof/>
              </w:rPr>
              <w:t>II. Registration time line</w:t>
            </w:r>
            <w:r>
              <w:rPr>
                <w:noProof/>
                <w:webHidden/>
              </w:rPr>
              <w:tab/>
            </w:r>
            <w:r>
              <w:rPr>
                <w:noProof/>
                <w:webHidden/>
              </w:rPr>
              <w:fldChar w:fldCharType="begin"/>
            </w:r>
            <w:r>
              <w:rPr>
                <w:noProof/>
                <w:webHidden/>
              </w:rPr>
              <w:instrText xml:space="preserve"> PAGEREF _Toc524426265 \h </w:instrText>
            </w:r>
            <w:r>
              <w:rPr>
                <w:noProof/>
                <w:webHidden/>
              </w:rPr>
            </w:r>
            <w:r>
              <w:rPr>
                <w:noProof/>
                <w:webHidden/>
              </w:rPr>
              <w:fldChar w:fldCharType="separate"/>
            </w:r>
            <w:r>
              <w:rPr>
                <w:noProof/>
                <w:webHidden/>
              </w:rPr>
              <w:t>14</w:t>
            </w:r>
            <w:r>
              <w:rPr>
                <w:noProof/>
                <w:webHidden/>
              </w:rPr>
              <w:fldChar w:fldCharType="end"/>
            </w:r>
          </w:hyperlink>
        </w:p>
        <w:p w14:paraId="40491090" w14:textId="77777777" w:rsidR="00EA516A" w:rsidRDefault="00EA516A">
          <w:pPr>
            <w:pStyle w:val="TOC2"/>
            <w:rPr>
              <w:rFonts w:asciiTheme="minorHAnsi" w:eastAsiaTheme="minorEastAsia" w:hAnsiTheme="minorHAnsi" w:cstheme="minorBidi"/>
              <w:b w:val="0"/>
              <w:noProof/>
              <w:sz w:val="22"/>
              <w:lang w:eastAsia="en-AU"/>
            </w:rPr>
          </w:pPr>
          <w:hyperlink w:anchor="_Toc524426266" w:history="1">
            <w:r w:rsidRPr="001139EF">
              <w:rPr>
                <w:rStyle w:val="Hyperlink"/>
                <w:noProof/>
              </w:rPr>
              <w:t>III. Quality findings</w:t>
            </w:r>
            <w:r>
              <w:rPr>
                <w:noProof/>
                <w:webHidden/>
              </w:rPr>
              <w:tab/>
            </w:r>
            <w:r>
              <w:rPr>
                <w:noProof/>
                <w:webHidden/>
              </w:rPr>
              <w:fldChar w:fldCharType="begin"/>
            </w:r>
            <w:r>
              <w:rPr>
                <w:noProof/>
                <w:webHidden/>
              </w:rPr>
              <w:instrText xml:space="preserve"> PAGEREF _Toc524426266 \h </w:instrText>
            </w:r>
            <w:r>
              <w:rPr>
                <w:noProof/>
                <w:webHidden/>
              </w:rPr>
            </w:r>
            <w:r>
              <w:rPr>
                <w:noProof/>
                <w:webHidden/>
              </w:rPr>
              <w:fldChar w:fldCharType="separate"/>
            </w:r>
            <w:r>
              <w:rPr>
                <w:noProof/>
                <w:webHidden/>
              </w:rPr>
              <w:t>15</w:t>
            </w:r>
            <w:r>
              <w:rPr>
                <w:noProof/>
                <w:webHidden/>
              </w:rPr>
              <w:fldChar w:fldCharType="end"/>
            </w:r>
          </w:hyperlink>
        </w:p>
        <w:p w14:paraId="4E0D3CE1" w14:textId="77777777" w:rsidR="00EA516A" w:rsidRDefault="00EA516A">
          <w:pPr>
            <w:pStyle w:val="TOC3"/>
            <w:rPr>
              <w:rFonts w:asciiTheme="minorHAnsi" w:eastAsiaTheme="minorEastAsia" w:hAnsiTheme="minorHAnsi" w:cstheme="minorBidi"/>
              <w:noProof/>
              <w:lang w:eastAsia="en-AU"/>
            </w:rPr>
          </w:pPr>
          <w:hyperlink w:anchor="_Toc524426267" w:history="1">
            <w:r w:rsidRPr="001139EF">
              <w:rPr>
                <w:rStyle w:val="Hyperlink"/>
                <w:noProof/>
              </w:rPr>
              <w:t>Drug substance (active ingredient)</w:t>
            </w:r>
            <w:r>
              <w:rPr>
                <w:noProof/>
                <w:webHidden/>
              </w:rPr>
              <w:tab/>
            </w:r>
            <w:r>
              <w:rPr>
                <w:noProof/>
                <w:webHidden/>
              </w:rPr>
              <w:fldChar w:fldCharType="begin"/>
            </w:r>
            <w:r>
              <w:rPr>
                <w:noProof/>
                <w:webHidden/>
              </w:rPr>
              <w:instrText xml:space="preserve"> PAGEREF _Toc524426267 \h </w:instrText>
            </w:r>
            <w:r>
              <w:rPr>
                <w:noProof/>
                <w:webHidden/>
              </w:rPr>
            </w:r>
            <w:r>
              <w:rPr>
                <w:noProof/>
                <w:webHidden/>
              </w:rPr>
              <w:fldChar w:fldCharType="separate"/>
            </w:r>
            <w:r>
              <w:rPr>
                <w:noProof/>
                <w:webHidden/>
              </w:rPr>
              <w:t>15</w:t>
            </w:r>
            <w:r>
              <w:rPr>
                <w:noProof/>
                <w:webHidden/>
              </w:rPr>
              <w:fldChar w:fldCharType="end"/>
            </w:r>
          </w:hyperlink>
        </w:p>
        <w:p w14:paraId="6CE55209" w14:textId="77777777" w:rsidR="00EA516A" w:rsidRDefault="00EA516A">
          <w:pPr>
            <w:pStyle w:val="TOC3"/>
            <w:rPr>
              <w:rFonts w:asciiTheme="minorHAnsi" w:eastAsiaTheme="minorEastAsia" w:hAnsiTheme="minorHAnsi" w:cstheme="minorBidi"/>
              <w:noProof/>
              <w:lang w:eastAsia="en-AU"/>
            </w:rPr>
          </w:pPr>
          <w:hyperlink w:anchor="_Toc524426268" w:history="1">
            <w:r w:rsidRPr="001139EF">
              <w:rPr>
                <w:rStyle w:val="Hyperlink"/>
                <w:noProof/>
              </w:rPr>
              <w:t>Drug product</w:t>
            </w:r>
            <w:r>
              <w:rPr>
                <w:noProof/>
                <w:webHidden/>
              </w:rPr>
              <w:tab/>
            </w:r>
            <w:r>
              <w:rPr>
                <w:noProof/>
                <w:webHidden/>
              </w:rPr>
              <w:fldChar w:fldCharType="begin"/>
            </w:r>
            <w:r>
              <w:rPr>
                <w:noProof/>
                <w:webHidden/>
              </w:rPr>
              <w:instrText xml:space="preserve"> PAGEREF _Toc524426268 \h </w:instrText>
            </w:r>
            <w:r>
              <w:rPr>
                <w:noProof/>
                <w:webHidden/>
              </w:rPr>
            </w:r>
            <w:r>
              <w:rPr>
                <w:noProof/>
                <w:webHidden/>
              </w:rPr>
              <w:fldChar w:fldCharType="separate"/>
            </w:r>
            <w:r>
              <w:rPr>
                <w:noProof/>
                <w:webHidden/>
              </w:rPr>
              <w:t>16</w:t>
            </w:r>
            <w:r>
              <w:rPr>
                <w:noProof/>
                <w:webHidden/>
              </w:rPr>
              <w:fldChar w:fldCharType="end"/>
            </w:r>
          </w:hyperlink>
        </w:p>
        <w:p w14:paraId="34891C5B" w14:textId="77777777" w:rsidR="00EA516A" w:rsidRDefault="00EA516A">
          <w:pPr>
            <w:pStyle w:val="TOC3"/>
            <w:rPr>
              <w:rFonts w:asciiTheme="minorHAnsi" w:eastAsiaTheme="minorEastAsia" w:hAnsiTheme="minorHAnsi" w:cstheme="minorBidi"/>
              <w:noProof/>
              <w:lang w:eastAsia="en-AU"/>
            </w:rPr>
          </w:pPr>
          <w:hyperlink w:anchor="_Toc524426269" w:history="1">
            <w:r w:rsidRPr="001139EF">
              <w:rPr>
                <w:rStyle w:val="Hyperlink"/>
                <w:noProof/>
              </w:rPr>
              <w:t>Biosimilarity</w:t>
            </w:r>
            <w:r>
              <w:rPr>
                <w:noProof/>
                <w:webHidden/>
              </w:rPr>
              <w:tab/>
            </w:r>
            <w:r>
              <w:rPr>
                <w:noProof/>
                <w:webHidden/>
              </w:rPr>
              <w:fldChar w:fldCharType="begin"/>
            </w:r>
            <w:r>
              <w:rPr>
                <w:noProof/>
                <w:webHidden/>
              </w:rPr>
              <w:instrText xml:space="preserve"> PAGEREF _Toc524426269 \h </w:instrText>
            </w:r>
            <w:r>
              <w:rPr>
                <w:noProof/>
                <w:webHidden/>
              </w:rPr>
            </w:r>
            <w:r>
              <w:rPr>
                <w:noProof/>
                <w:webHidden/>
              </w:rPr>
              <w:fldChar w:fldCharType="separate"/>
            </w:r>
            <w:r>
              <w:rPr>
                <w:noProof/>
                <w:webHidden/>
              </w:rPr>
              <w:t>16</w:t>
            </w:r>
            <w:r>
              <w:rPr>
                <w:noProof/>
                <w:webHidden/>
              </w:rPr>
              <w:fldChar w:fldCharType="end"/>
            </w:r>
          </w:hyperlink>
        </w:p>
        <w:p w14:paraId="0B1196EB" w14:textId="77777777" w:rsidR="00EA516A" w:rsidRDefault="00EA516A">
          <w:pPr>
            <w:pStyle w:val="TOC3"/>
            <w:rPr>
              <w:rFonts w:asciiTheme="minorHAnsi" w:eastAsiaTheme="minorEastAsia" w:hAnsiTheme="minorHAnsi" w:cstheme="minorBidi"/>
              <w:noProof/>
              <w:lang w:eastAsia="en-AU"/>
            </w:rPr>
          </w:pPr>
          <w:hyperlink w:anchor="_Toc524426270" w:history="1">
            <w:r w:rsidRPr="001139EF">
              <w:rPr>
                <w:rStyle w:val="Hyperlink"/>
                <w:noProof/>
              </w:rPr>
              <w:t>Quality summary and conclusions</w:t>
            </w:r>
            <w:r>
              <w:rPr>
                <w:noProof/>
                <w:webHidden/>
              </w:rPr>
              <w:tab/>
            </w:r>
            <w:r>
              <w:rPr>
                <w:noProof/>
                <w:webHidden/>
              </w:rPr>
              <w:fldChar w:fldCharType="begin"/>
            </w:r>
            <w:r>
              <w:rPr>
                <w:noProof/>
                <w:webHidden/>
              </w:rPr>
              <w:instrText xml:space="preserve"> PAGEREF _Toc524426270 \h </w:instrText>
            </w:r>
            <w:r>
              <w:rPr>
                <w:noProof/>
                <w:webHidden/>
              </w:rPr>
            </w:r>
            <w:r>
              <w:rPr>
                <w:noProof/>
                <w:webHidden/>
              </w:rPr>
              <w:fldChar w:fldCharType="separate"/>
            </w:r>
            <w:r>
              <w:rPr>
                <w:noProof/>
                <w:webHidden/>
              </w:rPr>
              <w:t>17</w:t>
            </w:r>
            <w:r>
              <w:rPr>
                <w:noProof/>
                <w:webHidden/>
              </w:rPr>
              <w:fldChar w:fldCharType="end"/>
            </w:r>
          </w:hyperlink>
        </w:p>
        <w:p w14:paraId="3CD77044" w14:textId="77777777" w:rsidR="00EA516A" w:rsidRDefault="00EA516A">
          <w:pPr>
            <w:pStyle w:val="TOC2"/>
            <w:rPr>
              <w:rFonts w:asciiTheme="minorHAnsi" w:eastAsiaTheme="minorEastAsia" w:hAnsiTheme="minorHAnsi" w:cstheme="minorBidi"/>
              <w:b w:val="0"/>
              <w:noProof/>
              <w:sz w:val="22"/>
              <w:lang w:eastAsia="en-AU"/>
            </w:rPr>
          </w:pPr>
          <w:hyperlink w:anchor="_Toc524426271" w:history="1">
            <w:r w:rsidRPr="001139EF">
              <w:rPr>
                <w:rStyle w:val="Hyperlink"/>
                <w:noProof/>
              </w:rPr>
              <w:t>IV. Nonclinical findings</w:t>
            </w:r>
            <w:r>
              <w:rPr>
                <w:noProof/>
                <w:webHidden/>
              </w:rPr>
              <w:tab/>
            </w:r>
            <w:r>
              <w:rPr>
                <w:noProof/>
                <w:webHidden/>
              </w:rPr>
              <w:fldChar w:fldCharType="begin"/>
            </w:r>
            <w:r>
              <w:rPr>
                <w:noProof/>
                <w:webHidden/>
              </w:rPr>
              <w:instrText xml:space="preserve"> PAGEREF _Toc524426271 \h </w:instrText>
            </w:r>
            <w:r>
              <w:rPr>
                <w:noProof/>
                <w:webHidden/>
              </w:rPr>
            </w:r>
            <w:r>
              <w:rPr>
                <w:noProof/>
                <w:webHidden/>
              </w:rPr>
              <w:fldChar w:fldCharType="separate"/>
            </w:r>
            <w:r>
              <w:rPr>
                <w:noProof/>
                <w:webHidden/>
              </w:rPr>
              <w:t>18</w:t>
            </w:r>
            <w:r>
              <w:rPr>
                <w:noProof/>
                <w:webHidden/>
              </w:rPr>
              <w:fldChar w:fldCharType="end"/>
            </w:r>
          </w:hyperlink>
        </w:p>
        <w:p w14:paraId="2FFAB1B4" w14:textId="77777777" w:rsidR="00EA516A" w:rsidRDefault="00EA516A">
          <w:pPr>
            <w:pStyle w:val="TOC3"/>
            <w:rPr>
              <w:rFonts w:asciiTheme="minorHAnsi" w:eastAsiaTheme="minorEastAsia" w:hAnsiTheme="minorHAnsi" w:cstheme="minorBidi"/>
              <w:noProof/>
              <w:lang w:eastAsia="en-AU"/>
            </w:rPr>
          </w:pPr>
          <w:hyperlink w:anchor="_Toc524426272" w:history="1">
            <w:r w:rsidRPr="001139EF">
              <w:rPr>
                <w:rStyle w:val="Hyperlink"/>
                <w:noProof/>
              </w:rPr>
              <w:t>Introduction</w:t>
            </w:r>
            <w:r>
              <w:rPr>
                <w:noProof/>
                <w:webHidden/>
              </w:rPr>
              <w:tab/>
            </w:r>
            <w:r>
              <w:rPr>
                <w:noProof/>
                <w:webHidden/>
              </w:rPr>
              <w:fldChar w:fldCharType="begin"/>
            </w:r>
            <w:r>
              <w:rPr>
                <w:noProof/>
                <w:webHidden/>
              </w:rPr>
              <w:instrText xml:space="preserve"> PAGEREF _Toc524426272 \h </w:instrText>
            </w:r>
            <w:r>
              <w:rPr>
                <w:noProof/>
                <w:webHidden/>
              </w:rPr>
            </w:r>
            <w:r>
              <w:rPr>
                <w:noProof/>
                <w:webHidden/>
              </w:rPr>
              <w:fldChar w:fldCharType="separate"/>
            </w:r>
            <w:r>
              <w:rPr>
                <w:noProof/>
                <w:webHidden/>
              </w:rPr>
              <w:t>18</w:t>
            </w:r>
            <w:r>
              <w:rPr>
                <w:noProof/>
                <w:webHidden/>
              </w:rPr>
              <w:fldChar w:fldCharType="end"/>
            </w:r>
          </w:hyperlink>
        </w:p>
        <w:p w14:paraId="3F80076E" w14:textId="77777777" w:rsidR="00EA516A" w:rsidRDefault="00EA516A">
          <w:pPr>
            <w:pStyle w:val="TOC3"/>
            <w:rPr>
              <w:rFonts w:asciiTheme="minorHAnsi" w:eastAsiaTheme="minorEastAsia" w:hAnsiTheme="minorHAnsi" w:cstheme="minorBidi"/>
              <w:noProof/>
              <w:lang w:eastAsia="en-AU"/>
            </w:rPr>
          </w:pPr>
          <w:hyperlink w:anchor="_Toc524426273" w:history="1">
            <w:r w:rsidRPr="001139EF">
              <w:rPr>
                <w:rStyle w:val="Hyperlink"/>
                <w:noProof/>
              </w:rPr>
              <w:t>Pharmacology</w:t>
            </w:r>
            <w:r>
              <w:rPr>
                <w:noProof/>
                <w:webHidden/>
              </w:rPr>
              <w:tab/>
            </w:r>
            <w:r>
              <w:rPr>
                <w:noProof/>
                <w:webHidden/>
              </w:rPr>
              <w:fldChar w:fldCharType="begin"/>
            </w:r>
            <w:r>
              <w:rPr>
                <w:noProof/>
                <w:webHidden/>
              </w:rPr>
              <w:instrText xml:space="preserve"> PAGEREF _Toc524426273 \h </w:instrText>
            </w:r>
            <w:r>
              <w:rPr>
                <w:noProof/>
                <w:webHidden/>
              </w:rPr>
            </w:r>
            <w:r>
              <w:rPr>
                <w:noProof/>
                <w:webHidden/>
              </w:rPr>
              <w:fldChar w:fldCharType="separate"/>
            </w:r>
            <w:r>
              <w:rPr>
                <w:noProof/>
                <w:webHidden/>
              </w:rPr>
              <w:t>18</w:t>
            </w:r>
            <w:r>
              <w:rPr>
                <w:noProof/>
                <w:webHidden/>
              </w:rPr>
              <w:fldChar w:fldCharType="end"/>
            </w:r>
          </w:hyperlink>
        </w:p>
        <w:p w14:paraId="2DA9D3EA" w14:textId="77777777" w:rsidR="00EA516A" w:rsidRDefault="00EA516A">
          <w:pPr>
            <w:pStyle w:val="TOC3"/>
            <w:rPr>
              <w:rFonts w:asciiTheme="minorHAnsi" w:eastAsiaTheme="minorEastAsia" w:hAnsiTheme="minorHAnsi" w:cstheme="minorBidi"/>
              <w:noProof/>
              <w:lang w:eastAsia="en-AU"/>
            </w:rPr>
          </w:pPr>
          <w:hyperlink w:anchor="_Toc524426274" w:history="1">
            <w:r w:rsidRPr="001139EF">
              <w:rPr>
                <w:rStyle w:val="Hyperlink"/>
                <w:noProof/>
              </w:rPr>
              <w:t>Pharmacokinetics</w:t>
            </w:r>
            <w:r>
              <w:rPr>
                <w:noProof/>
                <w:webHidden/>
              </w:rPr>
              <w:tab/>
            </w:r>
            <w:r>
              <w:rPr>
                <w:noProof/>
                <w:webHidden/>
              </w:rPr>
              <w:fldChar w:fldCharType="begin"/>
            </w:r>
            <w:r>
              <w:rPr>
                <w:noProof/>
                <w:webHidden/>
              </w:rPr>
              <w:instrText xml:space="preserve"> PAGEREF _Toc524426274 \h </w:instrText>
            </w:r>
            <w:r>
              <w:rPr>
                <w:noProof/>
                <w:webHidden/>
              </w:rPr>
            </w:r>
            <w:r>
              <w:rPr>
                <w:noProof/>
                <w:webHidden/>
              </w:rPr>
              <w:fldChar w:fldCharType="separate"/>
            </w:r>
            <w:r>
              <w:rPr>
                <w:noProof/>
                <w:webHidden/>
              </w:rPr>
              <w:t>20</w:t>
            </w:r>
            <w:r>
              <w:rPr>
                <w:noProof/>
                <w:webHidden/>
              </w:rPr>
              <w:fldChar w:fldCharType="end"/>
            </w:r>
          </w:hyperlink>
        </w:p>
        <w:p w14:paraId="67338063" w14:textId="77777777" w:rsidR="00EA516A" w:rsidRDefault="00EA516A">
          <w:pPr>
            <w:pStyle w:val="TOC3"/>
            <w:rPr>
              <w:rFonts w:asciiTheme="minorHAnsi" w:eastAsiaTheme="minorEastAsia" w:hAnsiTheme="minorHAnsi" w:cstheme="minorBidi"/>
              <w:noProof/>
              <w:lang w:eastAsia="en-AU"/>
            </w:rPr>
          </w:pPr>
          <w:hyperlink w:anchor="_Toc524426275" w:history="1">
            <w:r w:rsidRPr="001139EF">
              <w:rPr>
                <w:rStyle w:val="Hyperlink"/>
                <w:noProof/>
              </w:rPr>
              <w:t>Toxicology</w:t>
            </w:r>
            <w:r>
              <w:rPr>
                <w:noProof/>
                <w:webHidden/>
              </w:rPr>
              <w:tab/>
            </w:r>
            <w:r>
              <w:rPr>
                <w:noProof/>
                <w:webHidden/>
              </w:rPr>
              <w:fldChar w:fldCharType="begin"/>
            </w:r>
            <w:r>
              <w:rPr>
                <w:noProof/>
                <w:webHidden/>
              </w:rPr>
              <w:instrText xml:space="preserve"> PAGEREF _Toc524426275 \h </w:instrText>
            </w:r>
            <w:r>
              <w:rPr>
                <w:noProof/>
                <w:webHidden/>
              </w:rPr>
            </w:r>
            <w:r>
              <w:rPr>
                <w:noProof/>
                <w:webHidden/>
              </w:rPr>
              <w:fldChar w:fldCharType="separate"/>
            </w:r>
            <w:r>
              <w:rPr>
                <w:noProof/>
                <w:webHidden/>
              </w:rPr>
              <w:t>21</w:t>
            </w:r>
            <w:r>
              <w:rPr>
                <w:noProof/>
                <w:webHidden/>
              </w:rPr>
              <w:fldChar w:fldCharType="end"/>
            </w:r>
          </w:hyperlink>
        </w:p>
        <w:p w14:paraId="3DD141A3" w14:textId="77777777" w:rsidR="00EA516A" w:rsidRDefault="00EA516A">
          <w:pPr>
            <w:pStyle w:val="TOC3"/>
            <w:rPr>
              <w:rFonts w:asciiTheme="minorHAnsi" w:eastAsiaTheme="minorEastAsia" w:hAnsiTheme="minorHAnsi" w:cstheme="minorBidi"/>
              <w:noProof/>
              <w:lang w:eastAsia="en-AU"/>
            </w:rPr>
          </w:pPr>
          <w:hyperlink w:anchor="_Toc524426276" w:history="1">
            <w:r w:rsidRPr="001139EF">
              <w:rPr>
                <w:rStyle w:val="Hyperlink"/>
                <w:noProof/>
              </w:rPr>
              <w:t>Nonclinical summary and conclusions</w:t>
            </w:r>
            <w:r>
              <w:rPr>
                <w:noProof/>
                <w:webHidden/>
              </w:rPr>
              <w:tab/>
            </w:r>
            <w:r>
              <w:rPr>
                <w:noProof/>
                <w:webHidden/>
              </w:rPr>
              <w:fldChar w:fldCharType="begin"/>
            </w:r>
            <w:r>
              <w:rPr>
                <w:noProof/>
                <w:webHidden/>
              </w:rPr>
              <w:instrText xml:space="preserve"> PAGEREF _Toc524426276 \h </w:instrText>
            </w:r>
            <w:r>
              <w:rPr>
                <w:noProof/>
                <w:webHidden/>
              </w:rPr>
            </w:r>
            <w:r>
              <w:rPr>
                <w:noProof/>
                <w:webHidden/>
              </w:rPr>
              <w:fldChar w:fldCharType="separate"/>
            </w:r>
            <w:r>
              <w:rPr>
                <w:noProof/>
                <w:webHidden/>
              </w:rPr>
              <w:t>22</w:t>
            </w:r>
            <w:r>
              <w:rPr>
                <w:noProof/>
                <w:webHidden/>
              </w:rPr>
              <w:fldChar w:fldCharType="end"/>
            </w:r>
          </w:hyperlink>
        </w:p>
        <w:p w14:paraId="1FCFE4BB" w14:textId="77777777" w:rsidR="00EA516A" w:rsidRDefault="00EA516A">
          <w:pPr>
            <w:pStyle w:val="TOC2"/>
            <w:rPr>
              <w:rFonts w:asciiTheme="minorHAnsi" w:eastAsiaTheme="minorEastAsia" w:hAnsiTheme="minorHAnsi" w:cstheme="minorBidi"/>
              <w:b w:val="0"/>
              <w:noProof/>
              <w:sz w:val="22"/>
              <w:lang w:eastAsia="en-AU"/>
            </w:rPr>
          </w:pPr>
          <w:hyperlink w:anchor="_Toc524426277" w:history="1">
            <w:r w:rsidRPr="001139EF">
              <w:rPr>
                <w:rStyle w:val="Hyperlink"/>
                <w:noProof/>
              </w:rPr>
              <w:t>V. Clinical findings</w:t>
            </w:r>
            <w:r>
              <w:rPr>
                <w:noProof/>
                <w:webHidden/>
              </w:rPr>
              <w:tab/>
            </w:r>
            <w:r>
              <w:rPr>
                <w:noProof/>
                <w:webHidden/>
              </w:rPr>
              <w:fldChar w:fldCharType="begin"/>
            </w:r>
            <w:r>
              <w:rPr>
                <w:noProof/>
                <w:webHidden/>
              </w:rPr>
              <w:instrText xml:space="preserve"> PAGEREF _Toc524426277 \h </w:instrText>
            </w:r>
            <w:r>
              <w:rPr>
                <w:noProof/>
                <w:webHidden/>
              </w:rPr>
            </w:r>
            <w:r>
              <w:rPr>
                <w:noProof/>
                <w:webHidden/>
              </w:rPr>
              <w:fldChar w:fldCharType="separate"/>
            </w:r>
            <w:r>
              <w:rPr>
                <w:noProof/>
                <w:webHidden/>
              </w:rPr>
              <w:t>22</w:t>
            </w:r>
            <w:r>
              <w:rPr>
                <w:noProof/>
                <w:webHidden/>
              </w:rPr>
              <w:fldChar w:fldCharType="end"/>
            </w:r>
          </w:hyperlink>
        </w:p>
        <w:p w14:paraId="05869D99" w14:textId="77777777" w:rsidR="00EA516A" w:rsidRDefault="00EA516A">
          <w:pPr>
            <w:pStyle w:val="TOC3"/>
            <w:rPr>
              <w:rFonts w:asciiTheme="minorHAnsi" w:eastAsiaTheme="minorEastAsia" w:hAnsiTheme="minorHAnsi" w:cstheme="minorBidi"/>
              <w:noProof/>
              <w:lang w:eastAsia="en-AU"/>
            </w:rPr>
          </w:pPr>
          <w:hyperlink w:anchor="_Toc524426278" w:history="1">
            <w:r w:rsidRPr="001139EF">
              <w:rPr>
                <w:rStyle w:val="Hyperlink"/>
                <w:noProof/>
              </w:rPr>
              <w:t>Introduction</w:t>
            </w:r>
            <w:r>
              <w:rPr>
                <w:noProof/>
                <w:webHidden/>
              </w:rPr>
              <w:tab/>
            </w:r>
            <w:r>
              <w:rPr>
                <w:noProof/>
                <w:webHidden/>
              </w:rPr>
              <w:fldChar w:fldCharType="begin"/>
            </w:r>
            <w:r>
              <w:rPr>
                <w:noProof/>
                <w:webHidden/>
              </w:rPr>
              <w:instrText xml:space="preserve"> PAGEREF _Toc524426278 \h </w:instrText>
            </w:r>
            <w:r>
              <w:rPr>
                <w:noProof/>
                <w:webHidden/>
              </w:rPr>
            </w:r>
            <w:r>
              <w:rPr>
                <w:noProof/>
                <w:webHidden/>
              </w:rPr>
              <w:fldChar w:fldCharType="separate"/>
            </w:r>
            <w:r>
              <w:rPr>
                <w:noProof/>
                <w:webHidden/>
              </w:rPr>
              <w:t>22</w:t>
            </w:r>
            <w:r>
              <w:rPr>
                <w:noProof/>
                <w:webHidden/>
              </w:rPr>
              <w:fldChar w:fldCharType="end"/>
            </w:r>
          </w:hyperlink>
        </w:p>
        <w:p w14:paraId="1858AAE2" w14:textId="77777777" w:rsidR="00EA516A" w:rsidRDefault="00EA516A">
          <w:pPr>
            <w:pStyle w:val="TOC3"/>
            <w:rPr>
              <w:rFonts w:asciiTheme="minorHAnsi" w:eastAsiaTheme="minorEastAsia" w:hAnsiTheme="minorHAnsi" w:cstheme="minorBidi"/>
              <w:noProof/>
              <w:lang w:eastAsia="en-AU"/>
            </w:rPr>
          </w:pPr>
          <w:hyperlink w:anchor="_Toc524426279" w:history="1">
            <w:r w:rsidRPr="001139EF">
              <w:rPr>
                <w:rStyle w:val="Hyperlink"/>
                <w:noProof/>
              </w:rPr>
              <w:t>Pharmacokinetics</w:t>
            </w:r>
            <w:r>
              <w:rPr>
                <w:noProof/>
                <w:webHidden/>
              </w:rPr>
              <w:tab/>
            </w:r>
            <w:r>
              <w:rPr>
                <w:noProof/>
                <w:webHidden/>
              </w:rPr>
              <w:fldChar w:fldCharType="begin"/>
            </w:r>
            <w:r>
              <w:rPr>
                <w:noProof/>
                <w:webHidden/>
              </w:rPr>
              <w:instrText xml:space="preserve"> PAGEREF _Toc524426279 \h </w:instrText>
            </w:r>
            <w:r>
              <w:rPr>
                <w:noProof/>
                <w:webHidden/>
              </w:rPr>
            </w:r>
            <w:r>
              <w:rPr>
                <w:noProof/>
                <w:webHidden/>
              </w:rPr>
              <w:fldChar w:fldCharType="separate"/>
            </w:r>
            <w:r>
              <w:rPr>
                <w:noProof/>
                <w:webHidden/>
              </w:rPr>
              <w:t>24</w:t>
            </w:r>
            <w:r>
              <w:rPr>
                <w:noProof/>
                <w:webHidden/>
              </w:rPr>
              <w:fldChar w:fldCharType="end"/>
            </w:r>
          </w:hyperlink>
        </w:p>
        <w:p w14:paraId="1CA071B3" w14:textId="77777777" w:rsidR="00EA516A" w:rsidRDefault="00EA516A">
          <w:pPr>
            <w:pStyle w:val="TOC3"/>
            <w:rPr>
              <w:rFonts w:asciiTheme="minorHAnsi" w:eastAsiaTheme="minorEastAsia" w:hAnsiTheme="minorHAnsi" w:cstheme="minorBidi"/>
              <w:noProof/>
              <w:lang w:eastAsia="en-AU"/>
            </w:rPr>
          </w:pPr>
          <w:hyperlink w:anchor="_Toc524426280" w:history="1">
            <w:r w:rsidRPr="001139EF">
              <w:rPr>
                <w:rStyle w:val="Hyperlink"/>
                <w:noProof/>
              </w:rPr>
              <w:t>Pharmacodynamics</w:t>
            </w:r>
            <w:r>
              <w:rPr>
                <w:noProof/>
                <w:webHidden/>
              </w:rPr>
              <w:tab/>
            </w:r>
            <w:r>
              <w:rPr>
                <w:noProof/>
                <w:webHidden/>
              </w:rPr>
              <w:fldChar w:fldCharType="begin"/>
            </w:r>
            <w:r>
              <w:rPr>
                <w:noProof/>
                <w:webHidden/>
              </w:rPr>
              <w:instrText xml:space="preserve"> PAGEREF _Toc524426280 \h </w:instrText>
            </w:r>
            <w:r>
              <w:rPr>
                <w:noProof/>
                <w:webHidden/>
              </w:rPr>
            </w:r>
            <w:r>
              <w:rPr>
                <w:noProof/>
                <w:webHidden/>
              </w:rPr>
              <w:fldChar w:fldCharType="separate"/>
            </w:r>
            <w:r>
              <w:rPr>
                <w:noProof/>
                <w:webHidden/>
              </w:rPr>
              <w:t>27</w:t>
            </w:r>
            <w:r>
              <w:rPr>
                <w:noProof/>
                <w:webHidden/>
              </w:rPr>
              <w:fldChar w:fldCharType="end"/>
            </w:r>
          </w:hyperlink>
        </w:p>
        <w:p w14:paraId="5236B273" w14:textId="77777777" w:rsidR="00EA516A" w:rsidRDefault="00EA516A">
          <w:pPr>
            <w:pStyle w:val="TOC3"/>
            <w:rPr>
              <w:rFonts w:asciiTheme="minorHAnsi" w:eastAsiaTheme="minorEastAsia" w:hAnsiTheme="minorHAnsi" w:cstheme="minorBidi"/>
              <w:noProof/>
              <w:lang w:eastAsia="en-AU"/>
            </w:rPr>
          </w:pPr>
          <w:hyperlink w:anchor="_Toc524426281" w:history="1">
            <w:r w:rsidRPr="001139EF">
              <w:rPr>
                <w:rStyle w:val="Hyperlink"/>
                <w:noProof/>
              </w:rPr>
              <w:t>Dosage selection for the pivotal studies</w:t>
            </w:r>
            <w:r>
              <w:rPr>
                <w:noProof/>
                <w:webHidden/>
              </w:rPr>
              <w:tab/>
            </w:r>
            <w:r>
              <w:rPr>
                <w:noProof/>
                <w:webHidden/>
              </w:rPr>
              <w:fldChar w:fldCharType="begin"/>
            </w:r>
            <w:r>
              <w:rPr>
                <w:noProof/>
                <w:webHidden/>
              </w:rPr>
              <w:instrText xml:space="preserve"> PAGEREF _Toc524426281 \h </w:instrText>
            </w:r>
            <w:r>
              <w:rPr>
                <w:noProof/>
                <w:webHidden/>
              </w:rPr>
            </w:r>
            <w:r>
              <w:rPr>
                <w:noProof/>
                <w:webHidden/>
              </w:rPr>
              <w:fldChar w:fldCharType="separate"/>
            </w:r>
            <w:r>
              <w:rPr>
                <w:noProof/>
                <w:webHidden/>
              </w:rPr>
              <w:t>28</w:t>
            </w:r>
            <w:r>
              <w:rPr>
                <w:noProof/>
                <w:webHidden/>
              </w:rPr>
              <w:fldChar w:fldCharType="end"/>
            </w:r>
          </w:hyperlink>
        </w:p>
        <w:p w14:paraId="1768B820" w14:textId="77777777" w:rsidR="00EA516A" w:rsidRDefault="00EA516A">
          <w:pPr>
            <w:pStyle w:val="TOC3"/>
            <w:rPr>
              <w:rFonts w:asciiTheme="minorHAnsi" w:eastAsiaTheme="minorEastAsia" w:hAnsiTheme="minorHAnsi" w:cstheme="minorBidi"/>
              <w:noProof/>
              <w:lang w:eastAsia="en-AU"/>
            </w:rPr>
          </w:pPr>
          <w:hyperlink w:anchor="_Toc524426282" w:history="1">
            <w:r w:rsidRPr="001139EF">
              <w:rPr>
                <w:rStyle w:val="Hyperlink"/>
                <w:noProof/>
              </w:rPr>
              <w:t>Efficacy</w:t>
            </w:r>
            <w:r>
              <w:rPr>
                <w:noProof/>
                <w:webHidden/>
              </w:rPr>
              <w:tab/>
            </w:r>
            <w:r>
              <w:rPr>
                <w:noProof/>
                <w:webHidden/>
              </w:rPr>
              <w:fldChar w:fldCharType="begin"/>
            </w:r>
            <w:r>
              <w:rPr>
                <w:noProof/>
                <w:webHidden/>
              </w:rPr>
              <w:instrText xml:space="preserve"> PAGEREF _Toc524426282 \h </w:instrText>
            </w:r>
            <w:r>
              <w:rPr>
                <w:noProof/>
                <w:webHidden/>
              </w:rPr>
            </w:r>
            <w:r>
              <w:rPr>
                <w:noProof/>
                <w:webHidden/>
              </w:rPr>
              <w:fldChar w:fldCharType="separate"/>
            </w:r>
            <w:r>
              <w:rPr>
                <w:noProof/>
                <w:webHidden/>
              </w:rPr>
              <w:t>29</w:t>
            </w:r>
            <w:r>
              <w:rPr>
                <w:noProof/>
                <w:webHidden/>
              </w:rPr>
              <w:fldChar w:fldCharType="end"/>
            </w:r>
          </w:hyperlink>
        </w:p>
        <w:p w14:paraId="276C6F01" w14:textId="77777777" w:rsidR="00EA516A" w:rsidRDefault="00EA516A">
          <w:pPr>
            <w:pStyle w:val="TOC3"/>
            <w:rPr>
              <w:rFonts w:asciiTheme="minorHAnsi" w:eastAsiaTheme="minorEastAsia" w:hAnsiTheme="minorHAnsi" w:cstheme="minorBidi"/>
              <w:noProof/>
              <w:lang w:eastAsia="en-AU"/>
            </w:rPr>
          </w:pPr>
          <w:hyperlink w:anchor="_Toc524426283" w:history="1">
            <w:r w:rsidRPr="001139EF">
              <w:rPr>
                <w:rStyle w:val="Hyperlink"/>
                <w:noProof/>
              </w:rPr>
              <w:t>Safety</w:t>
            </w:r>
            <w:r>
              <w:rPr>
                <w:noProof/>
                <w:webHidden/>
              </w:rPr>
              <w:tab/>
            </w:r>
            <w:r>
              <w:rPr>
                <w:noProof/>
                <w:webHidden/>
              </w:rPr>
              <w:fldChar w:fldCharType="begin"/>
            </w:r>
            <w:r>
              <w:rPr>
                <w:noProof/>
                <w:webHidden/>
              </w:rPr>
              <w:instrText xml:space="preserve"> PAGEREF _Toc524426283 \h </w:instrText>
            </w:r>
            <w:r>
              <w:rPr>
                <w:noProof/>
                <w:webHidden/>
              </w:rPr>
            </w:r>
            <w:r>
              <w:rPr>
                <w:noProof/>
                <w:webHidden/>
              </w:rPr>
              <w:fldChar w:fldCharType="separate"/>
            </w:r>
            <w:r>
              <w:rPr>
                <w:noProof/>
                <w:webHidden/>
              </w:rPr>
              <w:t>33</w:t>
            </w:r>
            <w:r>
              <w:rPr>
                <w:noProof/>
                <w:webHidden/>
              </w:rPr>
              <w:fldChar w:fldCharType="end"/>
            </w:r>
          </w:hyperlink>
        </w:p>
        <w:p w14:paraId="05EB48DE" w14:textId="77777777" w:rsidR="00EA516A" w:rsidRDefault="00EA516A">
          <w:pPr>
            <w:pStyle w:val="TOC3"/>
            <w:rPr>
              <w:rFonts w:asciiTheme="minorHAnsi" w:eastAsiaTheme="minorEastAsia" w:hAnsiTheme="minorHAnsi" w:cstheme="minorBidi"/>
              <w:noProof/>
              <w:lang w:eastAsia="en-AU"/>
            </w:rPr>
          </w:pPr>
          <w:hyperlink w:anchor="_Toc524426284" w:history="1">
            <w:r w:rsidRPr="001139EF">
              <w:rPr>
                <w:rStyle w:val="Hyperlink"/>
                <w:noProof/>
              </w:rPr>
              <w:t>Second round evaluation</w:t>
            </w:r>
            <w:r>
              <w:rPr>
                <w:noProof/>
                <w:webHidden/>
              </w:rPr>
              <w:tab/>
            </w:r>
            <w:r>
              <w:rPr>
                <w:noProof/>
                <w:webHidden/>
              </w:rPr>
              <w:fldChar w:fldCharType="begin"/>
            </w:r>
            <w:r>
              <w:rPr>
                <w:noProof/>
                <w:webHidden/>
              </w:rPr>
              <w:instrText xml:space="preserve"> PAGEREF _Toc524426284 \h </w:instrText>
            </w:r>
            <w:r>
              <w:rPr>
                <w:noProof/>
                <w:webHidden/>
              </w:rPr>
            </w:r>
            <w:r>
              <w:rPr>
                <w:noProof/>
                <w:webHidden/>
              </w:rPr>
              <w:fldChar w:fldCharType="separate"/>
            </w:r>
            <w:r>
              <w:rPr>
                <w:noProof/>
                <w:webHidden/>
              </w:rPr>
              <w:t>37</w:t>
            </w:r>
            <w:r>
              <w:rPr>
                <w:noProof/>
                <w:webHidden/>
              </w:rPr>
              <w:fldChar w:fldCharType="end"/>
            </w:r>
          </w:hyperlink>
        </w:p>
        <w:p w14:paraId="2E571569" w14:textId="77777777" w:rsidR="00EA516A" w:rsidRDefault="00EA516A">
          <w:pPr>
            <w:pStyle w:val="TOC3"/>
            <w:rPr>
              <w:rFonts w:asciiTheme="minorHAnsi" w:eastAsiaTheme="minorEastAsia" w:hAnsiTheme="minorHAnsi" w:cstheme="minorBidi"/>
              <w:noProof/>
              <w:lang w:eastAsia="en-AU"/>
            </w:rPr>
          </w:pPr>
          <w:hyperlink w:anchor="_Toc524426285" w:history="1">
            <w:r w:rsidRPr="001139EF">
              <w:rPr>
                <w:rStyle w:val="Hyperlink"/>
                <w:noProof/>
              </w:rPr>
              <w:t>Second round benefit-risk assessment</w:t>
            </w:r>
            <w:r>
              <w:rPr>
                <w:noProof/>
                <w:webHidden/>
              </w:rPr>
              <w:tab/>
            </w:r>
            <w:r>
              <w:rPr>
                <w:noProof/>
                <w:webHidden/>
              </w:rPr>
              <w:fldChar w:fldCharType="begin"/>
            </w:r>
            <w:r>
              <w:rPr>
                <w:noProof/>
                <w:webHidden/>
              </w:rPr>
              <w:instrText xml:space="preserve"> PAGEREF _Toc524426285 \h </w:instrText>
            </w:r>
            <w:r>
              <w:rPr>
                <w:noProof/>
                <w:webHidden/>
              </w:rPr>
            </w:r>
            <w:r>
              <w:rPr>
                <w:noProof/>
                <w:webHidden/>
              </w:rPr>
              <w:fldChar w:fldCharType="separate"/>
            </w:r>
            <w:r>
              <w:rPr>
                <w:noProof/>
                <w:webHidden/>
              </w:rPr>
              <w:t>37</w:t>
            </w:r>
            <w:r>
              <w:rPr>
                <w:noProof/>
                <w:webHidden/>
              </w:rPr>
              <w:fldChar w:fldCharType="end"/>
            </w:r>
          </w:hyperlink>
        </w:p>
        <w:p w14:paraId="5DDD2FCA" w14:textId="77777777" w:rsidR="00EA516A" w:rsidRDefault="00EA516A">
          <w:pPr>
            <w:pStyle w:val="TOC3"/>
            <w:rPr>
              <w:rFonts w:asciiTheme="minorHAnsi" w:eastAsiaTheme="minorEastAsia" w:hAnsiTheme="minorHAnsi" w:cstheme="minorBidi"/>
              <w:noProof/>
              <w:lang w:eastAsia="en-AU"/>
            </w:rPr>
          </w:pPr>
          <w:hyperlink w:anchor="_Toc524426286" w:history="1">
            <w:r w:rsidRPr="001139EF">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_Toc524426286 \h </w:instrText>
            </w:r>
            <w:r>
              <w:rPr>
                <w:noProof/>
                <w:webHidden/>
              </w:rPr>
            </w:r>
            <w:r>
              <w:rPr>
                <w:noProof/>
                <w:webHidden/>
              </w:rPr>
              <w:fldChar w:fldCharType="separate"/>
            </w:r>
            <w:r>
              <w:rPr>
                <w:noProof/>
                <w:webHidden/>
              </w:rPr>
              <w:t>40</w:t>
            </w:r>
            <w:r>
              <w:rPr>
                <w:noProof/>
                <w:webHidden/>
              </w:rPr>
              <w:fldChar w:fldCharType="end"/>
            </w:r>
          </w:hyperlink>
        </w:p>
        <w:p w14:paraId="097F3FA3" w14:textId="77777777" w:rsidR="00EA516A" w:rsidRDefault="00EA516A">
          <w:pPr>
            <w:pStyle w:val="TOC2"/>
            <w:rPr>
              <w:rFonts w:asciiTheme="minorHAnsi" w:eastAsiaTheme="minorEastAsia" w:hAnsiTheme="minorHAnsi" w:cstheme="minorBidi"/>
              <w:b w:val="0"/>
              <w:noProof/>
              <w:sz w:val="22"/>
              <w:lang w:eastAsia="en-AU"/>
            </w:rPr>
          </w:pPr>
          <w:hyperlink w:anchor="_Toc524426287" w:history="1">
            <w:r w:rsidRPr="001139EF">
              <w:rPr>
                <w:rStyle w:val="Hyperlink"/>
                <w:noProof/>
              </w:rPr>
              <w:t>VI. Pharmacovigilance findings</w:t>
            </w:r>
            <w:r>
              <w:rPr>
                <w:noProof/>
                <w:webHidden/>
              </w:rPr>
              <w:tab/>
            </w:r>
            <w:r>
              <w:rPr>
                <w:noProof/>
                <w:webHidden/>
              </w:rPr>
              <w:fldChar w:fldCharType="begin"/>
            </w:r>
            <w:r>
              <w:rPr>
                <w:noProof/>
                <w:webHidden/>
              </w:rPr>
              <w:instrText xml:space="preserve"> PAGEREF _Toc524426287 \h </w:instrText>
            </w:r>
            <w:r>
              <w:rPr>
                <w:noProof/>
                <w:webHidden/>
              </w:rPr>
            </w:r>
            <w:r>
              <w:rPr>
                <w:noProof/>
                <w:webHidden/>
              </w:rPr>
              <w:fldChar w:fldCharType="separate"/>
            </w:r>
            <w:r>
              <w:rPr>
                <w:noProof/>
                <w:webHidden/>
              </w:rPr>
              <w:t>42</w:t>
            </w:r>
            <w:r>
              <w:rPr>
                <w:noProof/>
                <w:webHidden/>
              </w:rPr>
              <w:fldChar w:fldCharType="end"/>
            </w:r>
          </w:hyperlink>
        </w:p>
        <w:p w14:paraId="71B90F3A" w14:textId="77777777" w:rsidR="00EA516A" w:rsidRDefault="00EA516A">
          <w:pPr>
            <w:pStyle w:val="TOC2"/>
            <w:rPr>
              <w:rFonts w:asciiTheme="minorHAnsi" w:eastAsiaTheme="minorEastAsia" w:hAnsiTheme="minorHAnsi" w:cstheme="minorBidi"/>
              <w:b w:val="0"/>
              <w:noProof/>
              <w:sz w:val="22"/>
              <w:lang w:eastAsia="en-AU"/>
            </w:rPr>
          </w:pPr>
          <w:hyperlink w:anchor="_Toc524426288" w:history="1">
            <w:r w:rsidRPr="001139EF">
              <w:rPr>
                <w:rStyle w:val="Hyperlink"/>
                <w:noProof/>
              </w:rPr>
              <w:t>VII. Overall conclusion and risk/benefit assessment</w:t>
            </w:r>
            <w:r>
              <w:rPr>
                <w:noProof/>
                <w:webHidden/>
              </w:rPr>
              <w:tab/>
            </w:r>
            <w:r>
              <w:rPr>
                <w:noProof/>
                <w:webHidden/>
              </w:rPr>
              <w:fldChar w:fldCharType="begin"/>
            </w:r>
            <w:r>
              <w:rPr>
                <w:noProof/>
                <w:webHidden/>
              </w:rPr>
              <w:instrText xml:space="preserve"> PAGEREF _Toc524426288 \h </w:instrText>
            </w:r>
            <w:r>
              <w:rPr>
                <w:noProof/>
                <w:webHidden/>
              </w:rPr>
            </w:r>
            <w:r>
              <w:rPr>
                <w:noProof/>
                <w:webHidden/>
              </w:rPr>
              <w:fldChar w:fldCharType="separate"/>
            </w:r>
            <w:r>
              <w:rPr>
                <w:noProof/>
                <w:webHidden/>
              </w:rPr>
              <w:t>45</w:t>
            </w:r>
            <w:r>
              <w:rPr>
                <w:noProof/>
                <w:webHidden/>
              </w:rPr>
              <w:fldChar w:fldCharType="end"/>
            </w:r>
          </w:hyperlink>
        </w:p>
        <w:p w14:paraId="638A1B0E" w14:textId="77777777" w:rsidR="00EA516A" w:rsidRDefault="00EA516A">
          <w:pPr>
            <w:pStyle w:val="TOC3"/>
            <w:rPr>
              <w:rFonts w:asciiTheme="minorHAnsi" w:eastAsiaTheme="minorEastAsia" w:hAnsiTheme="minorHAnsi" w:cstheme="minorBidi"/>
              <w:noProof/>
              <w:lang w:eastAsia="en-AU"/>
            </w:rPr>
          </w:pPr>
          <w:hyperlink w:anchor="_Toc524426289" w:history="1">
            <w:r w:rsidRPr="001139EF">
              <w:rPr>
                <w:rStyle w:val="Hyperlink"/>
                <w:noProof/>
              </w:rPr>
              <w:t>Quality</w:t>
            </w:r>
            <w:r>
              <w:rPr>
                <w:noProof/>
                <w:webHidden/>
              </w:rPr>
              <w:tab/>
            </w:r>
            <w:r>
              <w:rPr>
                <w:noProof/>
                <w:webHidden/>
              </w:rPr>
              <w:fldChar w:fldCharType="begin"/>
            </w:r>
            <w:r>
              <w:rPr>
                <w:noProof/>
                <w:webHidden/>
              </w:rPr>
              <w:instrText xml:space="preserve"> PAGEREF _Toc524426289 \h </w:instrText>
            </w:r>
            <w:r>
              <w:rPr>
                <w:noProof/>
                <w:webHidden/>
              </w:rPr>
            </w:r>
            <w:r>
              <w:rPr>
                <w:noProof/>
                <w:webHidden/>
              </w:rPr>
              <w:fldChar w:fldCharType="separate"/>
            </w:r>
            <w:r>
              <w:rPr>
                <w:noProof/>
                <w:webHidden/>
              </w:rPr>
              <w:t>45</w:t>
            </w:r>
            <w:r>
              <w:rPr>
                <w:noProof/>
                <w:webHidden/>
              </w:rPr>
              <w:fldChar w:fldCharType="end"/>
            </w:r>
          </w:hyperlink>
        </w:p>
        <w:p w14:paraId="443CD302" w14:textId="77777777" w:rsidR="00EA516A" w:rsidRDefault="00EA516A">
          <w:pPr>
            <w:pStyle w:val="TOC3"/>
            <w:rPr>
              <w:rFonts w:asciiTheme="minorHAnsi" w:eastAsiaTheme="minorEastAsia" w:hAnsiTheme="minorHAnsi" w:cstheme="minorBidi"/>
              <w:noProof/>
              <w:lang w:eastAsia="en-AU"/>
            </w:rPr>
          </w:pPr>
          <w:hyperlink w:anchor="_Toc524426290" w:history="1">
            <w:r w:rsidRPr="001139EF">
              <w:rPr>
                <w:rStyle w:val="Hyperlink"/>
                <w:noProof/>
              </w:rPr>
              <w:t>Nonclinical</w:t>
            </w:r>
            <w:r>
              <w:rPr>
                <w:noProof/>
                <w:webHidden/>
              </w:rPr>
              <w:tab/>
            </w:r>
            <w:r>
              <w:rPr>
                <w:noProof/>
                <w:webHidden/>
              </w:rPr>
              <w:fldChar w:fldCharType="begin"/>
            </w:r>
            <w:r>
              <w:rPr>
                <w:noProof/>
                <w:webHidden/>
              </w:rPr>
              <w:instrText xml:space="preserve"> PAGEREF _Toc524426290 \h </w:instrText>
            </w:r>
            <w:r>
              <w:rPr>
                <w:noProof/>
                <w:webHidden/>
              </w:rPr>
            </w:r>
            <w:r>
              <w:rPr>
                <w:noProof/>
                <w:webHidden/>
              </w:rPr>
              <w:fldChar w:fldCharType="separate"/>
            </w:r>
            <w:r>
              <w:rPr>
                <w:noProof/>
                <w:webHidden/>
              </w:rPr>
              <w:t>46</w:t>
            </w:r>
            <w:r>
              <w:rPr>
                <w:noProof/>
                <w:webHidden/>
              </w:rPr>
              <w:fldChar w:fldCharType="end"/>
            </w:r>
          </w:hyperlink>
        </w:p>
        <w:p w14:paraId="6C77D548" w14:textId="77777777" w:rsidR="00EA516A" w:rsidRDefault="00EA516A">
          <w:pPr>
            <w:pStyle w:val="TOC3"/>
            <w:rPr>
              <w:rFonts w:asciiTheme="minorHAnsi" w:eastAsiaTheme="minorEastAsia" w:hAnsiTheme="minorHAnsi" w:cstheme="minorBidi"/>
              <w:noProof/>
              <w:lang w:eastAsia="en-AU"/>
            </w:rPr>
          </w:pPr>
          <w:hyperlink w:anchor="_Toc524426291" w:history="1">
            <w:r w:rsidRPr="001139EF">
              <w:rPr>
                <w:rStyle w:val="Hyperlink"/>
                <w:noProof/>
              </w:rPr>
              <w:t>Clinical</w:t>
            </w:r>
            <w:r>
              <w:rPr>
                <w:noProof/>
                <w:webHidden/>
              </w:rPr>
              <w:tab/>
            </w:r>
            <w:r>
              <w:rPr>
                <w:noProof/>
                <w:webHidden/>
              </w:rPr>
              <w:fldChar w:fldCharType="begin"/>
            </w:r>
            <w:r>
              <w:rPr>
                <w:noProof/>
                <w:webHidden/>
              </w:rPr>
              <w:instrText xml:space="preserve"> PAGEREF _Toc524426291 \h </w:instrText>
            </w:r>
            <w:r>
              <w:rPr>
                <w:noProof/>
                <w:webHidden/>
              </w:rPr>
            </w:r>
            <w:r>
              <w:rPr>
                <w:noProof/>
                <w:webHidden/>
              </w:rPr>
              <w:fldChar w:fldCharType="separate"/>
            </w:r>
            <w:r>
              <w:rPr>
                <w:noProof/>
                <w:webHidden/>
              </w:rPr>
              <w:t>47</w:t>
            </w:r>
            <w:r>
              <w:rPr>
                <w:noProof/>
                <w:webHidden/>
              </w:rPr>
              <w:fldChar w:fldCharType="end"/>
            </w:r>
          </w:hyperlink>
        </w:p>
        <w:p w14:paraId="4C3E1807" w14:textId="77777777" w:rsidR="00EA516A" w:rsidRDefault="00EA516A">
          <w:pPr>
            <w:pStyle w:val="TOC3"/>
            <w:rPr>
              <w:rFonts w:asciiTheme="minorHAnsi" w:eastAsiaTheme="minorEastAsia" w:hAnsiTheme="minorHAnsi" w:cstheme="minorBidi"/>
              <w:noProof/>
              <w:lang w:eastAsia="en-AU"/>
            </w:rPr>
          </w:pPr>
          <w:hyperlink w:anchor="_Toc524426292" w:history="1">
            <w:r w:rsidRPr="001139EF">
              <w:rPr>
                <w:rStyle w:val="Hyperlink"/>
                <w:noProof/>
                <w:lang w:eastAsia="en-AU"/>
              </w:rPr>
              <w:t>Risk management plan</w:t>
            </w:r>
            <w:r>
              <w:rPr>
                <w:noProof/>
                <w:webHidden/>
              </w:rPr>
              <w:tab/>
            </w:r>
            <w:r>
              <w:rPr>
                <w:noProof/>
                <w:webHidden/>
              </w:rPr>
              <w:fldChar w:fldCharType="begin"/>
            </w:r>
            <w:r>
              <w:rPr>
                <w:noProof/>
                <w:webHidden/>
              </w:rPr>
              <w:instrText xml:space="preserve"> PAGEREF _Toc524426292 \h </w:instrText>
            </w:r>
            <w:r>
              <w:rPr>
                <w:noProof/>
                <w:webHidden/>
              </w:rPr>
            </w:r>
            <w:r>
              <w:rPr>
                <w:noProof/>
                <w:webHidden/>
              </w:rPr>
              <w:fldChar w:fldCharType="separate"/>
            </w:r>
            <w:r>
              <w:rPr>
                <w:noProof/>
                <w:webHidden/>
              </w:rPr>
              <w:t>58</w:t>
            </w:r>
            <w:r>
              <w:rPr>
                <w:noProof/>
                <w:webHidden/>
              </w:rPr>
              <w:fldChar w:fldCharType="end"/>
            </w:r>
          </w:hyperlink>
        </w:p>
        <w:p w14:paraId="052C9B8A" w14:textId="77777777" w:rsidR="00EA516A" w:rsidRDefault="00EA516A">
          <w:pPr>
            <w:pStyle w:val="TOC3"/>
            <w:rPr>
              <w:rFonts w:asciiTheme="minorHAnsi" w:eastAsiaTheme="minorEastAsia" w:hAnsiTheme="minorHAnsi" w:cstheme="minorBidi"/>
              <w:noProof/>
              <w:lang w:eastAsia="en-AU"/>
            </w:rPr>
          </w:pPr>
          <w:hyperlink w:anchor="_Toc524426293" w:history="1">
            <w:r w:rsidRPr="001139EF">
              <w:rPr>
                <w:rStyle w:val="Hyperlink"/>
                <w:noProof/>
              </w:rPr>
              <w:t>Risk-benefit analysis</w:t>
            </w:r>
            <w:r>
              <w:rPr>
                <w:noProof/>
                <w:webHidden/>
              </w:rPr>
              <w:tab/>
            </w:r>
            <w:r>
              <w:rPr>
                <w:noProof/>
                <w:webHidden/>
              </w:rPr>
              <w:fldChar w:fldCharType="begin"/>
            </w:r>
            <w:r>
              <w:rPr>
                <w:noProof/>
                <w:webHidden/>
              </w:rPr>
              <w:instrText xml:space="preserve"> PAGEREF _Toc524426293 \h </w:instrText>
            </w:r>
            <w:r>
              <w:rPr>
                <w:noProof/>
                <w:webHidden/>
              </w:rPr>
            </w:r>
            <w:r>
              <w:rPr>
                <w:noProof/>
                <w:webHidden/>
              </w:rPr>
              <w:fldChar w:fldCharType="separate"/>
            </w:r>
            <w:r>
              <w:rPr>
                <w:noProof/>
                <w:webHidden/>
              </w:rPr>
              <w:t>59</w:t>
            </w:r>
            <w:r>
              <w:rPr>
                <w:noProof/>
                <w:webHidden/>
              </w:rPr>
              <w:fldChar w:fldCharType="end"/>
            </w:r>
          </w:hyperlink>
        </w:p>
        <w:p w14:paraId="1B57AC31" w14:textId="77777777" w:rsidR="00EA516A" w:rsidRDefault="00EA516A">
          <w:pPr>
            <w:pStyle w:val="TOC3"/>
            <w:rPr>
              <w:rFonts w:asciiTheme="minorHAnsi" w:eastAsiaTheme="minorEastAsia" w:hAnsiTheme="minorHAnsi" w:cstheme="minorBidi"/>
              <w:noProof/>
              <w:lang w:eastAsia="en-AU"/>
            </w:rPr>
          </w:pPr>
          <w:hyperlink w:anchor="_Toc524426294" w:history="1">
            <w:r w:rsidRPr="001139EF">
              <w:rPr>
                <w:rStyle w:val="Hyperlink"/>
                <w:noProof/>
              </w:rPr>
              <w:t>Outcome</w:t>
            </w:r>
            <w:r>
              <w:rPr>
                <w:noProof/>
                <w:webHidden/>
              </w:rPr>
              <w:tab/>
            </w:r>
            <w:r>
              <w:rPr>
                <w:noProof/>
                <w:webHidden/>
              </w:rPr>
              <w:fldChar w:fldCharType="begin"/>
            </w:r>
            <w:r>
              <w:rPr>
                <w:noProof/>
                <w:webHidden/>
              </w:rPr>
              <w:instrText xml:space="preserve"> PAGEREF _Toc524426294 \h </w:instrText>
            </w:r>
            <w:r>
              <w:rPr>
                <w:noProof/>
                <w:webHidden/>
              </w:rPr>
            </w:r>
            <w:r>
              <w:rPr>
                <w:noProof/>
                <w:webHidden/>
              </w:rPr>
              <w:fldChar w:fldCharType="separate"/>
            </w:r>
            <w:r>
              <w:rPr>
                <w:noProof/>
                <w:webHidden/>
              </w:rPr>
              <w:t>67</w:t>
            </w:r>
            <w:r>
              <w:rPr>
                <w:noProof/>
                <w:webHidden/>
              </w:rPr>
              <w:fldChar w:fldCharType="end"/>
            </w:r>
          </w:hyperlink>
        </w:p>
        <w:p w14:paraId="0D7589FA" w14:textId="77777777" w:rsidR="00EA516A" w:rsidRDefault="00EA516A">
          <w:pPr>
            <w:pStyle w:val="TOC2"/>
            <w:rPr>
              <w:rFonts w:asciiTheme="minorHAnsi" w:eastAsiaTheme="minorEastAsia" w:hAnsiTheme="minorHAnsi" w:cstheme="minorBidi"/>
              <w:b w:val="0"/>
              <w:noProof/>
              <w:sz w:val="22"/>
              <w:lang w:eastAsia="en-AU"/>
            </w:rPr>
          </w:pPr>
          <w:hyperlink w:anchor="_Toc524426295" w:history="1">
            <w:r w:rsidRPr="001139EF">
              <w:rPr>
                <w:rStyle w:val="Hyperlink"/>
                <w:noProof/>
              </w:rPr>
              <w:t>Attachment 1. Product Information</w:t>
            </w:r>
            <w:r>
              <w:rPr>
                <w:noProof/>
                <w:webHidden/>
              </w:rPr>
              <w:tab/>
            </w:r>
            <w:r>
              <w:rPr>
                <w:noProof/>
                <w:webHidden/>
              </w:rPr>
              <w:fldChar w:fldCharType="begin"/>
            </w:r>
            <w:r>
              <w:rPr>
                <w:noProof/>
                <w:webHidden/>
              </w:rPr>
              <w:instrText xml:space="preserve"> PAGEREF _Toc524426295 \h </w:instrText>
            </w:r>
            <w:r>
              <w:rPr>
                <w:noProof/>
                <w:webHidden/>
              </w:rPr>
            </w:r>
            <w:r>
              <w:rPr>
                <w:noProof/>
                <w:webHidden/>
              </w:rPr>
              <w:fldChar w:fldCharType="separate"/>
            </w:r>
            <w:r>
              <w:rPr>
                <w:noProof/>
                <w:webHidden/>
              </w:rPr>
              <w:t>69</w:t>
            </w:r>
            <w:r>
              <w:rPr>
                <w:noProof/>
                <w:webHidden/>
              </w:rPr>
              <w:fldChar w:fldCharType="end"/>
            </w:r>
          </w:hyperlink>
        </w:p>
        <w:p w14:paraId="713AFBCE" w14:textId="77777777" w:rsidR="00EA516A" w:rsidRDefault="00EA516A">
          <w:pPr>
            <w:pStyle w:val="TOC2"/>
            <w:rPr>
              <w:rFonts w:asciiTheme="minorHAnsi" w:eastAsiaTheme="minorEastAsia" w:hAnsiTheme="minorHAnsi" w:cstheme="minorBidi"/>
              <w:b w:val="0"/>
              <w:noProof/>
              <w:sz w:val="22"/>
              <w:lang w:eastAsia="en-AU"/>
            </w:rPr>
          </w:pPr>
          <w:hyperlink w:anchor="_Toc524426296" w:history="1">
            <w:r w:rsidRPr="001139E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_Toc524426296 \h </w:instrText>
            </w:r>
            <w:r>
              <w:rPr>
                <w:noProof/>
                <w:webHidden/>
              </w:rPr>
            </w:r>
            <w:r>
              <w:rPr>
                <w:noProof/>
                <w:webHidden/>
              </w:rPr>
              <w:fldChar w:fldCharType="separate"/>
            </w:r>
            <w:r>
              <w:rPr>
                <w:noProof/>
                <w:webHidden/>
              </w:rPr>
              <w:t>69</w:t>
            </w:r>
            <w:r>
              <w:rPr>
                <w:noProof/>
                <w:webHidden/>
              </w:rPr>
              <w:fldChar w:fldCharType="end"/>
            </w:r>
          </w:hyperlink>
        </w:p>
        <w:p w14:paraId="7F4AA484" w14:textId="77777777" w:rsidR="003A7F6C" w:rsidRPr="00B811C6" w:rsidRDefault="00DB6124" w:rsidP="00B811C6">
          <w:pPr>
            <w:pStyle w:val="TOC2"/>
          </w:pPr>
          <w:r>
            <w:fldChar w:fldCharType="end"/>
          </w:r>
        </w:p>
      </w:sdtContent>
    </w:sdt>
    <w:bookmarkStart w:id="3" w:name="_Toc314842482" w:displacedByCustomXml="prev"/>
    <w:p w14:paraId="7F4AA485" w14:textId="77777777" w:rsidR="00FD119B" w:rsidRDefault="00FD119B">
      <w:pPr>
        <w:spacing w:before="0" w:after="200" w:line="0" w:lineRule="auto"/>
      </w:pPr>
      <w:r>
        <w:br w:type="page"/>
      </w:r>
    </w:p>
    <w:p w14:paraId="7F4AA486"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52442625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9B56DD" w:rsidRPr="009B56DD" w14:paraId="7F4AA489" w14:textId="77777777" w:rsidTr="009B56DD">
        <w:trPr>
          <w:cnfStyle w:val="100000000000" w:firstRow="1" w:lastRow="0" w:firstColumn="0" w:lastColumn="0" w:oddVBand="0" w:evenVBand="0" w:oddHBand="0" w:evenHBand="0" w:firstRowFirstColumn="0" w:firstRowLastColumn="0" w:lastRowFirstColumn="0" w:lastRowLastColumn="0"/>
        </w:trPr>
        <w:tc>
          <w:tcPr>
            <w:tcW w:w="1890" w:type="dxa"/>
          </w:tcPr>
          <w:p w14:paraId="7F4AA487" w14:textId="77777777" w:rsidR="009B56DD" w:rsidRPr="009B56DD" w:rsidRDefault="009B56DD" w:rsidP="00EA1DF3">
            <w:r w:rsidRPr="009B56DD">
              <w:t>Abbreviation</w:t>
            </w:r>
          </w:p>
        </w:tc>
        <w:tc>
          <w:tcPr>
            <w:tcW w:w="6830" w:type="dxa"/>
          </w:tcPr>
          <w:p w14:paraId="7F4AA488" w14:textId="77777777" w:rsidR="009B56DD" w:rsidRPr="009B56DD" w:rsidRDefault="009B56DD" w:rsidP="00EA1DF3">
            <w:r w:rsidRPr="009B56DD">
              <w:t>Meaning</w:t>
            </w:r>
          </w:p>
        </w:tc>
      </w:tr>
      <w:tr w:rsidR="009B56DD" w:rsidRPr="009B56DD" w14:paraId="7F4AA48C" w14:textId="77777777" w:rsidTr="009B56DD">
        <w:tc>
          <w:tcPr>
            <w:tcW w:w="1890" w:type="dxa"/>
          </w:tcPr>
          <w:p w14:paraId="7F4AA48A" w14:textId="77777777" w:rsidR="009B56DD" w:rsidRPr="009B56DD" w:rsidRDefault="009B56DD" w:rsidP="00EA1DF3">
            <w:pPr>
              <w:rPr>
                <w:rFonts w:cs="Calibri"/>
              </w:rPr>
            </w:pPr>
            <w:r w:rsidRPr="009B56DD">
              <w:rPr>
                <w:rFonts w:cs="Calibri"/>
              </w:rPr>
              <w:t>ACR</w:t>
            </w:r>
          </w:p>
        </w:tc>
        <w:tc>
          <w:tcPr>
            <w:tcW w:w="6830" w:type="dxa"/>
          </w:tcPr>
          <w:p w14:paraId="7F4AA48B" w14:textId="77777777" w:rsidR="009B56DD" w:rsidRPr="009B56DD" w:rsidRDefault="009B56DD" w:rsidP="00EA1DF3">
            <w:pPr>
              <w:rPr>
                <w:rFonts w:cs="Calibri"/>
              </w:rPr>
            </w:pPr>
            <w:r w:rsidRPr="009B56DD">
              <w:rPr>
                <w:rFonts w:eastAsiaTheme="minorHAnsi" w:cs="Calibri"/>
              </w:rPr>
              <w:t>A</w:t>
            </w:r>
            <w:r w:rsidR="00175ABC">
              <w:rPr>
                <w:rFonts w:eastAsiaTheme="minorHAnsi" w:cs="Calibri"/>
              </w:rPr>
              <w:t>merican College of Rheumatology</w:t>
            </w:r>
          </w:p>
        </w:tc>
      </w:tr>
      <w:tr w:rsidR="009B56DD" w:rsidRPr="009B56DD" w14:paraId="7F4AA48F" w14:textId="77777777" w:rsidTr="009B56DD">
        <w:tc>
          <w:tcPr>
            <w:tcW w:w="1890" w:type="dxa"/>
          </w:tcPr>
          <w:p w14:paraId="7F4AA48D" w14:textId="77777777" w:rsidR="009B56DD" w:rsidRPr="009B56DD" w:rsidRDefault="009B56DD" w:rsidP="00EA1DF3">
            <w:pPr>
              <w:rPr>
                <w:rFonts w:cs="Calibri"/>
              </w:rPr>
            </w:pPr>
            <w:r w:rsidRPr="009B56DD">
              <w:rPr>
                <w:rFonts w:eastAsiaTheme="minorHAnsi" w:cs="Calibri"/>
              </w:rPr>
              <w:t xml:space="preserve">ADA </w:t>
            </w:r>
          </w:p>
        </w:tc>
        <w:tc>
          <w:tcPr>
            <w:tcW w:w="6830" w:type="dxa"/>
          </w:tcPr>
          <w:p w14:paraId="7F4AA48E" w14:textId="77777777" w:rsidR="009B56DD" w:rsidRPr="009B56DD" w:rsidRDefault="009B56DD" w:rsidP="00EA1DF3">
            <w:pPr>
              <w:rPr>
                <w:rFonts w:cs="Calibri"/>
              </w:rPr>
            </w:pPr>
            <w:r w:rsidRPr="009B56DD">
              <w:rPr>
                <w:rFonts w:eastAsiaTheme="minorHAnsi" w:cs="Calibri"/>
              </w:rPr>
              <w:t>Anti-drug antibodies</w:t>
            </w:r>
          </w:p>
        </w:tc>
      </w:tr>
      <w:tr w:rsidR="009B56DD" w:rsidRPr="009B56DD" w14:paraId="7F4AA492" w14:textId="77777777" w:rsidTr="009B56DD">
        <w:tc>
          <w:tcPr>
            <w:tcW w:w="1890" w:type="dxa"/>
          </w:tcPr>
          <w:p w14:paraId="7F4AA490" w14:textId="77777777" w:rsidR="009B56DD" w:rsidRPr="009B56DD" w:rsidRDefault="009B56DD" w:rsidP="00EA1DF3">
            <w:pPr>
              <w:rPr>
                <w:rFonts w:cs="Calibri"/>
              </w:rPr>
            </w:pPr>
            <w:r w:rsidRPr="009B56DD">
              <w:rPr>
                <w:rFonts w:eastAsiaTheme="minorHAnsi" w:cs="Calibri"/>
              </w:rPr>
              <w:t xml:space="preserve">ADCC </w:t>
            </w:r>
          </w:p>
        </w:tc>
        <w:tc>
          <w:tcPr>
            <w:tcW w:w="6830" w:type="dxa"/>
          </w:tcPr>
          <w:p w14:paraId="7F4AA491" w14:textId="77777777" w:rsidR="009B56DD" w:rsidRPr="009B56DD" w:rsidRDefault="009B56DD" w:rsidP="00EA1DF3">
            <w:pPr>
              <w:rPr>
                <w:rFonts w:cs="Calibri"/>
              </w:rPr>
            </w:pPr>
            <w:r w:rsidRPr="009B56DD">
              <w:rPr>
                <w:rFonts w:eastAsiaTheme="minorHAnsi" w:cs="Calibri"/>
              </w:rPr>
              <w:t xml:space="preserve">Antibody dependent cellular cytotoxicity </w:t>
            </w:r>
          </w:p>
        </w:tc>
      </w:tr>
      <w:tr w:rsidR="009B56DD" w:rsidRPr="009B56DD" w14:paraId="7F4AA495" w14:textId="77777777" w:rsidTr="009B56DD">
        <w:tc>
          <w:tcPr>
            <w:tcW w:w="1890" w:type="dxa"/>
          </w:tcPr>
          <w:p w14:paraId="7F4AA493" w14:textId="77777777" w:rsidR="009B56DD" w:rsidRPr="009B56DD" w:rsidRDefault="009B56DD" w:rsidP="00EA1DF3">
            <w:pPr>
              <w:rPr>
                <w:rFonts w:cs="Calibri"/>
              </w:rPr>
            </w:pPr>
            <w:r w:rsidRPr="009B56DD">
              <w:rPr>
                <w:rFonts w:eastAsiaTheme="minorHAnsi" w:cs="Calibri"/>
              </w:rPr>
              <w:t xml:space="preserve">ADR </w:t>
            </w:r>
          </w:p>
        </w:tc>
        <w:tc>
          <w:tcPr>
            <w:tcW w:w="6830" w:type="dxa"/>
          </w:tcPr>
          <w:p w14:paraId="7F4AA494" w14:textId="77777777" w:rsidR="009B56DD" w:rsidRPr="009B56DD" w:rsidRDefault="00B045BC" w:rsidP="00EA1DF3">
            <w:pPr>
              <w:rPr>
                <w:rFonts w:cs="Calibri"/>
              </w:rPr>
            </w:pPr>
            <w:r>
              <w:rPr>
                <w:rFonts w:eastAsiaTheme="minorHAnsi" w:cs="Calibri"/>
              </w:rPr>
              <w:t>Adverse drug reaction</w:t>
            </w:r>
          </w:p>
        </w:tc>
      </w:tr>
      <w:tr w:rsidR="009B56DD" w:rsidRPr="009B56DD" w14:paraId="7F4AA498" w14:textId="77777777" w:rsidTr="009B56DD">
        <w:tc>
          <w:tcPr>
            <w:tcW w:w="1890" w:type="dxa"/>
          </w:tcPr>
          <w:p w14:paraId="7F4AA496" w14:textId="77777777" w:rsidR="009B56DD" w:rsidRPr="009B56DD" w:rsidRDefault="009B56DD" w:rsidP="00EA1DF3">
            <w:pPr>
              <w:rPr>
                <w:rFonts w:cs="Calibri"/>
              </w:rPr>
            </w:pPr>
            <w:r w:rsidRPr="009B56DD">
              <w:rPr>
                <w:rFonts w:eastAsiaTheme="minorHAnsi" w:cs="Calibri"/>
              </w:rPr>
              <w:t xml:space="preserve">AE </w:t>
            </w:r>
          </w:p>
        </w:tc>
        <w:tc>
          <w:tcPr>
            <w:tcW w:w="6830" w:type="dxa"/>
          </w:tcPr>
          <w:p w14:paraId="7F4AA497" w14:textId="77777777" w:rsidR="009B56DD" w:rsidRPr="009B56DD" w:rsidRDefault="00B045BC" w:rsidP="00EA1DF3">
            <w:pPr>
              <w:rPr>
                <w:rFonts w:cs="Calibri"/>
              </w:rPr>
            </w:pPr>
            <w:r>
              <w:rPr>
                <w:rFonts w:eastAsiaTheme="minorHAnsi" w:cs="Calibri"/>
              </w:rPr>
              <w:t>Adverse event</w:t>
            </w:r>
          </w:p>
        </w:tc>
      </w:tr>
      <w:tr w:rsidR="009B56DD" w:rsidRPr="009B56DD" w14:paraId="7F4AA49B" w14:textId="77777777" w:rsidTr="009B56DD">
        <w:tc>
          <w:tcPr>
            <w:tcW w:w="1890" w:type="dxa"/>
          </w:tcPr>
          <w:p w14:paraId="7F4AA499" w14:textId="77777777" w:rsidR="009B56DD" w:rsidRPr="009B56DD" w:rsidRDefault="009B56DD" w:rsidP="00EA1DF3">
            <w:pPr>
              <w:rPr>
                <w:rFonts w:eastAsiaTheme="minorHAnsi" w:cs="Calibri"/>
              </w:rPr>
            </w:pPr>
            <w:r w:rsidRPr="009B56DD">
              <w:rPr>
                <w:rFonts w:eastAsiaTheme="minorHAnsi" w:cs="Calibri"/>
              </w:rPr>
              <w:t xml:space="preserve">AUC </w:t>
            </w:r>
          </w:p>
        </w:tc>
        <w:tc>
          <w:tcPr>
            <w:tcW w:w="6830" w:type="dxa"/>
          </w:tcPr>
          <w:p w14:paraId="7F4AA49A" w14:textId="77777777" w:rsidR="009B56DD" w:rsidRPr="009B56DD" w:rsidRDefault="009B56DD" w:rsidP="00EA1DF3">
            <w:pPr>
              <w:rPr>
                <w:rFonts w:cs="Calibri"/>
              </w:rPr>
            </w:pPr>
            <w:r w:rsidRPr="009B56DD">
              <w:rPr>
                <w:rFonts w:eastAsiaTheme="minorHAnsi" w:cs="Calibri"/>
              </w:rPr>
              <w:t>Area under the concentration-time curve</w:t>
            </w:r>
          </w:p>
        </w:tc>
      </w:tr>
      <w:tr w:rsidR="009B56DD" w:rsidRPr="009B56DD" w14:paraId="7F4AA49E" w14:textId="77777777" w:rsidTr="009B56DD">
        <w:tc>
          <w:tcPr>
            <w:tcW w:w="1890" w:type="dxa"/>
          </w:tcPr>
          <w:p w14:paraId="7F4AA49C" w14:textId="77777777" w:rsidR="009B56DD" w:rsidRPr="009B56DD" w:rsidRDefault="009B56DD" w:rsidP="00EA1DF3">
            <w:pPr>
              <w:rPr>
                <w:rFonts w:cs="Calibri"/>
              </w:rPr>
            </w:pPr>
            <w:r w:rsidRPr="009B56DD">
              <w:rPr>
                <w:rFonts w:eastAsiaTheme="minorHAnsi" w:cs="Calibri"/>
              </w:rPr>
              <w:t>AUC(0-inf)</w:t>
            </w:r>
          </w:p>
        </w:tc>
        <w:tc>
          <w:tcPr>
            <w:tcW w:w="6830" w:type="dxa"/>
          </w:tcPr>
          <w:p w14:paraId="7F4AA49D" w14:textId="77777777" w:rsidR="009B56DD" w:rsidRPr="009B56DD" w:rsidRDefault="009B56DD" w:rsidP="00EA1DF3">
            <w:pPr>
              <w:rPr>
                <w:rFonts w:cs="Calibri"/>
              </w:rPr>
            </w:pPr>
            <w:r w:rsidRPr="009B56DD">
              <w:rPr>
                <w:rFonts w:eastAsiaTheme="minorHAnsi" w:cs="Calibri"/>
              </w:rPr>
              <w:t>Area under the serum concentration-time curve from time zero to infinity.</w:t>
            </w:r>
          </w:p>
        </w:tc>
      </w:tr>
      <w:tr w:rsidR="009B56DD" w:rsidRPr="009B56DD" w14:paraId="7F4AA4A1" w14:textId="77777777" w:rsidTr="009B56DD">
        <w:tc>
          <w:tcPr>
            <w:tcW w:w="1890" w:type="dxa"/>
          </w:tcPr>
          <w:p w14:paraId="7F4AA49F" w14:textId="77777777" w:rsidR="009B56DD" w:rsidRPr="009B56DD" w:rsidRDefault="009B56DD" w:rsidP="00EA1DF3">
            <w:pPr>
              <w:rPr>
                <w:rFonts w:eastAsiaTheme="minorHAnsi" w:cs="Calibri"/>
              </w:rPr>
            </w:pPr>
            <w:r w:rsidRPr="009B56DD">
              <w:rPr>
                <w:rFonts w:eastAsiaTheme="minorHAnsi" w:cs="Calibri"/>
              </w:rPr>
              <w:t xml:space="preserve">AUClast </w:t>
            </w:r>
          </w:p>
        </w:tc>
        <w:tc>
          <w:tcPr>
            <w:tcW w:w="6830" w:type="dxa"/>
          </w:tcPr>
          <w:p w14:paraId="7F4AA4A0" w14:textId="77777777" w:rsidR="009B56DD" w:rsidRPr="009B56DD" w:rsidRDefault="009B56DD" w:rsidP="00EA1DF3">
            <w:pPr>
              <w:rPr>
                <w:rFonts w:eastAsiaTheme="minorHAnsi" w:cs="Calibri"/>
              </w:rPr>
            </w:pPr>
            <w:r w:rsidRPr="009B56DD">
              <w:rPr>
                <w:rFonts w:eastAsiaTheme="minorHAnsi" w:cs="Calibri"/>
              </w:rPr>
              <w:t xml:space="preserve">Area under the serum concentration-time curve from time zero to the last measured time point. </w:t>
            </w:r>
          </w:p>
        </w:tc>
      </w:tr>
      <w:tr w:rsidR="009B56DD" w:rsidRPr="009B56DD" w14:paraId="7F4AA4A4" w14:textId="77777777" w:rsidTr="009B56DD">
        <w:tc>
          <w:tcPr>
            <w:tcW w:w="1890" w:type="dxa"/>
          </w:tcPr>
          <w:p w14:paraId="7F4AA4A2" w14:textId="77777777" w:rsidR="009B56DD" w:rsidRPr="009B56DD" w:rsidRDefault="009B56DD" w:rsidP="00EA1DF3">
            <w:pPr>
              <w:rPr>
                <w:rFonts w:eastAsiaTheme="minorHAnsi" w:cs="Calibri"/>
              </w:rPr>
            </w:pPr>
            <w:r w:rsidRPr="009B56DD">
              <w:rPr>
                <w:rFonts w:eastAsiaTheme="minorHAnsi" w:cs="Calibri"/>
              </w:rPr>
              <w:t xml:space="preserve">AUC(0-last) </w:t>
            </w:r>
          </w:p>
        </w:tc>
        <w:tc>
          <w:tcPr>
            <w:tcW w:w="6830" w:type="dxa"/>
          </w:tcPr>
          <w:p w14:paraId="7F4AA4A3" w14:textId="77777777" w:rsidR="009B56DD" w:rsidRPr="009B56DD" w:rsidRDefault="009B56DD" w:rsidP="00EA1DF3">
            <w:pPr>
              <w:rPr>
                <w:rFonts w:eastAsiaTheme="minorHAnsi" w:cs="Calibri"/>
              </w:rPr>
            </w:pPr>
            <w:r w:rsidRPr="009B56DD">
              <w:rPr>
                <w:rFonts w:eastAsiaTheme="minorHAnsi" w:cs="Calibri"/>
              </w:rPr>
              <w:t xml:space="preserve">The area under the curve calculated from start of dose to the end of the dosing interval, tau. </w:t>
            </w:r>
          </w:p>
        </w:tc>
      </w:tr>
      <w:tr w:rsidR="009B56DD" w:rsidRPr="009B56DD" w14:paraId="7F4AA4A7" w14:textId="77777777" w:rsidTr="009B56DD">
        <w:tc>
          <w:tcPr>
            <w:tcW w:w="1890" w:type="dxa"/>
          </w:tcPr>
          <w:p w14:paraId="7F4AA4A5" w14:textId="77777777" w:rsidR="009B56DD" w:rsidRPr="009B56DD" w:rsidRDefault="009B2FD7" w:rsidP="00EA1DF3">
            <w:pPr>
              <w:rPr>
                <w:rFonts w:cs="Calibri"/>
              </w:rPr>
            </w:pPr>
            <w:r>
              <w:t>AUC</w:t>
            </w:r>
            <w:r w:rsidRPr="009B2FD7">
              <w:rPr>
                <w:vertAlign w:val="subscript"/>
              </w:rPr>
              <w:t>all</w:t>
            </w:r>
          </w:p>
        </w:tc>
        <w:tc>
          <w:tcPr>
            <w:tcW w:w="6830" w:type="dxa"/>
          </w:tcPr>
          <w:p w14:paraId="7F4AA4A6" w14:textId="6ABFEAE1" w:rsidR="009B56DD" w:rsidRPr="009B56DD" w:rsidRDefault="009B56DD" w:rsidP="00EA1DF3">
            <w:pPr>
              <w:rPr>
                <w:rFonts w:eastAsiaTheme="minorHAnsi" w:cs="Calibri"/>
              </w:rPr>
            </w:pPr>
            <w:r w:rsidRPr="009B56DD">
              <w:rPr>
                <w:rFonts w:eastAsiaTheme="minorHAnsi" w:cs="Calibri"/>
              </w:rPr>
              <w:t>The area under the curve from the time of dosing to the time of the last observation, regardless of whether the last concentration is measureable or not</w:t>
            </w:r>
          </w:p>
        </w:tc>
      </w:tr>
      <w:tr w:rsidR="009B56DD" w:rsidRPr="009B56DD" w14:paraId="7F4AA4AA" w14:textId="77777777" w:rsidTr="009B56DD">
        <w:tc>
          <w:tcPr>
            <w:tcW w:w="1890" w:type="dxa"/>
          </w:tcPr>
          <w:p w14:paraId="7F4AA4A8" w14:textId="77777777" w:rsidR="009B56DD" w:rsidRPr="009B56DD" w:rsidRDefault="009B56DD" w:rsidP="00EA1DF3">
            <w:pPr>
              <w:rPr>
                <w:rFonts w:eastAsiaTheme="minorEastAsia" w:cs="Calibri"/>
              </w:rPr>
            </w:pPr>
            <w:r w:rsidRPr="009B56DD">
              <w:rPr>
                <w:rFonts w:eastAsiaTheme="minorEastAsia" w:cs="Calibri"/>
              </w:rPr>
              <w:t xml:space="preserve">AUEC </w:t>
            </w:r>
          </w:p>
        </w:tc>
        <w:tc>
          <w:tcPr>
            <w:tcW w:w="6830" w:type="dxa"/>
          </w:tcPr>
          <w:p w14:paraId="7F4AA4A9" w14:textId="77777777" w:rsidR="009B56DD" w:rsidRPr="009B56DD" w:rsidRDefault="009B56DD" w:rsidP="00EA1DF3">
            <w:pPr>
              <w:rPr>
                <w:rFonts w:cs="Calibri"/>
              </w:rPr>
            </w:pPr>
            <w:r w:rsidRPr="009B56DD">
              <w:rPr>
                <w:rFonts w:eastAsiaTheme="minorEastAsia" w:cs="Calibri"/>
              </w:rPr>
              <w:t>A</w:t>
            </w:r>
            <w:r w:rsidR="00160D83">
              <w:rPr>
                <w:rFonts w:eastAsiaTheme="minorEastAsia" w:cs="Calibri"/>
              </w:rPr>
              <w:t>rea under the effect-time curve</w:t>
            </w:r>
          </w:p>
        </w:tc>
      </w:tr>
      <w:tr w:rsidR="009B56DD" w:rsidRPr="009B56DD" w14:paraId="7F4AA4AD" w14:textId="77777777" w:rsidTr="009B56DD">
        <w:tc>
          <w:tcPr>
            <w:tcW w:w="1890" w:type="dxa"/>
          </w:tcPr>
          <w:p w14:paraId="7F4AA4AB" w14:textId="77777777" w:rsidR="009B56DD" w:rsidRPr="009B56DD" w:rsidRDefault="009B56DD" w:rsidP="00EA1DF3">
            <w:pPr>
              <w:rPr>
                <w:rFonts w:cs="Calibri"/>
              </w:rPr>
            </w:pPr>
            <w:r w:rsidRPr="009B56DD">
              <w:rPr>
                <w:rFonts w:eastAsiaTheme="minorEastAsia" w:cs="Calibri"/>
                <w:color w:val="auto"/>
              </w:rPr>
              <w:t>AUEC</w:t>
            </w:r>
            <w:r w:rsidRPr="00160D83">
              <w:rPr>
                <w:rFonts w:eastAsiaTheme="minorEastAsia" w:cs="Calibri"/>
                <w:color w:val="auto"/>
                <w:vertAlign w:val="subscript"/>
              </w:rPr>
              <w:t>(0-t)</w:t>
            </w:r>
          </w:p>
        </w:tc>
        <w:tc>
          <w:tcPr>
            <w:tcW w:w="6830" w:type="dxa"/>
          </w:tcPr>
          <w:p w14:paraId="7F4AA4AC" w14:textId="77777777" w:rsidR="009B56DD" w:rsidRPr="009B56DD" w:rsidRDefault="009B56DD" w:rsidP="00EA1DF3">
            <w:pPr>
              <w:rPr>
                <w:rFonts w:cs="Calibri"/>
              </w:rPr>
            </w:pPr>
            <w:r w:rsidRPr="009B56DD">
              <w:rPr>
                <w:rFonts w:eastAsiaTheme="minorEastAsia" w:cs="Calibri"/>
                <w:color w:val="auto"/>
              </w:rPr>
              <w:t>The area under the effect-time curve from time zero to time</w:t>
            </w:r>
            <w:r w:rsidR="00160D83">
              <w:rPr>
                <w:rFonts w:eastAsiaTheme="minorEastAsia" w:cs="Calibri"/>
                <w:color w:val="auto"/>
              </w:rPr>
              <w:t xml:space="preserve"> </w:t>
            </w:r>
            <w:r w:rsidRPr="009B56DD">
              <w:rPr>
                <w:rFonts w:eastAsiaTheme="minorEastAsia" w:cs="Calibri"/>
                <w:color w:val="auto"/>
              </w:rPr>
              <w:t>‘t’</w:t>
            </w:r>
          </w:p>
        </w:tc>
      </w:tr>
      <w:tr w:rsidR="009B56DD" w:rsidRPr="009B56DD" w14:paraId="7F4AA4B0" w14:textId="77777777" w:rsidTr="009B56DD">
        <w:tc>
          <w:tcPr>
            <w:tcW w:w="1890" w:type="dxa"/>
          </w:tcPr>
          <w:p w14:paraId="7F4AA4AE" w14:textId="77777777" w:rsidR="009B56DD" w:rsidRPr="009B56DD" w:rsidRDefault="009B56DD" w:rsidP="00EA1DF3">
            <w:pPr>
              <w:rPr>
                <w:rFonts w:eastAsiaTheme="minorHAnsi" w:cs="Calibri"/>
              </w:rPr>
            </w:pPr>
            <w:r w:rsidRPr="009B56DD">
              <w:rPr>
                <w:rFonts w:eastAsiaTheme="minorHAnsi" w:cs="Calibri"/>
              </w:rPr>
              <w:t xml:space="preserve">BOR </w:t>
            </w:r>
          </w:p>
        </w:tc>
        <w:tc>
          <w:tcPr>
            <w:tcW w:w="6830" w:type="dxa"/>
          </w:tcPr>
          <w:p w14:paraId="7F4AA4AF" w14:textId="77777777" w:rsidR="009B56DD" w:rsidRPr="009B56DD" w:rsidRDefault="009B56DD" w:rsidP="00EA1DF3">
            <w:pPr>
              <w:rPr>
                <w:rFonts w:cs="Calibri"/>
              </w:rPr>
            </w:pPr>
            <w:r w:rsidRPr="009B56DD">
              <w:rPr>
                <w:rFonts w:eastAsiaTheme="minorHAnsi" w:cs="Calibri"/>
              </w:rPr>
              <w:t>Best overall response</w:t>
            </w:r>
          </w:p>
        </w:tc>
      </w:tr>
      <w:tr w:rsidR="009B56DD" w:rsidRPr="009B56DD" w14:paraId="7F4AA4B3" w14:textId="77777777" w:rsidTr="009B56DD">
        <w:tc>
          <w:tcPr>
            <w:tcW w:w="1890" w:type="dxa"/>
          </w:tcPr>
          <w:p w14:paraId="7F4AA4B1" w14:textId="77777777" w:rsidR="009B56DD" w:rsidRPr="009B56DD" w:rsidRDefault="009B56DD" w:rsidP="00EA1DF3">
            <w:pPr>
              <w:rPr>
                <w:rFonts w:cs="Calibri"/>
              </w:rPr>
            </w:pPr>
            <w:r w:rsidRPr="009B56DD">
              <w:rPr>
                <w:rFonts w:eastAsiaTheme="minorHAnsi" w:cs="Calibri"/>
              </w:rPr>
              <w:t>BSA</w:t>
            </w:r>
          </w:p>
        </w:tc>
        <w:tc>
          <w:tcPr>
            <w:tcW w:w="6830" w:type="dxa"/>
          </w:tcPr>
          <w:p w14:paraId="7F4AA4B2" w14:textId="77777777" w:rsidR="009B56DD" w:rsidRPr="009B56DD" w:rsidRDefault="009B56DD" w:rsidP="00EA1DF3">
            <w:pPr>
              <w:rPr>
                <w:rFonts w:cs="Calibri"/>
              </w:rPr>
            </w:pPr>
            <w:r w:rsidRPr="009B56DD">
              <w:rPr>
                <w:rFonts w:eastAsiaTheme="minorHAnsi" w:cs="Calibri"/>
              </w:rPr>
              <w:t>Body surface area</w:t>
            </w:r>
          </w:p>
        </w:tc>
      </w:tr>
      <w:tr w:rsidR="009B56DD" w:rsidRPr="009B56DD" w14:paraId="7F4AA4B6" w14:textId="77777777" w:rsidTr="009B56DD">
        <w:tc>
          <w:tcPr>
            <w:tcW w:w="1890" w:type="dxa"/>
          </w:tcPr>
          <w:p w14:paraId="7F4AA4B4" w14:textId="77777777" w:rsidR="009B56DD" w:rsidRPr="009B56DD" w:rsidRDefault="009B56DD" w:rsidP="00EA1DF3">
            <w:pPr>
              <w:rPr>
                <w:rFonts w:eastAsiaTheme="minorHAnsi" w:cs="Calibri"/>
              </w:rPr>
            </w:pPr>
            <w:r w:rsidRPr="009B56DD">
              <w:rPr>
                <w:rFonts w:eastAsiaTheme="minorHAnsi" w:cs="Calibri"/>
              </w:rPr>
              <w:t xml:space="preserve">CDAI </w:t>
            </w:r>
          </w:p>
        </w:tc>
        <w:tc>
          <w:tcPr>
            <w:tcW w:w="6830" w:type="dxa"/>
          </w:tcPr>
          <w:p w14:paraId="7F4AA4B5" w14:textId="77777777" w:rsidR="009B56DD" w:rsidRPr="009B56DD" w:rsidRDefault="009B56DD" w:rsidP="00EA1DF3">
            <w:pPr>
              <w:rPr>
                <w:rFonts w:cs="Calibri"/>
              </w:rPr>
            </w:pPr>
            <w:r w:rsidRPr="009B56DD">
              <w:rPr>
                <w:rFonts w:eastAsiaTheme="minorHAnsi" w:cs="Calibri"/>
              </w:rPr>
              <w:t xml:space="preserve">Clinical Disease Activity Index </w:t>
            </w:r>
          </w:p>
        </w:tc>
      </w:tr>
      <w:tr w:rsidR="009B56DD" w:rsidRPr="009B56DD" w14:paraId="7F4AA4B9" w14:textId="77777777" w:rsidTr="009B56DD">
        <w:tc>
          <w:tcPr>
            <w:tcW w:w="1890" w:type="dxa"/>
          </w:tcPr>
          <w:p w14:paraId="7F4AA4B7" w14:textId="77777777" w:rsidR="009B56DD" w:rsidRPr="009B56DD" w:rsidRDefault="002252CD" w:rsidP="00EA1DF3">
            <w:pPr>
              <w:rPr>
                <w:rFonts w:cs="Calibri"/>
              </w:rPr>
            </w:pPr>
            <w:r>
              <w:rPr>
                <w:rFonts w:eastAsiaTheme="minorHAnsi" w:cs="Calibri"/>
              </w:rPr>
              <w:t xml:space="preserve"> </w:t>
            </w:r>
            <w:r w:rsidR="009B56DD" w:rsidRPr="009B56DD">
              <w:rPr>
                <w:rFonts w:eastAsiaTheme="minorHAnsi" w:cs="Calibri"/>
              </w:rPr>
              <w:t>CDC</w:t>
            </w:r>
          </w:p>
        </w:tc>
        <w:tc>
          <w:tcPr>
            <w:tcW w:w="6830" w:type="dxa"/>
          </w:tcPr>
          <w:p w14:paraId="7F4AA4B8" w14:textId="77777777" w:rsidR="009B56DD" w:rsidRPr="009B56DD" w:rsidRDefault="009B56DD" w:rsidP="00EA1DF3">
            <w:pPr>
              <w:rPr>
                <w:rFonts w:cs="Calibri"/>
              </w:rPr>
            </w:pPr>
            <w:r w:rsidRPr="009B56DD">
              <w:rPr>
                <w:rFonts w:eastAsiaTheme="minorHAnsi" w:cs="Calibri"/>
              </w:rPr>
              <w:t xml:space="preserve">Complement-dependent cytotoxicity </w:t>
            </w:r>
          </w:p>
        </w:tc>
      </w:tr>
      <w:tr w:rsidR="009B56DD" w:rsidRPr="009B56DD" w14:paraId="7F4AA4BC" w14:textId="77777777" w:rsidTr="009B56DD">
        <w:tc>
          <w:tcPr>
            <w:tcW w:w="1890" w:type="dxa"/>
          </w:tcPr>
          <w:p w14:paraId="7F4AA4BA" w14:textId="77777777" w:rsidR="009B56DD" w:rsidRPr="009B56DD" w:rsidRDefault="009B56DD" w:rsidP="00EA1DF3">
            <w:pPr>
              <w:rPr>
                <w:rFonts w:eastAsiaTheme="minorEastAsia" w:cs="Calibri"/>
              </w:rPr>
            </w:pPr>
            <w:r w:rsidRPr="009B56DD">
              <w:rPr>
                <w:rFonts w:eastAsiaTheme="minorEastAsia" w:cs="Calibri"/>
              </w:rPr>
              <w:t>CER</w:t>
            </w:r>
          </w:p>
        </w:tc>
        <w:tc>
          <w:tcPr>
            <w:tcW w:w="6830" w:type="dxa"/>
          </w:tcPr>
          <w:p w14:paraId="7F4AA4BB" w14:textId="77777777" w:rsidR="009B56DD" w:rsidRPr="009B56DD" w:rsidRDefault="009B56DD" w:rsidP="00EA1DF3">
            <w:pPr>
              <w:rPr>
                <w:rFonts w:eastAsiaTheme="minorEastAsia" w:cs="Calibri"/>
              </w:rPr>
            </w:pPr>
            <w:r w:rsidRPr="009B56DD">
              <w:rPr>
                <w:rFonts w:eastAsiaTheme="minorEastAsia" w:cs="Calibri"/>
              </w:rPr>
              <w:t xml:space="preserve">Clinical evaluation report </w:t>
            </w:r>
          </w:p>
        </w:tc>
      </w:tr>
      <w:tr w:rsidR="009B56DD" w:rsidRPr="009B56DD" w14:paraId="7F4AA4BF" w14:textId="77777777" w:rsidTr="009B56DD">
        <w:tc>
          <w:tcPr>
            <w:tcW w:w="1890" w:type="dxa"/>
          </w:tcPr>
          <w:p w14:paraId="7F4AA4BD" w14:textId="77777777" w:rsidR="009B56DD" w:rsidRPr="009B56DD" w:rsidRDefault="009B56DD" w:rsidP="00EA1DF3">
            <w:pPr>
              <w:rPr>
                <w:rFonts w:eastAsiaTheme="minorEastAsia" w:cs="Calibri"/>
              </w:rPr>
            </w:pPr>
            <w:r w:rsidRPr="009B56DD">
              <w:rPr>
                <w:rFonts w:eastAsiaTheme="minorEastAsia" w:cs="Calibri"/>
              </w:rPr>
              <w:t xml:space="preserve">CHMP </w:t>
            </w:r>
          </w:p>
        </w:tc>
        <w:tc>
          <w:tcPr>
            <w:tcW w:w="6830" w:type="dxa"/>
          </w:tcPr>
          <w:p w14:paraId="7F4AA4BE" w14:textId="77777777" w:rsidR="009B56DD" w:rsidRPr="009B56DD" w:rsidRDefault="009B56DD" w:rsidP="00EA1DF3">
            <w:pPr>
              <w:rPr>
                <w:rFonts w:eastAsiaTheme="minorHAnsi" w:cs="Calibri"/>
              </w:rPr>
            </w:pPr>
            <w:r w:rsidRPr="009B56DD">
              <w:rPr>
                <w:rFonts w:eastAsiaTheme="minorEastAsia" w:cs="Calibri"/>
              </w:rPr>
              <w:t xml:space="preserve">Committee for Medicinal Products for Human Use </w:t>
            </w:r>
          </w:p>
        </w:tc>
      </w:tr>
      <w:tr w:rsidR="009B56DD" w:rsidRPr="009B56DD" w14:paraId="7F4AA4C2" w14:textId="77777777" w:rsidTr="009B56DD">
        <w:tc>
          <w:tcPr>
            <w:tcW w:w="1890" w:type="dxa"/>
          </w:tcPr>
          <w:p w14:paraId="7F4AA4C0" w14:textId="77777777" w:rsidR="009B56DD" w:rsidRPr="009B56DD" w:rsidRDefault="009B56DD" w:rsidP="00EA1DF3">
            <w:pPr>
              <w:rPr>
                <w:rFonts w:eastAsiaTheme="minorHAnsi" w:cs="Calibri"/>
              </w:rPr>
            </w:pPr>
            <w:r w:rsidRPr="009B56DD">
              <w:rPr>
                <w:rFonts w:eastAsiaTheme="minorEastAsia" w:cs="Calibri"/>
                <w:color w:val="auto"/>
              </w:rPr>
              <w:t>CHOP</w:t>
            </w:r>
          </w:p>
        </w:tc>
        <w:tc>
          <w:tcPr>
            <w:tcW w:w="6830" w:type="dxa"/>
          </w:tcPr>
          <w:p w14:paraId="7F4AA4C1" w14:textId="77777777" w:rsidR="009B56DD" w:rsidRPr="009B56DD" w:rsidRDefault="009B56DD" w:rsidP="00EA1DF3">
            <w:pPr>
              <w:rPr>
                <w:rFonts w:eastAsiaTheme="minorHAnsi" w:cs="Calibri"/>
              </w:rPr>
            </w:pPr>
            <w:r w:rsidRPr="009B56DD">
              <w:rPr>
                <w:rFonts w:eastAsiaTheme="minorEastAsia" w:cs="Calibri"/>
                <w:color w:val="auto"/>
              </w:rPr>
              <w:t xml:space="preserve">Cyclophosphamide, hydroxydaunorubicin, oncovin [vincristine] and prednisone </w:t>
            </w:r>
          </w:p>
        </w:tc>
      </w:tr>
      <w:tr w:rsidR="009B56DD" w:rsidRPr="009B56DD" w14:paraId="7F4AA4C5" w14:textId="77777777" w:rsidTr="009B56DD">
        <w:tc>
          <w:tcPr>
            <w:tcW w:w="1890" w:type="dxa"/>
          </w:tcPr>
          <w:p w14:paraId="7F4AA4C3" w14:textId="77777777" w:rsidR="009B56DD" w:rsidRPr="009B56DD" w:rsidRDefault="009B56DD" w:rsidP="00EA1DF3">
            <w:pPr>
              <w:rPr>
                <w:rFonts w:eastAsiaTheme="minorHAnsi" w:cs="Calibri"/>
              </w:rPr>
            </w:pPr>
            <w:r w:rsidRPr="009B56DD">
              <w:rPr>
                <w:rFonts w:eastAsiaTheme="minorHAnsi" w:cs="Calibri"/>
              </w:rPr>
              <w:t xml:space="preserve">CI </w:t>
            </w:r>
          </w:p>
        </w:tc>
        <w:tc>
          <w:tcPr>
            <w:tcW w:w="6830" w:type="dxa"/>
          </w:tcPr>
          <w:p w14:paraId="7F4AA4C4" w14:textId="77777777" w:rsidR="009B56DD" w:rsidRPr="009B56DD" w:rsidRDefault="009B56DD" w:rsidP="00EA1DF3">
            <w:pPr>
              <w:rPr>
                <w:rFonts w:eastAsiaTheme="minorHAnsi" w:cs="Calibri"/>
              </w:rPr>
            </w:pPr>
            <w:r w:rsidRPr="009B56DD">
              <w:rPr>
                <w:rFonts w:eastAsiaTheme="minorHAnsi" w:cs="Calibri"/>
              </w:rPr>
              <w:t>Confidence interval(s)</w:t>
            </w:r>
          </w:p>
        </w:tc>
      </w:tr>
      <w:tr w:rsidR="009B56DD" w:rsidRPr="009B56DD" w14:paraId="7F4AA4C8" w14:textId="77777777" w:rsidTr="009B56DD">
        <w:tc>
          <w:tcPr>
            <w:tcW w:w="1890" w:type="dxa"/>
          </w:tcPr>
          <w:p w14:paraId="7F4AA4C6" w14:textId="77777777" w:rsidR="009B56DD" w:rsidRPr="009B56DD" w:rsidRDefault="009B56DD" w:rsidP="00EA1DF3">
            <w:pPr>
              <w:rPr>
                <w:rFonts w:eastAsiaTheme="minorHAnsi" w:cs="Calibri"/>
              </w:rPr>
            </w:pPr>
            <w:r w:rsidRPr="009B56DD">
              <w:rPr>
                <w:rFonts w:eastAsiaTheme="minorHAnsi" w:cs="Calibri"/>
              </w:rPr>
              <w:t>CLL</w:t>
            </w:r>
          </w:p>
        </w:tc>
        <w:tc>
          <w:tcPr>
            <w:tcW w:w="6830" w:type="dxa"/>
          </w:tcPr>
          <w:p w14:paraId="7F4AA4C7" w14:textId="77777777" w:rsidR="009B56DD" w:rsidRPr="009B56DD" w:rsidRDefault="009B56DD" w:rsidP="00EA1DF3">
            <w:pPr>
              <w:rPr>
                <w:rFonts w:eastAsiaTheme="minorHAnsi" w:cs="Calibri"/>
              </w:rPr>
            </w:pPr>
            <w:r w:rsidRPr="009B56DD">
              <w:rPr>
                <w:rFonts w:eastAsiaTheme="minorHAnsi" w:cs="Calibri"/>
              </w:rPr>
              <w:t>Chronic lymphocytic leukemia</w:t>
            </w:r>
          </w:p>
        </w:tc>
      </w:tr>
      <w:tr w:rsidR="009B56DD" w:rsidRPr="009B56DD" w14:paraId="7F4AA4CB" w14:textId="77777777" w:rsidTr="009B56DD">
        <w:tc>
          <w:tcPr>
            <w:tcW w:w="1890" w:type="dxa"/>
          </w:tcPr>
          <w:p w14:paraId="7F4AA4C9" w14:textId="77777777" w:rsidR="009B56DD" w:rsidRPr="009B56DD" w:rsidRDefault="005B7B55" w:rsidP="00EA1DF3">
            <w:pPr>
              <w:rPr>
                <w:rFonts w:eastAsiaTheme="minorHAnsi" w:cs="Calibri"/>
              </w:rPr>
            </w:pPr>
            <w:r>
              <w:t>C</w:t>
            </w:r>
            <w:r w:rsidRPr="005B7B55">
              <w:rPr>
                <w:vertAlign w:val="subscript"/>
              </w:rPr>
              <w:t>max</w:t>
            </w:r>
            <w:r w:rsidR="009B56DD" w:rsidRPr="009B56DD">
              <w:rPr>
                <w:rFonts w:eastAsiaTheme="minorHAnsi" w:cs="Calibri"/>
              </w:rPr>
              <w:t xml:space="preserve"> </w:t>
            </w:r>
          </w:p>
        </w:tc>
        <w:tc>
          <w:tcPr>
            <w:tcW w:w="6830" w:type="dxa"/>
          </w:tcPr>
          <w:p w14:paraId="7F4AA4CA" w14:textId="77777777" w:rsidR="009B56DD" w:rsidRPr="009B56DD" w:rsidRDefault="009B56DD" w:rsidP="00EA1DF3">
            <w:pPr>
              <w:rPr>
                <w:rFonts w:eastAsiaTheme="minorHAnsi" w:cs="Calibri"/>
              </w:rPr>
            </w:pPr>
            <w:r w:rsidRPr="009B56DD">
              <w:rPr>
                <w:rFonts w:eastAsiaTheme="minorHAnsi" w:cs="Calibri"/>
              </w:rPr>
              <w:t>The maximum (peak) observed serum concentration of rituximab</w:t>
            </w:r>
          </w:p>
        </w:tc>
      </w:tr>
      <w:tr w:rsidR="009B56DD" w:rsidRPr="009B56DD" w14:paraId="7F4AA4CE" w14:textId="77777777" w:rsidTr="009B56DD">
        <w:tc>
          <w:tcPr>
            <w:tcW w:w="1890" w:type="dxa"/>
          </w:tcPr>
          <w:p w14:paraId="7F4AA4CC" w14:textId="77777777" w:rsidR="009B56DD" w:rsidRPr="009B56DD" w:rsidRDefault="009B56DD" w:rsidP="00EA1DF3">
            <w:pPr>
              <w:rPr>
                <w:rFonts w:eastAsiaTheme="minorHAnsi" w:cs="Calibri"/>
              </w:rPr>
            </w:pPr>
            <w:r w:rsidRPr="009B56DD">
              <w:rPr>
                <w:rFonts w:eastAsiaTheme="minorHAnsi" w:cs="Calibri"/>
              </w:rPr>
              <w:lastRenderedPageBreak/>
              <w:t>Cmin</w:t>
            </w:r>
          </w:p>
        </w:tc>
        <w:tc>
          <w:tcPr>
            <w:tcW w:w="6830" w:type="dxa"/>
          </w:tcPr>
          <w:p w14:paraId="7F4AA4CD" w14:textId="77777777" w:rsidR="009B56DD" w:rsidRPr="009B56DD" w:rsidRDefault="009B56DD" w:rsidP="00EA1DF3">
            <w:pPr>
              <w:rPr>
                <w:rFonts w:eastAsiaTheme="minorHAnsi" w:cs="Calibri"/>
              </w:rPr>
            </w:pPr>
            <w:r w:rsidRPr="009B56DD">
              <w:rPr>
                <w:rFonts w:eastAsiaTheme="minorHAnsi" w:cs="Calibri"/>
              </w:rPr>
              <w:t>Minimum observed concentration</w:t>
            </w:r>
          </w:p>
        </w:tc>
      </w:tr>
      <w:tr w:rsidR="009B56DD" w:rsidRPr="009B56DD" w14:paraId="7F4AA4D1" w14:textId="77777777" w:rsidTr="009B56DD">
        <w:tc>
          <w:tcPr>
            <w:tcW w:w="1890" w:type="dxa"/>
          </w:tcPr>
          <w:p w14:paraId="7F4AA4CF" w14:textId="77777777" w:rsidR="009B56DD" w:rsidRPr="009B56DD" w:rsidRDefault="009B56DD" w:rsidP="00EA1DF3">
            <w:pPr>
              <w:rPr>
                <w:rFonts w:eastAsiaTheme="minorHAnsi" w:cs="Calibri"/>
              </w:rPr>
            </w:pPr>
            <w:r w:rsidRPr="009B56DD">
              <w:rPr>
                <w:rFonts w:eastAsiaTheme="minorHAnsi" w:cs="Calibri"/>
              </w:rPr>
              <w:t>CMI</w:t>
            </w:r>
          </w:p>
        </w:tc>
        <w:tc>
          <w:tcPr>
            <w:tcW w:w="6830" w:type="dxa"/>
          </w:tcPr>
          <w:p w14:paraId="7F4AA4D0" w14:textId="77777777" w:rsidR="009B56DD" w:rsidRPr="009B56DD" w:rsidRDefault="009B56DD" w:rsidP="00EA1DF3">
            <w:pPr>
              <w:rPr>
                <w:rFonts w:eastAsiaTheme="minorHAnsi" w:cs="Calibri"/>
              </w:rPr>
            </w:pPr>
            <w:r w:rsidRPr="009B56DD">
              <w:rPr>
                <w:rFonts w:eastAsiaTheme="minorHAnsi" w:cs="Calibri"/>
              </w:rPr>
              <w:t xml:space="preserve">Consumer medicine information </w:t>
            </w:r>
          </w:p>
        </w:tc>
      </w:tr>
      <w:tr w:rsidR="009B56DD" w:rsidRPr="009B56DD" w14:paraId="7F4AA4D4" w14:textId="77777777" w:rsidTr="009B56DD">
        <w:tc>
          <w:tcPr>
            <w:tcW w:w="1890" w:type="dxa"/>
          </w:tcPr>
          <w:p w14:paraId="7F4AA4D2" w14:textId="77777777" w:rsidR="009B56DD" w:rsidRPr="009B56DD" w:rsidRDefault="009B56DD" w:rsidP="00EA1DF3">
            <w:pPr>
              <w:rPr>
                <w:rFonts w:eastAsiaTheme="minorHAnsi" w:cs="Calibri"/>
              </w:rPr>
            </w:pPr>
            <w:r w:rsidRPr="009B56DD">
              <w:rPr>
                <w:rFonts w:eastAsiaTheme="minorHAnsi" w:cs="Calibri"/>
              </w:rPr>
              <w:t xml:space="preserve">CR </w:t>
            </w:r>
          </w:p>
        </w:tc>
        <w:tc>
          <w:tcPr>
            <w:tcW w:w="6830" w:type="dxa"/>
          </w:tcPr>
          <w:p w14:paraId="7F4AA4D3" w14:textId="77777777" w:rsidR="009B56DD" w:rsidRPr="009B56DD" w:rsidRDefault="009B56DD" w:rsidP="00EA1DF3">
            <w:pPr>
              <w:rPr>
                <w:rFonts w:eastAsiaTheme="minorHAnsi" w:cs="Calibri"/>
              </w:rPr>
            </w:pPr>
            <w:r w:rsidRPr="009B56DD">
              <w:rPr>
                <w:rFonts w:eastAsiaTheme="minorHAnsi" w:cs="Calibri"/>
              </w:rPr>
              <w:t>Complete response</w:t>
            </w:r>
          </w:p>
        </w:tc>
      </w:tr>
      <w:tr w:rsidR="009B56DD" w:rsidRPr="009B56DD" w14:paraId="7F4AA4D7" w14:textId="77777777" w:rsidTr="009B56DD">
        <w:tc>
          <w:tcPr>
            <w:tcW w:w="1890" w:type="dxa"/>
          </w:tcPr>
          <w:p w14:paraId="7F4AA4D5" w14:textId="77777777" w:rsidR="009B56DD" w:rsidRPr="009B56DD" w:rsidRDefault="009B56DD" w:rsidP="00EA1DF3">
            <w:pPr>
              <w:rPr>
                <w:rFonts w:eastAsiaTheme="minorHAnsi" w:cs="Calibri"/>
              </w:rPr>
            </w:pPr>
            <w:r w:rsidRPr="009B56DD">
              <w:rPr>
                <w:rFonts w:eastAsiaTheme="minorHAnsi" w:cs="Calibri"/>
              </w:rPr>
              <w:t>CRP</w:t>
            </w:r>
          </w:p>
        </w:tc>
        <w:tc>
          <w:tcPr>
            <w:tcW w:w="6830" w:type="dxa"/>
          </w:tcPr>
          <w:p w14:paraId="7F4AA4D6" w14:textId="77777777" w:rsidR="009B56DD" w:rsidRPr="009B56DD" w:rsidRDefault="009B56DD" w:rsidP="00EA1DF3">
            <w:pPr>
              <w:rPr>
                <w:rFonts w:eastAsiaTheme="minorHAnsi" w:cs="Calibri"/>
              </w:rPr>
            </w:pPr>
            <w:r w:rsidRPr="009B56DD">
              <w:rPr>
                <w:rFonts w:eastAsiaTheme="minorHAnsi" w:cs="Calibri"/>
              </w:rPr>
              <w:t>C-reactive protein</w:t>
            </w:r>
          </w:p>
        </w:tc>
      </w:tr>
      <w:tr w:rsidR="009B56DD" w:rsidRPr="009B56DD" w14:paraId="7F4AA4DA" w14:textId="77777777" w:rsidTr="009B56DD">
        <w:tc>
          <w:tcPr>
            <w:tcW w:w="1890" w:type="dxa"/>
          </w:tcPr>
          <w:p w14:paraId="7F4AA4D8" w14:textId="77777777" w:rsidR="009B56DD" w:rsidRPr="009B56DD" w:rsidRDefault="009B56DD" w:rsidP="00EA1DF3">
            <w:pPr>
              <w:rPr>
                <w:rFonts w:eastAsiaTheme="minorHAnsi" w:cs="Calibri"/>
              </w:rPr>
            </w:pPr>
            <w:r w:rsidRPr="009B56DD">
              <w:rPr>
                <w:rFonts w:eastAsiaTheme="minorHAnsi" w:cs="Calibri"/>
              </w:rPr>
              <w:t xml:space="preserve">CTCAE </w:t>
            </w:r>
          </w:p>
        </w:tc>
        <w:tc>
          <w:tcPr>
            <w:tcW w:w="6830" w:type="dxa"/>
          </w:tcPr>
          <w:p w14:paraId="7F4AA4D9" w14:textId="77777777" w:rsidR="009B56DD" w:rsidRPr="009B56DD" w:rsidRDefault="009B56DD" w:rsidP="00EA1DF3">
            <w:pPr>
              <w:rPr>
                <w:rFonts w:eastAsiaTheme="minorHAnsi" w:cs="Calibri"/>
              </w:rPr>
            </w:pPr>
            <w:r w:rsidRPr="009B56DD">
              <w:rPr>
                <w:rFonts w:eastAsiaTheme="minorHAnsi" w:cs="Calibri"/>
              </w:rPr>
              <w:t>Common Terminology Criteria for Adverse Events</w:t>
            </w:r>
          </w:p>
        </w:tc>
      </w:tr>
      <w:tr w:rsidR="009B56DD" w:rsidRPr="009B56DD" w14:paraId="7F4AA4DD" w14:textId="77777777" w:rsidTr="009B56DD">
        <w:tc>
          <w:tcPr>
            <w:tcW w:w="1890" w:type="dxa"/>
          </w:tcPr>
          <w:p w14:paraId="7F4AA4DB" w14:textId="77777777" w:rsidR="009B56DD" w:rsidRPr="009B56DD" w:rsidRDefault="009B2FD7" w:rsidP="00EA1DF3">
            <w:pPr>
              <w:rPr>
                <w:rFonts w:eastAsiaTheme="minorHAnsi" w:cs="Calibri"/>
              </w:rPr>
            </w:pPr>
            <w:r>
              <w:t>C</w:t>
            </w:r>
            <w:r w:rsidRPr="009B2FD7">
              <w:rPr>
                <w:vertAlign w:val="subscript"/>
              </w:rPr>
              <w:t>trough</w:t>
            </w:r>
            <w:r w:rsidR="009B56DD" w:rsidRPr="009B56DD">
              <w:rPr>
                <w:rFonts w:eastAsiaTheme="minorHAnsi" w:cs="Calibri"/>
              </w:rPr>
              <w:t xml:space="preserve"> </w:t>
            </w:r>
          </w:p>
        </w:tc>
        <w:tc>
          <w:tcPr>
            <w:tcW w:w="6830" w:type="dxa"/>
          </w:tcPr>
          <w:p w14:paraId="7F4AA4DC" w14:textId="77777777" w:rsidR="009B56DD" w:rsidRPr="009B56DD" w:rsidRDefault="009B56DD" w:rsidP="00EA1DF3">
            <w:pPr>
              <w:rPr>
                <w:rFonts w:eastAsiaTheme="minorHAnsi" w:cs="Calibri"/>
              </w:rPr>
            </w:pPr>
            <w:r w:rsidRPr="009B56DD">
              <w:rPr>
                <w:rFonts w:eastAsiaTheme="minorHAnsi" w:cs="Calibri"/>
              </w:rPr>
              <w:t xml:space="preserve">The minimum observed serum drug concentration which is measured right before the next infusion dose administration. </w:t>
            </w:r>
          </w:p>
        </w:tc>
      </w:tr>
      <w:tr w:rsidR="009B56DD" w:rsidRPr="009B56DD" w14:paraId="7F4AA4E0" w14:textId="77777777" w:rsidTr="009B56DD">
        <w:tc>
          <w:tcPr>
            <w:tcW w:w="1890" w:type="dxa"/>
          </w:tcPr>
          <w:p w14:paraId="7F4AA4DE" w14:textId="77777777" w:rsidR="009B56DD" w:rsidRPr="009B56DD" w:rsidRDefault="009B56DD" w:rsidP="00EA1DF3">
            <w:pPr>
              <w:rPr>
                <w:rFonts w:eastAsiaTheme="minorHAnsi" w:cs="Calibri"/>
              </w:rPr>
            </w:pPr>
            <w:r w:rsidRPr="009B56DD">
              <w:rPr>
                <w:rFonts w:eastAsiaTheme="minorHAnsi" w:cs="Calibri"/>
              </w:rPr>
              <w:t xml:space="preserve">CVP </w:t>
            </w:r>
          </w:p>
        </w:tc>
        <w:tc>
          <w:tcPr>
            <w:tcW w:w="6830" w:type="dxa"/>
          </w:tcPr>
          <w:p w14:paraId="7F4AA4DF" w14:textId="77777777" w:rsidR="009B56DD" w:rsidRPr="009B56DD" w:rsidRDefault="009B56DD" w:rsidP="00EA1DF3">
            <w:pPr>
              <w:rPr>
                <w:rFonts w:eastAsiaTheme="minorHAnsi" w:cs="Calibri"/>
              </w:rPr>
            </w:pPr>
            <w:r w:rsidRPr="009B56DD">
              <w:rPr>
                <w:rFonts w:eastAsiaTheme="minorHAnsi" w:cs="Calibri"/>
              </w:rPr>
              <w:t>Cyclophosphamide, vincristine, prednisone</w:t>
            </w:r>
          </w:p>
        </w:tc>
      </w:tr>
      <w:tr w:rsidR="009B56DD" w:rsidRPr="009B56DD" w14:paraId="7F4AA4E3" w14:textId="77777777" w:rsidTr="009B56DD">
        <w:tc>
          <w:tcPr>
            <w:tcW w:w="1890" w:type="dxa"/>
          </w:tcPr>
          <w:p w14:paraId="7F4AA4E1" w14:textId="77777777" w:rsidR="009B56DD" w:rsidRPr="009B56DD" w:rsidRDefault="009B56DD" w:rsidP="00EA1DF3">
            <w:pPr>
              <w:rPr>
                <w:rFonts w:eastAsiaTheme="minorHAnsi" w:cs="Calibri"/>
              </w:rPr>
            </w:pPr>
            <w:r w:rsidRPr="009B56DD">
              <w:rPr>
                <w:rFonts w:eastAsiaTheme="minorHAnsi" w:cs="Calibri"/>
              </w:rPr>
              <w:t>DAS</w:t>
            </w:r>
          </w:p>
        </w:tc>
        <w:tc>
          <w:tcPr>
            <w:tcW w:w="6830" w:type="dxa"/>
          </w:tcPr>
          <w:p w14:paraId="7F4AA4E2" w14:textId="77777777" w:rsidR="009B56DD" w:rsidRPr="009B56DD" w:rsidRDefault="009B56DD" w:rsidP="00EA1DF3">
            <w:pPr>
              <w:rPr>
                <w:rFonts w:eastAsiaTheme="minorHAnsi" w:cs="Calibri"/>
              </w:rPr>
            </w:pPr>
            <w:r w:rsidRPr="009B56DD">
              <w:rPr>
                <w:rFonts w:eastAsiaTheme="minorHAnsi" w:cs="Calibri"/>
              </w:rPr>
              <w:t>Disease Activity Score</w:t>
            </w:r>
          </w:p>
        </w:tc>
      </w:tr>
      <w:tr w:rsidR="009B56DD" w:rsidRPr="009B56DD" w14:paraId="7F4AA4E6" w14:textId="77777777" w:rsidTr="009B56DD">
        <w:tc>
          <w:tcPr>
            <w:tcW w:w="1890" w:type="dxa"/>
          </w:tcPr>
          <w:p w14:paraId="7F4AA4E4" w14:textId="77777777" w:rsidR="009B56DD" w:rsidRPr="009B56DD" w:rsidRDefault="009B56DD" w:rsidP="00EA1DF3">
            <w:pPr>
              <w:rPr>
                <w:rFonts w:eastAsiaTheme="minorHAnsi" w:cs="Calibri"/>
              </w:rPr>
            </w:pPr>
            <w:r w:rsidRPr="009B56DD">
              <w:rPr>
                <w:rFonts w:eastAsiaTheme="minorHAnsi" w:cs="Calibri"/>
              </w:rPr>
              <w:t>DLBCL</w:t>
            </w:r>
          </w:p>
        </w:tc>
        <w:tc>
          <w:tcPr>
            <w:tcW w:w="6830" w:type="dxa"/>
          </w:tcPr>
          <w:p w14:paraId="7F4AA4E5" w14:textId="77777777" w:rsidR="009B56DD" w:rsidRPr="009B56DD" w:rsidRDefault="009B56DD" w:rsidP="00EA1DF3">
            <w:pPr>
              <w:rPr>
                <w:rFonts w:eastAsiaTheme="minorHAnsi" w:cs="Calibri"/>
              </w:rPr>
            </w:pPr>
            <w:r w:rsidRPr="009B56DD">
              <w:rPr>
                <w:rFonts w:eastAsiaTheme="minorHAnsi" w:cs="Calibri"/>
              </w:rPr>
              <w:t>Diffuse large B-cell lymphoma</w:t>
            </w:r>
          </w:p>
        </w:tc>
      </w:tr>
      <w:tr w:rsidR="009B56DD" w:rsidRPr="009B56DD" w14:paraId="7F4AA4E9" w14:textId="77777777" w:rsidTr="009B56DD">
        <w:tc>
          <w:tcPr>
            <w:tcW w:w="1890" w:type="dxa"/>
          </w:tcPr>
          <w:p w14:paraId="7F4AA4E7" w14:textId="77777777" w:rsidR="009B56DD" w:rsidRPr="009B56DD" w:rsidRDefault="009B56DD" w:rsidP="00EA1DF3">
            <w:pPr>
              <w:rPr>
                <w:rFonts w:eastAsiaTheme="minorHAnsi" w:cs="Calibri"/>
              </w:rPr>
            </w:pPr>
            <w:r w:rsidRPr="009B56DD">
              <w:rPr>
                <w:rFonts w:eastAsiaTheme="minorHAnsi" w:cs="Calibri"/>
              </w:rPr>
              <w:t>DMARD</w:t>
            </w:r>
          </w:p>
        </w:tc>
        <w:tc>
          <w:tcPr>
            <w:tcW w:w="6830" w:type="dxa"/>
          </w:tcPr>
          <w:p w14:paraId="7F4AA4E8" w14:textId="77777777" w:rsidR="009B56DD" w:rsidRPr="009B56DD" w:rsidRDefault="009B56DD" w:rsidP="00EA1DF3">
            <w:pPr>
              <w:rPr>
                <w:rFonts w:eastAsiaTheme="minorHAnsi" w:cs="Calibri"/>
              </w:rPr>
            </w:pPr>
            <w:r w:rsidRPr="009B56DD">
              <w:rPr>
                <w:rFonts w:eastAsiaTheme="minorHAnsi" w:cs="Calibri"/>
              </w:rPr>
              <w:t>Disease modifying anti-rheumatic</w:t>
            </w:r>
          </w:p>
        </w:tc>
      </w:tr>
      <w:tr w:rsidR="009B56DD" w:rsidRPr="009B56DD" w14:paraId="7F4AA4EC" w14:textId="77777777" w:rsidTr="009B56DD">
        <w:tc>
          <w:tcPr>
            <w:tcW w:w="1890" w:type="dxa"/>
          </w:tcPr>
          <w:p w14:paraId="7F4AA4EA" w14:textId="77777777" w:rsidR="009B56DD" w:rsidRPr="009B56DD" w:rsidRDefault="009B56DD" w:rsidP="00EA1DF3">
            <w:pPr>
              <w:rPr>
                <w:rFonts w:eastAsiaTheme="minorHAnsi" w:cs="Calibri"/>
              </w:rPr>
            </w:pPr>
            <w:r w:rsidRPr="009B56DD">
              <w:rPr>
                <w:rFonts w:eastAsiaTheme="minorHAnsi" w:cs="Calibri"/>
              </w:rPr>
              <w:t xml:space="preserve">ECG </w:t>
            </w:r>
          </w:p>
        </w:tc>
        <w:tc>
          <w:tcPr>
            <w:tcW w:w="6830" w:type="dxa"/>
          </w:tcPr>
          <w:p w14:paraId="7F4AA4EB" w14:textId="77777777" w:rsidR="009B56DD" w:rsidRPr="009B56DD" w:rsidRDefault="009B56DD" w:rsidP="00EA1DF3">
            <w:pPr>
              <w:rPr>
                <w:rFonts w:eastAsiaTheme="minorHAnsi" w:cs="Calibri"/>
              </w:rPr>
            </w:pPr>
            <w:r w:rsidRPr="009B56DD">
              <w:rPr>
                <w:rFonts w:eastAsiaTheme="minorHAnsi" w:cs="Calibri"/>
              </w:rPr>
              <w:t>Electrocardiogram</w:t>
            </w:r>
          </w:p>
        </w:tc>
      </w:tr>
      <w:tr w:rsidR="009B56DD" w:rsidRPr="009B56DD" w14:paraId="7F4AA4EF" w14:textId="77777777" w:rsidTr="009B56DD">
        <w:tc>
          <w:tcPr>
            <w:tcW w:w="1890" w:type="dxa"/>
          </w:tcPr>
          <w:p w14:paraId="7F4AA4ED" w14:textId="77777777" w:rsidR="009B56DD" w:rsidRPr="009B56DD" w:rsidRDefault="009B56DD" w:rsidP="00EA1DF3">
            <w:pPr>
              <w:rPr>
                <w:rFonts w:eastAsiaTheme="minorHAnsi" w:cs="Calibri"/>
              </w:rPr>
            </w:pPr>
            <w:r w:rsidRPr="009B56DD">
              <w:rPr>
                <w:rFonts w:eastAsiaTheme="minorHAnsi" w:cs="Calibri"/>
              </w:rPr>
              <w:t>ECL</w:t>
            </w:r>
          </w:p>
        </w:tc>
        <w:tc>
          <w:tcPr>
            <w:tcW w:w="6830" w:type="dxa"/>
          </w:tcPr>
          <w:p w14:paraId="7F4AA4EE" w14:textId="77777777" w:rsidR="009B56DD" w:rsidRPr="009B56DD" w:rsidRDefault="009B56DD" w:rsidP="00EA1DF3">
            <w:pPr>
              <w:rPr>
                <w:rFonts w:eastAsiaTheme="minorHAnsi" w:cs="Calibri"/>
              </w:rPr>
            </w:pPr>
            <w:r w:rsidRPr="009B56DD">
              <w:rPr>
                <w:rFonts w:eastAsiaTheme="minorHAnsi" w:cs="Calibri"/>
              </w:rPr>
              <w:t>Electrochemiluminescence</w:t>
            </w:r>
          </w:p>
        </w:tc>
      </w:tr>
      <w:tr w:rsidR="009B56DD" w:rsidRPr="009B56DD" w14:paraId="7F4AA4F2" w14:textId="77777777" w:rsidTr="009B56DD">
        <w:tc>
          <w:tcPr>
            <w:tcW w:w="1890" w:type="dxa"/>
          </w:tcPr>
          <w:p w14:paraId="7F4AA4F0" w14:textId="77777777" w:rsidR="009B56DD" w:rsidRPr="009B56DD" w:rsidRDefault="009B56DD" w:rsidP="00EA1DF3">
            <w:pPr>
              <w:rPr>
                <w:rFonts w:eastAsiaTheme="minorHAnsi" w:cs="Calibri"/>
              </w:rPr>
            </w:pPr>
            <w:r w:rsidRPr="009B56DD">
              <w:rPr>
                <w:rFonts w:eastAsiaTheme="minorHAnsi" w:cs="Calibri"/>
              </w:rPr>
              <w:t>ECOG</w:t>
            </w:r>
          </w:p>
        </w:tc>
        <w:tc>
          <w:tcPr>
            <w:tcW w:w="6830" w:type="dxa"/>
          </w:tcPr>
          <w:p w14:paraId="7F4AA4F1" w14:textId="77777777" w:rsidR="009B56DD" w:rsidRPr="009B56DD" w:rsidRDefault="009B56DD" w:rsidP="00EA1DF3">
            <w:pPr>
              <w:rPr>
                <w:rFonts w:eastAsiaTheme="minorHAnsi" w:cs="Calibri"/>
              </w:rPr>
            </w:pPr>
            <w:r w:rsidRPr="009B56DD">
              <w:rPr>
                <w:rFonts w:eastAsiaTheme="minorHAnsi" w:cs="Calibri"/>
              </w:rPr>
              <w:t>Eastern Cooperative Oncology Group</w:t>
            </w:r>
          </w:p>
        </w:tc>
      </w:tr>
      <w:tr w:rsidR="009B56DD" w:rsidRPr="009B56DD" w14:paraId="7F4AA4F5" w14:textId="77777777" w:rsidTr="009B56DD">
        <w:tc>
          <w:tcPr>
            <w:tcW w:w="1890" w:type="dxa"/>
          </w:tcPr>
          <w:p w14:paraId="7F4AA4F3" w14:textId="77777777" w:rsidR="009B56DD" w:rsidRPr="009B56DD" w:rsidRDefault="009B56DD" w:rsidP="00EA1DF3">
            <w:pPr>
              <w:rPr>
                <w:rFonts w:eastAsiaTheme="minorHAnsi" w:cs="Calibri"/>
              </w:rPr>
            </w:pPr>
            <w:r w:rsidRPr="009B56DD">
              <w:rPr>
                <w:rFonts w:eastAsiaTheme="minorHAnsi" w:cs="Calibri"/>
              </w:rPr>
              <w:t>ELISA</w:t>
            </w:r>
          </w:p>
        </w:tc>
        <w:tc>
          <w:tcPr>
            <w:tcW w:w="6830" w:type="dxa"/>
          </w:tcPr>
          <w:p w14:paraId="7F4AA4F4" w14:textId="77777777" w:rsidR="009B56DD" w:rsidRPr="009B56DD" w:rsidRDefault="009B56DD" w:rsidP="00EA1DF3">
            <w:pPr>
              <w:rPr>
                <w:rFonts w:eastAsiaTheme="minorHAnsi" w:cs="Calibri"/>
              </w:rPr>
            </w:pPr>
            <w:r w:rsidRPr="009B56DD">
              <w:rPr>
                <w:rFonts w:eastAsiaTheme="minorHAnsi" w:cs="Calibri"/>
              </w:rPr>
              <w:t>Enzyme-linked immunosorbent assay</w:t>
            </w:r>
          </w:p>
        </w:tc>
      </w:tr>
      <w:tr w:rsidR="009B56DD" w:rsidRPr="009B56DD" w14:paraId="7F4AA4F8" w14:textId="77777777" w:rsidTr="009B56DD">
        <w:tc>
          <w:tcPr>
            <w:tcW w:w="1890" w:type="dxa"/>
          </w:tcPr>
          <w:p w14:paraId="7F4AA4F6" w14:textId="77777777" w:rsidR="009B56DD" w:rsidRPr="009B56DD" w:rsidRDefault="009B56DD" w:rsidP="00EA1DF3">
            <w:pPr>
              <w:rPr>
                <w:rFonts w:eastAsiaTheme="minorHAnsi" w:cs="Calibri"/>
              </w:rPr>
            </w:pPr>
            <w:r w:rsidRPr="009B56DD">
              <w:rPr>
                <w:rFonts w:eastAsiaTheme="minorHAnsi" w:cs="Calibri"/>
              </w:rPr>
              <w:t xml:space="preserve">EMA </w:t>
            </w:r>
          </w:p>
        </w:tc>
        <w:tc>
          <w:tcPr>
            <w:tcW w:w="6830" w:type="dxa"/>
          </w:tcPr>
          <w:p w14:paraId="7F4AA4F7" w14:textId="77777777" w:rsidR="009B56DD" w:rsidRPr="009B56DD" w:rsidRDefault="009B56DD" w:rsidP="00EA1DF3">
            <w:pPr>
              <w:rPr>
                <w:rFonts w:eastAsiaTheme="minorHAnsi" w:cs="Calibri"/>
              </w:rPr>
            </w:pPr>
            <w:r w:rsidRPr="009B56DD">
              <w:rPr>
                <w:rFonts w:eastAsiaTheme="minorHAnsi" w:cs="Calibri"/>
              </w:rPr>
              <w:t>European Medicines Agency</w:t>
            </w:r>
          </w:p>
        </w:tc>
      </w:tr>
      <w:tr w:rsidR="009B56DD" w:rsidRPr="009B56DD" w14:paraId="7F4AA4FB" w14:textId="77777777" w:rsidTr="009B56DD">
        <w:tc>
          <w:tcPr>
            <w:tcW w:w="1890" w:type="dxa"/>
          </w:tcPr>
          <w:p w14:paraId="7F4AA4F9" w14:textId="77777777" w:rsidR="009B56DD" w:rsidRPr="009B56DD" w:rsidRDefault="009B56DD" w:rsidP="00EA1DF3">
            <w:pPr>
              <w:rPr>
                <w:rFonts w:eastAsiaTheme="minorHAnsi" w:cs="Calibri"/>
              </w:rPr>
            </w:pPr>
            <w:r w:rsidRPr="009B56DD">
              <w:rPr>
                <w:rFonts w:eastAsiaTheme="minorHAnsi" w:cs="Calibri"/>
              </w:rPr>
              <w:t xml:space="preserve">EOT </w:t>
            </w:r>
          </w:p>
        </w:tc>
        <w:tc>
          <w:tcPr>
            <w:tcW w:w="6830" w:type="dxa"/>
          </w:tcPr>
          <w:p w14:paraId="7F4AA4FA" w14:textId="77777777" w:rsidR="009B56DD" w:rsidRPr="009B56DD" w:rsidRDefault="009B56DD" w:rsidP="00EA1DF3">
            <w:pPr>
              <w:rPr>
                <w:rFonts w:eastAsiaTheme="minorHAnsi" w:cs="Calibri"/>
              </w:rPr>
            </w:pPr>
            <w:r w:rsidRPr="009B56DD">
              <w:rPr>
                <w:rFonts w:eastAsiaTheme="minorHAnsi" w:cs="Calibri"/>
              </w:rPr>
              <w:t>End of treatment</w:t>
            </w:r>
          </w:p>
        </w:tc>
      </w:tr>
      <w:tr w:rsidR="009B56DD" w:rsidRPr="009B56DD" w14:paraId="7F4AA4FE" w14:textId="77777777" w:rsidTr="009B56DD">
        <w:tc>
          <w:tcPr>
            <w:tcW w:w="1890" w:type="dxa"/>
          </w:tcPr>
          <w:p w14:paraId="7F4AA4FC" w14:textId="77777777" w:rsidR="009B56DD" w:rsidRPr="009B56DD" w:rsidRDefault="009B56DD" w:rsidP="00EA1DF3">
            <w:pPr>
              <w:rPr>
                <w:rFonts w:eastAsiaTheme="minorHAnsi" w:cs="Calibri"/>
              </w:rPr>
            </w:pPr>
            <w:r w:rsidRPr="009B56DD">
              <w:rPr>
                <w:rFonts w:eastAsiaTheme="minorHAnsi" w:cs="Calibri"/>
              </w:rPr>
              <w:t>ESR</w:t>
            </w:r>
          </w:p>
        </w:tc>
        <w:tc>
          <w:tcPr>
            <w:tcW w:w="6830" w:type="dxa"/>
          </w:tcPr>
          <w:p w14:paraId="7F4AA4FD" w14:textId="77777777" w:rsidR="009B56DD" w:rsidRPr="009B56DD" w:rsidRDefault="009B56DD" w:rsidP="00EA1DF3">
            <w:pPr>
              <w:rPr>
                <w:rFonts w:eastAsiaTheme="minorHAnsi" w:cs="Calibri"/>
              </w:rPr>
            </w:pPr>
            <w:r w:rsidRPr="009B56DD">
              <w:rPr>
                <w:rFonts w:eastAsiaTheme="minorHAnsi" w:cs="Calibri"/>
              </w:rPr>
              <w:t>Erythrocyte sedimentation rate</w:t>
            </w:r>
          </w:p>
        </w:tc>
      </w:tr>
      <w:tr w:rsidR="009B56DD" w:rsidRPr="009B56DD" w14:paraId="7F4AA501" w14:textId="77777777" w:rsidTr="009B56DD">
        <w:tc>
          <w:tcPr>
            <w:tcW w:w="1890" w:type="dxa"/>
          </w:tcPr>
          <w:p w14:paraId="7F4AA4FF" w14:textId="77777777" w:rsidR="009B56DD" w:rsidRPr="009B56DD" w:rsidRDefault="009B56DD" w:rsidP="00EA1DF3">
            <w:pPr>
              <w:rPr>
                <w:rFonts w:eastAsiaTheme="minorHAnsi" w:cs="Calibri"/>
              </w:rPr>
            </w:pPr>
            <w:r w:rsidRPr="009B56DD">
              <w:rPr>
                <w:rFonts w:eastAsiaTheme="minorHAnsi" w:cs="Calibri"/>
              </w:rPr>
              <w:t xml:space="preserve">EU </w:t>
            </w:r>
          </w:p>
        </w:tc>
        <w:tc>
          <w:tcPr>
            <w:tcW w:w="6830" w:type="dxa"/>
          </w:tcPr>
          <w:p w14:paraId="7F4AA500" w14:textId="77777777" w:rsidR="009B56DD" w:rsidRPr="009B56DD" w:rsidRDefault="009B56DD" w:rsidP="00EA1DF3">
            <w:pPr>
              <w:rPr>
                <w:rFonts w:eastAsiaTheme="minorHAnsi" w:cs="Calibri"/>
              </w:rPr>
            </w:pPr>
            <w:r w:rsidRPr="009B56DD">
              <w:rPr>
                <w:rFonts w:eastAsiaTheme="minorHAnsi" w:cs="Calibri"/>
              </w:rPr>
              <w:t>European Union</w:t>
            </w:r>
          </w:p>
        </w:tc>
      </w:tr>
      <w:tr w:rsidR="009B56DD" w:rsidRPr="009B56DD" w14:paraId="7F4AA504" w14:textId="77777777" w:rsidTr="009B56DD">
        <w:tc>
          <w:tcPr>
            <w:tcW w:w="1890" w:type="dxa"/>
          </w:tcPr>
          <w:p w14:paraId="7F4AA502" w14:textId="77777777" w:rsidR="009B56DD" w:rsidRPr="009B56DD" w:rsidRDefault="009B56DD" w:rsidP="00EA1DF3">
            <w:pPr>
              <w:rPr>
                <w:rFonts w:eastAsiaTheme="minorHAnsi" w:cs="Calibri"/>
              </w:rPr>
            </w:pPr>
            <w:r w:rsidRPr="009B56DD">
              <w:rPr>
                <w:rFonts w:eastAsiaTheme="minorHAnsi" w:cs="Calibri"/>
              </w:rPr>
              <w:t>EULAR</w:t>
            </w:r>
          </w:p>
        </w:tc>
        <w:tc>
          <w:tcPr>
            <w:tcW w:w="6830" w:type="dxa"/>
          </w:tcPr>
          <w:p w14:paraId="7F4AA503" w14:textId="77777777" w:rsidR="009B56DD" w:rsidRPr="009B56DD" w:rsidRDefault="009B56DD" w:rsidP="00EA1DF3">
            <w:pPr>
              <w:rPr>
                <w:rFonts w:eastAsiaTheme="minorHAnsi" w:cs="Calibri"/>
              </w:rPr>
            </w:pPr>
            <w:r w:rsidRPr="009B56DD">
              <w:rPr>
                <w:rFonts w:eastAsiaTheme="minorHAnsi" w:cs="Calibri"/>
              </w:rPr>
              <w:t>European League Against Rheumatism</w:t>
            </w:r>
          </w:p>
        </w:tc>
      </w:tr>
      <w:tr w:rsidR="009B56DD" w:rsidRPr="009B56DD" w14:paraId="7F4AA507" w14:textId="77777777" w:rsidTr="009B56DD">
        <w:tc>
          <w:tcPr>
            <w:tcW w:w="1890" w:type="dxa"/>
          </w:tcPr>
          <w:p w14:paraId="7F4AA505" w14:textId="77777777" w:rsidR="009B56DD" w:rsidRPr="009B56DD" w:rsidRDefault="009B56DD" w:rsidP="00EA1DF3">
            <w:pPr>
              <w:rPr>
                <w:rFonts w:eastAsiaTheme="minorHAnsi" w:cs="Calibri"/>
              </w:rPr>
            </w:pPr>
            <w:r w:rsidRPr="009B56DD">
              <w:rPr>
                <w:rFonts w:eastAsiaTheme="minorHAnsi" w:cs="Calibri"/>
              </w:rPr>
              <w:t xml:space="preserve">FACS </w:t>
            </w:r>
          </w:p>
        </w:tc>
        <w:tc>
          <w:tcPr>
            <w:tcW w:w="6830" w:type="dxa"/>
          </w:tcPr>
          <w:p w14:paraId="7F4AA506" w14:textId="77777777" w:rsidR="009B56DD" w:rsidRPr="009B56DD" w:rsidRDefault="009B56DD" w:rsidP="00EA1DF3">
            <w:pPr>
              <w:rPr>
                <w:rFonts w:eastAsiaTheme="minorHAnsi" w:cs="Calibri"/>
              </w:rPr>
            </w:pPr>
            <w:r w:rsidRPr="009B56DD">
              <w:rPr>
                <w:rFonts w:eastAsiaTheme="minorHAnsi" w:cs="Calibri"/>
              </w:rPr>
              <w:t>Fluorescence-activated cell sorting</w:t>
            </w:r>
          </w:p>
        </w:tc>
      </w:tr>
      <w:tr w:rsidR="009B56DD" w:rsidRPr="009B56DD" w14:paraId="7F4AA50A" w14:textId="77777777" w:rsidTr="009B56DD">
        <w:tc>
          <w:tcPr>
            <w:tcW w:w="1890" w:type="dxa"/>
          </w:tcPr>
          <w:p w14:paraId="7F4AA508" w14:textId="77777777" w:rsidR="009B56DD" w:rsidRPr="009B56DD" w:rsidRDefault="009B56DD" w:rsidP="00EA1DF3">
            <w:pPr>
              <w:rPr>
                <w:rFonts w:eastAsiaTheme="minorEastAsia" w:cs="Calibri"/>
              </w:rPr>
            </w:pPr>
            <w:r w:rsidRPr="009B56DD">
              <w:rPr>
                <w:rFonts w:eastAsiaTheme="minorEastAsia" w:cs="Calibri"/>
              </w:rPr>
              <w:t xml:space="preserve">FAS </w:t>
            </w:r>
          </w:p>
        </w:tc>
        <w:tc>
          <w:tcPr>
            <w:tcW w:w="6830" w:type="dxa"/>
          </w:tcPr>
          <w:p w14:paraId="7F4AA509" w14:textId="77777777" w:rsidR="009B56DD" w:rsidRPr="009B56DD" w:rsidRDefault="009B56DD" w:rsidP="00EA1DF3">
            <w:pPr>
              <w:rPr>
                <w:rFonts w:eastAsiaTheme="minorHAnsi" w:cs="Calibri"/>
              </w:rPr>
            </w:pPr>
            <w:r w:rsidRPr="009B56DD">
              <w:rPr>
                <w:rFonts w:eastAsiaTheme="minorEastAsia" w:cs="Calibri"/>
              </w:rPr>
              <w:t>Full Analysis Set</w:t>
            </w:r>
          </w:p>
        </w:tc>
      </w:tr>
      <w:tr w:rsidR="009B56DD" w:rsidRPr="009B56DD" w14:paraId="7F4AA50D" w14:textId="77777777" w:rsidTr="009B56DD">
        <w:tc>
          <w:tcPr>
            <w:tcW w:w="1890" w:type="dxa"/>
          </w:tcPr>
          <w:p w14:paraId="7F4AA50B" w14:textId="77777777" w:rsidR="009B56DD" w:rsidRPr="009B56DD" w:rsidRDefault="009B56DD" w:rsidP="00EA1DF3">
            <w:pPr>
              <w:rPr>
                <w:rFonts w:eastAsiaTheme="minorEastAsia" w:cs="Calibri"/>
              </w:rPr>
            </w:pPr>
            <w:r w:rsidRPr="009B56DD">
              <w:rPr>
                <w:rFonts w:eastAsiaTheme="minorEastAsia" w:cs="Calibri"/>
              </w:rPr>
              <w:t xml:space="preserve">FDA </w:t>
            </w:r>
          </w:p>
        </w:tc>
        <w:tc>
          <w:tcPr>
            <w:tcW w:w="6830" w:type="dxa"/>
          </w:tcPr>
          <w:p w14:paraId="7F4AA50C" w14:textId="77777777" w:rsidR="009B56DD" w:rsidRPr="009B56DD" w:rsidRDefault="009B56DD" w:rsidP="00EA1DF3">
            <w:pPr>
              <w:rPr>
                <w:rFonts w:eastAsiaTheme="minorEastAsia" w:cs="Calibri"/>
              </w:rPr>
            </w:pPr>
            <w:r w:rsidRPr="009B56DD">
              <w:rPr>
                <w:rFonts w:eastAsiaTheme="minorEastAsia" w:cs="Calibri"/>
              </w:rPr>
              <w:t>Food and Drug Administration</w:t>
            </w:r>
          </w:p>
        </w:tc>
      </w:tr>
      <w:tr w:rsidR="009B56DD" w:rsidRPr="009B56DD" w14:paraId="7F4AA510" w14:textId="77777777" w:rsidTr="009B56DD">
        <w:tc>
          <w:tcPr>
            <w:tcW w:w="1890" w:type="dxa"/>
          </w:tcPr>
          <w:p w14:paraId="7F4AA50E" w14:textId="77777777" w:rsidR="009B56DD" w:rsidRPr="009B56DD" w:rsidRDefault="009B56DD" w:rsidP="00EA1DF3">
            <w:pPr>
              <w:rPr>
                <w:rFonts w:eastAsiaTheme="minorEastAsia" w:cs="Calibri"/>
              </w:rPr>
            </w:pPr>
            <w:r w:rsidRPr="009B56DD">
              <w:rPr>
                <w:rFonts w:eastAsiaTheme="minorEastAsia" w:cs="Calibri"/>
                <w:color w:val="auto"/>
              </w:rPr>
              <w:t>FIMEA</w:t>
            </w:r>
          </w:p>
        </w:tc>
        <w:tc>
          <w:tcPr>
            <w:tcW w:w="6830" w:type="dxa"/>
          </w:tcPr>
          <w:p w14:paraId="7F4AA50F" w14:textId="77777777" w:rsidR="009B56DD" w:rsidRPr="009B56DD" w:rsidRDefault="009B56DD" w:rsidP="00EA1DF3">
            <w:pPr>
              <w:rPr>
                <w:rFonts w:eastAsiaTheme="minorEastAsia" w:cs="Calibri"/>
              </w:rPr>
            </w:pPr>
            <w:r w:rsidRPr="009B56DD">
              <w:rPr>
                <w:rFonts w:eastAsiaTheme="minorEastAsia" w:cs="Calibri"/>
                <w:color w:val="auto"/>
              </w:rPr>
              <w:t>Finnish Medicines Agency</w:t>
            </w:r>
          </w:p>
        </w:tc>
      </w:tr>
      <w:tr w:rsidR="009B56DD" w:rsidRPr="009B56DD" w14:paraId="7F4AA513" w14:textId="77777777" w:rsidTr="009B56DD">
        <w:tc>
          <w:tcPr>
            <w:tcW w:w="1890" w:type="dxa"/>
          </w:tcPr>
          <w:p w14:paraId="7F4AA511" w14:textId="77777777" w:rsidR="009B56DD" w:rsidRPr="009B56DD" w:rsidRDefault="009B56DD" w:rsidP="00EA1DF3">
            <w:pPr>
              <w:rPr>
                <w:rFonts w:eastAsiaTheme="minorEastAsia" w:cs="Calibri"/>
              </w:rPr>
            </w:pPr>
            <w:r w:rsidRPr="009B56DD">
              <w:rPr>
                <w:rFonts w:eastAsiaTheme="minorHAnsi" w:cs="Calibri"/>
              </w:rPr>
              <w:t xml:space="preserve">FL </w:t>
            </w:r>
          </w:p>
        </w:tc>
        <w:tc>
          <w:tcPr>
            <w:tcW w:w="6830" w:type="dxa"/>
          </w:tcPr>
          <w:p w14:paraId="7F4AA512" w14:textId="77777777" w:rsidR="009B56DD" w:rsidRPr="009B56DD" w:rsidRDefault="009B56DD" w:rsidP="00EA1DF3">
            <w:pPr>
              <w:rPr>
                <w:rFonts w:eastAsiaTheme="minorEastAsia" w:cs="Calibri"/>
              </w:rPr>
            </w:pPr>
            <w:r w:rsidRPr="009B56DD">
              <w:rPr>
                <w:rFonts w:eastAsiaTheme="minorHAnsi" w:cs="Calibri"/>
              </w:rPr>
              <w:t>Follicular lymphoma</w:t>
            </w:r>
          </w:p>
        </w:tc>
      </w:tr>
      <w:tr w:rsidR="009B56DD" w:rsidRPr="009B56DD" w14:paraId="7F4AA516" w14:textId="77777777" w:rsidTr="009B56DD">
        <w:tc>
          <w:tcPr>
            <w:tcW w:w="1890" w:type="dxa"/>
          </w:tcPr>
          <w:p w14:paraId="7F4AA514" w14:textId="77777777" w:rsidR="009B56DD" w:rsidRPr="009B56DD" w:rsidRDefault="009B56DD" w:rsidP="00EA1DF3">
            <w:pPr>
              <w:rPr>
                <w:rFonts w:eastAsiaTheme="minorHAnsi" w:cs="Calibri"/>
              </w:rPr>
            </w:pPr>
            <w:r w:rsidRPr="009B56DD">
              <w:rPr>
                <w:rFonts w:eastAsiaTheme="minorHAnsi" w:cs="Calibri"/>
              </w:rPr>
              <w:t xml:space="preserve">FLIPI </w:t>
            </w:r>
          </w:p>
        </w:tc>
        <w:tc>
          <w:tcPr>
            <w:tcW w:w="6830" w:type="dxa"/>
          </w:tcPr>
          <w:p w14:paraId="7F4AA515" w14:textId="77777777" w:rsidR="009B56DD" w:rsidRPr="009B56DD" w:rsidRDefault="009B56DD" w:rsidP="00EA1DF3">
            <w:pPr>
              <w:rPr>
                <w:rFonts w:eastAsiaTheme="minorHAnsi" w:cs="Calibri"/>
              </w:rPr>
            </w:pPr>
            <w:r w:rsidRPr="009B56DD">
              <w:rPr>
                <w:rFonts w:eastAsiaTheme="minorHAnsi" w:cs="Calibri"/>
              </w:rPr>
              <w:t>Follicular Lymphoma International Prognostic Index</w:t>
            </w:r>
          </w:p>
        </w:tc>
      </w:tr>
      <w:tr w:rsidR="009B56DD" w:rsidRPr="009B56DD" w14:paraId="7F4AA519" w14:textId="77777777" w:rsidTr="009B56DD">
        <w:tc>
          <w:tcPr>
            <w:tcW w:w="1890" w:type="dxa"/>
          </w:tcPr>
          <w:p w14:paraId="7F4AA517" w14:textId="77777777" w:rsidR="009B56DD" w:rsidRPr="009B56DD" w:rsidRDefault="009B56DD" w:rsidP="00EA1DF3">
            <w:pPr>
              <w:rPr>
                <w:rFonts w:eastAsiaTheme="minorHAnsi" w:cs="Calibri"/>
              </w:rPr>
            </w:pPr>
            <w:r w:rsidRPr="009B56DD">
              <w:rPr>
                <w:rFonts w:eastAsiaTheme="minorHAnsi" w:cs="Calibri"/>
              </w:rPr>
              <w:lastRenderedPageBreak/>
              <w:t xml:space="preserve">GPA </w:t>
            </w:r>
          </w:p>
        </w:tc>
        <w:tc>
          <w:tcPr>
            <w:tcW w:w="6830" w:type="dxa"/>
          </w:tcPr>
          <w:p w14:paraId="7F4AA518" w14:textId="77777777" w:rsidR="009B56DD" w:rsidRPr="009B56DD" w:rsidRDefault="009B56DD" w:rsidP="00EA1DF3">
            <w:pPr>
              <w:rPr>
                <w:rFonts w:eastAsiaTheme="minorHAnsi" w:cs="Calibri"/>
              </w:rPr>
            </w:pPr>
            <w:r w:rsidRPr="009B56DD">
              <w:rPr>
                <w:rFonts w:eastAsiaTheme="minorHAnsi" w:cs="Calibri"/>
              </w:rPr>
              <w:t>Granulomatosis with polyangiitis</w:t>
            </w:r>
          </w:p>
        </w:tc>
      </w:tr>
      <w:tr w:rsidR="009B56DD" w:rsidRPr="009B56DD" w14:paraId="7F4AA51C" w14:textId="77777777" w:rsidTr="009B56DD">
        <w:tc>
          <w:tcPr>
            <w:tcW w:w="1890" w:type="dxa"/>
          </w:tcPr>
          <w:p w14:paraId="7F4AA51A" w14:textId="77777777" w:rsidR="009B56DD" w:rsidRPr="009B56DD" w:rsidRDefault="009B56DD" w:rsidP="00EA1DF3">
            <w:pPr>
              <w:rPr>
                <w:rFonts w:eastAsiaTheme="minorHAnsi" w:cs="Calibri"/>
              </w:rPr>
            </w:pPr>
            <w:r w:rsidRPr="009B56DD">
              <w:rPr>
                <w:rFonts w:cs="Calibri"/>
              </w:rPr>
              <w:t xml:space="preserve">HACA </w:t>
            </w:r>
          </w:p>
        </w:tc>
        <w:tc>
          <w:tcPr>
            <w:tcW w:w="6830" w:type="dxa"/>
          </w:tcPr>
          <w:p w14:paraId="7F4AA51B" w14:textId="77777777" w:rsidR="009B56DD" w:rsidRPr="009B56DD" w:rsidRDefault="009B56DD" w:rsidP="00EA1DF3">
            <w:pPr>
              <w:rPr>
                <w:rFonts w:eastAsiaTheme="minorHAnsi" w:cs="Calibri"/>
              </w:rPr>
            </w:pPr>
            <w:r w:rsidRPr="009B56DD">
              <w:rPr>
                <w:rFonts w:cs="Calibri"/>
              </w:rPr>
              <w:t>Human anti-chimeric antibodies</w:t>
            </w:r>
          </w:p>
        </w:tc>
      </w:tr>
      <w:tr w:rsidR="009B56DD" w:rsidRPr="009B56DD" w14:paraId="7F4AA51F" w14:textId="77777777" w:rsidTr="009B56DD">
        <w:tc>
          <w:tcPr>
            <w:tcW w:w="1890" w:type="dxa"/>
          </w:tcPr>
          <w:p w14:paraId="7F4AA51D" w14:textId="77777777" w:rsidR="009B56DD" w:rsidRPr="009B56DD" w:rsidRDefault="009B56DD" w:rsidP="00EA1DF3">
            <w:pPr>
              <w:rPr>
                <w:rFonts w:cs="Calibri"/>
              </w:rPr>
            </w:pPr>
            <w:r w:rsidRPr="009B56DD">
              <w:rPr>
                <w:rFonts w:cs="Calibri"/>
              </w:rPr>
              <w:t xml:space="preserve">HAMA </w:t>
            </w:r>
          </w:p>
        </w:tc>
        <w:tc>
          <w:tcPr>
            <w:tcW w:w="6830" w:type="dxa"/>
          </w:tcPr>
          <w:p w14:paraId="7F4AA51E" w14:textId="77777777" w:rsidR="009B56DD" w:rsidRPr="009B56DD" w:rsidRDefault="009B56DD" w:rsidP="00EA1DF3">
            <w:pPr>
              <w:rPr>
                <w:rFonts w:cs="Calibri"/>
              </w:rPr>
            </w:pPr>
            <w:r w:rsidRPr="009B56DD">
              <w:rPr>
                <w:rFonts w:cs="Calibri"/>
              </w:rPr>
              <w:t>Human anti-mouse antibody</w:t>
            </w:r>
          </w:p>
        </w:tc>
      </w:tr>
      <w:tr w:rsidR="009B56DD" w:rsidRPr="009B56DD" w14:paraId="7F4AA522" w14:textId="77777777" w:rsidTr="009B56DD">
        <w:tc>
          <w:tcPr>
            <w:tcW w:w="1890" w:type="dxa"/>
          </w:tcPr>
          <w:p w14:paraId="7F4AA520" w14:textId="77777777" w:rsidR="009B56DD" w:rsidRPr="009B56DD" w:rsidRDefault="009B56DD" w:rsidP="00EA1DF3">
            <w:pPr>
              <w:rPr>
                <w:rFonts w:cs="Calibri"/>
              </w:rPr>
            </w:pPr>
            <w:r w:rsidRPr="009B56DD">
              <w:rPr>
                <w:rFonts w:cs="Calibri"/>
              </w:rPr>
              <w:t xml:space="preserve">HAQ-DI </w:t>
            </w:r>
          </w:p>
        </w:tc>
        <w:tc>
          <w:tcPr>
            <w:tcW w:w="6830" w:type="dxa"/>
          </w:tcPr>
          <w:p w14:paraId="7F4AA521" w14:textId="77777777" w:rsidR="009B56DD" w:rsidRPr="009B56DD" w:rsidRDefault="009B56DD" w:rsidP="00EA1DF3">
            <w:pPr>
              <w:rPr>
                <w:rFonts w:cs="Calibri"/>
              </w:rPr>
            </w:pPr>
            <w:r w:rsidRPr="009B56DD">
              <w:rPr>
                <w:rFonts w:cs="Calibri"/>
              </w:rPr>
              <w:t>Health Assessment Questionnaire – Disability Index</w:t>
            </w:r>
          </w:p>
        </w:tc>
      </w:tr>
      <w:tr w:rsidR="009B56DD" w:rsidRPr="009B56DD" w14:paraId="7F4AA525" w14:textId="77777777" w:rsidTr="009B56DD">
        <w:tc>
          <w:tcPr>
            <w:tcW w:w="1890" w:type="dxa"/>
          </w:tcPr>
          <w:p w14:paraId="7F4AA523" w14:textId="77777777" w:rsidR="009B56DD" w:rsidRPr="009B56DD" w:rsidRDefault="009B56DD" w:rsidP="00EA1DF3">
            <w:pPr>
              <w:rPr>
                <w:rFonts w:eastAsiaTheme="minorEastAsia" w:cs="Calibri"/>
              </w:rPr>
            </w:pPr>
            <w:r w:rsidRPr="009B56DD">
              <w:rPr>
                <w:rFonts w:eastAsiaTheme="minorEastAsia" w:cs="Calibri"/>
              </w:rPr>
              <w:t xml:space="preserve">HBV </w:t>
            </w:r>
          </w:p>
        </w:tc>
        <w:tc>
          <w:tcPr>
            <w:tcW w:w="6830" w:type="dxa"/>
          </w:tcPr>
          <w:p w14:paraId="7F4AA524" w14:textId="77777777" w:rsidR="009B56DD" w:rsidRPr="009B56DD" w:rsidRDefault="009B56DD" w:rsidP="00EA1DF3">
            <w:pPr>
              <w:rPr>
                <w:rFonts w:cs="Calibri"/>
              </w:rPr>
            </w:pPr>
            <w:r w:rsidRPr="009B56DD">
              <w:rPr>
                <w:rFonts w:eastAsiaTheme="minorEastAsia" w:cs="Calibri"/>
              </w:rPr>
              <w:t>Hepatitis B virus</w:t>
            </w:r>
          </w:p>
        </w:tc>
      </w:tr>
      <w:tr w:rsidR="009B56DD" w:rsidRPr="009B56DD" w14:paraId="7F4AA528" w14:textId="77777777" w:rsidTr="009B56DD">
        <w:tc>
          <w:tcPr>
            <w:tcW w:w="1890" w:type="dxa"/>
          </w:tcPr>
          <w:p w14:paraId="7F4AA526" w14:textId="77777777" w:rsidR="009B56DD" w:rsidRPr="009B56DD" w:rsidRDefault="009B56DD" w:rsidP="00EA1DF3">
            <w:pPr>
              <w:rPr>
                <w:rFonts w:cs="Calibri"/>
              </w:rPr>
            </w:pPr>
            <w:r w:rsidRPr="009B56DD">
              <w:rPr>
                <w:rFonts w:eastAsiaTheme="minorEastAsia" w:cs="Calibri"/>
              </w:rPr>
              <w:t>HR</w:t>
            </w:r>
          </w:p>
        </w:tc>
        <w:tc>
          <w:tcPr>
            <w:tcW w:w="6830" w:type="dxa"/>
          </w:tcPr>
          <w:p w14:paraId="7F4AA527" w14:textId="77777777" w:rsidR="009B56DD" w:rsidRPr="009B56DD" w:rsidRDefault="009B56DD" w:rsidP="00EA1DF3">
            <w:pPr>
              <w:rPr>
                <w:rFonts w:eastAsiaTheme="minorEastAsia" w:cs="Calibri"/>
              </w:rPr>
            </w:pPr>
            <w:r w:rsidRPr="009B56DD">
              <w:rPr>
                <w:rFonts w:eastAsiaTheme="minorEastAsia" w:cs="Calibri"/>
              </w:rPr>
              <w:t>Hazard ratio</w:t>
            </w:r>
          </w:p>
        </w:tc>
      </w:tr>
      <w:tr w:rsidR="009B56DD" w:rsidRPr="009B56DD" w14:paraId="7F4AA52B" w14:textId="77777777" w:rsidTr="009B56DD">
        <w:tc>
          <w:tcPr>
            <w:tcW w:w="1890" w:type="dxa"/>
          </w:tcPr>
          <w:p w14:paraId="7F4AA529" w14:textId="77777777" w:rsidR="009B56DD" w:rsidRPr="009B56DD" w:rsidRDefault="009B56DD" w:rsidP="00EA1DF3">
            <w:pPr>
              <w:rPr>
                <w:rFonts w:eastAsiaTheme="minorEastAsia" w:cs="Calibri"/>
              </w:rPr>
            </w:pPr>
            <w:r w:rsidRPr="009B56DD">
              <w:rPr>
                <w:rFonts w:eastAsiaTheme="minorEastAsia" w:cs="Calibri"/>
                <w:color w:val="auto"/>
              </w:rPr>
              <w:t>IMP</w:t>
            </w:r>
          </w:p>
        </w:tc>
        <w:tc>
          <w:tcPr>
            <w:tcW w:w="6830" w:type="dxa"/>
          </w:tcPr>
          <w:p w14:paraId="7F4AA52A" w14:textId="77777777" w:rsidR="009B56DD" w:rsidRPr="009B56DD" w:rsidRDefault="009B56DD" w:rsidP="00EA1DF3">
            <w:pPr>
              <w:rPr>
                <w:rFonts w:eastAsiaTheme="minorEastAsia" w:cs="Calibri"/>
              </w:rPr>
            </w:pPr>
            <w:r w:rsidRPr="009B56DD">
              <w:rPr>
                <w:rFonts w:eastAsiaTheme="minorEastAsia" w:cs="Calibri"/>
                <w:color w:val="auto"/>
              </w:rPr>
              <w:t>Investigational medicinal product</w:t>
            </w:r>
          </w:p>
        </w:tc>
      </w:tr>
      <w:tr w:rsidR="009B56DD" w:rsidRPr="009B56DD" w14:paraId="7F4AA52E" w14:textId="77777777" w:rsidTr="009B56DD">
        <w:tc>
          <w:tcPr>
            <w:tcW w:w="1890" w:type="dxa"/>
          </w:tcPr>
          <w:p w14:paraId="7F4AA52C" w14:textId="77777777" w:rsidR="009B56DD" w:rsidRPr="009B56DD" w:rsidRDefault="009B56DD" w:rsidP="00EA1DF3">
            <w:pPr>
              <w:rPr>
                <w:rFonts w:eastAsiaTheme="minorEastAsia" w:cs="Calibri"/>
              </w:rPr>
            </w:pPr>
            <w:r w:rsidRPr="009B56DD">
              <w:rPr>
                <w:rFonts w:eastAsiaTheme="minorEastAsia" w:cs="Calibri"/>
              </w:rPr>
              <w:t>IV</w:t>
            </w:r>
          </w:p>
        </w:tc>
        <w:tc>
          <w:tcPr>
            <w:tcW w:w="6830" w:type="dxa"/>
          </w:tcPr>
          <w:p w14:paraId="7F4AA52D" w14:textId="77777777" w:rsidR="009B56DD" w:rsidRPr="009B56DD" w:rsidRDefault="009B56DD" w:rsidP="00EA1DF3">
            <w:pPr>
              <w:rPr>
                <w:rFonts w:eastAsiaTheme="minorEastAsia" w:cs="Calibri"/>
              </w:rPr>
            </w:pPr>
            <w:r w:rsidRPr="009B56DD">
              <w:rPr>
                <w:rFonts w:eastAsiaTheme="minorEastAsia" w:cs="Calibri"/>
              </w:rPr>
              <w:t>Intravenous</w:t>
            </w:r>
          </w:p>
        </w:tc>
      </w:tr>
      <w:tr w:rsidR="009B56DD" w:rsidRPr="009B56DD" w14:paraId="7F4AA531" w14:textId="77777777" w:rsidTr="009B56DD">
        <w:tc>
          <w:tcPr>
            <w:tcW w:w="1890" w:type="dxa"/>
          </w:tcPr>
          <w:p w14:paraId="7F4AA52F" w14:textId="77777777" w:rsidR="009B56DD" w:rsidRPr="009B56DD" w:rsidRDefault="009B56DD" w:rsidP="00EA1DF3">
            <w:pPr>
              <w:rPr>
                <w:rFonts w:eastAsiaTheme="minorEastAsia" w:cs="Calibri"/>
              </w:rPr>
            </w:pPr>
            <w:r w:rsidRPr="009B56DD">
              <w:rPr>
                <w:rFonts w:eastAsiaTheme="minorEastAsia" w:cs="Calibri"/>
              </w:rPr>
              <w:t>LLOQ</w:t>
            </w:r>
          </w:p>
        </w:tc>
        <w:tc>
          <w:tcPr>
            <w:tcW w:w="6830" w:type="dxa"/>
          </w:tcPr>
          <w:p w14:paraId="7F4AA530" w14:textId="77777777" w:rsidR="009B56DD" w:rsidRPr="009B56DD" w:rsidRDefault="009B56DD" w:rsidP="00EA1DF3">
            <w:pPr>
              <w:rPr>
                <w:rFonts w:eastAsiaTheme="minorEastAsia" w:cs="Calibri"/>
              </w:rPr>
            </w:pPr>
            <w:r w:rsidRPr="009B56DD">
              <w:rPr>
                <w:rFonts w:eastAsiaTheme="minorEastAsia" w:cs="Calibri"/>
              </w:rPr>
              <w:t>Lower limit of quantification.</w:t>
            </w:r>
          </w:p>
        </w:tc>
      </w:tr>
      <w:tr w:rsidR="009B56DD" w:rsidRPr="009B56DD" w14:paraId="7F4AA534" w14:textId="77777777" w:rsidTr="009B56DD">
        <w:tc>
          <w:tcPr>
            <w:tcW w:w="1890" w:type="dxa"/>
          </w:tcPr>
          <w:p w14:paraId="7F4AA532" w14:textId="77777777" w:rsidR="009B56DD" w:rsidRPr="009B56DD" w:rsidRDefault="009B56DD" w:rsidP="00EA1DF3">
            <w:pPr>
              <w:rPr>
                <w:rFonts w:eastAsiaTheme="minorEastAsia" w:cs="Calibri"/>
              </w:rPr>
            </w:pPr>
            <w:r w:rsidRPr="009B56DD">
              <w:rPr>
                <w:rFonts w:eastAsiaTheme="minorEastAsia" w:cs="Calibri"/>
              </w:rPr>
              <w:t>MAA</w:t>
            </w:r>
          </w:p>
        </w:tc>
        <w:tc>
          <w:tcPr>
            <w:tcW w:w="6830" w:type="dxa"/>
          </w:tcPr>
          <w:p w14:paraId="7F4AA533" w14:textId="77777777" w:rsidR="009B56DD" w:rsidRPr="009B56DD" w:rsidRDefault="009B56DD" w:rsidP="00EA1DF3">
            <w:pPr>
              <w:rPr>
                <w:rFonts w:eastAsiaTheme="minorEastAsia" w:cs="Calibri"/>
              </w:rPr>
            </w:pPr>
            <w:r w:rsidRPr="009B56DD">
              <w:rPr>
                <w:rFonts w:eastAsiaTheme="minorEastAsia" w:cs="Calibri"/>
              </w:rPr>
              <w:t>Marketing Authorisation Application</w:t>
            </w:r>
          </w:p>
        </w:tc>
      </w:tr>
      <w:tr w:rsidR="009B56DD" w:rsidRPr="009B56DD" w14:paraId="7F4AA537" w14:textId="77777777" w:rsidTr="009B56DD">
        <w:tc>
          <w:tcPr>
            <w:tcW w:w="1890" w:type="dxa"/>
          </w:tcPr>
          <w:p w14:paraId="7F4AA535" w14:textId="77777777" w:rsidR="009B56DD" w:rsidRPr="009B56DD" w:rsidRDefault="009B56DD" w:rsidP="00EA1DF3">
            <w:pPr>
              <w:rPr>
                <w:rFonts w:eastAsiaTheme="minorEastAsia" w:cs="Calibri"/>
              </w:rPr>
            </w:pPr>
            <w:r w:rsidRPr="009B56DD">
              <w:rPr>
                <w:rFonts w:eastAsiaTheme="minorEastAsia" w:cs="Calibri"/>
              </w:rPr>
              <w:t>mAB</w:t>
            </w:r>
          </w:p>
        </w:tc>
        <w:tc>
          <w:tcPr>
            <w:tcW w:w="6830" w:type="dxa"/>
          </w:tcPr>
          <w:p w14:paraId="7F4AA536" w14:textId="77777777" w:rsidR="009B56DD" w:rsidRPr="009B56DD" w:rsidRDefault="009B56DD" w:rsidP="00EA1DF3">
            <w:pPr>
              <w:rPr>
                <w:rFonts w:eastAsiaTheme="minorEastAsia" w:cs="Calibri"/>
              </w:rPr>
            </w:pPr>
            <w:r w:rsidRPr="009B56DD">
              <w:rPr>
                <w:rFonts w:eastAsiaTheme="minorEastAsia" w:cs="Calibri"/>
              </w:rPr>
              <w:t>Monoclonal antibody</w:t>
            </w:r>
          </w:p>
        </w:tc>
      </w:tr>
      <w:tr w:rsidR="009B56DD" w:rsidRPr="009B56DD" w14:paraId="7F4AA53A" w14:textId="77777777" w:rsidTr="009B56DD">
        <w:tc>
          <w:tcPr>
            <w:tcW w:w="1890" w:type="dxa"/>
          </w:tcPr>
          <w:p w14:paraId="7F4AA538" w14:textId="77777777" w:rsidR="009B56DD" w:rsidRPr="009B56DD" w:rsidRDefault="009B56DD" w:rsidP="00EA1DF3">
            <w:pPr>
              <w:rPr>
                <w:rFonts w:eastAsiaTheme="minorEastAsia" w:cs="Calibri"/>
              </w:rPr>
            </w:pPr>
            <w:r w:rsidRPr="009B56DD">
              <w:rPr>
                <w:rFonts w:eastAsiaTheme="minorEastAsia" w:cs="Calibri"/>
              </w:rPr>
              <w:t>MedDRA</w:t>
            </w:r>
          </w:p>
        </w:tc>
        <w:tc>
          <w:tcPr>
            <w:tcW w:w="6830" w:type="dxa"/>
          </w:tcPr>
          <w:p w14:paraId="7F4AA539" w14:textId="77777777" w:rsidR="009B56DD" w:rsidRPr="009B56DD" w:rsidRDefault="009B56DD" w:rsidP="00EA1DF3">
            <w:pPr>
              <w:rPr>
                <w:rFonts w:eastAsiaTheme="minorEastAsia" w:cs="Calibri"/>
              </w:rPr>
            </w:pPr>
            <w:r w:rsidRPr="009B56DD">
              <w:rPr>
                <w:rFonts w:eastAsiaTheme="minorEastAsia" w:cs="Calibri"/>
              </w:rPr>
              <w:t>Medical Dictionary for Regulatory Activities</w:t>
            </w:r>
          </w:p>
        </w:tc>
      </w:tr>
      <w:tr w:rsidR="009B56DD" w:rsidRPr="009B56DD" w14:paraId="7F4AA53D" w14:textId="77777777" w:rsidTr="009B56DD">
        <w:tc>
          <w:tcPr>
            <w:tcW w:w="1890" w:type="dxa"/>
          </w:tcPr>
          <w:p w14:paraId="7F4AA53B" w14:textId="77777777" w:rsidR="009B56DD" w:rsidRPr="009B56DD" w:rsidRDefault="009B56DD" w:rsidP="00EA1DF3">
            <w:pPr>
              <w:rPr>
                <w:rFonts w:eastAsiaTheme="minorEastAsia" w:cs="Calibri"/>
              </w:rPr>
            </w:pPr>
            <w:r w:rsidRPr="009B56DD">
              <w:rPr>
                <w:rFonts w:eastAsiaTheme="minorEastAsia" w:cs="Calibri"/>
              </w:rPr>
              <w:t>MPA</w:t>
            </w:r>
          </w:p>
        </w:tc>
        <w:tc>
          <w:tcPr>
            <w:tcW w:w="6830" w:type="dxa"/>
          </w:tcPr>
          <w:p w14:paraId="7F4AA53C" w14:textId="77777777" w:rsidR="009B56DD" w:rsidRPr="009B56DD" w:rsidRDefault="009B56DD" w:rsidP="00EA1DF3">
            <w:pPr>
              <w:rPr>
                <w:rFonts w:eastAsiaTheme="minorEastAsia" w:cs="Calibri"/>
              </w:rPr>
            </w:pPr>
            <w:r w:rsidRPr="009B56DD">
              <w:rPr>
                <w:rFonts w:eastAsiaTheme="minorEastAsia" w:cs="Calibri"/>
              </w:rPr>
              <w:t>Microscopic polyangiitis</w:t>
            </w:r>
          </w:p>
        </w:tc>
      </w:tr>
      <w:tr w:rsidR="009B56DD" w:rsidRPr="009B56DD" w14:paraId="7F4AA540" w14:textId="77777777" w:rsidTr="009B56DD">
        <w:tc>
          <w:tcPr>
            <w:tcW w:w="1890" w:type="dxa"/>
          </w:tcPr>
          <w:p w14:paraId="7F4AA53E" w14:textId="77777777" w:rsidR="009B56DD" w:rsidRPr="009B56DD" w:rsidRDefault="009B56DD" w:rsidP="00EA1DF3">
            <w:pPr>
              <w:rPr>
                <w:rFonts w:eastAsiaTheme="minorEastAsia" w:cs="Calibri"/>
              </w:rPr>
            </w:pPr>
            <w:r w:rsidRPr="009B56DD">
              <w:rPr>
                <w:rFonts w:eastAsiaTheme="minorEastAsia" w:cs="Calibri"/>
              </w:rPr>
              <w:t>MTX</w:t>
            </w:r>
          </w:p>
        </w:tc>
        <w:tc>
          <w:tcPr>
            <w:tcW w:w="6830" w:type="dxa"/>
          </w:tcPr>
          <w:p w14:paraId="7F4AA53F" w14:textId="77777777" w:rsidR="009B56DD" w:rsidRPr="009B56DD" w:rsidRDefault="009B56DD" w:rsidP="00EA1DF3">
            <w:pPr>
              <w:rPr>
                <w:rFonts w:eastAsiaTheme="minorEastAsia" w:cs="Calibri"/>
              </w:rPr>
            </w:pPr>
            <w:r w:rsidRPr="009B56DD">
              <w:rPr>
                <w:rFonts w:eastAsiaTheme="minorEastAsia" w:cs="Calibri"/>
              </w:rPr>
              <w:t>Methotrexate</w:t>
            </w:r>
          </w:p>
        </w:tc>
      </w:tr>
      <w:tr w:rsidR="009B56DD" w:rsidRPr="009B56DD" w14:paraId="7F4AA543" w14:textId="77777777" w:rsidTr="009B56DD">
        <w:tc>
          <w:tcPr>
            <w:tcW w:w="1890" w:type="dxa"/>
          </w:tcPr>
          <w:p w14:paraId="7F4AA541" w14:textId="77777777" w:rsidR="009B56DD" w:rsidRPr="009B56DD" w:rsidRDefault="009B56DD" w:rsidP="00EA1DF3">
            <w:pPr>
              <w:rPr>
                <w:rFonts w:eastAsiaTheme="minorEastAsia" w:cs="Calibri"/>
              </w:rPr>
            </w:pPr>
            <w:r w:rsidRPr="009B56DD">
              <w:rPr>
                <w:rFonts w:eastAsiaTheme="minorEastAsia" w:cs="Calibri"/>
              </w:rPr>
              <w:t>NAb</w:t>
            </w:r>
          </w:p>
        </w:tc>
        <w:tc>
          <w:tcPr>
            <w:tcW w:w="6830" w:type="dxa"/>
          </w:tcPr>
          <w:p w14:paraId="7F4AA542" w14:textId="77777777" w:rsidR="009B56DD" w:rsidRPr="009B56DD" w:rsidRDefault="009B56DD" w:rsidP="00EA1DF3">
            <w:pPr>
              <w:rPr>
                <w:rFonts w:eastAsiaTheme="minorEastAsia" w:cs="Calibri"/>
              </w:rPr>
            </w:pPr>
            <w:r w:rsidRPr="009B56DD">
              <w:rPr>
                <w:rFonts w:eastAsiaTheme="minorEastAsia" w:cs="Calibri"/>
              </w:rPr>
              <w:t>Neutralising antibody</w:t>
            </w:r>
          </w:p>
        </w:tc>
      </w:tr>
      <w:tr w:rsidR="009B56DD" w:rsidRPr="009B56DD" w14:paraId="7F4AA546" w14:textId="77777777" w:rsidTr="009B56DD">
        <w:tc>
          <w:tcPr>
            <w:tcW w:w="1890" w:type="dxa"/>
          </w:tcPr>
          <w:p w14:paraId="7F4AA544" w14:textId="77777777" w:rsidR="009B56DD" w:rsidRPr="009B56DD" w:rsidRDefault="009B56DD" w:rsidP="00EA1DF3">
            <w:pPr>
              <w:rPr>
                <w:rFonts w:eastAsiaTheme="minorEastAsia" w:cs="Calibri"/>
              </w:rPr>
            </w:pPr>
            <w:r w:rsidRPr="009B56DD">
              <w:rPr>
                <w:rFonts w:eastAsiaTheme="minorEastAsia" w:cs="Calibri"/>
              </w:rPr>
              <w:t>NHL</w:t>
            </w:r>
          </w:p>
        </w:tc>
        <w:tc>
          <w:tcPr>
            <w:tcW w:w="6830" w:type="dxa"/>
          </w:tcPr>
          <w:p w14:paraId="7F4AA545" w14:textId="5FA2B598" w:rsidR="009B56DD" w:rsidRPr="009B56DD" w:rsidRDefault="009B56DD" w:rsidP="00EA1DF3">
            <w:pPr>
              <w:rPr>
                <w:rFonts w:eastAsiaTheme="minorEastAsia" w:cs="Calibri"/>
              </w:rPr>
            </w:pPr>
            <w:r w:rsidRPr="009B56DD">
              <w:rPr>
                <w:rFonts w:eastAsiaTheme="minorEastAsia" w:cs="Calibri"/>
              </w:rPr>
              <w:t xml:space="preserve">Non-Hodgkin’s </w:t>
            </w:r>
            <w:r w:rsidR="00296BBC">
              <w:rPr>
                <w:rFonts w:eastAsiaTheme="minorEastAsia" w:cs="Calibri"/>
              </w:rPr>
              <w:t>l</w:t>
            </w:r>
            <w:r w:rsidRPr="009B56DD">
              <w:rPr>
                <w:rFonts w:eastAsiaTheme="minorEastAsia" w:cs="Calibri"/>
              </w:rPr>
              <w:t>ymphoma</w:t>
            </w:r>
          </w:p>
        </w:tc>
      </w:tr>
      <w:tr w:rsidR="009B56DD" w:rsidRPr="009B56DD" w14:paraId="7F4AA549" w14:textId="77777777" w:rsidTr="009B56DD">
        <w:tc>
          <w:tcPr>
            <w:tcW w:w="1890" w:type="dxa"/>
          </w:tcPr>
          <w:p w14:paraId="7F4AA547" w14:textId="77777777" w:rsidR="009B56DD" w:rsidRPr="009B56DD" w:rsidRDefault="009B56DD" w:rsidP="00EA1DF3">
            <w:pPr>
              <w:rPr>
                <w:rFonts w:eastAsiaTheme="minorEastAsia" w:cs="Calibri"/>
              </w:rPr>
            </w:pPr>
            <w:r w:rsidRPr="009B56DD">
              <w:rPr>
                <w:rFonts w:eastAsiaTheme="minorEastAsia" w:cs="Calibri"/>
              </w:rPr>
              <w:t>NMQ</w:t>
            </w:r>
          </w:p>
        </w:tc>
        <w:tc>
          <w:tcPr>
            <w:tcW w:w="6830" w:type="dxa"/>
          </w:tcPr>
          <w:p w14:paraId="7F4AA548" w14:textId="77777777" w:rsidR="009B56DD" w:rsidRPr="009B56DD" w:rsidRDefault="009B56DD" w:rsidP="00EA1DF3">
            <w:pPr>
              <w:rPr>
                <w:rFonts w:eastAsiaTheme="minorEastAsia" w:cs="Calibri"/>
              </w:rPr>
            </w:pPr>
            <w:r w:rsidRPr="009B56DD">
              <w:rPr>
                <w:rFonts w:eastAsiaTheme="minorEastAsia" w:cs="Calibri"/>
              </w:rPr>
              <w:t>Novartis MedDRA Query</w:t>
            </w:r>
          </w:p>
        </w:tc>
      </w:tr>
      <w:tr w:rsidR="009B56DD" w:rsidRPr="009B56DD" w14:paraId="7F4AA54C" w14:textId="77777777" w:rsidTr="009B56DD">
        <w:tc>
          <w:tcPr>
            <w:tcW w:w="1890" w:type="dxa"/>
          </w:tcPr>
          <w:p w14:paraId="7F4AA54A" w14:textId="77777777" w:rsidR="009B56DD" w:rsidRPr="009B56DD" w:rsidRDefault="009B56DD" w:rsidP="00EA1DF3">
            <w:pPr>
              <w:rPr>
                <w:rFonts w:eastAsiaTheme="minorEastAsia" w:cs="Calibri"/>
              </w:rPr>
            </w:pPr>
            <w:r w:rsidRPr="009B56DD">
              <w:rPr>
                <w:rFonts w:eastAsiaTheme="minorEastAsia" w:cs="Calibri"/>
              </w:rPr>
              <w:t>ORR</w:t>
            </w:r>
          </w:p>
        </w:tc>
        <w:tc>
          <w:tcPr>
            <w:tcW w:w="6830" w:type="dxa"/>
          </w:tcPr>
          <w:p w14:paraId="7F4AA54B" w14:textId="77777777" w:rsidR="009B56DD" w:rsidRPr="009B56DD" w:rsidRDefault="009B56DD" w:rsidP="00EA1DF3">
            <w:pPr>
              <w:rPr>
                <w:rFonts w:eastAsiaTheme="minorEastAsia" w:cs="Calibri"/>
              </w:rPr>
            </w:pPr>
            <w:r w:rsidRPr="009B56DD">
              <w:rPr>
                <w:rFonts w:eastAsiaTheme="minorEastAsia" w:cs="Calibri"/>
              </w:rPr>
              <w:t>Overall response rate</w:t>
            </w:r>
          </w:p>
        </w:tc>
      </w:tr>
      <w:tr w:rsidR="009B56DD" w:rsidRPr="009B56DD" w14:paraId="7F4AA54F" w14:textId="77777777" w:rsidTr="009B56DD">
        <w:tc>
          <w:tcPr>
            <w:tcW w:w="1890" w:type="dxa"/>
          </w:tcPr>
          <w:p w14:paraId="7F4AA54D" w14:textId="77777777" w:rsidR="009B56DD" w:rsidRPr="009B56DD" w:rsidRDefault="009B56DD" w:rsidP="00EA1DF3">
            <w:pPr>
              <w:rPr>
                <w:rFonts w:eastAsiaTheme="minorEastAsia" w:cs="Calibri"/>
              </w:rPr>
            </w:pPr>
            <w:r w:rsidRPr="009B56DD">
              <w:rPr>
                <w:rFonts w:eastAsiaTheme="minorEastAsia" w:cs="Calibri"/>
              </w:rPr>
              <w:t>OS</w:t>
            </w:r>
          </w:p>
        </w:tc>
        <w:tc>
          <w:tcPr>
            <w:tcW w:w="6830" w:type="dxa"/>
          </w:tcPr>
          <w:p w14:paraId="7F4AA54E" w14:textId="77777777" w:rsidR="009B56DD" w:rsidRPr="009B56DD" w:rsidRDefault="009B56DD" w:rsidP="00EA1DF3">
            <w:pPr>
              <w:rPr>
                <w:rFonts w:eastAsiaTheme="minorEastAsia" w:cs="Calibri"/>
              </w:rPr>
            </w:pPr>
            <w:r w:rsidRPr="009B56DD">
              <w:rPr>
                <w:rFonts w:eastAsiaTheme="minorEastAsia" w:cs="Calibri"/>
              </w:rPr>
              <w:t>Overall survival</w:t>
            </w:r>
          </w:p>
        </w:tc>
      </w:tr>
      <w:tr w:rsidR="009B56DD" w:rsidRPr="009B56DD" w14:paraId="7F4AA552" w14:textId="77777777" w:rsidTr="009B56DD">
        <w:tc>
          <w:tcPr>
            <w:tcW w:w="1890" w:type="dxa"/>
          </w:tcPr>
          <w:p w14:paraId="7F4AA550" w14:textId="77777777" w:rsidR="009B56DD" w:rsidRPr="009B56DD" w:rsidRDefault="009B56DD" w:rsidP="00EA1DF3">
            <w:pPr>
              <w:rPr>
                <w:rFonts w:eastAsiaTheme="minorEastAsia" w:cs="Calibri"/>
              </w:rPr>
            </w:pPr>
            <w:r w:rsidRPr="009B56DD">
              <w:rPr>
                <w:rFonts w:eastAsiaTheme="minorEastAsia" w:cs="Calibri"/>
              </w:rPr>
              <w:t>PAS</w:t>
            </w:r>
          </w:p>
        </w:tc>
        <w:tc>
          <w:tcPr>
            <w:tcW w:w="6830" w:type="dxa"/>
          </w:tcPr>
          <w:p w14:paraId="7F4AA551" w14:textId="77777777" w:rsidR="009B56DD" w:rsidRPr="009B56DD" w:rsidRDefault="009B56DD" w:rsidP="00EA1DF3">
            <w:pPr>
              <w:rPr>
                <w:rFonts w:eastAsiaTheme="minorEastAsia" w:cs="Calibri"/>
              </w:rPr>
            </w:pPr>
            <w:r w:rsidRPr="009B56DD">
              <w:rPr>
                <w:rFonts w:eastAsiaTheme="minorEastAsia" w:cs="Calibri"/>
              </w:rPr>
              <w:t>PK analysis set</w:t>
            </w:r>
          </w:p>
        </w:tc>
      </w:tr>
      <w:tr w:rsidR="009B56DD" w:rsidRPr="009B56DD" w14:paraId="7F4AA555" w14:textId="77777777" w:rsidTr="009B56DD">
        <w:tc>
          <w:tcPr>
            <w:tcW w:w="1890" w:type="dxa"/>
          </w:tcPr>
          <w:p w14:paraId="7F4AA553" w14:textId="77777777" w:rsidR="009B56DD" w:rsidRPr="009B56DD" w:rsidRDefault="009B56DD" w:rsidP="00EA1DF3">
            <w:pPr>
              <w:rPr>
                <w:rFonts w:eastAsiaTheme="minorEastAsia" w:cs="Calibri"/>
              </w:rPr>
            </w:pPr>
            <w:r w:rsidRPr="009B56DD">
              <w:rPr>
                <w:rFonts w:eastAsiaTheme="minorEastAsia" w:cs="Calibri"/>
              </w:rPr>
              <w:t>PD</w:t>
            </w:r>
          </w:p>
        </w:tc>
        <w:tc>
          <w:tcPr>
            <w:tcW w:w="6830" w:type="dxa"/>
          </w:tcPr>
          <w:p w14:paraId="7F4AA554" w14:textId="77777777" w:rsidR="009B56DD" w:rsidRPr="009B56DD" w:rsidRDefault="009B56DD" w:rsidP="00EA1DF3">
            <w:pPr>
              <w:rPr>
                <w:rFonts w:eastAsiaTheme="minorEastAsia" w:cs="Calibri"/>
              </w:rPr>
            </w:pPr>
            <w:r w:rsidRPr="009B56DD">
              <w:rPr>
                <w:rFonts w:eastAsiaTheme="minorEastAsia" w:cs="Calibri"/>
              </w:rPr>
              <w:t>Pharmacodynamics</w:t>
            </w:r>
          </w:p>
        </w:tc>
      </w:tr>
      <w:tr w:rsidR="009B56DD" w:rsidRPr="009B56DD" w14:paraId="7F4AA558" w14:textId="77777777" w:rsidTr="009B56DD">
        <w:tc>
          <w:tcPr>
            <w:tcW w:w="1890" w:type="dxa"/>
          </w:tcPr>
          <w:p w14:paraId="7F4AA556" w14:textId="77777777" w:rsidR="009B56DD" w:rsidRPr="009B56DD" w:rsidRDefault="009B56DD" w:rsidP="00EA1DF3">
            <w:pPr>
              <w:rPr>
                <w:rFonts w:eastAsiaTheme="minorEastAsia" w:cs="Calibri"/>
              </w:rPr>
            </w:pPr>
            <w:r w:rsidRPr="009B56DD">
              <w:rPr>
                <w:rFonts w:eastAsiaTheme="minorEastAsia" w:cs="Calibri"/>
              </w:rPr>
              <w:t>PFS</w:t>
            </w:r>
          </w:p>
        </w:tc>
        <w:tc>
          <w:tcPr>
            <w:tcW w:w="6830" w:type="dxa"/>
          </w:tcPr>
          <w:p w14:paraId="7F4AA557" w14:textId="77777777" w:rsidR="009B56DD" w:rsidRPr="009B56DD" w:rsidRDefault="009B56DD" w:rsidP="00EA1DF3">
            <w:pPr>
              <w:rPr>
                <w:rFonts w:eastAsiaTheme="minorEastAsia" w:cs="Calibri"/>
              </w:rPr>
            </w:pPr>
            <w:r w:rsidRPr="009B56DD">
              <w:rPr>
                <w:rFonts w:eastAsiaTheme="minorEastAsia" w:cs="Calibri"/>
              </w:rPr>
              <w:t>Progression free survival</w:t>
            </w:r>
          </w:p>
        </w:tc>
      </w:tr>
      <w:tr w:rsidR="009B56DD" w:rsidRPr="009B56DD" w14:paraId="7F4AA55B" w14:textId="77777777" w:rsidTr="009B56DD">
        <w:tc>
          <w:tcPr>
            <w:tcW w:w="1890" w:type="dxa"/>
          </w:tcPr>
          <w:p w14:paraId="7F4AA559" w14:textId="77777777" w:rsidR="009B56DD" w:rsidRPr="009B56DD" w:rsidRDefault="009B56DD" w:rsidP="00EA1DF3">
            <w:pPr>
              <w:rPr>
                <w:rFonts w:eastAsiaTheme="minorEastAsia" w:cs="Calibri"/>
              </w:rPr>
            </w:pPr>
            <w:r w:rsidRPr="009B56DD">
              <w:rPr>
                <w:rFonts w:eastAsiaTheme="minorEastAsia" w:cs="Calibri"/>
              </w:rPr>
              <w:t>PI</w:t>
            </w:r>
          </w:p>
        </w:tc>
        <w:tc>
          <w:tcPr>
            <w:tcW w:w="6830" w:type="dxa"/>
          </w:tcPr>
          <w:p w14:paraId="7F4AA55A" w14:textId="77777777" w:rsidR="009B56DD" w:rsidRPr="009B56DD" w:rsidRDefault="009B56DD" w:rsidP="00EA1DF3">
            <w:pPr>
              <w:rPr>
                <w:rFonts w:eastAsiaTheme="minorEastAsia" w:cs="Calibri"/>
              </w:rPr>
            </w:pPr>
            <w:r w:rsidRPr="009B56DD">
              <w:rPr>
                <w:rFonts w:eastAsiaTheme="minorEastAsia" w:cs="Calibri"/>
              </w:rPr>
              <w:t>Product Information</w:t>
            </w:r>
          </w:p>
        </w:tc>
      </w:tr>
      <w:tr w:rsidR="009B56DD" w:rsidRPr="009B56DD" w14:paraId="7F4AA55E" w14:textId="77777777" w:rsidTr="009B56DD">
        <w:tc>
          <w:tcPr>
            <w:tcW w:w="1890" w:type="dxa"/>
          </w:tcPr>
          <w:p w14:paraId="7F4AA55C" w14:textId="77777777" w:rsidR="009B56DD" w:rsidRPr="009B56DD" w:rsidRDefault="009B56DD" w:rsidP="00EA1DF3">
            <w:pPr>
              <w:rPr>
                <w:rFonts w:eastAsiaTheme="minorEastAsia" w:cs="Calibri"/>
              </w:rPr>
            </w:pPr>
            <w:r w:rsidRPr="009B56DD">
              <w:rPr>
                <w:rFonts w:eastAsiaTheme="minorEastAsia" w:cs="Calibri"/>
              </w:rPr>
              <w:t>PMDA</w:t>
            </w:r>
          </w:p>
        </w:tc>
        <w:tc>
          <w:tcPr>
            <w:tcW w:w="6830" w:type="dxa"/>
          </w:tcPr>
          <w:p w14:paraId="7F4AA55D" w14:textId="77777777" w:rsidR="009B56DD" w:rsidRPr="009B56DD" w:rsidRDefault="009B56DD" w:rsidP="00EA1DF3">
            <w:pPr>
              <w:rPr>
                <w:rFonts w:eastAsiaTheme="minorEastAsia" w:cs="Calibri"/>
              </w:rPr>
            </w:pPr>
            <w:r w:rsidRPr="009B56DD">
              <w:rPr>
                <w:rFonts w:eastAsiaTheme="minorEastAsia" w:cs="Calibri"/>
              </w:rPr>
              <w:t xml:space="preserve">Pharmaceuticals and Medical Devices Agency </w:t>
            </w:r>
          </w:p>
        </w:tc>
      </w:tr>
      <w:tr w:rsidR="009B56DD" w:rsidRPr="009B56DD" w14:paraId="7F4AA561" w14:textId="77777777" w:rsidTr="009B56DD">
        <w:tc>
          <w:tcPr>
            <w:tcW w:w="1890" w:type="dxa"/>
          </w:tcPr>
          <w:p w14:paraId="7F4AA55F" w14:textId="77777777" w:rsidR="009B56DD" w:rsidRPr="009B56DD" w:rsidRDefault="009B56DD" w:rsidP="00EA1DF3">
            <w:pPr>
              <w:rPr>
                <w:rFonts w:eastAsiaTheme="minorEastAsia" w:cs="Calibri"/>
              </w:rPr>
            </w:pPr>
            <w:r w:rsidRPr="009B56DD">
              <w:rPr>
                <w:rFonts w:eastAsiaTheme="minorEastAsia" w:cs="Calibri"/>
              </w:rPr>
              <w:t>PML</w:t>
            </w:r>
          </w:p>
        </w:tc>
        <w:tc>
          <w:tcPr>
            <w:tcW w:w="6830" w:type="dxa"/>
          </w:tcPr>
          <w:p w14:paraId="7F4AA560" w14:textId="77777777" w:rsidR="009B56DD" w:rsidRPr="009B56DD" w:rsidRDefault="009B56DD" w:rsidP="00EA1DF3">
            <w:pPr>
              <w:rPr>
                <w:rFonts w:eastAsiaTheme="minorEastAsia" w:cs="Calibri"/>
              </w:rPr>
            </w:pPr>
            <w:r w:rsidRPr="009B56DD">
              <w:rPr>
                <w:rFonts w:eastAsiaTheme="minorEastAsia" w:cs="Calibri"/>
              </w:rPr>
              <w:t>Progressive multifocal leukoencephalopathy</w:t>
            </w:r>
          </w:p>
        </w:tc>
      </w:tr>
      <w:tr w:rsidR="009B56DD" w:rsidRPr="009B56DD" w14:paraId="7F4AA564" w14:textId="77777777" w:rsidTr="009B56DD">
        <w:tc>
          <w:tcPr>
            <w:tcW w:w="1890" w:type="dxa"/>
          </w:tcPr>
          <w:p w14:paraId="7F4AA562" w14:textId="77777777" w:rsidR="009B56DD" w:rsidRPr="009B56DD" w:rsidRDefault="009B56DD" w:rsidP="00EA1DF3">
            <w:pPr>
              <w:rPr>
                <w:rFonts w:eastAsiaTheme="minorEastAsia" w:cs="Calibri"/>
              </w:rPr>
            </w:pPr>
            <w:r w:rsidRPr="009B56DD">
              <w:rPr>
                <w:rFonts w:eastAsiaTheme="minorEastAsia" w:cs="Calibri"/>
              </w:rPr>
              <w:t>PPS</w:t>
            </w:r>
          </w:p>
        </w:tc>
        <w:tc>
          <w:tcPr>
            <w:tcW w:w="6830" w:type="dxa"/>
          </w:tcPr>
          <w:p w14:paraId="7F4AA563" w14:textId="77777777" w:rsidR="009B56DD" w:rsidRPr="009B56DD" w:rsidRDefault="009B56DD" w:rsidP="00EA1DF3">
            <w:pPr>
              <w:rPr>
                <w:rFonts w:eastAsiaTheme="minorEastAsia" w:cs="Calibri"/>
              </w:rPr>
            </w:pPr>
            <w:r w:rsidRPr="009B56DD">
              <w:rPr>
                <w:rFonts w:eastAsiaTheme="minorEastAsia" w:cs="Calibri"/>
              </w:rPr>
              <w:t>Per Protocol Set</w:t>
            </w:r>
          </w:p>
        </w:tc>
      </w:tr>
      <w:tr w:rsidR="009B56DD" w:rsidRPr="009B56DD" w14:paraId="7F4AA567" w14:textId="77777777" w:rsidTr="009B56DD">
        <w:tc>
          <w:tcPr>
            <w:tcW w:w="1890" w:type="dxa"/>
          </w:tcPr>
          <w:p w14:paraId="7F4AA565" w14:textId="77777777" w:rsidR="009B56DD" w:rsidRPr="009B56DD" w:rsidRDefault="009B56DD" w:rsidP="00EA1DF3">
            <w:pPr>
              <w:rPr>
                <w:rFonts w:eastAsiaTheme="minorEastAsia" w:cs="Calibri"/>
              </w:rPr>
            </w:pPr>
            <w:r w:rsidRPr="009B56DD">
              <w:rPr>
                <w:rFonts w:eastAsiaTheme="minorEastAsia" w:cs="Calibri"/>
              </w:rPr>
              <w:lastRenderedPageBreak/>
              <w:t>PR</w:t>
            </w:r>
          </w:p>
        </w:tc>
        <w:tc>
          <w:tcPr>
            <w:tcW w:w="6830" w:type="dxa"/>
          </w:tcPr>
          <w:p w14:paraId="7F4AA566" w14:textId="77777777" w:rsidR="009B56DD" w:rsidRPr="009B56DD" w:rsidRDefault="009B56DD" w:rsidP="00EA1DF3">
            <w:pPr>
              <w:rPr>
                <w:rFonts w:eastAsiaTheme="minorEastAsia" w:cs="Calibri"/>
              </w:rPr>
            </w:pPr>
            <w:r w:rsidRPr="009B56DD">
              <w:rPr>
                <w:rFonts w:eastAsiaTheme="minorEastAsia" w:cs="Calibri"/>
              </w:rPr>
              <w:t xml:space="preserve">Partial response </w:t>
            </w:r>
          </w:p>
        </w:tc>
      </w:tr>
      <w:tr w:rsidR="009B56DD" w:rsidRPr="009B56DD" w14:paraId="7F4AA56A" w14:textId="77777777" w:rsidTr="009B56DD">
        <w:tc>
          <w:tcPr>
            <w:tcW w:w="1890" w:type="dxa"/>
          </w:tcPr>
          <w:p w14:paraId="7F4AA568" w14:textId="77777777" w:rsidR="009B56DD" w:rsidRPr="009B56DD" w:rsidRDefault="009B56DD" w:rsidP="00EA1DF3">
            <w:pPr>
              <w:rPr>
                <w:rFonts w:eastAsiaTheme="minorEastAsia" w:cs="Calibri"/>
              </w:rPr>
            </w:pPr>
            <w:r w:rsidRPr="009B56DD">
              <w:rPr>
                <w:rFonts w:eastAsiaTheme="minorEastAsia" w:cs="Calibri"/>
              </w:rPr>
              <w:t>PT</w:t>
            </w:r>
          </w:p>
        </w:tc>
        <w:tc>
          <w:tcPr>
            <w:tcW w:w="6830" w:type="dxa"/>
          </w:tcPr>
          <w:p w14:paraId="7F4AA569" w14:textId="77777777" w:rsidR="009B56DD" w:rsidRPr="009B56DD" w:rsidRDefault="009B56DD" w:rsidP="00EA1DF3">
            <w:pPr>
              <w:rPr>
                <w:rFonts w:eastAsiaTheme="minorEastAsia" w:cs="Calibri"/>
              </w:rPr>
            </w:pPr>
            <w:r w:rsidRPr="009B56DD">
              <w:rPr>
                <w:rFonts w:eastAsiaTheme="minorEastAsia" w:cs="Calibri"/>
              </w:rPr>
              <w:t>Preferred term</w:t>
            </w:r>
          </w:p>
        </w:tc>
      </w:tr>
      <w:tr w:rsidR="009B56DD" w:rsidRPr="009B56DD" w14:paraId="7F4AA56D" w14:textId="77777777" w:rsidTr="009B56DD">
        <w:tc>
          <w:tcPr>
            <w:tcW w:w="1890" w:type="dxa"/>
          </w:tcPr>
          <w:p w14:paraId="7F4AA56B" w14:textId="77777777" w:rsidR="009B56DD" w:rsidRPr="009B56DD" w:rsidRDefault="009B56DD" w:rsidP="00EA1DF3">
            <w:pPr>
              <w:rPr>
                <w:rFonts w:eastAsiaTheme="minorEastAsia" w:cs="Calibri"/>
              </w:rPr>
            </w:pPr>
            <w:r w:rsidRPr="009B56DD">
              <w:rPr>
                <w:rFonts w:eastAsiaTheme="minorEastAsia" w:cs="Calibri"/>
              </w:rPr>
              <w:t>RA</w:t>
            </w:r>
          </w:p>
        </w:tc>
        <w:tc>
          <w:tcPr>
            <w:tcW w:w="6830" w:type="dxa"/>
          </w:tcPr>
          <w:p w14:paraId="7F4AA56C" w14:textId="77777777" w:rsidR="009B56DD" w:rsidRPr="009B56DD" w:rsidRDefault="009B56DD" w:rsidP="00EA1DF3">
            <w:pPr>
              <w:rPr>
                <w:rFonts w:eastAsiaTheme="minorEastAsia" w:cs="Calibri"/>
              </w:rPr>
            </w:pPr>
            <w:r w:rsidRPr="009B56DD">
              <w:rPr>
                <w:rFonts w:eastAsiaTheme="minorEastAsia" w:cs="Calibri"/>
              </w:rPr>
              <w:t>Rheumatoid arthritis</w:t>
            </w:r>
          </w:p>
        </w:tc>
      </w:tr>
      <w:tr w:rsidR="009B56DD" w:rsidRPr="009B56DD" w14:paraId="7F4AA570" w14:textId="77777777" w:rsidTr="009B56DD">
        <w:tc>
          <w:tcPr>
            <w:tcW w:w="1890" w:type="dxa"/>
          </w:tcPr>
          <w:p w14:paraId="7F4AA56E" w14:textId="77777777" w:rsidR="009B56DD" w:rsidRPr="009B56DD" w:rsidRDefault="009B56DD" w:rsidP="00EA1DF3">
            <w:pPr>
              <w:rPr>
                <w:rFonts w:eastAsiaTheme="minorEastAsia" w:cs="Calibri"/>
              </w:rPr>
            </w:pPr>
            <w:r w:rsidRPr="009B56DD">
              <w:rPr>
                <w:rFonts w:eastAsiaTheme="minorEastAsia" w:cs="Calibri"/>
              </w:rPr>
              <w:t>RF</w:t>
            </w:r>
          </w:p>
        </w:tc>
        <w:tc>
          <w:tcPr>
            <w:tcW w:w="6830" w:type="dxa"/>
          </w:tcPr>
          <w:p w14:paraId="7F4AA56F" w14:textId="77777777" w:rsidR="009B56DD" w:rsidRPr="009B56DD" w:rsidRDefault="009B56DD" w:rsidP="00EA1DF3">
            <w:pPr>
              <w:rPr>
                <w:rFonts w:eastAsiaTheme="minorEastAsia" w:cs="Calibri"/>
              </w:rPr>
            </w:pPr>
            <w:r w:rsidRPr="009B56DD">
              <w:rPr>
                <w:rFonts w:eastAsiaTheme="minorEastAsia" w:cs="Calibri"/>
              </w:rPr>
              <w:t>Rheumatoid factor</w:t>
            </w:r>
          </w:p>
        </w:tc>
      </w:tr>
      <w:tr w:rsidR="009B56DD" w:rsidRPr="009B56DD" w14:paraId="7F4AA573" w14:textId="77777777" w:rsidTr="009B56DD">
        <w:tc>
          <w:tcPr>
            <w:tcW w:w="1890" w:type="dxa"/>
          </w:tcPr>
          <w:p w14:paraId="7F4AA571" w14:textId="77777777" w:rsidR="009B56DD" w:rsidRPr="009B56DD" w:rsidRDefault="009B56DD" w:rsidP="00EA1DF3">
            <w:pPr>
              <w:rPr>
                <w:rFonts w:eastAsiaTheme="minorEastAsia" w:cs="Calibri"/>
              </w:rPr>
            </w:pPr>
            <w:r w:rsidRPr="009B56DD">
              <w:rPr>
                <w:rFonts w:eastAsiaTheme="minorEastAsia" w:cs="Calibri"/>
              </w:rPr>
              <w:t>SAE</w:t>
            </w:r>
          </w:p>
        </w:tc>
        <w:tc>
          <w:tcPr>
            <w:tcW w:w="6830" w:type="dxa"/>
          </w:tcPr>
          <w:p w14:paraId="7F4AA572" w14:textId="77777777" w:rsidR="009B56DD" w:rsidRPr="009B56DD" w:rsidRDefault="009B56DD" w:rsidP="00EA1DF3">
            <w:pPr>
              <w:rPr>
                <w:rFonts w:eastAsiaTheme="minorEastAsia" w:cs="Calibri"/>
              </w:rPr>
            </w:pPr>
            <w:r w:rsidRPr="009B56DD">
              <w:rPr>
                <w:rFonts w:eastAsiaTheme="minorEastAsia" w:cs="Calibri"/>
              </w:rPr>
              <w:t>Serious adverse event</w:t>
            </w:r>
          </w:p>
        </w:tc>
      </w:tr>
      <w:tr w:rsidR="009B56DD" w:rsidRPr="009B56DD" w14:paraId="7F4AA576" w14:textId="77777777" w:rsidTr="009B56DD">
        <w:tc>
          <w:tcPr>
            <w:tcW w:w="1890" w:type="dxa"/>
          </w:tcPr>
          <w:p w14:paraId="7F4AA574" w14:textId="77777777" w:rsidR="009B56DD" w:rsidRPr="009B56DD" w:rsidRDefault="009B56DD" w:rsidP="00EA1DF3">
            <w:pPr>
              <w:rPr>
                <w:rFonts w:eastAsiaTheme="minorEastAsia" w:cs="Calibri"/>
              </w:rPr>
            </w:pPr>
            <w:r w:rsidRPr="009B56DD">
              <w:rPr>
                <w:rFonts w:eastAsiaTheme="minorEastAsia" w:cs="Calibri"/>
              </w:rPr>
              <w:t>SD</w:t>
            </w:r>
          </w:p>
        </w:tc>
        <w:tc>
          <w:tcPr>
            <w:tcW w:w="6830" w:type="dxa"/>
          </w:tcPr>
          <w:p w14:paraId="7F4AA575" w14:textId="77777777" w:rsidR="009B56DD" w:rsidRPr="009B56DD" w:rsidRDefault="009B56DD" w:rsidP="00EA1DF3">
            <w:pPr>
              <w:rPr>
                <w:rFonts w:eastAsiaTheme="minorEastAsia" w:cs="Calibri"/>
              </w:rPr>
            </w:pPr>
            <w:r w:rsidRPr="009B56DD">
              <w:rPr>
                <w:rFonts w:eastAsiaTheme="minorEastAsia" w:cs="Calibri"/>
              </w:rPr>
              <w:t>Standard deviation</w:t>
            </w:r>
          </w:p>
        </w:tc>
      </w:tr>
      <w:tr w:rsidR="009B56DD" w:rsidRPr="009B56DD" w14:paraId="7F4AA579" w14:textId="77777777" w:rsidTr="009B56DD">
        <w:tc>
          <w:tcPr>
            <w:tcW w:w="1890" w:type="dxa"/>
          </w:tcPr>
          <w:p w14:paraId="7F4AA577" w14:textId="77777777" w:rsidR="009B56DD" w:rsidRPr="009B56DD" w:rsidRDefault="009B56DD" w:rsidP="00EA1DF3">
            <w:pPr>
              <w:rPr>
                <w:rFonts w:eastAsiaTheme="minorEastAsia" w:cs="Calibri"/>
              </w:rPr>
            </w:pPr>
            <w:r w:rsidRPr="009B56DD">
              <w:rPr>
                <w:rFonts w:eastAsiaTheme="minorEastAsia" w:cs="Calibri"/>
              </w:rPr>
              <w:t>SDAI</w:t>
            </w:r>
          </w:p>
        </w:tc>
        <w:tc>
          <w:tcPr>
            <w:tcW w:w="6830" w:type="dxa"/>
          </w:tcPr>
          <w:p w14:paraId="7F4AA578" w14:textId="77777777" w:rsidR="009B56DD" w:rsidRPr="009B56DD" w:rsidRDefault="009B56DD" w:rsidP="00EA1DF3">
            <w:pPr>
              <w:rPr>
                <w:rFonts w:eastAsiaTheme="minorEastAsia" w:cs="Calibri"/>
              </w:rPr>
            </w:pPr>
            <w:r w:rsidRPr="009B56DD">
              <w:rPr>
                <w:rFonts w:eastAsiaTheme="minorEastAsia" w:cs="Calibri"/>
              </w:rPr>
              <w:t>Simplified disease activity index</w:t>
            </w:r>
          </w:p>
        </w:tc>
      </w:tr>
      <w:tr w:rsidR="009B56DD" w:rsidRPr="009B56DD" w14:paraId="7F4AA57C" w14:textId="77777777" w:rsidTr="009B56DD">
        <w:tc>
          <w:tcPr>
            <w:tcW w:w="1890" w:type="dxa"/>
          </w:tcPr>
          <w:p w14:paraId="7F4AA57A" w14:textId="77777777" w:rsidR="009B56DD" w:rsidRPr="009B56DD" w:rsidRDefault="009B56DD" w:rsidP="00EA1DF3">
            <w:pPr>
              <w:rPr>
                <w:rFonts w:eastAsiaTheme="minorEastAsia" w:cs="Calibri"/>
              </w:rPr>
            </w:pPr>
            <w:r w:rsidRPr="009B56DD">
              <w:rPr>
                <w:rFonts w:eastAsiaTheme="minorEastAsia" w:cs="Calibri"/>
              </w:rPr>
              <w:t xml:space="preserve">SmPC </w:t>
            </w:r>
          </w:p>
        </w:tc>
        <w:tc>
          <w:tcPr>
            <w:tcW w:w="6830" w:type="dxa"/>
          </w:tcPr>
          <w:p w14:paraId="7F4AA57B" w14:textId="77777777" w:rsidR="009B56DD" w:rsidRPr="009B56DD" w:rsidRDefault="009B56DD" w:rsidP="00EA1DF3">
            <w:pPr>
              <w:rPr>
                <w:rFonts w:eastAsiaTheme="minorEastAsia" w:cs="Calibri"/>
              </w:rPr>
            </w:pPr>
            <w:r w:rsidRPr="009B56DD">
              <w:rPr>
                <w:rFonts w:eastAsiaTheme="minorEastAsia" w:cs="Calibri"/>
              </w:rPr>
              <w:t xml:space="preserve">Summary of Product Information </w:t>
            </w:r>
          </w:p>
        </w:tc>
      </w:tr>
      <w:tr w:rsidR="009B56DD" w:rsidRPr="009B56DD" w14:paraId="7F4AA57F" w14:textId="77777777" w:rsidTr="009B56DD">
        <w:tc>
          <w:tcPr>
            <w:tcW w:w="1890" w:type="dxa"/>
          </w:tcPr>
          <w:p w14:paraId="7F4AA57D" w14:textId="77777777" w:rsidR="009B56DD" w:rsidRPr="009B56DD" w:rsidRDefault="009B56DD" w:rsidP="00EA1DF3">
            <w:pPr>
              <w:rPr>
                <w:rFonts w:eastAsiaTheme="minorEastAsia" w:cs="Calibri"/>
              </w:rPr>
            </w:pPr>
            <w:r w:rsidRPr="009B56DD">
              <w:rPr>
                <w:rFonts w:eastAsiaTheme="minorEastAsia" w:cs="Calibri"/>
              </w:rPr>
              <w:t>SOC</w:t>
            </w:r>
          </w:p>
        </w:tc>
        <w:tc>
          <w:tcPr>
            <w:tcW w:w="6830" w:type="dxa"/>
          </w:tcPr>
          <w:p w14:paraId="7F4AA57E" w14:textId="77777777" w:rsidR="009B56DD" w:rsidRPr="009B56DD" w:rsidRDefault="009B56DD" w:rsidP="00EA1DF3">
            <w:pPr>
              <w:rPr>
                <w:rFonts w:eastAsiaTheme="minorEastAsia" w:cs="Calibri"/>
              </w:rPr>
            </w:pPr>
            <w:r w:rsidRPr="009B56DD">
              <w:rPr>
                <w:rFonts w:eastAsiaTheme="minorEastAsia" w:cs="Calibri"/>
              </w:rPr>
              <w:t>System organ class</w:t>
            </w:r>
          </w:p>
        </w:tc>
      </w:tr>
      <w:tr w:rsidR="009B56DD" w:rsidRPr="009B56DD" w14:paraId="7F4AA582" w14:textId="77777777" w:rsidTr="009B56DD">
        <w:tc>
          <w:tcPr>
            <w:tcW w:w="1890" w:type="dxa"/>
          </w:tcPr>
          <w:p w14:paraId="7F4AA580" w14:textId="77777777" w:rsidR="009B56DD" w:rsidRPr="009B56DD" w:rsidRDefault="009B56DD" w:rsidP="00EA1DF3">
            <w:pPr>
              <w:rPr>
                <w:rFonts w:eastAsiaTheme="minorEastAsia" w:cs="Calibri"/>
              </w:rPr>
            </w:pPr>
            <w:r w:rsidRPr="009B56DD">
              <w:rPr>
                <w:rFonts w:eastAsiaTheme="minorEastAsia" w:cs="Calibri"/>
              </w:rPr>
              <w:t>SPD</w:t>
            </w:r>
          </w:p>
        </w:tc>
        <w:tc>
          <w:tcPr>
            <w:tcW w:w="6830" w:type="dxa"/>
          </w:tcPr>
          <w:p w14:paraId="7F4AA581" w14:textId="77777777" w:rsidR="009B56DD" w:rsidRPr="009B56DD" w:rsidRDefault="009B56DD" w:rsidP="00EA1DF3">
            <w:pPr>
              <w:rPr>
                <w:rFonts w:eastAsiaTheme="minorEastAsia" w:cs="Calibri"/>
              </w:rPr>
            </w:pPr>
            <w:r w:rsidRPr="009B56DD">
              <w:rPr>
                <w:rFonts w:eastAsiaTheme="minorEastAsia" w:cs="Calibri"/>
              </w:rPr>
              <w:t xml:space="preserve">Sum of the product of the diameters </w:t>
            </w:r>
          </w:p>
        </w:tc>
      </w:tr>
      <w:tr w:rsidR="009B56DD" w:rsidRPr="009B56DD" w14:paraId="7F4AA585" w14:textId="77777777" w:rsidTr="009B56DD">
        <w:tc>
          <w:tcPr>
            <w:tcW w:w="1890" w:type="dxa"/>
          </w:tcPr>
          <w:p w14:paraId="7F4AA583" w14:textId="77777777" w:rsidR="009B56DD" w:rsidRPr="009B56DD" w:rsidRDefault="009B56DD" w:rsidP="00EA1DF3">
            <w:pPr>
              <w:rPr>
                <w:rFonts w:eastAsiaTheme="minorEastAsia" w:cs="Calibri"/>
              </w:rPr>
            </w:pPr>
            <w:r w:rsidRPr="009B56DD">
              <w:rPr>
                <w:rFonts w:eastAsiaTheme="minorEastAsia" w:cs="Calibri"/>
              </w:rPr>
              <w:t>T</w:t>
            </w:r>
            <w:r w:rsidRPr="009B56DD">
              <w:rPr>
                <w:rFonts w:eastAsiaTheme="minorEastAsia" w:cs="Calibri"/>
                <w:vertAlign w:val="subscript"/>
              </w:rPr>
              <w:t>1/2</w:t>
            </w:r>
          </w:p>
        </w:tc>
        <w:tc>
          <w:tcPr>
            <w:tcW w:w="6830" w:type="dxa"/>
          </w:tcPr>
          <w:p w14:paraId="7F4AA584" w14:textId="77777777" w:rsidR="009B56DD" w:rsidRPr="009B56DD" w:rsidRDefault="009B56DD" w:rsidP="00EA1DF3">
            <w:pPr>
              <w:rPr>
                <w:rFonts w:eastAsiaTheme="minorEastAsia" w:cs="Calibri"/>
              </w:rPr>
            </w:pPr>
            <w:r w:rsidRPr="009B56DD">
              <w:rPr>
                <w:rFonts w:eastAsiaTheme="minorEastAsia" w:cs="Calibri"/>
              </w:rPr>
              <w:t>Elimination half-life</w:t>
            </w:r>
          </w:p>
        </w:tc>
      </w:tr>
      <w:tr w:rsidR="009B56DD" w:rsidRPr="009B56DD" w14:paraId="7F4AA588" w14:textId="77777777" w:rsidTr="009B56DD">
        <w:tc>
          <w:tcPr>
            <w:tcW w:w="1890" w:type="dxa"/>
          </w:tcPr>
          <w:p w14:paraId="7F4AA586" w14:textId="77777777" w:rsidR="009B56DD" w:rsidRPr="009B56DD" w:rsidRDefault="009B56DD" w:rsidP="00EA1DF3">
            <w:pPr>
              <w:rPr>
                <w:rFonts w:eastAsiaTheme="minorEastAsia" w:cs="Calibri"/>
              </w:rPr>
            </w:pPr>
            <w:r w:rsidRPr="009B56DD">
              <w:rPr>
                <w:rFonts w:eastAsiaTheme="minorEastAsia" w:cs="Calibri"/>
              </w:rPr>
              <w:t>TEAE</w:t>
            </w:r>
          </w:p>
        </w:tc>
        <w:tc>
          <w:tcPr>
            <w:tcW w:w="6830" w:type="dxa"/>
          </w:tcPr>
          <w:p w14:paraId="7F4AA587" w14:textId="77777777" w:rsidR="009B56DD" w:rsidRPr="009B56DD" w:rsidRDefault="009B56DD" w:rsidP="00EA1DF3">
            <w:pPr>
              <w:rPr>
                <w:rFonts w:eastAsiaTheme="minorEastAsia" w:cs="Calibri"/>
              </w:rPr>
            </w:pPr>
            <w:r w:rsidRPr="009B56DD">
              <w:rPr>
                <w:rFonts w:eastAsiaTheme="minorEastAsia" w:cs="Calibri"/>
              </w:rPr>
              <w:t>Treatment emergent adverse event</w:t>
            </w:r>
          </w:p>
        </w:tc>
      </w:tr>
      <w:tr w:rsidR="009B56DD" w:rsidRPr="009B56DD" w14:paraId="7F4AA58B" w14:textId="77777777" w:rsidTr="009B56DD">
        <w:tc>
          <w:tcPr>
            <w:tcW w:w="1890" w:type="dxa"/>
          </w:tcPr>
          <w:p w14:paraId="7F4AA589" w14:textId="77777777" w:rsidR="009B56DD" w:rsidRPr="009B56DD" w:rsidRDefault="009B56DD" w:rsidP="00EA1DF3">
            <w:pPr>
              <w:rPr>
                <w:rFonts w:eastAsiaTheme="minorEastAsia" w:cs="Calibri"/>
              </w:rPr>
            </w:pPr>
            <w:r w:rsidRPr="009B56DD">
              <w:rPr>
                <w:rFonts w:eastAsiaTheme="minorEastAsia" w:cs="Calibri"/>
              </w:rPr>
              <w:t>T</w:t>
            </w:r>
            <w:r w:rsidRPr="009B56DD">
              <w:rPr>
                <w:rFonts w:eastAsiaTheme="minorEastAsia" w:cs="Calibri"/>
                <w:vertAlign w:val="subscript"/>
              </w:rPr>
              <w:t>max</w:t>
            </w:r>
          </w:p>
        </w:tc>
        <w:tc>
          <w:tcPr>
            <w:tcW w:w="6830" w:type="dxa"/>
          </w:tcPr>
          <w:p w14:paraId="7F4AA58A" w14:textId="77777777" w:rsidR="009B56DD" w:rsidRPr="009B56DD" w:rsidRDefault="009B56DD" w:rsidP="00EA1DF3">
            <w:pPr>
              <w:rPr>
                <w:rFonts w:eastAsiaTheme="minorEastAsia" w:cs="Calibri"/>
              </w:rPr>
            </w:pPr>
            <w:r w:rsidRPr="009B56DD">
              <w:rPr>
                <w:rFonts w:eastAsiaTheme="minorEastAsia" w:cs="Calibri"/>
              </w:rPr>
              <w:t>Time to maximum serum concentration</w:t>
            </w:r>
          </w:p>
        </w:tc>
      </w:tr>
      <w:tr w:rsidR="009B56DD" w:rsidRPr="009B56DD" w14:paraId="7F4AA58E" w14:textId="77777777" w:rsidTr="009B56DD">
        <w:tc>
          <w:tcPr>
            <w:tcW w:w="1890" w:type="dxa"/>
          </w:tcPr>
          <w:p w14:paraId="7F4AA58C" w14:textId="77777777" w:rsidR="009B56DD" w:rsidRPr="009B56DD" w:rsidRDefault="009B56DD" w:rsidP="00EA1DF3">
            <w:pPr>
              <w:rPr>
                <w:rFonts w:eastAsiaTheme="minorEastAsia" w:cs="Calibri"/>
              </w:rPr>
            </w:pPr>
            <w:r w:rsidRPr="009B56DD">
              <w:rPr>
                <w:rFonts w:eastAsiaTheme="minorEastAsia" w:cs="Calibri"/>
              </w:rPr>
              <w:t>TNF</w:t>
            </w:r>
          </w:p>
        </w:tc>
        <w:tc>
          <w:tcPr>
            <w:tcW w:w="6830" w:type="dxa"/>
          </w:tcPr>
          <w:p w14:paraId="7F4AA58D" w14:textId="77777777" w:rsidR="009B56DD" w:rsidRPr="009B56DD" w:rsidRDefault="009B56DD" w:rsidP="00EA1DF3">
            <w:pPr>
              <w:rPr>
                <w:rFonts w:eastAsiaTheme="minorEastAsia" w:cs="Calibri"/>
              </w:rPr>
            </w:pPr>
            <w:r w:rsidRPr="009B56DD">
              <w:rPr>
                <w:rFonts w:eastAsiaTheme="minorEastAsia" w:cs="Calibri"/>
              </w:rPr>
              <w:t>Tumour Necrosis Factor</w:t>
            </w:r>
          </w:p>
        </w:tc>
      </w:tr>
      <w:tr w:rsidR="009B56DD" w:rsidRPr="009B56DD" w14:paraId="7F4AA591" w14:textId="77777777" w:rsidTr="009B56DD">
        <w:tc>
          <w:tcPr>
            <w:tcW w:w="1890" w:type="dxa"/>
          </w:tcPr>
          <w:p w14:paraId="7F4AA58F" w14:textId="77777777" w:rsidR="009B56DD" w:rsidRPr="009B56DD" w:rsidRDefault="009B56DD" w:rsidP="00EA1DF3">
            <w:pPr>
              <w:rPr>
                <w:rFonts w:eastAsiaTheme="minorEastAsia" w:cs="Calibri"/>
              </w:rPr>
            </w:pPr>
            <w:r w:rsidRPr="009B56DD">
              <w:rPr>
                <w:rFonts w:eastAsiaTheme="minorEastAsia" w:cs="Calibri"/>
              </w:rPr>
              <w:t>TGA</w:t>
            </w:r>
          </w:p>
        </w:tc>
        <w:tc>
          <w:tcPr>
            <w:tcW w:w="6830" w:type="dxa"/>
          </w:tcPr>
          <w:p w14:paraId="7F4AA590" w14:textId="77777777" w:rsidR="009B56DD" w:rsidRPr="009B56DD" w:rsidRDefault="009B56DD" w:rsidP="00EA1DF3">
            <w:pPr>
              <w:rPr>
                <w:rFonts w:eastAsiaTheme="minorEastAsia" w:cs="Calibri"/>
              </w:rPr>
            </w:pPr>
            <w:r w:rsidRPr="009B56DD">
              <w:rPr>
                <w:rFonts w:eastAsiaTheme="minorEastAsia" w:cs="Calibri"/>
              </w:rPr>
              <w:t xml:space="preserve">Therapeutic Goods Administration </w:t>
            </w:r>
          </w:p>
        </w:tc>
      </w:tr>
      <w:tr w:rsidR="009B56DD" w:rsidRPr="009B56DD" w14:paraId="7F4AA594" w14:textId="77777777" w:rsidTr="009B56DD">
        <w:tc>
          <w:tcPr>
            <w:tcW w:w="1890" w:type="dxa"/>
          </w:tcPr>
          <w:p w14:paraId="7F4AA592" w14:textId="77777777" w:rsidR="009B56DD" w:rsidRPr="009B56DD" w:rsidRDefault="009B56DD" w:rsidP="00EA1DF3">
            <w:pPr>
              <w:rPr>
                <w:rFonts w:eastAsiaTheme="minorEastAsia" w:cs="Calibri"/>
              </w:rPr>
            </w:pPr>
            <w:r w:rsidRPr="009B56DD">
              <w:rPr>
                <w:rFonts w:eastAsiaTheme="minorEastAsia" w:cs="Calibri"/>
              </w:rPr>
              <w:t>USA</w:t>
            </w:r>
          </w:p>
        </w:tc>
        <w:tc>
          <w:tcPr>
            <w:tcW w:w="6830" w:type="dxa"/>
          </w:tcPr>
          <w:p w14:paraId="7F4AA593" w14:textId="77777777" w:rsidR="009B56DD" w:rsidRPr="009B56DD" w:rsidRDefault="009B56DD" w:rsidP="00EA1DF3">
            <w:pPr>
              <w:rPr>
                <w:rFonts w:eastAsiaTheme="minorEastAsia" w:cs="Calibri"/>
              </w:rPr>
            </w:pPr>
            <w:r w:rsidRPr="009B56DD">
              <w:rPr>
                <w:rFonts w:eastAsiaTheme="minorEastAsia" w:cs="Calibri"/>
              </w:rPr>
              <w:t xml:space="preserve">United States of America </w:t>
            </w:r>
          </w:p>
        </w:tc>
      </w:tr>
    </w:tbl>
    <w:p w14:paraId="7F4AA59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F4AA596" w14:textId="77777777" w:rsidR="008E7846" w:rsidRDefault="00F53C07" w:rsidP="008E7846">
      <w:pPr>
        <w:pStyle w:val="Heading2"/>
      </w:pPr>
      <w:bookmarkStart w:id="9" w:name="_Toc524426260"/>
      <w:r>
        <w:lastRenderedPageBreak/>
        <w:t>I.</w:t>
      </w:r>
      <w:r w:rsidR="008E7846">
        <w:t xml:space="preserve"> Introduction to product submission</w:t>
      </w:r>
      <w:bookmarkEnd w:id="3"/>
      <w:bookmarkEnd w:id="0"/>
      <w:bookmarkEnd w:id="9"/>
    </w:p>
    <w:p w14:paraId="7F4AA597" w14:textId="77777777" w:rsidR="008E7846" w:rsidRDefault="008E7846" w:rsidP="008E7846">
      <w:pPr>
        <w:pStyle w:val="Heading3"/>
        <w:rPr>
          <w:lang w:eastAsia="en-AU"/>
        </w:rPr>
      </w:pPr>
      <w:bookmarkStart w:id="10" w:name="_Toc247691502"/>
      <w:bookmarkStart w:id="11" w:name="_Toc314842483"/>
      <w:bookmarkStart w:id="12" w:name="_Toc52442626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F4AA59A" w14:textId="77777777" w:rsidTr="00500337">
        <w:trPr>
          <w:trHeight w:hRule="exact" w:val="454"/>
        </w:trPr>
        <w:tc>
          <w:tcPr>
            <w:tcW w:w="2907" w:type="dxa"/>
          </w:tcPr>
          <w:p w14:paraId="7F4AA59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F4AA599" w14:textId="77777777" w:rsidR="008E7846" w:rsidRPr="003D1E62" w:rsidRDefault="00EC5FD9" w:rsidP="00803944">
            <w:r>
              <w:t>B</w:t>
            </w:r>
            <w:r w:rsidR="00803944">
              <w:t>iosimilar</w:t>
            </w:r>
          </w:p>
        </w:tc>
      </w:tr>
      <w:tr w:rsidR="008E7846" w:rsidRPr="003D1E62" w14:paraId="7F4AA59D" w14:textId="77777777" w:rsidTr="00500337">
        <w:trPr>
          <w:trHeight w:hRule="exact" w:val="454"/>
        </w:trPr>
        <w:tc>
          <w:tcPr>
            <w:tcW w:w="2907" w:type="dxa"/>
          </w:tcPr>
          <w:p w14:paraId="7F4AA59B" w14:textId="77777777" w:rsidR="008E7846" w:rsidRPr="003D1E62" w:rsidRDefault="008E7846" w:rsidP="003D1E62">
            <w:r w:rsidRPr="003D1E62">
              <w:rPr>
                <w:i/>
              </w:rPr>
              <w:t>Decision</w:t>
            </w:r>
            <w:r w:rsidRPr="003D1E62">
              <w:t>:</w:t>
            </w:r>
          </w:p>
        </w:tc>
        <w:tc>
          <w:tcPr>
            <w:tcW w:w="6307" w:type="dxa"/>
          </w:tcPr>
          <w:p w14:paraId="7F4AA59C" w14:textId="77777777" w:rsidR="008E7846" w:rsidRPr="003D1E62" w:rsidRDefault="00803944" w:rsidP="00803944">
            <w:r>
              <w:t>Approved</w:t>
            </w:r>
          </w:p>
        </w:tc>
      </w:tr>
      <w:tr w:rsidR="008E7846" w:rsidRPr="003D1E62" w14:paraId="7F4AA5A0" w14:textId="77777777" w:rsidTr="00500337">
        <w:trPr>
          <w:trHeight w:hRule="exact" w:val="454"/>
        </w:trPr>
        <w:tc>
          <w:tcPr>
            <w:tcW w:w="2907" w:type="dxa"/>
          </w:tcPr>
          <w:p w14:paraId="7F4AA59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F4AA59F" w14:textId="77777777" w:rsidR="008E7846" w:rsidRPr="003D1E62" w:rsidRDefault="001F0CBC" w:rsidP="001B5C90">
            <w:r>
              <w:t>21 November 2017</w:t>
            </w:r>
          </w:p>
        </w:tc>
      </w:tr>
      <w:tr w:rsidR="00ED2922" w:rsidRPr="003D1E62" w14:paraId="7F4AA5A3" w14:textId="77777777" w:rsidTr="00500337">
        <w:trPr>
          <w:trHeight w:hRule="exact" w:val="454"/>
        </w:trPr>
        <w:tc>
          <w:tcPr>
            <w:tcW w:w="2907" w:type="dxa"/>
          </w:tcPr>
          <w:p w14:paraId="7F4AA5A1" w14:textId="77777777" w:rsidR="00ED2922" w:rsidRPr="00441C3F" w:rsidRDefault="00ED2922" w:rsidP="001B5C90">
            <w:pPr>
              <w:rPr>
                <w:i/>
              </w:rPr>
            </w:pPr>
            <w:r w:rsidRPr="00441C3F">
              <w:rPr>
                <w:i/>
              </w:rPr>
              <w:t>Date of entry onto ARTG</w:t>
            </w:r>
            <w:r w:rsidR="00500337">
              <w:rPr>
                <w:i/>
              </w:rPr>
              <w:t>:</w:t>
            </w:r>
          </w:p>
        </w:tc>
        <w:tc>
          <w:tcPr>
            <w:tcW w:w="6307" w:type="dxa"/>
          </w:tcPr>
          <w:p w14:paraId="7F4AA5A2" w14:textId="77777777" w:rsidR="00ED2922" w:rsidRPr="00441C3F" w:rsidRDefault="001F0CBC" w:rsidP="00EC463D">
            <w:pPr>
              <w:rPr>
                <w:i/>
              </w:rPr>
            </w:pPr>
            <w:r>
              <w:t>30 November 2017</w:t>
            </w:r>
          </w:p>
        </w:tc>
      </w:tr>
      <w:tr w:rsidR="00500337" w:rsidRPr="003D1E62" w14:paraId="7F4AA5A6" w14:textId="77777777" w:rsidTr="00500337">
        <w:trPr>
          <w:trHeight w:hRule="exact" w:val="454"/>
        </w:trPr>
        <w:tc>
          <w:tcPr>
            <w:tcW w:w="2907" w:type="dxa"/>
          </w:tcPr>
          <w:p w14:paraId="7F4AA5A4" w14:textId="77777777" w:rsidR="00500337" w:rsidRPr="00441C3F" w:rsidRDefault="00500337" w:rsidP="001B5C90">
            <w:pPr>
              <w:rPr>
                <w:i/>
              </w:rPr>
            </w:pPr>
            <w:r>
              <w:rPr>
                <w:i/>
              </w:rPr>
              <w:t>ARTG number(s):</w:t>
            </w:r>
          </w:p>
        </w:tc>
        <w:tc>
          <w:tcPr>
            <w:tcW w:w="6307" w:type="dxa"/>
          </w:tcPr>
          <w:p w14:paraId="7F4AA5A5" w14:textId="77777777" w:rsidR="00500337" w:rsidRPr="00441C3F" w:rsidRDefault="001F0CBC" w:rsidP="001F0CBC">
            <w:r w:rsidRPr="001F0CBC">
              <w:t>281781</w:t>
            </w:r>
            <w:r>
              <w:t xml:space="preserve"> and 281782</w:t>
            </w:r>
          </w:p>
        </w:tc>
      </w:tr>
      <w:tr w:rsidR="008E7846" w:rsidRPr="00487162" w14:paraId="7F4AA5AA" w14:textId="77777777" w:rsidTr="00BF1190">
        <w:tc>
          <w:tcPr>
            <w:tcW w:w="2907" w:type="dxa"/>
          </w:tcPr>
          <w:p w14:paraId="7F4AA5A8" w14:textId="77777777" w:rsidR="008E7846" w:rsidRPr="00487162" w:rsidRDefault="001B5C90" w:rsidP="00E45619">
            <w:pPr>
              <w:rPr>
                <w:i/>
              </w:rPr>
            </w:pPr>
            <w:r>
              <w:rPr>
                <w:i/>
              </w:rPr>
              <w:t>Active ingredient(s):</w:t>
            </w:r>
          </w:p>
        </w:tc>
        <w:tc>
          <w:tcPr>
            <w:tcW w:w="6307" w:type="dxa"/>
          </w:tcPr>
          <w:p w14:paraId="7F4AA5A9" w14:textId="77777777" w:rsidR="008E7846" w:rsidRPr="00487162" w:rsidRDefault="00803944" w:rsidP="00E45619">
            <w:r>
              <w:t>Rituximab</w:t>
            </w:r>
            <w:r w:rsidR="00EA1C6D">
              <w:t xml:space="preserve"> (rch)</w:t>
            </w:r>
          </w:p>
        </w:tc>
      </w:tr>
      <w:tr w:rsidR="008E7846" w:rsidRPr="00487162" w14:paraId="7F4AA5AD" w14:textId="77777777" w:rsidTr="00BF1190">
        <w:tc>
          <w:tcPr>
            <w:tcW w:w="2907" w:type="dxa"/>
          </w:tcPr>
          <w:p w14:paraId="7F4AA5AB" w14:textId="77777777" w:rsidR="008E7846" w:rsidRPr="00487162" w:rsidRDefault="008E7846" w:rsidP="001B5C90">
            <w:pPr>
              <w:rPr>
                <w:i/>
              </w:rPr>
            </w:pPr>
            <w:r w:rsidRPr="00487162">
              <w:rPr>
                <w:i/>
              </w:rPr>
              <w:t>Product</w:t>
            </w:r>
            <w:r w:rsidR="001B5C90">
              <w:rPr>
                <w:i/>
              </w:rPr>
              <w:t xml:space="preserve"> name(s):</w:t>
            </w:r>
          </w:p>
        </w:tc>
        <w:tc>
          <w:tcPr>
            <w:tcW w:w="6307" w:type="dxa"/>
          </w:tcPr>
          <w:p w14:paraId="7F4AA5AC" w14:textId="77777777" w:rsidR="008E7846" w:rsidRPr="00487162" w:rsidRDefault="00334CAC" w:rsidP="00E45619">
            <w:r>
              <w:t>Riximyo</w:t>
            </w:r>
          </w:p>
        </w:tc>
      </w:tr>
      <w:tr w:rsidR="008E7846" w:rsidRPr="00487162" w14:paraId="7F4AA5B1" w14:textId="77777777" w:rsidTr="00BF1190">
        <w:tc>
          <w:tcPr>
            <w:tcW w:w="2907" w:type="dxa"/>
          </w:tcPr>
          <w:p w14:paraId="7F4AA5A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F4AA5AF" w14:textId="10664191" w:rsidR="008E7846" w:rsidRPr="00E26911" w:rsidRDefault="00803944" w:rsidP="00E26911">
            <w:r w:rsidRPr="00E26911">
              <w:t>Sandoz Pty Ltd</w:t>
            </w:r>
          </w:p>
          <w:p w14:paraId="7F4AA5B0" w14:textId="3DEE1A70" w:rsidR="000242E9" w:rsidRPr="00E26911" w:rsidRDefault="000242E9" w:rsidP="00E26911">
            <w:r w:rsidRPr="00E26911">
              <w:t xml:space="preserve">PO Box 101 North Ryde NSW 1670 </w:t>
            </w:r>
          </w:p>
        </w:tc>
      </w:tr>
      <w:tr w:rsidR="008E7846" w:rsidRPr="00487162" w14:paraId="7F4AA5B4" w14:textId="77777777" w:rsidTr="00BF1190">
        <w:tc>
          <w:tcPr>
            <w:tcW w:w="2907" w:type="dxa"/>
          </w:tcPr>
          <w:p w14:paraId="7F4AA5B2" w14:textId="77777777" w:rsidR="008E7846" w:rsidRPr="00487162" w:rsidRDefault="001B5C90" w:rsidP="00E45619">
            <w:pPr>
              <w:rPr>
                <w:i/>
              </w:rPr>
            </w:pPr>
            <w:r>
              <w:rPr>
                <w:i/>
              </w:rPr>
              <w:t>Dose form(s):</w:t>
            </w:r>
          </w:p>
        </w:tc>
        <w:tc>
          <w:tcPr>
            <w:tcW w:w="6307" w:type="dxa"/>
          </w:tcPr>
          <w:p w14:paraId="7F4AA5B3" w14:textId="001D6BBA" w:rsidR="008E7846" w:rsidRPr="00E26911" w:rsidRDefault="00EA1C6D" w:rsidP="00E26911">
            <w:r w:rsidRPr="00E26911">
              <w:t xml:space="preserve">Solution concentrated for Injection </w:t>
            </w:r>
          </w:p>
        </w:tc>
      </w:tr>
      <w:tr w:rsidR="008E7846" w:rsidRPr="00487162" w14:paraId="7F4AA5B8" w14:textId="77777777" w:rsidTr="00BF1190">
        <w:tc>
          <w:tcPr>
            <w:tcW w:w="2907" w:type="dxa"/>
          </w:tcPr>
          <w:p w14:paraId="7F4AA5B5" w14:textId="77777777" w:rsidR="008E7846" w:rsidRPr="00487162" w:rsidRDefault="008E7846" w:rsidP="00E45619">
            <w:pPr>
              <w:rPr>
                <w:i/>
              </w:rPr>
            </w:pPr>
            <w:r w:rsidRPr="00487162">
              <w:rPr>
                <w:i/>
              </w:rPr>
              <w:t xml:space="preserve">Strength(s): </w:t>
            </w:r>
          </w:p>
        </w:tc>
        <w:tc>
          <w:tcPr>
            <w:tcW w:w="6307" w:type="dxa"/>
          </w:tcPr>
          <w:p w14:paraId="7F4AA5B6" w14:textId="77777777" w:rsidR="008E7846" w:rsidRDefault="00EA1C6D" w:rsidP="00E45619">
            <w:r>
              <w:t>100 mg/ 10 mL</w:t>
            </w:r>
          </w:p>
          <w:p w14:paraId="7F4AA5B7" w14:textId="77777777" w:rsidR="00EA1C6D" w:rsidRPr="00487162" w:rsidRDefault="00EA1C6D" w:rsidP="00E45619">
            <w:r>
              <w:t>500 mg/mL</w:t>
            </w:r>
          </w:p>
        </w:tc>
      </w:tr>
      <w:tr w:rsidR="008E7846" w:rsidRPr="00487162" w14:paraId="7F4AA5BB" w14:textId="77777777" w:rsidTr="002D3F53">
        <w:tc>
          <w:tcPr>
            <w:tcW w:w="2907" w:type="dxa"/>
          </w:tcPr>
          <w:p w14:paraId="7F4AA5B9" w14:textId="77777777" w:rsidR="008E7846" w:rsidRPr="00487162" w:rsidRDefault="008E7846" w:rsidP="00E45619">
            <w:pPr>
              <w:rPr>
                <w:i/>
              </w:rPr>
            </w:pPr>
            <w:r w:rsidRPr="00487162">
              <w:rPr>
                <w:i/>
              </w:rPr>
              <w:t>Container(s):</w:t>
            </w:r>
          </w:p>
        </w:tc>
        <w:tc>
          <w:tcPr>
            <w:tcW w:w="6307" w:type="dxa"/>
          </w:tcPr>
          <w:p w14:paraId="7F4AA5BA" w14:textId="77777777" w:rsidR="008E7846" w:rsidRPr="00487162" w:rsidRDefault="00EA1C6D" w:rsidP="00E45619">
            <w:r>
              <w:t>Glass vial</w:t>
            </w:r>
          </w:p>
        </w:tc>
      </w:tr>
      <w:tr w:rsidR="008E7846" w:rsidRPr="00487162" w14:paraId="7F4AA5BF" w14:textId="77777777" w:rsidTr="00BF1190">
        <w:tc>
          <w:tcPr>
            <w:tcW w:w="2907" w:type="dxa"/>
          </w:tcPr>
          <w:p w14:paraId="7F4AA5BC" w14:textId="77777777" w:rsidR="008E7846" w:rsidRPr="00487162" w:rsidRDefault="008E7846" w:rsidP="00E45619">
            <w:pPr>
              <w:rPr>
                <w:i/>
              </w:rPr>
            </w:pPr>
            <w:r w:rsidRPr="00487162">
              <w:rPr>
                <w:i/>
              </w:rPr>
              <w:t>Pack size(s):</w:t>
            </w:r>
          </w:p>
        </w:tc>
        <w:tc>
          <w:tcPr>
            <w:tcW w:w="6307" w:type="dxa"/>
          </w:tcPr>
          <w:p w14:paraId="7F4AA5BD" w14:textId="77777777" w:rsidR="003A4220" w:rsidRDefault="003A4220" w:rsidP="00E45619">
            <w:r>
              <w:t>100 mg/ 10</w:t>
            </w:r>
            <w:r w:rsidR="002B21DD">
              <w:t xml:space="preserve"> </w:t>
            </w:r>
            <w:r>
              <w:t>mL</w:t>
            </w:r>
            <w:r w:rsidR="002B21DD">
              <w:t>:</w:t>
            </w:r>
            <w:r>
              <w:t xml:space="preserve"> 3 and 2 vials</w:t>
            </w:r>
          </w:p>
          <w:p w14:paraId="7F4AA5BE" w14:textId="77777777" w:rsidR="008E7846" w:rsidRPr="00487162" w:rsidRDefault="003A4220" w:rsidP="003A4220">
            <w:r>
              <w:t>500 mg/ 50 mL: 1 and 2 vials</w:t>
            </w:r>
          </w:p>
        </w:tc>
      </w:tr>
      <w:tr w:rsidR="008E7846" w:rsidRPr="00487162" w14:paraId="7F4AA5CC" w14:textId="77777777" w:rsidTr="00BF1190">
        <w:tc>
          <w:tcPr>
            <w:tcW w:w="2907" w:type="dxa"/>
          </w:tcPr>
          <w:p w14:paraId="7F4AA5C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F4AA5C1" w14:textId="77777777" w:rsidR="00334CAC" w:rsidRPr="003B0FFE" w:rsidRDefault="00334CAC" w:rsidP="00334CAC">
            <w:pPr>
              <w:rPr>
                <w:b/>
                <w:i/>
              </w:rPr>
            </w:pPr>
            <w:r w:rsidRPr="003B0FFE">
              <w:rPr>
                <w:b/>
                <w:i/>
              </w:rPr>
              <w:t>Non-Hodgkin’s Lymphoma (NHL)</w:t>
            </w:r>
          </w:p>
          <w:p w14:paraId="7F4AA5C2" w14:textId="77777777" w:rsidR="00334CAC" w:rsidRPr="003B0FFE" w:rsidRDefault="003B0FFE" w:rsidP="00334CAC">
            <w:pPr>
              <w:rPr>
                <w:i/>
              </w:rPr>
            </w:pPr>
            <w:r w:rsidRPr="003B0FFE">
              <w:rPr>
                <w:i/>
              </w:rPr>
              <w:t>Riximyo</w:t>
            </w:r>
            <w:r w:rsidR="00334CAC" w:rsidRPr="003B0FFE">
              <w:rPr>
                <w:i/>
              </w:rPr>
              <w:t xml:space="preserve"> (rituximab) is indicated for treatment of patients with:</w:t>
            </w:r>
          </w:p>
          <w:p w14:paraId="7F4AA5C3" w14:textId="77777777" w:rsidR="00334CAC" w:rsidRPr="003B0FFE" w:rsidRDefault="00334CAC" w:rsidP="00334CAC">
            <w:pPr>
              <w:rPr>
                <w:i/>
              </w:rPr>
            </w:pPr>
            <w:r w:rsidRPr="003B0FFE">
              <w:rPr>
                <w:i/>
              </w:rPr>
              <w:t>CD20 positive, previously untreated, Stage III/IV follicular, B-cell non-Hodgkin’s</w:t>
            </w:r>
            <w:r w:rsidRPr="003B0FFE">
              <w:rPr>
                <w:i/>
                <w:spacing w:val="-20"/>
              </w:rPr>
              <w:t xml:space="preserve"> </w:t>
            </w:r>
            <w:r w:rsidRPr="003B0FFE">
              <w:rPr>
                <w:i/>
              </w:rPr>
              <w:t>lymphoma,</w:t>
            </w:r>
          </w:p>
          <w:p w14:paraId="7F4AA5C4" w14:textId="77777777" w:rsidR="00334CAC" w:rsidRPr="003B0FFE" w:rsidRDefault="00334CAC" w:rsidP="00334CAC">
            <w:pPr>
              <w:rPr>
                <w:i/>
              </w:rPr>
            </w:pPr>
            <w:r w:rsidRPr="003B0FFE">
              <w:rPr>
                <w:i/>
              </w:rPr>
              <w:t>CD20 positive, relapsed or refractory low grade or follicular, B-cell non-Hodgkin's</w:t>
            </w:r>
            <w:r w:rsidRPr="003B0FFE">
              <w:rPr>
                <w:i/>
                <w:spacing w:val="-21"/>
              </w:rPr>
              <w:t xml:space="preserve"> </w:t>
            </w:r>
            <w:r w:rsidRPr="003B0FFE">
              <w:rPr>
                <w:i/>
              </w:rPr>
              <w:t>lymphoma,</w:t>
            </w:r>
          </w:p>
          <w:p w14:paraId="7F4AA5C5" w14:textId="77777777" w:rsidR="00334CAC" w:rsidRPr="003B0FFE" w:rsidRDefault="00334CAC" w:rsidP="00334CAC">
            <w:pPr>
              <w:rPr>
                <w:i/>
              </w:rPr>
            </w:pPr>
            <w:r w:rsidRPr="003B0FFE">
              <w:rPr>
                <w:i/>
              </w:rPr>
              <w:t>CD20 positive, diffuse large B-cell non-Hodgkin’s lymphoma, in combination with chemotherapy.</w:t>
            </w:r>
          </w:p>
          <w:p w14:paraId="7F4AA5C6" w14:textId="77777777" w:rsidR="00334CAC" w:rsidRPr="003B0FFE" w:rsidRDefault="00334CAC" w:rsidP="00334CAC">
            <w:pPr>
              <w:rPr>
                <w:b/>
                <w:i/>
              </w:rPr>
            </w:pPr>
            <w:r w:rsidRPr="003B0FFE">
              <w:rPr>
                <w:b/>
                <w:i/>
              </w:rPr>
              <w:t>Chronic Lymphocytic Leukaemia (CLL)</w:t>
            </w:r>
          </w:p>
          <w:p w14:paraId="7F4AA5C7" w14:textId="77777777" w:rsidR="00334CAC" w:rsidRPr="003B0FFE" w:rsidRDefault="003B0FFE" w:rsidP="00334CAC">
            <w:pPr>
              <w:rPr>
                <w:i/>
              </w:rPr>
            </w:pPr>
            <w:r w:rsidRPr="003B0FFE">
              <w:rPr>
                <w:i/>
              </w:rPr>
              <w:t xml:space="preserve">Riximyo </w:t>
            </w:r>
            <w:r w:rsidR="00334CAC" w:rsidRPr="003B0FFE">
              <w:rPr>
                <w:i/>
              </w:rPr>
              <w:t>(rituximab) is indicated for the treatment of patients with CD20 positive chronic lymphocytic leukaemia in combination with chemotherapy.</w:t>
            </w:r>
          </w:p>
          <w:p w14:paraId="7F4AA5C8" w14:textId="77777777" w:rsidR="00334CAC" w:rsidRPr="003B0FFE" w:rsidRDefault="00334CAC" w:rsidP="00334CAC">
            <w:pPr>
              <w:rPr>
                <w:b/>
                <w:i/>
              </w:rPr>
            </w:pPr>
            <w:r w:rsidRPr="003B0FFE">
              <w:rPr>
                <w:b/>
                <w:i/>
              </w:rPr>
              <w:t>Rheumatoid Arthritis (RA)</w:t>
            </w:r>
          </w:p>
          <w:p w14:paraId="7F4AA5C9" w14:textId="77777777" w:rsidR="00334CAC" w:rsidRPr="003B0FFE" w:rsidRDefault="003B0FFE" w:rsidP="00334CAC">
            <w:pPr>
              <w:rPr>
                <w:i/>
              </w:rPr>
            </w:pPr>
            <w:r w:rsidRPr="003B0FFE">
              <w:rPr>
                <w:i/>
              </w:rPr>
              <w:t>Riximyo</w:t>
            </w:r>
            <w:r w:rsidR="00334CAC" w:rsidRPr="003B0FFE">
              <w:rPr>
                <w:i/>
              </w:rPr>
              <w:t xml:space="preserve"> (rituximab) in combination with methotrexate is indicated for the treatment of adult patients with severe, active rheumatoid arthritis who have had an inadequate response or intolerance to at least one tumour necrosis factor (TNF) inhibitor therapy.</w:t>
            </w:r>
          </w:p>
          <w:p w14:paraId="7F4AA5CA" w14:textId="77777777" w:rsidR="00334CAC" w:rsidRPr="003B0FFE" w:rsidRDefault="00334CAC" w:rsidP="00334CAC">
            <w:pPr>
              <w:rPr>
                <w:i/>
              </w:rPr>
            </w:pPr>
            <w:r w:rsidRPr="003B0FFE">
              <w:rPr>
                <w:i/>
              </w:rPr>
              <w:lastRenderedPageBreak/>
              <w:t>Rituximab has been shown to reduce the rate of progression of joint damage as measured by x- ray when given in combination with methotrexate.</w:t>
            </w:r>
          </w:p>
          <w:p w14:paraId="7F4AA5CB" w14:textId="77777777" w:rsidR="008E7846" w:rsidRPr="003B0FFE" w:rsidRDefault="00334CAC" w:rsidP="003B0FFE">
            <w:pPr>
              <w:rPr>
                <w:rFonts w:eastAsia="MS Mincho"/>
                <w:i/>
                <w:lang w:eastAsia="ja-JP"/>
              </w:rPr>
            </w:pPr>
            <w:r w:rsidRPr="003B0FFE">
              <w:rPr>
                <w:i/>
              </w:rPr>
              <w:t xml:space="preserve">Granulomatosis with polyangiitis (Wegener’s) (GPA) and Microscopic polyangiitis (MPA) </w:t>
            </w:r>
            <w:r w:rsidR="003B0FFE" w:rsidRPr="003B0FFE">
              <w:rPr>
                <w:i/>
              </w:rPr>
              <w:t>Riximyo</w:t>
            </w:r>
            <w:r w:rsidRPr="003B0FFE">
              <w:rPr>
                <w:i/>
              </w:rPr>
              <w:t xml:space="preserve"> (rituximab) in combination with glucocorticoids is indicated for the induction of remission in patients with severely active Granulomatosis with polyangiitis (GPA, also known as</w:t>
            </w:r>
            <w:r w:rsidR="003B0FFE">
              <w:rPr>
                <w:i/>
              </w:rPr>
              <w:t xml:space="preserve"> </w:t>
            </w:r>
            <w:r w:rsidR="003B0FFE" w:rsidRPr="003B0FFE">
              <w:rPr>
                <w:i/>
              </w:rPr>
              <w:t>Wegener’s granulomatosis) and Microscopic polyangiitis (MPA). The efficacy and safety of retreatment with rituximab have not been established.</w:t>
            </w:r>
          </w:p>
        </w:tc>
      </w:tr>
      <w:tr w:rsidR="008E7846" w:rsidRPr="00487162" w14:paraId="7F4AA5CF" w14:textId="77777777" w:rsidTr="00BF1190">
        <w:tc>
          <w:tcPr>
            <w:tcW w:w="2907" w:type="dxa"/>
          </w:tcPr>
          <w:p w14:paraId="7F4AA5CD" w14:textId="77777777" w:rsidR="008E7846" w:rsidRPr="00487162" w:rsidRDefault="008E7846" w:rsidP="00E45619">
            <w:pPr>
              <w:rPr>
                <w:i/>
              </w:rPr>
            </w:pPr>
            <w:r w:rsidRPr="00487162">
              <w:rPr>
                <w:i/>
              </w:rPr>
              <w:lastRenderedPageBreak/>
              <w:t>Route(s) of administration:</w:t>
            </w:r>
          </w:p>
        </w:tc>
        <w:tc>
          <w:tcPr>
            <w:tcW w:w="6307" w:type="dxa"/>
          </w:tcPr>
          <w:p w14:paraId="7F4AA5CE" w14:textId="77777777" w:rsidR="008E7846" w:rsidRPr="00487162" w:rsidRDefault="00EA1C6D" w:rsidP="00E45619">
            <w:r>
              <w:t>Intravenous (IV)</w:t>
            </w:r>
          </w:p>
        </w:tc>
      </w:tr>
      <w:tr w:rsidR="008E7846" w:rsidRPr="00487162" w14:paraId="7F4AA5D2" w14:textId="77777777" w:rsidTr="00BF1190">
        <w:tc>
          <w:tcPr>
            <w:tcW w:w="2907" w:type="dxa"/>
          </w:tcPr>
          <w:p w14:paraId="7F4AA5D0" w14:textId="77777777" w:rsidR="008E7846" w:rsidRPr="00487162" w:rsidRDefault="008E7846" w:rsidP="00E45619">
            <w:pPr>
              <w:rPr>
                <w:i/>
              </w:rPr>
            </w:pPr>
            <w:r w:rsidRPr="00487162">
              <w:rPr>
                <w:i/>
              </w:rPr>
              <w:t>Dosage:</w:t>
            </w:r>
          </w:p>
        </w:tc>
        <w:tc>
          <w:tcPr>
            <w:tcW w:w="6307" w:type="dxa"/>
          </w:tcPr>
          <w:p w14:paraId="7F4AA5D1" w14:textId="77777777" w:rsidR="001F0CBC" w:rsidRPr="00487162" w:rsidRDefault="00334CAC" w:rsidP="003B0FFE">
            <w:r>
              <w:t>Riximyo</w:t>
            </w:r>
            <w:r w:rsidR="009B56DD" w:rsidRPr="009B56DD">
              <w:t xml:space="preserve"> may be administered in an outpatient setting. </w:t>
            </w:r>
            <w:r>
              <w:t>Riximyo</w:t>
            </w:r>
            <w:r w:rsidR="009B56DD" w:rsidRPr="009B56DD">
              <w:t xml:space="preserve"> should be administered as an intravenous infusion in an environment where full resuscitation facilities are immediately available, and under the close supervision of an experienced healthcare professional.</w:t>
            </w:r>
            <w:r>
              <w:t xml:space="preserve"> </w:t>
            </w:r>
            <w:r w:rsidR="003B0FFE">
              <w:t>Administration of Riximyo</w:t>
            </w:r>
            <w:r w:rsidR="003B0FFE" w:rsidRPr="000B7D7D">
              <w:t xml:space="preserve"> involves </w:t>
            </w:r>
            <w:r w:rsidR="003B0FFE">
              <w:t>intravenous (IV) infusion at varying dose regimens dependent upon the condition being treated.</w:t>
            </w:r>
            <w:r>
              <w:t xml:space="preserve"> See PI (Attachment 1) for details.</w:t>
            </w:r>
          </w:p>
        </w:tc>
      </w:tr>
    </w:tbl>
    <w:p w14:paraId="7F4AA5D3" w14:textId="77777777" w:rsidR="008E7846" w:rsidRDefault="008E7846" w:rsidP="008E7846">
      <w:pPr>
        <w:pStyle w:val="Heading3"/>
      </w:pPr>
      <w:bookmarkStart w:id="13" w:name="_Toc247691503"/>
      <w:bookmarkStart w:id="14" w:name="_Toc314842484"/>
      <w:bookmarkStart w:id="15" w:name="_Toc524426262"/>
      <w:r>
        <w:t>Product background</w:t>
      </w:r>
      <w:bookmarkEnd w:id="13"/>
      <w:bookmarkEnd w:id="14"/>
      <w:bookmarkEnd w:id="15"/>
    </w:p>
    <w:p w14:paraId="7F4AA5D4" w14:textId="21C93CCD" w:rsidR="000B3A10" w:rsidRDefault="00940A89" w:rsidP="0082640A">
      <w:r w:rsidRPr="00940A89">
        <w:t xml:space="preserve">This AusPAR describes the application by the </w:t>
      </w:r>
      <w:r w:rsidR="00A40BB3" w:rsidRPr="00A40BB3">
        <w:t>Sandoz Pty Ltd</w:t>
      </w:r>
      <w:r w:rsidR="003B0FFE">
        <w:t>, the sponsor,</w:t>
      </w:r>
      <w:r w:rsidR="00A40BB3" w:rsidRPr="00A40BB3">
        <w:t xml:space="preserve"> </w:t>
      </w:r>
      <w:r w:rsidR="0082640A">
        <w:t>t</w:t>
      </w:r>
      <w:r w:rsidR="00A40BB3" w:rsidRPr="00A40BB3">
        <w:t xml:space="preserve">o register </w:t>
      </w:r>
      <w:r w:rsidR="00334CAC">
        <w:t>Riximyo</w:t>
      </w:r>
      <w:r w:rsidR="00A40BB3" w:rsidRPr="00A40BB3">
        <w:t xml:space="preserve">, containing rituximab as the active ingredient, as a biosimilar to </w:t>
      </w:r>
      <w:r w:rsidR="000B3A10">
        <w:t>MabThera</w:t>
      </w:r>
      <w:r w:rsidR="00A40BB3" w:rsidRPr="00A40BB3">
        <w:t xml:space="preserve">. The proposed indications and dosing regimen/route match those of </w:t>
      </w:r>
      <w:r w:rsidR="003B0FFE">
        <w:t xml:space="preserve">the already in Australia registered </w:t>
      </w:r>
      <w:r w:rsidR="00544957">
        <w:t>MabThera (</w:t>
      </w:r>
      <w:r w:rsidR="003B0FFE">
        <w:t xml:space="preserve">Roche Products Pty Ltd): </w:t>
      </w:r>
      <w:r w:rsidR="003B0FFE" w:rsidRPr="000B7D7D">
        <w:t xml:space="preserve">to be used for the treatment of </w:t>
      </w:r>
      <w:r w:rsidR="003B0FFE">
        <w:t>Non-Hodgkin’s Lymphoma (NHL), Chronic Lymphocytic Leukaemia (CLL), Rheumatoid Arthritis (RA), or Granulomatosis with polyangiitis (GPA) and Microscopic polyangiitis (MPA)</w:t>
      </w:r>
      <w:r w:rsidR="000B3A10">
        <w:t>:</w:t>
      </w:r>
    </w:p>
    <w:p w14:paraId="7F4AA5D5" w14:textId="77777777" w:rsidR="000B3A10" w:rsidRPr="000B3A10" w:rsidRDefault="000B3A10" w:rsidP="000B3A10">
      <w:pPr>
        <w:ind w:left="720"/>
        <w:rPr>
          <w:rFonts w:eastAsiaTheme="minorHAnsi"/>
          <w:b/>
          <w:bCs/>
          <w:i/>
          <w:color w:val="001523"/>
          <w:szCs w:val="21"/>
        </w:rPr>
      </w:pPr>
      <w:r w:rsidRPr="000B3A10">
        <w:rPr>
          <w:rFonts w:eastAsiaTheme="minorHAnsi"/>
          <w:b/>
          <w:bCs/>
          <w:i/>
          <w:color w:val="001523"/>
          <w:szCs w:val="21"/>
        </w:rPr>
        <w:t>Non-Hodgkin’s Lymphoma (NHL)</w:t>
      </w:r>
    </w:p>
    <w:p w14:paraId="7F4AA5D6"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t>Riximyo (rituximab) is indicated for treatment of patients with:</w:t>
      </w:r>
    </w:p>
    <w:p w14:paraId="7F4AA5D7"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t>CD20 positive, previously untreated, Stage III/IV follicular, B-cell non-Hodgkin’s lymphoma,</w:t>
      </w:r>
    </w:p>
    <w:p w14:paraId="7F4AA5D8"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t>CD20 positive, relapsed or refractory low grade or follicular, B-cell non-Hodgkin's lymphoma,</w:t>
      </w:r>
    </w:p>
    <w:p w14:paraId="7F4AA5D9" w14:textId="77777777" w:rsidR="000B3A10" w:rsidRPr="000B3A10" w:rsidRDefault="000B3A10" w:rsidP="000B3A10">
      <w:pPr>
        <w:ind w:left="720"/>
        <w:rPr>
          <w:rFonts w:eastAsiaTheme="minorHAnsi"/>
          <w:bCs/>
          <w:i/>
          <w:color w:val="001523"/>
          <w:szCs w:val="21"/>
        </w:rPr>
      </w:pPr>
      <w:proofErr w:type="gramStart"/>
      <w:r w:rsidRPr="000B3A10">
        <w:rPr>
          <w:rFonts w:eastAsiaTheme="minorHAnsi"/>
          <w:bCs/>
          <w:i/>
          <w:color w:val="001523"/>
          <w:szCs w:val="21"/>
        </w:rPr>
        <w:t>CD20 positive, diffuse large B-cell non-Hodgkin’s lymphoma, in combination with chemotherapy.</w:t>
      </w:r>
      <w:proofErr w:type="gramEnd"/>
    </w:p>
    <w:p w14:paraId="7F4AA5DA" w14:textId="77777777" w:rsidR="000B3A10" w:rsidRPr="000B3A10" w:rsidRDefault="000B3A10" w:rsidP="000B3A10">
      <w:pPr>
        <w:ind w:left="720"/>
        <w:rPr>
          <w:rFonts w:eastAsiaTheme="minorHAnsi"/>
          <w:b/>
          <w:bCs/>
          <w:i/>
          <w:color w:val="001523"/>
          <w:szCs w:val="21"/>
        </w:rPr>
      </w:pPr>
      <w:r w:rsidRPr="000B3A10">
        <w:rPr>
          <w:rFonts w:eastAsiaTheme="minorHAnsi"/>
          <w:b/>
          <w:bCs/>
          <w:i/>
          <w:color w:val="001523"/>
          <w:szCs w:val="21"/>
        </w:rPr>
        <w:t>Chronic Lymphocytic Leukaemia (CLL)</w:t>
      </w:r>
    </w:p>
    <w:p w14:paraId="7F4AA5DB"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t>Riximyo (rituximab) is indicated for the treatment of patients with CD20 positive chronic lymphocytic leukaemia in combination with chemotherapy.</w:t>
      </w:r>
    </w:p>
    <w:p w14:paraId="7F4AA5DC" w14:textId="77777777" w:rsidR="000B3A10" w:rsidRPr="000B3A10" w:rsidRDefault="000B3A10" w:rsidP="000B3A10">
      <w:pPr>
        <w:ind w:left="720"/>
        <w:rPr>
          <w:rFonts w:eastAsiaTheme="minorHAnsi"/>
          <w:b/>
          <w:bCs/>
          <w:i/>
          <w:color w:val="001523"/>
          <w:szCs w:val="21"/>
        </w:rPr>
      </w:pPr>
      <w:r w:rsidRPr="000B3A10">
        <w:rPr>
          <w:rFonts w:eastAsiaTheme="minorHAnsi"/>
          <w:b/>
          <w:bCs/>
          <w:i/>
          <w:color w:val="001523"/>
          <w:szCs w:val="21"/>
        </w:rPr>
        <w:t>Rheumatoid Arthritis (RA)</w:t>
      </w:r>
    </w:p>
    <w:p w14:paraId="7F4AA5DD"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t>Riximyo (rituximab) in combination with methotrexate is indicated for the treatment of adult patients with severe, active rheumatoid arthritis who have had an inadequate response or intolerance to at least one tumour necrosis factor (TNF) inhibitor therapy.</w:t>
      </w:r>
    </w:p>
    <w:p w14:paraId="7F4AA5DE"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lastRenderedPageBreak/>
        <w:t>Rituximab has been shown to reduce the rate of progression of joint damage as measured by x- ray when given in combination with methotrexate.</w:t>
      </w:r>
    </w:p>
    <w:p w14:paraId="7F4AA5DF" w14:textId="77777777" w:rsidR="000B3A10" w:rsidRPr="000B3A10" w:rsidRDefault="000B3A10" w:rsidP="000B3A10">
      <w:pPr>
        <w:ind w:left="720"/>
        <w:rPr>
          <w:rFonts w:eastAsiaTheme="minorHAnsi"/>
          <w:bCs/>
          <w:i/>
          <w:color w:val="001523"/>
          <w:szCs w:val="21"/>
        </w:rPr>
      </w:pPr>
      <w:r w:rsidRPr="000B3A10">
        <w:rPr>
          <w:rFonts w:eastAsiaTheme="minorHAnsi"/>
          <w:bCs/>
          <w:i/>
          <w:color w:val="001523"/>
          <w:szCs w:val="21"/>
        </w:rPr>
        <w:t>Granulomatosis with polyangiitis (Wegener’s) (GPA) and Microscopic polyangiitis (MPA) Riximyo (rituximab) in combination with glucocorticoids is indicated for the induction of remission in patients with severely active Granulomatosis with polyangiitis (GPA, also known as Wegener’s granulomatosis) and Microscopic polyangiitis (MPA). The efficacy and safety of retreatment with rituximab have not been established.</w:t>
      </w:r>
    </w:p>
    <w:p w14:paraId="7F4AA5E0" w14:textId="23F7F98D" w:rsidR="00376E42" w:rsidRPr="00A241D6" w:rsidRDefault="00334CAC" w:rsidP="00376E42">
      <w:r>
        <w:t>Riximyo</w:t>
      </w:r>
      <w:r w:rsidR="003B0FFE">
        <w:t xml:space="preserve"> is</w:t>
      </w:r>
      <w:r w:rsidR="00A44A63">
        <w:t xml:space="preserve"> also known by the global product name </w:t>
      </w:r>
      <w:r>
        <w:t>Rixathon</w:t>
      </w:r>
      <w:r w:rsidR="00376E42">
        <w:t xml:space="preserve"> (for example, in the European Union (EU))</w:t>
      </w:r>
      <w:r w:rsidR="003B0FFE">
        <w:t>.</w:t>
      </w:r>
      <w:r w:rsidR="00A44A63">
        <w:t xml:space="preserve"> </w:t>
      </w:r>
      <w:r w:rsidR="00376E42">
        <w:t>The dosages proposed are</w:t>
      </w:r>
      <w:r w:rsidR="00376E42" w:rsidRPr="00A241D6">
        <w:t xml:space="preserve"> identical to those of the innovator, MabThera (</w:t>
      </w:r>
      <w:r w:rsidR="00917EEC">
        <w:t>intravenous (IV) </w:t>
      </w:r>
      <w:r w:rsidR="00376E42" w:rsidRPr="00A241D6">
        <w:t>formulation).</w:t>
      </w:r>
    </w:p>
    <w:p w14:paraId="7F4AA5E1" w14:textId="770D6139" w:rsidR="00A44A63" w:rsidRPr="00182481" w:rsidRDefault="00A44A63" w:rsidP="000B3A10">
      <w:r>
        <w:t xml:space="preserve">Administration of </w:t>
      </w:r>
      <w:r w:rsidR="00334CAC">
        <w:t>Riximyo</w:t>
      </w:r>
      <w:r w:rsidRPr="000B7D7D">
        <w:t xml:space="preserve"> involves </w:t>
      </w:r>
      <w:r w:rsidR="003B0FFE">
        <w:t>IV</w:t>
      </w:r>
      <w:r>
        <w:t xml:space="preserve"> infusion at varying dose regimens dependent upon the condition being treated</w:t>
      </w:r>
      <w:r w:rsidR="003B0FFE" w:rsidRPr="003B0FFE">
        <w:t xml:space="preserve"> </w:t>
      </w:r>
      <w:r w:rsidR="003B0FFE" w:rsidRPr="00A40BB3">
        <w:t>with doses of 375 mg</w:t>
      </w:r>
      <w:r w:rsidR="000A6E90" w:rsidRPr="004C1958">
        <w:t>/m</w:t>
      </w:r>
      <w:r w:rsidR="000A6E90" w:rsidRPr="000A6E90">
        <w:rPr>
          <w:vertAlign w:val="superscript"/>
        </w:rPr>
        <w:t>2</w:t>
      </w:r>
      <w:r w:rsidR="003B0FFE" w:rsidRPr="00A40BB3">
        <w:t xml:space="preserve"> or 500 mg</w:t>
      </w:r>
      <w:r w:rsidR="000A6E90" w:rsidRPr="004C1958">
        <w:t>/m</w:t>
      </w:r>
      <w:r w:rsidR="000A6E90" w:rsidRPr="000A6E90">
        <w:rPr>
          <w:vertAlign w:val="superscript"/>
        </w:rPr>
        <w:t>2</w:t>
      </w:r>
      <w:r w:rsidR="003B0FFE" w:rsidRPr="00A40BB3">
        <w:t xml:space="preserve"> indicated either: once weekly for 4 weeks; day 1 of each chemotherapy cycle or every 2 or 3 months for two years. Indications for </w:t>
      </w:r>
      <w:r w:rsidR="00917EEC">
        <w:t>r</w:t>
      </w:r>
      <w:r w:rsidR="003B0FFE" w:rsidRPr="00A40BB3">
        <w:t xml:space="preserve">heumatoid </w:t>
      </w:r>
      <w:r w:rsidR="00917EEC">
        <w:t>a</w:t>
      </w:r>
      <w:r w:rsidR="003B0FFE" w:rsidRPr="00A40BB3">
        <w:t>rthritis consist of two 1000 mg IV infusions.</w:t>
      </w:r>
    </w:p>
    <w:p w14:paraId="7F4AA5E2" w14:textId="5757AFB5" w:rsidR="00940A89" w:rsidRDefault="00334CAC" w:rsidP="0082640A">
      <w:r>
        <w:t>Riximyo</w:t>
      </w:r>
      <w:r w:rsidR="00A40BB3" w:rsidRPr="00A40BB3">
        <w:t xml:space="preserve"> is </w:t>
      </w:r>
      <w:r w:rsidR="003B0FFE">
        <w:t xml:space="preserve">to be </w:t>
      </w:r>
      <w:r w:rsidR="00A40BB3" w:rsidRPr="00A40BB3">
        <w:t>supplied at a concentration of 10 mg/mL in either 100 mg (10 mL) or 5</w:t>
      </w:r>
      <w:r w:rsidR="000B3A10">
        <w:t>00</w:t>
      </w:r>
      <w:r w:rsidR="00917EEC">
        <w:t> </w:t>
      </w:r>
      <w:r w:rsidR="000B3A10">
        <w:t>mg (50 mL) single use vials.</w:t>
      </w:r>
    </w:p>
    <w:p w14:paraId="7F4AA5E3" w14:textId="77777777" w:rsidR="00EC5FD9" w:rsidRPr="00A241D6" w:rsidRDefault="00EC5FD9" w:rsidP="0082640A">
      <w:pPr>
        <w:pStyle w:val="Heading5"/>
      </w:pPr>
      <w:r w:rsidRPr="00A241D6">
        <w:t>Mechanism of action</w:t>
      </w:r>
    </w:p>
    <w:p w14:paraId="7F4AA5E4" w14:textId="59FC9116" w:rsidR="00594086" w:rsidRDefault="00544957" w:rsidP="00594086">
      <w:r>
        <w:t>The Product Information (PI)</w:t>
      </w:r>
      <w:r w:rsidRPr="00A241D6">
        <w:t xml:space="preserve"> </w:t>
      </w:r>
      <w:r>
        <w:t xml:space="preserve">for </w:t>
      </w:r>
      <w:r w:rsidR="00EC5FD9" w:rsidRPr="00A241D6">
        <w:t>MabThera describes the mechanism of action across haematological malignancies and conditions such as rheumatoid arthritis.</w:t>
      </w:r>
    </w:p>
    <w:p w14:paraId="6D689655" w14:textId="77777777" w:rsidR="00EA1DF3" w:rsidRDefault="008A2F5F" w:rsidP="00594086">
      <w:r>
        <w:t>Riximyo</w:t>
      </w:r>
      <w:r w:rsidR="00594086">
        <w:t xml:space="preserve"> binds specifically to the human CD20 molecule expressed on B lymphocytes which can trigger cell death mediated by at least one of three mechanisms. Thus direct binding of </w:t>
      </w:r>
      <w:r>
        <w:t>Riximyo</w:t>
      </w:r>
      <w:r w:rsidR="00594086">
        <w:t xml:space="preserve"> has been shown to induce apoptosis in target cells, alternatively it may recruit the complement component C1q and induce complement dependent cytotoxicity, or antibody binding may recruit Fc receptor bearing immune effectors which lyse the target cell</w:t>
      </w:r>
      <w:r w:rsidR="00EA1DF3">
        <w:t>.</w:t>
      </w:r>
    </w:p>
    <w:p w14:paraId="7F4AA5E6" w14:textId="728EDAB0" w:rsidR="00EC5FD9" w:rsidRDefault="00EC5FD9" w:rsidP="00EA1DF3">
      <w:pPr>
        <w:pageBreakBefore/>
      </w:pPr>
      <w:r w:rsidRPr="00A241D6">
        <w:lastRenderedPageBreak/>
        <w:t xml:space="preserve">The following diagram is taken </w:t>
      </w:r>
      <w:r w:rsidRPr="008D4CCE">
        <w:t>from the Jaglowski et al, 2010</w:t>
      </w:r>
      <w:r w:rsidR="008D4CCE" w:rsidRPr="008D4CCE">
        <w:rPr>
          <w:rStyle w:val="FootnoteReference"/>
        </w:rPr>
        <w:footnoteReference w:id="2"/>
      </w:r>
      <w:r w:rsidRPr="008D4CCE">
        <w:t>:</w:t>
      </w:r>
    </w:p>
    <w:p w14:paraId="7F4AA5E7" w14:textId="77777777" w:rsidR="000B3A10" w:rsidRDefault="000B3A10" w:rsidP="000B3A10">
      <w:pPr>
        <w:pStyle w:val="FigureTitle"/>
      </w:pPr>
      <w:r>
        <w:t>Figure 1: Mechanism of action</w:t>
      </w:r>
    </w:p>
    <w:p w14:paraId="7F4AA5E8" w14:textId="77777777" w:rsidR="00EC5FD9" w:rsidRPr="000B3A10" w:rsidRDefault="000B3A10" w:rsidP="00EA1DF3">
      <w:r>
        <w:rPr>
          <w:noProof/>
          <w:lang w:eastAsia="en-AU"/>
        </w:rPr>
        <w:drawing>
          <wp:inline distT="0" distB="0" distL="0" distR="0" wp14:anchorId="7F4AA9D2" wp14:editId="7F4AA9D3">
            <wp:extent cx="4411456" cy="3486276"/>
            <wp:effectExtent l="0" t="0" r="8255" b="0"/>
            <wp:docPr id="13" name="Picture 13" descr="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412891" cy="3487410"/>
                    </a:xfrm>
                    <a:prstGeom prst="rect">
                      <a:avLst/>
                    </a:prstGeom>
                  </pic:spPr>
                </pic:pic>
              </a:graphicData>
            </a:graphic>
          </wp:inline>
        </w:drawing>
      </w:r>
    </w:p>
    <w:p w14:paraId="7F4AA5E9" w14:textId="2D1D86BD" w:rsidR="00EC5FD9" w:rsidRPr="00A241D6" w:rsidRDefault="008D4CCE" w:rsidP="0082640A">
      <w:r w:rsidRPr="008D4CCE">
        <w:t>Th</w:t>
      </w:r>
      <w:r w:rsidR="00917EEC">
        <w:t>is</w:t>
      </w:r>
      <w:r w:rsidR="00EC5FD9" w:rsidRPr="008D4CCE">
        <w:t xml:space="preserve"> biosimilar </w:t>
      </w:r>
      <w:r w:rsidRPr="008D4CCE">
        <w:t>p</w:t>
      </w:r>
      <w:r w:rsidR="00B34EBF">
        <w:t xml:space="preserve">roduct Riximyo </w:t>
      </w:r>
      <w:r w:rsidR="00EC5FD9" w:rsidRPr="008D4CCE">
        <w:t xml:space="preserve">is </w:t>
      </w:r>
      <w:r w:rsidRPr="008D4CCE">
        <w:t xml:space="preserve">also </w:t>
      </w:r>
      <w:r w:rsidR="00EC5FD9" w:rsidRPr="008D4CCE">
        <w:t>referred to as ‘</w:t>
      </w:r>
      <w:r w:rsidR="008A2F5F" w:rsidRPr="008A2F5F">
        <w:t>GP2013</w:t>
      </w:r>
      <w:r w:rsidR="00EC5FD9" w:rsidRPr="008D4CCE">
        <w:t>’</w:t>
      </w:r>
      <w:r w:rsidRPr="008D4CCE">
        <w:t xml:space="preserve"> in </w:t>
      </w:r>
      <w:r w:rsidR="00AD4938">
        <w:t xml:space="preserve">some parts of </w:t>
      </w:r>
      <w:r w:rsidRPr="008D4CCE">
        <w:t>this AusPAR</w:t>
      </w:r>
      <w:r w:rsidR="00AD4938">
        <w:t xml:space="preserve"> and Attachment 2</w:t>
      </w:r>
      <w:r w:rsidR="00EC5FD9" w:rsidRPr="008D4CCE">
        <w:t>.</w:t>
      </w:r>
    </w:p>
    <w:p w14:paraId="7F4AA5EA" w14:textId="77777777" w:rsidR="008E7846" w:rsidRPr="003F31A2" w:rsidRDefault="00386150" w:rsidP="008E7846">
      <w:pPr>
        <w:pStyle w:val="Heading3"/>
      </w:pPr>
      <w:bookmarkStart w:id="16" w:name="_Toc314842485"/>
      <w:bookmarkStart w:id="17" w:name="_Toc247691504"/>
      <w:bookmarkStart w:id="18" w:name="_Toc524426263"/>
      <w:r>
        <w:t>Regulatory s</w:t>
      </w:r>
      <w:r w:rsidR="008E7846">
        <w:t>tatus</w:t>
      </w:r>
      <w:bookmarkEnd w:id="16"/>
      <w:bookmarkEnd w:id="17"/>
      <w:bookmarkEnd w:id="18"/>
    </w:p>
    <w:p w14:paraId="7F4AA5EB" w14:textId="77777777" w:rsidR="00376E42" w:rsidRDefault="00376E42" w:rsidP="00376E42">
      <w:bookmarkStart w:id="19" w:name="_Toc247691505"/>
      <w:bookmarkStart w:id="20" w:name="_Toc314842486"/>
      <w:r>
        <w:t xml:space="preserve">This is an application to register a new biosimilar in Australia. The originator, MabThera was registered </w:t>
      </w:r>
      <w:r w:rsidR="00940A89" w:rsidRPr="00376E42">
        <w:t>on the Australian Registe</w:t>
      </w:r>
      <w:r w:rsidR="009F298B">
        <w:t>r of Therapeutic Goods (ARTG) in 1998.</w:t>
      </w:r>
    </w:p>
    <w:p w14:paraId="7F4AA5EC" w14:textId="60C6B8EE" w:rsidR="00EC5FD9" w:rsidRPr="00376E42" w:rsidRDefault="00EC5FD9" w:rsidP="00376E42">
      <w:r w:rsidRPr="00376E42">
        <w:t>The same product has the tradename Rixathon in the EU.</w:t>
      </w:r>
      <w:r w:rsidR="000B3A10" w:rsidRPr="00376E42">
        <w:t xml:space="preserve"> </w:t>
      </w:r>
      <w:r w:rsidRPr="00376E42">
        <w:t>This was approved on 15</w:t>
      </w:r>
      <w:r w:rsidR="00917EEC">
        <w:t> June </w:t>
      </w:r>
      <w:r w:rsidRPr="00376E42">
        <w:t>2017, with indications across the following areas: NHL; CLL; RA; GPA</w:t>
      </w:r>
      <w:r w:rsidR="009436CA">
        <w:t>/</w:t>
      </w:r>
      <w:r w:rsidRPr="00376E42">
        <w:t>MPA</w:t>
      </w:r>
      <w:r w:rsidR="00376E42">
        <w:t xml:space="preserve"> (see Table 1 below)</w:t>
      </w:r>
      <w:r w:rsidRPr="00376E42">
        <w:t>.</w:t>
      </w:r>
    </w:p>
    <w:p w14:paraId="7F4AA5ED" w14:textId="77777777" w:rsidR="00376E42" w:rsidRDefault="00376E42" w:rsidP="00376E42">
      <w:pPr>
        <w:pStyle w:val="TableTitle"/>
      </w:pPr>
      <w:r>
        <w:t>Table 1: International regulatory status</w:t>
      </w:r>
    </w:p>
    <w:tbl>
      <w:tblPr>
        <w:tblStyle w:val="TableTGAblue"/>
        <w:tblW w:w="9039" w:type="dxa"/>
        <w:tblLayout w:type="fixed"/>
        <w:tblLook w:val="04A0" w:firstRow="1" w:lastRow="0" w:firstColumn="1" w:lastColumn="0" w:noHBand="0" w:noVBand="1"/>
      </w:tblPr>
      <w:tblGrid>
        <w:gridCol w:w="1454"/>
        <w:gridCol w:w="1631"/>
        <w:gridCol w:w="5954"/>
      </w:tblGrid>
      <w:tr w:rsidR="004720F8" w14:paraId="7F4AA5F1" w14:textId="77777777" w:rsidTr="002D3F53">
        <w:trPr>
          <w:cnfStyle w:val="100000000000" w:firstRow="1" w:lastRow="0" w:firstColumn="0" w:lastColumn="0" w:oddVBand="0" w:evenVBand="0" w:oddHBand="0" w:evenHBand="0" w:firstRowFirstColumn="0" w:firstRowLastColumn="0" w:lastRowFirstColumn="0" w:lastRowLastColumn="0"/>
          <w:cantSplit/>
          <w:trHeight w:val="1393"/>
        </w:trPr>
        <w:tc>
          <w:tcPr>
            <w:tcW w:w="1454" w:type="dxa"/>
          </w:tcPr>
          <w:p w14:paraId="7F4AA5EE" w14:textId="77777777" w:rsidR="008D4CCE" w:rsidRDefault="008D4CCE" w:rsidP="00285AEE">
            <w:r w:rsidRPr="009B386A">
              <w:t>Country Region Trade</w:t>
            </w:r>
            <w:r>
              <w:t>-</w:t>
            </w:r>
            <w:r w:rsidRPr="009B386A">
              <w:t>name</w:t>
            </w:r>
          </w:p>
        </w:tc>
        <w:tc>
          <w:tcPr>
            <w:tcW w:w="1631" w:type="dxa"/>
          </w:tcPr>
          <w:p w14:paraId="7F4AA5EF" w14:textId="77777777" w:rsidR="008D4CCE" w:rsidRDefault="008D4CCE" w:rsidP="00940A89">
            <w:r>
              <w:t>Status Date</w:t>
            </w:r>
          </w:p>
        </w:tc>
        <w:tc>
          <w:tcPr>
            <w:tcW w:w="5954" w:type="dxa"/>
          </w:tcPr>
          <w:p w14:paraId="7F4AA5F0" w14:textId="77777777" w:rsidR="008D4CCE" w:rsidRDefault="008D4CCE" w:rsidP="00940A89">
            <w:r>
              <w:t>Indications</w:t>
            </w:r>
          </w:p>
        </w:tc>
      </w:tr>
      <w:tr w:rsidR="004720F8" w14:paraId="7F4AA601" w14:textId="77777777" w:rsidTr="004720F8">
        <w:tc>
          <w:tcPr>
            <w:tcW w:w="1454" w:type="dxa"/>
          </w:tcPr>
          <w:p w14:paraId="7F4AA5F2" w14:textId="77777777" w:rsidR="008D4CCE" w:rsidRPr="00285AEE" w:rsidRDefault="008D4CCE" w:rsidP="00285AEE">
            <w:pPr>
              <w:rPr>
                <w:sz w:val="20"/>
                <w:szCs w:val="20"/>
              </w:rPr>
            </w:pPr>
            <w:r w:rsidRPr="00285AEE">
              <w:rPr>
                <w:sz w:val="20"/>
                <w:szCs w:val="20"/>
              </w:rPr>
              <w:t>EU Rixathon</w:t>
            </w:r>
          </w:p>
        </w:tc>
        <w:tc>
          <w:tcPr>
            <w:tcW w:w="1631" w:type="dxa"/>
          </w:tcPr>
          <w:p w14:paraId="7F4AA5F3" w14:textId="4DF01419" w:rsidR="008D4CCE" w:rsidRPr="00285AEE" w:rsidRDefault="008D4CCE" w:rsidP="00285AEE">
            <w:pPr>
              <w:rPr>
                <w:sz w:val="20"/>
                <w:szCs w:val="20"/>
              </w:rPr>
            </w:pPr>
            <w:r w:rsidRPr="00285AEE">
              <w:rPr>
                <w:sz w:val="20"/>
                <w:szCs w:val="20"/>
              </w:rPr>
              <w:t>Approved</w:t>
            </w:r>
            <w:r w:rsidR="004720F8">
              <w:rPr>
                <w:sz w:val="20"/>
                <w:szCs w:val="20"/>
              </w:rPr>
              <w:t xml:space="preserve"> </w:t>
            </w:r>
            <w:r w:rsidRPr="00285AEE">
              <w:rPr>
                <w:sz w:val="20"/>
                <w:szCs w:val="20"/>
              </w:rPr>
              <w:t>15 June 2017</w:t>
            </w:r>
          </w:p>
        </w:tc>
        <w:tc>
          <w:tcPr>
            <w:tcW w:w="5954" w:type="dxa"/>
          </w:tcPr>
          <w:p w14:paraId="7F4AA5F4" w14:textId="77777777" w:rsidR="008D4CCE" w:rsidRPr="00285AEE" w:rsidRDefault="008D4CCE" w:rsidP="00285AEE">
            <w:pPr>
              <w:rPr>
                <w:sz w:val="20"/>
                <w:szCs w:val="20"/>
              </w:rPr>
            </w:pPr>
            <w:r w:rsidRPr="00285AEE">
              <w:rPr>
                <w:sz w:val="20"/>
                <w:szCs w:val="20"/>
              </w:rPr>
              <w:t>Identical to approved indications for reference medicine in the EU (MabThera) in adults for the following:</w:t>
            </w:r>
          </w:p>
          <w:p w14:paraId="7F4AA5F5" w14:textId="77777777" w:rsidR="008D4CCE" w:rsidRPr="0082640A" w:rsidRDefault="008D4CCE" w:rsidP="00285AEE">
            <w:pPr>
              <w:rPr>
                <w:b/>
                <w:i/>
                <w:sz w:val="20"/>
                <w:szCs w:val="20"/>
              </w:rPr>
            </w:pPr>
            <w:r w:rsidRPr="0082640A">
              <w:rPr>
                <w:b/>
                <w:i/>
                <w:sz w:val="20"/>
                <w:szCs w:val="20"/>
              </w:rPr>
              <w:t>Non-Hodgkin’s lymphoma (NHL)</w:t>
            </w:r>
          </w:p>
          <w:p w14:paraId="7F4AA5F6" w14:textId="77777777" w:rsidR="008D4CCE" w:rsidRPr="00390CAF" w:rsidRDefault="008D4CCE" w:rsidP="00390CAF">
            <w:pPr>
              <w:pStyle w:val="ListBullet"/>
              <w:rPr>
                <w:i/>
                <w:sz w:val="20"/>
                <w:szCs w:val="20"/>
              </w:rPr>
            </w:pPr>
            <w:r w:rsidRPr="00390CAF">
              <w:rPr>
                <w:i/>
                <w:sz w:val="20"/>
                <w:szCs w:val="20"/>
              </w:rPr>
              <w:t xml:space="preserve">Treatment of previously untreated patients with </w:t>
            </w:r>
            <w:r>
              <w:rPr>
                <w:i/>
                <w:sz w:val="20"/>
                <w:szCs w:val="20"/>
              </w:rPr>
              <w:t>Stage III</w:t>
            </w:r>
            <w:r w:rsidRPr="00390CAF">
              <w:rPr>
                <w:i/>
                <w:sz w:val="20"/>
                <w:szCs w:val="20"/>
              </w:rPr>
              <w:t>-IV follicular lymphoma in combination with chemotherapy.</w:t>
            </w:r>
          </w:p>
          <w:p w14:paraId="7F4AA5F7" w14:textId="77777777" w:rsidR="008D4CCE" w:rsidRPr="00390CAF" w:rsidRDefault="008D4CCE" w:rsidP="00390CAF">
            <w:pPr>
              <w:pStyle w:val="ListBullet"/>
              <w:rPr>
                <w:i/>
                <w:sz w:val="20"/>
                <w:szCs w:val="20"/>
              </w:rPr>
            </w:pPr>
            <w:r w:rsidRPr="00390CAF">
              <w:rPr>
                <w:i/>
                <w:sz w:val="20"/>
                <w:szCs w:val="20"/>
              </w:rPr>
              <w:lastRenderedPageBreak/>
              <w:t>Maintenance therapy for the treatment of follicular</w:t>
            </w:r>
            <w:r w:rsidR="00544957">
              <w:rPr>
                <w:i/>
                <w:sz w:val="20"/>
                <w:szCs w:val="20"/>
              </w:rPr>
              <w:t xml:space="preserve"> </w:t>
            </w:r>
            <w:r w:rsidRPr="00390CAF">
              <w:rPr>
                <w:i/>
                <w:sz w:val="20"/>
                <w:szCs w:val="20"/>
              </w:rPr>
              <w:t>lymphoma patients responding to induction therapy.</w:t>
            </w:r>
          </w:p>
          <w:p w14:paraId="7F4AA5F8" w14:textId="77777777" w:rsidR="008D4CCE" w:rsidRPr="00390CAF" w:rsidRDefault="008D4CCE" w:rsidP="00390CAF">
            <w:pPr>
              <w:pStyle w:val="ListBullet"/>
              <w:rPr>
                <w:i/>
                <w:sz w:val="20"/>
                <w:szCs w:val="20"/>
              </w:rPr>
            </w:pPr>
            <w:r w:rsidRPr="00390CAF">
              <w:rPr>
                <w:i/>
                <w:sz w:val="20"/>
                <w:szCs w:val="20"/>
              </w:rPr>
              <w:t xml:space="preserve">Monotherapy treatment of patients with </w:t>
            </w:r>
            <w:r>
              <w:rPr>
                <w:i/>
                <w:sz w:val="20"/>
                <w:szCs w:val="20"/>
              </w:rPr>
              <w:t>Stage III</w:t>
            </w:r>
            <w:r w:rsidRPr="00390CAF">
              <w:rPr>
                <w:i/>
                <w:sz w:val="20"/>
                <w:szCs w:val="20"/>
              </w:rPr>
              <w:t>-IV</w:t>
            </w:r>
            <w:r w:rsidR="00544957">
              <w:rPr>
                <w:i/>
                <w:sz w:val="20"/>
                <w:szCs w:val="20"/>
              </w:rPr>
              <w:t xml:space="preserve"> </w:t>
            </w:r>
            <w:r w:rsidRPr="00390CAF">
              <w:rPr>
                <w:i/>
                <w:sz w:val="20"/>
                <w:szCs w:val="20"/>
              </w:rPr>
              <w:t>follicular lymphoma who are chemo</w:t>
            </w:r>
            <w:r w:rsidR="00544957">
              <w:rPr>
                <w:i/>
                <w:sz w:val="20"/>
                <w:szCs w:val="20"/>
              </w:rPr>
              <w:t xml:space="preserve"> </w:t>
            </w:r>
            <w:r w:rsidRPr="00390CAF">
              <w:rPr>
                <w:i/>
                <w:sz w:val="20"/>
                <w:szCs w:val="20"/>
              </w:rPr>
              <w:t>resistant or are in their</w:t>
            </w:r>
            <w:r w:rsidR="00544957">
              <w:rPr>
                <w:i/>
                <w:sz w:val="20"/>
                <w:szCs w:val="20"/>
              </w:rPr>
              <w:t xml:space="preserve"> </w:t>
            </w:r>
            <w:r w:rsidRPr="00390CAF">
              <w:rPr>
                <w:i/>
                <w:sz w:val="20"/>
                <w:szCs w:val="20"/>
              </w:rPr>
              <w:t>second or subsequent relapse after chemotherapy.</w:t>
            </w:r>
          </w:p>
          <w:p w14:paraId="7F4AA5F9" w14:textId="77777777" w:rsidR="008D4CCE" w:rsidRPr="00390CAF" w:rsidRDefault="008D4CCE" w:rsidP="00390CAF">
            <w:pPr>
              <w:pStyle w:val="ListBullet"/>
              <w:rPr>
                <w:i/>
                <w:sz w:val="20"/>
                <w:szCs w:val="20"/>
              </w:rPr>
            </w:pPr>
            <w:r w:rsidRPr="00390CAF">
              <w:rPr>
                <w:i/>
                <w:sz w:val="20"/>
                <w:szCs w:val="20"/>
              </w:rPr>
              <w:t>Treatment of patients with CD20 positive diffuse large B cell NHL in combination with CHOP (cyclophosphamide,</w:t>
            </w:r>
            <w:r w:rsidR="00544957">
              <w:rPr>
                <w:i/>
                <w:sz w:val="20"/>
                <w:szCs w:val="20"/>
              </w:rPr>
              <w:t xml:space="preserve"> </w:t>
            </w:r>
            <w:r w:rsidRPr="00390CAF">
              <w:rPr>
                <w:i/>
                <w:sz w:val="20"/>
                <w:szCs w:val="20"/>
              </w:rPr>
              <w:t>doxorubicin, vincristine, prednisolone) chemotherapy.</w:t>
            </w:r>
          </w:p>
          <w:p w14:paraId="7F4AA5FA" w14:textId="77777777" w:rsidR="008D4CCE" w:rsidRPr="0082640A" w:rsidRDefault="008D4CCE" w:rsidP="00285AEE">
            <w:pPr>
              <w:rPr>
                <w:b/>
                <w:i/>
                <w:sz w:val="20"/>
                <w:szCs w:val="20"/>
              </w:rPr>
            </w:pPr>
            <w:r w:rsidRPr="0082640A">
              <w:rPr>
                <w:b/>
                <w:i/>
                <w:sz w:val="20"/>
                <w:szCs w:val="20"/>
              </w:rPr>
              <w:t>Chronic lymphocytic leukaemia (CLL)</w:t>
            </w:r>
          </w:p>
          <w:p w14:paraId="7F4AA5FB" w14:textId="77777777" w:rsidR="008D4CCE" w:rsidRPr="008D4CCE" w:rsidRDefault="008D4CCE" w:rsidP="008D4CCE">
            <w:pPr>
              <w:pStyle w:val="ListBullet"/>
              <w:rPr>
                <w:i/>
                <w:sz w:val="20"/>
                <w:szCs w:val="20"/>
              </w:rPr>
            </w:pPr>
            <w:r w:rsidRPr="008D4CCE">
              <w:rPr>
                <w:i/>
                <w:sz w:val="20"/>
                <w:szCs w:val="20"/>
              </w:rPr>
              <w:t>In combination with chemotherapy for the treatment of patients with previously untreated and relapsed/refractory CLL. Only limited data are available on efficacy and safety for patients previously treated with monoclonal antibodies including rituximab or patients refractory to previous rituximab plus chemotherapy.</w:t>
            </w:r>
          </w:p>
          <w:p w14:paraId="7F4AA5FC" w14:textId="77777777" w:rsidR="008D4CCE" w:rsidRPr="0082640A" w:rsidRDefault="008D4CCE" w:rsidP="00285AEE">
            <w:pPr>
              <w:rPr>
                <w:b/>
                <w:i/>
                <w:sz w:val="20"/>
                <w:szCs w:val="20"/>
              </w:rPr>
            </w:pPr>
            <w:r w:rsidRPr="0082640A">
              <w:rPr>
                <w:b/>
                <w:i/>
                <w:sz w:val="20"/>
                <w:szCs w:val="20"/>
              </w:rPr>
              <w:t>Rheumatoid arthritis (RA)</w:t>
            </w:r>
          </w:p>
          <w:p w14:paraId="7F4AA5FD" w14:textId="77777777" w:rsidR="008D4CCE" w:rsidRPr="0082640A" w:rsidRDefault="008D4CCE" w:rsidP="0082640A">
            <w:pPr>
              <w:pStyle w:val="ListBullet"/>
              <w:rPr>
                <w:i/>
                <w:sz w:val="20"/>
                <w:szCs w:val="20"/>
              </w:rPr>
            </w:pPr>
            <w:r w:rsidRPr="0082640A">
              <w:rPr>
                <w:i/>
                <w:sz w:val="20"/>
                <w:szCs w:val="20"/>
              </w:rPr>
              <w:t>In combination with methotrexate for the treatment of adult patients with severe active RA who have had an inadequate response or intolerance to other disease-modifying anti-rheumatic drugs (DMARD) including one or more tumour necrosis factor (TNF) inhibitor therapies.</w:t>
            </w:r>
          </w:p>
          <w:p w14:paraId="7F4AA5FE" w14:textId="77777777" w:rsidR="008D4CCE" w:rsidRPr="0082640A" w:rsidRDefault="008D4CCE" w:rsidP="0082640A">
            <w:pPr>
              <w:pStyle w:val="ListBullet"/>
              <w:rPr>
                <w:i/>
                <w:sz w:val="20"/>
                <w:szCs w:val="20"/>
              </w:rPr>
            </w:pPr>
            <w:r w:rsidRPr="0082640A">
              <w:rPr>
                <w:i/>
                <w:sz w:val="20"/>
                <w:szCs w:val="20"/>
              </w:rPr>
              <w:t>Rituximab has been shown to reduce the rate of progression of joint damage as measured by X-ray &amp; to improve physical function, when given in combination with methotrexate.</w:t>
            </w:r>
          </w:p>
          <w:p w14:paraId="0A258C4A" w14:textId="77777777" w:rsidR="00EA1DF3" w:rsidRDefault="008D4CCE" w:rsidP="00285AEE">
            <w:pPr>
              <w:rPr>
                <w:b/>
                <w:i/>
                <w:sz w:val="20"/>
                <w:szCs w:val="20"/>
              </w:rPr>
            </w:pPr>
            <w:r w:rsidRPr="0082640A">
              <w:rPr>
                <w:b/>
                <w:i/>
                <w:sz w:val="20"/>
                <w:szCs w:val="20"/>
              </w:rPr>
              <w:t xml:space="preserve">Granulomatosis with </w:t>
            </w:r>
            <w:proofErr w:type="spellStart"/>
            <w:r w:rsidRPr="0082640A">
              <w:rPr>
                <w:b/>
                <w:i/>
                <w:sz w:val="20"/>
                <w:szCs w:val="20"/>
              </w:rPr>
              <w:t>polyangiitis</w:t>
            </w:r>
            <w:proofErr w:type="spellEnd"/>
            <w:r w:rsidRPr="0082640A">
              <w:rPr>
                <w:b/>
                <w:i/>
                <w:sz w:val="20"/>
                <w:szCs w:val="20"/>
              </w:rPr>
              <w:t xml:space="preserve"> &amp; microscopic </w:t>
            </w:r>
            <w:proofErr w:type="spellStart"/>
            <w:r w:rsidRPr="0082640A">
              <w:rPr>
                <w:b/>
                <w:i/>
                <w:sz w:val="20"/>
                <w:szCs w:val="20"/>
              </w:rPr>
              <w:t>polyangiitis</w:t>
            </w:r>
            <w:proofErr w:type="spellEnd"/>
          </w:p>
          <w:p w14:paraId="7F4AA600" w14:textId="1C7330D8" w:rsidR="008D4CCE" w:rsidRPr="0082640A" w:rsidRDefault="008D4CCE" w:rsidP="0082640A">
            <w:pPr>
              <w:pStyle w:val="ListBullet"/>
              <w:rPr>
                <w:i/>
                <w:sz w:val="20"/>
                <w:szCs w:val="20"/>
              </w:rPr>
            </w:pPr>
            <w:r w:rsidRPr="0082640A">
              <w:rPr>
                <w:i/>
                <w:sz w:val="20"/>
                <w:szCs w:val="20"/>
              </w:rPr>
              <w:t xml:space="preserve">In combination with glucocorticoids for the induction of remission in adult patients with severe, active granulomatosis with polyangiitis (Wegener’s) (GPA) and microscopic polyangiitis (MPA). </w:t>
            </w:r>
          </w:p>
        </w:tc>
      </w:tr>
      <w:tr w:rsidR="004720F8" w14:paraId="7F4AA610" w14:textId="77777777" w:rsidTr="004720F8">
        <w:tc>
          <w:tcPr>
            <w:tcW w:w="1454" w:type="dxa"/>
          </w:tcPr>
          <w:p w14:paraId="7F4AA602" w14:textId="77777777" w:rsidR="008D4CCE" w:rsidRPr="00285AEE" w:rsidRDefault="008D4CCE" w:rsidP="00285AEE">
            <w:pPr>
              <w:rPr>
                <w:sz w:val="20"/>
                <w:szCs w:val="20"/>
              </w:rPr>
            </w:pPr>
            <w:r w:rsidRPr="00285AEE">
              <w:rPr>
                <w:sz w:val="20"/>
                <w:szCs w:val="20"/>
              </w:rPr>
              <w:lastRenderedPageBreak/>
              <w:t>Switzerland Rixathon</w:t>
            </w:r>
          </w:p>
        </w:tc>
        <w:tc>
          <w:tcPr>
            <w:tcW w:w="1631" w:type="dxa"/>
          </w:tcPr>
          <w:p w14:paraId="7F4AA603" w14:textId="77777777" w:rsidR="008D4CCE" w:rsidRPr="00285AEE" w:rsidRDefault="008D4CCE" w:rsidP="00285AEE">
            <w:pPr>
              <w:rPr>
                <w:sz w:val="20"/>
                <w:szCs w:val="20"/>
              </w:rPr>
            </w:pPr>
            <w:r w:rsidRPr="00285AEE">
              <w:rPr>
                <w:sz w:val="20"/>
                <w:szCs w:val="20"/>
              </w:rPr>
              <w:t>Pending</w:t>
            </w:r>
          </w:p>
        </w:tc>
        <w:tc>
          <w:tcPr>
            <w:tcW w:w="5954" w:type="dxa"/>
          </w:tcPr>
          <w:p w14:paraId="1DBA52CC" w14:textId="77777777" w:rsidR="00EA1DF3" w:rsidRDefault="008D4CCE" w:rsidP="00285AEE">
            <w:pPr>
              <w:rPr>
                <w:iCs/>
                <w:sz w:val="20"/>
                <w:szCs w:val="20"/>
              </w:rPr>
            </w:pPr>
            <w:r w:rsidRPr="008D4CCE">
              <w:rPr>
                <w:iCs/>
                <w:sz w:val="20"/>
                <w:szCs w:val="20"/>
              </w:rPr>
              <w:t>Identical to approved indications for reference medicine in Switzerland (</w:t>
            </w:r>
            <w:proofErr w:type="spellStart"/>
            <w:r w:rsidRPr="008D4CCE">
              <w:rPr>
                <w:iCs/>
                <w:sz w:val="20"/>
                <w:szCs w:val="20"/>
              </w:rPr>
              <w:t>MabThera</w:t>
            </w:r>
            <w:proofErr w:type="spellEnd"/>
            <w:r w:rsidRPr="008D4CCE">
              <w:rPr>
                <w:iCs/>
                <w:sz w:val="20"/>
                <w:szCs w:val="20"/>
              </w:rPr>
              <w:t>):</w:t>
            </w:r>
          </w:p>
          <w:p w14:paraId="7A2FDC30" w14:textId="77777777" w:rsidR="00EA1DF3" w:rsidRDefault="008D4CCE" w:rsidP="00285AEE">
            <w:pPr>
              <w:rPr>
                <w:b/>
                <w:i/>
                <w:sz w:val="20"/>
                <w:szCs w:val="20"/>
              </w:rPr>
            </w:pPr>
            <w:r w:rsidRPr="00390CAF">
              <w:rPr>
                <w:b/>
                <w:i/>
                <w:sz w:val="20"/>
                <w:szCs w:val="20"/>
              </w:rPr>
              <w:t>Non-Hodgkin’s lymphoma (NHL)</w:t>
            </w:r>
          </w:p>
          <w:p w14:paraId="0BD3EB48" w14:textId="10071150" w:rsidR="00EA1DF3" w:rsidRDefault="008D4CCE" w:rsidP="00390CAF">
            <w:pPr>
              <w:pStyle w:val="ListBullet"/>
              <w:rPr>
                <w:i/>
                <w:sz w:val="20"/>
                <w:szCs w:val="20"/>
              </w:rPr>
            </w:pPr>
            <w:r w:rsidRPr="00390CAF">
              <w:rPr>
                <w:i/>
                <w:sz w:val="20"/>
                <w:szCs w:val="20"/>
              </w:rPr>
              <w:t>Monotherapy in patients with CD20 positive follicular NHL (</w:t>
            </w:r>
            <w:r>
              <w:rPr>
                <w:i/>
                <w:sz w:val="20"/>
                <w:szCs w:val="20"/>
              </w:rPr>
              <w:t>Stage III</w:t>
            </w:r>
            <w:r w:rsidRPr="00390CAF">
              <w:rPr>
                <w:i/>
                <w:sz w:val="20"/>
                <w:szCs w:val="20"/>
              </w:rPr>
              <w:t xml:space="preserve"> or IV) who have relapsed or are unresponsive to chemotherapy</w:t>
            </w:r>
            <w:r w:rsidR="00EA1DF3">
              <w:rPr>
                <w:i/>
                <w:sz w:val="20"/>
                <w:szCs w:val="20"/>
              </w:rPr>
              <w:t>.</w:t>
            </w:r>
          </w:p>
          <w:p w14:paraId="01380EE0" w14:textId="77777777" w:rsidR="00EA1DF3" w:rsidRDefault="008D4CCE" w:rsidP="00390CAF">
            <w:pPr>
              <w:pStyle w:val="ListBullet"/>
              <w:rPr>
                <w:i/>
                <w:sz w:val="20"/>
                <w:szCs w:val="20"/>
              </w:rPr>
            </w:pPr>
            <w:r w:rsidRPr="00390CAF">
              <w:rPr>
                <w:i/>
                <w:sz w:val="20"/>
                <w:szCs w:val="20"/>
              </w:rPr>
              <w:t>Treatment of previously untreated patients with CD20 positive follicular NHL (</w:t>
            </w:r>
            <w:r>
              <w:rPr>
                <w:i/>
                <w:sz w:val="20"/>
                <w:szCs w:val="20"/>
              </w:rPr>
              <w:t>Stage III</w:t>
            </w:r>
            <w:r w:rsidRPr="00390CAF">
              <w:rPr>
                <w:i/>
                <w:sz w:val="20"/>
                <w:szCs w:val="20"/>
              </w:rPr>
              <w:t>-IV) with high tumour load, in combination with CVP or CHOP. If responsive to the therapy, maintenance therapy with rituximab monotherapy over 2 years can be administered</w:t>
            </w:r>
            <w:r w:rsidR="00EA1DF3">
              <w:rPr>
                <w:i/>
                <w:sz w:val="20"/>
                <w:szCs w:val="20"/>
              </w:rPr>
              <w:t>.</w:t>
            </w:r>
          </w:p>
          <w:p w14:paraId="20060A8C" w14:textId="77777777" w:rsidR="00EA1DF3" w:rsidRDefault="008D4CCE" w:rsidP="00390CAF">
            <w:pPr>
              <w:pStyle w:val="ListBullet"/>
              <w:rPr>
                <w:i/>
                <w:sz w:val="20"/>
                <w:szCs w:val="20"/>
              </w:rPr>
            </w:pPr>
            <w:r w:rsidRPr="00390CAF">
              <w:rPr>
                <w:i/>
                <w:sz w:val="20"/>
                <w:szCs w:val="20"/>
              </w:rPr>
              <w:t>Maintenance treatment of patients with CD20 positive relapsed or refractory follicular NHL (</w:t>
            </w:r>
            <w:r>
              <w:rPr>
                <w:i/>
                <w:sz w:val="20"/>
                <w:szCs w:val="20"/>
              </w:rPr>
              <w:t>Stage III</w:t>
            </w:r>
            <w:r w:rsidRPr="00390CAF">
              <w:rPr>
                <w:i/>
                <w:sz w:val="20"/>
                <w:szCs w:val="20"/>
              </w:rPr>
              <w:t xml:space="preserve">-IV) who have responded to induction treatment with CHOP with or without </w:t>
            </w:r>
            <w:r w:rsidRPr="00390CAF">
              <w:rPr>
                <w:i/>
                <w:sz w:val="20"/>
                <w:szCs w:val="20"/>
              </w:rPr>
              <w:lastRenderedPageBreak/>
              <w:t>rituximab</w:t>
            </w:r>
            <w:r w:rsidR="00EA1DF3">
              <w:rPr>
                <w:i/>
                <w:sz w:val="20"/>
                <w:szCs w:val="20"/>
              </w:rPr>
              <w:t>.</w:t>
            </w:r>
          </w:p>
          <w:p w14:paraId="0E3FDDD3" w14:textId="5E9F4AD1" w:rsidR="004720F8" w:rsidRDefault="008D4CCE" w:rsidP="00390CAF">
            <w:pPr>
              <w:pStyle w:val="ListBullet"/>
              <w:rPr>
                <w:i/>
                <w:sz w:val="20"/>
                <w:szCs w:val="20"/>
              </w:rPr>
            </w:pPr>
            <w:proofErr w:type="gramStart"/>
            <w:r w:rsidRPr="00390CAF">
              <w:rPr>
                <w:i/>
                <w:sz w:val="20"/>
                <w:szCs w:val="20"/>
              </w:rPr>
              <w:t>Treatment of patients with CD20 positive diffuse large B-cell NHL (DLBCL) in combination with standard CHOP</w:t>
            </w:r>
            <w:proofErr w:type="gramEnd"/>
            <w:r w:rsidRPr="00390CAF">
              <w:rPr>
                <w:i/>
                <w:sz w:val="20"/>
                <w:szCs w:val="20"/>
              </w:rPr>
              <w:t xml:space="preserve"> (8 cycles of cyclophosphamide, doxorubicin, vincristine, prednisone).</w:t>
            </w:r>
          </w:p>
          <w:p w14:paraId="56FAEE31" w14:textId="77777777" w:rsidR="00EA1DF3" w:rsidRDefault="008D4CCE" w:rsidP="00285AEE">
            <w:pPr>
              <w:rPr>
                <w:b/>
                <w:i/>
                <w:sz w:val="20"/>
                <w:szCs w:val="20"/>
              </w:rPr>
            </w:pPr>
            <w:r w:rsidRPr="00390CAF">
              <w:rPr>
                <w:b/>
                <w:i/>
                <w:sz w:val="20"/>
                <w:szCs w:val="20"/>
              </w:rPr>
              <w:t>Chronic lymphocytic leukaemia (CLL)</w:t>
            </w:r>
          </w:p>
          <w:p w14:paraId="07DF12AF" w14:textId="191F0B23" w:rsidR="00EA1DF3" w:rsidRDefault="008D4CCE" w:rsidP="00390CAF">
            <w:pPr>
              <w:pStyle w:val="ListBullet"/>
              <w:rPr>
                <w:i/>
                <w:sz w:val="20"/>
                <w:szCs w:val="20"/>
              </w:rPr>
            </w:pPr>
            <w:r w:rsidRPr="00390CAF">
              <w:rPr>
                <w:i/>
                <w:sz w:val="20"/>
                <w:szCs w:val="20"/>
              </w:rPr>
              <w:t>Treatment of patients with CLL in combination with fludarabine and cyclophosphamide (R-FC). Patients should first be treated with fludarabine over a period of at least 6 months</w:t>
            </w:r>
            <w:r w:rsidR="00EA1DF3">
              <w:rPr>
                <w:i/>
                <w:sz w:val="20"/>
                <w:szCs w:val="20"/>
              </w:rPr>
              <w:t>.</w:t>
            </w:r>
          </w:p>
          <w:p w14:paraId="127B8DB9" w14:textId="77777777" w:rsidR="00EA1DF3" w:rsidRDefault="008D4CCE" w:rsidP="00285AEE">
            <w:pPr>
              <w:rPr>
                <w:b/>
                <w:i/>
                <w:sz w:val="20"/>
                <w:szCs w:val="20"/>
              </w:rPr>
            </w:pPr>
            <w:r w:rsidRPr="00390CAF">
              <w:rPr>
                <w:b/>
                <w:i/>
                <w:sz w:val="20"/>
                <w:szCs w:val="20"/>
              </w:rPr>
              <w:t>Rheumatoid arthritis</w:t>
            </w:r>
          </w:p>
          <w:p w14:paraId="0AE729E0" w14:textId="7390BBA5" w:rsidR="00EA1DF3" w:rsidRDefault="008D4CCE" w:rsidP="00285AEE">
            <w:pPr>
              <w:rPr>
                <w:i/>
                <w:sz w:val="20"/>
                <w:szCs w:val="20"/>
              </w:rPr>
            </w:pPr>
            <w:r w:rsidRPr="00390CAF">
              <w:rPr>
                <w:i/>
                <w:sz w:val="20"/>
                <w:szCs w:val="20"/>
              </w:rPr>
              <w:t>In combination with methotrexate (MTX) for the treatment of adult patients with moderate to severe active rheumatoid arthritis (RA) after failure of one or more therapies with tumour necrosis factor (TNF) inhibitors</w:t>
            </w:r>
            <w:r w:rsidR="00EA1DF3">
              <w:rPr>
                <w:i/>
                <w:sz w:val="20"/>
                <w:szCs w:val="20"/>
              </w:rPr>
              <w:t>.</w:t>
            </w:r>
          </w:p>
          <w:p w14:paraId="67BF27CF" w14:textId="77777777" w:rsidR="00EA1DF3" w:rsidRDefault="008D4CCE" w:rsidP="00285AEE">
            <w:pPr>
              <w:rPr>
                <w:b/>
                <w:sz w:val="20"/>
                <w:szCs w:val="20"/>
              </w:rPr>
            </w:pPr>
            <w:r w:rsidRPr="00390CAF">
              <w:rPr>
                <w:b/>
                <w:sz w:val="20"/>
                <w:szCs w:val="20"/>
              </w:rPr>
              <w:t>ANCA-associated vasculitis</w:t>
            </w:r>
          </w:p>
          <w:p w14:paraId="7F4AA60F" w14:textId="28F8B186" w:rsidR="008D4CCE" w:rsidRPr="00390CAF" w:rsidRDefault="008D4CCE" w:rsidP="00285AEE">
            <w:pPr>
              <w:rPr>
                <w:i/>
                <w:sz w:val="20"/>
                <w:szCs w:val="20"/>
              </w:rPr>
            </w:pPr>
            <w:r w:rsidRPr="00390CAF">
              <w:rPr>
                <w:i/>
                <w:sz w:val="20"/>
                <w:szCs w:val="20"/>
              </w:rPr>
              <w:t xml:space="preserve">In combination with corticosteroids for the treatment of patients with severe, active ANCA-associated vasculitis (granulomatosis with polyangiitis (also known as Wegener’s disease) and microscopic polyangiitis. </w:t>
            </w:r>
          </w:p>
        </w:tc>
      </w:tr>
      <w:tr w:rsidR="004720F8" w14:paraId="7F4AA614" w14:textId="77777777" w:rsidTr="004720F8">
        <w:tc>
          <w:tcPr>
            <w:tcW w:w="1454" w:type="dxa"/>
          </w:tcPr>
          <w:p w14:paraId="7F4AA611" w14:textId="77777777" w:rsidR="008D4CCE" w:rsidRPr="00285AEE" w:rsidRDefault="008D4CCE" w:rsidP="00285AEE">
            <w:pPr>
              <w:rPr>
                <w:sz w:val="20"/>
                <w:szCs w:val="20"/>
              </w:rPr>
            </w:pPr>
            <w:r w:rsidRPr="00285AEE">
              <w:rPr>
                <w:sz w:val="20"/>
                <w:szCs w:val="20"/>
              </w:rPr>
              <w:lastRenderedPageBreak/>
              <w:t>US</w:t>
            </w:r>
          </w:p>
        </w:tc>
        <w:tc>
          <w:tcPr>
            <w:tcW w:w="1631" w:type="dxa"/>
          </w:tcPr>
          <w:p w14:paraId="7F4AA612" w14:textId="77777777" w:rsidR="008D4CCE" w:rsidRPr="00285AEE" w:rsidRDefault="008D4CCE" w:rsidP="00285AEE">
            <w:pPr>
              <w:rPr>
                <w:sz w:val="20"/>
                <w:szCs w:val="20"/>
              </w:rPr>
            </w:pPr>
            <w:r w:rsidRPr="00285AEE">
              <w:rPr>
                <w:sz w:val="20"/>
                <w:szCs w:val="20"/>
              </w:rPr>
              <w:t>Pending</w:t>
            </w:r>
          </w:p>
        </w:tc>
        <w:tc>
          <w:tcPr>
            <w:tcW w:w="5954" w:type="dxa"/>
          </w:tcPr>
          <w:p w14:paraId="7F4AA613" w14:textId="77777777" w:rsidR="008D4CCE" w:rsidRPr="00285AEE" w:rsidRDefault="001D4AA5" w:rsidP="00285AEE">
            <w:pPr>
              <w:rPr>
                <w:sz w:val="20"/>
                <w:szCs w:val="20"/>
              </w:rPr>
            </w:pPr>
            <w:r>
              <w:rPr>
                <w:sz w:val="20"/>
                <w:szCs w:val="20"/>
              </w:rPr>
              <w:t>Not applicable</w:t>
            </w:r>
          </w:p>
        </w:tc>
      </w:tr>
    </w:tbl>
    <w:p w14:paraId="7F4AA615" w14:textId="77777777" w:rsidR="008E7846" w:rsidRDefault="008E7846" w:rsidP="00940A89">
      <w:pPr>
        <w:pStyle w:val="Heading3"/>
      </w:pPr>
      <w:bookmarkStart w:id="21" w:name="_Toc524426264"/>
      <w:r>
        <w:t>Product Information</w:t>
      </w:r>
      <w:bookmarkEnd w:id="19"/>
      <w:bookmarkEnd w:id="20"/>
      <w:bookmarkEnd w:id="21"/>
    </w:p>
    <w:p w14:paraId="7F4AA616"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7F4AA617" w14:textId="77777777" w:rsidR="00500337" w:rsidRDefault="00500337" w:rsidP="00500337">
      <w:pPr>
        <w:pStyle w:val="Heading2"/>
      </w:pPr>
      <w:bookmarkStart w:id="24" w:name="_Toc504480011"/>
      <w:bookmarkStart w:id="25" w:name="_Toc524426265"/>
      <w:r>
        <w:t>II. Registration time line</w:t>
      </w:r>
      <w:bookmarkEnd w:id="24"/>
      <w:bookmarkEnd w:id="25"/>
    </w:p>
    <w:p w14:paraId="7F4AA618" w14:textId="77777777" w:rsidR="00500337" w:rsidRDefault="00500337" w:rsidP="00500337">
      <w:r>
        <w:t>The following table captures the key steps and dates for this application and which are detailed and discussed in this AusPAR and Attachment 2.</w:t>
      </w:r>
    </w:p>
    <w:tbl>
      <w:tblPr>
        <w:tblStyle w:val="TableGrid"/>
        <w:tblW w:w="0" w:type="auto"/>
        <w:tblLook w:val="04A0" w:firstRow="1" w:lastRow="0" w:firstColumn="1" w:lastColumn="0" w:noHBand="0" w:noVBand="1"/>
      </w:tblPr>
      <w:tblGrid>
        <w:gridCol w:w="4360"/>
        <w:gridCol w:w="4360"/>
      </w:tblGrid>
      <w:tr w:rsidR="00AF2B0C" w14:paraId="7F4AA61E" w14:textId="77777777" w:rsidTr="00EA1DF3">
        <w:tc>
          <w:tcPr>
            <w:tcW w:w="4360" w:type="dxa"/>
          </w:tcPr>
          <w:p w14:paraId="7F4AA61C" w14:textId="77777777" w:rsidR="00AF2B0C" w:rsidRPr="00EA0761" w:rsidRDefault="00AF2B0C" w:rsidP="00EA0761">
            <w:pPr>
              <w:rPr>
                <w:sz w:val="20"/>
                <w:szCs w:val="20"/>
              </w:rPr>
            </w:pPr>
            <w:r w:rsidRPr="00EA0761">
              <w:rPr>
                <w:sz w:val="20"/>
                <w:szCs w:val="20"/>
              </w:rPr>
              <w:t>Submission dossier accepted and first round evaluation commenced</w:t>
            </w:r>
          </w:p>
        </w:tc>
        <w:tc>
          <w:tcPr>
            <w:tcW w:w="4360" w:type="dxa"/>
          </w:tcPr>
          <w:p w14:paraId="7F4AA61D" w14:textId="77777777" w:rsidR="00AF2B0C" w:rsidRPr="00EA0761" w:rsidRDefault="00EA0761" w:rsidP="00EA0761">
            <w:pPr>
              <w:rPr>
                <w:sz w:val="20"/>
                <w:szCs w:val="20"/>
              </w:rPr>
            </w:pPr>
            <w:r w:rsidRPr="00EA0761">
              <w:rPr>
                <w:sz w:val="20"/>
                <w:szCs w:val="20"/>
              </w:rPr>
              <w:t>30 November 2016</w:t>
            </w:r>
          </w:p>
        </w:tc>
      </w:tr>
      <w:tr w:rsidR="00500337" w14:paraId="7F4AA621" w14:textId="77777777" w:rsidTr="00EA1DF3">
        <w:tc>
          <w:tcPr>
            <w:tcW w:w="4360" w:type="dxa"/>
          </w:tcPr>
          <w:p w14:paraId="7F4AA61F" w14:textId="77777777" w:rsidR="00500337" w:rsidRPr="00EA0761" w:rsidRDefault="00500337" w:rsidP="00EA0761">
            <w:pPr>
              <w:rPr>
                <w:sz w:val="20"/>
                <w:szCs w:val="20"/>
              </w:rPr>
            </w:pPr>
            <w:r w:rsidRPr="00EA0761">
              <w:rPr>
                <w:sz w:val="20"/>
                <w:szCs w:val="20"/>
              </w:rPr>
              <w:t>First round evaluation completed</w:t>
            </w:r>
          </w:p>
        </w:tc>
        <w:tc>
          <w:tcPr>
            <w:tcW w:w="4360" w:type="dxa"/>
          </w:tcPr>
          <w:p w14:paraId="7F4AA620" w14:textId="77777777" w:rsidR="00500337" w:rsidRPr="00EA0761" w:rsidRDefault="00EA0761" w:rsidP="00EA0761">
            <w:pPr>
              <w:rPr>
                <w:sz w:val="20"/>
                <w:szCs w:val="20"/>
              </w:rPr>
            </w:pPr>
            <w:r w:rsidRPr="00EA0761">
              <w:rPr>
                <w:sz w:val="20"/>
                <w:szCs w:val="20"/>
              </w:rPr>
              <w:t>11 May 2017</w:t>
            </w:r>
          </w:p>
        </w:tc>
      </w:tr>
      <w:tr w:rsidR="00500337" w14:paraId="7F4AA624" w14:textId="77777777" w:rsidTr="00EA1DF3">
        <w:tc>
          <w:tcPr>
            <w:tcW w:w="4360" w:type="dxa"/>
          </w:tcPr>
          <w:p w14:paraId="7F4AA622" w14:textId="77777777" w:rsidR="00500337" w:rsidRPr="00EA0761" w:rsidRDefault="00500337" w:rsidP="00EA0761">
            <w:pPr>
              <w:rPr>
                <w:sz w:val="20"/>
                <w:szCs w:val="20"/>
              </w:rPr>
            </w:pPr>
            <w:r w:rsidRPr="00EA0761">
              <w:rPr>
                <w:sz w:val="20"/>
                <w:szCs w:val="20"/>
              </w:rPr>
              <w:t>Sponsor provides responses on questions raised in first round evaluation</w:t>
            </w:r>
          </w:p>
        </w:tc>
        <w:tc>
          <w:tcPr>
            <w:tcW w:w="4360" w:type="dxa"/>
          </w:tcPr>
          <w:p w14:paraId="7F4AA623" w14:textId="77777777" w:rsidR="00500337" w:rsidRPr="00EA0761" w:rsidRDefault="00EA0761" w:rsidP="00EA0761">
            <w:pPr>
              <w:rPr>
                <w:sz w:val="20"/>
                <w:szCs w:val="20"/>
              </w:rPr>
            </w:pPr>
            <w:r w:rsidRPr="00EA0761">
              <w:rPr>
                <w:sz w:val="20"/>
                <w:szCs w:val="20"/>
              </w:rPr>
              <w:t>3 July 2017</w:t>
            </w:r>
          </w:p>
        </w:tc>
      </w:tr>
      <w:tr w:rsidR="00500337" w14:paraId="7F4AA627" w14:textId="77777777" w:rsidTr="00EA1DF3">
        <w:tc>
          <w:tcPr>
            <w:tcW w:w="4360" w:type="dxa"/>
          </w:tcPr>
          <w:p w14:paraId="7F4AA625" w14:textId="77777777" w:rsidR="00500337" w:rsidRPr="00EA0761" w:rsidRDefault="00500337" w:rsidP="00EA0761">
            <w:pPr>
              <w:rPr>
                <w:sz w:val="20"/>
                <w:szCs w:val="20"/>
              </w:rPr>
            </w:pPr>
            <w:r w:rsidRPr="00EA0761">
              <w:rPr>
                <w:sz w:val="20"/>
                <w:szCs w:val="20"/>
              </w:rPr>
              <w:t>Second round evaluation completed</w:t>
            </w:r>
          </w:p>
        </w:tc>
        <w:tc>
          <w:tcPr>
            <w:tcW w:w="4360" w:type="dxa"/>
          </w:tcPr>
          <w:p w14:paraId="7F4AA626" w14:textId="77777777" w:rsidR="00500337" w:rsidRPr="00EA0761" w:rsidRDefault="00EA0761" w:rsidP="00EA0761">
            <w:pPr>
              <w:rPr>
                <w:sz w:val="20"/>
                <w:szCs w:val="20"/>
              </w:rPr>
            </w:pPr>
            <w:r w:rsidRPr="00EA0761">
              <w:rPr>
                <w:sz w:val="20"/>
                <w:szCs w:val="20"/>
              </w:rPr>
              <w:t>7 August 2017</w:t>
            </w:r>
          </w:p>
        </w:tc>
      </w:tr>
      <w:tr w:rsidR="00500337" w14:paraId="7F4AA62A" w14:textId="77777777" w:rsidTr="00EA1DF3">
        <w:tc>
          <w:tcPr>
            <w:tcW w:w="4360" w:type="dxa"/>
          </w:tcPr>
          <w:p w14:paraId="7F4AA628" w14:textId="77777777" w:rsidR="00500337" w:rsidRPr="00EA0761" w:rsidRDefault="00500337" w:rsidP="00EA0761">
            <w:pPr>
              <w:rPr>
                <w:sz w:val="20"/>
                <w:szCs w:val="20"/>
              </w:rPr>
            </w:pPr>
            <w:r w:rsidRPr="00EA0761">
              <w:rPr>
                <w:sz w:val="20"/>
                <w:szCs w:val="20"/>
              </w:rPr>
              <w:t>Delegate’s Overall benefit-risk assessment and request for Advisory Committee advice</w:t>
            </w:r>
          </w:p>
        </w:tc>
        <w:tc>
          <w:tcPr>
            <w:tcW w:w="4360" w:type="dxa"/>
          </w:tcPr>
          <w:p w14:paraId="7F4AA629" w14:textId="77777777" w:rsidR="00500337" w:rsidRPr="00EA0761" w:rsidRDefault="00AF2B0C" w:rsidP="00EA0761">
            <w:pPr>
              <w:rPr>
                <w:sz w:val="20"/>
                <w:szCs w:val="20"/>
              </w:rPr>
            </w:pPr>
            <w:r w:rsidRPr="00EA0761">
              <w:rPr>
                <w:sz w:val="20"/>
                <w:szCs w:val="20"/>
              </w:rPr>
              <w:t>6 September 2017</w:t>
            </w:r>
          </w:p>
        </w:tc>
      </w:tr>
      <w:tr w:rsidR="00500337" w14:paraId="7F4AA62D" w14:textId="77777777" w:rsidTr="00EA1DF3">
        <w:tc>
          <w:tcPr>
            <w:tcW w:w="4360" w:type="dxa"/>
          </w:tcPr>
          <w:p w14:paraId="7F4AA62B" w14:textId="77777777" w:rsidR="00500337" w:rsidRPr="00EA0761" w:rsidRDefault="00500337" w:rsidP="00EA0761">
            <w:pPr>
              <w:rPr>
                <w:sz w:val="20"/>
                <w:szCs w:val="20"/>
              </w:rPr>
            </w:pPr>
            <w:r w:rsidRPr="00EA0761">
              <w:rPr>
                <w:sz w:val="20"/>
                <w:szCs w:val="20"/>
              </w:rPr>
              <w:lastRenderedPageBreak/>
              <w:t>Sponsor’s pre-Advisory Committee response</w:t>
            </w:r>
          </w:p>
        </w:tc>
        <w:tc>
          <w:tcPr>
            <w:tcW w:w="4360" w:type="dxa"/>
          </w:tcPr>
          <w:p w14:paraId="7F4AA62C" w14:textId="77777777" w:rsidR="00500337" w:rsidRPr="00EA0761" w:rsidRDefault="00AF2B0C" w:rsidP="00EA0761">
            <w:pPr>
              <w:rPr>
                <w:sz w:val="20"/>
                <w:szCs w:val="20"/>
              </w:rPr>
            </w:pPr>
            <w:r w:rsidRPr="00EA0761">
              <w:rPr>
                <w:sz w:val="20"/>
                <w:szCs w:val="20"/>
              </w:rPr>
              <w:t>18 September 2017</w:t>
            </w:r>
          </w:p>
        </w:tc>
      </w:tr>
      <w:tr w:rsidR="00500337" w14:paraId="7F4AA630" w14:textId="77777777" w:rsidTr="00EA1DF3">
        <w:tc>
          <w:tcPr>
            <w:tcW w:w="4360" w:type="dxa"/>
          </w:tcPr>
          <w:p w14:paraId="7F4AA62E" w14:textId="77777777" w:rsidR="00500337" w:rsidRPr="00EA0761" w:rsidRDefault="00500337" w:rsidP="00EA0761">
            <w:pPr>
              <w:rPr>
                <w:sz w:val="20"/>
                <w:szCs w:val="20"/>
              </w:rPr>
            </w:pPr>
            <w:r w:rsidRPr="00EA0761">
              <w:rPr>
                <w:sz w:val="20"/>
                <w:szCs w:val="20"/>
              </w:rPr>
              <w:t>Advisory Committee meeting</w:t>
            </w:r>
          </w:p>
        </w:tc>
        <w:tc>
          <w:tcPr>
            <w:tcW w:w="4360" w:type="dxa"/>
          </w:tcPr>
          <w:p w14:paraId="7F4AA62F" w14:textId="77777777" w:rsidR="00500337" w:rsidRPr="00EA0761" w:rsidRDefault="00AF2B0C" w:rsidP="00EA0761">
            <w:pPr>
              <w:rPr>
                <w:sz w:val="20"/>
                <w:szCs w:val="20"/>
              </w:rPr>
            </w:pPr>
            <w:r w:rsidRPr="00EA0761">
              <w:rPr>
                <w:sz w:val="20"/>
                <w:szCs w:val="20"/>
              </w:rPr>
              <w:t>5 and 6 October 2017</w:t>
            </w:r>
          </w:p>
        </w:tc>
      </w:tr>
      <w:tr w:rsidR="00AF2B0C" w14:paraId="7F4AA633" w14:textId="77777777" w:rsidTr="00EA1DF3">
        <w:tc>
          <w:tcPr>
            <w:tcW w:w="4360" w:type="dxa"/>
          </w:tcPr>
          <w:p w14:paraId="7F4AA631" w14:textId="77777777" w:rsidR="00AF2B0C" w:rsidRPr="00EA0761" w:rsidRDefault="00AF2B0C" w:rsidP="00EA0761">
            <w:pPr>
              <w:rPr>
                <w:sz w:val="20"/>
                <w:szCs w:val="20"/>
              </w:rPr>
            </w:pPr>
            <w:r w:rsidRPr="00EA0761">
              <w:rPr>
                <w:sz w:val="20"/>
                <w:szCs w:val="20"/>
              </w:rPr>
              <w:t>Registration decision (Outcome)</w:t>
            </w:r>
          </w:p>
        </w:tc>
        <w:tc>
          <w:tcPr>
            <w:tcW w:w="4360" w:type="dxa"/>
          </w:tcPr>
          <w:p w14:paraId="7F4AA632" w14:textId="77777777" w:rsidR="00AF2B0C" w:rsidRPr="00EA0761" w:rsidRDefault="00AF2B0C" w:rsidP="00EA0761">
            <w:pPr>
              <w:rPr>
                <w:sz w:val="20"/>
                <w:szCs w:val="20"/>
              </w:rPr>
            </w:pPr>
            <w:r w:rsidRPr="00EA0761">
              <w:rPr>
                <w:sz w:val="20"/>
                <w:szCs w:val="20"/>
              </w:rPr>
              <w:t>21 November 2017</w:t>
            </w:r>
          </w:p>
        </w:tc>
      </w:tr>
      <w:tr w:rsidR="00AF2B0C" w14:paraId="7F4AA636" w14:textId="77777777" w:rsidTr="00EA1DF3">
        <w:tc>
          <w:tcPr>
            <w:tcW w:w="4360" w:type="dxa"/>
          </w:tcPr>
          <w:p w14:paraId="7F4AA634" w14:textId="77777777" w:rsidR="00AF2B0C" w:rsidRPr="00EA0761" w:rsidRDefault="00AF2B0C" w:rsidP="00EA0761">
            <w:pPr>
              <w:rPr>
                <w:sz w:val="20"/>
                <w:szCs w:val="20"/>
              </w:rPr>
            </w:pPr>
            <w:r w:rsidRPr="00EA0761">
              <w:rPr>
                <w:sz w:val="20"/>
                <w:szCs w:val="20"/>
              </w:rPr>
              <w:t>Completion of administrative activities and registration on ARTG</w:t>
            </w:r>
          </w:p>
        </w:tc>
        <w:tc>
          <w:tcPr>
            <w:tcW w:w="4360" w:type="dxa"/>
          </w:tcPr>
          <w:p w14:paraId="7F4AA635" w14:textId="77777777" w:rsidR="00AF2B0C" w:rsidRPr="00EA0761" w:rsidRDefault="00AF2B0C" w:rsidP="00EA0761">
            <w:pPr>
              <w:rPr>
                <w:sz w:val="20"/>
                <w:szCs w:val="20"/>
              </w:rPr>
            </w:pPr>
            <w:r w:rsidRPr="00EA0761">
              <w:rPr>
                <w:sz w:val="20"/>
                <w:szCs w:val="20"/>
              </w:rPr>
              <w:t>30 November 2017</w:t>
            </w:r>
          </w:p>
        </w:tc>
      </w:tr>
      <w:tr w:rsidR="00AF2B0C" w14:paraId="7F4AA639" w14:textId="77777777" w:rsidTr="00EA1DF3">
        <w:tc>
          <w:tcPr>
            <w:tcW w:w="4360" w:type="dxa"/>
          </w:tcPr>
          <w:p w14:paraId="7F4AA637" w14:textId="77777777" w:rsidR="00AF2B0C" w:rsidRPr="00EA0761" w:rsidRDefault="00AF2B0C" w:rsidP="00EA0761">
            <w:pPr>
              <w:rPr>
                <w:sz w:val="20"/>
                <w:szCs w:val="20"/>
              </w:rPr>
            </w:pPr>
            <w:r w:rsidRPr="00EA0761">
              <w:rPr>
                <w:sz w:val="20"/>
                <w:szCs w:val="20"/>
              </w:rPr>
              <w:t>Number of working days from submission dossier acceptance to registration decision*</w:t>
            </w:r>
          </w:p>
        </w:tc>
        <w:tc>
          <w:tcPr>
            <w:tcW w:w="4360" w:type="dxa"/>
          </w:tcPr>
          <w:p w14:paraId="7F4AA638" w14:textId="77777777" w:rsidR="00AF2B0C" w:rsidRPr="00EA0761" w:rsidRDefault="00EA0761" w:rsidP="00EA0761">
            <w:pPr>
              <w:rPr>
                <w:sz w:val="20"/>
                <w:szCs w:val="20"/>
              </w:rPr>
            </w:pPr>
            <w:r w:rsidRPr="00EA0761">
              <w:rPr>
                <w:sz w:val="20"/>
                <w:szCs w:val="20"/>
              </w:rPr>
              <w:t>209</w:t>
            </w:r>
          </w:p>
        </w:tc>
      </w:tr>
    </w:tbl>
    <w:p w14:paraId="7F4AA63A" w14:textId="77777777" w:rsidR="00500337" w:rsidRDefault="00500337" w:rsidP="00500337">
      <w:pPr>
        <w:pStyle w:val="TableDescription"/>
      </w:pPr>
      <w:r>
        <w:t>*</w:t>
      </w:r>
      <w:r w:rsidR="009F298B">
        <w:t xml:space="preserve">The </w:t>
      </w:r>
      <w:r w:rsidR="00AF2B0C">
        <w:t>statutory</w:t>
      </w:r>
      <w:r w:rsidR="009F298B">
        <w:t xml:space="preserve"> time frame is 255 working days</w:t>
      </w:r>
    </w:p>
    <w:p w14:paraId="7F4AA63B" w14:textId="77777777" w:rsidR="008E7846" w:rsidRPr="003602A9" w:rsidRDefault="00500337" w:rsidP="008E7846">
      <w:pPr>
        <w:pStyle w:val="Heading2"/>
        <w:ind w:left="-11"/>
      </w:pPr>
      <w:bookmarkStart w:id="26" w:name="_Toc524426266"/>
      <w:r>
        <w:t>I</w:t>
      </w:r>
      <w:r w:rsidR="008E7846">
        <w:t>II. Quality</w:t>
      </w:r>
      <w:bookmarkEnd w:id="1"/>
      <w:r w:rsidR="008E7846">
        <w:t xml:space="preserve"> findings</w:t>
      </w:r>
      <w:bookmarkEnd w:id="22"/>
      <w:bookmarkEnd w:id="23"/>
      <w:bookmarkEnd w:id="26"/>
    </w:p>
    <w:p w14:paraId="7F4AA63C" w14:textId="77777777" w:rsidR="008E7846" w:rsidRDefault="008E7846" w:rsidP="00940A89">
      <w:pPr>
        <w:pStyle w:val="Heading3"/>
      </w:pPr>
      <w:bookmarkStart w:id="27" w:name="_Toc247691507"/>
      <w:bookmarkStart w:id="28" w:name="_Toc314842488"/>
      <w:bookmarkStart w:id="29" w:name="_Toc524426267"/>
      <w:r w:rsidRPr="008751DC">
        <w:t xml:space="preserve">Drug </w:t>
      </w:r>
      <w:r>
        <w:t>s</w:t>
      </w:r>
      <w:r w:rsidRPr="008751DC">
        <w:t>ubstance</w:t>
      </w:r>
      <w:r>
        <w:t xml:space="preserve"> (active ingredient)</w:t>
      </w:r>
      <w:bookmarkEnd w:id="27"/>
      <w:bookmarkEnd w:id="28"/>
      <w:bookmarkEnd w:id="29"/>
    </w:p>
    <w:p w14:paraId="7F4AA63D" w14:textId="2B8D4C5C" w:rsidR="00EA1C6D" w:rsidRDefault="00EA1C6D" w:rsidP="00EA1C6D">
      <w:pPr>
        <w:pStyle w:val="Heading4"/>
      </w:pPr>
      <w:r>
        <w:t>Structure</w:t>
      </w:r>
    </w:p>
    <w:p w14:paraId="7F4AA63E" w14:textId="77777777" w:rsidR="00EA1C6D" w:rsidRDefault="00EA1C6D" w:rsidP="00EA1C6D">
      <w:r>
        <w:t xml:space="preserve">The active ingredient of </w:t>
      </w:r>
      <w:r w:rsidR="00334CAC">
        <w:t>Riximyo</w:t>
      </w:r>
      <w:r>
        <w:t xml:space="preserve"> (</w:t>
      </w:r>
      <w:r w:rsidR="00826421" w:rsidRPr="008A2F5F">
        <w:t>GP2013</w:t>
      </w:r>
      <w:r w:rsidR="00826421">
        <w:t>/rituximab</w:t>
      </w:r>
      <w:r>
        <w:t xml:space="preserve">) is a genetically engineered murine/human chimeric </w:t>
      </w:r>
      <w:r w:rsidR="00446B6E">
        <w:t>immunoglobulin G1 (</w:t>
      </w:r>
      <w:r>
        <w:t>IgG1</w:t>
      </w:r>
      <w:r w:rsidR="00446B6E">
        <w:t>)</w:t>
      </w:r>
      <w:r>
        <w:t xml:space="preserve"> kappa type monoclonal antibody directed against the CD20 antigen found on the surface of normal and malignant B lymphocytes. The antibody has a molecular mass of 145 </w:t>
      </w:r>
      <w:r w:rsidR="00446B6E">
        <w:t>kilo Daltons (</w:t>
      </w:r>
      <w:r>
        <w:t>kDa</w:t>
      </w:r>
      <w:r w:rsidR="00446B6E">
        <w:t>)</w:t>
      </w:r>
      <w:r>
        <w:t xml:space="preserve"> and is composed of two light chains (213 amino acids) and two N-glycosylated heavy chains (451 amino acids), which are covalently associated with one another at defined cysteine r</w:t>
      </w:r>
      <w:r w:rsidR="00446B6E">
        <w:t>esidues via disulph</w:t>
      </w:r>
      <w:r>
        <w:t xml:space="preserve">ide bridges. This chimeric anti-CD20 antibody is produced by recombinant </w:t>
      </w:r>
      <w:r w:rsidR="00446B6E" w:rsidRPr="00446B6E">
        <w:t>deoxyribonucleic acid</w:t>
      </w:r>
      <w:r w:rsidR="00446B6E">
        <w:t xml:space="preserve"> (</w:t>
      </w:r>
      <w:r>
        <w:t>DNA</w:t>
      </w:r>
      <w:r w:rsidR="00446B6E">
        <w:t>)</w:t>
      </w:r>
      <w:r>
        <w:t xml:space="preserve"> technology in a Chinese Hamster Ovary (CHO) mammalian cell expression system.</w:t>
      </w:r>
    </w:p>
    <w:p w14:paraId="7F4AA63F" w14:textId="477434DC" w:rsidR="00446B6E" w:rsidRDefault="00EA1C6D" w:rsidP="00EA1C6D">
      <w:r>
        <w:t>A schematic diagram of the chimeric antibody is s</w:t>
      </w:r>
      <w:r w:rsidR="00446B6E">
        <w:t>hown below</w:t>
      </w:r>
      <w:r w:rsidR="004720F8">
        <w:t xml:space="preserve"> in Figure 2</w:t>
      </w:r>
      <w:r>
        <w:t>.</w:t>
      </w:r>
    </w:p>
    <w:p w14:paraId="7F4AA640" w14:textId="77777777" w:rsidR="00446B6E" w:rsidRDefault="00446B6E" w:rsidP="00446B6E">
      <w:pPr>
        <w:pStyle w:val="FigureTitle"/>
      </w:pPr>
      <w:r>
        <w:t>Figure 2: Schematic diagram of the chimeric antibody</w:t>
      </w:r>
    </w:p>
    <w:p w14:paraId="30CFB00E" w14:textId="77777777" w:rsidR="00EA1DF3" w:rsidRDefault="00446B6E" w:rsidP="00EA1C6D">
      <w:r>
        <w:rPr>
          <w:noProof/>
          <w:lang w:eastAsia="en-AU"/>
        </w:rPr>
        <w:drawing>
          <wp:inline distT="0" distB="0" distL="0" distR="0" wp14:anchorId="7F4AA9D4" wp14:editId="7F4AA9D5">
            <wp:extent cx="4360387" cy="2763647"/>
            <wp:effectExtent l="0" t="0" r="2540" b="0"/>
            <wp:docPr id="14" name="Picture 14" descr="Schematic diagram of the chimeric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074" cy="2767251"/>
                    </a:xfrm>
                    <a:prstGeom prst="rect">
                      <a:avLst/>
                    </a:prstGeom>
                    <a:noFill/>
                  </pic:spPr>
                </pic:pic>
              </a:graphicData>
            </a:graphic>
          </wp:inline>
        </w:drawing>
      </w:r>
    </w:p>
    <w:p w14:paraId="7F4AA642" w14:textId="2B673101" w:rsidR="00EA1C6D" w:rsidRDefault="00EA1C6D" w:rsidP="00594086">
      <w:pPr>
        <w:pStyle w:val="Heading4"/>
      </w:pPr>
      <w:r>
        <w:lastRenderedPageBreak/>
        <w:t xml:space="preserve">Physical and </w:t>
      </w:r>
      <w:r w:rsidR="004720F8">
        <w:t>chemical properties</w:t>
      </w:r>
    </w:p>
    <w:p w14:paraId="7F4AA643" w14:textId="77777777" w:rsidR="00EA1C6D" w:rsidRDefault="00EA1C6D" w:rsidP="00EA1C6D">
      <w:r>
        <w:t xml:space="preserve">As noted above, analysis of </w:t>
      </w:r>
      <w:r w:rsidR="008A2F5F">
        <w:t>Riximyo</w:t>
      </w:r>
      <w:r>
        <w:t xml:space="preserve"> using multiple orthogonal assays indicates that shows features </w:t>
      </w:r>
      <w:r w:rsidR="00594086">
        <w:t xml:space="preserve">(from analysis of secondary and tertiary structure) </w:t>
      </w:r>
      <w:r>
        <w:t>of a typical human IgG1 antibody.</w:t>
      </w:r>
    </w:p>
    <w:p w14:paraId="7F4AA644" w14:textId="0C3EFC5C" w:rsidR="00EA1C6D" w:rsidRDefault="00EA1C6D" w:rsidP="00EA1C6D">
      <w:r>
        <w:t xml:space="preserve">Potency assays are primarily based on </w:t>
      </w:r>
      <w:r w:rsidR="004720F8">
        <w:t>c</w:t>
      </w:r>
      <w:r w:rsidR="004720F8" w:rsidRPr="00594086">
        <w:t xml:space="preserve">omplement </w:t>
      </w:r>
      <w:r w:rsidR="004720F8">
        <w:t>d</w:t>
      </w:r>
      <w:r w:rsidR="004720F8" w:rsidRPr="00594086">
        <w:t xml:space="preserve">ependent </w:t>
      </w:r>
      <w:r w:rsidR="004720F8">
        <w:t>c</w:t>
      </w:r>
      <w:r w:rsidR="004720F8" w:rsidRPr="00594086">
        <w:t xml:space="preserve">ytotoxicity </w:t>
      </w:r>
      <w:r w:rsidR="00594086">
        <w:t>(</w:t>
      </w:r>
      <w:r>
        <w:t>CDC</w:t>
      </w:r>
      <w:r w:rsidR="00594086">
        <w:t>)</w:t>
      </w:r>
      <w:r>
        <w:t xml:space="preserve"> assays.</w:t>
      </w:r>
    </w:p>
    <w:p w14:paraId="7F4AA645" w14:textId="77777777" w:rsidR="008E7846" w:rsidRDefault="008E7846" w:rsidP="008E7846">
      <w:pPr>
        <w:pStyle w:val="Heading3"/>
      </w:pPr>
      <w:bookmarkStart w:id="30" w:name="_Toc247691508"/>
      <w:bookmarkStart w:id="31" w:name="_Toc314842490"/>
      <w:bookmarkStart w:id="32" w:name="_Toc524426268"/>
      <w:r w:rsidRPr="008751DC">
        <w:t xml:space="preserve">Drug </w:t>
      </w:r>
      <w:r>
        <w:t>p</w:t>
      </w:r>
      <w:r w:rsidRPr="008751DC">
        <w:t>roduct</w:t>
      </w:r>
      <w:bookmarkEnd w:id="30"/>
      <w:bookmarkEnd w:id="31"/>
      <w:bookmarkEnd w:id="32"/>
    </w:p>
    <w:p w14:paraId="7604B3B7" w14:textId="77777777" w:rsidR="00EA1DF3" w:rsidRDefault="00EA1C6D" w:rsidP="00EA1C6D">
      <w:r>
        <w:t>Stability data have been generated under stressed and real time conditions to characterise the stability profile of the product</w:t>
      </w:r>
      <w:r w:rsidR="00EA1DF3">
        <w:t>.</w:t>
      </w:r>
    </w:p>
    <w:p w14:paraId="25CD284F" w14:textId="77777777" w:rsidR="00EA1DF3" w:rsidRDefault="00EA1C6D" w:rsidP="00EA1C6D">
      <w:r>
        <w:t>The proposed shelf life is 3 years when stored at 5 ± 3°C</w:t>
      </w:r>
      <w:r w:rsidR="00EA1DF3">
        <w:t>.</w:t>
      </w:r>
    </w:p>
    <w:p w14:paraId="7F4AA648" w14:textId="2D6F66F2" w:rsidR="00EA1C6D" w:rsidRDefault="00EA1C6D" w:rsidP="00EA1C6D">
      <w:r>
        <w:t xml:space="preserve">The main degradation pathways of </w:t>
      </w:r>
      <w:r w:rsidR="008A2F5F">
        <w:t>Riximyo</w:t>
      </w:r>
      <w:r>
        <w:t xml:space="preserve"> include decrease in purity (monomer) and accumulation of high molecular weight variants as detected by size exclusion chromatography, redistribution of charged species from main and basic to acidic variants as detected by cation exchange chromatography, purity by non-reducing capillary electrophoresis (SDS), particulate contamination subvisible particles (compendial </w:t>
      </w:r>
      <w:r w:rsidR="00594086">
        <w:t xml:space="preserve">European Pharmacopeia </w:t>
      </w:r>
      <w:r>
        <w:t>2.9.19), and decreased function in CDC assays.</w:t>
      </w:r>
    </w:p>
    <w:p w14:paraId="7F4AA649" w14:textId="77777777" w:rsidR="00EA1C6D" w:rsidRPr="00EA1C6D" w:rsidRDefault="00EA1C6D" w:rsidP="00EA1C6D">
      <w:pPr>
        <w:pStyle w:val="Heading3"/>
        <w:rPr>
          <w:rFonts w:eastAsia="Cambria"/>
        </w:rPr>
      </w:pPr>
      <w:bookmarkStart w:id="33" w:name="_Toc247691509"/>
      <w:bookmarkStart w:id="34" w:name="_Toc314842493"/>
      <w:bookmarkStart w:id="35" w:name="_Toc524426269"/>
      <w:r w:rsidRPr="00EA1C6D">
        <w:t>Biosimilarity</w:t>
      </w:r>
      <w:bookmarkEnd w:id="35"/>
    </w:p>
    <w:p w14:paraId="16915D71" w14:textId="77777777" w:rsidR="00EA1DF3" w:rsidRDefault="00EA1C6D" w:rsidP="00EA1C6D">
      <w:r w:rsidRPr="00EA1C6D">
        <w:t xml:space="preserve">The active substance of </w:t>
      </w:r>
      <w:r w:rsidR="00334CAC">
        <w:t>Riximyo</w:t>
      </w:r>
      <w:r w:rsidRPr="00EA1C6D">
        <w:t xml:space="preserve"> (formerly Rixathon), rituximab, has been developed as a similar biological medicinal product (biosimilar) to that of the currently registered reference product MabThera (intravenous presentation)</w:t>
      </w:r>
      <w:r w:rsidR="00EA1DF3">
        <w:t>.</w:t>
      </w:r>
    </w:p>
    <w:p w14:paraId="7F4AA64B" w14:textId="4A9022BC" w:rsidR="00EA1C6D" w:rsidRPr="00EA1C6D" w:rsidRDefault="00EA1C6D" w:rsidP="00EA1C6D">
      <w:r w:rsidRPr="00EA1C6D">
        <w:t xml:space="preserve">During the development of </w:t>
      </w:r>
      <w:r w:rsidR="00334CAC">
        <w:t>Riximyo</w:t>
      </w:r>
      <w:r w:rsidRPr="00EA1C6D">
        <w:t xml:space="preserve">, the reference medicines </w:t>
      </w:r>
      <w:r w:rsidR="000B3A10">
        <w:t>MabThera</w:t>
      </w:r>
      <w:r w:rsidRPr="00EA1C6D">
        <w:t xml:space="preserve"> and Rituxan (EU and US sourced originator material respectively) were used as the main reference product to demonstrate biosimilarity in terms of quality and non-clinical comparability. Note, batches of EU sourced MabThera were primarily used for comparison to </w:t>
      </w:r>
      <w:r w:rsidR="00334CAC">
        <w:t>Riximyo</w:t>
      </w:r>
      <w:r w:rsidRPr="00EA1C6D">
        <w:t>.</w:t>
      </w:r>
      <w:r w:rsidR="000B3A10">
        <w:t xml:space="preserve"> </w:t>
      </w:r>
      <w:r w:rsidRPr="00EA1C6D">
        <w:t xml:space="preserve">An additional bridging comparability study was performed between the EU/US sourced </w:t>
      </w:r>
      <w:r w:rsidR="000B3A10">
        <w:t>MabThera</w:t>
      </w:r>
      <w:r w:rsidRPr="00EA1C6D">
        <w:t xml:space="preserve">/Rituxan and </w:t>
      </w:r>
      <w:r w:rsidR="004720F8">
        <w:t>Australian</w:t>
      </w:r>
      <w:r w:rsidR="004720F8" w:rsidRPr="00EA1C6D">
        <w:t xml:space="preserve"> </w:t>
      </w:r>
      <w:r w:rsidRPr="00EA1C6D">
        <w:t xml:space="preserve">sourced MabThera to present EU/US sourced </w:t>
      </w:r>
      <w:r w:rsidR="000B3A10">
        <w:t>MabThera</w:t>
      </w:r>
      <w:r w:rsidRPr="00EA1C6D">
        <w:t>/Rituxan as representative of the Australian registered product (MabThera).</w:t>
      </w:r>
    </w:p>
    <w:p w14:paraId="7F4AA64C" w14:textId="77777777" w:rsidR="00EA1C6D" w:rsidRPr="00EA1C6D" w:rsidRDefault="00EA1C6D" w:rsidP="00EA1C6D">
      <w:r w:rsidRPr="00EA1C6D">
        <w:t xml:space="preserve">Extensive characterisation studies involving comparison of primary, secondary and tertiary structures, physicochemical properties and biological activities showed that </w:t>
      </w:r>
      <w:r w:rsidR="00334CAC">
        <w:t>Riximyo</w:t>
      </w:r>
      <w:r w:rsidRPr="00EA1C6D">
        <w:t xml:space="preserve"> and MabThera/Rixathon are generally similar.</w:t>
      </w:r>
      <w:r w:rsidR="000B3A10">
        <w:t xml:space="preserve"> </w:t>
      </w:r>
      <w:r w:rsidRPr="00EA1C6D">
        <w:t>However, several differences have been noted as highlighted below:</w:t>
      </w:r>
    </w:p>
    <w:p w14:paraId="7F4AA64D" w14:textId="556149A8" w:rsidR="00EA1C6D" w:rsidRPr="00EA1C6D" w:rsidRDefault="00EA1C6D" w:rsidP="00EA1C6D">
      <w:pPr>
        <w:pStyle w:val="ListBullet"/>
      </w:pPr>
      <w:r w:rsidRPr="00EA1C6D">
        <w:t xml:space="preserve">Subtle differences are seen in glycan species found in </w:t>
      </w:r>
      <w:r w:rsidR="00334CAC">
        <w:t>Riximyo</w:t>
      </w:r>
      <w:r w:rsidRPr="00EA1C6D">
        <w:t xml:space="preserve"> and the originator product.</w:t>
      </w:r>
      <w:r w:rsidR="000B3A10">
        <w:t xml:space="preserve"> </w:t>
      </w:r>
      <w:r w:rsidRPr="00EA1C6D">
        <w:t>The levels of these are mostly within limits set by analysis of batches of the originator product.</w:t>
      </w:r>
      <w:r w:rsidR="000B3A10">
        <w:t xml:space="preserve"> </w:t>
      </w:r>
      <w:r w:rsidRPr="00EA1C6D">
        <w:t xml:space="preserve">Alternatively other species are found at low frequencies such that the </w:t>
      </w:r>
      <w:r w:rsidR="004720F8">
        <w:t>s</w:t>
      </w:r>
      <w:r w:rsidR="004720F8" w:rsidRPr="00EA1C6D">
        <w:t xml:space="preserve">ponsor </w:t>
      </w:r>
      <w:r w:rsidRPr="00EA1C6D">
        <w:t>believes these are not relevant.</w:t>
      </w:r>
    </w:p>
    <w:p w14:paraId="7F4AA64E" w14:textId="10539B75" w:rsidR="00EA1C6D" w:rsidRPr="00EA1C6D" w:rsidRDefault="00EA1C6D" w:rsidP="00EA1C6D">
      <w:pPr>
        <w:pStyle w:val="ListBullet"/>
      </w:pPr>
      <w:r w:rsidRPr="00EA1C6D">
        <w:t xml:space="preserve">Small differences were seen in charged variants as judged by cation exchange chromatography, where originator material had higher frequencies of acidic species compared to </w:t>
      </w:r>
      <w:r w:rsidR="008A2F5F">
        <w:t>Riximyo</w:t>
      </w:r>
      <w:r w:rsidRPr="00EA1C6D">
        <w:t>.</w:t>
      </w:r>
      <w:r w:rsidR="000B3A10">
        <w:t xml:space="preserve"> </w:t>
      </w:r>
      <w:r w:rsidRPr="00EA1C6D">
        <w:t>These were likely due to pyroglutamte formation and lower levels of deamidation.</w:t>
      </w:r>
      <w:r w:rsidR="000B3A10">
        <w:t xml:space="preserve"> </w:t>
      </w:r>
      <w:r w:rsidRPr="00EA1C6D">
        <w:t>Such acidic species are known to increase with during storage.</w:t>
      </w:r>
    </w:p>
    <w:p w14:paraId="7F4AA64F" w14:textId="727FA0C8" w:rsidR="00EA1C6D" w:rsidRPr="00EA1C6D" w:rsidRDefault="00EA1C6D" w:rsidP="00EA1C6D">
      <w:r w:rsidRPr="00EA1C6D">
        <w:t xml:space="preserve">These observed differences between </w:t>
      </w:r>
      <w:r w:rsidR="008A2F5F">
        <w:t>Riximyo</w:t>
      </w:r>
      <w:r w:rsidRPr="00EA1C6D">
        <w:t xml:space="preserve"> and MabThera appear minor.</w:t>
      </w:r>
      <w:r w:rsidR="000B3A10">
        <w:t xml:space="preserve"> </w:t>
      </w:r>
      <w:r w:rsidRPr="00EA1C6D">
        <w:t>The differences in glycan species potentially are important as they can influence functional activity of the antibody, most notably Fc receptor binding and antibody dependent cellular cytotoxicity (ADCC).</w:t>
      </w:r>
      <w:r w:rsidR="000B3A10">
        <w:t xml:space="preserve"> </w:t>
      </w:r>
      <w:r w:rsidRPr="00EA1C6D">
        <w:t>However when tested in in vitro assays, GP2103 results were within ranges generated using MabThera or Rituxan.</w:t>
      </w:r>
      <w:r w:rsidR="000B3A10">
        <w:t xml:space="preserve"> </w:t>
      </w:r>
      <w:r w:rsidRPr="00EA1C6D">
        <w:t>This suggests the differences have a minimal effect in these assays.</w:t>
      </w:r>
    </w:p>
    <w:p w14:paraId="7F4AA650" w14:textId="77777777" w:rsidR="00EA1C6D" w:rsidRPr="00EA1C6D" w:rsidRDefault="00EA1C6D" w:rsidP="00EA1C6D">
      <w:r w:rsidRPr="00EA1C6D">
        <w:lastRenderedPageBreak/>
        <w:t>Fractionation of the different charged molecules showed all had functional activity in CDC assays, suggesting by this measure these changes are not relevant.</w:t>
      </w:r>
    </w:p>
    <w:p w14:paraId="7F4AA651" w14:textId="77777777" w:rsidR="00EA1C6D" w:rsidRPr="00EA1C6D" w:rsidRDefault="00EA1C6D" w:rsidP="00EA1C6D">
      <w:r w:rsidRPr="00EA1C6D">
        <w:t xml:space="preserve">Overall, the </w:t>
      </w:r>
      <w:r w:rsidR="000C6DC6">
        <w:t>s</w:t>
      </w:r>
      <w:r w:rsidRPr="00EA1C6D">
        <w:t xml:space="preserve">ponsor has demonstrated that </w:t>
      </w:r>
      <w:r w:rsidR="008A2F5F">
        <w:t>Riximyo</w:t>
      </w:r>
      <w:r w:rsidRPr="00EA1C6D">
        <w:t xml:space="preserve"> is comparable to MabThera/Rituximab in terms of structure, species, function and degradation profile (</w:t>
      </w:r>
      <w:r w:rsidR="000C6DC6">
        <w:t>that is,</w:t>
      </w:r>
      <w:r w:rsidRPr="00EA1C6D">
        <w:t xml:space="preserve"> physico</w:t>
      </w:r>
      <w:r w:rsidR="000C6DC6">
        <w:t>-</w:t>
      </w:r>
      <w:r w:rsidRPr="00EA1C6D">
        <w:t>chemically and biologically).</w:t>
      </w:r>
    </w:p>
    <w:p w14:paraId="7F4AA652" w14:textId="77777777" w:rsidR="008E7846" w:rsidRPr="008751DC" w:rsidRDefault="008E7846" w:rsidP="00EA1C6D">
      <w:pPr>
        <w:pStyle w:val="Heading3"/>
      </w:pPr>
      <w:bookmarkStart w:id="36" w:name="_Toc524426270"/>
      <w:r>
        <w:t>Quality s</w:t>
      </w:r>
      <w:r w:rsidRPr="008751DC">
        <w:t>ummary</w:t>
      </w:r>
      <w:r>
        <w:t xml:space="preserve"> and conclusions</w:t>
      </w:r>
      <w:bookmarkEnd w:id="33"/>
      <w:bookmarkEnd w:id="34"/>
      <w:bookmarkEnd w:id="36"/>
    </w:p>
    <w:p w14:paraId="7F4AA653" w14:textId="77777777" w:rsidR="00EA1C6D" w:rsidRDefault="000C6DC6" w:rsidP="000C6DC6">
      <w:pPr>
        <w:pStyle w:val="Heading4"/>
      </w:pPr>
      <w:r>
        <w:t>Recommendations to the delegate</w:t>
      </w:r>
    </w:p>
    <w:p w14:paraId="7F4AA654" w14:textId="77777777" w:rsidR="00EA1C6D" w:rsidRDefault="00EA1C6D" w:rsidP="00EA1C6D">
      <w:r>
        <w:t xml:space="preserve">There are objections on quality grounds to the approval of </w:t>
      </w:r>
      <w:r w:rsidR="00334CAC">
        <w:t>Riximyo</w:t>
      </w:r>
      <w:r>
        <w:t xml:space="preserve"> (initially presented as Rixathon; company code </w:t>
      </w:r>
      <w:r w:rsidR="008A2F5F">
        <w:t>Riximyo</w:t>
      </w:r>
      <w:r>
        <w:t>).</w:t>
      </w:r>
    </w:p>
    <w:p w14:paraId="7F4AA655" w14:textId="5F24506E" w:rsidR="00EA1C6D" w:rsidRDefault="00334CAC" w:rsidP="00EA1C6D">
      <w:r>
        <w:t>Riximyo</w:t>
      </w:r>
      <w:r w:rsidR="000C6DC6">
        <w:t xml:space="preserve"> </w:t>
      </w:r>
      <w:r w:rsidR="00EA1C6D">
        <w:t xml:space="preserve">is a biosimilar of the anti-CD20 monoclonal antibody rituximab. </w:t>
      </w:r>
      <w:r>
        <w:t>Riximyo</w:t>
      </w:r>
      <w:r w:rsidR="00EA1C6D">
        <w:t xml:space="preserve"> has been developed to have the same applications as the currently registered originator products MabThera 100</w:t>
      </w:r>
      <w:r w:rsidR="000C6DC6">
        <w:t xml:space="preserve"> </w:t>
      </w:r>
      <w:r w:rsidR="00EA1C6D">
        <w:t>mg/10</w:t>
      </w:r>
      <w:r w:rsidR="000C6DC6">
        <w:t xml:space="preserve"> </w:t>
      </w:r>
      <w:r w:rsidR="00EA1C6D">
        <w:t>mL and 500 mg/50</w:t>
      </w:r>
      <w:r w:rsidR="000C6DC6">
        <w:t xml:space="preserve"> </w:t>
      </w:r>
      <w:r w:rsidR="00EA1C6D">
        <w:t xml:space="preserve">mL (ARTG </w:t>
      </w:r>
      <w:r w:rsidR="004720F8">
        <w:t xml:space="preserve">numbers </w:t>
      </w:r>
      <w:r w:rsidR="00EA1C6D">
        <w:t>60318 and 60319 respectively).</w:t>
      </w:r>
      <w:r w:rsidR="000B3A10">
        <w:t xml:space="preserve"> </w:t>
      </w:r>
      <w:r w:rsidR="00EA1C6D">
        <w:t>Further details are provided below in the biosimilar section.</w:t>
      </w:r>
    </w:p>
    <w:p w14:paraId="2049273C" w14:textId="77777777" w:rsidR="00EA1DF3" w:rsidRDefault="00EA1C6D" w:rsidP="00EA1C6D">
      <w:r w:rsidDel="008C2C19">
        <w:t>Two issues were identified which require action from the sponsor</w:t>
      </w:r>
      <w:r w:rsidR="000C6DC6" w:rsidDel="008C2C19">
        <w:t>:</w:t>
      </w:r>
    </w:p>
    <w:p w14:paraId="4928FB4A" w14:textId="2AA1E7DF" w:rsidR="00EA1DF3" w:rsidRDefault="00EA1C6D" w:rsidP="00EA1C6D">
      <w:r w:rsidDel="008C2C19">
        <w:t xml:space="preserve">The first relates to </w:t>
      </w:r>
      <w:r w:rsidR="000C6DC6" w:rsidDel="008C2C19">
        <w:t>Good Manufacturing Practice (</w:t>
      </w:r>
      <w:r w:rsidDel="008C2C19">
        <w:t>GMP</w:t>
      </w:r>
      <w:r w:rsidR="000C6DC6" w:rsidDel="008C2C19">
        <w:t>)</w:t>
      </w:r>
      <w:r w:rsidDel="008C2C19">
        <w:t xml:space="preserve"> certification, where licences have expired or require replacement.</w:t>
      </w:r>
      <w:r w:rsidR="000B3A10" w:rsidDel="008C2C19">
        <w:t xml:space="preserve"> </w:t>
      </w:r>
      <w:r w:rsidDel="008C2C19">
        <w:t>Applications for these are currently under consideration for approval</w:t>
      </w:r>
      <w:r w:rsidR="00EA1DF3">
        <w:t>.</w:t>
      </w:r>
    </w:p>
    <w:p w14:paraId="7F4AA658" w14:textId="61BA750A" w:rsidR="00EA1C6D" w:rsidDel="008C2C19" w:rsidRDefault="00EA1C6D" w:rsidP="00EA1C6D">
      <w:r w:rsidDel="008C2C19">
        <w:t xml:space="preserve">Secondly, the </w:t>
      </w:r>
      <w:r w:rsidR="000C6DC6" w:rsidDel="008C2C19">
        <w:t>s</w:t>
      </w:r>
      <w:r w:rsidDel="008C2C19">
        <w:t>ponsor has altered their labelling to be compliant with TGO91</w:t>
      </w:r>
      <w:r w:rsidR="000C6DC6" w:rsidDel="008C2C19">
        <w:rPr>
          <w:rStyle w:val="FootnoteReference"/>
        </w:rPr>
        <w:footnoteReference w:id="3"/>
      </w:r>
      <w:r w:rsidDel="008C2C19">
        <w:t>; however this will require a machine readable bar code being placed on the label of the 500 mg presentation.</w:t>
      </w:r>
    </w:p>
    <w:p w14:paraId="7F4AA659" w14:textId="4F8901BA" w:rsidR="00EA1C6D" w:rsidRDefault="00EA1C6D" w:rsidP="00EA1C6D">
      <w:r>
        <w:t xml:space="preserve">During stability studies an increase in particulate matter </w:t>
      </w:r>
      <w:r w:rsidR="000C6DC6">
        <w:t>was noted by the s</w:t>
      </w:r>
      <w:r>
        <w:t>ponsor.</w:t>
      </w:r>
      <w:r w:rsidR="000B3A10">
        <w:t xml:space="preserve"> </w:t>
      </w:r>
      <w:r w:rsidR="000C6DC6">
        <w:t>The s</w:t>
      </w:r>
      <w:r>
        <w:t xml:space="preserve">ponsor plans to use a higher grade of </w:t>
      </w:r>
      <w:r w:rsidR="00287437">
        <w:t xml:space="preserve">excipient </w:t>
      </w:r>
      <w:r>
        <w:t xml:space="preserve">which lacks this substance and still complies with </w:t>
      </w:r>
      <w:r w:rsidR="000C6DC6">
        <w:t xml:space="preserve">European Pharmacopeia </w:t>
      </w:r>
      <w:r>
        <w:t>specifications.</w:t>
      </w:r>
      <w:r w:rsidR="000B3A10">
        <w:t xml:space="preserve"> </w:t>
      </w:r>
      <w:r w:rsidR="003C1017">
        <w:t>I</w:t>
      </w:r>
      <w:r w:rsidR="000C6DC6">
        <w:t>t may be proactive of the s</w:t>
      </w:r>
      <w:r>
        <w:t xml:space="preserve">ponsor to inform end users of the Drug Product using the original </w:t>
      </w:r>
      <w:r w:rsidR="00287437">
        <w:t xml:space="preserve">excipient as this </w:t>
      </w:r>
      <w:r>
        <w:t>may contain visible</w:t>
      </w:r>
      <w:r w:rsidR="00287437">
        <w:t xml:space="preserve"> particulate matter</w:t>
      </w:r>
      <w:r>
        <w:t>.</w:t>
      </w:r>
    </w:p>
    <w:p w14:paraId="23A37F9D" w14:textId="66CD975B" w:rsidR="00EA1DF3" w:rsidRDefault="00EA1C6D" w:rsidP="00EA1C6D">
      <w:pPr>
        <w:pStyle w:val="Heading4"/>
      </w:pPr>
      <w:r>
        <w:t xml:space="preserve">Proposed </w:t>
      </w:r>
      <w:r w:rsidR="00EA1DF3">
        <w:t xml:space="preserve">conditions of registration </w:t>
      </w:r>
      <w:r>
        <w:t xml:space="preserve">(for </w:t>
      </w:r>
      <w:r w:rsidR="00EA1DF3">
        <w:t>d</w:t>
      </w:r>
      <w:r>
        <w:t>elegate)</w:t>
      </w:r>
    </w:p>
    <w:p w14:paraId="7F4AA65B" w14:textId="158E35C7" w:rsidR="00EA1C6D" w:rsidRDefault="00EA1C6D" w:rsidP="00EA1DF3">
      <w:pPr>
        <w:pStyle w:val="Numberbullet0"/>
      </w:pPr>
      <w:r>
        <w:t xml:space="preserve">Batch Release Testing </w:t>
      </w:r>
      <w:r w:rsidR="00CD10DA">
        <w:t>and</w:t>
      </w:r>
      <w:r>
        <w:t xml:space="preserve"> Compliance with Certified Product Details (CPD)</w:t>
      </w:r>
    </w:p>
    <w:p w14:paraId="7F4AA65C" w14:textId="77777777" w:rsidR="00EA1C6D" w:rsidRDefault="00EA1C6D" w:rsidP="000C6DC6">
      <w:pPr>
        <w:pStyle w:val="Numberbullet2"/>
      </w:pPr>
      <w:r>
        <w:t xml:space="preserve">It is a condition of registration that all batches of </w:t>
      </w:r>
      <w:r w:rsidR="00334CAC">
        <w:t>Riximyo</w:t>
      </w:r>
      <w:r>
        <w:t xml:space="preserve"> rituximab (rch) imported into/manufactured in Australia must comply with the product details and specifications approved during evaluation and detailed in the Certified Product Details (CPD).</w:t>
      </w:r>
    </w:p>
    <w:p w14:paraId="7F4AA65D" w14:textId="69C42B75" w:rsidR="00EA1C6D" w:rsidRDefault="00EA1C6D" w:rsidP="000C6DC6">
      <w:pPr>
        <w:pStyle w:val="Numberbullet2"/>
      </w:pPr>
      <w:r>
        <w:t xml:space="preserve">It is a condition of registration that each batch of </w:t>
      </w:r>
      <w:r w:rsidR="00334CAC">
        <w:t>Riximyo</w:t>
      </w:r>
      <w:r>
        <w:t xml:space="preserve"> rituximab (rch) imported into/manufactured in Australia is not released for sale until samples and/or the manufacturer’s release data have been assessed and endorsed for release by the TGA Laboratories Branch.</w:t>
      </w:r>
    </w:p>
    <w:p w14:paraId="7F4AA65E" w14:textId="77777777" w:rsidR="00EA1C6D" w:rsidRDefault="00EA1C6D" w:rsidP="00FD44A6">
      <w:pPr>
        <w:ind w:left="284"/>
      </w:pPr>
      <w:r>
        <w:t>The sponsor must supply:</w:t>
      </w:r>
    </w:p>
    <w:p w14:paraId="7F4AA65F" w14:textId="77777777" w:rsidR="00EA1C6D" w:rsidRDefault="00EA1C6D" w:rsidP="000C6DC6">
      <w:pPr>
        <w:pStyle w:val="Numberbullet3"/>
      </w:pPr>
      <w:r>
        <w:t>Certificates of Analysis of all active ingredient (drug substance) and final product.</w:t>
      </w:r>
    </w:p>
    <w:p w14:paraId="7F4AA660" w14:textId="25C41414" w:rsidR="00EA1C6D" w:rsidRDefault="00EA1C6D" w:rsidP="000C6DC6">
      <w:pPr>
        <w:pStyle w:val="Numberbullet3"/>
      </w:pPr>
      <w:r>
        <w:t>Information on the number of doses to be released in Australia with accompanying expiry dates for the product and diluents (if included).</w:t>
      </w:r>
    </w:p>
    <w:p w14:paraId="7F4AA661" w14:textId="77777777" w:rsidR="00EA1C6D" w:rsidRDefault="00EA1C6D" w:rsidP="000C6DC6">
      <w:pPr>
        <w:pStyle w:val="Numberbullet3"/>
      </w:pPr>
      <w:r>
        <w:lastRenderedPageBreak/>
        <w:t>Evidence of the maintenance of registered storage conditions during transport to Australia.</w:t>
      </w:r>
    </w:p>
    <w:p w14:paraId="7F4AA662" w14:textId="77777777" w:rsidR="00EA1C6D" w:rsidRDefault="00EA1C6D" w:rsidP="000C6DC6">
      <w:pPr>
        <w:pStyle w:val="Numberbullet3"/>
      </w:pPr>
      <w:r>
        <w:t>Five vials of each batch for testing by the TGA Laboratories Branch together with any necessary standards, impurities and active pharmaceutical ingredients (with their Certificates of Analysis) required for method development and validation.</w:t>
      </w:r>
    </w:p>
    <w:p w14:paraId="7F4AA663" w14:textId="77777777" w:rsidR="00EA1C6D" w:rsidRDefault="00EA1C6D" w:rsidP="00EA1C6D">
      <w:r>
        <w:t>This batch release condition will be reviewed and may be modified on the basis of actual batch quality and consistency.</w:t>
      </w:r>
      <w:r w:rsidR="000B3A10">
        <w:t xml:space="preserve"> </w:t>
      </w:r>
      <w:r>
        <w:t>This condition remains in place until you are notified in writing of any variation.</w:t>
      </w:r>
    </w:p>
    <w:p w14:paraId="7F4AA664" w14:textId="3F45982D" w:rsidR="00EA1C6D" w:rsidRDefault="00EA1C6D" w:rsidP="002D3F53">
      <w:pPr>
        <w:pStyle w:val="Heading5"/>
      </w:pPr>
      <w:r>
        <w:t xml:space="preserve">Certified </w:t>
      </w:r>
      <w:r w:rsidR="00EA1DF3">
        <w:t>product details</w:t>
      </w:r>
    </w:p>
    <w:p w14:paraId="7F4AA665" w14:textId="77777777" w:rsidR="008E7846" w:rsidRDefault="00EA1C6D" w:rsidP="00EA1C6D">
      <w:r>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F4AA666" w14:textId="77777777" w:rsidR="008E7846" w:rsidRDefault="008E7846" w:rsidP="008E7846">
      <w:pPr>
        <w:pStyle w:val="Heading2"/>
      </w:pPr>
      <w:bookmarkStart w:id="37" w:name="_Toc196046439"/>
      <w:bookmarkStart w:id="38" w:name="_Toc247691510"/>
      <w:bookmarkStart w:id="39" w:name="_Toc314842494"/>
      <w:bookmarkStart w:id="40" w:name="_Toc524426271"/>
      <w:r>
        <w:t>I</w:t>
      </w:r>
      <w:r w:rsidR="00500337">
        <w:t>V</w:t>
      </w:r>
      <w:r>
        <w:t>. Nonclinical</w:t>
      </w:r>
      <w:bookmarkEnd w:id="37"/>
      <w:r>
        <w:t xml:space="preserve"> findings</w:t>
      </w:r>
      <w:bookmarkEnd w:id="38"/>
      <w:bookmarkEnd w:id="39"/>
      <w:bookmarkEnd w:id="40"/>
    </w:p>
    <w:p w14:paraId="7F4AA667" w14:textId="77777777" w:rsidR="008E7846" w:rsidRDefault="008E7846" w:rsidP="00940A89">
      <w:pPr>
        <w:pStyle w:val="Heading3"/>
      </w:pPr>
      <w:bookmarkStart w:id="41" w:name="_Toc247691511"/>
      <w:bookmarkStart w:id="42" w:name="_Toc314842495"/>
      <w:bookmarkStart w:id="43" w:name="_Toc524426272"/>
      <w:r>
        <w:t>Introduction</w:t>
      </w:r>
      <w:bookmarkEnd w:id="41"/>
      <w:bookmarkEnd w:id="42"/>
      <w:bookmarkEnd w:id="43"/>
    </w:p>
    <w:p w14:paraId="7F4AA668" w14:textId="77777777" w:rsidR="00A44A63" w:rsidRDefault="00A44A63" w:rsidP="00A44A63">
      <w:r>
        <w:t xml:space="preserve">The scope of the nonclinical testing program for </w:t>
      </w:r>
      <w:r w:rsidR="00334CAC">
        <w:t>Riximyo</w:t>
      </w:r>
      <w:r>
        <w:t xml:space="preserve"> is in general in accordance with the relevant accepted guidelines on nonclinical testing of similar biological medicinal products. Data presented in </w:t>
      </w:r>
      <w:r w:rsidR="00D26E58">
        <w:t>the nonclinical part of the submission</w:t>
      </w:r>
      <w:r>
        <w:t xml:space="preserve"> consisted of comparative in vitro pharmacology studies on biosimilar rituximab (referred to herein as </w:t>
      </w:r>
      <w:r w:rsidR="008A2F5F">
        <w:t>Riximyo</w:t>
      </w:r>
      <w:r>
        <w:t xml:space="preserve">) relative to EU sourced </w:t>
      </w:r>
      <w:r w:rsidR="000B3A10">
        <w:t>MabThera</w:t>
      </w:r>
      <w:r>
        <w:t xml:space="preserve"> or US sourced </w:t>
      </w:r>
      <w:r w:rsidR="00D26E58">
        <w:t xml:space="preserve">Rituxan </w:t>
      </w:r>
      <w:r>
        <w:t xml:space="preserve">comparators. Other studies included a </w:t>
      </w:r>
      <w:r w:rsidR="00D26E58">
        <w:t>Good Laboratory Practice (</w:t>
      </w:r>
      <w:r>
        <w:t>GLP</w:t>
      </w:r>
      <w:r w:rsidR="00D26E58">
        <w:t>)</w:t>
      </w:r>
      <w:r>
        <w:t xml:space="preserve"> pharmacokinetic and pharmacodynamic study and a repeat dose toxicity study conducted in cynomolgus monkeys with concomitant toxicokinetic assessments and a </w:t>
      </w:r>
      <w:r w:rsidR="00334CAC">
        <w:t>Riximyo</w:t>
      </w:r>
      <w:r>
        <w:t xml:space="preserve"> cross reactivity study in a panel of human tissues. A number of in vitro comparability studies were </w:t>
      </w:r>
      <w:r w:rsidR="00D26E58">
        <w:t xml:space="preserve">also </w:t>
      </w:r>
      <w:r>
        <w:t xml:space="preserve">included. These studies included in vitro cell based bioassays to compare biological attributes of </w:t>
      </w:r>
      <w:r w:rsidR="00334CAC">
        <w:t>Riximyo</w:t>
      </w:r>
      <w:r>
        <w:t xml:space="preserve"> relative to EU sourced </w:t>
      </w:r>
      <w:r w:rsidR="000B3A10">
        <w:t>MabThera</w:t>
      </w:r>
      <w:r>
        <w:t xml:space="preserve"> and included: CD20 binding activity; ADCC; CDC activity; C1q binding and apoptosis induction which all are rituximab’s mode of action for B cell depletion. These functional in vitro comparisons are evaluated and assessed by the </w:t>
      </w:r>
      <w:r w:rsidR="00D26E58">
        <w:t>Quality e</w:t>
      </w:r>
      <w:r>
        <w:t>valuator.</w:t>
      </w:r>
    </w:p>
    <w:p w14:paraId="7F4AA669" w14:textId="77777777" w:rsidR="004334C7" w:rsidRPr="004334C7" w:rsidRDefault="00A44A63" w:rsidP="00A44A63">
      <w:r>
        <w:t xml:space="preserve">The EU sourced </w:t>
      </w:r>
      <w:r w:rsidR="000B3A10">
        <w:t>MabThera</w:t>
      </w:r>
      <w:r>
        <w:t xml:space="preserve"> or US sourced </w:t>
      </w:r>
      <w:r w:rsidR="00D26E58">
        <w:t xml:space="preserve">Rituxan </w:t>
      </w:r>
      <w:r>
        <w:t>were used as comparators in these nonc</w:t>
      </w:r>
      <w:r w:rsidR="00D26E58">
        <w:t xml:space="preserve">linical studies. The Australian </w:t>
      </w:r>
      <w:r>
        <w:t xml:space="preserve">sourced </w:t>
      </w:r>
      <w:r w:rsidR="000B3A10">
        <w:t>MabThera</w:t>
      </w:r>
      <w:r>
        <w:t xml:space="preserve"> was not used and the sponsor indicated that the data provided in </w:t>
      </w:r>
      <w:r w:rsidR="00D26E58">
        <w:t xml:space="preserve">the submission validated that the Australian </w:t>
      </w:r>
      <w:r>
        <w:t xml:space="preserve">sourced </w:t>
      </w:r>
      <w:r w:rsidR="000B3A10">
        <w:t>MabThera</w:t>
      </w:r>
      <w:r>
        <w:t xml:space="preserve"> is comparable to EU sourced </w:t>
      </w:r>
      <w:r w:rsidR="000B3A10">
        <w:t>MabThera</w:t>
      </w:r>
      <w:r>
        <w:t xml:space="preserve"> and the US sourced </w:t>
      </w:r>
      <w:r w:rsidR="00D26E58">
        <w:t>Rituxan</w:t>
      </w:r>
      <w:r>
        <w:t xml:space="preserve">. However, it needs to be noted that no </w:t>
      </w:r>
      <w:r w:rsidR="00D26E58">
        <w:t xml:space="preserve">nonclinical </w:t>
      </w:r>
      <w:r>
        <w:t xml:space="preserve">data </w:t>
      </w:r>
      <w:r w:rsidR="00D26E58">
        <w:t xml:space="preserve">were </w:t>
      </w:r>
      <w:r>
        <w:t>provided to verify the comparability of the various sources of reference rituximab. Provided adeq</w:t>
      </w:r>
      <w:r w:rsidR="00D26E58">
        <w:t xml:space="preserve">uate comparability of the EU/US </w:t>
      </w:r>
      <w:r>
        <w:t xml:space="preserve">sourced and Australian sourced versions of reference rituximab is demonstrated in </w:t>
      </w:r>
      <w:r w:rsidR="00D26E58">
        <w:t>the quality part of the submission</w:t>
      </w:r>
      <w:r>
        <w:t xml:space="preserve">, the submitted </w:t>
      </w:r>
      <w:r w:rsidR="00D26E58">
        <w:t>nonclinical</w:t>
      </w:r>
      <w:r>
        <w:t xml:space="preserve"> dossier is considered adequate.</w:t>
      </w:r>
    </w:p>
    <w:p w14:paraId="7F4AA66A" w14:textId="77777777" w:rsidR="008E7846" w:rsidRDefault="008E7846" w:rsidP="008E7846">
      <w:pPr>
        <w:pStyle w:val="Heading3"/>
      </w:pPr>
      <w:bookmarkStart w:id="44" w:name="_Toc247691512"/>
      <w:bookmarkStart w:id="45" w:name="_Toc314842496"/>
      <w:bookmarkStart w:id="46" w:name="_Toc524426273"/>
      <w:r w:rsidRPr="00020030">
        <w:t>Pharmacology</w:t>
      </w:r>
      <w:bookmarkEnd w:id="44"/>
      <w:bookmarkEnd w:id="45"/>
      <w:bookmarkEnd w:id="46"/>
    </w:p>
    <w:p w14:paraId="79F396FC" w14:textId="77777777" w:rsidR="00EA1DF3" w:rsidRDefault="00A44A63" w:rsidP="00A44A63">
      <w:r>
        <w:t xml:space="preserve">Rituximab is a monoclonal antibody that binds to the transmembrane antigen CD20 and mediates B cell lysis (leading to B cell depletion) by ADCC, CDC and apoptosis. As a biosimilar, </w:t>
      </w:r>
      <w:r w:rsidR="00334CAC">
        <w:t>Riximyo</w:t>
      </w:r>
      <w:r>
        <w:t xml:space="preserve"> is expected to exhibit the same pharmacological action as </w:t>
      </w:r>
      <w:r w:rsidR="000B3A10">
        <w:t>MabThera</w:t>
      </w:r>
      <w:r>
        <w:t xml:space="preserve"> </w:t>
      </w:r>
      <w:r>
        <w:lastRenderedPageBreak/>
        <w:t>(EU and A</w:t>
      </w:r>
      <w:r w:rsidR="000F5165">
        <w:t>ustralian</w:t>
      </w:r>
      <w:r>
        <w:t xml:space="preserve"> authorised) and </w:t>
      </w:r>
      <w:r w:rsidR="00D26E58">
        <w:t>Rituxan</w:t>
      </w:r>
      <w:r>
        <w:t xml:space="preserve"> (US authorised). Since the pharmacological activity of Rituximab is already well characterised in the original assessment of </w:t>
      </w:r>
      <w:r w:rsidR="000B3A10">
        <w:t>MabThera</w:t>
      </w:r>
      <w:r>
        <w:t xml:space="preserve">, the objective of primary pharmacology studies was to demonstrate comparable pharmacology of </w:t>
      </w:r>
      <w:r w:rsidR="00334CAC">
        <w:t>Riximyo</w:t>
      </w:r>
      <w:r>
        <w:t xml:space="preserve"> relative to the comparators</w:t>
      </w:r>
      <w:r w:rsidR="00AD013E">
        <w:t xml:space="preserve"> (</w:t>
      </w:r>
      <w:r>
        <w:t xml:space="preserve">EU sourced </w:t>
      </w:r>
      <w:r w:rsidR="000B3A10">
        <w:t>MabThera</w:t>
      </w:r>
      <w:r>
        <w:t xml:space="preserve"> and US sourced </w:t>
      </w:r>
      <w:r w:rsidR="00D26E58">
        <w:t>Rituxan</w:t>
      </w:r>
      <w:r w:rsidR="00AD013E">
        <w:t>)</w:t>
      </w:r>
      <w:r>
        <w:t>. It needs to be noted a comprehensive set of in vitro binding and functional assays wer</w:t>
      </w:r>
      <w:r w:rsidR="000F5165">
        <w:t>e completed to fully characteris</w:t>
      </w:r>
      <w:r>
        <w:t xml:space="preserve">e the biological function of rituximab </w:t>
      </w:r>
      <w:r w:rsidR="000F5165">
        <w:t>and were</w:t>
      </w:r>
      <w:r>
        <w:t xml:space="preserve"> evaluated by the </w:t>
      </w:r>
      <w:r w:rsidR="000F5165">
        <w:t>Quality</w:t>
      </w:r>
      <w:r>
        <w:t xml:space="preserve"> evaluator</w:t>
      </w:r>
      <w:r w:rsidR="00EA1DF3">
        <w:t>.</w:t>
      </w:r>
    </w:p>
    <w:p w14:paraId="7F4AA66C" w14:textId="443D2CFC" w:rsidR="00A44A63" w:rsidRDefault="00A44A63" w:rsidP="000F5165">
      <w:pPr>
        <w:pStyle w:val="Heading4"/>
      </w:pPr>
      <w:r>
        <w:t>In vitro comparison of ADCC potency using freshly purified effector cells</w:t>
      </w:r>
    </w:p>
    <w:p w14:paraId="7F4AA66D" w14:textId="61F901A9" w:rsidR="00A44A63" w:rsidRDefault="00A44A63" w:rsidP="00A44A63">
      <w:r>
        <w:t xml:space="preserve">The functional activity of </w:t>
      </w:r>
      <w:r w:rsidR="00334CAC">
        <w:t>Riximyo</w:t>
      </w:r>
      <w:r>
        <w:t xml:space="preserve"> against malignant B cells was compared to that of </w:t>
      </w:r>
      <w:r w:rsidR="000B3A10">
        <w:t>MabThera</w:t>
      </w:r>
      <w:r>
        <w:t xml:space="preserve"> alone or with both </w:t>
      </w:r>
      <w:r w:rsidR="000B3A10">
        <w:t>MabThera</w:t>
      </w:r>
      <w:r>
        <w:t xml:space="preserve"> and </w:t>
      </w:r>
      <w:r w:rsidR="00D26E58">
        <w:t>Rituxan</w:t>
      </w:r>
      <w:r>
        <w:t xml:space="preserve"> in three in vitro ADCC assays using human B cell lymphoma cell lines.</w:t>
      </w:r>
      <w:r w:rsidR="000B3A10">
        <w:t xml:space="preserve"> </w:t>
      </w:r>
      <w:r>
        <w:t xml:space="preserve">In the first study the relative in vitro ADCC potencies of </w:t>
      </w:r>
      <w:r w:rsidR="00334CAC">
        <w:t>Riximyo</w:t>
      </w:r>
      <w:r>
        <w:t xml:space="preserve"> and </w:t>
      </w:r>
      <w:r w:rsidR="000B3A10">
        <w:t>MabThera</w:t>
      </w:r>
      <w:r>
        <w:t xml:space="preserve"> were compared at a wide concentration range (0 to 10000 ng/mL) using SU-DHL-4 (DLBCL) and Daudi (Burkitt lymphoma) cell lines as target cells. </w:t>
      </w:r>
      <w:r w:rsidR="00334CAC">
        <w:t>Riximyo</w:t>
      </w:r>
      <w:r>
        <w:t xml:space="preserve"> and </w:t>
      </w:r>
      <w:r w:rsidR="000B3A10">
        <w:t>MabThera</w:t>
      </w:r>
      <w:r>
        <w:t xml:space="preserve"> were comparable in their ability to mediate ADCC in Daudi (the </w:t>
      </w:r>
      <w:r w:rsidR="00AD013E">
        <w:t>50% effective concentration (EC</w:t>
      </w:r>
      <w:r w:rsidR="00AD013E" w:rsidRPr="00AD013E">
        <w:rPr>
          <w:vertAlign w:val="subscript"/>
        </w:rPr>
        <w:t>50</w:t>
      </w:r>
      <w:r w:rsidR="00AD013E">
        <w:t>))</w:t>
      </w:r>
      <w:r>
        <w:t xml:space="preserve"> values were 2.19 and 1.32 ng/mL in Daudi cells with </w:t>
      </w:r>
      <w:r w:rsidR="00334CAC">
        <w:t>Riximyo</w:t>
      </w:r>
      <w:r>
        <w:t xml:space="preserve"> and </w:t>
      </w:r>
      <w:r w:rsidR="000B3A10">
        <w:t>MabThera</w:t>
      </w:r>
      <w:r>
        <w:t xml:space="preserve"> respectively) and SU-DHL-4 (the </w:t>
      </w:r>
      <w:r w:rsidR="00AD013E">
        <w:t>EC</w:t>
      </w:r>
      <w:r w:rsidR="00AD013E" w:rsidRPr="00AD013E">
        <w:rPr>
          <w:vertAlign w:val="subscript"/>
        </w:rPr>
        <w:t>50</w:t>
      </w:r>
      <w:r w:rsidR="00AD013E">
        <w:t>)</w:t>
      </w:r>
      <w:r>
        <w:t xml:space="preserve"> values were 0.72 and 0.47</w:t>
      </w:r>
      <w:r w:rsidR="00201A0F">
        <w:t> </w:t>
      </w:r>
      <w:r>
        <w:t xml:space="preserve">ng/mL in SU-DHL-4 cells with </w:t>
      </w:r>
      <w:r w:rsidR="00334CAC">
        <w:t>Riximyo</w:t>
      </w:r>
      <w:r>
        <w:t xml:space="preserve"> and </w:t>
      </w:r>
      <w:r w:rsidR="000B3A10">
        <w:t>MabThera</w:t>
      </w:r>
      <w:r>
        <w:t xml:space="preserve">, respectively) cell lines. An additional study was conducted to compare the relative ability of various batches of </w:t>
      </w:r>
      <w:r w:rsidR="00334CAC">
        <w:t>Riximyo</w:t>
      </w:r>
      <w:r>
        <w:t xml:space="preserve"> (5 batches), </w:t>
      </w:r>
      <w:r w:rsidR="000B3A10">
        <w:t>MabThera</w:t>
      </w:r>
      <w:r>
        <w:t xml:space="preserve"> (4 batches), and </w:t>
      </w:r>
      <w:r w:rsidR="00D26E58">
        <w:t>Rituxan</w:t>
      </w:r>
      <w:r>
        <w:t xml:space="preserve"> (2 batches) to mediate ADCC in SU-DHL-4 target cells. The </w:t>
      </w:r>
      <w:r w:rsidR="00AD013E">
        <w:t>EC</w:t>
      </w:r>
      <w:r w:rsidR="00AD013E" w:rsidRPr="00AD013E">
        <w:rPr>
          <w:vertAlign w:val="subscript"/>
        </w:rPr>
        <w:t>50</w:t>
      </w:r>
      <w:r w:rsidR="00AD013E">
        <w:t>)</w:t>
      </w:r>
      <w:r>
        <w:t xml:space="preserve"> values of </w:t>
      </w:r>
      <w:r w:rsidR="00334CAC">
        <w:t>Riximyo</w:t>
      </w:r>
      <w:r>
        <w:t xml:space="preserve"> (of all tested batches ranged between 66</w:t>
      </w:r>
      <w:r w:rsidR="00201A0F">
        <w:t xml:space="preserve"> to </w:t>
      </w:r>
      <w:r>
        <w:t xml:space="preserve">165% of the reference standard) were within the range of activities seen with the tested batch samples of </w:t>
      </w:r>
      <w:r w:rsidR="000B3A10">
        <w:t>MabThera</w:t>
      </w:r>
      <w:r>
        <w:t xml:space="preserve"> and </w:t>
      </w:r>
      <w:r w:rsidR="00D26E58">
        <w:t>Rituxan</w:t>
      </w:r>
      <w:r>
        <w:t xml:space="preserve"> (which ranged between 52</w:t>
      </w:r>
      <w:r w:rsidR="00201A0F">
        <w:t xml:space="preserve"> to </w:t>
      </w:r>
      <w:r>
        <w:t>188%). In the third in vitro study, the combined FcγRII and FcγRIII</w:t>
      </w:r>
      <w:r w:rsidR="00544957">
        <w:t xml:space="preserve"> </w:t>
      </w:r>
      <w:r>
        <w:t xml:space="preserve">mediated effects on ADCC activity of </w:t>
      </w:r>
      <w:r w:rsidR="00334CAC">
        <w:t>Riximyo</w:t>
      </w:r>
      <w:r>
        <w:t xml:space="preserve"> was compared to that of </w:t>
      </w:r>
      <w:r w:rsidR="000B3A10">
        <w:t>MabThera</w:t>
      </w:r>
      <w:r>
        <w:t xml:space="preserve"> and </w:t>
      </w:r>
      <w:r w:rsidR="00D26E58">
        <w:t>Rituxan</w:t>
      </w:r>
      <w:r>
        <w:t xml:space="preserve"> in Raji B target cells. Based on the dose response curves the </w:t>
      </w:r>
      <w:r w:rsidR="00E3399B" w:rsidRPr="00E3399B">
        <w:t xml:space="preserve">peripheral blood mononuclear cell </w:t>
      </w:r>
      <w:r w:rsidR="00E3399B">
        <w:t>(</w:t>
      </w:r>
      <w:r>
        <w:t>PBMC</w:t>
      </w:r>
      <w:r w:rsidR="00E3399B">
        <w:t xml:space="preserve">) </w:t>
      </w:r>
      <w:r>
        <w:t xml:space="preserve">mediated ADCC activity of </w:t>
      </w:r>
      <w:r w:rsidR="00334CAC">
        <w:t>Riximyo</w:t>
      </w:r>
      <w:r>
        <w:t xml:space="preserve"> (of all tested batch samples) was comparable to that of </w:t>
      </w:r>
      <w:r w:rsidR="000B3A10">
        <w:t>MabThera</w:t>
      </w:r>
      <w:r>
        <w:t xml:space="preserve"> and </w:t>
      </w:r>
      <w:r w:rsidR="00D26E58">
        <w:t>Rituxan</w:t>
      </w:r>
      <w:r>
        <w:t xml:space="preserve">. From these three studies it can be concluded that </w:t>
      </w:r>
      <w:r w:rsidR="00334CAC">
        <w:t>Riximyo</w:t>
      </w:r>
      <w:r>
        <w:t xml:space="preserve"> and </w:t>
      </w:r>
      <w:r w:rsidR="000B3A10">
        <w:t>MabThera</w:t>
      </w:r>
      <w:r>
        <w:t xml:space="preserve"> were comparable in their ability to mediate ADCC in vitro.</w:t>
      </w:r>
    </w:p>
    <w:p w14:paraId="7F4AA66E" w14:textId="77777777" w:rsidR="00A44A63" w:rsidRDefault="00A44A63" w:rsidP="00AD013E">
      <w:pPr>
        <w:pStyle w:val="Heading4"/>
      </w:pPr>
      <w:r>
        <w:t>In vitro comparison of B cell depletion in a whole blood assay</w:t>
      </w:r>
    </w:p>
    <w:p w14:paraId="7F4AA66F" w14:textId="77777777" w:rsidR="00A44A63" w:rsidRDefault="00A44A63" w:rsidP="00A44A63">
      <w:r>
        <w:t xml:space="preserve">In a separate in vitro study, B cell depletion activity of </w:t>
      </w:r>
      <w:r w:rsidR="00334CAC">
        <w:t>Riximyo</w:t>
      </w:r>
      <w:r>
        <w:t xml:space="preserve"> was compared to that of </w:t>
      </w:r>
      <w:r w:rsidR="000B3A10">
        <w:t>MabThera</w:t>
      </w:r>
      <w:r>
        <w:t xml:space="preserve"> and </w:t>
      </w:r>
      <w:r w:rsidR="00D26E58">
        <w:t>Rituxan</w:t>
      </w:r>
      <w:r>
        <w:t xml:space="preserve"> in human whole blood from healthy donors. Various batches of </w:t>
      </w:r>
      <w:r w:rsidR="00334CAC">
        <w:t>Riximyo</w:t>
      </w:r>
      <w:r>
        <w:t xml:space="preserve"> (4 batches), </w:t>
      </w:r>
      <w:r w:rsidR="000B3A10">
        <w:t>MabThera</w:t>
      </w:r>
      <w:r>
        <w:t xml:space="preserve"> (2 batches) and </w:t>
      </w:r>
      <w:r w:rsidR="00D26E58">
        <w:t>Rituxan</w:t>
      </w:r>
      <w:r>
        <w:t xml:space="preserve"> (1 batch) were tested. Based on the dose</w:t>
      </w:r>
      <w:r w:rsidR="00E3399B">
        <w:t xml:space="preserve"> </w:t>
      </w:r>
      <w:r>
        <w:t xml:space="preserve">response curves, </w:t>
      </w:r>
      <w:r w:rsidR="00334CAC">
        <w:t>Riximyo</w:t>
      </w:r>
      <w:r>
        <w:t xml:space="preserve"> (of all tested batch samples) was comparable in its ability to deplete B cells when compared to </w:t>
      </w:r>
      <w:r w:rsidR="000B3A10">
        <w:t>MabThera</w:t>
      </w:r>
      <w:r>
        <w:t xml:space="preserve"> and </w:t>
      </w:r>
      <w:r w:rsidR="00D26E58">
        <w:t>Rituxan</w:t>
      </w:r>
      <w:r>
        <w:t>.</w:t>
      </w:r>
    </w:p>
    <w:p w14:paraId="7F4AA670" w14:textId="77777777" w:rsidR="00A44A63" w:rsidRDefault="00A44A63" w:rsidP="00E3399B">
      <w:pPr>
        <w:pStyle w:val="Heading4"/>
      </w:pPr>
      <w:r>
        <w:t>Comparative anti-tumour efficacy studies in mouse xenograft tumour models</w:t>
      </w:r>
    </w:p>
    <w:p w14:paraId="7F4AA671" w14:textId="3F11EABA" w:rsidR="00A44A63" w:rsidRDefault="00A44A63" w:rsidP="00A44A63">
      <w:r>
        <w:t>To evaluate the comparability of anti-tumour activity in vivo, two studies were conducted in xenograft SCID mouse models</w:t>
      </w:r>
      <w:r w:rsidR="00E3399B">
        <w:rPr>
          <w:rStyle w:val="FootnoteReference"/>
        </w:rPr>
        <w:footnoteReference w:id="4"/>
      </w:r>
      <w:r>
        <w:t xml:space="preserve"> of Non-Hodgkin’s Lymphoma (NHL) with the SU-DHL-4 (DLBCL) and Jeko-1 (mantle cell lymphoma) cell lines. In the SU-DHL-4 NHL model, </w:t>
      </w:r>
      <w:r w:rsidR="00334CAC">
        <w:t>Riximyo</w:t>
      </w:r>
      <w:r>
        <w:t xml:space="preserve"> or </w:t>
      </w:r>
      <w:r w:rsidR="000B3A10">
        <w:t>MabThera</w:t>
      </w:r>
      <w:r>
        <w:t xml:space="preserve"> was administered to mice at dose levels of 3 or 30 mg/kg (equivalent to 0.02</w:t>
      </w:r>
      <w:r w:rsidR="00201A0F">
        <w:t xml:space="preserve"> to </w:t>
      </w:r>
      <w:r>
        <w:t xml:space="preserve">0.2 </w:t>
      </w:r>
      <w:r w:rsidR="00E3399B">
        <w:t>times</w:t>
      </w:r>
      <w:r>
        <w:t xml:space="preserve"> the clinical dose based on mg</w:t>
      </w:r>
      <w:r w:rsidR="000A6E90" w:rsidRPr="004C1958">
        <w:t>/m</w:t>
      </w:r>
      <w:r w:rsidR="000A6E90" w:rsidRPr="000A6E90">
        <w:rPr>
          <w:vertAlign w:val="superscript"/>
        </w:rPr>
        <w:t>2</w:t>
      </w:r>
      <w:r>
        <w:t>) at once</w:t>
      </w:r>
      <w:r w:rsidR="00E3399B">
        <w:t xml:space="preserve"> </w:t>
      </w:r>
      <w:r>
        <w:t xml:space="preserve">weekly via </w:t>
      </w:r>
      <w:r w:rsidR="00E3399B">
        <w:t>intraperitoneal (</w:t>
      </w:r>
      <w:r>
        <w:t>IP</w:t>
      </w:r>
      <w:r w:rsidR="00E3399B">
        <w:t>)</w:t>
      </w:r>
      <w:r>
        <w:t xml:space="preserve"> administrations for four weeks. All four treatment dose groups had significant (p</w:t>
      </w:r>
      <w:r w:rsidR="00201A0F">
        <w:t xml:space="preserve"> </w:t>
      </w:r>
      <w:r>
        <w:t>&lt;</w:t>
      </w:r>
      <w:r w:rsidR="00201A0F">
        <w:t xml:space="preserve"> </w:t>
      </w:r>
      <w:r>
        <w:t xml:space="preserve">0.001) survival extensions, with no significant differences between survival at equivalent dose levels of </w:t>
      </w:r>
      <w:r w:rsidR="00334CAC">
        <w:t>Riximyo</w:t>
      </w:r>
      <w:r>
        <w:t xml:space="preserve"> and </w:t>
      </w:r>
      <w:r w:rsidR="000B3A10">
        <w:t>MabThera</w:t>
      </w:r>
      <w:r>
        <w:t xml:space="preserve">. Treatment with </w:t>
      </w:r>
      <w:r w:rsidR="00334CAC">
        <w:t>Riximyo</w:t>
      </w:r>
      <w:r>
        <w:t xml:space="preserve"> or </w:t>
      </w:r>
      <w:r w:rsidR="000B3A10">
        <w:t>MabThera</w:t>
      </w:r>
      <w:r>
        <w:t xml:space="preserve"> showed no s</w:t>
      </w:r>
      <w:r w:rsidR="00E3399B">
        <w:t xml:space="preserve">ignificant differences in short </w:t>
      </w:r>
      <w:r>
        <w:t xml:space="preserve">term and overall efficacy results, early tumour growth and progression and relative anti-tumour efficacies at equivalent </w:t>
      </w:r>
      <w:r>
        <w:lastRenderedPageBreak/>
        <w:t xml:space="preserve">dose levels. In the Jeko-1 mantle cell lymphoma xenograft model, </w:t>
      </w:r>
      <w:r w:rsidR="00334CAC">
        <w:t>Riximyo</w:t>
      </w:r>
      <w:r>
        <w:t xml:space="preserve"> or </w:t>
      </w:r>
      <w:r w:rsidR="000B3A10">
        <w:t>MabThera</w:t>
      </w:r>
      <w:r w:rsidR="00E3399B">
        <w:t xml:space="preserve"> was administered once </w:t>
      </w:r>
      <w:r>
        <w:t xml:space="preserve">weekly via IP administrations at subclinical dose levels of 0.03, 0.1, 0.3, or 1 mg/kg for three weeks. </w:t>
      </w:r>
      <w:r w:rsidR="00334CAC">
        <w:t>Riximyo</w:t>
      </w:r>
      <w:r>
        <w:t xml:space="preserve"> and </w:t>
      </w:r>
      <w:r w:rsidR="000B3A10">
        <w:t>MabThera</w:t>
      </w:r>
      <w:r w:rsidR="00E3399B">
        <w:t xml:space="preserve"> showed comparable dose </w:t>
      </w:r>
      <w:r>
        <w:t xml:space="preserve">dependent tumour growth inhibition, with no statistical differences in efficacy. Data from both these studies indicated that treatment with </w:t>
      </w:r>
      <w:r w:rsidR="00334CAC">
        <w:t>Riximyo</w:t>
      </w:r>
      <w:r>
        <w:t xml:space="preserve"> or </w:t>
      </w:r>
      <w:r w:rsidR="000B3A10">
        <w:t>MabThera</w:t>
      </w:r>
      <w:r>
        <w:t xml:space="preserve"> results in comparable tumour growth inhibition in both these xenograft models.</w:t>
      </w:r>
    </w:p>
    <w:p w14:paraId="7F4AA672" w14:textId="57956F4F" w:rsidR="00A44A63" w:rsidRDefault="00A44A63" w:rsidP="00A44A63">
      <w:r>
        <w:t xml:space="preserve">Efficacy of </w:t>
      </w:r>
      <w:r w:rsidR="00334CAC">
        <w:t>Riximyo</w:t>
      </w:r>
      <w:r>
        <w:t xml:space="preserve"> was evaluated in mouse xenograft models of human B cell lymphoma. Two studies were conducted in mouse xenograft tumour models to compare survival following treatment with </w:t>
      </w:r>
      <w:r w:rsidR="00334CAC">
        <w:t>Riximyo</w:t>
      </w:r>
      <w:r>
        <w:t xml:space="preserve"> or </w:t>
      </w:r>
      <w:r w:rsidR="000B3A10">
        <w:t>MabThera</w:t>
      </w:r>
      <w:r>
        <w:t xml:space="preserve">. In the first study the effects of </w:t>
      </w:r>
      <w:r w:rsidR="00334CAC">
        <w:t>Riximyo</w:t>
      </w:r>
      <w:r>
        <w:t xml:space="preserve"> and </w:t>
      </w:r>
      <w:r w:rsidR="000B3A10">
        <w:t>MabThera</w:t>
      </w:r>
      <w:r>
        <w:t xml:space="preserve"> on survival were compared in a Granta-519 human B cell lymphoma in a mouse xenograft tumour model. </w:t>
      </w:r>
      <w:r w:rsidR="00334CAC">
        <w:t>Riximyo</w:t>
      </w:r>
      <w:r>
        <w:t xml:space="preserve"> or </w:t>
      </w:r>
      <w:r w:rsidR="000B3A10">
        <w:t>MabThera</w:t>
      </w:r>
      <w:r>
        <w:t xml:space="preserve"> was administered by IV at dose levels of 5 or 40 mg/kg on </w:t>
      </w:r>
      <w:r w:rsidR="00E3399B">
        <w:t>D</w:t>
      </w:r>
      <w:r>
        <w:t xml:space="preserve">ays 6, 10, and 14. Animals were observed until </w:t>
      </w:r>
      <w:r w:rsidR="00E3399B">
        <w:t>D</w:t>
      </w:r>
      <w:r>
        <w:t xml:space="preserve">ay 52 for mortality and clinical observations (including score for paralysis). Survival time, onset of paralysis, and period of paralysis development were comparable between </w:t>
      </w:r>
      <w:r w:rsidR="00334CAC">
        <w:t>Riximyo</w:t>
      </w:r>
      <w:r>
        <w:t xml:space="preserve"> and </w:t>
      </w:r>
      <w:r w:rsidR="000B3A10">
        <w:t>MabThera</w:t>
      </w:r>
      <w:r>
        <w:t xml:space="preserve"> at equivalent dose levels. </w:t>
      </w:r>
      <w:r w:rsidR="00334CAC">
        <w:t>Riximyo</w:t>
      </w:r>
      <w:r>
        <w:t xml:space="preserve"> and </w:t>
      </w:r>
      <w:r w:rsidR="000B3A10">
        <w:t>MabThera</w:t>
      </w:r>
      <w:r>
        <w:t xml:space="preserve"> showed significant (p</w:t>
      </w:r>
      <w:r w:rsidR="00201A0F">
        <w:t> </w:t>
      </w:r>
      <w:r>
        <w:t>&lt;</w:t>
      </w:r>
      <w:r w:rsidR="00201A0F">
        <w:t> </w:t>
      </w:r>
      <w:r>
        <w:t>0.001) increases in mean and median survival times, and delay in in the onset of paralysis, when compared to values for the control group. Interestingly</w:t>
      </w:r>
      <w:r w:rsidR="00E3399B">
        <w:t>,</w:t>
      </w:r>
      <w:r>
        <w:t xml:space="preserve"> the duration of paralysis and </w:t>
      </w:r>
      <w:r w:rsidR="00E3399B">
        <w:t xml:space="preserve">the </w:t>
      </w:r>
      <w:r>
        <w:t xml:space="preserve">paralysis score were increased for both test materials. In a second study, the effects of </w:t>
      </w:r>
      <w:r w:rsidR="00334CAC">
        <w:t>Riximyo</w:t>
      </w:r>
      <w:r>
        <w:t xml:space="preserve"> and </w:t>
      </w:r>
      <w:r w:rsidR="000B3A10">
        <w:t>MabThera</w:t>
      </w:r>
      <w:r>
        <w:t xml:space="preserve"> on survival were compared in the systemic Raji human Burkitt lymphoma CB17 SCID mouse xenograft tumour model. </w:t>
      </w:r>
      <w:r w:rsidR="00334CAC">
        <w:t>Riximyo</w:t>
      </w:r>
      <w:r>
        <w:t xml:space="preserve"> or </w:t>
      </w:r>
      <w:r w:rsidR="000B3A10">
        <w:t>MabThera</w:t>
      </w:r>
      <w:r w:rsidR="00E3399B">
        <w:t xml:space="preserve"> </w:t>
      </w:r>
      <w:r>
        <w:t>was administered by IP injection to mice twice</w:t>
      </w:r>
      <w:r w:rsidR="00E3399B">
        <w:t xml:space="preserve"> </w:t>
      </w:r>
      <w:r>
        <w:t>weekly at doses of 0.25, 1.25, or 5 mg/kg for 3</w:t>
      </w:r>
      <w:r w:rsidR="00201A0F">
        <w:t> </w:t>
      </w:r>
      <w:r>
        <w:t xml:space="preserve">weeks. Treatment with </w:t>
      </w:r>
      <w:r w:rsidR="00334CAC">
        <w:t>Riximyo</w:t>
      </w:r>
      <w:r>
        <w:t xml:space="preserve"> or </w:t>
      </w:r>
      <w:r w:rsidR="000B3A10">
        <w:t>MabThera</w:t>
      </w:r>
      <w:r>
        <w:t xml:space="preserve"> resulted in statistical significant but dose</w:t>
      </w:r>
      <w:r w:rsidR="00E3399B">
        <w:t xml:space="preserve"> </w:t>
      </w:r>
      <w:r>
        <w:t xml:space="preserve">independent increases in survival compared to the control group; the lifespan relative to control was 80, 107, and 67% with 0.25, 1.25 and 5 mg/kg </w:t>
      </w:r>
      <w:r w:rsidR="00334CAC">
        <w:t>Riximyo</w:t>
      </w:r>
      <w:r>
        <w:t xml:space="preserve">, respectively, and 80, 67 and 73% with 0.25, 1.25 and 5 mg/kg </w:t>
      </w:r>
      <w:r w:rsidR="000B3A10">
        <w:t>MabThera</w:t>
      </w:r>
      <w:r>
        <w:t xml:space="preserve">, respectively. </w:t>
      </w:r>
      <w:r w:rsidR="00334CAC">
        <w:t>Riximyo</w:t>
      </w:r>
      <w:r>
        <w:t xml:space="preserve"> at a dose level of 1.25 mg/kg statistically significantly increased survival time in animals (p&lt;0.05) compared to </w:t>
      </w:r>
      <w:r w:rsidR="000B3A10">
        <w:t>MabThera</w:t>
      </w:r>
      <w:r>
        <w:t xml:space="preserve"> at the same dose but no statistically significant differences were noted between </w:t>
      </w:r>
      <w:r w:rsidR="00334CAC">
        <w:t>Riximyo</w:t>
      </w:r>
      <w:r>
        <w:t xml:space="preserve"> and </w:t>
      </w:r>
      <w:r w:rsidR="000B3A10">
        <w:t>MabThera</w:t>
      </w:r>
      <w:r>
        <w:t xml:space="preserve"> at 0.25 and 5 mg/kg. Generally in both these studies using mouse xenograft models of human lymphomas, animal survival was comparable between </w:t>
      </w:r>
      <w:r w:rsidR="00334CAC">
        <w:t>Riximyo</w:t>
      </w:r>
      <w:r>
        <w:t xml:space="preserve"> and </w:t>
      </w:r>
      <w:r w:rsidR="000B3A10">
        <w:t>MabThera</w:t>
      </w:r>
      <w:r>
        <w:t xml:space="preserve">. The only exception was the statistically significant increase in survival with </w:t>
      </w:r>
      <w:r w:rsidR="00334CAC">
        <w:t>Riximyo</w:t>
      </w:r>
      <w:r>
        <w:t xml:space="preserve"> observed with mid dose (1.25 mg/kg) in the second study (using Raji-human Burkitt lymphoma CB17 SCID mouse xenograft tumour models). No possible explanation or biological significance was identified by the sponsors and this was possibly an outlier give the comparability demonstrated by all other pharmacology studies.</w:t>
      </w:r>
    </w:p>
    <w:p w14:paraId="7F4AA673" w14:textId="1ADC10F4" w:rsidR="00A44A63" w:rsidRDefault="00A44A63" w:rsidP="00A44A63">
      <w:r>
        <w:t>B cell depletion occurred in all monkey studies. Comparable B cell depletion was detected in the single dose pharmacokinetic study 5 days after dosing at 5 mg/kg and in the 4</w:t>
      </w:r>
      <w:r w:rsidR="005B7B55">
        <w:t xml:space="preserve"> </w:t>
      </w:r>
      <w:r>
        <w:t xml:space="preserve">week </w:t>
      </w:r>
      <w:proofErr w:type="gramStart"/>
      <w:r>
        <w:t>repeat</w:t>
      </w:r>
      <w:proofErr w:type="gramEnd"/>
      <w:r>
        <w:t xml:space="preserve"> dose toxicity study in cynomolgus monkeys at 20 and 100 mg/kg. Monkeys dosed with </w:t>
      </w:r>
      <w:r w:rsidR="00334CAC">
        <w:t>Riximyo</w:t>
      </w:r>
      <w:r>
        <w:t xml:space="preserve"> had higher B cell counts 10 days after dosing in the single dose pharmacokinetic study than the </w:t>
      </w:r>
      <w:r w:rsidR="000B3A10">
        <w:t>MabThera</w:t>
      </w:r>
      <w:r>
        <w:t xml:space="preserve"> group</w:t>
      </w:r>
      <w:r w:rsidR="005B7B55">
        <w:t xml:space="preserve"> </w:t>
      </w:r>
      <w:r>
        <w:t>and difference in B cell depletion might be due to differences in anti-drug antibody levels in individual animals.</w:t>
      </w:r>
    </w:p>
    <w:p w14:paraId="7F4AA674" w14:textId="77777777" w:rsidR="004334C7" w:rsidRPr="004334C7" w:rsidRDefault="00A44A63" w:rsidP="00A44A63">
      <w:r>
        <w:t xml:space="preserve">Overall, pharmacological comparability between </w:t>
      </w:r>
      <w:r w:rsidR="00334CAC">
        <w:t>Riximyo</w:t>
      </w:r>
      <w:r>
        <w:t xml:space="preserve"> and </w:t>
      </w:r>
      <w:r w:rsidR="000B3A10">
        <w:t>MabThera</w:t>
      </w:r>
      <w:r>
        <w:t xml:space="preserve"> was demonstrated by nonclinical in vitro and in vivo studies.</w:t>
      </w:r>
    </w:p>
    <w:p w14:paraId="7F4AA675" w14:textId="77777777" w:rsidR="008E7846" w:rsidRDefault="008E7846" w:rsidP="008E7846">
      <w:pPr>
        <w:pStyle w:val="Heading3"/>
      </w:pPr>
      <w:bookmarkStart w:id="47" w:name="_Toc247691513"/>
      <w:bookmarkStart w:id="48" w:name="_Toc314842497"/>
      <w:bookmarkStart w:id="49" w:name="_Toc524426274"/>
      <w:r>
        <w:t>Pharmacokinetics</w:t>
      </w:r>
      <w:bookmarkEnd w:id="47"/>
      <w:bookmarkEnd w:id="48"/>
      <w:bookmarkEnd w:id="49"/>
    </w:p>
    <w:p w14:paraId="7F4AA676" w14:textId="77777777" w:rsidR="004334C7" w:rsidRDefault="00A44A63" w:rsidP="00A44A63">
      <w:bookmarkStart w:id="50" w:name="_Toc247691514"/>
      <w:bookmarkStart w:id="51" w:name="_Toc314842498"/>
      <w:r>
        <w:t>Toxicokinetic assessments were determined up to 9 days following a single dose or up to 14 days following the first repeated weekly doses (</w:t>
      </w:r>
      <w:r w:rsidR="005B7B55">
        <w:t>that is,</w:t>
      </w:r>
      <w:r>
        <w:t xml:space="preserve"> prior administration to the third dose) due to observed development of anti-drug antibodies which interfered with the assay. The single and repeat dose studies showed similar </w:t>
      </w:r>
      <w:r w:rsidR="00475323" w:rsidRPr="00475323">
        <w:t xml:space="preserve">Area under the serum concentration-time curve </w:t>
      </w:r>
      <w:r w:rsidR="00475323">
        <w:t>(</w:t>
      </w:r>
      <w:r>
        <w:t>AUC</w:t>
      </w:r>
      <w:r w:rsidR="00475323">
        <w:t>)</w:t>
      </w:r>
      <w:r>
        <w:t xml:space="preserve"> values between </w:t>
      </w:r>
      <w:r w:rsidR="00334CAC">
        <w:t>Riximyo</w:t>
      </w:r>
      <w:r>
        <w:t xml:space="preserve"> and </w:t>
      </w:r>
      <w:r w:rsidR="000B3A10">
        <w:t>MabThera</w:t>
      </w:r>
      <w:r>
        <w:t xml:space="preserve">. However </w:t>
      </w:r>
      <w:r w:rsidR="00F33947">
        <w:t>peak plasma concentrations (</w:t>
      </w:r>
      <w:r w:rsidR="005B7B55">
        <w:t>C</w:t>
      </w:r>
      <w:r w:rsidR="005B7B55" w:rsidRPr="005B7B55">
        <w:rPr>
          <w:vertAlign w:val="subscript"/>
        </w:rPr>
        <w:t>max</w:t>
      </w:r>
      <w:r w:rsidR="00F33947">
        <w:t xml:space="preserve">) </w:t>
      </w:r>
      <w:r>
        <w:t xml:space="preserve">values were lower by 13% in the single dose study and by 6 </w:t>
      </w:r>
      <w:r>
        <w:lastRenderedPageBreak/>
        <w:t xml:space="preserve">to 20% in the repeat dose study for </w:t>
      </w:r>
      <w:r w:rsidR="00334CAC">
        <w:t>Riximyo</w:t>
      </w:r>
      <w:r>
        <w:t xml:space="preserve"> compared to </w:t>
      </w:r>
      <w:r w:rsidR="000B3A10">
        <w:t>MabThera</w:t>
      </w:r>
      <w:r>
        <w:t xml:space="preserve">. These observed differences had no impact on the pharmacology of the two drugs (measured as B cell depletion). A number of factors could contribute to the difference in </w:t>
      </w:r>
      <w:r w:rsidR="005B7B55">
        <w:t>C</w:t>
      </w:r>
      <w:r w:rsidR="005B7B55" w:rsidRPr="005B7B55">
        <w:rPr>
          <w:vertAlign w:val="subscript"/>
        </w:rPr>
        <w:t>max</w:t>
      </w:r>
      <w:r>
        <w:t xml:space="preserve"> which include heterogeneity among individual monkeys as only a small number of animals were tested and variations in the initial sampling time point. Overall the pharmacokinetics data generally showed good overall comparability.</w:t>
      </w:r>
    </w:p>
    <w:p w14:paraId="7F4AA677" w14:textId="77777777" w:rsidR="001B5C90" w:rsidRDefault="008E7846" w:rsidP="001B5C90">
      <w:pPr>
        <w:pStyle w:val="Heading3"/>
      </w:pPr>
      <w:bookmarkStart w:id="52" w:name="_Toc524426275"/>
      <w:r>
        <w:t>Toxicology</w:t>
      </w:r>
      <w:bookmarkEnd w:id="50"/>
      <w:bookmarkEnd w:id="51"/>
      <w:bookmarkEnd w:id="52"/>
    </w:p>
    <w:p w14:paraId="7F4AA678" w14:textId="07831FA9" w:rsidR="00A44A63" w:rsidRDefault="00A44A63" w:rsidP="00A44A63">
      <w:r>
        <w:t>Toxici</w:t>
      </w:r>
      <w:r w:rsidR="00633B39">
        <w:t xml:space="preserve">ty testing was limited to one 4 </w:t>
      </w:r>
      <w:r>
        <w:t>week repeat dose toxicity study with 4 weeks observation and a 21 week recovery period.</w:t>
      </w:r>
    </w:p>
    <w:p w14:paraId="7F4AA679" w14:textId="77777777" w:rsidR="00A44A63" w:rsidRDefault="00A44A63" w:rsidP="00A44A63">
      <w:r>
        <w:t xml:space="preserve">In the repeat dose study either </w:t>
      </w:r>
      <w:r w:rsidR="00334CAC">
        <w:t>Riximyo</w:t>
      </w:r>
      <w:r>
        <w:t xml:space="preserve"> or EU sourced </w:t>
      </w:r>
      <w:r w:rsidR="000B3A10">
        <w:t>MabThera</w:t>
      </w:r>
      <w:r>
        <w:t xml:space="preserve"> were administered as weekly IV doses of either 20 or 100 mg/kg for four weeks. The doses tested were low, however similar to or higher than what was used in the original </w:t>
      </w:r>
      <w:r w:rsidR="000B3A10">
        <w:t>MabThera</w:t>
      </w:r>
      <w:r>
        <w:t xml:space="preserve"> application. Despite low doses used, there was almost complete depletion of B cells after two doses, demonstrating that a near maximum pharmacodynamics response had been achieved. The number of animals that developed anti-rituximab antibodies w</w:t>
      </w:r>
      <w:r w:rsidR="00633B39">
        <w:t>as</w:t>
      </w:r>
      <w:r>
        <w:t xml:space="preserve"> comparable at equivalent dose levels of </w:t>
      </w:r>
      <w:r w:rsidR="00334CAC">
        <w:t>Riximyo</w:t>
      </w:r>
      <w:r>
        <w:t xml:space="preserve"> and </w:t>
      </w:r>
      <w:r w:rsidR="000B3A10">
        <w:t>MabThera</w:t>
      </w:r>
      <w:r>
        <w:t xml:space="preserve">. Anti-rituximab antibodies were detected in the 20 mg/kg </w:t>
      </w:r>
      <w:r w:rsidR="00334CAC">
        <w:t>Riximyo</w:t>
      </w:r>
      <w:r>
        <w:t xml:space="preserve"> and </w:t>
      </w:r>
      <w:r w:rsidR="000B3A10">
        <w:t>MabThera</w:t>
      </w:r>
      <w:r>
        <w:t xml:space="preserve"> groups starting 14 days after the first dose in all animals. In the 100 mg/kg treatment </w:t>
      </w:r>
      <w:r w:rsidR="00633B39">
        <w:t>group most of the animals from D</w:t>
      </w:r>
      <w:r>
        <w:t>ays 15 to 36 showed no or only marginal immune response which the sponsor suggests is likely due to rapid and marked depletion of B cells or high drug concentration induced tolerance.</w:t>
      </w:r>
    </w:p>
    <w:p w14:paraId="7F4AA67A" w14:textId="4C6240A7" w:rsidR="00A44A63" w:rsidRDefault="00A44A63" w:rsidP="00A44A63">
      <w:r>
        <w:t>In the repeat dose study completed to term there were no mortalities or adverse clinical signs noted in any of the animal groups. Serum chemistry and urinalysis measurements were comparable while haematological assessments indicated the expected decrease in total lymphocytes (as a result of B cell depletion) at all dose levels in both the test items, which</w:t>
      </w:r>
      <w:r w:rsidR="00633B39">
        <w:t xml:space="preserve"> recovered at the end of the 25 </w:t>
      </w:r>
      <w:r>
        <w:t xml:space="preserve">week recovery period. Both </w:t>
      </w:r>
      <w:r w:rsidR="00334CAC">
        <w:t>Riximyo</w:t>
      </w:r>
      <w:r>
        <w:t xml:space="preserve"> and </w:t>
      </w:r>
      <w:r w:rsidR="000B3A10">
        <w:t>MabThera</w:t>
      </w:r>
      <w:r>
        <w:t xml:space="preserve"> showed a similar course for B cell depletion and recovery. In all treatment groups, decreases in NK cell numbers (also expected as a result of ADCC activity of both the testing products) were noted during the dosing period, which returned to near baseline</w:t>
      </w:r>
      <w:r w:rsidR="00633B39">
        <w:t xml:space="preserve"> values from D</w:t>
      </w:r>
      <w:r>
        <w:t xml:space="preserve">ay 29 (one week after the last dose). Necropsy assessments at interim sacrifice (Day 57) revealed reversible foamy histiocytes in lungs of animals treated with high dose </w:t>
      </w:r>
      <w:r w:rsidR="00334CAC">
        <w:t>Riximyo</w:t>
      </w:r>
      <w:r>
        <w:t xml:space="preserve"> (1 animal) and </w:t>
      </w:r>
      <w:r w:rsidR="000B3A10">
        <w:t>MabThera</w:t>
      </w:r>
      <w:r>
        <w:t xml:space="preserve"> (2 animals), which was not observed post the 25 week recovery period. The sponsors suggested</w:t>
      </w:r>
      <w:r w:rsidR="00633B39">
        <w:t xml:space="preserve"> the reported</w:t>
      </w:r>
      <w:r>
        <w:t xml:space="preserve"> histiocytosis were likely to be related to cytokine release syndrome as a result of rituximab treatment. It needs to be noted, formation of histiocytes has not been previously reported for </w:t>
      </w:r>
      <w:r w:rsidR="000B3A10">
        <w:t>MabThera</w:t>
      </w:r>
      <w:r>
        <w:t>.</w:t>
      </w:r>
    </w:p>
    <w:p w14:paraId="7F4AA67B" w14:textId="70573197" w:rsidR="00A44A63" w:rsidRDefault="00A44A63" w:rsidP="00A44A63">
      <w:r>
        <w:t>Other notable changes in the repeat dose study included absence of germinal centres in the spleen and some lymphatic organs (mesenteric lymph nodes, mandibular lymph node and axillary lymph node) occasionally accompanied by minimal to slight lymphoid depletion of spleen or axillary lymph node in individual animals. These observations were noted in all treatment groups and were considered to be due to the pharmacological effect of rituximab. While partial recovery (reduced incidences) was observed at the termin</w:t>
      </w:r>
      <w:r w:rsidR="00633B39">
        <w:t xml:space="preserve">al sacrifice (following a 25 </w:t>
      </w:r>
      <w:r>
        <w:t>week recovery period) in some of these interim microscopic findings, germinal centres of follicles were still lacking (with great inter-individual variability) in the spleen and in some lymphatic organs (mesenteric lymph nodes, mandibular lymph node</w:t>
      </w:r>
      <w:r w:rsidR="00633B39">
        <w:t xml:space="preserve"> and</w:t>
      </w:r>
      <w:r>
        <w:t xml:space="preserve"> axillary lymph node) in some animals of all treatment groups. These changes were likely to be an outcome of an incomplete recovery of B cells in the peripheral blood. No reactions at the injection site were observed. Overall, in vivo toxicity studies did not identify any unexpected toxicity findings for </w:t>
      </w:r>
      <w:r w:rsidR="00334CAC">
        <w:t>Riximyo</w:t>
      </w:r>
      <w:r>
        <w:t xml:space="preserve"> compared with </w:t>
      </w:r>
      <w:r w:rsidR="000B3A10">
        <w:t>MabThera</w:t>
      </w:r>
      <w:r>
        <w:t>.</w:t>
      </w:r>
    </w:p>
    <w:p w14:paraId="7F4AA67C" w14:textId="77777777" w:rsidR="00A44A63" w:rsidRDefault="00A44A63" w:rsidP="00633B39">
      <w:pPr>
        <w:pStyle w:val="Heading4"/>
      </w:pPr>
      <w:r>
        <w:lastRenderedPageBreak/>
        <w:t>Tissue cross-reactivity assay study</w:t>
      </w:r>
    </w:p>
    <w:p w14:paraId="7F4AA67D" w14:textId="5EF15C04" w:rsidR="00C9747E" w:rsidRDefault="00A44A63" w:rsidP="00A44A63">
      <w:r>
        <w:t>Cross-reactivity was assessed by histologically prepared cryosections from &gt;</w:t>
      </w:r>
      <w:r w:rsidR="00201A0F">
        <w:t> </w:t>
      </w:r>
      <w:r>
        <w:t xml:space="preserve">35 human tissues from 3 donors stained with biotinylated </w:t>
      </w:r>
      <w:r w:rsidR="00334CAC">
        <w:t>Riximyo</w:t>
      </w:r>
      <w:r>
        <w:t xml:space="preserve"> at concentrations of 1.25, 2.5 and 5 µg/mL (and optimal concentration of biotinylated </w:t>
      </w:r>
      <w:r w:rsidR="00334CAC">
        <w:t>Riximyo</w:t>
      </w:r>
      <w:r>
        <w:t xml:space="preserve"> was determined to be </w:t>
      </w:r>
      <w:proofErr w:type="gramStart"/>
      <w:r>
        <w:t>2.5</w:t>
      </w:r>
      <w:r w:rsidR="00201A0F">
        <w:t> </w:t>
      </w:r>
      <w:r>
        <w:t>µg/mL</w:t>
      </w:r>
      <w:proofErr w:type="gramEnd"/>
      <w:r>
        <w:t xml:space="preserve">). Cross reactivity was assessed in three donors for each tissue. Specific positive staining was observed within cells of lymphoid tissues consistent with B lymphocytes. All binding was related to the pharmacology of </w:t>
      </w:r>
      <w:r w:rsidR="00334CAC">
        <w:t>Riximyo</w:t>
      </w:r>
      <w:r>
        <w:t xml:space="preserve"> and its ability to bind to CD20</w:t>
      </w:r>
      <w:r w:rsidR="00A0543D">
        <w:noBreakHyphen/>
      </w:r>
      <w:r>
        <w:t xml:space="preserve">expressing lymphocytes and no off target binding was observed which was similar to what was observed with </w:t>
      </w:r>
      <w:r w:rsidR="000B3A10">
        <w:t>MabThera</w:t>
      </w:r>
      <w:r>
        <w:t xml:space="preserve"> in the original studies.</w:t>
      </w:r>
    </w:p>
    <w:p w14:paraId="7F4AA67E" w14:textId="77777777" w:rsidR="008E7846" w:rsidRDefault="008E7846" w:rsidP="008E7846">
      <w:pPr>
        <w:pStyle w:val="Heading3"/>
      </w:pPr>
      <w:bookmarkStart w:id="53" w:name="_Toc247691515"/>
      <w:bookmarkStart w:id="54" w:name="_Toc314842499"/>
      <w:bookmarkStart w:id="55" w:name="_Toc524426276"/>
      <w:r>
        <w:t>Nonclinical summary and conclusions</w:t>
      </w:r>
      <w:bookmarkEnd w:id="53"/>
      <w:bookmarkEnd w:id="54"/>
      <w:bookmarkEnd w:id="55"/>
    </w:p>
    <w:p w14:paraId="7F4AA67F" w14:textId="77777777" w:rsidR="00A44A63" w:rsidRDefault="00A44A63" w:rsidP="00A44A63">
      <w:pPr>
        <w:pStyle w:val="ListBullet"/>
      </w:pPr>
      <w:r>
        <w:t xml:space="preserve">The scope of the nonclinical testing program was in general in accordance with EU guidelines on similar biological medicines. Data consisted of comparative studies on the pharmacology, pharmacokinetics and toxicity of </w:t>
      </w:r>
      <w:r w:rsidR="00334CAC">
        <w:t>Riximyo</w:t>
      </w:r>
      <w:r>
        <w:t xml:space="preserve"> against EU sourced </w:t>
      </w:r>
      <w:r w:rsidR="000B3A10">
        <w:t>MabThera</w:t>
      </w:r>
      <w:r>
        <w:t xml:space="preserve"> or US sourced </w:t>
      </w:r>
      <w:r w:rsidR="00D26E58">
        <w:t>Rituxan</w:t>
      </w:r>
      <w:r>
        <w:t xml:space="preserve"> as the comparators. Bridging comparability studies between the Australia supplied </w:t>
      </w:r>
      <w:r w:rsidR="000B3A10">
        <w:t>MabThera</w:t>
      </w:r>
      <w:r>
        <w:t xml:space="preserve"> and EU sourced </w:t>
      </w:r>
      <w:r w:rsidR="000B3A10">
        <w:t>MabThera</w:t>
      </w:r>
      <w:r>
        <w:t xml:space="preserve"> and US sourced </w:t>
      </w:r>
      <w:r w:rsidR="00D26E58">
        <w:t>Rituxan</w:t>
      </w:r>
      <w:r>
        <w:t xml:space="preserve"> are provided in </w:t>
      </w:r>
      <w:r w:rsidR="00633B39">
        <w:t>the submission</w:t>
      </w:r>
      <w:r>
        <w:t>.</w:t>
      </w:r>
    </w:p>
    <w:p w14:paraId="7F4AA680" w14:textId="77777777" w:rsidR="00A44A63" w:rsidRDefault="00A44A63" w:rsidP="00A44A63">
      <w:pPr>
        <w:pStyle w:val="ListBullet"/>
      </w:pPr>
      <w:r>
        <w:t xml:space="preserve">Pharmacological activity of </w:t>
      </w:r>
      <w:r w:rsidR="00334CAC">
        <w:t>Riximyo</w:t>
      </w:r>
      <w:r>
        <w:t xml:space="preserve">, as assessed in a series of in vitro functional assays which included determining ADCC potency and B cell depletion efficacy were comparable to the </w:t>
      </w:r>
      <w:r w:rsidR="000B3A10">
        <w:t>MabThera</w:t>
      </w:r>
      <w:r>
        <w:t xml:space="preserve"> and </w:t>
      </w:r>
      <w:r w:rsidR="00D26E58">
        <w:t>Rituxan</w:t>
      </w:r>
      <w:r>
        <w:t xml:space="preserve"> comparators. In vivo anti-tumour efficacy and survival studies were carried out in various relevant xenograft tumour models and both the efficacy and survival were generally comparable to </w:t>
      </w:r>
      <w:r w:rsidR="000B3A10">
        <w:t>MabThera</w:t>
      </w:r>
      <w:r>
        <w:t>.</w:t>
      </w:r>
    </w:p>
    <w:p w14:paraId="7F4AA681" w14:textId="77777777" w:rsidR="00A44A63" w:rsidRDefault="00A44A63" w:rsidP="00A44A63">
      <w:pPr>
        <w:pStyle w:val="ListBullet"/>
      </w:pPr>
      <w:r>
        <w:t xml:space="preserve">A single dose pharmacokinetic study in cynomolgus monkeys showed comparability between </w:t>
      </w:r>
      <w:r w:rsidR="00334CAC">
        <w:t>Riximyo</w:t>
      </w:r>
      <w:r>
        <w:t xml:space="preserve"> and </w:t>
      </w:r>
      <w:r w:rsidR="000B3A10">
        <w:t>MabThera</w:t>
      </w:r>
      <w:r>
        <w:t>.</w:t>
      </w:r>
    </w:p>
    <w:p w14:paraId="7F4AA682" w14:textId="77777777" w:rsidR="00A44A63" w:rsidRDefault="00A44A63" w:rsidP="00A44A63">
      <w:pPr>
        <w:pStyle w:val="ListBullet"/>
      </w:pPr>
      <w:r>
        <w:t xml:space="preserve">A four week GLP comparative toxicity study was conducted in cynomolgus monkeys using the clinical (IV) route. This study did not identify any finding inconsistent with those seen with </w:t>
      </w:r>
      <w:r w:rsidR="000B3A10">
        <w:t>MabThera</w:t>
      </w:r>
      <w:r>
        <w:t>. Toxicity findings and toxicokinetic parameters were comparable between the biosimilar and comparator.</w:t>
      </w:r>
    </w:p>
    <w:p w14:paraId="7F4AA683" w14:textId="4E09F6F6" w:rsidR="00A44A63" w:rsidRPr="00A44A63" w:rsidRDefault="00A44A63" w:rsidP="00A44A63">
      <w:pPr>
        <w:pStyle w:val="ListBullet"/>
      </w:pPr>
      <w:r>
        <w:t xml:space="preserve">There are no nonclinical objections to the registration of </w:t>
      </w:r>
      <w:r w:rsidR="00334CAC">
        <w:t>Riximyo</w:t>
      </w:r>
      <w:r>
        <w:t>, provided adequate comparability of the EU</w:t>
      </w:r>
      <w:r w:rsidR="00633B39">
        <w:t xml:space="preserve"> </w:t>
      </w:r>
      <w:r>
        <w:t>sourced and Australia</w:t>
      </w:r>
      <w:r w:rsidR="00633B39">
        <w:t xml:space="preserve"> </w:t>
      </w:r>
      <w:r>
        <w:t xml:space="preserve">sourced </w:t>
      </w:r>
      <w:r w:rsidR="000B3A10">
        <w:t>MabThera</w:t>
      </w:r>
      <w:r>
        <w:t xml:space="preserve"> is demonstrated by </w:t>
      </w:r>
      <w:r w:rsidR="00A0543D">
        <w:t xml:space="preserve">quality </w:t>
      </w:r>
      <w:r>
        <w:t>data.</w:t>
      </w:r>
    </w:p>
    <w:p w14:paraId="7F4AA684" w14:textId="77777777" w:rsidR="008E7846" w:rsidRPr="00254787" w:rsidRDefault="008E7846" w:rsidP="008E7846">
      <w:pPr>
        <w:pStyle w:val="Heading2"/>
      </w:pPr>
      <w:bookmarkStart w:id="56" w:name="_Toc196046462"/>
      <w:bookmarkStart w:id="57" w:name="_Toc247691516"/>
      <w:bookmarkStart w:id="58" w:name="_Toc314842500"/>
      <w:bookmarkStart w:id="59" w:name="_Toc163441353"/>
      <w:bookmarkStart w:id="60" w:name="_Toc163441348"/>
      <w:bookmarkStart w:id="61" w:name="_Toc524426277"/>
      <w:r>
        <w:t xml:space="preserve">V. </w:t>
      </w:r>
      <w:r w:rsidRPr="00254787">
        <w:t>Clinical</w:t>
      </w:r>
      <w:bookmarkEnd w:id="56"/>
      <w:r>
        <w:t xml:space="preserve"> </w:t>
      </w:r>
      <w:r w:rsidR="003A7F6C">
        <w:t>f</w:t>
      </w:r>
      <w:r>
        <w:t>indings</w:t>
      </w:r>
      <w:bookmarkEnd w:id="57"/>
      <w:bookmarkEnd w:id="58"/>
      <w:bookmarkEnd w:id="61"/>
    </w:p>
    <w:p w14:paraId="7F4AA685" w14:textId="77777777" w:rsidR="00C80137" w:rsidRDefault="00C80137" w:rsidP="00D425BB">
      <w:bookmarkStart w:id="6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7F4AA686" w14:textId="77777777" w:rsidR="008E7846" w:rsidRDefault="008E7846" w:rsidP="008E7846">
      <w:pPr>
        <w:pStyle w:val="Heading3"/>
      </w:pPr>
      <w:bookmarkStart w:id="63" w:name="_Toc247691517"/>
      <w:bookmarkStart w:id="64" w:name="_Toc314842501"/>
      <w:bookmarkStart w:id="65" w:name="_Toc524426278"/>
      <w:r w:rsidRPr="00254787">
        <w:t>Introduction</w:t>
      </w:r>
      <w:bookmarkEnd w:id="62"/>
      <w:bookmarkEnd w:id="63"/>
      <w:bookmarkEnd w:id="64"/>
      <w:bookmarkEnd w:id="65"/>
    </w:p>
    <w:p w14:paraId="7F4AA687" w14:textId="77777777" w:rsidR="00605AD4" w:rsidRDefault="00605AD4" w:rsidP="00605AD4">
      <w:pPr>
        <w:pStyle w:val="Heading4"/>
      </w:pPr>
      <w:bookmarkStart w:id="66" w:name="_Toc196046464"/>
      <w:bookmarkStart w:id="67" w:name="_Toc247691518"/>
      <w:bookmarkStart w:id="68" w:name="_Toc314842502"/>
      <w:r w:rsidRPr="00605AD4">
        <w:t xml:space="preserve">Clinical </w:t>
      </w:r>
      <w:r w:rsidR="00EF59DC">
        <w:t>r</w:t>
      </w:r>
      <w:r w:rsidRPr="00605AD4">
        <w:t>ationale</w:t>
      </w:r>
    </w:p>
    <w:p w14:paraId="7F4AA688" w14:textId="118C8E77" w:rsidR="004C1958" w:rsidRDefault="008A2F5F" w:rsidP="004C1958">
      <w:r>
        <w:t>Riximyo</w:t>
      </w:r>
      <w:r w:rsidR="00826421">
        <w:t xml:space="preserve"> </w:t>
      </w:r>
      <w:r w:rsidR="004C1958">
        <w:t xml:space="preserve">has been developed as a similar biological medicinal product to the EU authorised reference product </w:t>
      </w:r>
      <w:r w:rsidR="000B3A10">
        <w:t>MabThera</w:t>
      </w:r>
      <w:r w:rsidR="004C1958">
        <w:t xml:space="preserve"> sponsored by Roche. </w:t>
      </w:r>
      <w:r w:rsidR="00334CAC">
        <w:t>Riximyo</w:t>
      </w:r>
      <w:r w:rsidR="004C1958">
        <w:t xml:space="preserve"> is being proposed for the same indications as those approved for </w:t>
      </w:r>
      <w:r w:rsidR="000B3A10">
        <w:t>MabThera</w:t>
      </w:r>
      <w:r w:rsidR="004C1958">
        <w:t xml:space="preserve"> in the EU and in Australia. The sponsor states that the proof biosimilarity of </w:t>
      </w:r>
      <w:r w:rsidR="00334CAC">
        <w:t>Riximyo</w:t>
      </w:r>
      <w:r w:rsidR="004C1958">
        <w:t xml:space="preserve"> to </w:t>
      </w:r>
      <w:r w:rsidR="000B3A10">
        <w:t>MabThera</w:t>
      </w:r>
      <w:r w:rsidR="004C1958">
        <w:t xml:space="preserve"> is based on a totality-of-data approach, including physicochemical, nonclinical (functional parameters tested in in vitro bioassays as well as animal studies) and clinical data (</w:t>
      </w:r>
      <w:r w:rsidR="00413790">
        <w:t>pharmacodynamic (</w:t>
      </w:r>
      <w:r w:rsidR="004C1958">
        <w:t>PK</w:t>
      </w:r>
      <w:r w:rsidR="00413790">
        <w:t>)</w:t>
      </w:r>
      <w:r w:rsidR="004C1958">
        <w:t>/</w:t>
      </w:r>
      <w:r w:rsidR="00413790" w:rsidRPr="00413790">
        <w:t xml:space="preserve"> </w:t>
      </w:r>
      <w:r w:rsidR="00413790">
        <w:t>pharmacodynamic (</w:t>
      </w:r>
      <w:r w:rsidR="004C1958">
        <w:t>PD</w:t>
      </w:r>
      <w:r w:rsidR="00413790">
        <w:t>)</w:t>
      </w:r>
      <w:r w:rsidR="004C1958">
        <w:t xml:space="preserve">, efficacy and safety including immunogenicity from an immunology indication </w:t>
      </w:r>
      <w:r w:rsidR="00A0543D">
        <w:t>(</w:t>
      </w:r>
      <w:r w:rsidR="004C1958">
        <w:t xml:space="preserve">rheumatoid arthritis </w:t>
      </w:r>
      <w:r w:rsidR="00A0543D">
        <w:t>(</w:t>
      </w:r>
      <w:r w:rsidR="004C1958">
        <w:t>RA</w:t>
      </w:r>
      <w:r w:rsidR="00A0543D">
        <w:t>)</w:t>
      </w:r>
      <w:r w:rsidR="004C1958">
        <w:t xml:space="preserve">) and from an oncology indication </w:t>
      </w:r>
      <w:r w:rsidR="004C1958">
        <w:lastRenderedPageBreak/>
        <w:t xml:space="preserve">[previously untreated advanced follicular lymphoma [FL]). The sponsor submitted a justification for extrapolating the clinical data for </w:t>
      </w:r>
      <w:r w:rsidR="00334CAC">
        <w:t>Riximyo</w:t>
      </w:r>
      <w:r w:rsidR="004C1958">
        <w:t xml:space="preserve"> in patients with RA and in patients with previously untreated non-Hodgkin’s FL to all other proposed indications. This justification is discussed later in </w:t>
      </w:r>
      <w:r w:rsidR="00A0543D">
        <w:t xml:space="preserve">the </w:t>
      </w:r>
      <w:r w:rsidR="004C1958">
        <w:t>clinical evaluation report (CER)</w:t>
      </w:r>
      <w:r w:rsidR="00E26911">
        <w:t xml:space="preserve"> </w:t>
      </w:r>
      <w:r w:rsidR="00A0543D">
        <w:t>[see</w:t>
      </w:r>
      <w:r w:rsidR="00E26911">
        <w:t xml:space="preserve"> Attachment 2</w:t>
      </w:r>
      <w:r w:rsidR="00A0543D">
        <w:t>]</w:t>
      </w:r>
      <w:r w:rsidR="004C1958">
        <w:t xml:space="preserve">. An overview of the step-wise </w:t>
      </w:r>
      <w:r>
        <w:t>Riximyo</w:t>
      </w:r>
      <w:r w:rsidR="004C1958">
        <w:t xml:space="preserve"> development program is provided below in Figure </w:t>
      </w:r>
      <w:r w:rsidR="005C1EAC">
        <w:t>3</w:t>
      </w:r>
      <w:r w:rsidR="004C1958">
        <w:t>.</w:t>
      </w:r>
    </w:p>
    <w:p w14:paraId="7F4AA689" w14:textId="77777777" w:rsidR="004C1958" w:rsidRDefault="004C1958" w:rsidP="00390CAF">
      <w:pPr>
        <w:pStyle w:val="FigureTitle"/>
      </w:pPr>
      <w:r>
        <w:t xml:space="preserve">Figure </w:t>
      </w:r>
      <w:r w:rsidR="005C1EAC">
        <w:t>3</w:t>
      </w:r>
      <w:r>
        <w:t xml:space="preserve">: Overview of </w:t>
      </w:r>
      <w:r w:rsidR="00390CAF">
        <w:t xml:space="preserve">the </w:t>
      </w:r>
      <w:r w:rsidR="008A2F5F">
        <w:t>Riximyo</w:t>
      </w:r>
      <w:r w:rsidR="00390CAF">
        <w:t xml:space="preserve"> development program</w:t>
      </w:r>
    </w:p>
    <w:p w14:paraId="7F4AA68A" w14:textId="77777777" w:rsidR="004C1958" w:rsidRDefault="009B386A" w:rsidP="004C1958">
      <w:r>
        <w:rPr>
          <w:rFonts w:ascii="Times New Roman" w:eastAsiaTheme="minorHAnsi" w:hAnsi="Times New Roman"/>
          <w:noProof/>
          <w:color w:val="000000"/>
          <w:sz w:val="24"/>
          <w:szCs w:val="24"/>
          <w:lang w:eastAsia="en-AU"/>
        </w:rPr>
        <w:drawing>
          <wp:inline distT="0" distB="0" distL="0" distR="0" wp14:anchorId="7F4AA9D6" wp14:editId="7F4AA9D7">
            <wp:extent cx="4842186" cy="2734929"/>
            <wp:effectExtent l="0" t="0" r="0" b="8890"/>
            <wp:docPr id="2" name="Picture 2" descr="Overview of the GP2013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841686" cy="2734647"/>
                    </a:xfrm>
                    <a:prstGeom prst="rect">
                      <a:avLst/>
                    </a:prstGeom>
                    <a:noFill/>
                    <a:ln>
                      <a:noFill/>
                    </a:ln>
                  </pic:spPr>
                </pic:pic>
              </a:graphicData>
            </a:graphic>
          </wp:inline>
        </w:drawing>
      </w:r>
    </w:p>
    <w:p w14:paraId="7F4AA68B" w14:textId="77777777" w:rsidR="00605AD4" w:rsidRDefault="00605AD4" w:rsidP="00605AD4">
      <w:pPr>
        <w:pStyle w:val="Heading4"/>
      </w:pPr>
      <w:r w:rsidRPr="00605AD4">
        <w:t>Contents of the clinical dossier</w:t>
      </w:r>
    </w:p>
    <w:p w14:paraId="7F4AA68C" w14:textId="77777777" w:rsidR="004C1958" w:rsidRDefault="004C1958" w:rsidP="00390CAF">
      <w:pPr>
        <w:pStyle w:val="Heading5"/>
      </w:pPr>
      <w:r>
        <w:t>Scope of the clinical dossier</w:t>
      </w:r>
    </w:p>
    <w:p w14:paraId="0565D61B" w14:textId="77777777" w:rsidR="00EA1DF3" w:rsidRDefault="004C1958" w:rsidP="004C1958">
      <w:r>
        <w:t xml:space="preserve">The clinical dossier consisted of an abridged submission aimed at demonstrating bioequivalence, pharmacodynamic comparability, and efficacy and safety similarity of </w:t>
      </w:r>
      <w:r w:rsidR="008A2F5F">
        <w:t>Riximyo</w:t>
      </w:r>
      <w:r>
        <w:t xml:space="preserve"> to MabThera (EU) in patients with advanced RA and non-Hodgkin’s FL. There were no clinical studies supporting approval of </w:t>
      </w:r>
      <w:r w:rsidR="008A2F5F">
        <w:t>Riximyo</w:t>
      </w:r>
      <w:r>
        <w:t xml:space="preserve"> for all proposed indications. The sponsor has provided a justification supporting extrapolation of the submitted clinical comparability data in patients with advanced RA and non-Hodgkin’s FL to all proposed indications</w:t>
      </w:r>
      <w:r w:rsidR="00EA1DF3">
        <w:t>.</w:t>
      </w:r>
    </w:p>
    <w:p w14:paraId="7F4AA68E" w14:textId="10F440C7" w:rsidR="004C1958" w:rsidRDefault="004C1958" w:rsidP="00390CAF">
      <w:pPr>
        <w:pStyle w:val="ListBullet"/>
      </w:pPr>
      <w:r>
        <w:t>Study GP13-201 (Part I):</w:t>
      </w:r>
      <w:r w:rsidR="000B3A10">
        <w:t xml:space="preserve"> </w:t>
      </w:r>
      <w:r>
        <w:t xml:space="preserve">The pivotal Phase II PK/PD study in patients with RA, primarily designed to assess PK equivalence of </w:t>
      </w:r>
      <w:r w:rsidR="008A2F5F">
        <w:t>Riximyo</w:t>
      </w:r>
      <w:r>
        <w:t xml:space="preserve"> and MabThera (EU). The study also included comparative PD, efficacy, safety and immunogenicity data for </w:t>
      </w:r>
      <w:r w:rsidR="008A2F5F">
        <w:t>Riximyo</w:t>
      </w:r>
      <w:r>
        <w:t xml:space="preserve"> and MabThera (EU). Part II of the study, which is the same design as Part I, is currently ongoing and compares </w:t>
      </w:r>
      <w:r w:rsidR="008A2F5F">
        <w:t>Riximyo</w:t>
      </w:r>
      <w:r>
        <w:t xml:space="preserve"> to Rituxan (US). No data from Part II of the study was provided in </w:t>
      </w:r>
      <w:r w:rsidR="0061344E">
        <w:t xml:space="preserve">the clinical part of the submission. The 24 </w:t>
      </w:r>
      <w:r>
        <w:t>week report for Part II is expe</w:t>
      </w:r>
      <w:r w:rsidR="0061344E">
        <w:t xml:space="preserve">cted in January 2017 and the 52 </w:t>
      </w:r>
      <w:r>
        <w:t>week report is expected in January 2018.</w:t>
      </w:r>
    </w:p>
    <w:p w14:paraId="7F4AA68F" w14:textId="7F836AAD" w:rsidR="004C1958" w:rsidRDefault="004C1958" w:rsidP="00390CAF">
      <w:pPr>
        <w:pStyle w:val="ListBullet"/>
      </w:pPr>
      <w:r>
        <w:t xml:space="preserve">Study GP13-301: The pivotal Phase III efficacy and safety study compared </w:t>
      </w:r>
      <w:r w:rsidR="008A2F5F">
        <w:t>Riximyo</w:t>
      </w:r>
      <w:r>
        <w:t xml:space="preserve"> and MabThera (EU) in patients with non-Hodgkin’s disease FL. In addition to efficacy and safety comparability data, the study also provided comparative immunogenicity data and supportive PK and PD equivalence data. The submission included data for the primary efficacy and safety analysis for the c</w:t>
      </w:r>
      <w:r w:rsidR="0061344E">
        <w:t>ombination phase of the study (W</w:t>
      </w:r>
      <w:r>
        <w:t>eek</w:t>
      </w:r>
      <w:r w:rsidR="0061344E">
        <w:t xml:space="preserve"> </w:t>
      </w:r>
      <w:r>
        <w:t xml:space="preserve">24) and interim efficacy and safety results for the maintenance phase of the study (planned duration of 2 years).The final study report for </w:t>
      </w:r>
      <w:r w:rsidR="00A0543D">
        <w:t xml:space="preserve">Study </w:t>
      </w:r>
      <w:r>
        <w:t>GP13-301 is expected in August 2018.</w:t>
      </w:r>
    </w:p>
    <w:p w14:paraId="7F4AA690" w14:textId="67302915" w:rsidR="004C1958" w:rsidRDefault="004C1958" w:rsidP="00390CAF">
      <w:pPr>
        <w:pStyle w:val="ListBullet"/>
      </w:pPr>
      <w:r>
        <w:t xml:space="preserve">Study GP13-101: This was a supportive Phase I study assessing the safety and PK of </w:t>
      </w:r>
      <w:r w:rsidR="008A2F5F">
        <w:t>Riximyo</w:t>
      </w:r>
      <w:r>
        <w:t xml:space="preserve"> monotherapy in Japanese patients with CD20+ low tumour burden indolent </w:t>
      </w:r>
      <w:r>
        <w:lastRenderedPageBreak/>
        <w:t>B-cell NHL. The study was requested by the Japanese regulatory authorities (PMDA). The study included only 6 patients and no direct comparative data were provided (</w:t>
      </w:r>
      <w:r w:rsidR="00413790">
        <w:t>that is,</w:t>
      </w:r>
      <w:r>
        <w:t xml:space="preserve"> </w:t>
      </w:r>
      <w:r w:rsidR="008A2F5F">
        <w:t>Riximyo</w:t>
      </w:r>
      <w:r w:rsidR="00794474">
        <w:t xml:space="preserve"> versus </w:t>
      </w:r>
      <w:r>
        <w:t xml:space="preserve">Rituxan </w:t>
      </w:r>
      <w:r w:rsidR="00A0543D">
        <w:t>(</w:t>
      </w:r>
      <w:r>
        <w:t>Japanese comparator</w:t>
      </w:r>
      <w:r w:rsidR="00A0543D">
        <w:t>)</w:t>
      </w:r>
      <w:r>
        <w:t xml:space="preserve">). The data for </w:t>
      </w:r>
      <w:r w:rsidR="008A2F5F">
        <w:t>Riximyo</w:t>
      </w:r>
      <w:r>
        <w:t xml:space="preserve"> from this study were compared with the data for Rituxan from the approved Japanese prescribing for this product.</w:t>
      </w:r>
    </w:p>
    <w:p w14:paraId="7F4AA691" w14:textId="3DA50609" w:rsidR="004C1958" w:rsidRDefault="004C1958" w:rsidP="00390CAF">
      <w:pPr>
        <w:pStyle w:val="ListBullet"/>
      </w:pPr>
      <w:r>
        <w:t>Reports of bioanalyti</w:t>
      </w:r>
      <w:r w:rsidR="0061344E">
        <w:t>cal and analytical methods for S</w:t>
      </w:r>
      <w:r>
        <w:t>tudies GP13-101, GP13-201 and GP13-301.</w:t>
      </w:r>
    </w:p>
    <w:p w14:paraId="7F4AA692" w14:textId="77777777" w:rsidR="00500337" w:rsidRPr="00500337" w:rsidRDefault="004C1958" w:rsidP="00390CAF">
      <w:pPr>
        <w:pStyle w:val="ListBullet"/>
      </w:pPr>
      <w:r>
        <w:t>Literature references.</w:t>
      </w:r>
    </w:p>
    <w:p w14:paraId="7F4AA693" w14:textId="77777777" w:rsidR="00605AD4" w:rsidRDefault="00605AD4" w:rsidP="00605AD4">
      <w:pPr>
        <w:pStyle w:val="Heading4"/>
      </w:pPr>
      <w:r w:rsidRPr="00605AD4">
        <w:t>Paediatric data</w:t>
      </w:r>
    </w:p>
    <w:p w14:paraId="7F4AA694" w14:textId="7EE56753" w:rsidR="00252CFB" w:rsidRDefault="004C1958" w:rsidP="004C1958">
      <w:r>
        <w:t>No paediatric data were submitted.</w:t>
      </w:r>
    </w:p>
    <w:p w14:paraId="7F4AA695" w14:textId="41B9D61C" w:rsidR="004C1958" w:rsidRDefault="004C1958" w:rsidP="004C1958">
      <w:r>
        <w:t>No statements regarding paediatric development plans submitted to other regulatory agencies could be identified in the dossier. In the Clinical Overview</w:t>
      </w:r>
      <w:r w:rsidR="0061344E">
        <w:t>,</w:t>
      </w:r>
      <w:r>
        <w:t xml:space="preserve"> the sponsor stated that clinical studies in the paediatric population were not conducted </w:t>
      </w:r>
      <w:r w:rsidR="0061344E">
        <w:t>‘</w:t>
      </w:r>
      <w:r w:rsidRPr="00252CFB">
        <w:rPr>
          <w:i/>
        </w:rPr>
        <w:t>since the overall objective of the biosimilar development program is to establish comparability, and therefore the selection of the primary patient population is driven by the need for homogeneity and sensitivity (EMA/CHMP/BMWP/403543/2010)</w:t>
      </w:r>
      <w:r w:rsidR="0061344E">
        <w:t>’</w:t>
      </w:r>
      <w:r>
        <w:t>. The sponsor refers to the EU Summary of Product Characteristics (SmPC) for MabThera, which states that the safety and efficacy of MabThera in children below 18 years of age has not been established and that no data in this population are available.</w:t>
      </w:r>
    </w:p>
    <w:p w14:paraId="7F4AA696" w14:textId="77777777" w:rsidR="00500337" w:rsidRPr="00500337" w:rsidRDefault="004C1958" w:rsidP="004C1958">
      <w:r>
        <w:t xml:space="preserve">The absence of paediatric data in the submitted clinical dossier is considered to be acceptable, given the proposed usage of </w:t>
      </w:r>
      <w:r w:rsidR="008A2F5F">
        <w:t>Riximyo</w:t>
      </w:r>
      <w:r>
        <w:t>.</w:t>
      </w:r>
    </w:p>
    <w:p w14:paraId="7F4AA697" w14:textId="77777777" w:rsidR="00605AD4" w:rsidRDefault="00605AD4" w:rsidP="00605AD4">
      <w:pPr>
        <w:pStyle w:val="Heading4"/>
      </w:pPr>
      <w:r w:rsidRPr="00605AD4">
        <w:t>Good clinical practice</w:t>
      </w:r>
    </w:p>
    <w:p w14:paraId="7F4AA698" w14:textId="77777777" w:rsidR="004C1958" w:rsidRPr="004C1958" w:rsidRDefault="004C1958" w:rsidP="004C1958">
      <w:r>
        <w:t>The sponsor states that all three clinical studies were designed and conducted in full compliance with Good Clinical Practice (GCP) and according to the ethical principles of the Declaration of Helsinki.</w:t>
      </w:r>
    </w:p>
    <w:p w14:paraId="7F4AA699" w14:textId="77777777" w:rsidR="008E7846" w:rsidRDefault="008E7846" w:rsidP="00605AD4">
      <w:pPr>
        <w:pStyle w:val="Heading3"/>
      </w:pPr>
      <w:bookmarkStart w:id="69" w:name="_Toc524426279"/>
      <w:r w:rsidRPr="00254787">
        <w:t>Pharmacokinetics</w:t>
      </w:r>
      <w:bookmarkEnd w:id="59"/>
      <w:bookmarkEnd w:id="66"/>
      <w:bookmarkEnd w:id="67"/>
      <w:bookmarkEnd w:id="68"/>
      <w:bookmarkEnd w:id="69"/>
    </w:p>
    <w:p w14:paraId="7F4AA69A" w14:textId="77777777" w:rsidR="00605AD4" w:rsidRDefault="00605AD4" w:rsidP="00605AD4">
      <w:pPr>
        <w:pStyle w:val="Heading4"/>
      </w:pPr>
      <w:r>
        <w:t>Studies</w:t>
      </w:r>
      <w:r w:rsidR="00500337">
        <w:t xml:space="preserve"> providing pharmacokinetic data</w:t>
      </w:r>
    </w:p>
    <w:p w14:paraId="7F4AA69B" w14:textId="77777777" w:rsidR="004C1958" w:rsidRDefault="004C1958" w:rsidP="004C1958">
      <w:r>
        <w:t>The submission included three studies providing PK information in patients. These three studies were:</w:t>
      </w:r>
    </w:p>
    <w:p w14:paraId="04B071B8" w14:textId="77777777" w:rsidR="00EA1DF3" w:rsidRDefault="0014307F" w:rsidP="00390CAF">
      <w:pPr>
        <w:pStyle w:val="ListBullet"/>
      </w:pPr>
      <w:r>
        <w:t xml:space="preserve">Study </w:t>
      </w:r>
      <w:r w:rsidR="004C1958">
        <w:t>GP13-201 (Part 1)</w:t>
      </w:r>
      <w:r w:rsidR="00252CFB">
        <w:t>:</w:t>
      </w:r>
      <w:r w:rsidR="004C1958">
        <w:t xml:space="preserve"> This was the pivotal Phase II PK/PD study designed to assess the bioequivalence of </w:t>
      </w:r>
      <w:r w:rsidR="008A2F5F">
        <w:t>Riximyo</w:t>
      </w:r>
      <w:r w:rsidR="004C1958">
        <w:t xml:space="preserve"> and MabThera (EU reference product). The study was undertaken in 173 patients with rheumatoid arthritis (RA) refractory or intolerant to standard disease modifying anti-rheumatic drugs (DMARDs) and 1 to 3 anti-tumour necrosis factor (anti-TNF) therapies. The two rituximab formulations were each administered in combination with methotrexate. The sponsor stated that the study was designed in accordance with the </w:t>
      </w:r>
      <w:r w:rsidR="00252CFB">
        <w:t>European Medicines Agency (</w:t>
      </w:r>
      <w:r w:rsidR="004C1958">
        <w:t>EMA</w:t>
      </w:r>
      <w:r w:rsidR="00252CFB">
        <w:t>)</w:t>
      </w:r>
      <w:r w:rsidR="004C1958">
        <w:t xml:space="preserve"> Guideline on similar biological medicinal pr</w:t>
      </w:r>
      <w:r w:rsidR="00252CFB">
        <w:t xml:space="preserve">oducts containing biotechnology </w:t>
      </w:r>
      <w:r w:rsidR="004C1958">
        <w:t xml:space="preserve">derived proteins as active substance: non-clinical and clinical issues EMEA/CHMP/BMWP/42832/2005 Rev 1), and demonstrated bioequivalence of </w:t>
      </w:r>
      <w:r w:rsidR="008A2F5F">
        <w:t>Riximyo</w:t>
      </w:r>
      <w:r w:rsidR="004C1958">
        <w:t xml:space="preserve"> and MabThera in accordance </w:t>
      </w:r>
      <w:r w:rsidR="004C1958">
        <w:lastRenderedPageBreak/>
        <w:t>with the EMA Guideline on Bioequivalence</w:t>
      </w:r>
      <w:r w:rsidR="00A0543D">
        <w:t>.</w:t>
      </w:r>
      <w:r w:rsidR="009B2FD7">
        <w:rPr>
          <w:rStyle w:val="FootnoteReference"/>
        </w:rPr>
        <w:footnoteReference w:id="5"/>
      </w:r>
      <w:r w:rsidR="004C1958">
        <w:t xml:space="preserve"> Both of these guidelines have been adopted by the TGA</w:t>
      </w:r>
      <w:r w:rsidR="00EA1DF3">
        <w:t>.</w:t>
      </w:r>
    </w:p>
    <w:p w14:paraId="7F4AA69D" w14:textId="2ED38C0C" w:rsidR="004C1958" w:rsidRDefault="0014307F" w:rsidP="00475323">
      <w:pPr>
        <w:pStyle w:val="ListBullet"/>
      </w:pPr>
      <w:r>
        <w:t xml:space="preserve">Study </w:t>
      </w:r>
      <w:r w:rsidR="004C1958">
        <w:t>GP13-301</w:t>
      </w:r>
      <w:r w:rsidR="009B2FD7">
        <w:t>:</w:t>
      </w:r>
      <w:r w:rsidR="004C1958">
        <w:t xml:space="preserve"> This was the pivotal Phase III efficacy and safety study in patients with previously untreated non-Hodgkin’s advanced follicular lymphoma (FL). The study included supportive (descriptive) comparative PK/PD data for the two rituximab formulations. The study included PK data (</w:t>
      </w:r>
      <w:r w:rsidR="009B2FD7">
        <w:t>C</w:t>
      </w:r>
      <w:r w:rsidR="009B2FD7" w:rsidRPr="009B2FD7">
        <w:rPr>
          <w:vertAlign w:val="subscript"/>
        </w:rPr>
        <w:t>trough</w:t>
      </w:r>
      <w:r w:rsidR="00246450">
        <w:t xml:space="preserve"> and</w:t>
      </w:r>
      <w:r w:rsidR="004C1958">
        <w:t xml:space="preserve"> </w:t>
      </w:r>
      <w:r w:rsidR="005B7B55">
        <w:t>C</w:t>
      </w:r>
      <w:r w:rsidR="005B7B55" w:rsidRPr="005B7B55">
        <w:rPr>
          <w:vertAlign w:val="subscript"/>
        </w:rPr>
        <w:t>max</w:t>
      </w:r>
      <w:r w:rsidR="004C1958">
        <w:t>) on 196 patients following sparse sampling and 54 patients with PK data (</w:t>
      </w:r>
      <w:r w:rsidR="00246450">
        <w:t>t</w:t>
      </w:r>
      <w:r w:rsidR="00475323" w:rsidRPr="00475323">
        <w:t xml:space="preserve">he area under the curve from the time of dosing to the time of the last observation, regardless of whether the last concentration is measureable or not </w:t>
      </w:r>
      <w:r w:rsidR="00475323">
        <w:t>(</w:t>
      </w:r>
      <w:r w:rsidR="009B2FD7">
        <w:t>AUC</w:t>
      </w:r>
      <w:r w:rsidR="009B2FD7" w:rsidRPr="009B2FD7">
        <w:rPr>
          <w:vertAlign w:val="subscript"/>
        </w:rPr>
        <w:t>all</w:t>
      </w:r>
      <w:r w:rsidR="00475323">
        <w:t>)</w:t>
      </w:r>
      <w:r w:rsidR="00246450">
        <w:t xml:space="preserve"> and</w:t>
      </w:r>
      <w:r w:rsidR="004C1958">
        <w:t xml:space="preserve"> </w:t>
      </w:r>
      <w:r w:rsidR="00246450">
        <w:t>a</w:t>
      </w:r>
      <w:r w:rsidR="00475323" w:rsidRPr="00475323">
        <w:t xml:space="preserve">rea under the serum concentration-time </w:t>
      </w:r>
      <w:r w:rsidR="00475323">
        <w:t xml:space="preserve">curve from time zero to </w:t>
      </w:r>
      <w:r w:rsidR="00246450">
        <w:t>D</w:t>
      </w:r>
      <w:r w:rsidR="00475323">
        <w:t>ay 21 (</w:t>
      </w:r>
      <w:r w:rsidR="009B2FD7">
        <w:t>AUC</w:t>
      </w:r>
      <w:r w:rsidR="009B2FD7" w:rsidRPr="009B2FD7">
        <w:rPr>
          <w:vertAlign w:val="subscript"/>
        </w:rPr>
        <w:t>0-21d</w:t>
      </w:r>
      <w:r w:rsidR="009B2FD7">
        <w:t>)</w:t>
      </w:r>
      <w:r w:rsidR="00475323">
        <w:t>)</w:t>
      </w:r>
      <w:r w:rsidR="009B2FD7">
        <w:t xml:space="preserve"> </w:t>
      </w:r>
      <w:r w:rsidR="004C1958">
        <w:t>following more extensive sampling. The two formulations were each administered in combination with cyclophosphamide, vincristine and prednisone. The study was undertaken in accordance with the TGA adopted EMA guideline on similar biological medicinal products co</w:t>
      </w:r>
      <w:r w:rsidR="009B2FD7">
        <w:t>ntaining monoclonal antibodies.</w:t>
      </w:r>
      <w:r w:rsidR="009B2FD7">
        <w:rPr>
          <w:rStyle w:val="FootnoteReference"/>
        </w:rPr>
        <w:footnoteReference w:id="6"/>
      </w:r>
    </w:p>
    <w:p w14:paraId="7F4AA69E" w14:textId="04EF2F1A" w:rsidR="00500337" w:rsidRPr="00500337" w:rsidRDefault="0014307F" w:rsidP="00390CAF">
      <w:pPr>
        <w:pStyle w:val="ListBullet"/>
      </w:pPr>
      <w:r>
        <w:t xml:space="preserve">Study </w:t>
      </w:r>
      <w:r w:rsidR="004C1958">
        <w:t>GP13-101</w:t>
      </w:r>
      <w:r w:rsidR="009B2FD7">
        <w:t>:</w:t>
      </w:r>
      <w:r w:rsidR="004C1958">
        <w:t xml:space="preserve"> In this </w:t>
      </w:r>
      <w:proofErr w:type="gramStart"/>
      <w:r w:rsidR="004C1958">
        <w:t>Phase</w:t>
      </w:r>
      <w:proofErr w:type="gramEnd"/>
      <w:r w:rsidR="004C1958">
        <w:t xml:space="preserve"> </w:t>
      </w:r>
      <w:r w:rsidR="009B2FD7">
        <w:t>I</w:t>
      </w:r>
      <w:r w:rsidR="004C1958">
        <w:t xml:space="preserve"> safety study, limited supportive PK data for </w:t>
      </w:r>
      <w:r w:rsidR="008A2F5F">
        <w:t>Riximyo</w:t>
      </w:r>
      <w:r w:rsidR="004C1958">
        <w:t xml:space="preserve"> were provided for 6 Japanese patients with CD20 positive low tumour burden indolent B-cell NHL. In this study, no contemporaneous comparative data for MabThera v</w:t>
      </w:r>
      <w:r w:rsidR="009B2FD7">
        <w:t>ersu</w:t>
      </w:r>
      <w:r w:rsidR="004C1958">
        <w:t xml:space="preserve">s Rituxan (Japan) were provided. Instead, the study included a comparison of the observed PK results for </w:t>
      </w:r>
      <w:r w:rsidR="008A2F5F">
        <w:t>Riximyo</w:t>
      </w:r>
      <w:r w:rsidR="004C1958">
        <w:t xml:space="preserve"> with those from the Japanese package insert for Rituxan (rituximab).</w:t>
      </w:r>
    </w:p>
    <w:p w14:paraId="7F4AA69F" w14:textId="77777777" w:rsidR="00605AD4" w:rsidRDefault="00605AD4" w:rsidP="00605AD4">
      <w:pPr>
        <w:pStyle w:val="Heading4"/>
      </w:pPr>
      <w:r>
        <w:t>Evaluator’s conclusions on pharmacokinetics</w:t>
      </w:r>
    </w:p>
    <w:p w14:paraId="7F4AA6A0" w14:textId="66EEB788" w:rsidR="004C1958" w:rsidRDefault="004C1958" w:rsidP="004C1958">
      <w:r>
        <w:t>It is considered t</w:t>
      </w:r>
      <w:r w:rsidR="009B2FD7">
        <w:t>hat the pivotal PK/PD Phase II S</w:t>
      </w:r>
      <w:r>
        <w:t xml:space="preserve">tudy GP13-201 in patients with RA has satisfactorily established the bioequivalence of </w:t>
      </w:r>
      <w:r w:rsidR="008A2F5F">
        <w:t>Riximyo</w:t>
      </w:r>
      <w:r>
        <w:t xml:space="preserve"> and MabTh</w:t>
      </w:r>
      <w:r w:rsidR="009B2FD7">
        <w:t xml:space="preserve">era (EU </w:t>
      </w:r>
      <w:r>
        <w:t xml:space="preserve">approved). The pivotal </w:t>
      </w:r>
      <w:r w:rsidR="009B2FD7">
        <w:t>PK bioequivalence results from S</w:t>
      </w:r>
      <w:r>
        <w:t>tudy GP13-201 in patients with RA are supported b</w:t>
      </w:r>
      <w:r w:rsidR="009B2FD7">
        <w:t>y the descriptive PK data from S</w:t>
      </w:r>
      <w:r>
        <w:t xml:space="preserve">tudy GP13-301 in patients with FL. There were limited descriptive PK data relating to </w:t>
      </w:r>
      <w:r w:rsidR="008A2F5F">
        <w:t>Riximyo</w:t>
      </w:r>
      <w:r>
        <w:t xml:space="preserve"> from the Phase I </w:t>
      </w:r>
      <w:r w:rsidR="009B2FD7">
        <w:t>Study GP</w:t>
      </w:r>
      <w:r>
        <w:t>13-101 in Japanese patients with CD20+ low tumour burden indolent B-cell NHL.</w:t>
      </w:r>
    </w:p>
    <w:p w14:paraId="4C54563D" w14:textId="77777777" w:rsidR="00EA1DF3" w:rsidRDefault="004C1958" w:rsidP="00390CAF">
      <w:pPr>
        <w:pStyle w:val="Heading5"/>
      </w:pPr>
      <w:r>
        <w:t>Pivotal PK/PD study (GP13-201</w:t>
      </w:r>
      <w:r w:rsidR="00DE6871">
        <w:t>) Phase</w:t>
      </w:r>
      <w:r>
        <w:t xml:space="preserve"> II study</w:t>
      </w:r>
    </w:p>
    <w:p w14:paraId="7F4AA6A2" w14:textId="5263738A" w:rsidR="004C1958" w:rsidRDefault="004C1958" w:rsidP="004C1958">
      <w:r>
        <w:t>The pivotal PK/PD study (</w:t>
      </w:r>
      <w:r w:rsidR="0014307F">
        <w:t xml:space="preserve">Study </w:t>
      </w:r>
      <w:r>
        <w:t xml:space="preserve">GP13-201 </w:t>
      </w:r>
      <w:r w:rsidR="0014307F">
        <w:t>(</w:t>
      </w:r>
      <w:r>
        <w:t>Part 1</w:t>
      </w:r>
      <w:r w:rsidR="0014307F">
        <w:t>)</w:t>
      </w:r>
      <w:r>
        <w:t>) included patients with RA (n</w:t>
      </w:r>
      <w:r w:rsidR="0014307F">
        <w:t xml:space="preserve"> </w:t>
      </w:r>
      <w:r>
        <w:t>=</w:t>
      </w:r>
      <w:r w:rsidR="0014307F">
        <w:t xml:space="preserve"> </w:t>
      </w:r>
      <w:r>
        <w:t>173) who were refractory or intolerant to standard DMARDs and 1 to 3 anti-TNF therapies. In this study, patients were treated wit</w:t>
      </w:r>
      <w:r w:rsidR="009B2FD7">
        <w:t xml:space="preserve">h either </w:t>
      </w:r>
      <w:r w:rsidR="008A2F5F">
        <w:t>Riximyo</w:t>
      </w:r>
      <w:r w:rsidR="009B2FD7">
        <w:t xml:space="preserve"> or MabThera (EU </w:t>
      </w:r>
      <w:r>
        <w:t xml:space="preserve">approved) in combination with </w:t>
      </w:r>
      <w:r w:rsidR="00413790">
        <w:t>methotrexate (</w:t>
      </w:r>
      <w:r>
        <w:t>MTX</w:t>
      </w:r>
      <w:r w:rsidR="00413790">
        <w:t>)</w:t>
      </w:r>
      <w:r>
        <w:t>. The decision to use patients with RA to provide pivotal PK/PD data rather than patients with oncological indications was appropriately justified by the sponsor.</w:t>
      </w:r>
    </w:p>
    <w:p w14:paraId="7F4AA6A3" w14:textId="473D0491" w:rsidR="004C1958" w:rsidRDefault="004C1958" w:rsidP="004C1958">
      <w:r>
        <w:t xml:space="preserve">The primary PK variable in the pivotal study was </w:t>
      </w:r>
      <w:r w:rsidR="00246450">
        <w:t>a</w:t>
      </w:r>
      <w:r w:rsidR="00475323" w:rsidRPr="00475323">
        <w:t xml:space="preserve">rea under the serum concentration-time curve from time zero to infinity </w:t>
      </w:r>
      <w:r w:rsidR="00475323">
        <w:t>(</w:t>
      </w:r>
      <w:r w:rsidR="009B2FD7">
        <w:t>AUC</w:t>
      </w:r>
      <w:r w:rsidR="009B2FD7" w:rsidRPr="009B2FD7">
        <w:rPr>
          <w:vertAlign w:val="subscript"/>
        </w:rPr>
        <w:t>0-inf</w:t>
      </w:r>
      <w:r w:rsidR="00475323">
        <w:t xml:space="preserve">) </w:t>
      </w:r>
      <w:r>
        <w:t xml:space="preserve">at Week 24 following two IV infusions of </w:t>
      </w:r>
      <w:r w:rsidR="008A2F5F">
        <w:t>Riximyo</w:t>
      </w:r>
      <w:r>
        <w:t xml:space="preserve"> or MabThera at doses of 1000 mg administered 2 weeks apart (Day 1 and Day 15). The geometric mean ratio (</w:t>
      </w:r>
      <w:r w:rsidR="008A2F5F">
        <w:t>Riximyo</w:t>
      </w:r>
      <w:r>
        <w:t xml:space="preserve">/MabThera) of the </w:t>
      </w:r>
      <w:r w:rsidR="009B2FD7">
        <w:t>AUC</w:t>
      </w:r>
      <w:r w:rsidR="009B2FD7" w:rsidRPr="009B2FD7">
        <w:rPr>
          <w:vertAlign w:val="subscript"/>
        </w:rPr>
        <w:t>0-inf</w:t>
      </w:r>
      <w:r w:rsidR="009B2FD7">
        <w:t xml:space="preserve"> </w:t>
      </w:r>
      <w:r>
        <w:t>was 1.064 (90%</w:t>
      </w:r>
      <w:r w:rsidR="0014307F">
        <w:t> </w:t>
      </w:r>
      <w:r w:rsidR="00413790">
        <w:t>confidence interval (</w:t>
      </w:r>
      <w:r>
        <w:t>CI</w:t>
      </w:r>
      <w:r w:rsidR="00413790">
        <w:t>)</w:t>
      </w:r>
      <w:r>
        <w:t xml:space="preserve">: 0.968, 1.169). The 90% CI was enclosed entirely with the pre-specified bioequivalence interval of 0.80 to 1.25, which indicates that </w:t>
      </w:r>
      <w:r w:rsidR="008A2F5F">
        <w:t>Riximyo</w:t>
      </w:r>
      <w:r>
        <w:t xml:space="preserve"> was bioequivalent to MabThera (</w:t>
      </w:r>
      <w:r w:rsidR="00A81F68">
        <w:t>EU approved</w:t>
      </w:r>
      <w:r>
        <w:t xml:space="preserve">) based on the </w:t>
      </w:r>
      <w:r w:rsidR="009B2FD7">
        <w:t>AUC</w:t>
      </w:r>
      <w:r w:rsidR="009B2FD7" w:rsidRPr="009B2FD7">
        <w:rPr>
          <w:vertAlign w:val="subscript"/>
        </w:rPr>
        <w:t>0-inf</w:t>
      </w:r>
      <w:r>
        <w:t xml:space="preserve">. The analysis was adequately powered to detect a statistically significant difference between the two products. The choice of </w:t>
      </w:r>
      <w:r w:rsidR="009B2FD7">
        <w:t>AUC</w:t>
      </w:r>
      <w:r w:rsidR="009B2FD7" w:rsidRPr="009B2FD7">
        <w:rPr>
          <w:vertAlign w:val="subscript"/>
        </w:rPr>
        <w:t>0-inf</w:t>
      </w:r>
      <w:r>
        <w:t xml:space="preserve"> as the primary PK variable for assessment of bioequivalence was satisfactorily justified by the sponsor.</w:t>
      </w:r>
    </w:p>
    <w:p w14:paraId="33146DF9" w14:textId="77777777" w:rsidR="00EA1DF3" w:rsidRDefault="004C1958" w:rsidP="004C1958">
      <w:r>
        <w:lastRenderedPageBreak/>
        <w:t>The key secondary PK variable (</w:t>
      </w:r>
      <w:r w:rsidR="00574B4F" w:rsidRPr="00574B4F">
        <w:rPr>
          <w:rFonts w:cs="Arial"/>
          <w:lang w:val="en-US"/>
        </w:rPr>
        <w:t>C</w:t>
      </w:r>
      <w:r w:rsidR="00574B4F" w:rsidRPr="002D3F53">
        <w:rPr>
          <w:rFonts w:cs="Arial"/>
          <w:sz w:val="18"/>
          <w:szCs w:val="18"/>
          <w:vertAlign w:val="subscript"/>
          <w:lang w:val="en-US"/>
        </w:rPr>
        <w:t>max</w:t>
      </w:r>
      <w:proofErr w:type="gramStart"/>
      <w:r w:rsidR="0014307F">
        <w:rPr>
          <w:rFonts w:cs="Arial"/>
          <w:sz w:val="18"/>
          <w:szCs w:val="18"/>
          <w:vertAlign w:val="subscript"/>
          <w:lang w:val="en-US"/>
        </w:rPr>
        <w:t>,</w:t>
      </w:r>
      <w:r w:rsidR="00574B4F" w:rsidRPr="002D3F53">
        <w:rPr>
          <w:rFonts w:cs="Arial"/>
          <w:vertAlign w:val="subscript"/>
          <w:lang w:val="en-US"/>
        </w:rPr>
        <w:t>1</w:t>
      </w:r>
      <w:proofErr w:type="gramEnd"/>
      <w:r>
        <w:t>) failed to demonstrate bioequivalence of the two formulations as the 90% CI of the geometric ratio was outside the pre-specified bioequivalence interval of 0.80 to 1.25. The geometric mean ratio (</w:t>
      </w:r>
      <w:r w:rsidR="008A2F5F">
        <w:t>Riximyo</w:t>
      </w:r>
      <w:r>
        <w:t xml:space="preserve">/MabThera) of </w:t>
      </w:r>
      <w:r w:rsidR="00574B4F" w:rsidRPr="00574B4F">
        <w:rPr>
          <w:rFonts w:cs="Arial"/>
          <w:lang w:val="en-US"/>
        </w:rPr>
        <w:t>C</w:t>
      </w:r>
      <w:r w:rsidR="00574B4F" w:rsidRPr="00574B4F">
        <w:rPr>
          <w:rFonts w:cs="Arial"/>
          <w:sz w:val="18"/>
          <w:szCs w:val="18"/>
          <w:lang w:val="en-US"/>
        </w:rPr>
        <w:t>max</w:t>
      </w:r>
      <w:r w:rsidR="00574B4F" w:rsidRPr="00574B4F">
        <w:rPr>
          <w:rFonts w:cs="Arial"/>
          <w:lang w:val="en-US"/>
        </w:rPr>
        <w:t>1</w:t>
      </w:r>
      <w:r w:rsidRPr="00A81F68">
        <w:rPr>
          <w:vertAlign w:val="subscript"/>
        </w:rPr>
        <w:t xml:space="preserve"> </w:t>
      </w:r>
      <w:r>
        <w:t xml:space="preserve">was 1.133 (90% CI: 1.017, 1.262). The results indicated that the geometric mean </w:t>
      </w:r>
      <w:r w:rsidR="00574B4F" w:rsidRPr="00574B4F">
        <w:rPr>
          <w:rFonts w:cs="Arial"/>
          <w:lang w:val="en-US"/>
        </w:rPr>
        <w:t>C</w:t>
      </w:r>
      <w:r w:rsidR="00574B4F" w:rsidRPr="00574B4F">
        <w:rPr>
          <w:rFonts w:cs="Arial"/>
          <w:sz w:val="18"/>
          <w:szCs w:val="18"/>
          <w:lang w:val="en-US"/>
        </w:rPr>
        <w:t>max</w:t>
      </w:r>
      <w:r w:rsidR="00574B4F" w:rsidRPr="00574B4F">
        <w:rPr>
          <w:rFonts w:cs="Arial"/>
          <w:lang w:val="en-US"/>
        </w:rPr>
        <w:t>1</w:t>
      </w:r>
      <w:r>
        <w:t xml:space="preserve"> for </w:t>
      </w:r>
      <w:r w:rsidR="008A2F5F">
        <w:t>Riximyo</w:t>
      </w:r>
      <w:r>
        <w:t xml:space="preserve"> was approximately 13% higher than for MabThera, with the upper 90% CI for the geometric ratio being marginally greater than the standard upper 90% CI for bioequivalence (</w:t>
      </w:r>
      <w:r w:rsidR="00A81F68">
        <w:t>that is,</w:t>
      </w:r>
      <w:r>
        <w:t xml:space="preserve"> 1.262 &gt; 1.25). In contrast, the results for </w:t>
      </w:r>
      <w:r w:rsidR="00E86AC8" w:rsidRPr="00574B4F">
        <w:rPr>
          <w:rFonts w:cs="Arial"/>
          <w:lang w:val="en-US"/>
        </w:rPr>
        <w:t>C</w:t>
      </w:r>
      <w:r w:rsidR="00E86AC8" w:rsidRPr="002D3F53">
        <w:rPr>
          <w:rFonts w:cs="Arial"/>
          <w:sz w:val="18"/>
          <w:szCs w:val="18"/>
          <w:vertAlign w:val="subscript"/>
          <w:lang w:val="en-US"/>
        </w:rPr>
        <w:t>max</w:t>
      </w:r>
      <w:r w:rsidR="0014307F">
        <w:rPr>
          <w:rFonts w:cs="Arial"/>
          <w:sz w:val="18"/>
          <w:szCs w:val="18"/>
          <w:vertAlign w:val="subscript"/>
          <w:lang w:val="en-US"/>
        </w:rPr>
        <w:t>,</w:t>
      </w:r>
      <w:r w:rsidR="00E86AC8" w:rsidRPr="002D3F53">
        <w:rPr>
          <w:rFonts w:cs="Arial"/>
          <w:vertAlign w:val="subscript"/>
          <w:lang w:val="en-US"/>
        </w:rPr>
        <w:t>2</w:t>
      </w:r>
      <w:r w:rsidR="00E86AC8">
        <w:t xml:space="preserve"> </w:t>
      </w:r>
      <w:r>
        <w:t>indicated that the two formulations were bioequivalent based on this parameter as the 90% CI was enclosed entirely within the pre-specified bioequivalence interval of 0.80 to 1.25 (</w:t>
      </w:r>
      <w:r w:rsidR="00A81F68">
        <w:t>that is,</w:t>
      </w:r>
      <w:r>
        <w:t xml:space="preserve"> geometric mean ratio </w:t>
      </w:r>
      <w:r w:rsidR="0014307F">
        <w:t>((</w:t>
      </w:r>
      <w:r w:rsidR="008A2F5F">
        <w:t>Riximyo</w:t>
      </w:r>
      <w:r>
        <w:t xml:space="preserve">/MabThera) = 1.036 </w:t>
      </w:r>
      <w:r w:rsidR="0014307F">
        <w:t>(</w:t>
      </w:r>
      <w:r>
        <w:t>90% CI: 0.944, 1.138</w:t>
      </w:r>
      <w:r w:rsidR="0014307F">
        <w:t>)</w:t>
      </w:r>
      <w:r>
        <w:t xml:space="preserve">). The sponsor provided an acceptable explanation for </w:t>
      </w:r>
      <w:r w:rsidR="00574B4F" w:rsidRPr="00574B4F">
        <w:rPr>
          <w:rFonts w:cs="Arial"/>
          <w:lang w:val="en-US"/>
        </w:rPr>
        <w:t>C</w:t>
      </w:r>
      <w:r w:rsidR="00574B4F" w:rsidRPr="00574B4F">
        <w:rPr>
          <w:rFonts w:cs="Arial"/>
          <w:sz w:val="18"/>
          <w:szCs w:val="18"/>
          <w:lang w:val="en-US"/>
        </w:rPr>
        <w:t>max</w:t>
      </w:r>
      <w:r w:rsidR="00574B4F" w:rsidRPr="00574B4F">
        <w:rPr>
          <w:rFonts w:cs="Arial"/>
          <w:lang w:val="en-US"/>
        </w:rPr>
        <w:t>1</w:t>
      </w:r>
      <w:r>
        <w:t xml:space="preserve"> missing the standard bioequivalence criteria based on greater variability in the rate and duration of the infusion associated with the first infusion/first course compared to the second infusion/first course. Both the infusion rate and the duration of the infusion are known to affect end-infusion drug serum concentrations</w:t>
      </w:r>
      <w:r w:rsidR="00EA1DF3">
        <w:t>.</w:t>
      </w:r>
    </w:p>
    <w:p w14:paraId="13C982C6" w14:textId="77777777" w:rsidR="00EA1DF3" w:rsidRDefault="004C1958" w:rsidP="004C1958">
      <w:r>
        <w:t xml:space="preserve">Overall, it is considered that the pivotal PK study has satisfactorily established the bioequivalence of </w:t>
      </w:r>
      <w:r w:rsidR="008A2F5F">
        <w:t>Riximyo</w:t>
      </w:r>
      <w:r>
        <w:t xml:space="preserve"> and MabThera (</w:t>
      </w:r>
      <w:r w:rsidR="00A81F68">
        <w:t>EU approved</w:t>
      </w:r>
      <w:r>
        <w:t xml:space="preserve">) in patients with RA refractory or intolerant to standard DMARDs and 1 to 3 anti-TNF therapies. The primary </w:t>
      </w:r>
      <w:r w:rsidR="00027628">
        <w:t xml:space="preserve">PK </w:t>
      </w:r>
      <w:r>
        <w:t xml:space="preserve">variable of </w:t>
      </w:r>
      <w:r w:rsidR="009B2FD7">
        <w:t>AUC</w:t>
      </w:r>
      <w:r w:rsidR="009B2FD7" w:rsidRPr="009B2FD7">
        <w:rPr>
          <w:vertAlign w:val="subscript"/>
        </w:rPr>
        <w:t>0-inf</w:t>
      </w:r>
      <w:r w:rsidR="009B2FD7">
        <w:t xml:space="preserve"> </w:t>
      </w:r>
      <w:r>
        <w:t>satisfactorily demonstrated bioequivalence.</w:t>
      </w:r>
      <w:r w:rsidR="000B3A10">
        <w:t xml:space="preserve"> </w:t>
      </w:r>
      <w:r>
        <w:t xml:space="preserve">In addition, it is considered that although </w:t>
      </w:r>
      <w:r w:rsidR="008A2F5F">
        <w:t>Riximyo</w:t>
      </w:r>
      <w:r>
        <w:t xml:space="preserve"> and MabThera were not bioequivalent based on the </w:t>
      </w:r>
      <w:r w:rsidR="00574B4F" w:rsidRPr="00574B4F">
        <w:rPr>
          <w:rFonts w:cs="Arial"/>
          <w:lang w:val="en-US"/>
        </w:rPr>
        <w:t>C</w:t>
      </w:r>
      <w:r w:rsidR="00574B4F" w:rsidRPr="00574B4F">
        <w:rPr>
          <w:rFonts w:cs="Arial"/>
          <w:sz w:val="18"/>
          <w:szCs w:val="18"/>
          <w:lang w:val="en-US"/>
        </w:rPr>
        <w:t>max</w:t>
      </w:r>
      <w:r w:rsidR="00574B4F" w:rsidRPr="00574B4F">
        <w:rPr>
          <w:rFonts w:cs="Arial"/>
          <w:lang w:val="en-US"/>
        </w:rPr>
        <w:t>1</w:t>
      </w:r>
      <w:r>
        <w:t xml:space="preserve"> results, the observed difference in this parameter between the two rituximab formulations is unlikely to be clinically significant.</w:t>
      </w:r>
      <w:r w:rsidR="000B3A10">
        <w:t xml:space="preserve"> </w:t>
      </w:r>
      <w:r>
        <w:t>Furthermore, the 90% CI values for the geometric mean ratios for all the other secondary PK variables (</w:t>
      </w:r>
      <w:r w:rsidR="005B7B55">
        <w:t>C</w:t>
      </w:r>
      <w:r w:rsidR="005B7B55" w:rsidRPr="005B7B55">
        <w:rPr>
          <w:vertAlign w:val="subscript"/>
        </w:rPr>
        <w:t>max</w:t>
      </w:r>
      <w:r>
        <w:t>, AUC</w:t>
      </w:r>
      <w:r w:rsidRPr="00A81F68">
        <w:rPr>
          <w:vertAlign w:val="subscript"/>
        </w:rPr>
        <w:t>0-14d</w:t>
      </w:r>
      <w:r>
        <w:t>, AUC</w:t>
      </w:r>
      <w:r w:rsidRPr="00A81F68">
        <w:rPr>
          <w:vertAlign w:val="subscript"/>
        </w:rPr>
        <w:t>0-12w</w:t>
      </w:r>
      <w:r>
        <w:t xml:space="preserve"> and AUC</w:t>
      </w:r>
      <w:r w:rsidRPr="00A81F68">
        <w:rPr>
          <w:vertAlign w:val="subscript"/>
        </w:rPr>
        <w:t>0-24w</w:t>
      </w:r>
      <w:r>
        <w:t xml:space="preserve">) met the standard bioequivalence criteria. </w:t>
      </w:r>
      <w:r w:rsidR="00475323" w:rsidRPr="00246450">
        <w:t>Time to maximum serum concentration (</w:t>
      </w:r>
      <w:r>
        <w:t>T</w:t>
      </w:r>
      <w:r w:rsidRPr="00A81F68">
        <w:rPr>
          <w:vertAlign w:val="subscript"/>
        </w:rPr>
        <w:t>max</w:t>
      </w:r>
      <w:proofErr w:type="gramStart"/>
      <w:r w:rsidR="0014307F">
        <w:rPr>
          <w:vertAlign w:val="subscript"/>
        </w:rPr>
        <w:t>,</w:t>
      </w:r>
      <w:r w:rsidRPr="00A81F68">
        <w:rPr>
          <w:vertAlign w:val="subscript"/>
        </w:rPr>
        <w:t>1</w:t>
      </w:r>
      <w:proofErr w:type="gramEnd"/>
      <w:r w:rsidR="00475323">
        <w:t xml:space="preserve">) </w:t>
      </w:r>
      <w:r>
        <w:t xml:space="preserve">was similar for </w:t>
      </w:r>
      <w:r w:rsidR="008A2F5F">
        <w:t>Riximyo</w:t>
      </w:r>
      <w:r>
        <w:t xml:space="preserve"> and </w:t>
      </w:r>
      <w:proofErr w:type="spellStart"/>
      <w:r>
        <w:t>MabThera</w:t>
      </w:r>
      <w:proofErr w:type="spellEnd"/>
      <w:r>
        <w:t>, as was T</w:t>
      </w:r>
      <w:r w:rsidRPr="00A81F68">
        <w:rPr>
          <w:vertAlign w:val="subscript"/>
        </w:rPr>
        <w:t>max</w:t>
      </w:r>
      <w:r w:rsidR="0014307F">
        <w:rPr>
          <w:vertAlign w:val="subscript"/>
        </w:rPr>
        <w:t>,</w:t>
      </w:r>
      <w:r w:rsidRPr="00A81F68">
        <w:rPr>
          <w:vertAlign w:val="subscript"/>
        </w:rPr>
        <w:t>2</w:t>
      </w:r>
    </w:p>
    <w:p w14:paraId="138091C7" w14:textId="77777777" w:rsidR="00EA1DF3" w:rsidRDefault="004C1958" w:rsidP="00390CAF">
      <w:pPr>
        <w:pStyle w:val="Heading5"/>
      </w:pPr>
      <w:r>
        <w:t>Supportive PK/PD studies</w:t>
      </w:r>
    </w:p>
    <w:p w14:paraId="7F4AA6A7" w14:textId="34AAB222" w:rsidR="004C1958" w:rsidRDefault="004C1958" w:rsidP="004C1958">
      <w:r>
        <w:t>Supportive PK bioequivalence data were provided by the pivotal Phase III efficacy and safety study (</w:t>
      </w:r>
      <w:r w:rsidR="0014307F">
        <w:t xml:space="preserve">Study </w:t>
      </w:r>
      <w:r>
        <w:t xml:space="preserve">GP13-301) in patients with FL. The study was not powered for bioequivalence and, therefore, all PK data were presented descriptively. The PK of </w:t>
      </w:r>
      <w:r w:rsidR="008A2F5F">
        <w:t>Riximyo</w:t>
      </w:r>
      <w:r>
        <w:t xml:space="preserve"> and MabThera (</w:t>
      </w:r>
      <w:r w:rsidR="00A81F68">
        <w:t>EU approved</w:t>
      </w:r>
      <w:r>
        <w:t xml:space="preserve">) at Cycle 4/Day 1 were evaluated as the secondary objective of the study. The PK variables </w:t>
      </w:r>
      <w:r w:rsidR="005B7B55">
        <w:t>C</w:t>
      </w:r>
      <w:r w:rsidR="005B7B55" w:rsidRPr="005B7B55">
        <w:rPr>
          <w:vertAlign w:val="subscript"/>
        </w:rPr>
        <w:t>max</w:t>
      </w:r>
      <w:r>
        <w:t xml:space="preserve"> and </w:t>
      </w:r>
      <w:r w:rsidR="009B2FD7">
        <w:t>C</w:t>
      </w:r>
      <w:r w:rsidR="009B2FD7" w:rsidRPr="009B2FD7">
        <w:rPr>
          <w:vertAlign w:val="subscript"/>
        </w:rPr>
        <w:t>trough</w:t>
      </w:r>
      <w:r>
        <w:t xml:space="preserve"> on Day 1 for Cycles 1, 4 and 8 were calculated from sparse sampling after administration of </w:t>
      </w:r>
      <w:r w:rsidR="008A2F5F">
        <w:t>Riximyo</w:t>
      </w:r>
      <w:r>
        <w:t xml:space="preserve"> or MabThera at an IV dose of 375</w:t>
      </w:r>
      <w:r w:rsidR="0014307F">
        <w:t> </w:t>
      </w:r>
      <w:r>
        <w:t>mg</w:t>
      </w:r>
      <w:r w:rsidR="000A6E90" w:rsidRPr="004C1958">
        <w:t>/m</w:t>
      </w:r>
      <w:r w:rsidR="000A6E90" w:rsidRPr="000A6E90">
        <w:rPr>
          <w:vertAlign w:val="superscript"/>
        </w:rPr>
        <w:t>2</w:t>
      </w:r>
      <w:r>
        <w:t xml:space="preserve">, in combination with </w:t>
      </w:r>
      <w:r w:rsidR="001D4AA5" w:rsidRPr="009B56DD">
        <w:rPr>
          <w:rFonts w:asciiTheme="minorHAnsi" w:eastAsiaTheme="minorHAnsi" w:hAnsiTheme="minorHAnsi" w:cs="Calibri"/>
          <w:sz w:val="20"/>
          <w:szCs w:val="20"/>
        </w:rPr>
        <w:t>Cyclophosphamide, vincristine, prednisone</w:t>
      </w:r>
      <w:r w:rsidR="001D4AA5">
        <w:t xml:space="preserve"> (</w:t>
      </w:r>
      <w:r>
        <w:t>CVP</w:t>
      </w:r>
      <w:r w:rsidR="001D4AA5">
        <w:t>)</w:t>
      </w:r>
      <w:r>
        <w:t xml:space="preserve">, in approximately 100 patients in each treatment arm. In addition to </w:t>
      </w:r>
      <w:r w:rsidR="005B7B55">
        <w:t>C</w:t>
      </w:r>
      <w:r w:rsidR="005B7B55" w:rsidRPr="005B7B55">
        <w:rPr>
          <w:vertAlign w:val="subscript"/>
        </w:rPr>
        <w:t>max</w:t>
      </w:r>
      <w:r>
        <w:t xml:space="preserve"> and </w:t>
      </w:r>
      <w:r w:rsidR="009B2FD7">
        <w:t>C</w:t>
      </w:r>
      <w:r w:rsidR="009B2FD7" w:rsidRPr="009B2FD7">
        <w:rPr>
          <w:vertAlign w:val="subscript"/>
        </w:rPr>
        <w:t>trough</w:t>
      </w:r>
      <w:r>
        <w:t xml:space="preserve"> levels based on sparse sampling, </w:t>
      </w:r>
      <w:r w:rsidR="009B2FD7">
        <w:t>AUC</w:t>
      </w:r>
      <w:r w:rsidR="009B2FD7" w:rsidRPr="009B2FD7">
        <w:rPr>
          <w:vertAlign w:val="subscript"/>
        </w:rPr>
        <w:t>0-21d</w:t>
      </w:r>
      <w:r w:rsidR="009B2FD7">
        <w:t>)</w:t>
      </w:r>
      <w:r>
        <w:t xml:space="preserve"> and </w:t>
      </w:r>
      <w:r w:rsidR="009B2FD7">
        <w:t>AUC</w:t>
      </w:r>
      <w:r w:rsidR="009B2FD7" w:rsidRPr="009B2FD7">
        <w:rPr>
          <w:vertAlign w:val="subscript"/>
        </w:rPr>
        <w:t>all</w:t>
      </w:r>
      <w:r>
        <w:t xml:space="preserve"> (steady state) were calculated using extensive sampling after study drug administration on Day 1 of Cycle 4 in a subset of approximately 20 patients in each treatment arm.</w:t>
      </w:r>
    </w:p>
    <w:p w14:paraId="7F4AA6A8" w14:textId="3B67A135" w:rsidR="004C1958" w:rsidRDefault="004C1958" w:rsidP="004C1958">
      <w:r>
        <w:t xml:space="preserve">In </w:t>
      </w:r>
      <w:r w:rsidR="009B2FD7">
        <w:t>Study GP</w:t>
      </w:r>
      <w:r>
        <w:t xml:space="preserve">13-301, the </w:t>
      </w:r>
      <w:r w:rsidR="005B7B55">
        <w:t>C</w:t>
      </w:r>
      <w:r w:rsidR="005B7B55" w:rsidRPr="005B7B55">
        <w:rPr>
          <w:vertAlign w:val="subscript"/>
        </w:rPr>
        <w:t>max</w:t>
      </w:r>
      <w:r>
        <w:t xml:space="preserve"> values at Cycle 1/Day 1, Cycle 4/Day 1 and Cycle 8/Day 1 were similar for the two formulations. There were some differences between the two formulations in mean </w:t>
      </w:r>
      <w:r w:rsidR="009B2FD7">
        <w:t>C</w:t>
      </w:r>
      <w:r w:rsidR="009B2FD7" w:rsidRPr="009B2FD7">
        <w:rPr>
          <w:vertAlign w:val="subscript"/>
        </w:rPr>
        <w:t>trough</w:t>
      </w:r>
      <w:r>
        <w:t xml:space="preserve"> levels in Cycle 4/Day 1 and Cycle 8/Day 1, with marked inter-subject variability of this variable being observed with both formulations. Both the </w:t>
      </w:r>
      <w:r w:rsidR="009B2FD7">
        <w:t>AUC</w:t>
      </w:r>
      <w:r w:rsidR="009B2FD7" w:rsidRPr="009B2FD7">
        <w:rPr>
          <w:vertAlign w:val="subscript"/>
        </w:rPr>
        <w:t>0</w:t>
      </w:r>
      <w:r w:rsidR="00C718C1">
        <w:rPr>
          <w:vertAlign w:val="subscript"/>
        </w:rPr>
        <w:noBreakHyphen/>
      </w:r>
      <w:r w:rsidR="009B2FD7" w:rsidRPr="009B2FD7">
        <w:rPr>
          <w:vertAlign w:val="subscript"/>
        </w:rPr>
        <w:t>21d</w:t>
      </w:r>
      <w:r w:rsidR="009B2FD7">
        <w:t xml:space="preserve">) </w:t>
      </w:r>
      <w:r>
        <w:t xml:space="preserve">and </w:t>
      </w:r>
      <w:r w:rsidR="009B2FD7">
        <w:t>AUC</w:t>
      </w:r>
      <w:r w:rsidR="009B2FD7" w:rsidRPr="009B2FD7">
        <w:rPr>
          <w:vertAlign w:val="subscript"/>
        </w:rPr>
        <w:t>all</w:t>
      </w:r>
      <w:r>
        <w:t xml:space="preserve"> (steady state) were similar for the two formulations, with moderate to marked inter-subject variability being observed for both PK variables with both formulations.</w:t>
      </w:r>
    </w:p>
    <w:p w14:paraId="7F4AA6A9" w14:textId="4460C870" w:rsidR="00500337" w:rsidRPr="00500337" w:rsidRDefault="004C1958" w:rsidP="004C1958">
      <w:r>
        <w:t xml:space="preserve">Limited supportive PK data relating to </w:t>
      </w:r>
      <w:r w:rsidR="008A2F5F">
        <w:t>Riximyo</w:t>
      </w:r>
      <w:r>
        <w:t xml:space="preserve"> were provided in a Phase I study (</w:t>
      </w:r>
      <w:r w:rsidR="0014307F">
        <w:t>Study </w:t>
      </w:r>
      <w:r>
        <w:t>GP13-101) in Japanese patients with CD20+ low tumour burden indolent B-cell NHL. The PK variables (AUC</w:t>
      </w:r>
      <w:r w:rsidRPr="00C718C1">
        <w:rPr>
          <w:vertAlign w:val="subscript"/>
        </w:rPr>
        <w:t>0-7d</w:t>
      </w:r>
      <w:r>
        <w:t xml:space="preserve">; </w:t>
      </w:r>
      <w:r w:rsidR="005B7B55">
        <w:t>C</w:t>
      </w:r>
      <w:r w:rsidR="005B7B55" w:rsidRPr="005B7B55">
        <w:rPr>
          <w:vertAlign w:val="subscript"/>
        </w:rPr>
        <w:t>max</w:t>
      </w:r>
      <w:r>
        <w:t>; AUC</w:t>
      </w:r>
      <w:r w:rsidRPr="00C718C1">
        <w:rPr>
          <w:vertAlign w:val="subscript"/>
        </w:rPr>
        <w:t>0-last</w:t>
      </w:r>
      <w:r>
        <w:t>; C</w:t>
      </w:r>
      <w:r w:rsidRPr="00C718C1">
        <w:rPr>
          <w:vertAlign w:val="subscript"/>
        </w:rPr>
        <w:t>min</w:t>
      </w:r>
      <w:r>
        <w:t>; T</w:t>
      </w:r>
      <w:r w:rsidRPr="00C718C1">
        <w:rPr>
          <w:vertAlign w:val="subscript"/>
        </w:rPr>
        <w:t>max</w:t>
      </w:r>
      <w:r>
        <w:t xml:space="preserve">) were assessed on Week 1/Day 1 and Week 8/Day 1 after administration of </w:t>
      </w:r>
      <w:r w:rsidR="008A2F5F">
        <w:t>Riximyo</w:t>
      </w:r>
      <w:r>
        <w:t xml:space="preserve"> IV at a weekly dose of 375 mg</w:t>
      </w:r>
      <w:r w:rsidR="000A6E90" w:rsidRPr="004C1958">
        <w:t>/m</w:t>
      </w:r>
      <w:r w:rsidR="000A6E90" w:rsidRPr="000A6E90">
        <w:rPr>
          <w:vertAlign w:val="superscript"/>
        </w:rPr>
        <w:t>2</w:t>
      </w:r>
      <w:r>
        <w:t>. The PK results were reported to be consistent with the PK results in the package insert for Rituxan (Japanese-approved). No patients in this study were treated with an approved rituximab formulation.</w:t>
      </w:r>
    </w:p>
    <w:p w14:paraId="7F4AA6AA" w14:textId="77777777" w:rsidR="008E7846" w:rsidRDefault="008E7846" w:rsidP="008E7846">
      <w:pPr>
        <w:pStyle w:val="Heading3"/>
      </w:pPr>
      <w:bookmarkStart w:id="70" w:name="_Toc196046481"/>
      <w:bookmarkStart w:id="71" w:name="_Toc247691520"/>
      <w:bookmarkStart w:id="72" w:name="_Toc314842503"/>
      <w:bookmarkStart w:id="73" w:name="_Toc524426280"/>
      <w:r w:rsidRPr="00254787">
        <w:lastRenderedPageBreak/>
        <w:t>Pharmacodynamics</w:t>
      </w:r>
      <w:bookmarkEnd w:id="60"/>
      <w:bookmarkEnd w:id="70"/>
      <w:bookmarkEnd w:id="71"/>
      <w:bookmarkEnd w:id="72"/>
      <w:bookmarkEnd w:id="73"/>
    </w:p>
    <w:p w14:paraId="7F4AA6AB" w14:textId="77777777" w:rsidR="00605AD4" w:rsidRDefault="00605AD4" w:rsidP="00605AD4">
      <w:pPr>
        <w:pStyle w:val="Heading4"/>
      </w:pPr>
      <w:r>
        <w:t>Studies providing pharmacodynamic data</w:t>
      </w:r>
    </w:p>
    <w:p w14:paraId="7F4AA6AC" w14:textId="77777777" w:rsidR="004C1958" w:rsidRDefault="004C1958" w:rsidP="004C1958">
      <w:r>
        <w:t xml:space="preserve">The submission included two studies providing PD data comparing </w:t>
      </w:r>
      <w:r w:rsidR="008A2F5F">
        <w:t>Riximyo</w:t>
      </w:r>
      <w:r>
        <w:t xml:space="preserve"> to MabThera:</w:t>
      </w:r>
    </w:p>
    <w:p w14:paraId="7F4AA6AD" w14:textId="29FD44ED" w:rsidR="004C1958" w:rsidRDefault="004C1958" w:rsidP="00390CAF">
      <w:pPr>
        <w:pStyle w:val="ListBullet"/>
      </w:pPr>
      <w:r>
        <w:t>The pivotal Phase II, PK/PD study (</w:t>
      </w:r>
      <w:r w:rsidR="0014307F">
        <w:t xml:space="preserve">Study </w:t>
      </w:r>
      <w:r w:rsidRPr="00160D83">
        <w:t xml:space="preserve">GP13-201 </w:t>
      </w:r>
      <w:r w:rsidR="0014307F">
        <w:t>(</w:t>
      </w:r>
      <w:r w:rsidRPr="00160D83">
        <w:t>Part 1</w:t>
      </w:r>
      <w:r w:rsidR="0014307F">
        <w:t>)</w:t>
      </w:r>
      <w:r w:rsidRPr="00160D83">
        <w:t xml:space="preserve">) in patients with RA included PD data on depletion of peripheral B-cells based on the </w:t>
      </w:r>
      <w:r w:rsidR="00160D83" w:rsidRPr="00160D83">
        <w:t>area under the effect-time curve from time zero to Day 14 (</w:t>
      </w:r>
      <w:r w:rsidRPr="00160D83">
        <w:t>AUEC</w:t>
      </w:r>
      <w:r w:rsidRPr="002D3F53">
        <w:rPr>
          <w:vertAlign w:val="subscript"/>
        </w:rPr>
        <w:t>0-14d</w:t>
      </w:r>
      <w:r w:rsidR="00160D83" w:rsidRPr="00160D83">
        <w:t>).</w:t>
      </w:r>
      <w:r w:rsidRPr="00160D83">
        <w:t xml:space="preserve"> The two formulations were considered to be equivalent if the 95% CI of the ratio of the</w:t>
      </w:r>
      <w:r>
        <w:t xml:space="preserve"> geometric means (</w:t>
      </w:r>
      <w:r w:rsidR="008A2F5F">
        <w:t>Riximyo</w:t>
      </w:r>
      <w:r>
        <w:t>/MabThera) of the area under the effect-time curves for 14 days (AUEC</w:t>
      </w:r>
      <w:r w:rsidRPr="00160D83">
        <w:rPr>
          <w:vertAlign w:val="subscript"/>
        </w:rPr>
        <w:t>0-14d</w:t>
      </w:r>
      <w:r>
        <w:t>) was within the pre-specified equivalence limits of 0.8 to 1.25.</w:t>
      </w:r>
    </w:p>
    <w:p w14:paraId="7F4AA6AE" w14:textId="655AA5C8" w:rsidR="00500337" w:rsidRPr="00500337" w:rsidRDefault="00390CAF" w:rsidP="00390CAF">
      <w:pPr>
        <w:pStyle w:val="ListBullet"/>
      </w:pPr>
      <w:r>
        <w:t>T</w:t>
      </w:r>
      <w:r w:rsidR="004C1958">
        <w:t>he supportive PK/PD data from the Phase III, efficacy study (</w:t>
      </w:r>
      <w:r w:rsidR="0014307F">
        <w:t xml:space="preserve">Study </w:t>
      </w:r>
      <w:r w:rsidR="004C1958">
        <w:t xml:space="preserve">GP13-301) in patients with FL included PD data on depletion of B-cells based on the </w:t>
      </w:r>
      <w:r w:rsidR="009B2FD7">
        <w:t>AUC</w:t>
      </w:r>
      <w:r w:rsidR="009B2FD7" w:rsidRPr="009B2FD7">
        <w:rPr>
          <w:vertAlign w:val="subscript"/>
        </w:rPr>
        <w:t>0-21d</w:t>
      </w:r>
      <w:r w:rsidR="00544957">
        <w:t xml:space="preserve">). </w:t>
      </w:r>
      <w:r w:rsidR="004C1958">
        <w:t>The two formulations were considered similar as the 95% CI of the ratio of the geometric means (</w:t>
      </w:r>
      <w:r w:rsidR="008A2F5F">
        <w:t>Riximyo</w:t>
      </w:r>
      <w:r w:rsidR="004C1958">
        <w:t xml:space="preserve">/MabThera) of the </w:t>
      </w:r>
      <w:r w:rsidR="009B2FD7">
        <w:t>AUC</w:t>
      </w:r>
      <w:r w:rsidR="009B2FD7" w:rsidRPr="009B2FD7">
        <w:rPr>
          <w:vertAlign w:val="subscript"/>
        </w:rPr>
        <w:t>0-21d</w:t>
      </w:r>
      <w:r w:rsidR="009B2FD7">
        <w:t xml:space="preserve">) </w:t>
      </w:r>
      <w:r w:rsidR="004C1958">
        <w:t xml:space="preserve">was within the equivalence limits of 0.8 to 1.25. The PD in this study </w:t>
      </w:r>
      <w:proofErr w:type="gramStart"/>
      <w:r w:rsidR="004C1958">
        <w:t>were</w:t>
      </w:r>
      <w:proofErr w:type="gramEnd"/>
      <w:r w:rsidR="004C1958">
        <w:t xml:space="preserve"> considered exploratory.</w:t>
      </w:r>
    </w:p>
    <w:p w14:paraId="7F4AA6AF" w14:textId="77777777" w:rsidR="00605AD4" w:rsidRDefault="00605AD4" w:rsidP="00605AD4">
      <w:pPr>
        <w:pStyle w:val="Heading4"/>
      </w:pPr>
      <w:r>
        <w:t>Evaluator’s conclusions on pharmacodynamics</w:t>
      </w:r>
    </w:p>
    <w:p w14:paraId="7F4AA6B0" w14:textId="6196E968" w:rsidR="004C1958" w:rsidRDefault="004C1958" w:rsidP="00390CAF">
      <w:pPr>
        <w:pStyle w:val="ListBullet"/>
      </w:pPr>
      <w:r>
        <w:t xml:space="preserve">It is considered that the submitted PD data have satisfactorily established the PD equivalence of </w:t>
      </w:r>
      <w:r w:rsidR="008A2F5F">
        <w:t>Riximyo</w:t>
      </w:r>
      <w:r>
        <w:t xml:space="preserve"> and MabThera (</w:t>
      </w:r>
      <w:r w:rsidR="00A81F68">
        <w:t>EU approved</w:t>
      </w:r>
      <w:r>
        <w:t>). In the pivotal PK/PD study (</w:t>
      </w:r>
      <w:r w:rsidR="0014307F">
        <w:t xml:space="preserve">Study </w:t>
      </w:r>
      <w:r>
        <w:t xml:space="preserve">GP13-201) both </w:t>
      </w:r>
      <w:r w:rsidR="008A2F5F">
        <w:t>Riximyo</w:t>
      </w:r>
      <w:r>
        <w:t xml:space="preserve"> and MabThera were administered in combination with MTX and in the supportive PK/PD study (GP13-301) both </w:t>
      </w:r>
      <w:r w:rsidR="008A2F5F">
        <w:t>Riximyo</w:t>
      </w:r>
      <w:r>
        <w:t xml:space="preserve"> and MabThera were administered in combination </w:t>
      </w:r>
      <w:r w:rsidRPr="001D4AA5">
        <w:t>with CVP. The</w:t>
      </w:r>
      <w:r>
        <w:t xml:space="preserve"> PD of the two formulations were assessed using depletion of CD19+ B-cells relative to baseline, which is an acceptable surrogate biomarker for CD20+ B-cell depletion. In the following discussion, B-cell depletion refers to CD19+ B-cell depletion.</w:t>
      </w:r>
    </w:p>
    <w:p w14:paraId="6E7817CA" w14:textId="77777777" w:rsidR="00EA1DF3" w:rsidRDefault="004C1958" w:rsidP="00390CAF">
      <w:pPr>
        <w:pStyle w:val="ListBullet"/>
      </w:pPr>
      <w:r>
        <w:t>The pivotal PK/PD study (</w:t>
      </w:r>
      <w:r w:rsidR="0014307F">
        <w:t xml:space="preserve">Study </w:t>
      </w:r>
      <w:r>
        <w:t xml:space="preserve">GP13-201) in patients with RA demonstrated that the PD of </w:t>
      </w:r>
      <w:r w:rsidR="008A2F5F">
        <w:t>Riximyo</w:t>
      </w:r>
      <w:r>
        <w:t xml:space="preserve"> (n=72) and MabThera (n</w:t>
      </w:r>
      <w:r w:rsidR="0014307F">
        <w:t xml:space="preserve"> </w:t>
      </w:r>
      <w:r>
        <w:t>=</w:t>
      </w:r>
      <w:r w:rsidR="0014307F">
        <w:t xml:space="preserve"> </w:t>
      </w:r>
      <w:r>
        <w:t>75) were equivalent, based on the 95% CI for the geometric mean ratio for the AUEC</w:t>
      </w:r>
      <w:r w:rsidRPr="00413790">
        <w:rPr>
          <w:vertAlign w:val="subscript"/>
        </w:rPr>
        <w:t>0-14d</w:t>
      </w:r>
      <w:r>
        <w:t xml:space="preserve"> of percent depletion in B</w:t>
      </w:r>
      <w:r w:rsidR="0014307F">
        <w:t xml:space="preserve"> </w:t>
      </w:r>
      <w:r>
        <w:t>cells relative to baseline being entirely within the pre-specified PD equivalence limits of 0.80 to 1.25. The geometric mean ratio (</w:t>
      </w:r>
      <w:r w:rsidR="008A2F5F">
        <w:t>Riximyo</w:t>
      </w:r>
      <w:r>
        <w:t>/MabThera) for the AUEC</w:t>
      </w:r>
      <w:r w:rsidRPr="00413790">
        <w:rPr>
          <w:vertAlign w:val="subscript"/>
        </w:rPr>
        <w:t>0-14d</w:t>
      </w:r>
      <w:r>
        <w:t xml:space="preserve"> was 1.019 (95%</w:t>
      </w:r>
      <w:r w:rsidR="0014307F">
        <w:t> </w:t>
      </w:r>
      <w:r>
        <w:t>CI:</w:t>
      </w:r>
      <w:r w:rsidR="0014307F">
        <w:t> </w:t>
      </w:r>
      <w:r>
        <w:t>0.997, 1.042)</w:t>
      </w:r>
      <w:r w:rsidR="00EA1DF3">
        <w:t>.</w:t>
      </w:r>
    </w:p>
    <w:p w14:paraId="7F4AA6B2" w14:textId="31CBB1FD" w:rsidR="004C1958" w:rsidRDefault="004C1958" w:rsidP="00390CAF">
      <w:pPr>
        <w:pStyle w:val="ListBullet"/>
      </w:pPr>
      <w:r>
        <w:t>In the pivotal PK/PD study (</w:t>
      </w:r>
      <w:r w:rsidR="0014307F">
        <w:t xml:space="preserve">Study </w:t>
      </w:r>
      <w:r>
        <w:t>GP13-201), mean percent depletion of B</w:t>
      </w:r>
      <w:r w:rsidR="0014307F">
        <w:t xml:space="preserve"> </w:t>
      </w:r>
      <w:r>
        <w:t xml:space="preserve">cells relative to </w:t>
      </w:r>
      <w:r w:rsidR="0014307F">
        <w:t>B</w:t>
      </w:r>
      <w:r>
        <w:t>aseline at 72 hours after the infusion (</w:t>
      </w:r>
      <w:r w:rsidR="00413790">
        <w:t>that is,</w:t>
      </w:r>
      <w:r>
        <w:t xml:space="preserve"> study Day 4) was 4.3% in the </w:t>
      </w:r>
      <w:r w:rsidR="008A2F5F">
        <w:t>Riximyo</w:t>
      </w:r>
      <w:r>
        <w:t xml:space="preserve"> arm and 6.7% in the MabThera arm, and was less than 1% in both arms at study Day 15 (</w:t>
      </w:r>
      <w:r w:rsidR="00413790">
        <w:t>that is,</w:t>
      </w:r>
      <w:r>
        <w:t xml:space="preserve"> before second infusion). The percent B</w:t>
      </w:r>
      <w:r w:rsidR="0014307F">
        <w:t xml:space="preserve"> </w:t>
      </w:r>
      <w:r>
        <w:t>cell depletion relative to baseline v</w:t>
      </w:r>
      <w:r w:rsidR="00413790">
        <w:t>ersu</w:t>
      </w:r>
      <w:r>
        <w:t>s time curves from baseline through to study Day 15 were almost superimposable for the two treatment arms. In addition, the percent B</w:t>
      </w:r>
      <w:r w:rsidR="0014307F">
        <w:t xml:space="preserve"> </w:t>
      </w:r>
      <w:r>
        <w:t>cell depletion relative to baseline curves through to Week 52 were similar for the two treatment arms. The mean percent B</w:t>
      </w:r>
      <w:r w:rsidR="0014307F">
        <w:t xml:space="preserve"> </w:t>
      </w:r>
      <w:r>
        <w:t xml:space="preserve">cell counts relative to baseline were less than 1% on Day 15 in both treatment arms, remained below 20% up to Week 24 for both formulations, and were 19.7% in the </w:t>
      </w:r>
      <w:r w:rsidR="008A2F5F">
        <w:t>Riximyo</w:t>
      </w:r>
      <w:r>
        <w:t xml:space="preserve"> arm and 21.1% in the MabThera arm at Week 52.</w:t>
      </w:r>
    </w:p>
    <w:p w14:paraId="7F4AA6B3" w14:textId="27C53F74" w:rsidR="004C1958" w:rsidRDefault="004C1958" w:rsidP="00390CAF">
      <w:pPr>
        <w:pStyle w:val="ListBullet"/>
      </w:pPr>
      <w:r>
        <w:t xml:space="preserve">In the pivotal PK/PD </w:t>
      </w:r>
      <w:r w:rsidR="009B2FD7">
        <w:t>Study GP</w:t>
      </w:r>
      <w:r>
        <w:t>13-201, the proportion of patients with B</w:t>
      </w:r>
      <w:r w:rsidR="0014307F">
        <w:t xml:space="preserve"> </w:t>
      </w:r>
      <w:r>
        <w:t xml:space="preserve">cell counts below the </w:t>
      </w:r>
      <w:r w:rsidR="00160D83">
        <w:t>limit of quantification (</w:t>
      </w:r>
      <w:r>
        <w:t>LoQ</w:t>
      </w:r>
      <w:r w:rsidR="00160D83">
        <w:t>)</w:t>
      </w:r>
      <w:r>
        <w:t xml:space="preserve"> (&lt; 3 cells/µL) was comparable between the </w:t>
      </w:r>
      <w:r w:rsidR="008A2F5F">
        <w:t>Riximyo</w:t>
      </w:r>
      <w:r>
        <w:t xml:space="preserve"> and MabThera arms on Days 4, 8 and 14. More than 50% of patients by Day 8 and more than 70% patients by Day 15 were below the LoQ (&lt; 3 cells/µL) in both treatment arms.</w:t>
      </w:r>
    </w:p>
    <w:p w14:paraId="7F4AA6B4" w14:textId="49C7BFE8" w:rsidR="00500337" w:rsidRPr="00500337" w:rsidRDefault="004C1958" w:rsidP="00390CAF">
      <w:pPr>
        <w:pStyle w:val="ListBullet"/>
      </w:pPr>
      <w:r>
        <w:t xml:space="preserve">In </w:t>
      </w:r>
      <w:r w:rsidR="009B2FD7">
        <w:t>Study GP</w:t>
      </w:r>
      <w:r>
        <w:t>1</w:t>
      </w:r>
      <w:r w:rsidR="00E86AC8">
        <w:t>3</w:t>
      </w:r>
      <w:r>
        <w:t>-</w:t>
      </w:r>
      <w:r w:rsidR="00E86AC8">
        <w:t>3</w:t>
      </w:r>
      <w:r>
        <w:t>01, the PD equivalence of the two formulations was supported by the exploratory data in approximately 20 patients with FL in each treatment arm in the pivotal Phase III efficacy and safety study (</w:t>
      </w:r>
      <w:r w:rsidR="0014307F">
        <w:t xml:space="preserve">Study </w:t>
      </w:r>
      <w:r>
        <w:t xml:space="preserve">GP13-301). In this study, the </w:t>
      </w:r>
      <w:r>
        <w:lastRenderedPageBreak/>
        <w:t>geometric mean ratio (</w:t>
      </w:r>
      <w:r w:rsidR="008A2F5F">
        <w:t>Riximyo</w:t>
      </w:r>
      <w:r>
        <w:t>/MabThera) with associated 90% CI for AUEC</w:t>
      </w:r>
      <w:r w:rsidRPr="00160D83">
        <w:rPr>
          <w:vertAlign w:val="subscript"/>
        </w:rPr>
        <w:t>0-21d</w:t>
      </w:r>
      <w:r>
        <w:t xml:space="preserve"> for B-cell depletion relative to baseline was 0.939 (90% CI: 0.845, 1.04).</w:t>
      </w:r>
      <w:r w:rsidR="000B3A10">
        <w:t xml:space="preserve"> </w:t>
      </w:r>
      <w:r>
        <w:t>In a post hoc analysis undertaken to meet EMA requirements the geometric mean ratio (</w:t>
      </w:r>
      <w:r w:rsidR="008A2F5F">
        <w:t>Riximyo</w:t>
      </w:r>
      <w:r>
        <w:t>/MabThera) for with associated 95% CI for AUEC</w:t>
      </w:r>
      <w:r w:rsidRPr="00160D83">
        <w:rPr>
          <w:vertAlign w:val="subscript"/>
        </w:rPr>
        <w:t>0-21d</w:t>
      </w:r>
      <w:r>
        <w:t xml:space="preserve"> 0.939 (95% CI: 0.827, 1.065). The 90% CI and the 95% CI were both enclosed entirely within the pre-specified equivalence limits of 0.80 to 1.25. The arithmetic mean plots of percentage B-cell reduction relative to baseline from end of infusion through to 504 hours post infusion were similar for the two treatment arms.</w:t>
      </w:r>
    </w:p>
    <w:p w14:paraId="7F4AA6B5" w14:textId="77777777" w:rsidR="008E7846" w:rsidRDefault="00605AD4" w:rsidP="00605AD4">
      <w:pPr>
        <w:pStyle w:val="Heading3"/>
      </w:pPr>
      <w:bookmarkStart w:id="74" w:name="_Toc524426281"/>
      <w:r>
        <w:t>Dosage selection for the pivotal studies</w:t>
      </w:r>
      <w:bookmarkEnd w:id="74"/>
    </w:p>
    <w:p w14:paraId="73925558" w14:textId="77777777" w:rsidR="00EA1DF3" w:rsidRDefault="004C1958" w:rsidP="004C1958">
      <w:r>
        <w:t xml:space="preserve">The rituximab + CVP treatment regimens used in the combination phase of </w:t>
      </w:r>
      <w:r w:rsidR="009B2FD7">
        <w:t>Study GP</w:t>
      </w:r>
      <w:r>
        <w:t>13-301 are consistent with the approved recommended treatment regimen of MabThera plus chemotherapy for 8 cycles as induction therapy for the treatment of pati</w:t>
      </w:r>
      <w:r w:rsidR="00475323">
        <w:t xml:space="preserve">ents with </w:t>
      </w:r>
      <w:r w:rsidR="00475323" w:rsidRPr="00175ABC">
        <w:t>previously untreated S</w:t>
      </w:r>
      <w:r w:rsidRPr="00175ABC">
        <w:t>tage III/IV non-Hodgkin’s FL (MabThera PI). Based on the data from Marcus et al (2008)</w:t>
      </w:r>
      <w:bookmarkStart w:id="75" w:name="_Ref514158163"/>
      <w:r w:rsidR="00C8644C">
        <w:t>;</w:t>
      </w:r>
      <w:r w:rsidR="00175ABC" w:rsidRPr="00175ABC">
        <w:rPr>
          <w:rStyle w:val="FootnoteReference"/>
        </w:rPr>
        <w:footnoteReference w:id="7"/>
      </w:r>
      <w:bookmarkEnd w:id="75"/>
      <w:r>
        <w:t xml:space="preserve"> it is considered that comparison of </w:t>
      </w:r>
      <w:proofErr w:type="spellStart"/>
      <w:r w:rsidR="008A2F5F">
        <w:t>Riximyo</w:t>
      </w:r>
      <w:r>
        <w:t>+CVP</w:t>
      </w:r>
      <w:proofErr w:type="spellEnd"/>
      <w:r>
        <w:t xml:space="preserve"> to </w:t>
      </w:r>
      <w:proofErr w:type="spellStart"/>
      <w:r>
        <w:t>MabThera+CVP</w:t>
      </w:r>
      <w:proofErr w:type="spellEnd"/>
      <w:r>
        <w:t xml:space="preserve"> in patients with previously untreated non-Hodgkin’s FL is sufficiently sensitive to identify efficacy differences between the two regimens arising from differences between the two rituximab formulations. Similarly, it can be anticipated that differences in the safety profiles of the two regimens used in the combination phase of </w:t>
      </w:r>
      <w:r w:rsidR="00B27974">
        <w:t xml:space="preserve">Study </w:t>
      </w:r>
      <w:r>
        <w:t>GP13-301 are likely to be due to differences between the two rituximab formulations</w:t>
      </w:r>
      <w:r w:rsidR="00EA1DF3">
        <w:t>.</w:t>
      </w:r>
    </w:p>
    <w:p w14:paraId="7F4AA6B7" w14:textId="10359B45" w:rsidR="004C1958" w:rsidRDefault="004C1958" w:rsidP="004C1958">
      <w:r>
        <w:t xml:space="preserve">The maintenance regimen used in </w:t>
      </w:r>
      <w:r w:rsidR="009B2FD7">
        <w:t>Study GP</w:t>
      </w:r>
      <w:r>
        <w:t xml:space="preserve">13-301 of </w:t>
      </w:r>
      <w:r w:rsidR="008A2F5F">
        <w:t>Riximyo</w:t>
      </w:r>
      <w:r>
        <w:t xml:space="preserve"> or MabThera for 8 </w:t>
      </w:r>
      <w:r w:rsidR="00475323">
        <w:t>times</w:t>
      </w:r>
      <w:r>
        <w:t xml:space="preserve"> 3</w:t>
      </w:r>
      <w:r w:rsidR="00B27974">
        <w:t> </w:t>
      </w:r>
      <w:r>
        <w:t>month cycles for 2 years, differs from the recommended MabThera maintenance regimen of treatment every 2 months for 2 years (see approved MabThera PI). However, this is not a major issue as it can be reasonable inferred that differences in the efficacy outcomes and safety profiles between single</w:t>
      </w:r>
      <w:r w:rsidR="00475323">
        <w:t xml:space="preserve"> </w:t>
      </w:r>
      <w:r>
        <w:t xml:space="preserve">agent </w:t>
      </w:r>
      <w:r w:rsidR="008A2F5F">
        <w:t>Riximyo</w:t>
      </w:r>
      <w:r>
        <w:t xml:space="preserve"> and single</w:t>
      </w:r>
      <w:r w:rsidR="00475323">
        <w:t xml:space="preserve"> </w:t>
      </w:r>
      <w:r>
        <w:t xml:space="preserve">agent MabThera regimens in the maintenance phase of </w:t>
      </w:r>
      <w:r w:rsidR="009B2FD7">
        <w:t>Study GP</w:t>
      </w:r>
      <w:r>
        <w:t>13-301 will be due to differences between the two rituximab formulations.</w:t>
      </w:r>
    </w:p>
    <w:p w14:paraId="06265023" w14:textId="77777777" w:rsidR="00EA1DF3" w:rsidRDefault="004C1958" w:rsidP="004C1958">
      <w:r>
        <w:t xml:space="preserve">Data from the Clinical trials section of the approved MabThera PI indicates </w:t>
      </w:r>
      <w:r w:rsidRPr="00175ABC">
        <w:t>that ACR</w:t>
      </w:r>
      <w:r>
        <w:t xml:space="preserve"> response</w:t>
      </w:r>
      <w:r w:rsidR="00B27974" w:rsidRPr="00175ABC">
        <w:rPr>
          <w:rStyle w:val="FootnoteReference"/>
        </w:rPr>
        <w:footnoteReference w:id="8"/>
      </w:r>
      <w:r>
        <w:t xml:space="preserve"> (20, 50, 70) at Week 24 in patients with RA is consistently better (statistically and clinically) across studies in patients treated with MabThera in combination </w:t>
      </w:r>
      <w:r w:rsidRPr="00175ABC">
        <w:t>with MTX</w:t>
      </w:r>
      <w:r>
        <w:t xml:space="preserve"> compared to patients treated with placebo in combination with MTX. In addition, the Clinical </w:t>
      </w:r>
      <w:r w:rsidRPr="00175ABC">
        <w:t>trials section of the approved MabThera PI provides data showing that both the mean change in DAS28</w:t>
      </w:r>
      <w:r w:rsidR="00175ABC" w:rsidRPr="00175ABC">
        <w:rPr>
          <w:rStyle w:val="FootnoteReference"/>
        </w:rPr>
        <w:footnoteReference w:id="9"/>
      </w:r>
      <w:r w:rsidRPr="00175ABC">
        <w:t xml:space="preserve"> and the EULAR</w:t>
      </w:r>
      <w:r w:rsidR="00175ABC" w:rsidRPr="00175ABC">
        <w:rPr>
          <w:rStyle w:val="FootnoteReference"/>
        </w:rPr>
        <w:footnoteReference w:id="10"/>
      </w:r>
      <w:r w:rsidRPr="00175ABC">
        <w:t xml:space="preserve"> re</w:t>
      </w:r>
      <w:r>
        <w:t xml:space="preserve">sponses at Week 24 across studies are superior in patients treated with MabThera in combination with MTX compared to patients treated with placebo in combination with MTX. The approved MabThera PI also states that the </w:t>
      </w:r>
      <w:r w:rsidR="0061344E" w:rsidRPr="00475323">
        <w:rPr>
          <w:i/>
        </w:rPr>
        <w:t>‘</w:t>
      </w:r>
      <w:r w:rsidRPr="00475323">
        <w:rPr>
          <w:i/>
        </w:rPr>
        <w:t>efficacy and safety of further courses [of rituximab in combination with MTX [are] comparable to the first course [of rituximab in combination with MTX])</w:t>
      </w:r>
      <w:r w:rsidR="0061344E">
        <w:t>’</w:t>
      </w:r>
      <w:r>
        <w:t xml:space="preserve">. Based on the data in the Clinical trials section of the approved MabThera PI, it is considered that the </w:t>
      </w:r>
      <w:r>
        <w:lastRenderedPageBreak/>
        <w:t xml:space="preserve">treatment regimens of </w:t>
      </w:r>
      <w:r w:rsidR="008A2F5F">
        <w:t>Riximyo</w:t>
      </w:r>
      <w:r>
        <w:t xml:space="preserve"> or MabThera (both in combination with MTX) are sufficiently sensitive to detect clinically meaningful efficacy and safety differences between the two rituximab formulations. This is considered to be the case even though the criteria for patients with RA treated in </w:t>
      </w:r>
      <w:r w:rsidR="009B2FD7">
        <w:t>Study GP</w:t>
      </w:r>
      <w:r>
        <w:t xml:space="preserve">13-201 differed from the Australian approved criteria for patients with RA eligible for treatment with </w:t>
      </w:r>
      <w:proofErr w:type="spellStart"/>
      <w:r>
        <w:t>MabThera</w:t>
      </w:r>
      <w:proofErr w:type="spellEnd"/>
      <w:r w:rsidR="00EA1DF3">
        <w:t>.</w:t>
      </w:r>
    </w:p>
    <w:p w14:paraId="7F4AA6B9" w14:textId="4FE10269" w:rsidR="004C1958" w:rsidRDefault="004C1958" w:rsidP="004C1958">
      <w:r>
        <w:t xml:space="preserve">The rituximab treatment regimen used in </w:t>
      </w:r>
      <w:r w:rsidR="009B2FD7">
        <w:t>Study GP</w:t>
      </w:r>
      <w:r>
        <w:t xml:space="preserve">13-201 in patients with active RA intolerant or resistant </w:t>
      </w:r>
      <w:r w:rsidRPr="001D4AA5">
        <w:t>to DMARDs and</w:t>
      </w:r>
      <w:r>
        <w:t xml:space="preserve"> 1-3 </w:t>
      </w:r>
      <w:r w:rsidRPr="00B34EBF">
        <w:t>anti-TNF therapies</w:t>
      </w:r>
      <w:r>
        <w:t xml:space="preserve"> is consistent with, but not identical to, the regimen recommended for MabThera in the approved Australian PI. In Australia, MabThera in combination with methotrexate is indicated for the treatment of adult patients with severe, active </w:t>
      </w:r>
      <w:r w:rsidR="00413790">
        <w:t>RA</w:t>
      </w:r>
      <w:r>
        <w:t xml:space="preserve"> who have had an inadequate response or intolerance to at least one TNF-inhibitor therapy. The RA indication in </w:t>
      </w:r>
      <w:r w:rsidR="009B2FD7">
        <w:t>Study GP</w:t>
      </w:r>
      <w:r>
        <w:t xml:space="preserve">13-201 requires patients to have had an inadequate response or be intolerant to non-biological DMARDs and 1 to 3 anti-TNF therapies. However, the difference in the indications is not considered to be a major clinical issue. It is considered reasonable to infer that if there are no clinically meaningful differences in efficacy and safety between </w:t>
      </w:r>
      <w:r w:rsidR="008A2F5F">
        <w:t>Riximyo</w:t>
      </w:r>
      <w:r>
        <w:t xml:space="preserve"> and MabThera in patients with RA treated in </w:t>
      </w:r>
      <w:r w:rsidR="009B2FD7">
        <w:t>Study GP</w:t>
      </w:r>
      <w:r>
        <w:t xml:space="preserve">13-201 then there are unlikely to be clinically significant efficacy and safety differences between the two rituximab formulations for treatment of patients with RA meeting the approved indication. In addition, further support for the acceptability of the two rituximab formulations for the treatment of both groups of RA patients arises from the finding that </w:t>
      </w:r>
      <w:r w:rsidR="008A2F5F">
        <w:t>Riximyo</w:t>
      </w:r>
      <w:r>
        <w:t xml:space="preserve"> and MabThera are bioequivalent based on the PK data and equivalent based on the PD data in patients with RA studied in GP13-201.</w:t>
      </w:r>
    </w:p>
    <w:p w14:paraId="7F4AA6BA" w14:textId="555F7ED5" w:rsidR="004C1958" w:rsidRDefault="004C1958" w:rsidP="004C1958">
      <w:r>
        <w:t>All patients in the study were required to have been on a stable dose of MTX of 7.5 to 25</w:t>
      </w:r>
      <w:r w:rsidR="00202721">
        <w:t> </w:t>
      </w:r>
      <w:r>
        <w:t>mg per week for at least 4 months prior to randomisation and with a stable dose for 4</w:t>
      </w:r>
      <w:r w:rsidR="00202721">
        <w:t> </w:t>
      </w:r>
      <w:r>
        <w:t xml:space="preserve">weeks prior to randomisation. At </w:t>
      </w:r>
      <w:r w:rsidR="00202721">
        <w:t>Baseline</w:t>
      </w:r>
      <w:r>
        <w:t xml:space="preserve">, the </w:t>
      </w:r>
      <w:r w:rsidRPr="00202721">
        <w:t xml:space="preserve">mean ± </w:t>
      </w:r>
      <w:r w:rsidR="00A50F95" w:rsidRPr="00197543">
        <w:t>Standard deviation</w:t>
      </w:r>
      <w:r w:rsidR="00A50F95" w:rsidRPr="00202721">
        <w:t xml:space="preserve"> (</w:t>
      </w:r>
      <w:r w:rsidRPr="00202721">
        <w:t>SD</w:t>
      </w:r>
      <w:r w:rsidR="00A50F95" w:rsidRPr="00202721">
        <w:t>)</w:t>
      </w:r>
      <w:r w:rsidRPr="00202721">
        <w:t xml:space="preserve"> dose</w:t>
      </w:r>
      <w:r>
        <w:t xml:space="preserve"> of MTX in the total population was approximately 15 ± 4.9 mg/week, and the mean dose in both treatment groups was approximately 15 mg/week with a similar SD of 5 mg/week. MTX at baseline was used by all patients in accordance with the protocol, with the exception of 2 patients who had not been taking MTX for at least 4 months prior to randomisation or who had not been taking MTX (both in the </w:t>
      </w:r>
      <w:r w:rsidR="008A2F5F">
        <w:t>Riximyo</w:t>
      </w:r>
      <w:r>
        <w:t xml:space="preserve"> group) and 3</w:t>
      </w:r>
      <w:r w:rsidR="006F18CC">
        <w:t> </w:t>
      </w:r>
      <w:r>
        <w:t>patients who had not been on a stable dose of MTX for 4 weeks</w:t>
      </w:r>
      <w:r w:rsidR="000B3A10">
        <w:t xml:space="preserve"> </w:t>
      </w:r>
      <w:r>
        <w:t xml:space="preserve">prior to randomisation (1 in the </w:t>
      </w:r>
      <w:r w:rsidR="008A2F5F">
        <w:t>Riximyo</w:t>
      </w:r>
      <w:r>
        <w:t xml:space="preserve"> group; 2 in the MabThera group).</w:t>
      </w:r>
    </w:p>
    <w:p w14:paraId="7F4AA6BB" w14:textId="77777777" w:rsidR="004C1958" w:rsidRPr="004C1958" w:rsidRDefault="004C1958" w:rsidP="004C1958">
      <w:r>
        <w:t xml:space="preserve">In patients with RA, the maintenance dose of MTX is generally within the range of 7.5 mg to 20 mg per week (methotrexate PI) and the dose of MTX to be given concurrently with MabThera is the dose tolerated by the patient (MabThera PI). In </w:t>
      </w:r>
      <w:r w:rsidR="009B2FD7">
        <w:t>Study GP</w:t>
      </w:r>
      <w:r>
        <w:t>13-201, all patients received MTX at a dose of between 7.5 mg and 15 mg per week (oral dose recommended), which was to remain unchanged throughout</w:t>
      </w:r>
      <w:r w:rsidR="000B3A10">
        <w:t xml:space="preserve"> </w:t>
      </w:r>
      <w:r>
        <w:t xml:space="preserve">the study. It is considered that the dose of MTX administered with rituximab in </w:t>
      </w:r>
      <w:r w:rsidR="009B2FD7">
        <w:t>Study GP</w:t>
      </w:r>
      <w:r>
        <w:t>13-201 is appropriate.</w:t>
      </w:r>
    </w:p>
    <w:p w14:paraId="7F4AA6BC" w14:textId="77777777" w:rsidR="008E7846" w:rsidRPr="00254787" w:rsidRDefault="008E7846" w:rsidP="008E7846">
      <w:pPr>
        <w:pStyle w:val="Heading3"/>
      </w:pPr>
      <w:bookmarkStart w:id="76" w:name="_Toc163441372"/>
      <w:bookmarkStart w:id="77" w:name="_Toc196046485"/>
      <w:bookmarkStart w:id="78" w:name="_Toc247691521"/>
      <w:bookmarkStart w:id="79" w:name="_Toc314842504"/>
      <w:bookmarkStart w:id="80" w:name="_Toc524426282"/>
      <w:r w:rsidRPr="00254787">
        <w:t>Efficacy</w:t>
      </w:r>
      <w:bookmarkEnd w:id="76"/>
      <w:bookmarkEnd w:id="77"/>
      <w:bookmarkEnd w:id="78"/>
      <w:bookmarkEnd w:id="79"/>
      <w:bookmarkEnd w:id="80"/>
    </w:p>
    <w:p w14:paraId="7F4AA6BD" w14:textId="77777777" w:rsidR="00605AD4" w:rsidRDefault="00605AD4" w:rsidP="00605AD4">
      <w:pPr>
        <w:pStyle w:val="Heading4"/>
      </w:pPr>
      <w:bookmarkStart w:id="81" w:name="_Toc184439992"/>
      <w:bookmarkStart w:id="82" w:name="_Toc184440279"/>
      <w:bookmarkStart w:id="83" w:name="_Toc184444657"/>
      <w:bookmarkStart w:id="84" w:name="_Toc196046487"/>
      <w:r>
        <w:t>Studies providing efficacy data</w:t>
      </w:r>
    </w:p>
    <w:p w14:paraId="7F4AA6BE" w14:textId="4B91994E" w:rsidR="004C1958" w:rsidRDefault="004C1958" w:rsidP="004C1958">
      <w:r>
        <w:t xml:space="preserve">There were two studies in the submission providing evaluable efficacy data comparing </w:t>
      </w:r>
      <w:r w:rsidR="008A2F5F">
        <w:t>Riximyo</w:t>
      </w:r>
      <w:r>
        <w:t xml:space="preserve"> with MabThera (</w:t>
      </w:r>
      <w:r w:rsidR="00A81F68">
        <w:t>EU approved</w:t>
      </w:r>
      <w:r>
        <w:t>). The two studies with evaluable efficacy da</w:t>
      </w:r>
      <w:r w:rsidR="00D51418">
        <w:t>ta are outlined below in Table 2</w:t>
      </w:r>
      <w:r>
        <w:t>.</w:t>
      </w:r>
    </w:p>
    <w:p w14:paraId="7F4AA6BF" w14:textId="77777777" w:rsidR="004C1958" w:rsidRDefault="004C1958" w:rsidP="00EA516A">
      <w:pPr>
        <w:pStyle w:val="TableTitle"/>
        <w:pageBreakBefore/>
      </w:pPr>
      <w:r w:rsidRPr="00B34EBF">
        <w:lastRenderedPageBreak/>
        <w:t xml:space="preserve">Table </w:t>
      </w:r>
      <w:r w:rsidR="00D51418">
        <w:t>2</w:t>
      </w:r>
      <w:r w:rsidRPr="00B34EBF">
        <w:t>: Brief</w:t>
      </w:r>
      <w:r>
        <w:t xml:space="preserve"> outline of the two studies with evaluable efficacy data </w:t>
      </w:r>
    </w:p>
    <w:tbl>
      <w:tblPr>
        <w:tblStyle w:val="TableTGAblue"/>
        <w:tblW w:w="9374" w:type="dxa"/>
        <w:tblLayout w:type="fixed"/>
        <w:tblLook w:val="04A0" w:firstRow="1" w:lastRow="0" w:firstColumn="1" w:lastColumn="0" w:noHBand="0" w:noVBand="1"/>
      </w:tblPr>
      <w:tblGrid>
        <w:gridCol w:w="1454"/>
        <w:gridCol w:w="2610"/>
        <w:gridCol w:w="1800"/>
        <w:gridCol w:w="3510"/>
      </w:tblGrid>
      <w:tr w:rsidR="006F18CC" w:rsidRPr="00EA516A" w14:paraId="7F4AA6C4" w14:textId="77777777" w:rsidTr="00197543">
        <w:trPr>
          <w:cnfStyle w:val="100000000000" w:firstRow="1" w:lastRow="0" w:firstColumn="0" w:lastColumn="0" w:oddVBand="0" w:evenVBand="0" w:oddHBand="0" w:evenHBand="0" w:firstRowFirstColumn="0" w:firstRowLastColumn="0" w:lastRowFirstColumn="0" w:lastRowLastColumn="0"/>
          <w:cantSplit/>
          <w:trHeight w:val="763"/>
        </w:trPr>
        <w:tc>
          <w:tcPr>
            <w:tcW w:w="1454" w:type="dxa"/>
          </w:tcPr>
          <w:p w14:paraId="7F4AA6C0" w14:textId="77777777" w:rsidR="00B34EBF" w:rsidRPr="00EA516A" w:rsidRDefault="00B34EBF" w:rsidP="00EA516A">
            <w:pPr>
              <w:rPr>
                <w:sz w:val="18"/>
                <w:szCs w:val="18"/>
                <w:lang w:eastAsia="ja-JP"/>
              </w:rPr>
            </w:pPr>
            <w:r w:rsidRPr="00EA516A">
              <w:rPr>
                <w:sz w:val="18"/>
                <w:szCs w:val="18"/>
                <w:lang w:eastAsia="ja-JP"/>
              </w:rPr>
              <w:t>Study</w:t>
            </w:r>
          </w:p>
        </w:tc>
        <w:tc>
          <w:tcPr>
            <w:tcW w:w="2610" w:type="dxa"/>
          </w:tcPr>
          <w:p w14:paraId="7F4AA6C1" w14:textId="77777777" w:rsidR="00B34EBF" w:rsidRPr="00EA516A" w:rsidRDefault="00B34EBF" w:rsidP="00EA516A">
            <w:pPr>
              <w:rPr>
                <w:sz w:val="18"/>
                <w:szCs w:val="18"/>
                <w:lang w:eastAsia="ja-JP"/>
              </w:rPr>
            </w:pPr>
            <w:r w:rsidRPr="00EA516A">
              <w:rPr>
                <w:sz w:val="18"/>
                <w:szCs w:val="18"/>
                <w:lang w:eastAsia="ja-JP"/>
              </w:rPr>
              <w:t xml:space="preserve">Design </w:t>
            </w:r>
          </w:p>
        </w:tc>
        <w:tc>
          <w:tcPr>
            <w:tcW w:w="1800" w:type="dxa"/>
          </w:tcPr>
          <w:p w14:paraId="7F4AA6C2" w14:textId="77777777" w:rsidR="00B34EBF" w:rsidRPr="00EA516A" w:rsidRDefault="00B34EBF" w:rsidP="00EA516A">
            <w:pPr>
              <w:rPr>
                <w:sz w:val="18"/>
                <w:szCs w:val="18"/>
                <w:lang w:eastAsia="ja-JP"/>
              </w:rPr>
            </w:pPr>
            <w:r w:rsidRPr="00EA516A">
              <w:rPr>
                <w:sz w:val="18"/>
                <w:szCs w:val="18"/>
                <w:lang w:eastAsia="ja-JP"/>
              </w:rPr>
              <w:t xml:space="preserve">Study population </w:t>
            </w:r>
          </w:p>
        </w:tc>
        <w:tc>
          <w:tcPr>
            <w:tcW w:w="3510" w:type="dxa"/>
          </w:tcPr>
          <w:p w14:paraId="7F4AA6C3" w14:textId="77777777" w:rsidR="00B34EBF" w:rsidRPr="00EA516A" w:rsidRDefault="00B34EBF" w:rsidP="00EA516A">
            <w:pPr>
              <w:rPr>
                <w:sz w:val="18"/>
                <w:szCs w:val="18"/>
                <w:lang w:eastAsia="ja-JP"/>
              </w:rPr>
            </w:pPr>
            <w:r w:rsidRPr="00EA516A">
              <w:rPr>
                <w:sz w:val="18"/>
                <w:szCs w:val="18"/>
                <w:lang w:eastAsia="ja-JP"/>
              </w:rPr>
              <w:t xml:space="preserve">Treatment </w:t>
            </w:r>
          </w:p>
        </w:tc>
      </w:tr>
      <w:tr w:rsidR="006F18CC" w:rsidRPr="00EA516A" w14:paraId="7F4AA6D1" w14:textId="77777777" w:rsidTr="00197543">
        <w:tc>
          <w:tcPr>
            <w:tcW w:w="1454" w:type="dxa"/>
          </w:tcPr>
          <w:p w14:paraId="7F4AA6C5" w14:textId="77777777" w:rsidR="00B34EBF" w:rsidRPr="00EA516A" w:rsidRDefault="00B34EBF" w:rsidP="00EA516A">
            <w:pPr>
              <w:rPr>
                <w:sz w:val="18"/>
                <w:szCs w:val="18"/>
                <w:lang w:eastAsia="ja-JP"/>
              </w:rPr>
            </w:pPr>
            <w:r w:rsidRPr="00EA516A">
              <w:rPr>
                <w:sz w:val="18"/>
                <w:szCs w:val="18"/>
                <w:lang w:eastAsia="ja-JP"/>
              </w:rPr>
              <w:t>GP13-301</w:t>
            </w:r>
          </w:p>
          <w:p w14:paraId="7F4AA6C6" w14:textId="77777777" w:rsidR="00B34EBF" w:rsidRPr="00EA516A" w:rsidRDefault="00B34EBF" w:rsidP="00EA516A">
            <w:pPr>
              <w:rPr>
                <w:sz w:val="18"/>
                <w:szCs w:val="18"/>
                <w:lang w:eastAsia="ja-JP"/>
              </w:rPr>
            </w:pPr>
            <w:r w:rsidRPr="00EA516A">
              <w:rPr>
                <w:sz w:val="18"/>
                <w:szCs w:val="18"/>
                <w:lang w:eastAsia="ja-JP"/>
              </w:rPr>
              <w:t>Phase III</w:t>
            </w:r>
          </w:p>
          <w:p w14:paraId="7F4AA6C7" w14:textId="77777777" w:rsidR="00B34EBF" w:rsidRPr="00EA516A" w:rsidRDefault="00B34EBF" w:rsidP="00EA516A">
            <w:pPr>
              <w:rPr>
                <w:sz w:val="18"/>
                <w:szCs w:val="18"/>
                <w:lang w:eastAsia="ja-JP"/>
              </w:rPr>
            </w:pPr>
            <w:r w:rsidRPr="00EA516A">
              <w:rPr>
                <w:sz w:val="18"/>
                <w:szCs w:val="18"/>
                <w:lang w:eastAsia="ja-JP"/>
              </w:rPr>
              <w:t>Pivotal efficacy</w:t>
            </w:r>
          </w:p>
        </w:tc>
        <w:tc>
          <w:tcPr>
            <w:tcW w:w="2610" w:type="dxa"/>
          </w:tcPr>
          <w:p w14:paraId="68873983" w14:textId="77777777" w:rsidR="00EA1DF3" w:rsidRPr="00EA516A" w:rsidRDefault="00B34EBF" w:rsidP="00EA516A">
            <w:pPr>
              <w:rPr>
                <w:sz w:val="18"/>
                <w:szCs w:val="18"/>
                <w:lang w:eastAsia="ja-JP"/>
              </w:rPr>
            </w:pPr>
            <w:r w:rsidRPr="00EA516A">
              <w:rPr>
                <w:sz w:val="18"/>
                <w:szCs w:val="18"/>
                <w:lang w:eastAsia="ja-JP"/>
              </w:rPr>
              <w:t>Randomised, double-blind, active-control, 3</w:t>
            </w:r>
            <w:r w:rsidR="006F18CC" w:rsidRPr="00EA516A">
              <w:rPr>
                <w:sz w:val="18"/>
                <w:szCs w:val="18"/>
                <w:lang w:eastAsia="ja-JP"/>
              </w:rPr>
              <w:t> </w:t>
            </w:r>
            <w:r w:rsidRPr="00EA516A">
              <w:rPr>
                <w:sz w:val="18"/>
                <w:szCs w:val="18"/>
                <w:lang w:eastAsia="ja-JP"/>
              </w:rPr>
              <w:t xml:space="preserve">year, multinational, multicentre, study comparing PK, PD, efficacy, and safety of </w:t>
            </w:r>
            <w:r w:rsidR="008A2F5F" w:rsidRPr="00EA516A">
              <w:rPr>
                <w:sz w:val="18"/>
                <w:szCs w:val="18"/>
                <w:lang w:eastAsia="ja-JP"/>
              </w:rPr>
              <w:t>Riximyo</w:t>
            </w:r>
            <w:r w:rsidRPr="00EA516A">
              <w:rPr>
                <w:sz w:val="18"/>
                <w:szCs w:val="18"/>
                <w:lang w:eastAsia="ja-JP"/>
              </w:rPr>
              <w:t xml:space="preserve"> vs MabThera in patients with previously untreated non-Hodgkin’s stage III/IV follicular lymphoma</w:t>
            </w:r>
            <w:r w:rsidR="00EA1DF3" w:rsidRPr="00EA516A">
              <w:rPr>
                <w:sz w:val="18"/>
                <w:szCs w:val="18"/>
                <w:lang w:eastAsia="ja-JP"/>
              </w:rPr>
              <w:t>.</w:t>
            </w:r>
          </w:p>
          <w:p w14:paraId="7F4AA6C9" w14:textId="06DD07F7" w:rsidR="00B34EBF" w:rsidRPr="00EA516A" w:rsidRDefault="00B34EBF" w:rsidP="00EA516A">
            <w:pPr>
              <w:rPr>
                <w:sz w:val="18"/>
                <w:szCs w:val="18"/>
                <w:lang w:eastAsia="ja-JP"/>
              </w:rPr>
            </w:pPr>
            <w:r w:rsidRPr="00EA516A">
              <w:rPr>
                <w:sz w:val="18"/>
                <w:szCs w:val="18"/>
                <w:lang w:eastAsia="ja-JP"/>
              </w:rPr>
              <w:t>Efficacy was the primary objective; primary efficacy variable was comparison of the two study drug with respect to ORR in the combination phase; secondary efficacy variables included BOR of CR, PR, SD and PD for the combination phase and PFS and OS covering the whole study (i.e., combination phase, maintenance phase, and post-treatment phase (if applicable)</w:t>
            </w:r>
            <w:r w:rsidR="006F18CC" w:rsidRPr="00EA516A">
              <w:rPr>
                <w:sz w:val="18"/>
                <w:szCs w:val="18"/>
                <w:lang w:eastAsia="ja-JP"/>
              </w:rPr>
              <w:t>.</w:t>
            </w:r>
          </w:p>
        </w:tc>
        <w:tc>
          <w:tcPr>
            <w:tcW w:w="1800" w:type="dxa"/>
          </w:tcPr>
          <w:p w14:paraId="7F4AA6CA" w14:textId="77777777" w:rsidR="00B34EBF" w:rsidRPr="00EA516A" w:rsidRDefault="00B34EBF" w:rsidP="00EA516A">
            <w:pPr>
              <w:rPr>
                <w:sz w:val="18"/>
                <w:szCs w:val="18"/>
                <w:lang w:eastAsia="ja-JP"/>
              </w:rPr>
            </w:pPr>
            <w:r w:rsidRPr="00EA516A">
              <w:rPr>
                <w:sz w:val="18"/>
                <w:szCs w:val="18"/>
                <w:lang w:eastAsia="ja-JP"/>
              </w:rPr>
              <w:t>Patients with untreated FL, mean age 56.9 years (range: 23, 84 years), Caucasian 67.1%, Asian 24.9%, Black 1.4%.</w:t>
            </w:r>
          </w:p>
          <w:p w14:paraId="6207F2B7" w14:textId="77777777" w:rsidR="00EA1DF3" w:rsidRPr="00EA516A" w:rsidRDefault="00B34EBF" w:rsidP="00EA516A">
            <w:pPr>
              <w:rPr>
                <w:sz w:val="18"/>
                <w:szCs w:val="18"/>
                <w:lang w:eastAsia="ja-JP"/>
              </w:rPr>
            </w:pPr>
            <w:r w:rsidRPr="00EA516A">
              <w:rPr>
                <w:sz w:val="18"/>
                <w:szCs w:val="18"/>
                <w:lang w:eastAsia="ja-JP"/>
              </w:rPr>
              <w:t>Total N</w:t>
            </w:r>
            <w:r w:rsidR="006F18CC" w:rsidRPr="00EA516A">
              <w:rPr>
                <w:sz w:val="18"/>
                <w:szCs w:val="18"/>
                <w:lang w:eastAsia="ja-JP"/>
              </w:rPr>
              <w:t> </w:t>
            </w:r>
            <w:r w:rsidRPr="00EA516A">
              <w:rPr>
                <w:sz w:val="18"/>
                <w:szCs w:val="18"/>
                <w:lang w:eastAsia="ja-JP"/>
              </w:rPr>
              <w:t>=</w:t>
            </w:r>
            <w:r w:rsidR="006F18CC" w:rsidRPr="00EA516A">
              <w:rPr>
                <w:sz w:val="18"/>
                <w:szCs w:val="18"/>
                <w:lang w:eastAsia="ja-JP"/>
              </w:rPr>
              <w:t> </w:t>
            </w:r>
            <w:r w:rsidRPr="00EA516A">
              <w:rPr>
                <w:sz w:val="18"/>
                <w:szCs w:val="18"/>
                <w:lang w:eastAsia="ja-JP"/>
              </w:rPr>
              <w:t>627 (330</w:t>
            </w:r>
            <w:r w:rsidR="006F18CC" w:rsidRPr="00EA516A">
              <w:rPr>
                <w:sz w:val="18"/>
                <w:szCs w:val="18"/>
                <w:lang w:eastAsia="ja-JP"/>
              </w:rPr>
              <w:t> F</w:t>
            </w:r>
            <w:r w:rsidRPr="00EA516A">
              <w:rPr>
                <w:sz w:val="18"/>
                <w:szCs w:val="18"/>
                <w:lang w:eastAsia="ja-JP"/>
              </w:rPr>
              <w:t>, 289</w:t>
            </w:r>
            <w:r w:rsidR="006F18CC" w:rsidRPr="00EA516A">
              <w:rPr>
                <w:sz w:val="18"/>
                <w:szCs w:val="18"/>
                <w:lang w:eastAsia="ja-JP"/>
              </w:rPr>
              <w:t> M</w:t>
            </w:r>
            <w:r w:rsidRPr="00EA516A">
              <w:rPr>
                <w:sz w:val="18"/>
                <w:szCs w:val="18"/>
                <w:lang w:eastAsia="ja-JP"/>
              </w:rPr>
              <w:t>);</w:t>
            </w:r>
          </w:p>
          <w:p w14:paraId="59F6A994" w14:textId="77777777" w:rsidR="00EA1DF3" w:rsidRPr="00EA516A" w:rsidRDefault="008A2F5F" w:rsidP="00EA516A">
            <w:pPr>
              <w:rPr>
                <w:sz w:val="18"/>
                <w:szCs w:val="18"/>
                <w:lang w:eastAsia="ja-JP"/>
              </w:rPr>
            </w:pPr>
            <w:proofErr w:type="spellStart"/>
            <w:r w:rsidRPr="00EA516A">
              <w:rPr>
                <w:sz w:val="18"/>
                <w:szCs w:val="18"/>
                <w:lang w:eastAsia="ja-JP"/>
              </w:rPr>
              <w:t>Riximyo</w:t>
            </w:r>
            <w:proofErr w:type="spellEnd"/>
            <w:r w:rsidR="00B34EBF" w:rsidRPr="00EA516A">
              <w:rPr>
                <w:sz w:val="18"/>
                <w:szCs w:val="18"/>
                <w:lang w:eastAsia="ja-JP"/>
              </w:rPr>
              <w:t xml:space="preserve"> N</w:t>
            </w:r>
            <w:r w:rsidR="006F18CC" w:rsidRPr="00EA516A">
              <w:rPr>
                <w:sz w:val="18"/>
                <w:szCs w:val="18"/>
                <w:lang w:eastAsia="ja-JP"/>
              </w:rPr>
              <w:t> </w:t>
            </w:r>
            <w:r w:rsidR="00B34EBF" w:rsidRPr="00EA516A">
              <w:rPr>
                <w:sz w:val="18"/>
                <w:szCs w:val="18"/>
                <w:lang w:eastAsia="ja-JP"/>
              </w:rPr>
              <w:t>=</w:t>
            </w:r>
            <w:r w:rsidR="006F18CC" w:rsidRPr="00EA516A">
              <w:rPr>
                <w:sz w:val="18"/>
                <w:szCs w:val="18"/>
                <w:lang w:eastAsia="ja-JP"/>
              </w:rPr>
              <w:t> </w:t>
            </w:r>
            <w:r w:rsidR="00B34EBF" w:rsidRPr="00EA516A">
              <w:rPr>
                <w:sz w:val="18"/>
                <w:szCs w:val="18"/>
                <w:lang w:eastAsia="ja-JP"/>
              </w:rPr>
              <w:t>312 (181</w:t>
            </w:r>
            <w:r w:rsidR="006F18CC" w:rsidRPr="00EA516A">
              <w:rPr>
                <w:sz w:val="18"/>
                <w:szCs w:val="18"/>
                <w:lang w:eastAsia="ja-JP"/>
              </w:rPr>
              <w:t xml:space="preserve"> M</w:t>
            </w:r>
            <w:r w:rsidR="00B34EBF" w:rsidRPr="00EA516A">
              <w:rPr>
                <w:sz w:val="18"/>
                <w:szCs w:val="18"/>
                <w:lang w:eastAsia="ja-JP"/>
              </w:rPr>
              <w:t>, 131</w:t>
            </w:r>
            <w:r w:rsidR="006F18CC" w:rsidRPr="00EA516A">
              <w:rPr>
                <w:sz w:val="18"/>
                <w:szCs w:val="18"/>
                <w:lang w:eastAsia="ja-JP"/>
              </w:rPr>
              <w:t> F</w:t>
            </w:r>
            <w:r w:rsidR="00B34EBF" w:rsidRPr="00EA516A">
              <w:rPr>
                <w:sz w:val="18"/>
                <w:szCs w:val="18"/>
                <w:lang w:eastAsia="ja-JP"/>
              </w:rPr>
              <w:t>);</w:t>
            </w:r>
          </w:p>
          <w:p w14:paraId="7F4AA6CD" w14:textId="65F743F3" w:rsidR="00B34EBF" w:rsidRPr="00EA516A" w:rsidRDefault="00B34EBF" w:rsidP="00EA516A">
            <w:pPr>
              <w:rPr>
                <w:sz w:val="18"/>
                <w:szCs w:val="18"/>
                <w:lang w:eastAsia="ja-JP"/>
              </w:rPr>
            </w:pPr>
            <w:proofErr w:type="spellStart"/>
            <w:r w:rsidRPr="00EA516A">
              <w:rPr>
                <w:sz w:val="18"/>
                <w:szCs w:val="18"/>
                <w:lang w:eastAsia="ja-JP"/>
              </w:rPr>
              <w:t>MabThera</w:t>
            </w:r>
            <w:proofErr w:type="spellEnd"/>
            <w:r w:rsidRPr="00EA516A">
              <w:rPr>
                <w:sz w:val="18"/>
                <w:szCs w:val="18"/>
                <w:lang w:eastAsia="ja-JP"/>
              </w:rPr>
              <w:t xml:space="preserve"> N</w:t>
            </w:r>
            <w:r w:rsidR="006F18CC" w:rsidRPr="00EA516A">
              <w:rPr>
                <w:sz w:val="18"/>
                <w:szCs w:val="18"/>
                <w:lang w:eastAsia="ja-JP"/>
              </w:rPr>
              <w:t> </w:t>
            </w:r>
            <w:r w:rsidRPr="00EA516A">
              <w:rPr>
                <w:sz w:val="18"/>
                <w:szCs w:val="18"/>
                <w:lang w:eastAsia="ja-JP"/>
              </w:rPr>
              <w:t>=</w:t>
            </w:r>
            <w:r w:rsidR="006F18CC" w:rsidRPr="00EA516A">
              <w:rPr>
                <w:sz w:val="18"/>
                <w:szCs w:val="18"/>
                <w:lang w:eastAsia="ja-JP"/>
              </w:rPr>
              <w:t> </w:t>
            </w:r>
            <w:r w:rsidRPr="00EA516A">
              <w:rPr>
                <w:sz w:val="18"/>
                <w:szCs w:val="18"/>
                <w:lang w:eastAsia="ja-JP"/>
              </w:rPr>
              <w:t>315 (169</w:t>
            </w:r>
            <w:r w:rsidR="006F18CC" w:rsidRPr="00EA516A">
              <w:rPr>
                <w:sz w:val="18"/>
                <w:szCs w:val="18"/>
                <w:lang w:eastAsia="ja-JP"/>
              </w:rPr>
              <w:t xml:space="preserve"> F</w:t>
            </w:r>
            <w:r w:rsidRPr="00EA516A">
              <w:rPr>
                <w:sz w:val="18"/>
                <w:szCs w:val="18"/>
                <w:lang w:eastAsia="ja-JP"/>
              </w:rPr>
              <w:t>, 146</w:t>
            </w:r>
            <w:r w:rsidR="006F18CC" w:rsidRPr="00EA516A">
              <w:rPr>
                <w:sz w:val="18"/>
                <w:szCs w:val="18"/>
                <w:lang w:eastAsia="ja-JP"/>
              </w:rPr>
              <w:t> M</w:t>
            </w:r>
            <w:r w:rsidRPr="00EA516A">
              <w:rPr>
                <w:sz w:val="18"/>
                <w:szCs w:val="18"/>
                <w:lang w:eastAsia="ja-JP"/>
              </w:rPr>
              <w:t xml:space="preserve">). </w:t>
            </w:r>
          </w:p>
        </w:tc>
        <w:tc>
          <w:tcPr>
            <w:tcW w:w="3510" w:type="dxa"/>
          </w:tcPr>
          <w:p w14:paraId="3A8BAE2C" w14:textId="77777777" w:rsidR="00EA1DF3" w:rsidRPr="00EA516A" w:rsidRDefault="00B34EBF" w:rsidP="00EA516A">
            <w:pPr>
              <w:rPr>
                <w:sz w:val="18"/>
                <w:szCs w:val="18"/>
                <w:lang w:eastAsia="ja-JP"/>
              </w:rPr>
            </w:pPr>
            <w:r w:rsidRPr="00EA516A">
              <w:rPr>
                <w:sz w:val="18"/>
                <w:szCs w:val="18"/>
                <w:lang w:eastAsia="ja-JP"/>
              </w:rPr>
              <w:t>Combination Phase (6 months)</w:t>
            </w:r>
            <w:r w:rsidR="006F18CC" w:rsidRPr="00EA516A">
              <w:rPr>
                <w:sz w:val="18"/>
                <w:szCs w:val="18"/>
                <w:lang w:eastAsia="ja-JP"/>
              </w:rPr>
              <w:t>;</w:t>
            </w:r>
            <w:r w:rsidRPr="00EA516A">
              <w:rPr>
                <w:sz w:val="18"/>
                <w:szCs w:val="18"/>
                <w:lang w:eastAsia="ja-JP"/>
              </w:rPr>
              <w:t xml:space="preserve"> </w:t>
            </w:r>
            <w:r w:rsidR="008A2F5F" w:rsidRPr="00EA516A">
              <w:rPr>
                <w:sz w:val="18"/>
                <w:szCs w:val="18"/>
                <w:lang w:eastAsia="ja-JP"/>
              </w:rPr>
              <w:t>Riximyo</w:t>
            </w:r>
            <w:r w:rsidRPr="00EA516A">
              <w:rPr>
                <w:sz w:val="18"/>
                <w:szCs w:val="18"/>
                <w:lang w:eastAsia="ja-JP"/>
              </w:rPr>
              <w:t xml:space="preserve"> (n</w:t>
            </w:r>
            <w:r w:rsidR="006F18CC" w:rsidRPr="00EA516A">
              <w:rPr>
                <w:sz w:val="18"/>
                <w:szCs w:val="18"/>
                <w:lang w:eastAsia="ja-JP"/>
              </w:rPr>
              <w:t xml:space="preserve"> </w:t>
            </w:r>
            <w:r w:rsidRPr="00EA516A">
              <w:rPr>
                <w:sz w:val="18"/>
                <w:szCs w:val="18"/>
                <w:lang w:eastAsia="ja-JP"/>
              </w:rPr>
              <w:t>=</w:t>
            </w:r>
            <w:r w:rsidR="006F18CC" w:rsidRPr="00EA516A">
              <w:rPr>
                <w:sz w:val="18"/>
                <w:szCs w:val="18"/>
                <w:lang w:eastAsia="ja-JP"/>
              </w:rPr>
              <w:t xml:space="preserve"> </w:t>
            </w:r>
            <w:r w:rsidRPr="00EA516A">
              <w:rPr>
                <w:sz w:val="18"/>
                <w:szCs w:val="18"/>
                <w:lang w:eastAsia="ja-JP"/>
              </w:rPr>
              <w:t>312) or MabThera (n</w:t>
            </w:r>
            <w:r w:rsidR="006F18CC" w:rsidRPr="00EA516A">
              <w:rPr>
                <w:sz w:val="18"/>
                <w:szCs w:val="18"/>
                <w:lang w:eastAsia="ja-JP"/>
              </w:rPr>
              <w:t> </w:t>
            </w:r>
            <w:r w:rsidRPr="00EA516A">
              <w:rPr>
                <w:sz w:val="18"/>
                <w:szCs w:val="18"/>
                <w:lang w:eastAsia="ja-JP"/>
              </w:rPr>
              <w:t>=</w:t>
            </w:r>
            <w:r w:rsidR="006F18CC" w:rsidRPr="00EA516A">
              <w:rPr>
                <w:sz w:val="18"/>
                <w:szCs w:val="18"/>
                <w:lang w:eastAsia="ja-JP"/>
              </w:rPr>
              <w:t> </w:t>
            </w:r>
            <w:r w:rsidRPr="00EA516A">
              <w:rPr>
                <w:sz w:val="18"/>
                <w:szCs w:val="18"/>
                <w:lang w:eastAsia="ja-JP"/>
              </w:rPr>
              <w:t>315) 375 mg/m</w:t>
            </w:r>
            <w:r w:rsidRPr="00EA516A">
              <w:rPr>
                <w:sz w:val="18"/>
                <w:szCs w:val="18"/>
                <w:vertAlign w:val="superscript"/>
                <w:lang w:eastAsia="ja-JP"/>
              </w:rPr>
              <w:t>2</w:t>
            </w:r>
            <w:r w:rsidRPr="00EA516A">
              <w:rPr>
                <w:sz w:val="18"/>
                <w:szCs w:val="18"/>
                <w:lang w:eastAsia="ja-JP"/>
              </w:rPr>
              <w:t xml:space="preserve"> administered by IV infusion on day 1 of 8 x 21 day cycles in combination with cyclophosphamide, vincristine and prednisone</w:t>
            </w:r>
            <w:r w:rsidR="00EA1DF3" w:rsidRPr="00EA516A">
              <w:rPr>
                <w:sz w:val="18"/>
                <w:szCs w:val="18"/>
                <w:lang w:eastAsia="ja-JP"/>
              </w:rPr>
              <w:t>.</w:t>
            </w:r>
          </w:p>
          <w:p w14:paraId="7F4AA6CF" w14:textId="26B64BEE" w:rsidR="00B34EBF" w:rsidRPr="00EA516A" w:rsidRDefault="00B34EBF" w:rsidP="00EA516A">
            <w:pPr>
              <w:rPr>
                <w:sz w:val="18"/>
                <w:szCs w:val="18"/>
                <w:lang w:eastAsia="ja-JP"/>
              </w:rPr>
            </w:pPr>
            <w:r w:rsidRPr="00EA516A">
              <w:rPr>
                <w:sz w:val="18"/>
                <w:szCs w:val="18"/>
                <w:lang w:eastAsia="ja-JP"/>
              </w:rPr>
              <w:t xml:space="preserve">Maintenance Phase (2 years) treatment with single-agent </w:t>
            </w:r>
            <w:r w:rsidR="008A2F5F" w:rsidRPr="00EA516A">
              <w:rPr>
                <w:sz w:val="18"/>
                <w:szCs w:val="18"/>
                <w:lang w:eastAsia="ja-JP"/>
              </w:rPr>
              <w:t>Riximyo</w:t>
            </w:r>
            <w:r w:rsidRPr="00EA516A">
              <w:rPr>
                <w:sz w:val="18"/>
                <w:szCs w:val="18"/>
                <w:lang w:eastAsia="ja-JP"/>
              </w:rPr>
              <w:t xml:space="preserve"> (n=231) or MabThera (n=231) 375 mg/m</w:t>
            </w:r>
            <w:r w:rsidRPr="00EA516A">
              <w:rPr>
                <w:sz w:val="18"/>
                <w:szCs w:val="18"/>
                <w:vertAlign w:val="superscript"/>
                <w:lang w:eastAsia="ja-JP"/>
              </w:rPr>
              <w:t>2</w:t>
            </w:r>
            <w:r w:rsidRPr="00EA516A">
              <w:rPr>
                <w:sz w:val="18"/>
                <w:szCs w:val="18"/>
                <w:lang w:eastAsia="ja-JP"/>
              </w:rPr>
              <w:t xml:space="preserve"> for 8 x 3 month cycles for responders to combination phase treatment.</w:t>
            </w:r>
          </w:p>
          <w:p w14:paraId="7F4AA6D0" w14:textId="71F51835" w:rsidR="00B34EBF" w:rsidRPr="00EA516A" w:rsidRDefault="00B34EBF" w:rsidP="00EA516A">
            <w:pPr>
              <w:rPr>
                <w:sz w:val="18"/>
                <w:szCs w:val="18"/>
                <w:lang w:eastAsia="ja-JP"/>
              </w:rPr>
            </w:pPr>
            <w:r w:rsidRPr="00EA516A">
              <w:rPr>
                <w:sz w:val="18"/>
                <w:szCs w:val="18"/>
                <w:lang w:eastAsia="ja-JP"/>
              </w:rPr>
              <w:t>Follow-up phase (6 months) for patients completing 2 years of maintenance treatment or discontinuing treatment prematurely.</w:t>
            </w:r>
          </w:p>
        </w:tc>
      </w:tr>
      <w:tr w:rsidR="006F18CC" w:rsidRPr="00EA516A" w14:paraId="7F4AA6DC" w14:textId="77777777" w:rsidTr="00197543">
        <w:tc>
          <w:tcPr>
            <w:tcW w:w="1454" w:type="dxa"/>
          </w:tcPr>
          <w:p w14:paraId="7F4AA6D2" w14:textId="77777777" w:rsidR="00B34EBF" w:rsidRPr="00EA516A" w:rsidRDefault="00B34EBF" w:rsidP="00EA516A">
            <w:pPr>
              <w:rPr>
                <w:sz w:val="18"/>
                <w:szCs w:val="18"/>
                <w:lang w:eastAsia="ja-JP"/>
              </w:rPr>
            </w:pPr>
            <w:r w:rsidRPr="00EA516A">
              <w:rPr>
                <w:sz w:val="18"/>
                <w:szCs w:val="18"/>
                <w:lang w:eastAsia="ja-JP"/>
              </w:rPr>
              <w:t>GP13-201 (Part 1)</w:t>
            </w:r>
          </w:p>
          <w:p w14:paraId="7D715253" w14:textId="77777777" w:rsidR="00EA1DF3" w:rsidRPr="00EA516A" w:rsidRDefault="00B34EBF" w:rsidP="00EA516A">
            <w:pPr>
              <w:rPr>
                <w:sz w:val="18"/>
                <w:szCs w:val="18"/>
                <w:lang w:eastAsia="ja-JP"/>
              </w:rPr>
            </w:pPr>
            <w:r w:rsidRPr="00EA516A">
              <w:rPr>
                <w:sz w:val="18"/>
                <w:szCs w:val="18"/>
                <w:lang w:eastAsia="ja-JP"/>
              </w:rPr>
              <w:t>Phase II</w:t>
            </w:r>
          </w:p>
          <w:p w14:paraId="7F4AA6D4" w14:textId="66D4669C" w:rsidR="00B34EBF" w:rsidRPr="00EA516A" w:rsidRDefault="00B34EBF" w:rsidP="00EA516A">
            <w:pPr>
              <w:rPr>
                <w:sz w:val="18"/>
                <w:szCs w:val="18"/>
                <w:lang w:eastAsia="ja-JP"/>
              </w:rPr>
            </w:pPr>
            <w:r w:rsidRPr="00EA516A">
              <w:rPr>
                <w:sz w:val="18"/>
                <w:szCs w:val="18"/>
                <w:lang w:eastAsia="ja-JP"/>
              </w:rPr>
              <w:t xml:space="preserve">Supportive efficacy </w:t>
            </w:r>
          </w:p>
        </w:tc>
        <w:tc>
          <w:tcPr>
            <w:tcW w:w="2610" w:type="dxa"/>
          </w:tcPr>
          <w:p w14:paraId="7F4AA6D5" w14:textId="127827E5" w:rsidR="00B34EBF" w:rsidRPr="00EA516A" w:rsidRDefault="00B34EBF" w:rsidP="00EA516A">
            <w:pPr>
              <w:rPr>
                <w:sz w:val="18"/>
                <w:szCs w:val="18"/>
                <w:lang w:eastAsia="ja-JP"/>
              </w:rPr>
            </w:pPr>
            <w:r w:rsidRPr="00EA516A">
              <w:rPr>
                <w:sz w:val="18"/>
                <w:szCs w:val="18"/>
                <w:lang w:eastAsia="ja-JP"/>
              </w:rPr>
              <w:t xml:space="preserve">Randomised, double-blind, active-control, 52-week, multinational, multicentre study comparing PK, PD, efficacy and safety of </w:t>
            </w:r>
            <w:r w:rsidR="008A2F5F" w:rsidRPr="00EA516A">
              <w:rPr>
                <w:sz w:val="18"/>
                <w:szCs w:val="18"/>
                <w:lang w:eastAsia="ja-JP"/>
              </w:rPr>
              <w:t>Riximyo</w:t>
            </w:r>
            <w:r w:rsidRPr="00EA516A">
              <w:rPr>
                <w:sz w:val="18"/>
                <w:szCs w:val="18"/>
                <w:lang w:eastAsia="ja-JP"/>
              </w:rPr>
              <w:t xml:space="preserve"> vs MabThera in patients with active RA refractory or intolerant to standard non-biologic DMARDs and 1-3 anti-TNF therapies.</w:t>
            </w:r>
          </w:p>
          <w:p w14:paraId="7F4AA6D6" w14:textId="77777777" w:rsidR="00B34EBF" w:rsidRPr="00EA516A" w:rsidRDefault="00B34EBF" w:rsidP="00EA516A">
            <w:pPr>
              <w:rPr>
                <w:sz w:val="18"/>
                <w:szCs w:val="18"/>
                <w:lang w:eastAsia="ja-JP"/>
              </w:rPr>
            </w:pPr>
            <w:r w:rsidRPr="00EA516A">
              <w:rPr>
                <w:sz w:val="18"/>
                <w:szCs w:val="18"/>
                <w:lang w:eastAsia="ja-JP"/>
              </w:rPr>
              <w:t xml:space="preserve">Efficacy was a secondary objective in this study; key variable was non-inferiority of </w:t>
            </w:r>
            <w:r w:rsidR="008A2F5F" w:rsidRPr="00EA516A">
              <w:rPr>
                <w:sz w:val="18"/>
                <w:szCs w:val="18"/>
                <w:lang w:eastAsia="ja-JP"/>
              </w:rPr>
              <w:t>Riximyo</w:t>
            </w:r>
            <w:r w:rsidRPr="00EA516A">
              <w:rPr>
                <w:sz w:val="18"/>
                <w:szCs w:val="18"/>
                <w:lang w:eastAsia="ja-JP"/>
              </w:rPr>
              <w:t xml:space="preserve"> to MabThera with respect to change from baseline in DAS28 at week 24. There were a large number of other secondary efficacy variables. </w:t>
            </w:r>
          </w:p>
        </w:tc>
        <w:tc>
          <w:tcPr>
            <w:tcW w:w="1800" w:type="dxa"/>
          </w:tcPr>
          <w:p w14:paraId="7F4AA6D7" w14:textId="77777777" w:rsidR="00B34EBF" w:rsidRPr="00EA516A" w:rsidRDefault="00B34EBF" w:rsidP="00EA516A">
            <w:pPr>
              <w:rPr>
                <w:sz w:val="18"/>
                <w:szCs w:val="18"/>
                <w:lang w:eastAsia="ja-JP"/>
              </w:rPr>
            </w:pPr>
            <w:r w:rsidRPr="00EA516A">
              <w:rPr>
                <w:sz w:val="18"/>
                <w:szCs w:val="18"/>
                <w:lang w:eastAsia="ja-JP"/>
              </w:rPr>
              <w:t>Patients with active RA, mean age 53.7 years (range: 21, 82 years), Caucasian 80.9%, Asian 13.9%, Black 4.0%</w:t>
            </w:r>
          </w:p>
          <w:p w14:paraId="0D14627C" w14:textId="77777777" w:rsidR="00EA1DF3" w:rsidRPr="00EA516A" w:rsidRDefault="00B34EBF" w:rsidP="00EA516A">
            <w:pPr>
              <w:rPr>
                <w:sz w:val="18"/>
                <w:szCs w:val="18"/>
                <w:lang w:eastAsia="ja-JP"/>
              </w:rPr>
            </w:pPr>
            <w:r w:rsidRPr="00EA516A">
              <w:rPr>
                <w:sz w:val="18"/>
                <w:szCs w:val="18"/>
                <w:lang w:eastAsia="ja-JP"/>
              </w:rPr>
              <w:t>Total N</w:t>
            </w:r>
            <w:r w:rsidR="006F18CC" w:rsidRPr="00EA516A">
              <w:rPr>
                <w:sz w:val="18"/>
                <w:szCs w:val="18"/>
                <w:lang w:eastAsia="ja-JP"/>
              </w:rPr>
              <w:t> </w:t>
            </w:r>
            <w:r w:rsidRPr="00EA516A">
              <w:rPr>
                <w:sz w:val="18"/>
                <w:szCs w:val="18"/>
                <w:lang w:eastAsia="ja-JP"/>
              </w:rPr>
              <w:t>=</w:t>
            </w:r>
            <w:r w:rsidR="006F18CC" w:rsidRPr="00EA516A">
              <w:rPr>
                <w:sz w:val="18"/>
                <w:szCs w:val="18"/>
                <w:lang w:eastAsia="ja-JP"/>
              </w:rPr>
              <w:t> </w:t>
            </w:r>
            <w:r w:rsidRPr="00EA516A">
              <w:rPr>
                <w:sz w:val="18"/>
                <w:szCs w:val="18"/>
                <w:lang w:eastAsia="ja-JP"/>
              </w:rPr>
              <w:t>173 (</w:t>
            </w:r>
            <w:r w:rsidR="006F18CC" w:rsidRPr="00EA516A">
              <w:rPr>
                <w:sz w:val="18"/>
                <w:szCs w:val="18"/>
                <w:lang w:eastAsia="ja-JP"/>
              </w:rPr>
              <w:t>149 F</w:t>
            </w:r>
            <w:r w:rsidRPr="00EA516A">
              <w:rPr>
                <w:sz w:val="18"/>
                <w:szCs w:val="18"/>
                <w:lang w:eastAsia="ja-JP"/>
              </w:rPr>
              <w:t>, 24</w:t>
            </w:r>
            <w:r w:rsidR="006F18CC" w:rsidRPr="00EA516A">
              <w:rPr>
                <w:sz w:val="18"/>
                <w:szCs w:val="18"/>
                <w:lang w:eastAsia="ja-JP"/>
              </w:rPr>
              <w:t xml:space="preserve"> M</w:t>
            </w:r>
            <w:r w:rsidRPr="00EA516A">
              <w:rPr>
                <w:sz w:val="18"/>
                <w:szCs w:val="18"/>
                <w:lang w:eastAsia="ja-JP"/>
              </w:rPr>
              <w:t>);</w:t>
            </w:r>
          </w:p>
          <w:p w14:paraId="7F4AA6D9" w14:textId="7F702A51" w:rsidR="00B34EBF" w:rsidRPr="00EA516A" w:rsidRDefault="008A2F5F" w:rsidP="00EA516A">
            <w:pPr>
              <w:rPr>
                <w:sz w:val="18"/>
                <w:szCs w:val="18"/>
                <w:lang w:eastAsia="ja-JP"/>
              </w:rPr>
            </w:pPr>
            <w:proofErr w:type="spellStart"/>
            <w:r w:rsidRPr="00EA516A">
              <w:rPr>
                <w:sz w:val="18"/>
                <w:szCs w:val="18"/>
                <w:lang w:eastAsia="ja-JP"/>
              </w:rPr>
              <w:t>Riximyo</w:t>
            </w:r>
            <w:proofErr w:type="spellEnd"/>
            <w:r w:rsidR="00B34EBF" w:rsidRPr="00EA516A">
              <w:rPr>
                <w:sz w:val="18"/>
                <w:szCs w:val="18"/>
                <w:lang w:eastAsia="ja-JP"/>
              </w:rPr>
              <w:t xml:space="preserve"> N</w:t>
            </w:r>
            <w:r w:rsidR="006F18CC" w:rsidRPr="00EA516A">
              <w:rPr>
                <w:sz w:val="18"/>
                <w:szCs w:val="18"/>
                <w:lang w:eastAsia="ja-JP"/>
              </w:rPr>
              <w:t> </w:t>
            </w:r>
            <w:r w:rsidR="00B34EBF" w:rsidRPr="00EA516A">
              <w:rPr>
                <w:sz w:val="18"/>
                <w:szCs w:val="18"/>
                <w:lang w:eastAsia="ja-JP"/>
              </w:rPr>
              <w:t>=</w:t>
            </w:r>
            <w:r w:rsidR="006F18CC" w:rsidRPr="00EA516A">
              <w:rPr>
                <w:sz w:val="18"/>
                <w:szCs w:val="18"/>
                <w:lang w:eastAsia="ja-JP"/>
              </w:rPr>
              <w:t> </w:t>
            </w:r>
            <w:r w:rsidR="00B34EBF" w:rsidRPr="00EA516A">
              <w:rPr>
                <w:sz w:val="18"/>
                <w:szCs w:val="18"/>
                <w:lang w:eastAsia="ja-JP"/>
              </w:rPr>
              <w:t>86 (76</w:t>
            </w:r>
            <w:r w:rsidR="006F18CC" w:rsidRPr="00EA516A">
              <w:rPr>
                <w:sz w:val="18"/>
                <w:szCs w:val="18"/>
                <w:lang w:eastAsia="ja-JP"/>
              </w:rPr>
              <w:t xml:space="preserve"> F</w:t>
            </w:r>
            <w:r w:rsidR="00B34EBF" w:rsidRPr="00EA516A">
              <w:rPr>
                <w:sz w:val="18"/>
                <w:szCs w:val="18"/>
                <w:lang w:eastAsia="ja-JP"/>
              </w:rPr>
              <w:t>, 10</w:t>
            </w:r>
            <w:r w:rsidR="006F18CC" w:rsidRPr="00EA516A">
              <w:rPr>
                <w:sz w:val="18"/>
                <w:szCs w:val="18"/>
                <w:lang w:eastAsia="ja-JP"/>
              </w:rPr>
              <w:t xml:space="preserve"> M</w:t>
            </w:r>
            <w:r w:rsidR="00B34EBF" w:rsidRPr="00EA516A">
              <w:rPr>
                <w:sz w:val="18"/>
                <w:szCs w:val="18"/>
                <w:lang w:eastAsia="ja-JP"/>
              </w:rPr>
              <w:t>)</w:t>
            </w:r>
            <w:r w:rsidR="00544957" w:rsidRPr="00EA516A">
              <w:rPr>
                <w:sz w:val="18"/>
                <w:szCs w:val="18"/>
                <w:lang w:eastAsia="ja-JP"/>
              </w:rPr>
              <w:t>; MabThera</w:t>
            </w:r>
            <w:r w:rsidR="00B34EBF" w:rsidRPr="00EA516A">
              <w:rPr>
                <w:sz w:val="18"/>
                <w:szCs w:val="18"/>
                <w:lang w:eastAsia="ja-JP"/>
              </w:rPr>
              <w:t xml:space="preserve"> N</w:t>
            </w:r>
            <w:r w:rsidR="006F18CC" w:rsidRPr="00EA516A">
              <w:rPr>
                <w:sz w:val="18"/>
                <w:szCs w:val="18"/>
                <w:lang w:eastAsia="ja-JP"/>
              </w:rPr>
              <w:t> </w:t>
            </w:r>
            <w:r w:rsidR="00B34EBF" w:rsidRPr="00EA516A">
              <w:rPr>
                <w:sz w:val="18"/>
                <w:szCs w:val="18"/>
                <w:lang w:eastAsia="ja-JP"/>
              </w:rPr>
              <w:t>=</w:t>
            </w:r>
            <w:r w:rsidR="006F18CC" w:rsidRPr="00EA516A">
              <w:rPr>
                <w:sz w:val="18"/>
                <w:szCs w:val="18"/>
                <w:lang w:eastAsia="ja-JP"/>
              </w:rPr>
              <w:t> </w:t>
            </w:r>
            <w:r w:rsidR="00B34EBF" w:rsidRPr="00EA516A">
              <w:rPr>
                <w:sz w:val="18"/>
                <w:szCs w:val="18"/>
                <w:lang w:eastAsia="ja-JP"/>
              </w:rPr>
              <w:t>87 (73</w:t>
            </w:r>
            <w:r w:rsidR="006F18CC" w:rsidRPr="00EA516A">
              <w:rPr>
                <w:sz w:val="18"/>
                <w:szCs w:val="18"/>
                <w:lang w:eastAsia="ja-JP"/>
              </w:rPr>
              <w:t xml:space="preserve"> F</w:t>
            </w:r>
            <w:r w:rsidR="00B34EBF" w:rsidRPr="00EA516A">
              <w:rPr>
                <w:sz w:val="18"/>
                <w:szCs w:val="18"/>
                <w:lang w:eastAsia="ja-JP"/>
              </w:rPr>
              <w:t>, 14</w:t>
            </w:r>
            <w:r w:rsidR="006F18CC" w:rsidRPr="00EA516A">
              <w:rPr>
                <w:sz w:val="18"/>
                <w:szCs w:val="18"/>
                <w:lang w:eastAsia="ja-JP"/>
              </w:rPr>
              <w:t xml:space="preserve"> M</w:t>
            </w:r>
            <w:r w:rsidR="00B34EBF" w:rsidRPr="00EA516A">
              <w:rPr>
                <w:sz w:val="18"/>
                <w:szCs w:val="18"/>
                <w:lang w:eastAsia="ja-JP"/>
              </w:rPr>
              <w:t xml:space="preserve">). </w:t>
            </w:r>
          </w:p>
        </w:tc>
        <w:tc>
          <w:tcPr>
            <w:tcW w:w="3510" w:type="dxa"/>
          </w:tcPr>
          <w:p w14:paraId="7F4AA6DA" w14:textId="269F3E5B" w:rsidR="00B34EBF" w:rsidRPr="00EA516A" w:rsidRDefault="008A2F5F" w:rsidP="00EA516A">
            <w:pPr>
              <w:rPr>
                <w:sz w:val="18"/>
                <w:szCs w:val="18"/>
                <w:lang w:eastAsia="ja-JP"/>
              </w:rPr>
            </w:pPr>
            <w:r w:rsidRPr="00EA516A">
              <w:rPr>
                <w:sz w:val="18"/>
                <w:szCs w:val="18"/>
                <w:lang w:eastAsia="ja-JP"/>
              </w:rPr>
              <w:t>Riximyo</w:t>
            </w:r>
            <w:r w:rsidR="00B34EBF" w:rsidRPr="00EA516A">
              <w:rPr>
                <w:sz w:val="18"/>
                <w:szCs w:val="18"/>
                <w:lang w:eastAsia="ja-JP"/>
              </w:rPr>
              <w:t xml:space="preserve"> or MabThera: 1000 mg, two single IV infusions two weeks apart (days 1 and 15) in combination with MTX (7.5-25 mg/week); treatment could be repeated for responder between week 24 and week 52. Follow-up to week 52 or 26 weeks after the first infusion of second course of study medication for re-treated patients.</w:t>
            </w:r>
          </w:p>
          <w:p w14:paraId="7F4AA6DB" w14:textId="04804BB6" w:rsidR="00B34EBF" w:rsidRPr="00EA516A" w:rsidRDefault="00B34EBF" w:rsidP="00EA516A">
            <w:pPr>
              <w:rPr>
                <w:sz w:val="18"/>
                <w:szCs w:val="18"/>
                <w:lang w:eastAsia="ja-JP"/>
              </w:rPr>
            </w:pPr>
            <w:r w:rsidRPr="00EA516A">
              <w:rPr>
                <w:sz w:val="18"/>
                <w:szCs w:val="18"/>
                <w:lang w:eastAsia="ja-JP"/>
              </w:rPr>
              <w:t xml:space="preserve">Primary analysis at week 24, responders could then be re-treated between </w:t>
            </w:r>
            <w:r w:rsidR="00197543" w:rsidRPr="00EA516A">
              <w:rPr>
                <w:sz w:val="18"/>
                <w:szCs w:val="18"/>
                <w:lang w:eastAsia="ja-JP"/>
              </w:rPr>
              <w:t xml:space="preserve">Week </w:t>
            </w:r>
            <w:r w:rsidRPr="00EA516A">
              <w:rPr>
                <w:sz w:val="18"/>
                <w:szCs w:val="18"/>
                <w:lang w:eastAsia="ja-JP"/>
              </w:rPr>
              <w:t xml:space="preserve">24 and </w:t>
            </w:r>
            <w:r w:rsidR="00197543" w:rsidRPr="00EA516A">
              <w:rPr>
                <w:sz w:val="18"/>
                <w:szCs w:val="18"/>
                <w:lang w:eastAsia="ja-JP"/>
              </w:rPr>
              <w:t xml:space="preserve">Week </w:t>
            </w:r>
            <w:r w:rsidRPr="00EA516A">
              <w:rPr>
                <w:sz w:val="18"/>
                <w:szCs w:val="18"/>
                <w:lang w:eastAsia="ja-JP"/>
              </w:rPr>
              <w:t xml:space="preserve">52. </w:t>
            </w:r>
          </w:p>
        </w:tc>
      </w:tr>
    </w:tbl>
    <w:p w14:paraId="7F4AA6DD" w14:textId="77777777" w:rsidR="008E7846" w:rsidRDefault="00605AD4" w:rsidP="00605AD4">
      <w:pPr>
        <w:pStyle w:val="Heading4"/>
      </w:pPr>
      <w:r>
        <w:lastRenderedPageBreak/>
        <w:t>Evaluator’s conclusions on efficacy</w:t>
      </w:r>
    </w:p>
    <w:p w14:paraId="7F4AA6DE" w14:textId="48E529AF" w:rsidR="004C1958" w:rsidRDefault="004C1958" w:rsidP="005B0109">
      <w:pPr>
        <w:pStyle w:val="Heading5"/>
      </w:pPr>
      <w:r>
        <w:t>Pivotal Phase III Study GP13-301 Follicular Lymphoma (FL)</w:t>
      </w:r>
    </w:p>
    <w:p w14:paraId="7F4AA6DF" w14:textId="1A7CEAA1" w:rsidR="004C1958" w:rsidRDefault="004C1958" w:rsidP="00794474">
      <w:pPr>
        <w:pStyle w:val="ListBullet"/>
      </w:pPr>
      <w:r>
        <w:t xml:space="preserve">Pivotal efficacy data for comparability of the two formulations were provided in patients with untreated </w:t>
      </w:r>
      <w:r w:rsidR="00794474">
        <w:t>Stage III</w:t>
      </w:r>
      <w:r>
        <w:t xml:space="preserve">/IV non-Hodgkin’s FL in the Phase III </w:t>
      </w:r>
      <w:r w:rsidR="009B2FD7">
        <w:t>Study GP</w:t>
      </w:r>
      <w:r>
        <w:t xml:space="preserve">13-301. The study met its primary objective, which was to show equivalence between </w:t>
      </w:r>
      <w:r w:rsidR="008A2F5F">
        <w:t>Riximyo</w:t>
      </w:r>
      <w:r>
        <w:t>-CVP and MabThera</w:t>
      </w:r>
      <w:r w:rsidR="00794474">
        <w:t xml:space="preserve"> </w:t>
      </w:r>
      <w:r>
        <w:t xml:space="preserve">CVP based on the </w:t>
      </w:r>
      <w:r w:rsidR="00794474">
        <w:t>overall response rate (</w:t>
      </w:r>
      <w:r>
        <w:t>ORR</w:t>
      </w:r>
      <w:r w:rsidR="00794474">
        <w:t>)</w:t>
      </w:r>
      <w:r>
        <w:t xml:space="preserve"> assessed by the Modified Response Criteria for Malignant Lymphoma using central blinded review of the radiological response and liver/spleen enlargement assessments in patients with FL (</w:t>
      </w:r>
      <w:r w:rsidR="000A6E90" w:rsidRPr="009B56DD">
        <w:rPr>
          <w:rFonts w:asciiTheme="minorHAnsi" w:eastAsiaTheme="minorEastAsia" w:hAnsiTheme="minorHAnsi" w:cs="Calibri"/>
          <w:sz w:val="20"/>
          <w:szCs w:val="20"/>
        </w:rPr>
        <w:t>Per Protocol Set</w:t>
      </w:r>
      <w:r w:rsidR="000A6E90">
        <w:t xml:space="preserve"> (</w:t>
      </w:r>
      <w:r>
        <w:t>PPS</w:t>
      </w:r>
      <w:r w:rsidR="000A6E90">
        <w:t>)</w:t>
      </w:r>
      <w:r>
        <w:t xml:space="preserve">). The ORR was 87.1% (271/311) in the </w:t>
      </w:r>
      <w:r w:rsidR="008A2F5F">
        <w:t>Riximyo</w:t>
      </w:r>
      <w:r>
        <w:t xml:space="preserve"> arm and 87.5% (274/313) in the MabThera arm, with the difference between the two arms being -0.40% (95% CI: -5.94%, 5.14%). The 95% CI for the difference in ORR between the two arms was entirely enclosed within the pre-specified ORR equivalence margin of -12% to +12%.The study was adequately powered (90%) to show equivalence based on the pre-specified equivalence margin</w:t>
      </w:r>
      <w:r w:rsidR="000B3A10">
        <w:t xml:space="preserve"> </w:t>
      </w:r>
      <w:r>
        <w:t xml:space="preserve">of 12% to +12% at a two one-sided significance level of 2.5%. The results for the analysis in the </w:t>
      </w:r>
      <w:r w:rsidR="00794474" w:rsidRPr="00794474">
        <w:t xml:space="preserve">full analysis set </w:t>
      </w:r>
      <w:r w:rsidR="00794474">
        <w:t>(</w:t>
      </w:r>
      <w:r>
        <w:t>FAS</w:t>
      </w:r>
      <w:r w:rsidR="00794474">
        <w:t>)</w:t>
      </w:r>
      <w:r>
        <w:t xml:space="preserve"> were consistent with the results in the PPS.</w:t>
      </w:r>
    </w:p>
    <w:p w14:paraId="7F4AA6E0" w14:textId="6207B05A" w:rsidR="004C1958" w:rsidRDefault="004C1958" w:rsidP="005B0109">
      <w:pPr>
        <w:pStyle w:val="ListBullet"/>
      </w:pPr>
      <w:r>
        <w:t xml:space="preserve">In a pre-specified subgroup analysis testing ORR equivalence between the two treatment arms in </w:t>
      </w:r>
      <w:r w:rsidRPr="000A6E90">
        <w:t xml:space="preserve">patients with FL stratified by baseline </w:t>
      </w:r>
      <w:r w:rsidR="000A6E90" w:rsidRPr="000A6E90">
        <w:rPr>
          <w:rFonts w:asciiTheme="minorHAnsi" w:eastAsiaTheme="minorHAnsi" w:hAnsiTheme="minorHAnsi" w:cs="Calibri"/>
          <w:sz w:val="20"/>
          <w:szCs w:val="20"/>
        </w:rPr>
        <w:t>Follicular Lymphoma International Prognostic Index</w:t>
      </w:r>
      <w:r w:rsidR="000A6E90" w:rsidRPr="000A6E90">
        <w:t xml:space="preserve"> (</w:t>
      </w:r>
      <w:r w:rsidRPr="000A6E90">
        <w:t>FLIPI</w:t>
      </w:r>
      <w:r w:rsidR="000A6E90" w:rsidRPr="000A6E90">
        <w:t>)</w:t>
      </w:r>
      <w:r w:rsidRPr="000A6E90">
        <w:t xml:space="preserve"> score (PPS), the 90% CI of the difference between the two treatment arms for both FLIPI subgroups</w:t>
      </w:r>
      <w:r>
        <w:t xml:space="preserve"> (scores 0</w:t>
      </w:r>
      <w:r w:rsidR="00794474">
        <w:noBreakHyphen/>
      </w:r>
      <w:r>
        <w:t xml:space="preserve">2; scores 3-5) were not enclosed entirely within the equivalence margin of -12% to +12%. Of note, the ORR notably favoured the MabThera arm compared to the </w:t>
      </w:r>
      <w:r w:rsidR="008A2F5F">
        <w:t>Riximyo</w:t>
      </w:r>
      <w:r>
        <w:t xml:space="preserve"> arm in patients with a FLIPI score of 0</w:t>
      </w:r>
      <w:r w:rsidR="006F18CC">
        <w:t xml:space="preserve"> to </w:t>
      </w:r>
      <w:r>
        <w:t>2 (91.2%</w:t>
      </w:r>
      <w:r w:rsidR="00794474">
        <w:t xml:space="preserve"> versus </w:t>
      </w:r>
      <w:r>
        <w:t xml:space="preserve">82.8%, respectively), while the ORR notably favoured the </w:t>
      </w:r>
      <w:r w:rsidR="008A2F5F">
        <w:t>Riximyo</w:t>
      </w:r>
      <w:r>
        <w:t xml:space="preserve"> arm compared to the MabThera arm in patients with a FLIPI s</w:t>
      </w:r>
      <w:r w:rsidR="006F18CC">
        <w:t>c</w:t>
      </w:r>
      <w:r>
        <w:t>ore of 3</w:t>
      </w:r>
      <w:r w:rsidR="006F18CC">
        <w:t> to </w:t>
      </w:r>
      <w:r>
        <w:t>5 (90.4%</w:t>
      </w:r>
      <w:r w:rsidR="00794474">
        <w:t xml:space="preserve"> versus </w:t>
      </w:r>
      <w:r>
        <w:t xml:space="preserve">84.7%, respectively). The results of this subgroup analysis do not support the primary analysis, as the 90% CI of the difference between the two treatment arms was not enclosed entirely within the equivalence margin of -12 to +12% for either of the two subgroups. However, the inconsistent results in the two FLIPI subgroups make interpretation of the analysis problematic. No firm conclusions concerning the comparability of the two treatment arms can be made based on the results of the FLIPI subgroup analysis. However, the ORR was high in both the </w:t>
      </w:r>
      <w:r w:rsidR="008A2F5F">
        <w:t>Riximyo</w:t>
      </w:r>
      <w:r>
        <w:t xml:space="preserve"> and the MabThera arms suggesting that both products are effective in both subgroups</w:t>
      </w:r>
      <w:r w:rsidR="00197543">
        <w:t>.</w:t>
      </w:r>
    </w:p>
    <w:p w14:paraId="7F4AA6E1" w14:textId="3851444A" w:rsidR="004C1958" w:rsidRDefault="004C1958" w:rsidP="005B0109">
      <w:pPr>
        <w:pStyle w:val="ListBullet"/>
      </w:pPr>
      <w:r>
        <w:t xml:space="preserve">The sponsor states comments that the FLIPI score was developed as a prognostic factor for overall survival and, therefore, the difference between the two treatment arms observed in the analysis of ORR by FLIPI score may not be clinically relevant. However, it is considered that there is no reason to assume that the FLIPI score is not a relevant prognostic factor for all </w:t>
      </w:r>
      <w:r w:rsidRPr="00510F6B">
        <w:t xml:space="preserve">efficacy endpoints in patients with FL, given that it is based on scores relating to age &gt; 60 years, Ann Arbor </w:t>
      </w:r>
      <w:r w:rsidR="00794474" w:rsidRPr="00510F6B">
        <w:t>Stage III</w:t>
      </w:r>
      <w:r w:rsidRPr="00510F6B">
        <w:t xml:space="preserve"> &amp; IV</w:t>
      </w:r>
      <w:r w:rsidR="00510F6B" w:rsidRPr="00510F6B">
        <w:rPr>
          <w:rStyle w:val="FootnoteReference"/>
        </w:rPr>
        <w:footnoteReference w:id="11"/>
      </w:r>
      <w:r w:rsidRPr="00510F6B">
        <w:t>, involvement</w:t>
      </w:r>
      <w:r>
        <w:t xml:space="preserve"> of more than 4 lymph node groups, elevated </w:t>
      </w:r>
      <w:r w:rsidR="00510F6B">
        <w:t xml:space="preserve">lactate </w:t>
      </w:r>
      <w:r w:rsidR="00510F6B" w:rsidRPr="00510F6B">
        <w:t>dehydrogenase (</w:t>
      </w:r>
      <w:r w:rsidRPr="00510F6B">
        <w:t>LDH</w:t>
      </w:r>
      <w:r w:rsidR="00510F6B" w:rsidRPr="00510F6B">
        <w:t>)</w:t>
      </w:r>
      <w:r w:rsidRPr="00510F6B">
        <w:t>,</w:t>
      </w:r>
      <w:r>
        <w:t xml:space="preserve"> and </w:t>
      </w:r>
      <w:r>
        <w:lastRenderedPageBreak/>
        <w:t>haemoglobin level &lt; 12 g/dL. Furthermore, it is reasonable to infer that the sponsor considered that the FLIPI score was an important prognostic factor for ORR in the pivotal study, given that it was one of the factors used to stratify randomised patients and the pre-defined primary efficacy endpoint was the ORR.</w:t>
      </w:r>
    </w:p>
    <w:p w14:paraId="7F4AA6E2" w14:textId="20B598F6" w:rsidR="004C1958" w:rsidRDefault="004C1958" w:rsidP="005B0109">
      <w:pPr>
        <w:pStyle w:val="ListBullet"/>
      </w:pPr>
      <w:r>
        <w:t>In the pre-specified subgroup analysis assessing</w:t>
      </w:r>
      <w:r w:rsidR="000B3A10">
        <w:t xml:space="preserve"> </w:t>
      </w:r>
      <w:r>
        <w:t xml:space="preserve">ORR equivalence between the two treatment arms stratified by baseline age (PPS), the 90% CI of the difference between the two treatment arms for both subgroups (&lt; 60 years; </w:t>
      </w:r>
      <w:r w:rsidR="009E635F" w:rsidRPr="004C1958">
        <w:t>≥</w:t>
      </w:r>
      <w:r w:rsidR="009E635F">
        <w:t> </w:t>
      </w:r>
      <w:r>
        <w:t>60 years) was within the equivalence margin of -12% to +12%. The results of the subgroup analysis in the FAS were consistent with the results in the PPS. The results in the subgroup analysis based on age support equivalence of the two treatment arms observed in the primary analysis.</w:t>
      </w:r>
    </w:p>
    <w:p w14:paraId="7F4AA6E3" w14:textId="71B9D32E" w:rsidR="004C1958" w:rsidRDefault="004C1958" w:rsidP="005B0109">
      <w:pPr>
        <w:pStyle w:val="ListBullet"/>
      </w:pPr>
      <w:r>
        <w:t>The logistic regression analysis of the ORR based on central blinded review of the tumour assessment during the combination treatment phase (PPS) determined the odds ratio (CP2013/MabThera) to be 0.96 (90% CI: 0.65, 1.43).The results showed no statistically significant difference between the two treatment arms based on the 90% CI (</w:t>
      </w:r>
      <w:r w:rsidR="00413790">
        <w:t>that is,</w:t>
      </w:r>
      <w:r>
        <w:t xml:space="preserve"> the interval includes an odds ratio of 1). The results of the logistic regression with explanatory variables of treatment and FLIPI score support the primary analysis of the ORR showing equivalence of the two treatments.</w:t>
      </w:r>
    </w:p>
    <w:p w14:paraId="7F4AA6E4" w14:textId="77777777" w:rsidR="004C1958" w:rsidRDefault="004C1958" w:rsidP="005B0109">
      <w:pPr>
        <w:pStyle w:val="ListBullet"/>
      </w:pPr>
      <w:r>
        <w:t xml:space="preserve">The results of the </w:t>
      </w:r>
      <w:r w:rsidR="00A50F95" w:rsidRPr="009B56DD">
        <w:rPr>
          <w:rFonts w:asciiTheme="minorHAnsi" w:eastAsiaTheme="minorHAnsi" w:hAnsiTheme="minorHAnsi" w:cs="Calibri"/>
          <w:sz w:val="20"/>
          <w:szCs w:val="20"/>
        </w:rPr>
        <w:t>Best overall response</w:t>
      </w:r>
      <w:r w:rsidR="00A50F95">
        <w:t xml:space="preserve"> (</w:t>
      </w:r>
      <w:r>
        <w:t>BOR</w:t>
      </w:r>
      <w:r w:rsidR="00A50F95">
        <w:t>)</w:t>
      </w:r>
      <w:r>
        <w:t xml:space="preserve"> based on central review of tumour assessments (</w:t>
      </w:r>
      <w:r w:rsidR="00A50F95" w:rsidRPr="009B56DD">
        <w:rPr>
          <w:rFonts w:asciiTheme="minorHAnsi" w:eastAsiaTheme="minorHAnsi" w:hAnsiTheme="minorHAnsi" w:cs="Calibri"/>
          <w:sz w:val="20"/>
          <w:szCs w:val="20"/>
        </w:rPr>
        <w:t>Complete response</w:t>
      </w:r>
      <w:r w:rsidR="00A50F95">
        <w:t xml:space="preserve"> (</w:t>
      </w:r>
      <w:r>
        <w:t>CR</w:t>
      </w:r>
      <w:r w:rsidR="00A50F95">
        <w:t>)</w:t>
      </w:r>
      <w:r>
        <w:t xml:space="preserve">, </w:t>
      </w:r>
      <w:r w:rsidR="00A50F95" w:rsidRPr="009B56DD">
        <w:rPr>
          <w:rFonts w:asciiTheme="minorHAnsi" w:eastAsiaTheme="minorEastAsia" w:hAnsiTheme="minorHAnsi" w:cs="Calibri"/>
          <w:sz w:val="20"/>
          <w:szCs w:val="20"/>
        </w:rPr>
        <w:t xml:space="preserve">Partial response </w:t>
      </w:r>
      <w:r w:rsidR="00A50F95">
        <w:rPr>
          <w:rFonts w:asciiTheme="minorHAnsi" w:eastAsiaTheme="minorEastAsia" w:hAnsiTheme="minorHAnsi" w:cs="Calibri"/>
          <w:sz w:val="20"/>
          <w:szCs w:val="20"/>
        </w:rPr>
        <w:t>(</w:t>
      </w:r>
      <w:r>
        <w:t>PR</w:t>
      </w:r>
      <w:r w:rsidR="00A50F95">
        <w:t>)</w:t>
      </w:r>
      <w:r>
        <w:t>, SD, PD) in the combination phase were comparable in the two treatment arms in both the PPS and the FAS. The results support the primary analysis of the ORR showing equivalence of the two treatments.</w:t>
      </w:r>
    </w:p>
    <w:p w14:paraId="3AA3182A" w14:textId="77777777" w:rsidR="00EA1DF3" w:rsidRDefault="004C1958" w:rsidP="005B0109">
      <w:pPr>
        <w:pStyle w:val="ListBullet"/>
      </w:pPr>
      <w:r>
        <w:t xml:space="preserve">Overall, it is considered that the primary analysis of the ORR established the equivalence of </w:t>
      </w:r>
      <w:r w:rsidR="008A2F5F">
        <w:t>Riximyo</w:t>
      </w:r>
      <w:r>
        <w:t xml:space="preserve">-CVP and MabThera-CVP based on central blinded review of tumour assessment in the combination treatment phase of the study (8 x 21 day treatment cycles) in patients with FL. However, while the pre-specified subgroup analyses of the ORR based on age (&lt; 60 years; </w:t>
      </w:r>
      <w:r w:rsidR="009E635F" w:rsidRPr="004C1958">
        <w:t>≥</w:t>
      </w:r>
      <w:r w:rsidR="009E635F">
        <w:t> </w:t>
      </w:r>
      <w:r>
        <w:t>60 years) demonstrated equivalence of the two treatments, the pre-specified subgroup analyses of the ORR based on FLIPI prognostic scores (0-2; 3-5) failed to demonstrate equivalence of the two treatments. The logistic regression analysis of the ORR demonstrated no statistically significant difference between the two treatment arms in BOR of CR or PR, based on modelling with explanatory variables of treatment and FLIPI score</w:t>
      </w:r>
      <w:r w:rsidR="00EA1DF3">
        <w:t>.</w:t>
      </w:r>
    </w:p>
    <w:p w14:paraId="22F57D82" w14:textId="77777777" w:rsidR="00EA1DF3" w:rsidRDefault="004C1958" w:rsidP="005B0109">
      <w:pPr>
        <w:pStyle w:val="ListBullet"/>
      </w:pPr>
      <w:r>
        <w:t xml:space="preserve">The preliminary data for PFS and OS are too immature to conclude comparability of the two treatments for the two parameters. Therefore, it is considered that although the primary analysis of the ORR demonstrated equivalence of the two treatments, the absence of confirmatory comparability data for PFS and OS preclude GP013 and MabThera being declared therapeutically equivalent. It is suggested that this matter be re-visited when the final results for PFS and OS from </w:t>
      </w:r>
      <w:r w:rsidR="009B2FD7">
        <w:t>Study GP</w:t>
      </w:r>
      <w:r>
        <w:t>13-301 become available</w:t>
      </w:r>
      <w:r w:rsidR="00EA1DF3">
        <w:t>.</w:t>
      </w:r>
    </w:p>
    <w:p w14:paraId="7F4AA6E7" w14:textId="1DE2DAED" w:rsidR="004C1958" w:rsidRDefault="004C1958" w:rsidP="005B0109">
      <w:pPr>
        <w:pStyle w:val="Heading5"/>
      </w:pPr>
      <w:r>
        <w:t>Supportive Phase III Study GP13-201 Rheumatoid Arthritis (RA)</w:t>
      </w:r>
    </w:p>
    <w:p w14:paraId="7F4AA6E8" w14:textId="79816246" w:rsidR="004C1958" w:rsidRPr="005B0109" w:rsidRDefault="004C1958" w:rsidP="005B0109">
      <w:pPr>
        <w:pStyle w:val="ListBullet"/>
      </w:pPr>
      <w:r w:rsidRPr="005B0109">
        <w:t xml:space="preserve">Supportive efficacy data for comparability of the two formulations were provided in patients with advanced RA in the Phase II </w:t>
      </w:r>
      <w:r w:rsidR="009B2FD7">
        <w:t>Study GP</w:t>
      </w:r>
      <w:r w:rsidRPr="005B0109">
        <w:t>13-201. In this study, the assessment of efficacy in patients with RA was a secondary objective. The study met its key efficacy objective, which was to show non-inferiority of change from baseline in DAS28 (</w:t>
      </w:r>
      <w:r w:rsidR="00D007B8" w:rsidRPr="009B56DD">
        <w:rPr>
          <w:rFonts w:asciiTheme="minorHAnsi" w:eastAsiaTheme="minorHAnsi" w:hAnsiTheme="minorHAnsi" w:cs="Calibri"/>
          <w:sz w:val="20"/>
          <w:szCs w:val="20"/>
        </w:rPr>
        <w:t>C-reactive protein</w:t>
      </w:r>
      <w:r w:rsidR="00D007B8" w:rsidRPr="005B0109">
        <w:t xml:space="preserve"> </w:t>
      </w:r>
      <w:r w:rsidR="00D007B8">
        <w:t>(</w:t>
      </w:r>
      <w:r w:rsidRPr="005B0109">
        <w:t>CRP</w:t>
      </w:r>
      <w:r w:rsidR="00D007B8">
        <w:t>)</w:t>
      </w:r>
      <w:r w:rsidRPr="005B0109">
        <w:t>) at Week 24 in the PPS.</w:t>
      </w:r>
      <w:r w:rsidR="000B3A10">
        <w:t xml:space="preserve"> </w:t>
      </w:r>
      <w:r w:rsidRPr="005B0109">
        <w:t xml:space="preserve">The LS mean change from baseline in DAS28 (CRP) at week 24 in the PPS was similar for the </w:t>
      </w:r>
      <w:r w:rsidR="008A2F5F">
        <w:t>Riximyo</w:t>
      </w:r>
      <w:r w:rsidRPr="005B0109">
        <w:t xml:space="preserve"> and the MabThera arms (-2.16 and -2.23, respectively), and the LS mean difference between the two treatment arms was 0.07 (95% CI: -0.328, 0.462). The upper 95% CI of 0.462 was below the pre-defined non-inferiority margin of 0.6. The arithmetic mean change from baseline in DAS28 (CRP) from baseline over the 52 weeks of the study was </w:t>
      </w:r>
      <w:r w:rsidRPr="005B0109">
        <w:lastRenderedPageBreak/>
        <w:t>similar in the two treatment arms, with marked inter-subject variability in the parameter being observed in both treatment arms.</w:t>
      </w:r>
    </w:p>
    <w:p w14:paraId="7F4AA6E9" w14:textId="73A403EC" w:rsidR="004C1958" w:rsidRPr="005B0109" w:rsidRDefault="004C1958" w:rsidP="005B0109">
      <w:pPr>
        <w:pStyle w:val="ListBullet"/>
      </w:pPr>
      <w:r w:rsidRPr="005B0109">
        <w:t>The criterion for non-inferiority of averaged change from baseline in DAS28 (CRP) between Week 4 and 24 in the PPS was not met, with the upper 95% CI for the LS mean difference between the two treatment arms of 0.639 being marginally higher than the pre-specified non-inferiority margin of 0.6. The criterion for non-inferiority of ACR20 (CRP) response at Week 24 in the PPS was met, with the lower 95% CI for the difference between the two treatment arms of -14.74% being greater than the pre-specified non-inferiority margin of -15.0%. The criteria for non-inferiority of averaged change from baseline in ACR20 (CRP) using a logistic repeated measures mixed model and a non-linear mixed effect longitudinal model in the PPS were met, with the respective lower 95% CIs for the difference between the two treatment arms for the two analyses of -12.5% and -12.8% being greater than the pre-specified non-inferiority margin of -15%.</w:t>
      </w:r>
    </w:p>
    <w:p w14:paraId="7F4AA6EA" w14:textId="1284536E" w:rsidR="004C1958" w:rsidRPr="005B0109" w:rsidRDefault="004C1958" w:rsidP="005B0109">
      <w:pPr>
        <w:pStyle w:val="ListBullet"/>
      </w:pPr>
      <w:r w:rsidRPr="005B0109">
        <w:t>The study included a number of other secondary efficacy variables which were summarised descriptively. There were some numerical differences between the two treatment arms in some of these variables. However, the observed differences are considered not to be clinically meaningful</w:t>
      </w:r>
      <w:r w:rsidR="00197543">
        <w:t>.</w:t>
      </w:r>
    </w:p>
    <w:p w14:paraId="304CFF36" w14:textId="77777777" w:rsidR="00EA1DF3" w:rsidRDefault="004C1958" w:rsidP="005B0109">
      <w:pPr>
        <w:pStyle w:val="ListBullet"/>
      </w:pPr>
      <w:r w:rsidRPr="005B0109">
        <w:t xml:space="preserve">Overall, based on the totality of the RA data it is considered that </w:t>
      </w:r>
      <w:r w:rsidR="009B2FD7">
        <w:t>Study GP</w:t>
      </w:r>
      <w:r w:rsidRPr="005B0109">
        <w:t>13-201 satisfactorily demonstrated that the efficacy of the two formulations were comparable with the differences between the</w:t>
      </w:r>
      <w:r>
        <w:t xml:space="preserve"> two formulations being not clinically meaningful</w:t>
      </w:r>
      <w:r w:rsidR="00EA1DF3">
        <w:t>.</w:t>
      </w:r>
    </w:p>
    <w:p w14:paraId="7F4AA6EC" w14:textId="3EDC9BAD" w:rsidR="004C1958" w:rsidRDefault="004C1958" w:rsidP="00B223BD">
      <w:pPr>
        <w:pStyle w:val="Heading5"/>
      </w:pPr>
      <w:r>
        <w:t>Switching data</w:t>
      </w:r>
    </w:p>
    <w:p w14:paraId="7F4AA6ED" w14:textId="76377588" w:rsidR="004C1958" w:rsidRDefault="004C1958" w:rsidP="004C1958">
      <w:r>
        <w:t xml:space="preserve">The were no data in the submission comparing efficacy in patients with either RA or FL initially treated with MabThera and switched to </w:t>
      </w:r>
      <w:r w:rsidR="008A2F5F">
        <w:t>Riximyo</w:t>
      </w:r>
      <w:r>
        <w:t xml:space="preserve"> to the efficacy of patients continuing with MabThera. The submission indicates that there is an ongoing safety study (GP13-302) in patients with RA designed to identify potential risks (general safety and immunogenicity) associated with transitioning from the originator product (Rituxan [US approved] or</w:t>
      </w:r>
      <w:r w:rsidR="000B3A10">
        <w:t xml:space="preserve"> </w:t>
      </w:r>
      <w:r>
        <w:t xml:space="preserve">MabThera [EU approved]) to </w:t>
      </w:r>
      <w:r w:rsidR="008A2F5F">
        <w:t>Riximyo</w:t>
      </w:r>
      <w:r>
        <w:t xml:space="preserve"> compared to continuous treatment with the originator product. The main safety and immunogenicity analysis in this study will take place at Week 12 with an additional follow-up analysis at Week 24. No efficacy analyses are planned for this study. The study is planned to randomise approximately 100 patients in the USA and EU.</w:t>
      </w:r>
    </w:p>
    <w:p w14:paraId="0A74B5C0" w14:textId="77777777" w:rsidR="00EA1DF3" w:rsidRDefault="004C1958" w:rsidP="00B223BD">
      <w:pPr>
        <w:pStyle w:val="Heading5"/>
      </w:pPr>
      <w:r>
        <w:t>Other indications</w:t>
      </w:r>
    </w:p>
    <w:p w14:paraId="7F4AA6EF" w14:textId="6212E8AA" w:rsidR="004C1958" w:rsidRPr="004C1958" w:rsidRDefault="004C1958" w:rsidP="004C1958">
      <w:r>
        <w:t xml:space="preserve">The sponsor submitted a scientific justification for extrapolating the data for </w:t>
      </w:r>
      <w:r w:rsidR="008A2F5F">
        <w:t>Riximyo</w:t>
      </w:r>
      <w:r>
        <w:t xml:space="preserve"> and MabThera in patients with RA and FL to all other TGA approved indications of MabThera. This justification was based on the totality-of-data submitted to establish the comparability of </w:t>
      </w:r>
      <w:r w:rsidR="008A2F5F">
        <w:t>Riximyo</w:t>
      </w:r>
      <w:r>
        <w:t xml:space="preserve"> and MabThera. The results of the comparability exercise based on the clinical data (PK, PD, efficacy [RA, FL]) are considered to be promising and suggest that </w:t>
      </w:r>
      <w:r w:rsidR="008A2F5F">
        <w:t>Riximyo</w:t>
      </w:r>
      <w:r>
        <w:t xml:space="preserve"> and MabThera are therapeutically for all proposed indications. However, it is considered that confirmation of clinical comparability of the two products should await the final results of </w:t>
      </w:r>
      <w:r w:rsidR="009B2FD7">
        <w:t>Study GP</w:t>
      </w:r>
      <w:r>
        <w:t xml:space="preserve">13-301 relating to </w:t>
      </w:r>
      <w:r w:rsidR="00B223BD">
        <w:t>progression free survival (</w:t>
      </w:r>
      <w:r>
        <w:t>PFS</w:t>
      </w:r>
      <w:r w:rsidR="00B223BD">
        <w:t>)</w:t>
      </w:r>
      <w:r>
        <w:t xml:space="preserve"> and </w:t>
      </w:r>
      <w:r w:rsidR="00B223BD">
        <w:t>overall survival (</w:t>
      </w:r>
      <w:r>
        <w:t>OS</w:t>
      </w:r>
      <w:r w:rsidR="00B223BD">
        <w:t>)</w:t>
      </w:r>
      <w:r>
        <w:t xml:space="preserve">. The submitted data for these two important time-to-event endpoints are too immature to demonstrate comparability of </w:t>
      </w:r>
      <w:r w:rsidR="008A2F5F">
        <w:t>Riximyo</w:t>
      </w:r>
      <w:r>
        <w:t xml:space="preserve"> and MabThera for the treatment of FL.</w:t>
      </w:r>
    </w:p>
    <w:p w14:paraId="7F4AA6F0" w14:textId="77777777" w:rsidR="008E7846" w:rsidRPr="002E238E" w:rsidRDefault="008E7846" w:rsidP="008E7846">
      <w:pPr>
        <w:pStyle w:val="Heading3"/>
      </w:pPr>
      <w:bookmarkStart w:id="85" w:name="_Toc163441378"/>
      <w:bookmarkStart w:id="86" w:name="_Toc196046495"/>
      <w:bookmarkStart w:id="87" w:name="_Toc247691522"/>
      <w:bookmarkStart w:id="88" w:name="_Toc314842505"/>
      <w:bookmarkStart w:id="89" w:name="_Toc524426283"/>
      <w:bookmarkEnd w:id="81"/>
      <w:bookmarkEnd w:id="82"/>
      <w:bookmarkEnd w:id="83"/>
      <w:bookmarkEnd w:id="84"/>
      <w:r w:rsidRPr="002E238E">
        <w:t>Safety</w:t>
      </w:r>
      <w:bookmarkEnd w:id="85"/>
      <w:bookmarkEnd w:id="86"/>
      <w:bookmarkEnd w:id="87"/>
      <w:bookmarkEnd w:id="88"/>
      <w:bookmarkEnd w:id="89"/>
    </w:p>
    <w:p w14:paraId="7F4AA6F1" w14:textId="77777777" w:rsidR="00605AD4" w:rsidRDefault="00605AD4" w:rsidP="00605AD4">
      <w:pPr>
        <w:pStyle w:val="Heading4"/>
      </w:pPr>
      <w:bookmarkStart w:id="90" w:name="_Toc247691524"/>
      <w:bookmarkStart w:id="91" w:name="_Toc314842508"/>
      <w:bookmarkStart w:id="92" w:name="_Toc196046504"/>
      <w:bookmarkStart w:id="93" w:name="_Toc163441390"/>
      <w:r w:rsidRPr="00605AD4">
        <w:t>Studies providing safety data</w:t>
      </w:r>
    </w:p>
    <w:p w14:paraId="7F4AA6F2" w14:textId="77777777" w:rsidR="004C1958" w:rsidRDefault="004C1958" w:rsidP="004C1958">
      <w:r>
        <w:t>The three studies providing evaluable safety data were:</w:t>
      </w:r>
    </w:p>
    <w:p w14:paraId="7F4AA6F3" w14:textId="1E0C59F2" w:rsidR="004C1958" w:rsidRDefault="00B223BD" w:rsidP="005B0109">
      <w:pPr>
        <w:pStyle w:val="ListBullet"/>
      </w:pPr>
      <w:r>
        <w:lastRenderedPageBreak/>
        <w:t>P</w:t>
      </w:r>
      <w:r w:rsidR="004C1958">
        <w:t>ivotal Phase II PK/PD study in patients with active RA (</w:t>
      </w:r>
      <w:r w:rsidR="006F18CC">
        <w:t xml:space="preserve">Study </w:t>
      </w:r>
      <w:r w:rsidR="004C1958">
        <w:t>GP13-201);</w:t>
      </w:r>
    </w:p>
    <w:p w14:paraId="7F4AA6F4" w14:textId="48A4EBE6" w:rsidR="004C1958" w:rsidRDefault="00B223BD" w:rsidP="005B0109">
      <w:pPr>
        <w:pStyle w:val="ListBullet"/>
      </w:pPr>
      <w:r>
        <w:t>P</w:t>
      </w:r>
      <w:r w:rsidR="004C1958">
        <w:t>ivotal Phase III clinical efficacy and safety study in patients with FL (</w:t>
      </w:r>
      <w:r w:rsidR="006F18CC">
        <w:t>Study </w:t>
      </w:r>
      <w:r w:rsidR="004C1958">
        <w:t>GP13</w:t>
      </w:r>
      <w:r w:rsidR="008A3C0B">
        <w:noBreakHyphen/>
      </w:r>
      <w:r w:rsidR="004C1958">
        <w:t>301); and</w:t>
      </w:r>
    </w:p>
    <w:p w14:paraId="7F4AA6F5" w14:textId="79FABC61" w:rsidR="004C1958" w:rsidRDefault="005B0109" w:rsidP="005B0109">
      <w:pPr>
        <w:pStyle w:val="ListBullet"/>
      </w:pPr>
      <w:r>
        <w:t>P</w:t>
      </w:r>
      <w:r w:rsidR="004C1958">
        <w:t>hase I study in Japanese patients with indolent B-cell NHL (</w:t>
      </w:r>
      <w:r w:rsidR="008A3C0B">
        <w:t xml:space="preserve">Study </w:t>
      </w:r>
      <w:r w:rsidR="004C1958">
        <w:t>GP13-101).</w:t>
      </w:r>
    </w:p>
    <w:p w14:paraId="7F4AA6F6" w14:textId="2319CFAC" w:rsidR="004C1958" w:rsidRDefault="004C1958" w:rsidP="004C1958">
      <w:r>
        <w:t>The safety analysis sets defined for each of the three studies with evaluable safety data are summarised below in Table 3.</w:t>
      </w:r>
    </w:p>
    <w:p w14:paraId="50DA794B" w14:textId="77777777" w:rsidR="00EA516A" w:rsidRDefault="004C1958" w:rsidP="00EA516A">
      <w:pPr>
        <w:pStyle w:val="TableTitle"/>
      </w:pPr>
      <w:r>
        <w:t>Table 3: Safety analysis sets defined for safety analysis of three stud</w:t>
      </w:r>
      <w:r w:rsidR="00510F6B">
        <w:t>ies with evaluable safety data</w:t>
      </w:r>
      <w:r>
        <w:t xml:space="preserve"> </w:t>
      </w:r>
    </w:p>
    <w:p w14:paraId="7F4AA6F7" w14:textId="686C1779" w:rsidR="004C1958" w:rsidRDefault="00510F6B" w:rsidP="00EA516A">
      <w:r>
        <w:rPr>
          <w:noProof/>
          <w:lang w:eastAsia="en-AU"/>
        </w:rPr>
        <w:drawing>
          <wp:inline distT="0" distB="0" distL="0" distR="0" wp14:anchorId="7F4AA9D8" wp14:editId="7F4AA9D9">
            <wp:extent cx="5396298" cy="2736220"/>
            <wp:effectExtent l="0" t="0" r="0" b="6985"/>
            <wp:docPr id="15" name="Picture 15" descr="Safety analysis sets defined for safety analysis of three studies with evaluable safety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t="2244"/>
                    <a:stretch/>
                  </pic:blipFill>
                  <pic:spPr bwMode="auto">
                    <a:xfrm>
                      <a:off x="0" y="0"/>
                      <a:ext cx="5400040" cy="2738117"/>
                    </a:xfrm>
                    <a:prstGeom prst="rect">
                      <a:avLst/>
                    </a:prstGeom>
                    <a:ln>
                      <a:noFill/>
                    </a:ln>
                    <a:extLst>
                      <a:ext uri="{53640926-AAD7-44D8-BBD7-CCE9431645EC}">
                        <a14:shadowObscured xmlns:a14="http://schemas.microsoft.com/office/drawing/2010/main"/>
                      </a:ext>
                    </a:extLst>
                  </pic:spPr>
                </pic:pic>
              </a:graphicData>
            </a:graphic>
          </wp:inline>
        </w:drawing>
      </w:r>
    </w:p>
    <w:p w14:paraId="0F296CDE" w14:textId="77777777" w:rsidR="00EA1DF3" w:rsidRDefault="004C1958" w:rsidP="004C1958">
      <w:r>
        <w:t>The submission included no pooled safety analysis of the data from the three studies with evaluable safety data. The sponsor stated that a pooled analysis was not performed due to diverse indications, comorbid conditions and concomitant medications across the three studies. The absence of a pooled safety analysis is considered to be acceptable for the reasons provided by the sponsor</w:t>
      </w:r>
      <w:r w:rsidR="00EA1DF3">
        <w:t>.</w:t>
      </w:r>
    </w:p>
    <w:p w14:paraId="7F4AA6F9" w14:textId="14E77969" w:rsidR="004C1958" w:rsidRPr="004C1958" w:rsidRDefault="004C1958" w:rsidP="004C1958">
      <w:r>
        <w:t>The approach to evaluation of the safety data in the CER has been to separately evaluate the comparative safety data (</w:t>
      </w:r>
      <w:r w:rsidR="008A2F5F">
        <w:t>Riximyo</w:t>
      </w:r>
      <w:r w:rsidR="00794474">
        <w:t xml:space="preserve"> versus </w:t>
      </w:r>
      <w:r>
        <w:t xml:space="preserve">MabThera) for </w:t>
      </w:r>
      <w:r w:rsidR="00D24694">
        <w:t>S</w:t>
      </w:r>
      <w:r>
        <w:t xml:space="preserve">tudies GP13-201 and GP13-301. The safety data for </w:t>
      </w:r>
      <w:r w:rsidR="009B2FD7">
        <w:t>Study GP</w:t>
      </w:r>
      <w:r>
        <w:t xml:space="preserve">13-101 included information from 6 Japanese patients treated with </w:t>
      </w:r>
      <w:r w:rsidR="008A2F5F">
        <w:t>Riximyo</w:t>
      </w:r>
      <w:r>
        <w:t xml:space="preserve">. The safety data from this study have been examined and raise no concerns. Therefore, the safety data in the 6 Japanese patients from </w:t>
      </w:r>
      <w:r w:rsidR="009B2FD7">
        <w:t>Study GP</w:t>
      </w:r>
      <w:r>
        <w:t xml:space="preserve">13-101 treated with </w:t>
      </w:r>
      <w:r w:rsidR="008A2F5F">
        <w:t>Riximyo</w:t>
      </w:r>
      <w:r>
        <w:t xml:space="preserve"> are not included in the review of safety presented below.</w:t>
      </w:r>
    </w:p>
    <w:p w14:paraId="7F4AA6FA" w14:textId="77777777" w:rsidR="00605AD4" w:rsidRDefault="00605AD4" w:rsidP="00605AD4">
      <w:pPr>
        <w:pStyle w:val="Heading4"/>
      </w:pPr>
      <w:r w:rsidRPr="00605AD4">
        <w:t>Patient exposure</w:t>
      </w:r>
    </w:p>
    <w:p w14:paraId="5C8070AF" w14:textId="77777777" w:rsidR="00EA1DF3" w:rsidRDefault="0023012D" w:rsidP="0023012D">
      <w:pPr>
        <w:pStyle w:val="ListBullet"/>
        <w:numPr>
          <w:ilvl w:val="0"/>
          <w:numId w:val="0"/>
        </w:numPr>
      </w:pPr>
      <w:r>
        <w:t xml:space="preserve">The safety of </w:t>
      </w:r>
      <w:r w:rsidR="008A2F5F">
        <w:t>Riximyo</w:t>
      </w:r>
      <w:r>
        <w:t xml:space="preserve"> has been evaluated in 504 patients, comprising 133 </w:t>
      </w:r>
      <w:r w:rsidR="008A2F5F">
        <w:t>Riximyo</w:t>
      </w:r>
      <w:r>
        <w:t xml:space="preserve"> treatment naïve patients with active RA (Study GP13-201, Parts I and II), 53 patients with active RA transitioned to </w:t>
      </w:r>
      <w:r w:rsidR="008A2F5F">
        <w:t>Riximyo</w:t>
      </w:r>
      <w:r>
        <w:t xml:space="preserve"> after being treated with Rituxan/MabThera (Study GP13-302), 6 Japanese patients with indolent NHL (Study GP13-101) and 312 patients with FL up to cut-off date of 10 July 2016 (Study GP13-301). Patients with RA have been followed for up to 52 weeks, and patients with FL haven been followed for up to 3 years</w:t>
      </w:r>
      <w:r w:rsidR="00EA1DF3">
        <w:t>.</w:t>
      </w:r>
    </w:p>
    <w:p w14:paraId="7F4AA6FC" w14:textId="43422B35" w:rsidR="0023012D" w:rsidRDefault="0023012D" w:rsidP="0023012D">
      <w:pPr>
        <w:pStyle w:val="ListBullet"/>
        <w:numPr>
          <w:ilvl w:val="0"/>
          <w:numId w:val="0"/>
        </w:numPr>
      </w:pPr>
      <w:r>
        <w:t xml:space="preserve">In Study GP13-201, 133 patients with RA were randomised to treatment with </w:t>
      </w:r>
      <w:r w:rsidR="008A2F5F">
        <w:t>Riximyo</w:t>
      </w:r>
      <w:r>
        <w:t xml:space="preserve"> (Parts I and II) and 123 (92.5%) have completed the study up to 24 weeks and 89 (66.9%) have completed the study up to 52 weeks. In Study GP13-302, 53 patients with RA were randomised to treatment with </w:t>
      </w:r>
      <w:r w:rsidR="008A2F5F">
        <w:t>Riximyo</w:t>
      </w:r>
      <w:r>
        <w:t xml:space="preserve"> following prior treatment with Rituxan/MabThera and 22 (41.5%) have completed the planned 24 weeks. In Study GP-301, 312 patients with FL were randomised to </w:t>
      </w:r>
      <w:r w:rsidR="008A2F5F">
        <w:t>Riximyo</w:t>
      </w:r>
      <w:r>
        <w:t xml:space="preserve"> and 87 (27.9%) have completed 6 months, 52 (16.7%) </w:t>
      </w:r>
      <w:r>
        <w:lastRenderedPageBreak/>
        <w:t>have completed 12 months, 45 (14.4%) have completed 18 to &lt; 24 months, 45 (14.4%) have completed 24 to &lt; 30 months and 1 (0.3%) has</w:t>
      </w:r>
      <w:r w:rsidR="005A3D0B">
        <w:t xml:space="preserve"> completed 30 to &lt; 36 months.</w:t>
      </w:r>
    </w:p>
    <w:p w14:paraId="7F4AA6FD" w14:textId="77777777" w:rsidR="005A3D0B" w:rsidRDefault="005A3D0B" w:rsidP="0023012D">
      <w:pPr>
        <w:pStyle w:val="ListBullet"/>
        <w:numPr>
          <w:ilvl w:val="0"/>
          <w:numId w:val="0"/>
        </w:numPr>
      </w:pPr>
      <w:r>
        <w:t xml:space="preserve">For further details see the </w:t>
      </w:r>
      <w:r w:rsidRPr="005A3D0B">
        <w:rPr>
          <w:i/>
        </w:rPr>
        <w:t>Patient exposure</w:t>
      </w:r>
      <w:r>
        <w:t xml:space="preserve"> section in Attachment 2.</w:t>
      </w:r>
    </w:p>
    <w:p w14:paraId="7F4AA6FE" w14:textId="77777777" w:rsidR="00605AD4" w:rsidRDefault="00605AD4" w:rsidP="00605AD4">
      <w:pPr>
        <w:pStyle w:val="Heading4"/>
      </w:pPr>
      <w:r w:rsidRPr="00605AD4">
        <w:t>Safety issues with the potential for major regulatory impact</w:t>
      </w:r>
    </w:p>
    <w:p w14:paraId="7F4AA6FF" w14:textId="77777777" w:rsidR="00500337" w:rsidRPr="00500337" w:rsidRDefault="004C1958" w:rsidP="004C1958">
      <w:r>
        <w:t xml:space="preserve">The effects of intrinsic factors, extrinsic factors and drug interactions on the safety of the two rituximab products were not assessed in either </w:t>
      </w:r>
      <w:r w:rsidR="009B2FD7">
        <w:t>Study GP</w:t>
      </w:r>
      <w:r>
        <w:t xml:space="preserve">13-201 or </w:t>
      </w:r>
      <w:r w:rsidR="009B2FD7">
        <w:t>Study GP</w:t>
      </w:r>
      <w:r>
        <w:t xml:space="preserve">13-301. There were no pregnancies in the studies. There were no cases of </w:t>
      </w:r>
      <w:r w:rsidR="008A2F5F">
        <w:t>Riximyo</w:t>
      </w:r>
      <w:r>
        <w:t xml:space="preserve"> overdose. There were no data on the potential for drug abuse with </w:t>
      </w:r>
      <w:r w:rsidR="008A2F5F">
        <w:t>Riximyo</w:t>
      </w:r>
      <w:r>
        <w:t xml:space="preserve"> but abuse with the drug is unlikely. There were no data on withdrawal and rebound for </w:t>
      </w:r>
      <w:r w:rsidR="008A2F5F">
        <w:t>Riximyo</w:t>
      </w:r>
      <w:r>
        <w:t>. There were no studies on the effects of the drugs on the ability to drive and use machinery.</w:t>
      </w:r>
    </w:p>
    <w:p w14:paraId="7F4AA700" w14:textId="77777777" w:rsidR="00605AD4" w:rsidRDefault="00605AD4" w:rsidP="00605AD4">
      <w:pPr>
        <w:pStyle w:val="Heading4"/>
      </w:pPr>
      <w:r w:rsidRPr="00605AD4">
        <w:t>Postmarketing data</w:t>
      </w:r>
    </w:p>
    <w:p w14:paraId="7F4AA701" w14:textId="77777777" w:rsidR="00500337" w:rsidRPr="00500337" w:rsidRDefault="004C1958" w:rsidP="004C1958">
      <w:r>
        <w:t xml:space="preserve">Not applicable. </w:t>
      </w:r>
      <w:r w:rsidR="008A2F5F">
        <w:t>Riximyo</w:t>
      </w:r>
      <w:r>
        <w:t xml:space="preserve"> has not yet been registered in any country.</w:t>
      </w:r>
    </w:p>
    <w:p w14:paraId="7F4AA702" w14:textId="77777777" w:rsidR="00605AD4" w:rsidRPr="00605AD4" w:rsidRDefault="00605AD4" w:rsidP="00605AD4">
      <w:pPr>
        <w:pStyle w:val="Heading4"/>
      </w:pPr>
      <w:r w:rsidRPr="00605AD4">
        <w:t>Evaluator’s conclusions on safety</w:t>
      </w:r>
    </w:p>
    <w:p w14:paraId="7F4AA703" w14:textId="5CB93A0F" w:rsidR="004C1958" w:rsidRDefault="004C1958" w:rsidP="005B0109">
      <w:pPr>
        <w:pStyle w:val="ListBullet"/>
      </w:pPr>
      <w:r>
        <w:t xml:space="preserve">The submitted safety data in patients with FL and RA suggest that there are no clinically meaningful differences in the safety profiles of </w:t>
      </w:r>
      <w:r w:rsidR="008A2F5F">
        <w:t>Riximyo</w:t>
      </w:r>
      <w:r>
        <w:t xml:space="preserve"> and MabThera. In patients with RA (Part I </w:t>
      </w:r>
      <w:r w:rsidR="008A3C0B">
        <w:t xml:space="preserve">(Study </w:t>
      </w:r>
      <w:r>
        <w:t>GP13-201</w:t>
      </w:r>
      <w:r w:rsidR="008A3C0B">
        <w:t>)</w:t>
      </w:r>
      <w:r>
        <w:t xml:space="preserve">) and FL (combination phase </w:t>
      </w:r>
      <w:r w:rsidR="008A3C0B">
        <w:t>(Study </w:t>
      </w:r>
      <w:r>
        <w:t>GP13</w:t>
      </w:r>
      <w:r w:rsidR="008A3C0B">
        <w:noBreakHyphen/>
      </w:r>
      <w:r>
        <w:t>301</w:t>
      </w:r>
      <w:r w:rsidR="008B38A9">
        <w:t>)</w:t>
      </w:r>
      <w:r>
        <w:t xml:space="preserve">) the safety profiles for the two treatment arms were comparable, while in patients with FL (maintenance phase </w:t>
      </w:r>
      <w:r w:rsidR="008B38A9">
        <w:t xml:space="preserve">(Study </w:t>
      </w:r>
      <w:r>
        <w:t>GP13-301</w:t>
      </w:r>
      <w:r w:rsidR="008B38A9">
        <w:t>)</w:t>
      </w:r>
      <w:r>
        <w:t xml:space="preserve">) most of the AE categories were reported marginally more frequently in the </w:t>
      </w:r>
      <w:r w:rsidR="008A2F5F">
        <w:t>Riximyo</w:t>
      </w:r>
      <w:r>
        <w:t xml:space="preserve"> arm than in the MabThera arm.</w:t>
      </w:r>
    </w:p>
    <w:p w14:paraId="7F4AA704" w14:textId="48F52FC9" w:rsidR="004C1958" w:rsidRDefault="004C1958" w:rsidP="005B0109">
      <w:pPr>
        <w:pStyle w:val="ListBullet"/>
      </w:pPr>
      <w:r>
        <w:t>In the pivotal Phase III efficacy and safety study in patients with FL (</w:t>
      </w:r>
      <w:r w:rsidR="008B38A9">
        <w:t xml:space="preserve">Study </w:t>
      </w:r>
      <w:r>
        <w:t>GP13-301), safety data were reported for a total of 627 patients in the combination phase treated with 8</w:t>
      </w:r>
      <w:r w:rsidR="008B38A9">
        <w:t> </w:t>
      </w:r>
      <w:r>
        <w:t>x 21</w:t>
      </w:r>
      <w:r w:rsidR="006A2D8C">
        <w:t xml:space="preserve"> </w:t>
      </w:r>
      <w:r>
        <w:t xml:space="preserve">day cycles of either </w:t>
      </w:r>
      <w:r w:rsidR="008A2F5F">
        <w:t>Riximyo</w:t>
      </w:r>
      <w:r>
        <w:t xml:space="preserve"> or MabThera in combination with CVP for approximately 6 months (n=312, </w:t>
      </w:r>
      <w:r w:rsidR="008A2F5F">
        <w:t>Riximyo</w:t>
      </w:r>
      <w:r>
        <w:t xml:space="preserve"> + CVP; n=315, MabThera + CVP). In addition, safety data in GP13-301 were also provided for a total of 462</w:t>
      </w:r>
      <w:r w:rsidR="000B3A10">
        <w:t xml:space="preserve"> </w:t>
      </w:r>
      <w:r>
        <w:t>patients continuing treatment in the maintenance phase, with 8 x 3-month cycles planned for 2 years (n</w:t>
      </w:r>
      <w:r w:rsidR="008B38A9">
        <w:t> </w:t>
      </w:r>
      <w:r>
        <w:t>=</w:t>
      </w:r>
      <w:r w:rsidR="008B38A9">
        <w:t> </w:t>
      </w:r>
      <w:r>
        <w:t xml:space="preserve">231, </w:t>
      </w:r>
      <w:r w:rsidR="008A2F5F">
        <w:t>Riximyo</w:t>
      </w:r>
      <w:r>
        <w:t>; n</w:t>
      </w:r>
      <w:r w:rsidR="008B38A9">
        <w:t> </w:t>
      </w:r>
      <w:r>
        <w:t>=</w:t>
      </w:r>
      <w:r w:rsidR="008B38A9">
        <w:t> </w:t>
      </w:r>
      <w:r>
        <w:t xml:space="preserve">231, MabThera). The safety data reported for the maintenance phase of </w:t>
      </w:r>
      <w:r w:rsidR="009B2FD7">
        <w:t>Study GP</w:t>
      </w:r>
      <w:r>
        <w:t xml:space="preserve">13-301 were </w:t>
      </w:r>
      <w:r w:rsidR="006A2D8C">
        <w:t xml:space="preserve">treated as </w:t>
      </w:r>
      <w:r>
        <w:t>interim as the study is ongoing.</w:t>
      </w:r>
    </w:p>
    <w:p w14:paraId="7F4AA705" w14:textId="38A9B037" w:rsidR="004C1958" w:rsidRDefault="004C1958" w:rsidP="005B0109">
      <w:pPr>
        <w:pStyle w:val="ListBullet"/>
      </w:pPr>
      <w:r>
        <w:t xml:space="preserve"> In the supportive Phase II efficacy and safety study in patients with RA, safety data (Part I) were reported for a total of 173 patients (n</w:t>
      </w:r>
      <w:r w:rsidR="008B38A9">
        <w:t xml:space="preserve"> </w:t>
      </w:r>
      <w:r>
        <w:t>=</w:t>
      </w:r>
      <w:r w:rsidR="008B38A9">
        <w:t xml:space="preserve"> </w:t>
      </w:r>
      <w:r>
        <w:t xml:space="preserve">86, </w:t>
      </w:r>
      <w:r w:rsidR="008A2F5F">
        <w:t>Riximyo</w:t>
      </w:r>
      <w:r>
        <w:t>; n</w:t>
      </w:r>
      <w:r w:rsidR="008B38A9">
        <w:t xml:space="preserve"> </w:t>
      </w:r>
      <w:r>
        <w:t>=</w:t>
      </w:r>
      <w:r w:rsidR="008B38A9">
        <w:t xml:space="preserve"> </w:t>
      </w:r>
      <w:r>
        <w:t xml:space="preserve">87 MabThera) treated for up to 52 weeks (two initial infusions separated by 2-weeks </w:t>
      </w:r>
      <w:r w:rsidR="008B38A9">
        <w:t>(</w:t>
      </w:r>
      <w:r>
        <w:t>Day 1 and Day</w:t>
      </w:r>
      <w:r w:rsidR="008B38A9">
        <w:t> </w:t>
      </w:r>
      <w:r>
        <w:t>15</w:t>
      </w:r>
      <w:r w:rsidR="008B38A9">
        <w:t>)</w:t>
      </w:r>
      <w:r>
        <w:t xml:space="preserve">, followed by two infusions separated by 2 weeks initiated from Week 24 to Week 52 for selected patients). In addition to safety data from the studies in patients with FL and RA, the submission also included safety data on 6 Japanese patients with low grade CD20+ NHL treated with </w:t>
      </w:r>
      <w:r w:rsidR="008A2F5F">
        <w:t>Riximyo</w:t>
      </w:r>
      <w:r>
        <w:t xml:space="preserve"> from the Phase 1 </w:t>
      </w:r>
      <w:r w:rsidR="009B2FD7">
        <w:t>Study GP</w:t>
      </w:r>
      <w:r>
        <w:t>13-101.</w:t>
      </w:r>
    </w:p>
    <w:p w14:paraId="7F4AA706" w14:textId="77777777" w:rsidR="004C1958" w:rsidRDefault="004C1958" w:rsidP="005B0109">
      <w:pPr>
        <w:pStyle w:val="ListBullet"/>
      </w:pPr>
      <w:r>
        <w:t xml:space="preserve">In </w:t>
      </w:r>
      <w:r w:rsidR="009B2FD7">
        <w:t>Study GP</w:t>
      </w:r>
      <w:r>
        <w:t xml:space="preserve">13-301, the median duration of exposure for both treatment arms in the combination phase was 168 days, and the median cumulative dose of study drug was similar in the two treatment arms (5172 mg, </w:t>
      </w:r>
      <w:r w:rsidR="008A2F5F">
        <w:t>Riximyo</w:t>
      </w:r>
      <w:r w:rsidR="00794474">
        <w:t xml:space="preserve"> versus </w:t>
      </w:r>
      <w:r>
        <w:t xml:space="preserve">5205 mg, MabThera). In the combination phase, 89.7% (280/312) of patients in the </w:t>
      </w:r>
      <w:r w:rsidR="008A2F5F">
        <w:t>Riximyo</w:t>
      </w:r>
      <w:r>
        <w:t xml:space="preserve"> arm received 8 treatment cycles compared to 90.2% (284/315) of patients in the MabThera arm. In the maintenance phase, the median cumulative dose of study drug was lower in the </w:t>
      </w:r>
      <w:r w:rsidR="008A2F5F">
        <w:t>Riximyo</w:t>
      </w:r>
      <w:r>
        <w:t xml:space="preserve"> arm than in the MabThera arm (2261 mg</w:t>
      </w:r>
      <w:r w:rsidR="00794474">
        <w:t xml:space="preserve"> versus </w:t>
      </w:r>
      <w:r>
        <w:t xml:space="preserve">2705 mg, respectively) with the difference being due to the higher rate of discontinuations due to AEs in the </w:t>
      </w:r>
      <w:r w:rsidR="008A2F5F">
        <w:t>Riximyo</w:t>
      </w:r>
      <w:r>
        <w:t xml:space="preserve"> arm than in the MabThera arm.</w:t>
      </w:r>
      <w:r w:rsidR="000B3A10">
        <w:t xml:space="preserve"> </w:t>
      </w:r>
      <w:r>
        <w:t xml:space="preserve">In the maintenance phase, 16.5% (38/231) of patients in the </w:t>
      </w:r>
      <w:r w:rsidR="008A2F5F">
        <w:t>Riximyo</w:t>
      </w:r>
      <w:r>
        <w:t xml:space="preserve"> arm received 8 treatment cycles compared to 19.0% (44/231) of patients in the MabThera arm.</w:t>
      </w:r>
    </w:p>
    <w:p w14:paraId="7F4AA707" w14:textId="60D9F1B7" w:rsidR="004C1958" w:rsidRDefault="004C1958" w:rsidP="005B0109">
      <w:pPr>
        <w:pStyle w:val="ListBullet"/>
      </w:pPr>
      <w:r>
        <w:lastRenderedPageBreak/>
        <w:t xml:space="preserve">In </w:t>
      </w:r>
      <w:r w:rsidR="009B2FD7">
        <w:t>Study GP</w:t>
      </w:r>
      <w:r>
        <w:t xml:space="preserve">13-301, based on the number of cycles of investigational treatment in the maintenance phase it can be estimated that approximately 195 patients have been treated with </w:t>
      </w:r>
      <w:r w:rsidR="008A2F5F">
        <w:t>Riximyo</w:t>
      </w:r>
      <w:r>
        <w:t xml:space="preserve"> for 12 months (</w:t>
      </w:r>
      <w:r w:rsidR="00413790">
        <w:t>that is,</w:t>
      </w:r>
      <w:r>
        <w:t xml:space="preserve"> combination plus maintenance phase) compared to approximately 194 patients treated with MabThera, with the corresponding number of patients treated for 30 months (combination plus maintenance phase) being 38 and 44 patients, respectively.</w:t>
      </w:r>
    </w:p>
    <w:p w14:paraId="4D17F818" w14:textId="77777777" w:rsidR="00EA1DF3" w:rsidRDefault="004C1958" w:rsidP="005B0109">
      <w:pPr>
        <w:pStyle w:val="ListBullet"/>
      </w:pPr>
      <w:r>
        <w:t xml:space="preserve">The duration of exposure to </w:t>
      </w:r>
      <w:r w:rsidR="008A2F5F">
        <w:t>Riximyo</w:t>
      </w:r>
      <w:r>
        <w:t xml:space="preserve"> in patients with RA (</w:t>
      </w:r>
      <w:r w:rsidR="009B2FD7">
        <w:t>Study GP</w:t>
      </w:r>
      <w:r>
        <w:t xml:space="preserve">13-201; Part I) was 1 month for 84 patients, 3 months for 82 patients, 6 months for 77 patients, and 12 months for 49 patients. The total person-years of exposure to </w:t>
      </w:r>
      <w:r w:rsidR="008A2F5F">
        <w:t>Riximyo</w:t>
      </w:r>
      <w:r>
        <w:t xml:space="preserve"> in </w:t>
      </w:r>
      <w:r w:rsidR="009B2FD7">
        <w:t>Study GP</w:t>
      </w:r>
      <w:r>
        <w:t xml:space="preserve">13-201 (Part I) was 87.1 person-years. In </w:t>
      </w:r>
      <w:r w:rsidR="008B38A9">
        <w:t xml:space="preserve">Study </w:t>
      </w:r>
      <w:r>
        <w:t xml:space="preserve">GP13-201 (Part I), the number of patients receiving the maximum number of 4 infusions was similar in the </w:t>
      </w:r>
      <w:r w:rsidR="008A2F5F">
        <w:t>Riximyo</w:t>
      </w:r>
      <w:r>
        <w:t xml:space="preserve"> and the MabThera arms (n</w:t>
      </w:r>
      <w:r w:rsidR="008B38A9">
        <w:t xml:space="preserve"> </w:t>
      </w:r>
      <w:r>
        <w:t>=</w:t>
      </w:r>
      <w:r w:rsidR="008B38A9">
        <w:t xml:space="preserve"> </w:t>
      </w:r>
      <w:r>
        <w:t xml:space="preserve">59 </w:t>
      </w:r>
      <w:r w:rsidR="008B38A9">
        <w:t>(</w:t>
      </w:r>
      <w:r>
        <w:t>68.6%</w:t>
      </w:r>
      <w:r w:rsidR="008B38A9">
        <w:t>)</w:t>
      </w:r>
      <w:r w:rsidR="00794474">
        <w:t xml:space="preserve"> versus </w:t>
      </w:r>
      <w:r>
        <w:t>n</w:t>
      </w:r>
      <w:r w:rsidR="008B38A9">
        <w:t xml:space="preserve"> </w:t>
      </w:r>
      <w:r>
        <w:t>=</w:t>
      </w:r>
      <w:r w:rsidR="008B38A9">
        <w:t xml:space="preserve"> </w:t>
      </w:r>
      <w:r>
        <w:t xml:space="preserve">58 </w:t>
      </w:r>
      <w:r w:rsidR="008B38A9">
        <w:t>(</w:t>
      </w:r>
      <w:r>
        <w:t>66.7%</w:t>
      </w:r>
      <w:r w:rsidR="008B38A9">
        <w:t>)</w:t>
      </w:r>
      <w:r>
        <w:t>, respectively)</w:t>
      </w:r>
      <w:r w:rsidR="00EA1DF3">
        <w:t>.</w:t>
      </w:r>
    </w:p>
    <w:p w14:paraId="7F4AA709" w14:textId="466FE103" w:rsidR="004C1958" w:rsidRDefault="004C1958" w:rsidP="005B0109">
      <w:pPr>
        <w:pStyle w:val="ListBullet"/>
      </w:pPr>
      <w:r>
        <w:t xml:space="preserve">Data from the draft </w:t>
      </w:r>
      <w:r w:rsidR="006A2D8C">
        <w:t>Risk management plan (</w:t>
      </w:r>
      <w:r>
        <w:t>RMP</w:t>
      </w:r>
      <w:r w:rsidR="006A2D8C">
        <w:t>)</w:t>
      </w:r>
      <w:r>
        <w:t xml:space="preserve"> indicates that the total number of patients exposed to </w:t>
      </w:r>
      <w:r w:rsidR="008A2F5F">
        <w:t>Riximyo</w:t>
      </w:r>
      <w:r>
        <w:t xml:space="preserve"> was 470 (submitted trials and not submitted ongoing trials), which based on the </w:t>
      </w:r>
      <w:r w:rsidR="0061344E">
        <w:t>‘</w:t>
      </w:r>
      <w:r>
        <w:t>rule of 3s</w:t>
      </w:r>
      <w:r w:rsidR="0061344E">
        <w:t>’</w:t>
      </w:r>
      <w:r>
        <w:t xml:space="preserve"> is too low to detect rare adverse drug reactions (</w:t>
      </w:r>
      <w:r w:rsidR="00413790">
        <w:t>that is,</w:t>
      </w:r>
      <w:r>
        <w:t xml:space="preserve"> </w:t>
      </w:r>
      <w:r w:rsidR="009E635F" w:rsidRPr="004C1958">
        <w:t>≥</w:t>
      </w:r>
      <w:r w:rsidR="009E635F">
        <w:t> </w:t>
      </w:r>
      <w:r>
        <w:t xml:space="preserve">1/10,000 to &lt; 1/1,000). However, the available safety data suggest that rare adverse drug reactions for </w:t>
      </w:r>
      <w:r w:rsidR="008A2F5F">
        <w:t>Riximyo</w:t>
      </w:r>
      <w:r>
        <w:t xml:space="preserve"> and MabThera are unlikely to be notably different.</w:t>
      </w:r>
    </w:p>
    <w:p w14:paraId="7F4AA70A" w14:textId="69B6EA67" w:rsidR="004C1958" w:rsidRDefault="004C1958" w:rsidP="005B0109">
      <w:pPr>
        <w:pStyle w:val="ListBullet"/>
      </w:pPr>
      <w:r>
        <w:t xml:space="preserve">There were no general safety or immunogenicity data in patients with RA or FL treated initially with MabThera and then switched to </w:t>
      </w:r>
      <w:r w:rsidR="008A2F5F">
        <w:t>Riximyo</w:t>
      </w:r>
      <w:r>
        <w:t>. However, there is a study (</w:t>
      </w:r>
      <w:r w:rsidR="008B38A9">
        <w:t xml:space="preserve">Study </w:t>
      </w:r>
      <w:r>
        <w:t xml:space="preserve">GP13-302) currently underway in patients with RA comparing general safety and immunogenicity in patients switched from Rituxan (US approved) or MabThera (EU approved) to </w:t>
      </w:r>
      <w:r w:rsidR="008A2F5F">
        <w:t>Riximyo</w:t>
      </w:r>
      <w:r>
        <w:t xml:space="preserve"> to patients continuing treatment with Rituxan (US approved) or MabThera (EU approved).</w:t>
      </w:r>
    </w:p>
    <w:p w14:paraId="7F4AA70B" w14:textId="22014529" w:rsidR="00A02B45" w:rsidRPr="00B964C9" w:rsidRDefault="00A02B45" w:rsidP="00A02B45">
      <w:pPr>
        <w:pStyle w:val="Heading5"/>
        <w:rPr>
          <w:lang w:val="en-US"/>
        </w:rPr>
      </w:pPr>
      <w:r w:rsidRPr="00B964C9">
        <w:rPr>
          <w:lang w:val="en-US"/>
        </w:rPr>
        <w:t>Study GP13-201 RA</w:t>
      </w:r>
    </w:p>
    <w:p w14:paraId="7F4AA70C" w14:textId="0CF03CE1" w:rsidR="00A02B45" w:rsidRDefault="00A02B45" w:rsidP="00A02B45">
      <w:pPr>
        <w:pStyle w:val="ListBullet"/>
        <w:rPr>
          <w:lang w:val="en-US"/>
        </w:rPr>
      </w:pPr>
      <w:r>
        <w:rPr>
          <w:lang w:val="en-US"/>
        </w:rPr>
        <w:t xml:space="preserve">In patients with RA (GP13-201), AEs were reported in a similar proportion of patients in the </w:t>
      </w:r>
      <w:r w:rsidR="008A2F5F">
        <w:rPr>
          <w:lang w:val="en-US"/>
        </w:rPr>
        <w:t>Riximyo</w:t>
      </w:r>
      <w:r>
        <w:rPr>
          <w:lang w:val="en-US"/>
        </w:rPr>
        <w:t xml:space="preserve"> and the MabThera arms (65.1% vs 65.5%, respectively), as were AEs suspected to be study drug-related (32.6% v</w:t>
      </w:r>
      <w:r w:rsidR="008B38A9">
        <w:rPr>
          <w:lang w:val="en-US"/>
        </w:rPr>
        <w:t>ersu</w:t>
      </w:r>
      <w:r>
        <w:rPr>
          <w:lang w:val="en-US"/>
        </w:rPr>
        <w:t xml:space="preserve">s 33.3%, respectively). The most commonly occurring AEs by SOC in both treatment arms were </w:t>
      </w:r>
      <w:r w:rsidR="008B38A9">
        <w:rPr>
          <w:lang w:val="en-US"/>
        </w:rPr>
        <w:t>‘</w:t>
      </w:r>
      <w:r>
        <w:rPr>
          <w:lang w:val="en-US"/>
        </w:rPr>
        <w:t>infection and infestations</w:t>
      </w:r>
      <w:r w:rsidR="008B38A9">
        <w:rPr>
          <w:lang w:val="en-US"/>
        </w:rPr>
        <w:t>’</w:t>
      </w:r>
      <w:r>
        <w:rPr>
          <w:lang w:val="en-US"/>
        </w:rPr>
        <w:t xml:space="preserve"> (31.4%, </w:t>
      </w:r>
      <w:r w:rsidR="008A2F5F">
        <w:rPr>
          <w:lang w:val="en-US"/>
        </w:rPr>
        <w:t>Riximyo</w:t>
      </w:r>
      <w:r>
        <w:rPr>
          <w:lang w:val="en-US"/>
        </w:rPr>
        <w:t xml:space="preserve"> v</w:t>
      </w:r>
      <w:r w:rsidR="008B38A9">
        <w:rPr>
          <w:lang w:val="en-US"/>
        </w:rPr>
        <w:t>ersu</w:t>
      </w:r>
      <w:r>
        <w:rPr>
          <w:lang w:val="en-US"/>
        </w:rPr>
        <w:t>s 35.6%, MabThera). Overall, the AE profiles of the two treatment arms were similar and the observed differences are not considered to be clinically meaningful.</w:t>
      </w:r>
    </w:p>
    <w:p w14:paraId="7F4AA70D" w14:textId="775C44EC" w:rsidR="00A02B45" w:rsidRPr="00A02B45" w:rsidRDefault="00A02B45" w:rsidP="00A02B45">
      <w:pPr>
        <w:pStyle w:val="ListBullet"/>
      </w:pPr>
      <w:r w:rsidRPr="00A612EF">
        <w:t xml:space="preserve">The </w:t>
      </w:r>
      <w:r>
        <w:t xml:space="preserve">incidence of post-baseline ADAs </w:t>
      </w:r>
      <w:r w:rsidRPr="00A612EF">
        <w:t xml:space="preserve">was lower in </w:t>
      </w:r>
      <w:r>
        <w:t xml:space="preserve">patients in </w:t>
      </w:r>
      <w:r w:rsidRPr="00A612EF">
        <w:t xml:space="preserve">the </w:t>
      </w:r>
      <w:r w:rsidR="008A2F5F">
        <w:t>Riximyo</w:t>
      </w:r>
      <w:r w:rsidRPr="00A612EF">
        <w:t xml:space="preserve"> arm than in patients in the MabThera arm (11.0% vs 21.4%</w:t>
      </w:r>
      <w:r>
        <w:t xml:space="preserve">), while NAbs were reported in 3.7% and 1.2% of patients, respectively. </w:t>
      </w:r>
      <w:r>
        <w:rPr>
          <w:lang w:val="en-US"/>
        </w:rPr>
        <w:t>Infusion related reactions (</w:t>
      </w:r>
      <w:r w:rsidR="008B38A9">
        <w:rPr>
          <w:lang w:val="en-US"/>
        </w:rPr>
        <w:t xml:space="preserve">sponsor </w:t>
      </w:r>
      <w:r>
        <w:rPr>
          <w:lang w:val="en-US"/>
        </w:rPr>
        <w:t xml:space="preserve">MedDRA Query) were reported more frequently in the MabThera arm than in the </w:t>
      </w:r>
      <w:r w:rsidR="008A2F5F">
        <w:rPr>
          <w:lang w:val="en-US"/>
        </w:rPr>
        <w:t>Riximyo</w:t>
      </w:r>
      <w:r>
        <w:rPr>
          <w:lang w:val="en-US"/>
        </w:rPr>
        <w:t xml:space="preserve"> arm (42.5% v</w:t>
      </w:r>
      <w:r w:rsidR="008B38A9">
        <w:rPr>
          <w:lang w:val="en-US"/>
        </w:rPr>
        <w:t>ersu</w:t>
      </w:r>
      <w:r>
        <w:rPr>
          <w:lang w:val="en-US"/>
        </w:rPr>
        <w:t>s 37.2%, respectively).</w:t>
      </w:r>
    </w:p>
    <w:p w14:paraId="26249CC4" w14:textId="77777777" w:rsidR="00EA1DF3" w:rsidRDefault="00A02B45" w:rsidP="00A02B45">
      <w:pPr>
        <w:pStyle w:val="ListBullet"/>
        <w:numPr>
          <w:ilvl w:val="0"/>
          <w:numId w:val="0"/>
        </w:numPr>
        <w:rPr>
          <w:lang w:val="en-US"/>
        </w:rPr>
      </w:pPr>
      <w:r w:rsidRPr="00A02B45">
        <w:rPr>
          <w:lang w:val="en-US"/>
        </w:rPr>
        <w:t xml:space="preserve">For further details on the evaluator’s assessment of this study </w:t>
      </w:r>
      <w:r w:rsidRPr="00A02B45">
        <w:rPr>
          <w:i/>
          <w:lang w:val="en-US"/>
        </w:rPr>
        <w:t>Evaluator’s overall conclusions on clinical safety</w:t>
      </w:r>
      <w:r>
        <w:rPr>
          <w:lang w:val="en-US"/>
        </w:rPr>
        <w:t xml:space="preserve"> </w:t>
      </w:r>
      <w:r w:rsidR="00A1435B">
        <w:rPr>
          <w:lang w:val="en-US"/>
        </w:rPr>
        <w:t>(</w:t>
      </w:r>
      <w:r w:rsidRPr="00A02B45">
        <w:rPr>
          <w:lang w:val="en-US"/>
        </w:rPr>
        <w:t>see Attachment 2</w:t>
      </w:r>
      <w:r w:rsidR="00A1435B">
        <w:rPr>
          <w:lang w:val="en-US"/>
        </w:rPr>
        <w:t>)</w:t>
      </w:r>
      <w:r w:rsidR="00EA1DF3">
        <w:rPr>
          <w:lang w:val="en-US"/>
        </w:rPr>
        <w:t>.</w:t>
      </w:r>
    </w:p>
    <w:p w14:paraId="017CF7C2" w14:textId="03CF2788" w:rsidR="00EA1DF3" w:rsidRDefault="00965C95" w:rsidP="00965C95">
      <w:pPr>
        <w:pStyle w:val="Heading5"/>
      </w:pPr>
      <w:r>
        <w:t xml:space="preserve">Study GP13-301 - FL - Combination and </w:t>
      </w:r>
      <w:r w:rsidR="00EA516A">
        <w:t>maintenance phases</w:t>
      </w:r>
    </w:p>
    <w:p w14:paraId="7F4AA710" w14:textId="08A01CC9" w:rsidR="00965C95" w:rsidRDefault="00965C95" w:rsidP="00965C95">
      <w:pPr>
        <w:pStyle w:val="ListBullet"/>
      </w:pPr>
      <w:r>
        <w:t>Immunogenicity was assessed in 551 patients (n</w:t>
      </w:r>
      <w:r w:rsidR="008B38A9">
        <w:t xml:space="preserve"> </w:t>
      </w:r>
      <w:r>
        <w:t>=</w:t>
      </w:r>
      <w:r w:rsidR="008B38A9">
        <w:t xml:space="preserve"> </w:t>
      </w:r>
      <w:r>
        <w:t xml:space="preserve">268, </w:t>
      </w:r>
      <w:r w:rsidR="008A2F5F">
        <w:t>Riximyo</w:t>
      </w:r>
      <w:r>
        <w:t>; n</w:t>
      </w:r>
      <w:r w:rsidR="008B38A9">
        <w:t xml:space="preserve"> </w:t>
      </w:r>
      <w:r>
        <w:t>=</w:t>
      </w:r>
      <w:r w:rsidR="008B38A9">
        <w:t xml:space="preserve"> </w:t>
      </w:r>
      <w:r>
        <w:t xml:space="preserve">283, MabThera). The frequency of ADAs in the combination phase was 1.5% in the </w:t>
      </w:r>
      <w:r w:rsidR="008A2F5F">
        <w:t>Riximyo</w:t>
      </w:r>
      <w:r>
        <w:t xml:space="preserve"> arm and 1.1% in the MabThera arm and in the maintenance phase was 0.4% and 0%, respectively. Overall, ADAs were detected in 5 (1.9%) of patients in the </w:t>
      </w:r>
      <w:r w:rsidR="008A2F5F">
        <w:t>Riximyo</w:t>
      </w:r>
      <w:r>
        <w:t xml:space="preserve"> arm and 3 (1.1%) patients in the MabThera arm. NAbs were detected in 2 out of 268 (0.7%) patients in the </w:t>
      </w:r>
      <w:r w:rsidR="008A2F5F">
        <w:t>Riximyo</w:t>
      </w:r>
      <w:r>
        <w:t xml:space="preserve"> arm and 2 out of 283 (0.7%) patients in the MabThera arm.</w:t>
      </w:r>
    </w:p>
    <w:p w14:paraId="7F4AA711" w14:textId="3B5E3420" w:rsidR="00965C95" w:rsidRDefault="00965C95" w:rsidP="00965C95">
      <w:pPr>
        <w:pStyle w:val="ListBullet"/>
      </w:pPr>
      <w:r>
        <w:t xml:space="preserve">There were no clinically meaningful differences between the two treatment arms in the combination and maintenance phases as regards AEs of particular regulatory interest including hepatic, renal, cardiovascular and skin toxicity or immune system </w:t>
      </w:r>
      <w:r>
        <w:lastRenderedPageBreak/>
        <w:t>disorders. No notable clinically significant differences between the two treatment arms were observed as regards vital signs or clinical laboratory tests (haematology and chemistry).</w:t>
      </w:r>
    </w:p>
    <w:p w14:paraId="7F4AA712" w14:textId="77777777" w:rsidR="00965C95" w:rsidRPr="00605AD4" w:rsidRDefault="00965C95" w:rsidP="00965C95">
      <w:pPr>
        <w:pStyle w:val="ListBullet"/>
      </w:pPr>
      <w:r>
        <w:t xml:space="preserve">There were no studies in special groups specifically comparing safety in patients by age, sex or race. There were no special studies in patients with hepatic, renal impairment or cardiac impairment. However, based on the currently available data it is unlikely that the safety profile of the two products will significantly differ in patients treated with </w:t>
      </w:r>
      <w:r w:rsidR="008A2F5F">
        <w:t>Riximyo</w:t>
      </w:r>
      <w:r>
        <w:t xml:space="preserve"> or MabThera.</w:t>
      </w:r>
    </w:p>
    <w:p w14:paraId="7F4AA713" w14:textId="28027CA7" w:rsidR="00965C95" w:rsidRDefault="00965C95" w:rsidP="00965C95">
      <w:pPr>
        <w:pStyle w:val="ListBullet"/>
        <w:numPr>
          <w:ilvl w:val="0"/>
          <w:numId w:val="0"/>
        </w:numPr>
      </w:pPr>
      <w:r w:rsidRPr="00871506">
        <w:t xml:space="preserve">For summaries of </w:t>
      </w:r>
      <w:r w:rsidR="00BE0CB5">
        <w:t xml:space="preserve">safety findings in </w:t>
      </w:r>
      <w:r w:rsidRPr="00871506">
        <w:t>the individual studies (Study GP13-201-RA and Study</w:t>
      </w:r>
      <w:r w:rsidR="008B38A9">
        <w:t> </w:t>
      </w:r>
      <w:r w:rsidRPr="00871506">
        <w:t>GP13-301)</w:t>
      </w:r>
      <w:r w:rsidR="00BE0CB5">
        <w:t xml:space="preserve"> see </w:t>
      </w:r>
      <w:r w:rsidR="00010A6B">
        <w:t xml:space="preserve">the </w:t>
      </w:r>
      <w:r w:rsidR="00010A6B" w:rsidRPr="00A02B45">
        <w:rPr>
          <w:i/>
          <w:lang w:val="en-US"/>
        </w:rPr>
        <w:t>Evaluator’s overall conclusions on clinical safety</w:t>
      </w:r>
      <w:r w:rsidR="00010A6B">
        <w:t xml:space="preserve"> in </w:t>
      </w:r>
      <w:r w:rsidR="00BE0CB5">
        <w:t>Attachment 2</w:t>
      </w:r>
      <w:r w:rsidRPr="00871506">
        <w:t xml:space="preserve">. See also </w:t>
      </w:r>
      <w:r w:rsidRPr="00010A6B">
        <w:rPr>
          <w:i/>
        </w:rPr>
        <w:t>First round benefit-risk assessme</w:t>
      </w:r>
      <w:r w:rsidRPr="00871506">
        <w:t>nt</w:t>
      </w:r>
      <w:r w:rsidR="00871506" w:rsidRPr="00871506">
        <w:t xml:space="preserve"> in Attachment 2 and </w:t>
      </w:r>
      <w:r w:rsidR="00871506" w:rsidRPr="00010A6B">
        <w:rPr>
          <w:i/>
        </w:rPr>
        <w:t>Second round benefit-risk assessmen</w:t>
      </w:r>
      <w:r w:rsidR="00871506" w:rsidRPr="00871506">
        <w:t>t</w:t>
      </w:r>
      <w:r w:rsidRPr="00871506">
        <w:t xml:space="preserve"> below.</w:t>
      </w:r>
    </w:p>
    <w:p w14:paraId="7F4AA714" w14:textId="64D6A185" w:rsidR="00605AD4" w:rsidRPr="00605AD4" w:rsidRDefault="00605AD4" w:rsidP="00605AD4">
      <w:pPr>
        <w:pStyle w:val="Heading3"/>
        <w:rPr>
          <w:rFonts w:eastAsia="Cambria"/>
        </w:rPr>
      </w:pPr>
      <w:bookmarkStart w:id="94" w:name="_Toc524426284"/>
      <w:r w:rsidRPr="00605AD4">
        <w:rPr>
          <w:rFonts w:eastAsia="Cambria"/>
        </w:rPr>
        <w:t xml:space="preserve">Second </w:t>
      </w:r>
      <w:r w:rsidR="00EA516A" w:rsidRPr="00605AD4">
        <w:rPr>
          <w:rFonts w:eastAsia="Cambria"/>
        </w:rPr>
        <w:t>round evaluation</w:t>
      </w:r>
      <w:bookmarkEnd w:id="94"/>
    </w:p>
    <w:p w14:paraId="7F4AA715" w14:textId="6ECCC7CE" w:rsidR="006136D7" w:rsidRPr="00605AD4" w:rsidRDefault="00500337" w:rsidP="006136D7">
      <w:r w:rsidRPr="00500337">
        <w:t xml:space="preserve">For details of the second round evaluation including the issues raised by the evaluator (Clinical questions), the sponsor’s responses and the evaluation of these responses please </w:t>
      </w:r>
      <w:r w:rsidR="00A1435B">
        <w:t>(</w:t>
      </w:r>
      <w:r w:rsidRPr="00500337">
        <w:t>see Attachment 2</w:t>
      </w:r>
      <w:r w:rsidR="00A1435B">
        <w:t>)</w:t>
      </w:r>
      <w:r w:rsidRPr="00500337">
        <w:t>.</w:t>
      </w:r>
    </w:p>
    <w:p w14:paraId="7F4AA716" w14:textId="53B6FE3D" w:rsidR="00605AD4" w:rsidRPr="00605AD4" w:rsidRDefault="00605AD4" w:rsidP="00546154">
      <w:pPr>
        <w:pStyle w:val="Heading3"/>
        <w:rPr>
          <w:rFonts w:eastAsia="Cambria"/>
        </w:rPr>
      </w:pPr>
      <w:bookmarkStart w:id="95" w:name="_Toc524426285"/>
      <w:r w:rsidRPr="00605AD4">
        <w:rPr>
          <w:rFonts w:eastAsia="Cambria"/>
        </w:rPr>
        <w:t xml:space="preserve">Second </w:t>
      </w:r>
      <w:r w:rsidR="00EA516A" w:rsidRPr="00605AD4">
        <w:rPr>
          <w:rFonts w:eastAsia="Cambria"/>
        </w:rPr>
        <w:t>round benefit-risk assessment</w:t>
      </w:r>
      <w:bookmarkEnd w:id="95"/>
    </w:p>
    <w:p w14:paraId="5FDBE76E" w14:textId="77777777" w:rsidR="00EA1DF3" w:rsidRDefault="004C1958" w:rsidP="009B386A">
      <w:pPr>
        <w:pStyle w:val="Heading4"/>
      </w:pPr>
      <w:r>
        <w:t>Second round assessment of benefits</w:t>
      </w:r>
    </w:p>
    <w:p w14:paraId="7F4AA718" w14:textId="32396B73" w:rsidR="004C1958" w:rsidRDefault="004C1958" w:rsidP="000C74ED">
      <w:r>
        <w:t xml:space="preserve">It is considered that the original and the updated efficacy data provided in the sponsor's response to the first round CER data show that the benefits of treatment with </w:t>
      </w:r>
      <w:r w:rsidR="008A2F5F">
        <w:t>Riximyo</w:t>
      </w:r>
      <w:r>
        <w:t xml:space="preserve"> for the proposed indications are comparable to the benefits of treatment with MabThera.</w:t>
      </w:r>
    </w:p>
    <w:p w14:paraId="7F4AA719" w14:textId="77777777" w:rsidR="004C1958" w:rsidRDefault="004C1958" w:rsidP="000C74ED">
      <w:r>
        <w:t xml:space="preserve">The pivotal Phase III clinical efficacy and safety </w:t>
      </w:r>
      <w:r w:rsidR="009B2FD7">
        <w:t>Study GP</w:t>
      </w:r>
      <w:r>
        <w:t xml:space="preserve">13-301 showed that treatment with </w:t>
      </w:r>
      <w:r w:rsidR="008A2F5F">
        <w:t>Riximyo</w:t>
      </w:r>
      <w:r>
        <w:t xml:space="preserve"> (375 mg</w:t>
      </w:r>
      <w:r w:rsidR="000A6E90" w:rsidRPr="004C1958">
        <w:t>/m</w:t>
      </w:r>
      <w:r w:rsidR="000A6E90" w:rsidRPr="000A6E90">
        <w:rPr>
          <w:vertAlign w:val="superscript"/>
        </w:rPr>
        <w:t>2</w:t>
      </w:r>
      <w:r>
        <w:t>, IV) and MabThera (375 mg</w:t>
      </w:r>
      <w:r w:rsidR="000A6E90" w:rsidRPr="004C1958">
        <w:t>/m</w:t>
      </w:r>
      <w:r w:rsidR="000A6E90" w:rsidRPr="000A6E90">
        <w:rPr>
          <w:vertAlign w:val="superscript"/>
        </w:rPr>
        <w:t>2</w:t>
      </w:r>
      <w:r>
        <w:t xml:space="preserve">, IV) in combination with CVP chemotherapy for approximately 6 months (8 x 21 day cycles) had equivalent effects on the ORR based on Modified Response Criteria for Malignant Lymphoma using central blinded review of the radiological response and liver/spleen enlargement assessments in patients with FL (PPS). In the combination phase, the ORR was 87.1% (271/311) in the </w:t>
      </w:r>
      <w:r w:rsidR="008A2F5F">
        <w:t>Riximyo</w:t>
      </w:r>
      <w:r>
        <w:t xml:space="preserve"> arm and 87.5% (274/313) in the MabThera arm in the PPS, with the difference in the ORR between the two arms being -0.40% (95% CI: -5.94%, 5.14%). The 95% CI for the difference in ORR between the two arms was entirely enclosed within the pre-specified ORR equivalence margin of -12% to +12%.</w:t>
      </w:r>
      <w:r w:rsidR="000B3A10">
        <w:t xml:space="preserve"> </w:t>
      </w:r>
      <w:r>
        <w:t>The results for the analysis in the FAS were consistent with the results for the primary analysis in the PPS.</w:t>
      </w:r>
    </w:p>
    <w:p w14:paraId="7F4AA71A" w14:textId="27056595" w:rsidR="009A0371" w:rsidRDefault="009A0371" w:rsidP="009A0371">
      <w:pPr>
        <w:pStyle w:val="ListBullet"/>
        <w:numPr>
          <w:ilvl w:val="0"/>
          <w:numId w:val="0"/>
        </w:numPr>
      </w:pPr>
      <w:r>
        <w:t xml:space="preserve">For further details on the evaluator’s </w:t>
      </w:r>
      <w:proofErr w:type="gramStart"/>
      <w:r w:rsidRPr="00B15E76">
        <w:rPr>
          <w:i/>
        </w:rPr>
        <w:t>Second</w:t>
      </w:r>
      <w:proofErr w:type="gramEnd"/>
      <w:r w:rsidRPr="00B15E76">
        <w:rPr>
          <w:i/>
        </w:rPr>
        <w:t xml:space="preserve"> round benefit assessment</w:t>
      </w:r>
      <w:r>
        <w:t xml:space="preserve"> </w:t>
      </w:r>
      <w:r w:rsidR="00A1435B">
        <w:t>(</w:t>
      </w:r>
      <w:r>
        <w:t>see Attachment 2</w:t>
      </w:r>
      <w:r w:rsidR="00A1435B">
        <w:t>)</w:t>
      </w:r>
      <w:r>
        <w:t>.</w:t>
      </w:r>
    </w:p>
    <w:p w14:paraId="182AF22F" w14:textId="77777777" w:rsidR="00EA1DF3" w:rsidRDefault="004C1958" w:rsidP="000C74ED">
      <w:r>
        <w:t>There was no switching study in the original submission. However, in the sponsor’s response of 28 June 2017 interim safety results were provided from a Phase III descriptive safety study (</w:t>
      </w:r>
      <w:r w:rsidR="008B38A9">
        <w:t xml:space="preserve">Study </w:t>
      </w:r>
      <w:r>
        <w:t xml:space="preserve">GP13-302) comparing outcomes in patients with active RA switched from Rituxan/MabThera to </w:t>
      </w:r>
      <w:r w:rsidR="008A2F5F">
        <w:t>Riximyo</w:t>
      </w:r>
      <w:r>
        <w:t xml:space="preserve"> to patients continuing treatment with Rituxan/MabThera. This study did not investigate efficacy, but focussed primarily on development of ADAs, hypersensitivity reactions, infusion-related reactions and anaphylactic reactions following switching. The sponsor commented that relevant TGA/EU biosimilar guidelines do not require specific efficacy studies investigating the effects of switching from the innovator to the biosimilar. The sponsor noted that the development of ADAs following a switch from the innovator to the biosimilar could theoretically result in decreased efficacy. However, the sponsor considered that the totality of the comparability data indicates that loss of efficacy will not be an issue for </w:t>
      </w:r>
      <w:r>
        <w:lastRenderedPageBreak/>
        <w:t xml:space="preserve">patients switching from MabThera to </w:t>
      </w:r>
      <w:r w:rsidR="008A2F5F">
        <w:t>Riximyo</w:t>
      </w:r>
      <w:r>
        <w:t xml:space="preserve">. The sponsor also commented that, to date, no drug regulatory agency has requested a study investigating the effects on efficacy of switching from MabThera to </w:t>
      </w:r>
      <w:r w:rsidR="008A2F5F">
        <w:t>Riximyo</w:t>
      </w:r>
      <w:r>
        <w:t xml:space="preserve">. The sponsor's justification for not submitting efficacy data exploring the effects of switching from MabThera to </w:t>
      </w:r>
      <w:proofErr w:type="spellStart"/>
      <w:r w:rsidR="008A2F5F">
        <w:t>Riximyo</w:t>
      </w:r>
      <w:proofErr w:type="spellEnd"/>
      <w:r>
        <w:t xml:space="preserve"> is acceptable</w:t>
      </w:r>
      <w:r w:rsidR="00EA1DF3">
        <w:t>.</w:t>
      </w:r>
    </w:p>
    <w:p w14:paraId="1E98BBBB" w14:textId="77777777" w:rsidR="00EA1DF3" w:rsidRDefault="004C1958" w:rsidP="000C74ED">
      <w:r>
        <w:t xml:space="preserve">The sponsor submitted a scientific justification for extrapolating the proposed indications of </w:t>
      </w:r>
      <w:r w:rsidR="008A2F5F">
        <w:t>Riximyo</w:t>
      </w:r>
      <w:r>
        <w:t xml:space="preserve"> from the data in RA and FL to all other TGA approved indications of MabThera based on the totality-of-data submitted to establish the comparability of </w:t>
      </w:r>
      <w:r w:rsidR="008A2F5F">
        <w:t>Riximyo</w:t>
      </w:r>
      <w:r>
        <w:t xml:space="preserve"> and MabThera. The results of the comparability exercise based on the clinical data (PK, PD, efficacy </w:t>
      </w:r>
      <w:r w:rsidR="008B38A9">
        <w:t>(</w:t>
      </w:r>
      <w:r>
        <w:t>RA, FL</w:t>
      </w:r>
      <w:r w:rsidR="008B38A9">
        <w:t>)</w:t>
      </w:r>
      <w:r>
        <w:t>) are considered to be acceptable. The data indicate that there are unlikely to be clinically meaningful differences between the two formulations, as regards the benefits of treatment for all proposed indications</w:t>
      </w:r>
      <w:r w:rsidR="00EA1DF3">
        <w:t>.</w:t>
      </w:r>
    </w:p>
    <w:p w14:paraId="4652B25C" w14:textId="77777777" w:rsidR="00EA1DF3" w:rsidRDefault="009436CA" w:rsidP="009B386A">
      <w:pPr>
        <w:pStyle w:val="Heading4"/>
      </w:pPr>
      <w:r w:rsidRPr="0050297E">
        <w:t>Second</w:t>
      </w:r>
      <w:r w:rsidR="004C1958" w:rsidRPr="0050297E">
        <w:t xml:space="preserve"> round</w:t>
      </w:r>
      <w:r w:rsidR="004C1958">
        <w:t xml:space="preserve"> assessment of risks</w:t>
      </w:r>
    </w:p>
    <w:p w14:paraId="7F4AA71E" w14:textId="124A4556" w:rsidR="004C1958" w:rsidRDefault="004C1958" w:rsidP="0063108F">
      <w:pPr>
        <w:pStyle w:val="Heading5"/>
      </w:pPr>
      <w:r>
        <w:t>Study GP13-201 (Part I)</w:t>
      </w:r>
      <w:r w:rsidR="008B38A9">
        <w:t xml:space="preserve">; </w:t>
      </w:r>
      <w:r>
        <w:t>RA</w:t>
      </w:r>
    </w:p>
    <w:p w14:paraId="7F4AA71F" w14:textId="6A2AC6E3" w:rsidR="004C1958" w:rsidRDefault="004C1958" w:rsidP="000C74ED">
      <w:r>
        <w:t>In patients with RA (</w:t>
      </w:r>
      <w:r w:rsidR="009B2FD7">
        <w:t>Study GP</w:t>
      </w:r>
      <w:r>
        <w:t xml:space="preserve">13-201) the risks of treatment with </w:t>
      </w:r>
      <w:r w:rsidR="008A2F5F">
        <w:t>Riximyo</w:t>
      </w:r>
      <w:r>
        <w:t xml:space="preserve"> in combination with MTX were comparable to the risks of treatment with MabThera in combination with MTX, following similar exposures (dose and duration) from baseline through to 24 weeks (first course</w:t>
      </w:r>
      <w:r w:rsidR="009436CA">
        <w:t>/</w:t>
      </w:r>
      <w:r>
        <w:t>2 infusions) and baseline through to 52 weeks (first and second courses</w:t>
      </w:r>
      <w:r w:rsidR="008B38A9">
        <w:t xml:space="preserve"> </w:t>
      </w:r>
      <w:r w:rsidR="009436CA">
        <w:t>/</w:t>
      </w:r>
      <w:r w:rsidR="008B38A9">
        <w:t xml:space="preserve"> </w:t>
      </w:r>
      <w:r>
        <w:t>4</w:t>
      </w:r>
      <w:r w:rsidR="008B38A9">
        <w:t> </w:t>
      </w:r>
      <w:r>
        <w:t>infusions).</w:t>
      </w:r>
      <w:r w:rsidR="000B3A10">
        <w:t xml:space="preserve"> </w:t>
      </w:r>
      <w:r>
        <w:t xml:space="preserve">The study included 84 patients randomised to </w:t>
      </w:r>
      <w:r w:rsidR="008A2F5F">
        <w:t>Riximyo</w:t>
      </w:r>
      <w:r>
        <w:t xml:space="preserve"> and 86 patients randomised to MabThera, with 49 and 50 patients, respectively, completing 12 months. The risks of treatment are based on the safety analysis set, which comprises 86 patients in the </w:t>
      </w:r>
      <w:r w:rsidR="008B38A9">
        <w:t xml:space="preserve">Study </w:t>
      </w:r>
      <w:r>
        <w:t>GP2103 arm and 87 patients in the MabThera arm.</w:t>
      </w:r>
    </w:p>
    <w:p w14:paraId="7F4AA720" w14:textId="061CD992" w:rsidR="004C1958" w:rsidRDefault="004C1958" w:rsidP="000C74ED">
      <w:r>
        <w:t xml:space="preserve">The overall incidence of AEs, regardless of the relationship to the study drug was 65.1% in the </w:t>
      </w:r>
      <w:r w:rsidR="008A2F5F">
        <w:t>Riximyo</w:t>
      </w:r>
      <w:r>
        <w:t xml:space="preserve"> arm and 65.5% in the MabThera arm. The most commonly reported AEs by SOC in </w:t>
      </w:r>
      <w:r w:rsidR="009E635F" w:rsidRPr="004C1958">
        <w:t>≥</w:t>
      </w:r>
      <w:r w:rsidR="009E635F">
        <w:t> </w:t>
      </w:r>
      <w:r>
        <w:t xml:space="preserve">10% of patients in the </w:t>
      </w:r>
      <w:r w:rsidR="008A2F5F">
        <w:t>Riximyo</w:t>
      </w:r>
      <w:r>
        <w:t xml:space="preserve"> arm compared to the MabThera arm, respectively, were </w:t>
      </w:r>
      <w:r w:rsidR="00E00662">
        <w:t xml:space="preserve">‘Infections and infestations’ </w:t>
      </w:r>
      <w:r>
        <w:t>(31.4%</w:t>
      </w:r>
      <w:r w:rsidR="00794474">
        <w:t xml:space="preserve"> versus </w:t>
      </w:r>
      <w:r>
        <w:t xml:space="preserve">35.6%), </w:t>
      </w:r>
      <w:r w:rsidR="00E00662">
        <w:t xml:space="preserve">‘Musculoskeletal and connective tissue disorders’ </w:t>
      </w:r>
      <w:r>
        <w:t xml:space="preserve"> (18.6%</w:t>
      </w:r>
      <w:r w:rsidR="00794474">
        <w:t xml:space="preserve"> versus </w:t>
      </w:r>
      <w:r>
        <w:t xml:space="preserve">16.1%), </w:t>
      </w:r>
      <w:r w:rsidR="00E00662">
        <w:t>‘Gastrointestinal disorders’</w:t>
      </w:r>
      <w:r>
        <w:t xml:space="preserve"> (15.1%</w:t>
      </w:r>
      <w:r w:rsidR="00794474">
        <w:t xml:space="preserve"> versus </w:t>
      </w:r>
      <w:r>
        <w:t xml:space="preserve">17.2%), </w:t>
      </w:r>
      <w:r w:rsidR="00E00662">
        <w:t>‘General disorders and administration site conditions’</w:t>
      </w:r>
      <w:r>
        <w:t xml:space="preserve"> (14.0%</w:t>
      </w:r>
      <w:r w:rsidR="00794474">
        <w:t xml:space="preserve"> versus </w:t>
      </w:r>
      <w:r>
        <w:t xml:space="preserve">10.3%), </w:t>
      </w:r>
      <w:r w:rsidR="0061344E">
        <w:t>‘</w:t>
      </w:r>
      <w:r w:rsidR="0025671A">
        <w:t>I</w:t>
      </w:r>
      <w:r>
        <w:t>njury, poisoning, and procedural complications</w:t>
      </w:r>
      <w:r w:rsidR="0061344E">
        <w:t>’</w:t>
      </w:r>
      <w:r>
        <w:t xml:space="preserve"> (10.5%</w:t>
      </w:r>
      <w:r w:rsidR="00794474">
        <w:t xml:space="preserve"> versus </w:t>
      </w:r>
      <w:r>
        <w:t xml:space="preserve">12.6%), and </w:t>
      </w:r>
      <w:r w:rsidR="00E00662">
        <w:t>‘Skin and subcutaneous tissue disorders’</w:t>
      </w:r>
      <w:r>
        <w:t xml:space="preserve"> (10.5%</w:t>
      </w:r>
      <w:r w:rsidR="00794474">
        <w:t xml:space="preserve"> versus </w:t>
      </w:r>
      <w:r>
        <w:t>12.6%).</w:t>
      </w:r>
    </w:p>
    <w:p w14:paraId="7F4AA721" w14:textId="65C6A3A7" w:rsidR="004C1958" w:rsidRDefault="004C1958" w:rsidP="000C74ED">
      <w:r>
        <w:t xml:space="preserve">The incidence of post-baseline ADAs was lower in patients in the </w:t>
      </w:r>
      <w:r w:rsidR="008A2F5F">
        <w:t>Riximyo</w:t>
      </w:r>
      <w:r>
        <w:t xml:space="preserve"> arm than in patients in the MabThera arm (11.0% </w:t>
      </w:r>
      <w:r w:rsidR="008B38A9">
        <w:t>(</w:t>
      </w:r>
      <w:r>
        <w:t>9/82</w:t>
      </w:r>
      <w:r w:rsidR="008B38A9">
        <w:t>)</w:t>
      </w:r>
      <w:r w:rsidR="00794474">
        <w:t xml:space="preserve"> versus </w:t>
      </w:r>
      <w:r>
        <w:t xml:space="preserve">21.4% </w:t>
      </w:r>
      <w:r w:rsidR="008B38A9">
        <w:t>(</w:t>
      </w:r>
      <w:r>
        <w:t>18/84</w:t>
      </w:r>
      <w:r w:rsidR="008B38A9">
        <w:t>)</w:t>
      </w:r>
      <w:r>
        <w:t>), while NAbs were reported in 3.7% (n</w:t>
      </w:r>
      <w:r w:rsidR="008B38A9">
        <w:t xml:space="preserve"> </w:t>
      </w:r>
      <w:r>
        <w:t>=</w:t>
      </w:r>
      <w:r w:rsidR="008B38A9">
        <w:t xml:space="preserve"> </w:t>
      </w:r>
      <w:r>
        <w:t>3) and 1.2% (n</w:t>
      </w:r>
      <w:r w:rsidR="008B38A9">
        <w:t xml:space="preserve"> </w:t>
      </w:r>
      <w:r>
        <w:t>=</w:t>
      </w:r>
      <w:r w:rsidR="008B38A9">
        <w:t xml:space="preserve"> </w:t>
      </w:r>
      <w:r>
        <w:t>1) of patients, respectively, in the two arms. There were no relevant differences observed in terms of general safety</w:t>
      </w:r>
      <w:r w:rsidR="008A6EA8">
        <w:t xml:space="preserve"> in patients with and without NA</w:t>
      </w:r>
      <w:r>
        <w:t>bs, but the efficacy data in patients with NA</w:t>
      </w:r>
      <w:r w:rsidR="008A6EA8">
        <w:t>b</w:t>
      </w:r>
      <w:r>
        <w:t xml:space="preserve">s were too limited to make meaningful conclusions. Infusion related-reactions (NMQ) were reported more frequently in patients in the MabThera arm than in patients in the </w:t>
      </w:r>
      <w:r w:rsidR="008A2F5F">
        <w:t>Riximyo</w:t>
      </w:r>
      <w:r>
        <w:t xml:space="preserve"> arm (42.5%</w:t>
      </w:r>
      <w:r w:rsidR="00794474">
        <w:t xml:space="preserve"> versus </w:t>
      </w:r>
      <w:r>
        <w:t xml:space="preserve">37.2%, respectively). No infusion related-reactions (AEs preferred term) were reported in </w:t>
      </w:r>
      <w:r w:rsidR="009E635F" w:rsidRPr="004C1958">
        <w:t>≥</w:t>
      </w:r>
      <w:r w:rsidR="009E635F">
        <w:t> </w:t>
      </w:r>
      <w:r>
        <w:t xml:space="preserve">5% of patients in the </w:t>
      </w:r>
      <w:r w:rsidR="008A2F5F">
        <w:t>Riximyo</w:t>
      </w:r>
      <w:r>
        <w:t xml:space="preserve"> arm.</w:t>
      </w:r>
    </w:p>
    <w:p w14:paraId="7F4AA722" w14:textId="24F9B55E" w:rsidR="00B15E76" w:rsidRDefault="00B15E76" w:rsidP="00B15E76">
      <w:pPr>
        <w:pStyle w:val="ListBullet"/>
        <w:numPr>
          <w:ilvl w:val="0"/>
          <w:numId w:val="0"/>
        </w:numPr>
      </w:pPr>
      <w:r>
        <w:t xml:space="preserve">For further details on the evaluator’s </w:t>
      </w:r>
      <w:proofErr w:type="gramStart"/>
      <w:r w:rsidRPr="00B15E76">
        <w:rPr>
          <w:i/>
        </w:rPr>
        <w:t>Second</w:t>
      </w:r>
      <w:proofErr w:type="gramEnd"/>
      <w:r w:rsidRPr="00B15E76">
        <w:rPr>
          <w:i/>
        </w:rPr>
        <w:t xml:space="preserve"> round </w:t>
      </w:r>
      <w:r>
        <w:rPr>
          <w:i/>
        </w:rPr>
        <w:t>risk</w:t>
      </w:r>
      <w:r w:rsidRPr="00B15E76">
        <w:rPr>
          <w:i/>
        </w:rPr>
        <w:t xml:space="preserve"> assessment</w:t>
      </w:r>
      <w:r>
        <w:t xml:space="preserve"> of this study </w:t>
      </w:r>
      <w:r w:rsidR="00A1435B">
        <w:t>(</w:t>
      </w:r>
      <w:r>
        <w:t>see Attachment 2</w:t>
      </w:r>
      <w:r w:rsidR="00A1435B">
        <w:t>)</w:t>
      </w:r>
      <w:r>
        <w:t>.</w:t>
      </w:r>
    </w:p>
    <w:p w14:paraId="77E3D0D0" w14:textId="77777777" w:rsidR="00EA1DF3" w:rsidRDefault="004C1958" w:rsidP="0063108F">
      <w:pPr>
        <w:pStyle w:val="Heading5"/>
      </w:pPr>
      <w:r>
        <w:t>Study GP13-201 (Part II)</w:t>
      </w:r>
      <w:r w:rsidR="008B38A9">
        <w:t xml:space="preserve">; </w:t>
      </w:r>
      <w:r>
        <w:t>RA</w:t>
      </w:r>
    </w:p>
    <w:p w14:paraId="7F4AA724" w14:textId="6D913D26" w:rsidR="004C1958" w:rsidRDefault="004C1958" w:rsidP="000C74ED">
      <w:r>
        <w:t xml:space="preserve">The sponsor's response of 28 June 2017 presented the Week 24 report for </w:t>
      </w:r>
      <w:r w:rsidR="009B2FD7">
        <w:t>Study</w:t>
      </w:r>
      <w:r w:rsidR="008A7B06">
        <w:t> </w:t>
      </w:r>
      <w:r w:rsidR="009B2FD7">
        <w:t>GP</w:t>
      </w:r>
      <w:r>
        <w:t>13</w:t>
      </w:r>
      <w:r w:rsidR="008A7B06">
        <w:noBreakHyphen/>
      </w:r>
      <w:r>
        <w:t xml:space="preserve">201 (Part II). Patients in Part II were randomised to either </w:t>
      </w:r>
      <w:r w:rsidR="008A2F5F">
        <w:t>Riximyo</w:t>
      </w:r>
      <w:r>
        <w:t xml:space="preserve"> or Rituxan (originator rituximab as licensed in the USA). The design of Part II the study (</w:t>
      </w:r>
      <w:r w:rsidR="008A2F5F">
        <w:t>Riximyo</w:t>
      </w:r>
      <w:r w:rsidR="00794474">
        <w:t xml:space="preserve"> versus </w:t>
      </w:r>
      <w:r>
        <w:t>Rituxan) was the same as Part I of the study (</w:t>
      </w:r>
      <w:r w:rsidR="008A2F5F">
        <w:t>Riximyo</w:t>
      </w:r>
      <w:r w:rsidR="00794474">
        <w:t xml:space="preserve"> versus </w:t>
      </w:r>
      <w:r>
        <w:t>MabThera).</w:t>
      </w:r>
    </w:p>
    <w:p w14:paraId="7F4AA725" w14:textId="56A9DAF2" w:rsidR="004C1958" w:rsidRDefault="004C1958" w:rsidP="000C74ED">
      <w:r>
        <w:t>The following safety analyses were presented in the study report: (i) up to the Week 24; and (ii) from Week 24 to data cut-off (</w:t>
      </w:r>
      <w:r w:rsidR="00413790">
        <w:t>that is,</w:t>
      </w:r>
      <w:r>
        <w:t xml:space="preserve"> up to 19 January 2016). In the safety analyses up to Week 24, all patients in the </w:t>
      </w:r>
      <w:r w:rsidR="008A2F5F">
        <w:t>Riximyo</w:t>
      </w:r>
      <w:r>
        <w:t xml:space="preserve"> arm recruited in Parts I and II of the study were included (n</w:t>
      </w:r>
      <w:r w:rsidR="008A7B06">
        <w:t xml:space="preserve"> </w:t>
      </w:r>
      <w:r>
        <w:t>=</w:t>
      </w:r>
      <w:r w:rsidR="008A7B06">
        <w:t xml:space="preserve"> </w:t>
      </w:r>
      <w:r>
        <w:t xml:space="preserve">133), while in the safety analyses from Week 24 to data cut off </w:t>
      </w:r>
      <w:r>
        <w:lastRenderedPageBreak/>
        <w:t xml:space="preserve">only </w:t>
      </w:r>
      <w:r w:rsidR="008A2F5F">
        <w:t>Riximyo</w:t>
      </w:r>
      <w:r>
        <w:t xml:space="preserve"> patients from Part II of the study were included (n</w:t>
      </w:r>
      <w:r w:rsidR="008A7B06">
        <w:t xml:space="preserve"> </w:t>
      </w:r>
      <w:r>
        <w:t>=</w:t>
      </w:r>
      <w:r w:rsidR="008A7B06">
        <w:t xml:space="preserve"> </w:t>
      </w:r>
      <w:r>
        <w:t>47). In both the Week 0 to Week 14 and Week 24 to data cut-off safety analyses Rituxan patients from Part II of the study were included (n</w:t>
      </w:r>
      <w:r w:rsidR="008A7B06">
        <w:t xml:space="preserve"> </w:t>
      </w:r>
      <w:r>
        <w:t>=</w:t>
      </w:r>
      <w:r w:rsidR="008A7B06">
        <w:t xml:space="preserve"> </w:t>
      </w:r>
      <w:r>
        <w:t>92)</w:t>
      </w:r>
      <w:r w:rsidR="008A6EA8">
        <w:t>.</w:t>
      </w:r>
    </w:p>
    <w:p w14:paraId="7F4AA726" w14:textId="5F31AAEA" w:rsidR="004C1958" w:rsidRDefault="004C1958" w:rsidP="000C74ED">
      <w:r>
        <w:t xml:space="preserve">The safety analysis for Part II of </w:t>
      </w:r>
      <w:r w:rsidR="009B2FD7">
        <w:t>Study GP</w:t>
      </w:r>
      <w:r>
        <w:t xml:space="preserve">13-201 did not give rise to new safety signals. The risk profiles of </w:t>
      </w:r>
      <w:r w:rsidR="008A2F5F">
        <w:t>Riximyo</w:t>
      </w:r>
      <w:r>
        <w:t xml:space="preserve"> and Rituxan are considered to be comparable.</w:t>
      </w:r>
    </w:p>
    <w:p w14:paraId="7F4AA727" w14:textId="0F417F86" w:rsidR="004C1958" w:rsidRDefault="008A6EA8" w:rsidP="0063108F">
      <w:pPr>
        <w:pStyle w:val="Heading6"/>
      </w:pPr>
      <w:r>
        <w:t xml:space="preserve">AEs from </w:t>
      </w:r>
      <w:r w:rsidR="00EA516A">
        <w:t xml:space="preserve">week 0 to week </w:t>
      </w:r>
      <w:r>
        <w:t>24</w:t>
      </w:r>
    </w:p>
    <w:p w14:paraId="7F4AA728" w14:textId="0F76BDC9" w:rsidR="004C1958" w:rsidRDefault="004C1958" w:rsidP="000C74ED">
      <w:r>
        <w:t>The overall incidence of AEs up to Week 24, regardless of the relationship to the study drug, was 60.2% (n</w:t>
      </w:r>
      <w:r w:rsidR="008A7B06">
        <w:t xml:space="preserve"> </w:t>
      </w:r>
      <w:r>
        <w:t>=</w:t>
      </w:r>
      <w:r w:rsidR="008A7B06">
        <w:t xml:space="preserve"> </w:t>
      </w:r>
      <w:r>
        <w:t xml:space="preserve">80) in the </w:t>
      </w:r>
      <w:r w:rsidR="008A2F5F">
        <w:t>Riximyo</w:t>
      </w:r>
      <w:r>
        <w:t xml:space="preserve"> arm and 54.3% (n</w:t>
      </w:r>
      <w:r w:rsidR="008A7B06">
        <w:t xml:space="preserve"> </w:t>
      </w:r>
      <w:r>
        <w:t>=</w:t>
      </w:r>
      <w:r w:rsidR="008A7B06">
        <w:t xml:space="preserve"> </w:t>
      </w:r>
      <w:r>
        <w:t xml:space="preserve">50) in the Rituxan arm. The most commonly reported AEs by SOC in </w:t>
      </w:r>
      <w:r w:rsidR="009E635F" w:rsidRPr="004C1958">
        <w:t>≥</w:t>
      </w:r>
      <w:r w:rsidR="009E635F">
        <w:t> </w:t>
      </w:r>
      <w:r>
        <w:t>10% of patients in either of the two treatment arms (</w:t>
      </w:r>
      <w:r w:rsidR="008A2F5F">
        <w:t>Riximyo</w:t>
      </w:r>
      <w:r w:rsidR="00794474">
        <w:t xml:space="preserve"> versus </w:t>
      </w:r>
      <w:r>
        <w:t xml:space="preserve">Rituxan), in descending order of frequency in the </w:t>
      </w:r>
      <w:r w:rsidR="008A2F5F">
        <w:t>Riximyo</w:t>
      </w:r>
      <w:r>
        <w:t xml:space="preserve"> arm, were </w:t>
      </w:r>
      <w:r w:rsidR="00E00662">
        <w:t xml:space="preserve">‘Infections and infestations’ </w:t>
      </w:r>
      <w:r>
        <w:t>(25.6%</w:t>
      </w:r>
      <w:r w:rsidR="00794474">
        <w:t xml:space="preserve"> versus </w:t>
      </w:r>
      <w:r>
        <w:t xml:space="preserve">22.8%), </w:t>
      </w:r>
      <w:r w:rsidR="00E00662">
        <w:t xml:space="preserve">‘Musculoskeletal and connective tissue disorders’ </w:t>
      </w:r>
      <w:r>
        <w:t xml:space="preserve"> (14.3%</w:t>
      </w:r>
      <w:r w:rsidR="00794474">
        <w:t xml:space="preserve"> versus </w:t>
      </w:r>
      <w:r>
        <w:t xml:space="preserve">13.0%), </w:t>
      </w:r>
      <w:r w:rsidR="00E00662">
        <w:t>‘General disorders and administration site conditions’</w:t>
      </w:r>
      <w:r>
        <w:t xml:space="preserve"> (13.5%</w:t>
      </w:r>
      <w:r w:rsidR="00794474">
        <w:t xml:space="preserve"> versus </w:t>
      </w:r>
      <w:r>
        <w:t xml:space="preserve">6.5%), </w:t>
      </w:r>
      <w:r w:rsidR="00E00662">
        <w:t>‘Gastrointestinal disorders’</w:t>
      </w:r>
      <w:r>
        <w:t xml:space="preserve"> (11.3%</w:t>
      </w:r>
      <w:r w:rsidR="00794474">
        <w:t xml:space="preserve"> versus </w:t>
      </w:r>
      <w:r>
        <w:t xml:space="preserve">12.0%), </w:t>
      </w:r>
      <w:r w:rsidR="00E00662">
        <w:t>‘Skin and subcutaneous tissue disorders’</w:t>
      </w:r>
      <w:r>
        <w:t xml:space="preserve"> (10.5%</w:t>
      </w:r>
      <w:r w:rsidR="00794474">
        <w:t xml:space="preserve"> versus </w:t>
      </w:r>
      <w:r>
        <w:t xml:space="preserve">6.5%), and </w:t>
      </w:r>
      <w:r w:rsidR="00E00662">
        <w:t>‘Nervous system disorders’</w:t>
      </w:r>
      <w:r>
        <w:t xml:space="preserve"> (7.5%</w:t>
      </w:r>
      <w:r w:rsidR="00794474">
        <w:t xml:space="preserve"> versus </w:t>
      </w:r>
      <w:r>
        <w:t>10.9%).</w:t>
      </w:r>
    </w:p>
    <w:p w14:paraId="7F4AA729" w14:textId="24AEF38B" w:rsidR="004C1958" w:rsidRDefault="004C1958" w:rsidP="000C74ED">
      <w:r>
        <w:t>The overall incidence of AEs from Week 24 to data cut-off, regardless of the relationship to the study drug, was 23.4% (n</w:t>
      </w:r>
      <w:r w:rsidR="001F2A07">
        <w:t xml:space="preserve"> </w:t>
      </w:r>
      <w:r>
        <w:t>=</w:t>
      </w:r>
      <w:r w:rsidR="001F2A07">
        <w:t xml:space="preserve"> </w:t>
      </w:r>
      <w:r>
        <w:t xml:space="preserve">11) in the </w:t>
      </w:r>
      <w:r w:rsidR="008A2F5F">
        <w:t>Riximyo</w:t>
      </w:r>
      <w:r>
        <w:t xml:space="preserve"> arm and 25.0% (n</w:t>
      </w:r>
      <w:r w:rsidR="001F2A07">
        <w:t xml:space="preserve"> </w:t>
      </w:r>
      <w:r>
        <w:t>=</w:t>
      </w:r>
      <w:r w:rsidR="001F2A07">
        <w:t xml:space="preserve"> </w:t>
      </w:r>
      <w:r>
        <w:t xml:space="preserve">23) in the Rituxan arm. The most commonly reported AEs by SOC in </w:t>
      </w:r>
      <w:r w:rsidR="009E635F" w:rsidRPr="004C1958">
        <w:t>≥</w:t>
      </w:r>
      <w:r w:rsidR="009E635F">
        <w:t> </w:t>
      </w:r>
      <w:r>
        <w:t>5% of patients in either treatment arm (</w:t>
      </w:r>
      <w:r w:rsidR="008A2F5F">
        <w:t>Riximyo</w:t>
      </w:r>
      <w:r w:rsidR="00794474">
        <w:t xml:space="preserve"> versus </w:t>
      </w:r>
      <w:r>
        <w:t xml:space="preserve">Rituxan) were </w:t>
      </w:r>
      <w:r w:rsidR="00E00662">
        <w:t xml:space="preserve">‘Infections and infestations’ </w:t>
      </w:r>
      <w:r>
        <w:t>(6.4%, n</w:t>
      </w:r>
      <w:r w:rsidR="001F2A07">
        <w:t xml:space="preserve"> </w:t>
      </w:r>
      <w:r>
        <w:t>=</w:t>
      </w:r>
      <w:r w:rsidR="001F2A07">
        <w:t xml:space="preserve"> </w:t>
      </w:r>
      <w:r>
        <w:t>3</w:t>
      </w:r>
      <w:r w:rsidR="00794474">
        <w:t xml:space="preserve"> versus </w:t>
      </w:r>
      <w:r>
        <w:t>15.2%, n</w:t>
      </w:r>
      <w:r w:rsidR="001F2A07">
        <w:t> </w:t>
      </w:r>
      <w:r>
        <w:t>=</w:t>
      </w:r>
      <w:r w:rsidR="001F2A07">
        <w:t> </w:t>
      </w:r>
      <w:r>
        <w:t xml:space="preserve">14) and </w:t>
      </w:r>
      <w:r w:rsidR="0061344E">
        <w:t>‘</w:t>
      </w:r>
      <w:r w:rsidR="003343DE">
        <w:t>I</w:t>
      </w:r>
      <w:r>
        <w:t>njury, poisoning and procedural complications</w:t>
      </w:r>
      <w:r w:rsidR="0061344E">
        <w:t>’</w:t>
      </w:r>
      <w:r>
        <w:t xml:space="preserve"> (6.4%, n</w:t>
      </w:r>
      <w:r w:rsidR="001F2A07">
        <w:t xml:space="preserve"> </w:t>
      </w:r>
      <w:r>
        <w:t>=</w:t>
      </w:r>
      <w:r w:rsidR="001F2A07">
        <w:t xml:space="preserve"> </w:t>
      </w:r>
      <w:r>
        <w:t>3</w:t>
      </w:r>
      <w:r w:rsidR="00794474">
        <w:t xml:space="preserve"> versus </w:t>
      </w:r>
      <w:r>
        <w:t>4.3%, n</w:t>
      </w:r>
      <w:r w:rsidR="001F2A07">
        <w:t> </w:t>
      </w:r>
      <w:r>
        <w:t>=</w:t>
      </w:r>
      <w:r w:rsidR="001F2A07">
        <w:t> </w:t>
      </w:r>
      <w:r>
        <w:t>4).</w:t>
      </w:r>
    </w:p>
    <w:p w14:paraId="7F4AA72A" w14:textId="29F86F35" w:rsidR="004C1958" w:rsidRDefault="004C1958" w:rsidP="000C74ED">
      <w:r>
        <w:t xml:space="preserve">The overall incidence of binding anti-rituximab antibodies up to Week 24 was similar in the </w:t>
      </w:r>
      <w:r w:rsidR="008A2F5F">
        <w:t>Riximyo</w:t>
      </w:r>
      <w:r>
        <w:t xml:space="preserve"> and Rituxan arms (10.0% </w:t>
      </w:r>
      <w:r w:rsidR="001F2A07">
        <w:t>(</w:t>
      </w:r>
      <w:r>
        <w:t>12/120</w:t>
      </w:r>
      <w:r w:rsidR="001F2A07">
        <w:t>)</w:t>
      </w:r>
      <w:r w:rsidR="00794474">
        <w:t xml:space="preserve"> versus </w:t>
      </w:r>
      <w:r>
        <w:t xml:space="preserve">8.9% </w:t>
      </w:r>
      <w:r w:rsidR="001F2A07">
        <w:t>(</w:t>
      </w:r>
      <w:r>
        <w:t>7/79</w:t>
      </w:r>
      <w:r w:rsidR="001F2A07">
        <w:t>)</w:t>
      </w:r>
      <w:r>
        <w:t xml:space="preserve">, respectively). Overall, from Week 4 post-baseline ADA was detected in 12 (9.4%) out of 127 patients in the </w:t>
      </w:r>
      <w:r w:rsidR="008A2F5F">
        <w:t>Riximyo</w:t>
      </w:r>
      <w:r>
        <w:t xml:space="preserve"> arm and 7 (8.5%) out of 82 patients in the Rituxan arm. None of the ADAs were confirmed to be neutralising except for one patient in </w:t>
      </w:r>
      <w:r w:rsidR="008A2F5F">
        <w:t>Riximyo</w:t>
      </w:r>
      <w:r>
        <w:t xml:space="preserve"> group. The patient showed neutralising antibody 154 days after the second dose of the study drug and completed the study as planned.</w:t>
      </w:r>
    </w:p>
    <w:p w14:paraId="0B849A43" w14:textId="77777777" w:rsidR="00EA1DF3" w:rsidRDefault="004C1958" w:rsidP="0063108F">
      <w:pPr>
        <w:pStyle w:val="Heading6"/>
      </w:pPr>
      <w:r>
        <w:t>AEs of regulatory significance</w:t>
      </w:r>
    </w:p>
    <w:p w14:paraId="7F4AA72C" w14:textId="79CEBF0F" w:rsidR="004C1958" w:rsidRDefault="004C1958" w:rsidP="000C74ED">
      <w:pPr>
        <w:pStyle w:val="ListBullet"/>
        <w:numPr>
          <w:ilvl w:val="0"/>
          <w:numId w:val="0"/>
        </w:numPr>
      </w:pPr>
      <w:r>
        <w:t>There were no clinically meaningful differences in the AE profile of patients in the two treatment arms as regards events of particular regulatory significance including haematological, hepatic, renal, or cardiovascular toxicity, immune system disorders, serious skin disorders or neoplasms.</w:t>
      </w:r>
    </w:p>
    <w:p w14:paraId="7F4AA72D" w14:textId="6048558A" w:rsidR="00B15E76" w:rsidRDefault="00B15E76" w:rsidP="00B15E76">
      <w:pPr>
        <w:pStyle w:val="ListBullet"/>
        <w:numPr>
          <w:ilvl w:val="0"/>
          <w:numId w:val="0"/>
        </w:numPr>
      </w:pPr>
      <w:r w:rsidRPr="00B15E76">
        <w:t xml:space="preserve">For further details on the evaluator’s </w:t>
      </w:r>
      <w:proofErr w:type="gramStart"/>
      <w:r w:rsidRPr="000C4332">
        <w:rPr>
          <w:i/>
        </w:rPr>
        <w:t>Second</w:t>
      </w:r>
      <w:proofErr w:type="gramEnd"/>
      <w:r w:rsidRPr="000C4332">
        <w:rPr>
          <w:i/>
        </w:rPr>
        <w:t xml:space="preserve"> round risk assessment </w:t>
      </w:r>
      <w:r w:rsidRPr="00B15E76">
        <w:t xml:space="preserve">of this study </w:t>
      </w:r>
      <w:r w:rsidR="00A1435B">
        <w:t>(</w:t>
      </w:r>
      <w:r w:rsidRPr="00B15E76">
        <w:t>see Attachment 2</w:t>
      </w:r>
      <w:r w:rsidR="00A1435B">
        <w:t>)</w:t>
      </w:r>
      <w:r w:rsidRPr="00B15E76">
        <w:t>.</w:t>
      </w:r>
    </w:p>
    <w:p w14:paraId="7F4AA72E" w14:textId="4024A36B" w:rsidR="004C1958" w:rsidRDefault="004C1958" w:rsidP="009B386A">
      <w:pPr>
        <w:pStyle w:val="Heading5"/>
      </w:pPr>
      <w:r>
        <w:t>Study GP13-301</w:t>
      </w:r>
      <w:r w:rsidR="001F2A07">
        <w:t xml:space="preserve">; </w:t>
      </w:r>
      <w:r>
        <w:t>FL</w:t>
      </w:r>
    </w:p>
    <w:p w14:paraId="7F4AA72F" w14:textId="6B92FB6A" w:rsidR="004C1958" w:rsidRDefault="004C1958" w:rsidP="00B417FF">
      <w:pPr>
        <w:pStyle w:val="Heading6"/>
      </w:pPr>
      <w:r>
        <w:t xml:space="preserve">Combination </w:t>
      </w:r>
      <w:r w:rsidR="00EA516A">
        <w:t>p</w:t>
      </w:r>
      <w:r>
        <w:t>hase (</w:t>
      </w:r>
      <w:proofErr w:type="spellStart"/>
      <w:r w:rsidR="008A2F5F">
        <w:t>Riximyo</w:t>
      </w:r>
      <w:proofErr w:type="spellEnd"/>
      <w:r>
        <w:t xml:space="preserve"> + CVP</w:t>
      </w:r>
      <w:r w:rsidR="00794474">
        <w:t xml:space="preserve"> versus </w:t>
      </w:r>
      <w:r>
        <w:t>MabThera + CVP) 6 months</w:t>
      </w:r>
    </w:p>
    <w:p w14:paraId="7F4AA730" w14:textId="424D83CF" w:rsidR="004C1958" w:rsidRDefault="004C1958" w:rsidP="000C74ED">
      <w:pPr>
        <w:pStyle w:val="ListBullet"/>
        <w:numPr>
          <w:ilvl w:val="0"/>
          <w:numId w:val="0"/>
        </w:numPr>
      </w:pPr>
      <w:r>
        <w:t xml:space="preserve">The sponsor's response of 28 June 2017 included an updated study </w:t>
      </w:r>
      <w:r w:rsidR="00B417FF">
        <w:t>company study report (</w:t>
      </w:r>
      <w:r>
        <w:t>CSR</w:t>
      </w:r>
      <w:r w:rsidR="00B417FF">
        <w:t>)</w:t>
      </w:r>
      <w:r>
        <w:t xml:space="preserve"> for GP13-301 based on a cut-off of 10 July 2016. The CSR for this study in the initial submission had a cut-off date of 10 July 2015. There was no significant difference in the safety profiles of the two drugs in the combination phase between the initial and updated reports. This is not unexpected as the final assessment of safety in the combination phase at Week 24 was presented in the initial CSR with no additional patients being treated in the combination phase. There were some small numerical differences for some AE categories between the safety data reported in the original and updated reports. However, these were too small to affect the conclusions based on the original data. Therefore, the safety data for the combination phase provided in the first round CER (primary analysis) has been included unchanged in the second round CER</w:t>
      </w:r>
      <w:r w:rsidR="00B15E76">
        <w:t xml:space="preserve"> (see Attachment 2)</w:t>
      </w:r>
      <w:r>
        <w:t>.</w:t>
      </w:r>
    </w:p>
    <w:p w14:paraId="7F4AA731" w14:textId="7A560267" w:rsidR="004C1958" w:rsidRDefault="004C1958" w:rsidP="00805A4B">
      <w:pPr>
        <w:pStyle w:val="Heading6"/>
      </w:pPr>
      <w:r>
        <w:lastRenderedPageBreak/>
        <w:t xml:space="preserve">Maintenance </w:t>
      </w:r>
      <w:r w:rsidR="00EA516A">
        <w:t>p</w:t>
      </w:r>
      <w:r>
        <w:t>hase (</w:t>
      </w:r>
      <w:proofErr w:type="spellStart"/>
      <w:r w:rsidR="008A2F5F">
        <w:t>Riximyo</w:t>
      </w:r>
      <w:proofErr w:type="spellEnd"/>
      <w:r w:rsidR="00794474">
        <w:t xml:space="preserve"> versus </w:t>
      </w:r>
      <w:proofErr w:type="spellStart"/>
      <w:r>
        <w:t>MabThera</w:t>
      </w:r>
      <w:proofErr w:type="spellEnd"/>
      <w:r>
        <w:t>) 2 years</w:t>
      </w:r>
    </w:p>
    <w:p w14:paraId="7F4AA732" w14:textId="034C2811" w:rsidR="004C1958" w:rsidRDefault="004C1958" w:rsidP="000C74ED">
      <w:pPr>
        <w:pStyle w:val="ListBullet"/>
        <w:numPr>
          <w:ilvl w:val="0"/>
          <w:numId w:val="0"/>
        </w:numPr>
      </w:pPr>
      <w:r>
        <w:t xml:space="preserve">The sponsor's response of 28 June 2017 included updated safety data for </w:t>
      </w:r>
      <w:r w:rsidR="001F2A07">
        <w:t xml:space="preserve">Study </w:t>
      </w:r>
      <w:r>
        <w:t>GP13-301 with a cut-off of 10 July 2016 (first interim analysis). The updated safety data provided 12 additional months of maintenance phase treatment compared to the data reported in the first round CER (cut-off 10 July 2015). The data reviewed below relate to the updated safety information at the cut-off date of 10 July 2016 (first interim analysis). The updated safety data were similar to the originally submitted safety data and no new or unexpected safety signals were identified. Final safety data from the maintenance phase are anticipated in 2018.</w:t>
      </w:r>
    </w:p>
    <w:p w14:paraId="7F4AA733" w14:textId="1BA9C69B" w:rsidR="004C1958" w:rsidRPr="00B6337D" w:rsidRDefault="004C1958" w:rsidP="00EB0757">
      <w:pPr>
        <w:pStyle w:val="Heading6"/>
        <w:ind w:firstLine="360"/>
      </w:pPr>
      <w:r>
        <w:t>Immunogenicity anti-drug antibodies (ADAs)</w:t>
      </w:r>
    </w:p>
    <w:p w14:paraId="7F4AA734" w14:textId="645FE065" w:rsidR="004C1958" w:rsidRDefault="004C1958" w:rsidP="00197543">
      <w:r>
        <w:t xml:space="preserve">In this study, immunogenicity was assessed for all patients at screening (or pre-dose or both), EOT combination phase, and EOT maintenance phase. In total, ADAs were detected in 8 out of 559 patients (1.4%), comprising 5 out of 274 (1.8%) patients in the </w:t>
      </w:r>
      <w:r w:rsidR="008A2F5F">
        <w:t>Riximyo</w:t>
      </w:r>
      <w:r>
        <w:t xml:space="preserve"> arm and 3 out of 285 patients (1.1%) in the MabThera arm. Neutralising antibodies were detected in a total of 4 patients</w:t>
      </w:r>
      <w:r w:rsidR="000B3A10">
        <w:t xml:space="preserve"> </w:t>
      </w:r>
      <w:r>
        <w:t>(n</w:t>
      </w:r>
      <w:r w:rsidR="001F2A07">
        <w:t xml:space="preserve"> </w:t>
      </w:r>
      <w:r>
        <w:t>=</w:t>
      </w:r>
      <w:r w:rsidR="001F2A07">
        <w:t xml:space="preserve"> </w:t>
      </w:r>
      <w:r>
        <w:t xml:space="preserve">2, </w:t>
      </w:r>
      <w:r w:rsidR="008A2F5F">
        <w:t>Riximyo</w:t>
      </w:r>
      <w:r w:rsidR="00794474">
        <w:t xml:space="preserve"> versus </w:t>
      </w:r>
      <w:r>
        <w:t>n</w:t>
      </w:r>
      <w:r w:rsidR="001F2A07">
        <w:t xml:space="preserve"> </w:t>
      </w:r>
      <w:r>
        <w:t>=</w:t>
      </w:r>
      <w:r w:rsidR="001F2A07">
        <w:t xml:space="preserve"> </w:t>
      </w:r>
      <w:r>
        <w:t xml:space="preserve">2, MabThera). PFS events (documented disease progression or death) were observed in 3 of the 5 ADA positive patients in the </w:t>
      </w:r>
      <w:r w:rsidR="008A2F5F">
        <w:t>Riximyo</w:t>
      </w:r>
      <w:r>
        <w:t xml:space="preserve"> group, and in 1 of 3 ADA positive patients in the MabThera group. Additionally, clinical signs of immunogenic reactions evaluated with the incidences of potential infusion related reactions did not reveal any new safety signal and the incidences were similar between treatment groups. As the number of ADA positive patients was low, no definite conclusion can be drawn for the impact of observed immunogenicity on the efficacy o</w:t>
      </w:r>
      <w:r w:rsidR="000C4332">
        <w:t>r safety outcomes of the study.</w:t>
      </w:r>
    </w:p>
    <w:p w14:paraId="7F4AA735" w14:textId="5C7438ED" w:rsidR="000C4332" w:rsidRDefault="000C4332" w:rsidP="004C1958">
      <w:r w:rsidRPr="000C4332">
        <w:t xml:space="preserve">For further details on the evaluator’s </w:t>
      </w:r>
      <w:proofErr w:type="gramStart"/>
      <w:r w:rsidRPr="000C4332">
        <w:rPr>
          <w:i/>
        </w:rPr>
        <w:t>Second</w:t>
      </w:r>
      <w:proofErr w:type="gramEnd"/>
      <w:r w:rsidRPr="000C4332">
        <w:rPr>
          <w:i/>
        </w:rPr>
        <w:t xml:space="preserve"> round risk assessment</w:t>
      </w:r>
      <w:r w:rsidRPr="000C4332">
        <w:t xml:space="preserve"> of this study </w:t>
      </w:r>
      <w:r w:rsidR="00A1435B">
        <w:t>(</w:t>
      </w:r>
      <w:r w:rsidRPr="000C4332">
        <w:t>see Attachment 2</w:t>
      </w:r>
      <w:r w:rsidR="00A1435B">
        <w:t>)</w:t>
      </w:r>
      <w:r w:rsidRPr="000C4332">
        <w:t>.</w:t>
      </w:r>
    </w:p>
    <w:p w14:paraId="7F4AA736" w14:textId="77777777" w:rsidR="004C1958" w:rsidRDefault="004C1958" w:rsidP="00B6337D">
      <w:pPr>
        <w:pStyle w:val="Heading5"/>
      </w:pPr>
      <w:r>
        <w:t>Study GP13-302</w:t>
      </w:r>
    </w:p>
    <w:p w14:paraId="7F4AA737" w14:textId="77777777" w:rsidR="004C1958" w:rsidRDefault="004C1958" w:rsidP="000C74ED">
      <w:pPr>
        <w:pStyle w:val="ListBullet"/>
        <w:numPr>
          <w:ilvl w:val="0"/>
          <w:numId w:val="0"/>
        </w:numPr>
      </w:pPr>
      <w:r>
        <w:t xml:space="preserve">The </w:t>
      </w:r>
      <w:r w:rsidR="00AE431E">
        <w:t>company’s report of</w:t>
      </w:r>
      <w:r>
        <w:t xml:space="preserve"> </w:t>
      </w:r>
      <w:r w:rsidR="009B2FD7">
        <w:t>Study GP</w:t>
      </w:r>
      <w:r>
        <w:t>13-302 (descriptive safety)</w:t>
      </w:r>
      <w:r w:rsidR="00B6337D">
        <w:t xml:space="preserve"> was provided in the sponsor's </w:t>
      </w:r>
      <w:r>
        <w:t xml:space="preserve">response of 28 June 2017. The study was undertaken in patients with RA and was designed to identify potential risks associated with switching from Rituxan/MabThera to </w:t>
      </w:r>
      <w:r w:rsidR="008A2F5F">
        <w:t>Riximyo</w:t>
      </w:r>
      <w:r>
        <w:t xml:space="preserve">. It is considered that the safety profile of patients switched from Rituxan/MabThera to </w:t>
      </w:r>
      <w:r w:rsidR="008A2F5F">
        <w:t>Riximyo</w:t>
      </w:r>
      <w:r>
        <w:t xml:space="preserve"> is comparable to the safety profile of patients continuing Rituxan/MabThera. The observed numerical differences between switched and continuing patients are considered t</w:t>
      </w:r>
      <w:r w:rsidR="000C4332">
        <w:t>o be not clinically meaningful.</w:t>
      </w:r>
    </w:p>
    <w:p w14:paraId="7F4AA738" w14:textId="5A307B6E" w:rsidR="000C4332" w:rsidRDefault="000C4332" w:rsidP="000C4332">
      <w:pPr>
        <w:pStyle w:val="ListBullet"/>
        <w:numPr>
          <w:ilvl w:val="0"/>
          <w:numId w:val="0"/>
        </w:numPr>
      </w:pPr>
      <w:r w:rsidRPr="000C4332">
        <w:t xml:space="preserve">For further details on the evaluator’s </w:t>
      </w:r>
      <w:proofErr w:type="gramStart"/>
      <w:r w:rsidRPr="000C4332">
        <w:rPr>
          <w:i/>
        </w:rPr>
        <w:t>Second</w:t>
      </w:r>
      <w:proofErr w:type="gramEnd"/>
      <w:r w:rsidRPr="000C4332">
        <w:rPr>
          <w:i/>
        </w:rPr>
        <w:t xml:space="preserve"> round risk assessment</w:t>
      </w:r>
      <w:r w:rsidRPr="000C4332">
        <w:t xml:space="preserve"> of this study </w:t>
      </w:r>
      <w:r w:rsidR="00A1435B">
        <w:t>(</w:t>
      </w:r>
      <w:r w:rsidRPr="000C4332">
        <w:t>see Attachment 2</w:t>
      </w:r>
      <w:r w:rsidR="00A1435B">
        <w:t>)</w:t>
      </w:r>
      <w:r w:rsidRPr="000C4332">
        <w:t>.</w:t>
      </w:r>
    </w:p>
    <w:p w14:paraId="7F4AA739" w14:textId="77777777" w:rsidR="004C1958" w:rsidRDefault="0050297E" w:rsidP="000A5529">
      <w:pPr>
        <w:pStyle w:val="Heading4"/>
      </w:pPr>
      <w:r>
        <w:t>Second</w:t>
      </w:r>
      <w:r w:rsidR="004C1958">
        <w:t xml:space="preserve"> round assessment of benefit-risk balance</w:t>
      </w:r>
    </w:p>
    <w:p w14:paraId="7F4AA73A" w14:textId="5B34E527" w:rsidR="004C1958" w:rsidRDefault="004C1958" w:rsidP="000A5529">
      <w:r>
        <w:t xml:space="preserve">It is considered that the totality of the submitted clinical data have satisfactorily demonstrated that that the benefit-risk assessment for </w:t>
      </w:r>
      <w:r w:rsidR="008A2F5F">
        <w:t>Riximyo</w:t>
      </w:r>
      <w:r>
        <w:t xml:space="preserve"> is comparable to the benefit-risk assessment for MabThera. The additional data submitted by the sponsor in its response of 28 June 2017 have adequately addressed the concerns relating to the benefits and risks of </w:t>
      </w:r>
      <w:r w:rsidR="008A2F5F">
        <w:t>Riximyo</w:t>
      </w:r>
      <w:r>
        <w:t xml:space="preserve"> raised in the first round CER.</w:t>
      </w:r>
    </w:p>
    <w:p w14:paraId="7F4AA73B" w14:textId="77777777" w:rsidR="004C1958" w:rsidRDefault="004C1958" w:rsidP="009B386A">
      <w:pPr>
        <w:pStyle w:val="Heading3"/>
      </w:pPr>
      <w:bookmarkStart w:id="96" w:name="_Toc524426286"/>
      <w:r>
        <w:t>Second round recommendation regarding authorisation</w:t>
      </w:r>
      <w:bookmarkEnd w:id="96"/>
    </w:p>
    <w:p w14:paraId="7F4AA73C" w14:textId="77777777" w:rsidR="004C1958" w:rsidRDefault="004C1958" w:rsidP="004C1958">
      <w:r>
        <w:t xml:space="preserve">Approval of </w:t>
      </w:r>
      <w:r w:rsidR="00334CAC">
        <w:t>Riximyo</w:t>
      </w:r>
      <w:r>
        <w:t xml:space="preserve"> is recommended for the following listed indications:</w:t>
      </w:r>
    </w:p>
    <w:p w14:paraId="7F4AA73D" w14:textId="77777777" w:rsidR="004C1958" w:rsidRPr="000A5529" w:rsidRDefault="004C1958" w:rsidP="000A5529">
      <w:pPr>
        <w:ind w:left="720"/>
        <w:rPr>
          <w:b/>
          <w:i/>
        </w:rPr>
      </w:pPr>
      <w:r w:rsidRPr="000A5529">
        <w:rPr>
          <w:b/>
          <w:i/>
        </w:rPr>
        <w:t>Non-Hodgkin’s Lymphoma (NHL)</w:t>
      </w:r>
    </w:p>
    <w:p w14:paraId="7F4AA73E" w14:textId="77777777" w:rsidR="004C1958" w:rsidRPr="000A5529" w:rsidRDefault="00334CAC" w:rsidP="000A5529">
      <w:pPr>
        <w:ind w:left="720"/>
        <w:rPr>
          <w:i/>
        </w:rPr>
      </w:pPr>
      <w:r>
        <w:rPr>
          <w:i/>
        </w:rPr>
        <w:t>Riximyo</w:t>
      </w:r>
      <w:r w:rsidR="004C1958" w:rsidRPr="000A5529">
        <w:rPr>
          <w:i/>
        </w:rPr>
        <w:t xml:space="preserve"> (rituximab) is indicated for treatment of patients with:</w:t>
      </w:r>
    </w:p>
    <w:p w14:paraId="51EA2F38" w14:textId="77777777" w:rsidR="00EA1DF3" w:rsidRDefault="004C1958" w:rsidP="000A5529">
      <w:pPr>
        <w:pStyle w:val="ListBullet"/>
        <w:ind w:left="1080"/>
        <w:rPr>
          <w:i/>
        </w:rPr>
      </w:pPr>
      <w:r w:rsidRPr="000A5529">
        <w:rPr>
          <w:i/>
        </w:rPr>
        <w:lastRenderedPageBreak/>
        <w:t>CD20 positive, previously untreated, Stage III/IV follicular, B-cell non-Hodgkin’s lymphoma</w:t>
      </w:r>
      <w:r w:rsidR="00EA1DF3">
        <w:rPr>
          <w:i/>
        </w:rPr>
        <w:t>.</w:t>
      </w:r>
    </w:p>
    <w:p w14:paraId="627F87FD" w14:textId="77777777" w:rsidR="00EA1DF3" w:rsidRDefault="004C1958" w:rsidP="000A5529">
      <w:pPr>
        <w:pStyle w:val="ListBullet"/>
        <w:ind w:left="1080"/>
        <w:rPr>
          <w:i/>
        </w:rPr>
      </w:pPr>
      <w:r w:rsidRPr="000A5529">
        <w:rPr>
          <w:i/>
        </w:rPr>
        <w:t>CD20 positive, relapsed or refractory low grade or follicular, B-cell non-Hodgkin's lymphoma</w:t>
      </w:r>
      <w:r w:rsidR="00EA1DF3">
        <w:rPr>
          <w:i/>
        </w:rPr>
        <w:t>.</w:t>
      </w:r>
    </w:p>
    <w:p w14:paraId="7F4AA741" w14:textId="202264BE" w:rsidR="004C1958" w:rsidRPr="000A5529" w:rsidRDefault="004C1958" w:rsidP="000A5529">
      <w:pPr>
        <w:pStyle w:val="ListBullet"/>
        <w:ind w:left="1080"/>
        <w:rPr>
          <w:i/>
        </w:rPr>
      </w:pPr>
      <w:r w:rsidRPr="000A5529">
        <w:rPr>
          <w:i/>
        </w:rPr>
        <w:t>CD20 positive, diffuse large B-cell non-Hodgkin’s lymphoma, in combination with</w:t>
      </w:r>
      <w:r w:rsidR="000A5529" w:rsidRPr="000A5529">
        <w:rPr>
          <w:i/>
        </w:rPr>
        <w:t xml:space="preserve"> </w:t>
      </w:r>
      <w:r w:rsidRPr="000A5529">
        <w:rPr>
          <w:i/>
        </w:rPr>
        <w:t>chemotherapy.</w:t>
      </w:r>
    </w:p>
    <w:p w14:paraId="7F4AA742" w14:textId="77777777" w:rsidR="004C1958" w:rsidRPr="000A5529" w:rsidRDefault="004C1958" w:rsidP="007A27A8">
      <w:pPr>
        <w:pStyle w:val="Heading5"/>
        <w:ind w:firstLine="720"/>
      </w:pPr>
      <w:r w:rsidRPr="000A5529">
        <w:t>Chronic Lymphocytic Leukaemia (CLL)</w:t>
      </w:r>
    </w:p>
    <w:p w14:paraId="7F4AA743" w14:textId="77777777" w:rsidR="004C1958" w:rsidRPr="000A5529" w:rsidRDefault="00334CAC" w:rsidP="000A5529">
      <w:pPr>
        <w:ind w:left="720"/>
        <w:rPr>
          <w:i/>
        </w:rPr>
      </w:pPr>
      <w:proofErr w:type="spellStart"/>
      <w:r>
        <w:rPr>
          <w:i/>
        </w:rPr>
        <w:t>Riximyo</w:t>
      </w:r>
      <w:proofErr w:type="spellEnd"/>
      <w:r w:rsidR="004C1958" w:rsidRPr="000A5529">
        <w:rPr>
          <w:i/>
        </w:rPr>
        <w:t xml:space="preserve"> (rituximab) is indicated for the treatment of patients with CD20 positive chronic lymphocytic leukaemia in combination with chemotherapy.</w:t>
      </w:r>
    </w:p>
    <w:p w14:paraId="7F4AA744" w14:textId="77777777" w:rsidR="004C1958" w:rsidRPr="000A5529" w:rsidRDefault="004C1958" w:rsidP="000A5529">
      <w:pPr>
        <w:ind w:left="720"/>
        <w:rPr>
          <w:b/>
          <w:i/>
        </w:rPr>
      </w:pPr>
      <w:r w:rsidRPr="000A5529">
        <w:rPr>
          <w:b/>
          <w:i/>
        </w:rPr>
        <w:t>Rheumatoid Arthritis (RA)</w:t>
      </w:r>
    </w:p>
    <w:p w14:paraId="7F4AA745" w14:textId="77777777" w:rsidR="004C1958" w:rsidRPr="000A5529" w:rsidRDefault="00334CAC" w:rsidP="000A5529">
      <w:pPr>
        <w:ind w:left="720"/>
        <w:rPr>
          <w:i/>
        </w:rPr>
      </w:pPr>
      <w:proofErr w:type="spellStart"/>
      <w:r>
        <w:rPr>
          <w:i/>
        </w:rPr>
        <w:t>Riximyo</w:t>
      </w:r>
      <w:proofErr w:type="spellEnd"/>
      <w:r w:rsidR="004C1958" w:rsidRPr="000A5529">
        <w:rPr>
          <w:i/>
        </w:rPr>
        <w:t xml:space="preserve"> (rituximab) in combination with methotrexate is indicated for the treatment of adult patients with severe, active rheumatoid arthritis who have had an inadequate response or intolerance to at least one tumour necrosis factor (TNF) inhibitor therapy.</w:t>
      </w:r>
    </w:p>
    <w:p w14:paraId="7F4AA746" w14:textId="77777777" w:rsidR="004C1958" w:rsidRPr="000A5529" w:rsidRDefault="004C1958" w:rsidP="000A5529">
      <w:pPr>
        <w:ind w:left="720"/>
        <w:rPr>
          <w:i/>
        </w:rPr>
      </w:pPr>
      <w:r w:rsidRPr="000A5529">
        <w:rPr>
          <w:i/>
        </w:rPr>
        <w:t>Rituximab has been shown to reduce the rate of progression of joint damage as measured by x-ray when given in combination with methotrexate.</w:t>
      </w:r>
    </w:p>
    <w:p w14:paraId="7F4AA747" w14:textId="77777777" w:rsidR="004C1958" w:rsidRPr="000A5529" w:rsidRDefault="004C1958" w:rsidP="000A5529">
      <w:pPr>
        <w:ind w:left="720"/>
        <w:rPr>
          <w:b/>
          <w:i/>
        </w:rPr>
      </w:pPr>
      <w:r w:rsidRPr="000A5529">
        <w:rPr>
          <w:b/>
          <w:i/>
        </w:rPr>
        <w:t>Granulomatosis with polyangiitis (Wegener’s) (GPA) and Microscopic polyangiitis (MPA)</w:t>
      </w:r>
    </w:p>
    <w:p w14:paraId="7F4AA748" w14:textId="77777777" w:rsidR="004C1958" w:rsidRPr="000A5529" w:rsidRDefault="00334CAC" w:rsidP="000A5529">
      <w:pPr>
        <w:ind w:left="720"/>
        <w:rPr>
          <w:i/>
        </w:rPr>
      </w:pPr>
      <w:proofErr w:type="gramStart"/>
      <w:r>
        <w:rPr>
          <w:i/>
        </w:rPr>
        <w:t>Riximyo</w:t>
      </w:r>
      <w:r w:rsidR="004C1958" w:rsidRPr="000A5529">
        <w:rPr>
          <w:i/>
        </w:rPr>
        <w:t>(</w:t>
      </w:r>
      <w:proofErr w:type="gramEnd"/>
      <w:r w:rsidR="004C1958" w:rsidRPr="000A5529">
        <w:rPr>
          <w:i/>
        </w:rPr>
        <w:t>rituximab) in combination with glucocorticoids is indicated for the induction of remission in patients with severely active Granulomatosis with polyangiitis (GPA, also known as Wegener’s granulomatosis) and Microscopic polyangiitis (MPA). The efficacy and safety of retreatment with rituximab have not been established.</w:t>
      </w:r>
    </w:p>
    <w:p w14:paraId="7F4AA749" w14:textId="1747E688" w:rsidR="004C1958" w:rsidRDefault="004C1958" w:rsidP="004C1958">
      <w:r>
        <w:t>The second round authorisation differs from the first round authorisation, which recommended rejection of the application. The reasons for the change in recommendation from rejection to approval are summarised below</w:t>
      </w:r>
      <w:r w:rsidR="007C71C5">
        <w:t>:</w:t>
      </w:r>
    </w:p>
    <w:p w14:paraId="7F4AA74A" w14:textId="3C63AF52" w:rsidR="004C1958" w:rsidRDefault="004C1958" w:rsidP="007C71C5">
      <w:pPr>
        <w:pStyle w:val="ListBullet"/>
      </w:pPr>
      <w:r>
        <w:t>Data provided in the sponsor's</w:t>
      </w:r>
      <w:r w:rsidR="000B3A10">
        <w:t xml:space="preserve"> </w:t>
      </w:r>
      <w:r>
        <w:t xml:space="preserve">response of 28 June 2017 demonstrate that the Overall Response Rate (ORR) selected as the primary efficacy endpoint for </w:t>
      </w:r>
      <w:r w:rsidR="009B2FD7">
        <w:t>Study GP</w:t>
      </w:r>
      <w:r>
        <w:t xml:space="preserve">13-301 is a more appropriate and sensitive endpoint in patients with follicular lymphoma for the assessment of comparability between </w:t>
      </w:r>
      <w:r w:rsidR="008A2F5F">
        <w:t>Riximyo</w:t>
      </w:r>
      <w:r>
        <w:t xml:space="preserve"> and MabThera than progression free survival (PFS) or overall survival (OS).</w:t>
      </w:r>
    </w:p>
    <w:p w14:paraId="7F4AA74B" w14:textId="5749B44E" w:rsidR="004C1958" w:rsidRDefault="000A5529" w:rsidP="007C71C5">
      <w:pPr>
        <w:pStyle w:val="ListBullet"/>
      </w:pPr>
      <w:r>
        <w:t>D</w:t>
      </w:r>
      <w:r w:rsidR="004C1958">
        <w:t xml:space="preserve">ata provided in the sponsor's response of 28 June 2017 demonstrate that the size and duration of an adequately powered study designed to demonstrate equivalence of </w:t>
      </w:r>
      <w:r w:rsidR="008A2F5F">
        <w:t>Riximyo</w:t>
      </w:r>
      <w:r w:rsidR="004C1958">
        <w:t xml:space="preserve"> and MabThera based on PFS makes such a study impractical.</w:t>
      </w:r>
    </w:p>
    <w:p w14:paraId="7F4AA74C" w14:textId="4196F42B" w:rsidR="004C1958" w:rsidRDefault="004C1958" w:rsidP="007C71C5">
      <w:pPr>
        <w:pStyle w:val="ListBullet"/>
      </w:pPr>
      <w:r>
        <w:t xml:space="preserve">Data provided in the sponsor's response of 28 June 2017 demonstrate that the design of </w:t>
      </w:r>
      <w:r w:rsidR="009B2FD7">
        <w:t>Study GP</w:t>
      </w:r>
      <w:r>
        <w:t>13-301 will result in both PFS and OS still being immature at the completion of the study (</w:t>
      </w:r>
      <w:r w:rsidR="00413790">
        <w:t>that is,</w:t>
      </w:r>
      <w:r>
        <w:t xml:space="preserve"> 36 months from randomisation), with median time-to-event for both endpoints not being reached for either </w:t>
      </w:r>
      <w:r w:rsidR="008A2F5F">
        <w:t>Riximyo</w:t>
      </w:r>
      <w:r>
        <w:t xml:space="preserve"> or MabThera.</w:t>
      </w:r>
    </w:p>
    <w:p w14:paraId="7F4AA74D" w14:textId="5721FBAC" w:rsidR="004C1958" w:rsidRDefault="004C1958" w:rsidP="007C71C5">
      <w:pPr>
        <w:pStyle w:val="ListBullet"/>
      </w:pPr>
      <w:r>
        <w:t xml:space="preserve">Additional 12 months safety data up to 10 July 2016 for the maintenance phase of </w:t>
      </w:r>
      <w:r w:rsidR="009B2FD7">
        <w:t>Study GP</w:t>
      </w:r>
      <w:r>
        <w:t xml:space="preserve">13-301 in patients with FL provided in the sponsor's s31 response of 28 June 2017 continue to demonstrate comparable safety profiles for </w:t>
      </w:r>
      <w:r w:rsidR="008A2F5F">
        <w:t>Riximyo</w:t>
      </w:r>
      <w:r>
        <w:t xml:space="preserve"> and MabThera. As of 10 July 2016, a total of 67.4% (n</w:t>
      </w:r>
      <w:r w:rsidR="001F2A07">
        <w:t xml:space="preserve"> </w:t>
      </w:r>
      <w:r>
        <w:t>=</w:t>
      </w:r>
      <w:r w:rsidR="001F2A07">
        <w:t xml:space="preserve"> </w:t>
      </w:r>
      <w:r>
        <w:t>506) patients who entered the maintenance phase had reached end of treatment (30.7%, n</w:t>
      </w:r>
      <w:r w:rsidR="001F2A07">
        <w:t xml:space="preserve"> </w:t>
      </w:r>
      <w:r>
        <w:t>=</w:t>
      </w:r>
      <w:r w:rsidR="001F2A07">
        <w:t xml:space="preserve"> </w:t>
      </w:r>
      <w:r>
        <w:t xml:space="preserve">78, </w:t>
      </w:r>
      <w:r w:rsidR="008A2F5F">
        <w:t>Riximyo</w:t>
      </w:r>
      <w:r>
        <w:t>; 34.5%, n</w:t>
      </w:r>
      <w:r w:rsidR="001F2A07">
        <w:t xml:space="preserve"> </w:t>
      </w:r>
      <w:r>
        <w:t>=</w:t>
      </w:r>
      <w:r w:rsidR="001F2A07">
        <w:t xml:space="preserve"> </w:t>
      </w:r>
      <w:r>
        <w:t xml:space="preserve">87, MabThera). Based on the current safety data from </w:t>
      </w:r>
      <w:r w:rsidR="009B2FD7">
        <w:t>Study GP</w:t>
      </w:r>
      <w:r>
        <w:t xml:space="preserve">13-301 and safety data in patients with RA it is considered unlikely that new or unexpected safety signals will emerge from the 78 (30.7%) ongoing patients with FL in the </w:t>
      </w:r>
      <w:r w:rsidR="008A2F5F">
        <w:t>Riximyo</w:t>
      </w:r>
      <w:r>
        <w:t xml:space="preserve"> arm still to complete the maintenance phase in </w:t>
      </w:r>
      <w:r w:rsidR="009B2FD7">
        <w:t>Study GP</w:t>
      </w:r>
      <w:r>
        <w:t>13-301.</w:t>
      </w:r>
    </w:p>
    <w:p w14:paraId="7F4AA74E" w14:textId="4DC0DE75" w:rsidR="004C1958" w:rsidRDefault="004C1958" w:rsidP="007C71C5">
      <w:pPr>
        <w:pStyle w:val="ListBullet"/>
      </w:pPr>
      <w:r>
        <w:lastRenderedPageBreak/>
        <w:t xml:space="preserve">Data from </w:t>
      </w:r>
      <w:r w:rsidR="009B2FD7">
        <w:t>Study GP</w:t>
      </w:r>
      <w:r>
        <w:t xml:space="preserve">13-201 (Part II) provided in the sponsor's response of 28 June 2017 demonstrated that </w:t>
      </w:r>
      <w:r w:rsidR="008A2F5F">
        <w:t>Riximyo</w:t>
      </w:r>
      <w:r>
        <w:t xml:space="preserve"> and Rituxan were bioequivalent in patients with RA based on </w:t>
      </w:r>
      <w:r w:rsidR="009B2FD7">
        <w:t>AUC</w:t>
      </w:r>
      <w:r w:rsidR="009B2FD7" w:rsidRPr="009B2FD7">
        <w:rPr>
          <w:vertAlign w:val="subscript"/>
        </w:rPr>
        <w:t>0-inf</w:t>
      </w:r>
      <w:r w:rsidR="002252CD">
        <w:t xml:space="preserve"> </w:t>
      </w:r>
      <w:r>
        <w:t>up to Week 24, as were MabThera and Rituxan. In addition, the primary efficacy endpoint analysis of change from baseline in DAS28</w:t>
      </w:r>
      <w:r w:rsidR="00EC4F27">
        <w:t xml:space="preserve"> </w:t>
      </w:r>
      <w:r>
        <w:t xml:space="preserve">(CRP) at Week 24 showed that </w:t>
      </w:r>
      <w:r w:rsidR="008A2F5F">
        <w:t>Riximyo</w:t>
      </w:r>
      <w:r>
        <w:t xml:space="preserve"> and Rituxan were therapeutically equivalent. No new or unexpected safety signals were observed based on the main comparison between </w:t>
      </w:r>
      <w:r w:rsidR="008A2F5F">
        <w:t>Riximyo</w:t>
      </w:r>
      <w:r>
        <w:t xml:space="preserve"> and Rituxan at Week 24, and the supportive comparison between the two treatment arms from Week 24 through to data cut-off (</w:t>
      </w:r>
      <w:r w:rsidR="00413790">
        <w:t>that is,</w:t>
      </w:r>
      <w:r>
        <w:t xml:space="preserve"> 19 January 2016).</w:t>
      </w:r>
    </w:p>
    <w:p w14:paraId="7F4AA74F" w14:textId="7B231AB2" w:rsidR="004C1958" w:rsidRDefault="004C1958" w:rsidP="007C71C5">
      <w:pPr>
        <w:pStyle w:val="ListBullet"/>
      </w:pPr>
      <w:r>
        <w:t xml:space="preserve">Safety data from </w:t>
      </w:r>
      <w:r w:rsidR="009B2FD7">
        <w:t>Study GP</w:t>
      </w:r>
      <w:r>
        <w:t xml:space="preserve">13-302 provided in the sponsor's response of 28 June 2017 demonstrated that patients with RA can be safely switched from Rituxan/MabThera to </w:t>
      </w:r>
      <w:r w:rsidR="008A2F5F">
        <w:t>Riximyo</w:t>
      </w:r>
      <w:r>
        <w:t xml:space="preserve"> without an increase in hypersensitivity reactions, potential infusion-related reactions, anaphylactic reactions and development of ADA antibodies occurring at Week 12 (main analysis) or Week 24 (supportive analysis). In addition, the general safety data from Week 0 through to Week 24 demonstrated comparability between </w:t>
      </w:r>
      <w:r w:rsidR="008A2F5F">
        <w:t>Riximyo</w:t>
      </w:r>
      <w:r>
        <w:t xml:space="preserve"> and Rituxan/MabThera.</w:t>
      </w:r>
    </w:p>
    <w:p w14:paraId="7F4AA750" w14:textId="77777777" w:rsidR="00605AD4" w:rsidRPr="00605AD4" w:rsidRDefault="000A5529" w:rsidP="007C71C5">
      <w:pPr>
        <w:pStyle w:val="ListBullet"/>
      </w:pPr>
      <w:r>
        <w:t>B</w:t>
      </w:r>
      <w:r w:rsidR="004C1958">
        <w:t xml:space="preserve">ased on the totality of the clinical data provided by the sponsor in the original submission and the response of 28 June 2017 it is considered the </w:t>
      </w:r>
      <w:r w:rsidR="008A2F5F">
        <w:t>Riximyo</w:t>
      </w:r>
      <w:r w:rsidR="00AD4938">
        <w:t xml:space="preserve"> </w:t>
      </w:r>
      <w:r w:rsidR="004C1958">
        <w:t xml:space="preserve">is comparable to MabThera, as regards PK, PD, efficacy and safety. Therefore, the known safety and efficacy data for MabThera can be safety extrapolated to </w:t>
      </w:r>
      <w:r w:rsidR="008A2F5F">
        <w:t>Riximyo</w:t>
      </w:r>
      <w:r w:rsidR="004C1958">
        <w:t>.</w:t>
      </w:r>
    </w:p>
    <w:p w14:paraId="7F4AA751" w14:textId="77777777" w:rsidR="008E7846" w:rsidRPr="00E41208" w:rsidRDefault="008E7846" w:rsidP="00546154">
      <w:pPr>
        <w:pStyle w:val="Heading2"/>
      </w:pPr>
      <w:bookmarkStart w:id="97" w:name="_Toc524426287"/>
      <w:r w:rsidRPr="00E41208">
        <w:t>V</w:t>
      </w:r>
      <w:r w:rsidR="00500337">
        <w:t>I</w:t>
      </w:r>
      <w:r w:rsidRPr="00E41208">
        <w:t xml:space="preserve">. Pharmacovigilance </w:t>
      </w:r>
      <w:r>
        <w:t>f</w:t>
      </w:r>
      <w:r w:rsidRPr="00E41208">
        <w:t>indings</w:t>
      </w:r>
      <w:bookmarkEnd w:id="90"/>
      <w:bookmarkEnd w:id="91"/>
      <w:bookmarkEnd w:id="97"/>
    </w:p>
    <w:p w14:paraId="7F4AA752" w14:textId="17AE533C" w:rsidR="00A44A63" w:rsidRPr="00182481" w:rsidRDefault="00320E40" w:rsidP="00A44A63">
      <w:pPr>
        <w:pStyle w:val="ListBullet"/>
        <w:rPr>
          <w:kern w:val="16"/>
          <w:szCs w:val="24"/>
        </w:rPr>
      </w:pPr>
      <w:bookmarkStart w:id="98" w:name="_Toc247691527"/>
      <w:bookmarkStart w:id="99" w:name="_Toc314842510"/>
      <w:r>
        <w:t>The sponsor</w:t>
      </w:r>
      <w:r w:rsidR="00A44A63" w:rsidRPr="000B7D7D">
        <w:t xml:space="preserve"> submitted EU-RMP version </w:t>
      </w:r>
      <w:r w:rsidR="00A44A63">
        <w:t>1.0</w:t>
      </w:r>
      <w:r w:rsidR="00A44A63" w:rsidRPr="000B7D7D">
        <w:t xml:space="preserve"> (date</w:t>
      </w:r>
      <w:r w:rsidR="00A44A63">
        <w:t>d 3 March 2016</w:t>
      </w:r>
      <w:r w:rsidR="00A44A63" w:rsidRPr="000B7D7D">
        <w:t xml:space="preserve">; </w:t>
      </w:r>
      <w:r>
        <w:t>data lock point (</w:t>
      </w:r>
      <w:r w:rsidR="00A44A63" w:rsidRPr="000B7D7D">
        <w:t>DLP</w:t>
      </w:r>
      <w:r>
        <w:t>)</w:t>
      </w:r>
      <w:r w:rsidR="00A44A63">
        <w:t xml:space="preserve"> 3 March 2016</w:t>
      </w:r>
      <w:r w:rsidR="00A44A63" w:rsidRPr="000B7D7D">
        <w:t xml:space="preserve">) and </w:t>
      </w:r>
      <w:r>
        <w:t>Australian Specific Annex (</w:t>
      </w:r>
      <w:r w:rsidR="00A44A63" w:rsidRPr="000B7D7D">
        <w:t>ASA</w:t>
      </w:r>
      <w:r>
        <w:t>)</w:t>
      </w:r>
      <w:r w:rsidR="00A44A63" w:rsidRPr="000B7D7D">
        <w:t xml:space="preserve"> version </w:t>
      </w:r>
      <w:r w:rsidR="00A44A63">
        <w:t>1.0</w:t>
      </w:r>
      <w:r w:rsidR="00A44A63" w:rsidRPr="000B7D7D">
        <w:t xml:space="preserve"> (date</w:t>
      </w:r>
      <w:r w:rsidR="00A44A63">
        <w:t>d</w:t>
      </w:r>
      <w:r w:rsidR="00186325">
        <w:t> </w:t>
      </w:r>
      <w:r w:rsidR="00A44A63">
        <w:t>24</w:t>
      </w:r>
      <w:r w:rsidR="00615D66">
        <w:t> </w:t>
      </w:r>
      <w:r w:rsidR="00A44A63">
        <w:t>October 2016</w:t>
      </w:r>
      <w:r w:rsidR="00A44A63" w:rsidRPr="000B7D7D">
        <w:t>) in support of this application.</w:t>
      </w:r>
      <w:r w:rsidR="00A44A63" w:rsidRPr="00182481">
        <w:t xml:space="preserve"> </w:t>
      </w:r>
      <w:r>
        <w:t>In the sponsor’s</w:t>
      </w:r>
      <w:r w:rsidR="00A44A63">
        <w:t xml:space="preserve"> response of</w:t>
      </w:r>
      <w:r w:rsidR="00A44A63" w:rsidRPr="00182481">
        <w:t xml:space="preserve"> </w:t>
      </w:r>
      <w:r w:rsidR="00A44A63">
        <w:t>28</w:t>
      </w:r>
      <w:r w:rsidR="00186325">
        <w:t> </w:t>
      </w:r>
      <w:r w:rsidR="00A44A63">
        <w:t>June 2017, the sponsor provided updated EU-RMP version 1.4 (dated</w:t>
      </w:r>
      <w:r w:rsidR="00186325">
        <w:t xml:space="preserve"> </w:t>
      </w:r>
      <w:r w:rsidR="00A44A63">
        <w:t>17</w:t>
      </w:r>
      <w:r w:rsidR="00186325">
        <w:t> </w:t>
      </w:r>
      <w:r w:rsidR="00A44A63">
        <w:t>March</w:t>
      </w:r>
      <w:r w:rsidR="00186325">
        <w:t> </w:t>
      </w:r>
      <w:r w:rsidR="00A44A63">
        <w:t>2017; DLP 17 March 2017) and ASA version 1.1 (dated 24 June 2017).</w:t>
      </w:r>
    </w:p>
    <w:p w14:paraId="7F4AA753" w14:textId="77777777" w:rsidR="00A44A63" w:rsidRDefault="00A44A63" w:rsidP="00A44A63">
      <w:pPr>
        <w:pStyle w:val="ListBullet"/>
      </w:pPr>
      <w:r w:rsidRPr="00182481">
        <w:t xml:space="preserve">The proposed Summary of Safety Concerns and their associated risk monitoring and mitigation strategies are summarised </w:t>
      </w:r>
      <w:r>
        <w:t xml:space="preserve">in the table </w:t>
      </w:r>
      <w:r w:rsidRPr="00182481">
        <w:t>below</w:t>
      </w:r>
      <w:r>
        <w:t>. Safety concerns are relevant to all indications, except where indicated. There is one Australian-specific safety concern which is indicated by the yellow highlight.</w:t>
      </w:r>
    </w:p>
    <w:p w14:paraId="7F4AA754" w14:textId="77777777" w:rsidR="00320E40" w:rsidRDefault="00320E40" w:rsidP="00320E40">
      <w:pPr>
        <w:pStyle w:val="TableTitle"/>
      </w:pPr>
      <w:r>
        <w:t xml:space="preserve">Table </w:t>
      </w:r>
      <w:r w:rsidR="00150AB2">
        <w:t>4</w:t>
      </w:r>
      <w:r w:rsidR="00C2705E">
        <w:t>: Sponsor’s summary of ongoing safety concerns</w:t>
      </w:r>
    </w:p>
    <w:p w14:paraId="7F4AA755" w14:textId="6ABC0028" w:rsidR="00320E40" w:rsidRPr="000F6956" w:rsidRDefault="00320E40" w:rsidP="00320E40">
      <w:pPr>
        <w:pStyle w:val="TableDescription"/>
      </w:pPr>
      <w:r>
        <w:t>R</w:t>
      </w:r>
      <w:r w:rsidR="00186325">
        <w:t xml:space="preserve"> </w:t>
      </w:r>
      <w:r>
        <w:t>=</w:t>
      </w:r>
      <w:r w:rsidR="00186325">
        <w:t xml:space="preserve"> </w:t>
      </w:r>
      <w:r>
        <w:t>Routine and A</w:t>
      </w:r>
      <w:r w:rsidR="00186325">
        <w:t xml:space="preserve"> </w:t>
      </w:r>
      <w:r>
        <w:t>=</w:t>
      </w:r>
      <w:r w:rsidR="00186325">
        <w:t xml:space="preserve"> </w:t>
      </w:r>
      <w:r>
        <w:t>Additional</w:t>
      </w:r>
    </w:p>
    <w:tbl>
      <w:tblPr>
        <w:tblStyle w:val="TableTGAblue"/>
        <w:tblW w:w="9322" w:type="dxa"/>
        <w:tblLayout w:type="fixed"/>
        <w:tblLook w:val="04A0" w:firstRow="1" w:lastRow="0" w:firstColumn="1" w:lastColumn="0" w:noHBand="0" w:noVBand="1"/>
      </w:tblPr>
      <w:tblGrid>
        <w:gridCol w:w="1668"/>
        <w:gridCol w:w="3118"/>
        <w:gridCol w:w="992"/>
        <w:gridCol w:w="1418"/>
        <w:gridCol w:w="992"/>
        <w:gridCol w:w="1134"/>
      </w:tblGrid>
      <w:tr w:rsidR="00A44A63" w:rsidRPr="00320E40" w14:paraId="7F4AA759" w14:textId="77777777" w:rsidTr="00B045BC">
        <w:trPr>
          <w:cnfStyle w:val="100000000000" w:firstRow="1" w:lastRow="0" w:firstColumn="0" w:lastColumn="0" w:oddVBand="0" w:evenVBand="0" w:oddHBand="0" w:evenHBand="0" w:firstRowFirstColumn="0" w:firstRowLastColumn="0" w:lastRowFirstColumn="0" w:lastRowLastColumn="0"/>
          <w:cantSplit/>
          <w:trHeight w:val="227"/>
        </w:trPr>
        <w:tc>
          <w:tcPr>
            <w:tcW w:w="4786" w:type="dxa"/>
            <w:gridSpan w:val="2"/>
            <w:vMerge w:val="restart"/>
          </w:tcPr>
          <w:p w14:paraId="7F4AA756" w14:textId="77777777" w:rsidR="00A44A63" w:rsidRPr="00320E40" w:rsidRDefault="00A44A63" w:rsidP="00320E40">
            <w:pPr>
              <w:rPr>
                <w:sz w:val="20"/>
                <w:szCs w:val="20"/>
              </w:rPr>
            </w:pPr>
            <w:r w:rsidRPr="00320E40">
              <w:rPr>
                <w:sz w:val="20"/>
                <w:szCs w:val="20"/>
              </w:rPr>
              <w:t>Summary of safety concerns</w:t>
            </w:r>
          </w:p>
        </w:tc>
        <w:tc>
          <w:tcPr>
            <w:tcW w:w="2410" w:type="dxa"/>
            <w:gridSpan w:val="2"/>
          </w:tcPr>
          <w:p w14:paraId="7F4AA757" w14:textId="77777777" w:rsidR="00A44A63" w:rsidRPr="00320E40" w:rsidRDefault="00A44A63" w:rsidP="00320E40">
            <w:pPr>
              <w:rPr>
                <w:sz w:val="20"/>
                <w:szCs w:val="20"/>
              </w:rPr>
            </w:pPr>
            <w:r w:rsidRPr="00320E40">
              <w:rPr>
                <w:sz w:val="20"/>
                <w:szCs w:val="20"/>
              </w:rPr>
              <w:t>Pharmacovigilance</w:t>
            </w:r>
          </w:p>
        </w:tc>
        <w:tc>
          <w:tcPr>
            <w:tcW w:w="2126" w:type="dxa"/>
            <w:gridSpan w:val="2"/>
          </w:tcPr>
          <w:p w14:paraId="7F4AA758" w14:textId="77777777" w:rsidR="00A44A63" w:rsidRPr="00320E40" w:rsidRDefault="00A44A63" w:rsidP="00320E40">
            <w:pPr>
              <w:rPr>
                <w:sz w:val="20"/>
                <w:szCs w:val="20"/>
              </w:rPr>
            </w:pPr>
            <w:r w:rsidRPr="00320E40">
              <w:rPr>
                <w:sz w:val="20"/>
                <w:szCs w:val="20"/>
              </w:rPr>
              <w:t>Risk Minimisation</w:t>
            </w:r>
          </w:p>
        </w:tc>
      </w:tr>
      <w:tr w:rsidR="00A44A63" w:rsidRPr="00320E40" w14:paraId="7F4AA75F" w14:textId="77777777" w:rsidTr="00B045BC">
        <w:trPr>
          <w:cantSplit/>
          <w:trHeight w:val="227"/>
        </w:trPr>
        <w:tc>
          <w:tcPr>
            <w:tcW w:w="4786" w:type="dxa"/>
            <w:gridSpan w:val="2"/>
            <w:vMerge/>
          </w:tcPr>
          <w:p w14:paraId="7F4AA75A" w14:textId="77777777" w:rsidR="00A44A63" w:rsidRPr="00320E40" w:rsidRDefault="00A44A63" w:rsidP="00320E40">
            <w:pPr>
              <w:rPr>
                <w:sz w:val="20"/>
                <w:szCs w:val="20"/>
              </w:rPr>
            </w:pPr>
          </w:p>
        </w:tc>
        <w:tc>
          <w:tcPr>
            <w:tcW w:w="992" w:type="dxa"/>
          </w:tcPr>
          <w:p w14:paraId="7F4AA75B" w14:textId="77777777" w:rsidR="00A44A63" w:rsidRPr="00320E40" w:rsidRDefault="00A44A63" w:rsidP="00320E40">
            <w:pPr>
              <w:rPr>
                <w:sz w:val="20"/>
                <w:szCs w:val="20"/>
              </w:rPr>
            </w:pPr>
            <w:r w:rsidRPr="00320E40">
              <w:rPr>
                <w:sz w:val="20"/>
                <w:szCs w:val="20"/>
              </w:rPr>
              <w:t>R</w:t>
            </w:r>
          </w:p>
        </w:tc>
        <w:tc>
          <w:tcPr>
            <w:tcW w:w="1418" w:type="dxa"/>
          </w:tcPr>
          <w:p w14:paraId="7F4AA75C" w14:textId="77777777" w:rsidR="00A44A63" w:rsidRPr="00320E40" w:rsidRDefault="00A44A63" w:rsidP="00320E40">
            <w:pPr>
              <w:rPr>
                <w:sz w:val="20"/>
                <w:szCs w:val="20"/>
              </w:rPr>
            </w:pPr>
            <w:r w:rsidRPr="00320E40">
              <w:rPr>
                <w:sz w:val="20"/>
                <w:szCs w:val="20"/>
              </w:rPr>
              <w:t>A</w:t>
            </w:r>
          </w:p>
        </w:tc>
        <w:tc>
          <w:tcPr>
            <w:tcW w:w="992" w:type="dxa"/>
          </w:tcPr>
          <w:p w14:paraId="7F4AA75D" w14:textId="77777777" w:rsidR="00A44A63" w:rsidRPr="00320E40" w:rsidRDefault="00A44A63" w:rsidP="00320E40">
            <w:pPr>
              <w:rPr>
                <w:sz w:val="20"/>
                <w:szCs w:val="20"/>
              </w:rPr>
            </w:pPr>
            <w:r w:rsidRPr="00320E40">
              <w:rPr>
                <w:sz w:val="20"/>
                <w:szCs w:val="20"/>
              </w:rPr>
              <w:t>R</w:t>
            </w:r>
          </w:p>
        </w:tc>
        <w:tc>
          <w:tcPr>
            <w:tcW w:w="1134" w:type="dxa"/>
          </w:tcPr>
          <w:p w14:paraId="7F4AA75E" w14:textId="77777777" w:rsidR="00A44A63" w:rsidRPr="00320E40" w:rsidRDefault="00A44A63" w:rsidP="00320E40">
            <w:pPr>
              <w:rPr>
                <w:sz w:val="20"/>
                <w:szCs w:val="20"/>
              </w:rPr>
            </w:pPr>
            <w:r w:rsidRPr="00320E40">
              <w:rPr>
                <w:sz w:val="20"/>
                <w:szCs w:val="20"/>
              </w:rPr>
              <w:t>A</w:t>
            </w:r>
          </w:p>
        </w:tc>
      </w:tr>
      <w:tr w:rsidR="00A44A63" w:rsidRPr="00320E40" w14:paraId="7F4AA766" w14:textId="77777777" w:rsidTr="00B045BC">
        <w:trPr>
          <w:trHeight w:val="94"/>
        </w:trPr>
        <w:tc>
          <w:tcPr>
            <w:tcW w:w="1668" w:type="dxa"/>
            <w:vMerge w:val="restart"/>
          </w:tcPr>
          <w:p w14:paraId="7F4AA760" w14:textId="77777777" w:rsidR="00A44A63" w:rsidRPr="00320E40" w:rsidRDefault="00A44A63" w:rsidP="00320E40">
            <w:pPr>
              <w:rPr>
                <w:b/>
                <w:sz w:val="20"/>
                <w:szCs w:val="20"/>
              </w:rPr>
            </w:pPr>
            <w:r w:rsidRPr="00320E40">
              <w:rPr>
                <w:b/>
                <w:sz w:val="20"/>
                <w:szCs w:val="20"/>
              </w:rPr>
              <w:t>Important identified risks</w:t>
            </w:r>
          </w:p>
        </w:tc>
        <w:tc>
          <w:tcPr>
            <w:tcW w:w="3118" w:type="dxa"/>
          </w:tcPr>
          <w:p w14:paraId="7F4AA761" w14:textId="77777777" w:rsidR="00A44A63" w:rsidRPr="00320E40" w:rsidRDefault="00A44A63" w:rsidP="00320E40">
            <w:pPr>
              <w:rPr>
                <w:sz w:val="20"/>
                <w:szCs w:val="20"/>
              </w:rPr>
            </w:pPr>
            <w:r w:rsidRPr="00320E40">
              <w:rPr>
                <w:sz w:val="20"/>
                <w:szCs w:val="20"/>
              </w:rPr>
              <w:t>Infusion-related reactions</w:t>
            </w:r>
          </w:p>
        </w:tc>
        <w:tc>
          <w:tcPr>
            <w:tcW w:w="992" w:type="dxa"/>
          </w:tcPr>
          <w:p w14:paraId="7F4AA762"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63"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64"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65"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r>
      <w:tr w:rsidR="00A44A63" w:rsidRPr="00320E40" w14:paraId="7F4AA76D" w14:textId="77777777" w:rsidTr="00B045BC">
        <w:trPr>
          <w:trHeight w:val="187"/>
        </w:trPr>
        <w:tc>
          <w:tcPr>
            <w:tcW w:w="1668" w:type="dxa"/>
            <w:vMerge/>
          </w:tcPr>
          <w:p w14:paraId="7F4AA767" w14:textId="77777777" w:rsidR="00A44A63" w:rsidRPr="00320E40" w:rsidRDefault="00A44A63" w:rsidP="00320E40">
            <w:pPr>
              <w:rPr>
                <w:b/>
                <w:sz w:val="20"/>
                <w:szCs w:val="20"/>
              </w:rPr>
            </w:pPr>
          </w:p>
        </w:tc>
        <w:tc>
          <w:tcPr>
            <w:tcW w:w="3118" w:type="dxa"/>
          </w:tcPr>
          <w:p w14:paraId="7F4AA768" w14:textId="77777777" w:rsidR="00A44A63" w:rsidRPr="00320E40" w:rsidRDefault="00A44A63" w:rsidP="00320E40">
            <w:pPr>
              <w:rPr>
                <w:sz w:val="20"/>
                <w:szCs w:val="20"/>
              </w:rPr>
            </w:pPr>
            <w:r w:rsidRPr="00320E40">
              <w:rPr>
                <w:sz w:val="20"/>
                <w:szCs w:val="20"/>
              </w:rPr>
              <w:t>Infections (including serious infections)</w:t>
            </w:r>
          </w:p>
        </w:tc>
        <w:tc>
          <w:tcPr>
            <w:tcW w:w="992" w:type="dxa"/>
          </w:tcPr>
          <w:p w14:paraId="7F4AA769"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6A"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6B"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6C"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r>
      <w:tr w:rsidR="00A44A63" w:rsidRPr="00320E40" w14:paraId="7F4AA774" w14:textId="77777777" w:rsidTr="00B045BC">
        <w:trPr>
          <w:trHeight w:val="187"/>
        </w:trPr>
        <w:tc>
          <w:tcPr>
            <w:tcW w:w="1668" w:type="dxa"/>
            <w:vMerge/>
          </w:tcPr>
          <w:p w14:paraId="7F4AA76E" w14:textId="77777777" w:rsidR="00A44A63" w:rsidRPr="00320E40" w:rsidRDefault="00A44A63" w:rsidP="00320E40">
            <w:pPr>
              <w:rPr>
                <w:b/>
                <w:sz w:val="20"/>
                <w:szCs w:val="20"/>
              </w:rPr>
            </w:pPr>
          </w:p>
        </w:tc>
        <w:tc>
          <w:tcPr>
            <w:tcW w:w="3118" w:type="dxa"/>
          </w:tcPr>
          <w:p w14:paraId="7F4AA76F" w14:textId="77777777" w:rsidR="00A44A63" w:rsidRPr="00320E40" w:rsidRDefault="00A44A63" w:rsidP="00320E40">
            <w:pPr>
              <w:rPr>
                <w:sz w:val="20"/>
                <w:szCs w:val="20"/>
              </w:rPr>
            </w:pPr>
            <w:r w:rsidRPr="00320E40">
              <w:rPr>
                <w:sz w:val="20"/>
                <w:szCs w:val="20"/>
              </w:rPr>
              <w:t>Serious viral infections*</w:t>
            </w:r>
          </w:p>
        </w:tc>
        <w:tc>
          <w:tcPr>
            <w:tcW w:w="992" w:type="dxa"/>
          </w:tcPr>
          <w:p w14:paraId="7F4AA770"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71"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72"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73" w14:textId="77777777" w:rsidR="00A44A63" w:rsidRPr="00320E40" w:rsidRDefault="00A44A63" w:rsidP="00320E40">
            <w:pPr>
              <w:rPr>
                <w:sz w:val="20"/>
                <w:szCs w:val="20"/>
              </w:rPr>
            </w:pPr>
            <w:r w:rsidRPr="00320E40">
              <w:rPr>
                <w:sz w:val="20"/>
                <w:szCs w:val="20"/>
              </w:rPr>
              <w:t>–</w:t>
            </w:r>
          </w:p>
        </w:tc>
      </w:tr>
      <w:tr w:rsidR="00A44A63" w:rsidRPr="00320E40" w14:paraId="7F4AA77B" w14:textId="77777777" w:rsidTr="00B045BC">
        <w:trPr>
          <w:trHeight w:val="187"/>
        </w:trPr>
        <w:tc>
          <w:tcPr>
            <w:tcW w:w="1668" w:type="dxa"/>
            <w:vMerge/>
          </w:tcPr>
          <w:p w14:paraId="7F4AA775" w14:textId="77777777" w:rsidR="00A44A63" w:rsidRPr="00320E40" w:rsidRDefault="00A44A63" w:rsidP="00320E40">
            <w:pPr>
              <w:rPr>
                <w:b/>
                <w:sz w:val="20"/>
                <w:szCs w:val="20"/>
              </w:rPr>
            </w:pPr>
          </w:p>
        </w:tc>
        <w:tc>
          <w:tcPr>
            <w:tcW w:w="3118" w:type="dxa"/>
          </w:tcPr>
          <w:p w14:paraId="7F4AA776" w14:textId="77777777" w:rsidR="00A44A63" w:rsidRPr="00320E40" w:rsidRDefault="00A44A63" w:rsidP="00320E40">
            <w:pPr>
              <w:rPr>
                <w:sz w:val="20"/>
                <w:szCs w:val="20"/>
              </w:rPr>
            </w:pPr>
            <w:r w:rsidRPr="00320E40">
              <w:rPr>
                <w:sz w:val="20"/>
                <w:szCs w:val="20"/>
              </w:rPr>
              <w:t>Impaired immunization response</w:t>
            </w:r>
          </w:p>
        </w:tc>
        <w:tc>
          <w:tcPr>
            <w:tcW w:w="992" w:type="dxa"/>
          </w:tcPr>
          <w:p w14:paraId="7F4AA777"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78"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79"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7A" w14:textId="77777777" w:rsidR="00A44A63" w:rsidRPr="00320E40" w:rsidRDefault="00A44A63" w:rsidP="00320E40">
            <w:pPr>
              <w:rPr>
                <w:sz w:val="20"/>
                <w:szCs w:val="20"/>
              </w:rPr>
            </w:pPr>
            <w:r w:rsidRPr="00320E40">
              <w:rPr>
                <w:sz w:val="20"/>
                <w:szCs w:val="20"/>
              </w:rPr>
              <w:t>–</w:t>
            </w:r>
          </w:p>
        </w:tc>
      </w:tr>
      <w:tr w:rsidR="00A44A63" w:rsidRPr="00320E40" w14:paraId="7F4AA782" w14:textId="77777777" w:rsidTr="00B045BC">
        <w:trPr>
          <w:trHeight w:val="187"/>
        </w:trPr>
        <w:tc>
          <w:tcPr>
            <w:tcW w:w="1668" w:type="dxa"/>
            <w:vMerge/>
          </w:tcPr>
          <w:p w14:paraId="7F4AA77C" w14:textId="77777777" w:rsidR="00A44A63" w:rsidRPr="00320E40" w:rsidRDefault="00A44A63" w:rsidP="00320E40">
            <w:pPr>
              <w:rPr>
                <w:b/>
                <w:sz w:val="20"/>
                <w:szCs w:val="20"/>
              </w:rPr>
            </w:pPr>
          </w:p>
        </w:tc>
        <w:tc>
          <w:tcPr>
            <w:tcW w:w="3118" w:type="dxa"/>
          </w:tcPr>
          <w:p w14:paraId="7F4AA77D" w14:textId="77777777" w:rsidR="00A44A63" w:rsidRPr="00320E40" w:rsidRDefault="00A44A63" w:rsidP="00320E40">
            <w:pPr>
              <w:rPr>
                <w:sz w:val="20"/>
                <w:szCs w:val="20"/>
              </w:rPr>
            </w:pPr>
            <w:r w:rsidRPr="00320E40">
              <w:rPr>
                <w:sz w:val="20"/>
                <w:szCs w:val="20"/>
              </w:rPr>
              <w:t>PML</w:t>
            </w:r>
          </w:p>
        </w:tc>
        <w:tc>
          <w:tcPr>
            <w:tcW w:w="992" w:type="dxa"/>
          </w:tcPr>
          <w:p w14:paraId="7F4AA77E"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7F" w14:textId="77777777" w:rsidR="00A44A63" w:rsidRPr="00320E40" w:rsidRDefault="00A44A63" w:rsidP="00320E40">
            <w:pPr>
              <w:rPr>
                <w:sz w:val="20"/>
                <w:szCs w:val="20"/>
              </w:rPr>
            </w:pPr>
            <w:r w:rsidRPr="00320E40">
              <w:rPr>
                <w:sz w:val="20"/>
                <w:szCs w:val="20"/>
              </w:rPr>
              <w:sym w:font="Wingdings" w:char="F0FC"/>
            </w:r>
          </w:p>
        </w:tc>
        <w:tc>
          <w:tcPr>
            <w:tcW w:w="992" w:type="dxa"/>
          </w:tcPr>
          <w:p w14:paraId="7F4AA780"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81"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r>
      <w:tr w:rsidR="00A44A63" w:rsidRPr="00320E40" w14:paraId="7F4AA789" w14:textId="77777777" w:rsidTr="00B045BC">
        <w:trPr>
          <w:trHeight w:val="187"/>
        </w:trPr>
        <w:tc>
          <w:tcPr>
            <w:tcW w:w="1668" w:type="dxa"/>
            <w:vMerge/>
          </w:tcPr>
          <w:p w14:paraId="7F4AA783" w14:textId="77777777" w:rsidR="00A44A63" w:rsidRPr="00320E40" w:rsidRDefault="00A44A63" w:rsidP="00320E40">
            <w:pPr>
              <w:rPr>
                <w:b/>
                <w:sz w:val="20"/>
                <w:szCs w:val="20"/>
              </w:rPr>
            </w:pPr>
          </w:p>
        </w:tc>
        <w:tc>
          <w:tcPr>
            <w:tcW w:w="3118" w:type="dxa"/>
          </w:tcPr>
          <w:p w14:paraId="7F4AA784" w14:textId="77777777" w:rsidR="00A44A63" w:rsidRPr="00320E40" w:rsidRDefault="00A44A63" w:rsidP="00320E40">
            <w:pPr>
              <w:rPr>
                <w:sz w:val="20"/>
                <w:szCs w:val="20"/>
              </w:rPr>
            </w:pPr>
            <w:r w:rsidRPr="00320E40">
              <w:rPr>
                <w:sz w:val="20"/>
                <w:szCs w:val="20"/>
              </w:rPr>
              <w:t>Neutropenia (including prolonged)</w:t>
            </w:r>
          </w:p>
        </w:tc>
        <w:tc>
          <w:tcPr>
            <w:tcW w:w="992" w:type="dxa"/>
          </w:tcPr>
          <w:p w14:paraId="7F4AA785"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86"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87"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88" w14:textId="77777777" w:rsidR="00A44A63" w:rsidRPr="00320E40" w:rsidRDefault="00A44A63" w:rsidP="00320E40">
            <w:pPr>
              <w:rPr>
                <w:sz w:val="20"/>
                <w:szCs w:val="20"/>
              </w:rPr>
            </w:pPr>
            <w:r w:rsidRPr="00320E40">
              <w:rPr>
                <w:sz w:val="20"/>
                <w:szCs w:val="20"/>
              </w:rPr>
              <w:t>–</w:t>
            </w:r>
          </w:p>
        </w:tc>
      </w:tr>
      <w:tr w:rsidR="00A44A63" w:rsidRPr="00320E40" w14:paraId="7F4AA790" w14:textId="77777777" w:rsidTr="00B045BC">
        <w:trPr>
          <w:trHeight w:val="187"/>
        </w:trPr>
        <w:tc>
          <w:tcPr>
            <w:tcW w:w="1668" w:type="dxa"/>
            <w:vMerge/>
          </w:tcPr>
          <w:p w14:paraId="7F4AA78A" w14:textId="77777777" w:rsidR="00A44A63" w:rsidRPr="00320E40" w:rsidRDefault="00A44A63" w:rsidP="00320E40">
            <w:pPr>
              <w:rPr>
                <w:b/>
                <w:sz w:val="20"/>
                <w:szCs w:val="20"/>
              </w:rPr>
            </w:pPr>
          </w:p>
        </w:tc>
        <w:tc>
          <w:tcPr>
            <w:tcW w:w="3118" w:type="dxa"/>
          </w:tcPr>
          <w:p w14:paraId="7F4AA78B" w14:textId="77777777" w:rsidR="00A44A63" w:rsidRPr="00320E40" w:rsidRDefault="00A44A63" w:rsidP="00320E40">
            <w:pPr>
              <w:rPr>
                <w:sz w:val="20"/>
                <w:szCs w:val="20"/>
              </w:rPr>
            </w:pPr>
            <w:r w:rsidRPr="00320E40">
              <w:rPr>
                <w:sz w:val="20"/>
                <w:szCs w:val="20"/>
              </w:rPr>
              <w:t>HBV reactivation</w:t>
            </w:r>
          </w:p>
        </w:tc>
        <w:tc>
          <w:tcPr>
            <w:tcW w:w="992" w:type="dxa"/>
          </w:tcPr>
          <w:p w14:paraId="7F4AA78C"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8D" w14:textId="77777777" w:rsidR="00A44A63" w:rsidRPr="00320E40" w:rsidRDefault="00A44A63" w:rsidP="00320E40">
            <w:pPr>
              <w:rPr>
                <w:sz w:val="20"/>
                <w:szCs w:val="20"/>
              </w:rPr>
            </w:pPr>
            <w:r w:rsidRPr="00320E40">
              <w:rPr>
                <w:sz w:val="20"/>
                <w:szCs w:val="20"/>
              </w:rPr>
              <w:sym w:font="Wingdings" w:char="F0FC"/>
            </w:r>
          </w:p>
        </w:tc>
        <w:tc>
          <w:tcPr>
            <w:tcW w:w="992" w:type="dxa"/>
          </w:tcPr>
          <w:p w14:paraId="7F4AA78E"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8F" w14:textId="77777777" w:rsidR="00A44A63" w:rsidRPr="00320E40" w:rsidRDefault="00A44A63" w:rsidP="00320E40">
            <w:pPr>
              <w:rPr>
                <w:sz w:val="20"/>
                <w:szCs w:val="20"/>
              </w:rPr>
            </w:pPr>
            <w:r w:rsidRPr="00320E40">
              <w:rPr>
                <w:sz w:val="20"/>
                <w:szCs w:val="20"/>
              </w:rPr>
              <w:t>–</w:t>
            </w:r>
          </w:p>
        </w:tc>
      </w:tr>
      <w:tr w:rsidR="00A44A63" w:rsidRPr="00320E40" w14:paraId="7F4AA797" w14:textId="77777777" w:rsidTr="00B045BC">
        <w:trPr>
          <w:trHeight w:val="187"/>
        </w:trPr>
        <w:tc>
          <w:tcPr>
            <w:tcW w:w="1668" w:type="dxa"/>
            <w:vMerge/>
          </w:tcPr>
          <w:p w14:paraId="7F4AA791" w14:textId="77777777" w:rsidR="00A44A63" w:rsidRPr="00320E40" w:rsidRDefault="00A44A63" w:rsidP="00320E40">
            <w:pPr>
              <w:rPr>
                <w:b/>
                <w:sz w:val="20"/>
                <w:szCs w:val="20"/>
              </w:rPr>
            </w:pPr>
          </w:p>
        </w:tc>
        <w:tc>
          <w:tcPr>
            <w:tcW w:w="3118" w:type="dxa"/>
          </w:tcPr>
          <w:p w14:paraId="7F4AA792" w14:textId="77777777" w:rsidR="00A44A63" w:rsidRPr="00320E40" w:rsidRDefault="00A44A63" w:rsidP="00320E40">
            <w:pPr>
              <w:rPr>
                <w:sz w:val="20"/>
                <w:szCs w:val="20"/>
              </w:rPr>
            </w:pPr>
            <w:r w:rsidRPr="00320E40">
              <w:rPr>
                <w:sz w:val="20"/>
                <w:szCs w:val="20"/>
              </w:rPr>
              <w:t>Tumour lysis syndrome*</w:t>
            </w:r>
          </w:p>
        </w:tc>
        <w:tc>
          <w:tcPr>
            <w:tcW w:w="992" w:type="dxa"/>
          </w:tcPr>
          <w:p w14:paraId="7F4AA793"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94" w14:textId="77777777" w:rsidR="00A44A63" w:rsidRPr="00320E40" w:rsidRDefault="00A44A63" w:rsidP="00320E40">
            <w:pPr>
              <w:rPr>
                <w:sz w:val="20"/>
                <w:szCs w:val="20"/>
              </w:rPr>
            </w:pPr>
            <w:r w:rsidRPr="00320E40">
              <w:rPr>
                <w:sz w:val="20"/>
                <w:szCs w:val="20"/>
              </w:rPr>
              <w:t>–</w:t>
            </w:r>
          </w:p>
        </w:tc>
        <w:tc>
          <w:tcPr>
            <w:tcW w:w="992" w:type="dxa"/>
          </w:tcPr>
          <w:p w14:paraId="7F4AA795"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96" w14:textId="77777777" w:rsidR="00A44A63" w:rsidRPr="00320E40" w:rsidRDefault="00A44A63" w:rsidP="00320E40">
            <w:pPr>
              <w:rPr>
                <w:sz w:val="20"/>
                <w:szCs w:val="20"/>
              </w:rPr>
            </w:pPr>
            <w:r w:rsidRPr="00320E40">
              <w:rPr>
                <w:sz w:val="20"/>
                <w:szCs w:val="20"/>
              </w:rPr>
              <w:t>–</w:t>
            </w:r>
          </w:p>
        </w:tc>
      </w:tr>
      <w:tr w:rsidR="00A44A63" w:rsidRPr="00320E40" w14:paraId="7F4AA79E" w14:textId="77777777" w:rsidTr="00B045BC">
        <w:trPr>
          <w:trHeight w:val="187"/>
        </w:trPr>
        <w:tc>
          <w:tcPr>
            <w:tcW w:w="1668" w:type="dxa"/>
            <w:vMerge/>
          </w:tcPr>
          <w:p w14:paraId="7F4AA798" w14:textId="77777777" w:rsidR="00A44A63" w:rsidRPr="00320E40" w:rsidRDefault="00A44A63" w:rsidP="00320E40">
            <w:pPr>
              <w:rPr>
                <w:b/>
                <w:sz w:val="20"/>
                <w:szCs w:val="20"/>
              </w:rPr>
            </w:pPr>
          </w:p>
        </w:tc>
        <w:tc>
          <w:tcPr>
            <w:tcW w:w="3118" w:type="dxa"/>
          </w:tcPr>
          <w:p w14:paraId="7F4AA799" w14:textId="77777777" w:rsidR="00A44A63" w:rsidRPr="00320E40" w:rsidRDefault="00A44A63" w:rsidP="00320E40">
            <w:pPr>
              <w:rPr>
                <w:sz w:val="20"/>
                <w:szCs w:val="20"/>
              </w:rPr>
            </w:pPr>
            <w:r w:rsidRPr="00320E40">
              <w:rPr>
                <w:sz w:val="20"/>
                <w:szCs w:val="20"/>
              </w:rPr>
              <w:t>GI perforation*</w:t>
            </w:r>
          </w:p>
        </w:tc>
        <w:tc>
          <w:tcPr>
            <w:tcW w:w="992" w:type="dxa"/>
          </w:tcPr>
          <w:p w14:paraId="7F4AA79A"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9B" w14:textId="77777777" w:rsidR="00A44A63" w:rsidRPr="00320E40" w:rsidRDefault="00A44A63" w:rsidP="00320E40">
            <w:pPr>
              <w:rPr>
                <w:sz w:val="20"/>
                <w:szCs w:val="20"/>
              </w:rPr>
            </w:pPr>
            <w:r w:rsidRPr="00320E40">
              <w:rPr>
                <w:sz w:val="20"/>
                <w:szCs w:val="20"/>
              </w:rPr>
              <w:t>–</w:t>
            </w:r>
          </w:p>
        </w:tc>
        <w:tc>
          <w:tcPr>
            <w:tcW w:w="992" w:type="dxa"/>
          </w:tcPr>
          <w:p w14:paraId="7F4AA79C"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9D" w14:textId="77777777" w:rsidR="00A44A63" w:rsidRPr="00320E40" w:rsidRDefault="00A44A63" w:rsidP="00320E40">
            <w:pPr>
              <w:rPr>
                <w:sz w:val="20"/>
                <w:szCs w:val="20"/>
              </w:rPr>
            </w:pPr>
            <w:r w:rsidRPr="00320E40">
              <w:rPr>
                <w:sz w:val="20"/>
                <w:szCs w:val="20"/>
              </w:rPr>
              <w:t>–</w:t>
            </w:r>
          </w:p>
        </w:tc>
      </w:tr>
      <w:tr w:rsidR="00A44A63" w:rsidRPr="00320E40" w14:paraId="7F4AA7A5" w14:textId="77777777" w:rsidTr="00B045BC">
        <w:trPr>
          <w:trHeight w:val="187"/>
        </w:trPr>
        <w:tc>
          <w:tcPr>
            <w:tcW w:w="1668" w:type="dxa"/>
            <w:vMerge/>
          </w:tcPr>
          <w:p w14:paraId="7F4AA79F" w14:textId="77777777" w:rsidR="00A44A63" w:rsidRPr="00320E40" w:rsidRDefault="00A44A63" w:rsidP="00320E40">
            <w:pPr>
              <w:rPr>
                <w:b/>
                <w:sz w:val="20"/>
                <w:szCs w:val="20"/>
              </w:rPr>
            </w:pPr>
          </w:p>
        </w:tc>
        <w:tc>
          <w:tcPr>
            <w:tcW w:w="3118" w:type="dxa"/>
          </w:tcPr>
          <w:p w14:paraId="7F4AA7A0" w14:textId="77777777" w:rsidR="00A44A63" w:rsidRPr="00320E40" w:rsidRDefault="00A44A63" w:rsidP="00320E40">
            <w:pPr>
              <w:rPr>
                <w:sz w:val="20"/>
                <w:szCs w:val="20"/>
              </w:rPr>
            </w:pPr>
            <w:r w:rsidRPr="00320E40">
              <w:rPr>
                <w:sz w:val="20"/>
                <w:szCs w:val="20"/>
              </w:rPr>
              <w:t>Stevens-Johnson Syndrome/ Toxic Epidermal Necrolysis</w:t>
            </w:r>
          </w:p>
        </w:tc>
        <w:tc>
          <w:tcPr>
            <w:tcW w:w="992" w:type="dxa"/>
          </w:tcPr>
          <w:p w14:paraId="7F4AA7A1"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A2" w14:textId="77777777" w:rsidR="00A44A63" w:rsidRPr="00320E40" w:rsidRDefault="00A44A63" w:rsidP="00320E40">
            <w:pPr>
              <w:rPr>
                <w:sz w:val="20"/>
                <w:szCs w:val="20"/>
              </w:rPr>
            </w:pPr>
            <w:r w:rsidRPr="00320E40">
              <w:rPr>
                <w:sz w:val="20"/>
                <w:szCs w:val="20"/>
              </w:rPr>
              <w:t>–</w:t>
            </w:r>
          </w:p>
        </w:tc>
        <w:tc>
          <w:tcPr>
            <w:tcW w:w="992" w:type="dxa"/>
          </w:tcPr>
          <w:p w14:paraId="7F4AA7A3"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A4" w14:textId="77777777" w:rsidR="00A44A63" w:rsidRPr="00320E40" w:rsidRDefault="00A44A63" w:rsidP="00320E40">
            <w:pPr>
              <w:rPr>
                <w:sz w:val="20"/>
                <w:szCs w:val="20"/>
              </w:rPr>
            </w:pPr>
            <w:r w:rsidRPr="00320E40">
              <w:rPr>
                <w:sz w:val="20"/>
                <w:szCs w:val="20"/>
              </w:rPr>
              <w:t>–</w:t>
            </w:r>
          </w:p>
        </w:tc>
      </w:tr>
      <w:tr w:rsidR="00A44A63" w:rsidRPr="00320E40" w14:paraId="7F4AA7AC" w14:textId="77777777" w:rsidTr="00B045BC">
        <w:trPr>
          <w:trHeight w:val="187"/>
        </w:trPr>
        <w:tc>
          <w:tcPr>
            <w:tcW w:w="1668" w:type="dxa"/>
            <w:vMerge/>
          </w:tcPr>
          <w:p w14:paraId="7F4AA7A6" w14:textId="77777777" w:rsidR="00A44A63" w:rsidRPr="00320E40" w:rsidRDefault="00A44A63" w:rsidP="00320E40">
            <w:pPr>
              <w:rPr>
                <w:b/>
                <w:sz w:val="20"/>
                <w:szCs w:val="20"/>
              </w:rPr>
            </w:pPr>
          </w:p>
        </w:tc>
        <w:tc>
          <w:tcPr>
            <w:tcW w:w="3118" w:type="dxa"/>
          </w:tcPr>
          <w:p w14:paraId="7F4AA7A7" w14:textId="77777777" w:rsidR="00A44A63" w:rsidRPr="00320E40" w:rsidRDefault="00A44A63" w:rsidP="00320E40">
            <w:pPr>
              <w:rPr>
                <w:sz w:val="20"/>
                <w:szCs w:val="20"/>
              </w:rPr>
            </w:pPr>
            <w:r w:rsidRPr="00320E40">
              <w:rPr>
                <w:sz w:val="20"/>
                <w:szCs w:val="20"/>
              </w:rPr>
              <w:t>Hypogammaglobulinemia**</w:t>
            </w:r>
            <w:r w:rsidRPr="00320E40">
              <w:rPr>
                <w:sz w:val="20"/>
                <w:szCs w:val="20"/>
                <w:vertAlign w:val="superscript"/>
              </w:rPr>
              <w:t>/</w:t>
            </w:r>
            <w:r w:rsidRPr="00320E40">
              <w:rPr>
                <w:sz w:val="20"/>
                <w:szCs w:val="20"/>
              </w:rPr>
              <w:t>***</w:t>
            </w:r>
          </w:p>
        </w:tc>
        <w:tc>
          <w:tcPr>
            <w:tcW w:w="992" w:type="dxa"/>
          </w:tcPr>
          <w:p w14:paraId="7F4AA7A8"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A9" w14:textId="77777777" w:rsidR="00A44A63" w:rsidRPr="00320E40" w:rsidRDefault="00A44A63" w:rsidP="00320E40">
            <w:pPr>
              <w:rPr>
                <w:sz w:val="20"/>
                <w:szCs w:val="20"/>
              </w:rPr>
            </w:pPr>
            <w:r w:rsidRPr="00320E40">
              <w:rPr>
                <w:sz w:val="20"/>
                <w:szCs w:val="20"/>
              </w:rPr>
              <w:t>–</w:t>
            </w:r>
          </w:p>
        </w:tc>
        <w:tc>
          <w:tcPr>
            <w:tcW w:w="992" w:type="dxa"/>
          </w:tcPr>
          <w:p w14:paraId="7F4AA7AA"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AB" w14:textId="77777777" w:rsidR="00A44A63" w:rsidRPr="00320E40" w:rsidRDefault="00A44A63" w:rsidP="00320E40">
            <w:pPr>
              <w:rPr>
                <w:sz w:val="20"/>
                <w:szCs w:val="20"/>
              </w:rPr>
            </w:pPr>
            <w:r w:rsidRPr="00320E40">
              <w:rPr>
                <w:sz w:val="20"/>
                <w:szCs w:val="20"/>
              </w:rPr>
              <w:t>–</w:t>
            </w:r>
          </w:p>
        </w:tc>
      </w:tr>
      <w:tr w:rsidR="00A44A63" w:rsidRPr="00320E40" w14:paraId="7F4AA7B3" w14:textId="77777777" w:rsidTr="00B045BC">
        <w:trPr>
          <w:trHeight w:val="159"/>
        </w:trPr>
        <w:tc>
          <w:tcPr>
            <w:tcW w:w="1668" w:type="dxa"/>
            <w:vMerge w:val="restart"/>
          </w:tcPr>
          <w:p w14:paraId="7F4AA7AD" w14:textId="77777777" w:rsidR="00A44A63" w:rsidRPr="00320E40" w:rsidRDefault="00A44A63" w:rsidP="00320E40">
            <w:pPr>
              <w:rPr>
                <w:b/>
                <w:sz w:val="20"/>
                <w:szCs w:val="20"/>
              </w:rPr>
            </w:pPr>
            <w:r w:rsidRPr="00320E40">
              <w:rPr>
                <w:b/>
                <w:sz w:val="20"/>
                <w:szCs w:val="20"/>
              </w:rPr>
              <w:t>Important potential risks</w:t>
            </w:r>
          </w:p>
        </w:tc>
        <w:tc>
          <w:tcPr>
            <w:tcW w:w="3118" w:type="dxa"/>
          </w:tcPr>
          <w:p w14:paraId="7F4AA7AE" w14:textId="77777777" w:rsidR="00A44A63" w:rsidRPr="00320E40" w:rsidRDefault="00A44A63" w:rsidP="00320E40">
            <w:pPr>
              <w:rPr>
                <w:sz w:val="20"/>
                <w:szCs w:val="20"/>
              </w:rPr>
            </w:pPr>
            <w:r w:rsidRPr="00320E40">
              <w:rPr>
                <w:sz w:val="20"/>
                <w:szCs w:val="20"/>
              </w:rPr>
              <w:t>PRES</w:t>
            </w:r>
          </w:p>
        </w:tc>
        <w:tc>
          <w:tcPr>
            <w:tcW w:w="992" w:type="dxa"/>
          </w:tcPr>
          <w:p w14:paraId="7F4AA7AF"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B0" w14:textId="77777777" w:rsidR="00A44A63" w:rsidRPr="00320E40" w:rsidRDefault="00A44A63" w:rsidP="00320E40">
            <w:pPr>
              <w:rPr>
                <w:sz w:val="20"/>
                <w:szCs w:val="20"/>
              </w:rPr>
            </w:pPr>
            <w:r w:rsidRPr="00320E40">
              <w:rPr>
                <w:sz w:val="20"/>
                <w:szCs w:val="20"/>
              </w:rPr>
              <w:sym w:font="Wingdings" w:char="F0FC"/>
            </w:r>
          </w:p>
        </w:tc>
        <w:tc>
          <w:tcPr>
            <w:tcW w:w="992" w:type="dxa"/>
          </w:tcPr>
          <w:p w14:paraId="7F4AA7B1"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B2" w14:textId="77777777" w:rsidR="00A44A63" w:rsidRPr="00320E40" w:rsidRDefault="00A44A63" w:rsidP="00320E40">
            <w:pPr>
              <w:rPr>
                <w:sz w:val="20"/>
                <w:szCs w:val="20"/>
              </w:rPr>
            </w:pPr>
            <w:r w:rsidRPr="00320E40">
              <w:rPr>
                <w:sz w:val="20"/>
                <w:szCs w:val="20"/>
              </w:rPr>
              <w:t>–</w:t>
            </w:r>
          </w:p>
        </w:tc>
      </w:tr>
      <w:tr w:rsidR="00A44A63" w:rsidRPr="00320E40" w14:paraId="7F4AA7BA" w14:textId="77777777" w:rsidTr="00B045BC">
        <w:trPr>
          <w:trHeight w:val="159"/>
        </w:trPr>
        <w:tc>
          <w:tcPr>
            <w:tcW w:w="1668" w:type="dxa"/>
            <w:vMerge/>
          </w:tcPr>
          <w:p w14:paraId="7F4AA7B4" w14:textId="77777777" w:rsidR="00A44A63" w:rsidRPr="00320E40" w:rsidRDefault="00A44A63" w:rsidP="00320E40">
            <w:pPr>
              <w:rPr>
                <w:b/>
                <w:sz w:val="20"/>
                <w:szCs w:val="20"/>
              </w:rPr>
            </w:pPr>
          </w:p>
        </w:tc>
        <w:tc>
          <w:tcPr>
            <w:tcW w:w="3118" w:type="dxa"/>
          </w:tcPr>
          <w:p w14:paraId="7F4AA7B5" w14:textId="77777777" w:rsidR="00A44A63" w:rsidRPr="00320E40" w:rsidRDefault="00A44A63" w:rsidP="00320E40">
            <w:pPr>
              <w:rPr>
                <w:sz w:val="20"/>
                <w:szCs w:val="20"/>
              </w:rPr>
            </w:pPr>
            <w:r w:rsidRPr="00320E40">
              <w:rPr>
                <w:sz w:val="20"/>
                <w:szCs w:val="20"/>
              </w:rPr>
              <w:t>Opportunistic infections</w:t>
            </w:r>
          </w:p>
        </w:tc>
        <w:tc>
          <w:tcPr>
            <w:tcW w:w="992" w:type="dxa"/>
          </w:tcPr>
          <w:p w14:paraId="7F4AA7B6"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B7"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B8"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B9" w14:textId="77777777" w:rsidR="00A44A63" w:rsidRPr="00320E40" w:rsidRDefault="00A44A63" w:rsidP="00320E40">
            <w:pPr>
              <w:rPr>
                <w:sz w:val="20"/>
                <w:szCs w:val="20"/>
              </w:rPr>
            </w:pPr>
            <w:r w:rsidRPr="00320E40">
              <w:rPr>
                <w:sz w:val="20"/>
                <w:szCs w:val="20"/>
              </w:rPr>
              <w:t>–</w:t>
            </w:r>
          </w:p>
        </w:tc>
      </w:tr>
      <w:tr w:rsidR="00A44A63" w:rsidRPr="00320E40" w14:paraId="7F4AA7C1" w14:textId="77777777" w:rsidTr="00B045BC">
        <w:trPr>
          <w:trHeight w:val="122"/>
        </w:trPr>
        <w:tc>
          <w:tcPr>
            <w:tcW w:w="1668" w:type="dxa"/>
            <w:vMerge/>
          </w:tcPr>
          <w:p w14:paraId="7F4AA7BB" w14:textId="77777777" w:rsidR="00A44A63" w:rsidRPr="00320E40" w:rsidRDefault="00A44A63" w:rsidP="00320E40">
            <w:pPr>
              <w:rPr>
                <w:b/>
                <w:sz w:val="20"/>
                <w:szCs w:val="20"/>
              </w:rPr>
            </w:pPr>
          </w:p>
        </w:tc>
        <w:tc>
          <w:tcPr>
            <w:tcW w:w="3118" w:type="dxa"/>
          </w:tcPr>
          <w:p w14:paraId="7F4AA7BC" w14:textId="77777777" w:rsidR="00A44A63" w:rsidRPr="00320E40" w:rsidRDefault="00A44A63" w:rsidP="00320E40">
            <w:pPr>
              <w:rPr>
                <w:sz w:val="20"/>
                <w:szCs w:val="20"/>
              </w:rPr>
            </w:pPr>
            <w:r w:rsidRPr="00320E40">
              <w:rPr>
                <w:sz w:val="20"/>
                <w:szCs w:val="20"/>
              </w:rPr>
              <w:t>Prolonged B-cell depletion</w:t>
            </w:r>
          </w:p>
        </w:tc>
        <w:tc>
          <w:tcPr>
            <w:tcW w:w="992" w:type="dxa"/>
          </w:tcPr>
          <w:p w14:paraId="7F4AA7BD"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BE"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BF"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C0" w14:textId="77777777" w:rsidR="00A44A63" w:rsidRPr="00320E40" w:rsidRDefault="00A44A63" w:rsidP="00320E40">
            <w:pPr>
              <w:rPr>
                <w:sz w:val="20"/>
                <w:szCs w:val="20"/>
              </w:rPr>
            </w:pPr>
            <w:r w:rsidRPr="00320E40">
              <w:rPr>
                <w:sz w:val="20"/>
                <w:szCs w:val="20"/>
              </w:rPr>
              <w:t>–</w:t>
            </w:r>
          </w:p>
        </w:tc>
      </w:tr>
      <w:tr w:rsidR="00A44A63" w:rsidRPr="00320E40" w14:paraId="7F4AA7C8" w14:textId="77777777" w:rsidTr="00B045BC">
        <w:trPr>
          <w:trHeight w:val="112"/>
        </w:trPr>
        <w:tc>
          <w:tcPr>
            <w:tcW w:w="1668" w:type="dxa"/>
            <w:vMerge/>
          </w:tcPr>
          <w:p w14:paraId="7F4AA7C2" w14:textId="77777777" w:rsidR="00A44A63" w:rsidRPr="00320E40" w:rsidRDefault="00A44A63" w:rsidP="00320E40">
            <w:pPr>
              <w:rPr>
                <w:b/>
                <w:sz w:val="20"/>
                <w:szCs w:val="20"/>
              </w:rPr>
            </w:pPr>
          </w:p>
        </w:tc>
        <w:tc>
          <w:tcPr>
            <w:tcW w:w="3118" w:type="dxa"/>
          </w:tcPr>
          <w:p w14:paraId="7F4AA7C3" w14:textId="77777777" w:rsidR="00A44A63" w:rsidRPr="00320E40" w:rsidRDefault="00A44A63" w:rsidP="00320E40">
            <w:pPr>
              <w:rPr>
                <w:sz w:val="20"/>
                <w:szCs w:val="20"/>
              </w:rPr>
            </w:pPr>
            <w:r w:rsidRPr="00320E40">
              <w:rPr>
                <w:sz w:val="20"/>
                <w:szCs w:val="20"/>
              </w:rPr>
              <w:t xml:space="preserve">Increased risk of </w:t>
            </w:r>
            <w:r w:rsidR="009E635F" w:rsidRPr="00320E40">
              <w:rPr>
                <w:sz w:val="20"/>
                <w:szCs w:val="20"/>
              </w:rPr>
              <w:t>Grade 3/4</w:t>
            </w:r>
            <w:r w:rsidRPr="00320E40">
              <w:rPr>
                <w:sz w:val="20"/>
                <w:szCs w:val="20"/>
              </w:rPr>
              <w:t xml:space="preserve"> serious blood and lymphatic system AEs in patients &gt; 70 years (applicable for CLL only /relevant for marketing authorizations with indication CLL)*</w:t>
            </w:r>
          </w:p>
        </w:tc>
        <w:tc>
          <w:tcPr>
            <w:tcW w:w="992" w:type="dxa"/>
          </w:tcPr>
          <w:p w14:paraId="7F4AA7C4"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C5" w14:textId="77777777" w:rsidR="00A44A63" w:rsidRPr="00320E40" w:rsidRDefault="00A44A63" w:rsidP="00320E40">
            <w:pPr>
              <w:rPr>
                <w:sz w:val="20"/>
                <w:szCs w:val="20"/>
              </w:rPr>
            </w:pPr>
            <w:r w:rsidRPr="00320E40">
              <w:rPr>
                <w:sz w:val="20"/>
                <w:szCs w:val="20"/>
              </w:rPr>
              <w:t>–</w:t>
            </w:r>
          </w:p>
        </w:tc>
        <w:tc>
          <w:tcPr>
            <w:tcW w:w="992" w:type="dxa"/>
          </w:tcPr>
          <w:p w14:paraId="7F4AA7C6"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C7" w14:textId="77777777" w:rsidR="00A44A63" w:rsidRPr="00320E40" w:rsidRDefault="00A44A63" w:rsidP="00320E40">
            <w:pPr>
              <w:rPr>
                <w:sz w:val="20"/>
                <w:szCs w:val="20"/>
              </w:rPr>
            </w:pPr>
            <w:r w:rsidRPr="00320E40">
              <w:rPr>
                <w:sz w:val="20"/>
                <w:szCs w:val="20"/>
              </w:rPr>
              <w:t>–</w:t>
            </w:r>
          </w:p>
        </w:tc>
      </w:tr>
      <w:tr w:rsidR="00A44A63" w:rsidRPr="00320E40" w14:paraId="7F4AA7CF" w14:textId="77777777" w:rsidTr="00B045BC">
        <w:trPr>
          <w:trHeight w:val="112"/>
        </w:trPr>
        <w:tc>
          <w:tcPr>
            <w:tcW w:w="1668" w:type="dxa"/>
            <w:vMerge/>
          </w:tcPr>
          <w:p w14:paraId="7F4AA7C9" w14:textId="77777777" w:rsidR="00A44A63" w:rsidRPr="00320E40" w:rsidRDefault="00A44A63" w:rsidP="00320E40">
            <w:pPr>
              <w:rPr>
                <w:b/>
                <w:sz w:val="20"/>
                <w:szCs w:val="20"/>
              </w:rPr>
            </w:pPr>
          </w:p>
        </w:tc>
        <w:tc>
          <w:tcPr>
            <w:tcW w:w="3118" w:type="dxa"/>
          </w:tcPr>
          <w:p w14:paraId="7F4AA7CA" w14:textId="77777777" w:rsidR="00A44A63" w:rsidRPr="00320E40" w:rsidRDefault="00A44A63" w:rsidP="00320E40">
            <w:pPr>
              <w:rPr>
                <w:sz w:val="20"/>
                <w:szCs w:val="20"/>
              </w:rPr>
            </w:pPr>
            <w:r w:rsidRPr="00320E40">
              <w:rPr>
                <w:sz w:val="20"/>
                <w:szCs w:val="20"/>
              </w:rPr>
              <w:t>AML/MDS*</w:t>
            </w:r>
          </w:p>
        </w:tc>
        <w:tc>
          <w:tcPr>
            <w:tcW w:w="992" w:type="dxa"/>
          </w:tcPr>
          <w:p w14:paraId="7F4AA7CB"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CC" w14:textId="77777777" w:rsidR="00A44A63" w:rsidRPr="00320E40" w:rsidRDefault="00A44A63" w:rsidP="00320E40">
            <w:pPr>
              <w:rPr>
                <w:sz w:val="20"/>
                <w:szCs w:val="20"/>
              </w:rPr>
            </w:pPr>
            <w:r w:rsidRPr="00320E40">
              <w:rPr>
                <w:sz w:val="20"/>
                <w:szCs w:val="20"/>
              </w:rPr>
              <w:t>–</w:t>
            </w:r>
          </w:p>
        </w:tc>
        <w:tc>
          <w:tcPr>
            <w:tcW w:w="992" w:type="dxa"/>
          </w:tcPr>
          <w:p w14:paraId="7F4AA7CD"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CE" w14:textId="77777777" w:rsidR="00A44A63" w:rsidRPr="00320E40" w:rsidRDefault="00A44A63" w:rsidP="00320E40">
            <w:pPr>
              <w:rPr>
                <w:sz w:val="20"/>
                <w:szCs w:val="20"/>
              </w:rPr>
            </w:pPr>
            <w:r w:rsidRPr="00320E40">
              <w:rPr>
                <w:sz w:val="20"/>
                <w:szCs w:val="20"/>
              </w:rPr>
              <w:t>–</w:t>
            </w:r>
          </w:p>
        </w:tc>
      </w:tr>
      <w:tr w:rsidR="00A44A63" w:rsidRPr="00320E40" w14:paraId="7F4AA7D6" w14:textId="77777777" w:rsidTr="00B045BC">
        <w:trPr>
          <w:trHeight w:val="112"/>
        </w:trPr>
        <w:tc>
          <w:tcPr>
            <w:tcW w:w="1668" w:type="dxa"/>
            <w:vMerge/>
          </w:tcPr>
          <w:p w14:paraId="7F4AA7D0" w14:textId="77777777" w:rsidR="00A44A63" w:rsidRPr="00320E40" w:rsidRDefault="00A44A63" w:rsidP="00320E40">
            <w:pPr>
              <w:rPr>
                <w:b/>
                <w:sz w:val="20"/>
                <w:szCs w:val="20"/>
              </w:rPr>
            </w:pPr>
          </w:p>
        </w:tc>
        <w:tc>
          <w:tcPr>
            <w:tcW w:w="3118" w:type="dxa"/>
          </w:tcPr>
          <w:p w14:paraId="7F4AA7D1" w14:textId="77777777" w:rsidR="00A44A63" w:rsidRPr="00320E40" w:rsidRDefault="00A44A63" w:rsidP="00320E40">
            <w:pPr>
              <w:rPr>
                <w:sz w:val="20"/>
                <w:szCs w:val="20"/>
              </w:rPr>
            </w:pPr>
            <w:r w:rsidRPr="00320E40">
              <w:rPr>
                <w:sz w:val="20"/>
                <w:szCs w:val="20"/>
              </w:rPr>
              <w:t>Second malignancies*</w:t>
            </w:r>
          </w:p>
        </w:tc>
        <w:tc>
          <w:tcPr>
            <w:tcW w:w="992" w:type="dxa"/>
          </w:tcPr>
          <w:p w14:paraId="7F4AA7D2"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D3"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D4"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D5" w14:textId="77777777" w:rsidR="00A44A63" w:rsidRPr="00320E40" w:rsidRDefault="00A44A63" w:rsidP="00320E40">
            <w:pPr>
              <w:rPr>
                <w:sz w:val="20"/>
                <w:szCs w:val="20"/>
              </w:rPr>
            </w:pPr>
            <w:r w:rsidRPr="00320E40">
              <w:rPr>
                <w:sz w:val="20"/>
                <w:szCs w:val="20"/>
              </w:rPr>
              <w:t>–</w:t>
            </w:r>
          </w:p>
        </w:tc>
      </w:tr>
      <w:tr w:rsidR="00A44A63" w:rsidRPr="00320E40" w14:paraId="7F4AA7DD" w14:textId="77777777" w:rsidTr="00B045BC">
        <w:trPr>
          <w:trHeight w:val="112"/>
        </w:trPr>
        <w:tc>
          <w:tcPr>
            <w:tcW w:w="1668" w:type="dxa"/>
            <w:vMerge/>
          </w:tcPr>
          <w:p w14:paraId="7F4AA7D7" w14:textId="77777777" w:rsidR="00A44A63" w:rsidRPr="00320E40" w:rsidRDefault="00A44A63" w:rsidP="00320E40">
            <w:pPr>
              <w:rPr>
                <w:b/>
                <w:sz w:val="20"/>
                <w:szCs w:val="20"/>
              </w:rPr>
            </w:pPr>
          </w:p>
        </w:tc>
        <w:tc>
          <w:tcPr>
            <w:tcW w:w="3118" w:type="dxa"/>
          </w:tcPr>
          <w:p w14:paraId="7F4AA7D8" w14:textId="77777777" w:rsidR="00A44A63" w:rsidRPr="00320E40" w:rsidRDefault="00A44A63" w:rsidP="00320E40">
            <w:pPr>
              <w:rPr>
                <w:sz w:val="20"/>
                <w:szCs w:val="20"/>
              </w:rPr>
            </w:pPr>
            <w:r w:rsidRPr="00320E40">
              <w:rPr>
                <w:sz w:val="20"/>
                <w:szCs w:val="20"/>
              </w:rPr>
              <w:t>Off-label use in paediatric patients</w:t>
            </w:r>
          </w:p>
        </w:tc>
        <w:tc>
          <w:tcPr>
            <w:tcW w:w="992" w:type="dxa"/>
          </w:tcPr>
          <w:p w14:paraId="7F4AA7D9"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DA" w14:textId="77777777" w:rsidR="00A44A63" w:rsidRPr="00320E40" w:rsidRDefault="00A44A63" w:rsidP="00320E40">
            <w:pPr>
              <w:rPr>
                <w:sz w:val="20"/>
                <w:szCs w:val="20"/>
              </w:rPr>
            </w:pPr>
            <w:r w:rsidRPr="00320E40">
              <w:rPr>
                <w:sz w:val="20"/>
                <w:szCs w:val="20"/>
              </w:rPr>
              <w:sym w:font="Wingdings" w:char="F0FC"/>
            </w:r>
          </w:p>
        </w:tc>
        <w:tc>
          <w:tcPr>
            <w:tcW w:w="992" w:type="dxa"/>
          </w:tcPr>
          <w:p w14:paraId="7F4AA7DB"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DC" w14:textId="77777777" w:rsidR="00A44A63" w:rsidRPr="00320E40" w:rsidRDefault="00A44A63" w:rsidP="00320E40">
            <w:pPr>
              <w:rPr>
                <w:sz w:val="20"/>
                <w:szCs w:val="20"/>
              </w:rPr>
            </w:pPr>
            <w:r w:rsidRPr="00320E40">
              <w:rPr>
                <w:sz w:val="20"/>
                <w:szCs w:val="20"/>
              </w:rPr>
              <w:t>–</w:t>
            </w:r>
          </w:p>
        </w:tc>
      </w:tr>
      <w:tr w:rsidR="00A44A63" w:rsidRPr="00320E40" w14:paraId="7F4AA7E4" w14:textId="77777777" w:rsidTr="00B045BC">
        <w:trPr>
          <w:trHeight w:val="112"/>
        </w:trPr>
        <w:tc>
          <w:tcPr>
            <w:tcW w:w="1668" w:type="dxa"/>
            <w:vMerge/>
          </w:tcPr>
          <w:p w14:paraId="7F4AA7DE" w14:textId="77777777" w:rsidR="00A44A63" w:rsidRPr="00320E40" w:rsidRDefault="00A44A63" w:rsidP="00320E40">
            <w:pPr>
              <w:rPr>
                <w:b/>
                <w:sz w:val="20"/>
                <w:szCs w:val="20"/>
              </w:rPr>
            </w:pPr>
          </w:p>
        </w:tc>
        <w:tc>
          <w:tcPr>
            <w:tcW w:w="3118" w:type="dxa"/>
          </w:tcPr>
          <w:p w14:paraId="7F4AA7DF" w14:textId="77777777" w:rsidR="00A44A63" w:rsidRPr="00320E40" w:rsidRDefault="00A44A63" w:rsidP="00320E40">
            <w:pPr>
              <w:rPr>
                <w:sz w:val="20"/>
                <w:szCs w:val="20"/>
              </w:rPr>
            </w:pPr>
            <w:r w:rsidRPr="00320E40">
              <w:rPr>
                <w:sz w:val="20"/>
                <w:szCs w:val="20"/>
              </w:rPr>
              <w:t>Administration route error*</w:t>
            </w:r>
          </w:p>
        </w:tc>
        <w:tc>
          <w:tcPr>
            <w:tcW w:w="992" w:type="dxa"/>
          </w:tcPr>
          <w:p w14:paraId="7F4AA7E0"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E1" w14:textId="77777777" w:rsidR="00A44A63" w:rsidRPr="00320E40" w:rsidRDefault="00A44A63" w:rsidP="00320E40">
            <w:pPr>
              <w:rPr>
                <w:sz w:val="20"/>
                <w:szCs w:val="20"/>
              </w:rPr>
            </w:pPr>
            <w:r w:rsidRPr="00320E40">
              <w:rPr>
                <w:sz w:val="20"/>
                <w:szCs w:val="20"/>
              </w:rPr>
              <w:t>–</w:t>
            </w:r>
          </w:p>
        </w:tc>
        <w:tc>
          <w:tcPr>
            <w:tcW w:w="992" w:type="dxa"/>
          </w:tcPr>
          <w:p w14:paraId="7F4AA7E2"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E3"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r>
      <w:tr w:rsidR="00A44A63" w:rsidRPr="00320E40" w14:paraId="7F4AA7EB" w14:textId="77777777" w:rsidTr="00B045BC">
        <w:trPr>
          <w:trHeight w:val="112"/>
        </w:trPr>
        <w:tc>
          <w:tcPr>
            <w:tcW w:w="1668" w:type="dxa"/>
            <w:vMerge/>
          </w:tcPr>
          <w:p w14:paraId="7F4AA7E5" w14:textId="77777777" w:rsidR="00A44A63" w:rsidRPr="00320E40" w:rsidRDefault="00A44A63" w:rsidP="00320E40">
            <w:pPr>
              <w:rPr>
                <w:b/>
                <w:sz w:val="20"/>
                <w:szCs w:val="20"/>
              </w:rPr>
            </w:pPr>
          </w:p>
        </w:tc>
        <w:tc>
          <w:tcPr>
            <w:tcW w:w="3118" w:type="dxa"/>
          </w:tcPr>
          <w:p w14:paraId="7F4AA7E6" w14:textId="77777777" w:rsidR="00A44A63" w:rsidRPr="00320E40" w:rsidRDefault="00A44A63" w:rsidP="00320E40">
            <w:pPr>
              <w:rPr>
                <w:sz w:val="20"/>
                <w:szCs w:val="20"/>
              </w:rPr>
            </w:pPr>
            <w:r w:rsidRPr="00320E40">
              <w:rPr>
                <w:sz w:val="20"/>
                <w:szCs w:val="20"/>
              </w:rPr>
              <w:t>Malignant events**</w:t>
            </w:r>
            <w:r w:rsidRPr="00320E40">
              <w:rPr>
                <w:sz w:val="20"/>
                <w:szCs w:val="20"/>
                <w:vertAlign w:val="superscript"/>
              </w:rPr>
              <w:t>/</w:t>
            </w:r>
            <w:r w:rsidRPr="00320E40">
              <w:rPr>
                <w:sz w:val="20"/>
                <w:szCs w:val="20"/>
              </w:rPr>
              <w:t>***</w:t>
            </w:r>
          </w:p>
        </w:tc>
        <w:tc>
          <w:tcPr>
            <w:tcW w:w="992" w:type="dxa"/>
          </w:tcPr>
          <w:p w14:paraId="7F4AA7E7"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E8"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E9"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EA" w14:textId="77777777" w:rsidR="00A44A63" w:rsidRPr="00320E40" w:rsidRDefault="00A44A63" w:rsidP="00320E40">
            <w:pPr>
              <w:rPr>
                <w:sz w:val="20"/>
                <w:szCs w:val="20"/>
              </w:rPr>
            </w:pPr>
            <w:r w:rsidRPr="00320E40">
              <w:rPr>
                <w:sz w:val="20"/>
                <w:szCs w:val="20"/>
              </w:rPr>
              <w:t>–</w:t>
            </w:r>
          </w:p>
        </w:tc>
      </w:tr>
      <w:tr w:rsidR="00A44A63" w:rsidRPr="00320E40" w14:paraId="7F4AA7F2" w14:textId="77777777" w:rsidTr="00B045BC">
        <w:trPr>
          <w:trHeight w:val="112"/>
        </w:trPr>
        <w:tc>
          <w:tcPr>
            <w:tcW w:w="1668" w:type="dxa"/>
            <w:vMerge/>
          </w:tcPr>
          <w:p w14:paraId="7F4AA7EC" w14:textId="77777777" w:rsidR="00A44A63" w:rsidRPr="00320E40" w:rsidRDefault="00A44A63" w:rsidP="00320E40">
            <w:pPr>
              <w:rPr>
                <w:b/>
                <w:sz w:val="20"/>
                <w:szCs w:val="20"/>
              </w:rPr>
            </w:pPr>
          </w:p>
        </w:tc>
        <w:tc>
          <w:tcPr>
            <w:tcW w:w="3118" w:type="dxa"/>
          </w:tcPr>
          <w:p w14:paraId="7F4AA7ED" w14:textId="77777777" w:rsidR="00A44A63" w:rsidRPr="00320E40" w:rsidRDefault="00A44A63" w:rsidP="00320E40">
            <w:pPr>
              <w:rPr>
                <w:sz w:val="20"/>
                <w:szCs w:val="20"/>
              </w:rPr>
            </w:pPr>
            <w:r w:rsidRPr="00320E40">
              <w:rPr>
                <w:sz w:val="20"/>
                <w:szCs w:val="20"/>
              </w:rPr>
              <w:t>Impact on cardiovascular disease**</w:t>
            </w:r>
            <w:r w:rsidRPr="00320E40">
              <w:rPr>
                <w:sz w:val="20"/>
                <w:szCs w:val="20"/>
                <w:vertAlign w:val="superscript"/>
              </w:rPr>
              <w:t>/</w:t>
            </w:r>
            <w:r w:rsidRPr="00320E40">
              <w:rPr>
                <w:sz w:val="20"/>
                <w:szCs w:val="20"/>
              </w:rPr>
              <w:t>***</w:t>
            </w:r>
          </w:p>
        </w:tc>
        <w:tc>
          <w:tcPr>
            <w:tcW w:w="992" w:type="dxa"/>
          </w:tcPr>
          <w:p w14:paraId="7F4AA7EE"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EF"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F0"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F1" w14:textId="77777777" w:rsidR="00A44A63" w:rsidRPr="00320E40" w:rsidRDefault="00A44A63" w:rsidP="00320E40">
            <w:pPr>
              <w:rPr>
                <w:sz w:val="20"/>
                <w:szCs w:val="20"/>
              </w:rPr>
            </w:pPr>
            <w:r w:rsidRPr="00320E40">
              <w:rPr>
                <w:sz w:val="20"/>
                <w:szCs w:val="20"/>
              </w:rPr>
              <w:t>–</w:t>
            </w:r>
          </w:p>
        </w:tc>
      </w:tr>
      <w:tr w:rsidR="00A44A63" w:rsidRPr="00320E40" w14:paraId="7F4AA7F9" w14:textId="77777777" w:rsidTr="00B045BC">
        <w:trPr>
          <w:trHeight w:val="112"/>
        </w:trPr>
        <w:tc>
          <w:tcPr>
            <w:tcW w:w="1668" w:type="dxa"/>
            <w:vMerge/>
          </w:tcPr>
          <w:p w14:paraId="7F4AA7F3" w14:textId="77777777" w:rsidR="00A44A63" w:rsidRPr="00320E40" w:rsidRDefault="00A44A63" w:rsidP="00320E40">
            <w:pPr>
              <w:rPr>
                <w:b/>
                <w:sz w:val="20"/>
                <w:szCs w:val="20"/>
              </w:rPr>
            </w:pPr>
          </w:p>
        </w:tc>
        <w:tc>
          <w:tcPr>
            <w:tcW w:w="3118" w:type="dxa"/>
          </w:tcPr>
          <w:p w14:paraId="7F4AA7F4" w14:textId="77777777" w:rsidR="00A44A63" w:rsidRPr="00320E40" w:rsidRDefault="00A44A63" w:rsidP="00320E40">
            <w:pPr>
              <w:rPr>
                <w:sz w:val="20"/>
                <w:szCs w:val="20"/>
              </w:rPr>
            </w:pPr>
            <w:r w:rsidRPr="00320E40">
              <w:rPr>
                <w:sz w:val="20"/>
                <w:szCs w:val="20"/>
              </w:rPr>
              <w:t>GI perforation**</w:t>
            </w:r>
            <w:r w:rsidRPr="00320E40">
              <w:rPr>
                <w:sz w:val="20"/>
                <w:szCs w:val="20"/>
                <w:vertAlign w:val="superscript"/>
              </w:rPr>
              <w:t>/</w:t>
            </w:r>
            <w:r w:rsidRPr="00320E40">
              <w:rPr>
                <w:sz w:val="20"/>
                <w:szCs w:val="20"/>
              </w:rPr>
              <w:t>***</w:t>
            </w:r>
          </w:p>
        </w:tc>
        <w:tc>
          <w:tcPr>
            <w:tcW w:w="992" w:type="dxa"/>
          </w:tcPr>
          <w:p w14:paraId="7F4AA7F5"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F6"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7F7"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F8" w14:textId="77777777" w:rsidR="00A44A63" w:rsidRPr="00320E40" w:rsidRDefault="00A44A63" w:rsidP="00320E40">
            <w:pPr>
              <w:rPr>
                <w:sz w:val="20"/>
                <w:szCs w:val="20"/>
              </w:rPr>
            </w:pPr>
            <w:r w:rsidRPr="00320E40">
              <w:rPr>
                <w:sz w:val="20"/>
                <w:szCs w:val="20"/>
              </w:rPr>
              <w:t>–</w:t>
            </w:r>
          </w:p>
        </w:tc>
      </w:tr>
      <w:tr w:rsidR="00A44A63" w:rsidRPr="00320E40" w14:paraId="7F4AA800" w14:textId="77777777" w:rsidTr="00B045BC">
        <w:trPr>
          <w:trHeight w:val="112"/>
        </w:trPr>
        <w:tc>
          <w:tcPr>
            <w:tcW w:w="1668" w:type="dxa"/>
            <w:vMerge/>
          </w:tcPr>
          <w:p w14:paraId="7F4AA7FA" w14:textId="77777777" w:rsidR="00A44A63" w:rsidRPr="00320E40" w:rsidRDefault="00A44A63" w:rsidP="00320E40">
            <w:pPr>
              <w:rPr>
                <w:b/>
                <w:sz w:val="20"/>
                <w:szCs w:val="20"/>
              </w:rPr>
            </w:pPr>
          </w:p>
        </w:tc>
        <w:tc>
          <w:tcPr>
            <w:tcW w:w="3118" w:type="dxa"/>
          </w:tcPr>
          <w:p w14:paraId="7F4AA7FB" w14:textId="77777777" w:rsidR="00A44A63" w:rsidRPr="00320E40" w:rsidRDefault="00A44A63" w:rsidP="00320E40">
            <w:pPr>
              <w:rPr>
                <w:sz w:val="20"/>
                <w:szCs w:val="20"/>
              </w:rPr>
            </w:pPr>
            <w:r w:rsidRPr="00320E40">
              <w:rPr>
                <w:sz w:val="20"/>
                <w:szCs w:val="20"/>
              </w:rPr>
              <w:t>Off-label use in autoimmune disease**</w:t>
            </w:r>
            <w:r w:rsidRPr="00320E40">
              <w:rPr>
                <w:sz w:val="20"/>
                <w:szCs w:val="20"/>
                <w:vertAlign w:val="superscript"/>
              </w:rPr>
              <w:t>/</w:t>
            </w:r>
            <w:r w:rsidRPr="00320E40">
              <w:rPr>
                <w:sz w:val="20"/>
                <w:szCs w:val="20"/>
              </w:rPr>
              <w:t>***</w:t>
            </w:r>
          </w:p>
        </w:tc>
        <w:tc>
          <w:tcPr>
            <w:tcW w:w="992" w:type="dxa"/>
          </w:tcPr>
          <w:p w14:paraId="7F4AA7FC"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7FD" w14:textId="77777777" w:rsidR="00A44A63" w:rsidRPr="00320E40" w:rsidRDefault="00A44A63" w:rsidP="00320E40">
            <w:pPr>
              <w:rPr>
                <w:sz w:val="20"/>
                <w:szCs w:val="20"/>
              </w:rPr>
            </w:pPr>
            <w:r w:rsidRPr="00320E40">
              <w:rPr>
                <w:sz w:val="20"/>
                <w:szCs w:val="20"/>
              </w:rPr>
              <w:t>–</w:t>
            </w:r>
          </w:p>
        </w:tc>
        <w:tc>
          <w:tcPr>
            <w:tcW w:w="992" w:type="dxa"/>
          </w:tcPr>
          <w:p w14:paraId="7F4AA7FE"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7FF" w14:textId="77777777" w:rsidR="00A44A63" w:rsidRPr="00320E40" w:rsidRDefault="00A44A63" w:rsidP="00320E40">
            <w:pPr>
              <w:rPr>
                <w:sz w:val="20"/>
                <w:szCs w:val="20"/>
              </w:rPr>
            </w:pPr>
            <w:r w:rsidRPr="00320E40">
              <w:rPr>
                <w:sz w:val="20"/>
                <w:szCs w:val="20"/>
              </w:rPr>
              <w:t>–</w:t>
            </w:r>
          </w:p>
        </w:tc>
      </w:tr>
      <w:tr w:rsidR="00A44A63" w:rsidRPr="00320E40" w14:paraId="7F4AA807" w14:textId="77777777" w:rsidTr="00B045BC">
        <w:trPr>
          <w:trHeight w:val="112"/>
        </w:trPr>
        <w:tc>
          <w:tcPr>
            <w:tcW w:w="1668" w:type="dxa"/>
            <w:vMerge/>
          </w:tcPr>
          <w:p w14:paraId="7F4AA801" w14:textId="77777777" w:rsidR="00A44A63" w:rsidRPr="00320E40" w:rsidRDefault="00A44A63" w:rsidP="00320E40">
            <w:pPr>
              <w:rPr>
                <w:b/>
                <w:sz w:val="20"/>
                <w:szCs w:val="20"/>
              </w:rPr>
            </w:pPr>
          </w:p>
        </w:tc>
        <w:tc>
          <w:tcPr>
            <w:tcW w:w="3118" w:type="dxa"/>
          </w:tcPr>
          <w:p w14:paraId="7F4AA802" w14:textId="77777777" w:rsidR="00A44A63" w:rsidRPr="00320E40" w:rsidRDefault="00A44A63" w:rsidP="00320E40">
            <w:pPr>
              <w:rPr>
                <w:sz w:val="20"/>
                <w:szCs w:val="20"/>
              </w:rPr>
            </w:pPr>
            <w:r w:rsidRPr="00320E40">
              <w:rPr>
                <w:sz w:val="20"/>
                <w:szCs w:val="20"/>
              </w:rPr>
              <w:t>Relapses***</w:t>
            </w:r>
          </w:p>
        </w:tc>
        <w:tc>
          <w:tcPr>
            <w:tcW w:w="992" w:type="dxa"/>
          </w:tcPr>
          <w:p w14:paraId="7F4AA803"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804" w14:textId="77777777" w:rsidR="00A44A63" w:rsidRPr="00320E40" w:rsidRDefault="00A44A63" w:rsidP="00320E40">
            <w:pPr>
              <w:rPr>
                <w:sz w:val="20"/>
                <w:szCs w:val="20"/>
              </w:rPr>
            </w:pPr>
            <w:r w:rsidRPr="00320E40">
              <w:rPr>
                <w:sz w:val="20"/>
                <w:szCs w:val="20"/>
              </w:rPr>
              <w:t>–</w:t>
            </w:r>
          </w:p>
        </w:tc>
        <w:tc>
          <w:tcPr>
            <w:tcW w:w="992" w:type="dxa"/>
          </w:tcPr>
          <w:p w14:paraId="7F4AA805"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806" w14:textId="77777777" w:rsidR="00A44A63" w:rsidRPr="00320E40" w:rsidRDefault="00A44A63" w:rsidP="00320E40">
            <w:pPr>
              <w:rPr>
                <w:sz w:val="20"/>
                <w:szCs w:val="20"/>
              </w:rPr>
            </w:pPr>
            <w:r w:rsidRPr="00320E40">
              <w:rPr>
                <w:sz w:val="20"/>
                <w:szCs w:val="20"/>
              </w:rPr>
              <w:t>–</w:t>
            </w:r>
          </w:p>
        </w:tc>
      </w:tr>
      <w:tr w:rsidR="00A44A63" w:rsidRPr="00320E40" w14:paraId="7F4AA80E" w14:textId="77777777" w:rsidTr="00B045BC">
        <w:trPr>
          <w:trHeight w:val="112"/>
        </w:trPr>
        <w:tc>
          <w:tcPr>
            <w:tcW w:w="1668" w:type="dxa"/>
            <w:vMerge/>
          </w:tcPr>
          <w:p w14:paraId="7F4AA808" w14:textId="77777777" w:rsidR="00A44A63" w:rsidRPr="00320E40" w:rsidRDefault="00A44A63" w:rsidP="00320E40">
            <w:pPr>
              <w:rPr>
                <w:b/>
                <w:sz w:val="20"/>
                <w:szCs w:val="20"/>
              </w:rPr>
            </w:pPr>
          </w:p>
        </w:tc>
        <w:tc>
          <w:tcPr>
            <w:tcW w:w="3118" w:type="dxa"/>
          </w:tcPr>
          <w:p w14:paraId="7F4AA809" w14:textId="77777777" w:rsidR="00A44A63" w:rsidRPr="00320E40" w:rsidRDefault="00A44A63" w:rsidP="00320E40">
            <w:pPr>
              <w:rPr>
                <w:sz w:val="20"/>
                <w:szCs w:val="20"/>
              </w:rPr>
            </w:pPr>
            <w:r w:rsidRPr="00320E40">
              <w:rPr>
                <w:sz w:val="20"/>
                <w:szCs w:val="20"/>
                <w:u w:val="single"/>
              </w:rPr>
              <w:t>ASA only</w:t>
            </w:r>
            <w:r w:rsidRPr="00320E40">
              <w:rPr>
                <w:sz w:val="20"/>
                <w:szCs w:val="20"/>
              </w:rPr>
              <w:t>: off-label use of the faster infusion schedule</w:t>
            </w:r>
          </w:p>
        </w:tc>
        <w:tc>
          <w:tcPr>
            <w:tcW w:w="992" w:type="dxa"/>
          </w:tcPr>
          <w:p w14:paraId="7F4AA80A" w14:textId="77777777" w:rsidR="00A44A63" w:rsidRPr="00320E40" w:rsidRDefault="00A44A63" w:rsidP="00320E40">
            <w:pPr>
              <w:rPr>
                <w:sz w:val="20"/>
                <w:szCs w:val="20"/>
                <w:u w:val="single"/>
              </w:rPr>
            </w:pPr>
            <w:r w:rsidRPr="00320E40">
              <w:rPr>
                <w:sz w:val="20"/>
                <w:szCs w:val="20"/>
              </w:rPr>
              <w:sym w:font="Wingdings" w:char="F0FC"/>
            </w:r>
          </w:p>
        </w:tc>
        <w:tc>
          <w:tcPr>
            <w:tcW w:w="1418" w:type="dxa"/>
          </w:tcPr>
          <w:p w14:paraId="7F4AA80B" w14:textId="77777777" w:rsidR="00A44A63" w:rsidRPr="00320E40" w:rsidRDefault="00A44A63" w:rsidP="00320E40">
            <w:pPr>
              <w:rPr>
                <w:sz w:val="20"/>
                <w:szCs w:val="20"/>
                <w:u w:val="single"/>
              </w:rPr>
            </w:pPr>
            <w:r w:rsidRPr="00320E40">
              <w:rPr>
                <w:sz w:val="20"/>
                <w:szCs w:val="20"/>
              </w:rPr>
              <w:t>–</w:t>
            </w:r>
          </w:p>
        </w:tc>
        <w:tc>
          <w:tcPr>
            <w:tcW w:w="992" w:type="dxa"/>
          </w:tcPr>
          <w:p w14:paraId="7F4AA80C" w14:textId="77777777" w:rsidR="00A44A63" w:rsidRPr="00320E40" w:rsidRDefault="00A44A63" w:rsidP="00320E40">
            <w:pPr>
              <w:rPr>
                <w:sz w:val="20"/>
                <w:szCs w:val="20"/>
                <w:u w:val="single"/>
              </w:rPr>
            </w:pPr>
            <w:r w:rsidRPr="00320E40">
              <w:rPr>
                <w:sz w:val="20"/>
                <w:szCs w:val="20"/>
              </w:rPr>
              <w:sym w:font="Wingdings" w:char="F0FC"/>
            </w:r>
          </w:p>
        </w:tc>
        <w:tc>
          <w:tcPr>
            <w:tcW w:w="1134" w:type="dxa"/>
          </w:tcPr>
          <w:p w14:paraId="7F4AA80D" w14:textId="77777777" w:rsidR="00A44A63" w:rsidRPr="00320E40" w:rsidRDefault="00A44A63" w:rsidP="00320E40">
            <w:pPr>
              <w:rPr>
                <w:sz w:val="20"/>
                <w:szCs w:val="20"/>
                <w:u w:val="single"/>
              </w:rPr>
            </w:pPr>
            <w:r w:rsidRPr="00320E40">
              <w:rPr>
                <w:sz w:val="20"/>
                <w:szCs w:val="20"/>
              </w:rPr>
              <w:t>–</w:t>
            </w:r>
          </w:p>
        </w:tc>
      </w:tr>
      <w:tr w:rsidR="00A44A63" w:rsidRPr="00320E40" w14:paraId="7F4AA815" w14:textId="77777777" w:rsidTr="00B045BC">
        <w:trPr>
          <w:trHeight w:val="178"/>
        </w:trPr>
        <w:tc>
          <w:tcPr>
            <w:tcW w:w="1668" w:type="dxa"/>
            <w:vMerge w:val="restart"/>
          </w:tcPr>
          <w:p w14:paraId="7F4AA80F" w14:textId="77777777" w:rsidR="00A44A63" w:rsidRPr="00320E40" w:rsidRDefault="00A44A63" w:rsidP="00320E40">
            <w:pPr>
              <w:rPr>
                <w:b/>
                <w:sz w:val="20"/>
                <w:szCs w:val="20"/>
              </w:rPr>
            </w:pPr>
            <w:r w:rsidRPr="00320E40">
              <w:rPr>
                <w:b/>
                <w:sz w:val="20"/>
                <w:szCs w:val="20"/>
              </w:rPr>
              <w:lastRenderedPageBreak/>
              <w:t>Missing information</w:t>
            </w:r>
          </w:p>
        </w:tc>
        <w:tc>
          <w:tcPr>
            <w:tcW w:w="3118" w:type="dxa"/>
          </w:tcPr>
          <w:p w14:paraId="7F4AA810" w14:textId="77777777" w:rsidR="00A44A63" w:rsidRPr="00320E40" w:rsidRDefault="00A44A63" w:rsidP="00320E40">
            <w:pPr>
              <w:rPr>
                <w:sz w:val="20"/>
                <w:szCs w:val="20"/>
              </w:rPr>
            </w:pPr>
            <w:r w:rsidRPr="00320E40">
              <w:rPr>
                <w:sz w:val="20"/>
                <w:szCs w:val="20"/>
              </w:rPr>
              <w:t>Use in Pregnancy and Lactation</w:t>
            </w:r>
          </w:p>
        </w:tc>
        <w:tc>
          <w:tcPr>
            <w:tcW w:w="992" w:type="dxa"/>
          </w:tcPr>
          <w:p w14:paraId="7F4AA811"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812" w14:textId="77777777" w:rsidR="00A44A63" w:rsidRPr="00320E40" w:rsidRDefault="00A44A63" w:rsidP="00320E40">
            <w:pPr>
              <w:rPr>
                <w:sz w:val="20"/>
                <w:szCs w:val="20"/>
              </w:rPr>
            </w:pPr>
            <w:r w:rsidRPr="00320E40">
              <w:rPr>
                <w:sz w:val="20"/>
                <w:szCs w:val="20"/>
              </w:rPr>
              <w:t>–</w:t>
            </w:r>
          </w:p>
        </w:tc>
        <w:tc>
          <w:tcPr>
            <w:tcW w:w="992" w:type="dxa"/>
          </w:tcPr>
          <w:p w14:paraId="7F4AA813"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814" w14:textId="77777777" w:rsidR="00A44A63" w:rsidRPr="00320E40" w:rsidRDefault="00A44A63" w:rsidP="00320E40">
            <w:pPr>
              <w:rPr>
                <w:sz w:val="20"/>
                <w:szCs w:val="20"/>
              </w:rPr>
            </w:pPr>
            <w:r w:rsidRPr="00320E40">
              <w:rPr>
                <w:sz w:val="20"/>
                <w:szCs w:val="20"/>
              </w:rPr>
              <w:t>–</w:t>
            </w:r>
          </w:p>
        </w:tc>
      </w:tr>
      <w:tr w:rsidR="00A44A63" w:rsidRPr="00320E40" w14:paraId="7F4AA81C" w14:textId="77777777" w:rsidTr="00B045BC">
        <w:trPr>
          <w:trHeight w:val="140"/>
        </w:trPr>
        <w:tc>
          <w:tcPr>
            <w:tcW w:w="1668" w:type="dxa"/>
            <w:vMerge/>
          </w:tcPr>
          <w:p w14:paraId="7F4AA816" w14:textId="77777777" w:rsidR="00A44A63" w:rsidRPr="00320E40" w:rsidRDefault="00A44A63" w:rsidP="00320E40">
            <w:pPr>
              <w:rPr>
                <w:sz w:val="20"/>
                <w:szCs w:val="20"/>
              </w:rPr>
            </w:pPr>
          </w:p>
        </w:tc>
        <w:tc>
          <w:tcPr>
            <w:tcW w:w="3118" w:type="dxa"/>
          </w:tcPr>
          <w:p w14:paraId="7F4AA817" w14:textId="77777777" w:rsidR="00A44A63" w:rsidRPr="00320E40" w:rsidRDefault="00A44A63" w:rsidP="00320E40">
            <w:pPr>
              <w:rPr>
                <w:sz w:val="20"/>
                <w:szCs w:val="20"/>
              </w:rPr>
            </w:pPr>
            <w:r w:rsidRPr="00320E40">
              <w:rPr>
                <w:sz w:val="20"/>
                <w:szCs w:val="20"/>
              </w:rPr>
              <w:t>Immunogenicity and autoimmune disease**/***</w:t>
            </w:r>
          </w:p>
        </w:tc>
        <w:tc>
          <w:tcPr>
            <w:tcW w:w="992" w:type="dxa"/>
          </w:tcPr>
          <w:p w14:paraId="7F4AA818"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819" w14:textId="77777777" w:rsidR="00A44A63" w:rsidRPr="00320E40" w:rsidRDefault="00A44A63" w:rsidP="00320E40">
            <w:pPr>
              <w:rPr>
                <w:sz w:val="20"/>
                <w:szCs w:val="20"/>
              </w:rPr>
            </w:pPr>
            <w:r w:rsidRPr="00320E40">
              <w:rPr>
                <w:sz w:val="20"/>
                <w:szCs w:val="20"/>
              </w:rPr>
              <w:sym w:font="Wingdings" w:char="F0FC"/>
            </w:r>
            <w:r w:rsidRPr="00320E40">
              <w:rPr>
                <w:sz w:val="20"/>
                <w:szCs w:val="20"/>
              </w:rPr>
              <w:t>**</w:t>
            </w:r>
          </w:p>
        </w:tc>
        <w:tc>
          <w:tcPr>
            <w:tcW w:w="992" w:type="dxa"/>
          </w:tcPr>
          <w:p w14:paraId="7F4AA81A"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81B" w14:textId="77777777" w:rsidR="00A44A63" w:rsidRPr="00320E40" w:rsidRDefault="00A44A63" w:rsidP="00320E40">
            <w:pPr>
              <w:rPr>
                <w:sz w:val="20"/>
                <w:szCs w:val="20"/>
              </w:rPr>
            </w:pPr>
            <w:r w:rsidRPr="00320E40">
              <w:rPr>
                <w:sz w:val="20"/>
                <w:szCs w:val="20"/>
              </w:rPr>
              <w:t>–</w:t>
            </w:r>
          </w:p>
        </w:tc>
      </w:tr>
      <w:tr w:rsidR="00A44A63" w:rsidRPr="00320E40" w14:paraId="7F4AA823" w14:textId="77777777" w:rsidTr="00B045BC">
        <w:trPr>
          <w:trHeight w:val="140"/>
        </w:trPr>
        <w:tc>
          <w:tcPr>
            <w:tcW w:w="1668" w:type="dxa"/>
            <w:vMerge/>
          </w:tcPr>
          <w:p w14:paraId="7F4AA81D" w14:textId="77777777" w:rsidR="00A44A63" w:rsidRPr="00320E40" w:rsidRDefault="00A44A63" w:rsidP="00320E40">
            <w:pPr>
              <w:rPr>
                <w:sz w:val="20"/>
                <w:szCs w:val="20"/>
              </w:rPr>
            </w:pPr>
          </w:p>
        </w:tc>
        <w:tc>
          <w:tcPr>
            <w:tcW w:w="3118" w:type="dxa"/>
          </w:tcPr>
          <w:p w14:paraId="7F4AA81E" w14:textId="77777777" w:rsidR="00A44A63" w:rsidRPr="00320E40" w:rsidRDefault="00A44A63" w:rsidP="00320E40">
            <w:pPr>
              <w:rPr>
                <w:sz w:val="20"/>
                <w:szCs w:val="20"/>
              </w:rPr>
            </w:pPr>
            <w:r w:rsidRPr="00320E40">
              <w:rPr>
                <w:sz w:val="20"/>
                <w:szCs w:val="20"/>
              </w:rPr>
              <w:t>Long term use in GPA/MPA patients***</w:t>
            </w:r>
          </w:p>
        </w:tc>
        <w:tc>
          <w:tcPr>
            <w:tcW w:w="992" w:type="dxa"/>
          </w:tcPr>
          <w:p w14:paraId="7F4AA81F" w14:textId="77777777" w:rsidR="00A44A63" w:rsidRPr="00320E40" w:rsidRDefault="00A44A63" w:rsidP="00320E40">
            <w:pPr>
              <w:rPr>
                <w:sz w:val="20"/>
                <w:szCs w:val="20"/>
              </w:rPr>
            </w:pPr>
            <w:r w:rsidRPr="00320E40">
              <w:rPr>
                <w:sz w:val="20"/>
                <w:szCs w:val="20"/>
              </w:rPr>
              <w:sym w:font="Wingdings" w:char="F0FC"/>
            </w:r>
          </w:p>
        </w:tc>
        <w:tc>
          <w:tcPr>
            <w:tcW w:w="1418" w:type="dxa"/>
          </w:tcPr>
          <w:p w14:paraId="7F4AA820" w14:textId="77777777" w:rsidR="00A44A63" w:rsidRPr="00320E40" w:rsidRDefault="00A44A63" w:rsidP="00320E40">
            <w:pPr>
              <w:rPr>
                <w:sz w:val="20"/>
                <w:szCs w:val="20"/>
              </w:rPr>
            </w:pPr>
            <w:r w:rsidRPr="00320E40">
              <w:rPr>
                <w:sz w:val="20"/>
                <w:szCs w:val="20"/>
              </w:rPr>
              <w:t>–</w:t>
            </w:r>
          </w:p>
        </w:tc>
        <w:tc>
          <w:tcPr>
            <w:tcW w:w="992" w:type="dxa"/>
          </w:tcPr>
          <w:p w14:paraId="7F4AA821" w14:textId="77777777" w:rsidR="00A44A63" w:rsidRPr="00320E40" w:rsidRDefault="00A44A63" w:rsidP="00320E40">
            <w:pPr>
              <w:rPr>
                <w:sz w:val="20"/>
                <w:szCs w:val="20"/>
              </w:rPr>
            </w:pPr>
            <w:r w:rsidRPr="00320E40">
              <w:rPr>
                <w:sz w:val="20"/>
                <w:szCs w:val="20"/>
              </w:rPr>
              <w:sym w:font="Wingdings" w:char="F0FC"/>
            </w:r>
          </w:p>
        </w:tc>
        <w:tc>
          <w:tcPr>
            <w:tcW w:w="1134" w:type="dxa"/>
          </w:tcPr>
          <w:p w14:paraId="7F4AA822" w14:textId="77777777" w:rsidR="00A44A63" w:rsidRPr="00320E40" w:rsidRDefault="00A44A63" w:rsidP="00320E40">
            <w:pPr>
              <w:rPr>
                <w:sz w:val="20"/>
                <w:szCs w:val="20"/>
              </w:rPr>
            </w:pPr>
            <w:r w:rsidRPr="00320E40">
              <w:rPr>
                <w:sz w:val="20"/>
                <w:szCs w:val="20"/>
              </w:rPr>
              <w:t>–</w:t>
            </w:r>
          </w:p>
        </w:tc>
      </w:tr>
    </w:tbl>
    <w:p w14:paraId="7F4AA824" w14:textId="77777777" w:rsidR="00A44A63" w:rsidRPr="00675D0E" w:rsidRDefault="00A44A63" w:rsidP="00320E40">
      <w:pPr>
        <w:pStyle w:val="TableDescription"/>
      </w:pPr>
      <w:r w:rsidRPr="00675D0E">
        <w:t>* NHL/CLL</w:t>
      </w:r>
      <w:r>
        <w:t xml:space="preserve"> indication only; </w:t>
      </w:r>
      <w:r w:rsidRPr="00675D0E">
        <w:t>** RA</w:t>
      </w:r>
      <w:r>
        <w:t xml:space="preserve"> indication only; </w:t>
      </w:r>
      <w:r w:rsidRPr="00675D0E">
        <w:t>*** GPA/MPA</w:t>
      </w:r>
      <w:r>
        <w:t xml:space="preserve"> indication only</w:t>
      </w:r>
    </w:p>
    <w:p w14:paraId="7F4AA825" w14:textId="77777777" w:rsidR="00A44A63" w:rsidRDefault="00A44A63" w:rsidP="000A5529">
      <w:pPr>
        <w:pStyle w:val="ListBullet"/>
      </w:pPr>
      <w:r>
        <w:t>Routine pharmacovigilance is proposed for all safety concerns and missing information. Additional pharmacovigilance is proposed for the specified safety concerns and missing information as indicated in the table above, and consists of:</w:t>
      </w:r>
    </w:p>
    <w:p w14:paraId="7F4AA826" w14:textId="15BBEF5A" w:rsidR="00A44A63" w:rsidRPr="000A5529" w:rsidRDefault="00544957" w:rsidP="000A5529">
      <w:pPr>
        <w:pStyle w:val="ListBullet2"/>
      </w:pPr>
      <w:r>
        <w:t>3</w:t>
      </w:r>
      <w:r w:rsidR="00A44A63" w:rsidRPr="000A5529">
        <w:t xml:space="preserve"> clinical studies (</w:t>
      </w:r>
      <w:r w:rsidR="00186325">
        <w:t xml:space="preserve">Studies </w:t>
      </w:r>
      <w:r w:rsidR="00A44A63" w:rsidRPr="000A5529">
        <w:t xml:space="preserve">GP13-201, GP13-301, </w:t>
      </w:r>
      <w:r w:rsidR="00186325">
        <w:t xml:space="preserve">and </w:t>
      </w:r>
      <w:r w:rsidR="00A44A63" w:rsidRPr="000A5529">
        <w:t>GP13-302)</w:t>
      </w:r>
      <w:r w:rsidR="00186325">
        <w:t>;</w:t>
      </w:r>
    </w:p>
    <w:p w14:paraId="7F4AA827" w14:textId="7BEE7028" w:rsidR="00A44A63" w:rsidRPr="000A5529" w:rsidRDefault="00544957" w:rsidP="000A5529">
      <w:pPr>
        <w:pStyle w:val="ListBullet2"/>
      </w:pPr>
      <w:r>
        <w:t>P</w:t>
      </w:r>
      <w:r w:rsidR="00A44A63" w:rsidRPr="000A5529">
        <w:t>atient registries (RA indication)</w:t>
      </w:r>
      <w:r w:rsidR="00186325">
        <w:t>;</w:t>
      </w:r>
      <w:r w:rsidR="00A44A63" w:rsidRPr="000A5529">
        <w:t xml:space="preserve"> and</w:t>
      </w:r>
    </w:p>
    <w:p w14:paraId="7F4AA828" w14:textId="0551A36C" w:rsidR="00A44A63" w:rsidRPr="000A5529" w:rsidRDefault="00544957" w:rsidP="000A5529">
      <w:pPr>
        <w:pStyle w:val="ListBullet2"/>
      </w:pPr>
      <w:r>
        <w:t>T</w:t>
      </w:r>
      <w:r w:rsidR="00A44A63" w:rsidRPr="000A5529">
        <w:t>argeted follow-up questionnaires.</w:t>
      </w:r>
    </w:p>
    <w:p w14:paraId="7F4AA829" w14:textId="77777777" w:rsidR="00A44A63" w:rsidRPr="00182481" w:rsidRDefault="00A44A63" w:rsidP="00320E40">
      <w:pPr>
        <w:ind w:left="360"/>
      </w:pPr>
      <w:r>
        <w:t xml:space="preserve">There is Australian involvement in </w:t>
      </w:r>
      <w:r w:rsidR="009B2FD7">
        <w:t>Study GP</w:t>
      </w:r>
      <w:r>
        <w:t xml:space="preserve">13-301, which is investigating the efficacy, safety and pharmacokinetics of </w:t>
      </w:r>
      <w:r w:rsidR="00334CAC">
        <w:t>Riximyo</w:t>
      </w:r>
      <w:r>
        <w:t xml:space="preserve"> compared to </w:t>
      </w:r>
      <w:r w:rsidR="000B3A10">
        <w:t>MabThera</w:t>
      </w:r>
      <w:r>
        <w:t xml:space="preserve"> when either agent is given in combination with cyclophosphamide, vincristine, prednisone, followed by </w:t>
      </w:r>
      <w:r w:rsidR="00334CAC">
        <w:t>Riximyo</w:t>
      </w:r>
      <w:r>
        <w:t xml:space="preserve"> or </w:t>
      </w:r>
      <w:r w:rsidR="000B3A10">
        <w:t>MabThera</w:t>
      </w:r>
      <w:r>
        <w:t xml:space="preserve"> maintenance therapy in patients with previously untreated, advanced stage follicular lymphoma.</w:t>
      </w:r>
    </w:p>
    <w:p w14:paraId="7F4AA82A" w14:textId="27F72780" w:rsidR="00A44A63" w:rsidRPr="00182481" w:rsidRDefault="00A44A63" w:rsidP="000A5529">
      <w:pPr>
        <w:pStyle w:val="ListBullet"/>
      </w:pPr>
      <w:r>
        <w:t xml:space="preserve">Routine risk minimisation is proposed for all safety concerns and missing information. Additional risk minimisation is proposed to address specified safety concerns (see </w:t>
      </w:r>
      <w:r w:rsidR="00186325">
        <w:t>T</w:t>
      </w:r>
      <w:r>
        <w:t xml:space="preserve">able </w:t>
      </w:r>
      <w:r w:rsidR="00186325">
        <w:t xml:space="preserve">4, </w:t>
      </w:r>
      <w:r>
        <w:t>above), and consists of healthcare professional and patient educational materials, a Patient Alert Card (PAC) and a healthcare professional alert card relating to the risk of administration route error.</w:t>
      </w:r>
    </w:p>
    <w:p w14:paraId="7F4AA82B" w14:textId="77777777" w:rsidR="00A44A63" w:rsidRDefault="00320E40" w:rsidP="00320E40">
      <w:pPr>
        <w:pStyle w:val="Heading4"/>
      </w:pPr>
      <w:bookmarkStart w:id="100" w:name="_Toc492989126"/>
      <w:r>
        <w:t>O</w:t>
      </w:r>
      <w:r w:rsidR="00A44A63">
        <w:t>utstanding recommendations</w:t>
      </w:r>
      <w:bookmarkEnd w:id="100"/>
    </w:p>
    <w:p w14:paraId="7F4AA82C" w14:textId="77777777" w:rsidR="00A44A63" w:rsidRPr="00427772" w:rsidRDefault="00A44A63" w:rsidP="000A5529">
      <w:r>
        <w:t>There are no outstanding issues. The sponsor is reminded to collect Australian Indigenous demographic data where possible in targeted adverse event follow-up.</w:t>
      </w:r>
    </w:p>
    <w:p w14:paraId="7F4AA82D" w14:textId="77777777" w:rsidR="00A44A63" w:rsidRPr="00427772" w:rsidRDefault="00A44A63" w:rsidP="001D7115">
      <w:pPr>
        <w:pStyle w:val="Heading4"/>
      </w:pPr>
      <w:bookmarkStart w:id="101" w:name="_Toc492989127"/>
      <w:r w:rsidRPr="00427772">
        <w:t>Wording for conditions of registration</w:t>
      </w:r>
      <w:bookmarkEnd w:id="101"/>
    </w:p>
    <w:p w14:paraId="40D04E71" w14:textId="77777777" w:rsidR="00EA1DF3" w:rsidRDefault="00A44A63" w:rsidP="000A5529">
      <w:r w:rsidRPr="00427772">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EA1DF3">
        <w:t>.</w:t>
      </w:r>
    </w:p>
    <w:p w14:paraId="2BDB191D" w14:textId="77777777" w:rsidR="00EA1DF3" w:rsidRDefault="00A44A63" w:rsidP="000A5529">
      <w:r w:rsidRPr="00427772">
        <w:t>The suggested wording is:</w:t>
      </w:r>
    </w:p>
    <w:p w14:paraId="7F4AA830" w14:textId="791EC0E5" w:rsidR="00A44A63" w:rsidRPr="00427772" w:rsidRDefault="00A44A63" w:rsidP="000A5529">
      <w:pPr>
        <w:ind w:left="720"/>
      </w:pPr>
      <w:r w:rsidRPr="00427772">
        <w:t>Implement EU-RMP (version</w:t>
      </w:r>
      <w:r>
        <w:t xml:space="preserve"> 1.4</w:t>
      </w:r>
      <w:r w:rsidRPr="00427772">
        <w:t>, date</w:t>
      </w:r>
      <w:r>
        <w:t xml:space="preserve"> 17 March 2017</w:t>
      </w:r>
      <w:r w:rsidRPr="00427772">
        <w:t xml:space="preserve">, </w:t>
      </w:r>
      <w:proofErr w:type="gramStart"/>
      <w:r w:rsidR="00E808E8" w:rsidRPr="00427772">
        <w:t>data</w:t>
      </w:r>
      <w:proofErr w:type="gramEnd"/>
      <w:r w:rsidRPr="00427772">
        <w:t xml:space="preserve"> lock point</w:t>
      </w:r>
      <w:r>
        <w:t xml:space="preserve"> 17 March 2017</w:t>
      </w:r>
      <w:r w:rsidRPr="00427772">
        <w:t>) with Australian Specific Annex (version</w:t>
      </w:r>
      <w:r>
        <w:t xml:space="preserve"> 1.1</w:t>
      </w:r>
      <w:r w:rsidRPr="00427772">
        <w:t>, date</w:t>
      </w:r>
      <w:r>
        <w:t xml:space="preserve"> 24 June 2017</w:t>
      </w:r>
      <w:r w:rsidRPr="00427772">
        <w:t xml:space="preserve">) and any future updates </w:t>
      </w:r>
      <w:r>
        <w:t>as a condition of registration. Specifically, the ASA must be revised to include the approved educational materials, which the sponsor has committed to providing to the TGA for review prior to marketing the product.</w:t>
      </w:r>
    </w:p>
    <w:p w14:paraId="7F4AA831" w14:textId="39BE5C80" w:rsidR="00A44A63" w:rsidRPr="00427772" w:rsidRDefault="00A44A63" w:rsidP="001D7115">
      <w:pPr>
        <w:pStyle w:val="Heading4"/>
      </w:pPr>
      <w:bookmarkStart w:id="102" w:name="_Toc492989128"/>
      <w:r w:rsidRPr="00427772">
        <w:lastRenderedPageBreak/>
        <w:t xml:space="preserve">Other advice to the </w:t>
      </w:r>
      <w:r w:rsidR="00EA516A">
        <w:t>d</w:t>
      </w:r>
      <w:r w:rsidRPr="00427772">
        <w:t>elegate</w:t>
      </w:r>
      <w:bookmarkEnd w:id="102"/>
    </w:p>
    <w:p w14:paraId="7F4AA832" w14:textId="243936A8" w:rsidR="00456765" w:rsidRPr="00BB4B51" w:rsidRDefault="00A44A63" w:rsidP="009B386A">
      <w:r>
        <w:t xml:space="preserve">The sponsor has committed to providing the TGA with the additional risk minimisation materials prior to launch. This includes </w:t>
      </w:r>
      <w:r w:rsidR="001D7115">
        <w:t>Health Care Professional (</w:t>
      </w:r>
      <w:r>
        <w:t>HCP</w:t>
      </w:r>
      <w:r w:rsidR="001D7115">
        <w:t>)</w:t>
      </w:r>
      <w:r>
        <w:t xml:space="preserve"> and patient educational materials and HCP</w:t>
      </w:r>
      <w:r w:rsidR="00186325">
        <w:t>s</w:t>
      </w:r>
      <w:r>
        <w:t xml:space="preserve"> and </w:t>
      </w:r>
      <w:r w:rsidR="00186325">
        <w:t>PACs</w:t>
      </w:r>
      <w:r>
        <w:t>.</w:t>
      </w:r>
    </w:p>
    <w:p w14:paraId="7F4AA833" w14:textId="77777777" w:rsidR="008E7846" w:rsidRPr="00792A32" w:rsidRDefault="008E7846" w:rsidP="008E7846">
      <w:pPr>
        <w:pStyle w:val="Heading2"/>
      </w:pPr>
      <w:bookmarkStart w:id="103" w:name="_Toc52442628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2"/>
      <w:bookmarkEnd w:id="98"/>
      <w:bookmarkEnd w:id="99"/>
      <w:bookmarkEnd w:id="103"/>
    </w:p>
    <w:p w14:paraId="7F4AA834" w14:textId="77777777" w:rsidR="008E7846" w:rsidRDefault="008E7846" w:rsidP="008E7846">
      <w:bookmarkStart w:id="104" w:name="_Toc247691528"/>
      <w:r>
        <w:t xml:space="preserve">The submission was summarised in the following </w:t>
      </w:r>
      <w:r w:rsidRPr="00EF5C48">
        <w:t xml:space="preserve">Delegate’s </w:t>
      </w:r>
      <w:r>
        <w:t>overview</w:t>
      </w:r>
      <w:r w:rsidRPr="00EF5C48">
        <w:t xml:space="preserve"> and recommendation</w:t>
      </w:r>
      <w:r>
        <w:t>s:</w:t>
      </w:r>
    </w:p>
    <w:p w14:paraId="7F4AA835" w14:textId="77777777" w:rsidR="008E7846" w:rsidRDefault="008E7846" w:rsidP="008E7846">
      <w:pPr>
        <w:pStyle w:val="Heading3"/>
      </w:pPr>
      <w:bookmarkStart w:id="105" w:name="_Toc314842511"/>
      <w:bookmarkStart w:id="106" w:name="_Toc524426289"/>
      <w:r>
        <w:t>Quality</w:t>
      </w:r>
      <w:bookmarkEnd w:id="104"/>
      <w:bookmarkEnd w:id="105"/>
      <w:bookmarkEnd w:id="106"/>
    </w:p>
    <w:p w14:paraId="7F4AA836" w14:textId="77777777" w:rsidR="00EC5FD9" w:rsidRPr="00A241D6" w:rsidRDefault="00EC5FD9" w:rsidP="00EC5FD9">
      <w:bookmarkStart w:id="107" w:name="_Toc314842512"/>
      <w:r w:rsidRPr="00A241D6">
        <w:t xml:space="preserve">Some </w:t>
      </w:r>
      <w:r w:rsidR="001D7115">
        <w:t>Good Manufacturing Practice (</w:t>
      </w:r>
      <w:r w:rsidRPr="00A241D6">
        <w:t>GMP</w:t>
      </w:r>
      <w:r w:rsidR="001D7115">
        <w:t>)</w:t>
      </w:r>
      <w:r w:rsidRPr="00A241D6">
        <w:t xml:space="preserve"> clearances are required before approval can be given.</w:t>
      </w:r>
      <w:r w:rsidR="000B3A10">
        <w:t xml:space="preserve"> </w:t>
      </w:r>
      <w:r w:rsidRPr="00A241D6">
        <w:t xml:space="preserve">Otherwise, from a quality perspective, there </w:t>
      </w:r>
      <w:r>
        <w:t>are</w:t>
      </w:r>
      <w:r w:rsidRPr="00A241D6">
        <w:t xml:space="preserve"> no objections to registration.</w:t>
      </w:r>
    </w:p>
    <w:p w14:paraId="7F4AA837" w14:textId="77777777" w:rsidR="00EC5FD9" w:rsidRPr="00CC51E0" w:rsidRDefault="00EC5FD9" w:rsidP="00EC5FD9">
      <w:r>
        <w:t>Regarding</w:t>
      </w:r>
      <w:r w:rsidRPr="00A241D6">
        <w:t xml:space="preserve"> physico-chemical comparability, the </w:t>
      </w:r>
      <w:r w:rsidR="001D7115">
        <w:t>quality</w:t>
      </w:r>
      <w:r w:rsidRPr="00A241D6">
        <w:t xml:space="preserve"> evaluator concluded that comparability had been demonstrated across a wide range of test methodologies.</w:t>
      </w:r>
      <w:r w:rsidR="000B3A10">
        <w:t xml:space="preserve"> </w:t>
      </w:r>
      <w:r w:rsidRPr="00A241D6">
        <w:t>A few probably minor differences were noted.</w:t>
      </w:r>
      <w:r w:rsidR="000B3A10">
        <w:t xml:space="preserve"> </w:t>
      </w:r>
      <w:r w:rsidRPr="00A241D6">
        <w:t xml:space="preserve">Multiple </w:t>
      </w:r>
      <w:r w:rsidRPr="001D7115">
        <w:t>in vitro</w:t>
      </w:r>
      <w:r w:rsidRPr="00A241D6">
        <w:t xml:space="preserve"> tests of biological function were conducted, included tests of products’ capacity to trigger antibody-mediated cellular cytotoxicity, ADCC.</w:t>
      </w:r>
      <w:r w:rsidR="000B3A10">
        <w:t xml:space="preserve"> </w:t>
      </w:r>
      <w:r w:rsidRPr="00A241D6">
        <w:t xml:space="preserve">The </w:t>
      </w:r>
      <w:r w:rsidR="001D7115">
        <w:t xml:space="preserve">Advisory Committee on </w:t>
      </w:r>
      <w:r w:rsidR="00E808E8" w:rsidRPr="00CC51E0">
        <w:t>Medicines’</w:t>
      </w:r>
      <w:r w:rsidR="001D7115" w:rsidRPr="00CC51E0">
        <w:t xml:space="preserve"> (ACM’s) </w:t>
      </w:r>
      <w:r w:rsidRPr="00CC51E0">
        <w:t>attention is drawn to the degree of comparability across rituximab ‘versions’ seen for ADCC (detailed later).</w:t>
      </w:r>
    </w:p>
    <w:p w14:paraId="7F4AA838" w14:textId="77777777" w:rsidR="00296B19" w:rsidRPr="00A241D6" w:rsidRDefault="00296B19" w:rsidP="000A5529">
      <w:r w:rsidRPr="00CC51E0">
        <w:t xml:space="preserve">The </w:t>
      </w:r>
      <w:r w:rsidR="001D7115" w:rsidRPr="00CC51E0">
        <w:t>quality</w:t>
      </w:r>
      <w:r w:rsidRPr="00CC51E0">
        <w:t xml:space="preserve"> evaluator noted that not all GMP clearances had been obtained</w:t>
      </w:r>
      <w:r w:rsidR="001D7115" w:rsidRPr="00CC51E0">
        <w:t>:</w:t>
      </w:r>
    </w:p>
    <w:p w14:paraId="7F4AA839" w14:textId="2011F4D0" w:rsidR="00296B19" w:rsidRPr="00A241D6" w:rsidRDefault="00296B19" w:rsidP="000A5529">
      <w:pPr>
        <w:pStyle w:val="ListBullet"/>
        <w:rPr>
          <w:rFonts w:cstheme="majorHAnsi"/>
        </w:rPr>
      </w:pPr>
      <w:r w:rsidRPr="000A5529">
        <w:t>All</w:t>
      </w:r>
      <w:r w:rsidRPr="00A241D6">
        <w:t xml:space="preserve"> outstanding GMP clearances will need to be issued before </w:t>
      </w:r>
      <w:r>
        <w:t>any approval can be given</w:t>
      </w:r>
      <w:r w:rsidRPr="00A241D6">
        <w:t>.</w:t>
      </w:r>
      <w:r w:rsidR="000B3A10">
        <w:t xml:space="preserve"> </w:t>
      </w:r>
      <w:r>
        <w:t>Clearances were still outstanding as of 18 August 2017.</w:t>
      </w:r>
    </w:p>
    <w:p w14:paraId="7F4AA83A" w14:textId="77777777" w:rsidR="00296B19" w:rsidRPr="00A241D6" w:rsidRDefault="00296B19" w:rsidP="000A5529">
      <w:r w:rsidRPr="00A241D6">
        <w:t xml:space="preserve">The </w:t>
      </w:r>
      <w:r w:rsidR="001D7115">
        <w:t>quality</w:t>
      </w:r>
      <w:r w:rsidRPr="00A241D6">
        <w:t xml:space="preserve"> evaluator also noted that a machine-readable bar code is required on the label of the 500 mg presentation.</w:t>
      </w:r>
      <w:r w:rsidR="000B3A10">
        <w:t xml:space="preserve"> </w:t>
      </w:r>
      <w:r>
        <w:t>The sponsor has accepted this in principle, as per ‘Notification of Errors</w:t>
      </w:r>
      <w:r w:rsidR="009436CA">
        <w:t>/</w:t>
      </w:r>
      <w:r>
        <w:t>Omissions’ document dated 18 August 2017.</w:t>
      </w:r>
    </w:p>
    <w:p w14:paraId="7F4AA83B" w14:textId="0EE48214" w:rsidR="00296B19" w:rsidRPr="00A241D6" w:rsidRDefault="00296B19" w:rsidP="000A5529">
      <w:r w:rsidRPr="00A241D6">
        <w:t xml:space="preserve">The </w:t>
      </w:r>
      <w:r w:rsidR="001D7115">
        <w:t>quality</w:t>
      </w:r>
      <w:r w:rsidRPr="00A241D6">
        <w:t xml:space="preserve"> evaluator noted an ‘out of specification event’ affecting the product – </w:t>
      </w:r>
      <w:r>
        <w:t xml:space="preserve">visible </w:t>
      </w:r>
      <w:r w:rsidRPr="00A241D6">
        <w:t>particulate matter.</w:t>
      </w:r>
      <w:r w:rsidR="000B3A10">
        <w:t xml:space="preserve"> </w:t>
      </w:r>
      <w:r w:rsidRPr="00A241D6">
        <w:t>The evaluator stated:</w:t>
      </w:r>
    </w:p>
    <w:p w14:paraId="7F4AA83C" w14:textId="2853BF32" w:rsidR="00296B19" w:rsidRPr="001D7115" w:rsidRDefault="00296B19" w:rsidP="001D7115">
      <w:pPr>
        <w:ind w:left="720"/>
        <w:rPr>
          <w:i/>
        </w:rPr>
      </w:pPr>
      <w:r w:rsidRPr="001D7115">
        <w:rPr>
          <w:i/>
        </w:rPr>
        <w:t>While this does not appear to be a safety issue, and indeed some of these batches were administered in trials with no obvious adverse effects, it may be proactive of the Sponsor to inform end users of the Drug Product using the original</w:t>
      </w:r>
      <w:r w:rsidR="00287437">
        <w:rPr>
          <w:i/>
        </w:rPr>
        <w:t>…</w:t>
      </w:r>
      <w:r w:rsidRPr="001D7115">
        <w:rPr>
          <w:i/>
        </w:rPr>
        <w:t xml:space="preserve"> </w:t>
      </w:r>
      <w:r w:rsidR="00287437">
        <w:rPr>
          <w:i/>
        </w:rPr>
        <w:t>[</w:t>
      </w:r>
      <w:proofErr w:type="gramStart"/>
      <w:r w:rsidR="00287437">
        <w:rPr>
          <w:i/>
        </w:rPr>
        <w:t>excipient</w:t>
      </w:r>
      <w:proofErr w:type="gramEnd"/>
      <w:r w:rsidR="00287437">
        <w:rPr>
          <w:i/>
        </w:rPr>
        <w:t xml:space="preserve"> as it] </w:t>
      </w:r>
      <w:r w:rsidRPr="001D7115">
        <w:rPr>
          <w:i/>
        </w:rPr>
        <w:t xml:space="preserve">may contain these visible </w:t>
      </w:r>
      <w:r w:rsidR="00287437">
        <w:rPr>
          <w:i/>
        </w:rPr>
        <w:t>…</w:t>
      </w:r>
      <w:r w:rsidRPr="001D7115">
        <w:rPr>
          <w:i/>
        </w:rPr>
        <w:t xml:space="preserve"> particles.</w:t>
      </w:r>
    </w:p>
    <w:p w14:paraId="7F4AA83D" w14:textId="35C7C8EA" w:rsidR="00296B19" w:rsidRDefault="00296B19" w:rsidP="000A5529">
      <w:r>
        <w:t>The sponsor’s comment in the ‘Notification of Errors</w:t>
      </w:r>
      <w:r w:rsidR="009436CA">
        <w:t>/</w:t>
      </w:r>
      <w:r>
        <w:t>Omissions’ document dated 18 August 2017 is noted</w:t>
      </w:r>
      <w:r w:rsidR="001D7115">
        <w:t>:</w:t>
      </w:r>
    </w:p>
    <w:p w14:paraId="05989C7C" w14:textId="77777777" w:rsidR="006F4AE0" w:rsidRPr="006F4AE0" w:rsidRDefault="00296B19" w:rsidP="006F4AE0">
      <w:pPr>
        <w:pStyle w:val="Comment"/>
        <w:ind w:left="0" w:firstLine="0"/>
        <w:rPr>
          <w:b/>
        </w:rPr>
      </w:pPr>
      <w:r w:rsidRPr="006F4AE0">
        <w:rPr>
          <w:i/>
        </w:rPr>
        <w:t xml:space="preserve">Implementation of the use of </w:t>
      </w:r>
      <w:r w:rsidR="00F5712D" w:rsidRPr="006F4AE0">
        <w:rPr>
          <w:i/>
        </w:rPr>
        <w:t xml:space="preserve">[a higher grade of excipient] </w:t>
      </w:r>
      <w:r w:rsidRPr="006F4AE0">
        <w:rPr>
          <w:i/>
        </w:rPr>
        <w:t>is considered a measure to consistently guarantee the required quality profile</w:t>
      </w:r>
      <w:r w:rsidR="00F5712D" w:rsidRPr="006F4AE0">
        <w:rPr>
          <w:i/>
        </w:rPr>
        <w:t>…</w:t>
      </w:r>
      <w:r w:rsidRPr="006F4AE0">
        <w:rPr>
          <w:b/>
          <w:i/>
        </w:rPr>
        <w:t xml:space="preserve"> </w:t>
      </w:r>
      <w:r w:rsidRPr="006F4AE0">
        <w:t xml:space="preserve">By way of background, </w:t>
      </w:r>
      <w:r w:rsidR="007767D0" w:rsidRPr="006F4AE0">
        <w:t>the</w:t>
      </w:r>
      <w:r w:rsidRPr="006F4AE0">
        <w:t xml:space="preserve"> impurity</w:t>
      </w:r>
      <w:r w:rsidR="00F5712D" w:rsidRPr="006F4AE0">
        <w:t xml:space="preserve"> ha</w:t>
      </w:r>
      <w:r w:rsidR="007767D0" w:rsidRPr="006F4AE0">
        <w:t>s</w:t>
      </w:r>
      <w:r w:rsidRPr="006F4AE0">
        <w:t xml:space="preserve"> a structure similar to long chain fatty acids.</w:t>
      </w:r>
      <w:r w:rsidR="000B3A10" w:rsidRPr="006F4AE0">
        <w:t xml:space="preserve"> </w:t>
      </w:r>
      <w:r w:rsidR="0020677C" w:rsidRPr="006F4AE0">
        <w:t>T</w:t>
      </w:r>
      <w:r w:rsidRPr="006F4AE0">
        <w:t>he issue appears to be resolved.</w:t>
      </w:r>
    </w:p>
    <w:p w14:paraId="7F4AA840" w14:textId="4AB7F951" w:rsidR="00296B19" w:rsidRPr="00A241D6" w:rsidRDefault="00296B19" w:rsidP="001D7115">
      <w:pPr>
        <w:pStyle w:val="Heading4"/>
      </w:pPr>
      <w:r w:rsidRPr="00A241D6">
        <w:t>Physicochemical comparability</w:t>
      </w:r>
    </w:p>
    <w:p w14:paraId="7F4AA841" w14:textId="77777777" w:rsidR="00296B19" w:rsidRPr="00A241D6" w:rsidRDefault="00296B19" w:rsidP="000A5529">
      <w:r w:rsidRPr="00A241D6">
        <w:t>Of note:</w:t>
      </w:r>
    </w:p>
    <w:p w14:paraId="7F4AA842" w14:textId="77777777" w:rsidR="00296B19" w:rsidRPr="00A241D6" w:rsidRDefault="00296B19" w:rsidP="001D7115">
      <w:pPr>
        <w:pStyle w:val="ListBullet"/>
      </w:pPr>
      <w:r w:rsidRPr="00A241D6">
        <w:t xml:space="preserve">Batches of EU MabThera were primarily used for comparison to </w:t>
      </w:r>
      <w:r w:rsidR="00334CAC">
        <w:t>Riximyo</w:t>
      </w:r>
      <w:r w:rsidRPr="00A241D6">
        <w:t>.</w:t>
      </w:r>
    </w:p>
    <w:p w14:paraId="7F4AA843" w14:textId="77777777" w:rsidR="00296B19" w:rsidRPr="00A241D6" w:rsidRDefault="00296B19" w:rsidP="001D7115">
      <w:pPr>
        <w:pStyle w:val="ListBullet"/>
      </w:pPr>
      <w:r w:rsidRPr="00A241D6">
        <w:t>An additional bridging comparability study was performed between the EU</w:t>
      </w:r>
      <w:r w:rsidR="009436CA">
        <w:t>/</w:t>
      </w:r>
      <w:r w:rsidRPr="00A241D6">
        <w:t xml:space="preserve">US sourced </w:t>
      </w:r>
      <w:r w:rsidR="000B3A10">
        <w:t>MabThera</w:t>
      </w:r>
      <w:r w:rsidR="009436CA">
        <w:t>/</w:t>
      </w:r>
      <w:r w:rsidRPr="00A241D6">
        <w:t>Rituxan and AU sourced MabThera to present EU</w:t>
      </w:r>
      <w:r w:rsidR="009436CA">
        <w:t>/</w:t>
      </w:r>
      <w:r w:rsidRPr="00A241D6">
        <w:t xml:space="preserve">US sourced </w:t>
      </w:r>
      <w:r w:rsidR="000B3A10">
        <w:t>MabThera</w:t>
      </w:r>
      <w:r w:rsidR="009436CA">
        <w:t>/</w:t>
      </w:r>
      <w:r w:rsidRPr="00A241D6">
        <w:t>Rituxan as representative of th</w:t>
      </w:r>
      <w:r w:rsidR="00103622">
        <w:t>e Australian product (MabThera)</w:t>
      </w:r>
    </w:p>
    <w:p w14:paraId="7F4AA844" w14:textId="77777777" w:rsidR="00296B19" w:rsidRPr="00A241D6" w:rsidRDefault="00296B19" w:rsidP="00103622">
      <w:r w:rsidRPr="00A241D6">
        <w:t xml:space="preserve">The evaluator described </w:t>
      </w:r>
      <w:r w:rsidR="00334CAC">
        <w:t>Riximyo</w:t>
      </w:r>
      <w:r w:rsidRPr="00A241D6">
        <w:t xml:space="preserve"> and MabThera</w:t>
      </w:r>
      <w:r w:rsidR="009436CA">
        <w:t>/</w:t>
      </w:r>
      <w:r w:rsidRPr="00A241D6">
        <w:t xml:space="preserve">Rituxan as </w:t>
      </w:r>
      <w:r w:rsidR="0061344E">
        <w:t>‘</w:t>
      </w:r>
      <w:r w:rsidRPr="00A241D6">
        <w:t>gen</w:t>
      </w:r>
      <w:r>
        <w:t>erally similar</w:t>
      </w:r>
      <w:r w:rsidR="0061344E">
        <w:t>’</w:t>
      </w:r>
      <w:r>
        <w:t xml:space="preserve"> but highlighted several issues, outlined below.</w:t>
      </w:r>
    </w:p>
    <w:p w14:paraId="7F4AA845" w14:textId="77777777" w:rsidR="00296B19" w:rsidRPr="00992CCE" w:rsidRDefault="00296B19" w:rsidP="00103622">
      <w:pPr>
        <w:rPr>
          <w:rFonts w:cstheme="majorHAnsi"/>
        </w:rPr>
      </w:pPr>
      <w:r>
        <w:rPr>
          <w:rFonts w:cstheme="majorHAnsi"/>
        </w:rPr>
        <w:lastRenderedPageBreak/>
        <w:t>There were s</w:t>
      </w:r>
      <w:r w:rsidRPr="00992CCE">
        <w:rPr>
          <w:rFonts w:cstheme="majorHAnsi"/>
        </w:rPr>
        <w:t xml:space="preserve">ubtle differences in </w:t>
      </w:r>
      <w:r w:rsidRPr="00103622">
        <w:rPr>
          <w:rFonts w:cstheme="majorHAnsi"/>
        </w:rPr>
        <w:t>glycan species</w:t>
      </w:r>
      <w:r w:rsidRPr="00992CCE">
        <w:rPr>
          <w:rFonts w:cstheme="majorHAnsi"/>
        </w:rPr>
        <w:t xml:space="preserve"> with levels </w:t>
      </w:r>
      <w:r w:rsidR="0061344E">
        <w:rPr>
          <w:rFonts w:cstheme="majorHAnsi"/>
        </w:rPr>
        <w:t>‘</w:t>
      </w:r>
      <w:r w:rsidRPr="00103622">
        <w:rPr>
          <w:rFonts w:cstheme="majorHAnsi"/>
          <w:i/>
        </w:rPr>
        <w:t>mostly within limits set by analysis of batches of the comparator product</w:t>
      </w:r>
      <w:r w:rsidR="0061344E">
        <w:rPr>
          <w:rFonts w:cstheme="majorHAnsi"/>
        </w:rPr>
        <w:t>’</w:t>
      </w:r>
      <w:r w:rsidRPr="00992CCE">
        <w:rPr>
          <w:rFonts w:cstheme="majorHAnsi"/>
        </w:rPr>
        <w:t>.</w:t>
      </w:r>
      <w:r w:rsidR="000B3A10">
        <w:rPr>
          <w:rFonts w:cstheme="majorHAnsi"/>
        </w:rPr>
        <w:t xml:space="preserve"> </w:t>
      </w:r>
      <w:r>
        <w:rPr>
          <w:rFonts w:cstheme="majorHAnsi"/>
        </w:rPr>
        <w:t>An</w:t>
      </w:r>
      <w:r w:rsidRPr="00992CCE">
        <w:rPr>
          <w:rFonts w:cstheme="majorHAnsi"/>
        </w:rPr>
        <w:t xml:space="preserve"> impression of </w:t>
      </w:r>
      <w:r w:rsidR="00103622">
        <w:rPr>
          <w:rFonts w:cstheme="majorHAnsi"/>
        </w:rPr>
        <w:t>differences in N-glycosylation was given</w:t>
      </w:r>
      <w:r w:rsidRPr="00992CCE">
        <w:rPr>
          <w:rFonts w:cstheme="majorHAnsi"/>
        </w:rPr>
        <w:t>.</w:t>
      </w:r>
      <w:r w:rsidR="000B3A10">
        <w:rPr>
          <w:rFonts w:cstheme="majorHAnsi"/>
        </w:rPr>
        <w:t xml:space="preserve"> </w:t>
      </w:r>
      <w:r w:rsidRPr="00992CCE">
        <w:rPr>
          <w:rFonts w:cstheme="majorHAnsi"/>
        </w:rPr>
        <w:t>The evaluator writes:</w:t>
      </w:r>
    </w:p>
    <w:p w14:paraId="0F7EC68C" w14:textId="77777777" w:rsidR="006F4AE0" w:rsidRDefault="00BF7FCA" w:rsidP="00103622">
      <w:r w:rsidRPr="006F4AE0">
        <w:t>[</w:t>
      </w:r>
      <w:proofErr w:type="gramStart"/>
      <w:r w:rsidRPr="006F4AE0">
        <w:t>information</w:t>
      </w:r>
      <w:proofErr w:type="gramEnd"/>
      <w:r w:rsidRPr="006F4AE0">
        <w:t xml:space="preserve"> redacted]</w:t>
      </w:r>
    </w:p>
    <w:p w14:paraId="7F4AA847" w14:textId="0D9392BF" w:rsidR="00296B19" w:rsidRDefault="00296B19" w:rsidP="00103622">
      <w:r>
        <w:t>The sponsor’s perspective on glycan species is copied from the Quality Summary:</w:t>
      </w:r>
    </w:p>
    <w:p w14:paraId="7F4AA848" w14:textId="28EC5F67" w:rsidR="00296B19" w:rsidRPr="00103622" w:rsidRDefault="00296B19" w:rsidP="00103622">
      <w:pPr>
        <w:ind w:left="720"/>
        <w:rPr>
          <w:i/>
        </w:rPr>
      </w:pPr>
      <w:r w:rsidRPr="00103622">
        <w:rPr>
          <w:i/>
        </w:rPr>
        <w:t>…No potentially immunogenic glycoforms such as NGNA or Gal-α1</w:t>
      </w:r>
      <w:proofErr w:type="gramStart"/>
      <w:r w:rsidRPr="00103622">
        <w:rPr>
          <w:i/>
        </w:rPr>
        <w:t>,3</w:t>
      </w:r>
      <w:proofErr w:type="gramEnd"/>
      <w:r w:rsidRPr="00103622">
        <w:rPr>
          <w:i/>
        </w:rPr>
        <w:t xml:space="preserve">-Gal could be detected in both, </w:t>
      </w:r>
      <w:r w:rsidR="008A2F5F">
        <w:rPr>
          <w:i/>
        </w:rPr>
        <w:t>Riximyo</w:t>
      </w:r>
      <w:r w:rsidRPr="00103622">
        <w:rPr>
          <w:i/>
        </w:rPr>
        <w:t xml:space="preserve"> and originator product. The glycosylation pattern of the major abundant glycans bG0, bG1 and bG2 was comparable in both products. When looking at the low abundant glycans the heterogeneity was lower in </w:t>
      </w:r>
      <w:r w:rsidR="008A2F5F">
        <w:rPr>
          <w:i/>
        </w:rPr>
        <w:t>Riximyo</w:t>
      </w:r>
      <w:r w:rsidRPr="00103622">
        <w:rPr>
          <w:i/>
        </w:rPr>
        <w:t xml:space="preserve"> than in the originator product, for which two additional glycans were observed (hNG2M5F or hSA2NG1M5F). In addition, </w:t>
      </w:r>
      <w:r w:rsidR="008A2F5F">
        <w:rPr>
          <w:i/>
        </w:rPr>
        <w:t>Riximyo</w:t>
      </w:r>
      <w:r w:rsidRPr="00103622">
        <w:rPr>
          <w:i/>
        </w:rPr>
        <w:t xml:space="preserve"> showed lower amounts of mannose structures </w:t>
      </w:r>
      <w:r w:rsidR="007208FD" w:rsidRPr="007208FD">
        <w:t>[information redacted]</w:t>
      </w:r>
      <w:r w:rsidR="00186325">
        <w:t>.</w:t>
      </w:r>
    </w:p>
    <w:p w14:paraId="7F4AA849" w14:textId="77777777" w:rsidR="00296B19" w:rsidRPr="00992CCE" w:rsidRDefault="00296B19" w:rsidP="002B21DD">
      <w:r>
        <w:t>There were also s</w:t>
      </w:r>
      <w:r w:rsidRPr="00992CCE">
        <w:t xml:space="preserve">mall differences in </w:t>
      </w:r>
      <w:r w:rsidRPr="00103622">
        <w:t>charged variants</w:t>
      </w:r>
      <w:r w:rsidRPr="00992CCE">
        <w:t xml:space="preserve">, </w:t>
      </w:r>
      <w:r w:rsidR="0061344E">
        <w:t>‘</w:t>
      </w:r>
      <w:r w:rsidRPr="00103622">
        <w:rPr>
          <w:i/>
        </w:rPr>
        <w:t>likely due to pyroglutamate formation and lower levels of deamidation</w:t>
      </w:r>
      <w:r w:rsidR="0061344E">
        <w:t>’</w:t>
      </w:r>
      <w:r w:rsidRPr="00992CCE">
        <w:t xml:space="preserve"> (post-translational modifications).</w:t>
      </w:r>
      <w:r w:rsidR="000B3A10">
        <w:t xml:space="preserve"> </w:t>
      </w:r>
      <w:r w:rsidRPr="00992CCE">
        <w:t xml:space="preserve">All different charged </w:t>
      </w:r>
      <w:r>
        <w:t>variants</w:t>
      </w:r>
      <w:r w:rsidRPr="00992CCE">
        <w:t xml:space="preserve"> had functional activity in CDC assays.</w:t>
      </w:r>
    </w:p>
    <w:p w14:paraId="7F4AA84A" w14:textId="77777777" w:rsidR="00296B19" w:rsidRPr="00A241D6" w:rsidRDefault="00296B19" w:rsidP="002B21DD">
      <w:r w:rsidRPr="00A241D6">
        <w:t xml:space="preserve">These observed differences </w:t>
      </w:r>
      <w:r>
        <w:t xml:space="preserve">in physico-chemical characteristics </w:t>
      </w:r>
      <w:r w:rsidRPr="00A241D6">
        <w:t xml:space="preserve">were described by the evaluator as </w:t>
      </w:r>
      <w:r w:rsidR="0061344E">
        <w:t>‘</w:t>
      </w:r>
      <w:r w:rsidRPr="00A241D6">
        <w:t>minor</w:t>
      </w:r>
      <w:r w:rsidR="0061344E">
        <w:t>’</w:t>
      </w:r>
      <w:r w:rsidRPr="00A241D6">
        <w:t>, though the evaluator also notes:</w:t>
      </w:r>
    </w:p>
    <w:p w14:paraId="7F4AA84B" w14:textId="77777777" w:rsidR="00296B19" w:rsidRPr="00103622" w:rsidRDefault="00296B19" w:rsidP="00103622">
      <w:pPr>
        <w:ind w:left="720"/>
        <w:rPr>
          <w:rFonts w:cstheme="majorHAnsi"/>
          <w:i/>
        </w:rPr>
      </w:pPr>
      <w:r w:rsidRPr="00103622">
        <w:rPr>
          <w:i/>
        </w:rPr>
        <w:t>The differences in glycan species potentially are important as they can influence functional activity of the antibody, most notably Fc receptor binding and antibody dependent cellular cytotoxicity (ADCC).</w:t>
      </w:r>
    </w:p>
    <w:p w14:paraId="7F4AA84C" w14:textId="77777777" w:rsidR="00296B19" w:rsidRDefault="00296B19" w:rsidP="002B21DD">
      <w:r>
        <w:t xml:space="preserve">This serves to emphasise the importance </w:t>
      </w:r>
      <w:r w:rsidRPr="00103622">
        <w:t>of in vitro</w:t>
      </w:r>
      <w:r>
        <w:t xml:space="preserve"> characterisation of ADCC across the two rituximab products.</w:t>
      </w:r>
    </w:p>
    <w:p w14:paraId="7F4AA84F" w14:textId="6070F2E8" w:rsidR="00296B19" w:rsidRPr="00A241D6" w:rsidRDefault="00296B19" w:rsidP="00103622">
      <w:pPr>
        <w:rPr>
          <w:rFonts w:asciiTheme="minorHAnsi" w:hAnsiTheme="minorHAnsi" w:cstheme="majorHAnsi"/>
          <w:sz w:val="24"/>
          <w:szCs w:val="24"/>
        </w:rPr>
      </w:pPr>
      <w:r w:rsidRPr="00A241D6">
        <w:t>Biological</w:t>
      </w:r>
      <w:r>
        <w:t xml:space="preserve"> function</w:t>
      </w:r>
      <w:r w:rsidRPr="00A241D6">
        <w:t xml:space="preserve"> </w:t>
      </w:r>
      <w:r w:rsidRPr="00103622">
        <w:t>in vitro</w:t>
      </w:r>
      <w:r w:rsidR="00103622">
        <w:t xml:space="preserve"> wa</w:t>
      </w:r>
      <w:r>
        <w:t>s compared</w:t>
      </w:r>
      <w:r w:rsidRPr="00A241D6">
        <w:t xml:space="preserve"> </w:t>
      </w:r>
      <w:r>
        <w:t xml:space="preserve">for </w:t>
      </w:r>
      <w:r w:rsidR="00103622">
        <w:t xml:space="preserve">the </w:t>
      </w:r>
      <w:r>
        <w:t xml:space="preserve">biosimilar and </w:t>
      </w:r>
      <w:r w:rsidR="00103622">
        <w:t xml:space="preserve">the </w:t>
      </w:r>
      <w:r>
        <w:t xml:space="preserve">reference </w:t>
      </w:r>
      <w:r w:rsidR="00103622">
        <w:t>product</w:t>
      </w:r>
      <w:r w:rsidRPr="00A241D6">
        <w:t>.</w:t>
      </w:r>
      <w:r w:rsidR="000B3A10">
        <w:t xml:space="preserve"> </w:t>
      </w:r>
      <w:r>
        <w:t>For</w:t>
      </w:r>
      <w:r w:rsidRPr="00A241D6">
        <w:t xml:space="preserve"> ADCC, the view was that potency of </w:t>
      </w:r>
      <w:r w:rsidR="008A2F5F">
        <w:t>Riximyo</w:t>
      </w:r>
      <w:r w:rsidRPr="00A241D6">
        <w:t xml:space="preserve"> as measured by </w:t>
      </w:r>
      <w:r>
        <w:t xml:space="preserve">the </w:t>
      </w:r>
      <w:r w:rsidRPr="00A241D6">
        <w:t>ADCC assay was ‘within the range’ of that seen with the innovator.</w:t>
      </w:r>
      <w:r w:rsidR="000B3A10">
        <w:t xml:space="preserve"> </w:t>
      </w:r>
      <w:r w:rsidRPr="00A241D6">
        <w:t xml:space="preserve">A key figure from </w:t>
      </w:r>
      <w:r w:rsidR="00103622">
        <w:t>the sponsor’s d</w:t>
      </w:r>
      <w:r w:rsidRPr="00A241D6">
        <w:t>ossier</w:t>
      </w:r>
      <w:r w:rsidR="000A1829">
        <w:t xml:space="preserve"> was</w:t>
      </w:r>
      <w:r w:rsidRPr="00A241D6">
        <w:t xml:space="preserve"> based on the ADCC ass</w:t>
      </w:r>
      <w:r>
        <w:t>ay us</w:t>
      </w:r>
      <w:r w:rsidR="000A1829">
        <w:t>ing</w:t>
      </w:r>
      <w:r>
        <w:t xml:space="preserve"> NK effector cells</w:t>
      </w:r>
      <w:r w:rsidR="000A1829">
        <w:t>.</w:t>
      </w:r>
      <w:r w:rsidR="00186325">
        <w:t xml:space="preserve"> </w:t>
      </w:r>
      <w:r w:rsidR="00BF7FCA" w:rsidRPr="00BF7FCA">
        <w:t>[</w:t>
      </w:r>
      <w:proofErr w:type="gramStart"/>
      <w:r w:rsidR="00BF7FCA" w:rsidRPr="00BF7FCA">
        <w:t>information</w:t>
      </w:r>
      <w:proofErr w:type="gramEnd"/>
      <w:r w:rsidR="00BF7FCA" w:rsidRPr="00BF7FCA">
        <w:t xml:space="preserve"> redacted]</w:t>
      </w:r>
    </w:p>
    <w:p w14:paraId="7AE0B94B" w14:textId="755F7EC3" w:rsidR="00812053" w:rsidRDefault="00103622" w:rsidP="00812053">
      <w:r>
        <w:t>A figure</w:t>
      </w:r>
      <w:r w:rsidR="00296B19" w:rsidRPr="00A241D6">
        <w:t xml:space="preserve"> in the </w:t>
      </w:r>
      <w:r>
        <w:t>d</w:t>
      </w:r>
      <w:r w:rsidR="00296B19" w:rsidRPr="00A241D6">
        <w:t xml:space="preserve">ossier summarised an </w:t>
      </w:r>
      <w:r w:rsidR="00296B19">
        <w:t xml:space="preserve">ADCC </w:t>
      </w:r>
      <w:r w:rsidR="00296B19" w:rsidRPr="00A241D6">
        <w:t xml:space="preserve">assay </w:t>
      </w:r>
      <w:r w:rsidR="00296B19">
        <w:t>with</w:t>
      </w:r>
      <w:r w:rsidR="00296B19" w:rsidRPr="00A241D6">
        <w:t xml:space="preserve"> PBMCs </w:t>
      </w:r>
      <w:r w:rsidR="00296B19">
        <w:t xml:space="preserve">(not NKs as per above) </w:t>
      </w:r>
      <w:r w:rsidR="00296B19" w:rsidRPr="00A241D6">
        <w:t xml:space="preserve">as effectors, where there was no </w:t>
      </w:r>
      <w:r w:rsidR="00296B19">
        <w:t xml:space="preserve">obvious </w:t>
      </w:r>
      <w:r w:rsidR="00296B19" w:rsidRPr="00A241D6">
        <w:t>difference acro</w:t>
      </w:r>
      <w:r w:rsidR="00296B19">
        <w:t>ss versions</w:t>
      </w:r>
      <w:r w:rsidR="00812053">
        <w:t>.</w:t>
      </w:r>
    </w:p>
    <w:p w14:paraId="7F4AA854" w14:textId="77777777" w:rsidR="00296B19" w:rsidRDefault="00296B19" w:rsidP="002B21DD">
      <w:r>
        <w:t>This serves, in turn, to emphasise the importance of PD</w:t>
      </w:r>
      <w:r w:rsidR="009436CA">
        <w:t>/</w:t>
      </w:r>
      <w:r>
        <w:t>efficacy outcomes in nonclinical and clinical studies.</w:t>
      </w:r>
    </w:p>
    <w:p w14:paraId="7F4AA855" w14:textId="77777777" w:rsidR="00296B19" w:rsidRPr="00A241D6" w:rsidRDefault="00296B19" w:rsidP="00837BF9">
      <w:pPr>
        <w:pStyle w:val="Heading4"/>
      </w:pPr>
      <w:r w:rsidRPr="00A241D6">
        <w:t xml:space="preserve">Recommended conditions of registration for </w:t>
      </w:r>
      <w:r w:rsidR="00837BF9">
        <w:t>quality</w:t>
      </w:r>
      <w:r w:rsidRPr="00A241D6">
        <w:t xml:space="preserve"> issues</w:t>
      </w:r>
    </w:p>
    <w:p w14:paraId="7F4AA856" w14:textId="77777777" w:rsidR="00296B19" w:rsidRPr="00A241D6" w:rsidRDefault="00296B19" w:rsidP="00837BF9">
      <w:r w:rsidRPr="00A241D6">
        <w:t>Standard conditions ar</w:t>
      </w:r>
      <w:r>
        <w:t>e recommended</w:t>
      </w:r>
      <w:r w:rsidRPr="00A241D6">
        <w:t>.</w:t>
      </w:r>
    </w:p>
    <w:p w14:paraId="7F4AA857" w14:textId="77777777" w:rsidR="008E7846" w:rsidRDefault="008E7846" w:rsidP="00EC5FD9">
      <w:pPr>
        <w:pStyle w:val="Heading3"/>
      </w:pPr>
      <w:bookmarkStart w:id="108" w:name="_Toc524426290"/>
      <w:r>
        <w:t>Nonclinical</w:t>
      </w:r>
      <w:bookmarkEnd w:id="107"/>
      <w:bookmarkEnd w:id="108"/>
    </w:p>
    <w:p w14:paraId="7F4AA858" w14:textId="77777777" w:rsidR="00EC5FD9" w:rsidRDefault="00EC5FD9" w:rsidP="002B21DD">
      <w:r>
        <w:t xml:space="preserve">Studies examined </w:t>
      </w:r>
      <w:r w:rsidRPr="00A241D6">
        <w:t xml:space="preserve">comparability </w:t>
      </w:r>
      <w:r>
        <w:t xml:space="preserve">across biosimilar and innovator </w:t>
      </w:r>
      <w:r w:rsidRPr="00A241D6">
        <w:t>of PK outcomes, PD outcomes (B cell depletion), anti-tumour efficacy, and toxicology outcomes, in animal models.</w:t>
      </w:r>
      <w:r w:rsidR="000B3A10">
        <w:t xml:space="preserve"> </w:t>
      </w:r>
      <w:r w:rsidRPr="00A241D6">
        <w:t>Acceptable similarity was seen.</w:t>
      </w:r>
    </w:p>
    <w:p w14:paraId="7F4AA859" w14:textId="77777777" w:rsidR="00296B19" w:rsidRPr="00A241D6" w:rsidRDefault="00296B19" w:rsidP="002B21DD">
      <w:r w:rsidRPr="00A241D6">
        <w:t>There were no nonclinical objections to registration.</w:t>
      </w:r>
      <w:r w:rsidR="000B3A10">
        <w:t xml:space="preserve"> </w:t>
      </w:r>
      <w:r w:rsidRPr="00A241D6">
        <w:t xml:space="preserve">Animal studies </w:t>
      </w:r>
      <w:r>
        <w:t>found</w:t>
      </w:r>
      <w:r w:rsidRPr="00A241D6">
        <w:t xml:space="preserve"> no meaningful difference between </w:t>
      </w:r>
      <w:r w:rsidR="008A2F5F">
        <w:t>Riximyo</w:t>
      </w:r>
      <w:r w:rsidRPr="00A241D6">
        <w:t xml:space="preserve"> and MabThera.</w:t>
      </w:r>
      <w:r w:rsidR="000B3A10">
        <w:t xml:space="preserve"> </w:t>
      </w:r>
      <w:r w:rsidRPr="00A241D6">
        <w:t>These studies generated PK, PD, anti-tumour efficacy and toxicology data.</w:t>
      </w:r>
    </w:p>
    <w:p w14:paraId="7F4AA85A" w14:textId="77777777" w:rsidR="008E7846" w:rsidRDefault="008E7846" w:rsidP="008E7846">
      <w:pPr>
        <w:pStyle w:val="Heading3"/>
      </w:pPr>
      <w:bookmarkStart w:id="109" w:name="_Toc247691530"/>
      <w:bookmarkStart w:id="110" w:name="_Toc314842513"/>
      <w:bookmarkStart w:id="111" w:name="_Toc524426291"/>
      <w:r>
        <w:lastRenderedPageBreak/>
        <w:t>Clinical</w:t>
      </w:r>
      <w:bookmarkEnd w:id="109"/>
      <w:bookmarkEnd w:id="110"/>
      <w:bookmarkEnd w:id="111"/>
    </w:p>
    <w:p w14:paraId="7F4AA85B" w14:textId="77777777" w:rsidR="00EC5FD9" w:rsidRPr="00A241D6" w:rsidRDefault="00EC5FD9" w:rsidP="00837BF9">
      <w:pPr>
        <w:pStyle w:val="Heading4"/>
      </w:pPr>
      <w:r w:rsidRPr="00A241D6">
        <w:t>Regulatory guidelines</w:t>
      </w:r>
    </w:p>
    <w:p w14:paraId="7F4AA85C" w14:textId="77777777" w:rsidR="00EC5FD9" w:rsidRPr="00837BF9" w:rsidRDefault="00EC5FD9" w:rsidP="00837BF9">
      <w:r w:rsidRPr="00837BF9">
        <w:t>The TGA has adopted various EU Guidelines relating to biosimilars:</w:t>
      </w:r>
    </w:p>
    <w:p w14:paraId="7F4AA85D" w14:textId="3746D6F1" w:rsidR="00EC5FD9" w:rsidRPr="00837BF9" w:rsidRDefault="00EC5FD9" w:rsidP="00837BF9">
      <w:pPr>
        <w:pStyle w:val="ListBullet"/>
      </w:pPr>
      <w:r w:rsidRPr="00812053">
        <w:t>https://www.tga.gov.au/multidisciplinary-guidelines</w:t>
      </w:r>
    </w:p>
    <w:p w14:paraId="7F4AA85E" w14:textId="77777777" w:rsidR="00EC5FD9" w:rsidRDefault="00EC5FD9" w:rsidP="00837BF9">
      <w:r w:rsidRPr="00837BF9">
        <w:t>There is no product-specific guidance, other than for monoclonal antibodies:</w:t>
      </w:r>
    </w:p>
    <w:p w14:paraId="7F4AA85F" w14:textId="5B331023" w:rsidR="00837BF9" w:rsidRDefault="00837BF9" w:rsidP="00837BF9">
      <w:pPr>
        <w:pStyle w:val="ListBullet"/>
      </w:pPr>
      <w:r w:rsidRPr="00A241D6">
        <w:t>Guideline on similar biological medicinal products containing monoclonal antibodies – non-clinical and clinical issues</w:t>
      </w:r>
      <w:r w:rsidR="000330CB">
        <w:t xml:space="preserve">: </w:t>
      </w:r>
      <w:r w:rsidRPr="00A241D6">
        <w:rPr>
          <w:rFonts w:cstheme="majorHAnsi"/>
        </w:rPr>
        <w:t>http://www.ema.europa.eu/docs/en_GB/document_library/Scientific_guideline/2012/06/WC500128686.pdf</w:t>
      </w:r>
    </w:p>
    <w:p w14:paraId="7F4AA860" w14:textId="62BE4C9F" w:rsidR="00837BF9" w:rsidRPr="00837BF9" w:rsidRDefault="00837BF9" w:rsidP="00837BF9">
      <w:pPr>
        <w:pStyle w:val="ListBullet"/>
      </w:pPr>
      <w:r w:rsidRPr="00A241D6">
        <w:t>Guideline on immunogenicity assessment of monoclonal antibodies intended for in vivo clinical use</w:t>
      </w:r>
      <w:r w:rsidR="000330CB">
        <w:rPr>
          <w:rFonts w:cstheme="majorHAnsi"/>
        </w:rPr>
        <w:t xml:space="preserve">: </w:t>
      </w:r>
      <w:r w:rsidRPr="00A241D6">
        <w:rPr>
          <w:rFonts w:cstheme="majorHAnsi"/>
        </w:rPr>
        <w:t>http://www.ema.europa.eu/docs/en_GB/document_library/Scientific_guideline/2012/06/WC500128688.pdf</w:t>
      </w:r>
    </w:p>
    <w:p w14:paraId="7F4AA861" w14:textId="1937805A" w:rsidR="00EC5FD9" w:rsidRDefault="00EC5FD9" w:rsidP="002B21DD">
      <w:r w:rsidRPr="00A241D6">
        <w:t xml:space="preserve">Other </w:t>
      </w:r>
      <w:r>
        <w:t xml:space="preserve">relevant </w:t>
      </w:r>
      <w:proofErr w:type="gramStart"/>
      <w:r w:rsidRPr="00A241D6">
        <w:t xml:space="preserve">guidelines are mentioned in the EPAR </w:t>
      </w:r>
      <w:r w:rsidR="00FB21FA">
        <w:t>for this product</w:t>
      </w:r>
      <w:r w:rsidR="000330CB">
        <w:t xml:space="preserve"> and is</w:t>
      </w:r>
      <w:proofErr w:type="gramEnd"/>
      <w:r w:rsidR="000330CB">
        <w:t xml:space="preserve"> listed in Table</w:t>
      </w:r>
      <w:r w:rsidR="00A1435B">
        <w:t xml:space="preserve"> 5</w:t>
      </w:r>
      <w:r w:rsidR="000330CB">
        <w:t>, below.</w:t>
      </w:r>
      <w:bookmarkStart w:id="112" w:name="_Ref521968829"/>
      <w:r w:rsidR="000330CB">
        <w:rPr>
          <w:rStyle w:val="FootnoteReference"/>
        </w:rPr>
        <w:footnoteReference w:id="12"/>
      </w:r>
      <w:bookmarkEnd w:id="112"/>
    </w:p>
    <w:p w14:paraId="7F4AA862" w14:textId="77777777" w:rsidR="00FB21FA" w:rsidRDefault="00FB21FA" w:rsidP="005C1EAC">
      <w:pPr>
        <w:pStyle w:val="TableTitle"/>
      </w:pPr>
      <w:r>
        <w:t xml:space="preserve">Table </w:t>
      </w:r>
      <w:r w:rsidR="00150AB2">
        <w:t>5</w:t>
      </w:r>
      <w:r w:rsidR="00C2705E">
        <w:t xml:space="preserve">: </w:t>
      </w:r>
      <w:r>
        <w:t>Relevant guidance to this submission</w:t>
      </w:r>
    </w:p>
    <w:tbl>
      <w:tblPr>
        <w:tblStyle w:val="TableTGAblue"/>
        <w:tblW w:w="8897" w:type="dxa"/>
        <w:tblLayout w:type="fixed"/>
        <w:tblLook w:val="04A0" w:firstRow="1" w:lastRow="0" w:firstColumn="1" w:lastColumn="0" w:noHBand="0" w:noVBand="1"/>
      </w:tblPr>
      <w:tblGrid>
        <w:gridCol w:w="3227"/>
        <w:gridCol w:w="3029"/>
        <w:gridCol w:w="2641"/>
      </w:tblGrid>
      <w:tr w:rsidR="00837BF9" w14:paraId="7F4AA866" w14:textId="77777777" w:rsidTr="00FB21FA">
        <w:trPr>
          <w:cnfStyle w:val="100000000000" w:firstRow="1" w:lastRow="0" w:firstColumn="0" w:lastColumn="0" w:oddVBand="0" w:evenVBand="0" w:oddHBand="0" w:evenHBand="0" w:firstRowFirstColumn="0" w:firstRowLastColumn="0" w:lastRowFirstColumn="0" w:lastRowLastColumn="0"/>
        </w:trPr>
        <w:tc>
          <w:tcPr>
            <w:tcW w:w="3227" w:type="dxa"/>
          </w:tcPr>
          <w:p w14:paraId="7F4AA863" w14:textId="77777777" w:rsidR="00837BF9" w:rsidRPr="00FB21FA" w:rsidRDefault="00837BF9" w:rsidP="00FB21FA">
            <w:pPr>
              <w:rPr>
                <w:sz w:val="20"/>
                <w:szCs w:val="20"/>
              </w:rPr>
            </w:pPr>
            <w:r w:rsidRPr="00FB21FA">
              <w:rPr>
                <w:sz w:val="20"/>
                <w:szCs w:val="20"/>
              </w:rPr>
              <w:t xml:space="preserve">Guideline </w:t>
            </w:r>
          </w:p>
        </w:tc>
        <w:tc>
          <w:tcPr>
            <w:tcW w:w="3029" w:type="dxa"/>
          </w:tcPr>
          <w:p w14:paraId="7F4AA864" w14:textId="77777777" w:rsidR="00837BF9" w:rsidRPr="00FB21FA" w:rsidRDefault="00837BF9" w:rsidP="00FB21FA">
            <w:pPr>
              <w:rPr>
                <w:sz w:val="20"/>
                <w:szCs w:val="20"/>
              </w:rPr>
            </w:pPr>
            <w:r w:rsidRPr="00FB21FA">
              <w:rPr>
                <w:sz w:val="20"/>
                <w:szCs w:val="20"/>
              </w:rPr>
              <w:t xml:space="preserve">Document Reference </w:t>
            </w:r>
          </w:p>
        </w:tc>
        <w:tc>
          <w:tcPr>
            <w:tcW w:w="2641" w:type="dxa"/>
          </w:tcPr>
          <w:p w14:paraId="7F4AA865" w14:textId="77777777" w:rsidR="00837BF9" w:rsidRPr="00FB21FA" w:rsidRDefault="00837BF9" w:rsidP="00FB21FA">
            <w:pPr>
              <w:rPr>
                <w:sz w:val="20"/>
                <w:szCs w:val="20"/>
              </w:rPr>
            </w:pPr>
            <w:r w:rsidRPr="00FB21FA">
              <w:rPr>
                <w:sz w:val="20"/>
                <w:szCs w:val="20"/>
              </w:rPr>
              <w:t xml:space="preserve">Topic </w:t>
            </w:r>
          </w:p>
        </w:tc>
      </w:tr>
      <w:tr w:rsidR="00837BF9" w14:paraId="7F4AA86A" w14:textId="77777777" w:rsidTr="00FB21FA">
        <w:tc>
          <w:tcPr>
            <w:tcW w:w="3227" w:type="dxa"/>
          </w:tcPr>
          <w:p w14:paraId="7F4AA867" w14:textId="77777777" w:rsidR="00837BF9" w:rsidRPr="00FB21FA" w:rsidRDefault="00837BF9" w:rsidP="00FB21FA">
            <w:pPr>
              <w:rPr>
                <w:sz w:val="20"/>
                <w:szCs w:val="20"/>
              </w:rPr>
            </w:pPr>
            <w:r w:rsidRPr="00FB21FA">
              <w:rPr>
                <w:sz w:val="20"/>
                <w:szCs w:val="20"/>
              </w:rPr>
              <w:t xml:space="preserve">Guideline on Similar Biological Medicinal Products containing Biotechnology-Derived Proteins as Active Substance: Non-Clinical and Clinical Issues </w:t>
            </w:r>
          </w:p>
        </w:tc>
        <w:tc>
          <w:tcPr>
            <w:tcW w:w="3029" w:type="dxa"/>
          </w:tcPr>
          <w:p w14:paraId="7F4AA868" w14:textId="77777777" w:rsidR="00837BF9" w:rsidRPr="00FB21FA" w:rsidRDefault="00837BF9" w:rsidP="00FB21FA">
            <w:pPr>
              <w:rPr>
                <w:sz w:val="20"/>
                <w:szCs w:val="20"/>
              </w:rPr>
            </w:pPr>
            <w:r w:rsidRPr="00FB21FA">
              <w:rPr>
                <w:sz w:val="20"/>
                <w:szCs w:val="20"/>
              </w:rPr>
              <w:t xml:space="preserve">EMEA/CHMP/BMWP/42832/2005 Rev 1, 2014 </w:t>
            </w:r>
          </w:p>
        </w:tc>
        <w:tc>
          <w:tcPr>
            <w:tcW w:w="2641" w:type="dxa"/>
          </w:tcPr>
          <w:p w14:paraId="7F4AA869" w14:textId="77777777" w:rsidR="00837BF9" w:rsidRPr="00FB21FA" w:rsidRDefault="00837BF9" w:rsidP="00FB21FA">
            <w:pPr>
              <w:rPr>
                <w:sz w:val="20"/>
                <w:szCs w:val="20"/>
              </w:rPr>
            </w:pPr>
            <w:r w:rsidRPr="00FB21FA">
              <w:rPr>
                <w:sz w:val="20"/>
                <w:szCs w:val="20"/>
              </w:rPr>
              <w:t xml:space="preserve">Development plan </w:t>
            </w:r>
          </w:p>
        </w:tc>
      </w:tr>
      <w:tr w:rsidR="00837BF9" w14:paraId="7F4AA86E" w14:textId="77777777" w:rsidTr="00FB21FA">
        <w:tc>
          <w:tcPr>
            <w:tcW w:w="3227" w:type="dxa"/>
          </w:tcPr>
          <w:p w14:paraId="7F4AA86B" w14:textId="77777777" w:rsidR="00837BF9" w:rsidRPr="00FB21FA" w:rsidRDefault="00837BF9" w:rsidP="00FB21FA">
            <w:pPr>
              <w:rPr>
                <w:sz w:val="20"/>
                <w:szCs w:val="20"/>
              </w:rPr>
            </w:pPr>
            <w:r w:rsidRPr="00FB21FA">
              <w:rPr>
                <w:sz w:val="20"/>
                <w:szCs w:val="20"/>
              </w:rPr>
              <w:t xml:space="preserve">Guideline on Similar Biological Medicinal Products </w:t>
            </w:r>
          </w:p>
        </w:tc>
        <w:tc>
          <w:tcPr>
            <w:tcW w:w="3029" w:type="dxa"/>
          </w:tcPr>
          <w:p w14:paraId="7F4AA86C" w14:textId="77777777" w:rsidR="00837BF9" w:rsidRPr="00FB21FA" w:rsidRDefault="00837BF9" w:rsidP="00FB21FA">
            <w:pPr>
              <w:rPr>
                <w:sz w:val="20"/>
                <w:szCs w:val="20"/>
              </w:rPr>
            </w:pPr>
            <w:r w:rsidRPr="00FB21FA">
              <w:rPr>
                <w:sz w:val="20"/>
                <w:szCs w:val="20"/>
              </w:rPr>
              <w:t xml:space="preserve">CHMP/437/04 rev 1, 2014 </w:t>
            </w:r>
          </w:p>
        </w:tc>
        <w:tc>
          <w:tcPr>
            <w:tcW w:w="2641" w:type="dxa"/>
          </w:tcPr>
          <w:p w14:paraId="7F4AA86D" w14:textId="77777777" w:rsidR="00837BF9" w:rsidRPr="00FB21FA" w:rsidRDefault="00837BF9" w:rsidP="00FB21FA">
            <w:pPr>
              <w:rPr>
                <w:sz w:val="20"/>
                <w:szCs w:val="20"/>
              </w:rPr>
            </w:pPr>
            <w:r w:rsidRPr="00FB21FA">
              <w:rPr>
                <w:sz w:val="20"/>
                <w:szCs w:val="20"/>
              </w:rPr>
              <w:t xml:space="preserve">Development plan </w:t>
            </w:r>
          </w:p>
        </w:tc>
      </w:tr>
      <w:tr w:rsidR="00837BF9" w14:paraId="7F4AA872" w14:textId="77777777" w:rsidTr="00FB21FA">
        <w:tc>
          <w:tcPr>
            <w:tcW w:w="3227" w:type="dxa"/>
          </w:tcPr>
          <w:p w14:paraId="7F4AA86F" w14:textId="77777777" w:rsidR="00837BF9" w:rsidRPr="00FB21FA" w:rsidRDefault="00837BF9" w:rsidP="00FB21FA">
            <w:pPr>
              <w:rPr>
                <w:sz w:val="20"/>
                <w:szCs w:val="20"/>
              </w:rPr>
            </w:pPr>
            <w:r w:rsidRPr="00FB21FA">
              <w:rPr>
                <w:sz w:val="20"/>
                <w:szCs w:val="20"/>
              </w:rPr>
              <w:t xml:space="preserve">Guideline on similar biological medicinal products containing monoclonal antibodies – non-clinical and clinical issues </w:t>
            </w:r>
          </w:p>
        </w:tc>
        <w:tc>
          <w:tcPr>
            <w:tcW w:w="3029" w:type="dxa"/>
          </w:tcPr>
          <w:p w14:paraId="7F4AA870" w14:textId="77777777" w:rsidR="00837BF9" w:rsidRPr="00FB21FA" w:rsidRDefault="00837BF9" w:rsidP="00FB21FA">
            <w:pPr>
              <w:rPr>
                <w:sz w:val="20"/>
                <w:szCs w:val="20"/>
              </w:rPr>
            </w:pPr>
            <w:r w:rsidRPr="00FB21FA">
              <w:rPr>
                <w:sz w:val="20"/>
                <w:szCs w:val="20"/>
              </w:rPr>
              <w:t xml:space="preserve">EMEA/CHMP/BMWP/403543/2010 </w:t>
            </w:r>
          </w:p>
        </w:tc>
        <w:tc>
          <w:tcPr>
            <w:tcW w:w="2641" w:type="dxa"/>
          </w:tcPr>
          <w:p w14:paraId="7F4AA871" w14:textId="77777777" w:rsidR="00837BF9" w:rsidRPr="00FB21FA" w:rsidRDefault="00FB21FA" w:rsidP="00FB21FA">
            <w:pPr>
              <w:rPr>
                <w:sz w:val="20"/>
                <w:szCs w:val="20"/>
              </w:rPr>
            </w:pPr>
            <w:r w:rsidRPr="00FB21FA">
              <w:rPr>
                <w:sz w:val="20"/>
                <w:szCs w:val="20"/>
              </w:rPr>
              <w:t xml:space="preserve">Development plan </w:t>
            </w:r>
          </w:p>
        </w:tc>
      </w:tr>
      <w:tr w:rsidR="00837BF9" w14:paraId="7F4AA876" w14:textId="77777777" w:rsidTr="00FB21FA">
        <w:tc>
          <w:tcPr>
            <w:tcW w:w="3227" w:type="dxa"/>
          </w:tcPr>
          <w:p w14:paraId="7F4AA873" w14:textId="77777777" w:rsidR="00837BF9" w:rsidRPr="00FB21FA" w:rsidRDefault="00FB21FA" w:rsidP="00FB21FA">
            <w:pPr>
              <w:rPr>
                <w:sz w:val="20"/>
                <w:szCs w:val="20"/>
              </w:rPr>
            </w:pPr>
            <w:r w:rsidRPr="00FB21FA">
              <w:rPr>
                <w:sz w:val="20"/>
                <w:szCs w:val="20"/>
              </w:rPr>
              <w:t xml:space="preserve">Guideline on the investigation of bioequivalence </w:t>
            </w:r>
          </w:p>
        </w:tc>
        <w:tc>
          <w:tcPr>
            <w:tcW w:w="3029" w:type="dxa"/>
          </w:tcPr>
          <w:p w14:paraId="7F4AA874" w14:textId="77777777" w:rsidR="00837BF9" w:rsidRPr="00FB21FA" w:rsidRDefault="00FB21FA" w:rsidP="00FB21FA">
            <w:pPr>
              <w:rPr>
                <w:sz w:val="20"/>
                <w:szCs w:val="20"/>
              </w:rPr>
            </w:pPr>
            <w:r w:rsidRPr="00FB21FA">
              <w:rPr>
                <w:sz w:val="20"/>
                <w:szCs w:val="20"/>
              </w:rPr>
              <w:t xml:space="preserve">CPMP/EWP/QWP/1401/98 Rev. 1/ Corr ** </w:t>
            </w:r>
          </w:p>
        </w:tc>
        <w:tc>
          <w:tcPr>
            <w:tcW w:w="2641" w:type="dxa"/>
          </w:tcPr>
          <w:p w14:paraId="7F4AA875" w14:textId="77777777" w:rsidR="00837BF9" w:rsidRPr="00FB21FA" w:rsidRDefault="00FB21FA" w:rsidP="00FB21FA">
            <w:pPr>
              <w:rPr>
                <w:sz w:val="20"/>
                <w:szCs w:val="20"/>
              </w:rPr>
            </w:pPr>
            <w:r w:rsidRPr="00FB21FA">
              <w:rPr>
                <w:sz w:val="20"/>
                <w:szCs w:val="20"/>
              </w:rPr>
              <w:t xml:space="preserve">PK trial design </w:t>
            </w:r>
          </w:p>
        </w:tc>
      </w:tr>
      <w:tr w:rsidR="00837BF9" w14:paraId="7F4AA87A" w14:textId="77777777" w:rsidTr="00FB21FA">
        <w:tc>
          <w:tcPr>
            <w:tcW w:w="3227" w:type="dxa"/>
          </w:tcPr>
          <w:p w14:paraId="7F4AA877" w14:textId="77777777" w:rsidR="00837BF9" w:rsidRPr="00FB21FA" w:rsidRDefault="00FB21FA" w:rsidP="00FB21FA">
            <w:pPr>
              <w:rPr>
                <w:sz w:val="20"/>
                <w:szCs w:val="20"/>
              </w:rPr>
            </w:pPr>
            <w:r w:rsidRPr="00FB21FA">
              <w:rPr>
                <w:sz w:val="20"/>
                <w:szCs w:val="20"/>
              </w:rPr>
              <w:t xml:space="preserve">Guideline on the clinical investigation of the pharmacokinetics of therapeutic proteins </w:t>
            </w:r>
          </w:p>
        </w:tc>
        <w:tc>
          <w:tcPr>
            <w:tcW w:w="3029" w:type="dxa"/>
          </w:tcPr>
          <w:p w14:paraId="7F4AA878" w14:textId="77777777" w:rsidR="00837BF9" w:rsidRPr="00FB21FA" w:rsidRDefault="00FB21FA" w:rsidP="00FB21FA">
            <w:pPr>
              <w:rPr>
                <w:sz w:val="20"/>
                <w:szCs w:val="20"/>
              </w:rPr>
            </w:pPr>
            <w:r w:rsidRPr="00FB21FA">
              <w:rPr>
                <w:sz w:val="20"/>
                <w:szCs w:val="20"/>
              </w:rPr>
              <w:t xml:space="preserve">CHMP/EWP/89249/2004 </w:t>
            </w:r>
          </w:p>
        </w:tc>
        <w:tc>
          <w:tcPr>
            <w:tcW w:w="2641" w:type="dxa"/>
          </w:tcPr>
          <w:p w14:paraId="7F4AA879" w14:textId="77777777" w:rsidR="00837BF9" w:rsidRPr="00FB21FA" w:rsidRDefault="00FB21FA" w:rsidP="00FB21FA">
            <w:pPr>
              <w:rPr>
                <w:sz w:val="20"/>
                <w:szCs w:val="20"/>
              </w:rPr>
            </w:pPr>
            <w:r w:rsidRPr="00FB21FA">
              <w:rPr>
                <w:sz w:val="20"/>
                <w:szCs w:val="20"/>
              </w:rPr>
              <w:t xml:space="preserve">PK trial design </w:t>
            </w:r>
          </w:p>
        </w:tc>
      </w:tr>
      <w:tr w:rsidR="00FB21FA" w14:paraId="7F4AA87E" w14:textId="77777777" w:rsidTr="00FB21FA">
        <w:tc>
          <w:tcPr>
            <w:tcW w:w="3227" w:type="dxa"/>
          </w:tcPr>
          <w:p w14:paraId="7F4AA87B" w14:textId="77777777" w:rsidR="00FB21FA" w:rsidRPr="00FB21FA" w:rsidRDefault="00FB21FA" w:rsidP="00FB21FA">
            <w:pPr>
              <w:rPr>
                <w:sz w:val="20"/>
                <w:szCs w:val="20"/>
              </w:rPr>
            </w:pPr>
            <w:r w:rsidRPr="00FB21FA">
              <w:rPr>
                <w:sz w:val="20"/>
                <w:szCs w:val="20"/>
              </w:rPr>
              <w:t xml:space="preserve">Guideline on Immunogenicity Assessment of Biotechnology-derived Therapeutic Proteins </w:t>
            </w:r>
          </w:p>
        </w:tc>
        <w:tc>
          <w:tcPr>
            <w:tcW w:w="3029" w:type="dxa"/>
          </w:tcPr>
          <w:p w14:paraId="7F4AA87C" w14:textId="77777777" w:rsidR="00FB21FA" w:rsidRPr="00FB21FA" w:rsidRDefault="00FB21FA" w:rsidP="00FB21FA">
            <w:pPr>
              <w:rPr>
                <w:sz w:val="20"/>
                <w:szCs w:val="20"/>
              </w:rPr>
            </w:pPr>
            <w:r w:rsidRPr="00FB21FA">
              <w:rPr>
                <w:sz w:val="20"/>
                <w:szCs w:val="20"/>
              </w:rPr>
              <w:t xml:space="preserve">EMEA/CHMP/BMWP/14327/2006 </w:t>
            </w:r>
          </w:p>
        </w:tc>
        <w:tc>
          <w:tcPr>
            <w:tcW w:w="2641" w:type="dxa"/>
          </w:tcPr>
          <w:p w14:paraId="7F4AA87D" w14:textId="77777777" w:rsidR="00FB21FA" w:rsidRPr="00FB21FA" w:rsidRDefault="00FB21FA" w:rsidP="00FB21FA">
            <w:pPr>
              <w:rPr>
                <w:sz w:val="20"/>
                <w:szCs w:val="20"/>
              </w:rPr>
            </w:pPr>
            <w:r w:rsidRPr="00FB21FA">
              <w:rPr>
                <w:sz w:val="20"/>
                <w:szCs w:val="20"/>
              </w:rPr>
              <w:t xml:space="preserve">PK and efficacy/safety trial design </w:t>
            </w:r>
          </w:p>
        </w:tc>
      </w:tr>
      <w:tr w:rsidR="00FB21FA" w14:paraId="7F4AA882" w14:textId="77777777" w:rsidTr="00812053">
        <w:trPr>
          <w:cantSplit/>
        </w:trPr>
        <w:tc>
          <w:tcPr>
            <w:tcW w:w="3227" w:type="dxa"/>
          </w:tcPr>
          <w:p w14:paraId="7F4AA87F" w14:textId="77777777" w:rsidR="00FB21FA" w:rsidRPr="00FB21FA" w:rsidRDefault="00FB21FA" w:rsidP="00FB21FA">
            <w:pPr>
              <w:rPr>
                <w:sz w:val="20"/>
                <w:szCs w:val="20"/>
              </w:rPr>
            </w:pPr>
            <w:r w:rsidRPr="00FB21FA">
              <w:rPr>
                <w:sz w:val="20"/>
                <w:szCs w:val="20"/>
              </w:rPr>
              <w:lastRenderedPageBreak/>
              <w:t xml:space="preserve">Guideline on the evaluation of anticancer medicinal products in man </w:t>
            </w:r>
          </w:p>
        </w:tc>
        <w:tc>
          <w:tcPr>
            <w:tcW w:w="3029" w:type="dxa"/>
          </w:tcPr>
          <w:p w14:paraId="7F4AA880" w14:textId="77777777" w:rsidR="00FB21FA" w:rsidRPr="00FB21FA" w:rsidRDefault="00FB21FA" w:rsidP="00FB21FA">
            <w:pPr>
              <w:rPr>
                <w:sz w:val="20"/>
                <w:szCs w:val="20"/>
              </w:rPr>
            </w:pPr>
            <w:r w:rsidRPr="00FB21FA">
              <w:rPr>
                <w:sz w:val="20"/>
                <w:szCs w:val="20"/>
              </w:rPr>
              <w:t xml:space="preserve">EMA/CHMP/205/95/Rev. 4 </w:t>
            </w:r>
          </w:p>
        </w:tc>
        <w:tc>
          <w:tcPr>
            <w:tcW w:w="2641" w:type="dxa"/>
          </w:tcPr>
          <w:p w14:paraId="7F4AA881" w14:textId="77777777" w:rsidR="00FB21FA" w:rsidRPr="00FB21FA" w:rsidRDefault="00FB21FA" w:rsidP="00FB21FA">
            <w:pPr>
              <w:rPr>
                <w:sz w:val="20"/>
                <w:szCs w:val="20"/>
              </w:rPr>
            </w:pPr>
            <w:r w:rsidRPr="00FB21FA">
              <w:rPr>
                <w:sz w:val="20"/>
                <w:szCs w:val="20"/>
              </w:rPr>
              <w:t xml:space="preserve">Efficacy trial design </w:t>
            </w:r>
          </w:p>
        </w:tc>
      </w:tr>
      <w:tr w:rsidR="00FB21FA" w14:paraId="7F4AA886" w14:textId="77777777" w:rsidTr="00FB21FA">
        <w:tc>
          <w:tcPr>
            <w:tcW w:w="3227" w:type="dxa"/>
          </w:tcPr>
          <w:p w14:paraId="7F4AA883" w14:textId="77777777" w:rsidR="00FB21FA" w:rsidRPr="00FB21FA" w:rsidRDefault="00FB21FA" w:rsidP="00FB21FA">
            <w:pPr>
              <w:rPr>
                <w:sz w:val="20"/>
                <w:szCs w:val="20"/>
              </w:rPr>
            </w:pPr>
            <w:r w:rsidRPr="00FB21FA">
              <w:rPr>
                <w:sz w:val="20"/>
                <w:szCs w:val="20"/>
              </w:rPr>
              <w:t xml:space="preserve">Draft Guideline on clinical investigation of medicinal products other than NSAIDs for treatment of rheumatoid arthritis </w:t>
            </w:r>
          </w:p>
        </w:tc>
        <w:tc>
          <w:tcPr>
            <w:tcW w:w="3029" w:type="dxa"/>
          </w:tcPr>
          <w:p w14:paraId="7F4AA884" w14:textId="77777777" w:rsidR="00FB21FA" w:rsidRPr="00FB21FA" w:rsidRDefault="00FB21FA" w:rsidP="00FB21FA">
            <w:pPr>
              <w:rPr>
                <w:sz w:val="20"/>
                <w:szCs w:val="20"/>
              </w:rPr>
            </w:pPr>
            <w:r w:rsidRPr="00FB21FA">
              <w:rPr>
                <w:sz w:val="20"/>
                <w:szCs w:val="20"/>
              </w:rPr>
              <w:t xml:space="preserve">CPMP/EWP/556/95 Rev. 2 </w:t>
            </w:r>
          </w:p>
        </w:tc>
        <w:tc>
          <w:tcPr>
            <w:tcW w:w="2641" w:type="dxa"/>
          </w:tcPr>
          <w:p w14:paraId="7F4AA885" w14:textId="77777777" w:rsidR="00FB21FA" w:rsidRPr="00FB21FA" w:rsidRDefault="00FB21FA" w:rsidP="00FB21FA">
            <w:pPr>
              <w:rPr>
                <w:sz w:val="20"/>
                <w:szCs w:val="20"/>
              </w:rPr>
            </w:pPr>
            <w:r w:rsidRPr="00FB21FA">
              <w:rPr>
                <w:sz w:val="20"/>
                <w:szCs w:val="20"/>
              </w:rPr>
              <w:t xml:space="preserve">Efficacy trial design </w:t>
            </w:r>
          </w:p>
        </w:tc>
      </w:tr>
      <w:tr w:rsidR="00FB21FA" w14:paraId="7F4AA88A" w14:textId="77777777" w:rsidTr="00FB21FA">
        <w:tc>
          <w:tcPr>
            <w:tcW w:w="3227" w:type="dxa"/>
          </w:tcPr>
          <w:p w14:paraId="7F4AA887" w14:textId="77777777" w:rsidR="00FB21FA" w:rsidRPr="00FB21FA" w:rsidRDefault="00FB21FA" w:rsidP="00FB21FA">
            <w:pPr>
              <w:rPr>
                <w:sz w:val="20"/>
                <w:szCs w:val="20"/>
              </w:rPr>
            </w:pPr>
            <w:r w:rsidRPr="00FB21FA">
              <w:rPr>
                <w:sz w:val="20"/>
                <w:szCs w:val="20"/>
              </w:rPr>
              <w:t xml:space="preserve">Guideline on the choice of the non-inferiority margin </w:t>
            </w:r>
          </w:p>
        </w:tc>
        <w:tc>
          <w:tcPr>
            <w:tcW w:w="3029" w:type="dxa"/>
          </w:tcPr>
          <w:p w14:paraId="7F4AA888" w14:textId="77777777" w:rsidR="00FB21FA" w:rsidRPr="00FB21FA" w:rsidRDefault="00FB21FA" w:rsidP="00FB21FA">
            <w:pPr>
              <w:rPr>
                <w:sz w:val="20"/>
                <w:szCs w:val="20"/>
              </w:rPr>
            </w:pPr>
            <w:r w:rsidRPr="00FB21FA">
              <w:rPr>
                <w:sz w:val="20"/>
                <w:szCs w:val="20"/>
              </w:rPr>
              <w:t xml:space="preserve">EMEA/CPMP/EWP/2158/99 </w:t>
            </w:r>
          </w:p>
        </w:tc>
        <w:tc>
          <w:tcPr>
            <w:tcW w:w="2641" w:type="dxa"/>
          </w:tcPr>
          <w:p w14:paraId="7F4AA889" w14:textId="77777777" w:rsidR="00FB21FA" w:rsidRPr="00FB21FA" w:rsidRDefault="00FB21FA" w:rsidP="00FB21FA">
            <w:pPr>
              <w:rPr>
                <w:sz w:val="20"/>
                <w:szCs w:val="20"/>
              </w:rPr>
            </w:pPr>
            <w:r w:rsidRPr="00FB21FA">
              <w:rPr>
                <w:sz w:val="20"/>
                <w:szCs w:val="20"/>
              </w:rPr>
              <w:t xml:space="preserve">Efficacy trial design </w:t>
            </w:r>
          </w:p>
        </w:tc>
      </w:tr>
    </w:tbl>
    <w:p w14:paraId="7F4AA88B" w14:textId="77777777" w:rsidR="00837BF9" w:rsidRPr="00A241D6" w:rsidRDefault="005C1EAC" w:rsidP="005C1EAC">
      <w:pPr>
        <w:pStyle w:val="TableDescription"/>
      </w:pPr>
      <w:r>
        <w:t>Sourced from EPAR page 13/114</w:t>
      </w:r>
    </w:p>
    <w:p w14:paraId="7F4AA88C" w14:textId="77777777" w:rsidR="00EC5FD9" w:rsidRPr="00A241D6" w:rsidRDefault="00EC5FD9" w:rsidP="002B21DD">
      <w:r w:rsidRPr="00A241D6">
        <w:t>In addition, there is overarching TGA guidance at:</w:t>
      </w:r>
    </w:p>
    <w:p w14:paraId="7F4AA88D" w14:textId="7FB31949" w:rsidR="00EC5FD9" w:rsidRPr="000330CB" w:rsidRDefault="00EC5FD9" w:rsidP="000330CB">
      <w:pPr>
        <w:pStyle w:val="ListBullet"/>
      </w:pPr>
      <w:r w:rsidRPr="00812053">
        <w:t>https://www.tga.gov.au/publication/evaluation-biosimilars</w:t>
      </w:r>
    </w:p>
    <w:p w14:paraId="7F4AA88E" w14:textId="77777777" w:rsidR="00EC5FD9" w:rsidRPr="00A241D6" w:rsidRDefault="00EC5FD9" w:rsidP="002B21DD">
      <w:r w:rsidRPr="00A241D6">
        <w:t>The TGA has also adopted:</w:t>
      </w:r>
    </w:p>
    <w:p w14:paraId="7F4AA88F" w14:textId="77777777" w:rsidR="00EC5FD9" w:rsidRPr="00837BF9" w:rsidRDefault="005C1EAC" w:rsidP="00837BF9">
      <w:pPr>
        <w:pStyle w:val="ListBullet"/>
      </w:pPr>
      <w:r>
        <w:t>T</w:t>
      </w:r>
      <w:r w:rsidR="00EC5FD9" w:rsidRPr="00837BF9">
        <w:t>he EU Guideline on the evaluation of anticancer medicinal products in man, EMA/CHMP/205/95/Rev.4 (and relevant appendices).</w:t>
      </w:r>
    </w:p>
    <w:p w14:paraId="7F4AA890" w14:textId="77777777" w:rsidR="00EC5FD9" w:rsidRPr="00837BF9" w:rsidRDefault="005C1EAC" w:rsidP="00837BF9">
      <w:pPr>
        <w:pStyle w:val="ListBullet"/>
      </w:pPr>
      <w:r>
        <w:t>Th</w:t>
      </w:r>
      <w:r w:rsidR="00EC5FD9" w:rsidRPr="00837BF9">
        <w:t>e EU Points to Consider on clinical investigation of medicinal products other than NSAIDs for treatment of rheumatoid arthritis, CPMP/EWP/556/95rev1/final</w:t>
      </w:r>
    </w:p>
    <w:p w14:paraId="7F4AA891" w14:textId="77777777" w:rsidR="00EC5FD9" w:rsidRPr="00A241D6" w:rsidRDefault="00EC5FD9" w:rsidP="00837BF9">
      <w:r w:rsidRPr="00A241D6">
        <w:t xml:space="preserve">Guidelines are not binding but variation from </w:t>
      </w:r>
      <w:r>
        <w:t xml:space="preserve">their </w:t>
      </w:r>
      <w:r w:rsidRPr="00A241D6">
        <w:t>recommendations may suggest a need for close examination of particular quality, efficacy and</w:t>
      </w:r>
      <w:r w:rsidR="009436CA">
        <w:t>/</w:t>
      </w:r>
      <w:r w:rsidRPr="00A241D6">
        <w:t>or safety issues.</w:t>
      </w:r>
    </w:p>
    <w:p w14:paraId="7F4AA892" w14:textId="77777777" w:rsidR="00EC5FD9" w:rsidRPr="00A241D6" w:rsidRDefault="00EC5FD9" w:rsidP="00837BF9">
      <w:r w:rsidRPr="00A241D6">
        <w:t>Several ke</w:t>
      </w:r>
      <w:r>
        <w:t>y concepts about the TGA’s biosimilar</w:t>
      </w:r>
      <w:r w:rsidRPr="00A241D6">
        <w:t xml:space="preserve"> framework are</w:t>
      </w:r>
      <w:r>
        <w:t xml:space="preserve"> mentioned below.</w:t>
      </w:r>
    </w:p>
    <w:p w14:paraId="7F4AA893" w14:textId="398E53DE" w:rsidR="00EC5FD9" w:rsidRPr="00974373" w:rsidRDefault="00EC5FD9" w:rsidP="00837BF9">
      <w:r w:rsidRPr="00974373">
        <w:t xml:space="preserve">A step-wise approach is used to establish </w:t>
      </w:r>
      <w:r>
        <w:t>comparability (</w:t>
      </w:r>
      <w:r w:rsidRPr="00974373">
        <w:t xml:space="preserve">sufficient to leverage off the innovator’s pivotal studies, without </w:t>
      </w:r>
      <w:r>
        <w:t>replicating them</w:t>
      </w:r>
      <w:r w:rsidRPr="00974373">
        <w:t>)</w:t>
      </w:r>
      <w:r>
        <w:t>.</w:t>
      </w:r>
      <w:r w:rsidR="000B3A10">
        <w:t xml:space="preserve"> </w:t>
      </w:r>
      <w:r>
        <w:t>E</w:t>
      </w:r>
      <w:r w:rsidRPr="00974373">
        <w:rPr>
          <w:rFonts w:eastAsiaTheme="minorHAnsi" w:cs="Verdana"/>
        </w:rPr>
        <w:t xml:space="preserve">xtent and nature of the non-clinical and clinical programme </w:t>
      </w:r>
      <w:r w:rsidRPr="00BB7880">
        <w:rPr>
          <w:rFonts w:eastAsiaTheme="minorHAnsi" w:cs="Verdana"/>
        </w:rPr>
        <w:t>depends on the</w:t>
      </w:r>
      <w:r w:rsidRPr="00BB7880">
        <w:rPr>
          <w:rFonts w:eastAsiaTheme="minorHAnsi" w:cs="Verdana"/>
          <w:b/>
        </w:rPr>
        <w:t xml:space="preserve"> </w:t>
      </w:r>
      <w:r w:rsidRPr="00BB7880">
        <w:rPr>
          <w:rFonts w:eastAsiaTheme="minorHAnsi" w:cs="Verdana"/>
        </w:rPr>
        <w:t>level of evidence obtained</w:t>
      </w:r>
      <w:r w:rsidRPr="00BB7880">
        <w:rPr>
          <w:rFonts w:eastAsiaTheme="minorHAnsi" w:cs="Verdana"/>
          <w:b/>
        </w:rPr>
        <w:t xml:space="preserve"> </w:t>
      </w:r>
      <w:r w:rsidRPr="00837BF9">
        <w:rPr>
          <w:rFonts w:eastAsiaTheme="minorHAnsi" w:cs="Verdana"/>
          <w:i/>
        </w:rPr>
        <w:t>in the previous step(s)</w:t>
      </w:r>
      <w:r w:rsidR="000330CB">
        <w:rPr>
          <w:rFonts w:eastAsiaTheme="minorHAnsi" w:cs="Verdana"/>
          <w:i/>
        </w:rPr>
        <w:t>.</w:t>
      </w:r>
      <w:r w:rsidR="005C1EAC" w:rsidRPr="00812053">
        <w:rPr>
          <w:rStyle w:val="FootnoteReference"/>
          <w:rFonts w:eastAsiaTheme="minorHAnsi" w:cs="Verdana"/>
        </w:rPr>
        <w:footnoteReference w:id="13"/>
      </w:r>
    </w:p>
    <w:p w14:paraId="7F4AA894" w14:textId="77777777" w:rsidR="00EC5FD9" w:rsidRPr="00890DFA" w:rsidRDefault="00EC5FD9" w:rsidP="00890DFA">
      <w:r>
        <w:t>I</w:t>
      </w:r>
      <w:r w:rsidRPr="00974373">
        <w:t xml:space="preserve">n clinical studies, the aim is not to repeat the innovator’s </w:t>
      </w:r>
      <w:r>
        <w:t xml:space="preserve">study </w:t>
      </w:r>
      <w:r w:rsidRPr="00974373">
        <w:t xml:space="preserve">programme but in each therapeutic area (or each area sharing a mechanism of action for the product) to find a sufficiently sensitive study design and </w:t>
      </w:r>
      <w:r>
        <w:t xml:space="preserve">patient population in order </w:t>
      </w:r>
      <w:r w:rsidRPr="00974373">
        <w:t xml:space="preserve">to </w:t>
      </w:r>
      <w:r>
        <w:t>show</w:t>
      </w:r>
      <w:r w:rsidRPr="00974373">
        <w:t xml:space="preserve"> comparability </w:t>
      </w:r>
      <w:r>
        <w:t xml:space="preserve">of </w:t>
      </w:r>
      <w:r w:rsidRPr="00890DFA">
        <w:t>effect (or, confidently exclude clinical inferiority).</w:t>
      </w:r>
    </w:p>
    <w:p w14:paraId="7F4AA895" w14:textId="77777777" w:rsidR="00EC5FD9" w:rsidRPr="00890DFA" w:rsidRDefault="00EC5FD9" w:rsidP="00890DFA">
      <w:r w:rsidRPr="00890DFA">
        <w:t>A comparative PK study is a typical first step; a therapeutic equivalence study is a next step (TGA</w:t>
      </w:r>
      <w:r w:rsidR="005C1EAC" w:rsidRPr="00890DFA">
        <w:t xml:space="preserve"> </w:t>
      </w:r>
      <w:r w:rsidRPr="00890DFA">
        <w:t>adopted EU Guidelines explore specific aspects of trial design in the cancer setting; see in particular, Section 5.3.1 of the EU Guideline on biosimilars containing monoclonal antibodies, EMA/CHMP/BMWP/403543/2010).</w:t>
      </w:r>
    </w:p>
    <w:p w14:paraId="7F4AA896" w14:textId="77777777" w:rsidR="00EC5FD9" w:rsidRPr="00E75EEE" w:rsidRDefault="00EC5FD9" w:rsidP="00837BF9">
      <w:r>
        <w:t>E</w:t>
      </w:r>
      <w:r w:rsidRPr="00E75EEE">
        <w:t>xtrapolation of indications is permitted under this framework.</w:t>
      </w:r>
      <w:r w:rsidR="000B3A10">
        <w:t xml:space="preserve"> </w:t>
      </w:r>
      <w:r w:rsidRPr="00E75EEE">
        <w:t>See page 15 of the EU Guideline on biosimilars containing monoclonal antibodies, where it states:</w:t>
      </w:r>
    </w:p>
    <w:p w14:paraId="7F4AA897" w14:textId="77777777" w:rsidR="00EC5FD9" w:rsidRPr="005C1EAC" w:rsidRDefault="00EC5FD9" w:rsidP="005C1EAC">
      <w:pPr>
        <w:ind w:left="720"/>
        <w:rPr>
          <w:i/>
        </w:rPr>
      </w:pPr>
      <w:r w:rsidRPr="005C1EAC">
        <w:rPr>
          <w:i/>
        </w:rPr>
        <w:t>Extrapolation of clinical efficacy and safety data to other indications of the reference mAb, not specifically studied during the clinical development of the biosimilar mAb, is possible based on the overall evidence of comparability provided from the comparability exercise and with adequate justification…</w:t>
      </w:r>
    </w:p>
    <w:p w14:paraId="7F4AA898" w14:textId="77777777" w:rsidR="00EC5FD9" w:rsidRPr="00A241D6" w:rsidRDefault="00EC5FD9" w:rsidP="005C1EAC">
      <w:r w:rsidRPr="00A241D6">
        <w:lastRenderedPageBreak/>
        <w:t xml:space="preserve">Figure </w:t>
      </w:r>
      <w:r w:rsidR="005C1EAC">
        <w:t>3 above</w:t>
      </w:r>
      <w:r w:rsidRPr="00A241D6">
        <w:t xml:space="preserve"> lists the clinical studies provided by the sponsor in the </w:t>
      </w:r>
      <w:r w:rsidR="005C1EAC">
        <w:t>d</w:t>
      </w:r>
      <w:r w:rsidRPr="00A241D6">
        <w:t xml:space="preserve">ossier, and shows </w:t>
      </w:r>
      <w:r>
        <w:t>the</w:t>
      </w:r>
      <w:r w:rsidRPr="00A241D6">
        <w:t xml:space="preserve"> step-wise approach </w:t>
      </w:r>
      <w:r>
        <w:t xml:space="preserve">used </w:t>
      </w:r>
      <w:r w:rsidRPr="00A241D6">
        <w:t>to establish comparability.</w:t>
      </w:r>
    </w:p>
    <w:p w14:paraId="7F4AA899" w14:textId="77777777" w:rsidR="00EC5FD9" w:rsidRDefault="00EC5FD9" w:rsidP="00EC5FD9">
      <w:pPr>
        <w:pStyle w:val="Heading4"/>
      </w:pPr>
      <w:bookmarkStart w:id="113" w:name="_Toc314842514"/>
      <w:r>
        <w:t>Clinical studies</w:t>
      </w:r>
    </w:p>
    <w:p w14:paraId="7F4AA89A" w14:textId="77777777" w:rsidR="00EC5FD9" w:rsidRDefault="00EC5FD9" w:rsidP="005C1EAC">
      <w:r w:rsidRPr="00A241D6">
        <w:t>There were four key clinical studies</w:t>
      </w:r>
      <w:r w:rsidR="00C2705E">
        <w:t xml:space="preserve"> and these are summarised in Table </w:t>
      </w:r>
      <w:r w:rsidR="00150AB2">
        <w:t>6</w:t>
      </w:r>
      <w:r w:rsidR="00C2705E">
        <w:t xml:space="preserve"> below.</w:t>
      </w:r>
    </w:p>
    <w:p w14:paraId="7F4AA89B" w14:textId="77777777" w:rsidR="005C1EAC" w:rsidRPr="00A241D6" w:rsidRDefault="005C1EAC" w:rsidP="005C1EAC">
      <w:pPr>
        <w:pStyle w:val="TableTitle"/>
      </w:pPr>
      <w:r>
        <w:t xml:space="preserve">Table </w:t>
      </w:r>
      <w:r w:rsidR="00150AB2">
        <w:t>6</w:t>
      </w:r>
      <w:r w:rsidR="00C2705E">
        <w:t>: Key clinical studies</w:t>
      </w:r>
    </w:p>
    <w:tbl>
      <w:tblPr>
        <w:tblStyle w:val="TableTGAblue"/>
        <w:tblW w:w="0" w:type="auto"/>
        <w:tblLook w:val="04A0" w:firstRow="1" w:lastRow="0" w:firstColumn="1" w:lastColumn="0" w:noHBand="0" w:noVBand="1"/>
      </w:tblPr>
      <w:tblGrid>
        <w:gridCol w:w="2093"/>
        <w:gridCol w:w="1984"/>
        <w:gridCol w:w="2410"/>
        <w:gridCol w:w="2233"/>
      </w:tblGrid>
      <w:tr w:rsidR="00EC5FD9" w:rsidRPr="005C1EAC" w14:paraId="7F4AA8A0" w14:textId="77777777" w:rsidTr="005C1EAC">
        <w:trPr>
          <w:cnfStyle w:val="100000000000" w:firstRow="1" w:lastRow="0" w:firstColumn="0" w:lastColumn="0" w:oddVBand="0" w:evenVBand="0" w:oddHBand="0" w:evenHBand="0" w:firstRowFirstColumn="0" w:firstRowLastColumn="0" w:lastRowFirstColumn="0" w:lastRowLastColumn="0"/>
        </w:trPr>
        <w:tc>
          <w:tcPr>
            <w:tcW w:w="2093" w:type="dxa"/>
          </w:tcPr>
          <w:p w14:paraId="7F4AA89C" w14:textId="77777777" w:rsidR="00EC5FD9" w:rsidRPr="005C1EAC" w:rsidRDefault="00EC5FD9" w:rsidP="005C1EAC">
            <w:pPr>
              <w:rPr>
                <w:sz w:val="20"/>
                <w:szCs w:val="20"/>
              </w:rPr>
            </w:pPr>
            <w:r w:rsidRPr="005C1EAC">
              <w:rPr>
                <w:sz w:val="20"/>
                <w:szCs w:val="20"/>
              </w:rPr>
              <w:t>Name of study</w:t>
            </w:r>
          </w:p>
        </w:tc>
        <w:tc>
          <w:tcPr>
            <w:tcW w:w="1984" w:type="dxa"/>
          </w:tcPr>
          <w:p w14:paraId="7F4AA89D" w14:textId="77777777" w:rsidR="00EC5FD9" w:rsidRPr="005C1EAC" w:rsidRDefault="00EC5FD9" w:rsidP="005C1EAC">
            <w:pPr>
              <w:rPr>
                <w:sz w:val="20"/>
                <w:szCs w:val="20"/>
              </w:rPr>
            </w:pPr>
            <w:r w:rsidRPr="005C1EAC">
              <w:rPr>
                <w:sz w:val="20"/>
                <w:szCs w:val="20"/>
              </w:rPr>
              <w:t>Patient population</w:t>
            </w:r>
          </w:p>
        </w:tc>
        <w:tc>
          <w:tcPr>
            <w:tcW w:w="2410" w:type="dxa"/>
          </w:tcPr>
          <w:p w14:paraId="7F4AA89E" w14:textId="77777777" w:rsidR="00EC5FD9" w:rsidRPr="005C1EAC" w:rsidRDefault="00EC5FD9" w:rsidP="005C1EAC">
            <w:pPr>
              <w:rPr>
                <w:sz w:val="20"/>
                <w:szCs w:val="20"/>
              </w:rPr>
            </w:pPr>
            <w:r w:rsidRPr="005C1EAC">
              <w:rPr>
                <w:sz w:val="20"/>
                <w:szCs w:val="20"/>
              </w:rPr>
              <w:t>Comparison</w:t>
            </w:r>
          </w:p>
        </w:tc>
        <w:tc>
          <w:tcPr>
            <w:tcW w:w="2233" w:type="dxa"/>
          </w:tcPr>
          <w:p w14:paraId="7F4AA89F" w14:textId="77777777" w:rsidR="00EC5FD9" w:rsidRPr="005C1EAC" w:rsidRDefault="00EC5FD9" w:rsidP="005C1EAC">
            <w:pPr>
              <w:rPr>
                <w:sz w:val="20"/>
                <w:szCs w:val="20"/>
              </w:rPr>
            </w:pPr>
            <w:r w:rsidRPr="005C1EAC">
              <w:rPr>
                <w:sz w:val="20"/>
                <w:szCs w:val="20"/>
              </w:rPr>
              <w:t>Key endpoints (all studies had safety data)</w:t>
            </w:r>
          </w:p>
        </w:tc>
      </w:tr>
      <w:tr w:rsidR="00EC5FD9" w:rsidRPr="005C1EAC" w14:paraId="7F4AA8A7" w14:textId="77777777" w:rsidTr="005C1EAC">
        <w:tc>
          <w:tcPr>
            <w:tcW w:w="2093" w:type="dxa"/>
          </w:tcPr>
          <w:p w14:paraId="7F4AA8A1" w14:textId="77777777" w:rsidR="00EC5FD9" w:rsidRPr="005C1EAC" w:rsidRDefault="00EC5FD9" w:rsidP="005C1EAC">
            <w:pPr>
              <w:rPr>
                <w:sz w:val="20"/>
                <w:szCs w:val="20"/>
              </w:rPr>
            </w:pPr>
            <w:r w:rsidRPr="005C1EAC">
              <w:rPr>
                <w:sz w:val="20"/>
                <w:szCs w:val="20"/>
              </w:rPr>
              <w:t>GP13-201 Part I</w:t>
            </w:r>
          </w:p>
        </w:tc>
        <w:tc>
          <w:tcPr>
            <w:tcW w:w="1984" w:type="dxa"/>
          </w:tcPr>
          <w:p w14:paraId="7F4AA8A2" w14:textId="77777777" w:rsidR="00EC5FD9" w:rsidRPr="005C1EAC" w:rsidRDefault="00EC5FD9" w:rsidP="005C1EAC">
            <w:pPr>
              <w:rPr>
                <w:sz w:val="20"/>
                <w:szCs w:val="20"/>
              </w:rPr>
            </w:pPr>
            <w:r w:rsidRPr="005C1EAC">
              <w:rPr>
                <w:sz w:val="20"/>
                <w:szCs w:val="20"/>
              </w:rPr>
              <w:t>Rheumatoid arthritis</w:t>
            </w:r>
          </w:p>
        </w:tc>
        <w:tc>
          <w:tcPr>
            <w:tcW w:w="2410" w:type="dxa"/>
          </w:tcPr>
          <w:p w14:paraId="7F4AA8A3" w14:textId="77777777" w:rsidR="00EC5FD9" w:rsidRPr="005C1EAC" w:rsidRDefault="00334CAC" w:rsidP="005C1EAC">
            <w:pPr>
              <w:rPr>
                <w:sz w:val="20"/>
                <w:szCs w:val="20"/>
              </w:rPr>
            </w:pPr>
            <w:r w:rsidRPr="005C1EAC">
              <w:rPr>
                <w:sz w:val="20"/>
                <w:szCs w:val="20"/>
              </w:rPr>
              <w:t>Riximyo</w:t>
            </w:r>
            <w:r w:rsidR="00794474" w:rsidRPr="005C1EAC">
              <w:rPr>
                <w:sz w:val="20"/>
                <w:szCs w:val="20"/>
              </w:rPr>
              <w:t xml:space="preserve"> versus </w:t>
            </w:r>
            <w:r w:rsidR="00EC5FD9" w:rsidRPr="005C1EAC">
              <w:rPr>
                <w:sz w:val="20"/>
                <w:szCs w:val="20"/>
              </w:rPr>
              <w:t>MabThera (EU)</w:t>
            </w:r>
          </w:p>
          <w:p w14:paraId="7F4AA8A4" w14:textId="77777777" w:rsidR="00EC5FD9" w:rsidRPr="005C1EAC" w:rsidRDefault="00EC5FD9" w:rsidP="005C1EAC">
            <w:pPr>
              <w:rPr>
                <w:sz w:val="20"/>
                <w:szCs w:val="20"/>
              </w:rPr>
            </w:pPr>
            <w:r w:rsidRPr="005C1EAC">
              <w:rPr>
                <w:sz w:val="20"/>
                <w:szCs w:val="20"/>
              </w:rPr>
              <w:t>24 and 52 week data</w:t>
            </w:r>
          </w:p>
        </w:tc>
        <w:tc>
          <w:tcPr>
            <w:tcW w:w="2233" w:type="dxa"/>
          </w:tcPr>
          <w:p w14:paraId="7F4AA8A5" w14:textId="77777777" w:rsidR="00EC5FD9" w:rsidRPr="005C1EAC" w:rsidRDefault="00EC5FD9" w:rsidP="005C1EAC">
            <w:pPr>
              <w:rPr>
                <w:sz w:val="20"/>
                <w:szCs w:val="20"/>
              </w:rPr>
            </w:pPr>
            <w:r w:rsidRPr="005C1EAC">
              <w:rPr>
                <w:sz w:val="20"/>
                <w:szCs w:val="20"/>
              </w:rPr>
              <w:t>Primary: PK</w:t>
            </w:r>
          </w:p>
          <w:p w14:paraId="7F4AA8A6" w14:textId="77777777" w:rsidR="00EC5FD9" w:rsidRPr="005C1EAC" w:rsidRDefault="00EC5FD9" w:rsidP="005C1EAC">
            <w:pPr>
              <w:rPr>
                <w:sz w:val="20"/>
                <w:szCs w:val="20"/>
              </w:rPr>
            </w:pPr>
            <w:r w:rsidRPr="005C1EAC">
              <w:rPr>
                <w:sz w:val="20"/>
                <w:szCs w:val="20"/>
              </w:rPr>
              <w:t>Secondary: PD, efficacy</w:t>
            </w:r>
          </w:p>
        </w:tc>
      </w:tr>
      <w:tr w:rsidR="00EC5FD9" w:rsidRPr="005C1EAC" w14:paraId="7F4AA8B0" w14:textId="77777777" w:rsidTr="005C1EAC">
        <w:tc>
          <w:tcPr>
            <w:tcW w:w="2093" w:type="dxa"/>
          </w:tcPr>
          <w:p w14:paraId="7F4AA8A8" w14:textId="77777777" w:rsidR="00EC5FD9" w:rsidRPr="005C1EAC" w:rsidRDefault="00EC5FD9" w:rsidP="005C1EAC">
            <w:pPr>
              <w:rPr>
                <w:sz w:val="20"/>
                <w:szCs w:val="20"/>
              </w:rPr>
            </w:pPr>
            <w:r w:rsidRPr="005C1EAC">
              <w:rPr>
                <w:sz w:val="20"/>
                <w:szCs w:val="20"/>
              </w:rPr>
              <w:t>GP13-201 Part II</w:t>
            </w:r>
          </w:p>
          <w:p w14:paraId="7F4AA8A9" w14:textId="5841DA61" w:rsidR="00EC5FD9" w:rsidRPr="005C1EAC" w:rsidRDefault="00EC5FD9" w:rsidP="00D36023">
            <w:pPr>
              <w:rPr>
                <w:sz w:val="20"/>
                <w:szCs w:val="20"/>
              </w:rPr>
            </w:pPr>
            <w:r w:rsidRPr="005C1EAC">
              <w:rPr>
                <w:sz w:val="20"/>
                <w:szCs w:val="20"/>
              </w:rPr>
              <w:t xml:space="preserve">(provided at </w:t>
            </w:r>
            <w:r w:rsidR="000330CB">
              <w:rPr>
                <w:sz w:val="20"/>
                <w:szCs w:val="20"/>
              </w:rPr>
              <w:t>the second round</w:t>
            </w:r>
            <w:r w:rsidRPr="005C1EAC">
              <w:rPr>
                <w:sz w:val="20"/>
                <w:szCs w:val="20"/>
              </w:rPr>
              <w:t>)</w:t>
            </w:r>
          </w:p>
        </w:tc>
        <w:tc>
          <w:tcPr>
            <w:tcW w:w="1984" w:type="dxa"/>
          </w:tcPr>
          <w:p w14:paraId="7F4AA8AA" w14:textId="77777777" w:rsidR="00EC5FD9" w:rsidRPr="005C1EAC" w:rsidRDefault="00EC5FD9" w:rsidP="005C1EAC">
            <w:pPr>
              <w:rPr>
                <w:sz w:val="20"/>
                <w:szCs w:val="20"/>
              </w:rPr>
            </w:pPr>
            <w:r w:rsidRPr="005C1EAC">
              <w:rPr>
                <w:sz w:val="20"/>
                <w:szCs w:val="20"/>
              </w:rPr>
              <w:t>Rheumatoid arthritis</w:t>
            </w:r>
          </w:p>
        </w:tc>
        <w:tc>
          <w:tcPr>
            <w:tcW w:w="2410" w:type="dxa"/>
          </w:tcPr>
          <w:p w14:paraId="7F4AA8AB" w14:textId="77777777" w:rsidR="00EC5FD9" w:rsidRPr="00D3278A" w:rsidRDefault="00334CAC" w:rsidP="005C1EAC">
            <w:pPr>
              <w:rPr>
                <w:sz w:val="20"/>
                <w:szCs w:val="20"/>
              </w:rPr>
            </w:pPr>
            <w:r w:rsidRPr="00D3278A">
              <w:rPr>
                <w:sz w:val="20"/>
                <w:szCs w:val="20"/>
              </w:rPr>
              <w:t>Riximyo</w:t>
            </w:r>
            <w:r w:rsidR="00794474" w:rsidRPr="00D3278A">
              <w:rPr>
                <w:sz w:val="20"/>
                <w:szCs w:val="20"/>
              </w:rPr>
              <w:t xml:space="preserve"> versus </w:t>
            </w:r>
            <w:r w:rsidR="00EC5FD9" w:rsidRPr="00D3278A">
              <w:rPr>
                <w:sz w:val="20"/>
                <w:szCs w:val="20"/>
              </w:rPr>
              <w:t>Rituxan; also</w:t>
            </w:r>
          </w:p>
          <w:p w14:paraId="7F4AA8AC" w14:textId="77777777" w:rsidR="00EC5FD9" w:rsidRPr="00D3278A" w:rsidRDefault="00EC5FD9" w:rsidP="005C1EAC">
            <w:pPr>
              <w:rPr>
                <w:sz w:val="20"/>
                <w:szCs w:val="20"/>
              </w:rPr>
            </w:pPr>
            <w:r w:rsidRPr="00D3278A">
              <w:rPr>
                <w:sz w:val="20"/>
                <w:szCs w:val="20"/>
              </w:rPr>
              <w:t>MabThera (EU)</w:t>
            </w:r>
            <w:r w:rsidR="00794474" w:rsidRPr="00D3278A">
              <w:rPr>
                <w:sz w:val="20"/>
                <w:szCs w:val="20"/>
              </w:rPr>
              <w:t xml:space="preserve"> versus </w:t>
            </w:r>
            <w:r w:rsidRPr="00D3278A">
              <w:rPr>
                <w:sz w:val="20"/>
                <w:szCs w:val="20"/>
              </w:rPr>
              <w:t>Rituxan</w:t>
            </w:r>
          </w:p>
          <w:p w14:paraId="7F4AA8AD" w14:textId="77777777" w:rsidR="00EC5FD9" w:rsidRPr="005C1EAC" w:rsidRDefault="00EC5FD9" w:rsidP="005C1EAC">
            <w:pPr>
              <w:rPr>
                <w:sz w:val="20"/>
                <w:szCs w:val="20"/>
              </w:rPr>
            </w:pPr>
            <w:r w:rsidRPr="005C1EAC">
              <w:rPr>
                <w:sz w:val="20"/>
                <w:szCs w:val="20"/>
              </w:rPr>
              <w:t>24 week data</w:t>
            </w:r>
          </w:p>
        </w:tc>
        <w:tc>
          <w:tcPr>
            <w:tcW w:w="2233" w:type="dxa"/>
          </w:tcPr>
          <w:p w14:paraId="7F4AA8AE" w14:textId="77777777" w:rsidR="00EC5FD9" w:rsidRPr="005C1EAC" w:rsidRDefault="00EC5FD9" w:rsidP="005C1EAC">
            <w:pPr>
              <w:rPr>
                <w:sz w:val="20"/>
                <w:szCs w:val="20"/>
              </w:rPr>
            </w:pPr>
            <w:r w:rsidRPr="005C1EAC">
              <w:rPr>
                <w:sz w:val="20"/>
                <w:szCs w:val="20"/>
              </w:rPr>
              <w:t>Primary: PK</w:t>
            </w:r>
          </w:p>
          <w:p w14:paraId="7F4AA8AF" w14:textId="77777777" w:rsidR="00EC5FD9" w:rsidRPr="005C1EAC" w:rsidRDefault="00EC5FD9" w:rsidP="005C1EAC">
            <w:pPr>
              <w:rPr>
                <w:sz w:val="20"/>
                <w:szCs w:val="20"/>
              </w:rPr>
            </w:pPr>
            <w:r w:rsidRPr="005C1EAC">
              <w:rPr>
                <w:sz w:val="20"/>
                <w:szCs w:val="20"/>
              </w:rPr>
              <w:t>Secondary: PD, efficacy</w:t>
            </w:r>
          </w:p>
        </w:tc>
      </w:tr>
      <w:tr w:rsidR="00EC5FD9" w:rsidRPr="005C1EAC" w14:paraId="7F4AA8B7" w14:textId="77777777" w:rsidTr="005C1EAC">
        <w:tc>
          <w:tcPr>
            <w:tcW w:w="2093" w:type="dxa"/>
          </w:tcPr>
          <w:p w14:paraId="7F4AA8B1" w14:textId="77777777" w:rsidR="00EC5FD9" w:rsidRPr="005C1EAC" w:rsidRDefault="00EC5FD9" w:rsidP="005C1EAC">
            <w:pPr>
              <w:rPr>
                <w:sz w:val="20"/>
                <w:szCs w:val="20"/>
              </w:rPr>
            </w:pPr>
            <w:r w:rsidRPr="005C1EAC">
              <w:rPr>
                <w:sz w:val="20"/>
                <w:szCs w:val="20"/>
              </w:rPr>
              <w:t>GP13-301 (combination and maintenance phases)</w:t>
            </w:r>
          </w:p>
        </w:tc>
        <w:tc>
          <w:tcPr>
            <w:tcW w:w="1984" w:type="dxa"/>
          </w:tcPr>
          <w:p w14:paraId="7F4AA8B2" w14:textId="77777777" w:rsidR="00EC5FD9" w:rsidRPr="005C1EAC" w:rsidRDefault="00EC5FD9" w:rsidP="005C1EAC">
            <w:pPr>
              <w:rPr>
                <w:sz w:val="20"/>
                <w:szCs w:val="20"/>
              </w:rPr>
            </w:pPr>
            <w:r w:rsidRPr="005C1EAC">
              <w:rPr>
                <w:sz w:val="20"/>
                <w:szCs w:val="20"/>
              </w:rPr>
              <w:t>Follicular lymphoma, with CVP backbone</w:t>
            </w:r>
          </w:p>
        </w:tc>
        <w:tc>
          <w:tcPr>
            <w:tcW w:w="2410" w:type="dxa"/>
          </w:tcPr>
          <w:p w14:paraId="7F4AA8B3" w14:textId="77777777" w:rsidR="00EC5FD9" w:rsidRPr="005C1EAC" w:rsidRDefault="00334CAC" w:rsidP="005C1EAC">
            <w:pPr>
              <w:rPr>
                <w:sz w:val="20"/>
                <w:szCs w:val="20"/>
              </w:rPr>
            </w:pPr>
            <w:r w:rsidRPr="005C1EAC">
              <w:rPr>
                <w:sz w:val="20"/>
                <w:szCs w:val="20"/>
              </w:rPr>
              <w:t>Riximyo</w:t>
            </w:r>
            <w:r w:rsidR="00794474" w:rsidRPr="005C1EAC">
              <w:rPr>
                <w:sz w:val="20"/>
                <w:szCs w:val="20"/>
              </w:rPr>
              <w:t xml:space="preserve"> versus </w:t>
            </w:r>
            <w:r w:rsidR="00EC5FD9" w:rsidRPr="005C1EAC">
              <w:rPr>
                <w:sz w:val="20"/>
                <w:szCs w:val="20"/>
              </w:rPr>
              <w:t>MabThera (EU)</w:t>
            </w:r>
          </w:p>
          <w:p w14:paraId="7F4AA8B4" w14:textId="77777777" w:rsidR="00EC5FD9" w:rsidRPr="005C1EAC" w:rsidRDefault="00EC5FD9" w:rsidP="005C1EAC">
            <w:pPr>
              <w:rPr>
                <w:sz w:val="20"/>
                <w:szCs w:val="20"/>
              </w:rPr>
            </w:pPr>
            <w:r w:rsidRPr="005C1EAC">
              <w:rPr>
                <w:sz w:val="20"/>
                <w:szCs w:val="20"/>
              </w:rPr>
              <w:t>Analyses using July 2015, July 2016 and December 2016 data cuts provided.</w:t>
            </w:r>
          </w:p>
        </w:tc>
        <w:tc>
          <w:tcPr>
            <w:tcW w:w="2233" w:type="dxa"/>
          </w:tcPr>
          <w:p w14:paraId="7F4AA8B5" w14:textId="77777777" w:rsidR="00EC5FD9" w:rsidRPr="005C1EAC" w:rsidRDefault="00EC5FD9" w:rsidP="005C1EAC">
            <w:pPr>
              <w:rPr>
                <w:sz w:val="20"/>
                <w:szCs w:val="20"/>
              </w:rPr>
            </w:pPr>
            <w:r w:rsidRPr="005C1EAC">
              <w:rPr>
                <w:sz w:val="20"/>
                <w:szCs w:val="20"/>
              </w:rPr>
              <w:t>Primary: efficacy (ORR)</w:t>
            </w:r>
          </w:p>
          <w:p w14:paraId="7F4AA8B6" w14:textId="77777777" w:rsidR="00EC5FD9" w:rsidRPr="005C1EAC" w:rsidRDefault="00EC5FD9" w:rsidP="005C1EAC">
            <w:pPr>
              <w:rPr>
                <w:sz w:val="20"/>
                <w:szCs w:val="20"/>
              </w:rPr>
            </w:pPr>
            <w:r w:rsidRPr="005C1EAC">
              <w:rPr>
                <w:sz w:val="20"/>
                <w:szCs w:val="20"/>
              </w:rPr>
              <w:t>Secondary: PK, PD, other efficacy (PFS, OS)</w:t>
            </w:r>
          </w:p>
        </w:tc>
      </w:tr>
      <w:tr w:rsidR="00EC5FD9" w:rsidRPr="005C1EAC" w14:paraId="7F4AA8BE" w14:textId="77777777" w:rsidTr="005C1EAC">
        <w:tc>
          <w:tcPr>
            <w:tcW w:w="2093" w:type="dxa"/>
          </w:tcPr>
          <w:p w14:paraId="7F4AA8B8" w14:textId="77777777" w:rsidR="00EC5FD9" w:rsidRPr="005C1EAC" w:rsidRDefault="00EC5FD9" w:rsidP="005C1EAC">
            <w:pPr>
              <w:rPr>
                <w:sz w:val="20"/>
                <w:szCs w:val="20"/>
              </w:rPr>
            </w:pPr>
            <w:r w:rsidRPr="005C1EAC">
              <w:rPr>
                <w:sz w:val="20"/>
                <w:szCs w:val="20"/>
              </w:rPr>
              <w:t>GP13-302</w:t>
            </w:r>
          </w:p>
          <w:p w14:paraId="7F4AA8B9" w14:textId="0277B3D0" w:rsidR="00EC5FD9" w:rsidRPr="005C1EAC" w:rsidRDefault="00EC5FD9" w:rsidP="000330CB">
            <w:pPr>
              <w:rPr>
                <w:sz w:val="20"/>
                <w:szCs w:val="20"/>
              </w:rPr>
            </w:pPr>
            <w:r w:rsidRPr="005C1EAC">
              <w:rPr>
                <w:sz w:val="20"/>
                <w:szCs w:val="20"/>
              </w:rPr>
              <w:t xml:space="preserve">(provided at and after </w:t>
            </w:r>
            <w:r w:rsidR="000330CB">
              <w:rPr>
                <w:sz w:val="20"/>
                <w:szCs w:val="20"/>
              </w:rPr>
              <w:t>the second round</w:t>
            </w:r>
            <w:r w:rsidRPr="005C1EAC">
              <w:rPr>
                <w:sz w:val="20"/>
                <w:szCs w:val="20"/>
              </w:rPr>
              <w:t>)</w:t>
            </w:r>
          </w:p>
        </w:tc>
        <w:tc>
          <w:tcPr>
            <w:tcW w:w="1984" w:type="dxa"/>
          </w:tcPr>
          <w:p w14:paraId="7F4AA8BA" w14:textId="77777777" w:rsidR="00EC5FD9" w:rsidRPr="005C1EAC" w:rsidRDefault="00EC5FD9" w:rsidP="005C1EAC">
            <w:pPr>
              <w:rPr>
                <w:sz w:val="20"/>
                <w:szCs w:val="20"/>
              </w:rPr>
            </w:pPr>
            <w:r w:rsidRPr="005C1EAC">
              <w:rPr>
                <w:sz w:val="20"/>
                <w:szCs w:val="20"/>
              </w:rPr>
              <w:t>Rheumatoid arthritis</w:t>
            </w:r>
          </w:p>
        </w:tc>
        <w:tc>
          <w:tcPr>
            <w:tcW w:w="2410" w:type="dxa"/>
          </w:tcPr>
          <w:p w14:paraId="7F4AA8BB" w14:textId="77777777" w:rsidR="00EC5FD9" w:rsidRPr="005C1EAC" w:rsidRDefault="00EC5FD9" w:rsidP="005C1EAC">
            <w:pPr>
              <w:rPr>
                <w:sz w:val="20"/>
                <w:szCs w:val="20"/>
              </w:rPr>
            </w:pPr>
            <w:r w:rsidRPr="005C1EAC">
              <w:rPr>
                <w:sz w:val="20"/>
                <w:szCs w:val="20"/>
              </w:rPr>
              <w:t xml:space="preserve">From innovator to </w:t>
            </w:r>
            <w:r w:rsidR="00334CAC" w:rsidRPr="005C1EAC">
              <w:rPr>
                <w:sz w:val="20"/>
                <w:szCs w:val="20"/>
              </w:rPr>
              <w:t>Riximyo</w:t>
            </w:r>
            <w:r w:rsidR="00794474" w:rsidRPr="005C1EAC">
              <w:rPr>
                <w:sz w:val="20"/>
                <w:szCs w:val="20"/>
              </w:rPr>
              <w:t xml:space="preserve"> versus </w:t>
            </w:r>
            <w:r w:rsidRPr="005C1EAC">
              <w:rPr>
                <w:sz w:val="20"/>
                <w:szCs w:val="20"/>
              </w:rPr>
              <w:t>remaining on innovator</w:t>
            </w:r>
          </w:p>
          <w:p w14:paraId="7F4AA8BC" w14:textId="77777777" w:rsidR="00EC5FD9" w:rsidRPr="005C1EAC" w:rsidRDefault="00EC5FD9" w:rsidP="005C1EAC">
            <w:pPr>
              <w:rPr>
                <w:sz w:val="20"/>
                <w:szCs w:val="20"/>
              </w:rPr>
            </w:pPr>
            <w:r w:rsidRPr="005C1EAC">
              <w:rPr>
                <w:sz w:val="20"/>
                <w:szCs w:val="20"/>
              </w:rPr>
              <w:t>24 week data</w:t>
            </w:r>
          </w:p>
        </w:tc>
        <w:tc>
          <w:tcPr>
            <w:tcW w:w="2233" w:type="dxa"/>
          </w:tcPr>
          <w:p w14:paraId="7F4AA8BD" w14:textId="77777777" w:rsidR="00EC5FD9" w:rsidRPr="005C1EAC" w:rsidRDefault="00EC5FD9" w:rsidP="005C1EAC">
            <w:pPr>
              <w:rPr>
                <w:sz w:val="20"/>
                <w:szCs w:val="20"/>
              </w:rPr>
            </w:pPr>
            <w:r w:rsidRPr="005C1EAC">
              <w:rPr>
                <w:sz w:val="20"/>
                <w:szCs w:val="20"/>
              </w:rPr>
              <w:t>Immunogenicity (not efficacy)</w:t>
            </w:r>
          </w:p>
        </w:tc>
      </w:tr>
    </w:tbl>
    <w:p w14:paraId="7F4AA8BF" w14:textId="77777777" w:rsidR="00EC5FD9" w:rsidRPr="00A241D6" w:rsidRDefault="00EC5FD9" w:rsidP="001733AE">
      <w:r w:rsidRPr="00A241D6">
        <w:t>Using the step-wise framework for clinical comparisons:</w:t>
      </w:r>
    </w:p>
    <w:p w14:paraId="7F4AA8C0" w14:textId="219DB1EB" w:rsidR="00EC5FD9" w:rsidRPr="001733AE" w:rsidRDefault="00EC5FD9" w:rsidP="001733AE">
      <w:pPr>
        <w:pStyle w:val="ListBullet"/>
      </w:pPr>
      <w:r w:rsidRPr="001733AE">
        <w:t xml:space="preserve">There was acceptable evidence of comparability of exposure, based on PK data from </w:t>
      </w:r>
      <w:r w:rsidR="000330CB">
        <w:t>Study </w:t>
      </w:r>
      <w:r w:rsidRPr="001733AE">
        <w:t>GP13-201 Part I, supported by PK data from other studies.</w:t>
      </w:r>
      <w:r w:rsidR="000B3A10" w:rsidRPr="001733AE">
        <w:t xml:space="preserve"> </w:t>
      </w:r>
      <w:r w:rsidRPr="001733AE">
        <w:t xml:space="preserve">Different </w:t>
      </w:r>
      <w:r w:rsidR="009B2FD7" w:rsidRPr="001733AE">
        <w:t>C</w:t>
      </w:r>
      <w:r w:rsidR="009B2FD7" w:rsidRPr="001733AE">
        <w:rPr>
          <w:vertAlign w:val="subscript"/>
        </w:rPr>
        <w:t>trough</w:t>
      </w:r>
      <w:r w:rsidRPr="001733AE">
        <w:t xml:space="preserve"> results at </w:t>
      </w:r>
      <w:r w:rsidR="001733AE">
        <w:t>C</w:t>
      </w:r>
      <w:r w:rsidRPr="001733AE">
        <w:t xml:space="preserve">ycle 4 in the FL study were a source of uncertainty but in the context of AUC, </w:t>
      </w:r>
      <w:r w:rsidR="005B7B55" w:rsidRPr="001733AE">
        <w:t>C</w:t>
      </w:r>
      <w:r w:rsidR="005B7B55" w:rsidRPr="001733AE">
        <w:rPr>
          <w:vertAlign w:val="subscript"/>
        </w:rPr>
        <w:t>max</w:t>
      </w:r>
      <w:r w:rsidRPr="001733AE">
        <w:rPr>
          <w:vertAlign w:val="subscript"/>
        </w:rPr>
        <w:t xml:space="preserve"> </w:t>
      </w:r>
      <w:r w:rsidRPr="001733AE">
        <w:t xml:space="preserve">and other </w:t>
      </w:r>
      <w:r w:rsidR="009B2FD7" w:rsidRPr="001733AE">
        <w:t>C</w:t>
      </w:r>
      <w:r w:rsidR="009B2FD7" w:rsidRPr="001733AE">
        <w:rPr>
          <w:vertAlign w:val="subscript"/>
        </w:rPr>
        <w:t>trough</w:t>
      </w:r>
      <w:r w:rsidRPr="001733AE">
        <w:t xml:space="preserve"> results across studies, the conclusion that </w:t>
      </w:r>
      <w:r w:rsidR="00334CAC" w:rsidRPr="001733AE">
        <w:t>Riximyo</w:t>
      </w:r>
      <w:r w:rsidRPr="001733AE">
        <w:t xml:space="preserve"> provides similar (‘bioequivalent’) exposure to rituximab, compared to MabThera, is acceptable.</w:t>
      </w:r>
    </w:p>
    <w:p w14:paraId="7F4AA8C1" w14:textId="77777777" w:rsidR="00EC5FD9" w:rsidRPr="001733AE" w:rsidRDefault="00EC5FD9" w:rsidP="001733AE">
      <w:pPr>
        <w:pStyle w:val="ListBullet"/>
      </w:pPr>
      <w:r w:rsidRPr="001733AE">
        <w:t>B cell depletion was the pharmacodynamic endpoint, and there was acceptable comparability of outcomes where tested.</w:t>
      </w:r>
    </w:p>
    <w:p w14:paraId="7F4AA8C2" w14:textId="77777777" w:rsidR="00EC5FD9" w:rsidRPr="001733AE" w:rsidRDefault="00EC5FD9" w:rsidP="001733AE">
      <w:pPr>
        <w:pStyle w:val="ListBullet"/>
      </w:pPr>
      <w:r w:rsidRPr="001733AE">
        <w:t>Therapeutic equivalence takes efficacy and safety into account.</w:t>
      </w:r>
    </w:p>
    <w:p w14:paraId="7F4AA8C3" w14:textId="243438E7" w:rsidR="00EC5FD9" w:rsidRPr="00A241D6" w:rsidRDefault="00EC5FD9" w:rsidP="000A5529">
      <w:pPr>
        <w:pStyle w:val="ListBullet2"/>
        <w:tabs>
          <w:tab w:val="left" w:pos="284"/>
        </w:tabs>
      </w:pPr>
      <w:r w:rsidRPr="00A241D6">
        <w:t xml:space="preserve">For efficacy, the pivotal study was </w:t>
      </w:r>
      <w:r w:rsidR="001A59CB">
        <w:t xml:space="preserve">Study </w:t>
      </w:r>
      <w:r w:rsidRPr="00A241D6">
        <w:t xml:space="preserve">GP13-301 </w:t>
      </w:r>
      <w:r>
        <w:t>in treatment-naïve follicular lymphoma</w:t>
      </w:r>
      <w:r w:rsidRPr="00A241D6">
        <w:t>.</w:t>
      </w:r>
      <w:r w:rsidR="000B3A10">
        <w:t xml:space="preserve"> </w:t>
      </w:r>
      <w:r w:rsidRPr="00A241D6">
        <w:t>Comparison of objective response rates at the end of 8 cycles of induction (in conjunction with CVP chemotherapy) was the primary endpoint.</w:t>
      </w:r>
      <w:r w:rsidR="000B3A10">
        <w:t xml:space="preserve"> </w:t>
      </w:r>
      <w:r w:rsidRPr="00A241D6">
        <w:t>There was close similarity of ORR across arms.</w:t>
      </w:r>
      <w:r w:rsidR="000B3A10">
        <w:t xml:space="preserve"> </w:t>
      </w:r>
      <w:r w:rsidRPr="00A241D6">
        <w:t>PFS was a secondary endpoint.</w:t>
      </w:r>
      <w:r w:rsidR="000B3A10">
        <w:t xml:space="preserve"> </w:t>
      </w:r>
      <w:r w:rsidRPr="00A241D6">
        <w:t xml:space="preserve">There was </w:t>
      </w:r>
      <w:r w:rsidR="001A59CB" w:rsidRPr="00812053">
        <w:rPr>
          <w:i/>
        </w:rPr>
        <w:t>not</w:t>
      </w:r>
      <w:r w:rsidR="001A59CB" w:rsidRPr="00A241D6">
        <w:t xml:space="preserve"> </w:t>
      </w:r>
      <w:r w:rsidRPr="00A241D6">
        <w:t>close similarity of PFS across arms.</w:t>
      </w:r>
      <w:r w:rsidR="000B3A10">
        <w:t xml:space="preserve"> </w:t>
      </w:r>
      <w:r w:rsidRPr="00A241D6">
        <w:t xml:space="preserve">PFS outcomes are immature, although relatively stable across three data cut-points spanning July 2015 through </w:t>
      </w:r>
      <w:r w:rsidRPr="00A241D6">
        <w:lastRenderedPageBreak/>
        <w:t>December 2016.</w:t>
      </w:r>
      <w:r w:rsidR="000B3A10">
        <w:t xml:space="preserve"> </w:t>
      </w:r>
      <w:r w:rsidRPr="00A241D6">
        <w:t xml:space="preserve">OS outcomes in this typically indolent lymphoma are </w:t>
      </w:r>
      <w:r>
        <w:t xml:space="preserve">entirely </w:t>
      </w:r>
      <w:r w:rsidRPr="00A241D6">
        <w:t xml:space="preserve">too immature to contribute to </w:t>
      </w:r>
      <w:r>
        <w:t>comparison of</w:t>
      </w:r>
      <w:r w:rsidRPr="00A241D6">
        <w:t xml:space="preserve"> therapeutic efficacy.</w:t>
      </w:r>
    </w:p>
    <w:p w14:paraId="7F4AA8C4" w14:textId="58B0C098" w:rsidR="00EC5FD9" w:rsidRPr="00A241D6" w:rsidRDefault="00EC5FD9" w:rsidP="000A5529">
      <w:pPr>
        <w:pStyle w:val="ListBullet2"/>
        <w:tabs>
          <w:tab w:val="left" w:pos="284"/>
        </w:tabs>
      </w:pPr>
      <w:r w:rsidRPr="00A241D6">
        <w:t xml:space="preserve">Efficacy was assessed in </w:t>
      </w:r>
      <w:r w:rsidR="001A59CB">
        <w:t xml:space="preserve">Study </w:t>
      </w:r>
      <w:r w:rsidRPr="00A241D6">
        <w:t>GP13-201 (Parts I and II) in RA patients</w:t>
      </w:r>
      <w:r>
        <w:t>.</w:t>
      </w:r>
      <w:r w:rsidR="000B3A10">
        <w:t xml:space="preserve"> </w:t>
      </w:r>
      <w:r>
        <w:t>T</w:t>
      </w:r>
      <w:r w:rsidRPr="00A241D6">
        <w:t>here was</w:t>
      </w:r>
      <w:r w:rsidR="001733AE">
        <w:t>,</w:t>
      </w:r>
      <w:r w:rsidRPr="00A241D6">
        <w:t xml:space="preserve"> broadly</w:t>
      </w:r>
      <w:r>
        <w:t xml:space="preserve"> speaking</w:t>
      </w:r>
      <w:r w:rsidR="001733AE">
        <w:t>,</w:t>
      </w:r>
      <w:r>
        <w:t xml:space="preserve"> </w:t>
      </w:r>
      <w:r w:rsidRPr="00A241D6">
        <w:t xml:space="preserve">non-inferiority </w:t>
      </w:r>
      <w:r>
        <w:t>of the biosimilar</w:t>
      </w:r>
      <w:r w:rsidR="00794474">
        <w:t xml:space="preserve"> versus </w:t>
      </w:r>
      <w:r>
        <w:t>innovator, to 52 weeks in Part I.</w:t>
      </w:r>
    </w:p>
    <w:p w14:paraId="7F4AA8C5" w14:textId="77777777" w:rsidR="00EC5FD9" w:rsidRPr="00A241D6" w:rsidRDefault="00EC5FD9" w:rsidP="000A5529">
      <w:pPr>
        <w:pStyle w:val="ListBullet2"/>
        <w:tabs>
          <w:tab w:val="left" w:pos="284"/>
        </w:tabs>
      </w:pPr>
      <w:r w:rsidRPr="00A241D6">
        <w:t>Safety was assessed across all studies.</w:t>
      </w:r>
      <w:r w:rsidR="000B3A10">
        <w:t xml:space="preserve"> </w:t>
      </w:r>
      <w:r w:rsidRPr="00A241D6">
        <w:t>There was no alarming signal of any meaningful divergence in safety outcomes, across studies.</w:t>
      </w:r>
    </w:p>
    <w:p w14:paraId="7F4AA8C6" w14:textId="77777777" w:rsidR="00EC5FD9" w:rsidRPr="00A241D6" w:rsidRDefault="00EC5FD9" w:rsidP="000A5529">
      <w:pPr>
        <w:pStyle w:val="ListBullet2"/>
        <w:tabs>
          <w:tab w:val="left" w:pos="284"/>
        </w:tabs>
      </w:pPr>
      <w:r w:rsidRPr="00A241D6">
        <w:t>Immunogenicity was assessed across studies.</w:t>
      </w:r>
      <w:r w:rsidR="000B3A10">
        <w:t xml:space="preserve"> </w:t>
      </w:r>
      <w:r w:rsidRPr="00A241D6">
        <w:t xml:space="preserve">ADAs were commoner in RA patients than FL patients, possibly due to concomitant CVP in the </w:t>
      </w:r>
      <w:r>
        <w:t xml:space="preserve">6 month </w:t>
      </w:r>
      <w:r w:rsidRPr="00A241D6">
        <w:t>induction phase for FL patients, and</w:t>
      </w:r>
      <w:r w:rsidR="009436CA">
        <w:t>/</w:t>
      </w:r>
      <w:r w:rsidRPr="00A241D6">
        <w:t>or due to the higher doses of rituximab given in FL patients.</w:t>
      </w:r>
      <w:r w:rsidR="000B3A10">
        <w:t xml:space="preserve"> </w:t>
      </w:r>
      <w:r w:rsidRPr="00A241D6">
        <w:t>In RA and FL, neutralising antibodies were infrequent and there was no signal that ADAs or neutralising antibodies were associated with decreased efficacy or increased toxicity.</w:t>
      </w:r>
    </w:p>
    <w:p w14:paraId="7F4AA8C7" w14:textId="77777777" w:rsidR="007B6132" w:rsidRDefault="00EC5FD9" w:rsidP="001733AE">
      <w:r w:rsidRPr="00A241D6">
        <w:t xml:space="preserve">A switching study tested safety and immunogenicity up to </w:t>
      </w:r>
      <w:r>
        <w:t>24</w:t>
      </w:r>
      <w:r w:rsidRPr="00A241D6">
        <w:t xml:space="preserve"> weeks after either switching from innovator to </w:t>
      </w:r>
      <w:r w:rsidR="00334CAC">
        <w:t>Riximyo</w:t>
      </w:r>
      <w:r w:rsidRPr="00A241D6">
        <w:t>, or continuing on the innovator</w:t>
      </w:r>
      <w:r>
        <w:t xml:space="preserve"> (the clinical evaluator only had access to 12 week data)</w:t>
      </w:r>
      <w:r w:rsidRPr="00A241D6">
        <w:t>.</w:t>
      </w:r>
      <w:r w:rsidR="000B3A10">
        <w:t xml:space="preserve"> </w:t>
      </w:r>
      <w:r w:rsidRPr="00A241D6">
        <w:t xml:space="preserve">While there were no </w:t>
      </w:r>
      <w:r>
        <w:t>major</w:t>
      </w:r>
      <w:r w:rsidRPr="00A241D6">
        <w:t xml:space="preserve"> issues identified, some uncertainties arose (</w:t>
      </w:r>
      <w:r w:rsidR="001733AE">
        <w:t>for example,</w:t>
      </w:r>
      <w:r w:rsidRPr="00A241D6">
        <w:t xml:space="preserve"> one </w:t>
      </w:r>
      <w:r>
        <w:t>report</w:t>
      </w:r>
      <w:r w:rsidRPr="00A241D6">
        <w:t xml:space="preserve"> of serum sickness in a patient switched to </w:t>
      </w:r>
      <w:r w:rsidR="00334CAC">
        <w:t>Riximyo</w:t>
      </w:r>
      <w:r w:rsidRPr="00A241D6">
        <w:t xml:space="preserve">; </w:t>
      </w:r>
      <w:r>
        <w:t>and more</w:t>
      </w:r>
      <w:r w:rsidRPr="00A241D6">
        <w:t xml:space="preserve"> </w:t>
      </w:r>
      <w:r>
        <w:t xml:space="preserve">musculoskeletal </w:t>
      </w:r>
      <w:r w:rsidRPr="00A241D6">
        <w:t>AEs</w:t>
      </w:r>
      <w:r>
        <w:t xml:space="preserve">, </w:t>
      </w:r>
      <w:r w:rsidR="001733AE">
        <w:t>such as</w:t>
      </w:r>
      <w:r>
        <w:t xml:space="preserve"> arthralgia,</w:t>
      </w:r>
      <w:r w:rsidRPr="00A241D6">
        <w:t xml:space="preserve"> in patients switched to </w:t>
      </w:r>
      <w:r w:rsidR="00334CAC">
        <w:t>Riximyo</w:t>
      </w:r>
      <w:r w:rsidRPr="00A241D6">
        <w:t>).</w:t>
      </w:r>
    </w:p>
    <w:p w14:paraId="7F4AA8C8" w14:textId="4539E763" w:rsidR="00296B19" w:rsidRPr="001733AE" w:rsidRDefault="00296B19" w:rsidP="001733AE">
      <w:pPr>
        <w:pStyle w:val="Heading4"/>
      </w:pPr>
      <w:r w:rsidRPr="00A241D6">
        <w:t xml:space="preserve">Clinical </w:t>
      </w:r>
      <w:r w:rsidR="001A59CB">
        <w:t>e</w:t>
      </w:r>
      <w:r w:rsidR="001A59CB" w:rsidRPr="00A241D6">
        <w:t xml:space="preserve">valuator’s </w:t>
      </w:r>
      <w:r w:rsidRPr="00A241D6">
        <w:t>view</w:t>
      </w:r>
    </w:p>
    <w:p w14:paraId="7F4AA8C9" w14:textId="77777777" w:rsidR="00296B19" w:rsidRPr="001A59CB" w:rsidRDefault="00296B19" w:rsidP="001A59CB">
      <w:r w:rsidRPr="001A59CB">
        <w:t>The evaluator’s final view</w:t>
      </w:r>
      <w:r w:rsidR="001733AE" w:rsidRPr="001A59CB">
        <w:t xml:space="preserve"> is that</w:t>
      </w:r>
      <w:r w:rsidRPr="001A59CB">
        <w:t xml:space="preserve"> </w:t>
      </w:r>
      <w:r w:rsidRPr="00812053">
        <w:t>approval is recommended</w:t>
      </w:r>
      <w:r w:rsidRPr="001A59CB">
        <w:t>.</w:t>
      </w:r>
      <w:r w:rsidR="000B3A10" w:rsidRPr="001A59CB">
        <w:t xml:space="preserve"> </w:t>
      </w:r>
      <w:r w:rsidRPr="001A59CB">
        <w:t xml:space="preserve">This differs from the </w:t>
      </w:r>
      <w:r w:rsidR="001733AE" w:rsidRPr="001A59CB">
        <w:t>first round</w:t>
      </w:r>
      <w:r w:rsidRPr="001A59CB">
        <w:t xml:space="preserve"> recommendation.</w:t>
      </w:r>
    </w:p>
    <w:p w14:paraId="7F4AA8CA" w14:textId="77777777" w:rsidR="00296B19" w:rsidRPr="00812053" w:rsidRDefault="00296B19" w:rsidP="00812053">
      <w:r w:rsidRPr="00812053">
        <w:t>The ‘Second Round Risk Benefit’ is a summary (but in fair detail</w:t>
      </w:r>
      <w:r w:rsidR="001733AE" w:rsidRPr="00812053">
        <w:t xml:space="preserve"> [in Attachment 2]</w:t>
      </w:r>
      <w:r w:rsidRPr="00812053">
        <w:t>) of the clinical dataset and the evaluator’s view.</w:t>
      </w:r>
      <w:r w:rsidR="000B3A10" w:rsidRPr="00812053">
        <w:t xml:space="preserve"> </w:t>
      </w:r>
      <w:r w:rsidRPr="00812053">
        <w:t xml:space="preserve">This section also includes details of the new clinical data supplied for certain studies at the </w:t>
      </w:r>
      <w:r w:rsidR="001733AE" w:rsidRPr="00812053">
        <w:t>second round</w:t>
      </w:r>
      <w:r w:rsidRPr="00812053">
        <w:t xml:space="preserve"> stage of </w:t>
      </w:r>
      <w:r w:rsidR="001733AE" w:rsidRPr="00812053">
        <w:t xml:space="preserve">the </w:t>
      </w:r>
      <w:r w:rsidRPr="00812053">
        <w:t>TGA evaluation.</w:t>
      </w:r>
    </w:p>
    <w:p w14:paraId="7F4AA8CB" w14:textId="77777777" w:rsidR="00296B19" w:rsidRPr="001733AE" w:rsidRDefault="00296B19" w:rsidP="001733AE">
      <w:pPr>
        <w:pStyle w:val="Heading4"/>
      </w:pPr>
      <w:r w:rsidRPr="00A241D6">
        <w:t xml:space="preserve">Overview of </w:t>
      </w:r>
      <w:r>
        <w:t xml:space="preserve">clinical </w:t>
      </w:r>
      <w:r w:rsidRPr="00A241D6">
        <w:t>data</w:t>
      </w:r>
    </w:p>
    <w:p w14:paraId="7F4AA8CC" w14:textId="77777777" w:rsidR="00296B19" w:rsidRPr="001A59CB" w:rsidRDefault="001733AE" w:rsidP="00812053">
      <w:r w:rsidRPr="001A59CB">
        <w:t>T</w:t>
      </w:r>
      <w:r w:rsidR="00296B19" w:rsidRPr="001A59CB">
        <w:t>he evaluator describes the scope of the initial Dossier.</w:t>
      </w:r>
      <w:r w:rsidR="000B3A10" w:rsidRPr="001A59CB">
        <w:t xml:space="preserve"> </w:t>
      </w:r>
      <w:r w:rsidR="00296B19" w:rsidRPr="001A59CB">
        <w:t xml:space="preserve">Some clinical data mentioned below were introduced at </w:t>
      </w:r>
      <w:r w:rsidRPr="001A59CB">
        <w:t>the second round</w:t>
      </w:r>
      <w:r w:rsidR="00296B19" w:rsidRPr="001A59CB">
        <w:t xml:space="preserve"> or beyond:</w:t>
      </w:r>
    </w:p>
    <w:p w14:paraId="7F4AA8CD" w14:textId="77777777" w:rsidR="00296B19" w:rsidRPr="00DF4746" w:rsidRDefault="00296B19" w:rsidP="001733AE">
      <w:pPr>
        <w:pStyle w:val="ListBullet"/>
      </w:pPr>
      <w:r w:rsidRPr="00DF4746">
        <w:t xml:space="preserve">Study GP13-201 (Part I) is a PK/PD study in RA, designed </w:t>
      </w:r>
      <w:r w:rsidRPr="00DF4746">
        <w:rPr>
          <w:i/>
        </w:rPr>
        <w:t>primarily</w:t>
      </w:r>
      <w:r w:rsidRPr="00DF4746">
        <w:t xml:space="preserve"> to assess PK equivalence of </w:t>
      </w:r>
      <w:r w:rsidR="008A2F5F">
        <w:t>Riximyo</w:t>
      </w:r>
      <w:r w:rsidRPr="00DF4746">
        <w:t xml:space="preserve"> and MabThera (EU), with 24 and 52 week data included in the </w:t>
      </w:r>
      <w:r w:rsidR="001733AE" w:rsidRPr="00DF4746">
        <w:t>d</w:t>
      </w:r>
      <w:r w:rsidRPr="00DF4746">
        <w:t>ossier</w:t>
      </w:r>
    </w:p>
    <w:p w14:paraId="7F4AA8CE" w14:textId="77777777" w:rsidR="00296B19" w:rsidRPr="00DF4746" w:rsidRDefault="00296B19" w:rsidP="001733AE">
      <w:pPr>
        <w:pStyle w:val="ListBullet"/>
      </w:pPr>
      <w:r w:rsidRPr="00812053">
        <w:t>Study GP13-201 (Part II)</w:t>
      </w:r>
      <w:r w:rsidRPr="00DF4746">
        <w:rPr>
          <w:i/>
        </w:rPr>
        <w:t xml:space="preserve"> </w:t>
      </w:r>
      <w:r w:rsidRPr="00DF4746">
        <w:t xml:space="preserve">is the same except in comparing </w:t>
      </w:r>
      <w:r w:rsidR="008A2F5F">
        <w:t>Riximyo</w:t>
      </w:r>
      <w:r w:rsidRPr="00DF4746">
        <w:t xml:space="preserve"> with Rituxan (US).</w:t>
      </w:r>
      <w:r w:rsidR="000B3A10" w:rsidRPr="00DF4746">
        <w:t xml:space="preserve"> </w:t>
      </w:r>
      <w:r w:rsidRPr="00DF4746">
        <w:rPr>
          <w:i/>
        </w:rPr>
        <w:t>24</w:t>
      </w:r>
      <w:r w:rsidR="001733AE" w:rsidRPr="00DF4746">
        <w:rPr>
          <w:i/>
        </w:rPr>
        <w:t xml:space="preserve"> </w:t>
      </w:r>
      <w:r w:rsidRPr="00DF4746">
        <w:rPr>
          <w:i/>
        </w:rPr>
        <w:t xml:space="preserve">week data were included at </w:t>
      </w:r>
      <w:r w:rsidR="001733AE" w:rsidRPr="00DF4746">
        <w:rPr>
          <w:i/>
        </w:rPr>
        <w:t xml:space="preserve">the second round </w:t>
      </w:r>
      <w:r w:rsidRPr="00DF4746">
        <w:rPr>
          <w:i/>
        </w:rPr>
        <w:t xml:space="preserve">evaluation </w:t>
      </w:r>
      <w:r w:rsidRPr="00DF4746">
        <w:t>(52 week data are due in Jan</w:t>
      </w:r>
      <w:r w:rsidR="001733AE" w:rsidRPr="00DF4746">
        <w:t>uary 2018);</w:t>
      </w:r>
    </w:p>
    <w:p w14:paraId="7F4AA8CF" w14:textId="596E9CFA" w:rsidR="00296B19" w:rsidRPr="00A241D6" w:rsidRDefault="00296B19" w:rsidP="001733AE">
      <w:pPr>
        <w:pStyle w:val="ListBullet"/>
      </w:pPr>
      <w:r w:rsidRPr="00DF4746">
        <w:t>Study GP13-301 i</w:t>
      </w:r>
      <w:r w:rsidRPr="00A241D6">
        <w:t xml:space="preserve">s an efficacy study comparing </w:t>
      </w:r>
      <w:r w:rsidR="008A2F5F">
        <w:t>Riximyo</w:t>
      </w:r>
      <w:r w:rsidRPr="00A241D6">
        <w:t xml:space="preserve"> and MabThera (EU) in NHL (follicular lymphoma</w:t>
      </w:r>
      <w:r>
        <w:t>, FL</w:t>
      </w:r>
      <w:r w:rsidRPr="00A241D6">
        <w:t>).</w:t>
      </w:r>
      <w:r w:rsidR="000B3A10">
        <w:t xml:space="preserve"> </w:t>
      </w:r>
      <w:r>
        <w:t>Final d</w:t>
      </w:r>
      <w:r w:rsidRPr="00A241D6">
        <w:t xml:space="preserve">ata were provided for the </w:t>
      </w:r>
      <w:r w:rsidRPr="00DF4746">
        <w:rPr>
          <w:i/>
        </w:rPr>
        <w:t>combination phase</w:t>
      </w:r>
      <w:r w:rsidRPr="00A241D6">
        <w:t xml:space="preserve"> (</w:t>
      </w:r>
      <w:r w:rsidR="00DF4746">
        <w:t>that is,</w:t>
      </w:r>
      <w:r w:rsidRPr="00A241D6">
        <w:t xml:space="preserve"> induction, with CVP; </w:t>
      </w:r>
      <w:r>
        <w:t xml:space="preserve">8 x 3 week cycles, </w:t>
      </w:r>
      <w:r w:rsidRPr="00A241D6">
        <w:t xml:space="preserve">to </w:t>
      </w:r>
      <w:r w:rsidR="00DF4746">
        <w:t>W</w:t>
      </w:r>
      <w:r w:rsidRPr="00A241D6">
        <w:t>eek 24).</w:t>
      </w:r>
      <w:r w:rsidR="000B3A10">
        <w:t xml:space="preserve"> </w:t>
      </w:r>
      <w:r w:rsidRPr="00A241D6">
        <w:t xml:space="preserve">Interim data were provided for the </w:t>
      </w:r>
      <w:r w:rsidRPr="00DF4746">
        <w:rPr>
          <w:i/>
        </w:rPr>
        <w:t>maintenance phase</w:t>
      </w:r>
      <w:r w:rsidRPr="00A241D6">
        <w:t xml:space="preserve"> (rituximab monotherapy for 2 years)</w:t>
      </w:r>
      <w:r>
        <w:t>.</w:t>
      </w:r>
      <w:r w:rsidR="000B3A10">
        <w:t xml:space="preserve"> </w:t>
      </w:r>
      <w:r>
        <w:t>The main report used a July 2015 data cut-off but two subsequent analyses were also provided, using a July</w:t>
      </w:r>
      <w:r w:rsidR="00965751">
        <w:t> </w:t>
      </w:r>
      <w:r>
        <w:t>2016 and a December 2016 data cut-off.</w:t>
      </w:r>
      <w:r w:rsidR="000B3A10">
        <w:t xml:space="preserve"> </w:t>
      </w:r>
      <w:r>
        <w:t>T</w:t>
      </w:r>
      <w:r w:rsidRPr="00A241D6">
        <w:t xml:space="preserve">he maintenance phase is scheduled to have a last-patient-last-visit </w:t>
      </w:r>
      <w:r>
        <w:t xml:space="preserve">date </w:t>
      </w:r>
      <w:r w:rsidRPr="00A241D6">
        <w:t xml:space="preserve">in January 2018 and a final </w:t>
      </w:r>
      <w:r>
        <w:t>Clinical Study Report</w:t>
      </w:r>
      <w:r w:rsidRPr="00A241D6">
        <w:t xml:space="preserve"> in August 2018.</w:t>
      </w:r>
      <w:r w:rsidR="000B3A10">
        <w:t xml:space="preserve"> </w:t>
      </w:r>
      <w:r w:rsidRPr="00A241D6">
        <w:t>PK data were also generated.</w:t>
      </w:r>
    </w:p>
    <w:p w14:paraId="7F4AA8D0" w14:textId="5D8F7A8F" w:rsidR="00296B19" w:rsidRPr="00A241D6" w:rsidRDefault="00296B19" w:rsidP="00DF4746">
      <w:pPr>
        <w:pStyle w:val="ListBullet"/>
      </w:pPr>
      <w:r w:rsidRPr="00A241D6">
        <w:t xml:space="preserve">Study GP13-101 is a supportive Phase </w:t>
      </w:r>
      <w:r w:rsidR="00DF4746">
        <w:t>I</w:t>
      </w:r>
      <w:r w:rsidRPr="00A241D6">
        <w:t xml:space="preserve"> study, n</w:t>
      </w:r>
      <w:r w:rsidR="00965751">
        <w:t xml:space="preserve"> </w:t>
      </w:r>
      <w:r w:rsidRPr="00A241D6">
        <w:t>=</w:t>
      </w:r>
      <w:r w:rsidR="00965751">
        <w:t xml:space="preserve"> </w:t>
      </w:r>
      <w:r w:rsidRPr="00A241D6">
        <w:t>6 (Japanese) with no control arm, not discussed further here.</w:t>
      </w:r>
    </w:p>
    <w:p w14:paraId="7F4AA8D1" w14:textId="77777777" w:rsidR="00296B19" w:rsidRPr="00DF4746" w:rsidRDefault="00296B19" w:rsidP="00DF4746">
      <w:pPr>
        <w:pStyle w:val="ListBullet"/>
      </w:pPr>
      <w:r w:rsidRPr="00812053">
        <w:t>Study GP13-302</w:t>
      </w:r>
      <w:r w:rsidRPr="00A241D6">
        <w:rPr>
          <w:i/>
        </w:rPr>
        <w:t xml:space="preserve">, </w:t>
      </w:r>
      <w:r w:rsidRPr="00DF4746">
        <w:t xml:space="preserve">a switching study in RA patients (switch from MabThera (EU) or Rituxan (US) to </w:t>
      </w:r>
      <w:r w:rsidR="008A2F5F">
        <w:t>Riximyo</w:t>
      </w:r>
      <w:r w:rsidR="00794474" w:rsidRPr="00DF4746">
        <w:t xml:space="preserve"> versus </w:t>
      </w:r>
      <w:r w:rsidRPr="00DF4746">
        <w:t xml:space="preserve">continuing treatment with MabThera (EU) or Rituxan </w:t>
      </w:r>
      <w:r w:rsidRPr="00DF4746">
        <w:lastRenderedPageBreak/>
        <w:t xml:space="preserve">(US)) – </w:t>
      </w:r>
      <w:r w:rsidRPr="00DF4746">
        <w:rPr>
          <w:i/>
        </w:rPr>
        <w:t xml:space="preserve">a first interim analysis of this study was included at </w:t>
      </w:r>
      <w:r w:rsidR="00DF4746">
        <w:rPr>
          <w:i/>
        </w:rPr>
        <w:t>the second round evaluation</w:t>
      </w:r>
      <w:r w:rsidRPr="00DF4746">
        <w:t xml:space="preserve"> and 24 week data were included after the evaluation phase.</w:t>
      </w:r>
    </w:p>
    <w:p w14:paraId="7F4AA8D2" w14:textId="77777777" w:rsidR="00296B19" w:rsidRPr="00A241D6" w:rsidRDefault="00296B19" w:rsidP="00DF4746">
      <w:pPr>
        <w:pStyle w:val="Heading5"/>
      </w:pPr>
      <w:r w:rsidRPr="00A241D6">
        <w:t>Formulation</w:t>
      </w:r>
    </w:p>
    <w:p w14:paraId="7F4AA8D3" w14:textId="77777777" w:rsidR="00296B19" w:rsidRPr="00DF4746" w:rsidRDefault="00296B19" w:rsidP="00DF4746">
      <w:r w:rsidRPr="00DF4746">
        <w:t xml:space="preserve">The main reference product in clinical studies was </w:t>
      </w:r>
      <w:r w:rsidR="0061344E" w:rsidRPr="00DF4746">
        <w:t>‘</w:t>
      </w:r>
      <w:r w:rsidRPr="00DF4746">
        <w:rPr>
          <w:i/>
        </w:rPr>
        <w:t>an EU formulation of MabThera</w:t>
      </w:r>
      <w:r w:rsidR="0061344E" w:rsidRPr="00DF4746">
        <w:rPr>
          <w:i/>
        </w:rPr>
        <w:t>’</w:t>
      </w:r>
      <w:r w:rsidRPr="00DF4746">
        <w:t>.</w:t>
      </w:r>
      <w:r w:rsidR="000B3A10" w:rsidRPr="00DF4746">
        <w:t xml:space="preserve"> </w:t>
      </w:r>
      <w:r w:rsidRPr="00DF4746">
        <w:t xml:space="preserve">The sponsor provided in vitro bridging data comparing </w:t>
      </w:r>
      <w:r w:rsidR="00DF4746">
        <w:t xml:space="preserve">Australian </w:t>
      </w:r>
      <w:r w:rsidRPr="00DF4746">
        <w:t xml:space="preserve">approved MabThera with </w:t>
      </w:r>
      <w:r w:rsidR="00A81F68" w:rsidRPr="00DF4746">
        <w:t>EU approved</w:t>
      </w:r>
      <w:r w:rsidRPr="00DF4746">
        <w:t xml:space="preserve"> MabThera.</w:t>
      </w:r>
    </w:p>
    <w:p w14:paraId="7F4AA8D4" w14:textId="77777777" w:rsidR="00296B19" w:rsidRPr="00A241D6" w:rsidRDefault="00296B19" w:rsidP="00DF4746">
      <w:pPr>
        <w:pStyle w:val="Heading5"/>
      </w:pPr>
      <w:r w:rsidRPr="00A241D6">
        <w:t>Pharmacology</w:t>
      </w:r>
    </w:p>
    <w:p w14:paraId="7F4AA8D5" w14:textId="77777777" w:rsidR="00296B19" w:rsidRPr="00A241D6" w:rsidRDefault="00296B19" w:rsidP="001D4AA5">
      <w:r w:rsidRPr="00A241D6">
        <w:t xml:space="preserve">Studies providing PK data are listed </w:t>
      </w:r>
      <w:r w:rsidR="00DF4746">
        <w:t>in Attachment 2.</w:t>
      </w:r>
    </w:p>
    <w:p w14:paraId="3DF3D819" w14:textId="77777777" w:rsidR="00EA1DF3" w:rsidRDefault="00296B19" w:rsidP="001D4AA5">
      <w:r w:rsidRPr="00812053">
        <w:t>Study GP13-201 (Part I)</w:t>
      </w:r>
      <w:r w:rsidRPr="00A241D6">
        <w:t xml:space="preserve"> is the pivotal PK</w:t>
      </w:r>
      <w:r w:rsidR="009436CA">
        <w:t>/</w:t>
      </w:r>
      <w:r w:rsidRPr="00A241D6">
        <w:t>PD study.</w:t>
      </w:r>
      <w:r w:rsidR="000B3A10">
        <w:t xml:space="preserve"> </w:t>
      </w:r>
      <w:r w:rsidRPr="00A241D6">
        <w:t>173 patients with RA refractory or intolerant to standard DMARDs and 1</w:t>
      </w:r>
      <w:r w:rsidR="00965751">
        <w:t xml:space="preserve"> to </w:t>
      </w:r>
      <w:r w:rsidRPr="00A241D6">
        <w:t xml:space="preserve">3 anti-TNFs were enrolled and randomised 1:1 to receive </w:t>
      </w:r>
      <w:r w:rsidR="008A2F5F">
        <w:t>Riximyo</w:t>
      </w:r>
      <w:r w:rsidRPr="00A241D6">
        <w:t xml:space="preserve"> or MabThera (EU).</w:t>
      </w:r>
      <w:r w:rsidR="000B3A10">
        <w:t xml:space="preserve"> </w:t>
      </w:r>
      <w:r w:rsidRPr="00A241D6">
        <w:t>The two rituximab versions were given with methotrexate.</w:t>
      </w:r>
      <w:r w:rsidR="000B3A10">
        <w:t xml:space="preserve"> </w:t>
      </w:r>
      <w:r w:rsidRPr="00A241D6">
        <w:t xml:space="preserve">Study design and timing of rituximab administration is shown in </w:t>
      </w:r>
      <w:r w:rsidR="001D4AA5">
        <w:t xml:space="preserve">the following figure (also in the Attachment 2 </w:t>
      </w:r>
      <w:r w:rsidRPr="00A241D6">
        <w:t xml:space="preserve">and </w:t>
      </w:r>
      <w:r w:rsidR="001D4AA5">
        <w:t>in</w:t>
      </w:r>
      <w:r w:rsidRPr="00A241D6">
        <w:t xml:space="preserve"> </w:t>
      </w:r>
      <w:r w:rsidR="00965751">
        <w:t xml:space="preserve">the </w:t>
      </w:r>
      <w:r w:rsidRPr="00A241D6">
        <w:t>EPAR</w:t>
      </w:r>
      <w:r w:rsidR="00965751">
        <w:t>)</w:t>
      </w:r>
      <w:r w:rsidR="00EA1DF3">
        <w:t>.</w:t>
      </w:r>
    </w:p>
    <w:p w14:paraId="7F4AA8D7" w14:textId="125E1261" w:rsidR="00DF4746" w:rsidRDefault="00DF4746" w:rsidP="00DF4746">
      <w:pPr>
        <w:pStyle w:val="FigureTitle"/>
      </w:pPr>
      <w:r>
        <w:t xml:space="preserve">Figure </w:t>
      </w:r>
      <w:r w:rsidR="00C764E4">
        <w:t>4</w:t>
      </w:r>
      <w:r w:rsidR="00D51418">
        <w:t xml:space="preserve">: </w:t>
      </w:r>
      <w:r>
        <w:t>Study design and timing</w:t>
      </w:r>
      <w:r w:rsidRPr="00DF4746">
        <w:t xml:space="preserve"> </w:t>
      </w:r>
      <w:r>
        <w:t>of treatment</w:t>
      </w:r>
      <w:r w:rsidR="00D51418">
        <w:t>s</w:t>
      </w:r>
    </w:p>
    <w:p w14:paraId="7F4AA8D8" w14:textId="77777777" w:rsidR="00DF4746" w:rsidRDefault="00DF4746" w:rsidP="00EA516A">
      <w:r>
        <w:rPr>
          <w:noProof/>
          <w:lang w:eastAsia="en-AU"/>
        </w:rPr>
        <w:drawing>
          <wp:inline distT="0" distB="0" distL="0" distR="0" wp14:anchorId="7F4AA9DE" wp14:editId="7F4AA9DF">
            <wp:extent cx="4558039" cy="2992917"/>
            <wp:effectExtent l="0" t="0" r="0" b="0"/>
            <wp:docPr id="3" name="Picture 3" descr="Study design and timing of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57882" cy="2992814"/>
                    </a:xfrm>
                    <a:prstGeom prst="rect">
                      <a:avLst/>
                    </a:prstGeom>
                  </pic:spPr>
                </pic:pic>
              </a:graphicData>
            </a:graphic>
          </wp:inline>
        </w:drawing>
      </w:r>
    </w:p>
    <w:p w14:paraId="7F4AA8D9" w14:textId="0EEC684A" w:rsidR="00296B19" w:rsidRPr="00A241D6" w:rsidRDefault="00296B19" w:rsidP="00DF4746">
      <w:r w:rsidRPr="00A241D6">
        <w:t>The primary PK endpoint (</w:t>
      </w:r>
      <w:r w:rsidR="009B2FD7">
        <w:t>AUC</w:t>
      </w:r>
      <w:r w:rsidR="009B2FD7" w:rsidRPr="009B2FD7">
        <w:rPr>
          <w:vertAlign w:val="subscript"/>
        </w:rPr>
        <w:t>0-</w:t>
      </w:r>
      <w:proofErr w:type="gramStart"/>
      <w:r w:rsidR="009B2FD7" w:rsidRPr="009B2FD7">
        <w:rPr>
          <w:vertAlign w:val="subscript"/>
        </w:rPr>
        <w:t>inf</w:t>
      </w:r>
      <w:r w:rsidR="009B2FD7">
        <w:t xml:space="preserve"> </w:t>
      </w:r>
      <w:r w:rsidRPr="00A241D6">
        <w:t>)</w:t>
      </w:r>
      <w:proofErr w:type="gramEnd"/>
      <w:r w:rsidRPr="00A241D6">
        <w:t xml:space="preserve"> was at </w:t>
      </w:r>
      <w:r w:rsidR="00DF4746">
        <w:t>W</w:t>
      </w:r>
      <w:r w:rsidRPr="00A241D6">
        <w:t xml:space="preserve">eek 24, reflecting treatment on </w:t>
      </w:r>
      <w:r w:rsidR="00DF4746">
        <w:t>D</w:t>
      </w:r>
      <w:r w:rsidRPr="00A241D6">
        <w:t>ays 1 and 15.</w:t>
      </w:r>
      <w:r w:rsidR="000B3A10">
        <w:t xml:space="preserve"> </w:t>
      </w:r>
      <w:r w:rsidRPr="00A241D6">
        <w:t>The geometric mean ratio (test</w:t>
      </w:r>
      <w:r w:rsidR="009436CA">
        <w:t>/</w:t>
      </w:r>
      <w:r w:rsidRPr="00A241D6">
        <w:t>ref</w:t>
      </w:r>
      <w:r w:rsidR="00DF4746">
        <w:t>erence</w:t>
      </w:r>
      <w:r w:rsidRPr="00A241D6">
        <w:t xml:space="preserve">) </w:t>
      </w:r>
      <w:r>
        <w:t>was 1.064 (90% CI 0.968</w:t>
      </w:r>
      <w:r w:rsidR="00630419">
        <w:t xml:space="preserve"> to </w:t>
      </w:r>
      <w:r>
        <w:t>1.169)</w:t>
      </w:r>
      <w:r w:rsidR="00DF4746">
        <w:t xml:space="preserve"> and</w:t>
      </w:r>
      <w:r>
        <w:t xml:space="preserve"> </w:t>
      </w:r>
      <w:r w:rsidRPr="00A241D6">
        <w:t xml:space="preserve">similar to the </w:t>
      </w:r>
      <w:r w:rsidR="00DF4746">
        <w:t>geometric mean ration (</w:t>
      </w:r>
      <w:r w:rsidRPr="00A241D6">
        <w:t>GMR</w:t>
      </w:r>
      <w:r w:rsidR="00DF4746">
        <w:t>)</w:t>
      </w:r>
      <w:r w:rsidRPr="00A241D6">
        <w:t xml:space="preserve"> in cynomolgus monkeys (1.06).</w:t>
      </w:r>
      <w:r w:rsidR="000B3A10">
        <w:t xml:space="preserve"> </w:t>
      </w:r>
      <w:r w:rsidRPr="00A241D6">
        <w:t>5</w:t>
      </w:r>
      <w:r w:rsidR="00630419">
        <w:t xml:space="preserve"> to </w:t>
      </w:r>
      <w:r w:rsidRPr="00A241D6">
        <w:t xml:space="preserve">8 patients in each arm were excluded due to confirmed immunogenicity up to </w:t>
      </w:r>
      <w:r w:rsidR="0001103E">
        <w:t>W</w:t>
      </w:r>
      <w:r w:rsidRPr="00A241D6">
        <w:t>eek 24.</w:t>
      </w:r>
    </w:p>
    <w:p w14:paraId="7F4AA8DA" w14:textId="5171787E" w:rsidR="00296B19" w:rsidRDefault="005B7B55" w:rsidP="00DF4746">
      <w:r>
        <w:t>C</w:t>
      </w:r>
      <w:r w:rsidRPr="005B7B55">
        <w:rPr>
          <w:vertAlign w:val="subscript"/>
        </w:rPr>
        <w:t>max</w:t>
      </w:r>
      <w:r w:rsidR="00296B19" w:rsidRPr="00A241D6">
        <w:t xml:space="preserve"> after infusion 1 was also compared; the GMR was 1.133 (90% CI 1.017</w:t>
      </w:r>
      <w:r w:rsidR="00630419">
        <w:t xml:space="preserve"> to </w:t>
      </w:r>
      <w:r w:rsidR="00296B19" w:rsidRPr="00A241D6">
        <w:t>1.262), with the upper limit slightly outside the standard bioequivalence range of 0.8</w:t>
      </w:r>
      <w:r w:rsidR="00630419">
        <w:t xml:space="preserve"> to </w:t>
      </w:r>
      <w:r w:rsidR="00296B19" w:rsidRPr="00A241D6">
        <w:t>1.25.</w:t>
      </w:r>
      <w:r w:rsidR="000B3A10">
        <w:t xml:space="preserve"> </w:t>
      </w:r>
      <w:r w:rsidR="00296B19" w:rsidRPr="00A241D6">
        <w:t xml:space="preserve">Other secondary variables, including </w:t>
      </w:r>
      <w:r>
        <w:t>C</w:t>
      </w:r>
      <w:r w:rsidRPr="005B7B55">
        <w:rPr>
          <w:vertAlign w:val="subscript"/>
        </w:rPr>
        <w:t>max</w:t>
      </w:r>
      <w:r w:rsidR="00296B19" w:rsidRPr="00A241D6">
        <w:t xml:space="preserve"> for inf</w:t>
      </w:r>
      <w:r w:rsidR="0001103E">
        <w:t>usion 2, fell within this range</w:t>
      </w:r>
      <w:r w:rsidR="00296B19" w:rsidRPr="00A241D6">
        <w:t>.</w:t>
      </w:r>
      <w:r w:rsidR="000B3A10">
        <w:t xml:space="preserve"> </w:t>
      </w:r>
      <w:r w:rsidR="00296B19" w:rsidRPr="00A241D6">
        <w:t xml:space="preserve">The sponsor attributed the bioinequivalence of </w:t>
      </w:r>
      <w:r w:rsidR="00574B4F" w:rsidRPr="00574B4F">
        <w:rPr>
          <w:rFonts w:cs="Arial"/>
          <w:lang w:val="en-US"/>
        </w:rPr>
        <w:t>C</w:t>
      </w:r>
      <w:r w:rsidR="00574B4F" w:rsidRPr="00812053">
        <w:rPr>
          <w:rFonts w:cs="Arial"/>
          <w:sz w:val="18"/>
          <w:szCs w:val="18"/>
          <w:vertAlign w:val="subscript"/>
          <w:lang w:val="en-US"/>
        </w:rPr>
        <w:t>max</w:t>
      </w:r>
      <w:proofErr w:type="gramStart"/>
      <w:r w:rsidR="00630419">
        <w:rPr>
          <w:rFonts w:cs="Arial"/>
          <w:sz w:val="18"/>
          <w:szCs w:val="18"/>
          <w:vertAlign w:val="subscript"/>
          <w:lang w:val="en-US"/>
        </w:rPr>
        <w:t>,</w:t>
      </w:r>
      <w:r w:rsidR="00574B4F" w:rsidRPr="00812053">
        <w:rPr>
          <w:rFonts w:cs="Arial"/>
          <w:vertAlign w:val="subscript"/>
          <w:lang w:val="en-US"/>
        </w:rPr>
        <w:t>1</w:t>
      </w:r>
      <w:proofErr w:type="gramEnd"/>
      <w:r w:rsidR="00296B19" w:rsidRPr="00A241D6">
        <w:t xml:space="preserve"> to increased variability in infusion rates and dur</w:t>
      </w:r>
      <w:r w:rsidR="00296B19">
        <w:t>ations after the first infusion</w:t>
      </w:r>
      <w:r w:rsidR="00296B19" w:rsidRPr="00A241D6">
        <w:t>.</w:t>
      </w:r>
      <w:r w:rsidR="000B3A10">
        <w:t xml:space="preserve"> </w:t>
      </w:r>
      <w:r w:rsidR="00296B19" w:rsidRPr="00A241D6">
        <w:t>The evaluat</w:t>
      </w:r>
      <w:r w:rsidR="00296B19">
        <w:t>or</w:t>
      </w:r>
      <w:r w:rsidR="00296B19" w:rsidRPr="00A241D6">
        <w:t xml:space="preserve"> </w:t>
      </w:r>
      <w:r w:rsidR="00296B19">
        <w:t>agreed</w:t>
      </w:r>
      <w:r w:rsidR="00296B19" w:rsidRPr="00A241D6">
        <w:t xml:space="preserve"> that the t</w:t>
      </w:r>
      <w:r w:rsidR="00296B19">
        <w:t>otality of data supported the claim of bioequivalence in this study.</w:t>
      </w:r>
    </w:p>
    <w:p w14:paraId="7F4AA8DB" w14:textId="09285783" w:rsidR="00296B19" w:rsidRDefault="00296B19" w:rsidP="00DF4746">
      <w:r w:rsidRPr="00812053">
        <w:t>Study GP13-301</w:t>
      </w:r>
      <w:r w:rsidRPr="00A241D6">
        <w:t xml:space="preserve"> provided supportive PK</w:t>
      </w:r>
      <w:r>
        <w:t xml:space="preserve"> and</w:t>
      </w:r>
      <w:r w:rsidRPr="00A241D6">
        <w:t xml:space="preserve"> PD </w:t>
      </w:r>
      <w:r>
        <w:t>data</w:t>
      </w:r>
      <w:r w:rsidRPr="00A241D6">
        <w:t xml:space="preserve"> (</w:t>
      </w:r>
      <w:r>
        <w:t>from sparse sampling in n=</w:t>
      </w:r>
      <w:r w:rsidRPr="00A241D6">
        <w:t xml:space="preserve">196 with previously untreated FL; </w:t>
      </w:r>
      <w:r>
        <w:t>54/196</w:t>
      </w:r>
      <w:r w:rsidRPr="00A241D6">
        <w:t xml:space="preserve"> had extensive sampling).</w:t>
      </w:r>
      <w:r w:rsidR="000B3A10">
        <w:t xml:space="preserve"> </w:t>
      </w:r>
      <w:r w:rsidRPr="00A241D6">
        <w:t xml:space="preserve">The two rituximab versions were given with </w:t>
      </w:r>
      <w:r>
        <w:t>cyclophosphamide, vincristine and</w:t>
      </w:r>
      <w:r w:rsidRPr="00A241D6">
        <w:t xml:space="preserve"> prednisone</w:t>
      </w:r>
      <w:r>
        <w:t xml:space="preserve"> (CVP</w:t>
      </w:r>
      <w:r w:rsidRPr="00A241D6">
        <w:t>).</w:t>
      </w:r>
      <w:r w:rsidR="000B3A10">
        <w:t xml:space="preserve"> </w:t>
      </w:r>
      <w:r w:rsidRPr="00A241D6">
        <w:t xml:space="preserve">Some differences between this study and </w:t>
      </w:r>
      <w:r w:rsidR="00630419">
        <w:t xml:space="preserve">Study </w:t>
      </w:r>
      <w:r w:rsidRPr="00A241D6">
        <w:t>GP13-201 (Part I) are outlined</w:t>
      </w:r>
      <w:r w:rsidR="00630419">
        <w:t xml:space="preserve"> in Table 7, below.</w:t>
      </w:r>
    </w:p>
    <w:p w14:paraId="7F4AA8DC" w14:textId="77777777" w:rsidR="0001103E" w:rsidRPr="00A241D6" w:rsidRDefault="0001103E" w:rsidP="0001103E">
      <w:pPr>
        <w:pStyle w:val="TableTitle"/>
      </w:pPr>
      <w:r>
        <w:lastRenderedPageBreak/>
        <w:t xml:space="preserve">Table </w:t>
      </w:r>
      <w:r w:rsidR="00150AB2">
        <w:t>7</w:t>
      </w:r>
      <w:r w:rsidR="00C2705E">
        <w:t xml:space="preserve">: </w:t>
      </w:r>
      <w:r>
        <w:t>D</w:t>
      </w:r>
      <w:r w:rsidRPr="00A241D6">
        <w:t xml:space="preserve">ifferences between </w:t>
      </w:r>
      <w:r>
        <w:t>S</w:t>
      </w:r>
      <w:r w:rsidRPr="00A241D6">
        <w:t>tud</w:t>
      </w:r>
      <w:r>
        <w:t xml:space="preserve">ies </w:t>
      </w:r>
      <w:r w:rsidRPr="00A241D6">
        <w:t>GP13-</w:t>
      </w:r>
      <w:r>
        <w:t>3</w:t>
      </w:r>
      <w:r w:rsidRPr="00A241D6">
        <w:t>01 and GP13-201 (Part I)</w:t>
      </w:r>
    </w:p>
    <w:tbl>
      <w:tblPr>
        <w:tblStyle w:val="TableTGAblue"/>
        <w:tblW w:w="0" w:type="auto"/>
        <w:tblLook w:val="04A0" w:firstRow="1" w:lastRow="0" w:firstColumn="1" w:lastColumn="0" w:noHBand="0" w:noVBand="1"/>
      </w:tblPr>
      <w:tblGrid>
        <w:gridCol w:w="4358"/>
        <w:gridCol w:w="4362"/>
      </w:tblGrid>
      <w:tr w:rsidR="00296B19" w:rsidRPr="00A241D6" w14:paraId="7F4AA8DF" w14:textId="77777777" w:rsidTr="00B308D5">
        <w:trPr>
          <w:cnfStyle w:val="100000000000" w:firstRow="1" w:lastRow="0" w:firstColumn="0" w:lastColumn="0" w:oddVBand="0" w:evenVBand="0" w:oddHBand="0" w:evenHBand="0" w:firstRowFirstColumn="0" w:firstRowLastColumn="0" w:lastRowFirstColumn="0" w:lastRowLastColumn="0"/>
          <w:trHeight w:val="454"/>
        </w:trPr>
        <w:tc>
          <w:tcPr>
            <w:tcW w:w="4621" w:type="dxa"/>
          </w:tcPr>
          <w:p w14:paraId="7F4AA8DD" w14:textId="77777777" w:rsidR="00296B19" w:rsidRPr="0001103E" w:rsidRDefault="00296B19" w:rsidP="000242E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Study GP13-201 (Part I) – pivotal for PK</w:t>
            </w:r>
          </w:p>
        </w:tc>
        <w:tc>
          <w:tcPr>
            <w:tcW w:w="4621" w:type="dxa"/>
          </w:tcPr>
          <w:p w14:paraId="7F4AA8DE" w14:textId="77777777" w:rsidR="00296B19" w:rsidRPr="0001103E" w:rsidRDefault="00296B19" w:rsidP="000242E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Study GP13-301 – supportive for PK</w:t>
            </w:r>
          </w:p>
        </w:tc>
      </w:tr>
      <w:tr w:rsidR="00296B19" w:rsidRPr="00A241D6" w14:paraId="7F4AA8E2" w14:textId="77777777" w:rsidTr="00B308D5">
        <w:trPr>
          <w:trHeight w:val="516"/>
        </w:trPr>
        <w:tc>
          <w:tcPr>
            <w:tcW w:w="4621" w:type="dxa"/>
          </w:tcPr>
          <w:p w14:paraId="7F4AA8E0" w14:textId="77777777" w:rsidR="00296B19" w:rsidRPr="0001103E" w:rsidRDefault="00296B19" w:rsidP="000242E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Rheumatoid arthritis (pre-treated)</w:t>
            </w:r>
          </w:p>
        </w:tc>
        <w:tc>
          <w:tcPr>
            <w:tcW w:w="4621" w:type="dxa"/>
          </w:tcPr>
          <w:p w14:paraId="7F4AA8E1" w14:textId="77777777" w:rsidR="00296B19" w:rsidRPr="0001103E" w:rsidRDefault="00296B19" w:rsidP="000242E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Follicular lymphoma (first line)</w:t>
            </w:r>
          </w:p>
        </w:tc>
      </w:tr>
      <w:tr w:rsidR="00296B19" w:rsidRPr="00A241D6" w14:paraId="7F4AA8E5" w14:textId="77777777" w:rsidTr="00B308D5">
        <w:trPr>
          <w:trHeight w:val="963"/>
        </w:trPr>
        <w:tc>
          <w:tcPr>
            <w:tcW w:w="4621" w:type="dxa"/>
          </w:tcPr>
          <w:p w14:paraId="7F4AA8E3" w14:textId="455C73A8" w:rsidR="00296B19" w:rsidRPr="0001103E" w:rsidRDefault="00296B19" w:rsidP="0063041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 xml:space="preserve">Rituximab is given in a </w:t>
            </w:r>
            <w:r w:rsidR="00630419">
              <w:rPr>
                <w:rFonts w:asciiTheme="minorHAnsi" w:hAnsiTheme="minorHAnsi" w:cstheme="majorHAnsi"/>
                <w:sz w:val="20"/>
                <w:szCs w:val="20"/>
              </w:rPr>
              <w:t xml:space="preserve">first </w:t>
            </w:r>
            <w:r w:rsidRPr="0001103E">
              <w:rPr>
                <w:rFonts w:asciiTheme="minorHAnsi" w:hAnsiTheme="minorHAnsi" w:cstheme="majorHAnsi"/>
                <w:sz w:val="20"/>
                <w:szCs w:val="20"/>
              </w:rPr>
              <w:t>course of 1000</w:t>
            </w:r>
            <w:r w:rsidR="00630419">
              <w:rPr>
                <w:rFonts w:asciiTheme="minorHAnsi" w:hAnsiTheme="minorHAnsi" w:cstheme="majorHAnsi"/>
                <w:sz w:val="20"/>
                <w:szCs w:val="20"/>
              </w:rPr>
              <w:t> </w:t>
            </w:r>
            <w:r w:rsidRPr="0001103E">
              <w:rPr>
                <w:rFonts w:asciiTheme="minorHAnsi" w:hAnsiTheme="minorHAnsi" w:cstheme="majorHAnsi"/>
                <w:sz w:val="20"/>
                <w:szCs w:val="20"/>
              </w:rPr>
              <w:t xml:space="preserve">mg IV on days 1 and 15, and possibly a </w:t>
            </w:r>
            <w:r w:rsidR="00630419">
              <w:rPr>
                <w:rFonts w:asciiTheme="minorHAnsi" w:hAnsiTheme="minorHAnsi" w:cstheme="majorHAnsi"/>
                <w:sz w:val="20"/>
                <w:szCs w:val="20"/>
              </w:rPr>
              <w:t>second</w:t>
            </w:r>
            <w:r w:rsidR="00630419" w:rsidRPr="0001103E">
              <w:rPr>
                <w:rFonts w:asciiTheme="minorHAnsi" w:hAnsiTheme="minorHAnsi" w:cstheme="majorHAnsi"/>
                <w:sz w:val="20"/>
                <w:szCs w:val="20"/>
              </w:rPr>
              <w:t xml:space="preserve"> </w:t>
            </w:r>
            <w:r w:rsidRPr="0001103E">
              <w:rPr>
                <w:rFonts w:asciiTheme="minorHAnsi" w:hAnsiTheme="minorHAnsi" w:cstheme="majorHAnsi"/>
                <w:sz w:val="20"/>
                <w:szCs w:val="20"/>
              </w:rPr>
              <w:t>course after 26 weeks</w:t>
            </w:r>
          </w:p>
        </w:tc>
        <w:tc>
          <w:tcPr>
            <w:tcW w:w="4621" w:type="dxa"/>
          </w:tcPr>
          <w:p w14:paraId="7F4AA8E4" w14:textId="06CDC28F" w:rsidR="00296B19" w:rsidRPr="0001103E" w:rsidRDefault="00296B19" w:rsidP="0063041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Rituximab is given at a 375 mg</w:t>
            </w:r>
            <w:r w:rsidR="000A6E90" w:rsidRPr="0001103E">
              <w:rPr>
                <w:sz w:val="20"/>
                <w:szCs w:val="20"/>
              </w:rPr>
              <w:t>/m</w:t>
            </w:r>
            <w:r w:rsidR="000A6E90" w:rsidRPr="0001103E">
              <w:rPr>
                <w:sz w:val="20"/>
                <w:szCs w:val="20"/>
                <w:vertAlign w:val="superscript"/>
              </w:rPr>
              <w:t>2</w:t>
            </w:r>
            <w:r w:rsidRPr="0001103E">
              <w:rPr>
                <w:rFonts w:asciiTheme="minorHAnsi" w:hAnsiTheme="minorHAnsi" w:cstheme="majorHAnsi"/>
                <w:sz w:val="20"/>
                <w:szCs w:val="20"/>
              </w:rPr>
              <w:t xml:space="preserve"> dose on </w:t>
            </w:r>
            <w:r w:rsidR="00630419">
              <w:rPr>
                <w:rFonts w:asciiTheme="minorHAnsi" w:hAnsiTheme="minorHAnsi" w:cstheme="majorHAnsi"/>
                <w:sz w:val="20"/>
                <w:szCs w:val="20"/>
              </w:rPr>
              <w:t>D</w:t>
            </w:r>
            <w:r w:rsidR="00630419" w:rsidRPr="0001103E">
              <w:rPr>
                <w:rFonts w:asciiTheme="minorHAnsi" w:hAnsiTheme="minorHAnsi" w:cstheme="majorHAnsi"/>
                <w:sz w:val="20"/>
                <w:szCs w:val="20"/>
              </w:rPr>
              <w:t xml:space="preserve">ay </w:t>
            </w:r>
            <w:r w:rsidRPr="0001103E">
              <w:rPr>
                <w:rFonts w:asciiTheme="minorHAnsi" w:hAnsiTheme="minorHAnsi" w:cstheme="majorHAnsi"/>
                <w:sz w:val="20"/>
                <w:szCs w:val="20"/>
              </w:rPr>
              <w:t>1 every 21 days for 8 cycles (there is also a maintenance phase)</w:t>
            </w:r>
          </w:p>
        </w:tc>
      </w:tr>
      <w:tr w:rsidR="00296B19" w:rsidRPr="00A241D6" w14:paraId="7F4AA8E8" w14:textId="77777777" w:rsidTr="00B308D5">
        <w:trPr>
          <w:trHeight w:val="409"/>
        </w:trPr>
        <w:tc>
          <w:tcPr>
            <w:tcW w:w="4621" w:type="dxa"/>
          </w:tcPr>
          <w:p w14:paraId="7F4AA8E6" w14:textId="77777777" w:rsidR="00296B19" w:rsidRPr="0001103E" w:rsidRDefault="00296B19" w:rsidP="000242E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MTX (fixed dose) + folic acid is given</w:t>
            </w:r>
          </w:p>
        </w:tc>
        <w:tc>
          <w:tcPr>
            <w:tcW w:w="4621" w:type="dxa"/>
          </w:tcPr>
          <w:p w14:paraId="7F4AA8E7" w14:textId="77777777" w:rsidR="00296B19" w:rsidRPr="0001103E" w:rsidRDefault="00296B19" w:rsidP="000242E9">
            <w:pPr>
              <w:spacing w:after="0" w:line="240" w:lineRule="auto"/>
              <w:rPr>
                <w:rFonts w:asciiTheme="minorHAnsi" w:hAnsiTheme="minorHAnsi" w:cstheme="majorHAnsi"/>
                <w:sz w:val="20"/>
                <w:szCs w:val="20"/>
              </w:rPr>
            </w:pPr>
            <w:r w:rsidRPr="0001103E">
              <w:rPr>
                <w:rFonts w:asciiTheme="minorHAnsi" w:hAnsiTheme="minorHAnsi" w:cstheme="majorHAnsi"/>
                <w:sz w:val="20"/>
                <w:szCs w:val="20"/>
              </w:rPr>
              <w:t>CVP is given during the 8 cycles</w:t>
            </w:r>
          </w:p>
        </w:tc>
      </w:tr>
    </w:tbl>
    <w:p w14:paraId="7F4AA8E9" w14:textId="77777777" w:rsidR="00296B19" w:rsidRPr="00A241D6" w:rsidRDefault="00296B19" w:rsidP="0001103E">
      <w:r w:rsidRPr="00A241D6">
        <w:t>The study was not powered to show bioequiva</w:t>
      </w:r>
      <w:r w:rsidR="0001103E">
        <w:t>lence; results are descriptive</w:t>
      </w:r>
      <w:r w:rsidRPr="00A241D6">
        <w:t>.</w:t>
      </w:r>
      <w:r w:rsidR="000B3A10">
        <w:t xml:space="preserve"> </w:t>
      </w:r>
      <w:r w:rsidRPr="00A241D6">
        <w:t>There were some differences across arms (</w:t>
      </w:r>
      <w:r w:rsidR="0001103E">
        <w:t>for example, C</w:t>
      </w:r>
      <w:r w:rsidRPr="00A241D6">
        <w:t xml:space="preserve">ycle 4 </w:t>
      </w:r>
      <w:r w:rsidR="009B2FD7">
        <w:t>C</w:t>
      </w:r>
      <w:r w:rsidR="009B2FD7" w:rsidRPr="009B2FD7">
        <w:rPr>
          <w:vertAlign w:val="subscript"/>
        </w:rPr>
        <w:t>trough</w:t>
      </w:r>
      <w:r w:rsidRPr="00A241D6">
        <w:t xml:space="preserve">: median 67 µg/mL for </w:t>
      </w:r>
      <w:r w:rsidR="008A2F5F">
        <w:t>Riximyo</w:t>
      </w:r>
      <w:r w:rsidRPr="00A241D6">
        <w:t>, 81 µg/mL for MabThera, with high inter-subjects variability in both arms).</w:t>
      </w:r>
    </w:p>
    <w:p w14:paraId="7F4AA8EA" w14:textId="1EADA937" w:rsidR="00296B19" w:rsidRPr="00A241D6" w:rsidRDefault="00296B19" w:rsidP="0001103E">
      <w:r w:rsidRPr="00A241D6">
        <w:t xml:space="preserve">Studies providing </w:t>
      </w:r>
      <w:r>
        <w:t>pharmacodynamic (PD)</w:t>
      </w:r>
      <w:r w:rsidRPr="00A241D6">
        <w:t xml:space="preserve"> data are listed </w:t>
      </w:r>
      <w:r w:rsidR="0001103E">
        <w:t>in Attachment 2</w:t>
      </w:r>
      <w:r w:rsidRPr="00A241D6">
        <w:t>.</w:t>
      </w:r>
      <w:r w:rsidR="000B3A10">
        <w:t xml:space="preserve"> </w:t>
      </w:r>
      <w:r w:rsidRPr="00A241D6">
        <w:t>A key PD outcome was depletion of peripheral B cells.</w:t>
      </w:r>
      <w:r w:rsidR="000B3A10">
        <w:t xml:space="preserve"> </w:t>
      </w:r>
      <w:r w:rsidRPr="00A241D6">
        <w:t>In Study GP13-201 (Part I), B cell depletion was very comparable across arms (GMR 1.019, 95% CI 0.997</w:t>
      </w:r>
      <w:r w:rsidR="00630419">
        <w:t xml:space="preserve"> to </w:t>
      </w:r>
      <w:r w:rsidRPr="00A241D6">
        <w:t>1.042 based on percentage change in peripheral blood B cell count from day 0 to prior to second infusion on day 15).</w:t>
      </w:r>
      <w:r w:rsidR="000B3A10">
        <w:t xml:space="preserve"> </w:t>
      </w:r>
      <w:r w:rsidRPr="00A241D6">
        <w:t>The secondary PD outcomes (</w:t>
      </w:r>
      <w:r w:rsidR="0001103E">
        <w:t>such as</w:t>
      </w:r>
      <w:r w:rsidRPr="00A241D6">
        <w:t xml:space="preserve"> longer-term measures) were also very similar.</w:t>
      </w:r>
      <w:r w:rsidR="000B3A10">
        <w:t xml:space="preserve"> </w:t>
      </w:r>
      <w:r w:rsidRPr="00A241D6">
        <w:t>PD results in Study GP13-301 also supported similarity.</w:t>
      </w:r>
    </w:p>
    <w:p w14:paraId="7F4AA8EB" w14:textId="77777777" w:rsidR="00296B19" w:rsidRPr="00A241D6" w:rsidRDefault="00296B19" w:rsidP="0001103E">
      <w:pPr>
        <w:pStyle w:val="Heading5"/>
      </w:pPr>
      <w:r w:rsidRPr="00A241D6">
        <w:t>Efficacy</w:t>
      </w:r>
    </w:p>
    <w:p w14:paraId="7F4AA8EC" w14:textId="77777777" w:rsidR="00296B19" w:rsidRPr="00A241D6" w:rsidRDefault="00296B19" w:rsidP="00B308D5">
      <w:r w:rsidRPr="00A241D6">
        <w:t>There is a summary tabulation of both main efficacy studies</w:t>
      </w:r>
      <w:r w:rsidR="0001103E">
        <w:t xml:space="preserve"> in Attachment 2</w:t>
      </w:r>
      <w:r w:rsidRPr="00A241D6">
        <w:t>.</w:t>
      </w:r>
    </w:p>
    <w:p w14:paraId="7F4AA8ED" w14:textId="07415E7A" w:rsidR="00296B19" w:rsidRPr="00A241D6" w:rsidRDefault="00296B19" w:rsidP="00B308D5">
      <w:pPr>
        <w:pStyle w:val="Heading6"/>
      </w:pPr>
      <w:r w:rsidRPr="00A241D6">
        <w:t>Pivotal efficacy study</w:t>
      </w:r>
      <w:r w:rsidR="00630419">
        <w:t xml:space="preserve">: Study </w:t>
      </w:r>
      <w:r w:rsidRPr="00A241D6">
        <w:t xml:space="preserve">GP13-301 (Follicular </w:t>
      </w:r>
      <w:r w:rsidRPr="00B308D5">
        <w:t>Lymphoma</w:t>
      </w:r>
      <w:r w:rsidRPr="00A241D6">
        <w:t>)</w:t>
      </w:r>
    </w:p>
    <w:p w14:paraId="7F4AA8EE" w14:textId="71D22A56" w:rsidR="00296B19" w:rsidRPr="00A241D6" w:rsidRDefault="00630419" w:rsidP="00B308D5">
      <w:r>
        <w:t xml:space="preserve">Study </w:t>
      </w:r>
      <w:r w:rsidR="00296B19">
        <w:t>GP13-301</w:t>
      </w:r>
      <w:r w:rsidR="00296B19" w:rsidRPr="00A241D6">
        <w:t xml:space="preserve"> is described </w:t>
      </w:r>
      <w:r w:rsidR="00B308D5">
        <w:t>in Attachment 2</w:t>
      </w:r>
      <w:r w:rsidR="00296B19" w:rsidRPr="00A241D6">
        <w:t>.</w:t>
      </w:r>
      <w:r w:rsidR="000B3A10">
        <w:t xml:space="preserve"> </w:t>
      </w:r>
      <w:r w:rsidR="00296B19" w:rsidRPr="00A241D6">
        <w:t>Patients had previously untreated, advanced</w:t>
      </w:r>
      <w:r w:rsidR="00296B19">
        <w:t xml:space="preserve"> stage,</w:t>
      </w:r>
      <w:r w:rsidR="00296B19" w:rsidRPr="00A241D6">
        <w:t xml:space="preserve"> follicular lymphoma (</w:t>
      </w:r>
      <w:r w:rsidR="00805A4B">
        <w:t>Grade 1</w:t>
      </w:r>
      <w:r>
        <w:t xml:space="preserve"> to </w:t>
      </w:r>
      <w:r w:rsidR="00296B19" w:rsidRPr="00A241D6">
        <w:t>3a).</w:t>
      </w:r>
      <w:r w:rsidR="000B3A10">
        <w:t xml:space="preserve"> </w:t>
      </w:r>
      <w:r w:rsidR="00296B19" w:rsidRPr="00A241D6">
        <w:t>Rituximab treatment was double-blinded.</w:t>
      </w:r>
    </w:p>
    <w:p w14:paraId="7F4AA8EF" w14:textId="26AF120A" w:rsidR="00296B19" w:rsidRPr="00A241D6" w:rsidRDefault="00296B19" w:rsidP="00B308D5">
      <w:r w:rsidRPr="00A241D6">
        <w:t xml:space="preserve">Patients received CVP and either MabThera (EU) or </w:t>
      </w:r>
      <w:r w:rsidR="008A2F5F">
        <w:t>Riximyo</w:t>
      </w:r>
      <w:r w:rsidRPr="00A241D6">
        <w:t>, across 8 cycles, then the same rituximab version in the maintenance phase (every 3 months for 2 years).</w:t>
      </w:r>
      <w:r w:rsidR="000B3A10">
        <w:t xml:space="preserve"> </w:t>
      </w:r>
      <w:r w:rsidRPr="00A241D6">
        <w:t>629</w:t>
      </w:r>
      <w:r w:rsidR="00630419">
        <w:t> </w:t>
      </w:r>
      <w:r w:rsidRPr="00A241D6">
        <w:t>patients were randomised</w:t>
      </w:r>
      <w:r>
        <w:t xml:space="preserve"> 1:1.</w:t>
      </w:r>
    </w:p>
    <w:p w14:paraId="7F4AA8F0" w14:textId="77777777" w:rsidR="00296B19" w:rsidRPr="00A241D6" w:rsidRDefault="00B308D5" w:rsidP="00B308D5">
      <w:r>
        <w:t>A d</w:t>
      </w:r>
      <w:r w:rsidR="00296B19" w:rsidRPr="00A241D6">
        <w:t xml:space="preserve">iscussion of the ‘assay sensitivity’ inherent in this trial design is </w:t>
      </w:r>
      <w:r>
        <w:t>in Attachment 2</w:t>
      </w:r>
      <w:r w:rsidR="00296B19" w:rsidRPr="00A241D6">
        <w:t>.</w:t>
      </w:r>
      <w:r w:rsidR="000B3A10">
        <w:t xml:space="preserve"> </w:t>
      </w:r>
      <w:r w:rsidR="00296B19" w:rsidRPr="00A241D6">
        <w:t xml:space="preserve">The sponsor argued that adding rituximab to CVP has been shown </w:t>
      </w:r>
      <w:r w:rsidR="00296B19" w:rsidRPr="005A6761">
        <w:t>to increase the objective response rate and other efficacy endpoints, relative to CVP alone (Marcus et al, 2008).</w:t>
      </w:r>
      <w:r w:rsidR="005A6761" w:rsidRPr="005A6761">
        <w:rPr>
          <w:vertAlign w:val="superscript"/>
        </w:rPr>
        <w:fldChar w:fldCharType="begin"/>
      </w:r>
      <w:r w:rsidR="005A6761" w:rsidRPr="005A6761">
        <w:rPr>
          <w:vertAlign w:val="superscript"/>
        </w:rPr>
        <w:instrText xml:space="preserve"> NOTEREF _Ref514158163 \h  \* MERGEFORMAT </w:instrText>
      </w:r>
      <w:r w:rsidR="005A6761" w:rsidRPr="005A6761">
        <w:rPr>
          <w:vertAlign w:val="superscript"/>
        </w:rPr>
      </w:r>
      <w:r w:rsidR="005A6761" w:rsidRPr="005A6761">
        <w:rPr>
          <w:vertAlign w:val="superscript"/>
        </w:rPr>
        <w:fldChar w:fldCharType="separate"/>
      </w:r>
      <w:r w:rsidR="00F50530">
        <w:rPr>
          <w:vertAlign w:val="superscript"/>
        </w:rPr>
        <w:t>6</w:t>
      </w:r>
      <w:r w:rsidR="005A6761" w:rsidRPr="005A6761">
        <w:rPr>
          <w:vertAlign w:val="superscript"/>
        </w:rPr>
        <w:fldChar w:fldCharType="end"/>
      </w:r>
      <w:r w:rsidR="000B3A10" w:rsidRPr="005A6761">
        <w:t xml:space="preserve"> </w:t>
      </w:r>
      <w:r w:rsidR="00296B19" w:rsidRPr="005A6761">
        <w:t>The implication is that any potential clinically important difference in efficacy</w:t>
      </w:r>
      <w:r w:rsidR="00296B19" w:rsidRPr="00A241D6">
        <w:t xml:space="preserve"> between </w:t>
      </w:r>
      <w:r w:rsidR="008A2F5F">
        <w:t>Riximyo</w:t>
      </w:r>
      <w:r w:rsidR="00296B19" w:rsidRPr="00A241D6">
        <w:t xml:space="preserve"> + CVP and MabThera (EU) + CVP should be detectable.</w:t>
      </w:r>
      <w:r w:rsidR="000B3A10">
        <w:t xml:space="preserve"> </w:t>
      </w:r>
      <w:r w:rsidR="00296B19" w:rsidRPr="00A241D6">
        <w:t>T</w:t>
      </w:r>
      <w:r>
        <w:t>he evaluator accepted this view</w:t>
      </w:r>
      <w:r w:rsidR="00296B19" w:rsidRPr="00A241D6">
        <w:t>.</w:t>
      </w:r>
    </w:p>
    <w:p w14:paraId="7F4AA8F1" w14:textId="77777777" w:rsidR="00296B19" w:rsidRPr="00A241D6" w:rsidRDefault="00296B19" w:rsidP="00B308D5">
      <w:r w:rsidRPr="00A241D6">
        <w:t xml:space="preserve">A ‘temperature out of range’ (TOR) issue affected some medicine used in the study; this is discussed </w:t>
      </w:r>
      <w:r w:rsidR="00B308D5">
        <w:t>in Attachment 2</w:t>
      </w:r>
      <w:r w:rsidRPr="00A241D6">
        <w:t>.</w:t>
      </w:r>
      <w:r w:rsidR="000B3A10">
        <w:t xml:space="preserve"> </w:t>
      </w:r>
      <w:r w:rsidRPr="00A241D6">
        <w:t xml:space="preserve">The </w:t>
      </w:r>
      <w:r>
        <w:t xml:space="preserve">TOR </w:t>
      </w:r>
      <w:r w:rsidRPr="00A241D6">
        <w:t>issue did not appear to diminish the study’s capacity to compare the two biosimilar versions for efficacy</w:t>
      </w:r>
      <w:r w:rsidR="009436CA">
        <w:t>/</w:t>
      </w:r>
      <w:r w:rsidRPr="00A241D6">
        <w:t>safety</w:t>
      </w:r>
      <w:r w:rsidR="00B308D5">
        <w:t>,</w:t>
      </w:r>
      <w:r w:rsidRPr="00A241D6">
        <w:t xml:space="preserve"> although for both versions, </w:t>
      </w:r>
      <w:r>
        <w:t xml:space="preserve">the few </w:t>
      </w:r>
      <w:r w:rsidRPr="00A241D6">
        <w:t>patients given TOR product had a moderately higher rate of infusion-related reactions than patients given compliant product.</w:t>
      </w:r>
    </w:p>
    <w:p w14:paraId="7F4AA8F2" w14:textId="77777777" w:rsidR="00296B19" w:rsidRDefault="00296B19" w:rsidP="00B308D5">
      <w:r w:rsidRPr="00A241D6">
        <w:t xml:space="preserve">The primary objective was to show comparability in ORR (at the end of 8 cycles) across arms; ORR is defined on </w:t>
      </w:r>
      <w:r w:rsidR="00B308D5">
        <w:t>in Attachment 2</w:t>
      </w:r>
      <w:r w:rsidRPr="00A241D6">
        <w:t>.</w:t>
      </w:r>
      <w:r w:rsidR="000B3A10">
        <w:t xml:space="preserve"> </w:t>
      </w:r>
      <w:r w:rsidRPr="00A241D6">
        <w:t xml:space="preserve">ORR was based on central </w:t>
      </w:r>
      <w:r>
        <w:t xml:space="preserve">radiology </w:t>
      </w:r>
      <w:r w:rsidRPr="00A241D6">
        <w:t>review, but factored in inves</w:t>
      </w:r>
      <w:r w:rsidR="00B308D5">
        <w:t>tigator review of other aspects</w:t>
      </w:r>
      <w:r w:rsidRPr="00A241D6">
        <w:t>.</w:t>
      </w:r>
      <w:r w:rsidR="000B3A10">
        <w:t xml:space="preserve"> </w:t>
      </w:r>
      <w:r w:rsidRPr="00A241D6">
        <w:t>The evaluator discusses the use of ORR as the primary endpoint in the context of a study comparing biosimilar</w:t>
      </w:r>
      <w:r w:rsidR="009436CA">
        <w:t>/</w:t>
      </w:r>
      <w:r w:rsidRPr="00A241D6">
        <w:t>reference products for therapeutic equival</w:t>
      </w:r>
      <w:r w:rsidR="00B308D5">
        <w:t xml:space="preserve">ence </w:t>
      </w:r>
      <w:r w:rsidRPr="00A241D6">
        <w:t>and concludes that the use of ORR is appropriate in this setting.</w:t>
      </w:r>
    </w:p>
    <w:p w14:paraId="7F4AA8F3" w14:textId="2553D995" w:rsidR="00296B19" w:rsidRPr="00A241D6" w:rsidRDefault="00B308D5" w:rsidP="00B308D5">
      <w:r>
        <w:lastRenderedPageBreak/>
        <w:t>T</w:t>
      </w:r>
      <w:r w:rsidR="00296B19" w:rsidRPr="00A241D6">
        <w:t xml:space="preserve">he evaluator discusses the choice of a ±12% equivalence </w:t>
      </w:r>
      <w:r w:rsidR="00296B19" w:rsidRPr="005A6761">
        <w:t>margin and concludes this margin is appropriate.</w:t>
      </w:r>
      <w:r w:rsidR="000B3A10" w:rsidRPr="005A6761">
        <w:t xml:space="preserve"> </w:t>
      </w:r>
      <w:r w:rsidR="00296B19" w:rsidRPr="005A6761">
        <w:t>The value of 12% was based on the Marcus et al (2005) paper</w:t>
      </w:r>
      <w:r w:rsidR="0065364E">
        <w:t>;</w:t>
      </w:r>
      <w:r w:rsidR="005A6761" w:rsidRPr="005A6761">
        <w:rPr>
          <w:rStyle w:val="FootnoteReference"/>
        </w:rPr>
        <w:footnoteReference w:id="14"/>
      </w:r>
      <w:r w:rsidR="00296B19" w:rsidRPr="005A6761">
        <w:t xml:space="preserve"> that showed a difference in FL between R-CVP and CVP of 24% (95% CI 14</w:t>
      </w:r>
      <w:r w:rsidR="0065364E">
        <w:t xml:space="preserve"> to </w:t>
      </w:r>
      <w:r w:rsidR="00296B19" w:rsidRPr="005A6761">
        <w:t>34</w:t>
      </w:r>
      <w:r w:rsidR="00296B19" w:rsidRPr="00A241D6">
        <w:t>%) in ORR.</w:t>
      </w:r>
      <w:r w:rsidR="000B3A10">
        <w:t xml:space="preserve"> </w:t>
      </w:r>
      <w:r w:rsidR="00296B19" w:rsidRPr="00A241D6">
        <w:t xml:space="preserve">Strictly, this means an actual difference </w:t>
      </w:r>
      <w:r w:rsidR="00296B19">
        <w:t>as low as</w:t>
      </w:r>
      <w:r w:rsidR="00296B19" w:rsidRPr="00A241D6">
        <w:t xml:space="preserve"> 14% between R-CVP and CVP cannot be excluded with confidence, yet the current equivalence study’s delta (inferiority margin) allows an up to 12% difference in ORR between rituximab versions.</w:t>
      </w:r>
      <w:r w:rsidR="000B3A10">
        <w:t xml:space="preserve"> </w:t>
      </w:r>
      <w:r w:rsidR="00296B19" w:rsidRPr="00A241D6">
        <w:t>However, the non-inferiority margin is accepted.</w:t>
      </w:r>
    </w:p>
    <w:p w14:paraId="7F4AA8F4" w14:textId="3B55ADC2" w:rsidR="00296B19" w:rsidRPr="00A241D6" w:rsidRDefault="00296B19" w:rsidP="00B308D5">
      <w:r w:rsidRPr="00A241D6">
        <w:t xml:space="preserve">The primary efficacy outcome is </w:t>
      </w:r>
      <w:r w:rsidR="00CB18C9">
        <w:t>discussed in Attachment 2. O</w:t>
      </w:r>
      <w:r w:rsidRPr="00A241D6">
        <w:t xml:space="preserve">RR was 87.1% for </w:t>
      </w:r>
      <w:r w:rsidR="008A2F5F">
        <w:t>Riximyo</w:t>
      </w:r>
      <w:r w:rsidRPr="00A241D6">
        <w:t>, 87.5% for MabThera (difference, -0.4%; 95% CI -5.94%-5.14%).</w:t>
      </w:r>
      <w:r w:rsidR="000B3A10">
        <w:t xml:space="preserve"> </w:t>
      </w:r>
      <w:r>
        <w:t xml:space="preserve">Confidence limits </w:t>
      </w:r>
      <w:r w:rsidRPr="00A241D6">
        <w:t>were within the pre-specifi</w:t>
      </w:r>
      <w:r>
        <w:t>ed</w:t>
      </w:r>
      <w:r w:rsidRPr="00A241D6">
        <w:t xml:space="preserve"> equivalence margin.</w:t>
      </w:r>
      <w:r w:rsidR="000B3A10">
        <w:t xml:space="preserve"> </w:t>
      </w:r>
      <w:r w:rsidRPr="00A241D6">
        <w:t>A sensitivity analysis of ORR in FLIPI subgroups showed some differ</w:t>
      </w:r>
      <w:r w:rsidR="00CB18C9">
        <w:t>ences across rituximab versions;</w:t>
      </w:r>
      <w:r w:rsidRPr="00A241D6">
        <w:t xml:space="preserve"> with higher risk patients having better outcomes with </w:t>
      </w:r>
      <w:r w:rsidR="008A2F5F">
        <w:t>Riximyo</w:t>
      </w:r>
      <w:r w:rsidRPr="00A241D6">
        <w:t xml:space="preserve"> </w:t>
      </w:r>
      <w:r>
        <w:t>and</w:t>
      </w:r>
      <w:r w:rsidRPr="00A241D6">
        <w:t xml:space="preserve"> lower risk patients having </w:t>
      </w:r>
      <w:r>
        <w:t>better outcomes with MabThera.</w:t>
      </w:r>
      <w:r w:rsidR="000B3A10">
        <w:t xml:space="preserve"> </w:t>
      </w:r>
      <w:r>
        <w:t>The EPAR</w:t>
      </w:r>
      <w:r w:rsidR="002C6E3B">
        <w:rPr>
          <w:vertAlign w:val="superscript"/>
        </w:rPr>
        <w:t>11</w:t>
      </w:r>
      <w:r>
        <w:t xml:space="preserve"> notes that p</w:t>
      </w:r>
      <w:r w:rsidRPr="00A241D6">
        <w:t xml:space="preserve">atients in </w:t>
      </w:r>
      <w:r w:rsidR="00630419">
        <w:t xml:space="preserve">Study </w:t>
      </w:r>
      <w:r w:rsidRPr="00A241D6">
        <w:t>GP13-301 had a h</w:t>
      </w:r>
      <w:r>
        <w:t xml:space="preserve">igher risk at baseline (FLIPI </w:t>
      </w:r>
      <w:r w:rsidRPr="00A241D6">
        <w:t xml:space="preserve">score </w:t>
      </w:r>
      <w:r>
        <w:t>3</w:t>
      </w:r>
      <w:r w:rsidR="00630419">
        <w:t xml:space="preserve"> to </w:t>
      </w:r>
      <w:r w:rsidRPr="00A241D6">
        <w:t xml:space="preserve">5 in 56% of patients), than in </w:t>
      </w:r>
      <w:r>
        <w:t xml:space="preserve">key </w:t>
      </w:r>
      <w:r w:rsidRPr="00A241D6">
        <w:t>historical trials (22</w:t>
      </w:r>
      <w:r w:rsidR="00630419">
        <w:t xml:space="preserve"> to </w:t>
      </w:r>
      <w:r w:rsidRPr="00A241D6">
        <w:t>38%)</w:t>
      </w:r>
      <w:r>
        <w:t>.</w:t>
      </w:r>
      <w:r w:rsidR="000B3A10">
        <w:t xml:space="preserve"> </w:t>
      </w:r>
      <w:r>
        <w:t>However, it is not clear the ORR difference in FLIPI subgroups is a real effect.</w:t>
      </w:r>
    </w:p>
    <w:p w14:paraId="7F4AA8F5" w14:textId="77777777" w:rsidR="00296B19" w:rsidRPr="00A241D6" w:rsidRDefault="00296B19" w:rsidP="00B308D5">
      <w:r w:rsidRPr="00A241D6">
        <w:t>CR rates were very similar across arms and best overall response of progressive disease was seen 0.3% (</w:t>
      </w:r>
      <w:r w:rsidR="008A2F5F">
        <w:t>Riximyo</w:t>
      </w:r>
      <w:r w:rsidRPr="00A241D6">
        <w:t>)</w:t>
      </w:r>
      <w:r w:rsidR="00794474">
        <w:t xml:space="preserve"> versus </w:t>
      </w:r>
      <w:r w:rsidRPr="00A241D6">
        <w:t>1% (MabThera).</w:t>
      </w:r>
    </w:p>
    <w:p w14:paraId="7F4AA8F6" w14:textId="0795E861" w:rsidR="00296B19" w:rsidRPr="00A241D6" w:rsidRDefault="00296B19" w:rsidP="00B308D5">
      <w:r w:rsidRPr="00CB18C9">
        <w:rPr>
          <w:rStyle w:val="Heading6Char"/>
          <w:rFonts w:eastAsia="Cambria"/>
        </w:rPr>
        <w:t>Investigator-assessed PFS outcomes</w:t>
      </w:r>
      <w:r w:rsidRPr="00A241D6">
        <w:t xml:space="preserve"> differed somewhat across a</w:t>
      </w:r>
      <w:r w:rsidR="00CB18C9">
        <w:t>rms</w:t>
      </w:r>
      <w:r w:rsidRPr="00A241D6">
        <w:t>; at the July 2015 cut-off, the HR for PFS was 1.33 (90% CI 0.98</w:t>
      </w:r>
      <w:r w:rsidR="00D0058D">
        <w:t xml:space="preserve"> to </w:t>
      </w:r>
      <w:r w:rsidRPr="00A241D6">
        <w:t>1.80) favouring MabThera.</w:t>
      </w:r>
      <w:r w:rsidR="000B3A10">
        <w:t xml:space="preserve"> </w:t>
      </w:r>
      <w:r>
        <w:t xml:space="preserve">At the July 2016 cut-off, this had shifted slightly to HR 1.25 </w:t>
      </w:r>
      <w:r w:rsidRPr="00A241D6">
        <w:t>(90% CI 0.96</w:t>
      </w:r>
      <w:r w:rsidR="00D0058D">
        <w:t xml:space="preserve"> to </w:t>
      </w:r>
      <w:r w:rsidRPr="00A241D6">
        <w:t>1.61)</w:t>
      </w:r>
      <w:r>
        <w:t>; and at the Dec</w:t>
      </w:r>
      <w:r w:rsidR="00CB18C9">
        <w:t>ember</w:t>
      </w:r>
      <w:r w:rsidR="00D0058D">
        <w:t> </w:t>
      </w:r>
      <w:r>
        <w:t>2016 cut-off, the HR was 1.31 (90% CI 1.02-1.69).</w:t>
      </w:r>
      <w:r w:rsidR="000B3A10">
        <w:t xml:space="preserve"> </w:t>
      </w:r>
      <w:r>
        <w:t>Thus, despite the immaturity of PFS outcomes, there was fair stability of this result over an approximately 18</w:t>
      </w:r>
      <w:r w:rsidR="00CB18C9">
        <w:t xml:space="preserve"> </w:t>
      </w:r>
      <w:r>
        <w:t>month period.</w:t>
      </w:r>
    </w:p>
    <w:p w14:paraId="7F4AA8F7" w14:textId="77777777" w:rsidR="00296B19" w:rsidRDefault="00296B19" w:rsidP="00B308D5">
      <w:r w:rsidRPr="00A241D6">
        <w:t xml:space="preserve">The evaluator considered PFS outcomes too immature to allow comparisons to be drawn, </w:t>
      </w:r>
      <w:r w:rsidR="00CB18C9">
        <w:t>for example,</w:t>
      </w:r>
      <w:r w:rsidRPr="00A241D6">
        <w:t xml:space="preserve"> median PFS values had not been reached.</w:t>
      </w:r>
      <w:r w:rsidR="000B3A10">
        <w:t xml:space="preserve"> </w:t>
      </w:r>
      <w:r>
        <w:t>I</w:t>
      </w:r>
      <w:r w:rsidRPr="00A241D6">
        <w:t xml:space="preserve">n </w:t>
      </w:r>
      <w:r w:rsidR="00CB18C9">
        <w:t>the first round evaluation</w:t>
      </w:r>
      <w:r w:rsidRPr="00A241D6">
        <w:t xml:space="preserve"> the evaluator’s view was that PFS was more appropriate than ORR as an endpoint for the purpose of comparing therapeutic equivalence.</w:t>
      </w:r>
      <w:r w:rsidR="000B3A10">
        <w:t xml:space="preserve"> </w:t>
      </w:r>
      <w:r>
        <w:t>The</w:t>
      </w:r>
      <w:r w:rsidRPr="00A241D6">
        <w:t xml:space="preserve"> </w:t>
      </w:r>
      <w:r w:rsidRPr="001F6548">
        <w:t>most recently updated analysis</w:t>
      </w:r>
      <w:r>
        <w:t xml:space="preserve"> of OS and PFS (cut-off </w:t>
      </w:r>
      <w:r w:rsidRPr="00A241D6">
        <w:t>Dec</w:t>
      </w:r>
      <w:r>
        <w:t>ember</w:t>
      </w:r>
      <w:r w:rsidRPr="00A241D6">
        <w:t xml:space="preserve"> 2016) is </w:t>
      </w:r>
      <w:r w:rsidR="00CB18C9">
        <w:t xml:space="preserve">also </w:t>
      </w:r>
      <w:r w:rsidRPr="00A241D6">
        <w:t xml:space="preserve">referenced </w:t>
      </w:r>
      <w:r w:rsidR="00CB18C9">
        <w:t>in Attachment 2</w:t>
      </w:r>
      <w:r w:rsidRPr="00A241D6">
        <w:t>.</w:t>
      </w:r>
    </w:p>
    <w:p w14:paraId="7F4AA8F8" w14:textId="414836B9" w:rsidR="00296B19" w:rsidRDefault="00296B19" w:rsidP="00B308D5">
      <w:r>
        <w:t>The PFS curve from the initial data cut-off is included below</w:t>
      </w:r>
      <w:r w:rsidR="00D0058D">
        <w:t xml:space="preserve"> in Figure </w:t>
      </w:r>
      <w:r w:rsidR="00C764E4">
        <w:t>5</w:t>
      </w:r>
      <w:r w:rsidR="00D0058D">
        <w:t>.</w:t>
      </w:r>
    </w:p>
    <w:p w14:paraId="7F4AA8F9" w14:textId="57710A96" w:rsidR="00CB18C9" w:rsidRDefault="00CB18C9" w:rsidP="00CB18C9">
      <w:pPr>
        <w:pStyle w:val="FigureTitle"/>
      </w:pPr>
      <w:r>
        <w:lastRenderedPageBreak/>
        <w:t xml:space="preserve">Figure </w:t>
      </w:r>
      <w:r w:rsidR="00C764E4">
        <w:t>5</w:t>
      </w:r>
      <w:r w:rsidR="00D51418">
        <w:t xml:space="preserve">: </w:t>
      </w:r>
      <w:r>
        <w:t>PFS curve from the initial data cut-off</w:t>
      </w:r>
    </w:p>
    <w:p w14:paraId="7F4AA8FA" w14:textId="77777777" w:rsidR="00296B19" w:rsidRDefault="00CB18C9" w:rsidP="00296B19">
      <w:pPr>
        <w:spacing w:after="0" w:line="240" w:lineRule="auto"/>
        <w:rPr>
          <w:rFonts w:asciiTheme="minorHAnsi" w:hAnsiTheme="minorHAnsi" w:cstheme="majorHAnsi"/>
          <w:sz w:val="24"/>
          <w:szCs w:val="24"/>
        </w:rPr>
      </w:pPr>
      <w:r>
        <w:rPr>
          <w:noProof/>
          <w:lang w:eastAsia="en-AU"/>
        </w:rPr>
        <w:drawing>
          <wp:inline distT="0" distB="0" distL="0" distR="0" wp14:anchorId="7F4AA9E0" wp14:editId="7F4AA9E1">
            <wp:extent cx="5400040" cy="3154639"/>
            <wp:effectExtent l="0" t="0" r="0" b="8255"/>
            <wp:docPr id="5" name="Picture 5" descr="PFS curve from the initial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154639"/>
                    </a:xfrm>
                    <a:prstGeom prst="rect">
                      <a:avLst/>
                    </a:prstGeom>
                  </pic:spPr>
                </pic:pic>
              </a:graphicData>
            </a:graphic>
          </wp:inline>
        </w:drawing>
      </w:r>
    </w:p>
    <w:p w14:paraId="7F4AA8FB" w14:textId="77777777" w:rsidR="00296B19" w:rsidRPr="00A241D6" w:rsidRDefault="00296B19" w:rsidP="00AC4B89">
      <w:r>
        <w:t>While the sponsor claims these curves violates an assumption used to calculate the HR statistic that curves do not cross, in the view of this Delegate the curves are not crossing over to any appreciable extent.</w:t>
      </w:r>
    </w:p>
    <w:p w14:paraId="7F4AA8FC" w14:textId="77777777" w:rsidR="00296B19" w:rsidRDefault="00296B19" w:rsidP="00AC4B89">
      <w:r>
        <w:t>I</w:t>
      </w:r>
      <w:r w:rsidRPr="004B5F39">
        <w:t xml:space="preserve">f </w:t>
      </w:r>
      <w:r>
        <w:t>this divergence in PFS</w:t>
      </w:r>
      <w:r w:rsidRPr="004B5F39">
        <w:t xml:space="preserve"> were </w:t>
      </w:r>
      <w:r>
        <w:t>‘</w:t>
      </w:r>
      <w:r w:rsidRPr="004B5F39">
        <w:t>real</w:t>
      </w:r>
      <w:r>
        <w:t>’</w:t>
      </w:r>
      <w:r w:rsidRPr="004B5F39">
        <w:t xml:space="preserve">, </w:t>
      </w:r>
      <w:r>
        <w:t xml:space="preserve">biosimilarity should be ruled out (unless the difference has no impact at all on FL </w:t>
      </w:r>
      <w:proofErr w:type="gramStart"/>
      <w:r>
        <w:t>patients,</w:t>
      </w:r>
      <w:proofErr w:type="gramEnd"/>
      <w:r>
        <w:t xml:space="preserve"> and no implications at all for efficacy in other conditions).</w:t>
      </w:r>
      <w:r w:rsidR="000B3A10">
        <w:t xml:space="preserve"> </w:t>
      </w:r>
      <w:r w:rsidRPr="004B5F39">
        <w:t xml:space="preserve">This </w:t>
      </w:r>
      <w:r>
        <w:t>outcome seems</w:t>
      </w:r>
      <w:r w:rsidRPr="004B5F39">
        <w:t xml:space="preserve"> to be ascribed to chance by the sponsor.</w:t>
      </w:r>
      <w:r w:rsidR="000B3A10">
        <w:t xml:space="preserve"> </w:t>
      </w:r>
      <w:r>
        <w:t xml:space="preserve">Consistent with PFS findings (and based on the same underlying patient response data), </w:t>
      </w:r>
      <w:r w:rsidRPr="004B5F39">
        <w:t xml:space="preserve">20.9% of </w:t>
      </w:r>
      <w:r w:rsidR="008A2F5F">
        <w:t>Riximyo</w:t>
      </w:r>
      <w:r w:rsidRPr="004B5F39">
        <w:t xml:space="preserve"> patients ended treatment </w:t>
      </w:r>
      <w:r w:rsidRPr="00AC4B89">
        <w:rPr>
          <w:i/>
        </w:rPr>
        <w:t>due to disease progression</w:t>
      </w:r>
      <w:r w:rsidR="00794474">
        <w:t xml:space="preserve"> versus </w:t>
      </w:r>
      <w:r w:rsidRPr="004B5F39">
        <w:t xml:space="preserve">14.3% for MabThera, at the </w:t>
      </w:r>
      <w:r>
        <w:t>J</w:t>
      </w:r>
      <w:r w:rsidRPr="004B5F39">
        <w:t xml:space="preserve">uly </w:t>
      </w:r>
      <w:r w:rsidR="00AC4B89">
        <w:t>2016 data cut-off</w:t>
      </w:r>
      <w:r>
        <w:t>.</w:t>
      </w:r>
    </w:p>
    <w:p w14:paraId="7F4AA8FD" w14:textId="77777777" w:rsidR="00296B19" w:rsidRDefault="00296B19" w:rsidP="00AC4B89">
      <w:r w:rsidRPr="004B5F39">
        <w:t xml:space="preserve">It could be argued that ORR </w:t>
      </w:r>
      <w:r>
        <w:t>is</w:t>
      </w:r>
      <w:r w:rsidRPr="004B5F39">
        <w:t xml:space="preserve"> </w:t>
      </w:r>
      <w:r>
        <w:t>a</w:t>
      </w:r>
      <w:r w:rsidRPr="004B5F39">
        <w:t xml:space="preserve"> </w:t>
      </w:r>
      <w:r>
        <w:t>more sensitive way to identify</w:t>
      </w:r>
      <w:r w:rsidRPr="004B5F39">
        <w:t xml:space="preserve"> real differences in efficacy across biosimilar versions</w:t>
      </w:r>
      <w:r>
        <w:t>.</w:t>
      </w:r>
      <w:r w:rsidR="000B3A10">
        <w:t xml:space="preserve"> </w:t>
      </w:r>
      <w:r>
        <w:t>However,</w:t>
      </w:r>
      <w:r w:rsidRPr="004B5F39">
        <w:t xml:space="preserve"> </w:t>
      </w:r>
      <w:r w:rsidRPr="00AC4B89">
        <w:rPr>
          <w:i/>
        </w:rPr>
        <w:t>measurement of PFS identified a difference</w:t>
      </w:r>
      <w:r w:rsidRPr="004B5F39">
        <w:t xml:space="preserve"> but </w:t>
      </w:r>
      <w:r>
        <w:t>measurement of</w:t>
      </w:r>
      <w:r w:rsidRPr="004B5F39">
        <w:t xml:space="preserve"> ORR did not.</w:t>
      </w:r>
      <w:r w:rsidR="000B3A10">
        <w:t xml:space="preserve"> </w:t>
      </w:r>
      <w:r>
        <w:t>Is it plausible ORR could be closely similar, but PFS could diverge to the extent seen?</w:t>
      </w:r>
      <w:r w:rsidR="000B3A10">
        <w:t xml:space="preserve"> </w:t>
      </w:r>
      <w:r>
        <w:t xml:space="preserve">And, how is a PFS HR confidence interval that excludes 1 to be interpreted given the large amount of censoring, </w:t>
      </w:r>
      <w:r w:rsidR="00AC4B89">
        <w:t>that is,</w:t>
      </w:r>
      <w:r>
        <w:t xml:space="preserve"> the PFS data immaturity.</w:t>
      </w:r>
    </w:p>
    <w:p w14:paraId="7F4AA8FE" w14:textId="77777777" w:rsidR="00296B19" w:rsidRPr="004B5F39" w:rsidRDefault="00296B19" w:rsidP="00AC4B89">
      <w:r>
        <w:t>December 2016 data cut-off</w:t>
      </w:r>
      <w:r w:rsidRPr="004B5F39">
        <w:t xml:space="preserve"> </w:t>
      </w:r>
      <w:r>
        <w:t>overall survival outcomes</w:t>
      </w:r>
      <w:r w:rsidRPr="004B5F39">
        <w:t xml:space="preserve"> present a different picture, with the H</w:t>
      </w:r>
      <w:r>
        <w:t>R being 0.77 (90% CI 0.49-1.22), but these outcomes are so immature in an indolent lymphoma like FL as to be quite meaningless (and as reflected in the fluctuating OS HRs at different cut-offs).</w:t>
      </w:r>
      <w:r w:rsidR="000B3A10">
        <w:t xml:space="preserve"> </w:t>
      </w:r>
      <w:r w:rsidRPr="00A241D6">
        <w:t>At th</w:t>
      </w:r>
      <w:r>
        <w:t>e Dec</w:t>
      </w:r>
      <w:r w:rsidR="00AC4B89">
        <w:t>ember</w:t>
      </w:r>
      <w:r>
        <w:t xml:space="preserve"> 2016 </w:t>
      </w:r>
      <w:r w:rsidRPr="00A241D6">
        <w:t>cut-off, 23/312 GP2103 arm patients had died,</w:t>
      </w:r>
      <w:r w:rsidR="00794474">
        <w:t xml:space="preserve"> versus </w:t>
      </w:r>
      <w:r w:rsidRPr="00A241D6">
        <w:t>29/315 MabThera patients.</w:t>
      </w:r>
    </w:p>
    <w:p w14:paraId="7F4AA8FF" w14:textId="77777777" w:rsidR="00296B19" w:rsidRPr="00C93A7C" w:rsidRDefault="00296B19" w:rsidP="00AC4B89">
      <w:r w:rsidRPr="00C93A7C">
        <w:t xml:space="preserve">The worst case scenario </w:t>
      </w:r>
      <w:r>
        <w:t>may</w:t>
      </w:r>
      <w:r w:rsidRPr="00C93A7C">
        <w:t xml:space="preserve"> be that this PFS </w:t>
      </w:r>
      <w:r>
        <w:t xml:space="preserve">signal reflects real </w:t>
      </w:r>
      <w:r w:rsidRPr="00C93A7C">
        <w:t>waning of efficacy over time for the biosimilar version, relative to MabThera.</w:t>
      </w:r>
      <w:r w:rsidR="000B3A10">
        <w:t xml:space="preserve"> </w:t>
      </w:r>
      <w:r>
        <w:t>This is discussed below.</w:t>
      </w:r>
    </w:p>
    <w:p w14:paraId="7F4AA900" w14:textId="04500124" w:rsidR="00296B19" w:rsidRPr="00A241D6" w:rsidRDefault="00296B19" w:rsidP="00AC4B89">
      <w:pPr>
        <w:pStyle w:val="ListBullet"/>
      </w:pPr>
      <w:r w:rsidRPr="00A241D6">
        <w:t xml:space="preserve">In </w:t>
      </w:r>
      <w:r w:rsidR="00D0058D">
        <w:t xml:space="preserve">Study </w:t>
      </w:r>
      <w:r w:rsidRPr="00A241D6">
        <w:t xml:space="preserve">GP13-301, </w:t>
      </w:r>
      <w:r w:rsidR="009B2FD7">
        <w:t>C</w:t>
      </w:r>
      <w:r w:rsidR="009B2FD7" w:rsidRPr="009B2FD7">
        <w:rPr>
          <w:vertAlign w:val="subscript"/>
        </w:rPr>
        <w:t>trough</w:t>
      </w:r>
      <w:r w:rsidRPr="00A241D6">
        <w:t xml:space="preserve"> at </w:t>
      </w:r>
      <w:r>
        <w:t>C4 D1</w:t>
      </w:r>
      <w:r w:rsidRPr="00A241D6">
        <w:t xml:space="preserve"> was lower in patients on </w:t>
      </w:r>
      <w:r w:rsidR="008A2F5F">
        <w:t>Riximyo</w:t>
      </w:r>
      <w:r w:rsidRPr="00A241D6">
        <w:t xml:space="preserve"> than in patients on MabThera</w:t>
      </w:r>
      <w:r w:rsidR="00AC4B89">
        <w:t>;</w:t>
      </w:r>
      <w:r w:rsidRPr="00A241D6">
        <w:t xml:space="preserve"> possibly, if this </w:t>
      </w:r>
      <w:r>
        <w:t>PK difference</w:t>
      </w:r>
      <w:r w:rsidRPr="00A241D6">
        <w:t xml:space="preserve"> were real, it would be accentuated when rituximab is given every 3 months (in maintenance).</w:t>
      </w:r>
      <w:r w:rsidR="000B3A10">
        <w:t xml:space="preserve"> </w:t>
      </w:r>
      <w:r w:rsidRPr="00A241D6">
        <w:t xml:space="preserve">However, </w:t>
      </w:r>
      <w:r w:rsidR="009B2FD7">
        <w:t>C</w:t>
      </w:r>
      <w:r w:rsidR="009B2FD7" w:rsidRPr="009B2FD7">
        <w:rPr>
          <w:vertAlign w:val="subscript"/>
        </w:rPr>
        <w:t>trough</w:t>
      </w:r>
      <w:r w:rsidRPr="00A241D6">
        <w:t xml:space="preserve"> bef</w:t>
      </w:r>
      <w:r>
        <w:t>ore cycle 8 was much more comparable.</w:t>
      </w:r>
    </w:p>
    <w:p w14:paraId="7F4AA901" w14:textId="77777777" w:rsidR="00296B19" w:rsidRPr="00C93A7C" w:rsidRDefault="00296B19" w:rsidP="00AC4B89">
      <w:pPr>
        <w:pStyle w:val="ListBullet"/>
      </w:pPr>
      <w:r>
        <w:t>Decreasing efficacy</w:t>
      </w:r>
      <w:r w:rsidRPr="00A241D6">
        <w:t xml:space="preserve"> </w:t>
      </w:r>
      <w:r>
        <w:t xml:space="preserve">over time in the </w:t>
      </w:r>
      <w:r w:rsidR="008A2F5F">
        <w:t>Riximyo</w:t>
      </w:r>
      <w:r>
        <w:t xml:space="preserve"> arm could</w:t>
      </w:r>
      <w:r w:rsidRPr="00A241D6">
        <w:t xml:space="preserve"> be due to </w:t>
      </w:r>
      <w:r>
        <w:t xml:space="preserve">late </w:t>
      </w:r>
      <w:r w:rsidRPr="00A241D6">
        <w:t xml:space="preserve">onset </w:t>
      </w:r>
      <w:r>
        <w:t xml:space="preserve">of </w:t>
      </w:r>
      <w:r w:rsidRPr="00A241D6">
        <w:t>anti-drug antibod</w:t>
      </w:r>
      <w:r>
        <w:t>ies</w:t>
      </w:r>
      <w:r w:rsidRPr="00A241D6">
        <w:t xml:space="preserve">, </w:t>
      </w:r>
      <w:r w:rsidR="00AC4B89">
        <w:t>for example</w:t>
      </w:r>
      <w:r w:rsidRPr="00A241D6">
        <w:t xml:space="preserve"> if co-administration of CVP limits ADAs.</w:t>
      </w:r>
      <w:r w:rsidR="000B3A10">
        <w:t xml:space="preserve"> </w:t>
      </w:r>
      <w:r w:rsidRPr="00A241D6">
        <w:t xml:space="preserve">The sponsor supplied information about the propensity for </w:t>
      </w:r>
      <w:r>
        <w:t>rituximab</w:t>
      </w:r>
      <w:r w:rsidRPr="00A241D6">
        <w:t xml:space="preserve"> versions to provoke anti-drug antibodies, and no</w:t>
      </w:r>
      <w:r w:rsidR="00AC4B89">
        <w:t xml:space="preserve"> particular difference was seen</w:t>
      </w:r>
      <w:r>
        <w:t>:</w:t>
      </w:r>
    </w:p>
    <w:p w14:paraId="7F4AA902" w14:textId="77777777" w:rsidR="00296B19" w:rsidRPr="00A241D6" w:rsidRDefault="00296B19" w:rsidP="00AC4B89">
      <w:pPr>
        <w:pStyle w:val="ListBullet2"/>
      </w:pPr>
      <w:r w:rsidRPr="00A241D6">
        <w:lastRenderedPageBreak/>
        <w:t xml:space="preserve">In the RA </w:t>
      </w:r>
      <w:r w:rsidR="009B2FD7">
        <w:t>Study GP</w:t>
      </w:r>
      <w:r w:rsidRPr="00A241D6">
        <w:t xml:space="preserve">13-201 Part 1, </w:t>
      </w:r>
      <w:r>
        <w:t xml:space="preserve">there was a </w:t>
      </w:r>
      <w:r w:rsidRPr="00141571">
        <w:rPr>
          <w:i/>
        </w:rPr>
        <w:t>higher</w:t>
      </w:r>
      <w:r>
        <w:t xml:space="preserve"> frequency of ADAs in the MabThera arm; but </w:t>
      </w:r>
      <w:r w:rsidRPr="00A241D6">
        <w:t xml:space="preserve">3/82 had neutralising antibodies to </w:t>
      </w:r>
      <w:r w:rsidR="008A2F5F">
        <w:t>Riximyo</w:t>
      </w:r>
      <w:r w:rsidRPr="00A241D6">
        <w:t>,</w:t>
      </w:r>
      <w:r w:rsidR="00794474">
        <w:t xml:space="preserve"> versus </w:t>
      </w:r>
      <w:r w:rsidRPr="00A241D6">
        <w:t>1/84 for MabThera.</w:t>
      </w:r>
      <w:r w:rsidR="000B3A10">
        <w:t xml:space="preserve"> </w:t>
      </w:r>
      <w:r w:rsidRPr="00A241D6">
        <w:t xml:space="preserve">Only the MabThera </w:t>
      </w:r>
      <w:r>
        <w:t>patient</w:t>
      </w:r>
      <w:r w:rsidRPr="00A241D6">
        <w:t xml:space="preserve"> had neutralising antibodies </w:t>
      </w:r>
      <w:r>
        <w:t xml:space="preserve">with </w:t>
      </w:r>
      <w:r w:rsidRPr="00A241D6">
        <w:t>potential links to AEs (</w:t>
      </w:r>
      <w:r>
        <w:t>an</w:t>
      </w:r>
      <w:r w:rsidRPr="00A241D6">
        <w:t xml:space="preserve"> infusion-related reaction was reported).</w:t>
      </w:r>
    </w:p>
    <w:p w14:paraId="7F4AA903" w14:textId="2E12324F" w:rsidR="00296B19" w:rsidRPr="00A241D6" w:rsidRDefault="00296B19" w:rsidP="00AC4B89">
      <w:pPr>
        <w:pStyle w:val="ListBullet2"/>
      </w:pPr>
      <w:r w:rsidRPr="00A241D6">
        <w:t>There was no marked imbalance in frequency of neutrali</w:t>
      </w:r>
      <w:r w:rsidR="00AC4B89">
        <w:t xml:space="preserve">sing antibodies in the FL study. </w:t>
      </w:r>
      <w:r>
        <w:t>This study assessed</w:t>
      </w:r>
      <w:r w:rsidRPr="00A241D6">
        <w:t xml:space="preserve"> ADAs at end of treatment in the maintenance phase, though sample size at this time</w:t>
      </w:r>
      <w:r>
        <w:t>-</w:t>
      </w:r>
      <w:r w:rsidRPr="00A241D6">
        <w:t>point dropped off to n</w:t>
      </w:r>
      <w:r w:rsidR="00D0058D">
        <w:t xml:space="preserve"> </w:t>
      </w:r>
      <w:r w:rsidRPr="00A241D6">
        <w:t>=</w:t>
      </w:r>
      <w:r w:rsidR="00D0058D">
        <w:t xml:space="preserve"> </w:t>
      </w:r>
      <w:r w:rsidRPr="00A241D6">
        <w:t xml:space="preserve">62 in the </w:t>
      </w:r>
      <w:r w:rsidR="008A2F5F">
        <w:t>Riximyo</w:t>
      </w:r>
      <w:r w:rsidRPr="00A241D6">
        <w:t xml:space="preserve"> arm (from n=231 entering maintenance) and n=47 in the MabThera arm (from n</w:t>
      </w:r>
      <w:r w:rsidR="00D0058D">
        <w:t xml:space="preserve"> </w:t>
      </w:r>
      <w:r w:rsidRPr="00A241D6">
        <w:t>=</w:t>
      </w:r>
      <w:r w:rsidR="00D0058D">
        <w:t xml:space="preserve"> </w:t>
      </w:r>
      <w:r w:rsidRPr="00A241D6">
        <w:t>231).</w:t>
      </w:r>
      <w:r w:rsidR="000B3A10">
        <w:t xml:space="preserve"> </w:t>
      </w:r>
      <w:r w:rsidRPr="00A241D6">
        <w:t xml:space="preserve">This does not allow rigorous exclusion of the risk of longer-term development of ADAs for </w:t>
      </w:r>
      <w:r w:rsidR="008A2F5F">
        <w:t>Riximyo</w:t>
      </w:r>
      <w:r w:rsidRPr="00A241D6">
        <w:t xml:space="preserve"> relative to MabThera but the risk does seem limited.</w:t>
      </w:r>
      <w:r w:rsidR="000B3A10">
        <w:t xml:space="preserve"> </w:t>
      </w:r>
      <w:r w:rsidRPr="00A241D6">
        <w:t xml:space="preserve">PFS events (disease progression </w:t>
      </w:r>
      <w:r>
        <w:t>or death) were recorded in 3/</w:t>
      </w:r>
      <w:r w:rsidRPr="00A241D6">
        <w:t xml:space="preserve">5 </w:t>
      </w:r>
      <w:r w:rsidR="008A2F5F">
        <w:t>Riximyo</w:t>
      </w:r>
      <w:r w:rsidRPr="00A241D6">
        <w:t xml:space="preserve"> pat</w:t>
      </w:r>
      <w:r>
        <w:t>ients who had ADAs, and in 1/</w:t>
      </w:r>
      <w:r w:rsidRPr="00A241D6">
        <w:t>3 MabThera patients with ADAs</w:t>
      </w:r>
      <w:r>
        <w:t xml:space="preserve"> but no conclusions can be drawn from samples so small.</w:t>
      </w:r>
    </w:p>
    <w:p w14:paraId="7F4AA904" w14:textId="77777777" w:rsidR="00296B19" w:rsidRPr="00A241D6" w:rsidRDefault="00296B19" w:rsidP="00AC4B89">
      <w:pPr>
        <w:pStyle w:val="ListBullet2"/>
      </w:pPr>
      <w:r w:rsidRPr="00A241D6">
        <w:t xml:space="preserve">There is further discussion from </w:t>
      </w:r>
      <w:r w:rsidR="00AC4B89">
        <w:t>Attachment 2</w:t>
      </w:r>
      <w:r w:rsidRPr="00A241D6">
        <w:t xml:space="preserve"> (ADAs in FL</w:t>
      </w:r>
      <w:r w:rsidR="00794474">
        <w:t xml:space="preserve"> versus </w:t>
      </w:r>
      <w:r w:rsidRPr="00A241D6">
        <w:t>RA).</w:t>
      </w:r>
    </w:p>
    <w:p w14:paraId="7F4AA905" w14:textId="366F037C" w:rsidR="00296B19" w:rsidRPr="009911C5" w:rsidRDefault="00296B19" w:rsidP="00AC4B89">
      <w:pPr>
        <w:pStyle w:val="ListBullet2"/>
      </w:pPr>
      <w:r w:rsidRPr="00A241D6">
        <w:t xml:space="preserve">In Part II of GP13-201 one patient had neutralising antibodies </w:t>
      </w:r>
      <w:r>
        <w:t xml:space="preserve">to </w:t>
      </w:r>
      <w:r w:rsidR="008A2F5F">
        <w:t>Riximyo</w:t>
      </w:r>
      <w:r>
        <w:t xml:space="preserve"> </w:t>
      </w:r>
      <w:r w:rsidRPr="00A241D6">
        <w:t>(154</w:t>
      </w:r>
      <w:r w:rsidR="00D0058D">
        <w:t> </w:t>
      </w:r>
      <w:r w:rsidRPr="00A241D6">
        <w:t>days after the second dose).</w:t>
      </w:r>
    </w:p>
    <w:p w14:paraId="7F4AA906" w14:textId="7FF1CFAD" w:rsidR="00296B19" w:rsidRPr="00A241D6" w:rsidRDefault="00296B19" w:rsidP="00AC4B89">
      <w:r>
        <w:t>It is possible the PFS result is a chance finding, not a real effect.</w:t>
      </w:r>
      <w:r w:rsidR="000B3A10">
        <w:t xml:space="preserve"> </w:t>
      </w:r>
      <w:r w:rsidRPr="007D4C0E">
        <w:t>Is there</w:t>
      </w:r>
      <w:r w:rsidRPr="009911C5">
        <w:rPr>
          <w:b/>
        </w:rPr>
        <w:t xml:space="preserve"> </w:t>
      </w:r>
      <w:r w:rsidRPr="00AC4B89">
        <w:rPr>
          <w:i/>
        </w:rPr>
        <w:t>sufficient assurance</w:t>
      </w:r>
      <w:r>
        <w:t xml:space="preserve"> that is the case, whether via implausibility of mechanisms invoked to explain such a divergence in the context of equivalent ORR, or from more general consideration of PFS data immaturity?</w:t>
      </w:r>
      <w:r w:rsidR="000B3A10">
        <w:t xml:space="preserve"> </w:t>
      </w:r>
      <w:r>
        <w:t>T</w:t>
      </w:r>
      <w:r w:rsidRPr="00A241D6">
        <w:t>he EPAR</w:t>
      </w:r>
      <w:r w:rsidR="00AC4B89" w:rsidRPr="002C6E3B">
        <w:rPr>
          <w:vertAlign w:val="superscript"/>
        </w:rPr>
        <w:fldChar w:fldCharType="begin"/>
      </w:r>
      <w:r w:rsidR="00AC4B89" w:rsidRPr="002C6E3B">
        <w:rPr>
          <w:vertAlign w:val="superscript"/>
        </w:rPr>
        <w:instrText xml:space="preserve"> NOTEREF _Ref514151260 \h  \* MERGEFORMAT </w:instrText>
      </w:r>
      <w:r w:rsidR="00AC4B89" w:rsidRPr="002C6E3B">
        <w:rPr>
          <w:vertAlign w:val="superscript"/>
        </w:rPr>
      </w:r>
      <w:r w:rsidR="00AC4B89" w:rsidRPr="002C6E3B">
        <w:rPr>
          <w:vertAlign w:val="superscript"/>
        </w:rPr>
        <w:fldChar w:fldCharType="separate"/>
      </w:r>
      <w:r w:rsidR="002C6E3B" w:rsidRPr="002C6E3B">
        <w:rPr>
          <w:b/>
          <w:bCs/>
          <w:vertAlign w:val="superscript"/>
          <w:lang w:val="en-US"/>
        </w:rPr>
        <w:t>11</w:t>
      </w:r>
      <w:r w:rsidR="00AC4B89" w:rsidRPr="002C6E3B">
        <w:rPr>
          <w:vertAlign w:val="superscript"/>
        </w:rPr>
        <w:fldChar w:fldCharType="end"/>
      </w:r>
      <w:r w:rsidRPr="00A241D6">
        <w:t xml:space="preserve"> states </w:t>
      </w:r>
      <w:r>
        <w:t>regarding the PFS findings</w:t>
      </w:r>
      <w:r w:rsidRPr="00A241D6">
        <w:t>:</w:t>
      </w:r>
    </w:p>
    <w:p w14:paraId="7F4AA907" w14:textId="77777777" w:rsidR="00296B19" w:rsidRPr="00F6485C" w:rsidRDefault="00296B19" w:rsidP="00296B19">
      <w:pPr>
        <w:spacing w:after="0" w:line="240" w:lineRule="auto"/>
        <w:ind w:left="720"/>
        <w:rPr>
          <w:rFonts w:asciiTheme="minorHAnsi" w:hAnsiTheme="minorHAnsi"/>
          <w:i/>
          <w:sz w:val="24"/>
          <w:szCs w:val="24"/>
        </w:rPr>
      </w:pPr>
      <w:r w:rsidRPr="00F6485C">
        <w:rPr>
          <w:i/>
        </w:rPr>
        <w:t xml:space="preserve">The divergence is considered due to patient heterogeneity or random data variation rather than a real treatment effect; the study was not powered to demonstrate similarity (nor to detect a difference) in PFS between the products, and that the PFS results should be interpreted with caution. Moreover, the potential PFS difference is not reflected by an effect in CR rates at various time points (month 15, 27, 33 and at end of study). CR has been shown to correlate with OS (even as surrogate marker when measured at week 30) whereas PFS has not. [Shi Q, Flowers CR, Hiddemann W et al (2017); Thirty-months complete response as a surrogate end point in first-line follicular lymphoma therapy: An individual patient-level analysis of multiple randomized trials. J Clin Oncol 35(5): 552-560]. Furthermore, the interpretability of the PFS results is hampered by the study design (PFS assessment at only 6 month time interval, and no planned assessment for disease progression beyond 3 years follow up), the immaturity of the data, the high level of censoring (70% of the patients with main reason for censoring </w:t>
      </w:r>
      <w:r w:rsidR="0061344E" w:rsidRPr="00F6485C">
        <w:rPr>
          <w:i/>
        </w:rPr>
        <w:t>‘</w:t>
      </w:r>
      <w:r w:rsidRPr="00F6485C">
        <w:rPr>
          <w:i/>
        </w:rPr>
        <w:t>adequate assessment no longer available</w:t>
      </w:r>
      <w:r w:rsidR="0061344E" w:rsidRPr="00F6485C">
        <w:rPr>
          <w:i/>
        </w:rPr>
        <w:t>’</w:t>
      </w:r>
      <w:r w:rsidRPr="00F6485C">
        <w:rPr>
          <w:i/>
        </w:rPr>
        <w:t>, ~50% of censored patients), and median follow up time of less than 2 years</w:t>
      </w:r>
      <w:r w:rsidRPr="00F6485C">
        <w:rPr>
          <w:rFonts w:asciiTheme="minorHAnsi" w:hAnsiTheme="minorHAnsi"/>
          <w:i/>
          <w:sz w:val="24"/>
          <w:szCs w:val="24"/>
        </w:rPr>
        <w:t>.</w:t>
      </w:r>
    </w:p>
    <w:p w14:paraId="7F4AA908" w14:textId="77777777" w:rsidR="00296B19" w:rsidRPr="00A241D6" w:rsidRDefault="00296B19" w:rsidP="00F6485C">
      <w:r>
        <w:t>However, the EPAR acknowledges that the PFS signal introduces uncertainty:</w:t>
      </w:r>
    </w:p>
    <w:p w14:paraId="7F4AA909" w14:textId="77777777" w:rsidR="00296B19" w:rsidRPr="00F6485C" w:rsidRDefault="00296B19" w:rsidP="00F6485C">
      <w:pPr>
        <w:ind w:left="720"/>
        <w:rPr>
          <w:i/>
        </w:rPr>
      </w:pPr>
      <w:r w:rsidRPr="00F6485C">
        <w:rPr>
          <w:i/>
        </w:rPr>
        <w:t xml:space="preserve">In </w:t>
      </w:r>
      <w:r w:rsidR="009B2FD7" w:rsidRPr="00F6485C">
        <w:rPr>
          <w:i/>
        </w:rPr>
        <w:t>Study GP</w:t>
      </w:r>
      <w:r w:rsidRPr="00F6485C">
        <w:rPr>
          <w:i/>
        </w:rPr>
        <w:t xml:space="preserve">13-301 at (data cut-off: 31-Dec-2016) more patients in the MabThera arm are on ongoing treatment whereas a higher number of patients treated with Rixathon than MabThera ended treatment in the maintenance phase with the primary reason for discontinuation being disease progression (20.9% versus 14.3%). The HR for PFS (Rixathon/MabThera) was 1.31 (90% CI [1.02, 1.69]), at the December cut-off, in the same range as observed with the first PFS analysis (data cut off: 10-Jul-2016) where the PFS HR was calculated to be 1.25 (90% CI: [0.96, 1.61]). However, as </w:t>
      </w:r>
      <w:r w:rsidR="009B2FD7" w:rsidRPr="00F6485C">
        <w:rPr>
          <w:i/>
        </w:rPr>
        <w:t>Study GP</w:t>
      </w:r>
      <w:r w:rsidRPr="00F6485C">
        <w:rPr>
          <w:i/>
        </w:rPr>
        <w:t>13-301 was not powered for time-to-event outcomes, hence, for PFS and OS the currently observed data are still immature. Moreover, the follow-up time up to now is too short to allow for an estimation of median PFS and the number of PFS events low and the rate of censoring high. The availability of the study report will provide further information on PFS (see RMP).</w:t>
      </w:r>
    </w:p>
    <w:p w14:paraId="7F4AA90A" w14:textId="77777777" w:rsidR="00296B19" w:rsidRPr="00A241D6" w:rsidRDefault="00296B19" w:rsidP="00F6485C">
      <w:r>
        <w:t>The advice of the ACM is requested regarding PFS outcomes (see below).</w:t>
      </w:r>
    </w:p>
    <w:p w14:paraId="7F4AA90B" w14:textId="77777777" w:rsidR="00296B19" w:rsidRPr="00F6485C" w:rsidRDefault="00296B19" w:rsidP="00F6485C">
      <w:pPr>
        <w:pStyle w:val="Heading6"/>
      </w:pPr>
      <w:r w:rsidRPr="00A241D6">
        <w:lastRenderedPageBreak/>
        <w:t xml:space="preserve">Supportive efficacy </w:t>
      </w:r>
      <w:r w:rsidR="00F6485C">
        <w:t>S</w:t>
      </w:r>
      <w:r w:rsidRPr="00A241D6">
        <w:t>tudy</w:t>
      </w:r>
      <w:r w:rsidR="00F6485C">
        <w:t xml:space="preserve"> </w:t>
      </w:r>
      <w:r w:rsidRPr="00A241D6">
        <w:t>GP13-201 (Part I) (Rheumatoid Arthritis)</w:t>
      </w:r>
    </w:p>
    <w:p w14:paraId="7F4AA90C" w14:textId="77777777" w:rsidR="00296B19" w:rsidRPr="00A241D6" w:rsidRDefault="00296B19" w:rsidP="00047649">
      <w:r>
        <w:t xml:space="preserve">Study </w:t>
      </w:r>
      <w:r w:rsidRPr="00A241D6">
        <w:t xml:space="preserve">GP13-201(Part I) is described </w:t>
      </w:r>
      <w:r w:rsidR="00F6485C">
        <w:t>in Attachment 2</w:t>
      </w:r>
      <w:r w:rsidRPr="00A241D6">
        <w:t>.</w:t>
      </w:r>
      <w:r w:rsidR="000B3A10">
        <w:t xml:space="preserve"> </w:t>
      </w:r>
      <w:r w:rsidRPr="00A241D6">
        <w:t>Patients had established RA, with inadequate response or intolerance to non-biologic DMARDs and 1-3 TNF antagonists.</w:t>
      </w:r>
      <w:r w:rsidR="000B3A10">
        <w:t xml:space="preserve"> </w:t>
      </w:r>
      <w:r w:rsidRPr="00A241D6">
        <w:t>Concomitant MTX was used.</w:t>
      </w:r>
      <w:r w:rsidR="000B3A10">
        <w:t xml:space="preserve"> </w:t>
      </w:r>
      <w:r w:rsidRPr="00A241D6">
        <w:t>173 patients were randomise</w:t>
      </w:r>
      <w:r w:rsidR="00F6485C">
        <w:t xml:space="preserve">d to either </w:t>
      </w:r>
      <w:r w:rsidR="008A2F5F">
        <w:t>Riximyo</w:t>
      </w:r>
      <w:r w:rsidR="00F6485C">
        <w:t xml:space="preserve"> or MabThera</w:t>
      </w:r>
      <w:r w:rsidRPr="00A241D6">
        <w:t>.</w:t>
      </w:r>
    </w:p>
    <w:p w14:paraId="7F4AA90D" w14:textId="0BC1D002" w:rsidR="00296B19" w:rsidRPr="00A241D6" w:rsidRDefault="00296B19" w:rsidP="00047649">
      <w:r w:rsidRPr="00A241D6">
        <w:t xml:space="preserve">The study was 52 weeks </w:t>
      </w:r>
      <w:r>
        <w:t>long</w:t>
      </w:r>
      <w:r w:rsidRPr="00A241D6">
        <w:t xml:space="preserve">, with responders at </w:t>
      </w:r>
      <w:r w:rsidR="00D0058D">
        <w:t>Week</w:t>
      </w:r>
      <w:r w:rsidR="00D0058D" w:rsidRPr="00A241D6">
        <w:t xml:space="preserve"> </w:t>
      </w:r>
      <w:r w:rsidRPr="00A241D6">
        <w:t>24 eligible for re-treatment at the discretion of the investigator, if they had at least residual disease activity.</w:t>
      </w:r>
    </w:p>
    <w:p w14:paraId="7F4AA90E" w14:textId="06AF7077" w:rsidR="00296B19" w:rsidRPr="00A241D6" w:rsidRDefault="00296B19" w:rsidP="00047649">
      <w:r w:rsidRPr="00A241D6">
        <w:t xml:space="preserve">Non-inferiority of </w:t>
      </w:r>
      <w:r w:rsidR="008A2F5F">
        <w:t>Riximyo</w:t>
      </w:r>
      <w:r w:rsidRPr="00A241D6">
        <w:t xml:space="preserve"> to MabThera with respect to </w:t>
      </w:r>
      <w:r w:rsidRPr="00F6485C">
        <w:rPr>
          <w:i/>
        </w:rPr>
        <w:t>change from baseline in Disease Activity Score</w:t>
      </w:r>
      <w:r w:rsidR="00F6485C">
        <w:t xml:space="preserve"> (DAS28</w:t>
      </w:r>
      <w:r w:rsidRPr="00A241D6">
        <w:t>) at week 24 was a secondary objective.</w:t>
      </w:r>
      <w:r w:rsidR="000B3A10">
        <w:t xml:space="preserve"> </w:t>
      </w:r>
      <w:r w:rsidRPr="00A241D6">
        <w:t>A non-inferiority margin of 0.6 was pre-specified (the upper 95% CI of the difference in DAS28</w:t>
      </w:r>
      <w:r w:rsidRPr="00A241D6">
        <w:rPr>
          <w:vertAlign w:val="superscript"/>
        </w:rPr>
        <w:t>CRP</w:t>
      </w:r>
      <w:r w:rsidR="00F6485C">
        <w:t xml:space="preserve"> had to be ≤</w:t>
      </w:r>
      <w:r w:rsidR="00D0058D">
        <w:t xml:space="preserve"> </w:t>
      </w:r>
      <w:r w:rsidR="00F6485C">
        <w:t>0.6)</w:t>
      </w:r>
      <w:r w:rsidRPr="00A241D6">
        <w:t>.</w:t>
      </w:r>
      <w:r w:rsidR="000B3A10">
        <w:t xml:space="preserve"> </w:t>
      </w:r>
      <w:r>
        <w:t>O</w:t>
      </w:r>
      <w:r w:rsidRPr="00A241D6">
        <w:t>ther efficacy measures were also used, but radiological assessment of structural joint damage was not included.</w:t>
      </w:r>
    </w:p>
    <w:p w14:paraId="7F4AA90F" w14:textId="2D4C8284" w:rsidR="00296B19" w:rsidRPr="00A241D6" w:rsidRDefault="00296B19" w:rsidP="00047649">
      <w:r w:rsidRPr="00A241D6">
        <w:t xml:space="preserve">The key secondary efficacy result (change in DAS28 at week 24) is reported </w:t>
      </w:r>
      <w:r w:rsidR="00F6485C">
        <w:t>in Attachment 2</w:t>
      </w:r>
      <w:r w:rsidRPr="0050297E">
        <w:t>.</w:t>
      </w:r>
      <w:r w:rsidR="000B3A10" w:rsidRPr="0050297E">
        <w:t xml:space="preserve"> </w:t>
      </w:r>
      <w:r w:rsidRPr="0050297E">
        <w:t>The difference across arms was 0.07 (95% CI -0.328 to 0.462) (for context, the baseline DAS28</w:t>
      </w:r>
      <w:r w:rsidRPr="0050297E">
        <w:rPr>
          <w:vertAlign w:val="superscript"/>
        </w:rPr>
        <w:t>CRP</w:t>
      </w:r>
      <w:r w:rsidRPr="0050297E">
        <w:t xml:space="preserve"> scores per arm were 5.81-5.85).</w:t>
      </w:r>
      <w:r w:rsidR="000B3A10" w:rsidRPr="0050297E">
        <w:t xml:space="preserve"> </w:t>
      </w:r>
      <w:r w:rsidRPr="0050297E">
        <w:t>Non-inferiority was claimed on this basis.</w:t>
      </w:r>
      <w:r w:rsidR="000B3A10" w:rsidRPr="0050297E">
        <w:t xml:space="preserve"> </w:t>
      </w:r>
      <w:r w:rsidR="00C764E4">
        <w:t>The fi</w:t>
      </w:r>
      <w:r w:rsidRPr="0050297E">
        <w:t>gure</w:t>
      </w:r>
      <w:r w:rsidR="007B5152">
        <w:t xml:space="preserve"> </w:t>
      </w:r>
      <w:r w:rsidR="005A6761" w:rsidRPr="0050297E">
        <w:rPr>
          <w:i/>
        </w:rPr>
        <w:t>GP13</w:t>
      </w:r>
      <w:r w:rsidR="005A6761" w:rsidRPr="005A6761">
        <w:rPr>
          <w:i/>
        </w:rPr>
        <w:t xml:space="preserve">-201 – Arithmetic mean (SD) of DAS28 (CRP) by treatment over 52 weeks, PPS </w:t>
      </w:r>
      <w:r w:rsidR="00F6485C" w:rsidRPr="005A6761">
        <w:t xml:space="preserve">in Attachment 2 </w:t>
      </w:r>
      <w:r w:rsidRPr="005A6761">
        <w:t>indicates that at other</w:t>
      </w:r>
      <w:r w:rsidRPr="00A241D6">
        <w:t xml:space="preserve"> time-points, similarity was not so exact</w:t>
      </w:r>
      <w:r w:rsidR="005A6761">
        <w:t>;</w:t>
      </w:r>
      <w:r>
        <w:t xml:space="preserve"> </w:t>
      </w:r>
      <w:r w:rsidRPr="00A241D6">
        <w:t>non-inferiority was not obtained for ‘</w:t>
      </w:r>
      <w:r w:rsidRPr="00F6485C">
        <w:rPr>
          <w:i/>
        </w:rPr>
        <w:t xml:space="preserve">averaged change from baseline in DAS28 (CRP) between </w:t>
      </w:r>
      <w:r w:rsidR="00F6485C">
        <w:rPr>
          <w:i/>
        </w:rPr>
        <w:t>W</w:t>
      </w:r>
      <w:r w:rsidRPr="00F6485C">
        <w:rPr>
          <w:i/>
        </w:rPr>
        <w:t>eek 4 and 24</w:t>
      </w:r>
      <w:r w:rsidRPr="00A241D6">
        <w:t>’.</w:t>
      </w:r>
      <w:r w:rsidR="000B3A10">
        <w:t xml:space="preserve"> </w:t>
      </w:r>
      <w:r w:rsidRPr="00A241D6">
        <w:t>In comparison of ACR20, non-inferiority was also seen.</w:t>
      </w:r>
      <w:r w:rsidR="000B3A10">
        <w:t xml:space="preserve"> </w:t>
      </w:r>
      <w:r w:rsidRPr="00A241D6">
        <w:t>Other measures of efficacy did not reveal distinct differences across arms.</w:t>
      </w:r>
      <w:r w:rsidR="000B3A10">
        <w:t xml:space="preserve"> </w:t>
      </w:r>
      <w:r w:rsidRPr="00A241D6">
        <w:t>Overall, the evaluator’s view was that this study established comparable efficacy across the two rituximab versions.</w:t>
      </w:r>
    </w:p>
    <w:p w14:paraId="7F4AA910" w14:textId="5E2830F5" w:rsidR="00296B19" w:rsidRPr="00A241D6" w:rsidRDefault="00296B19" w:rsidP="00F6485C">
      <w:pPr>
        <w:pStyle w:val="Heading6"/>
      </w:pPr>
      <w:r w:rsidRPr="00A241D6">
        <w:t xml:space="preserve">Supportive efficacy </w:t>
      </w:r>
      <w:r w:rsidR="00D0058D">
        <w:t>S</w:t>
      </w:r>
      <w:r w:rsidR="00D0058D" w:rsidRPr="00A241D6">
        <w:t xml:space="preserve">tudy </w:t>
      </w:r>
      <w:r w:rsidRPr="00A241D6">
        <w:t>GP13-201 (Part II) (Rheumatoid Arthritis)</w:t>
      </w:r>
    </w:p>
    <w:p w14:paraId="7F4AA911" w14:textId="77777777" w:rsidR="00296B19" w:rsidRPr="00A241D6" w:rsidRDefault="00296B19" w:rsidP="00F6485C">
      <w:r w:rsidRPr="00A241D6">
        <w:t xml:space="preserve">Data to </w:t>
      </w:r>
      <w:r w:rsidR="00F6485C">
        <w:t>W</w:t>
      </w:r>
      <w:r w:rsidRPr="00A241D6">
        <w:t>eek 24 were included</w:t>
      </w:r>
      <w:r w:rsidR="00F6485C">
        <w:t xml:space="preserve"> in the second round evaluation</w:t>
      </w:r>
      <w:r w:rsidRPr="00A241D6">
        <w:t>.</w:t>
      </w:r>
      <w:r w:rsidR="000B3A10">
        <w:t xml:space="preserve"> </w:t>
      </w:r>
      <w:r w:rsidRPr="00A241D6">
        <w:t>The study’s aim was to provide a clinical PK bridge between MabThera (EU) and Rituxan, to facilitate a submission to the FDA.</w:t>
      </w:r>
      <w:r w:rsidR="000B3A10">
        <w:t xml:space="preserve"> </w:t>
      </w:r>
      <w:r w:rsidRPr="00A241D6">
        <w:t>The PK analysis in this Part II study included n=124 (</w:t>
      </w:r>
      <w:r w:rsidR="008A2F5F">
        <w:t>Riximyo</w:t>
      </w:r>
      <w:r w:rsidRPr="00A241D6">
        <w:t>), 80 (Rituxan) and 79 (MabThera) patients.</w:t>
      </w:r>
      <w:r w:rsidR="000B3A10">
        <w:t xml:space="preserve"> </w:t>
      </w:r>
      <w:r w:rsidRPr="00A241D6">
        <w:t>The GMR fo</w:t>
      </w:r>
      <w:r>
        <w:t xml:space="preserve">r </w:t>
      </w:r>
      <w:r w:rsidR="008A2F5F">
        <w:t>Riximyo</w:t>
      </w:r>
      <w:r w:rsidR="009436CA">
        <w:t>/</w:t>
      </w:r>
      <w:r>
        <w:t xml:space="preserve">Rituxan at </w:t>
      </w:r>
      <w:r w:rsidR="00F6485C">
        <w:t>W</w:t>
      </w:r>
      <w:r>
        <w:t xml:space="preserve">eek 24 for </w:t>
      </w:r>
      <w:r w:rsidRPr="00A241D6">
        <w:t>AUC was 1.02 (90% CI 0.925-1.108), indicated bioequivalence.</w:t>
      </w:r>
      <w:r w:rsidR="000B3A10">
        <w:t xml:space="preserve"> </w:t>
      </w:r>
      <w:r w:rsidRPr="00A241D6">
        <w:t>The GMR for Rituxan</w:t>
      </w:r>
      <w:r w:rsidR="009436CA">
        <w:t>/</w:t>
      </w:r>
      <w:r w:rsidRPr="00A241D6">
        <w:t>MabThera was 1.09 (90% CI 0.99-1.21), indicat</w:t>
      </w:r>
      <w:r>
        <w:t>ing</w:t>
      </w:r>
      <w:r w:rsidRPr="00A241D6">
        <w:t xml:space="preserve"> bioequivalence.</w:t>
      </w:r>
      <w:r w:rsidR="000B3A10">
        <w:t xml:space="preserve"> </w:t>
      </w:r>
      <w:r w:rsidRPr="00A241D6">
        <w:t xml:space="preserve">For </w:t>
      </w:r>
      <w:r w:rsidR="005B7B55">
        <w:t>C</w:t>
      </w:r>
      <w:r w:rsidR="005B7B55" w:rsidRPr="005B7B55">
        <w:rPr>
          <w:vertAlign w:val="subscript"/>
        </w:rPr>
        <w:t>max</w:t>
      </w:r>
      <w:r w:rsidRPr="00A241D6">
        <w:t>, bioequivalence was also shown.</w:t>
      </w:r>
    </w:p>
    <w:p w14:paraId="7F4AA912" w14:textId="77777777" w:rsidR="00296B19" w:rsidRPr="00A241D6" w:rsidRDefault="00296B19" w:rsidP="00F6485C">
      <w:r w:rsidRPr="00A241D6">
        <w:t xml:space="preserve">Comparison of </w:t>
      </w:r>
      <w:r w:rsidR="008A2F5F">
        <w:t>Riximyo</w:t>
      </w:r>
      <w:r w:rsidRPr="00A241D6">
        <w:t xml:space="preserve"> and MabThera was not a primary objective but the GMR would not have varied dramatically from that seen for Rituxan/MabThera.</w:t>
      </w:r>
    </w:p>
    <w:p w14:paraId="7F4AA913" w14:textId="77777777" w:rsidR="00296B19" w:rsidRPr="00A241D6" w:rsidRDefault="00296B19" w:rsidP="00F6485C">
      <w:r w:rsidRPr="00A241D6">
        <w:t>B cell depletion (based on AUEC</w:t>
      </w:r>
      <w:r w:rsidRPr="00047649">
        <w:rPr>
          <w:vertAlign w:val="subscript"/>
        </w:rPr>
        <w:t>0-14d</w:t>
      </w:r>
      <w:r w:rsidRPr="00A241D6">
        <w:t xml:space="preserve">, the area under effect curve) was ‘equivalent’ for </w:t>
      </w:r>
      <w:r w:rsidR="008A2F5F">
        <w:t>Riximyo</w:t>
      </w:r>
      <w:r w:rsidR="009436CA">
        <w:t>/</w:t>
      </w:r>
      <w:r w:rsidRPr="00A241D6">
        <w:t>Rituxan and for Rituxan</w:t>
      </w:r>
      <w:r w:rsidR="009436CA">
        <w:t>/</w:t>
      </w:r>
      <w:r w:rsidRPr="00A241D6">
        <w:t>MabThera.</w:t>
      </w:r>
    </w:p>
    <w:p w14:paraId="7F4AA914" w14:textId="77777777" w:rsidR="00296B19" w:rsidRPr="00A241D6" w:rsidRDefault="00296B19" w:rsidP="00F6485C">
      <w:r w:rsidRPr="00A241D6">
        <w:t>Change from baseline in DAS28</w:t>
      </w:r>
      <w:r w:rsidRPr="00A241D6">
        <w:rPr>
          <w:vertAlign w:val="superscript"/>
        </w:rPr>
        <w:t>CRP</w:t>
      </w:r>
      <w:r w:rsidRPr="00A241D6">
        <w:t xml:space="preserve"> at </w:t>
      </w:r>
      <w:r w:rsidR="00047649">
        <w:t>W</w:t>
      </w:r>
      <w:r w:rsidRPr="00A241D6">
        <w:t>eek 24 was assessed and non-inferiority was declared (based on a non-inferiority margin of 0.6</w:t>
      </w:r>
      <w:r>
        <w:t xml:space="preserve"> as discussed for Part I</w:t>
      </w:r>
      <w:r w:rsidRPr="00A241D6">
        <w:t>).</w:t>
      </w:r>
    </w:p>
    <w:p w14:paraId="7F4AA915" w14:textId="77777777" w:rsidR="00296B19" w:rsidRPr="00A241D6" w:rsidRDefault="00296B19" w:rsidP="00047649">
      <w:pPr>
        <w:pStyle w:val="Heading5"/>
      </w:pPr>
      <w:r w:rsidRPr="00A241D6">
        <w:t>Extrapolation of indications</w:t>
      </w:r>
    </w:p>
    <w:p w14:paraId="7F4AA916" w14:textId="77777777" w:rsidR="00296B19" w:rsidRPr="00A241D6" w:rsidRDefault="00296B19" w:rsidP="00047649">
      <w:r w:rsidRPr="00A241D6">
        <w:t>The evaluator discusses the sponsor’s justification for extrapolation of indications.</w:t>
      </w:r>
      <w:r w:rsidR="000B3A10">
        <w:t xml:space="preserve"> </w:t>
      </w:r>
      <w:r w:rsidRPr="00A241D6">
        <w:t>The sponsor has conducted efficacy trials in haematological malignancy (FL) and autoimmunity (RA)</w:t>
      </w:r>
      <w:proofErr w:type="gramStart"/>
      <w:r w:rsidRPr="00A241D6">
        <w:t>,</w:t>
      </w:r>
      <w:proofErr w:type="gramEnd"/>
      <w:r w:rsidRPr="00A241D6">
        <w:t xml:space="preserve"> although the trial in RA was presented as supportive as far as efficacy outcomes were concerned (the primary outcome was PK-related).</w:t>
      </w:r>
      <w:r w:rsidR="000B3A10">
        <w:t xml:space="preserve"> </w:t>
      </w:r>
      <w:r w:rsidRPr="00A241D6">
        <w:t>A consequence is that extrapolation can be seen, crudely, as ‘from FL to DLBCL</w:t>
      </w:r>
      <w:r w:rsidR="009436CA">
        <w:t>/</w:t>
      </w:r>
      <w:r w:rsidRPr="00A241D6">
        <w:t>CLL’ and ‘from RA to GPA/MPA’.</w:t>
      </w:r>
    </w:p>
    <w:p w14:paraId="7F4AA917" w14:textId="77777777" w:rsidR="00296B19" w:rsidRPr="00A241D6" w:rsidRDefault="00296B19" w:rsidP="00B34EBF">
      <w:r w:rsidRPr="00A241D6">
        <w:t xml:space="preserve">The sponsor justified extrapolation of the comparability across rituximab versions of </w:t>
      </w:r>
      <w:r w:rsidRPr="00047649">
        <w:rPr>
          <w:i/>
        </w:rPr>
        <w:t>PK</w:t>
      </w:r>
      <w:r w:rsidRPr="00A241D6">
        <w:t xml:space="preserve"> in RA (and also FL) to other settings.</w:t>
      </w:r>
      <w:r w:rsidR="000B3A10">
        <w:t xml:space="preserve"> </w:t>
      </w:r>
      <w:r w:rsidRPr="00A241D6">
        <w:t>Some circumstances can be envisaged where PK aspects may differ across diseases (</w:t>
      </w:r>
      <w:r w:rsidR="00047649">
        <w:t>such as</w:t>
      </w:r>
      <w:r w:rsidRPr="00A241D6">
        <w:t xml:space="preserve"> higher B cell load in CLL than FL; [sporadic] use of IVIG in CLL to treat recurrent infection, since IVIG might saturate FcRn-me</w:t>
      </w:r>
      <w:r>
        <w:t>diated clearance).</w:t>
      </w:r>
      <w:r w:rsidR="000B3A10">
        <w:t xml:space="preserve"> </w:t>
      </w:r>
      <w:r>
        <w:t>C</w:t>
      </w:r>
      <w:r w:rsidRPr="00A241D6">
        <w:t>omparability</w:t>
      </w:r>
      <w:r>
        <w:t xml:space="preserve"> of biosimilar version PK is not, however, called into question by such situations</w:t>
      </w:r>
      <w:r w:rsidRPr="00A241D6">
        <w:t>.</w:t>
      </w:r>
    </w:p>
    <w:p w14:paraId="7F4AA918" w14:textId="77777777" w:rsidR="00296B19" w:rsidRDefault="00296B19" w:rsidP="00B34EBF">
      <w:r w:rsidRPr="00A241D6">
        <w:lastRenderedPageBreak/>
        <w:t xml:space="preserve">The sponsor justified extrapolation of the comparability of </w:t>
      </w:r>
      <w:r w:rsidRPr="00047649">
        <w:rPr>
          <w:i/>
        </w:rPr>
        <w:t>PD</w:t>
      </w:r>
      <w:r w:rsidRPr="00A241D6">
        <w:t xml:space="preserve"> seen in RA (and in FL) to other settings.</w:t>
      </w:r>
      <w:r w:rsidR="000B3A10">
        <w:t xml:space="preserve"> </w:t>
      </w:r>
      <w:r w:rsidRPr="00A241D6">
        <w:t>Extrapolation would be contentious if in unstudied patient populations (DLBCL; CLL; GPA</w:t>
      </w:r>
      <w:r w:rsidR="009436CA">
        <w:t>/</w:t>
      </w:r>
      <w:r w:rsidRPr="00A241D6">
        <w:t xml:space="preserve">MPA) the importance of different mechanisms of B cell depletion varied from what is known for FL and RA, </w:t>
      </w:r>
      <w:r w:rsidRPr="00A241D6">
        <w:rPr>
          <w:i/>
        </w:rPr>
        <w:t>and</w:t>
      </w:r>
      <w:r w:rsidRPr="00A241D6">
        <w:t xml:space="preserve"> if there were large differences across rituximab versions in outcomes of functional assays of these different mechanisms of B cell depletion.</w:t>
      </w:r>
      <w:r w:rsidR="000B3A10">
        <w:t xml:space="preserve"> </w:t>
      </w:r>
      <w:r w:rsidRPr="00A241D6">
        <w:t>This is not known to b</w:t>
      </w:r>
      <w:r>
        <w:t>e the case</w:t>
      </w:r>
      <w:r w:rsidR="00047649">
        <w:t>,</w:t>
      </w:r>
      <w:r>
        <w:t xml:space="preserve"> </w:t>
      </w:r>
      <w:r w:rsidRPr="00A241D6">
        <w:t xml:space="preserve">though </w:t>
      </w:r>
      <w:r w:rsidRPr="00047649">
        <w:t>in vitro</w:t>
      </w:r>
      <w:r>
        <w:t xml:space="preserve"> data seemingly do not exclude modest difference in ADCC (see discussion of </w:t>
      </w:r>
      <w:r w:rsidR="00047649">
        <w:t>quality</w:t>
      </w:r>
      <w:r>
        <w:t xml:space="preserve"> data).</w:t>
      </w:r>
      <w:r w:rsidR="000B3A10">
        <w:t xml:space="preserve"> </w:t>
      </w:r>
      <w:r>
        <w:t>I</w:t>
      </w:r>
      <w:r w:rsidRPr="00A241D6">
        <w:t>t is also suggested that in CLL, ADCC may have a greater role than in FL.</w:t>
      </w:r>
      <w:r w:rsidR="000B3A10">
        <w:t xml:space="preserve"> </w:t>
      </w:r>
      <w:r>
        <w:t>G</w:t>
      </w:r>
      <w:r w:rsidRPr="00A241D6">
        <w:t xml:space="preserve">iven close therapeutic equivalence (in terms of ORR) in FL, these uncertainties are </w:t>
      </w:r>
      <w:r>
        <w:t xml:space="preserve">probably </w:t>
      </w:r>
      <w:r w:rsidRPr="00A241D6">
        <w:t>not sufficient to disallow extrapolation to CLL</w:t>
      </w:r>
      <w:r>
        <w:t>, but the ACM’s view is asked</w:t>
      </w:r>
      <w:r w:rsidRPr="00A241D6">
        <w:t>.</w:t>
      </w:r>
    </w:p>
    <w:p w14:paraId="7F4AA919" w14:textId="77777777" w:rsidR="00296B19" w:rsidRDefault="00296B19" w:rsidP="00B34EBF">
      <w:r w:rsidRPr="00A241D6">
        <w:t xml:space="preserve">Presented information about variation across RA, GPA and MPA in mechanism of action was more limited still but extrapolation to GPA and MPA </w:t>
      </w:r>
      <w:r>
        <w:t>is probably reasonable given the totality of comparability data provided.</w:t>
      </w:r>
    </w:p>
    <w:p w14:paraId="7F4AA91A" w14:textId="77777777" w:rsidR="00296B19" w:rsidRPr="00A241D6" w:rsidRDefault="00296B19" w:rsidP="00812053">
      <w:pPr>
        <w:pStyle w:val="Heading5"/>
        <w:spacing w:after="0" w:line="240" w:lineRule="auto"/>
      </w:pPr>
      <w:r w:rsidRPr="00A241D6">
        <w:t>Switching</w:t>
      </w:r>
    </w:p>
    <w:p w14:paraId="7F4AA91B" w14:textId="77777777" w:rsidR="00296B19" w:rsidRDefault="00296B19" w:rsidP="00047649">
      <w:r>
        <w:t>12 week</w:t>
      </w:r>
      <w:r w:rsidRPr="00A241D6">
        <w:t xml:space="preserve"> data from switching </w:t>
      </w:r>
      <w:r w:rsidR="009B2FD7">
        <w:t>Study GP</w:t>
      </w:r>
      <w:r w:rsidRPr="00A241D6">
        <w:t xml:space="preserve">13-302 in 107 RA patients were </w:t>
      </w:r>
      <w:r>
        <w:t>supplied</w:t>
      </w:r>
      <w:r w:rsidRPr="00A241D6">
        <w:t xml:space="preserve"> </w:t>
      </w:r>
      <w:r w:rsidR="00047649">
        <w:t xml:space="preserve">for </w:t>
      </w:r>
      <w:r w:rsidR="00047649" w:rsidRPr="00047649">
        <w:t>the second round evaluation</w:t>
      </w:r>
      <w:r w:rsidRPr="00A241D6">
        <w:t xml:space="preserve">, along with </w:t>
      </w:r>
      <w:r>
        <w:t>a</w:t>
      </w:r>
      <w:r w:rsidRPr="00A241D6">
        <w:t xml:space="preserve"> comment that incidence of hypersensitivity reactions and general AEs did not change meaningfully between </w:t>
      </w:r>
      <w:r w:rsidR="00047649">
        <w:t>W</w:t>
      </w:r>
      <w:r w:rsidRPr="00A241D6">
        <w:t xml:space="preserve">eek 12 and </w:t>
      </w:r>
      <w:r w:rsidR="00047649">
        <w:t>W</w:t>
      </w:r>
      <w:r w:rsidRPr="00A241D6">
        <w:t>eek 24.</w:t>
      </w:r>
      <w:r w:rsidR="000B3A10">
        <w:t xml:space="preserve"> </w:t>
      </w:r>
      <w:r>
        <w:t>No</w:t>
      </w:r>
      <w:r w:rsidRPr="00A241D6">
        <w:t xml:space="preserve"> efficacy data</w:t>
      </w:r>
      <w:r>
        <w:t xml:space="preserve"> were gathered in this study.</w:t>
      </w:r>
    </w:p>
    <w:p w14:paraId="7F4AA91C" w14:textId="5A649C2C" w:rsidR="00296B19" w:rsidRDefault="00D0058D" w:rsidP="00047649">
      <w:r>
        <w:t xml:space="preserve">Study </w:t>
      </w:r>
      <w:r w:rsidR="00296B19" w:rsidRPr="00A241D6">
        <w:t>GP13-302</w:t>
      </w:r>
      <w:r w:rsidR="00296B19">
        <w:t xml:space="preserve"> 12 week data</w:t>
      </w:r>
      <w:r w:rsidR="00296B19" w:rsidRPr="00A241D6">
        <w:t xml:space="preserve"> </w:t>
      </w:r>
      <w:r w:rsidR="00296B19">
        <w:t>are</w:t>
      </w:r>
      <w:r w:rsidR="00296B19" w:rsidRPr="00A241D6">
        <w:t xml:space="preserve"> evaluated </w:t>
      </w:r>
      <w:r w:rsidR="00047649">
        <w:t xml:space="preserve">in </w:t>
      </w:r>
      <w:r w:rsidR="00047649" w:rsidRPr="00047649">
        <w:t>Attachment 2</w:t>
      </w:r>
      <w:r w:rsidR="00296B19" w:rsidRPr="00A241D6">
        <w:t>.</w:t>
      </w:r>
      <w:r w:rsidR="000B3A10">
        <w:t xml:space="preserve"> </w:t>
      </w:r>
      <w:r w:rsidR="00296B19">
        <w:t>Some highlights are mentioned below.</w:t>
      </w:r>
    </w:p>
    <w:p w14:paraId="7F4AA91D" w14:textId="77777777" w:rsidR="00296B19" w:rsidRDefault="00296B19" w:rsidP="00047649">
      <w:pPr>
        <w:pStyle w:val="ListBullet"/>
      </w:pPr>
      <w:r w:rsidRPr="00E57896">
        <w:t xml:space="preserve">An </w:t>
      </w:r>
      <w:r>
        <w:t>AE</w:t>
      </w:r>
      <w:r w:rsidRPr="00E57896">
        <w:t xml:space="preserve"> of anaphylaxis was reported in a patient continuing </w:t>
      </w:r>
      <w:r>
        <w:t>initial</w:t>
      </w:r>
      <w:r w:rsidRPr="00E57896">
        <w:t xml:space="preserve"> rituximab</w:t>
      </w:r>
      <w:r>
        <w:t>.</w:t>
      </w:r>
    </w:p>
    <w:p w14:paraId="7F4AA91E" w14:textId="77777777" w:rsidR="00296B19" w:rsidRDefault="00296B19" w:rsidP="00047649">
      <w:pPr>
        <w:pStyle w:val="ListBullet"/>
      </w:pPr>
      <w:r w:rsidRPr="00E57896">
        <w:t xml:space="preserve">Hypersensitivity </w:t>
      </w:r>
      <w:r>
        <w:t>was</w:t>
      </w:r>
      <w:r w:rsidRPr="00E57896">
        <w:t xml:space="preserve"> </w:t>
      </w:r>
      <w:r>
        <w:t>reported</w:t>
      </w:r>
      <w:r w:rsidRPr="00E57896">
        <w:t xml:space="preserve"> in a similar perce</w:t>
      </w:r>
      <w:r>
        <w:t>ntage of patients across arms.</w:t>
      </w:r>
    </w:p>
    <w:p w14:paraId="7F4AA91F" w14:textId="77777777" w:rsidR="00296B19" w:rsidRDefault="00296B19" w:rsidP="00047649">
      <w:pPr>
        <w:pStyle w:val="ListBullet"/>
      </w:pPr>
      <w:r w:rsidRPr="00E57896">
        <w:t xml:space="preserve">Infusion-related reactions were reported in 11.3% (in those switching to </w:t>
      </w:r>
      <w:r w:rsidR="008A2F5F">
        <w:t>Riximyo</w:t>
      </w:r>
      <w:r w:rsidRPr="00E57896">
        <w:t>)</w:t>
      </w:r>
      <w:r w:rsidR="00794474">
        <w:t xml:space="preserve"> versus </w:t>
      </w:r>
      <w:r w:rsidRPr="00E57896">
        <w:t>18.5% (in those remaining</w:t>
      </w:r>
      <w:r>
        <w:t xml:space="preserve"> on their existing rituximab).</w:t>
      </w:r>
    </w:p>
    <w:p w14:paraId="7F4AA920" w14:textId="77777777" w:rsidR="00296B19" w:rsidRDefault="00296B19" w:rsidP="00047649">
      <w:pPr>
        <w:pStyle w:val="ListBullet"/>
      </w:pPr>
      <w:r w:rsidRPr="00E57896">
        <w:t xml:space="preserve">No patient transitioning to </w:t>
      </w:r>
      <w:r w:rsidR="008A2F5F">
        <w:t>Riximyo</w:t>
      </w:r>
      <w:r w:rsidRPr="00E57896">
        <w:t xml:space="preserve"> developed ADAs</w:t>
      </w:r>
      <w:r>
        <w:t>.</w:t>
      </w:r>
    </w:p>
    <w:p w14:paraId="7F4AA921" w14:textId="77777777" w:rsidR="00296B19" w:rsidRDefault="00296B19" w:rsidP="00047649">
      <w:pPr>
        <w:pStyle w:val="ListBullet"/>
      </w:pPr>
      <w:r w:rsidRPr="00E57896">
        <w:t xml:space="preserve">More patients in </w:t>
      </w:r>
      <w:r>
        <w:t xml:space="preserve">the </w:t>
      </w:r>
      <w:r w:rsidR="008A2F5F">
        <w:t>Riximyo</w:t>
      </w:r>
      <w:r>
        <w:t xml:space="preserve"> arm</w:t>
      </w:r>
      <w:r w:rsidRPr="00E57896">
        <w:t xml:space="preserve"> </w:t>
      </w:r>
      <w:r>
        <w:t>reported</w:t>
      </w:r>
      <w:r w:rsidRPr="00E57896">
        <w:t xml:space="preserve"> A</w:t>
      </w:r>
      <w:r>
        <w:t>Es.</w:t>
      </w:r>
      <w:r w:rsidR="000B3A10">
        <w:t xml:space="preserve"> </w:t>
      </w:r>
      <w:r>
        <w:t>T</w:t>
      </w:r>
      <w:r w:rsidRPr="00F014FE">
        <w:t>here was an imbalance in musculoskeletal</w:t>
      </w:r>
      <w:r w:rsidR="009436CA">
        <w:t>/</w:t>
      </w:r>
      <w:r w:rsidRPr="00F014FE">
        <w:t xml:space="preserve">connective tissue AEs (20.8% for </w:t>
      </w:r>
      <w:r w:rsidR="008A2F5F">
        <w:t>Riximyo</w:t>
      </w:r>
      <w:r w:rsidR="00794474">
        <w:t xml:space="preserve"> versus </w:t>
      </w:r>
      <w:r w:rsidRPr="00F014FE">
        <w:t>3.7% for Rituxan</w:t>
      </w:r>
      <w:r w:rsidR="009436CA">
        <w:t>/</w:t>
      </w:r>
      <w:r w:rsidRPr="00F014FE">
        <w:t>MabThera), including reports of arthralgia</w:t>
      </w:r>
      <w:r>
        <w:t>.</w:t>
      </w:r>
      <w:r w:rsidR="000B3A10">
        <w:t xml:space="preserve"> </w:t>
      </w:r>
      <w:r>
        <w:t>It would be unreasonable to place too much weight on this, given other AE categories were imbalanced in the other direction (</w:t>
      </w:r>
      <w:r w:rsidR="00047649">
        <w:t>for example,</w:t>
      </w:r>
      <w:r>
        <w:t xml:space="preserve"> </w:t>
      </w:r>
      <w:r w:rsidR="00047649">
        <w:t>gastrointestinal</w:t>
      </w:r>
      <w:r>
        <w:t xml:space="preserve"> disorder), </w:t>
      </w:r>
      <w:r>
        <w:rPr>
          <w:i/>
        </w:rPr>
        <w:t>except</w:t>
      </w:r>
      <w:r>
        <w:t xml:space="preserve"> the study did not examine efficacy, and possibly some musculoskeletal AEs reflect loss of control of RA.</w:t>
      </w:r>
    </w:p>
    <w:p w14:paraId="7F4AA922" w14:textId="77777777" w:rsidR="00296B19" w:rsidRDefault="00296B19" w:rsidP="00047649">
      <w:pPr>
        <w:pStyle w:val="ListBullet"/>
      </w:pPr>
      <w:r>
        <w:t>There was</w:t>
      </w:r>
      <w:r w:rsidRPr="00F014FE">
        <w:t xml:space="preserve"> imbalance in ‘AEs suspected to be immunologically mediated’ with 5.7% of patients in the </w:t>
      </w:r>
      <w:r w:rsidR="008A2F5F">
        <w:t>Riximyo</w:t>
      </w:r>
      <w:r w:rsidRPr="00F014FE">
        <w:t xml:space="preserve"> arm having such AEs (paraesthesia, asthma and allergic pruritus)</w:t>
      </w:r>
      <w:r w:rsidR="00794474">
        <w:t xml:space="preserve"> versus </w:t>
      </w:r>
      <w:r w:rsidRPr="00F014FE">
        <w:t xml:space="preserve">no patients in </w:t>
      </w:r>
      <w:r>
        <w:t>the other arm having such AEs.</w:t>
      </w:r>
    </w:p>
    <w:p w14:paraId="7F4AA923" w14:textId="26DEB698" w:rsidR="00296B19" w:rsidRDefault="00296B19" w:rsidP="00047649">
      <w:pPr>
        <w:pStyle w:val="ListBullet"/>
      </w:pPr>
      <w:r w:rsidRPr="00F014FE">
        <w:t xml:space="preserve">There was also an AE of serum sickness in the </w:t>
      </w:r>
      <w:r w:rsidR="008A2F5F">
        <w:t>Riximyo</w:t>
      </w:r>
      <w:r w:rsidRPr="00F014FE">
        <w:t xml:space="preserve"> arm, occurring 6 hours after first infusion (for some reason this did not make the list of AEs suspected to be immunologically mediated).</w:t>
      </w:r>
      <w:r w:rsidR="000B3A10">
        <w:t xml:space="preserve"> </w:t>
      </w:r>
      <w:r>
        <w:t>The patient had muscle aches</w:t>
      </w:r>
      <w:r w:rsidR="009436CA">
        <w:t>/</w:t>
      </w:r>
      <w:r>
        <w:t>pains</w:t>
      </w:r>
      <w:r w:rsidR="009436CA">
        <w:t>/</w:t>
      </w:r>
      <w:r>
        <w:t xml:space="preserve">fever, resolving on </w:t>
      </w:r>
      <w:r w:rsidR="00047649">
        <w:t>D</w:t>
      </w:r>
      <w:r>
        <w:t>ay 11 but causing study drug discontinuation.</w:t>
      </w:r>
      <w:r w:rsidR="000B3A10">
        <w:t xml:space="preserve"> </w:t>
      </w:r>
      <w:r w:rsidRPr="00F014FE">
        <w:t xml:space="preserve">Some features of serum sickness also fall into </w:t>
      </w:r>
      <w:r>
        <w:t>the category musculoskeletal AEs (polyarthralgia, polyarthritis), and rituximab</w:t>
      </w:r>
      <w:r w:rsidR="00047649">
        <w:t xml:space="preserve"> </w:t>
      </w:r>
      <w:r>
        <w:t>induced serum sickness may mimic exacerbations of rheumatological conditions.</w:t>
      </w:r>
      <w:bookmarkStart w:id="114" w:name="_Ref514162314"/>
      <w:r w:rsidR="00B34EBF">
        <w:rPr>
          <w:rStyle w:val="FootnoteReference"/>
        </w:rPr>
        <w:footnoteReference w:id="15"/>
      </w:r>
      <w:bookmarkEnd w:id="114"/>
      <w:r w:rsidR="000B3A10">
        <w:t xml:space="preserve"> </w:t>
      </w:r>
      <w:r>
        <w:t xml:space="preserve">Serum sickness with rituximab may occur earlier than the 7-21 days commonly reported for drugs (6.6 ± 3.8 days in 33 cases retrieved from the literature by </w:t>
      </w:r>
      <w:proofErr w:type="spellStart"/>
      <w:r>
        <w:t>Karmacharya</w:t>
      </w:r>
      <w:proofErr w:type="spellEnd"/>
      <w:r>
        <w:t xml:space="preserve"> et al</w:t>
      </w:r>
      <w:r w:rsidR="00D0058D">
        <w:t>.</w:t>
      </w:r>
      <w:r w:rsidR="00E808E8" w:rsidRPr="00E808E8">
        <w:rPr>
          <w:vertAlign w:val="superscript"/>
        </w:rPr>
        <w:fldChar w:fldCharType="begin"/>
      </w:r>
      <w:r w:rsidR="00E808E8" w:rsidRPr="00E808E8">
        <w:rPr>
          <w:vertAlign w:val="superscript"/>
        </w:rPr>
        <w:instrText xml:space="preserve"> NOTEREF _Ref514162314 \h </w:instrText>
      </w:r>
      <w:r w:rsidR="00E808E8">
        <w:rPr>
          <w:vertAlign w:val="superscript"/>
        </w:rPr>
        <w:instrText xml:space="preserve"> \* MERGEFORMAT </w:instrText>
      </w:r>
      <w:r w:rsidR="00E808E8" w:rsidRPr="00E808E8">
        <w:rPr>
          <w:vertAlign w:val="superscript"/>
        </w:rPr>
      </w:r>
      <w:r w:rsidR="00E808E8" w:rsidRPr="00E808E8">
        <w:rPr>
          <w:vertAlign w:val="superscript"/>
        </w:rPr>
        <w:fldChar w:fldCharType="separate"/>
      </w:r>
      <w:r w:rsidR="00F50530">
        <w:rPr>
          <w:vertAlign w:val="superscript"/>
        </w:rPr>
        <w:t>14</w:t>
      </w:r>
      <w:r w:rsidR="00E808E8" w:rsidRPr="00E808E8">
        <w:rPr>
          <w:vertAlign w:val="superscript"/>
        </w:rPr>
        <w:fldChar w:fldCharType="end"/>
      </w:r>
      <w:r w:rsidR="00E808E8">
        <w:t>)</w:t>
      </w:r>
      <w:r>
        <w:t xml:space="preserve"> </w:t>
      </w:r>
      <w:proofErr w:type="gramStart"/>
      <w:r>
        <w:t>but</w:t>
      </w:r>
      <w:proofErr w:type="gramEnd"/>
      <w:r>
        <w:t xml:space="preserve"> this AE occurred 6 hours after infusion, so it is not clear if the AE is a classic example of rituximab-induced serum sickness.</w:t>
      </w:r>
    </w:p>
    <w:p w14:paraId="7F4AA924" w14:textId="77777777" w:rsidR="00047649" w:rsidRDefault="00047649" w:rsidP="00047649">
      <w:pPr>
        <w:pStyle w:val="Heading6"/>
      </w:pPr>
      <w:r>
        <w:lastRenderedPageBreak/>
        <w:t>Question for sponsor</w:t>
      </w:r>
    </w:p>
    <w:p w14:paraId="7F4AA925" w14:textId="77777777" w:rsidR="00047649" w:rsidRPr="00047649" w:rsidRDefault="00047649" w:rsidP="00047649">
      <w:pPr>
        <w:rPr>
          <w:i/>
        </w:rPr>
      </w:pPr>
      <w:r w:rsidRPr="00047649">
        <w:rPr>
          <w:i/>
        </w:rPr>
        <w:t>Can other instances of serum sickness be ruled out in this study, based on review of grouped signs and symptoms and investigator diagnoses?</w:t>
      </w:r>
    </w:p>
    <w:p w14:paraId="7F4AA926" w14:textId="77777777" w:rsidR="00296B19" w:rsidRDefault="00E808E8" w:rsidP="00047649">
      <w:r>
        <w:t xml:space="preserve">The </w:t>
      </w:r>
      <w:r w:rsidR="00296B19">
        <w:t xml:space="preserve">24 week outcomes were supplied after the TGA evaluation phase </w:t>
      </w:r>
      <w:r>
        <w:t>and</w:t>
      </w:r>
      <w:r w:rsidR="00296B19">
        <w:t xml:space="preserve"> have </w:t>
      </w:r>
      <w:r>
        <w:t xml:space="preserve">therefore </w:t>
      </w:r>
      <w:r w:rsidR="00296B19">
        <w:t>not been seen by the clinical evaluator.</w:t>
      </w:r>
      <w:r w:rsidR="000B3A10">
        <w:t xml:space="preserve"> </w:t>
      </w:r>
      <w:r w:rsidR="00296B19">
        <w:t>The Delegate has conducted a limited review:</w:t>
      </w:r>
    </w:p>
    <w:p w14:paraId="7F4AA927" w14:textId="77777777" w:rsidR="00296B19" w:rsidRDefault="00296B19" w:rsidP="00047649">
      <w:pPr>
        <w:pStyle w:val="ListBullet"/>
      </w:pPr>
      <w:r w:rsidRPr="008604C2">
        <w:t>ADAs up</w:t>
      </w:r>
      <w:r w:rsidR="00047649">
        <w:t xml:space="preserve"> to W</w:t>
      </w:r>
      <w:r>
        <w:t>eek 24 remained infrequent, with the only baseline negative ADA seen in a patient in the Rituxan</w:t>
      </w:r>
      <w:r w:rsidR="009436CA">
        <w:t>/</w:t>
      </w:r>
      <w:r>
        <w:t>MabThera arm.</w:t>
      </w:r>
    </w:p>
    <w:p w14:paraId="7F4AA928" w14:textId="77777777" w:rsidR="00296B19" w:rsidRDefault="00296B19" w:rsidP="00047649">
      <w:pPr>
        <w:pStyle w:val="ListBullet"/>
      </w:pPr>
      <w:r w:rsidRPr="008604C2">
        <w:t>AEs were reported in 69.8% (</w:t>
      </w:r>
      <w:r w:rsidR="008A2F5F">
        <w:t>Riximyo</w:t>
      </w:r>
      <w:r>
        <w:t>)</w:t>
      </w:r>
      <w:r w:rsidR="00794474">
        <w:t xml:space="preserve"> versus </w:t>
      </w:r>
      <w:r>
        <w:t>51.9% (Rituxan</w:t>
      </w:r>
      <w:r w:rsidR="009436CA">
        <w:t>/</w:t>
      </w:r>
      <w:r>
        <w:t>MabThera) but AEs suspected of being drug-related were seen in 11%</w:t>
      </w:r>
      <w:r w:rsidR="00794474">
        <w:t xml:space="preserve"> versus </w:t>
      </w:r>
      <w:r>
        <w:t>20% respectively.</w:t>
      </w:r>
    </w:p>
    <w:p w14:paraId="7F4AA929" w14:textId="46EB196B" w:rsidR="00296B19" w:rsidRDefault="00296B19" w:rsidP="00047649">
      <w:pPr>
        <w:pStyle w:val="ListBullet"/>
      </w:pPr>
      <w:r>
        <w:t>An imbalance in musculoskeletal AEs remained (20.8%</w:t>
      </w:r>
      <w:r w:rsidR="00794474">
        <w:t xml:space="preserve"> versus </w:t>
      </w:r>
      <w:r>
        <w:t>7.4%); the imbalance in GI disorders remained.</w:t>
      </w:r>
      <w:r w:rsidR="000B3A10">
        <w:t xml:space="preserve"> </w:t>
      </w:r>
      <w:r>
        <w:t>Within preferred terms, it is noted the specific AE of ‘worsening of RA’ was seen in 3.7</w:t>
      </w:r>
      <w:r w:rsidR="00D0058D">
        <w:t xml:space="preserve"> to </w:t>
      </w:r>
      <w:r>
        <w:t>3.8% across arms.</w:t>
      </w:r>
      <w:r w:rsidR="000B3A10">
        <w:t xml:space="preserve"> </w:t>
      </w:r>
      <w:r>
        <w:t>However, ‘arthralgia’ was reported in 5.7% (</w:t>
      </w:r>
      <w:r w:rsidR="008A2F5F">
        <w:t>Riximyo</w:t>
      </w:r>
      <w:r>
        <w:t>)</w:t>
      </w:r>
      <w:r w:rsidR="00794474">
        <w:t xml:space="preserve"> versus </w:t>
      </w:r>
      <w:r>
        <w:t>0% (innovator).</w:t>
      </w:r>
    </w:p>
    <w:p w14:paraId="7F4AA92A" w14:textId="77777777" w:rsidR="00296B19" w:rsidRPr="008604C2" w:rsidRDefault="00296B19" w:rsidP="00047649">
      <w:pPr>
        <w:pStyle w:val="ListBullet"/>
      </w:pPr>
      <w:r>
        <w:t xml:space="preserve">One patient in the </w:t>
      </w:r>
      <w:r w:rsidR="008A2F5F">
        <w:t>Riximyo</w:t>
      </w:r>
      <w:r>
        <w:t xml:space="preserve"> arm who received high dose corticosteroids to treat a hypersensitivity event was excluded from the per protocol analysis.</w:t>
      </w:r>
    </w:p>
    <w:p w14:paraId="7F4AA92B" w14:textId="77777777" w:rsidR="00296B19" w:rsidRPr="00A241D6" w:rsidRDefault="00296B19" w:rsidP="00F32801">
      <w:pPr>
        <w:pStyle w:val="Heading5"/>
      </w:pPr>
      <w:r w:rsidRPr="00A241D6">
        <w:t>Safety</w:t>
      </w:r>
    </w:p>
    <w:p w14:paraId="7F4AA92C" w14:textId="77777777" w:rsidR="00296B19" w:rsidRPr="00A241D6" w:rsidRDefault="00296B19" w:rsidP="00B34EBF">
      <w:r w:rsidRPr="00A241D6">
        <w:t xml:space="preserve">Studies </w:t>
      </w:r>
      <w:r>
        <w:t>noted</w:t>
      </w:r>
      <w:r w:rsidRPr="00A241D6">
        <w:t xml:space="preserve"> in relation to PK and efficacy formed the safety dataset.</w:t>
      </w:r>
      <w:r w:rsidR="000B3A10">
        <w:t xml:space="preserve"> </w:t>
      </w:r>
      <w:r w:rsidRPr="00A241D6">
        <w:t xml:space="preserve">Exposure is discussed </w:t>
      </w:r>
      <w:r w:rsidR="0029765F">
        <w:t>in</w:t>
      </w:r>
      <w:r w:rsidRPr="00A241D6">
        <w:t xml:space="preserve"> </w:t>
      </w:r>
      <w:r w:rsidR="0029765F" w:rsidRPr="0029765F">
        <w:t>Attachment 2</w:t>
      </w:r>
      <w:r w:rsidRPr="00A241D6">
        <w:t>.</w:t>
      </w:r>
      <w:r w:rsidR="000B3A10">
        <w:t xml:space="preserve"> </w:t>
      </w:r>
      <w:r w:rsidRPr="00A241D6">
        <w:t>In RA patients, follow-up was for 52 weeks; in FL patients, for up to 3 years.</w:t>
      </w:r>
    </w:p>
    <w:p w14:paraId="7F4AA92D" w14:textId="443B05B9" w:rsidR="00296B19" w:rsidRPr="00A241D6" w:rsidRDefault="00296B19" w:rsidP="00B34EBF">
      <w:r w:rsidRPr="00A241D6">
        <w:t xml:space="preserve">In RA (Study GP13-201, Part I), </w:t>
      </w:r>
      <w:r>
        <w:t>the safety profile was comparable</w:t>
      </w:r>
      <w:r w:rsidRPr="00A241D6">
        <w:t xml:space="preserve">, </w:t>
      </w:r>
      <w:r>
        <w:t>with</w:t>
      </w:r>
      <w:r w:rsidRPr="00A241D6">
        <w:t xml:space="preserve"> no </w:t>
      </w:r>
      <w:r>
        <w:t xml:space="preserve">clear </w:t>
      </w:r>
      <w:r w:rsidRPr="00A241D6">
        <w:t xml:space="preserve">sign of increased drug-related SAEs or infusion-related reactions with </w:t>
      </w:r>
      <w:r w:rsidR="008A2F5F">
        <w:t>Riximyo</w:t>
      </w:r>
      <w:r w:rsidRPr="00A241D6">
        <w:t>.</w:t>
      </w:r>
      <w:r w:rsidR="000B3A10">
        <w:t xml:space="preserve"> </w:t>
      </w:r>
      <w:r w:rsidRPr="00A241D6">
        <w:t>In FL (Study</w:t>
      </w:r>
      <w:r w:rsidR="00D0058D">
        <w:t> </w:t>
      </w:r>
      <w:r w:rsidRPr="00A241D6">
        <w:t>GP13-301), there was again comparability of the toxicity profile, with drug-related SAEs and potential infusion-related reactions occurring at similar rates across arms.</w:t>
      </w:r>
    </w:p>
    <w:p w14:paraId="7F4AA92E" w14:textId="77777777" w:rsidR="00296B19" w:rsidRPr="00A241D6" w:rsidRDefault="00296B19" w:rsidP="00B34EBF">
      <w:r w:rsidRPr="00A241D6">
        <w:t>At the preferred term level, there were many differences across arms (</w:t>
      </w:r>
      <w:r w:rsidR="0029765F">
        <w:t xml:space="preserve">for example see </w:t>
      </w:r>
      <w:r w:rsidRPr="00A241D6">
        <w:t>RA Study GP13-201</w:t>
      </w:r>
      <w:r w:rsidR="0029765F">
        <w:t xml:space="preserve"> in </w:t>
      </w:r>
      <w:r w:rsidR="0029765F" w:rsidRPr="0029765F">
        <w:t>Attachment 2</w:t>
      </w:r>
      <w:r w:rsidRPr="00A241D6">
        <w:t>) but the evaluator concluded these were unlikely to be clinically meaningful.</w:t>
      </w:r>
    </w:p>
    <w:p w14:paraId="7F4AA92F" w14:textId="77777777" w:rsidR="00296B19" w:rsidRPr="00A241D6" w:rsidRDefault="00296B19" w:rsidP="00B34EBF">
      <w:r>
        <w:t>I</w:t>
      </w:r>
      <w:r w:rsidRPr="00A241D6">
        <w:t xml:space="preserve">n the FL study, there was no sign of an increase in neutropenia with </w:t>
      </w:r>
      <w:r w:rsidR="008A2F5F">
        <w:t>Riximyo</w:t>
      </w:r>
      <w:r w:rsidRPr="00A241D6">
        <w:t xml:space="preserve"> in the induction phase.</w:t>
      </w:r>
      <w:r w:rsidR="000B3A10">
        <w:t xml:space="preserve"> </w:t>
      </w:r>
      <w:r>
        <w:t>T</w:t>
      </w:r>
      <w:r w:rsidRPr="00A241D6">
        <w:t xml:space="preserve">here were more AEs of neutropenia with </w:t>
      </w:r>
      <w:r w:rsidR="008A2F5F">
        <w:t>Riximyo</w:t>
      </w:r>
      <w:r w:rsidRPr="00A241D6">
        <w:t xml:space="preserve"> than with MabThera in maintenance, and febrile neutropenia was imbalanced (6.1%</w:t>
      </w:r>
      <w:r w:rsidR="00794474">
        <w:t xml:space="preserve"> versus </w:t>
      </w:r>
      <w:r w:rsidRPr="00A241D6">
        <w:t xml:space="preserve">3.2%) </w:t>
      </w:r>
      <w:r>
        <w:t xml:space="preserve">but </w:t>
      </w:r>
      <w:r w:rsidRPr="00A241D6">
        <w:t>the difference narrowed for ‘drug-related</w:t>
      </w:r>
      <w:r>
        <w:t>’ events</w:t>
      </w:r>
      <w:r w:rsidRPr="00A241D6">
        <w:t>.</w:t>
      </w:r>
    </w:p>
    <w:p w14:paraId="7F4AA930" w14:textId="77777777" w:rsidR="00296B19" w:rsidRPr="00A241D6" w:rsidRDefault="00296B19" w:rsidP="00B34EBF">
      <w:r w:rsidRPr="00A241D6">
        <w:t>The evaluator concluded there were no clinically meaningful differences in safety for the two rituximab versions.</w:t>
      </w:r>
    </w:p>
    <w:p w14:paraId="7F4AA931" w14:textId="77777777" w:rsidR="00296B19" w:rsidRPr="00A241D6" w:rsidRDefault="004514F5" w:rsidP="00B34EBF">
      <w:r>
        <w:t>For</w:t>
      </w:r>
      <w:r w:rsidR="00296B19" w:rsidRPr="00A241D6">
        <w:t xml:space="preserve"> </w:t>
      </w:r>
      <w:r>
        <w:t>the second round eval</w:t>
      </w:r>
      <w:r w:rsidR="0029765F" w:rsidRPr="0029765F">
        <w:t>u</w:t>
      </w:r>
      <w:r>
        <w:t>a</w:t>
      </w:r>
      <w:r w:rsidR="0029765F" w:rsidRPr="0029765F">
        <w:t>tion</w:t>
      </w:r>
      <w:r w:rsidR="00296B19" w:rsidRPr="00A241D6">
        <w:t xml:space="preserve">, the sponsor provided updated safety information that did not change this conclusion of similar safety across the two </w:t>
      </w:r>
      <w:r w:rsidR="00296B19">
        <w:t>rituximab</w:t>
      </w:r>
      <w:r w:rsidR="00E808E8">
        <w:t xml:space="preserve"> form</w:t>
      </w:r>
      <w:r w:rsidR="00296B19">
        <w:t>s</w:t>
      </w:r>
      <w:r w:rsidR="00296B19" w:rsidRPr="00A241D6">
        <w:t>.</w:t>
      </w:r>
    </w:p>
    <w:p w14:paraId="7F4AA932" w14:textId="77777777" w:rsidR="008E7846" w:rsidRDefault="00386150" w:rsidP="007B6132">
      <w:pPr>
        <w:pStyle w:val="Heading3"/>
        <w:rPr>
          <w:lang w:eastAsia="en-AU"/>
        </w:rPr>
      </w:pPr>
      <w:bookmarkStart w:id="115" w:name="_Toc524426292"/>
      <w:r>
        <w:rPr>
          <w:lang w:eastAsia="en-AU"/>
        </w:rPr>
        <w:t>Risk m</w:t>
      </w:r>
      <w:r w:rsidR="008E7846">
        <w:rPr>
          <w:lang w:eastAsia="en-AU"/>
        </w:rPr>
        <w:t xml:space="preserve">anagement </w:t>
      </w:r>
      <w:r>
        <w:rPr>
          <w:lang w:eastAsia="en-AU"/>
        </w:rPr>
        <w:t>p</w:t>
      </w:r>
      <w:r w:rsidR="008E7846">
        <w:rPr>
          <w:lang w:eastAsia="en-AU"/>
        </w:rPr>
        <w:t>lan</w:t>
      </w:r>
      <w:bookmarkEnd w:id="113"/>
      <w:bookmarkEnd w:id="115"/>
    </w:p>
    <w:p w14:paraId="7F4AA933" w14:textId="77777777" w:rsidR="00296B19" w:rsidRPr="00A241D6" w:rsidRDefault="00296B19" w:rsidP="005A6761">
      <w:r w:rsidRPr="00A241D6">
        <w:t xml:space="preserve">The RMP </w:t>
      </w:r>
      <w:r w:rsidR="004514F5">
        <w:t>e</w:t>
      </w:r>
      <w:r w:rsidRPr="00A241D6">
        <w:t>valuator had no major objections to registration.</w:t>
      </w:r>
      <w:r w:rsidR="000B3A10">
        <w:t xml:space="preserve"> </w:t>
      </w:r>
      <w:r w:rsidRPr="00A241D6">
        <w:t xml:space="preserve">There were several </w:t>
      </w:r>
      <w:r w:rsidR="004514F5">
        <w:t>second round</w:t>
      </w:r>
      <w:r w:rsidRPr="00A241D6">
        <w:t xml:space="preserve"> recommendations </w:t>
      </w:r>
      <w:r>
        <w:t>and</w:t>
      </w:r>
      <w:r w:rsidRPr="00A241D6">
        <w:t xml:space="preserve"> </w:t>
      </w:r>
      <w:r w:rsidR="004514F5">
        <w:t>the RMP e</w:t>
      </w:r>
      <w:r>
        <w:t>valuation area is currently reviewing the sponsor’s response to these recommendations.</w:t>
      </w:r>
    </w:p>
    <w:p w14:paraId="7F4AA934" w14:textId="5D3BC253" w:rsidR="00296B19" w:rsidRPr="00A241D6" w:rsidRDefault="00296B19" w:rsidP="005A6761">
      <w:r w:rsidRPr="00A241D6">
        <w:t>The EPAR noted plans to use multiple European registries to provide additional safety data in RA patients.</w:t>
      </w:r>
      <w:r w:rsidR="00D0058D" w:rsidRPr="00812053">
        <w:rPr>
          <w:vertAlign w:val="superscript"/>
        </w:rPr>
        <w:fldChar w:fldCharType="begin"/>
      </w:r>
      <w:r w:rsidR="00D0058D" w:rsidRPr="00812053">
        <w:rPr>
          <w:vertAlign w:val="superscript"/>
        </w:rPr>
        <w:instrText xml:space="preserve"> NOTEREF _Ref521968829 \h </w:instrText>
      </w:r>
      <w:r w:rsidR="00D0058D">
        <w:rPr>
          <w:vertAlign w:val="superscript"/>
        </w:rPr>
        <w:instrText xml:space="preserve"> \* MERGEFORMAT </w:instrText>
      </w:r>
      <w:r w:rsidR="00D0058D" w:rsidRPr="00812053">
        <w:rPr>
          <w:vertAlign w:val="superscript"/>
        </w:rPr>
      </w:r>
      <w:r w:rsidR="00D0058D" w:rsidRPr="00812053">
        <w:rPr>
          <w:vertAlign w:val="superscript"/>
        </w:rPr>
        <w:fldChar w:fldCharType="separate"/>
      </w:r>
      <w:r w:rsidR="00F50530">
        <w:rPr>
          <w:vertAlign w:val="superscript"/>
        </w:rPr>
        <w:t>11</w:t>
      </w:r>
      <w:r w:rsidR="00D0058D" w:rsidRPr="00812053">
        <w:rPr>
          <w:vertAlign w:val="superscript"/>
        </w:rPr>
        <w:fldChar w:fldCharType="end"/>
      </w:r>
    </w:p>
    <w:p w14:paraId="7F4AA935" w14:textId="77777777" w:rsidR="00296B19" w:rsidRPr="00A241D6" w:rsidRDefault="00296B19" w:rsidP="004514F5">
      <w:pPr>
        <w:pStyle w:val="Heading5"/>
      </w:pPr>
      <w:r w:rsidRPr="00A241D6">
        <w:t>Recommended condition/s of registration</w:t>
      </w:r>
    </w:p>
    <w:p w14:paraId="7F4AA936" w14:textId="77777777" w:rsidR="00296B19" w:rsidRPr="00A241D6" w:rsidRDefault="00296B19" w:rsidP="004514F5">
      <w:pPr>
        <w:ind w:left="720"/>
      </w:pPr>
      <w:r w:rsidRPr="00A241D6">
        <w:t xml:space="preserve">Implement EU-RMP (version 1.4, date 17 March 2017, </w:t>
      </w:r>
      <w:proofErr w:type="gramStart"/>
      <w:r w:rsidR="00E808E8" w:rsidRPr="00A241D6">
        <w:t>data</w:t>
      </w:r>
      <w:proofErr w:type="gramEnd"/>
      <w:r w:rsidRPr="00A241D6">
        <w:t xml:space="preserve"> lock point 17 March 2017) with Australian Specific Annex (version 1.1, date 24 June 2017) and any future updates as a condition of registration. Specifically, the ASA must be revised </w:t>
      </w:r>
      <w:r w:rsidRPr="00A241D6">
        <w:lastRenderedPageBreak/>
        <w:t>to include the approved educational materials, which the sponsor has committed to providing to the TGA for review prior to marketing the product.</w:t>
      </w:r>
    </w:p>
    <w:p w14:paraId="7F4AA937" w14:textId="77777777" w:rsidR="008E7846" w:rsidRDefault="00AA0ED0" w:rsidP="008E7846">
      <w:pPr>
        <w:pStyle w:val="Heading3"/>
      </w:pPr>
      <w:bookmarkStart w:id="116" w:name="_Toc247691531"/>
      <w:bookmarkStart w:id="117" w:name="_Toc314842515"/>
      <w:bookmarkStart w:id="118" w:name="_Toc196046505"/>
      <w:bookmarkStart w:id="119" w:name="_Toc196046949"/>
      <w:bookmarkStart w:id="120" w:name="_Toc524426293"/>
      <w:r>
        <w:t>Risk-benefit a</w:t>
      </w:r>
      <w:r w:rsidR="008E7846">
        <w:t>nalysis</w:t>
      </w:r>
      <w:bookmarkEnd w:id="116"/>
      <w:bookmarkEnd w:id="117"/>
      <w:bookmarkEnd w:id="120"/>
    </w:p>
    <w:p w14:paraId="7F4AA938" w14:textId="7163B2E5" w:rsidR="00D23139" w:rsidRDefault="00D23139" w:rsidP="00D23139">
      <w:pPr>
        <w:pStyle w:val="Heading4"/>
      </w:pPr>
      <w:r w:rsidRPr="00D23139">
        <w:t>Delegate’s considerations</w:t>
      </w:r>
    </w:p>
    <w:p w14:paraId="7F4AA939" w14:textId="77777777" w:rsidR="00EC5FD9" w:rsidRPr="00A241D6" w:rsidRDefault="00EC5FD9" w:rsidP="004514F5">
      <w:pPr>
        <w:pStyle w:val="Heading5"/>
      </w:pPr>
      <w:r w:rsidRPr="00A241D6">
        <w:t>Background</w:t>
      </w:r>
    </w:p>
    <w:p w14:paraId="7F4AA93A" w14:textId="77777777" w:rsidR="00EC5FD9" w:rsidRDefault="00EC5FD9" w:rsidP="004514F5">
      <w:r w:rsidRPr="00A241D6">
        <w:t xml:space="preserve">The TGA has adopted a framework for the assessment of biosimilar medicines that in large part copies that of the </w:t>
      </w:r>
      <w:r w:rsidR="004514F5">
        <w:t>EMA</w:t>
      </w:r>
      <w:r w:rsidRPr="00A241D6">
        <w:t>.</w:t>
      </w:r>
      <w:r w:rsidR="000B3A10">
        <w:t xml:space="preserve"> </w:t>
      </w:r>
      <w:r w:rsidRPr="00A241D6">
        <w:t>A step-wise approach is required: physico-chemical comparability data</w:t>
      </w:r>
      <w:r>
        <w:t>;</w:t>
      </w:r>
      <w:r w:rsidRPr="00A241D6">
        <w:t xml:space="preserve"> nonclinical comparability data</w:t>
      </w:r>
      <w:r>
        <w:t xml:space="preserve">; </w:t>
      </w:r>
      <w:r w:rsidRPr="00A241D6">
        <w:t>clinical comparability data.</w:t>
      </w:r>
      <w:r w:rsidR="000B3A10">
        <w:t xml:space="preserve"> </w:t>
      </w:r>
      <w:r w:rsidRPr="00A241D6">
        <w:t xml:space="preserve">The sponsor of </w:t>
      </w:r>
      <w:r w:rsidR="00334CAC">
        <w:t>Riximyo</w:t>
      </w:r>
      <w:r w:rsidRPr="00A241D6">
        <w:t xml:space="preserve"> has followed this</w:t>
      </w:r>
      <w:r>
        <w:t xml:space="preserve"> approach</w:t>
      </w:r>
      <w:r w:rsidRPr="00A241D6">
        <w:t>.</w:t>
      </w:r>
    </w:p>
    <w:p w14:paraId="7F4AA93B" w14:textId="77777777" w:rsidR="00EC5FD9" w:rsidRDefault="00EC5FD9" w:rsidP="004514F5">
      <w:r w:rsidRPr="00A241D6">
        <w:t xml:space="preserve">A key </w:t>
      </w:r>
      <w:r>
        <w:t>point</w:t>
      </w:r>
      <w:r w:rsidRPr="00A241D6">
        <w:t xml:space="preserve"> is that clinical trials are designed not to </w:t>
      </w:r>
      <w:r>
        <w:t>copy</w:t>
      </w:r>
      <w:r w:rsidRPr="00A241D6">
        <w:t xml:space="preserve"> pivotal studies conducted by the innovator but to study comparability of </w:t>
      </w:r>
      <w:r>
        <w:t>effect, using populations,</w:t>
      </w:r>
      <w:r w:rsidRPr="00A241D6">
        <w:t xml:space="preserve"> endpoints </w:t>
      </w:r>
      <w:r>
        <w:t>and methods that will allow detection of meaningful differences if they exist.</w:t>
      </w:r>
    </w:p>
    <w:p w14:paraId="7F4AA93C" w14:textId="77777777" w:rsidR="00EC5FD9" w:rsidRPr="00A241D6" w:rsidRDefault="00EC5FD9" w:rsidP="004514F5">
      <w:r w:rsidRPr="00A241D6">
        <w:t xml:space="preserve">Another </w:t>
      </w:r>
      <w:r>
        <w:t>point</w:t>
      </w:r>
      <w:r w:rsidRPr="00A241D6">
        <w:t xml:space="preserve"> is that trials are not required in all indicated groups; extrapolation of indication</w:t>
      </w:r>
      <w:r>
        <w:t>s</w:t>
      </w:r>
      <w:r w:rsidRPr="00A241D6">
        <w:t xml:space="preserve"> is accepted, where a suitable scientific justification is provided.</w:t>
      </w:r>
    </w:p>
    <w:p w14:paraId="7F4AA93D" w14:textId="77777777" w:rsidR="00EC5FD9" w:rsidRPr="00A241D6" w:rsidRDefault="00EC5FD9" w:rsidP="004514F5">
      <w:r w:rsidRPr="00A241D6">
        <w:t>There are no rituximab products o</w:t>
      </w:r>
      <w:r>
        <w:t>n the ARTG other than MabThera and MabThera SC</w:t>
      </w:r>
      <w:r w:rsidRPr="00A241D6">
        <w:t>.</w:t>
      </w:r>
      <w:r w:rsidR="000B3A10">
        <w:t xml:space="preserve"> </w:t>
      </w:r>
      <w:r w:rsidRPr="00A241D6">
        <w:t>MabThera (IV) was the reference product, for biosimilarity comparisons.</w:t>
      </w:r>
      <w:r w:rsidR="000B3A10">
        <w:t xml:space="preserve"> </w:t>
      </w:r>
      <w:r w:rsidRPr="00A241D6">
        <w:t xml:space="preserve">Most MabThera used in the different comparisons with </w:t>
      </w:r>
      <w:r w:rsidR="00334CAC">
        <w:t>Riximyo</w:t>
      </w:r>
      <w:r w:rsidRPr="00A241D6">
        <w:t xml:space="preserve"> was EU or US sourced (Rituxan is the </w:t>
      </w:r>
      <w:r>
        <w:t xml:space="preserve">tradename for the </w:t>
      </w:r>
      <w:r w:rsidRPr="00A241D6">
        <w:t>innovator product</w:t>
      </w:r>
      <w:r>
        <w:t xml:space="preserve"> in the US</w:t>
      </w:r>
      <w:r w:rsidRPr="00A241D6">
        <w:t>).</w:t>
      </w:r>
      <w:r w:rsidR="000B3A10">
        <w:t xml:space="preserve"> </w:t>
      </w:r>
      <w:r w:rsidRPr="00A241D6">
        <w:t>Physico-chemical</w:t>
      </w:r>
      <w:r w:rsidR="009436CA">
        <w:t>/</w:t>
      </w:r>
      <w:r w:rsidRPr="00A241D6">
        <w:t>in vitro data were used to bridge EU</w:t>
      </w:r>
      <w:r w:rsidR="009436CA">
        <w:t>/</w:t>
      </w:r>
      <w:r w:rsidRPr="00A241D6">
        <w:t xml:space="preserve">US innovator to </w:t>
      </w:r>
      <w:r>
        <w:t xml:space="preserve">the </w:t>
      </w:r>
      <w:r w:rsidRPr="00A241D6">
        <w:t>Australian MabThera.</w:t>
      </w:r>
    </w:p>
    <w:p w14:paraId="7F4AA93E" w14:textId="77777777" w:rsidR="00EC5FD9" w:rsidRPr="00A241D6" w:rsidRDefault="00EC5FD9" w:rsidP="004514F5">
      <w:r w:rsidRPr="00A241D6">
        <w:t xml:space="preserve">If </w:t>
      </w:r>
      <w:r w:rsidR="00334CAC">
        <w:t>Riximyo</w:t>
      </w:r>
      <w:r w:rsidRPr="00A241D6">
        <w:t xml:space="preserve"> were registered, it would be the first rituximab biosimilar in Australia.</w:t>
      </w:r>
    </w:p>
    <w:p w14:paraId="7F4AA93F" w14:textId="77777777" w:rsidR="00EC5FD9" w:rsidRDefault="00EC5FD9" w:rsidP="004514F5">
      <w:r w:rsidRPr="00A241D6">
        <w:t>This product has market authorisation in the EU, under the tradename Rixathon.</w:t>
      </w:r>
      <w:r w:rsidR="000B3A10">
        <w:t xml:space="preserve"> </w:t>
      </w:r>
      <w:r w:rsidRPr="00A241D6">
        <w:t>It is not currently approved by the FDA.</w:t>
      </w:r>
    </w:p>
    <w:p w14:paraId="7F4AA940" w14:textId="77777777" w:rsidR="00296B19" w:rsidRPr="00A241D6" w:rsidRDefault="004514F5" w:rsidP="004514F5">
      <w:pPr>
        <w:pStyle w:val="Heading5"/>
        <w:rPr>
          <w:rFonts w:asciiTheme="minorHAnsi" w:hAnsiTheme="minorHAnsi" w:cstheme="majorHAnsi"/>
          <w:sz w:val="24"/>
          <w:szCs w:val="24"/>
        </w:rPr>
      </w:pPr>
      <w:r>
        <w:t>Issues</w:t>
      </w:r>
    </w:p>
    <w:p w14:paraId="7F4AA941" w14:textId="77777777" w:rsidR="00296B19" w:rsidRPr="00A241D6" w:rsidRDefault="00296B19" w:rsidP="004514F5">
      <w:pPr>
        <w:pStyle w:val="Heading6"/>
      </w:pPr>
      <w:r w:rsidRPr="00A241D6">
        <w:t>Manufacturing and quality control</w:t>
      </w:r>
    </w:p>
    <w:p w14:paraId="7F4AA942" w14:textId="3264E12F" w:rsidR="00296B19" w:rsidRPr="00A241D6" w:rsidDel="00862A3E" w:rsidRDefault="00296B19" w:rsidP="004514F5">
      <w:r w:rsidRPr="00A241D6" w:rsidDel="00862A3E">
        <w:t>Some GMP clearances are required before approval can be given.</w:t>
      </w:r>
      <w:r w:rsidR="000B3A10" w:rsidDel="00862A3E">
        <w:t xml:space="preserve"> </w:t>
      </w:r>
      <w:r w:rsidRPr="00A241D6" w:rsidDel="00862A3E">
        <w:t xml:space="preserve">Otherwise, from a quality perspective, there </w:t>
      </w:r>
      <w:r w:rsidDel="00862A3E">
        <w:t>are</w:t>
      </w:r>
      <w:r w:rsidRPr="00A241D6" w:rsidDel="00862A3E">
        <w:t xml:space="preserve"> no objections to registration.</w:t>
      </w:r>
    </w:p>
    <w:p w14:paraId="7F4AA943" w14:textId="69CCB4D4" w:rsidR="00296B19" w:rsidRPr="00A241D6" w:rsidDel="00862A3E" w:rsidRDefault="00296B19" w:rsidP="004514F5">
      <w:r w:rsidDel="00862A3E">
        <w:t>Regarding</w:t>
      </w:r>
      <w:r w:rsidRPr="00A241D6" w:rsidDel="00862A3E">
        <w:t xml:space="preserve"> physico-chemical comparability, the </w:t>
      </w:r>
      <w:r w:rsidR="004514F5" w:rsidDel="00862A3E">
        <w:t>quality</w:t>
      </w:r>
      <w:r w:rsidRPr="00A241D6" w:rsidDel="00862A3E">
        <w:t xml:space="preserve"> evaluator concluded that comparability had been demonstrated across a wide range of test methodologies.</w:t>
      </w:r>
      <w:r w:rsidR="000B3A10" w:rsidDel="00862A3E">
        <w:t xml:space="preserve"> </w:t>
      </w:r>
      <w:r w:rsidRPr="00A241D6" w:rsidDel="00862A3E">
        <w:t>A few probably minor differences were noted.</w:t>
      </w:r>
      <w:r w:rsidR="000B3A10" w:rsidDel="00862A3E">
        <w:t xml:space="preserve"> </w:t>
      </w:r>
      <w:r w:rsidRPr="00A241D6" w:rsidDel="00862A3E">
        <w:t xml:space="preserve">Multiple </w:t>
      </w:r>
      <w:r w:rsidRPr="004514F5" w:rsidDel="00862A3E">
        <w:t>in vitro</w:t>
      </w:r>
      <w:r w:rsidRPr="00A241D6" w:rsidDel="00862A3E">
        <w:t xml:space="preserve"> tests of biological function were conducted, included tests of products’ capacity to trigger ADCC.</w:t>
      </w:r>
      <w:r w:rsidR="000B3A10" w:rsidDel="00862A3E">
        <w:t xml:space="preserve"> </w:t>
      </w:r>
      <w:r w:rsidRPr="00A241D6" w:rsidDel="00862A3E">
        <w:t>The ACM’s attention is drawn to the degree of comparability across the rit</w:t>
      </w:r>
      <w:r w:rsidDel="00862A3E">
        <w:t>uximab ‘versions’ seen for ADCC (see details below).</w:t>
      </w:r>
    </w:p>
    <w:p w14:paraId="7F4AA944" w14:textId="77777777" w:rsidR="00296B19" w:rsidRPr="00A241D6" w:rsidRDefault="00296B19" w:rsidP="004514F5">
      <w:pPr>
        <w:pStyle w:val="Heading6"/>
      </w:pPr>
      <w:r w:rsidRPr="00A241D6">
        <w:t>Nonclinical</w:t>
      </w:r>
    </w:p>
    <w:p w14:paraId="7F4AA945" w14:textId="77777777" w:rsidR="00296B19" w:rsidRPr="00A241D6" w:rsidRDefault="00296B19" w:rsidP="004514F5">
      <w:r>
        <w:t xml:space="preserve">Studies examined </w:t>
      </w:r>
      <w:r w:rsidRPr="00A241D6">
        <w:t xml:space="preserve">comparability </w:t>
      </w:r>
      <w:r>
        <w:t xml:space="preserve">across biosimilar and innovator </w:t>
      </w:r>
      <w:r w:rsidRPr="00A241D6">
        <w:t>of PK outcomes, PD outcomes (B cell depletion), anti-tumour efficacy, and toxicology outcomes, in animal models.</w:t>
      </w:r>
      <w:r w:rsidR="000B3A10">
        <w:t xml:space="preserve"> </w:t>
      </w:r>
      <w:r w:rsidRPr="00A241D6">
        <w:t>Acceptable similarity was seen.</w:t>
      </w:r>
    </w:p>
    <w:p w14:paraId="7F4AA946" w14:textId="77777777" w:rsidR="00296B19" w:rsidRPr="00A241D6" w:rsidRDefault="00296B19" w:rsidP="004514F5">
      <w:pPr>
        <w:pStyle w:val="Heading6"/>
      </w:pPr>
      <w:r w:rsidRPr="00A241D6">
        <w:t>Clinical</w:t>
      </w:r>
    </w:p>
    <w:p w14:paraId="7F4AA947" w14:textId="77777777" w:rsidR="00296B19" w:rsidRDefault="00296B19" w:rsidP="00A243CD">
      <w:r w:rsidRPr="00A241D6">
        <w:t>There were four key clinical studies</w:t>
      </w:r>
      <w:r w:rsidR="00A243CD">
        <w:t xml:space="preserve"> (Table</w:t>
      </w:r>
      <w:r w:rsidR="002F5B32">
        <w:t xml:space="preserve"> 6 above</w:t>
      </w:r>
      <w:r w:rsidR="00A243CD">
        <w:t>)</w:t>
      </w:r>
      <w:r w:rsidR="00C2705E">
        <w:t>.</w:t>
      </w:r>
    </w:p>
    <w:p w14:paraId="7F4AA948" w14:textId="77777777" w:rsidR="00296B19" w:rsidRPr="00A241D6" w:rsidRDefault="00296B19" w:rsidP="004514F5">
      <w:pPr>
        <w:rPr>
          <w:rFonts w:cstheme="majorHAnsi"/>
        </w:rPr>
      </w:pPr>
      <w:r w:rsidRPr="00A241D6">
        <w:rPr>
          <w:rFonts w:cstheme="majorHAnsi"/>
        </w:rPr>
        <w:t>Using the step-wise framework for clinical comparisons:</w:t>
      </w:r>
    </w:p>
    <w:p w14:paraId="7F4AA949" w14:textId="00F9972F" w:rsidR="00296B19" w:rsidRPr="00A241D6" w:rsidRDefault="00296B19" w:rsidP="00A243CD">
      <w:pPr>
        <w:pStyle w:val="ListBullet"/>
      </w:pPr>
      <w:r w:rsidRPr="00A241D6">
        <w:t xml:space="preserve">There was acceptable evidence of comparability of exposure, based on PK data from </w:t>
      </w:r>
      <w:r w:rsidR="00D0058D">
        <w:t xml:space="preserve">Study </w:t>
      </w:r>
      <w:r w:rsidRPr="00A241D6">
        <w:t>GP13-201 Part I, supported by PK data from other studies.</w:t>
      </w:r>
      <w:r w:rsidR="000B3A10">
        <w:t xml:space="preserve"> </w:t>
      </w:r>
      <w:r w:rsidRPr="00A241D6">
        <w:t xml:space="preserve">Different </w:t>
      </w:r>
      <w:r w:rsidR="009B2FD7">
        <w:t>C</w:t>
      </w:r>
      <w:r w:rsidR="009B2FD7" w:rsidRPr="009B2FD7">
        <w:rPr>
          <w:vertAlign w:val="subscript"/>
        </w:rPr>
        <w:t>trough</w:t>
      </w:r>
      <w:r w:rsidRPr="00A241D6">
        <w:t xml:space="preserve"> results at </w:t>
      </w:r>
      <w:r w:rsidR="00A243CD">
        <w:t>C</w:t>
      </w:r>
      <w:r w:rsidRPr="00A241D6">
        <w:t xml:space="preserve">ycle 4 in the FL study were a source of uncertainty, but in the context of </w:t>
      </w:r>
      <w:r w:rsidRPr="00A241D6">
        <w:lastRenderedPageBreak/>
        <w:t xml:space="preserve">AUC, </w:t>
      </w:r>
      <w:r w:rsidR="005B7B55">
        <w:t>C</w:t>
      </w:r>
      <w:r w:rsidR="005B7B55" w:rsidRPr="005B7B55">
        <w:rPr>
          <w:vertAlign w:val="subscript"/>
        </w:rPr>
        <w:t>max</w:t>
      </w:r>
      <w:r w:rsidRPr="00A241D6">
        <w:t xml:space="preserve"> and other </w:t>
      </w:r>
      <w:r w:rsidR="009B2FD7">
        <w:t>C</w:t>
      </w:r>
      <w:r w:rsidR="009B2FD7" w:rsidRPr="009B2FD7">
        <w:rPr>
          <w:vertAlign w:val="subscript"/>
        </w:rPr>
        <w:t>trough</w:t>
      </w:r>
      <w:r w:rsidRPr="00A241D6">
        <w:t xml:space="preserve"> results across studies, the conclusion that </w:t>
      </w:r>
      <w:r w:rsidR="00334CAC">
        <w:t>Riximyo</w:t>
      </w:r>
      <w:r w:rsidRPr="00A241D6">
        <w:t xml:space="preserve"> provides similar (‘bioequivalent’) exposure to rituximab, compared to MabThera, is acceptable.</w:t>
      </w:r>
    </w:p>
    <w:p w14:paraId="7F4AA94A" w14:textId="77777777" w:rsidR="00296B19" w:rsidRPr="00A241D6" w:rsidRDefault="00296B19" w:rsidP="00A243CD">
      <w:pPr>
        <w:pStyle w:val="ListBullet"/>
      </w:pPr>
      <w:r w:rsidRPr="00A241D6">
        <w:t xml:space="preserve">B cell depletion was </w:t>
      </w:r>
      <w:r>
        <w:t xml:space="preserve">the </w:t>
      </w:r>
      <w:r w:rsidRPr="00A241D6">
        <w:t>pharmacodynamic endpoint, and there was acceptable compara</w:t>
      </w:r>
      <w:r>
        <w:t>bility of outcomes where tested.</w:t>
      </w:r>
    </w:p>
    <w:p w14:paraId="7F4AA94B" w14:textId="77777777" w:rsidR="00296B19" w:rsidRPr="00A241D6" w:rsidRDefault="00296B19" w:rsidP="00A243CD">
      <w:pPr>
        <w:pStyle w:val="ListBullet"/>
      </w:pPr>
      <w:r w:rsidRPr="00A241D6">
        <w:t>Therapeutic equivalence takes efficacy and safety into account.</w:t>
      </w:r>
    </w:p>
    <w:p w14:paraId="7F4AA94C" w14:textId="6F715E03" w:rsidR="00296B19" w:rsidRPr="00A241D6" w:rsidRDefault="00296B19" w:rsidP="00A243CD">
      <w:pPr>
        <w:pStyle w:val="ListBullet2"/>
      </w:pPr>
      <w:r w:rsidRPr="00A241D6">
        <w:t xml:space="preserve">For efficacy, the pivotal study was </w:t>
      </w:r>
      <w:r w:rsidR="00D0058D">
        <w:t xml:space="preserve">Study </w:t>
      </w:r>
      <w:r w:rsidRPr="00A241D6">
        <w:t xml:space="preserve">GP13-301 </w:t>
      </w:r>
      <w:r>
        <w:t>in treatment-naïve follicular lymphoma</w:t>
      </w:r>
      <w:r w:rsidRPr="00A241D6">
        <w:t>.</w:t>
      </w:r>
      <w:r w:rsidR="000B3A10">
        <w:t xml:space="preserve"> </w:t>
      </w:r>
      <w:r w:rsidRPr="00A241D6">
        <w:t>Comparison of objective response rates at the end of 8 cycles of induction (in conjunction with CVP chemotherapy) was the primary endpoint.</w:t>
      </w:r>
      <w:r w:rsidR="000B3A10">
        <w:t xml:space="preserve"> </w:t>
      </w:r>
      <w:r w:rsidRPr="00A241D6">
        <w:t>There was close similarity of ORR across arms.</w:t>
      </w:r>
      <w:r w:rsidR="000B3A10">
        <w:t xml:space="preserve"> </w:t>
      </w:r>
      <w:r w:rsidRPr="00A241D6">
        <w:t>PFS was a secondary endpoint.</w:t>
      </w:r>
      <w:r w:rsidR="000B3A10">
        <w:t xml:space="preserve"> </w:t>
      </w:r>
      <w:r w:rsidRPr="00A241D6">
        <w:t>There was NOT close similarity of PFS across arms.</w:t>
      </w:r>
      <w:r w:rsidR="000B3A10">
        <w:t xml:space="preserve"> </w:t>
      </w:r>
      <w:r w:rsidRPr="00A241D6">
        <w:t>PFS outcomes are immature, although relatively stable across three data cut-points spanning July 2015 through December 2016.</w:t>
      </w:r>
      <w:r w:rsidR="000B3A10">
        <w:t xml:space="preserve"> </w:t>
      </w:r>
      <w:r w:rsidRPr="00A241D6">
        <w:t xml:space="preserve">OS outcomes in this typically indolent lymphoma are </w:t>
      </w:r>
      <w:r>
        <w:t xml:space="preserve">entirely </w:t>
      </w:r>
      <w:r w:rsidRPr="00A241D6">
        <w:t xml:space="preserve">too immature to contribute to </w:t>
      </w:r>
      <w:r>
        <w:t>comparison of</w:t>
      </w:r>
      <w:r w:rsidRPr="00A241D6">
        <w:t xml:space="preserve"> therapeutic efficacy.</w:t>
      </w:r>
    </w:p>
    <w:p w14:paraId="7F4AA94D" w14:textId="77777777" w:rsidR="00296B19" w:rsidRPr="00A241D6" w:rsidRDefault="00296B19" w:rsidP="00A243CD">
      <w:pPr>
        <w:pStyle w:val="ListBullet2"/>
      </w:pPr>
      <w:r w:rsidRPr="00A241D6">
        <w:t>Efficacy was assessed in GP13-201 (Parts I and II) in RA patients</w:t>
      </w:r>
      <w:r>
        <w:t>.</w:t>
      </w:r>
      <w:r w:rsidR="000B3A10">
        <w:t xml:space="preserve"> </w:t>
      </w:r>
      <w:r>
        <w:t>T</w:t>
      </w:r>
      <w:r w:rsidRPr="00A241D6">
        <w:t>here was</w:t>
      </w:r>
      <w:r w:rsidR="00A243CD">
        <w:t>,</w:t>
      </w:r>
      <w:r w:rsidRPr="00A241D6">
        <w:t xml:space="preserve"> broadly</w:t>
      </w:r>
      <w:r>
        <w:t xml:space="preserve"> speaking</w:t>
      </w:r>
      <w:r w:rsidR="00A243CD">
        <w:t>,</w:t>
      </w:r>
      <w:r>
        <w:t xml:space="preserve"> </w:t>
      </w:r>
      <w:r w:rsidRPr="00A241D6">
        <w:t xml:space="preserve">non-inferiority </w:t>
      </w:r>
      <w:r>
        <w:t>of the biosimilar</w:t>
      </w:r>
      <w:r w:rsidR="00794474">
        <w:t xml:space="preserve"> versus </w:t>
      </w:r>
      <w:r>
        <w:t>innovator, to 52 weeks.</w:t>
      </w:r>
    </w:p>
    <w:p w14:paraId="7F4AA94E" w14:textId="77777777" w:rsidR="00296B19" w:rsidRPr="00A241D6" w:rsidRDefault="00296B19" w:rsidP="00A243CD">
      <w:pPr>
        <w:pStyle w:val="ListBullet2"/>
      </w:pPr>
      <w:r w:rsidRPr="00A241D6">
        <w:t>Safety was assessed across all studies.</w:t>
      </w:r>
      <w:r w:rsidR="000B3A10">
        <w:t xml:space="preserve"> </w:t>
      </w:r>
      <w:r w:rsidRPr="00A241D6">
        <w:t>There was no alarming signal of any meaningful divergence in safety outcomes, across studies.</w:t>
      </w:r>
    </w:p>
    <w:p w14:paraId="7F4AA94F" w14:textId="77777777" w:rsidR="00296B19" w:rsidRPr="00A241D6" w:rsidRDefault="00296B19" w:rsidP="00A243CD">
      <w:pPr>
        <w:pStyle w:val="ListBullet2"/>
      </w:pPr>
      <w:r w:rsidRPr="00A241D6">
        <w:t>Immunogenicity was assessed across studies.</w:t>
      </w:r>
      <w:r w:rsidR="000B3A10">
        <w:t xml:space="preserve"> </w:t>
      </w:r>
      <w:r w:rsidRPr="00A241D6">
        <w:t xml:space="preserve">ADAs were commoner in RA patients than FL patients, possibly due to concomitant CVP in the </w:t>
      </w:r>
      <w:r>
        <w:t xml:space="preserve">6 month </w:t>
      </w:r>
      <w:r w:rsidRPr="00A241D6">
        <w:t>induction phase for FL patients, and</w:t>
      </w:r>
      <w:r w:rsidR="009436CA">
        <w:t>/</w:t>
      </w:r>
      <w:r w:rsidRPr="00A241D6">
        <w:t>or due to the higher doses of rituximab given in FL patients.</w:t>
      </w:r>
      <w:r w:rsidR="000B3A10">
        <w:t xml:space="preserve"> </w:t>
      </w:r>
      <w:r w:rsidRPr="00A241D6">
        <w:t>In RA and FL, neutralising antibodies were infrequent, and there was no signal that ADAs or neutralising antibodies were associated with decreased efficacy or increased toxicity.</w:t>
      </w:r>
    </w:p>
    <w:p w14:paraId="7F4AA950" w14:textId="77777777" w:rsidR="00296B19" w:rsidRPr="00A241D6" w:rsidRDefault="00296B19" w:rsidP="00A243CD">
      <w:pPr>
        <w:pStyle w:val="ListBullet"/>
      </w:pPr>
      <w:r w:rsidRPr="00A241D6">
        <w:t xml:space="preserve">A switching study tested safety and immunogenicity up to </w:t>
      </w:r>
      <w:r>
        <w:t>24</w:t>
      </w:r>
      <w:r w:rsidRPr="00A241D6">
        <w:t xml:space="preserve"> weeks after either switching from innovator to </w:t>
      </w:r>
      <w:r w:rsidR="00334CAC">
        <w:t>Riximyo</w:t>
      </w:r>
      <w:r w:rsidRPr="00A241D6">
        <w:t xml:space="preserve"> or continuing on the innovator</w:t>
      </w:r>
      <w:r>
        <w:t xml:space="preserve"> (</w:t>
      </w:r>
      <w:r w:rsidR="00995AAE">
        <w:t xml:space="preserve">note: </w:t>
      </w:r>
      <w:r>
        <w:t>the clinical evaluator only had access to 12 week data)</w:t>
      </w:r>
      <w:r w:rsidRPr="00A241D6">
        <w:t>.</w:t>
      </w:r>
      <w:r w:rsidR="000B3A10">
        <w:t xml:space="preserve"> </w:t>
      </w:r>
      <w:r w:rsidRPr="00A241D6">
        <w:t xml:space="preserve">While there were no </w:t>
      </w:r>
      <w:r>
        <w:t>major</w:t>
      </w:r>
      <w:r w:rsidRPr="00A241D6">
        <w:t xml:space="preserve"> issues identified, some uncertainties arose (</w:t>
      </w:r>
      <w:r w:rsidR="00995AAE">
        <w:t xml:space="preserve">for example, </w:t>
      </w:r>
      <w:r w:rsidRPr="00A241D6">
        <w:t xml:space="preserve">one </w:t>
      </w:r>
      <w:r>
        <w:t>report</w:t>
      </w:r>
      <w:r w:rsidRPr="00A241D6">
        <w:t xml:space="preserve"> of serum sickness in a patient switched to </w:t>
      </w:r>
      <w:r w:rsidR="00334CAC">
        <w:t>Riximyo</w:t>
      </w:r>
      <w:r w:rsidRPr="00A241D6">
        <w:t xml:space="preserve">; </w:t>
      </w:r>
      <w:r>
        <w:t>and more</w:t>
      </w:r>
      <w:r w:rsidRPr="00A241D6">
        <w:t xml:space="preserve"> </w:t>
      </w:r>
      <w:r>
        <w:t xml:space="preserve">musculoskeletal </w:t>
      </w:r>
      <w:r w:rsidRPr="00A241D6">
        <w:t>AEs</w:t>
      </w:r>
      <w:r>
        <w:t xml:space="preserve">, </w:t>
      </w:r>
      <w:r w:rsidR="00995AAE">
        <w:t>such as</w:t>
      </w:r>
      <w:r>
        <w:t xml:space="preserve"> arthralgia,</w:t>
      </w:r>
      <w:r w:rsidRPr="00A241D6">
        <w:t xml:space="preserve"> in patients switched to </w:t>
      </w:r>
      <w:r w:rsidR="00334CAC">
        <w:t>Riximyo</w:t>
      </w:r>
      <w:r w:rsidRPr="00A241D6">
        <w:t>).</w:t>
      </w:r>
    </w:p>
    <w:p w14:paraId="7F4AA951" w14:textId="77304FF3" w:rsidR="00296B19" w:rsidRPr="00A241D6" w:rsidRDefault="00296B19" w:rsidP="00995AAE">
      <w:pPr>
        <w:pStyle w:val="Heading4"/>
      </w:pPr>
      <w:r w:rsidRPr="00A241D6">
        <w:t xml:space="preserve">Risk </w:t>
      </w:r>
      <w:r w:rsidR="00EA516A" w:rsidRPr="00A241D6">
        <w:t>management plan</w:t>
      </w:r>
    </w:p>
    <w:p w14:paraId="7F4AA952" w14:textId="77777777" w:rsidR="00296B19" w:rsidRPr="00A241D6" w:rsidRDefault="00296B19" w:rsidP="00995AAE">
      <w:r>
        <w:t xml:space="preserve">Several RMP issues remain unresolved </w:t>
      </w:r>
      <w:r w:rsidR="00995AAE">
        <w:t xml:space="preserve">after </w:t>
      </w:r>
      <w:r w:rsidR="00995AAE" w:rsidRPr="00995AAE">
        <w:t>the second round evaluation</w:t>
      </w:r>
      <w:r>
        <w:t xml:space="preserve"> but overall there were no major objections to registration of </w:t>
      </w:r>
      <w:r w:rsidR="00334CAC">
        <w:t>Riximyo</w:t>
      </w:r>
      <w:r>
        <w:t>.</w:t>
      </w:r>
    </w:p>
    <w:p w14:paraId="7F4AA953" w14:textId="77777777" w:rsidR="00296B19" w:rsidRPr="00A241D6" w:rsidRDefault="00296B19" w:rsidP="00995AAE">
      <w:pPr>
        <w:pStyle w:val="Heading4"/>
      </w:pPr>
      <w:r>
        <w:t>Pre-ACM preliminary assessment</w:t>
      </w:r>
    </w:p>
    <w:p w14:paraId="7F4AA954" w14:textId="77777777" w:rsidR="00296B19" w:rsidRDefault="00296B19" w:rsidP="00995AAE">
      <w:r>
        <w:t xml:space="preserve">There is sufficient evidence of biosimilarity to approve </w:t>
      </w:r>
      <w:r w:rsidR="00334CAC">
        <w:t>Riximyo</w:t>
      </w:r>
      <w:r>
        <w:t xml:space="preserve"> as a biosimilar.</w:t>
      </w:r>
    </w:p>
    <w:p w14:paraId="7F4AA955" w14:textId="77777777" w:rsidR="00296B19" w:rsidRDefault="00296B19" w:rsidP="00995AAE">
      <w:r>
        <w:t>Despite the immaturity of PFS outcomes in Study GP13-301, the PFS outcomes to date should be clearly communicated in the PI, as important empirical findings.</w:t>
      </w:r>
    </w:p>
    <w:p w14:paraId="7F4AA956" w14:textId="77777777" w:rsidR="00D23139" w:rsidRPr="00995AAE" w:rsidRDefault="00D23139" w:rsidP="00995AAE">
      <w:pPr>
        <w:pStyle w:val="Heading4"/>
      </w:pPr>
      <w:r w:rsidRPr="00D23139">
        <w:t>Proposed action</w:t>
      </w:r>
    </w:p>
    <w:p w14:paraId="7F4AA957" w14:textId="77777777" w:rsidR="00EC5FD9" w:rsidRDefault="00EC5FD9" w:rsidP="006471AB">
      <w:r>
        <w:t xml:space="preserve">There is sufficient evidence of biosimilarity to approve </w:t>
      </w:r>
      <w:r w:rsidR="00334CAC">
        <w:t>Riximyo</w:t>
      </w:r>
      <w:r>
        <w:t xml:space="preserve"> as a biosimilar.</w:t>
      </w:r>
    </w:p>
    <w:p w14:paraId="7F4AA958" w14:textId="77777777" w:rsidR="00EC5FD9" w:rsidRDefault="00EC5FD9" w:rsidP="006471AB">
      <w:r>
        <w:t>Despite the immaturity of PFS outcomes in Study GP13-301, the PFS outcomes to date should be clearly communicated in the PI, as important empirical findings.</w:t>
      </w:r>
    </w:p>
    <w:p w14:paraId="7F4AA959" w14:textId="4E243D6C" w:rsidR="00D23139" w:rsidRPr="006471AB" w:rsidRDefault="00D23139" w:rsidP="006471AB">
      <w:pPr>
        <w:pStyle w:val="Heading4"/>
      </w:pPr>
      <w:r w:rsidRPr="00D23139">
        <w:t>Request for ACM advice</w:t>
      </w:r>
    </w:p>
    <w:p w14:paraId="7F4AA95A" w14:textId="77777777" w:rsidR="00EC5FD9" w:rsidRDefault="00EC5FD9" w:rsidP="006471AB">
      <w:r w:rsidRPr="00A241D6">
        <w:t>The committee is requested to provide advice on the following specific issues:</w:t>
      </w:r>
    </w:p>
    <w:p w14:paraId="7F4AA95B" w14:textId="2834984A" w:rsidR="00EC5FD9" w:rsidRDefault="00EC5FD9" w:rsidP="006471AB">
      <w:pPr>
        <w:pStyle w:val="Numberbullet0"/>
        <w:numPr>
          <w:ilvl w:val="0"/>
          <w:numId w:val="45"/>
        </w:numPr>
      </w:pPr>
      <w:r>
        <w:lastRenderedPageBreak/>
        <w:t xml:space="preserve">In </w:t>
      </w:r>
      <w:r w:rsidR="008506AC">
        <w:t xml:space="preserve">Study </w:t>
      </w:r>
      <w:r>
        <w:t>GP13-301 (the FL study), can therapeutic equivalence be concluded, despite the PFS outcomes to date?</w:t>
      </w:r>
      <w:r w:rsidR="000B3A10">
        <w:t xml:space="preserve"> </w:t>
      </w:r>
      <w:r>
        <w:t>Should PFS outcomes be included in the PI?</w:t>
      </w:r>
    </w:p>
    <w:p w14:paraId="7F4AA95C" w14:textId="77777777" w:rsidR="00EC5FD9" w:rsidRDefault="00EC5FD9" w:rsidP="006471AB">
      <w:pPr>
        <w:pStyle w:val="Numberbullet0"/>
      </w:pPr>
      <w:r>
        <w:t xml:space="preserve">Regarding the switching </w:t>
      </w:r>
      <w:r w:rsidR="009B2FD7">
        <w:t>Study GP</w:t>
      </w:r>
      <w:r>
        <w:t xml:space="preserve">13-302, what weight should be placed on the single event of serum sickness in a patient switched to </w:t>
      </w:r>
      <w:r w:rsidR="00334CAC">
        <w:t>Riximyo</w:t>
      </w:r>
      <w:r>
        <w:t>?</w:t>
      </w:r>
      <w:r w:rsidR="000B3A10">
        <w:t xml:space="preserve"> </w:t>
      </w:r>
      <w:r>
        <w:t>This AE is already listed in the proposed PI but should it be more prominent?</w:t>
      </w:r>
    </w:p>
    <w:p w14:paraId="7F4AA95D" w14:textId="77777777" w:rsidR="00EC5FD9" w:rsidRPr="00867BA5" w:rsidRDefault="00EC5FD9" w:rsidP="006471AB">
      <w:pPr>
        <w:ind w:left="425"/>
      </w:pPr>
      <w:r w:rsidRPr="00867BA5">
        <w:t xml:space="preserve">Please also note that the sponsor has been asked </w:t>
      </w:r>
      <w:r>
        <w:t>an additional question</w:t>
      </w:r>
      <w:r w:rsidRPr="00867BA5">
        <w:t xml:space="preserve">, re-copied below, and </w:t>
      </w:r>
      <w:r>
        <w:t>the answer in</w:t>
      </w:r>
      <w:r w:rsidRPr="00867BA5">
        <w:t xml:space="preserve"> the Pre-ACM Response may be of interest.</w:t>
      </w:r>
    </w:p>
    <w:p w14:paraId="7F4AA95E" w14:textId="77777777" w:rsidR="00EC5FD9" w:rsidRPr="006471AB" w:rsidRDefault="00EC5FD9" w:rsidP="006471AB">
      <w:pPr>
        <w:ind w:left="425"/>
        <w:rPr>
          <w:i/>
        </w:rPr>
      </w:pPr>
      <w:r w:rsidRPr="006471AB">
        <w:rPr>
          <w:i/>
        </w:rPr>
        <w:t>Can other instances of serum sickness be ruled out in [Study GP13-302], based on review of grouped signs and symptoms and investigator diagnoses?</w:t>
      </w:r>
    </w:p>
    <w:p w14:paraId="7F4AA95F" w14:textId="77777777" w:rsidR="00EC5FD9" w:rsidRDefault="00EC5FD9" w:rsidP="006471AB">
      <w:pPr>
        <w:pStyle w:val="Numberbullet0"/>
      </w:pPr>
      <w:r>
        <w:t xml:space="preserve">Considering physicochemical comparisons (including </w:t>
      </w:r>
      <w:r w:rsidRPr="00DA5A29">
        <w:rPr>
          <w:i/>
        </w:rPr>
        <w:t>in vitro</w:t>
      </w:r>
      <w:r>
        <w:t xml:space="preserve"> tests of biological function) and nonclinical and clinical studies, does the ACM consider </w:t>
      </w:r>
      <w:r w:rsidR="00334CAC">
        <w:t>Riximyo</w:t>
      </w:r>
      <w:r>
        <w:t xml:space="preserve"> to be sufficiently comparable to MabThera to allow approval as a biosimilar?</w:t>
      </w:r>
    </w:p>
    <w:p w14:paraId="7F4AA960" w14:textId="77777777" w:rsidR="00EC5FD9" w:rsidRDefault="00EC5FD9" w:rsidP="006471AB">
      <w:pPr>
        <w:pStyle w:val="Numberbullet0"/>
      </w:pPr>
      <w:r>
        <w:t>Does the ACM have any concerns about extrapolation of indications beyond RA and FL?</w:t>
      </w:r>
    </w:p>
    <w:p w14:paraId="7F4AA961" w14:textId="77777777" w:rsidR="00EC5FD9" w:rsidRPr="00A241D6" w:rsidRDefault="00EC5FD9" w:rsidP="006471AB">
      <w:pPr>
        <w:pStyle w:val="Numberbullet0"/>
      </w:pPr>
      <w:r>
        <w:t>Does the ACM have any comments about the proposed PI?</w:t>
      </w:r>
    </w:p>
    <w:p w14:paraId="7F4AA962" w14:textId="77777777" w:rsidR="00EC5FD9" w:rsidRDefault="00EC5FD9" w:rsidP="006471AB">
      <w:r w:rsidRPr="00A241D6">
        <w:t xml:space="preserve">The committee is </w:t>
      </w:r>
      <w:r>
        <w:t xml:space="preserve">also </w:t>
      </w:r>
      <w:r w:rsidRPr="00A241D6">
        <w:t>requested to provide advice on any other issues that it thinks may be relevant to a decision on whether or not to approve this application.</w:t>
      </w:r>
    </w:p>
    <w:p w14:paraId="7F4AA963" w14:textId="5F552449" w:rsidR="00EC5FD9" w:rsidRDefault="00EC5FD9" w:rsidP="006471AB">
      <w:r>
        <w:t xml:space="preserve">In answering these questions, it is important that the ACM takes into account the sponsor’s response to the Delegate’s Overview, </w:t>
      </w:r>
      <w:r w:rsidR="008506AC">
        <w:t xml:space="preserve">that is, </w:t>
      </w:r>
      <w:r>
        <w:t>the ‘Pre-ACM Response’.</w:t>
      </w:r>
    </w:p>
    <w:p w14:paraId="7F4AA964" w14:textId="605DEC5E" w:rsidR="00D23139" w:rsidRDefault="00456765" w:rsidP="00D23139">
      <w:pPr>
        <w:pStyle w:val="Heading4"/>
      </w:pPr>
      <w:r>
        <w:t xml:space="preserve">Response from </w:t>
      </w:r>
      <w:r w:rsidR="008506AC">
        <w:t>sponsor</w:t>
      </w:r>
    </w:p>
    <w:p w14:paraId="7F4AA965" w14:textId="77777777" w:rsidR="00285AEE" w:rsidRDefault="00285AEE" w:rsidP="002B21DD">
      <w:pPr>
        <w:pStyle w:val="Heading5"/>
      </w:pPr>
      <w:r>
        <w:t>Introduction</w:t>
      </w:r>
    </w:p>
    <w:p w14:paraId="7F4AA966" w14:textId="0CC568AA" w:rsidR="00285AEE" w:rsidRDefault="00285AEE" w:rsidP="002B21DD">
      <w:r>
        <w:t>The Delegate has sought the Advisory</w:t>
      </w:r>
      <w:r>
        <w:rPr>
          <w:spacing w:val="-10"/>
        </w:rPr>
        <w:t xml:space="preserve"> </w:t>
      </w:r>
      <w:r>
        <w:t>Committee</w:t>
      </w:r>
      <w:r>
        <w:rPr>
          <w:spacing w:val="-6"/>
        </w:rPr>
        <w:t xml:space="preserve"> </w:t>
      </w:r>
      <w:r>
        <w:t>on</w:t>
      </w:r>
      <w:r>
        <w:rPr>
          <w:spacing w:val="-5"/>
        </w:rPr>
        <w:t xml:space="preserve"> </w:t>
      </w:r>
      <w:r>
        <w:t>Medicines</w:t>
      </w:r>
      <w:r>
        <w:rPr>
          <w:spacing w:val="-5"/>
        </w:rPr>
        <w:t xml:space="preserve"> </w:t>
      </w:r>
      <w:r>
        <w:t>(ACM)’s</w:t>
      </w:r>
      <w:r>
        <w:rPr>
          <w:spacing w:val="-2"/>
        </w:rPr>
        <w:t xml:space="preserve"> </w:t>
      </w:r>
      <w:r>
        <w:t>advice</w:t>
      </w:r>
      <w:r>
        <w:rPr>
          <w:spacing w:val="-6"/>
        </w:rPr>
        <w:t xml:space="preserve"> </w:t>
      </w:r>
      <w:r>
        <w:t>on</w:t>
      </w:r>
      <w:r>
        <w:rPr>
          <w:spacing w:val="-5"/>
        </w:rPr>
        <w:t xml:space="preserve"> </w:t>
      </w:r>
      <w:r>
        <w:t>five</w:t>
      </w:r>
      <w:r>
        <w:rPr>
          <w:spacing w:val="-6"/>
        </w:rPr>
        <w:t xml:space="preserve"> </w:t>
      </w:r>
      <w:r>
        <w:t>issues</w:t>
      </w:r>
      <w:r>
        <w:rPr>
          <w:spacing w:val="-5"/>
        </w:rPr>
        <w:t xml:space="preserve"> </w:t>
      </w:r>
      <w:r>
        <w:t>related</w:t>
      </w:r>
      <w:r>
        <w:rPr>
          <w:spacing w:val="-5"/>
        </w:rPr>
        <w:t xml:space="preserve"> </w:t>
      </w:r>
      <w:r>
        <w:t>to</w:t>
      </w:r>
      <w:r>
        <w:rPr>
          <w:spacing w:val="-4"/>
        </w:rPr>
        <w:t xml:space="preserve"> </w:t>
      </w:r>
      <w:r>
        <w:t>this</w:t>
      </w:r>
      <w:r>
        <w:rPr>
          <w:spacing w:val="-3"/>
        </w:rPr>
        <w:t xml:space="preserve"> </w:t>
      </w:r>
      <w:r>
        <w:t xml:space="preserve">approval. </w:t>
      </w:r>
      <w:r w:rsidR="006471AB">
        <w:t>The sponsor</w:t>
      </w:r>
      <w:r>
        <w:t xml:space="preserve"> has taken this opportunity to provide comments to assist the ACM in its deliberations. </w:t>
      </w:r>
      <w:r w:rsidR="006471AB">
        <w:t>The sponsor</w:t>
      </w:r>
      <w:r>
        <w:t xml:space="preserve"> also respond</w:t>
      </w:r>
      <w:r w:rsidR="006471AB">
        <w:t>s</w:t>
      </w:r>
      <w:r>
        <w:t xml:space="preserve"> to the </w:t>
      </w:r>
      <w:r w:rsidR="0061344E">
        <w:t>‘</w:t>
      </w:r>
      <w:r>
        <w:t xml:space="preserve">Question to the </w:t>
      </w:r>
      <w:r w:rsidR="008506AC">
        <w:t>sponsor’</w:t>
      </w:r>
      <w:r w:rsidR="006471AB">
        <w:t>.</w:t>
      </w:r>
    </w:p>
    <w:p w14:paraId="7F4AA967" w14:textId="54542228" w:rsidR="00285AEE" w:rsidRDefault="00D62300" w:rsidP="002B21DD">
      <w:pPr>
        <w:pStyle w:val="Heading5"/>
      </w:pPr>
      <w:r>
        <w:t xml:space="preserve">Regarding </w:t>
      </w:r>
      <w:r w:rsidR="00EA516A">
        <w:t xml:space="preserve">delegate’s questions </w:t>
      </w:r>
      <w:r w:rsidR="00285AEE">
        <w:t xml:space="preserve">to </w:t>
      </w:r>
      <w:r>
        <w:t xml:space="preserve">the </w:t>
      </w:r>
      <w:r w:rsidR="00285AEE">
        <w:rPr>
          <w:spacing w:val="-3"/>
        </w:rPr>
        <w:t>ACM</w:t>
      </w:r>
    </w:p>
    <w:p w14:paraId="7F4AA968" w14:textId="77777777" w:rsidR="00285AEE" w:rsidRDefault="00285AEE" w:rsidP="006471AB">
      <w:pPr>
        <w:pStyle w:val="Heading6"/>
      </w:pPr>
      <w:r>
        <w:t>Question 1</w:t>
      </w:r>
    </w:p>
    <w:p w14:paraId="7F4AA969" w14:textId="77777777" w:rsidR="00285AEE" w:rsidRPr="006471AB" w:rsidRDefault="00285AEE" w:rsidP="006471AB">
      <w:pPr>
        <w:ind w:left="720"/>
        <w:rPr>
          <w:i/>
        </w:rPr>
      </w:pPr>
      <w:r w:rsidRPr="006471AB">
        <w:rPr>
          <w:i/>
        </w:rPr>
        <w:t>In GP13-301 (the FL study), can therapeutic equivalence be concluded, despite the PFS outcomes to date? Should PFS outcomes be included in the PI?</w:t>
      </w:r>
    </w:p>
    <w:p w14:paraId="7F4AA96A" w14:textId="77777777" w:rsidR="00285AEE" w:rsidRDefault="006471AB" w:rsidP="002B21DD">
      <w:pPr>
        <w:pStyle w:val="Heading6"/>
      </w:pPr>
      <w:r>
        <w:t>Sponsor’s</w:t>
      </w:r>
      <w:r w:rsidR="00285AEE">
        <w:t xml:space="preserve"> position</w:t>
      </w:r>
    </w:p>
    <w:p w14:paraId="7F4AA96B" w14:textId="77777777" w:rsidR="00285AEE" w:rsidRDefault="006471AB" w:rsidP="002B21DD">
      <w:r>
        <w:t>The sponsor’s</w:t>
      </w:r>
      <w:r w:rsidR="00285AEE">
        <w:rPr>
          <w:spacing w:val="-9"/>
        </w:rPr>
        <w:t xml:space="preserve"> </w:t>
      </w:r>
      <w:r w:rsidR="00285AEE">
        <w:t>position</w:t>
      </w:r>
      <w:r w:rsidR="00285AEE">
        <w:rPr>
          <w:spacing w:val="-13"/>
        </w:rPr>
        <w:t xml:space="preserve"> </w:t>
      </w:r>
      <w:r w:rsidR="00285AEE">
        <w:t>is</w:t>
      </w:r>
      <w:r w:rsidR="00285AEE">
        <w:rPr>
          <w:spacing w:val="-9"/>
        </w:rPr>
        <w:t xml:space="preserve"> </w:t>
      </w:r>
      <w:r w:rsidR="00285AEE">
        <w:t>that</w:t>
      </w:r>
      <w:r w:rsidR="00285AEE">
        <w:rPr>
          <w:spacing w:val="-13"/>
        </w:rPr>
        <w:t xml:space="preserve"> </w:t>
      </w:r>
      <w:r w:rsidR="00285AEE">
        <w:t>therapeutic</w:t>
      </w:r>
      <w:r w:rsidR="00285AEE">
        <w:rPr>
          <w:spacing w:val="-10"/>
        </w:rPr>
        <w:t xml:space="preserve"> </w:t>
      </w:r>
      <w:r w:rsidR="00285AEE">
        <w:t>equivalence</w:t>
      </w:r>
      <w:r w:rsidR="00285AEE">
        <w:rPr>
          <w:spacing w:val="-11"/>
        </w:rPr>
        <w:t xml:space="preserve"> </w:t>
      </w:r>
      <w:r w:rsidR="00285AEE">
        <w:t>of</w:t>
      </w:r>
      <w:r w:rsidR="00285AEE">
        <w:rPr>
          <w:spacing w:val="-9"/>
        </w:rPr>
        <w:t xml:space="preserve"> </w:t>
      </w:r>
      <w:r w:rsidR="00334CAC">
        <w:t>Riximyo</w:t>
      </w:r>
      <w:r w:rsidR="00285AEE">
        <w:rPr>
          <w:spacing w:val="6"/>
          <w:position w:val="9"/>
          <w:sz w:val="16"/>
        </w:rPr>
        <w:t xml:space="preserve"> </w:t>
      </w:r>
      <w:r w:rsidR="00285AEE">
        <w:t>to</w:t>
      </w:r>
      <w:r w:rsidR="00285AEE">
        <w:rPr>
          <w:spacing w:val="-11"/>
        </w:rPr>
        <w:t xml:space="preserve"> </w:t>
      </w:r>
      <w:r w:rsidR="000B3A10">
        <w:t>MabThera</w:t>
      </w:r>
      <w:r w:rsidR="00285AEE">
        <w:rPr>
          <w:spacing w:val="6"/>
          <w:position w:val="9"/>
          <w:sz w:val="16"/>
        </w:rPr>
        <w:t xml:space="preserve"> </w:t>
      </w:r>
      <w:r w:rsidR="00285AEE">
        <w:t>(reference</w:t>
      </w:r>
      <w:r w:rsidR="00285AEE">
        <w:rPr>
          <w:spacing w:val="-11"/>
        </w:rPr>
        <w:t xml:space="preserve"> </w:t>
      </w:r>
      <w:r w:rsidR="00285AEE">
        <w:t>medicine) has</w:t>
      </w:r>
      <w:r w:rsidR="00285AEE">
        <w:rPr>
          <w:spacing w:val="-13"/>
        </w:rPr>
        <w:t xml:space="preserve"> </w:t>
      </w:r>
      <w:r w:rsidR="00285AEE">
        <w:t>been</w:t>
      </w:r>
      <w:r w:rsidR="00285AEE">
        <w:rPr>
          <w:spacing w:val="-11"/>
        </w:rPr>
        <w:t xml:space="preserve"> </w:t>
      </w:r>
      <w:r w:rsidR="00285AEE">
        <w:t>established</w:t>
      </w:r>
      <w:r w:rsidR="00285AEE">
        <w:rPr>
          <w:spacing w:val="-12"/>
        </w:rPr>
        <w:t xml:space="preserve"> </w:t>
      </w:r>
      <w:r w:rsidR="00285AEE">
        <w:t>based</w:t>
      </w:r>
      <w:r w:rsidR="00285AEE">
        <w:rPr>
          <w:spacing w:val="-13"/>
        </w:rPr>
        <w:t xml:space="preserve"> </w:t>
      </w:r>
      <w:r w:rsidR="00285AEE">
        <w:t>on</w:t>
      </w:r>
      <w:r w:rsidR="00285AEE">
        <w:rPr>
          <w:spacing w:val="-13"/>
        </w:rPr>
        <w:t xml:space="preserve"> </w:t>
      </w:r>
      <w:r w:rsidR="009B2FD7">
        <w:t>Study GP</w:t>
      </w:r>
      <w:r w:rsidR="00285AEE">
        <w:t>13-301</w:t>
      </w:r>
      <w:r w:rsidR="00285AEE">
        <w:rPr>
          <w:spacing w:val="-13"/>
        </w:rPr>
        <w:t xml:space="preserve"> </w:t>
      </w:r>
      <w:r w:rsidR="00285AEE">
        <w:t>primary</w:t>
      </w:r>
      <w:r w:rsidR="00285AEE">
        <w:rPr>
          <w:spacing w:val="-16"/>
        </w:rPr>
        <w:t xml:space="preserve"> </w:t>
      </w:r>
      <w:r w:rsidR="00285AEE">
        <w:t>endpoint</w:t>
      </w:r>
      <w:r w:rsidR="00285AEE">
        <w:rPr>
          <w:spacing w:val="-13"/>
        </w:rPr>
        <w:t xml:space="preserve"> </w:t>
      </w:r>
      <w:r w:rsidR="00285AEE">
        <w:t>of</w:t>
      </w:r>
      <w:r w:rsidR="00285AEE">
        <w:rPr>
          <w:spacing w:val="-10"/>
        </w:rPr>
        <w:t xml:space="preserve"> </w:t>
      </w:r>
      <w:r>
        <w:t>ORR</w:t>
      </w:r>
      <w:r w:rsidR="00285AEE">
        <w:t xml:space="preserve"> given the endpoint was met. The purpose of this study was not to re-establish efficacy of rituximab but to demonstrate therapeutic equivalence as part of a step-wise approach recommended for clinical comparisons for registration of biosimilars. </w:t>
      </w:r>
      <w:r>
        <w:t>The sponsor</w:t>
      </w:r>
      <w:r w:rsidR="00285AEE">
        <w:t xml:space="preserve"> considers ORR the appropriate primary endpoint in this</w:t>
      </w:r>
      <w:r w:rsidR="00285AEE">
        <w:rPr>
          <w:spacing w:val="-3"/>
        </w:rPr>
        <w:t xml:space="preserve"> </w:t>
      </w:r>
      <w:r w:rsidR="00285AEE">
        <w:t>setting.</w:t>
      </w:r>
    </w:p>
    <w:p w14:paraId="7F4AA96C" w14:textId="13D0666C" w:rsidR="00285AEE" w:rsidRDefault="00285AEE" w:rsidP="00EF1F0C">
      <w:r>
        <w:t xml:space="preserve">For biosimilar development, reference medicinal drug product indications with a large add-on- effect to standard treatment provide a sensitive clinical setting. </w:t>
      </w:r>
      <w:r>
        <w:rPr>
          <w:spacing w:val="-3"/>
        </w:rPr>
        <w:t xml:space="preserve">In </w:t>
      </w:r>
      <w:r w:rsidR="006471AB">
        <w:rPr>
          <w:spacing w:val="-3"/>
        </w:rPr>
        <w:t>F</w:t>
      </w:r>
      <w:r>
        <w:t>L, rituximab</w:t>
      </w:r>
      <w:r>
        <w:rPr>
          <w:spacing w:val="-10"/>
        </w:rPr>
        <w:t xml:space="preserve"> </w:t>
      </w:r>
      <w:r>
        <w:t>has</w:t>
      </w:r>
      <w:r>
        <w:rPr>
          <w:spacing w:val="-9"/>
        </w:rPr>
        <w:t xml:space="preserve"> </w:t>
      </w:r>
      <w:r>
        <w:t>shown</w:t>
      </w:r>
      <w:r>
        <w:rPr>
          <w:spacing w:val="-10"/>
        </w:rPr>
        <w:t xml:space="preserve"> </w:t>
      </w:r>
      <w:r>
        <w:t>the</w:t>
      </w:r>
      <w:r>
        <w:rPr>
          <w:spacing w:val="-10"/>
        </w:rPr>
        <w:t xml:space="preserve"> </w:t>
      </w:r>
      <w:r>
        <w:t>largest</w:t>
      </w:r>
      <w:r>
        <w:rPr>
          <w:spacing w:val="-9"/>
        </w:rPr>
        <w:t xml:space="preserve"> </w:t>
      </w:r>
      <w:r>
        <w:t>add-on</w:t>
      </w:r>
      <w:r>
        <w:rPr>
          <w:spacing w:val="-10"/>
        </w:rPr>
        <w:t xml:space="preserve"> </w:t>
      </w:r>
      <w:r>
        <w:t>effect</w:t>
      </w:r>
      <w:r>
        <w:rPr>
          <w:spacing w:val="-9"/>
        </w:rPr>
        <w:t xml:space="preserve"> </w:t>
      </w:r>
      <w:r>
        <w:t>for</w:t>
      </w:r>
      <w:r>
        <w:rPr>
          <w:spacing w:val="-11"/>
        </w:rPr>
        <w:t xml:space="preserve"> </w:t>
      </w:r>
      <w:r>
        <w:t>overall</w:t>
      </w:r>
      <w:r>
        <w:rPr>
          <w:spacing w:val="-9"/>
        </w:rPr>
        <w:t xml:space="preserve"> </w:t>
      </w:r>
      <w:r>
        <w:t>response</w:t>
      </w:r>
      <w:r>
        <w:rPr>
          <w:spacing w:val="-10"/>
        </w:rPr>
        <w:t xml:space="preserve"> </w:t>
      </w:r>
      <w:r>
        <w:t>rate</w:t>
      </w:r>
      <w:r>
        <w:rPr>
          <w:spacing w:val="-11"/>
        </w:rPr>
        <w:t xml:space="preserve"> </w:t>
      </w:r>
      <w:r>
        <w:t>when</w:t>
      </w:r>
      <w:r>
        <w:rPr>
          <w:spacing w:val="-8"/>
        </w:rPr>
        <w:t xml:space="preserve"> </w:t>
      </w:r>
      <w:r>
        <w:t>combined</w:t>
      </w:r>
      <w:r>
        <w:rPr>
          <w:spacing w:val="-10"/>
        </w:rPr>
        <w:t xml:space="preserve"> </w:t>
      </w:r>
      <w:r>
        <w:t>with</w:t>
      </w:r>
      <w:r>
        <w:rPr>
          <w:spacing w:val="-9"/>
        </w:rPr>
        <w:t xml:space="preserve"> </w:t>
      </w:r>
      <w:r>
        <w:t>the chemotherapeutic regimen CVP. ORR is a more sensitive endpoint than progression-free survival</w:t>
      </w:r>
      <w:r>
        <w:rPr>
          <w:spacing w:val="-8"/>
        </w:rPr>
        <w:t xml:space="preserve"> </w:t>
      </w:r>
      <w:r>
        <w:t>(PFS)</w:t>
      </w:r>
      <w:r>
        <w:rPr>
          <w:spacing w:val="-9"/>
        </w:rPr>
        <w:t xml:space="preserve"> </w:t>
      </w:r>
      <w:r>
        <w:t>since</w:t>
      </w:r>
      <w:r>
        <w:rPr>
          <w:spacing w:val="-9"/>
        </w:rPr>
        <w:t xml:space="preserve"> </w:t>
      </w:r>
      <w:r>
        <w:t>the</w:t>
      </w:r>
      <w:r>
        <w:rPr>
          <w:spacing w:val="-9"/>
        </w:rPr>
        <w:t xml:space="preserve"> </w:t>
      </w:r>
      <w:r>
        <w:t>add-on</w:t>
      </w:r>
      <w:r>
        <w:rPr>
          <w:spacing w:val="-9"/>
        </w:rPr>
        <w:t xml:space="preserve"> </w:t>
      </w:r>
      <w:r>
        <w:t>effect</w:t>
      </w:r>
      <w:r>
        <w:rPr>
          <w:spacing w:val="-8"/>
        </w:rPr>
        <w:t xml:space="preserve"> </w:t>
      </w:r>
      <w:r>
        <w:t>of</w:t>
      </w:r>
      <w:r>
        <w:rPr>
          <w:spacing w:val="-9"/>
        </w:rPr>
        <w:t xml:space="preserve"> </w:t>
      </w:r>
      <w:r>
        <w:t>rituximab</w:t>
      </w:r>
      <w:r>
        <w:rPr>
          <w:spacing w:val="-11"/>
        </w:rPr>
        <w:t xml:space="preserve"> </w:t>
      </w:r>
      <w:r>
        <w:t>to</w:t>
      </w:r>
      <w:r>
        <w:rPr>
          <w:spacing w:val="-8"/>
        </w:rPr>
        <w:t xml:space="preserve"> </w:t>
      </w:r>
      <w:r>
        <w:t>ORR</w:t>
      </w:r>
      <w:r>
        <w:rPr>
          <w:spacing w:val="-8"/>
        </w:rPr>
        <w:t xml:space="preserve"> </w:t>
      </w:r>
      <w:r>
        <w:t>(+24%)</w:t>
      </w:r>
      <w:bookmarkStart w:id="121" w:name="_Ref514156568"/>
      <w:r w:rsidR="008506AC">
        <w:t>;</w:t>
      </w:r>
      <w:r w:rsidR="00E41644">
        <w:rPr>
          <w:rStyle w:val="FootnoteReference"/>
        </w:rPr>
        <w:footnoteReference w:id="16"/>
      </w:r>
      <w:bookmarkEnd w:id="121"/>
      <w:r>
        <w:rPr>
          <w:spacing w:val="-9"/>
        </w:rPr>
        <w:t xml:space="preserve"> </w:t>
      </w:r>
      <w:r>
        <w:t>in</w:t>
      </w:r>
      <w:r>
        <w:rPr>
          <w:spacing w:val="-8"/>
        </w:rPr>
        <w:t xml:space="preserve"> </w:t>
      </w:r>
      <w:r>
        <w:t>the</w:t>
      </w:r>
      <w:r>
        <w:rPr>
          <w:spacing w:val="-9"/>
        </w:rPr>
        <w:t xml:space="preserve"> </w:t>
      </w:r>
      <w:r>
        <w:t xml:space="preserve">study setting </w:t>
      </w:r>
      <w:r>
        <w:lastRenderedPageBreak/>
        <w:t>exceeds the add-on effect on PFS at 3</w:t>
      </w:r>
      <w:r w:rsidR="006471AB">
        <w:t xml:space="preserve"> </w:t>
      </w:r>
      <w:r>
        <w:t xml:space="preserve">years follow up which can be considered to be less than 17%. </w:t>
      </w:r>
      <w:r>
        <w:rPr>
          <w:spacing w:val="-3"/>
        </w:rPr>
        <w:t xml:space="preserve">In </w:t>
      </w:r>
      <w:r>
        <w:t>addition, while the ORR responses in studies comparable to GP13-301 were in a robust range of 81% to 88</w:t>
      </w:r>
      <w:r w:rsidRPr="004A1E05">
        <w:t>%</w:t>
      </w:r>
      <w:r w:rsidR="008506AC">
        <w:rPr>
          <w:rStyle w:val="FootnoteReference"/>
          <w:vertAlign w:val="baseline"/>
        </w:rPr>
        <w:t>;</w:t>
      </w:r>
      <w:r w:rsidR="00E41644" w:rsidRPr="00E41644">
        <w:rPr>
          <w:rStyle w:val="FootnoteReference"/>
        </w:rPr>
        <w:footnoteReference w:id="17"/>
      </w:r>
      <w:r w:rsidRPr="00E41644">
        <w:rPr>
          <w:vertAlign w:val="superscript"/>
        </w:rPr>
        <w:t xml:space="preserve"> </w:t>
      </w:r>
      <w:r w:rsidR="00E41644" w:rsidRPr="00E41644">
        <w:rPr>
          <w:vertAlign w:val="superscript"/>
        </w:rPr>
        <w:fldChar w:fldCharType="begin"/>
      </w:r>
      <w:r w:rsidR="00E41644" w:rsidRPr="00E41644">
        <w:rPr>
          <w:vertAlign w:val="superscript"/>
        </w:rPr>
        <w:instrText xml:space="preserve"> NOTEREF _Ref514156568 \h  \* MERGEFORMAT </w:instrText>
      </w:r>
      <w:r w:rsidR="00E41644" w:rsidRPr="00E41644">
        <w:rPr>
          <w:vertAlign w:val="superscript"/>
        </w:rPr>
      </w:r>
      <w:r w:rsidR="00E41644" w:rsidRPr="00E41644">
        <w:rPr>
          <w:vertAlign w:val="superscript"/>
        </w:rPr>
        <w:fldChar w:fldCharType="separate"/>
      </w:r>
      <w:r w:rsidR="00F50530">
        <w:rPr>
          <w:vertAlign w:val="superscript"/>
        </w:rPr>
        <w:t>15</w:t>
      </w:r>
      <w:r w:rsidR="00E41644" w:rsidRPr="00E41644">
        <w:rPr>
          <w:vertAlign w:val="superscript"/>
        </w:rPr>
        <w:fldChar w:fldCharType="end"/>
      </w:r>
      <w:r w:rsidR="0016627C">
        <w:rPr>
          <w:vertAlign w:val="superscript"/>
        </w:rPr>
        <w:t>,</w:t>
      </w:r>
      <w:r w:rsidR="00E41644" w:rsidRPr="00E41644">
        <w:rPr>
          <w:rStyle w:val="FootnoteReference"/>
        </w:rPr>
        <w:footnoteReference w:id="18"/>
      </w:r>
      <w:proofErr w:type="gramStart"/>
      <w:r w:rsidR="00E41644" w:rsidRPr="00E41644">
        <w:rPr>
          <w:vertAlign w:val="superscript"/>
        </w:rPr>
        <w:t>,</w:t>
      </w:r>
      <w:r w:rsidR="00E41644" w:rsidRPr="00E41644">
        <w:rPr>
          <w:rStyle w:val="FootnoteReference"/>
        </w:rPr>
        <w:footnoteReference w:id="19"/>
      </w:r>
      <w:hyperlink w:anchor="_bookmark3" w:history="1">
        <w:r w:rsidRPr="00E41644">
          <w:rPr>
            <w:vertAlign w:val="superscript"/>
          </w:rPr>
          <w:t>,</w:t>
        </w:r>
        <w:proofErr w:type="gramEnd"/>
        <w:r w:rsidR="00E41644" w:rsidRPr="00E41644">
          <w:rPr>
            <w:rStyle w:val="FootnoteReference"/>
          </w:rPr>
          <w:footnoteReference w:id="20"/>
        </w:r>
        <w:r w:rsidRPr="00E41644">
          <w:rPr>
            <w:vertAlign w:val="superscript"/>
          </w:rPr>
          <w:t xml:space="preserve"> </w:t>
        </w:r>
      </w:hyperlink>
      <w:r w:rsidRPr="00E41644">
        <w:t>very</w:t>
      </w:r>
      <w:r>
        <w:t xml:space="preserve"> limited data are available on the variability of PFS in follicular lymphoma. Only the SAKK 35/05 trial</w:t>
      </w:r>
      <w:r w:rsidR="008506AC">
        <w:t>;</w:t>
      </w:r>
      <w:r w:rsidR="00E41644">
        <w:rPr>
          <w:rStyle w:val="FootnoteReference"/>
        </w:rPr>
        <w:footnoteReference w:id="21"/>
      </w:r>
      <w:r>
        <w:t xml:space="preserve"> indicated a difference in both treatment arms after 8 months of a PFS rate of 3.7% versus 12.2%</w:t>
      </w:r>
      <w:r w:rsidR="006471AB">
        <w:t xml:space="preserve">, </w:t>
      </w:r>
      <w:r>
        <w:t>despite the t</w:t>
      </w:r>
      <w:r w:rsidR="006471AB">
        <w:t>reatment being exactly the same,</w:t>
      </w:r>
      <w:r>
        <w:t xml:space="preserve"> putting the reliability of PFS as a precise outcome measure for a comparability trial into question. The primary endpoint of ORR at the end of the combination phase is considered sensitive and thus appropriate to establish clinical similarity between </w:t>
      </w:r>
      <w:r w:rsidR="008A2F5F">
        <w:t>Riximyo</w:t>
      </w:r>
      <w:r>
        <w:t>/</w:t>
      </w:r>
      <w:r w:rsidR="00334CAC">
        <w:t>Riximyo</w:t>
      </w:r>
      <w:r>
        <w:t xml:space="preserve"> and</w:t>
      </w:r>
      <w:r>
        <w:rPr>
          <w:spacing w:val="-1"/>
        </w:rPr>
        <w:t xml:space="preserve"> </w:t>
      </w:r>
      <w:r>
        <w:t>MabThera.</w:t>
      </w:r>
    </w:p>
    <w:p w14:paraId="7F4AA96D" w14:textId="01A26A9D" w:rsidR="00CB5566" w:rsidRDefault="00CB5566" w:rsidP="00EF1F0C">
      <w:r w:rsidRPr="002B21DD">
        <w:t xml:space="preserve">Therapeutic equivalence was demonstrated by the end of the combination phase. The maintenance phase was added for ethical reasons as maintenance was standard of care. As a maintenance phase was added, the expectation was to report PFS and OS as secondary endpoints, even if not powered. The power for PFS is less than 1%. A biosimilar trial in the setting of </w:t>
      </w:r>
      <w:r w:rsidR="008506AC">
        <w:t xml:space="preserve">Study </w:t>
      </w:r>
      <w:r w:rsidRPr="002B21DD">
        <w:t>GP13-301 appropriately powered (power 80%) for PFS would require more than 2,500 patients and is thus not feasible in a biosimilar setting as recruitment would take more than 10 years. ORR is an endpoint that can be</w:t>
      </w:r>
      <w:r>
        <w:t xml:space="preserve"> assessed earlier and is a direct measure of drug anti-tumour</w:t>
      </w:r>
      <w:r>
        <w:rPr>
          <w:spacing w:val="-2"/>
        </w:rPr>
        <w:t xml:space="preserve"> </w:t>
      </w:r>
      <w:r>
        <w:t>activity.</w:t>
      </w:r>
    </w:p>
    <w:p w14:paraId="7F4AA96E" w14:textId="77777777" w:rsidR="00CB5566" w:rsidRDefault="00CB5566" w:rsidP="002B21DD">
      <w:r>
        <w:t>With regard to the PFS outcomes to date, the low statistical power mentioned above and the immaturity of the PFS data leads to the conclusion that the separation in the treatment arms in PFS is a chance finding in the</w:t>
      </w:r>
      <w:r w:rsidR="00EF1F0C">
        <w:t xml:space="preserve"> PFS curve</w:t>
      </w:r>
      <w:r>
        <w:t xml:space="preserve">. The </w:t>
      </w:r>
      <w:r w:rsidR="00EF1F0C">
        <w:t>clinical e</w:t>
      </w:r>
      <w:r>
        <w:t>valuator considered PFS outcomes</w:t>
      </w:r>
      <w:r>
        <w:rPr>
          <w:spacing w:val="-5"/>
        </w:rPr>
        <w:t xml:space="preserve"> </w:t>
      </w:r>
      <w:r>
        <w:t>too</w:t>
      </w:r>
      <w:r>
        <w:rPr>
          <w:spacing w:val="-4"/>
        </w:rPr>
        <w:t xml:space="preserve"> </w:t>
      </w:r>
      <w:r>
        <w:t>immature</w:t>
      </w:r>
      <w:r>
        <w:rPr>
          <w:spacing w:val="-6"/>
        </w:rPr>
        <w:t xml:space="preserve"> </w:t>
      </w:r>
      <w:r>
        <w:t>to</w:t>
      </w:r>
      <w:r>
        <w:rPr>
          <w:spacing w:val="-5"/>
        </w:rPr>
        <w:t xml:space="preserve"> </w:t>
      </w:r>
      <w:r>
        <w:t>allow</w:t>
      </w:r>
      <w:r>
        <w:rPr>
          <w:spacing w:val="-5"/>
        </w:rPr>
        <w:t xml:space="preserve"> </w:t>
      </w:r>
      <w:r>
        <w:t>comparisons</w:t>
      </w:r>
      <w:r>
        <w:rPr>
          <w:spacing w:val="-4"/>
        </w:rPr>
        <w:t xml:space="preserve"> </w:t>
      </w:r>
      <w:r>
        <w:t>to</w:t>
      </w:r>
      <w:r>
        <w:rPr>
          <w:spacing w:val="-4"/>
        </w:rPr>
        <w:t xml:space="preserve"> </w:t>
      </w:r>
      <w:r>
        <w:t>be</w:t>
      </w:r>
      <w:r>
        <w:rPr>
          <w:spacing w:val="-6"/>
        </w:rPr>
        <w:t xml:space="preserve"> </w:t>
      </w:r>
      <w:r>
        <w:t>drawn.</w:t>
      </w:r>
      <w:r>
        <w:rPr>
          <w:spacing w:val="-3"/>
        </w:rPr>
        <w:t xml:space="preserve"> </w:t>
      </w:r>
      <w:r w:rsidR="00EF1F0C">
        <w:t>The sponsor</w:t>
      </w:r>
      <w:r>
        <w:rPr>
          <w:spacing w:val="-4"/>
        </w:rPr>
        <w:t xml:space="preserve"> </w:t>
      </w:r>
      <w:r>
        <w:t>agrees</w:t>
      </w:r>
      <w:r>
        <w:rPr>
          <w:spacing w:val="-2"/>
        </w:rPr>
        <w:t xml:space="preserve"> </w:t>
      </w:r>
      <w:r>
        <w:t>with</w:t>
      </w:r>
      <w:r>
        <w:rPr>
          <w:spacing w:val="-4"/>
        </w:rPr>
        <w:t xml:space="preserve"> </w:t>
      </w:r>
      <w:r>
        <w:t>this</w:t>
      </w:r>
      <w:r>
        <w:rPr>
          <w:spacing w:val="-5"/>
        </w:rPr>
        <w:t xml:space="preserve"> </w:t>
      </w:r>
      <w:r>
        <w:t>conclusion. The event rate is still low in total (about 27%) with more than 70% of patients censored, of which</w:t>
      </w:r>
      <w:r>
        <w:rPr>
          <w:spacing w:val="-11"/>
        </w:rPr>
        <w:t xml:space="preserve"> </w:t>
      </w:r>
      <w:r>
        <w:t>more</w:t>
      </w:r>
      <w:r>
        <w:rPr>
          <w:spacing w:val="-12"/>
        </w:rPr>
        <w:t xml:space="preserve"> </w:t>
      </w:r>
      <w:r>
        <w:t>than</w:t>
      </w:r>
      <w:r>
        <w:rPr>
          <w:spacing w:val="-12"/>
        </w:rPr>
        <w:t xml:space="preserve"> </w:t>
      </w:r>
      <w:r>
        <w:t>30%</w:t>
      </w:r>
      <w:r>
        <w:rPr>
          <w:spacing w:val="-9"/>
        </w:rPr>
        <w:t xml:space="preserve"> </w:t>
      </w:r>
      <w:r>
        <w:t>are</w:t>
      </w:r>
      <w:r>
        <w:rPr>
          <w:spacing w:val="-11"/>
        </w:rPr>
        <w:t xml:space="preserve"> </w:t>
      </w:r>
      <w:r>
        <w:t>ongoing</w:t>
      </w:r>
      <w:r>
        <w:rPr>
          <w:spacing w:val="-13"/>
        </w:rPr>
        <w:t xml:space="preserve"> </w:t>
      </w:r>
      <w:r>
        <w:t>in</w:t>
      </w:r>
      <w:r>
        <w:rPr>
          <w:spacing w:val="-11"/>
        </w:rPr>
        <w:t xml:space="preserve"> </w:t>
      </w:r>
      <w:r>
        <w:t>the</w:t>
      </w:r>
      <w:r>
        <w:rPr>
          <w:spacing w:val="-12"/>
        </w:rPr>
        <w:t xml:space="preserve"> </w:t>
      </w:r>
      <w:r>
        <w:t>study</w:t>
      </w:r>
      <w:r>
        <w:rPr>
          <w:spacing w:val="-16"/>
        </w:rPr>
        <w:t xml:space="preserve"> </w:t>
      </w:r>
      <w:r>
        <w:t>without</w:t>
      </w:r>
      <w:r>
        <w:rPr>
          <w:spacing w:val="-11"/>
        </w:rPr>
        <w:t xml:space="preserve"> </w:t>
      </w:r>
      <w:r>
        <w:t>event</w:t>
      </w:r>
      <w:r>
        <w:rPr>
          <w:spacing w:val="-11"/>
        </w:rPr>
        <w:t xml:space="preserve"> </w:t>
      </w:r>
      <w:r>
        <w:t>at</w:t>
      </w:r>
      <w:r>
        <w:rPr>
          <w:spacing w:val="-11"/>
        </w:rPr>
        <w:t xml:space="preserve"> </w:t>
      </w:r>
      <w:r>
        <w:t>the</w:t>
      </w:r>
      <w:r>
        <w:rPr>
          <w:spacing w:val="-12"/>
        </w:rPr>
        <w:t xml:space="preserve"> </w:t>
      </w:r>
      <w:r>
        <w:t>last</w:t>
      </w:r>
      <w:r>
        <w:rPr>
          <w:spacing w:val="-11"/>
        </w:rPr>
        <w:t xml:space="preserve"> </w:t>
      </w:r>
      <w:r>
        <w:t>data</w:t>
      </w:r>
      <w:r>
        <w:rPr>
          <w:spacing w:val="-9"/>
        </w:rPr>
        <w:t xml:space="preserve"> </w:t>
      </w:r>
      <w:r>
        <w:t>cut</w:t>
      </w:r>
      <w:r>
        <w:rPr>
          <w:spacing w:val="-11"/>
        </w:rPr>
        <w:t xml:space="preserve"> </w:t>
      </w:r>
      <w:r>
        <w:t>(31</w:t>
      </w:r>
      <w:r>
        <w:rPr>
          <w:spacing w:val="-12"/>
        </w:rPr>
        <w:t xml:space="preserve"> </w:t>
      </w:r>
      <w:r>
        <w:t>D</w:t>
      </w:r>
      <w:r w:rsidR="00EF1F0C">
        <w:t xml:space="preserve">ecember </w:t>
      </w:r>
      <w:r>
        <w:t xml:space="preserve">2017). The median PFS has not been reached yet. The follow-up time in </w:t>
      </w:r>
      <w:r w:rsidR="009B2FD7">
        <w:t>Study GP</w:t>
      </w:r>
      <w:r>
        <w:t>13-301 is not appropriate</w:t>
      </w:r>
      <w:r>
        <w:rPr>
          <w:spacing w:val="-2"/>
        </w:rPr>
        <w:t xml:space="preserve"> </w:t>
      </w:r>
      <w:r>
        <w:t>to</w:t>
      </w:r>
      <w:r>
        <w:rPr>
          <w:spacing w:val="-3"/>
        </w:rPr>
        <w:t xml:space="preserve"> </w:t>
      </w:r>
      <w:r>
        <w:t>reach</w:t>
      </w:r>
      <w:r>
        <w:rPr>
          <w:spacing w:val="-4"/>
        </w:rPr>
        <w:t xml:space="preserve"> </w:t>
      </w:r>
      <w:r>
        <w:t>the</w:t>
      </w:r>
      <w:r>
        <w:rPr>
          <w:spacing w:val="-2"/>
        </w:rPr>
        <w:t xml:space="preserve"> </w:t>
      </w:r>
      <w:r>
        <w:t>median</w:t>
      </w:r>
      <w:r>
        <w:rPr>
          <w:spacing w:val="-4"/>
        </w:rPr>
        <w:t xml:space="preserve"> </w:t>
      </w:r>
      <w:r>
        <w:t>PFS,</w:t>
      </w:r>
      <w:r>
        <w:rPr>
          <w:spacing w:val="-4"/>
        </w:rPr>
        <w:t xml:space="preserve"> </w:t>
      </w:r>
      <w:r>
        <w:t>which</w:t>
      </w:r>
      <w:r>
        <w:rPr>
          <w:spacing w:val="-4"/>
        </w:rPr>
        <w:t xml:space="preserve"> </w:t>
      </w:r>
      <w:r>
        <w:t>is</w:t>
      </w:r>
      <w:r>
        <w:rPr>
          <w:spacing w:val="-3"/>
        </w:rPr>
        <w:t xml:space="preserve"> </w:t>
      </w:r>
      <w:r>
        <w:t>6</w:t>
      </w:r>
      <w:r>
        <w:rPr>
          <w:spacing w:val="-2"/>
        </w:rPr>
        <w:t xml:space="preserve"> </w:t>
      </w:r>
      <w:r>
        <w:t>to</w:t>
      </w:r>
      <w:r>
        <w:rPr>
          <w:spacing w:val="-3"/>
        </w:rPr>
        <w:t xml:space="preserve"> </w:t>
      </w:r>
      <w:r>
        <w:t>8 years</w:t>
      </w:r>
      <w:r>
        <w:rPr>
          <w:spacing w:val="-4"/>
        </w:rPr>
        <w:t xml:space="preserve"> </w:t>
      </w:r>
      <w:r>
        <w:t>for</w:t>
      </w:r>
      <w:r>
        <w:rPr>
          <w:spacing w:val="-3"/>
        </w:rPr>
        <w:t xml:space="preserve"> </w:t>
      </w:r>
      <w:r>
        <w:t>previously</w:t>
      </w:r>
      <w:r>
        <w:rPr>
          <w:spacing w:val="-9"/>
        </w:rPr>
        <w:t xml:space="preserve"> </w:t>
      </w:r>
      <w:r>
        <w:t>untreated</w:t>
      </w:r>
      <w:r>
        <w:rPr>
          <w:spacing w:val="-1"/>
        </w:rPr>
        <w:t xml:space="preserve"> </w:t>
      </w:r>
      <w:r>
        <w:t>FL</w:t>
      </w:r>
      <w:r>
        <w:rPr>
          <w:spacing w:val="-6"/>
        </w:rPr>
        <w:t xml:space="preserve"> </w:t>
      </w:r>
      <w:r>
        <w:t>patients.</w:t>
      </w:r>
      <w:bookmarkStart w:id="122" w:name="_Ref514156664"/>
      <w:r w:rsidR="00E41644">
        <w:rPr>
          <w:rStyle w:val="FootnoteReference"/>
        </w:rPr>
        <w:footnoteReference w:id="22"/>
      </w:r>
      <w:bookmarkEnd w:id="122"/>
      <w:r>
        <w:t xml:space="preserve"> Hence, even at study end, PFS and OS will remain</w:t>
      </w:r>
      <w:r>
        <w:rPr>
          <w:spacing w:val="-7"/>
        </w:rPr>
        <w:t xml:space="preserve"> </w:t>
      </w:r>
      <w:r>
        <w:t>immature.</w:t>
      </w:r>
    </w:p>
    <w:p w14:paraId="7F4AA96F" w14:textId="6B1399F0" w:rsidR="00CB5566" w:rsidRDefault="00CB5566" w:rsidP="002B21DD">
      <w:r>
        <w:t>Based</w:t>
      </w:r>
      <w:r>
        <w:rPr>
          <w:spacing w:val="-13"/>
        </w:rPr>
        <w:t xml:space="preserve"> </w:t>
      </w:r>
      <w:r>
        <w:t>on</w:t>
      </w:r>
      <w:r>
        <w:rPr>
          <w:spacing w:val="-13"/>
        </w:rPr>
        <w:t xml:space="preserve"> </w:t>
      </w:r>
      <w:r>
        <w:t>literature</w:t>
      </w:r>
      <w:r>
        <w:rPr>
          <w:spacing w:val="-15"/>
        </w:rPr>
        <w:t xml:space="preserve"> </w:t>
      </w:r>
      <w:r>
        <w:t>data</w:t>
      </w:r>
      <w:r>
        <w:rPr>
          <w:spacing w:val="-14"/>
        </w:rPr>
        <w:t xml:space="preserve"> </w:t>
      </w:r>
      <w:r>
        <w:t>and</w:t>
      </w:r>
      <w:r>
        <w:rPr>
          <w:spacing w:val="-13"/>
        </w:rPr>
        <w:t xml:space="preserve"> </w:t>
      </w:r>
      <w:r>
        <w:t>additional</w:t>
      </w:r>
      <w:r>
        <w:rPr>
          <w:spacing w:val="-13"/>
        </w:rPr>
        <w:t xml:space="preserve"> </w:t>
      </w:r>
      <w:r>
        <w:t>analysis</w:t>
      </w:r>
      <w:r>
        <w:rPr>
          <w:spacing w:val="-12"/>
        </w:rPr>
        <w:t xml:space="preserve"> </w:t>
      </w:r>
      <w:r>
        <w:t>submitted</w:t>
      </w:r>
      <w:r>
        <w:rPr>
          <w:spacing w:val="-13"/>
        </w:rPr>
        <w:t xml:space="preserve"> </w:t>
      </w:r>
      <w:r>
        <w:t>along</w:t>
      </w:r>
      <w:r>
        <w:rPr>
          <w:spacing w:val="-15"/>
        </w:rPr>
        <w:t xml:space="preserve"> </w:t>
      </w:r>
      <w:r>
        <w:t>with</w:t>
      </w:r>
      <w:r>
        <w:rPr>
          <w:spacing w:val="-13"/>
        </w:rPr>
        <w:t xml:space="preserve"> </w:t>
      </w:r>
      <w:r w:rsidR="00EF1F0C">
        <w:t>the sponsor’s</w:t>
      </w:r>
      <w:r>
        <w:rPr>
          <w:spacing w:val="-12"/>
        </w:rPr>
        <w:t xml:space="preserve"> </w:t>
      </w:r>
      <w:r>
        <w:t>responses</w:t>
      </w:r>
      <w:r>
        <w:rPr>
          <w:spacing w:val="-14"/>
        </w:rPr>
        <w:t xml:space="preserve"> </w:t>
      </w:r>
      <w:r>
        <w:t>to</w:t>
      </w:r>
      <w:r>
        <w:rPr>
          <w:spacing w:val="-13"/>
        </w:rPr>
        <w:t xml:space="preserve"> </w:t>
      </w:r>
      <w:r>
        <w:t xml:space="preserve">TGA, </w:t>
      </w:r>
      <w:r w:rsidR="00EF1F0C">
        <w:t>the sponsor</w:t>
      </w:r>
      <w:r>
        <w:t xml:space="preserve"> considers that the PFS data are influenced by patient heterogeneity and random data variation</w:t>
      </w:r>
      <w:r>
        <w:rPr>
          <w:spacing w:val="-16"/>
        </w:rPr>
        <w:t xml:space="preserve"> </w:t>
      </w:r>
      <w:r>
        <w:t>rather</w:t>
      </w:r>
      <w:r>
        <w:rPr>
          <w:spacing w:val="-17"/>
        </w:rPr>
        <w:t xml:space="preserve"> </w:t>
      </w:r>
      <w:r>
        <w:t>than</w:t>
      </w:r>
      <w:r>
        <w:rPr>
          <w:spacing w:val="-16"/>
        </w:rPr>
        <w:t xml:space="preserve"> </w:t>
      </w:r>
      <w:r>
        <w:t>treatment</w:t>
      </w:r>
      <w:r>
        <w:rPr>
          <w:spacing w:val="-16"/>
        </w:rPr>
        <w:t xml:space="preserve"> </w:t>
      </w:r>
      <w:r>
        <w:t>differences.</w:t>
      </w:r>
      <w:r>
        <w:rPr>
          <w:spacing w:val="-16"/>
        </w:rPr>
        <w:t xml:space="preserve"> </w:t>
      </w:r>
      <w:r>
        <w:t>Also,</w:t>
      </w:r>
      <w:r>
        <w:rPr>
          <w:spacing w:val="-16"/>
        </w:rPr>
        <w:t xml:space="preserve"> </w:t>
      </w:r>
      <w:r>
        <w:t>a</w:t>
      </w:r>
      <w:r>
        <w:rPr>
          <w:spacing w:val="-14"/>
        </w:rPr>
        <w:t xml:space="preserve"> </w:t>
      </w:r>
      <w:r>
        <w:t>high</w:t>
      </w:r>
      <w:r>
        <w:rPr>
          <w:spacing w:val="-16"/>
        </w:rPr>
        <w:t xml:space="preserve"> </w:t>
      </w:r>
      <w:r>
        <w:t>level</w:t>
      </w:r>
      <w:r>
        <w:rPr>
          <w:spacing w:val="-15"/>
        </w:rPr>
        <w:t xml:space="preserve"> </w:t>
      </w:r>
      <w:r>
        <w:t>of</w:t>
      </w:r>
      <w:r>
        <w:rPr>
          <w:spacing w:val="-17"/>
        </w:rPr>
        <w:t xml:space="preserve"> </w:t>
      </w:r>
      <w:r>
        <w:t>censoring</w:t>
      </w:r>
      <w:r>
        <w:rPr>
          <w:spacing w:val="-18"/>
        </w:rPr>
        <w:t xml:space="preserve"> </w:t>
      </w:r>
      <w:r>
        <w:t>influenced</w:t>
      </w:r>
      <w:r>
        <w:rPr>
          <w:spacing w:val="-16"/>
        </w:rPr>
        <w:t xml:space="preserve"> </w:t>
      </w:r>
      <w:r>
        <w:t>the</w:t>
      </w:r>
      <w:r>
        <w:rPr>
          <w:spacing w:val="-16"/>
        </w:rPr>
        <w:t xml:space="preserve"> </w:t>
      </w:r>
      <w:r>
        <w:t>results. Further</w:t>
      </w:r>
      <w:r>
        <w:rPr>
          <w:spacing w:val="-1"/>
        </w:rPr>
        <w:t xml:space="preserve"> </w:t>
      </w:r>
      <w:r>
        <w:t>support</w:t>
      </w:r>
      <w:r>
        <w:rPr>
          <w:spacing w:val="-3"/>
        </w:rPr>
        <w:t xml:space="preserve"> </w:t>
      </w:r>
      <w:r>
        <w:t>for</w:t>
      </w:r>
      <w:r>
        <w:rPr>
          <w:spacing w:val="-4"/>
        </w:rPr>
        <w:t xml:space="preserve"> </w:t>
      </w:r>
      <w:r>
        <w:t>this</w:t>
      </w:r>
      <w:r>
        <w:rPr>
          <w:spacing w:val="-2"/>
        </w:rPr>
        <w:t xml:space="preserve"> </w:t>
      </w:r>
      <w:r>
        <w:t>by</w:t>
      </w:r>
      <w:r>
        <w:rPr>
          <w:spacing w:val="-5"/>
        </w:rPr>
        <w:t xml:space="preserve"> </w:t>
      </w:r>
      <w:r>
        <w:t>chance</w:t>
      </w:r>
      <w:r>
        <w:rPr>
          <w:spacing w:val="-4"/>
        </w:rPr>
        <w:t xml:space="preserve"> </w:t>
      </w:r>
      <w:r>
        <w:t>finding</w:t>
      </w:r>
      <w:r>
        <w:rPr>
          <w:spacing w:val="-5"/>
        </w:rPr>
        <w:t xml:space="preserve"> </w:t>
      </w:r>
      <w:r>
        <w:t>is</w:t>
      </w:r>
      <w:r>
        <w:rPr>
          <w:spacing w:val="-1"/>
        </w:rPr>
        <w:t xml:space="preserve"> </w:t>
      </w:r>
      <w:r>
        <w:t>the</w:t>
      </w:r>
      <w:r>
        <w:rPr>
          <w:spacing w:val="-4"/>
        </w:rPr>
        <w:t xml:space="preserve"> </w:t>
      </w:r>
      <w:r>
        <w:t>observation</w:t>
      </w:r>
      <w:r>
        <w:rPr>
          <w:spacing w:val="-3"/>
        </w:rPr>
        <w:t xml:space="preserve"> </w:t>
      </w:r>
      <w:r>
        <w:t>of</w:t>
      </w:r>
      <w:r>
        <w:rPr>
          <w:spacing w:val="-1"/>
        </w:rPr>
        <w:t xml:space="preserve"> </w:t>
      </w:r>
      <w:r>
        <w:t>the</w:t>
      </w:r>
      <w:r>
        <w:rPr>
          <w:spacing w:val="-3"/>
        </w:rPr>
        <w:t xml:space="preserve"> </w:t>
      </w:r>
      <w:r>
        <w:t>similarity</w:t>
      </w:r>
      <w:r>
        <w:rPr>
          <w:spacing w:val="-8"/>
        </w:rPr>
        <w:t xml:space="preserve"> </w:t>
      </w:r>
      <w:r>
        <w:t>of</w:t>
      </w:r>
      <w:r>
        <w:rPr>
          <w:spacing w:val="-1"/>
        </w:rPr>
        <w:t xml:space="preserve"> </w:t>
      </w:r>
      <w:r>
        <w:t>the</w:t>
      </w:r>
      <w:r>
        <w:rPr>
          <w:spacing w:val="-3"/>
        </w:rPr>
        <w:t xml:space="preserve"> </w:t>
      </w:r>
      <w:r>
        <w:t>CR</w:t>
      </w:r>
      <w:r>
        <w:rPr>
          <w:spacing w:val="-2"/>
        </w:rPr>
        <w:t xml:space="preserve"> </w:t>
      </w:r>
      <w:r>
        <w:t>rate</w:t>
      </w:r>
      <w:r>
        <w:rPr>
          <w:spacing w:val="-3"/>
        </w:rPr>
        <w:t xml:space="preserve"> </w:t>
      </w:r>
      <w:r>
        <w:t xml:space="preserve">for different study periods, especially at up to month 33 (CR rate 28.2% in </w:t>
      </w:r>
      <w:r w:rsidR="008A2F5F">
        <w:t>Riximyo</w:t>
      </w:r>
      <w:r>
        <w:t xml:space="preserve"> arm, 28.6% in MabThera arm, difference -0.37, 90% CI </w:t>
      </w:r>
      <w:r w:rsidR="008506AC">
        <w:t>(</w:t>
      </w:r>
      <w:r>
        <w:t>-6.61, 5.88</w:t>
      </w:r>
      <w:r w:rsidR="008506AC">
        <w:t>)</w:t>
      </w:r>
      <w:r>
        <w:t>), which is strongly correlated with PFS.</w:t>
      </w:r>
      <w:r w:rsidR="00E41644" w:rsidRPr="00E41644">
        <w:rPr>
          <w:vertAlign w:val="superscript"/>
        </w:rPr>
        <w:fldChar w:fldCharType="begin"/>
      </w:r>
      <w:r w:rsidR="00E41644" w:rsidRPr="00E41644">
        <w:rPr>
          <w:vertAlign w:val="superscript"/>
        </w:rPr>
        <w:instrText xml:space="preserve"> NOTEREF _Ref514156664 \h </w:instrText>
      </w:r>
      <w:r w:rsidR="00E41644">
        <w:rPr>
          <w:vertAlign w:val="superscript"/>
        </w:rPr>
        <w:instrText xml:space="preserve"> \* MERGEFORMAT </w:instrText>
      </w:r>
      <w:r w:rsidR="00E41644" w:rsidRPr="00E41644">
        <w:rPr>
          <w:vertAlign w:val="superscript"/>
        </w:rPr>
      </w:r>
      <w:r w:rsidR="00E41644" w:rsidRPr="00E41644">
        <w:rPr>
          <w:vertAlign w:val="superscript"/>
        </w:rPr>
        <w:fldChar w:fldCharType="separate"/>
      </w:r>
      <w:r w:rsidR="00F50530">
        <w:rPr>
          <w:vertAlign w:val="superscript"/>
        </w:rPr>
        <w:t>21</w:t>
      </w:r>
      <w:r w:rsidR="00E41644" w:rsidRPr="00E41644">
        <w:rPr>
          <w:vertAlign w:val="superscript"/>
        </w:rPr>
        <w:fldChar w:fldCharType="end"/>
      </w:r>
    </w:p>
    <w:p w14:paraId="7F4AA970" w14:textId="77777777" w:rsidR="00CB5566" w:rsidRDefault="00CB5566" w:rsidP="002B21DD">
      <w:r>
        <w:lastRenderedPageBreak/>
        <w:t xml:space="preserve">Lastly, </w:t>
      </w:r>
      <w:r w:rsidR="00EF1F0C">
        <w:t>the sponsor</w:t>
      </w:r>
      <w:r>
        <w:t xml:space="preserve"> is of the opinion that the PFS outcomes for </w:t>
      </w:r>
      <w:r w:rsidR="00334CAC">
        <w:t>Riximyo</w:t>
      </w:r>
      <w:r>
        <w:rPr>
          <w:position w:val="9"/>
          <w:sz w:val="16"/>
        </w:rPr>
        <w:t xml:space="preserve"> </w:t>
      </w:r>
      <w:r>
        <w:t>compared to MabThera</w:t>
      </w:r>
      <w:r>
        <w:rPr>
          <w:position w:val="9"/>
          <w:sz w:val="16"/>
        </w:rPr>
        <w:t xml:space="preserve"> </w:t>
      </w:r>
      <w:r>
        <w:t>from</w:t>
      </w:r>
      <w:r>
        <w:rPr>
          <w:spacing w:val="-15"/>
        </w:rPr>
        <w:t xml:space="preserve"> </w:t>
      </w:r>
      <w:r>
        <w:t>GP13-301</w:t>
      </w:r>
      <w:r>
        <w:rPr>
          <w:spacing w:val="-16"/>
        </w:rPr>
        <w:t xml:space="preserve"> </w:t>
      </w:r>
      <w:r>
        <w:t>should</w:t>
      </w:r>
      <w:r>
        <w:rPr>
          <w:spacing w:val="-16"/>
        </w:rPr>
        <w:t xml:space="preserve"> </w:t>
      </w:r>
      <w:r>
        <w:t>not</w:t>
      </w:r>
      <w:r>
        <w:rPr>
          <w:spacing w:val="-15"/>
        </w:rPr>
        <w:t xml:space="preserve"> </w:t>
      </w:r>
      <w:r>
        <w:t>be</w:t>
      </w:r>
      <w:r>
        <w:rPr>
          <w:spacing w:val="-17"/>
        </w:rPr>
        <w:t xml:space="preserve"> </w:t>
      </w:r>
      <w:r>
        <w:t>included</w:t>
      </w:r>
      <w:r>
        <w:rPr>
          <w:spacing w:val="-16"/>
        </w:rPr>
        <w:t xml:space="preserve"> </w:t>
      </w:r>
      <w:r>
        <w:t>in</w:t>
      </w:r>
      <w:r>
        <w:rPr>
          <w:spacing w:val="-15"/>
        </w:rPr>
        <w:t xml:space="preserve"> </w:t>
      </w:r>
      <w:r>
        <w:t>the</w:t>
      </w:r>
      <w:r>
        <w:rPr>
          <w:spacing w:val="-14"/>
        </w:rPr>
        <w:t xml:space="preserve"> </w:t>
      </w:r>
      <w:r>
        <w:t>PI</w:t>
      </w:r>
      <w:r>
        <w:rPr>
          <w:spacing w:val="-19"/>
        </w:rPr>
        <w:t xml:space="preserve"> </w:t>
      </w:r>
      <w:r>
        <w:t>as</w:t>
      </w:r>
      <w:r>
        <w:rPr>
          <w:spacing w:val="-13"/>
        </w:rPr>
        <w:t xml:space="preserve"> </w:t>
      </w:r>
      <w:r>
        <w:t>it</w:t>
      </w:r>
      <w:r>
        <w:rPr>
          <w:spacing w:val="-13"/>
        </w:rPr>
        <w:t xml:space="preserve"> </w:t>
      </w:r>
      <w:r>
        <w:t>is</w:t>
      </w:r>
      <w:r>
        <w:rPr>
          <w:spacing w:val="-15"/>
        </w:rPr>
        <w:t xml:space="preserve"> </w:t>
      </w:r>
      <w:r>
        <w:t>likely</w:t>
      </w:r>
      <w:r>
        <w:rPr>
          <w:spacing w:val="-21"/>
        </w:rPr>
        <w:t xml:space="preserve"> </w:t>
      </w:r>
      <w:r>
        <w:t>to</w:t>
      </w:r>
      <w:r>
        <w:rPr>
          <w:spacing w:val="-15"/>
        </w:rPr>
        <w:t xml:space="preserve"> </w:t>
      </w:r>
      <w:r>
        <w:t>be</w:t>
      </w:r>
      <w:r>
        <w:rPr>
          <w:spacing w:val="-17"/>
        </w:rPr>
        <w:t xml:space="preserve"> </w:t>
      </w:r>
      <w:r>
        <w:t>misinterpreted</w:t>
      </w:r>
      <w:r>
        <w:rPr>
          <w:spacing w:val="-16"/>
        </w:rPr>
        <w:t xml:space="preserve"> </w:t>
      </w:r>
      <w:r>
        <w:t>in</w:t>
      </w:r>
      <w:r>
        <w:rPr>
          <w:spacing w:val="-13"/>
        </w:rPr>
        <w:t xml:space="preserve"> </w:t>
      </w:r>
      <w:r>
        <w:t>a</w:t>
      </w:r>
      <w:r>
        <w:rPr>
          <w:spacing w:val="-15"/>
        </w:rPr>
        <w:t xml:space="preserve"> </w:t>
      </w:r>
      <w:r>
        <w:t>biosimilar setting. In general, PFS is not a surrogate endpoint for OS, as PFS prolongation may not result in OS prolongation.</w:t>
      </w:r>
      <w:r w:rsidR="00E41644">
        <w:rPr>
          <w:rStyle w:val="FootnoteReference"/>
        </w:rPr>
        <w:footnoteReference w:id="23"/>
      </w:r>
    </w:p>
    <w:p w14:paraId="7F4AA971" w14:textId="77777777" w:rsidR="00CB5566" w:rsidRDefault="00CB5566" w:rsidP="002B21DD">
      <w:r>
        <w:t>In conclusion, despite the PFS outcome, no clinically meaningful differences between the reference product and the biosimilar w</w:t>
      </w:r>
      <w:r w:rsidR="00EF1F0C">
        <w:t>ere</w:t>
      </w:r>
      <w:r>
        <w:t xml:space="preserve"> seen in </w:t>
      </w:r>
      <w:r w:rsidR="009B2FD7">
        <w:t>Study GP</w:t>
      </w:r>
      <w:r>
        <w:t>13-301 and thus therapeutic equivalence can be concluded.</w:t>
      </w:r>
    </w:p>
    <w:p w14:paraId="7F4AA972" w14:textId="77777777" w:rsidR="00CB5566" w:rsidRDefault="00CB5566" w:rsidP="00EF1F0C">
      <w:pPr>
        <w:pStyle w:val="Heading6"/>
      </w:pPr>
      <w:r>
        <w:t>Question 2</w:t>
      </w:r>
    </w:p>
    <w:p w14:paraId="7F4AA973" w14:textId="77777777" w:rsidR="00CB5566" w:rsidRPr="00EF1F0C" w:rsidRDefault="00CB5566" w:rsidP="00EF1F0C">
      <w:pPr>
        <w:ind w:left="720"/>
        <w:rPr>
          <w:i/>
        </w:rPr>
      </w:pPr>
      <w:r w:rsidRPr="00EF1F0C">
        <w:rPr>
          <w:i/>
        </w:rPr>
        <w:t xml:space="preserve">Regarding the switching </w:t>
      </w:r>
      <w:r w:rsidR="009B2FD7" w:rsidRPr="00EF1F0C">
        <w:rPr>
          <w:i/>
        </w:rPr>
        <w:t>Study GP</w:t>
      </w:r>
      <w:r w:rsidRPr="00EF1F0C">
        <w:rPr>
          <w:i/>
        </w:rPr>
        <w:t xml:space="preserve">13-302, what weight should be placed on the single event of serum sickness in a patient switched to </w:t>
      </w:r>
      <w:r w:rsidR="00334CAC" w:rsidRPr="00EF1F0C">
        <w:rPr>
          <w:i/>
        </w:rPr>
        <w:t>Riximyo</w:t>
      </w:r>
      <w:r w:rsidRPr="00EF1F0C">
        <w:rPr>
          <w:i/>
        </w:rPr>
        <w:t>? This AE is already listed in the proposed PI (Table 24), but should it be more prominent?</w:t>
      </w:r>
    </w:p>
    <w:p w14:paraId="7F4AA974" w14:textId="77777777" w:rsidR="00CB5566" w:rsidRDefault="00EF1F0C" w:rsidP="002B21DD">
      <w:pPr>
        <w:pStyle w:val="Heading6"/>
      </w:pPr>
      <w:r>
        <w:t>Sponsor’s</w:t>
      </w:r>
      <w:r w:rsidR="00CB5566">
        <w:t xml:space="preserve"> position</w:t>
      </w:r>
    </w:p>
    <w:p w14:paraId="7F4AA975" w14:textId="77777777" w:rsidR="00CB5566" w:rsidRDefault="00CB5566" w:rsidP="00EF1F0C">
      <w:r>
        <w:t xml:space="preserve">No undue prominence in the PI is required based on the single reported serum sickness. As pointed out by the TGA for this one reported AE of serum sickness in the </w:t>
      </w:r>
      <w:r w:rsidR="008A2F5F">
        <w:t>Riximyo</w:t>
      </w:r>
      <w:r>
        <w:t xml:space="preserve"> arm, the onset</w:t>
      </w:r>
      <w:r>
        <w:rPr>
          <w:spacing w:val="-6"/>
        </w:rPr>
        <w:t xml:space="preserve"> </w:t>
      </w:r>
      <w:r>
        <w:t>6</w:t>
      </w:r>
      <w:r>
        <w:rPr>
          <w:spacing w:val="-6"/>
        </w:rPr>
        <w:t xml:space="preserve"> </w:t>
      </w:r>
      <w:r>
        <w:t>hours</w:t>
      </w:r>
      <w:r>
        <w:rPr>
          <w:spacing w:val="-7"/>
        </w:rPr>
        <w:t xml:space="preserve"> </w:t>
      </w:r>
      <w:r>
        <w:t>after</w:t>
      </w:r>
      <w:r>
        <w:rPr>
          <w:spacing w:val="-7"/>
        </w:rPr>
        <w:t xml:space="preserve"> </w:t>
      </w:r>
      <w:r>
        <w:t>administration</w:t>
      </w:r>
      <w:r>
        <w:rPr>
          <w:spacing w:val="-6"/>
        </w:rPr>
        <w:t xml:space="preserve"> </w:t>
      </w:r>
      <w:r>
        <w:t>of</w:t>
      </w:r>
      <w:r>
        <w:rPr>
          <w:spacing w:val="-7"/>
        </w:rPr>
        <w:t xml:space="preserve"> </w:t>
      </w:r>
      <w:r>
        <w:t>study</w:t>
      </w:r>
      <w:r>
        <w:rPr>
          <w:spacing w:val="-13"/>
        </w:rPr>
        <w:t xml:space="preserve"> </w:t>
      </w:r>
      <w:r>
        <w:t>drug</w:t>
      </w:r>
      <w:r>
        <w:rPr>
          <w:spacing w:val="-9"/>
        </w:rPr>
        <w:t xml:space="preserve"> </w:t>
      </w:r>
      <w:r>
        <w:t>makes</w:t>
      </w:r>
      <w:r>
        <w:rPr>
          <w:spacing w:val="-6"/>
        </w:rPr>
        <w:t xml:space="preserve"> </w:t>
      </w:r>
      <w:r>
        <w:t>it</w:t>
      </w:r>
      <w:r>
        <w:rPr>
          <w:spacing w:val="-6"/>
        </w:rPr>
        <w:t xml:space="preserve"> </w:t>
      </w:r>
      <w:r>
        <w:t>questionable</w:t>
      </w:r>
      <w:r>
        <w:rPr>
          <w:spacing w:val="-7"/>
        </w:rPr>
        <w:t xml:space="preserve"> </w:t>
      </w:r>
      <w:r>
        <w:t>if</w:t>
      </w:r>
      <w:r>
        <w:rPr>
          <w:spacing w:val="-6"/>
        </w:rPr>
        <w:t xml:space="preserve"> </w:t>
      </w:r>
      <w:r>
        <w:t>this</w:t>
      </w:r>
      <w:r>
        <w:rPr>
          <w:spacing w:val="-6"/>
        </w:rPr>
        <w:t xml:space="preserve"> </w:t>
      </w:r>
      <w:r>
        <w:t>is</w:t>
      </w:r>
      <w:r>
        <w:rPr>
          <w:spacing w:val="-6"/>
        </w:rPr>
        <w:t xml:space="preserve"> </w:t>
      </w:r>
      <w:r>
        <w:t>a</w:t>
      </w:r>
      <w:r>
        <w:rPr>
          <w:spacing w:val="-3"/>
        </w:rPr>
        <w:t xml:space="preserve"> </w:t>
      </w:r>
      <w:r>
        <w:t>newly</w:t>
      </w:r>
      <w:r>
        <w:rPr>
          <w:spacing w:val="-13"/>
        </w:rPr>
        <w:t xml:space="preserve"> </w:t>
      </w:r>
      <w:r>
        <w:t>induced classic</w:t>
      </w:r>
      <w:r>
        <w:rPr>
          <w:spacing w:val="-7"/>
        </w:rPr>
        <w:t xml:space="preserve"> </w:t>
      </w:r>
      <w:r>
        <w:t>case</w:t>
      </w:r>
      <w:r>
        <w:rPr>
          <w:spacing w:val="-7"/>
        </w:rPr>
        <w:t xml:space="preserve"> </w:t>
      </w:r>
      <w:r>
        <w:t>of</w:t>
      </w:r>
      <w:r>
        <w:rPr>
          <w:spacing w:val="-7"/>
        </w:rPr>
        <w:t xml:space="preserve"> </w:t>
      </w:r>
      <w:r>
        <w:t>rituximab-induced</w:t>
      </w:r>
      <w:r>
        <w:rPr>
          <w:spacing w:val="-6"/>
        </w:rPr>
        <w:t xml:space="preserve"> </w:t>
      </w:r>
      <w:r>
        <w:t>serum</w:t>
      </w:r>
      <w:r>
        <w:rPr>
          <w:spacing w:val="-7"/>
        </w:rPr>
        <w:t xml:space="preserve"> </w:t>
      </w:r>
      <w:r>
        <w:t>sickness</w:t>
      </w:r>
      <w:r>
        <w:rPr>
          <w:spacing w:val="-5"/>
        </w:rPr>
        <w:t xml:space="preserve"> </w:t>
      </w:r>
      <w:r>
        <w:t>-</w:t>
      </w:r>
      <w:r>
        <w:rPr>
          <w:spacing w:val="-5"/>
        </w:rPr>
        <w:t xml:space="preserve"> </w:t>
      </w:r>
      <w:r>
        <w:t>an</w:t>
      </w:r>
      <w:r>
        <w:rPr>
          <w:spacing w:val="-6"/>
        </w:rPr>
        <w:t xml:space="preserve"> </w:t>
      </w:r>
      <w:r>
        <w:t>onset</w:t>
      </w:r>
      <w:r>
        <w:rPr>
          <w:spacing w:val="-6"/>
        </w:rPr>
        <w:t xml:space="preserve"> </w:t>
      </w:r>
      <w:r>
        <w:t>within</w:t>
      </w:r>
      <w:r>
        <w:rPr>
          <w:spacing w:val="-6"/>
        </w:rPr>
        <w:t xml:space="preserve"> </w:t>
      </w:r>
      <w:r>
        <w:t>6</w:t>
      </w:r>
      <w:r>
        <w:rPr>
          <w:spacing w:val="-6"/>
        </w:rPr>
        <w:t xml:space="preserve"> </w:t>
      </w:r>
      <w:r>
        <w:t>hours</w:t>
      </w:r>
      <w:r>
        <w:rPr>
          <w:spacing w:val="-7"/>
        </w:rPr>
        <w:t xml:space="preserve"> </w:t>
      </w:r>
      <w:r>
        <w:t>without</w:t>
      </w:r>
      <w:r>
        <w:rPr>
          <w:spacing w:val="-6"/>
        </w:rPr>
        <w:t xml:space="preserve"> </w:t>
      </w:r>
      <w:r>
        <w:t>pre-existing</w:t>
      </w:r>
      <w:r w:rsidR="00EF1F0C">
        <w:t xml:space="preserve"> </w:t>
      </w:r>
      <w:r>
        <w:t xml:space="preserve">antibodies would be very unusual. It is well known serum sickness rarely occurs after use of rituximab based on both the literature and its labelling as it is a chimeric mouse-human antibody. In addition, as discussed in </w:t>
      </w:r>
      <w:r w:rsidR="00EF1F0C" w:rsidRPr="00EF1F0C">
        <w:rPr>
          <w:i/>
        </w:rPr>
        <w:t>Question to the sponsor</w:t>
      </w:r>
      <w:r w:rsidR="00EF1F0C">
        <w:t xml:space="preserve"> below, </w:t>
      </w:r>
      <w:r>
        <w:t>upon detailed medical review of grouped signs and symptoms there is no case that plausibly qualifies as serum sickness.</w:t>
      </w:r>
    </w:p>
    <w:p w14:paraId="7F4AA976" w14:textId="77777777" w:rsidR="00CB5566" w:rsidRDefault="00CB5566" w:rsidP="00EF1F0C">
      <w:pPr>
        <w:pStyle w:val="Heading6"/>
      </w:pPr>
      <w:r>
        <w:t>Question 3</w:t>
      </w:r>
    </w:p>
    <w:p w14:paraId="7F4AA977" w14:textId="77777777" w:rsidR="00CB5566" w:rsidRPr="00EF1F0C" w:rsidRDefault="00CB5566" w:rsidP="00EF1F0C">
      <w:pPr>
        <w:ind w:left="720"/>
        <w:rPr>
          <w:i/>
        </w:rPr>
      </w:pPr>
      <w:r w:rsidRPr="00EF1F0C">
        <w:rPr>
          <w:i/>
        </w:rPr>
        <w:t>Considering physicochemical comparisons (including in vitro tests of biological function) and nonclinical</w:t>
      </w:r>
      <w:r w:rsidRPr="00EF1F0C">
        <w:rPr>
          <w:i/>
          <w:spacing w:val="-12"/>
        </w:rPr>
        <w:t xml:space="preserve"> </w:t>
      </w:r>
      <w:r w:rsidRPr="00EF1F0C">
        <w:rPr>
          <w:i/>
        </w:rPr>
        <w:t>and</w:t>
      </w:r>
      <w:r w:rsidRPr="00EF1F0C">
        <w:rPr>
          <w:i/>
          <w:spacing w:val="-12"/>
        </w:rPr>
        <w:t xml:space="preserve"> </w:t>
      </w:r>
      <w:r w:rsidRPr="00EF1F0C">
        <w:rPr>
          <w:i/>
        </w:rPr>
        <w:t>clinical</w:t>
      </w:r>
      <w:r w:rsidRPr="00EF1F0C">
        <w:rPr>
          <w:i/>
          <w:spacing w:val="-12"/>
        </w:rPr>
        <w:t xml:space="preserve"> </w:t>
      </w:r>
      <w:r w:rsidRPr="00EF1F0C">
        <w:rPr>
          <w:i/>
        </w:rPr>
        <w:t>studies,</w:t>
      </w:r>
      <w:r w:rsidRPr="00EF1F0C">
        <w:rPr>
          <w:i/>
          <w:spacing w:val="-12"/>
        </w:rPr>
        <w:t xml:space="preserve"> </w:t>
      </w:r>
      <w:r w:rsidRPr="00EF1F0C">
        <w:rPr>
          <w:i/>
        </w:rPr>
        <w:t>does</w:t>
      </w:r>
      <w:r w:rsidRPr="00EF1F0C">
        <w:rPr>
          <w:i/>
          <w:spacing w:val="-12"/>
        </w:rPr>
        <w:t xml:space="preserve"> </w:t>
      </w:r>
      <w:r w:rsidRPr="00EF1F0C">
        <w:rPr>
          <w:i/>
        </w:rPr>
        <w:t>the</w:t>
      </w:r>
      <w:r w:rsidRPr="00EF1F0C">
        <w:rPr>
          <w:i/>
          <w:spacing w:val="-13"/>
        </w:rPr>
        <w:t xml:space="preserve"> </w:t>
      </w:r>
      <w:r w:rsidRPr="00EF1F0C">
        <w:rPr>
          <w:i/>
        </w:rPr>
        <w:t>ACM</w:t>
      </w:r>
      <w:r w:rsidRPr="00EF1F0C">
        <w:rPr>
          <w:i/>
          <w:spacing w:val="-12"/>
        </w:rPr>
        <w:t xml:space="preserve"> </w:t>
      </w:r>
      <w:r w:rsidRPr="00EF1F0C">
        <w:rPr>
          <w:i/>
        </w:rPr>
        <w:t>consider</w:t>
      </w:r>
      <w:r w:rsidRPr="00EF1F0C">
        <w:rPr>
          <w:i/>
          <w:spacing w:val="-13"/>
        </w:rPr>
        <w:t xml:space="preserve"> </w:t>
      </w:r>
      <w:r w:rsidR="00334CAC" w:rsidRPr="00EF1F0C">
        <w:rPr>
          <w:i/>
        </w:rPr>
        <w:t>Riximyo</w:t>
      </w:r>
      <w:r w:rsidRPr="00EF1F0C">
        <w:rPr>
          <w:i/>
          <w:spacing w:val="-12"/>
        </w:rPr>
        <w:t xml:space="preserve"> </w:t>
      </w:r>
      <w:r w:rsidRPr="00EF1F0C">
        <w:rPr>
          <w:i/>
        </w:rPr>
        <w:t>to</w:t>
      </w:r>
      <w:r w:rsidRPr="00EF1F0C">
        <w:rPr>
          <w:i/>
          <w:spacing w:val="-12"/>
        </w:rPr>
        <w:t xml:space="preserve"> </w:t>
      </w:r>
      <w:r w:rsidRPr="00EF1F0C">
        <w:rPr>
          <w:i/>
        </w:rPr>
        <w:t>be</w:t>
      </w:r>
      <w:r w:rsidRPr="00EF1F0C">
        <w:rPr>
          <w:i/>
          <w:spacing w:val="-13"/>
        </w:rPr>
        <w:t xml:space="preserve"> </w:t>
      </w:r>
      <w:r w:rsidRPr="00EF1F0C">
        <w:rPr>
          <w:i/>
        </w:rPr>
        <w:t>sufficiently</w:t>
      </w:r>
      <w:r w:rsidRPr="00EF1F0C">
        <w:rPr>
          <w:i/>
          <w:spacing w:val="-17"/>
        </w:rPr>
        <w:t xml:space="preserve"> </w:t>
      </w:r>
      <w:r w:rsidRPr="00EF1F0C">
        <w:rPr>
          <w:i/>
        </w:rPr>
        <w:t>comparable to MabThera to allow approval as a</w:t>
      </w:r>
      <w:r w:rsidRPr="00EF1F0C">
        <w:rPr>
          <w:i/>
          <w:spacing w:val="-3"/>
        </w:rPr>
        <w:t xml:space="preserve"> </w:t>
      </w:r>
      <w:r w:rsidRPr="00EF1F0C">
        <w:rPr>
          <w:i/>
        </w:rPr>
        <w:t>biosimilar?</w:t>
      </w:r>
    </w:p>
    <w:p w14:paraId="7F4AA978" w14:textId="77777777" w:rsidR="00CB5566" w:rsidRDefault="00EF1F0C" w:rsidP="002B21DD">
      <w:pPr>
        <w:pStyle w:val="Heading6"/>
      </w:pPr>
      <w:r>
        <w:t>Sponsor’s</w:t>
      </w:r>
      <w:r w:rsidR="00CB5566">
        <w:t xml:space="preserve"> position</w:t>
      </w:r>
    </w:p>
    <w:p w14:paraId="7F4AA979" w14:textId="77777777" w:rsidR="00CB5566" w:rsidRDefault="00CB5566" w:rsidP="002B21DD">
      <w:r>
        <w:t xml:space="preserve">Based on the totality-of-data including structural, functional, nonclinical and clinical studies, </w:t>
      </w:r>
      <w:r w:rsidR="00EF1F0C">
        <w:t>the sponsor</w:t>
      </w:r>
      <w:r>
        <w:t xml:space="preserve"> considers that biosimilarity of </w:t>
      </w:r>
      <w:r w:rsidR="00334CAC">
        <w:t>Riximyo</w:t>
      </w:r>
      <w:r>
        <w:t xml:space="preserve"> to the reference medicine has been successfully demonstrated.</w:t>
      </w:r>
    </w:p>
    <w:p w14:paraId="7F4AA97A" w14:textId="77777777" w:rsidR="00CB5566" w:rsidRDefault="00334CAC" w:rsidP="002B21DD">
      <w:r>
        <w:t>Riximyo</w:t>
      </w:r>
      <w:r w:rsidR="00CB5566">
        <w:t xml:space="preserve"> has been developed in a step-wise approach. On the analytical level it was demonstrated that </w:t>
      </w:r>
      <w:r>
        <w:t>Riximyo</w:t>
      </w:r>
      <w:r w:rsidR="00CB5566">
        <w:t xml:space="preserve"> has similar physiochemical parameters and biological activity. On the nonclinical level it was demonstrated that </w:t>
      </w:r>
      <w:r>
        <w:t>Riximyo</w:t>
      </w:r>
      <w:r w:rsidR="00CB5566">
        <w:t xml:space="preserve"> has similar PK/PD and toxicokinetics, similar</w:t>
      </w:r>
      <w:r w:rsidR="00CB5566">
        <w:rPr>
          <w:spacing w:val="-5"/>
        </w:rPr>
        <w:t xml:space="preserve"> </w:t>
      </w:r>
      <w:r w:rsidR="00CB5566">
        <w:t>toxicology</w:t>
      </w:r>
      <w:r w:rsidR="00CB5566">
        <w:rPr>
          <w:spacing w:val="-9"/>
        </w:rPr>
        <w:t xml:space="preserve"> </w:t>
      </w:r>
      <w:r w:rsidR="00CB5566">
        <w:t>and</w:t>
      </w:r>
      <w:r w:rsidR="00CB5566">
        <w:rPr>
          <w:spacing w:val="-4"/>
        </w:rPr>
        <w:t xml:space="preserve"> </w:t>
      </w:r>
      <w:r w:rsidR="00CB5566">
        <w:t>safety</w:t>
      </w:r>
      <w:r w:rsidR="00CB5566">
        <w:rPr>
          <w:spacing w:val="-6"/>
        </w:rPr>
        <w:t xml:space="preserve"> </w:t>
      </w:r>
      <w:r w:rsidR="00CB5566">
        <w:t>as</w:t>
      </w:r>
      <w:r w:rsidR="00CB5566">
        <w:rPr>
          <w:spacing w:val="-4"/>
        </w:rPr>
        <w:t xml:space="preserve"> </w:t>
      </w:r>
      <w:r w:rsidR="00CB5566">
        <w:t>well</w:t>
      </w:r>
      <w:r w:rsidR="00CB5566">
        <w:rPr>
          <w:spacing w:val="-3"/>
        </w:rPr>
        <w:t xml:space="preserve"> </w:t>
      </w:r>
      <w:r w:rsidR="00CB5566">
        <w:t>as</w:t>
      </w:r>
      <w:r w:rsidR="00CB5566">
        <w:rPr>
          <w:spacing w:val="-4"/>
        </w:rPr>
        <w:t xml:space="preserve"> </w:t>
      </w:r>
      <w:r w:rsidR="00CB5566">
        <w:t>similar</w:t>
      </w:r>
      <w:r w:rsidR="00CB5566">
        <w:rPr>
          <w:spacing w:val="-5"/>
        </w:rPr>
        <w:t xml:space="preserve"> </w:t>
      </w:r>
      <w:r w:rsidR="00CB5566">
        <w:t>efficacy</w:t>
      </w:r>
      <w:r w:rsidR="00CB5566">
        <w:rPr>
          <w:spacing w:val="-9"/>
        </w:rPr>
        <w:t xml:space="preserve"> </w:t>
      </w:r>
      <w:r w:rsidR="00CB5566">
        <w:t>in</w:t>
      </w:r>
      <w:r w:rsidR="00CB5566">
        <w:rPr>
          <w:spacing w:val="-3"/>
        </w:rPr>
        <w:t xml:space="preserve"> </w:t>
      </w:r>
      <w:r w:rsidR="00CB5566">
        <w:t>xenograft tumor</w:t>
      </w:r>
      <w:r w:rsidR="00CB5566">
        <w:rPr>
          <w:spacing w:val="-5"/>
        </w:rPr>
        <w:t xml:space="preserve"> </w:t>
      </w:r>
      <w:r w:rsidR="00CB5566">
        <w:t>disease</w:t>
      </w:r>
      <w:r w:rsidR="00CB5566">
        <w:rPr>
          <w:spacing w:val="-5"/>
        </w:rPr>
        <w:t xml:space="preserve"> </w:t>
      </w:r>
      <w:r w:rsidR="00CB5566">
        <w:t>models.</w:t>
      </w:r>
      <w:r w:rsidR="00CB5566">
        <w:rPr>
          <w:spacing w:val="-4"/>
        </w:rPr>
        <w:t xml:space="preserve"> </w:t>
      </w:r>
      <w:r w:rsidR="00CB5566">
        <w:t xml:space="preserve">On the clinical level PK bioequivalence and PD equivalence to the reference product was shown. Furthermore, </w:t>
      </w:r>
      <w:r>
        <w:t>Riximyo</w:t>
      </w:r>
      <w:r w:rsidR="00CB5566">
        <w:t xml:space="preserve"> and the reference product had a similar efficacy profile in both the oncology and immunology setting, a similar immunogenicity profile and </w:t>
      </w:r>
      <w:r>
        <w:t>Riximyo</w:t>
      </w:r>
      <w:r w:rsidR="00CB5566">
        <w:t xml:space="preserve"> was shown to be as safe as the reference</w:t>
      </w:r>
      <w:r w:rsidR="00CB5566">
        <w:rPr>
          <w:spacing w:val="-2"/>
        </w:rPr>
        <w:t xml:space="preserve"> </w:t>
      </w:r>
      <w:r w:rsidR="00CB5566">
        <w:t>medicine.</w:t>
      </w:r>
    </w:p>
    <w:p w14:paraId="7F4AA97B" w14:textId="77777777" w:rsidR="00CB5566" w:rsidRDefault="00CB5566" w:rsidP="00D7502D">
      <w:pPr>
        <w:pStyle w:val="Heading6"/>
      </w:pPr>
      <w:r>
        <w:t>Question 4</w:t>
      </w:r>
    </w:p>
    <w:p w14:paraId="7F4AA97C" w14:textId="77777777" w:rsidR="00CB5566" w:rsidRPr="00D7502D" w:rsidRDefault="00CB5566" w:rsidP="00D7502D">
      <w:pPr>
        <w:ind w:left="709" w:firstLine="11"/>
        <w:rPr>
          <w:i/>
        </w:rPr>
      </w:pPr>
      <w:r w:rsidRPr="00D7502D">
        <w:rPr>
          <w:i/>
        </w:rPr>
        <w:t>Does the ACM have any concerns about extrapolation of indications beyond RA and FL?</w:t>
      </w:r>
    </w:p>
    <w:p w14:paraId="7F4AA97D" w14:textId="77777777" w:rsidR="00CB5566" w:rsidRDefault="00D7502D" w:rsidP="002B21DD">
      <w:pPr>
        <w:pStyle w:val="Heading6"/>
      </w:pPr>
      <w:r>
        <w:t>Sponsor’s</w:t>
      </w:r>
      <w:r w:rsidR="00CB5566">
        <w:t xml:space="preserve"> position</w:t>
      </w:r>
    </w:p>
    <w:p w14:paraId="7F4AA97E" w14:textId="7A4ADF3A" w:rsidR="00CB5566" w:rsidRDefault="00D7502D" w:rsidP="002B21DD">
      <w:r>
        <w:t>The sponsor</w:t>
      </w:r>
      <w:r w:rsidR="00CB5566">
        <w:t xml:space="preserve"> believes that there are no concerns about extrapolation of indications beyond RA and FL. All the indications for which MabThera is approved are conditions that have </w:t>
      </w:r>
      <w:r w:rsidR="00CB5566">
        <w:lastRenderedPageBreak/>
        <w:t xml:space="preserve">the malfunction of CD20 expressing B-cells in common. Notwithstanding the different pathophysiologies of these different conditions, the basic therapeutic effect of rituximab, </w:t>
      </w:r>
      <w:r>
        <w:t>that is,</w:t>
      </w:r>
      <w:r w:rsidR="00CB5566">
        <w:t xml:space="preserve"> the</w:t>
      </w:r>
      <w:r w:rsidR="00CB5566">
        <w:rPr>
          <w:spacing w:val="-4"/>
        </w:rPr>
        <w:t xml:space="preserve"> </w:t>
      </w:r>
      <w:r w:rsidR="00CB5566">
        <w:t>depletion</w:t>
      </w:r>
      <w:r w:rsidR="00CB5566">
        <w:rPr>
          <w:spacing w:val="-3"/>
        </w:rPr>
        <w:t xml:space="preserve"> </w:t>
      </w:r>
      <w:r w:rsidR="00CB5566">
        <w:t>of</w:t>
      </w:r>
      <w:r w:rsidR="00CB5566">
        <w:rPr>
          <w:spacing w:val="-5"/>
        </w:rPr>
        <w:t xml:space="preserve"> </w:t>
      </w:r>
      <w:r w:rsidR="00CB5566">
        <w:t>B</w:t>
      </w:r>
      <w:r w:rsidR="008506AC">
        <w:t xml:space="preserve"> </w:t>
      </w:r>
      <w:proofErr w:type="gramStart"/>
      <w:r w:rsidR="00CB5566">
        <w:t>cells,</w:t>
      </w:r>
      <w:proofErr w:type="gramEnd"/>
      <w:r w:rsidR="00CB5566">
        <w:rPr>
          <w:spacing w:val="-3"/>
        </w:rPr>
        <w:t xml:space="preserve"> </w:t>
      </w:r>
      <w:r w:rsidR="00CB5566">
        <w:t>is</w:t>
      </w:r>
      <w:r w:rsidR="00CB5566">
        <w:rPr>
          <w:spacing w:val="-4"/>
        </w:rPr>
        <w:t xml:space="preserve"> </w:t>
      </w:r>
      <w:r w:rsidR="00CB5566">
        <w:t>the</w:t>
      </w:r>
      <w:r w:rsidR="00CB5566">
        <w:rPr>
          <w:spacing w:val="-4"/>
        </w:rPr>
        <w:t xml:space="preserve"> </w:t>
      </w:r>
      <w:r w:rsidR="00CB5566">
        <w:t>same.</w:t>
      </w:r>
      <w:r w:rsidR="00CB5566">
        <w:rPr>
          <w:spacing w:val="-4"/>
        </w:rPr>
        <w:t xml:space="preserve"> </w:t>
      </w:r>
      <w:r w:rsidR="00CB5566">
        <w:t>Several</w:t>
      </w:r>
      <w:r w:rsidR="00CB5566">
        <w:rPr>
          <w:spacing w:val="-3"/>
        </w:rPr>
        <w:t xml:space="preserve"> </w:t>
      </w:r>
      <w:r w:rsidR="00CB5566">
        <w:t>well-known</w:t>
      </w:r>
      <w:r w:rsidR="00CB5566">
        <w:rPr>
          <w:spacing w:val="-4"/>
        </w:rPr>
        <w:t xml:space="preserve"> </w:t>
      </w:r>
      <w:r w:rsidR="00CB5566">
        <w:t>mechanisms</w:t>
      </w:r>
      <w:r w:rsidR="00CB5566">
        <w:rPr>
          <w:spacing w:val="-4"/>
        </w:rPr>
        <w:t xml:space="preserve"> </w:t>
      </w:r>
      <w:r w:rsidR="00CB5566">
        <w:t>of</w:t>
      </w:r>
      <w:r w:rsidR="00CB5566">
        <w:rPr>
          <w:spacing w:val="-5"/>
        </w:rPr>
        <w:t xml:space="preserve"> </w:t>
      </w:r>
      <w:r w:rsidR="00CB5566">
        <w:t>action</w:t>
      </w:r>
      <w:r w:rsidR="00CB5566">
        <w:rPr>
          <w:spacing w:val="-4"/>
        </w:rPr>
        <w:t xml:space="preserve"> </w:t>
      </w:r>
      <w:r w:rsidR="00CB5566">
        <w:t>(MoA)</w:t>
      </w:r>
      <w:r w:rsidR="00CB5566">
        <w:rPr>
          <w:spacing w:val="-5"/>
        </w:rPr>
        <w:t xml:space="preserve"> </w:t>
      </w:r>
      <w:r w:rsidR="00CB5566">
        <w:t>such</w:t>
      </w:r>
      <w:r w:rsidR="00CB5566">
        <w:rPr>
          <w:spacing w:val="-4"/>
        </w:rPr>
        <w:t xml:space="preserve"> </w:t>
      </w:r>
      <w:r w:rsidR="00CB5566">
        <w:t>as ADCC,</w:t>
      </w:r>
      <w:r w:rsidR="00CB5566">
        <w:rPr>
          <w:spacing w:val="-6"/>
        </w:rPr>
        <w:t xml:space="preserve"> </w:t>
      </w:r>
      <w:r w:rsidR="00CB5566">
        <w:t>CDC</w:t>
      </w:r>
      <w:r w:rsidR="00CB5566">
        <w:rPr>
          <w:spacing w:val="-6"/>
        </w:rPr>
        <w:t xml:space="preserve"> </w:t>
      </w:r>
      <w:r w:rsidR="00CB5566">
        <w:t>and</w:t>
      </w:r>
      <w:r w:rsidR="00CB5566">
        <w:rPr>
          <w:spacing w:val="-6"/>
        </w:rPr>
        <w:t xml:space="preserve"> </w:t>
      </w:r>
      <w:r w:rsidR="00CB5566">
        <w:t>apoptosis</w:t>
      </w:r>
      <w:r w:rsidR="00CB5566">
        <w:rPr>
          <w:spacing w:val="-6"/>
        </w:rPr>
        <w:t xml:space="preserve"> </w:t>
      </w:r>
      <w:r w:rsidR="00CB5566">
        <w:t>contribute</w:t>
      </w:r>
      <w:r w:rsidR="00CB5566">
        <w:rPr>
          <w:spacing w:val="-7"/>
        </w:rPr>
        <w:t xml:space="preserve"> </w:t>
      </w:r>
      <w:r w:rsidR="00CB5566">
        <w:t>to</w:t>
      </w:r>
      <w:r w:rsidR="00CB5566">
        <w:rPr>
          <w:spacing w:val="-3"/>
        </w:rPr>
        <w:t xml:space="preserve"> </w:t>
      </w:r>
      <w:r w:rsidR="00CB5566">
        <w:t>the</w:t>
      </w:r>
      <w:r w:rsidR="00CB5566">
        <w:rPr>
          <w:spacing w:val="-7"/>
        </w:rPr>
        <w:t xml:space="preserve"> </w:t>
      </w:r>
      <w:r w:rsidR="00CB5566">
        <w:t>therapeutic</w:t>
      </w:r>
      <w:r w:rsidR="00CB5566">
        <w:rPr>
          <w:spacing w:val="-6"/>
        </w:rPr>
        <w:t xml:space="preserve"> </w:t>
      </w:r>
      <w:r w:rsidR="00CB5566">
        <w:t>effect</w:t>
      </w:r>
      <w:r w:rsidR="00CB5566">
        <w:rPr>
          <w:spacing w:val="-2"/>
        </w:rPr>
        <w:t xml:space="preserve"> </w:t>
      </w:r>
      <w:r w:rsidR="00CB5566">
        <w:t>although</w:t>
      </w:r>
      <w:r w:rsidR="00CB5566">
        <w:rPr>
          <w:spacing w:val="-6"/>
        </w:rPr>
        <w:t xml:space="preserve"> </w:t>
      </w:r>
      <w:r w:rsidR="00CB5566">
        <w:t>the</w:t>
      </w:r>
      <w:r w:rsidR="00CB5566">
        <w:rPr>
          <w:spacing w:val="-5"/>
        </w:rPr>
        <w:t xml:space="preserve"> </w:t>
      </w:r>
      <w:r w:rsidR="00CB5566">
        <w:t>exact</w:t>
      </w:r>
      <w:r w:rsidR="00CB5566">
        <w:rPr>
          <w:spacing w:val="-6"/>
        </w:rPr>
        <w:t xml:space="preserve"> </w:t>
      </w:r>
      <w:r w:rsidR="00CB5566">
        <w:t xml:space="preserve">contribution of the different MoAs in various clinical conditions is still not very well understood. Nevertheless, comparability between </w:t>
      </w:r>
      <w:r w:rsidR="008A2F5F">
        <w:t>Riximyo</w:t>
      </w:r>
      <w:r w:rsidR="00CB5566">
        <w:t xml:space="preserve"> and MabThera was demonstrated in all </w:t>
      </w:r>
      <w:proofErr w:type="gramStart"/>
      <w:r w:rsidR="00CB5566">
        <w:t>the</w:t>
      </w:r>
      <w:r w:rsidR="00E41644">
        <w:t xml:space="preserve"> </w:t>
      </w:r>
      <w:r w:rsidR="00CB5566">
        <w:rPr>
          <w:spacing w:val="-30"/>
        </w:rPr>
        <w:t xml:space="preserve"> </w:t>
      </w:r>
      <w:r w:rsidR="00CB5566">
        <w:t>well</w:t>
      </w:r>
      <w:proofErr w:type="gramEnd"/>
      <w:r w:rsidR="00E41644">
        <w:t>-</w:t>
      </w:r>
      <w:r w:rsidR="00CB5566">
        <w:t>established MoAs considered to contribute to the therapeutic B-cell depleting effect in various clinical</w:t>
      </w:r>
      <w:r w:rsidR="00CB5566">
        <w:rPr>
          <w:spacing w:val="-1"/>
        </w:rPr>
        <w:t xml:space="preserve"> </w:t>
      </w:r>
      <w:r w:rsidR="00CB5566">
        <w:t>conditions.</w:t>
      </w:r>
    </w:p>
    <w:p w14:paraId="7F4AA97F" w14:textId="77777777" w:rsidR="00CB5566" w:rsidRDefault="00CB5566" w:rsidP="002B21DD">
      <w:r>
        <w:t xml:space="preserve">The extrapolation of indications beyond RA and FL is based on (a) the same MoA (ADCC, CDC and apoptosis) involved in all indications ultimately leading to B-cell depletion and (b) the totality-of-data provided for </w:t>
      </w:r>
      <w:r w:rsidR="008A2F5F">
        <w:t>Riximyo</w:t>
      </w:r>
      <w:r>
        <w:t xml:space="preserve"> (</w:t>
      </w:r>
      <w:r w:rsidR="00D7502D">
        <w:t>that is,</w:t>
      </w:r>
      <w:r>
        <w:t xml:space="preserve"> physicochemical, nonclinical and clinical data), which includes:</w:t>
      </w:r>
    </w:p>
    <w:p w14:paraId="7F4AA980" w14:textId="77777777" w:rsidR="00CB5566" w:rsidRPr="00D7502D" w:rsidRDefault="00CB5566" w:rsidP="00D7502D">
      <w:pPr>
        <w:pStyle w:val="ListBullet"/>
      </w:pPr>
      <w:r w:rsidRPr="00D7502D">
        <w:t>Robust analytical data showing comparability of biological activity as measured by ADCC, CDC, CD20-binding, C1q binding, apoptosis, FcγR and FcRn binding.</w:t>
      </w:r>
    </w:p>
    <w:p w14:paraId="7F4AA981" w14:textId="77777777" w:rsidR="00CB5566" w:rsidRPr="00D7502D" w:rsidRDefault="00CB5566" w:rsidP="00D7502D">
      <w:pPr>
        <w:pStyle w:val="ListBullet"/>
      </w:pPr>
      <w:r w:rsidRPr="00D7502D">
        <w:t xml:space="preserve">The results of the nonclinical studies demonstrating comparability of </w:t>
      </w:r>
      <w:r w:rsidR="008A2F5F">
        <w:t>Riximyo</w:t>
      </w:r>
      <w:r w:rsidRPr="00D7502D">
        <w:t xml:space="preserve"> and MabThera in terms of PK/PD (B-cell depletion both in vivo and in vitro) and toxicokinetics, in terms similar toxicology and safety, and in terms of anti-tumor activity (murine xenograft models).</w:t>
      </w:r>
    </w:p>
    <w:p w14:paraId="7F4AA982" w14:textId="77777777" w:rsidR="00CB5566" w:rsidRPr="00D7502D" w:rsidRDefault="00CB5566" w:rsidP="00D7502D">
      <w:pPr>
        <w:pStyle w:val="ListBullet"/>
      </w:pPr>
      <w:r w:rsidRPr="00D7502D">
        <w:t xml:space="preserve">The results of the clinical studies, demonstrating PK bioequivalence, PD equivalence, therapeutic equivalence and a comparable safety and immunogenicity profile between </w:t>
      </w:r>
      <w:r w:rsidR="008A2F5F">
        <w:t>Riximyo</w:t>
      </w:r>
      <w:r w:rsidRPr="00D7502D">
        <w:t xml:space="preserve"> and MabThera.</w:t>
      </w:r>
    </w:p>
    <w:p w14:paraId="7F4AA983" w14:textId="77777777" w:rsidR="00CB5566" w:rsidRDefault="00CB5566" w:rsidP="002B21DD">
      <w:r>
        <w:t xml:space="preserve">In summary, based on the understanding of rituximab’s MoA in the therapeutic areas of immunology and oncology and based on the totality-of-data provided for </w:t>
      </w:r>
      <w:r w:rsidR="008A2F5F">
        <w:t>Riximyo</w:t>
      </w:r>
      <w:r>
        <w:t xml:space="preserve">, it is considered scientifically justified to accept that the clinical efficacy and safety of </w:t>
      </w:r>
      <w:r w:rsidR="008A2F5F">
        <w:t>Riximyo</w:t>
      </w:r>
      <w:r>
        <w:t xml:space="preserve"> and MabThera will be comparable across all approved indications of MabThera.</w:t>
      </w:r>
    </w:p>
    <w:p w14:paraId="7F4AA984" w14:textId="77777777" w:rsidR="00CB5566" w:rsidRDefault="00CB5566" w:rsidP="00D7502D">
      <w:pPr>
        <w:pStyle w:val="Heading6"/>
      </w:pPr>
      <w:bookmarkStart w:id="123" w:name="_bookmark0"/>
      <w:bookmarkEnd w:id="123"/>
      <w:r>
        <w:t>Question 5</w:t>
      </w:r>
    </w:p>
    <w:p w14:paraId="7F4AA985" w14:textId="77777777" w:rsidR="00CB5566" w:rsidRPr="00D7502D" w:rsidRDefault="00CB5566" w:rsidP="00D7502D">
      <w:pPr>
        <w:ind w:firstLine="720"/>
        <w:rPr>
          <w:i/>
        </w:rPr>
      </w:pPr>
      <w:r w:rsidRPr="00D7502D">
        <w:rPr>
          <w:i/>
        </w:rPr>
        <w:t>Does the ACM have any comments about the proposed PI?</w:t>
      </w:r>
    </w:p>
    <w:p w14:paraId="7F4AA986" w14:textId="77777777" w:rsidR="00CB5566" w:rsidRDefault="00D7502D" w:rsidP="002B21DD">
      <w:pPr>
        <w:pStyle w:val="Heading6"/>
      </w:pPr>
      <w:r>
        <w:t>Sponsor’s</w:t>
      </w:r>
      <w:r w:rsidR="00CB5566">
        <w:t xml:space="preserve"> position</w:t>
      </w:r>
    </w:p>
    <w:p w14:paraId="7F4AA987" w14:textId="77777777" w:rsidR="00CB5566" w:rsidRDefault="00D7502D" w:rsidP="002B21DD">
      <w:r>
        <w:t>The sponsor</w:t>
      </w:r>
      <w:r w:rsidR="00CB5566">
        <w:t xml:space="preserve"> generally agrees with the Delegate’s advice and updated the PI accordingly. The Delegate’s</w:t>
      </w:r>
      <w:r w:rsidR="00CB5566">
        <w:rPr>
          <w:spacing w:val="-14"/>
        </w:rPr>
        <w:t xml:space="preserve"> </w:t>
      </w:r>
      <w:r w:rsidR="00CB5566">
        <w:t>advice</w:t>
      </w:r>
      <w:r w:rsidR="00CB5566">
        <w:rPr>
          <w:spacing w:val="-14"/>
        </w:rPr>
        <w:t xml:space="preserve"> </w:t>
      </w:r>
      <w:r w:rsidR="00CB5566">
        <w:t>regarding</w:t>
      </w:r>
      <w:r w:rsidR="00CB5566">
        <w:rPr>
          <w:spacing w:val="-13"/>
        </w:rPr>
        <w:t xml:space="preserve"> </w:t>
      </w:r>
      <w:r w:rsidR="00CB5566">
        <w:t>addition</w:t>
      </w:r>
      <w:r w:rsidR="00CB5566">
        <w:rPr>
          <w:spacing w:val="-13"/>
        </w:rPr>
        <w:t xml:space="preserve"> </w:t>
      </w:r>
      <w:r w:rsidR="00CB5566">
        <w:t>of</w:t>
      </w:r>
      <w:r w:rsidR="00CB5566">
        <w:rPr>
          <w:spacing w:val="-14"/>
        </w:rPr>
        <w:t xml:space="preserve"> </w:t>
      </w:r>
      <w:r w:rsidR="00CB5566">
        <w:t>outcomes</w:t>
      </w:r>
      <w:r w:rsidR="00CB5566">
        <w:rPr>
          <w:spacing w:val="-11"/>
        </w:rPr>
        <w:t xml:space="preserve"> </w:t>
      </w:r>
      <w:r w:rsidR="00CB5566">
        <w:t>for</w:t>
      </w:r>
      <w:r w:rsidR="00CB5566">
        <w:rPr>
          <w:spacing w:val="-14"/>
        </w:rPr>
        <w:t xml:space="preserve"> </w:t>
      </w:r>
      <w:r w:rsidR="00CB5566">
        <w:t>PFS</w:t>
      </w:r>
      <w:r w:rsidR="00CB5566">
        <w:rPr>
          <w:spacing w:val="-13"/>
        </w:rPr>
        <w:t xml:space="preserve"> </w:t>
      </w:r>
      <w:r w:rsidR="00CB5566">
        <w:t>and</w:t>
      </w:r>
      <w:r w:rsidR="00CB5566">
        <w:rPr>
          <w:spacing w:val="-11"/>
        </w:rPr>
        <w:t xml:space="preserve"> </w:t>
      </w:r>
      <w:r w:rsidR="00CB5566">
        <w:t>OS</w:t>
      </w:r>
      <w:r w:rsidR="00CB5566">
        <w:rPr>
          <w:spacing w:val="-13"/>
        </w:rPr>
        <w:t xml:space="preserve"> </w:t>
      </w:r>
      <w:r w:rsidR="00CB5566">
        <w:t>as</w:t>
      </w:r>
      <w:r w:rsidR="00CB5566">
        <w:rPr>
          <w:spacing w:val="-13"/>
        </w:rPr>
        <w:t xml:space="preserve"> </w:t>
      </w:r>
      <w:r w:rsidR="00CB5566">
        <w:t>well</w:t>
      </w:r>
      <w:r w:rsidR="00CB5566">
        <w:rPr>
          <w:spacing w:val="-13"/>
        </w:rPr>
        <w:t xml:space="preserve"> </w:t>
      </w:r>
      <w:r w:rsidR="00CB5566">
        <w:t>as</w:t>
      </w:r>
      <w:r w:rsidR="00CB5566">
        <w:rPr>
          <w:spacing w:val="-11"/>
        </w:rPr>
        <w:t xml:space="preserve"> </w:t>
      </w:r>
      <w:r w:rsidR="00CB5566">
        <w:t>the</w:t>
      </w:r>
      <w:r w:rsidR="00CB5566">
        <w:rPr>
          <w:spacing w:val="-14"/>
        </w:rPr>
        <w:t xml:space="preserve"> </w:t>
      </w:r>
      <w:r w:rsidR="00CB5566">
        <w:t>advice</w:t>
      </w:r>
      <w:r w:rsidR="00CB5566">
        <w:rPr>
          <w:spacing w:val="-13"/>
        </w:rPr>
        <w:t xml:space="preserve"> </w:t>
      </w:r>
      <w:r w:rsidR="00CB5566">
        <w:t>to</w:t>
      </w:r>
      <w:r w:rsidR="00CB5566">
        <w:rPr>
          <w:spacing w:val="-13"/>
        </w:rPr>
        <w:t xml:space="preserve"> </w:t>
      </w:r>
      <w:r w:rsidR="00CB5566">
        <w:t>delete a statement regarding safety risks from the GP13-302 study was not impleme</w:t>
      </w:r>
      <w:r>
        <w:t>nted and the sponsor’s rationale was attached.</w:t>
      </w:r>
    </w:p>
    <w:p w14:paraId="7F4AA988" w14:textId="77777777" w:rsidR="00CB5566" w:rsidRDefault="000C74ED" w:rsidP="00D7502D">
      <w:pPr>
        <w:pStyle w:val="Heading5"/>
      </w:pPr>
      <w:r>
        <w:t>Delegate’s q</w:t>
      </w:r>
      <w:r w:rsidR="00CB5566">
        <w:t>uestion to</w:t>
      </w:r>
      <w:r w:rsidR="00CB5566">
        <w:rPr>
          <w:spacing w:val="-4"/>
        </w:rPr>
        <w:t xml:space="preserve"> </w:t>
      </w:r>
      <w:r w:rsidR="00D7502D">
        <w:rPr>
          <w:spacing w:val="-4"/>
        </w:rPr>
        <w:t>the s</w:t>
      </w:r>
      <w:r w:rsidR="00CB5566">
        <w:t>ponso</w:t>
      </w:r>
      <w:bookmarkStart w:id="124" w:name="_bookmark1"/>
      <w:bookmarkEnd w:id="124"/>
      <w:r w:rsidR="00CB5566">
        <w:t>r</w:t>
      </w:r>
    </w:p>
    <w:p w14:paraId="7F4AA989" w14:textId="77777777" w:rsidR="00CB5566" w:rsidRPr="00D7502D" w:rsidRDefault="00CB5566" w:rsidP="00D7502D">
      <w:pPr>
        <w:ind w:left="720"/>
        <w:rPr>
          <w:i/>
        </w:rPr>
      </w:pPr>
      <w:r w:rsidRPr="00D7502D">
        <w:rPr>
          <w:i/>
        </w:rPr>
        <w:t>Related</w:t>
      </w:r>
      <w:r w:rsidRPr="00D7502D">
        <w:rPr>
          <w:i/>
          <w:spacing w:val="-6"/>
        </w:rPr>
        <w:t xml:space="preserve"> </w:t>
      </w:r>
      <w:r w:rsidRPr="00D7502D">
        <w:rPr>
          <w:i/>
        </w:rPr>
        <w:t>to</w:t>
      </w:r>
      <w:r w:rsidRPr="00D7502D">
        <w:rPr>
          <w:i/>
          <w:spacing w:val="-6"/>
        </w:rPr>
        <w:t xml:space="preserve"> </w:t>
      </w:r>
      <w:r w:rsidR="00D7502D" w:rsidRPr="00D7502D">
        <w:rPr>
          <w:i/>
        </w:rPr>
        <w:t xml:space="preserve">Study </w:t>
      </w:r>
      <w:r w:rsidRPr="00D7502D">
        <w:rPr>
          <w:i/>
        </w:rPr>
        <w:t>302:</w:t>
      </w:r>
      <w:r w:rsidRPr="00D7502D">
        <w:rPr>
          <w:i/>
          <w:spacing w:val="-6"/>
        </w:rPr>
        <w:t xml:space="preserve"> </w:t>
      </w:r>
      <w:r w:rsidRPr="00D7502D">
        <w:rPr>
          <w:i/>
        </w:rPr>
        <w:t>Can</w:t>
      </w:r>
      <w:r w:rsidRPr="00D7502D">
        <w:rPr>
          <w:i/>
          <w:spacing w:val="-6"/>
        </w:rPr>
        <w:t xml:space="preserve"> </w:t>
      </w:r>
      <w:r w:rsidRPr="00D7502D">
        <w:rPr>
          <w:i/>
        </w:rPr>
        <w:t>other</w:t>
      </w:r>
      <w:r w:rsidRPr="00D7502D">
        <w:rPr>
          <w:i/>
          <w:spacing w:val="-7"/>
        </w:rPr>
        <w:t xml:space="preserve"> </w:t>
      </w:r>
      <w:r w:rsidRPr="00D7502D">
        <w:rPr>
          <w:i/>
        </w:rPr>
        <w:t>instances</w:t>
      </w:r>
      <w:r w:rsidRPr="00D7502D">
        <w:rPr>
          <w:i/>
          <w:spacing w:val="-4"/>
        </w:rPr>
        <w:t xml:space="preserve"> </w:t>
      </w:r>
      <w:r w:rsidRPr="00D7502D">
        <w:rPr>
          <w:i/>
        </w:rPr>
        <w:t>of</w:t>
      </w:r>
      <w:r w:rsidRPr="00D7502D">
        <w:rPr>
          <w:i/>
          <w:spacing w:val="-7"/>
        </w:rPr>
        <w:t xml:space="preserve"> </w:t>
      </w:r>
      <w:r w:rsidRPr="00D7502D">
        <w:rPr>
          <w:i/>
        </w:rPr>
        <w:t>serum</w:t>
      </w:r>
      <w:r w:rsidRPr="00D7502D">
        <w:rPr>
          <w:i/>
          <w:spacing w:val="-6"/>
        </w:rPr>
        <w:t xml:space="preserve"> </w:t>
      </w:r>
      <w:r w:rsidRPr="00D7502D">
        <w:rPr>
          <w:i/>
        </w:rPr>
        <w:t>sickness</w:t>
      </w:r>
      <w:r w:rsidRPr="00D7502D">
        <w:rPr>
          <w:i/>
          <w:spacing w:val="-6"/>
        </w:rPr>
        <w:t xml:space="preserve"> </w:t>
      </w:r>
      <w:r w:rsidRPr="00D7502D">
        <w:rPr>
          <w:i/>
        </w:rPr>
        <w:t>be</w:t>
      </w:r>
      <w:r w:rsidRPr="00D7502D">
        <w:rPr>
          <w:i/>
          <w:spacing w:val="-7"/>
        </w:rPr>
        <w:t xml:space="preserve"> </w:t>
      </w:r>
      <w:r w:rsidRPr="00D7502D">
        <w:rPr>
          <w:i/>
        </w:rPr>
        <w:t>ruled</w:t>
      </w:r>
      <w:r w:rsidRPr="00D7502D">
        <w:rPr>
          <w:i/>
          <w:spacing w:val="-4"/>
        </w:rPr>
        <w:t xml:space="preserve"> </w:t>
      </w:r>
      <w:r w:rsidRPr="00D7502D">
        <w:rPr>
          <w:i/>
        </w:rPr>
        <w:t>out</w:t>
      </w:r>
      <w:r w:rsidRPr="00D7502D">
        <w:rPr>
          <w:i/>
          <w:spacing w:val="-6"/>
        </w:rPr>
        <w:t xml:space="preserve"> </w:t>
      </w:r>
      <w:r w:rsidRPr="00D7502D">
        <w:rPr>
          <w:i/>
        </w:rPr>
        <w:t>in</w:t>
      </w:r>
      <w:r w:rsidRPr="00D7502D">
        <w:rPr>
          <w:i/>
          <w:spacing w:val="-6"/>
        </w:rPr>
        <w:t xml:space="preserve"> </w:t>
      </w:r>
      <w:r w:rsidRPr="00D7502D">
        <w:rPr>
          <w:i/>
        </w:rPr>
        <w:t>this</w:t>
      </w:r>
      <w:r w:rsidRPr="00D7502D">
        <w:rPr>
          <w:i/>
          <w:spacing w:val="-6"/>
        </w:rPr>
        <w:t xml:space="preserve"> </w:t>
      </w:r>
      <w:r w:rsidRPr="00D7502D">
        <w:rPr>
          <w:i/>
        </w:rPr>
        <w:t>study,</w:t>
      </w:r>
      <w:r w:rsidRPr="00D7502D">
        <w:rPr>
          <w:i/>
          <w:spacing w:val="-6"/>
        </w:rPr>
        <w:t xml:space="preserve"> </w:t>
      </w:r>
      <w:r w:rsidRPr="00D7502D">
        <w:rPr>
          <w:i/>
        </w:rPr>
        <w:t>based</w:t>
      </w:r>
      <w:r w:rsidRPr="00D7502D">
        <w:rPr>
          <w:i/>
          <w:spacing w:val="-4"/>
        </w:rPr>
        <w:t xml:space="preserve"> </w:t>
      </w:r>
      <w:r w:rsidRPr="00D7502D">
        <w:rPr>
          <w:i/>
        </w:rPr>
        <w:t>on review of grouped signs and symptoms and investigator diagnoses?</w:t>
      </w:r>
    </w:p>
    <w:p w14:paraId="7F4AA98A" w14:textId="77777777" w:rsidR="00CB5566" w:rsidRDefault="00D7502D" w:rsidP="002B21DD">
      <w:pPr>
        <w:pStyle w:val="Heading6"/>
      </w:pPr>
      <w:r>
        <w:t>Sponsor’s</w:t>
      </w:r>
      <w:r w:rsidR="00CB5566">
        <w:t xml:space="preserve"> response</w:t>
      </w:r>
    </w:p>
    <w:p w14:paraId="7F4AA98B" w14:textId="77777777" w:rsidR="00CB5566" w:rsidRDefault="00CB5566" w:rsidP="002B21DD">
      <w:r>
        <w:t>It</w:t>
      </w:r>
      <w:r>
        <w:rPr>
          <w:spacing w:val="-6"/>
        </w:rPr>
        <w:t xml:space="preserve"> </w:t>
      </w:r>
      <w:r>
        <w:t>is</w:t>
      </w:r>
      <w:r>
        <w:rPr>
          <w:spacing w:val="-6"/>
        </w:rPr>
        <w:t xml:space="preserve"> </w:t>
      </w:r>
      <w:r>
        <w:t>well</w:t>
      </w:r>
      <w:r>
        <w:rPr>
          <w:spacing w:val="-6"/>
        </w:rPr>
        <w:t xml:space="preserve"> </w:t>
      </w:r>
      <w:r>
        <w:t>known</w:t>
      </w:r>
      <w:r>
        <w:rPr>
          <w:spacing w:val="-7"/>
        </w:rPr>
        <w:t xml:space="preserve"> </w:t>
      </w:r>
      <w:r>
        <w:t>serum</w:t>
      </w:r>
      <w:r>
        <w:rPr>
          <w:spacing w:val="-7"/>
        </w:rPr>
        <w:t xml:space="preserve"> </w:t>
      </w:r>
      <w:r>
        <w:t>sickness</w:t>
      </w:r>
      <w:r>
        <w:rPr>
          <w:spacing w:val="-6"/>
        </w:rPr>
        <w:t xml:space="preserve"> </w:t>
      </w:r>
      <w:r>
        <w:t>rarely</w:t>
      </w:r>
      <w:r>
        <w:rPr>
          <w:spacing w:val="-13"/>
        </w:rPr>
        <w:t xml:space="preserve"> </w:t>
      </w:r>
      <w:r>
        <w:t>occurs</w:t>
      </w:r>
      <w:r>
        <w:rPr>
          <w:spacing w:val="-5"/>
        </w:rPr>
        <w:t xml:space="preserve"> </w:t>
      </w:r>
      <w:r>
        <w:t>after</w:t>
      </w:r>
      <w:r>
        <w:rPr>
          <w:spacing w:val="-5"/>
        </w:rPr>
        <w:t xml:space="preserve"> </w:t>
      </w:r>
      <w:r>
        <w:t>use</w:t>
      </w:r>
      <w:r>
        <w:rPr>
          <w:spacing w:val="-7"/>
        </w:rPr>
        <w:t xml:space="preserve"> </w:t>
      </w:r>
      <w:r>
        <w:t>of</w:t>
      </w:r>
      <w:r>
        <w:rPr>
          <w:spacing w:val="-7"/>
        </w:rPr>
        <w:t xml:space="preserve"> </w:t>
      </w:r>
      <w:r>
        <w:t>rituximab</w:t>
      </w:r>
      <w:r>
        <w:rPr>
          <w:spacing w:val="-7"/>
        </w:rPr>
        <w:t xml:space="preserve"> </w:t>
      </w:r>
      <w:r>
        <w:t>based</w:t>
      </w:r>
      <w:r>
        <w:rPr>
          <w:spacing w:val="-5"/>
        </w:rPr>
        <w:t xml:space="preserve"> </w:t>
      </w:r>
      <w:r>
        <w:t>on</w:t>
      </w:r>
      <w:r>
        <w:rPr>
          <w:spacing w:val="-6"/>
        </w:rPr>
        <w:t xml:space="preserve"> </w:t>
      </w:r>
      <w:r>
        <w:t>both</w:t>
      </w:r>
      <w:r>
        <w:rPr>
          <w:spacing w:val="-6"/>
        </w:rPr>
        <w:t xml:space="preserve"> </w:t>
      </w:r>
      <w:r>
        <w:t>the</w:t>
      </w:r>
      <w:r>
        <w:rPr>
          <w:spacing w:val="-7"/>
        </w:rPr>
        <w:t xml:space="preserve"> </w:t>
      </w:r>
      <w:r>
        <w:t>literature and its labelling as it is a chimeric mouse-human</w:t>
      </w:r>
      <w:r>
        <w:rPr>
          <w:spacing w:val="-3"/>
        </w:rPr>
        <w:t xml:space="preserve"> </w:t>
      </w:r>
      <w:r>
        <w:t>antibody.</w:t>
      </w:r>
    </w:p>
    <w:p w14:paraId="7F4AA98C" w14:textId="77777777" w:rsidR="00CB5566" w:rsidRDefault="00CB5566" w:rsidP="002B21DD">
      <w:r>
        <w:t>In</w:t>
      </w:r>
      <w:r>
        <w:rPr>
          <w:spacing w:val="-5"/>
        </w:rPr>
        <w:t xml:space="preserve"> </w:t>
      </w:r>
      <w:r>
        <w:t>a</w:t>
      </w:r>
      <w:r>
        <w:rPr>
          <w:spacing w:val="-8"/>
        </w:rPr>
        <w:t xml:space="preserve"> </w:t>
      </w:r>
      <w:r>
        <w:t>review</w:t>
      </w:r>
      <w:r>
        <w:rPr>
          <w:spacing w:val="-8"/>
        </w:rPr>
        <w:t xml:space="preserve"> </w:t>
      </w:r>
      <w:r>
        <w:t>article</w:t>
      </w:r>
      <w:r>
        <w:rPr>
          <w:spacing w:val="-8"/>
        </w:rPr>
        <w:t xml:space="preserve"> </w:t>
      </w:r>
      <w:r>
        <w:t>on</w:t>
      </w:r>
      <w:r>
        <w:rPr>
          <w:spacing w:val="-5"/>
        </w:rPr>
        <w:t xml:space="preserve"> </w:t>
      </w:r>
      <w:r>
        <w:t>rituximab</w:t>
      </w:r>
      <w:r>
        <w:rPr>
          <w:spacing w:val="-7"/>
        </w:rPr>
        <w:t xml:space="preserve"> </w:t>
      </w:r>
      <w:r>
        <w:t>induced</w:t>
      </w:r>
      <w:r>
        <w:rPr>
          <w:spacing w:val="-7"/>
        </w:rPr>
        <w:t xml:space="preserve"> </w:t>
      </w:r>
      <w:r>
        <w:t>serum</w:t>
      </w:r>
      <w:r>
        <w:rPr>
          <w:spacing w:val="-8"/>
        </w:rPr>
        <w:t xml:space="preserve"> </w:t>
      </w:r>
      <w:r>
        <w:t>sickness,</w:t>
      </w:r>
      <w:r>
        <w:rPr>
          <w:spacing w:val="-5"/>
        </w:rPr>
        <w:t xml:space="preserve"> </w:t>
      </w:r>
      <w:r>
        <w:t>in</w:t>
      </w:r>
      <w:r>
        <w:rPr>
          <w:spacing w:val="-7"/>
        </w:rPr>
        <w:t xml:space="preserve"> </w:t>
      </w:r>
      <w:r>
        <w:t>the</w:t>
      </w:r>
      <w:r>
        <w:rPr>
          <w:spacing w:val="-7"/>
        </w:rPr>
        <w:t xml:space="preserve"> </w:t>
      </w:r>
      <w:r>
        <w:t>classical</w:t>
      </w:r>
      <w:r>
        <w:rPr>
          <w:spacing w:val="-7"/>
        </w:rPr>
        <w:t xml:space="preserve"> </w:t>
      </w:r>
      <w:r>
        <w:t>triad</w:t>
      </w:r>
      <w:r>
        <w:rPr>
          <w:spacing w:val="-7"/>
        </w:rPr>
        <w:t xml:space="preserve"> </w:t>
      </w:r>
      <w:r>
        <w:t>of</w:t>
      </w:r>
      <w:r>
        <w:rPr>
          <w:spacing w:val="-8"/>
        </w:rPr>
        <w:t xml:space="preserve"> </w:t>
      </w:r>
      <w:r>
        <w:t>serum</w:t>
      </w:r>
      <w:r>
        <w:rPr>
          <w:spacing w:val="-8"/>
        </w:rPr>
        <w:t xml:space="preserve"> </w:t>
      </w:r>
      <w:r>
        <w:t>sickness the</w:t>
      </w:r>
      <w:r>
        <w:rPr>
          <w:spacing w:val="-15"/>
        </w:rPr>
        <w:t xml:space="preserve"> </w:t>
      </w:r>
      <w:r>
        <w:t>most</w:t>
      </w:r>
      <w:r>
        <w:rPr>
          <w:spacing w:val="-14"/>
        </w:rPr>
        <w:t xml:space="preserve"> </w:t>
      </w:r>
      <w:r>
        <w:t>common</w:t>
      </w:r>
      <w:r>
        <w:rPr>
          <w:spacing w:val="-14"/>
        </w:rPr>
        <w:t xml:space="preserve"> </w:t>
      </w:r>
      <w:r>
        <w:t>clinical</w:t>
      </w:r>
      <w:r>
        <w:rPr>
          <w:spacing w:val="-14"/>
        </w:rPr>
        <w:t xml:space="preserve"> </w:t>
      </w:r>
      <w:r>
        <w:t>presentation</w:t>
      </w:r>
      <w:r>
        <w:rPr>
          <w:spacing w:val="-14"/>
        </w:rPr>
        <w:t xml:space="preserve"> </w:t>
      </w:r>
      <w:r>
        <w:t>was</w:t>
      </w:r>
      <w:r>
        <w:rPr>
          <w:spacing w:val="-14"/>
        </w:rPr>
        <w:t xml:space="preserve"> </w:t>
      </w:r>
      <w:r>
        <w:t>fever,</w:t>
      </w:r>
      <w:r>
        <w:rPr>
          <w:spacing w:val="-15"/>
        </w:rPr>
        <w:t xml:space="preserve"> </w:t>
      </w:r>
      <w:r>
        <w:t>followed</w:t>
      </w:r>
      <w:r>
        <w:rPr>
          <w:spacing w:val="-14"/>
        </w:rPr>
        <w:t xml:space="preserve"> </w:t>
      </w:r>
      <w:r>
        <w:t>by</w:t>
      </w:r>
      <w:r>
        <w:rPr>
          <w:spacing w:val="-18"/>
        </w:rPr>
        <w:t xml:space="preserve"> </w:t>
      </w:r>
      <w:r>
        <w:t>arthralgia</w:t>
      </w:r>
      <w:r>
        <w:rPr>
          <w:spacing w:val="-15"/>
        </w:rPr>
        <w:t xml:space="preserve"> </w:t>
      </w:r>
      <w:r>
        <w:t>and</w:t>
      </w:r>
      <w:r>
        <w:rPr>
          <w:spacing w:val="-12"/>
        </w:rPr>
        <w:t xml:space="preserve"> </w:t>
      </w:r>
      <w:r>
        <w:t>rash.</w:t>
      </w:r>
      <w:r>
        <w:rPr>
          <w:spacing w:val="-14"/>
        </w:rPr>
        <w:t xml:space="preserve"> </w:t>
      </w:r>
      <w:r>
        <w:t>This</w:t>
      </w:r>
      <w:r>
        <w:rPr>
          <w:spacing w:val="-14"/>
        </w:rPr>
        <w:t xml:space="preserve"> </w:t>
      </w:r>
      <w:r>
        <w:t>classical triad occurred in almost half of the patients. Other reported symptoms were myalgia, malaise, fatigue, conjunctival hyper</w:t>
      </w:r>
      <w:r w:rsidR="00E808E8">
        <w:t>a</w:t>
      </w:r>
      <w:r>
        <w:t xml:space="preserve">emia and purpura. In patients with </w:t>
      </w:r>
      <w:r>
        <w:lastRenderedPageBreak/>
        <w:t>rheumatoid arthritis (RA) serum sickness may thus mimic exacerbation of RA. The serum sickness occurred usually 7 days following the infusion.</w:t>
      </w:r>
      <w:bookmarkStart w:id="125" w:name="_Ref514158280"/>
      <w:r w:rsidR="00E41644">
        <w:rPr>
          <w:rStyle w:val="FootnoteReference"/>
        </w:rPr>
        <w:footnoteReference w:id="24"/>
      </w:r>
      <w:bookmarkEnd w:id="125"/>
    </w:p>
    <w:p w14:paraId="7F4AA98D" w14:textId="77777777" w:rsidR="00CB5566" w:rsidRDefault="00CB5566" w:rsidP="002B21DD">
      <w:r>
        <w:t xml:space="preserve">Using the above adverse event (AE) terms (and taking nausea and vomiting into consideration as well), the AE listing for </w:t>
      </w:r>
      <w:r w:rsidR="009B2FD7">
        <w:t>Study GP</w:t>
      </w:r>
      <w:r>
        <w:t>13-302 (12 week CSR) was medically reviewed for any signs of serum sickness considering grouped signed and symptoms based on investigator diagnosis. Worsening of pre-existing conditions had thus not been considered.</w:t>
      </w:r>
    </w:p>
    <w:p w14:paraId="7F4AA98E" w14:textId="77777777" w:rsidR="00CB5566" w:rsidRDefault="00CB5566" w:rsidP="002B21DD">
      <w:r>
        <w:t xml:space="preserve">In the </w:t>
      </w:r>
      <w:r w:rsidR="008A2F5F">
        <w:t>Riximyo</w:t>
      </w:r>
      <w:r>
        <w:t xml:space="preserve"> arm, one case of mild polyarthralgia not suspected to be drug-related was reported 21 days after the last drug exposure. The AE spontaneously resolved within 57 days and</w:t>
      </w:r>
      <w:r>
        <w:rPr>
          <w:spacing w:val="-10"/>
        </w:rPr>
        <w:t xml:space="preserve"> </w:t>
      </w:r>
      <w:r>
        <w:t>the</w:t>
      </w:r>
      <w:r>
        <w:rPr>
          <w:spacing w:val="-10"/>
        </w:rPr>
        <w:t xml:space="preserve"> </w:t>
      </w:r>
      <w:r>
        <w:t>investigator</w:t>
      </w:r>
      <w:r>
        <w:rPr>
          <w:spacing w:val="-10"/>
        </w:rPr>
        <w:t xml:space="preserve"> </w:t>
      </w:r>
      <w:r>
        <w:t>did</w:t>
      </w:r>
      <w:r>
        <w:rPr>
          <w:spacing w:val="-9"/>
        </w:rPr>
        <w:t xml:space="preserve"> </w:t>
      </w:r>
      <w:r>
        <w:t>not</w:t>
      </w:r>
      <w:r>
        <w:rPr>
          <w:spacing w:val="-9"/>
        </w:rPr>
        <w:t xml:space="preserve"> </w:t>
      </w:r>
      <w:r>
        <w:t>consider</w:t>
      </w:r>
      <w:r>
        <w:rPr>
          <w:spacing w:val="-10"/>
        </w:rPr>
        <w:t xml:space="preserve"> </w:t>
      </w:r>
      <w:r>
        <w:t>the</w:t>
      </w:r>
      <w:r>
        <w:rPr>
          <w:spacing w:val="-10"/>
        </w:rPr>
        <w:t xml:space="preserve"> </w:t>
      </w:r>
      <w:r>
        <w:t>AE</w:t>
      </w:r>
      <w:r>
        <w:rPr>
          <w:spacing w:val="-10"/>
        </w:rPr>
        <w:t xml:space="preserve"> </w:t>
      </w:r>
      <w:r>
        <w:t>immunological</w:t>
      </w:r>
      <w:r>
        <w:rPr>
          <w:spacing w:val="-9"/>
        </w:rPr>
        <w:t xml:space="preserve"> </w:t>
      </w:r>
      <w:r>
        <w:t>related.</w:t>
      </w:r>
      <w:r>
        <w:rPr>
          <w:spacing w:val="-10"/>
        </w:rPr>
        <w:t xml:space="preserve"> </w:t>
      </w:r>
      <w:r>
        <w:t>The</w:t>
      </w:r>
      <w:r>
        <w:rPr>
          <w:spacing w:val="-10"/>
        </w:rPr>
        <w:t xml:space="preserve"> </w:t>
      </w:r>
      <w:r>
        <w:t>patient</w:t>
      </w:r>
      <w:r>
        <w:rPr>
          <w:spacing w:val="-6"/>
        </w:rPr>
        <w:t xml:space="preserve"> </w:t>
      </w:r>
      <w:r>
        <w:t>experienced</w:t>
      </w:r>
      <w:r>
        <w:rPr>
          <w:spacing w:val="-9"/>
        </w:rPr>
        <w:t xml:space="preserve"> </w:t>
      </w:r>
      <w:r>
        <w:t xml:space="preserve">no further AEs. Two further cases had been reported in the </w:t>
      </w:r>
      <w:r w:rsidR="008A2F5F">
        <w:t>Riximyo</w:t>
      </w:r>
      <w:r>
        <w:t xml:space="preserve"> arm</w:t>
      </w:r>
      <w:r w:rsidR="00E20C63">
        <w:t>;</w:t>
      </w:r>
      <w:r>
        <w:t xml:space="preserve"> one of hip pain starting 1 day after administration of the study drug and one of knee pain starting 67 days after study drug administration. These two cases of arthralgia were not suspected to be drug related and were not accompanied by other symptoms. Rash was reported for two patients in the </w:t>
      </w:r>
      <w:r w:rsidR="008A2F5F">
        <w:t>Riximyo</w:t>
      </w:r>
      <w:r>
        <w:t xml:space="preserve"> group</w:t>
      </w:r>
      <w:r>
        <w:rPr>
          <w:spacing w:val="-14"/>
        </w:rPr>
        <w:t xml:space="preserve"> </w:t>
      </w:r>
      <w:r>
        <w:t>(pustular</w:t>
      </w:r>
      <w:r>
        <w:rPr>
          <w:spacing w:val="-14"/>
        </w:rPr>
        <w:t xml:space="preserve"> </w:t>
      </w:r>
      <w:r>
        <w:t>and</w:t>
      </w:r>
      <w:r>
        <w:rPr>
          <w:spacing w:val="-13"/>
        </w:rPr>
        <w:t xml:space="preserve"> </w:t>
      </w:r>
      <w:r>
        <w:t>eczema)</w:t>
      </w:r>
      <w:r>
        <w:rPr>
          <w:spacing w:val="-15"/>
        </w:rPr>
        <w:t xml:space="preserve"> </w:t>
      </w:r>
      <w:r>
        <w:t>on</w:t>
      </w:r>
      <w:r>
        <w:rPr>
          <w:spacing w:val="-13"/>
        </w:rPr>
        <w:t xml:space="preserve"> </w:t>
      </w:r>
      <w:r w:rsidR="00E20C63">
        <w:t>D</w:t>
      </w:r>
      <w:r>
        <w:t>ays</w:t>
      </w:r>
      <w:r>
        <w:rPr>
          <w:spacing w:val="-13"/>
        </w:rPr>
        <w:t xml:space="preserve"> </w:t>
      </w:r>
      <w:r>
        <w:t>77</w:t>
      </w:r>
      <w:r>
        <w:rPr>
          <w:spacing w:val="-13"/>
        </w:rPr>
        <w:t xml:space="preserve"> </w:t>
      </w:r>
      <w:r>
        <w:t>and</w:t>
      </w:r>
      <w:r>
        <w:rPr>
          <w:spacing w:val="-13"/>
        </w:rPr>
        <w:t xml:space="preserve"> </w:t>
      </w:r>
      <w:r>
        <w:t>70</w:t>
      </w:r>
      <w:r>
        <w:rPr>
          <w:spacing w:val="-13"/>
        </w:rPr>
        <w:t xml:space="preserve"> </w:t>
      </w:r>
      <w:r>
        <w:t>respectively</w:t>
      </w:r>
      <w:r>
        <w:rPr>
          <w:spacing w:val="-18"/>
        </w:rPr>
        <w:t xml:space="preserve"> </w:t>
      </w:r>
      <w:r>
        <w:t>without</w:t>
      </w:r>
      <w:r>
        <w:rPr>
          <w:spacing w:val="-13"/>
        </w:rPr>
        <w:t xml:space="preserve"> </w:t>
      </w:r>
      <w:r>
        <w:t>further</w:t>
      </w:r>
      <w:r>
        <w:rPr>
          <w:spacing w:val="-12"/>
        </w:rPr>
        <w:t xml:space="preserve"> </w:t>
      </w:r>
      <w:r>
        <w:t>symptoms.</w:t>
      </w:r>
      <w:r>
        <w:rPr>
          <w:spacing w:val="38"/>
        </w:rPr>
        <w:t xml:space="preserve"> </w:t>
      </w:r>
      <w:r>
        <w:t>Malaise was</w:t>
      </w:r>
      <w:r>
        <w:rPr>
          <w:spacing w:val="-11"/>
        </w:rPr>
        <w:t xml:space="preserve"> </w:t>
      </w:r>
      <w:r>
        <w:t>reported</w:t>
      </w:r>
      <w:r>
        <w:rPr>
          <w:spacing w:val="-11"/>
        </w:rPr>
        <w:t xml:space="preserve"> </w:t>
      </w:r>
      <w:r>
        <w:t>in</w:t>
      </w:r>
      <w:r>
        <w:rPr>
          <w:spacing w:val="-11"/>
        </w:rPr>
        <w:t xml:space="preserve"> </w:t>
      </w:r>
      <w:r>
        <w:t>one</w:t>
      </w:r>
      <w:r>
        <w:rPr>
          <w:spacing w:val="-11"/>
        </w:rPr>
        <w:t xml:space="preserve"> </w:t>
      </w:r>
      <w:r>
        <w:t>patient</w:t>
      </w:r>
      <w:r>
        <w:rPr>
          <w:spacing w:val="-11"/>
        </w:rPr>
        <w:t xml:space="preserve"> </w:t>
      </w:r>
      <w:r>
        <w:t>in</w:t>
      </w:r>
      <w:r>
        <w:rPr>
          <w:spacing w:val="-11"/>
        </w:rPr>
        <w:t xml:space="preserve"> </w:t>
      </w:r>
      <w:r>
        <w:t>the</w:t>
      </w:r>
      <w:r>
        <w:rPr>
          <w:spacing w:val="-12"/>
        </w:rPr>
        <w:t xml:space="preserve"> </w:t>
      </w:r>
      <w:r w:rsidR="008A2F5F">
        <w:t>Riximyo</w:t>
      </w:r>
      <w:r>
        <w:rPr>
          <w:spacing w:val="-11"/>
        </w:rPr>
        <w:t xml:space="preserve"> </w:t>
      </w:r>
      <w:r>
        <w:t>group</w:t>
      </w:r>
      <w:r>
        <w:rPr>
          <w:spacing w:val="-9"/>
        </w:rPr>
        <w:t xml:space="preserve"> </w:t>
      </w:r>
      <w:r>
        <w:t>after</w:t>
      </w:r>
      <w:r>
        <w:rPr>
          <w:spacing w:val="-12"/>
        </w:rPr>
        <w:t xml:space="preserve"> </w:t>
      </w:r>
      <w:r>
        <w:t>the</w:t>
      </w:r>
      <w:r>
        <w:rPr>
          <w:spacing w:val="-12"/>
        </w:rPr>
        <w:t xml:space="preserve"> </w:t>
      </w:r>
      <w:r w:rsidR="00E20C63">
        <w:rPr>
          <w:spacing w:val="-12"/>
        </w:rPr>
        <w:t>first</w:t>
      </w:r>
      <w:r>
        <w:rPr>
          <w:spacing w:val="10"/>
          <w:position w:val="9"/>
          <w:sz w:val="16"/>
        </w:rPr>
        <w:t xml:space="preserve"> </w:t>
      </w:r>
      <w:r>
        <w:t>infusion.</w:t>
      </w:r>
      <w:r>
        <w:rPr>
          <w:spacing w:val="-9"/>
        </w:rPr>
        <w:t xml:space="preserve"> </w:t>
      </w:r>
      <w:r>
        <w:rPr>
          <w:spacing w:val="-3"/>
        </w:rPr>
        <w:t>It</w:t>
      </w:r>
      <w:r>
        <w:rPr>
          <w:spacing w:val="-8"/>
        </w:rPr>
        <w:t xml:space="preserve"> </w:t>
      </w:r>
      <w:r>
        <w:t>resolved</w:t>
      </w:r>
      <w:r>
        <w:rPr>
          <w:spacing w:val="-11"/>
        </w:rPr>
        <w:t xml:space="preserve"> </w:t>
      </w:r>
      <w:r>
        <w:t>spontaneously within 15 days and did not re-occur after the second infusion, this patient did not experience any other AEs. One case of an isolated AE of intermittent nausea starting one day after the exposure to study drug occurred in a patient with a coexisting AE of</w:t>
      </w:r>
      <w:r>
        <w:rPr>
          <w:spacing w:val="-11"/>
        </w:rPr>
        <w:t xml:space="preserve"> </w:t>
      </w:r>
      <w:r>
        <w:t>anaemia.</w:t>
      </w:r>
    </w:p>
    <w:p w14:paraId="7F4AA98F" w14:textId="77777777" w:rsidR="00CB5566" w:rsidRDefault="00CB5566" w:rsidP="002B21DD">
      <w:r>
        <w:t>In</w:t>
      </w:r>
      <w:r>
        <w:rPr>
          <w:spacing w:val="-10"/>
        </w:rPr>
        <w:t xml:space="preserve"> </w:t>
      </w:r>
      <w:r>
        <w:t>the</w:t>
      </w:r>
      <w:r>
        <w:rPr>
          <w:spacing w:val="-10"/>
        </w:rPr>
        <w:t xml:space="preserve"> </w:t>
      </w:r>
      <w:r w:rsidR="008A2F5F">
        <w:t>Riximyo</w:t>
      </w:r>
      <w:r>
        <w:t>/</w:t>
      </w:r>
      <w:r w:rsidR="000B3A10">
        <w:t>MabThera</w:t>
      </w:r>
      <w:r>
        <w:rPr>
          <w:spacing w:val="-11"/>
        </w:rPr>
        <w:t xml:space="preserve"> </w:t>
      </w:r>
      <w:r>
        <w:t>arm</w:t>
      </w:r>
      <w:r>
        <w:rPr>
          <w:spacing w:val="-10"/>
        </w:rPr>
        <w:t xml:space="preserve"> </w:t>
      </w:r>
      <w:r>
        <w:t>one</w:t>
      </w:r>
      <w:r>
        <w:rPr>
          <w:spacing w:val="-11"/>
        </w:rPr>
        <w:t xml:space="preserve"> </w:t>
      </w:r>
      <w:r>
        <w:t>patient</w:t>
      </w:r>
      <w:r>
        <w:rPr>
          <w:spacing w:val="-9"/>
        </w:rPr>
        <w:t xml:space="preserve"> </w:t>
      </w:r>
      <w:r>
        <w:t>experienced</w:t>
      </w:r>
      <w:r>
        <w:rPr>
          <w:spacing w:val="-8"/>
        </w:rPr>
        <w:t xml:space="preserve"> </w:t>
      </w:r>
      <w:r>
        <w:t>mild</w:t>
      </w:r>
      <w:r>
        <w:rPr>
          <w:spacing w:val="-9"/>
        </w:rPr>
        <w:t xml:space="preserve"> </w:t>
      </w:r>
      <w:r>
        <w:t>fever</w:t>
      </w:r>
      <w:r>
        <w:rPr>
          <w:spacing w:val="-10"/>
        </w:rPr>
        <w:t xml:space="preserve"> </w:t>
      </w:r>
      <w:r>
        <w:t>starting</w:t>
      </w:r>
      <w:r>
        <w:rPr>
          <w:spacing w:val="-12"/>
        </w:rPr>
        <w:t xml:space="preserve"> </w:t>
      </w:r>
      <w:r>
        <w:t>8</w:t>
      </w:r>
      <w:r>
        <w:rPr>
          <w:spacing w:val="-7"/>
        </w:rPr>
        <w:t xml:space="preserve"> </w:t>
      </w:r>
      <w:r>
        <w:t>hours</w:t>
      </w:r>
      <w:r>
        <w:rPr>
          <w:spacing w:val="-10"/>
        </w:rPr>
        <w:t xml:space="preserve"> </w:t>
      </w:r>
      <w:r>
        <w:t>after</w:t>
      </w:r>
      <w:r>
        <w:rPr>
          <w:spacing w:val="-10"/>
        </w:rPr>
        <w:t xml:space="preserve"> </w:t>
      </w:r>
      <w:r>
        <w:t>the</w:t>
      </w:r>
      <w:r>
        <w:rPr>
          <w:spacing w:val="-10"/>
        </w:rPr>
        <w:t xml:space="preserve"> </w:t>
      </w:r>
      <w:r>
        <w:t>study drug administration resolving after two days after treatment with paracetamol for 1 day, no other AE was reported concomitantly. One patient developed vomiting 20 hours after study drug administration lasting for one day. One patient developed nausea immediately after starting study drug administration, and resolving within one</w:t>
      </w:r>
      <w:r>
        <w:rPr>
          <w:spacing w:val="-12"/>
        </w:rPr>
        <w:t xml:space="preserve"> </w:t>
      </w:r>
      <w:r>
        <w:t>day.</w:t>
      </w:r>
    </w:p>
    <w:p w14:paraId="7F4AA990" w14:textId="77777777" w:rsidR="00CB5566" w:rsidRDefault="00CB5566" w:rsidP="002B21DD">
      <w:r>
        <w:t xml:space="preserve">Exacerbation of RA was reported in two patients in the </w:t>
      </w:r>
      <w:r w:rsidR="008A2F5F">
        <w:t>Riximyo</w:t>
      </w:r>
      <w:r>
        <w:t xml:space="preserve"> arm (onset 18 days and 50 days) and in two patients in the </w:t>
      </w:r>
      <w:r w:rsidR="008A2F5F">
        <w:t>Riximyo</w:t>
      </w:r>
      <w:r>
        <w:t>/MabThera arm (onset 11 hours and 89 days). In all cases the RA exacerbation was not accompanied by further symptoms making a case of serum sickness unlikely.</w:t>
      </w:r>
    </w:p>
    <w:p w14:paraId="7F4AA991" w14:textId="77777777" w:rsidR="00CB5566" w:rsidRDefault="00CB5566" w:rsidP="002B21DD">
      <w:r>
        <w:t>The AEs occurring within one day of study</w:t>
      </w:r>
      <w:r>
        <w:rPr>
          <w:spacing w:val="-44"/>
        </w:rPr>
        <w:t xml:space="preserve"> </w:t>
      </w:r>
      <w:r>
        <w:t xml:space="preserve">drug administration should be considered infusion- related reactions and not signs of serum sickness. Also an onset beyond 21 days after last exposure to study drug makes a serum sickness highly unlikely. The polyarthralgia in one patient exposed to </w:t>
      </w:r>
      <w:r w:rsidR="008A2F5F">
        <w:t>Riximyo</w:t>
      </w:r>
      <w:r>
        <w:t xml:space="preserve"> would from the time to onset fit with a serum sickness reaction however the lack of further symptoms makes this highly unlikely. Further osteoarthritis is also reported in the patient’s medical history prior to study commencement. As noted by the Delegate, the one reported AE of serum sickness in the </w:t>
      </w:r>
      <w:r w:rsidR="008A2F5F">
        <w:t>Riximyo</w:t>
      </w:r>
      <w:r>
        <w:t xml:space="preserve"> arm, the onset 6 hours after administration of study drug makes it questionable whether this is a newly induced classical case of rituximab-induced serum sickness</w:t>
      </w:r>
      <w:r w:rsidR="00E20C63">
        <w:t>;</w:t>
      </w:r>
      <w:r>
        <w:t xml:space="preserve"> an onset within 6 hours without pre-existing antibodies would be very</w:t>
      </w:r>
      <w:r>
        <w:rPr>
          <w:spacing w:val="-4"/>
        </w:rPr>
        <w:t xml:space="preserve"> </w:t>
      </w:r>
      <w:r>
        <w:t>unusual.</w:t>
      </w:r>
    </w:p>
    <w:p w14:paraId="7F4AA992" w14:textId="77777777" w:rsidR="00CB5566" w:rsidRDefault="00CB5566" w:rsidP="002B21DD">
      <w:r>
        <w:t>Based</w:t>
      </w:r>
      <w:r>
        <w:rPr>
          <w:spacing w:val="-4"/>
        </w:rPr>
        <w:t xml:space="preserve"> </w:t>
      </w:r>
      <w:r>
        <w:t>on</w:t>
      </w:r>
      <w:r>
        <w:rPr>
          <w:spacing w:val="-4"/>
        </w:rPr>
        <w:t xml:space="preserve"> </w:t>
      </w:r>
      <w:r>
        <w:t>this</w:t>
      </w:r>
      <w:r>
        <w:rPr>
          <w:spacing w:val="-4"/>
        </w:rPr>
        <w:t xml:space="preserve"> </w:t>
      </w:r>
      <w:r>
        <w:t>detailed</w:t>
      </w:r>
      <w:r>
        <w:rPr>
          <w:spacing w:val="-4"/>
        </w:rPr>
        <w:t xml:space="preserve"> </w:t>
      </w:r>
      <w:r>
        <w:t>medical</w:t>
      </w:r>
      <w:r>
        <w:rPr>
          <w:spacing w:val="-3"/>
        </w:rPr>
        <w:t xml:space="preserve"> </w:t>
      </w:r>
      <w:r>
        <w:t>review</w:t>
      </w:r>
      <w:r>
        <w:rPr>
          <w:spacing w:val="-5"/>
        </w:rPr>
        <w:t xml:space="preserve"> </w:t>
      </w:r>
      <w:r>
        <w:t>of</w:t>
      </w:r>
      <w:r>
        <w:rPr>
          <w:spacing w:val="-1"/>
        </w:rPr>
        <w:t xml:space="preserve"> </w:t>
      </w:r>
      <w:r>
        <w:t>grouped</w:t>
      </w:r>
      <w:r>
        <w:rPr>
          <w:spacing w:val="-4"/>
        </w:rPr>
        <w:t xml:space="preserve"> </w:t>
      </w:r>
      <w:r>
        <w:t>signs</w:t>
      </w:r>
      <w:r>
        <w:rPr>
          <w:spacing w:val="-4"/>
        </w:rPr>
        <w:t xml:space="preserve"> </w:t>
      </w:r>
      <w:r>
        <w:t>and</w:t>
      </w:r>
      <w:r>
        <w:rPr>
          <w:spacing w:val="-4"/>
        </w:rPr>
        <w:t xml:space="preserve"> </w:t>
      </w:r>
      <w:r>
        <w:t>symptoms</w:t>
      </w:r>
      <w:r w:rsidR="00E20C63">
        <w:t>,</w:t>
      </w:r>
      <w:r>
        <w:rPr>
          <w:spacing w:val="-3"/>
        </w:rPr>
        <w:t xml:space="preserve"> </w:t>
      </w:r>
      <w:r>
        <w:t>no</w:t>
      </w:r>
      <w:r>
        <w:rPr>
          <w:spacing w:val="-4"/>
        </w:rPr>
        <w:t xml:space="preserve"> </w:t>
      </w:r>
      <w:r>
        <w:t>case</w:t>
      </w:r>
      <w:r>
        <w:rPr>
          <w:spacing w:val="-5"/>
        </w:rPr>
        <w:t xml:space="preserve"> </w:t>
      </w:r>
      <w:r>
        <w:t>which</w:t>
      </w:r>
      <w:r>
        <w:rPr>
          <w:spacing w:val="-4"/>
        </w:rPr>
        <w:t xml:space="preserve"> </w:t>
      </w:r>
      <w:r>
        <w:t>plausibly qualifies as rituximab-induced serum sickness could be</w:t>
      </w:r>
      <w:r>
        <w:rPr>
          <w:spacing w:val="-2"/>
        </w:rPr>
        <w:t xml:space="preserve"> </w:t>
      </w:r>
      <w:r>
        <w:t>identified.</w:t>
      </w:r>
    </w:p>
    <w:p w14:paraId="7F4AA993" w14:textId="77777777" w:rsidR="00CB5566" w:rsidRDefault="00CB5566" w:rsidP="002B21DD">
      <w:pPr>
        <w:pStyle w:val="Heading5"/>
      </w:pPr>
      <w:r>
        <w:t>Concluding</w:t>
      </w:r>
      <w:r>
        <w:rPr>
          <w:spacing w:val="-2"/>
        </w:rPr>
        <w:t xml:space="preserve"> </w:t>
      </w:r>
      <w:r>
        <w:t>rem</w:t>
      </w:r>
      <w:r w:rsidRPr="00D36023">
        <w:t>a</w:t>
      </w:r>
      <w:r>
        <w:t>rks</w:t>
      </w:r>
    </w:p>
    <w:p w14:paraId="7F4AA994" w14:textId="77777777" w:rsidR="00CB5566" w:rsidRDefault="00E20C63" w:rsidP="002B21DD">
      <w:r>
        <w:t xml:space="preserve">The sponsor </w:t>
      </w:r>
      <w:r w:rsidR="00CB5566">
        <w:t>believe</w:t>
      </w:r>
      <w:r>
        <w:t>s</w:t>
      </w:r>
      <w:r w:rsidR="00CB5566">
        <w:t xml:space="preserve"> that structural and functional similarity as well as comparative safety and efficacy</w:t>
      </w:r>
      <w:r w:rsidR="00794474">
        <w:t xml:space="preserve"> versus </w:t>
      </w:r>
      <w:r w:rsidR="00CB5566">
        <w:t xml:space="preserve">the reference medicine has been convincingly demonstrated for </w:t>
      </w:r>
      <w:r w:rsidR="00334CAC">
        <w:t>Riximyo</w:t>
      </w:r>
      <w:r w:rsidR="00CB5566">
        <w:t>.</w:t>
      </w:r>
    </w:p>
    <w:p w14:paraId="7F4AA995" w14:textId="77777777" w:rsidR="00CB5566" w:rsidRDefault="00CB5566" w:rsidP="002B21DD">
      <w:r>
        <w:lastRenderedPageBreak/>
        <w:t>Therapeutic</w:t>
      </w:r>
      <w:r>
        <w:rPr>
          <w:spacing w:val="-7"/>
        </w:rPr>
        <w:t xml:space="preserve"> </w:t>
      </w:r>
      <w:r>
        <w:t>equivalence</w:t>
      </w:r>
      <w:r>
        <w:rPr>
          <w:spacing w:val="-7"/>
        </w:rPr>
        <w:t xml:space="preserve"> </w:t>
      </w:r>
      <w:r>
        <w:t>was</w:t>
      </w:r>
      <w:r>
        <w:rPr>
          <w:spacing w:val="-6"/>
        </w:rPr>
        <w:t xml:space="preserve"> </w:t>
      </w:r>
      <w:r>
        <w:t>established</w:t>
      </w:r>
      <w:r>
        <w:rPr>
          <w:spacing w:val="-6"/>
        </w:rPr>
        <w:t xml:space="preserve"> </w:t>
      </w:r>
      <w:r>
        <w:t>by</w:t>
      </w:r>
      <w:r>
        <w:rPr>
          <w:spacing w:val="-11"/>
        </w:rPr>
        <w:t xml:space="preserve"> </w:t>
      </w:r>
      <w:r>
        <w:t>a</w:t>
      </w:r>
      <w:r>
        <w:rPr>
          <w:spacing w:val="-7"/>
        </w:rPr>
        <w:t xml:space="preserve"> </w:t>
      </w:r>
      <w:r>
        <w:t>sensitive</w:t>
      </w:r>
      <w:r>
        <w:rPr>
          <w:spacing w:val="-7"/>
        </w:rPr>
        <w:t xml:space="preserve"> </w:t>
      </w:r>
      <w:r>
        <w:t>endpoint</w:t>
      </w:r>
      <w:r>
        <w:rPr>
          <w:spacing w:val="-6"/>
        </w:rPr>
        <w:t xml:space="preserve"> </w:t>
      </w:r>
      <w:r>
        <w:t>(ORR),</w:t>
      </w:r>
      <w:r>
        <w:rPr>
          <w:spacing w:val="-7"/>
        </w:rPr>
        <w:t xml:space="preserve"> </w:t>
      </w:r>
      <w:r>
        <w:t>the</w:t>
      </w:r>
      <w:r>
        <w:rPr>
          <w:spacing w:val="-9"/>
        </w:rPr>
        <w:t xml:space="preserve"> </w:t>
      </w:r>
      <w:r>
        <w:t>PFS</w:t>
      </w:r>
      <w:r>
        <w:rPr>
          <w:spacing w:val="-6"/>
        </w:rPr>
        <w:t xml:space="preserve"> </w:t>
      </w:r>
      <w:r>
        <w:t>outcome</w:t>
      </w:r>
      <w:r>
        <w:rPr>
          <w:spacing w:val="-7"/>
        </w:rPr>
        <w:t xml:space="preserve"> </w:t>
      </w:r>
      <w:r>
        <w:t>does not</w:t>
      </w:r>
      <w:r>
        <w:rPr>
          <w:spacing w:val="-3"/>
        </w:rPr>
        <w:t xml:space="preserve"> </w:t>
      </w:r>
      <w:r>
        <w:t>preclude</w:t>
      </w:r>
      <w:r>
        <w:rPr>
          <w:spacing w:val="-4"/>
        </w:rPr>
        <w:t xml:space="preserve"> </w:t>
      </w:r>
      <w:r>
        <w:t>biosimilarity</w:t>
      </w:r>
      <w:r>
        <w:rPr>
          <w:spacing w:val="-6"/>
        </w:rPr>
        <w:t xml:space="preserve"> </w:t>
      </w:r>
      <w:r>
        <w:t>in</w:t>
      </w:r>
      <w:r>
        <w:rPr>
          <w:spacing w:val="-3"/>
        </w:rPr>
        <w:t xml:space="preserve"> </w:t>
      </w:r>
      <w:r>
        <w:t>the</w:t>
      </w:r>
      <w:r>
        <w:rPr>
          <w:spacing w:val="-4"/>
        </w:rPr>
        <w:t xml:space="preserve"> </w:t>
      </w:r>
      <w:r>
        <w:t>totality-of-evidence</w:t>
      </w:r>
      <w:r>
        <w:rPr>
          <w:spacing w:val="-5"/>
        </w:rPr>
        <w:t xml:space="preserve"> </w:t>
      </w:r>
      <w:r>
        <w:t>approach,</w:t>
      </w:r>
      <w:r>
        <w:rPr>
          <w:spacing w:val="-4"/>
        </w:rPr>
        <w:t xml:space="preserve"> </w:t>
      </w:r>
      <w:r>
        <w:t>especially</w:t>
      </w:r>
      <w:r>
        <w:rPr>
          <w:spacing w:val="-9"/>
        </w:rPr>
        <w:t xml:space="preserve"> </w:t>
      </w:r>
      <w:r>
        <w:t>considering</w:t>
      </w:r>
      <w:r>
        <w:rPr>
          <w:spacing w:val="-7"/>
        </w:rPr>
        <w:t xml:space="preserve"> </w:t>
      </w:r>
      <w:r>
        <w:t>that</w:t>
      </w:r>
      <w:r>
        <w:rPr>
          <w:spacing w:val="-4"/>
        </w:rPr>
        <w:t xml:space="preserve"> </w:t>
      </w:r>
      <w:r>
        <w:t>PFS is not a powered endpoint and too immature to allow comparisons to be</w:t>
      </w:r>
      <w:r>
        <w:rPr>
          <w:spacing w:val="-3"/>
        </w:rPr>
        <w:t xml:space="preserve"> </w:t>
      </w:r>
      <w:r>
        <w:t>drawn.</w:t>
      </w:r>
    </w:p>
    <w:p w14:paraId="7F4AA996" w14:textId="2562BDDE" w:rsidR="00CB5566" w:rsidRDefault="00CB5566" w:rsidP="002B21DD">
      <w:r>
        <w:t>Based on the established biosimilarity and supported by the same mode of action involved in all approved indications leading ultimately to B</w:t>
      </w:r>
      <w:r w:rsidR="008506AC">
        <w:t xml:space="preserve"> </w:t>
      </w:r>
      <w:r>
        <w:t>cell depletion, it is scientifically justified to extrapolate to all approved indications.</w:t>
      </w:r>
    </w:p>
    <w:p w14:paraId="7F4AA997" w14:textId="77777777" w:rsidR="008E7846" w:rsidRDefault="008E7846" w:rsidP="008E7846">
      <w:pPr>
        <w:pStyle w:val="Heading4"/>
      </w:pPr>
      <w:r>
        <w:t>Advisory Committee Considerations</w:t>
      </w:r>
      <w:r w:rsidR="00456765" w:rsidRPr="009D4285">
        <w:rPr>
          <w:rStyle w:val="FootnoteReference"/>
          <w:b w:val="0"/>
        </w:rPr>
        <w:footnoteReference w:id="25"/>
      </w:r>
    </w:p>
    <w:p w14:paraId="7F4AA998" w14:textId="77777777" w:rsidR="00982719" w:rsidRDefault="00982719" w:rsidP="00982719">
      <w:r>
        <w:t xml:space="preserve">The ACM taking into account the submitted evidence of efficacy, safety and quality, agreed with the </w:t>
      </w:r>
      <w:r w:rsidR="00E41644">
        <w:t>D</w:t>
      </w:r>
      <w:r>
        <w:t xml:space="preserve">elegate and considered </w:t>
      </w:r>
      <w:r w:rsidR="00334CAC">
        <w:t>Riximyo</w:t>
      </w:r>
      <w:r>
        <w:t xml:space="preserve"> concentrated injection containing 100 mg</w:t>
      </w:r>
      <w:r w:rsidR="009436CA">
        <w:t>/</w:t>
      </w:r>
      <w:r>
        <w:t>10 mL and 500 mg</w:t>
      </w:r>
      <w:r w:rsidR="009436CA">
        <w:t>/</w:t>
      </w:r>
      <w:r>
        <w:t>50 mL vials of Rituximab to have an overall positive benefit-risk profile for the proposed indications, which are identical to MabThera:</w:t>
      </w:r>
    </w:p>
    <w:p w14:paraId="7F4AA999" w14:textId="77777777" w:rsidR="00982719" w:rsidRPr="00E41644" w:rsidRDefault="00982719" w:rsidP="00982719">
      <w:pPr>
        <w:pStyle w:val="ListBullet"/>
        <w:rPr>
          <w:i/>
        </w:rPr>
      </w:pPr>
      <w:r w:rsidRPr="00E41644">
        <w:rPr>
          <w:i/>
        </w:rPr>
        <w:t xml:space="preserve">Non-Hodgkin’s Lymphoma (NHL): </w:t>
      </w:r>
      <w:r w:rsidR="00334CAC" w:rsidRPr="00E41644">
        <w:rPr>
          <w:i/>
        </w:rPr>
        <w:t>Riximyo</w:t>
      </w:r>
      <w:r w:rsidRPr="00E41644">
        <w:rPr>
          <w:i/>
        </w:rPr>
        <w:t xml:space="preserve"> (rituximab) is indicated for treatment of patients</w:t>
      </w:r>
      <w:r w:rsidRPr="00E41644">
        <w:rPr>
          <w:i/>
          <w:spacing w:val="-2"/>
        </w:rPr>
        <w:t xml:space="preserve"> </w:t>
      </w:r>
      <w:r w:rsidRPr="00E41644">
        <w:rPr>
          <w:i/>
        </w:rPr>
        <w:t>with:</w:t>
      </w:r>
    </w:p>
    <w:p w14:paraId="7F4AA99A" w14:textId="77777777" w:rsidR="00982719" w:rsidRPr="00E41644" w:rsidRDefault="00982719" w:rsidP="00982719">
      <w:pPr>
        <w:pStyle w:val="ListBullet2"/>
        <w:rPr>
          <w:i/>
        </w:rPr>
      </w:pPr>
      <w:r w:rsidRPr="00E41644">
        <w:rPr>
          <w:i/>
        </w:rPr>
        <w:t>CD20 positive, previously untreated, Stage III/IV follicular, B-cell non- Hodgkin’s</w:t>
      </w:r>
      <w:r w:rsidRPr="00E41644">
        <w:rPr>
          <w:i/>
          <w:spacing w:val="-2"/>
        </w:rPr>
        <w:t xml:space="preserve"> </w:t>
      </w:r>
      <w:r w:rsidRPr="00E41644">
        <w:rPr>
          <w:i/>
        </w:rPr>
        <w:t>lymphoma;</w:t>
      </w:r>
    </w:p>
    <w:p w14:paraId="7F4AA99B" w14:textId="77777777" w:rsidR="00982719" w:rsidRPr="00E41644" w:rsidRDefault="00982719" w:rsidP="00982719">
      <w:pPr>
        <w:pStyle w:val="ListBullet2"/>
        <w:rPr>
          <w:i/>
        </w:rPr>
      </w:pPr>
      <w:r w:rsidRPr="00E41644">
        <w:rPr>
          <w:i/>
        </w:rPr>
        <w:t>CD20 positive, relapsed or refractory low grade or follicular, B-cell non- Hodgkin's</w:t>
      </w:r>
      <w:r w:rsidRPr="00E41644">
        <w:rPr>
          <w:i/>
          <w:spacing w:val="-2"/>
        </w:rPr>
        <w:t xml:space="preserve"> </w:t>
      </w:r>
      <w:r w:rsidRPr="00E41644">
        <w:rPr>
          <w:i/>
        </w:rPr>
        <w:t>lymphoma;</w:t>
      </w:r>
    </w:p>
    <w:p w14:paraId="7F4AA99C" w14:textId="77777777" w:rsidR="00982719" w:rsidRPr="00E41644" w:rsidRDefault="00982719" w:rsidP="00982719">
      <w:pPr>
        <w:pStyle w:val="ListBullet2"/>
        <w:rPr>
          <w:i/>
        </w:rPr>
      </w:pPr>
      <w:r w:rsidRPr="00E41644">
        <w:rPr>
          <w:i/>
        </w:rPr>
        <w:t>CD20 positive, diffuse large B-cell non-Hodgkin’s lymphoma, in combination with</w:t>
      </w:r>
      <w:r w:rsidRPr="00E41644">
        <w:rPr>
          <w:i/>
          <w:spacing w:val="-4"/>
        </w:rPr>
        <w:t xml:space="preserve"> </w:t>
      </w:r>
      <w:r w:rsidRPr="00E41644">
        <w:rPr>
          <w:i/>
        </w:rPr>
        <w:t>chemotherapy.</w:t>
      </w:r>
    </w:p>
    <w:p w14:paraId="7F4AA99D" w14:textId="77777777" w:rsidR="00982719" w:rsidRPr="00E41644" w:rsidRDefault="00982719" w:rsidP="00982719">
      <w:pPr>
        <w:pStyle w:val="ListBullet"/>
        <w:rPr>
          <w:i/>
        </w:rPr>
      </w:pPr>
      <w:r w:rsidRPr="00E41644">
        <w:rPr>
          <w:i/>
        </w:rPr>
        <w:t xml:space="preserve">Chronic Lymphocytic Leukaemia (CLL): </w:t>
      </w:r>
      <w:r w:rsidR="00334CAC" w:rsidRPr="00E41644">
        <w:rPr>
          <w:i/>
        </w:rPr>
        <w:t>Riximyo</w:t>
      </w:r>
      <w:r w:rsidRPr="00E41644">
        <w:rPr>
          <w:i/>
        </w:rPr>
        <w:t xml:space="preserve"> (rituximab) is indicated for the treatment of patients with CD20 positive chronic lymphocytic leukaemia in combination with</w:t>
      </w:r>
      <w:r w:rsidRPr="00E41644">
        <w:rPr>
          <w:i/>
          <w:spacing w:val="-3"/>
        </w:rPr>
        <w:t xml:space="preserve"> </w:t>
      </w:r>
      <w:r w:rsidRPr="00E41644">
        <w:rPr>
          <w:i/>
        </w:rPr>
        <w:t>chemotherapy.</w:t>
      </w:r>
    </w:p>
    <w:p w14:paraId="7F4AA99E" w14:textId="77777777" w:rsidR="00982719" w:rsidRPr="00E41644" w:rsidRDefault="00982719" w:rsidP="00982719">
      <w:pPr>
        <w:pStyle w:val="ListBullet"/>
        <w:rPr>
          <w:i/>
        </w:rPr>
      </w:pPr>
      <w:r w:rsidRPr="00E41644">
        <w:rPr>
          <w:i/>
        </w:rPr>
        <w:t xml:space="preserve">Rheumatoid Arthritis (RA): </w:t>
      </w:r>
      <w:r w:rsidR="00334CAC" w:rsidRPr="00E41644">
        <w:rPr>
          <w:i/>
        </w:rPr>
        <w:t>Riximyo</w:t>
      </w:r>
      <w:r w:rsidRPr="00E41644">
        <w:rPr>
          <w:i/>
        </w:rPr>
        <w:t xml:space="preserve"> (rituximab) in combination with methotrexate is indicated for the treatment of adult patients with severe, active rheumatoid arthritis who have had an inadequate response or intolerance to at least one tumour necrosis factor (TNF) inhibitor therapy. Rituximab has been shown to reduce the rate of progression of joint damage as measured by x-ray when given in combination with methotrexate.</w:t>
      </w:r>
    </w:p>
    <w:p w14:paraId="7F4AA99F" w14:textId="77777777" w:rsidR="00982719" w:rsidRPr="00E41644" w:rsidRDefault="00982719" w:rsidP="00982719">
      <w:pPr>
        <w:pStyle w:val="ListBullet"/>
        <w:rPr>
          <w:i/>
        </w:rPr>
      </w:pPr>
      <w:r w:rsidRPr="00E41644">
        <w:rPr>
          <w:i/>
        </w:rPr>
        <w:t>Granulomatosis with polyangiitis (Wegener’s) (GPA) and Microscopic polyangiitis (MPA):</w:t>
      </w:r>
      <w:r w:rsidRPr="00E41644">
        <w:rPr>
          <w:i/>
          <w:spacing w:val="-5"/>
        </w:rPr>
        <w:t xml:space="preserve"> </w:t>
      </w:r>
      <w:r w:rsidR="00334CAC" w:rsidRPr="00E41644">
        <w:rPr>
          <w:i/>
        </w:rPr>
        <w:t>Riximyo</w:t>
      </w:r>
      <w:r w:rsidRPr="00E41644">
        <w:rPr>
          <w:i/>
          <w:spacing w:val="-6"/>
        </w:rPr>
        <w:t xml:space="preserve"> </w:t>
      </w:r>
      <w:r w:rsidRPr="00E41644">
        <w:rPr>
          <w:i/>
        </w:rPr>
        <w:t>(rituximab)</w:t>
      </w:r>
      <w:r w:rsidRPr="00E41644">
        <w:rPr>
          <w:i/>
          <w:spacing w:val="-5"/>
        </w:rPr>
        <w:t xml:space="preserve"> </w:t>
      </w:r>
      <w:r w:rsidRPr="00E41644">
        <w:rPr>
          <w:i/>
        </w:rPr>
        <w:t>in</w:t>
      </w:r>
      <w:r w:rsidRPr="00E41644">
        <w:rPr>
          <w:i/>
          <w:spacing w:val="-4"/>
        </w:rPr>
        <w:t xml:space="preserve"> </w:t>
      </w:r>
      <w:r w:rsidRPr="00E41644">
        <w:rPr>
          <w:i/>
        </w:rPr>
        <w:t>combination</w:t>
      </w:r>
      <w:r w:rsidRPr="00E41644">
        <w:rPr>
          <w:i/>
          <w:spacing w:val="-4"/>
        </w:rPr>
        <w:t xml:space="preserve"> </w:t>
      </w:r>
      <w:r w:rsidRPr="00E41644">
        <w:rPr>
          <w:i/>
        </w:rPr>
        <w:t>with</w:t>
      </w:r>
      <w:r w:rsidRPr="00E41644">
        <w:rPr>
          <w:i/>
          <w:spacing w:val="-7"/>
        </w:rPr>
        <w:t xml:space="preserve"> </w:t>
      </w:r>
      <w:r w:rsidRPr="00E41644">
        <w:rPr>
          <w:i/>
        </w:rPr>
        <w:t>glucocorticoids</w:t>
      </w:r>
      <w:r w:rsidRPr="00E41644">
        <w:rPr>
          <w:i/>
          <w:spacing w:val="-6"/>
        </w:rPr>
        <w:t xml:space="preserve"> </w:t>
      </w:r>
      <w:r w:rsidRPr="00E41644">
        <w:rPr>
          <w:i/>
        </w:rPr>
        <w:t>is</w:t>
      </w:r>
      <w:r w:rsidRPr="00E41644">
        <w:rPr>
          <w:i/>
          <w:spacing w:val="-2"/>
        </w:rPr>
        <w:t xml:space="preserve"> </w:t>
      </w:r>
      <w:r w:rsidRPr="00E41644">
        <w:rPr>
          <w:i/>
        </w:rPr>
        <w:t>indicated</w:t>
      </w:r>
      <w:r w:rsidRPr="00E41644">
        <w:rPr>
          <w:i/>
          <w:spacing w:val="-7"/>
        </w:rPr>
        <w:t xml:space="preserve"> </w:t>
      </w:r>
      <w:r w:rsidRPr="00E41644">
        <w:rPr>
          <w:i/>
        </w:rPr>
        <w:t>for</w:t>
      </w:r>
      <w:r w:rsidRPr="00E41644">
        <w:rPr>
          <w:i/>
          <w:spacing w:val="-6"/>
        </w:rPr>
        <w:t xml:space="preserve"> </w:t>
      </w:r>
      <w:r w:rsidRPr="00E41644">
        <w:rPr>
          <w:i/>
        </w:rPr>
        <w:t>the induction of remission in patients with severely active Granulomatosis with polyangiitis (GPA, also known as Wegener’s granulomatosis) and Microscopic polyangiitis (MPA). The efficacy and safety of retreatment with rituximab have not been established.</w:t>
      </w:r>
    </w:p>
    <w:p w14:paraId="7F4AA9A0" w14:textId="77777777" w:rsidR="00982719" w:rsidRDefault="00982719" w:rsidP="00982719">
      <w:r>
        <w:t>In making this recommendation the ACM noted:</w:t>
      </w:r>
    </w:p>
    <w:p w14:paraId="7F4AA9A1" w14:textId="77777777" w:rsidR="00982719" w:rsidRDefault="00982719" w:rsidP="00982719">
      <w:pPr>
        <w:pStyle w:val="ListBullet"/>
      </w:pPr>
      <w:proofErr w:type="gramStart"/>
      <w:r>
        <w:t>the</w:t>
      </w:r>
      <w:proofErr w:type="gramEnd"/>
      <w:r>
        <w:t xml:space="preserve"> TGA evaluation framework for the Regulation of Biosimilar</w:t>
      </w:r>
      <w:r>
        <w:rPr>
          <w:spacing w:val="-9"/>
        </w:rPr>
        <w:t xml:space="preserve"> </w:t>
      </w:r>
      <w:r>
        <w:t>Medicines.</w:t>
      </w:r>
    </w:p>
    <w:p w14:paraId="7F4AA9A2" w14:textId="77777777" w:rsidR="00982719" w:rsidRDefault="00982719" w:rsidP="00982719">
      <w:pPr>
        <w:pStyle w:val="ListBullet"/>
      </w:pPr>
      <w:proofErr w:type="gramStart"/>
      <w:r>
        <w:t>that</w:t>
      </w:r>
      <w:proofErr w:type="gramEnd"/>
      <w:r>
        <w:t xml:space="preserve"> this was the first Australian submission for a biosimilar medicine of</w:t>
      </w:r>
      <w:r>
        <w:rPr>
          <w:spacing w:val="-21"/>
        </w:rPr>
        <w:t xml:space="preserve"> </w:t>
      </w:r>
      <w:r>
        <w:t>rituximab.</w:t>
      </w:r>
    </w:p>
    <w:p w14:paraId="7F4AA9A3" w14:textId="77777777" w:rsidR="00982719" w:rsidRDefault="00982719" w:rsidP="00982719">
      <w:pPr>
        <w:pStyle w:val="ListBullet"/>
      </w:pPr>
      <w:proofErr w:type="gramStart"/>
      <w:r>
        <w:t>that</w:t>
      </w:r>
      <w:proofErr w:type="gramEnd"/>
      <w:r>
        <w:t xml:space="preserve"> some GMP clearances are required before approval may be</w:t>
      </w:r>
      <w:r>
        <w:rPr>
          <w:spacing w:val="-6"/>
        </w:rPr>
        <w:t xml:space="preserve"> </w:t>
      </w:r>
      <w:r>
        <w:t>granted.</w:t>
      </w:r>
    </w:p>
    <w:p w14:paraId="7F4AA9A4" w14:textId="6F3A6C06" w:rsidR="00982719" w:rsidRDefault="00982719" w:rsidP="00982719">
      <w:pPr>
        <w:pStyle w:val="Heading5"/>
      </w:pPr>
      <w:r>
        <w:lastRenderedPageBreak/>
        <w:t xml:space="preserve">Specific </w:t>
      </w:r>
      <w:r w:rsidR="00EA516A">
        <w:t>a</w:t>
      </w:r>
      <w:r>
        <w:t>dvice</w:t>
      </w:r>
    </w:p>
    <w:p w14:paraId="7F4AA9A5" w14:textId="77777777" w:rsidR="00982719" w:rsidRDefault="00982719" w:rsidP="00982719">
      <w:r>
        <w:t xml:space="preserve">The ACM advised the following in response to the </w:t>
      </w:r>
      <w:r w:rsidR="00E41644">
        <w:t>D</w:t>
      </w:r>
      <w:r>
        <w:t>elegate’s specific questions on the submission:</w:t>
      </w:r>
    </w:p>
    <w:p w14:paraId="7F4AA9A6" w14:textId="77777777" w:rsidR="00982719" w:rsidRPr="00E41644" w:rsidRDefault="00982719" w:rsidP="00982719">
      <w:pPr>
        <w:rPr>
          <w:i/>
        </w:rPr>
      </w:pPr>
      <w:r w:rsidRPr="00E41644">
        <w:rPr>
          <w:i/>
        </w:rPr>
        <w:t>The committee is requested to provide advice on the following specific issues:</w:t>
      </w:r>
    </w:p>
    <w:p w14:paraId="7F4AA9A7" w14:textId="3E3FCA8F" w:rsidR="00982719" w:rsidRPr="00E41644" w:rsidRDefault="00982719" w:rsidP="00EC5FD9">
      <w:pPr>
        <w:pStyle w:val="Numberbullet0"/>
        <w:numPr>
          <w:ilvl w:val="0"/>
          <w:numId w:val="34"/>
        </w:numPr>
        <w:rPr>
          <w:i/>
        </w:rPr>
      </w:pPr>
      <w:r w:rsidRPr="00E41644">
        <w:rPr>
          <w:i/>
        </w:rPr>
        <w:t xml:space="preserve">In </w:t>
      </w:r>
      <w:r w:rsidR="008506AC">
        <w:rPr>
          <w:i/>
        </w:rPr>
        <w:t xml:space="preserve">Study </w:t>
      </w:r>
      <w:r w:rsidRPr="00E41644">
        <w:rPr>
          <w:i/>
        </w:rPr>
        <w:t>GP13-301 (the FL study), can therapeutic equivalence be concluded, despite the PFS outcomes to date? Should PFS outcomes be included in the</w:t>
      </w:r>
      <w:r w:rsidRPr="00E41644">
        <w:rPr>
          <w:i/>
          <w:spacing w:val="-8"/>
        </w:rPr>
        <w:t xml:space="preserve"> </w:t>
      </w:r>
      <w:r w:rsidRPr="00E41644">
        <w:rPr>
          <w:i/>
        </w:rPr>
        <w:t>PI?</w:t>
      </w:r>
    </w:p>
    <w:p w14:paraId="7F4AA9A8" w14:textId="77777777" w:rsidR="00982719" w:rsidRDefault="00982719" w:rsidP="00EC5FD9">
      <w:r>
        <w:t xml:space="preserve">The ACM considered that therapeutic equivalence for </w:t>
      </w:r>
      <w:r w:rsidR="00334CAC">
        <w:t>Riximyo</w:t>
      </w:r>
      <w:r>
        <w:t xml:space="preserve"> can be concluded from the follicular lymphoma study, based on the ORR. The committee considered that the PFS data is early for an indolent lymphoma and because of this should have less weighting in the determination of equivalence. It was recommended that this study, including its PFS outcomes to date, should be included in the PI document with timeframes that allow prescriber interpretation of the data.</w:t>
      </w:r>
    </w:p>
    <w:p w14:paraId="7F4AA9A9" w14:textId="77777777" w:rsidR="00982719" w:rsidRPr="00E41644" w:rsidRDefault="00982719" w:rsidP="00EC5FD9">
      <w:pPr>
        <w:pStyle w:val="Numberbullet0"/>
        <w:rPr>
          <w:i/>
        </w:rPr>
      </w:pPr>
      <w:r w:rsidRPr="00E41644">
        <w:rPr>
          <w:i/>
        </w:rPr>
        <w:t xml:space="preserve">Regarding the switching </w:t>
      </w:r>
      <w:r w:rsidR="009B2FD7" w:rsidRPr="00E41644">
        <w:rPr>
          <w:i/>
        </w:rPr>
        <w:t>Study GP</w:t>
      </w:r>
      <w:r w:rsidRPr="00E41644">
        <w:rPr>
          <w:i/>
        </w:rPr>
        <w:t xml:space="preserve">13-302, what weight should be placed on the single event of serum sickness in a patient switched to </w:t>
      </w:r>
      <w:r w:rsidR="00334CAC" w:rsidRPr="00E41644">
        <w:rPr>
          <w:i/>
        </w:rPr>
        <w:t>Riximyo</w:t>
      </w:r>
      <w:r w:rsidRPr="00E41644">
        <w:rPr>
          <w:i/>
        </w:rPr>
        <w:t>? This AE is already listed in the proposed PI (Table 24), but should it be more</w:t>
      </w:r>
      <w:r w:rsidRPr="00E41644">
        <w:rPr>
          <w:i/>
          <w:spacing w:val="-8"/>
        </w:rPr>
        <w:t xml:space="preserve"> </w:t>
      </w:r>
      <w:r w:rsidRPr="00E41644">
        <w:rPr>
          <w:i/>
        </w:rPr>
        <w:t>prominent?</w:t>
      </w:r>
    </w:p>
    <w:p w14:paraId="7F4AA9AA" w14:textId="77777777" w:rsidR="00982719" w:rsidRDefault="00982719" w:rsidP="00EC5FD9">
      <w:r>
        <w:t>The ACM did not consider that emphasis should be placed on this single event which was noted t</w:t>
      </w:r>
      <w:r w:rsidR="00264E39">
        <w:t>o have resolved with care. The c</w:t>
      </w:r>
      <w:r>
        <w:t>ommittee did not believe that this adverse event should be highlighted more prominently than description under the adverse events section of the PI. With serum sickness described in the adverse events section of the PI, this will draw prescriber suspicion if it occurs in clinical practice. If the incidence increases, then this matter may be revisited in the future.</w:t>
      </w:r>
    </w:p>
    <w:p w14:paraId="7F4AA9AB" w14:textId="77777777" w:rsidR="00982719" w:rsidRPr="00264E39" w:rsidRDefault="00982719" w:rsidP="00EC5FD9">
      <w:pPr>
        <w:pStyle w:val="Numberbullet0"/>
        <w:rPr>
          <w:i/>
        </w:rPr>
      </w:pPr>
      <w:r w:rsidRPr="00264E39">
        <w:rPr>
          <w:i/>
        </w:rPr>
        <w:t xml:space="preserve">Considering physicochemical comparisons (including in vitro tests of biological function) and non-clinical and clinical studies, does the ACM consider </w:t>
      </w:r>
      <w:r w:rsidR="00334CAC" w:rsidRPr="00264E39">
        <w:rPr>
          <w:i/>
        </w:rPr>
        <w:t>Riximyo</w:t>
      </w:r>
      <w:r w:rsidRPr="00264E39">
        <w:rPr>
          <w:i/>
        </w:rPr>
        <w:t xml:space="preserve"> to be sufficiently comparable to MabThera to allow approval as a</w:t>
      </w:r>
      <w:r w:rsidRPr="00264E39">
        <w:rPr>
          <w:i/>
          <w:spacing w:val="-13"/>
        </w:rPr>
        <w:t xml:space="preserve"> </w:t>
      </w:r>
      <w:r w:rsidRPr="00264E39">
        <w:rPr>
          <w:i/>
        </w:rPr>
        <w:t>biosimilar?</w:t>
      </w:r>
    </w:p>
    <w:p w14:paraId="7F4AA9AC" w14:textId="77777777" w:rsidR="00982719" w:rsidRDefault="00982719" w:rsidP="00EC5FD9">
      <w:r>
        <w:t>The ACM considered that there is suffi</w:t>
      </w:r>
      <w:r w:rsidR="00264E39">
        <w:t>ci</w:t>
      </w:r>
      <w:r>
        <w:t xml:space="preserve">ent evidence to consider </w:t>
      </w:r>
      <w:r w:rsidR="00334CAC">
        <w:t>Riximyo</w:t>
      </w:r>
      <w:r>
        <w:t xml:space="preserve"> to be comparable to MabThera and to approve its registration as a as a biosimilar product.</w:t>
      </w:r>
    </w:p>
    <w:p w14:paraId="7F4AA9AD" w14:textId="77777777" w:rsidR="00982719" w:rsidRPr="00264E39" w:rsidRDefault="00982719" w:rsidP="00EC5FD9">
      <w:pPr>
        <w:pStyle w:val="Numberbullet0"/>
        <w:rPr>
          <w:i/>
        </w:rPr>
      </w:pPr>
      <w:r w:rsidRPr="00264E39">
        <w:rPr>
          <w:i/>
        </w:rPr>
        <w:t xml:space="preserve">Does the ACM have any concerns about extrapolation of indications beyond RA </w:t>
      </w:r>
      <w:r w:rsidRPr="00264E39">
        <w:rPr>
          <w:i/>
          <w:spacing w:val="-3"/>
        </w:rPr>
        <w:t>and</w:t>
      </w:r>
      <w:r w:rsidRPr="00264E39">
        <w:rPr>
          <w:i/>
          <w:spacing w:val="-7"/>
        </w:rPr>
        <w:t xml:space="preserve"> </w:t>
      </w:r>
      <w:r w:rsidRPr="00264E39">
        <w:rPr>
          <w:i/>
        </w:rPr>
        <w:t>FL?</w:t>
      </w:r>
    </w:p>
    <w:p w14:paraId="7F4AA9AE" w14:textId="10DD97B7" w:rsidR="00982719" w:rsidRDefault="00982719" w:rsidP="00EC5FD9">
      <w:r>
        <w:t>The ACM noted that this was the first submission in Australia to register a biosimilar where the extrapolation of therapeutic equivalence from a pivotal study crossed pathophysiological boundaries from malignancy to inflammatory arthritis to vasculitis</w:t>
      </w:r>
      <w:r w:rsidR="00264E39">
        <w:t xml:space="preserve"> </w:t>
      </w:r>
      <w:r>
        <w:t>(</w:t>
      </w:r>
      <w:r w:rsidR="008506AC">
        <w:t xml:space="preserve">granulomatosis </w:t>
      </w:r>
      <w:r>
        <w:t xml:space="preserve">with polyangiitis (Wegener’s) and </w:t>
      </w:r>
      <w:r w:rsidR="008506AC">
        <w:t>m</w:t>
      </w:r>
      <w:r>
        <w:t xml:space="preserve">icroscopic polyangiitis). In applying the previously used biosimilar framework principles, the committee considered that it was reasonable to extrapolate equivalence to include vasculitis in the indications for </w:t>
      </w:r>
      <w:r w:rsidR="00334CAC">
        <w:t>Riximyo</w:t>
      </w:r>
      <w:r>
        <w:t>.</w:t>
      </w:r>
    </w:p>
    <w:p w14:paraId="7F4AA9AF" w14:textId="77777777" w:rsidR="00982719" w:rsidRPr="00264E39" w:rsidRDefault="00982719" w:rsidP="00EC5FD9">
      <w:pPr>
        <w:pStyle w:val="Numberbullet0"/>
        <w:rPr>
          <w:i/>
        </w:rPr>
      </w:pPr>
      <w:r w:rsidRPr="00264E39">
        <w:rPr>
          <w:i/>
        </w:rPr>
        <w:t>Does the ACM have any comments about the proposed</w:t>
      </w:r>
      <w:r w:rsidRPr="00264E39">
        <w:rPr>
          <w:i/>
          <w:spacing w:val="-5"/>
        </w:rPr>
        <w:t xml:space="preserve"> </w:t>
      </w:r>
      <w:r w:rsidRPr="00264E39">
        <w:rPr>
          <w:i/>
        </w:rPr>
        <w:t>PI?</w:t>
      </w:r>
    </w:p>
    <w:p w14:paraId="7F4AA9B0" w14:textId="77777777" w:rsidR="00456765" w:rsidRPr="00A322B3" w:rsidRDefault="00982719" w:rsidP="00EC5FD9">
      <w:r>
        <w:t>The ACM agreed with the TGA requested changes to the PI and did not recommend additional changes.</w:t>
      </w:r>
    </w:p>
    <w:p w14:paraId="7F4AA9B1" w14:textId="77777777" w:rsidR="00982719" w:rsidRPr="00264E39" w:rsidRDefault="00982719" w:rsidP="00EC5FD9">
      <w:pPr>
        <w:pStyle w:val="Numberbullet0"/>
        <w:rPr>
          <w:i/>
        </w:rPr>
      </w:pPr>
      <w:r w:rsidRPr="00264E39">
        <w:rPr>
          <w:i/>
        </w:rPr>
        <w:t>The committee was also requested to provide advice on any other issues that it thinks may be relevant to a decision on whether or not to approve this application.</w:t>
      </w:r>
    </w:p>
    <w:p w14:paraId="7F4AA9B2" w14:textId="77777777" w:rsidR="00456765" w:rsidRPr="00A322B3" w:rsidRDefault="00982719" w:rsidP="00982719">
      <w:r>
        <w:t>The ACM advised that implementation by the sponsor of the recommendations outlined above to the satisfaction of the TGA, in addition to the evidence of efficacy and safety provided would support the safe and effective use of this product.</w:t>
      </w:r>
    </w:p>
    <w:p w14:paraId="7F4AA9B3" w14:textId="77777777" w:rsidR="008E7846" w:rsidRPr="002E238E" w:rsidRDefault="008E7846" w:rsidP="008E7846">
      <w:pPr>
        <w:pStyle w:val="Heading3"/>
      </w:pPr>
      <w:bookmarkStart w:id="126" w:name="_Toc247691532"/>
      <w:bookmarkStart w:id="127" w:name="_Toc314842516"/>
      <w:bookmarkStart w:id="128" w:name="_Toc524426294"/>
      <w:bookmarkEnd w:id="93"/>
      <w:bookmarkEnd w:id="118"/>
      <w:bookmarkEnd w:id="119"/>
      <w:r>
        <w:t>Outcome</w:t>
      </w:r>
      <w:bookmarkEnd w:id="126"/>
      <w:bookmarkEnd w:id="127"/>
      <w:bookmarkEnd w:id="128"/>
    </w:p>
    <w:p w14:paraId="7F4AA9B4" w14:textId="77777777" w:rsidR="00D23139" w:rsidRDefault="00D23139" w:rsidP="00D23139">
      <w:bookmarkStart w:id="129" w:name="_Toc247691533"/>
      <w:bookmarkStart w:id="130" w:name="_Toc314842517"/>
      <w:r w:rsidRPr="00D23139">
        <w:t xml:space="preserve">Based on a review of quality, safety and efficacy, TGA approved the registration of </w:t>
      </w:r>
      <w:r w:rsidR="00334CAC">
        <w:t>Riximyo</w:t>
      </w:r>
      <w:r w:rsidR="003A4220" w:rsidRPr="003A4220">
        <w:t xml:space="preserve"> rituximab (rch) 100</w:t>
      </w:r>
      <w:r w:rsidR="003A4220">
        <w:t xml:space="preserve"> </w:t>
      </w:r>
      <w:r w:rsidR="003A4220" w:rsidRPr="003A4220">
        <w:t>mg/10</w:t>
      </w:r>
      <w:r w:rsidR="003A4220">
        <w:t xml:space="preserve"> </w:t>
      </w:r>
      <w:r w:rsidR="003A4220" w:rsidRPr="003A4220">
        <w:t>mL concentrated injection vial</w:t>
      </w:r>
      <w:r w:rsidR="003A4220">
        <w:t xml:space="preserve"> and </w:t>
      </w:r>
      <w:r w:rsidR="00334CAC">
        <w:t>Riximyo</w:t>
      </w:r>
      <w:r w:rsidR="003A4220" w:rsidRPr="003A4220">
        <w:t xml:space="preserve"> rituximab (rch) 500</w:t>
      </w:r>
      <w:r w:rsidR="003A4220">
        <w:t xml:space="preserve"> </w:t>
      </w:r>
      <w:r w:rsidR="003A4220" w:rsidRPr="003A4220">
        <w:t>mg/50</w:t>
      </w:r>
      <w:r w:rsidR="003A4220">
        <w:t xml:space="preserve"> </w:t>
      </w:r>
      <w:r w:rsidR="003A4220" w:rsidRPr="003A4220">
        <w:t>mL concentrated injection vial</w:t>
      </w:r>
      <w:r w:rsidRPr="00D23139">
        <w:t>, indicated for:</w:t>
      </w:r>
    </w:p>
    <w:p w14:paraId="7F4AA9B5" w14:textId="77777777" w:rsidR="003B0FFE" w:rsidRPr="003B0FFE" w:rsidRDefault="003B0FFE" w:rsidP="003B0FFE">
      <w:pPr>
        <w:ind w:left="720"/>
        <w:rPr>
          <w:b/>
          <w:i/>
        </w:rPr>
      </w:pPr>
      <w:r w:rsidRPr="003B0FFE">
        <w:rPr>
          <w:b/>
          <w:i/>
        </w:rPr>
        <w:lastRenderedPageBreak/>
        <w:t>Non-Hodgkin’s Lymphoma (NHL)</w:t>
      </w:r>
    </w:p>
    <w:p w14:paraId="7F4AA9B6" w14:textId="77777777" w:rsidR="003B0FFE" w:rsidRPr="003B0FFE" w:rsidRDefault="003B0FFE" w:rsidP="003B0FFE">
      <w:pPr>
        <w:ind w:left="720"/>
        <w:rPr>
          <w:i/>
        </w:rPr>
      </w:pPr>
      <w:r w:rsidRPr="003B0FFE">
        <w:rPr>
          <w:i/>
        </w:rPr>
        <w:t>Riximyo (rituximab) is indicated for treatment of patients with:</w:t>
      </w:r>
    </w:p>
    <w:p w14:paraId="7F4AA9B7" w14:textId="77777777" w:rsidR="003B0FFE" w:rsidRPr="003B0FFE" w:rsidRDefault="003B0FFE" w:rsidP="003B0FFE">
      <w:pPr>
        <w:ind w:left="720"/>
        <w:rPr>
          <w:i/>
        </w:rPr>
      </w:pPr>
      <w:r w:rsidRPr="003B0FFE">
        <w:rPr>
          <w:i/>
        </w:rPr>
        <w:t>CD20 positive, previously untreated, Stage III/IV follicular, B-cell non-Hodgkin’s</w:t>
      </w:r>
      <w:r w:rsidRPr="003B0FFE">
        <w:rPr>
          <w:i/>
          <w:spacing w:val="-20"/>
        </w:rPr>
        <w:t xml:space="preserve"> </w:t>
      </w:r>
      <w:r w:rsidRPr="003B0FFE">
        <w:rPr>
          <w:i/>
        </w:rPr>
        <w:t>lymphoma,</w:t>
      </w:r>
    </w:p>
    <w:p w14:paraId="7F4AA9B8" w14:textId="77777777" w:rsidR="003B0FFE" w:rsidRPr="003B0FFE" w:rsidRDefault="003B0FFE" w:rsidP="003B0FFE">
      <w:pPr>
        <w:ind w:left="720"/>
        <w:rPr>
          <w:i/>
        </w:rPr>
      </w:pPr>
      <w:r w:rsidRPr="003B0FFE">
        <w:rPr>
          <w:i/>
        </w:rPr>
        <w:t>CD20 positive, relapsed or refractory low grade or follicular, B-cell non-Hodgkin's</w:t>
      </w:r>
      <w:r w:rsidRPr="003B0FFE">
        <w:rPr>
          <w:i/>
          <w:spacing w:val="-21"/>
        </w:rPr>
        <w:t xml:space="preserve"> </w:t>
      </w:r>
      <w:r w:rsidRPr="003B0FFE">
        <w:rPr>
          <w:i/>
        </w:rPr>
        <w:t>lymphoma,</w:t>
      </w:r>
    </w:p>
    <w:p w14:paraId="7F4AA9B9" w14:textId="77777777" w:rsidR="003B0FFE" w:rsidRPr="003B0FFE" w:rsidRDefault="003B0FFE" w:rsidP="003B0FFE">
      <w:pPr>
        <w:ind w:left="720"/>
        <w:rPr>
          <w:i/>
        </w:rPr>
      </w:pPr>
      <w:proofErr w:type="gramStart"/>
      <w:r w:rsidRPr="003B0FFE">
        <w:rPr>
          <w:i/>
        </w:rPr>
        <w:t>CD20 positive, diffuse large B-cell non-Hodgkin’s lymphoma, in combination with chemotherapy.</w:t>
      </w:r>
      <w:proofErr w:type="gramEnd"/>
    </w:p>
    <w:p w14:paraId="7F4AA9BA" w14:textId="77777777" w:rsidR="003B0FFE" w:rsidRPr="003B0FFE" w:rsidRDefault="003B0FFE" w:rsidP="003B0FFE">
      <w:pPr>
        <w:ind w:left="720"/>
        <w:rPr>
          <w:b/>
          <w:i/>
        </w:rPr>
      </w:pPr>
      <w:r w:rsidRPr="003B0FFE">
        <w:rPr>
          <w:b/>
          <w:i/>
        </w:rPr>
        <w:t>Chronic Lymphocytic Leukaemia (CLL)</w:t>
      </w:r>
    </w:p>
    <w:p w14:paraId="7F4AA9BB" w14:textId="77777777" w:rsidR="003B0FFE" w:rsidRPr="003B0FFE" w:rsidRDefault="003B0FFE" w:rsidP="003B0FFE">
      <w:pPr>
        <w:ind w:left="720"/>
        <w:rPr>
          <w:i/>
        </w:rPr>
      </w:pPr>
      <w:r w:rsidRPr="003B0FFE">
        <w:rPr>
          <w:i/>
        </w:rPr>
        <w:t>Riximyo (rituximab) is indicated for the treatment of patients with CD20 positive chronic lymphocytic leukaemia in combination with chemotherapy.</w:t>
      </w:r>
    </w:p>
    <w:p w14:paraId="7F4AA9BC" w14:textId="77777777" w:rsidR="003B0FFE" w:rsidRPr="003B0FFE" w:rsidRDefault="003B0FFE" w:rsidP="003B0FFE">
      <w:pPr>
        <w:ind w:left="720"/>
        <w:rPr>
          <w:b/>
          <w:i/>
        </w:rPr>
      </w:pPr>
      <w:r w:rsidRPr="003B0FFE">
        <w:rPr>
          <w:b/>
          <w:i/>
        </w:rPr>
        <w:t>Rheumatoid Arthritis (RA)</w:t>
      </w:r>
    </w:p>
    <w:p w14:paraId="7F4AA9BD" w14:textId="77777777" w:rsidR="003B0FFE" w:rsidRPr="003B0FFE" w:rsidRDefault="003B0FFE" w:rsidP="003B0FFE">
      <w:pPr>
        <w:ind w:left="720"/>
        <w:rPr>
          <w:i/>
        </w:rPr>
      </w:pPr>
      <w:r w:rsidRPr="003B0FFE">
        <w:rPr>
          <w:i/>
        </w:rPr>
        <w:t>Riximyo (rituximab) in combination with methotrexate is indicated for the treatment of adult patients with severe, active rheumatoid arthritis who have had an inadequate response or intolerance to at least one tumour necrosis factor (TNF) inhibitor therapy.</w:t>
      </w:r>
    </w:p>
    <w:p w14:paraId="7F4AA9BE" w14:textId="77777777" w:rsidR="003B0FFE" w:rsidRPr="003B0FFE" w:rsidRDefault="003B0FFE" w:rsidP="003B0FFE">
      <w:pPr>
        <w:ind w:left="720"/>
        <w:rPr>
          <w:i/>
        </w:rPr>
      </w:pPr>
      <w:r w:rsidRPr="003B0FFE">
        <w:rPr>
          <w:i/>
        </w:rPr>
        <w:t>Rituximab has been shown to reduce the rate of progression of joint damage as measured by x- ray when given in combination with methotrexate.</w:t>
      </w:r>
    </w:p>
    <w:p w14:paraId="525C60EA" w14:textId="77777777" w:rsidR="00EA1DF3" w:rsidRDefault="003B0FFE" w:rsidP="003B0FFE">
      <w:pPr>
        <w:ind w:left="720"/>
        <w:rPr>
          <w:i/>
        </w:rPr>
      </w:pPr>
      <w:r w:rsidRPr="00264E39">
        <w:rPr>
          <w:b/>
          <w:i/>
        </w:rPr>
        <w:t>Granulomatosis with polyangiitis (Wegener’s) (GPA) and Microscopic polyangiitis (MPA)</w:t>
      </w:r>
    </w:p>
    <w:p w14:paraId="7F4AA9C0" w14:textId="0F5F340C" w:rsidR="003B0FFE" w:rsidRDefault="003B0FFE" w:rsidP="003B0FFE">
      <w:pPr>
        <w:ind w:left="720"/>
      </w:pPr>
      <w:proofErr w:type="spellStart"/>
      <w:r w:rsidRPr="003B0FFE">
        <w:rPr>
          <w:i/>
        </w:rPr>
        <w:t>Riximyo</w:t>
      </w:r>
      <w:proofErr w:type="spellEnd"/>
      <w:r w:rsidRPr="003B0FFE">
        <w:rPr>
          <w:i/>
        </w:rPr>
        <w:t xml:space="preserve"> (rituximab) in combination with glucocorticoids is indicated for the induction of remission in patients with severely active Granulomatosis with polyangiitis (GPA, also known as</w:t>
      </w:r>
      <w:r>
        <w:rPr>
          <w:i/>
        </w:rPr>
        <w:t xml:space="preserve"> </w:t>
      </w:r>
      <w:r w:rsidRPr="003B0FFE">
        <w:rPr>
          <w:i/>
        </w:rPr>
        <w:t>Wegener’s granulomatosis) and Microscopic polyangiitis (MPA). The efficacy and safety of retreatment with rituximab have not been established.</w:t>
      </w:r>
    </w:p>
    <w:p w14:paraId="7F4AA9C1" w14:textId="77777777" w:rsidR="00D23139" w:rsidRDefault="00D23139" w:rsidP="001F0CBC">
      <w:pPr>
        <w:pStyle w:val="Heading4"/>
      </w:pPr>
      <w:r w:rsidRPr="00D23139">
        <w:t>Specific conditions of registration applying to these goods</w:t>
      </w:r>
    </w:p>
    <w:p w14:paraId="7F4AA9C2" w14:textId="77777777" w:rsidR="001F0CBC" w:rsidRDefault="001F0CBC" w:rsidP="001F0CBC">
      <w:pPr>
        <w:pStyle w:val="Numberbullet0"/>
        <w:numPr>
          <w:ilvl w:val="0"/>
          <w:numId w:val="42"/>
        </w:numPr>
      </w:pPr>
      <w:r>
        <w:t xml:space="preserve">Implement EU-RMP (version 1.4, date 17 March 2017, </w:t>
      </w:r>
      <w:proofErr w:type="gramStart"/>
      <w:r w:rsidR="00E808E8">
        <w:t>data</w:t>
      </w:r>
      <w:proofErr w:type="gramEnd"/>
      <w:r>
        <w:t xml:space="preserve"> lock point 17 March 2017) with Australian Specific Annex (version 1.1, date 24 June 2017) and any future updates as a condition of registration. Specifically, the ASA must be revised to include the approved educational materials, which the sponsor has committed to providing to the TGA for review prior to marketing the product.</w:t>
      </w:r>
    </w:p>
    <w:p w14:paraId="1403CC2A" w14:textId="77777777" w:rsidR="00EA1DF3" w:rsidRDefault="001F0CBC" w:rsidP="001F0CBC">
      <w:pPr>
        <w:pStyle w:val="Numberbullet0"/>
      </w:pPr>
      <w:r>
        <w:t>Batch Release Testing &amp; Compliance with Certified Product Details (CPD)</w:t>
      </w:r>
    </w:p>
    <w:p w14:paraId="7F4AA9C4" w14:textId="3CFEBF75" w:rsidR="001F0CBC" w:rsidRDefault="001F0CBC" w:rsidP="001F0CBC">
      <w:pPr>
        <w:pStyle w:val="Numberbullet2"/>
      </w:pPr>
      <w:r>
        <w:t xml:space="preserve">It is a condition of registration that all batches of </w:t>
      </w:r>
      <w:r w:rsidR="00334CAC">
        <w:t>Riximyo</w:t>
      </w:r>
      <w:r>
        <w:t xml:space="preserve"> rituximab (rch) imported into/manufactured in Australia must comply with the product details and specifications approved during evaluation and detailed in the Certified Product Details (CPD).</w:t>
      </w:r>
    </w:p>
    <w:p w14:paraId="7F4AA9C5" w14:textId="77777777" w:rsidR="001F0CBC" w:rsidRPr="001F0CBC" w:rsidRDefault="001F0CBC" w:rsidP="001F0CBC">
      <w:pPr>
        <w:pStyle w:val="Numberbullet2"/>
      </w:pPr>
      <w:r>
        <w:t xml:space="preserve">It is a condition of registration that each batch of </w:t>
      </w:r>
      <w:r w:rsidR="00334CAC">
        <w:t>Riximyo</w:t>
      </w:r>
      <w:r>
        <w:t xml:space="preserve"> rituximab (rch) imported into/manufactured in Australia is not released for sale until samples and/or the manufacturer’s release data have been assessed and endorsed for release by the TGA Laboratories Branch.</w:t>
      </w:r>
    </w:p>
    <w:p w14:paraId="7F4AA9C6" w14:textId="77777777" w:rsidR="008E7846" w:rsidRDefault="00A80B5B" w:rsidP="00D23139">
      <w:pPr>
        <w:pStyle w:val="Heading2"/>
      </w:pPr>
      <w:bookmarkStart w:id="131" w:name="_Toc524426295"/>
      <w:proofErr w:type="gramStart"/>
      <w:r>
        <w:lastRenderedPageBreak/>
        <w:t>Attachment 1.</w:t>
      </w:r>
      <w:proofErr w:type="gramEnd"/>
      <w:r>
        <w:t xml:space="preserve"> </w:t>
      </w:r>
      <w:r w:rsidR="008E7846">
        <w:t xml:space="preserve">Product </w:t>
      </w:r>
      <w:r w:rsidR="00AA0ED0">
        <w:t>I</w:t>
      </w:r>
      <w:r w:rsidR="008E7846">
        <w:t>nformation</w:t>
      </w:r>
      <w:bookmarkEnd w:id="129"/>
      <w:bookmarkEnd w:id="130"/>
      <w:bookmarkEnd w:id="131"/>
    </w:p>
    <w:p w14:paraId="3949A431" w14:textId="77777777" w:rsidR="00EA1DF3" w:rsidRDefault="006136D7" w:rsidP="00C80137">
      <w:r w:rsidRPr="002B3624">
        <w:t xml:space="preserve">The </w:t>
      </w:r>
      <w:r>
        <w:t>PI</w:t>
      </w:r>
      <w:r w:rsidRPr="002B3624">
        <w:t xml:space="preserve"> for </w:t>
      </w:r>
      <w:r w:rsidR="00334CAC">
        <w:t>Riximyo</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7C6B9B" w:rsidRPr="007C6B9B">
        <w:t>&gt;</w:t>
      </w:r>
      <w:r w:rsidR="00EA1DF3">
        <w:t>.</w:t>
      </w:r>
    </w:p>
    <w:p w14:paraId="7F4AA9C8" w14:textId="4EB60E26" w:rsidR="00C80137" w:rsidRDefault="00C80137" w:rsidP="00C80137">
      <w:pPr>
        <w:pStyle w:val="Heading2"/>
        <w:rPr>
          <w:lang w:eastAsia="en-AU"/>
        </w:rPr>
      </w:pPr>
      <w:bookmarkStart w:id="132" w:name="_Toc524426296"/>
      <w:proofErr w:type="gramStart"/>
      <w:r>
        <w:rPr>
          <w:lang w:eastAsia="en-AU"/>
        </w:rPr>
        <w:t>Attachment 2.</w:t>
      </w:r>
      <w:proofErr w:type="gramEnd"/>
      <w:r w:rsidR="00A80B5B">
        <w:rPr>
          <w:lang w:eastAsia="en-AU"/>
        </w:rPr>
        <w:t xml:space="preserve"> </w:t>
      </w:r>
      <w:r>
        <w:rPr>
          <w:lang w:eastAsia="en-AU"/>
        </w:rPr>
        <w:t>Extract from the Clinical Evaluation Report</w:t>
      </w:r>
      <w:bookmarkEnd w:id="132"/>
    </w:p>
    <w:p w14:paraId="7F4AA9C9" w14:textId="77777777" w:rsidR="00B41C85" w:rsidRDefault="008E7846" w:rsidP="002B21DD">
      <w:pPr>
        <w:autoSpaceDE w:val="0"/>
        <w:autoSpaceDN w:val="0"/>
        <w:adjustRightInd w:val="0"/>
        <w:spacing w:after="0"/>
        <w:rPr>
          <w:lang w:eastAsia="ja-JP"/>
        </w:rPr>
      </w:pPr>
      <w:r w:rsidRPr="00C80137">
        <w:rPr>
          <w:b/>
        </w:rPr>
        <w:br w:type="page"/>
      </w:r>
    </w:p>
    <w:p w14:paraId="7F4AA9CA"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F4AA9CC" w14:textId="77777777" w:rsidTr="00A05FA4">
        <w:trPr>
          <w:trHeight w:hRule="exact" w:val="704"/>
        </w:trPr>
        <w:tc>
          <w:tcPr>
            <w:tcW w:w="9175" w:type="dxa"/>
          </w:tcPr>
          <w:p w14:paraId="7F4AA9CB" w14:textId="77777777" w:rsidR="001C32CD" w:rsidRPr="00487162" w:rsidRDefault="001C32CD" w:rsidP="00A05FA4">
            <w:pPr>
              <w:pStyle w:val="TGASignoff"/>
            </w:pPr>
            <w:r w:rsidRPr="00487162">
              <w:lastRenderedPageBreak/>
              <w:t>Therapeutic Goods Administration</w:t>
            </w:r>
          </w:p>
        </w:tc>
      </w:tr>
      <w:tr w:rsidR="001C32CD" w:rsidRPr="004C239D" w14:paraId="7F4AA9D0" w14:textId="77777777" w:rsidTr="00A05FA4">
        <w:trPr>
          <w:trHeight w:val="1221"/>
        </w:trPr>
        <w:tc>
          <w:tcPr>
            <w:tcW w:w="9175" w:type="dxa"/>
            <w:tcMar>
              <w:top w:w="28" w:type="dxa"/>
            </w:tcMar>
          </w:tcPr>
          <w:p w14:paraId="7F4AA9CD" w14:textId="77777777" w:rsidR="001C32CD" w:rsidRPr="00487162" w:rsidRDefault="001C32CD" w:rsidP="00A05FA4">
            <w:pPr>
              <w:pStyle w:val="Address"/>
            </w:pPr>
            <w:r w:rsidRPr="00487162">
              <w:t>PO Box 100 Woden ACT 2606 Australia</w:t>
            </w:r>
          </w:p>
          <w:p w14:paraId="7F4AA9CE"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000B3A10">
              <w:t xml:space="preserve"> </w:t>
            </w:r>
            <w:r w:rsidRPr="00487162">
              <w:t>Phone: 1800 020 653</w:t>
            </w:r>
            <w:r w:rsidR="000B3A10">
              <w:t xml:space="preserve"> </w:t>
            </w:r>
            <w:r w:rsidRPr="00487162">
              <w:t>Fax: 02 6232 8605</w:t>
            </w:r>
          </w:p>
          <w:p w14:paraId="7F4AA9CF" w14:textId="77777777" w:rsidR="001C32CD" w:rsidRPr="004C239D" w:rsidRDefault="00EA1DF3"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7F4AA9D1"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B4543A" w15:done="0"/>
  <w15:commentEx w15:paraId="6B4E6AB3" w15:done="0"/>
  <w15:commentEx w15:paraId="52A1B46F" w15:done="0"/>
  <w15:commentEx w15:paraId="79ED5462" w15:done="0"/>
  <w15:commentEx w15:paraId="48DAF3FD" w15:done="0"/>
  <w15:commentEx w15:paraId="2302C94D" w15:done="0"/>
  <w15:commentEx w15:paraId="5C2B1367" w15:done="0"/>
  <w15:commentEx w15:paraId="57D5FD4C" w15:done="0"/>
  <w15:commentEx w15:paraId="6E1EA464" w15:done="0"/>
  <w15:commentEx w15:paraId="4E9F282F" w15:done="0"/>
  <w15:commentEx w15:paraId="25BAC282" w15:done="0"/>
  <w15:commentEx w15:paraId="3D9B912E" w15:done="0"/>
  <w15:commentEx w15:paraId="6BF7CD1E" w15:done="0"/>
  <w15:commentEx w15:paraId="6DDA3AF7" w15:done="0"/>
  <w15:commentEx w15:paraId="684AE269" w15:done="0"/>
  <w15:commentEx w15:paraId="15EE67FD" w15:done="0"/>
  <w15:commentEx w15:paraId="574282BC" w15:done="0"/>
  <w15:commentEx w15:paraId="4C157A6B" w15:done="0"/>
  <w15:commentEx w15:paraId="7F5F26B6" w15:done="0"/>
  <w15:commentEx w15:paraId="774B8056" w15:done="0"/>
  <w15:commentEx w15:paraId="49F4A644" w15:done="0"/>
  <w15:commentEx w15:paraId="626BE854" w15:done="0"/>
  <w15:commentEx w15:paraId="758F7584" w15:done="0"/>
  <w15:commentEx w15:paraId="068EB908" w15:done="0"/>
  <w15:commentEx w15:paraId="5094F066" w15:done="0"/>
  <w15:commentEx w15:paraId="1166F730" w15:done="0"/>
  <w15:commentEx w15:paraId="066AA7BF" w15:done="0"/>
  <w15:commentEx w15:paraId="56DE1FD5" w15:done="0"/>
  <w15:commentEx w15:paraId="6F4C0053" w15:done="0"/>
  <w15:commentEx w15:paraId="04BDD8BA" w15:done="0"/>
  <w15:commentEx w15:paraId="2ADE744C" w15:done="0"/>
  <w15:commentEx w15:paraId="10C459D2" w15:done="0"/>
  <w15:commentEx w15:paraId="249F26A3" w15:done="0"/>
  <w15:commentEx w15:paraId="1CC49224" w15:done="0"/>
  <w15:commentEx w15:paraId="2A6085BD" w15:done="0"/>
  <w15:commentEx w15:paraId="7854B579" w15:done="0"/>
  <w15:commentEx w15:paraId="3A8A5DDA" w15:done="0"/>
  <w15:commentEx w15:paraId="27C481B5" w15:done="0"/>
  <w15:commentEx w15:paraId="737BE362" w15:done="0"/>
  <w15:commentEx w15:paraId="02947606" w15:done="0"/>
  <w15:commentEx w15:paraId="722670DF" w15:done="0"/>
  <w15:commentEx w15:paraId="50ECA6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C7124" w14:textId="77777777" w:rsidR="00EA1DF3" w:rsidRDefault="00EA1DF3" w:rsidP="00C40A36">
      <w:pPr>
        <w:spacing w:after="0"/>
      </w:pPr>
      <w:r>
        <w:separator/>
      </w:r>
    </w:p>
  </w:endnote>
  <w:endnote w:type="continuationSeparator" w:id="0">
    <w:p w14:paraId="375A2292" w14:textId="77777777" w:rsidR="00EA1DF3" w:rsidRDefault="00EA1DF3" w:rsidP="00C40A36">
      <w:pPr>
        <w:spacing w:after="0"/>
      </w:pPr>
      <w:r>
        <w:continuationSeparator/>
      </w:r>
    </w:p>
  </w:endnote>
  <w:endnote w:type="continuationNotice" w:id="1">
    <w:p w14:paraId="7E550140" w14:textId="77777777" w:rsidR="00EA1DF3" w:rsidRDefault="00EA1D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81" w:usb1="08070000" w:usb2="00000010" w:usb3="00000000" w:csb0="00020008"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A1DF3" w:rsidRPr="00487162" w14:paraId="7F4AA9E9" w14:textId="77777777" w:rsidTr="00DB750B">
      <w:trPr>
        <w:trHeight w:val="269"/>
      </w:trPr>
      <w:tc>
        <w:tcPr>
          <w:tcW w:w="7371" w:type="dxa"/>
          <w:tcMar>
            <w:top w:w="142" w:type="dxa"/>
            <w:bottom w:w="0" w:type="dxa"/>
          </w:tcMar>
        </w:tcPr>
        <w:p w14:paraId="7F4AA9E7" w14:textId="4181D0D1" w:rsidR="00EA1DF3" w:rsidRPr="00487162" w:rsidRDefault="00EA1DF3" w:rsidP="00F50530">
          <w:pPr>
            <w:pStyle w:val="Footer"/>
          </w:pPr>
          <w:r w:rsidRPr="00487162">
            <w:t>AusPA</w:t>
          </w:r>
          <w:r>
            <w:t xml:space="preserve">R Riximyo rituximab </w:t>
          </w:r>
          <w:r w:rsidRPr="00803944">
            <w:t>Sandoz Pty Ltd</w:t>
          </w:r>
          <w:r>
            <w:t xml:space="preserve"> PM-2016</w:t>
          </w:r>
          <w:r w:rsidRPr="00487162">
            <w:t>-</w:t>
          </w:r>
          <w:r>
            <w:t>03153-1-4</w:t>
          </w:r>
          <w:r>
            <w:br/>
            <w:t>Final 23 August 2018</w:t>
          </w:r>
        </w:p>
      </w:tc>
      <w:tc>
        <w:tcPr>
          <w:tcW w:w="1490" w:type="dxa"/>
          <w:tcMar>
            <w:top w:w="142" w:type="dxa"/>
            <w:bottom w:w="0" w:type="dxa"/>
          </w:tcMar>
        </w:tcPr>
        <w:p w14:paraId="7F4AA9E8" w14:textId="7AF0B364" w:rsidR="00EA1DF3" w:rsidRPr="00487162" w:rsidRDefault="00EA1DF3" w:rsidP="00DB750B">
          <w:pPr>
            <w:pStyle w:val="Footer"/>
            <w:jc w:val="right"/>
          </w:pPr>
          <w:r w:rsidRPr="00487162">
            <w:t xml:space="preserve">Page </w:t>
          </w:r>
          <w:r>
            <w:fldChar w:fldCharType="begin"/>
          </w:r>
          <w:r>
            <w:instrText xml:space="preserve"> PAGE  \* Arabic </w:instrText>
          </w:r>
          <w:r>
            <w:fldChar w:fldCharType="separate"/>
          </w:r>
          <w:r w:rsidR="00EA516A">
            <w:rPr>
              <w:noProof/>
            </w:rPr>
            <w:t>3</w:t>
          </w:r>
          <w:r>
            <w:fldChar w:fldCharType="end"/>
          </w:r>
          <w:r w:rsidRPr="00487162">
            <w:t xml:space="preserve"> of </w:t>
          </w:r>
          <w:r>
            <w:fldChar w:fldCharType="begin"/>
          </w:r>
          <w:r>
            <w:instrText xml:space="preserve"> NUMPAGES  \* Arabic </w:instrText>
          </w:r>
          <w:r>
            <w:fldChar w:fldCharType="separate"/>
          </w:r>
          <w:r w:rsidR="00EA516A">
            <w:rPr>
              <w:noProof/>
            </w:rPr>
            <w:t>70</w:t>
          </w:r>
          <w:r>
            <w:rPr>
              <w:noProof/>
            </w:rPr>
            <w:fldChar w:fldCharType="end"/>
          </w:r>
        </w:p>
      </w:tc>
    </w:tr>
  </w:tbl>
  <w:p w14:paraId="7F4AA9EA" w14:textId="77777777" w:rsidR="00EA1DF3" w:rsidRDefault="00EA1DF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A1DF3" w:rsidRPr="00487162" w14:paraId="7F4AA9F3" w14:textId="77777777" w:rsidTr="00E45619">
      <w:trPr>
        <w:trHeight w:val="269"/>
      </w:trPr>
      <w:tc>
        <w:tcPr>
          <w:tcW w:w="4519" w:type="dxa"/>
          <w:tcBorders>
            <w:top w:val="single" w:sz="4" w:space="0" w:color="auto"/>
          </w:tcBorders>
          <w:tcMar>
            <w:top w:w="142" w:type="dxa"/>
            <w:bottom w:w="0" w:type="dxa"/>
          </w:tcMar>
        </w:tcPr>
        <w:p w14:paraId="7F4AA9F0" w14:textId="77777777" w:rsidR="00EA1DF3" w:rsidRPr="00487162" w:rsidRDefault="00EA1DF3" w:rsidP="00FE1DEE">
          <w:pPr>
            <w:pStyle w:val="Footer"/>
          </w:pPr>
          <w:r w:rsidRPr="00487162">
            <w:t>Document title, Part #, Section # - Section title</w:t>
          </w:r>
        </w:p>
        <w:p w14:paraId="7F4AA9F1" w14:textId="77777777" w:rsidR="00EA1DF3" w:rsidRPr="00487162" w:rsidRDefault="00EA1DF3" w:rsidP="00FE1DEE">
          <w:pPr>
            <w:pStyle w:val="Footer"/>
          </w:pPr>
          <w:r w:rsidRPr="00487162">
            <w:t>V1.0 October 2010</w:t>
          </w:r>
        </w:p>
      </w:tc>
      <w:tc>
        <w:tcPr>
          <w:tcW w:w="4342" w:type="dxa"/>
          <w:tcBorders>
            <w:top w:val="single" w:sz="4" w:space="0" w:color="auto"/>
          </w:tcBorders>
          <w:tcMar>
            <w:top w:w="142" w:type="dxa"/>
            <w:bottom w:w="0" w:type="dxa"/>
          </w:tcMar>
        </w:tcPr>
        <w:p w14:paraId="7F4AA9F2" w14:textId="77777777" w:rsidR="00EA1DF3" w:rsidRPr="00487162" w:rsidRDefault="00EA1DF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7F4AA9F4" w14:textId="77777777" w:rsidR="00EA1DF3" w:rsidRDefault="00EA1D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F7" w14:textId="77777777" w:rsidR="00EA1DF3" w:rsidRPr="001C32CD" w:rsidRDefault="00EA1DF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A1DF3" w14:paraId="7F4AAA05" w14:textId="77777777" w:rsidTr="0010601F">
      <w:trPr>
        <w:trHeight w:val="108"/>
      </w:trPr>
      <w:tc>
        <w:tcPr>
          <w:tcW w:w="8875" w:type="dxa"/>
          <w:gridSpan w:val="2"/>
          <w:tcBorders>
            <w:bottom w:val="single" w:sz="4" w:space="0" w:color="auto"/>
          </w:tcBorders>
          <w:tcMar>
            <w:right w:w="284" w:type="dxa"/>
          </w:tcMar>
        </w:tcPr>
        <w:p w14:paraId="7F4AA9FA" w14:textId="77777777" w:rsidR="00EA1DF3" w:rsidRDefault="00EA1DF3" w:rsidP="006E08B3">
          <w:pPr>
            <w:pStyle w:val="Heading3"/>
          </w:pPr>
          <w:r>
            <w:t>Copyright</w:t>
          </w:r>
        </w:p>
        <w:p w14:paraId="7F4AA9FB" w14:textId="77777777" w:rsidR="00EA1DF3" w:rsidRDefault="00EA1DF3" w:rsidP="006E08B3">
          <w:r>
            <w:rPr>
              <w:rFonts w:cs="Arial"/>
            </w:rPr>
            <w:t>©</w:t>
          </w:r>
          <w:r>
            <w:t xml:space="preserve"> Commonwealth of Australia [add year]</w:t>
          </w:r>
        </w:p>
        <w:p w14:paraId="7F4AA9FC" w14:textId="77777777" w:rsidR="00EA1DF3" w:rsidRDefault="00EA1DF3" w:rsidP="006E08B3"/>
        <w:p w14:paraId="7F4AA9FD" w14:textId="77777777" w:rsidR="00EA1DF3" w:rsidRDefault="00EA1D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F4AA9FE" w14:textId="77777777" w:rsidR="00EA1DF3" w:rsidRDefault="00EA1DF3" w:rsidP="006E08B3"/>
        <w:p w14:paraId="7F4AA9FF" w14:textId="77777777" w:rsidR="00EA1DF3" w:rsidRDefault="00EA1DF3" w:rsidP="006E08B3">
          <w:pPr>
            <w:pStyle w:val="Heading3"/>
          </w:pPr>
          <w:r>
            <w:t>Confidentiality</w:t>
          </w:r>
        </w:p>
        <w:p w14:paraId="7F4AAA00" w14:textId="77777777" w:rsidR="00EA1DF3" w:rsidRDefault="00EA1D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F4AAA01" w14:textId="77777777" w:rsidR="00EA1DF3" w:rsidRDefault="00EA1DF3" w:rsidP="006E08B3"/>
        <w:p w14:paraId="7F4AAA02" w14:textId="77777777" w:rsidR="00EA1DF3" w:rsidRDefault="00EA1DF3" w:rsidP="006E08B3">
          <w:r>
            <w:t>For submission made by individuals, all personal details, other than your name, will be removed from your submission before it is published on the TGA’s Internet site.</w:t>
          </w:r>
        </w:p>
        <w:p w14:paraId="7F4AAA03" w14:textId="77777777" w:rsidR="00EA1DF3" w:rsidRDefault="00EA1DF3" w:rsidP="006E08B3"/>
        <w:p w14:paraId="7F4AAA04" w14:textId="77777777" w:rsidR="00EA1DF3" w:rsidRDefault="00EA1DF3" w:rsidP="006E08B3">
          <w:r>
            <w:t>In addition, a list of parties making submissions will be published. If you do not wish to be identified with your submission you must specifically request this in the space provided ib the submission coversheet.</w:t>
          </w:r>
        </w:p>
      </w:tc>
    </w:tr>
    <w:tr w:rsidR="00EA1DF3" w14:paraId="7F4AAA09" w14:textId="77777777" w:rsidTr="0010601F">
      <w:trPr>
        <w:trHeight w:val="417"/>
      </w:trPr>
      <w:tc>
        <w:tcPr>
          <w:tcW w:w="4519" w:type="dxa"/>
          <w:tcBorders>
            <w:top w:val="single" w:sz="4" w:space="0" w:color="auto"/>
          </w:tcBorders>
          <w:tcMar>
            <w:top w:w="142" w:type="dxa"/>
            <w:bottom w:w="0" w:type="dxa"/>
          </w:tcMar>
        </w:tcPr>
        <w:p w14:paraId="7F4AAA06" w14:textId="77777777" w:rsidR="00EA1DF3" w:rsidRDefault="00EA1DF3" w:rsidP="006E08B3">
          <w:r>
            <w:t>Document title, Part #, Section # - Section title</w:t>
          </w:r>
        </w:p>
        <w:p w14:paraId="7F4AAA07" w14:textId="77777777" w:rsidR="00EA1DF3" w:rsidRDefault="00EA1DF3" w:rsidP="006E08B3">
          <w:r>
            <w:t>V1.0 October 2010</w:t>
          </w:r>
        </w:p>
      </w:tc>
      <w:tc>
        <w:tcPr>
          <w:tcW w:w="4356" w:type="dxa"/>
          <w:tcBorders>
            <w:top w:val="single" w:sz="4" w:space="0" w:color="auto"/>
          </w:tcBorders>
          <w:tcMar>
            <w:top w:w="142" w:type="dxa"/>
            <w:bottom w:w="0" w:type="dxa"/>
          </w:tcMar>
        </w:tcPr>
        <w:p w14:paraId="7F4AAA08" w14:textId="77777777" w:rsidR="00EA1DF3" w:rsidRDefault="00EA1DF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7F4AAA0A" w14:textId="77777777" w:rsidR="00EA1DF3" w:rsidRDefault="00EA1D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813B8" w14:textId="77777777" w:rsidR="00EA1DF3" w:rsidRDefault="00EA1DF3" w:rsidP="00C40A36">
      <w:pPr>
        <w:spacing w:after="0"/>
      </w:pPr>
      <w:r>
        <w:separator/>
      </w:r>
    </w:p>
  </w:footnote>
  <w:footnote w:type="continuationSeparator" w:id="0">
    <w:p w14:paraId="014A1FA1" w14:textId="77777777" w:rsidR="00EA1DF3" w:rsidRDefault="00EA1DF3" w:rsidP="00C40A36">
      <w:pPr>
        <w:spacing w:after="0"/>
      </w:pPr>
      <w:r>
        <w:continuationSeparator/>
      </w:r>
    </w:p>
  </w:footnote>
  <w:footnote w:type="continuationNotice" w:id="1">
    <w:p w14:paraId="493C72F5" w14:textId="77777777" w:rsidR="00EA1DF3" w:rsidRDefault="00EA1DF3">
      <w:pPr>
        <w:spacing w:before="0" w:after="0" w:line="240" w:lineRule="auto"/>
      </w:pPr>
    </w:p>
  </w:footnote>
  <w:footnote w:id="2">
    <w:p w14:paraId="7F4AAA0F" w14:textId="26D3F9A9" w:rsidR="00EA1DF3" w:rsidRPr="008D4CCE" w:rsidRDefault="00EA1DF3" w:rsidP="00EA1DF3">
      <w:pPr>
        <w:pStyle w:val="FootnoteText"/>
      </w:pPr>
      <w:r>
        <w:rPr>
          <w:rStyle w:val="FootnoteReference"/>
        </w:rPr>
        <w:footnoteRef/>
      </w:r>
      <w:r>
        <w:t xml:space="preserve"> Jaglowski SM, Alinari L, Lapalombella R, Muthusamy N, Byrd JC.</w:t>
      </w:r>
      <w:r w:rsidRPr="008D4CCE">
        <w:t xml:space="preserve"> </w:t>
      </w:r>
      <w:proofErr w:type="gramStart"/>
      <w:r>
        <w:t>The clinical application of monoclonal antibodies in chronic lymphocytic leukemia.</w:t>
      </w:r>
      <w:proofErr w:type="gramEnd"/>
      <w:r>
        <w:t xml:space="preserve"> </w:t>
      </w:r>
      <w:proofErr w:type="gramStart"/>
      <w:r>
        <w:t>Blood.</w:t>
      </w:r>
      <w:proofErr w:type="gramEnd"/>
      <w:r>
        <w:t xml:space="preserve"> 2010 Nov 11</w:t>
      </w:r>
      <w:proofErr w:type="gramStart"/>
      <w:r>
        <w:t>;116</w:t>
      </w:r>
      <w:proofErr w:type="gramEnd"/>
      <w:r>
        <w:t>(19):3705-14.</w:t>
      </w:r>
    </w:p>
  </w:footnote>
  <w:footnote w:id="3">
    <w:p w14:paraId="7F4AAA10" w14:textId="77777777" w:rsidR="00EA1DF3" w:rsidRPr="000C6DC6" w:rsidDel="008C2C19" w:rsidRDefault="00EA1DF3" w:rsidP="000C6DC6">
      <w:pPr>
        <w:pStyle w:val="FootnoteText"/>
        <w:rPr>
          <w:lang w:val="en-US"/>
        </w:rPr>
      </w:pPr>
      <w:r w:rsidDel="008C2C19">
        <w:rPr>
          <w:rStyle w:val="FootnoteReference"/>
        </w:rPr>
        <w:footnoteRef/>
      </w:r>
      <w:r w:rsidDel="008C2C19">
        <w:t xml:space="preserve"> Therapeutic Goods Order No. 91. </w:t>
      </w:r>
      <w:proofErr w:type="gramStart"/>
      <w:r w:rsidDel="008C2C19">
        <w:t>Standard for labels of prescription and related medicines.</w:t>
      </w:r>
      <w:proofErr w:type="gramEnd"/>
    </w:p>
  </w:footnote>
  <w:footnote w:id="4">
    <w:p w14:paraId="7F4AAA11" w14:textId="6881CDF1" w:rsidR="00EA1DF3" w:rsidRPr="00E3399B" w:rsidRDefault="00EA1DF3">
      <w:pPr>
        <w:pStyle w:val="FootnoteText"/>
        <w:rPr>
          <w:lang w:val="en-US"/>
        </w:rPr>
      </w:pPr>
      <w:r>
        <w:rPr>
          <w:rStyle w:val="FootnoteReference"/>
        </w:rPr>
        <w:footnoteRef/>
      </w:r>
      <w:r>
        <w:t xml:space="preserve"> SCID =</w:t>
      </w:r>
      <w:r w:rsidRPr="00E3399B">
        <w:t xml:space="preserve"> s</w:t>
      </w:r>
      <w:r>
        <w:t xml:space="preserve">evere combined immunodeficiency. </w:t>
      </w:r>
      <w:proofErr w:type="gramStart"/>
      <w:r>
        <w:t>L</w:t>
      </w:r>
      <w:r w:rsidRPr="00E3399B">
        <w:t>ympho</w:t>
      </w:r>
      <w:r>
        <w:t>-</w:t>
      </w:r>
      <w:r w:rsidRPr="00E3399B">
        <w:t xml:space="preserve">deficient </w:t>
      </w:r>
      <w:r>
        <w:t>(</w:t>
      </w:r>
      <w:r w:rsidRPr="00E3399B">
        <w:t>scid/scid</w:t>
      </w:r>
      <w:r>
        <w:t>) mice.</w:t>
      </w:r>
      <w:proofErr w:type="gramEnd"/>
    </w:p>
  </w:footnote>
  <w:footnote w:id="5">
    <w:p w14:paraId="7F4AAA12" w14:textId="40EDACAD" w:rsidR="00EA1DF3" w:rsidRPr="009B2FD7" w:rsidRDefault="00EA1DF3">
      <w:pPr>
        <w:pStyle w:val="FootnoteText"/>
        <w:rPr>
          <w:lang w:val="en-US"/>
        </w:rPr>
      </w:pPr>
      <w:r>
        <w:rPr>
          <w:rStyle w:val="FootnoteReference"/>
        </w:rPr>
        <w:footnoteRef/>
      </w:r>
      <w:r>
        <w:t xml:space="preserve"> CP</w:t>
      </w:r>
      <w:r w:rsidRPr="009B2FD7">
        <w:t>MP/EWP/QWP/1401/98 Rev. 1/</w:t>
      </w:r>
      <w:proofErr w:type="spellStart"/>
      <w:r w:rsidRPr="009B2FD7">
        <w:t>Corr</w:t>
      </w:r>
      <w:proofErr w:type="spellEnd"/>
      <w:r w:rsidRPr="009B2FD7">
        <w:t>**</w:t>
      </w:r>
    </w:p>
  </w:footnote>
  <w:footnote w:id="6">
    <w:p w14:paraId="7F4AAA13" w14:textId="77777777" w:rsidR="00EA1DF3" w:rsidRPr="00B36E2D" w:rsidRDefault="00EA1DF3">
      <w:pPr>
        <w:pStyle w:val="FootnoteText"/>
        <w:rPr>
          <w:lang w:val="fr-FR"/>
        </w:rPr>
      </w:pPr>
      <w:r>
        <w:rPr>
          <w:rStyle w:val="FootnoteReference"/>
        </w:rPr>
        <w:footnoteRef/>
      </w:r>
      <w:r w:rsidRPr="00B36E2D">
        <w:rPr>
          <w:lang w:val="fr-FR"/>
        </w:rPr>
        <w:t xml:space="preserve"> EMA/CHMP/BMWP/403543/2010</w:t>
      </w:r>
    </w:p>
  </w:footnote>
  <w:footnote w:id="7">
    <w:p w14:paraId="7F4AAA14" w14:textId="592CC437" w:rsidR="00EA1DF3" w:rsidRPr="00175ABC" w:rsidRDefault="00EA1DF3" w:rsidP="00E808E8">
      <w:pPr>
        <w:autoSpaceDE w:val="0"/>
        <w:autoSpaceDN w:val="0"/>
        <w:adjustRightInd w:val="0"/>
        <w:spacing w:before="0" w:after="0" w:line="240" w:lineRule="auto"/>
        <w:rPr>
          <w:rFonts w:asciiTheme="minorHAnsi" w:eastAsia="TimesNewRoman" w:hAnsiTheme="minorHAnsi" w:cs="TimesNewRoman"/>
          <w:sz w:val="18"/>
          <w:szCs w:val="18"/>
        </w:rPr>
      </w:pPr>
      <w:r w:rsidRPr="00175ABC">
        <w:rPr>
          <w:rStyle w:val="FootnoteReference"/>
          <w:sz w:val="18"/>
          <w:szCs w:val="18"/>
        </w:rPr>
        <w:footnoteRef/>
      </w:r>
      <w:r w:rsidRPr="00285778">
        <w:rPr>
          <w:sz w:val="18"/>
          <w:szCs w:val="18"/>
          <w:lang w:val="fr-FR"/>
        </w:rPr>
        <w:t xml:space="preserve"> </w:t>
      </w:r>
      <w:r w:rsidRPr="00285778">
        <w:rPr>
          <w:rFonts w:asciiTheme="minorHAnsi" w:eastAsia="TimesNewRoman" w:hAnsiTheme="minorHAnsi" w:cs="TimesNewRoman"/>
          <w:sz w:val="18"/>
          <w:szCs w:val="18"/>
          <w:lang w:val="fr-FR"/>
        </w:rPr>
        <w:t xml:space="preserve">Marcus et al (2008). </w:t>
      </w:r>
      <w:r w:rsidRPr="00175ABC">
        <w:rPr>
          <w:rFonts w:asciiTheme="minorHAnsi" w:eastAsia="TimesNewRoman" w:hAnsiTheme="minorHAnsi" w:cs="TimesNewRoman"/>
          <w:sz w:val="18"/>
          <w:szCs w:val="18"/>
        </w:rPr>
        <w:t xml:space="preserve">Phase III study of R-CVP plus rituximab compared with cyclophosphamide, vincristine, and prednisone alone in patients with previously untreated advanced follicular lymphoma. J </w:t>
      </w:r>
      <w:proofErr w:type="spellStart"/>
      <w:r w:rsidRPr="00175ABC">
        <w:rPr>
          <w:rFonts w:asciiTheme="minorHAnsi" w:eastAsia="TimesNewRoman" w:hAnsiTheme="minorHAnsi" w:cs="TimesNewRoman"/>
          <w:sz w:val="18"/>
          <w:szCs w:val="18"/>
        </w:rPr>
        <w:t>Clin</w:t>
      </w:r>
      <w:proofErr w:type="spellEnd"/>
      <w:r w:rsidRPr="00175ABC">
        <w:rPr>
          <w:rFonts w:asciiTheme="minorHAnsi" w:eastAsia="TimesNewRoman" w:hAnsiTheme="minorHAnsi" w:cs="TimesNewRoman"/>
          <w:sz w:val="18"/>
          <w:szCs w:val="18"/>
        </w:rPr>
        <w:t xml:space="preserve"> </w:t>
      </w:r>
      <w:proofErr w:type="spellStart"/>
      <w:r w:rsidRPr="00175ABC">
        <w:rPr>
          <w:rFonts w:asciiTheme="minorHAnsi" w:eastAsia="TimesNewRoman" w:hAnsiTheme="minorHAnsi" w:cs="TimesNewRoman"/>
          <w:sz w:val="18"/>
          <w:szCs w:val="18"/>
        </w:rPr>
        <w:t>Oncol</w:t>
      </w:r>
      <w:proofErr w:type="spellEnd"/>
      <w:r w:rsidRPr="00175ABC">
        <w:rPr>
          <w:rFonts w:asciiTheme="minorHAnsi" w:eastAsia="TimesNewRoman" w:hAnsiTheme="minorHAnsi" w:cs="TimesNewRoman"/>
          <w:sz w:val="18"/>
          <w:szCs w:val="18"/>
        </w:rPr>
        <w:t>; 26(28):4579-4586.</w:t>
      </w:r>
    </w:p>
  </w:footnote>
  <w:footnote w:id="8">
    <w:p w14:paraId="3FF285B8" w14:textId="77777777" w:rsidR="00EA1DF3" w:rsidRPr="00264E39" w:rsidRDefault="00EA1DF3" w:rsidP="00B27974">
      <w:pPr>
        <w:pStyle w:val="FootnoteText"/>
        <w:rPr>
          <w:lang w:val="en-US"/>
        </w:rPr>
      </w:pPr>
      <w:r>
        <w:rPr>
          <w:rStyle w:val="FootnoteReference"/>
        </w:rPr>
        <w:footnoteRef/>
      </w:r>
      <w:r>
        <w:t xml:space="preserve"> </w:t>
      </w:r>
      <w:r w:rsidRPr="00264E39">
        <w:t xml:space="preserve">ACR </w:t>
      </w:r>
      <w:r>
        <w:t>(</w:t>
      </w:r>
      <w:r w:rsidRPr="00175ABC">
        <w:t>American College of Rheumatology</w:t>
      </w:r>
      <w:r>
        <w:t xml:space="preserve">) </w:t>
      </w:r>
      <w:r w:rsidRPr="00264E39">
        <w:t>responses are presented as the numerical improvement in multiple disease assessment criteria. For example, an ACR 20 response is defined as a ≥20% improvement in (1) swollen joint count (66 joints) and tender joint count (68 joints) and (2) ≥20% improvement in 3 of the following 5 assessments - patient’s assessment of pain (VAS), patient’s global assessment of disease activity (VAS), physician’s global assessment of disease activity (VAS), patient’s assessment of physical function as measured by the HAQ and CRP. ACR 50 and ACR 70 are similarly defined.</w:t>
      </w:r>
    </w:p>
  </w:footnote>
  <w:footnote w:id="9">
    <w:p w14:paraId="7F4AAA16" w14:textId="77777777" w:rsidR="00EA1DF3" w:rsidRPr="00175ABC" w:rsidRDefault="00EA1DF3">
      <w:pPr>
        <w:pStyle w:val="FootnoteText"/>
        <w:rPr>
          <w:lang w:val="en-US"/>
        </w:rPr>
      </w:pPr>
      <w:r>
        <w:rPr>
          <w:rStyle w:val="FootnoteReference"/>
        </w:rPr>
        <w:footnoteRef/>
      </w:r>
      <w:r>
        <w:t xml:space="preserve"> </w:t>
      </w:r>
      <w:r w:rsidRPr="00175ABC">
        <w:t>DAS = Disease activity score and DAS28 is a measure of the activity of rheumatoid arthritis. The DAS is based upon treatment decisions of rheumatologists in daily clinical practice.</w:t>
      </w:r>
    </w:p>
  </w:footnote>
  <w:footnote w:id="10">
    <w:p w14:paraId="7F4AAA17" w14:textId="77777777" w:rsidR="00EA1DF3" w:rsidRPr="00175ABC" w:rsidRDefault="00EA1DF3">
      <w:pPr>
        <w:pStyle w:val="FootnoteText"/>
        <w:rPr>
          <w:lang w:val="en-US"/>
        </w:rPr>
      </w:pPr>
      <w:r>
        <w:rPr>
          <w:rStyle w:val="FootnoteReference"/>
        </w:rPr>
        <w:footnoteRef/>
      </w:r>
      <w:r w:rsidRPr="00175ABC">
        <w:t>The EULAR (European League against Rheumatism) response criteria are based on the assessment of disease activity using the Disease Activity Score (DAS), a statistically-derived index consisting of number of tender joints, number of swollen joints, erythrocyte sedimentation rate, and global disease activity.</w:t>
      </w:r>
    </w:p>
  </w:footnote>
  <w:footnote w:id="11">
    <w:p w14:paraId="7F4AAA18" w14:textId="77777777" w:rsidR="00EA1DF3" w:rsidRDefault="00EA1DF3" w:rsidP="00510F6B">
      <w:pPr>
        <w:pStyle w:val="FootnoteText"/>
      </w:pPr>
      <w:r>
        <w:rPr>
          <w:rStyle w:val="FootnoteReference"/>
        </w:rPr>
        <w:footnoteRef/>
      </w:r>
      <w:r>
        <w:t xml:space="preserve"> </w:t>
      </w:r>
      <w:r w:rsidRPr="00510F6B">
        <w:t>Ann Arbor staging is the staging system for lymphomas, both in Hodgkin's lymphoma (formerly designated Hodgkin's disease) and non-Hodgkin lymphoma (abbreviated NHL).</w:t>
      </w:r>
      <w:r>
        <w:t xml:space="preserve"> The principal stage is determined by location of the tumor:</w:t>
      </w:r>
    </w:p>
    <w:p w14:paraId="7F4AAA19" w14:textId="77777777" w:rsidR="00EA1DF3" w:rsidRDefault="00EA1DF3" w:rsidP="00510F6B">
      <w:pPr>
        <w:pStyle w:val="FootnoteText"/>
      </w:pPr>
      <w:r>
        <w:t>Stage I indicates that the cancer is located in a single region, usually one lymph node and the surrounding area. Stage I often will not have outward symptoms.</w:t>
      </w:r>
    </w:p>
    <w:p w14:paraId="7F4AAA1A" w14:textId="77777777" w:rsidR="00EA1DF3" w:rsidRDefault="00EA1DF3" w:rsidP="00510F6B">
      <w:pPr>
        <w:pStyle w:val="FootnoteText"/>
      </w:pPr>
      <w:r>
        <w:t>Stage II indicates that the cancer is located in two separate regions, an affected lymph node or lymphatic organ and a second affected area, and that both affected areas are confined to one side of the diaphragm—that is, both are above the diaphragm, or both are below the diaphragm.</w:t>
      </w:r>
    </w:p>
    <w:p w14:paraId="7F4AAA1B" w14:textId="77777777" w:rsidR="00EA1DF3" w:rsidRDefault="00EA1DF3" w:rsidP="00510F6B">
      <w:pPr>
        <w:pStyle w:val="FootnoteText"/>
      </w:pPr>
      <w:r>
        <w:t>Stage III indicates that the cancer has spread to both sides of the diaphragm, including one organ or area near the lymph nodes or the spleen.</w:t>
      </w:r>
    </w:p>
    <w:p w14:paraId="7F4AAA1C" w14:textId="77777777" w:rsidR="00EA1DF3" w:rsidRPr="00510F6B" w:rsidRDefault="00EA1DF3" w:rsidP="00510F6B">
      <w:pPr>
        <w:pStyle w:val="FootnoteText"/>
        <w:rPr>
          <w:lang w:val="en-US"/>
        </w:rPr>
      </w:pPr>
      <w:r>
        <w:t>Stage IV indicates diffuse or disseminated involvement of one or more extralymphatic organs, including any involvement of the liver, bone marrow, or nodular involvement of the lungs.</w:t>
      </w:r>
    </w:p>
  </w:footnote>
  <w:footnote w:id="12">
    <w:p w14:paraId="6A9D503B" w14:textId="77777777" w:rsidR="00EA1DF3" w:rsidRPr="00FB21FA" w:rsidRDefault="00EA1DF3" w:rsidP="000330CB">
      <w:pPr>
        <w:pStyle w:val="FootnoteText"/>
        <w:rPr>
          <w:lang w:val="en-US"/>
        </w:rPr>
      </w:pPr>
      <w:r>
        <w:rPr>
          <w:rStyle w:val="FootnoteReference"/>
        </w:rPr>
        <w:footnoteRef/>
      </w:r>
      <w:r>
        <w:t xml:space="preserve"> </w:t>
      </w:r>
      <w:r w:rsidRPr="00FB21FA">
        <w:t>http://www.ema.europa.eu/docs/en_GB/document_library/EPAR_-_Public_assessment_report/human/004729/WC500232539.pdf</w:t>
      </w:r>
    </w:p>
  </w:footnote>
  <w:footnote w:id="13">
    <w:p w14:paraId="7F4AAA1E" w14:textId="77777777" w:rsidR="00EA1DF3" w:rsidRPr="005C1EAC" w:rsidRDefault="00EA1DF3">
      <w:pPr>
        <w:pStyle w:val="FootnoteText"/>
        <w:rPr>
          <w:lang w:val="en-US"/>
        </w:rPr>
      </w:pPr>
      <w:r>
        <w:rPr>
          <w:rStyle w:val="FootnoteReference"/>
        </w:rPr>
        <w:footnoteRef/>
      </w:r>
      <w:r>
        <w:t xml:space="preserve"> </w:t>
      </w:r>
      <w:r w:rsidRPr="005C1EAC">
        <w:t>Guideline on biosimilars containing monoclonal antibodies, EMA/CHMP/BMWP/403543/2010</w:t>
      </w:r>
    </w:p>
  </w:footnote>
  <w:footnote w:id="14">
    <w:p w14:paraId="7F4AAA1F" w14:textId="77777777" w:rsidR="00EA1DF3" w:rsidRPr="005A6761" w:rsidRDefault="00EA1DF3">
      <w:pPr>
        <w:pStyle w:val="FootnoteText"/>
        <w:rPr>
          <w:lang w:val="en-US"/>
        </w:rPr>
      </w:pPr>
      <w:r>
        <w:rPr>
          <w:rStyle w:val="FootnoteReference"/>
        </w:rPr>
        <w:footnoteRef/>
      </w:r>
      <w:r w:rsidRPr="00812053">
        <w:t xml:space="preserve"> Marcus R, Imrie K, et al (2005). </w:t>
      </w:r>
      <w:r w:rsidRPr="005A6761">
        <w:t>CVP chemotherapy plus rituximab compared with CVP as first-line treatment for advanced follicular lymphoma. Blood; 105:1417-1423.</w:t>
      </w:r>
    </w:p>
  </w:footnote>
  <w:footnote w:id="15">
    <w:p w14:paraId="7F4AAA20" w14:textId="77777777" w:rsidR="00EA1DF3" w:rsidRPr="00B34EBF" w:rsidRDefault="00EA1DF3">
      <w:pPr>
        <w:pStyle w:val="FootnoteText"/>
        <w:rPr>
          <w:lang w:val="en-US"/>
        </w:rPr>
      </w:pPr>
      <w:r>
        <w:rPr>
          <w:rStyle w:val="FootnoteReference"/>
        </w:rPr>
        <w:footnoteRef/>
      </w:r>
      <w:r>
        <w:t xml:space="preserve"> </w:t>
      </w:r>
      <w:r w:rsidRPr="00B34EBF">
        <w:t>Karmacharya P, Poudel DR, et al (2015). Rituximab-induced serum sickness: A systematic review. Seminars in Arthritis and Rheumatism; 45: 334-340</w:t>
      </w:r>
    </w:p>
  </w:footnote>
  <w:footnote w:id="16">
    <w:p w14:paraId="7F4AAA21" w14:textId="77777777" w:rsidR="00EA1DF3" w:rsidRPr="00E41644" w:rsidRDefault="00EA1DF3">
      <w:pPr>
        <w:pStyle w:val="FootnoteText"/>
        <w:rPr>
          <w:lang w:val="en-US"/>
        </w:rPr>
      </w:pPr>
      <w:r>
        <w:rPr>
          <w:rStyle w:val="FootnoteReference"/>
        </w:rPr>
        <w:footnoteRef/>
      </w:r>
      <w:r>
        <w:t xml:space="preserve"> </w:t>
      </w:r>
      <w:r w:rsidRPr="00E41644">
        <w:t>Marcus R, Imrie K, et al (2005). CVP chemotherapy plus rituximab compared with CVP as first-line treatment for advanced follicular lymphoma. Blood; 105:1417-1423.</w:t>
      </w:r>
    </w:p>
  </w:footnote>
  <w:footnote w:id="17">
    <w:p w14:paraId="7F4AAA22" w14:textId="77777777" w:rsidR="00EA1DF3" w:rsidRPr="00E41644" w:rsidRDefault="00EA1DF3">
      <w:pPr>
        <w:pStyle w:val="FootnoteText"/>
        <w:rPr>
          <w:lang w:val="en-US"/>
        </w:rPr>
      </w:pPr>
      <w:r>
        <w:rPr>
          <w:rStyle w:val="FootnoteReference"/>
        </w:rPr>
        <w:footnoteRef/>
      </w:r>
      <w:r w:rsidRPr="00D36023">
        <w:t xml:space="preserve"> Federico M, Luminari S, et al (2013). </w:t>
      </w:r>
      <w:r w:rsidRPr="00E41644">
        <w:t xml:space="preserve">R-CVP Versus R-CHOP Versus R-FM for the Initial treatment of Patients </w:t>
      </w:r>
      <w:proofErr w:type="gramStart"/>
      <w:r w:rsidRPr="00E41644">
        <w:t>With</w:t>
      </w:r>
      <w:proofErr w:type="gramEnd"/>
      <w:r w:rsidRPr="00E41644">
        <w:t xml:space="preserve"> Advanced-Stage Follicular lymphoma: Results of the Foll05 Trial Conducted by the Fondazione Italiana Linfomi. </w:t>
      </w:r>
      <w:proofErr w:type="gramStart"/>
      <w:r w:rsidRPr="00E41644">
        <w:t>J Clin Oncol.</w:t>
      </w:r>
      <w:proofErr w:type="gramEnd"/>
      <w:r w:rsidRPr="00E41644">
        <w:t xml:space="preserve"> 2013 Apr 20</w:t>
      </w:r>
      <w:proofErr w:type="gramStart"/>
      <w:r w:rsidRPr="00E41644">
        <w:t>;31</w:t>
      </w:r>
      <w:proofErr w:type="gramEnd"/>
      <w:r w:rsidRPr="00E41644">
        <w:t>(12):1506-1513.</w:t>
      </w:r>
    </w:p>
  </w:footnote>
  <w:footnote w:id="18">
    <w:p w14:paraId="7F4AAA23" w14:textId="77777777" w:rsidR="00EA1DF3" w:rsidRPr="00E41644" w:rsidRDefault="00EA1DF3">
      <w:pPr>
        <w:pStyle w:val="FootnoteText"/>
        <w:rPr>
          <w:lang w:val="en-US"/>
        </w:rPr>
      </w:pPr>
      <w:r>
        <w:rPr>
          <w:rStyle w:val="FootnoteReference"/>
        </w:rPr>
        <w:footnoteRef/>
      </w:r>
      <w:r>
        <w:t xml:space="preserve"> </w:t>
      </w:r>
      <w:r w:rsidRPr="00E41644">
        <w:t>Moccia A, Hoskins, et al (2010). Front-line therapy with rituximab, cyclophosphamide, vincristine, and prednisone (R-CVP) followed by 2 years of rituximab maintenance for follicular lymphoma (FL) is associated with excellent outcomes and improved progression-free survival (PFS) in comparison to no maintenance. Blood (ASH Annual Meeting Abstracts) 2010 116: abstract 1803.</w:t>
      </w:r>
    </w:p>
  </w:footnote>
  <w:footnote w:id="19">
    <w:p w14:paraId="7F4AAA24" w14:textId="77777777" w:rsidR="00EA1DF3" w:rsidRPr="00E41644" w:rsidRDefault="00EA1DF3">
      <w:pPr>
        <w:pStyle w:val="FootnoteText"/>
        <w:rPr>
          <w:lang w:val="en-US"/>
        </w:rPr>
      </w:pPr>
      <w:r>
        <w:rPr>
          <w:rStyle w:val="FootnoteReference"/>
        </w:rPr>
        <w:footnoteRef/>
      </w:r>
      <w:r w:rsidRPr="007767D0">
        <w:t xml:space="preserve"> Nastoupil L, Sinha R, et al (2015). </w:t>
      </w:r>
      <w:proofErr w:type="gramStart"/>
      <w:r w:rsidRPr="00E41644">
        <w:t>Comparison of the effectiveness of frontline chemoimmunotherapy regimens for follicular lymphoma used in the United States.</w:t>
      </w:r>
      <w:proofErr w:type="gramEnd"/>
      <w:r w:rsidRPr="00E41644">
        <w:t xml:space="preserve"> Leukemia &amp; Lymphoma, May 2015; 56(5):1295-1302.</w:t>
      </w:r>
    </w:p>
  </w:footnote>
  <w:footnote w:id="20">
    <w:p w14:paraId="7F4AAA25" w14:textId="77777777" w:rsidR="00EA1DF3" w:rsidRPr="00E41644" w:rsidRDefault="00EA1DF3">
      <w:pPr>
        <w:pStyle w:val="FootnoteText"/>
        <w:rPr>
          <w:lang w:val="en-US"/>
        </w:rPr>
      </w:pPr>
      <w:r>
        <w:rPr>
          <w:rStyle w:val="FootnoteReference"/>
        </w:rPr>
        <w:footnoteRef/>
      </w:r>
      <w:r w:rsidRPr="007767D0">
        <w:t xml:space="preserve"> </w:t>
      </w:r>
      <w:proofErr w:type="gramStart"/>
      <w:r w:rsidRPr="007767D0">
        <w:t>Salles G, Seymour JF, et al (2011).</w:t>
      </w:r>
      <w:proofErr w:type="gramEnd"/>
      <w:r w:rsidRPr="007767D0">
        <w:t xml:space="preserve"> </w:t>
      </w:r>
      <w:r w:rsidRPr="00E41644">
        <w:t xml:space="preserve">Rituximab maintenance for 2-years in patients with high tumour burden follicular lymphoma responding to rituximab plus chemotherapy (PRIMA): a phase </w:t>
      </w:r>
      <w:proofErr w:type="gramStart"/>
      <w:r w:rsidRPr="00E41644">
        <w:t>3,</w:t>
      </w:r>
      <w:proofErr w:type="gramEnd"/>
      <w:r w:rsidRPr="00E41644">
        <w:t xml:space="preserve"> randomised controlled trial. The Lancet, January 1, 2011, 377: 42-51.</w:t>
      </w:r>
    </w:p>
  </w:footnote>
  <w:footnote w:id="21">
    <w:p w14:paraId="7F4AAA26" w14:textId="77777777" w:rsidR="00EA1DF3" w:rsidRPr="00E41644" w:rsidRDefault="00EA1DF3">
      <w:pPr>
        <w:pStyle w:val="FootnoteText"/>
        <w:rPr>
          <w:lang w:val="en-US"/>
        </w:rPr>
      </w:pPr>
      <w:r>
        <w:rPr>
          <w:rStyle w:val="FootnoteReference"/>
        </w:rPr>
        <w:footnoteRef/>
      </w:r>
      <w:r>
        <w:t xml:space="preserve"> </w:t>
      </w:r>
      <w:r w:rsidRPr="00E41644">
        <w:t>Taverna C, Martinelli G, Hitz F, et al (2016) Rituximab maintenance for a maximum of 5 years after single-agent rituximab induction in follicular lymphoma: results of the randomized controlled phase III trial SAKK 35/03. J Clin Oncol 34(5): 495-500.</w:t>
      </w:r>
    </w:p>
  </w:footnote>
  <w:footnote w:id="22">
    <w:p w14:paraId="7F4AAA27" w14:textId="77777777" w:rsidR="00EA1DF3" w:rsidRPr="00E41644" w:rsidRDefault="00EA1DF3">
      <w:pPr>
        <w:pStyle w:val="FootnoteText"/>
        <w:rPr>
          <w:lang w:val="en-US"/>
        </w:rPr>
      </w:pPr>
      <w:r>
        <w:rPr>
          <w:rStyle w:val="FootnoteReference"/>
        </w:rPr>
        <w:footnoteRef/>
      </w:r>
      <w:r>
        <w:t xml:space="preserve"> </w:t>
      </w:r>
      <w:proofErr w:type="gramStart"/>
      <w:r w:rsidRPr="00E41644">
        <w:t>Shi Q, Flowers CR, Hiddemann W et al (2017).</w:t>
      </w:r>
      <w:proofErr w:type="gramEnd"/>
      <w:r w:rsidRPr="00E41644">
        <w:t xml:space="preserve"> Thirty-months complete response as a surrogate end point in first-line follicular lymphoma therapy: An individual patient-level analysis of multiple randomized trials. J Clin Oncol 35(5): 552-560.</w:t>
      </w:r>
    </w:p>
  </w:footnote>
  <w:footnote w:id="23">
    <w:p w14:paraId="7F4AAA28" w14:textId="77777777" w:rsidR="00EA1DF3" w:rsidRPr="00E41644" w:rsidRDefault="00EA1DF3">
      <w:pPr>
        <w:pStyle w:val="FootnoteText"/>
        <w:rPr>
          <w:lang w:val="en-US"/>
        </w:rPr>
      </w:pPr>
      <w:r>
        <w:rPr>
          <w:rStyle w:val="FootnoteReference"/>
        </w:rPr>
        <w:footnoteRef/>
      </w:r>
      <w:r>
        <w:t xml:space="preserve"> </w:t>
      </w:r>
      <w:r w:rsidRPr="00E41644">
        <w:t>Vidal L, Gafter-Gvili A, Salles G, eta al (2011) Rituximab maintenance for the treatment of patients with follicular lymphoma: an updated systematic review and meta-analysis of randomized trials. J Natl Cancer Inst, 103: 1799-1806.</w:t>
      </w:r>
    </w:p>
  </w:footnote>
  <w:footnote w:id="24">
    <w:p w14:paraId="7F4AAA29" w14:textId="77777777" w:rsidR="00EA1DF3" w:rsidRPr="00E41644" w:rsidRDefault="00EA1DF3">
      <w:pPr>
        <w:pStyle w:val="FootnoteText"/>
        <w:rPr>
          <w:lang w:val="en-US"/>
        </w:rPr>
      </w:pPr>
      <w:r>
        <w:rPr>
          <w:rStyle w:val="FootnoteReference"/>
        </w:rPr>
        <w:footnoteRef/>
      </w:r>
      <w:r>
        <w:t xml:space="preserve"> </w:t>
      </w:r>
      <w:r w:rsidRPr="00E41644">
        <w:t>Karmacharya P, Poudel DR, et al (2015). Rituximab-induced serum sickness: A systematic review. Seminars in Arthritis and Rheumatism; 45: 334-340.</w:t>
      </w:r>
    </w:p>
  </w:footnote>
  <w:footnote w:id="25">
    <w:p w14:paraId="7F4AAA2A" w14:textId="77777777" w:rsidR="00EA1DF3" w:rsidRDefault="00EA1DF3"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F4AAA2B" w14:textId="77777777" w:rsidR="00EA1DF3" w:rsidRPr="00456765" w:rsidRDefault="00EA1DF3"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E6" w14:textId="77777777" w:rsidR="00EA1DF3" w:rsidRDefault="00EA1DF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EB" w14:textId="77777777" w:rsidR="00EA1DF3" w:rsidRDefault="00EA1DF3">
    <w:pPr>
      <w:rPr>
        <w:noProof/>
        <w:lang w:eastAsia="en-AU"/>
      </w:rPr>
    </w:pPr>
    <w:r w:rsidRPr="00347824">
      <w:rPr>
        <w:noProof/>
        <w:lang w:eastAsia="en-AU"/>
      </w:rPr>
      <w:drawing>
        <wp:anchor distT="0" distB="0" distL="114300" distR="114300" simplePos="0" relativeHeight="251658240" behindDoc="1" locked="0" layoutInCell="1" allowOverlap="1" wp14:anchorId="7F4AAA0B" wp14:editId="7F4AAA0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F4AA9EC" w14:textId="77777777" w:rsidR="00EA1DF3" w:rsidRDefault="00EA1DF3" w:rsidP="00593AD1">
    <w:pPr>
      <w:pStyle w:val="HeaderNoLine"/>
    </w:pPr>
    <w:r>
      <w:rPr>
        <w:noProof/>
        <w:lang w:eastAsia="en-AU"/>
      </w:rPr>
      <w:drawing>
        <wp:inline distT="0" distB="0" distL="0" distR="0" wp14:anchorId="7F4AAA0D" wp14:editId="7F4AAA0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ED" w14:textId="77777777" w:rsidR="00EA1DF3" w:rsidRDefault="00EA1D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EE" w14:textId="77777777" w:rsidR="00EA1DF3" w:rsidRDefault="00EA1DF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EF" w14:textId="77777777" w:rsidR="00EA1DF3" w:rsidRDefault="00EA1DF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F5" w14:textId="77777777" w:rsidR="00EA1DF3" w:rsidRDefault="00EA1D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F6" w14:textId="77777777" w:rsidR="00EA1DF3" w:rsidRDefault="00EA1DF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AA9F8" w14:textId="77777777" w:rsidR="00EA1DF3" w:rsidRDefault="00EA1DF3" w:rsidP="006E08B3">
    <w:r>
      <w:t>Therapeutic Goods Administration</w:t>
    </w:r>
  </w:p>
  <w:p w14:paraId="7F4AA9F9" w14:textId="77777777" w:rsidR="00EA1DF3" w:rsidRDefault="00EA1DF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B75A733A"/>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1697" w:hanging="144"/>
      </w:pPr>
      <w:rPr>
        <w:rFonts w:ascii="Cambria" w:hAnsi="Cambria" w:cs="Cambria"/>
        <w:b w:val="0"/>
        <w:bCs w:val="0"/>
        <w:i/>
        <w:iCs/>
        <w:w w:val="100"/>
        <w:sz w:val="22"/>
        <w:szCs w:val="22"/>
      </w:rPr>
    </w:lvl>
    <w:lvl w:ilvl="1">
      <w:numFmt w:val="bullet"/>
      <w:lvlText w:val=""/>
      <w:lvlJc w:val="left"/>
      <w:pPr>
        <w:ind w:left="2419" w:hanging="361"/>
      </w:pPr>
      <w:rPr>
        <w:rFonts w:ascii="Symbol" w:hAnsi="Symbol" w:cs="Symbol"/>
        <w:b w:val="0"/>
        <w:bCs w:val="0"/>
        <w:w w:val="100"/>
        <w:sz w:val="22"/>
        <w:szCs w:val="22"/>
      </w:rPr>
    </w:lvl>
    <w:lvl w:ilvl="2">
      <w:numFmt w:val="bullet"/>
      <w:lvlText w:val="•"/>
      <w:lvlJc w:val="left"/>
      <w:pPr>
        <w:ind w:left="3474" w:hanging="361"/>
      </w:pPr>
    </w:lvl>
    <w:lvl w:ilvl="3">
      <w:numFmt w:val="bullet"/>
      <w:lvlText w:val="•"/>
      <w:lvlJc w:val="left"/>
      <w:pPr>
        <w:ind w:left="4528" w:hanging="361"/>
      </w:pPr>
    </w:lvl>
    <w:lvl w:ilvl="4">
      <w:numFmt w:val="bullet"/>
      <w:lvlText w:val="•"/>
      <w:lvlJc w:val="left"/>
      <w:pPr>
        <w:ind w:left="5582" w:hanging="361"/>
      </w:pPr>
    </w:lvl>
    <w:lvl w:ilvl="5">
      <w:numFmt w:val="bullet"/>
      <w:lvlText w:val="•"/>
      <w:lvlJc w:val="left"/>
      <w:pPr>
        <w:ind w:left="6637" w:hanging="361"/>
      </w:pPr>
    </w:lvl>
    <w:lvl w:ilvl="6">
      <w:numFmt w:val="bullet"/>
      <w:lvlText w:val="•"/>
      <w:lvlJc w:val="left"/>
      <w:pPr>
        <w:ind w:left="7691" w:hanging="361"/>
      </w:pPr>
    </w:lvl>
    <w:lvl w:ilvl="7">
      <w:numFmt w:val="bullet"/>
      <w:lvlText w:val="•"/>
      <w:lvlJc w:val="left"/>
      <w:pPr>
        <w:ind w:left="8745" w:hanging="361"/>
      </w:pPr>
    </w:lvl>
    <w:lvl w:ilvl="8">
      <w:numFmt w:val="bullet"/>
      <w:lvlText w:val="•"/>
      <w:lvlJc w:val="left"/>
      <w:pPr>
        <w:ind w:left="9800" w:hanging="361"/>
      </w:pPr>
    </w:lvl>
  </w:abstractNum>
  <w:abstractNum w:abstractNumId="5">
    <w:nsid w:val="000C7B3E"/>
    <w:multiLevelType w:val="hybridMultilevel"/>
    <w:tmpl w:val="88C2E6F4"/>
    <w:lvl w:ilvl="0" w:tplc="9E941874">
      <w:numFmt w:val="bullet"/>
      <w:lvlText w:val=""/>
      <w:lvlJc w:val="left"/>
      <w:pPr>
        <w:ind w:left="1017" w:hanging="358"/>
      </w:pPr>
      <w:rPr>
        <w:rFonts w:ascii="Symbol" w:eastAsia="Symbol" w:hAnsi="Symbol" w:cs="Symbol" w:hint="default"/>
        <w:w w:val="100"/>
        <w:sz w:val="24"/>
        <w:szCs w:val="24"/>
        <w:lang w:val="en-US" w:eastAsia="en-US" w:bidi="en-US"/>
      </w:rPr>
    </w:lvl>
    <w:lvl w:ilvl="1" w:tplc="A3BA8236">
      <w:numFmt w:val="bullet"/>
      <w:lvlText w:val="•"/>
      <w:lvlJc w:val="left"/>
      <w:pPr>
        <w:ind w:left="1904" w:hanging="358"/>
      </w:pPr>
      <w:rPr>
        <w:rFonts w:hint="default"/>
        <w:lang w:val="en-US" w:eastAsia="en-US" w:bidi="en-US"/>
      </w:rPr>
    </w:lvl>
    <w:lvl w:ilvl="2" w:tplc="C4E4074C">
      <w:numFmt w:val="bullet"/>
      <w:lvlText w:val="•"/>
      <w:lvlJc w:val="left"/>
      <w:pPr>
        <w:ind w:left="2789" w:hanging="358"/>
      </w:pPr>
      <w:rPr>
        <w:rFonts w:hint="default"/>
        <w:lang w:val="en-US" w:eastAsia="en-US" w:bidi="en-US"/>
      </w:rPr>
    </w:lvl>
    <w:lvl w:ilvl="3" w:tplc="54689856">
      <w:numFmt w:val="bullet"/>
      <w:lvlText w:val="•"/>
      <w:lvlJc w:val="left"/>
      <w:pPr>
        <w:ind w:left="3673" w:hanging="358"/>
      </w:pPr>
      <w:rPr>
        <w:rFonts w:hint="default"/>
        <w:lang w:val="en-US" w:eastAsia="en-US" w:bidi="en-US"/>
      </w:rPr>
    </w:lvl>
    <w:lvl w:ilvl="4" w:tplc="83B64130">
      <w:numFmt w:val="bullet"/>
      <w:lvlText w:val="•"/>
      <w:lvlJc w:val="left"/>
      <w:pPr>
        <w:ind w:left="4558" w:hanging="358"/>
      </w:pPr>
      <w:rPr>
        <w:rFonts w:hint="default"/>
        <w:lang w:val="en-US" w:eastAsia="en-US" w:bidi="en-US"/>
      </w:rPr>
    </w:lvl>
    <w:lvl w:ilvl="5" w:tplc="3B28C09C">
      <w:numFmt w:val="bullet"/>
      <w:lvlText w:val="•"/>
      <w:lvlJc w:val="left"/>
      <w:pPr>
        <w:ind w:left="5443" w:hanging="358"/>
      </w:pPr>
      <w:rPr>
        <w:rFonts w:hint="default"/>
        <w:lang w:val="en-US" w:eastAsia="en-US" w:bidi="en-US"/>
      </w:rPr>
    </w:lvl>
    <w:lvl w:ilvl="6" w:tplc="9C06089A">
      <w:numFmt w:val="bullet"/>
      <w:lvlText w:val="•"/>
      <w:lvlJc w:val="left"/>
      <w:pPr>
        <w:ind w:left="6327" w:hanging="358"/>
      </w:pPr>
      <w:rPr>
        <w:rFonts w:hint="default"/>
        <w:lang w:val="en-US" w:eastAsia="en-US" w:bidi="en-US"/>
      </w:rPr>
    </w:lvl>
    <w:lvl w:ilvl="7" w:tplc="374CC4AC">
      <w:numFmt w:val="bullet"/>
      <w:lvlText w:val="•"/>
      <w:lvlJc w:val="left"/>
      <w:pPr>
        <w:ind w:left="7212" w:hanging="358"/>
      </w:pPr>
      <w:rPr>
        <w:rFonts w:hint="default"/>
        <w:lang w:val="en-US" w:eastAsia="en-US" w:bidi="en-US"/>
      </w:rPr>
    </w:lvl>
    <w:lvl w:ilvl="8" w:tplc="A6BAB5C0">
      <w:numFmt w:val="bullet"/>
      <w:lvlText w:val="•"/>
      <w:lvlJc w:val="left"/>
      <w:pPr>
        <w:ind w:left="8097" w:hanging="358"/>
      </w:pPr>
      <w:rPr>
        <w:rFonts w:hint="default"/>
        <w:lang w:val="en-US" w:eastAsia="en-US" w:bidi="en-US"/>
      </w:rPr>
    </w:lvl>
  </w:abstractNum>
  <w:abstractNum w:abstractNumId="6">
    <w:nsid w:val="00933663"/>
    <w:multiLevelType w:val="hybridMultilevel"/>
    <w:tmpl w:val="3FC83FC0"/>
    <w:lvl w:ilvl="0" w:tplc="013EDFE8">
      <w:start w:val="2"/>
      <w:numFmt w:val="decimal"/>
      <w:lvlText w:val="%1."/>
      <w:lvlJc w:val="left"/>
      <w:pPr>
        <w:ind w:left="1379" w:hanging="720"/>
      </w:pPr>
      <w:rPr>
        <w:rFonts w:ascii="Arial" w:eastAsia="Arial" w:hAnsi="Arial" w:cs="Arial" w:hint="default"/>
        <w:b/>
        <w:bCs/>
        <w:spacing w:val="-1"/>
        <w:w w:val="100"/>
        <w:sz w:val="28"/>
        <w:szCs w:val="28"/>
        <w:lang w:val="en-US" w:eastAsia="en-US" w:bidi="en-US"/>
      </w:rPr>
    </w:lvl>
    <w:lvl w:ilvl="1" w:tplc="48927CF4">
      <w:numFmt w:val="bullet"/>
      <w:lvlText w:val="•"/>
      <w:lvlJc w:val="left"/>
      <w:pPr>
        <w:ind w:left="2228" w:hanging="720"/>
      </w:pPr>
      <w:rPr>
        <w:rFonts w:hint="default"/>
        <w:lang w:val="en-US" w:eastAsia="en-US" w:bidi="en-US"/>
      </w:rPr>
    </w:lvl>
    <w:lvl w:ilvl="2" w:tplc="359049EC">
      <w:numFmt w:val="bullet"/>
      <w:lvlText w:val="•"/>
      <w:lvlJc w:val="left"/>
      <w:pPr>
        <w:ind w:left="3077" w:hanging="720"/>
      </w:pPr>
      <w:rPr>
        <w:rFonts w:hint="default"/>
        <w:lang w:val="en-US" w:eastAsia="en-US" w:bidi="en-US"/>
      </w:rPr>
    </w:lvl>
    <w:lvl w:ilvl="3" w:tplc="763097F4">
      <w:numFmt w:val="bullet"/>
      <w:lvlText w:val="•"/>
      <w:lvlJc w:val="left"/>
      <w:pPr>
        <w:ind w:left="3925" w:hanging="720"/>
      </w:pPr>
      <w:rPr>
        <w:rFonts w:hint="default"/>
        <w:lang w:val="en-US" w:eastAsia="en-US" w:bidi="en-US"/>
      </w:rPr>
    </w:lvl>
    <w:lvl w:ilvl="4" w:tplc="D8A81C90">
      <w:numFmt w:val="bullet"/>
      <w:lvlText w:val="•"/>
      <w:lvlJc w:val="left"/>
      <w:pPr>
        <w:ind w:left="4774" w:hanging="720"/>
      </w:pPr>
      <w:rPr>
        <w:rFonts w:hint="default"/>
        <w:lang w:val="en-US" w:eastAsia="en-US" w:bidi="en-US"/>
      </w:rPr>
    </w:lvl>
    <w:lvl w:ilvl="5" w:tplc="2F8ED330">
      <w:numFmt w:val="bullet"/>
      <w:lvlText w:val="•"/>
      <w:lvlJc w:val="left"/>
      <w:pPr>
        <w:ind w:left="5623" w:hanging="720"/>
      </w:pPr>
      <w:rPr>
        <w:rFonts w:hint="default"/>
        <w:lang w:val="en-US" w:eastAsia="en-US" w:bidi="en-US"/>
      </w:rPr>
    </w:lvl>
    <w:lvl w:ilvl="6" w:tplc="7CC8A13A">
      <w:numFmt w:val="bullet"/>
      <w:lvlText w:val="•"/>
      <w:lvlJc w:val="left"/>
      <w:pPr>
        <w:ind w:left="6471" w:hanging="720"/>
      </w:pPr>
      <w:rPr>
        <w:rFonts w:hint="default"/>
        <w:lang w:val="en-US" w:eastAsia="en-US" w:bidi="en-US"/>
      </w:rPr>
    </w:lvl>
    <w:lvl w:ilvl="7" w:tplc="A09CEE48">
      <w:numFmt w:val="bullet"/>
      <w:lvlText w:val="•"/>
      <w:lvlJc w:val="left"/>
      <w:pPr>
        <w:ind w:left="7320" w:hanging="720"/>
      </w:pPr>
      <w:rPr>
        <w:rFonts w:hint="default"/>
        <w:lang w:val="en-US" w:eastAsia="en-US" w:bidi="en-US"/>
      </w:rPr>
    </w:lvl>
    <w:lvl w:ilvl="8" w:tplc="0172DB24">
      <w:numFmt w:val="bullet"/>
      <w:lvlText w:val="•"/>
      <w:lvlJc w:val="left"/>
      <w:pPr>
        <w:ind w:left="8169" w:hanging="720"/>
      </w:pPr>
      <w:rPr>
        <w:rFonts w:hint="default"/>
        <w:lang w:val="en-US" w:eastAsia="en-US" w:bidi="en-US"/>
      </w:rPr>
    </w:lvl>
  </w:abstractNum>
  <w:abstractNum w:abstractNumId="7">
    <w:nsid w:val="081D6B68"/>
    <w:multiLevelType w:val="hybridMultilevel"/>
    <w:tmpl w:val="A55EAC6A"/>
    <w:lvl w:ilvl="0" w:tplc="A468B89E">
      <w:numFmt w:val="bullet"/>
      <w:lvlText w:val="-"/>
      <w:lvlJc w:val="left"/>
      <w:pPr>
        <w:ind w:left="360" w:hanging="360"/>
      </w:pPr>
      <w:rPr>
        <w:rFonts w:ascii="Cambria" w:eastAsia="MS Mincho" w:hAnsi="Cambria"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9108CD"/>
    <w:multiLevelType w:val="hybridMultilevel"/>
    <w:tmpl w:val="28BAED82"/>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1464B7A"/>
    <w:multiLevelType w:val="hybridMultilevel"/>
    <w:tmpl w:val="BD201DF2"/>
    <w:lvl w:ilvl="0" w:tplc="3F2AB370">
      <w:start w:val="1"/>
      <w:numFmt w:val="decimal"/>
      <w:lvlText w:val="%1."/>
      <w:lvlJc w:val="left"/>
      <w:pPr>
        <w:ind w:left="1800" w:hanging="360"/>
      </w:pPr>
      <w:rPr>
        <w:rFonts w:ascii="Cambria" w:eastAsia="Cambria" w:hAnsi="Cambria" w:cs="Cambria" w:hint="default"/>
        <w:spacing w:val="-3"/>
        <w:w w:val="100"/>
        <w:sz w:val="22"/>
        <w:szCs w:val="22"/>
        <w:lang w:val="en-AU" w:eastAsia="en-AU" w:bidi="en-AU"/>
      </w:rPr>
    </w:lvl>
    <w:lvl w:ilvl="1" w:tplc="40F0810E">
      <w:numFmt w:val="bullet"/>
      <w:lvlText w:val="•"/>
      <w:lvlJc w:val="left"/>
      <w:pPr>
        <w:ind w:left="2810" w:hanging="360"/>
      </w:pPr>
      <w:rPr>
        <w:rFonts w:hint="default"/>
        <w:lang w:val="en-AU" w:eastAsia="en-AU" w:bidi="en-AU"/>
      </w:rPr>
    </w:lvl>
    <w:lvl w:ilvl="2" w:tplc="683AE840">
      <w:numFmt w:val="bullet"/>
      <w:lvlText w:val="•"/>
      <w:lvlJc w:val="left"/>
      <w:pPr>
        <w:ind w:left="3820" w:hanging="360"/>
      </w:pPr>
      <w:rPr>
        <w:rFonts w:hint="default"/>
        <w:lang w:val="en-AU" w:eastAsia="en-AU" w:bidi="en-AU"/>
      </w:rPr>
    </w:lvl>
    <w:lvl w:ilvl="3" w:tplc="5CAEF950">
      <w:numFmt w:val="bullet"/>
      <w:lvlText w:val="•"/>
      <w:lvlJc w:val="left"/>
      <w:pPr>
        <w:ind w:left="4831" w:hanging="360"/>
      </w:pPr>
      <w:rPr>
        <w:rFonts w:hint="default"/>
        <w:lang w:val="en-AU" w:eastAsia="en-AU" w:bidi="en-AU"/>
      </w:rPr>
    </w:lvl>
    <w:lvl w:ilvl="4" w:tplc="11544142">
      <w:numFmt w:val="bullet"/>
      <w:lvlText w:val="•"/>
      <w:lvlJc w:val="left"/>
      <w:pPr>
        <w:ind w:left="5841" w:hanging="360"/>
      </w:pPr>
      <w:rPr>
        <w:rFonts w:hint="default"/>
        <w:lang w:val="en-AU" w:eastAsia="en-AU" w:bidi="en-AU"/>
      </w:rPr>
    </w:lvl>
    <w:lvl w:ilvl="5" w:tplc="F0DCCC2E">
      <w:numFmt w:val="bullet"/>
      <w:lvlText w:val="•"/>
      <w:lvlJc w:val="left"/>
      <w:pPr>
        <w:ind w:left="6852" w:hanging="360"/>
      </w:pPr>
      <w:rPr>
        <w:rFonts w:hint="default"/>
        <w:lang w:val="en-AU" w:eastAsia="en-AU" w:bidi="en-AU"/>
      </w:rPr>
    </w:lvl>
    <w:lvl w:ilvl="6" w:tplc="741008E4">
      <w:numFmt w:val="bullet"/>
      <w:lvlText w:val="•"/>
      <w:lvlJc w:val="left"/>
      <w:pPr>
        <w:ind w:left="7862" w:hanging="360"/>
      </w:pPr>
      <w:rPr>
        <w:rFonts w:hint="default"/>
        <w:lang w:val="en-AU" w:eastAsia="en-AU" w:bidi="en-AU"/>
      </w:rPr>
    </w:lvl>
    <w:lvl w:ilvl="7" w:tplc="8F589CB2">
      <w:numFmt w:val="bullet"/>
      <w:lvlText w:val="•"/>
      <w:lvlJc w:val="left"/>
      <w:pPr>
        <w:ind w:left="8872" w:hanging="360"/>
      </w:pPr>
      <w:rPr>
        <w:rFonts w:hint="default"/>
        <w:lang w:val="en-AU" w:eastAsia="en-AU" w:bidi="en-AU"/>
      </w:rPr>
    </w:lvl>
    <w:lvl w:ilvl="8" w:tplc="EA7E89CA">
      <w:numFmt w:val="bullet"/>
      <w:lvlText w:val="•"/>
      <w:lvlJc w:val="left"/>
      <w:pPr>
        <w:ind w:left="9883" w:hanging="360"/>
      </w:pPr>
      <w:rPr>
        <w:rFonts w:hint="default"/>
        <w:lang w:val="en-AU" w:eastAsia="en-AU" w:bidi="en-AU"/>
      </w:rPr>
    </w:lvl>
  </w:abstractNum>
  <w:abstractNum w:abstractNumId="11">
    <w:nsid w:val="11AE689D"/>
    <w:multiLevelType w:val="hybridMultilevel"/>
    <w:tmpl w:val="33A00B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7205CBA"/>
    <w:multiLevelType w:val="hybridMultilevel"/>
    <w:tmpl w:val="24AEA1BC"/>
    <w:lvl w:ilvl="0" w:tplc="A468B89E">
      <w:numFmt w:val="bullet"/>
      <w:lvlText w:val="-"/>
      <w:lvlJc w:val="left"/>
      <w:pPr>
        <w:ind w:left="360" w:hanging="360"/>
      </w:pPr>
      <w:rPr>
        <w:rFonts w:ascii="Cambria" w:eastAsia="MS Mincho" w:hAnsi="Cambria"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BDA0A5D"/>
    <w:multiLevelType w:val="hybridMultilevel"/>
    <w:tmpl w:val="EE06F502"/>
    <w:lvl w:ilvl="0" w:tplc="211EE33C">
      <w:numFmt w:val="bullet"/>
      <w:lvlText w:val=""/>
      <w:lvlJc w:val="left"/>
      <w:pPr>
        <w:ind w:left="360" w:hanging="360"/>
      </w:pPr>
      <w:rPr>
        <w:rFonts w:ascii="Wingdings" w:eastAsia="MS Mincho" w:hAnsi="Wingdings" w:cstheme="majorHAns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7925F52"/>
    <w:multiLevelType w:val="hybridMultilevel"/>
    <w:tmpl w:val="113EE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0411FD1"/>
    <w:multiLevelType w:val="hybridMultilevel"/>
    <w:tmpl w:val="2318BF5E"/>
    <w:lvl w:ilvl="0" w:tplc="DC36A832">
      <w:start w:val="1"/>
      <w:numFmt w:val="bullet"/>
      <w:lvlText w:val=""/>
      <w:lvlJc w:val="left"/>
      <w:pPr>
        <w:ind w:left="360" w:hanging="360"/>
      </w:pPr>
      <w:rPr>
        <w:rFonts w:ascii="Symbol" w:eastAsia="MS Mincho" w:hAnsi="Symbol" w:cstheme="majorHAns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7411F01"/>
    <w:multiLevelType w:val="hybridMultilevel"/>
    <w:tmpl w:val="2CF4E9A4"/>
    <w:lvl w:ilvl="0" w:tplc="E0A0122C">
      <w:numFmt w:val="bullet"/>
      <w:lvlText w:val=""/>
      <w:lvlJc w:val="left"/>
      <w:pPr>
        <w:ind w:left="1800" w:hanging="360"/>
      </w:pPr>
      <w:rPr>
        <w:rFonts w:ascii="Symbol" w:eastAsia="Symbol" w:hAnsi="Symbol" w:cs="Symbol" w:hint="default"/>
        <w:w w:val="100"/>
        <w:sz w:val="22"/>
        <w:szCs w:val="22"/>
        <w:lang w:val="en-AU" w:eastAsia="en-AU" w:bidi="en-AU"/>
      </w:rPr>
    </w:lvl>
    <w:lvl w:ilvl="1" w:tplc="8224303C">
      <w:numFmt w:val="bullet"/>
      <w:lvlText w:val="o"/>
      <w:lvlJc w:val="left"/>
      <w:pPr>
        <w:ind w:left="2521" w:hanging="360"/>
      </w:pPr>
      <w:rPr>
        <w:rFonts w:ascii="Courier New" w:eastAsia="Courier New" w:hAnsi="Courier New" w:cs="Courier New" w:hint="default"/>
        <w:w w:val="100"/>
        <w:sz w:val="22"/>
        <w:szCs w:val="22"/>
        <w:lang w:val="en-AU" w:eastAsia="en-AU" w:bidi="en-AU"/>
      </w:rPr>
    </w:lvl>
    <w:lvl w:ilvl="2" w:tplc="F30A6E6E">
      <w:numFmt w:val="bullet"/>
      <w:lvlText w:val="•"/>
      <w:lvlJc w:val="left"/>
      <w:pPr>
        <w:ind w:left="3562" w:hanging="360"/>
      </w:pPr>
      <w:rPr>
        <w:rFonts w:hint="default"/>
        <w:lang w:val="en-AU" w:eastAsia="en-AU" w:bidi="en-AU"/>
      </w:rPr>
    </w:lvl>
    <w:lvl w:ilvl="3" w:tplc="F2AC51F4">
      <w:numFmt w:val="bullet"/>
      <w:lvlText w:val="•"/>
      <w:lvlJc w:val="left"/>
      <w:pPr>
        <w:ind w:left="4605" w:hanging="360"/>
      </w:pPr>
      <w:rPr>
        <w:rFonts w:hint="default"/>
        <w:lang w:val="en-AU" w:eastAsia="en-AU" w:bidi="en-AU"/>
      </w:rPr>
    </w:lvl>
    <w:lvl w:ilvl="4" w:tplc="7C0688CC">
      <w:numFmt w:val="bullet"/>
      <w:lvlText w:val="•"/>
      <w:lvlJc w:val="left"/>
      <w:pPr>
        <w:ind w:left="5648" w:hanging="360"/>
      </w:pPr>
      <w:rPr>
        <w:rFonts w:hint="default"/>
        <w:lang w:val="en-AU" w:eastAsia="en-AU" w:bidi="en-AU"/>
      </w:rPr>
    </w:lvl>
    <w:lvl w:ilvl="5" w:tplc="92A2C670">
      <w:numFmt w:val="bullet"/>
      <w:lvlText w:val="•"/>
      <w:lvlJc w:val="left"/>
      <w:pPr>
        <w:ind w:left="6690" w:hanging="360"/>
      </w:pPr>
      <w:rPr>
        <w:rFonts w:hint="default"/>
        <w:lang w:val="en-AU" w:eastAsia="en-AU" w:bidi="en-AU"/>
      </w:rPr>
    </w:lvl>
    <w:lvl w:ilvl="6" w:tplc="673495E2">
      <w:numFmt w:val="bullet"/>
      <w:lvlText w:val="•"/>
      <w:lvlJc w:val="left"/>
      <w:pPr>
        <w:ind w:left="7733" w:hanging="360"/>
      </w:pPr>
      <w:rPr>
        <w:rFonts w:hint="default"/>
        <w:lang w:val="en-AU" w:eastAsia="en-AU" w:bidi="en-AU"/>
      </w:rPr>
    </w:lvl>
    <w:lvl w:ilvl="7" w:tplc="98EAEEF2">
      <w:numFmt w:val="bullet"/>
      <w:lvlText w:val="•"/>
      <w:lvlJc w:val="left"/>
      <w:pPr>
        <w:ind w:left="8776" w:hanging="360"/>
      </w:pPr>
      <w:rPr>
        <w:rFonts w:hint="default"/>
        <w:lang w:val="en-AU" w:eastAsia="en-AU" w:bidi="en-AU"/>
      </w:rPr>
    </w:lvl>
    <w:lvl w:ilvl="8" w:tplc="4D841E4C">
      <w:numFmt w:val="bullet"/>
      <w:lvlText w:val="•"/>
      <w:lvlJc w:val="left"/>
      <w:pPr>
        <w:ind w:left="9818" w:hanging="360"/>
      </w:pPr>
      <w:rPr>
        <w:rFonts w:hint="default"/>
        <w:lang w:val="en-AU" w:eastAsia="en-AU" w:bidi="en-AU"/>
      </w:rPr>
    </w:lvl>
  </w:abstractNum>
  <w:abstractNum w:abstractNumId="19">
    <w:nsid w:val="72E5102A"/>
    <w:multiLevelType w:val="hybridMultilevel"/>
    <w:tmpl w:val="9D22A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2"/>
  </w:num>
  <w:num w:numId="4">
    <w:abstractNumId w:val="12"/>
  </w:num>
  <w:num w:numId="5">
    <w:abstractNumId w:val="0"/>
  </w:num>
  <w:num w:numId="6">
    <w:abstractNumId w:val="12"/>
  </w:num>
  <w:num w:numId="7">
    <w:abstractNumId w:val="12"/>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9"/>
  </w:num>
  <w:num w:numId="17">
    <w:abstractNumId w:val="9"/>
  </w:num>
  <w:num w:numId="18">
    <w:abstractNumId w:val="9"/>
  </w:num>
  <w:num w:numId="19">
    <w:abstractNumId w:val="12"/>
  </w:num>
  <w:num w:numId="20">
    <w:abstractNumId w:val="12"/>
  </w:num>
  <w:num w:numId="21">
    <w:abstractNumId w:val="12"/>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0"/>
  </w:num>
  <w:num w:numId="29">
    <w:abstractNumId w:val="8"/>
  </w:num>
  <w:num w:numId="30">
    <w:abstractNumId w:val="6"/>
  </w:num>
  <w:num w:numId="31">
    <w:abstractNumId w:val="5"/>
  </w:num>
  <w:num w:numId="32">
    <w:abstractNumId w:val="18"/>
  </w:num>
  <w:num w:numId="33">
    <w:abstractNumId w:val="10"/>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3"/>
  </w:num>
  <w:num w:numId="37">
    <w:abstractNumId w:val="11"/>
  </w:num>
  <w:num w:numId="38">
    <w:abstractNumId w:val="19"/>
  </w:num>
  <w:num w:numId="39">
    <w:abstractNumId w:val="15"/>
  </w:num>
  <w:num w:numId="40">
    <w:abstractNumId w:val="14"/>
  </w:num>
  <w:num w:numId="41">
    <w:abstractNumId w:val="7"/>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A7"/>
    <w:rsid w:val="00002031"/>
    <w:rsid w:val="00004734"/>
    <w:rsid w:val="00006B22"/>
    <w:rsid w:val="00010A6B"/>
    <w:rsid w:val="0001103E"/>
    <w:rsid w:val="0001276A"/>
    <w:rsid w:val="000242E9"/>
    <w:rsid w:val="000246AE"/>
    <w:rsid w:val="00025C67"/>
    <w:rsid w:val="00027628"/>
    <w:rsid w:val="000330CB"/>
    <w:rsid w:val="00044772"/>
    <w:rsid w:val="00047649"/>
    <w:rsid w:val="0005559E"/>
    <w:rsid w:val="000604D6"/>
    <w:rsid w:val="000734D8"/>
    <w:rsid w:val="00077775"/>
    <w:rsid w:val="00085E75"/>
    <w:rsid w:val="00090471"/>
    <w:rsid w:val="00096AA7"/>
    <w:rsid w:val="000A1829"/>
    <w:rsid w:val="000A3AED"/>
    <w:rsid w:val="000A5529"/>
    <w:rsid w:val="000A6E90"/>
    <w:rsid w:val="000A722C"/>
    <w:rsid w:val="000B3532"/>
    <w:rsid w:val="000B3A10"/>
    <w:rsid w:val="000B3A75"/>
    <w:rsid w:val="000C00C2"/>
    <w:rsid w:val="000C4332"/>
    <w:rsid w:val="000C690F"/>
    <w:rsid w:val="000C6DC6"/>
    <w:rsid w:val="000C74ED"/>
    <w:rsid w:val="000D1295"/>
    <w:rsid w:val="000D391B"/>
    <w:rsid w:val="000D3D6D"/>
    <w:rsid w:val="000D4FC7"/>
    <w:rsid w:val="000E6196"/>
    <w:rsid w:val="000F4869"/>
    <w:rsid w:val="000F5165"/>
    <w:rsid w:val="000F5B42"/>
    <w:rsid w:val="000F6214"/>
    <w:rsid w:val="000F6E6F"/>
    <w:rsid w:val="00103622"/>
    <w:rsid w:val="0010601F"/>
    <w:rsid w:val="0010788A"/>
    <w:rsid w:val="00107A31"/>
    <w:rsid w:val="001100D6"/>
    <w:rsid w:val="00110EA5"/>
    <w:rsid w:val="00112F56"/>
    <w:rsid w:val="00124ACD"/>
    <w:rsid w:val="00125318"/>
    <w:rsid w:val="00125E0E"/>
    <w:rsid w:val="001305A2"/>
    <w:rsid w:val="00133238"/>
    <w:rsid w:val="00133A1B"/>
    <w:rsid w:val="0014197B"/>
    <w:rsid w:val="0014307F"/>
    <w:rsid w:val="001447CD"/>
    <w:rsid w:val="00150AB2"/>
    <w:rsid w:val="001516B1"/>
    <w:rsid w:val="00154EBB"/>
    <w:rsid w:val="00156316"/>
    <w:rsid w:val="00160D83"/>
    <w:rsid w:val="00161181"/>
    <w:rsid w:val="00162D14"/>
    <w:rsid w:val="00163780"/>
    <w:rsid w:val="00165389"/>
    <w:rsid w:val="0016627C"/>
    <w:rsid w:val="001733AE"/>
    <w:rsid w:val="00175ABC"/>
    <w:rsid w:val="0017693F"/>
    <w:rsid w:val="0018110E"/>
    <w:rsid w:val="00181684"/>
    <w:rsid w:val="001843C6"/>
    <w:rsid w:val="001850E0"/>
    <w:rsid w:val="00186325"/>
    <w:rsid w:val="00195C87"/>
    <w:rsid w:val="00197543"/>
    <w:rsid w:val="001A0A6D"/>
    <w:rsid w:val="001A2158"/>
    <w:rsid w:val="001A525F"/>
    <w:rsid w:val="001A59CB"/>
    <w:rsid w:val="001B09F9"/>
    <w:rsid w:val="001B41B0"/>
    <w:rsid w:val="001B5C90"/>
    <w:rsid w:val="001B6448"/>
    <w:rsid w:val="001C32CD"/>
    <w:rsid w:val="001C6D1A"/>
    <w:rsid w:val="001D2984"/>
    <w:rsid w:val="001D4AA5"/>
    <w:rsid w:val="001D7115"/>
    <w:rsid w:val="001E07CF"/>
    <w:rsid w:val="001E59F1"/>
    <w:rsid w:val="001F0CBC"/>
    <w:rsid w:val="001F2A07"/>
    <w:rsid w:val="001F2CEE"/>
    <w:rsid w:val="001F49EB"/>
    <w:rsid w:val="001F6CBA"/>
    <w:rsid w:val="00201A0F"/>
    <w:rsid w:val="00201D4E"/>
    <w:rsid w:val="00202721"/>
    <w:rsid w:val="0020677C"/>
    <w:rsid w:val="002076C9"/>
    <w:rsid w:val="00216C76"/>
    <w:rsid w:val="00220B8A"/>
    <w:rsid w:val="002252CD"/>
    <w:rsid w:val="002257F3"/>
    <w:rsid w:val="0023012D"/>
    <w:rsid w:val="00233456"/>
    <w:rsid w:val="002339A5"/>
    <w:rsid w:val="00246450"/>
    <w:rsid w:val="00252CFB"/>
    <w:rsid w:val="0025671A"/>
    <w:rsid w:val="00257848"/>
    <w:rsid w:val="00264E39"/>
    <w:rsid w:val="0027084A"/>
    <w:rsid w:val="00285778"/>
    <w:rsid w:val="00285AEE"/>
    <w:rsid w:val="00286434"/>
    <w:rsid w:val="00286C59"/>
    <w:rsid w:val="00287437"/>
    <w:rsid w:val="00291957"/>
    <w:rsid w:val="002942D1"/>
    <w:rsid w:val="0029501A"/>
    <w:rsid w:val="00296B19"/>
    <w:rsid w:val="00296BBC"/>
    <w:rsid w:val="0029765F"/>
    <w:rsid w:val="002A1982"/>
    <w:rsid w:val="002A3721"/>
    <w:rsid w:val="002B1638"/>
    <w:rsid w:val="002B21DD"/>
    <w:rsid w:val="002B3624"/>
    <w:rsid w:val="002C5099"/>
    <w:rsid w:val="002C6E3B"/>
    <w:rsid w:val="002D0952"/>
    <w:rsid w:val="002D3F53"/>
    <w:rsid w:val="002E2F66"/>
    <w:rsid w:val="002E40B3"/>
    <w:rsid w:val="002E4C9A"/>
    <w:rsid w:val="002F11F8"/>
    <w:rsid w:val="002F38B3"/>
    <w:rsid w:val="002F3F56"/>
    <w:rsid w:val="002F44B5"/>
    <w:rsid w:val="002F5B32"/>
    <w:rsid w:val="00311AC0"/>
    <w:rsid w:val="003176FC"/>
    <w:rsid w:val="00320E40"/>
    <w:rsid w:val="0032583B"/>
    <w:rsid w:val="00326822"/>
    <w:rsid w:val="00327883"/>
    <w:rsid w:val="003343DE"/>
    <w:rsid w:val="00334CAC"/>
    <w:rsid w:val="00335504"/>
    <w:rsid w:val="00340C18"/>
    <w:rsid w:val="003442FD"/>
    <w:rsid w:val="00347824"/>
    <w:rsid w:val="00350567"/>
    <w:rsid w:val="003521E8"/>
    <w:rsid w:val="00370CE3"/>
    <w:rsid w:val="003728F3"/>
    <w:rsid w:val="003742FD"/>
    <w:rsid w:val="0037496E"/>
    <w:rsid w:val="00376E42"/>
    <w:rsid w:val="00383221"/>
    <w:rsid w:val="00386150"/>
    <w:rsid w:val="003874CE"/>
    <w:rsid w:val="00390900"/>
    <w:rsid w:val="00390CAF"/>
    <w:rsid w:val="00393884"/>
    <w:rsid w:val="003A4220"/>
    <w:rsid w:val="003A7F6C"/>
    <w:rsid w:val="003B0FFE"/>
    <w:rsid w:val="003B4D60"/>
    <w:rsid w:val="003B7E39"/>
    <w:rsid w:val="003C1017"/>
    <w:rsid w:val="003C58DC"/>
    <w:rsid w:val="003D1E62"/>
    <w:rsid w:val="003E0B99"/>
    <w:rsid w:val="003E2486"/>
    <w:rsid w:val="003E3208"/>
    <w:rsid w:val="003F0B04"/>
    <w:rsid w:val="003F6246"/>
    <w:rsid w:val="0040134E"/>
    <w:rsid w:val="004064FE"/>
    <w:rsid w:val="00413790"/>
    <w:rsid w:val="00421169"/>
    <w:rsid w:val="004334C7"/>
    <w:rsid w:val="00440A2D"/>
    <w:rsid w:val="00441C3F"/>
    <w:rsid w:val="004437CC"/>
    <w:rsid w:val="00446B6E"/>
    <w:rsid w:val="004514F5"/>
    <w:rsid w:val="004564A7"/>
    <w:rsid w:val="00456765"/>
    <w:rsid w:val="004617BF"/>
    <w:rsid w:val="00463658"/>
    <w:rsid w:val="004637A0"/>
    <w:rsid w:val="004720F8"/>
    <w:rsid w:val="004722CC"/>
    <w:rsid w:val="00475323"/>
    <w:rsid w:val="004936E4"/>
    <w:rsid w:val="004947C8"/>
    <w:rsid w:val="00494E60"/>
    <w:rsid w:val="00497487"/>
    <w:rsid w:val="004A1E05"/>
    <w:rsid w:val="004A42B8"/>
    <w:rsid w:val="004A6189"/>
    <w:rsid w:val="004A7390"/>
    <w:rsid w:val="004B52F5"/>
    <w:rsid w:val="004B7B76"/>
    <w:rsid w:val="004C1958"/>
    <w:rsid w:val="004C239D"/>
    <w:rsid w:val="004C2DCA"/>
    <w:rsid w:val="004C2EB2"/>
    <w:rsid w:val="004C61D2"/>
    <w:rsid w:val="004C690B"/>
    <w:rsid w:val="004D2EDC"/>
    <w:rsid w:val="004F0C4A"/>
    <w:rsid w:val="004F0F38"/>
    <w:rsid w:val="004F2A49"/>
    <w:rsid w:val="004F47D6"/>
    <w:rsid w:val="00500337"/>
    <w:rsid w:val="005010BE"/>
    <w:rsid w:val="00501921"/>
    <w:rsid w:val="0050297E"/>
    <w:rsid w:val="00510F6B"/>
    <w:rsid w:val="00511431"/>
    <w:rsid w:val="00526612"/>
    <w:rsid w:val="00530354"/>
    <w:rsid w:val="0053625B"/>
    <w:rsid w:val="005415FC"/>
    <w:rsid w:val="005434C6"/>
    <w:rsid w:val="00543B39"/>
    <w:rsid w:val="00544957"/>
    <w:rsid w:val="00546154"/>
    <w:rsid w:val="00550096"/>
    <w:rsid w:val="00555280"/>
    <w:rsid w:val="00557FF9"/>
    <w:rsid w:val="00562327"/>
    <w:rsid w:val="005711D5"/>
    <w:rsid w:val="00574B4F"/>
    <w:rsid w:val="00576378"/>
    <w:rsid w:val="00577130"/>
    <w:rsid w:val="00577945"/>
    <w:rsid w:val="00577E38"/>
    <w:rsid w:val="00585322"/>
    <w:rsid w:val="005857C6"/>
    <w:rsid w:val="00592F6E"/>
    <w:rsid w:val="00593AD1"/>
    <w:rsid w:val="00594086"/>
    <w:rsid w:val="005A3D0B"/>
    <w:rsid w:val="005A6761"/>
    <w:rsid w:val="005A68B6"/>
    <w:rsid w:val="005B0109"/>
    <w:rsid w:val="005B7B55"/>
    <w:rsid w:val="005C1EAC"/>
    <w:rsid w:val="005C2F2C"/>
    <w:rsid w:val="005C5570"/>
    <w:rsid w:val="005C79A4"/>
    <w:rsid w:val="005D5442"/>
    <w:rsid w:val="005E1118"/>
    <w:rsid w:val="005E3B9A"/>
    <w:rsid w:val="005F22D1"/>
    <w:rsid w:val="00603F32"/>
    <w:rsid w:val="00605AD4"/>
    <w:rsid w:val="0061344E"/>
    <w:rsid w:val="006136D7"/>
    <w:rsid w:val="00615D66"/>
    <w:rsid w:val="00622430"/>
    <w:rsid w:val="00625A6E"/>
    <w:rsid w:val="00630419"/>
    <w:rsid w:val="00630DEF"/>
    <w:rsid w:val="0063108F"/>
    <w:rsid w:val="00631340"/>
    <w:rsid w:val="00632398"/>
    <w:rsid w:val="00633B39"/>
    <w:rsid w:val="00636F6C"/>
    <w:rsid w:val="00640FC3"/>
    <w:rsid w:val="00642020"/>
    <w:rsid w:val="006471AB"/>
    <w:rsid w:val="0065337B"/>
    <w:rsid w:val="0065364E"/>
    <w:rsid w:val="0065419D"/>
    <w:rsid w:val="006604D8"/>
    <w:rsid w:val="00664A5B"/>
    <w:rsid w:val="0066735C"/>
    <w:rsid w:val="006763D2"/>
    <w:rsid w:val="00680C08"/>
    <w:rsid w:val="006916A0"/>
    <w:rsid w:val="006931B1"/>
    <w:rsid w:val="006A15C0"/>
    <w:rsid w:val="006A2D8C"/>
    <w:rsid w:val="006C265C"/>
    <w:rsid w:val="006C3E2A"/>
    <w:rsid w:val="006C642F"/>
    <w:rsid w:val="006D03E5"/>
    <w:rsid w:val="006D5D3E"/>
    <w:rsid w:val="006E08B3"/>
    <w:rsid w:val="006E79C6"/>
    <w:rsid w:val="006F17AC"/>
    <w:rsid w:val="006F18CC"/>
    <w:rsid w:val="006F25B8"/>
    <w:rsid w:val="006F4AE0"/>
    <w:rsid w:val="006F572E"/>
    <w:rsid w:val="007046D6"/>
    <w:rsid w:val="00705DB0"/>
    <w:rsid w:val="007208FD"/>
    <w:rsid w:val="00722B57"/>
    <w:rsid w:val="00730F8A"/>
    <w:rsid w:val="00735A8C"/>
    <w:rsid w:val="0074253D"/>
    <w:rsid w:val="0074429B"/>
    <w:rsid w:val="0075368F"/>
    <w:rsid w:val="007615BC"/>
    <w:rsid w:val="00762F05"/>
    <w:rsid w:val="007652FF"/>
    <w:rsid w:val="00770CAC"/>
    <w:rsid w:val="00770EF1"/>
    <w:rsid w:val="00773EF7"/>
    <w:rsid w:val="00774E1D"/>
    <w:rsid w:val="007765D8"/>
    <w:rsid w:val="0077675A"/>
    <w:rsid w:val="007767D0"/>
    <w:rsid w:val="00780355"/>
    <w:rsid w:val="007819FD"/>
    <w:rsid w:val="00785717"/>
    <w:rsid w:val="00785721"/>
    <w:rsid w:val="00793A59"/>
    <w:rsid w:val="00794474"/>
    <w:rsid w:val="007959FF"/>
    <w:rsid w:val="007A27A8"/>
    <w:rsid w:val="007A46F5"/>
    <w:rsid w:val="007B5152"/>
    <w:rsid w:val="007B6132"/>
    <w:rsid w:val="007B6E9F"/>
    <w:rsid w:val="007C1216"/>
    <w:rsid w:val="007C1AF7"/>
    <w:rsid w:val="007C6B9B"/>
    <w:rsid w:val="007C71C5"/>
    <w:rsid w:val="007D24E7"/>
    <w:rsid w:val="007D3721"/>
    <w:rsid w:val="007E4A5C"/>
    <w:rsid w:val="00803944"/>
    <w:rsid w:val="00805A4B"/>
    <w:rsid w:val="00805D27"/>
    <w:rsid w:val="00806DCB"/>
    <w:rsid w:val="00810A01"/>
    <w:rsid w:val="00812053"/>
    <w:rsid w:val="00815C12"/>
    <w:rsid w:val="00821776"/>
    <w:rsid w:val="0082640A"/>
    <w:rsid w:val="00826421"/>
    <w:rsid w:val="008321F5"/>
    <w:rsid w:val="00832369"/>
    <w:rsid w:val="00834660"/>
    <w:rsid w:val="00836BC2"/>
    <w:rsid w:val="00837BF9"/>
    <w:rsid w:val="008449D6"/>
    <w:rsid w:val="00847985"/>
    <w:rsid w:val="008506AC"/>
    <w:rsid w:val="0085156D"/>
    <w:rsid w:val="0085641B"/>
    <w:rsid w:val="00857136"/>
    <w:rsid w:val="00861291"/>
    <w:rsid w:val="00862A3E"/>
    <w:rsid w:val="00866D3C"/>
    <w:rsid w:val="00871506"/>
    <w:rsid w:val="00875A6B"/>
    <w:rsid w:val="00885B11"/>
    <w:rsid w:val="00886D15"/>
    <w:rsid w:val="00887DD8"/>
    <w:rsid w:val="00890DFA"/>
    <w:rsid w:val="00891BA9"/>
    <w:rsid w:val="00896018"/>
    <w:rsid w:val="008960DD"/>
    <w:rsid w:val="0089635C"/>
    <w:rsid w:val="008A2B9D"/>
    <w:rsid w:val="008A2F5F"/>
    <w:rsid w:val="008A3C0B"/>
    <w:rsid w:val="008A3D9F"/>
    <w:rsid w:val="008A5E0B"/>
    <w:rsid w:val="008A6D59"/>
    <w:rsid w:val="008A6EA8"/>
    <w:rsid w:val="008A7B06"/>
    <w:rsid w:val="008B38A9"/>
    <w:rsid w:val="008B4B03"/>
    <w:rsid w:val="008B596F"/>
    <w:rsid w:val="008C159F"/>
    <w:rsid w:val="008C1623"/>
    <w:rsid w:val="008C1850"/>
    <w:rsid w:val="008C2C19"/>
    <w:rsid w:val="008C51A9"/>
    <w:rsid w:val="008D4CCE"/>
    <w:rsid w:val="008D67FF"/>
    <w:rsid w:val="008E7846"/>
    <w:rsid w:val="008F02E5"/>
    <w:rsid w:val="008F1CCC"/>
    <w:rsid w:val="008F2967"/>
    <w:rsid w:val="008F6943"/>
    <w:rsid w:val="00902A21"/>
    <w:rsid w:val="00917EEC"/>
    <w:rsid w:val="00920330"/>
    <w:rsid w:val="009219D7"/>
    <w:rsid w:val="00922D53"/>
    <w:rsid w:val="00923B70"/>
    <w:rsid w:val="00924482"/>
    <w:rsid w:val="00924FFC"/>
    <w:rsid w:val="00930237"/>
    <w:rsid w:val="00937C17"/>
    <w:rsid w:val="00940A89"/>
    <w:rsid w:val="009436CA"/>
    <w:rsid w:val="00946EA5"/>
    <w:rsid w:val="00963C08"/>
    <w:rsid w:val="00965751"/>
    <w:rsid w:val="00965C95"/>
    <w:rsid w:val="00974294"/>
    <w:rsid w:val="009752A5"/>
    <w:rsid w:val="00982719"/>
    <w:rsid w:val="0098585A"/>
    <w:rsid w:val="00985FBB"/>
    <w:rsid w:val="00995AAE"/>
    <w:rsid w:val="009A0371"/>
    <w:rsid w:val="009A4CED"/>
    <w:rsid w:val="009A690D"/>
    <w:rsid w:val="009B1D12"/>
    <w:rsid w:val="009B2FD7"/>
    <w:rsid w:val="009B386A"/>
    <w:rsid w:val="009B416B"/>
    <w:rsid w:val="009B56DD"/>
    <w:rsid w:val="009C1604"/>
    <w:rsid w:val="009C4BD5"/>
    <w:rsid w:val="009D4285"/>
    <w:rsid w:val="009D7B77"/>
    <w:rsid w:val="009E0BB0"/>
    <w:rsid w:val="009E3FBB"/>
    <w:rsid w:val="009E635F"/>
    <w:rsid w:val="009F298B"/>
    <w:rsid w:val="009F6E6E"/>
    <w:rsid w:val="009F7353"/>
    <w:rsid w:val="00A02B45"/>
    <w:rsid w:val="00A04F85"/>
    <w:rsid w:val="00A0543D"/>
    <w:rsid w:val="00A05FA4"/>
    <w:rsid w:val="00A102E4"/>
    <w:rsid w:val="00A12C42"/>
    <w:rsid w:val="00A1435B"/>
    <w:rsid w:val="00A14DF7"/>
    <w:rsid w:val="00A243CD"/>
    <w:rsid w:val="00A26925"/>
    <w:rsid w:val="00A3246D"/>
    <w:rsid w:val="00A326A4"/>
    <w:rsid w:val="00A36FA7"/>
    <w:rsid w:val="00A40BB3"/>
    <w:rsid w:val="00A44A63"/>
    <w:rsid w:val="00A44DDB"/>
    <w:rsid w:val="00A45258"/>
    <w:rsid w:val="00A475B7"/>
    <w:rsid w:val="00A47AF7"/>
    <w:rsid w:val="00A47C3E"/>
    <w:rsid w:val="00A50226"/>
    <w:rsid w:val="00A50F95"/>
    <w:rsid w:val="00A5621B"/>
    <w:rsid w:val="00A60BAD"/>
    <w:rsid w:val="00A80B5B"/>
    <w:rsid w:val="00A81F68"/>
    <w:rsid w:val="00A84E36"/>
    <w:rsid w:val="00A964D1"/>
    <w:rsid w:val="00A971EC"/>
    <w:rsid w:val="00AA0ED0"/>
    <w:rsid w:val="00AA776C"/>
    <w:rsid w:val="00AC2B40"/>
    <w:rsid w:val="00AC2BB2"/>
    <w:rsid w:val="00AC2C3C"/>
    <w:rsid w:val="00AC4B89"/>
    <w:rsid w:val="00AC512D"/>
    <w:rsid w:val="00AD0083"/>
    <w:rsid w:val="00AD013E"/>
    <w:rsid w:val="00AD3935"/>
    <w:rsid w:val="00AD4938"/>
    <w:rsid w:val="00AE431E"/>
    <w:rsid w:val="00AE65EB"/>
    <w:rsid w:val="00AE67A7"/>
    <w:rsid w:val="00AF1D94"/>
    <w:rsid w:val="00AF2B0C"/>
    <w:rsid w:val="00AF60C5"/>
    <w:rsid w:val="00B009C6"/>
    <w:rsid w:val="00B01548"/>
    <w:rsid w:val="00B045BC"/>
    <w:rsid w:val="00B07C9A"/>
    <w:rsid w:val="00B1209D"/>
    <w:rsid w:val="00B13EBD"/>
    <w:rsid w:val="00B15E76"/>
    <w:rsid w:val="00B21D29"/>
    <w:rsid w:val="00B223BD"/>
    <w:rsid w:val="00B25034"/>
    <w:rsid w:val="00B25C6E"/>
    <w:rsid w:val="00B27974"/>
    <w:rsid w:val="00B308D5"/>
    <w:rsid w:val="00B33588"/>
    <w:rsid w:val="00B33863"/>
    <w:rsid w:val="00B34EBF"/>
    <w:rsid w:val="00B36E2D"/>
    <w:rsid w:val="00B37D17"/>
    <w:rsid w:val="00B4175E"/>
    <w:rsid w:val="00B417FF"/>
    <w:rsid w:val="00B41C85"/>
    <w:rsid w:val="00B452CE"/>
    <w:rsid w:val="00B54C25"/>
    <w:rsid w:val="00B6337D"/>
    <w:rsid w:val="00B7323E"/>
    <w:rsid w:val="00B76B91"/>
    <w:rsid w:val="00B77EB1"/>
    <w:rsid w:val="00B811C6"/>
    <w:rsid w:val="00B855B0"/>
    <w:rsid w:val="00B92E08"/>
    <w:rsid w:val="00BB636A"/>
    <w:rsid w:val="00BC3315"/>
    <w:rsid w:val="00BC622A"/>
    <w:rsid w:val="00BE0A78"/>
    <w:rsid w:val="00BE0CB5"/>
    <w:rsid w:val="00BE79F0"/>
    <w:rsid w:val="00BF046D"/>
    <w:rsid w:val="00BF1190"/>
    <w:rsid w:val="00BF5D04"/>
    <w:rsid w:val="00BF7FCA"/>
    <w:rsid w:val="00C009AA"/>
    <w:rsid w:val="00C0528C"/>
    <w:rsid w:val="00C1164D"/>
    <w:rsid w:val="00C16861"/>
    <w:rsid w:val="00C2705E"/>
    <w:rsid w:val="00C346AB"/>
    <w:rsid w:val="00C404A6"/>
    <w:rsid w:val="00C40A36"/>
    <w:rsid w:val="00C41DF3"/>
    <w:rsid w:val="00C44419"/>
    <w:rsid w:val="00C4441F"/>
    <w:rsid w:val="00C45E7B"/>
    <w:rsid w:val="00C471B1"/>
    <w:rsid w:val="00C549C5"/>
    <w:rsid w:val="00C6316B"/>
    <w:rsid w:val="00C634A9"/>
    <w:rsid w:val="00C64586"/>
    <w:rsid w:val="00C70D53"/>
    <w:rsid w:val="00C718C1"/>
    <w:rsid w:val="00C73D0B"/>
    <w:rsid w:val="00C764E4"/>
    <w:rsid w:val="00C772FF"/>
    <w:rsid w:val="00C80137"/>
    <w:rsid w:val="00C801AF"/>
    <w:rsid w:val="00C80256"/>
    <w:rsid w:val="00C80B5D"/>
    <w:rsid w:val="00C82A0A"/>
    <w:rsid w:val="00C8644C"/>
    <w:rsid w:val="00C93766"/>
    <w:rsid w:val="00C94CD4"/>
    <w:rsid w:val="00C9747E"/>
    <w:rsid w:val="00CA29F7"/>
    <w:rsid w:val="00CA7D5F"/>
    <w:rsid w:val="00CB18C9"/>
    <w:rsid w:val="00CB5566"/>
    <w:rsid w:val="00CB6BC0"/>
    <w:rsid w:val="00CC1B7C"/>
    <w:rsid w:val="00CC51E0"/>
    <w:rsid w:val="00CC59D5"/>
    <w:rsid w:val="00CC727F"/>
    <w:rsid w:val="00CD10DA"/>
    <w:rsid w:val="00CF15C3"/>
    <w:rsid w:val="00CF2B6F"/>
    <w:rsid w:val="00CF2F3E"/>
    <w:rsid w:val="00CF58B6"/>
    <w:rsid w:val="00D0058D"/>
    <w:rsid w:val="00D0062D"/>
    <w:rsid w:val="00D007B8"/>
    <w:rsid w:val="00D017ED"/>
    <w:rsid w:val="00D040D3"/>
    <w:rsid w:val="00D04C65"/>
    <w:rsid w:val="00D10AA7"/>
    <w:rsid w:val="00D201D2"/>
    <w:rsid w:val="00D224FE"/>
    <w:rsid w:val="00D23139"/>
    <w:rsid w:val="00D24694"/>
    <w:rsid w:val="00D26E58"/>
    <w:rsid w:val="00D3278A"/>
    <w:rsid w:val="00D34F4A"/>
    <w:rsid w:val="00D36023"/>
    <w:rsid w:val="00D425BB"/>
    <w:rsid w:val="00D51418"/>
    <w:rsid w:val="00D54233"/>
    <w:rsid w:val="00D62300"/>
    <w:rsid w:val="00D6493E"/>
    <w:rsid w:val="00D7195D"/>
    <w:rsid w:val="00D7301E"/>
    <w:rsid w:val="00D74026"/>
    <w:rsid w:val="00D7502D"/>
    <w:rsid w:val="00D83AE1"/>
    <w:rsid w:val="00D855D4"/>
    <w:rsid w:val="00D902C9"/>
    <w:rsid w:val="00D93466"/>
    <w:rsid w:val="00D9387A"/>
    <w:rsid w:val="00DA1124"/>
    <w:rsid w:val="00DB5329"/>
    <w:rsid w:val="00DB6124"/>
    <w:rsid w:val="00DB750B"/>
    <w:rsid w:val="00DB75B7"/>
    <w:rsid w:val="00DC3B9D"/>
    <w:rsid w:val="00DC6E02"/>
    <w:rsid w:val="00DD28CD"/>
    <w:rsid w:val="00DE02AE"/>
    <w:rsid w:val="00DE3C45"/>
    <w:rsid w:val="00DE6871"/>
    <w:rsid w:val="00DF1D7F"/>
    <w:rsid w:val="00DF4746"/>
    <w:rsid w:val="00DF4BE4"/>
    <w:rsid w:val="00DF7C03"/>
    <w:rsid w:val="00E00662"/>
    <w:rsid w:val="00E02FB4"/>
    <w:rsid w:val="00E10351"/>
    <w:rsid w:val="00E13FC7"/>
    <w:rsid w:val="00E20571"/>
    <w:rsid w:val="00E20C63"/>
    <w:rsid w:val="00E235F7"/>
    <w:rsid w:val="00E23659"/>
    <w:rsid w:val="00E239D4"/>
    <w:rsid w:val="00E26130"/>
    <w:rsid w:val="00E26911"/>
    <w:rsid w:val="00E3399B"/>
    <w:rsid w:val="00E40B22"/>
    <w:rsid w:val="00E41644"/>
    <w:rsid w:val="00E44ED1"/>
    <w:rsid w:val="00E45619"/>
    <w:rsid w:val="00E4588F"/>
    <w:rsid w:val="00E46DA3"/>
    <w:rsid w:val="00E51BB1"/>
    <w:rsid w:val="00E624A5"/>
    <w:rsid w:val="00E64BA4"/>
    <w:rsid w:val="00E7344E"/>
    <w:rsid w:val="00E808E8"/>
    <w:rsid w:val="00E82665"/>
    <w:rsid w:val="00E86AC8"/>
    <w:rsid w:val="00EA0761"/>
    <w:rsid w:val="00EA1C6D"/>
    <w:rsid w:val="00EA1DF3"/>
    <w:rsid w:val="00EA516A"/>
    <w:rsid w:val="00EB0757"/>
    <w:rsid w:val="00EB0798"/>
    <w:rsid w:val="00EB40AD"/>
    <w:rsid w:val="00EB586E"/>
    <w:rsid w:val="00EB5FC8"/>
    <w:rsid w:val="00EC463D"/>
    <w:rsid w:val="00EC4F27"/>
    <w:rsid w:val="00EC5FD9"/>
    <w:rsid w:val="00EC7A85"/>
    <w:rsid w:val="00ED2922"/>
    <w:rsid w:val="00ED3CAD"/>
    <w:rsid w:val="00ED5A41"/>
    <w:rsid w:val="00EE1DE8"/>
    <w:rsid w:val="00EE27C2"/>
    <w:rsid w:val="00EF1F0C"/>
    <w:rsid w:val="00EF4266"/>
    <w:rsid w:val="00EF4BAD"/>
    <w:rsid w:val="00EF59DC"/>
    <w:rsid w:val="00F033EC"/>
    <w:rsid w:val="00F04F68"/>
    <w:rsid w:val="00F12670"/>
    <w:rsid w:val="00F14B27"/>
    <w:rsid w:val="00F22AB0"/>
    <w:rsid w:val="00F3148D"/>
    <w:rsid w:val="00F325C5"/>
    <w:rsid w:val="00F32801"/>
    <w:rsid w:val="00F32FE0"/>
    <w:rsid w:val="00F33947"/>
    <w:rsid w:val="00F35298"/>
    <w:rsid w:val="00F37E09"/>
    <w:rsid w:val="00F46967"/>
    <w:rsid w:val="00F47333"/>
    <w:rsid w:val="00F47E37"/>
    <w:rsid w:val="00F50530"/>
    <w:rsid w:val="00F53C07"/>
    <w:rsid w:val="00F54B65"/>
    <w:rsid w:val="00F5712D"/>
    <w:rsid w:val="00F640B6"/>
    <w:rsid w:val="00F6485C"/>
    <w:rsid w:val="00F66DF2"/>
    <w:rsid w:val="00F80E40"/>
    <w:rsid w:val="00F848D9"/>
    <w:rsid w:val="00FA5B82"/>
    <w:rsid w:val="00FA61C9"/>
    <w:rsid w:val="00FA639E"/>
    <w:rsid w:val="00FB21FA"/>
    <w:rsid w:val="00FC1FCA"/>
    <w:rsid w:val="00FC25E4"/>
    <w:rsid w:val="00FC4EF7"/>
    <w:rsid w:val="00FD0824"/>
    <w:rsid w:val="00FD119B"/>
    <w:rsid w:val="00FD1EDC"/>
    <w:rsid w:val="00FD44A6"/>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4AA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B0FF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A1DF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A44A6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44A63"/>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44A63"/>
    <w:pPr>
      <w:numPr>
        <w:numId w:val="29"/>
      </w:numPr>
      <w:spacing w:after="180"/>
    </w:pPr>
    <w:rPr>
      <w:kern w:val="2"/>
    </w:rPr>
  </w:style>
  <w:style w:type="character" w:customStyle="1" w:styleId="TabletextChar">
    <w:name w:val="Table text Char"/>
    <w:basedOn w:val="StandardChar"/>
    <w:link w:val="Tabletext"/>
    <w:rsid w:val="00A44A63"/>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44A63"/>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A44A63"/>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A44A63"/>
    <w:rPr>
      <w:rFonts w:ascii="Cambria" w:eastAsia="Times New Roman" w:hAnsi="Cambria" w:cs="Times New Roman"/>
      <w:b/>
      <w:snapToGrid w:val="0"/>
      <w:kern w:val="16"/>
      <w:sz w:val="20"/>
      <w:szCs w:val="24"/>
    </w:rPr>
  </w:style>
  <w:style w:type="paragraph" w:customStyle="1" w:styleId="Default">
    <w:name w:val="Default"/>
    <w:rsid w:val="00285AEE"/>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285AEE"/>
    <w:pPr>
      <w:widowControl w:val="0"/>
      <w:autoSpaceDE w:val="0"/>
      <w:autoSpaceDN w:val="0"/>
      <w:spacing w:after="0" w:line="240" w:lineRule="auto"/>
      <w:ind w:left="659"/>
      <w:jc w:val="both"/>
    </w:pPr>
    <w:rPr>
      <w:rFonts w:ascii="Times New Roman" w:eastAsia="Times New Roman" w:hAnsi="Times New Roman"/>
      <w:sz w:val="24"/>
      <w:szCs w:val="24"/>
      <w:lang w:val="en-US" w:bidi="en-US"/>
    </w:rPr>
  </w:style>
  <w:style w:type="character" w:customStyle="1" w:styleId="BodyTextChar">
    <w:name w:val="Body Text Char"/>
    <w:basedOn w:val="DefaultParagraphFont"/>
    <w:link w:val="BodyText"/>
    <w:uiPriority w:val="1"/>
    <w:rsid w:val="00285AEE"/>
    <w:rPr>
      <w:rFonts w:ascii="Times New Roman" w:eastAsia="Times New Roman" w:hAnsi="Times New Roman" w:cs="Times New Roman"/>
      <w:sz w:val="24"/>
      <w:szCs w:val="24"/>
      <w:lang w:val="en-US" w:bidi="en-US"/>
    </w:rPr>
  </w:style>
  <w:style w:type="paragraph" w:styleId="ListParagraph">
    <w:name w:val="List Paragraph"/>
    <w:basedOn w:val="Normal"/>
    <w:uiPriority w:val="1"/>
    <w:qFormat/>
    <w:rsid w:val="00CB5566"/>
    <w:pPr>
      <w:widowControl w:val="0"/>
      <w:autoSpaceDE w:val="0"/>
      <w:autoSpaceDN w:val="0"/>
      <w:spacing w:before="0" w:after="0" w:line="240" w:lineRule="auto"/>
      <w:ind w:left="1379" w:hanging="720"/>
    </w:pPr>
    <w:rPr>
      <w:rFonts w:ascii="Times New Roman" w:eastAsia="Times New Roman" w:hAnsi="Times New Roman"/>
      <w:lang w:val="en-US" w:bidi="en-US"/>
    </w:rPr>
  </w:style>
  <w:style w:type="character" w:styleId="Emphasis">
    <w:name w:val="Emphasis"/>
    <w:basedOn w:val="DefaultParagraphFont"/>
    <w:uiPriority w:val="20"/>
    <w:qFormat/>
    <w:rsid w:val="00EC5FD9"/>
    <w:rPr>
      <w:i/>
      <w:iCs/>
    </w:rPr>
  </w:style>
  <w:style w:type="paragraph" w:customStyle="1" w:styleId="TableParagraph">
    <w:name w:val="Table Paragraph"/>
    <w:basedOn w:val="Normal"/>
    <w:uiPriority w:val="1"/>
    <w:qFormat/>
    <w:rsid w:val="00510F6B"/>
    <w:pPr>
      <w:autoSpaceDE w:val="0"/>
      <w:autoSpaceDN w:val="0"/>
      <w:adjustRightInd w:val="0"/>
      <w:spacing w:before="0" w:after="0" w:line="240" w:lineRule="auto"/>
    </w:pPr>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B0FF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A1DF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A44A6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44A63"/>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44A63"/>
    <w:pPr>
      <w:numPr>
        <w:numId w:val="29"/>
      </w:numPr>
      <w:spacing w:after="180"/>
    </w:pPr>
    <w:rPr>
      <w:kern w:val="2"/>
    </w:rPr>
  </w:style>
  <w:style w:type="character" w:customStyle="1" w:styleId="TabletextChar">
    <w:name w:val="Table text Char"/>
    <w:basedOn w:val="StandardChar"/>
    <w:link w:val="Tabletext"/>
    <w:rsid w:val="00A44A63"/>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44A63"/>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A44A63"/>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A44A63"/>
    <w:rPr>
      <w:rFonts w:ascii="Cambria" w:eastAsia="Times New Roman" w:hAnsi="Cambria" w:cs="Times New Roman"/>
      <w:b/>
      <w:snapToGrid w:val="0"/>
      <w:kern w:val="16"/>
      <w:sz w:val="20"/>
      <w:szCs w:val="24"/>
    </w:rPr>
  </w:style>
  <w:style w:type="paragraph" w:customStyle="1" w:styleId="Default">
    <w:name w:val="Default"/>
    <w:rsid w:val="00285AEE"/>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285AEE"/>
    <w:pPr>
      <w:widowControl w:val="0"/>
      <w:autoSpaceDE w:val="0"/>
      <w:autoSpaceDN w:val="0"/>
      <w:spacing w:after="0" w:line="240" w:lineRule="auto"/>
      <w:ind w:left="659"/>
      <w:jc w:val="both"/>
    </w:pPr>
    <w:rPr>
      <w:rFonts w:ascii="Times New Roman" w:eastAsia="Times New Roman" w:hAnsi="Times New Roman"/>
      <w:sz w:val="24"/>
      <w:szCs w:val="24"/>
      <w:lang w:val="en-US" w:bidi="en-US"/>
    </w:rPr>
  </w:style>
  <w:style w:type="character" w:customStyle="1" w:styleId="BodyTextChar">
    <w:name w:val="Body Text Char"/>
    <w:basedOn w:val="DefaultParagraphFont"/>
    <w:link w:val="BodyText"/>
    <w:uiPriority w:val="1"/>
    <w:rsid w:val="00285AEE"/>
    <w:rPr>
      <w:rFonts w:ascii="Times New Roman" w:eastAsia="Times New Roman" w:hAnsi="Times New Roman" w:cs="Times New Roman"/>
      <w:sz w:val="24"/>
      <w:szCs w:val="24"/>
      <w:lang w:val="en-US" w:bidi="en-US"/>
    </w:rPr>
  </w:style>
  <w:style w:type="paragraph" w:styleId="ListParagraph">
    <w:name w:val="List Paragraph"/>
    <w:basedOn w:val="Normal"/>
    <w:uiPriority w:val="1"/>
    <w:qFormat/>
    <w:rsid w:val="00CB5566"/>
    <w:pPr>
      <w:widowControl w:val="0"/>
      <w:autoSpaceDE w:val="0"/>
      <w:autoSpaceDN w:val="0"/>
      <w:spacing w:before="0" w:after="0" w:line="240" w:lineRule="auto"/>
      <w:ind w:left="1379" w:hanging="720"/>
    </w:pPr>
    <w:rPr>
      <w:rFonts w:ascii="Times New Roman" w:eastAsia="Times New Roman" w:hAnsi="Times New Roman"/>
      <w:lang w:val="en-US" w:bidi="en-US"/>
    </w:rPr>
  </w:style>
  <w:style w:type="character" w:styleId="Emphasis">
    <w:name w:val="Emphasis"/>
    <w:basedOn w:val="DefaultParagraphFont"/>
    <w:uiPriority w:val="20"/>
    <w:qFormat/>
    <w:rsid w:val="00EC5FD9"/>
    <w:rPr>
      <w:i/>
      <w:iCs/>
    </w:rPr>
  </w:style>
  <w:style w:type="paragraph" w:customStyle="1" w:styleId="TableParagraph">
    <w:name w:val="Table Paragraph"/>
    <w:basedOn w:val="Normal"/>
    <w:uiPriority w:val="1"/>
    <w:qFormat/>
    <w:rsid w:val="00510F6B"/>
    <w:pPr>
      <w:autoSpaceDE w:val="0"/>
      <w:autoSpaceDN w:val="0"/>
      <w:adjustRightInd w:val="0"/>
      <w:spacing w:before="0"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0774">
      <w:bodyDiv w:val="1"/>
      <w:marLeft w:val="0"/>
      <w:marRight w:val="0"/>
      <w:marTop w:val="0"/>
      <w:marBottom w:val="0"/>
      <w:divBdr>
        <w:top w:val="none" w:sz="0" w:space="0" w:color="auto"/>
        <w:left w:val="none" w:sz="0" w:space="0" w:color="auto"/>
        <w:bottom w:val="none" w:sz="0" w:space="0" w:color="auto"/>
        <w:right w:val="none" w:sz="0" w:space="0" w:color="auto"/>
      </w:divBdr>
    </w:div>
    <w:div w:id="42101060">
      <w:bodyDiv w:val="1"/>
      <w:marLeft w:val="0"/>
      <w:marRight w:val="0"/>
      <w:marTop w:val="0"/>
      <w:marBottom w:val="0"/>
      <w:divBdr>
        <w:top w:val="none" w:sz="0" w:space="0" w:color="auto"/>
        <w:left w:val="none" w:sz="0" w:space="0" w:color="auto"/>
        <w:bottom w:val="none" w:sz="0" w:space="0" w:color="auto"/>
        <w:right w:val="none" w:sz="0" w:space="0" w:color="auto"/>
      </w:divBdr>
      <w:divsChild>
        <w:div w:id="581642997">
          <w:marLeft w:val="0"/>
          <w:marRight w:val="0"/>
          <w:marTop w:val="0"/>
          <w:marBottom w:val="0"/>
          <w:divBdr>
            <w:top w:val="none" w:sz="0" w:space="0" w:color="auto"/>
            <w:left w:val="none" w:sz="0" w:space="0" w:color="auto"/>
            <w:bottom w:val="none" w:sz="0" w:space="0" w:color="auto"/>
            <w:right w:val="none" w:sz="0" w:space="0" w:color="auto"/>
          </w:divBdr>
          <w:divsChild>
            <w:div w:id="1059012700">
              <w:marLeft w:val="0"/>
              <w:marRight w:val="0"/>
              <w:marTop w:val="0"/>
              <w:marBottom w:val="0"/>
              <w:divBdr>
                <w:top w:val="none" w:sz="0" w:space="0" w:color="auto"/>
                <w:left w:val="none" w:sz="0" w:space="0" w:color="auto"/>
                <w:bottom w:val="none" w:sz="0" w:space="0" w:color="auto"/>
                <w:right w:val="none" w:sz="0" w:space="0" w:color="auto"/>
              </w:divBdr>
              <w:divsChild>
                <w:div w:id="1169104716">
                  <w:marLeft w:val="0"/>
                  <w:marRight w:val="0"/>
                  <w:marTop w:val="0"/>
                  <w:marBottom w:val="0"/>
                  <w:divBdr>
                    <w:top w:val="none" w:sz="0" w:space="0" w:color="auto"/>
                    <w:left w:val="none" w:sz="0" w:space="0" w:color="auto"/>
                    <w:bottom w:val="none" w:sz="0" w:space="0" w:color="auto"/>
                    <w:right w:val="none" w:sz="0" w:space="0" w:color="auto"/>
                  </w:divBdr>
                  <w:divsChild>
                    <w:div w:id="4630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2746">
      <w:bodyDiv w:val="1"/>
      <w:marLeft w:val="0"/>
      <w:marRight w:val="0"/>
      <w:marTop w:val="0"/>
      <w:marBottom w:val="0"/>
      <w:divBdr>
        <w:top w:val="none" w:sz="0" w:space="0" w:color="auto"/>
        <w:left w:val="none" w:sz="0" w:space="0" w:color="auto"/>
        <w:bottom w:val="none" w:sz="0" w:space="0" w:color="auto"/>
        <w:right w:val="none" w:sz="0" w:space="0" w:color="auto"/>
      </w:divBdr>
    </w:div>
    <w:div w:id="75325295">
      <w:bodyDiv w:val="1"/>
      <w:marLeft w:val="0"/>
      <w:marRight w:val="0"/>
      <w:marTop w:val="0"/>
      <w:marBottom w:val="0"/>
      <w:divBdr>
        <w:top w:val="none" w:sz="0" w:space="0" w:color="auto"/>
        <w:left w:val="none" w:sz="0" w:space="0" w:color="auto"/>
        <w:bottom w:val="none" w:sz="0" w:space="0" w:color="auto"/>
        <w:right w:val="none" w:sz="0" w:space="0" w:color="auto"/>
      </w:divBdr>
    </w:div>
    <w:div w:id="90980693">
      <w:bodyDiv w:val="1"/>
      <w:marLeft w:val="0"/>
      <w:marRight w:val="0"/>
      <w:marTop w:val="0"/>
      <w:marBottom w:val="0"/>
      <w:divBdr>
        <w:top w:val="none" w:sz="0" w:space="0" w:color="auto"/>
        <w:left w:val="none" w:sz="0" w:space="0" w:color="auto"/>
        <w:bottom w:val="none" w:sz="0" w:space="0" w:color="auto"/>
        <w:right w:val="none" w:sz="0" w:space="0" w:color="auto"/>
      </w:divBdr>
    </w:div>
    <w:div w:id="93479880">
      <w:bodyDiv w:val="1"/>
      <w:marLeft w:val="0"/>
      <w:marRight w:val="0"/>
      <w:marTop w:val="0"/>
      <w:marBottom w:val="0"/>
      <w:divBdr>
        <w:top w:val="none" w:sz="0" w:space="0" w:color="auto"/>
        <w:left w:val="none" w:sz="0" w:space="0" w:color="auto"/>
        <w:bottom w:val="none" w:sz="0" w:space="0" w:color="auto"/>
        <w:right w:val="none" w:sz="0" w:space="0" w:color="auto"/>
      </w:divBdr>
    </w:div>
    <w:div w:id="170534395">
      <w:bodyDiv w:val="1"/>
      <w:marLeft w:val="0"/>
      <w:marRight w:val="0"/>
      <w:marTop w:val="0"/>
      <w:marBottom w:val="0"/>
      <w:divBdr>
        <w:top w:val="none" w:sz="0" w:space="0" w:color="auto"/>
        <w:left w:val="none" w:sz="0" w:space="0" w:color="auto"/>
        <w:bottom w:val="none" w:sz="0" w:space="0" w:color="auto"/>
        <w:right w:val="none" w:sz="0" w:space="0" w:color="auto"/>
      </w:divBdr>
    </w:div>
    <w:div w:id="246547142">
      <w:bodyDiv w:val="1"/>
      <w:marLeft w:val="0"/>
      <w:marRight w:val="0"/>
      <w:marTop w:val="0"/>
      <w:marBottom w:val="0"/>
      <w:divBdr>
        <w:top w:val="none" w:sz="0" w:space="0" w:color="auto"/>
        <w:left w:val="none" w:sz="0" w:space="0" w:color="auto"/>
        <w:bottom w:val="none" w:sz="0" w:space="0" w:color="auto"/>
        <w:right w:val="none" w:sz="0" w:space="0" w:color="auto"/>
      </w:divBdr>
    </w:div>
    <w:div w:id="319969399">
      <w:bodyDiv w:val="1"/>
      <w:marLeft w:val="0"/>
      <w:marRight w:val="0"/>
      <w:marTop w:val="0"/>
      <w:marBottom w:val="0"/>
      <w:divBdr>
        <w:top w:val="none" w:sz="0" w:space="0" w:color="auto"/>
        <w:left w:val="none" w:sz="0" w:space="0" w:color="auto"/>
        <w:bottom w:val="none" w:sz="0" w:space="0" w:color="auto"/>
        <w:right w:val="none" w:sz="0" w:space="0" w:color="auto"/>
      </w:divBdr>
    </w:div>
    <w:div w:id="341010144">
      <w:bodyDiv w:val="1"/>
      <w:marLeft w:val="0"/>
      <w:marRight w:val="0"/>
      <w:marTop w:val="0"/>
      <w:marBottom w:val="0"/>
      <w:divBdr>
        <w:top w:val="none" w:sz="0" w:space="0" w:color="auto"/>
        <w:left w:val="none" w:sz="0" w:space="0" w:color="auto"/>
        <w:bottom w:val="none" w:sz="0" w:space="0" w:color="auto"/>
        <w:right w:val="none" w:sz="0" w:space="0" w:color="auto"/>
      </w:divBdr>
    </w:div>
    <w:div w:id="371925128">
      <w:bodyDiv w:val="1"/>
      <w:marLeft w:val="0"/>
      <w:marRight w:val="0"/>
      <w:marTop w:val="0"/>
      <w:marBottom w:val="0"/>
      <w:divBdr>
        <w:top w:val="none" w:sz="0" w:space="0" w:color="auto"/>
        <w:left w:val="none" w:sz="0" w:space="0" w:color="auto"/>
        <w:bottom w:val="none" w:sz="0" w:space="0" w:color="auto"/>
        <w:right w:val="none" w:sz="0" w:space="0" w:color="auto"/>
      </w:divBdr>
    </w:div>
    <w:div w:id="393701321">
      <w:bodyDiv w:val="1"/>
      <w:marLeft w:val="0"/>
      <w:marRight w:val="0"/>
      <w:marTop w:val="0"/>
      <w:marBottom w:val="0"/>
      <w:divBdr>
        <w:top w:val="none" w:sz="0" w:space="0" w:color="auto"/>
        <w:left w:val="none" w:sz="0" w:space="0" w:color="auto"/>
        <w:bottom w:val="none" w:sz="0" w:space="0" w:color="auto"/>
        <w:right w:val="none" w:sz="0" w:space="0" w:color="auto"/>
      </w:divBdr>
      <w:divsChild>
        <w:div w:id="946232747">
          <w:marLeft w:val="0"/>
          <w:marRight w:val="0"/>
          <w:marTop w:val="0"/>
          <w:marBottom w:val="0"/>
          <w:divBdr>
            <w:top w:val="none" w:sz="0" w:space="0" w:color="auto"/>
            <w:left w:val="none" w:sz="0" w:space="0" w:color="auto"/>
            <w:bottom w:val="none" w:sz="0" w:space="0" w:color="auto"/>
            <w:right w:val="none" w:sz="0" w:space="0" w:color="auto"/>
          </w:divBdr>
          <w:divsChild>
            <w:div w:id="1086993843">
              <w:marLeft w:val="0"/>
              <w:marRight w:val="0"/>
              <w:marTop w:val="0"/>
              <w:marBottom w:val="0"/>
              <w:divBdr>
                <w:top w:val="none" w:sz="0" w:space="0" w:color="auto"/>
                <w:left w:val="none" w:sz="0" w:space="0" w:color="auto"/>
                <w:bottom w:val="none" w:sz="0" w:space="0" w:color="auto"/>
                <w:right w:val="none" w:sz="0" w:space="0" w:color="auto"/>
              </w:divBdr>
              <w:divsChild>
                <w:div w:id="90710844">
                  <w:marLeft w:val="0"/>
                  <w:marRight w:val="0"/>
                  <w:marTop w:val="0"/>
                  <w:marBottom w:val="0"/>
                  <w:divBdr>
                    <w:top w:val="none" w:sz="0" w:space="0" w:color="auto"/>
                    <w:left w:val="none" w:sz="0" w:space="0" w:color="auto"/>
                    <w:bottom w:val="none" w:sz="0" w:space="0" w:color="auto"/>
                    <w:right w:val="none" w:sz="0" w:space="0" w:color="auto"/>
                  </w:divBdr>
                  <w:divsChild>
                    <w:div w:id="376666227">
                      <w:marLeft w:val="0"/>
                      <w:marRight w:val="0"/>
                      <w:marTop w:val="45"/>
                      <w:marBottom w:val="0"/>
                      <w:divBdr>
                        <w:top w:val="none" w:sz="0" w:space="0" w:color="auto"/>
                        <w:left w:val="none" w:sz="0" w:space="0" w:color="auto"/>
                        <w:bottom w:val="none" w:sz="0" w:space="0" w:color="auto"/>
                        <w:right w:val="none" w:sz="0" w:space="0" w:color="auto"/>
                      </w:divBdr>
                      <w:divsChild>
                        <w:div w:id="454568093">
                          <w:marLeft w:val="0"/>
                          <w:marRight w:val="0"/>
                          <w:marTop w:val="0"/>
                          <w:marBottom w:val="0"/>
                          <w:divBdr>
                            <w:top w:val="none" w:sz="0" w:space="0" w:color="auto"/>
                            <w:left w:val="none" w:sz="0" w:space="0" w:color="auto"/>
                            <w:bottom w:val="none" w:sz="0" w:space="0" w:color="auto"/>
                            <w:right w:val="none" w:sz="0" w:space="0" w:color="auto"/>
                          </w:divBdr>
                          <w:divsChild>
                            <w:div w:id="2064793505">
                              <w:marLeft w:val="2070"/>
                              <w:marRight w:val="3960"/>
                              <w:marTop w:val="0"/>
                              <w:marBottom w:val="0"/>
                              <w:divBdr>
                                <w:top w:val="none" w:sz="0" w:space="0" w:color="auto"/>
                                <w:left w:val="none" w:sz="0" w:space="0" w:color="auto"/>
                                <w:bottom w:val="none" w:sz="0" w:space="0" w:color="auto"/>
                                <w:right w:val="none" w:sz="0" w:space="0" w:color="auto"/>
                              </w:divBdr>
                              <w:divsChild>
                                <w:div w:id="1715042159">
                                  <w:marLeft w:val="0"/>
                                  <w:marRight w:val="0"/>
                                  <w:marTop w:val="0"/>
                                  <w:marBottom w:val="0"/>
                                  <w:divBdr>
                                    <w:top w:val="none" w:sz="0" w:space="0" w:color="auto"/>
                                    <w:left w:val="none" w:sz="0" w:space="0" w:color="auto"/>
                                    <w:bottom w:val="none" w:sz="0" w:space="0" w:color="auto"/>
                                    <w:right w:val="none" w:sz="0" w:space="0" w:color="auto"/>
                                  </w:divBdr>
                                  <w:divsChild>
                                    <w:div w:id="484202982">
                                      <w:marLeft w:val="0"/>
                                      <w:marRight w:val="0"/>
                                      <w:marTop w:val="0"/>
                                      <w:marBottom w:val="0"/>
                                      <w:divBdr>
                                        <w:top w:val="none" w:sz="0" w:space="0" w:color="auto"/>
                                        <w:left w:val="none" w:sz="0" w:space="0" w:color="auto"/>
                                        <w:bottom w:val="none" w:sz="0" w:space="0" w:color="auto"/>
                                        <w:right w:val="none" w:sz="0" w:space="0" w:color="auto"/>
                                      </w:divBdr>
                                      <w:divsChild>
                                        <w:div w:id="1949656028">
                                          <w:marLeft w:val="0"/>
                                          <w:marRight w:val="0"/>
                                          <w:marTop w:val="0"/>
                                          <w:marBottom w:val="0"/>
                                          <w:divBdr>
                                            <w:top w:val="none" w:sz="0" w:space="0" w:color="auto"/>
                                            <w:left w:val="none" w:sz="0" w:space="0" w:color="auto"/>
                                            <w:bottom w:val="none" w:sz="0" w:space="0" w:color="auto"/>
                                            <w:right w:val="none" w:sz="0" w:space="0" w:color="auto"/>
                                          </w:divBdr>
                                          <w:divsChild>
                                            <w:div w:id="1064259025">
                                              <w:marLeft w:val="0"/>
                                              <w:marRight w:val="0"/>
                                              <w:marTop w:val="90"/>
                                              <w:marBottom w:val="0"/>
                                              <w:divBdr>
                                                <w:top w:val="none" w:sz="0" w:space="0" w:color="auto"/>
                                                <w:left w:val="none" w:sz="0" w:space="0" w:color="auto"/>
                                                <w:bottom w:val="none" w:sz="0" w:space="0" w:color="auto"/>
                                                <w:right w:val="none" w:sz="0" w:space="0" w:color="auto"/>
                                              </w:divBdr>
                                              <w:divsChild>
                                                <w:div w:id="499657432">
                                                  <w:marLeft w:val="0"/>
                                                  <w:marRight w:val="0"/>
                                                  <w:marTop w:val="0"/>
                                                  <w:marBottom w:val="0"/>
                                                  <w:divBdr>
                                                    <w:top w:val="none" w:sz="0" w:space="0" w:color="auto"/>
                                                    <w:left w:val="none" w:sz="0" w:space="0" w:color="auto"/>
                                                    <w:bottom w:val="none" w:sz="0" w:space="0" w:color="auto"/>
                                                    <w:right w:val="none" w:sz="0" w:space="0" w:color="auto"/>
                                                  </w:divBdr>
                                                  <w:divsChild>
                                                    <w:div w:id="292294077">
                                                      <w:marLeft w:val="0"/>
                                                      <w:marRight w:val="0"/>
                                                      <w:marTop w:val="0"/>
                                                      <w:marBottom w:val="0"/>
                                                      <w:divBdr>
                                                        <w:top w:val="none" w:sz="0" w:space="0" w:color="auto"/>
                                                        <w:left w:val="none" w:sz="0" w:space="0" w:color="auto"/>
                                                        <w:bottom w:val="none" w:sz="0" w:space="0" w:color="auto"/>
                                                        <w:right w:val="none" w:sz="0" w:space="0" w:color="auto"/>
                                                      </w:divBdr>
                                                      <w:divsChild>
                                                        <w:div w:id="2078476576">
                                                          <w:marLeft w:val="0"/>
                                                          <w:marRight w:val="0"/>
                                                          <w:marTop w:val="0"/>
                                                          <w:marBottom w:val="390"/>
                                                          <w:divBdr>
                                                            <w:top w:val="none" w:sz="0" w:space="0" w:color="auto"/>
                                                            <w:left w:val="none" w:sz="0" w:space="0" w:color="auto"/>
                                                            <w:bottom w:val="none" w:sz="0" w:space="0" w:color="auto"/>
                                                            <w:right w:val="none" w:sz="0" w:space="0" w:color="auto"/>
                                                          </w:divBdr>
                                                          <w:divsChild>
                                                            <w:div w:id="1792749608">
                                                              <w:marLeft w:val="0"/>
                                                              <w:marRight w:val="0"/>
                                                              <w:marTop w:val="0"/>
                                                              <w:marBottom w:val="0"/>
                                                              <w:divBdr>
                                                                <w:top w:val="none" w:sz="0" w:space="0" w:color="auto"/>
                                                                <w:left w:val="none" w:sz="0" w:space="0" w:color="auto"/>
                                                                <w:bottom w:val="none" w:sz="0" w:space="0" w:color="auto"/>
                                                                <w:right w:val="none" w:sz="0" w:space="0" w:color="auto"/>
                                                              </w:divBdr>
                                                              <w:divsChild>
                                                                <w:div w:id="434254524">
                                                                  <w:marLeft w:val="0"/>
                                                                  <w:marRight w:val="0"/>
                                                                  <w:marTop w:val="0"/>
                                                                  <w:marBottom w:val="0"/>
                                                                  <w:divBdr>
                                                                    <w:top w:val="none" w:sz="0" w:space="0" w:color="auto"/>
                                                                    <w:left w:val="none" w:sz="0" w:space="0" w:color="auto"/>
                                                                    <w:bottom w:val="none" w:sz="0" w:space="0" w:color="auto"/>
                                                                    <w:right w:val="none" w:sz="0" w:space="0" w:color="auto"/>
                                                                  </w:divBdr>
                                                                  <w:divsChild>
                                                                    <w:div w:id="82146396">
                                                                      <w:marLeft w:val="0"/>
                                                                      <w:marRight w:val="0"/>
                                                                      <w:marTop w:val="0"/>
                                                                      <w:marBottom w:val="0"/>
                                                                      <w:divBdr>
                                                                        <w:top w:val="none" w:sz="0" w:space="0" w:color="auto"/>
                                                                        <w:left w:val="none" w:sz="0" w:space="0" w:color="auto"/>
                                                                        <w:bottom w:val="none" w:sz="0" w:space="0" w:color="auto"/>
                                                                        <w:right w:val="none" w:sz="0" w:space="0" w:color="auto"/>
                                                                      </w:divBdr>
                                                                      <w:divsChild>
                                                                        <w:div w:id="1454665589">
                                                                          <w:marLeft w:val="0"/>
                                                                          <w:marRight w:val="0"/>
                                                                          <w:marTop w:val="0"/>
                                                                          <w:marBottom w:val="0"/>
                                                                          <w:divBdr>
                                                                            <w:top w:val="none" w:sz="0" w:space="0" w:color="auto"/>
                                                                            <w:left w:val="none" w:sz="0" w:space="0" w:color="auto"/>
                                                                            <w:bottom w:val="none" w:sz="0" w:space="0" w:color="auto"/>
                                                                            <w:right w:val="none" w:sz="0" w:space="0" w:color="auto"/>
                                                                          </w:divBdr>
                                                                          <w:divsChild>
                                                                            <w:div w:id="1226992243">
                                                                              <w:marLeft w:val="0"/>
                                                                              <w:marRight w:val="0"/>
                                                                              <w:marTop w:val="0"/>
                                                                              <w:marBottom w:val="0"/>
                                                                              <w:divBdr>
                                                                                <w:top w:val="none" w:sz="0" w:space="0" w:color="auto"/>
                                                                                <w:left w:val="none" w:sz="0" w:space="0" w:color="auto"/>
                                                                                <w:bottom w:val="none" w:sz="0" w:space="0" w:color="auto"/>
                                                                                <w:right w:val="none" w:sz="0" w:space="0" w:color="auto"/>
                                                                              </w:divBdr>
                                                                              <w:divsChild>
                                                                                <w:div w:id="157574747">
                                                                                  <w:marLeft w:val="0"/>
                                                                                  <w:marRight w:val="0"/>
                                                                                  <w:marTop w:val="0"/>
                                                                                  <w:marBottom w:val="0"/>
                                                                                  <w:divBdr>
                                                                                    <w:top w:val="none" w:sz="0" w:space="0" w:color="auto"/>
                                                                                    <w:left w:val="none" w:sz="0" w:space="0" w:color="auto"/>
                                                                                    <w:bottom w:val="none" w:sz="0" w:space="0" w:color="auto"/>
                                                                                    <w:right w:val="none" w:sz="0" w:space="0" w:color="auto"/>
                                                                                  </w:divBdr>
                                                                                  <w:divsChild>
                                                                                    <w:div w:id="660697349">
                                                                                      <w:marLeft w:val="0"/>
                                                                                      <w:marRight w:val="0"/>
                                                                                      <w:marTop w:val="0"/>
                                                                                      <w:marBottom w:val="0"/>
                                                                                      <w:divBdr>
                                                                                        <w:top w:val="none" w:sz="0" w:space="0" w:color="auto"/>
                                                                                        <w:left w:val="none" w:sz="0" w:space="0" w:color="auto"/>
                                                                                        <w:bottom w:val="none" w:sz="0" w:space="0" w:color="auto"/>
                                                                                        <w:right w:val="none" w:sz="0" w:space="0" w:color="auto"/>
                                                                                      </w:divBdr>
                                                                                      <w:divsChild>
                                                                                        <w:div w:id="698748620">
                                                                                          <w:marLeft w:val="0"/>
                                                                                          <w:marRight w:val="0"/>
                                                                                          <w:marTop w:val="0"/>
                                                                                          <w:marBottom w:val="0"/>
                                                                                          <w:divBdr>
                                                                                            <w:top w:val="none" w:sz="0" w:space="0" w:color="auto"/>
                                                                                            <w:left w:val="none" w:sz="0" w:space="0" w:color="auto"/>
                                                                                            <w:bottom w:val="none" w:sz="0" w:space="0" w:color="auto"/>
                                                                                            <w:right w:val="none" w:sz="0" w:space="0" w:color="auto"/>
                                                                                          </w:divBdr>
                                                                                          <w:divsChild>
                                                                                            <w:div w:id="438180763">
                                                                                              <w:marLeft w:val="0"/>
                                                                                              <w:marRight w:val="0"/>
                                                                                              <w:marTop w:val="0"/>
                                                                                              <w:marBottom w:val="0"/>
                                                                                              <w:divBdr>
                                                                                                <w:top w:val="none" w:sz="0" w:space="0" w:color="auto"/>
                                                                                                <w:left w:val="none" w:sz="0" w:space="0" w:color="auto"/>
                                                                                                <w:bottom w:val="none" w:sz="0" w:space="0" w:color="auto"/>
                                                                                                <w:right w:val="none" w:sz="0" w:space="0" w:color="auto"/>
                                                                                              </w:divBdr>
                                                                                              <w:divsChild>
                                                                                                <w:div w:id="1442529552">
                                                                                                  <w:marLeft w:val="0"/>
                                                                                                  <w:marRight w:val="0"/>
                                                                                                  <w:marTop w:val="0"/>
                                                                                                  <w:marBottom w:val="0"/>
                                                                                                  <w:divBdr>
                                                                                                    <w:top w:val="none" w:sz="0" w:space="0" w:color="auto"/>
                                                                                                    <w:left w:val="none" w:sz="0" w:space="0" w:color="auto"/>
                                                                                                    <w:bottom w:val="none" w:sz="0" w:space="0" w:color="auto"/>
                                                                                                    <w:right w:val="none" w:sz="0" w:space="0" w:color="auto"/>
                                                                                                  </w:divBdr>
                                                                                                  <w:divsChild>
                                                                                                    <w:div w:id="571163385">
                                                                                                      <w:marLeft w:val="0"/>
                                                                                                      <w:marRight w:val="0"/>
                                                                                                      <w:marTop w:val="0"/>
                                                                                                      <w:marBottom w:val="0"/>
                                                                                                      <w:divBdr>
                                                                                                        <w:top w:val="none" w:sz="0" w:space="0" w:color="auto"/>
                                                                                                        <w:left w:val="none" w:sz="0" w:space="0" w:color="auto"/>
                                                                                                        <w:bottom w:val="none" w:sz="0" w:space="0" w:color="auto"/>
                                                                                                        <w:right w:val="none" w:sz="0" w:space="0" w:color="auto"/>
                                                                                                      </w:divBdr>
                                                                                                      <w:divsChild>
                                                                                                        <w:div w:id="1302349359">
                                                                                                          <w:marLeft w:val="0"/>
                                                                                                          <w:marRight w:val="0"/>
                                                                                                          <w:marTop w:val="0"/>
                                                                                                          <w:marBottom w:val="0"/>
                                                                                                          <w:divBdr>
                                                                                                            <w:top w:val="none" w:sz="0" w:space="0" w:color="auto"/>
                                                                                                            <w:left w:val="none" w:sz="0" w:space="0" w:color="auto"/>
                                                                                                            <w:bottom w:val="none" w:sz="0" w:space="0" w:color="auto"/>
                                                                                                            <w:right w:val="none" w:sz="0" w:space="0" w:color="auto"/>
                                                                                                          </w:divBdr>
                                                                                                          <w:divsChild>
                                                                                                            <w:div w:id="54011405">
                                                                                                              <w:marLeft w:val="300"/>
                                                                                                              <w:marRight w:val="0"/>
                                                                                                              <w:marTop w:val="0"/>
                                                                                                              <w:marBottom w:val="0"/>
                                                                                                              <w:divBdr>
                                                                                                                <w:top w:val="none" w:sz="0" w:space="0" w:color="auto"/>
                                                                                                                <w:left w:val="none" w:sz="0" w:space="0" w:color="auto"/>
                                                                                                                <w:bottom w:val="none" w:sz="0" w:space="0" w:color="auto"/>
                                                                                                                <w:right w:val="none" w:sz="0" w:space="0" w:color="auto"/>
                                                                                                              </w:divBdr>
                                                                                                              <w:divsChild>
                                                                                                                <w:div w:id="304088154">
                                                                                                                  <w:marLeft w:val="-300"/>
                                                                                                                  <w:marRight w:val="0"/>
                                                                                                                  <w:marTop w:val="0"/>
                                                                                                                  <w:marBottom w:val="0"/>
                                                                                                                  <w:divBdr>
                                                                                                                    <w:top w:val="none" w:sz="0" w:space="0" w:color="auto"/>
                                                                                                                    <w:left w:val="none" w:sz="0" w:space="0" w:color="auto"/>
                                                                                                                    <w:bottom w:val="none" w:sz="0" w:space="0" w:color="auto"/>
                                                                                                                    <w:right w:val="none" w:sz="0" w:space="0" w:color="auto"/>
                                                                                                                  </w:divBdr>
                                                                                                                  <w:divsChild>
                                                                                                                    <w:div w:id="13605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727">
      <w:bodyDiv w:val="1"/>
      <w:marLeft w:val="0"/>
      <w:marRight w:val="0"/>
      <w:marTop w:val="0"/>
      <w:marBottom w:val="0"/>
      <w:divBdr>
        <w:top w:val="none" w:sz="0" w:space="0" w:color="auto"/>
        <w:left w:val="none" w:sz="0" w:space="0" w:color="auto"/>
        <w:bottom w:val="none" w:sz="0" w:space="0" w:color="auto"/>
        <w:right w:val="none" w:sz="0" w:space="0" w:color="auto"/>
      </w:divBdr>
    </w:div>
    <w:div w:id="480657376">
      <w:bodyDiv w:val="1"/>
      <w:marLeft w:val="0"/>
      <w:marRight w:val="0"/>
      <w:marTop w:val="0"/>
      <w:marBottom w:val="0"/>
      <w:divBdr>
        <w:top w:val="none" w:sz="0" w:space="0" w:color="auto"/>
        <w:left w:val="none" w:sz="0" w:space="0" w:color="auto"/>
        <w:bottom w:val="none" w:sz="0" w:space="0" w:color="auto"/>
        <w:right w:val="none" w:sz="0" w:space="0" w:color="auto"/>
      </w:divBdr>
    </w:div>
    <w:div w:id="504513744">
      <w:bodyDiv w:val="1"/>
      <w:marLeft w:val="0"/>
      <w:marRight w:val="0"/>
      <w:marTop w:val="0"/>
      <w:marBottom w:val="0"/>
      <w:divBdr>
        <w:top w:val="none" w:sz="0" w:space="0" w:color="auto"/>
        <w:left w:val="none" w:sz="0" w:space="0" w:color="auto"/>
        <w:bottom w:val="none" w:sz="0" w:space="0" w:color="auto"/>
        <w:right w:val="none" w:sz="0" w:space="0" w:color="auto"/>
      </w:divBdr>
    </w:div>
    <w:div w:id="581960345">
      <w:bodyDiv w:val="1"/>
      <w:marLeft w:val="0"/>
      <w:marRight w:val="0"/>
      <w:marTop w:val="0"/>
      <w:marBottom w:val="0"/>
      <w:divBdr>
        <w:top w:val="none" w:sz="0" w:space="0" w:color="auto"/>
        <w:left w:val="none" w:sz="0" w:space="0" w:color="auto"/>
        <w:bottom w:val="none" w:sz="0" w:space="0" w:color="auto"/>
        <w:right w:val="none" w:sz="0" w:space="0" w:color="auto"/>
      </w:divBdr>
    </w:div>
    <w:div w:id="644773780">
      <w:bodyDiv w:val="1"/>
      <w:marLeft w:val="0"/>
      <w:marRight w:val="0"/>
      <w:marTop w:val="0"/>
      <w:marBottom w:val="0"/>
      <w:divBdr>
        <w:top w:val="none" w:sz="0" w:space="0" w:color="auto"/>
        <w:left w:val="none" w:sz="0" w:space="0" w:color="auto"/>
        <w:bottom w:val="none" w:sz="0" w:space="0" w:color="auto"/>
        <w:right w:val="none" w:sz="0" w:space="0" w:color="auto"/>
      </w:divBdr>
    </w:div>
    <w:div w:id="680935232">
      <w:bodyDiv w:val="1"/>
      <w:marLeft w:val="0"/>
      <w:marRight w:val="0"/>
      <w:marTop w:val="0"/>
      <w:marBottom w:val="0"/>
      <w:divBdr>
        <w:top w:val="none" w:sz="0" w:space="0" w:color="auto"/>
        <w:left w:val="none" w:sz="0" w:space="0" w:color="auto"/>
        <w:bottom w:val="none" w:sz="0" w:space="0" w:color="auto"/>
        <w:right w:val="none" w:sz="0" w:space="0" w:color="auto"/>
      </w:divBdr>
    </w:div>
    <w:div w:id="681780187">
      <w:bodyDiv w:val="1"/>
      <w:marLeft w:val="0"/>
      <w:marRight w:val="0"/>
      <w:marTop w:val="0"/>
      <w:marBottom w:val="0"/>
      <w:divBdr>
        <w:top w:val="none" w:sz="0" w:space="0" w:color="auto"/>
        <w:left w:val="none" w:sz="0" w:space="0" w:color="auto"/>
        <w:bottom w:val="none" w:sz="0" w:space="0" w:color="auto"/>
        <w:right w:val="none" w:sz="0" w:space="0" w:color="auto"/>
      </w:divBdr>
    </w:div>
    <w:div w:id="729620373">
      <w:bodyDiv w:val="1"/>
      <w:marLeft w:val="0"/>
      <w:marRight w:val="0"/>
      <w:marTop w:val="0"/>
      <w:marBottom w:val="0"/>
      <w:divBdr>
        <w:top w:val="none" w:sz="0" w:space="0" w:color="auto"/>
        <w:left w:val="none" w:sz="0" w:space="0" w:color="auto"/>
        <w:bottom w:val="none" w:sz="0" w:space="0" w:color="auto"/>
        <w:right w:val="none" w:sz="0" w:space="0" w:color="auto"/>
      </w:divBdr>
    </w:div>
    <w:div w:id="733283202">
      <w:bodyDiv w:val="1"/>
      <w:marLeft w:val="0"/>
      <w:marRight w:val="0"/>
      <w:marTop w:val="0"/>
      <w:marBottom w:val="0"/>
      <w:divBdr>
        <w:top w:val="none" w:sz="0" w:space="0" w:color="auto"/>
        <w:left w:val="none" w:sz="0" w:space="0" w:color="auto"/>
        <w:bottom w:val="none" w:sz="0" w:space="0" w:color="auto"/>
        <w:right w:val="none" w:sz="0" w:space="0" w:color="auto"/>
      </w:divBdr>
      <w:divsChild>
        <w:div w:id="1349409793">
          <w:marLeft w:val="0"/>
          <w:marRight w:val="0"/>
          <w:marTop w:val="0"/>
          <w:marBottom w:val="0"/>
          <w:divBdr>
            <w:top w:val="none" w:sz="0" w:space="0" w:color="auto"/>
            <w:left w:val="none" w:sz="0" w:space="0" w:color="auto"/>
            <w:bottom w:val="none" w:sz="0" w:space="0" w:color="auto"/>
            <w:right w:val="none" w:sz="0" w:space="0" w:color="auto"/>
          </w:divBdr>
          <w:divsChild>
            <w:div w:id="1276524059">
              <w:marLeft w:val="0"/>
              <w:marRight w:val="0"/>
              <w:marTop w:val="0"/>
              <w:marBottom w:val="0"/>
              <w:divBdr>
                <w:top w:val="none" w:sz="0" w:space="0" w:color="auto"/>
                <w:left w:val="none" w:sz="0" w:space="0" w:color="auto"/>
                <w:bottom w:val="none" w:sz="0" w:space="0" w:color="auto"/>
                <w:right w:val="none" w:sz="0" w:space="0" w:color="auto"/>
              </w:divBdr>
              <w:divsChild>
                <w:div w:id="521168094">
                  <w:marLeft w:val="0"/>
                  <w:marRight w:val="0"/>
                  <w:marTop w:val="0"/>
                  <w:marBottom w:val="0"/>
                  <w:divBdr>
                    <w:top w:val="none" w:sz="0" w:space="0" w:color="auto"/>
                    <w:left w:val="none" w:sz="0" w:space="0" w:color="auto"/>
                    <w:bottom w:val="none" w:sz="0" w:space="0" w:color="auto"/>
                    <w:right w:val="none" w:sz="0" w:space="0" w:color="auto"/>
                  </w:divBdr>
                  <w:divsChild>
                    <w:div w:id="1146891885">
                      <w:marLeft w:val="0"/>
                      <w:marRight w:val="0"/>
                      <w:marTop w:val="0"/>
                      <w:marBottom w:val="0"/>
                      <w:divBdr>
                        <w:top w:val="none" w:sz="0" w:space="0" w:color="auto"/>
                        <w:left w:val="none" w:sz="0" w:space="0" w:color="auto"/>
                        <w:bottom w:val="none" w:sz="0" w:space="0" w:color="auto"/>
                        <w:right w:val="none" w:sz="0" w:space="0" w:color="auto"/>
                      </w:divBdr>
                      <w:divsChild>
                        <w:div w:id="876350817">
                          <w:marLeft w:val="0"/>
                          <w:marRight w:val="0"/>
                          <w:marTop w:val="0"/>
                          <w:marBottom w:val="0"/>
                          <w:divBdr>
                            <w:top w:val="none" w:sz="0" w:space="0" w:color="auto"/>
                            <w:left w:val="none" w:sz="0" w:space="0" w:color="auto"/>
                            <w:bottom w:val="none" w:sz="0" w:space="0" w:color="auto"/>
                            <w:right w:val="none" w:sz="0" w:space="0" w:color="auto"/>
                          </w:divBdr>
                          <w:divsChild>
                            <w:div w:id="2115467974">
                              <w:marLeft w:val="0"/>
                              <w:marRight w:val="0"/>
                              <w:marTop w:val="0"/>
                              <w:marBottom w:val="0"/>
                              <w:divBdr>
                                <w:top w:val="none" w:sz="0" w:space="0" w:color="auto"/>
                                <w:left w:val="none" w:sz="0" w:space="0" w:color="auto"/>
                                <w:bottom w:val="none" w:sz="0" w:space="0" w:color="auto"/>
                                <w:right w:val="none" w:sz="0" w:space="0" w:color="auto"/>
                              </w:divBdr>
                              <w:divsChild>
                                <w:div w:id="1570187654">
                                  <w:marLeft w:val="0"/>
                                  <w:marRight w:val="0"/>
                                  <w:marTop w:val="0"/>
                                  <w:marBottom w:val="0"/>
                                  <w:divBdr>
                                    <w:top w:val="none" w:sz="0" w:space="0" w:color="auto"/>
                                    <w:left w:val="none" w:sz="0" w:space="0" w:color="auto"/>
                                    <w:bottom w:val="none" w:sz="0" w:space="0" w:color="auto"/>
                                    <w:right w:val="none" w:sz="0" w:space="0" w:color="auto"/>
                                  </w:divBdr>
                                  <w:divsChild>
                                    <w:div w:id="1339236527">
                                      <w:marLeft w:val="0"/>
                                      <w:marRight w:val="0"/>
                                      <w:marTop w:val="0"/>
                                      <w:marBottom w:val="0"/>
                                      <w:divBdr>
                                        <w:top w:val="none" w:sz="0" w:space="0" w:color="auto"/>
                                        <w:left w:val="none" w:sz="0" w:space="0" w:color="auto"/>
                                        <w:bottom w:val="none" w:sz="0" w:space="0" w:color="auto"/>
                                        <w:right w:val="none" w:sz="0" w:space="0" w:color="auto"/>
                                      </w:divBdr>
                                      <w:divsChild>
                                        <w:div w:id="2074885934">
                                          <w:marLeft w:val="0"/>
                                          <w:marRight w:val="0"/>
                                          <w:marTop w:val="0"/>
                                          <w:marBottom w:val="0"/>
                                          <w:divBdr>
                                            <w:top w:val="none" w:sz="0" w:space="0" w:color="auto"/>
                                            <w:left w:val="none" w:sz="0" w:space="0" w:color="auto"/>
                                            <w:bottom w:val="none" w:sz="0" w:space="0" w:color="auto"/>
                                            <w:right w:val="none" w:sz="0" w:space="0" w:color="auto"/>
                                          </w:divBdr>
                                          <w:divsChild>
                                            <w:div w:id="52194084">
                                              <w:marLeft w:val="0"/>
                                              <w:marRight w:val="0"/>
                                              <w:marTop w:val="0"/>
                                              <w:marBottom w:val="0"/>
                                              <w:divBdr>
                                                <w:top w:val="none" w:sz="0" w:space="0" w:color="auto"/>
                                                <w:left w:val="none" w:sz="0" w:space="0" w:color="auto"/>
                                                <w:bottom w:val="none" w:sz="0" w:space="0" w:color="auto"/>
                                                <w:right w:val="none" w:sz="0" w:space="0" w:color="auto"/>
                                              </w:divBdr>
                                              <w:divsChild>
                                                <w:div w:id="1066611585">
                                                  <w:marLeft w:val="0"/>
                                                  <w:marRight w:val="0"/>
                                                  <w:marTop w:val="0"/>
                                                  <w:marBottom w:val="0"/>
                                                  <w:divBdr>
                                                    <w:top w:val="none" w:sz="0" w:space="0" w:color="auto"/>
                                                    <w:left w:val="none" w:sz="0" w:space="0" w:color="auto"/>
                                                    <w:bottom w:val="none" w:sz="0" w:space="0" w:color="auto"/>
                                                    <w:right w:val="none" w:sz="0" w:space="0" w:color="auto"/>
                                                  </w:divBdr>
                                                  <w:divsChild>
                                                    <w:div w:id="2075735199">
                                                      <w:marLeft w:val="0"/>
                                                      <w:marRight w:val="0"/>
                                                      <w:marTop w:val="0"/>
                                                      <w:marBottom w:val="0"/>
                                                      <w:divBdr>
                                                        <w:top w:val="none" w:sz="0" w:space="0" w:color="auto"/>
                                                        <w:left w:val="none" w:sz="0" w:space="0" w:color="auto"/>
                                                        <w:bottom w:val="none" w:sz="0" w:space="0" w:color="auto"/>
                                                        <w:right w:val="none" w:sz="0" w:space="0" w:color="auto"/>
                                                      </w:divBdr>
                                                      <w:divsChild>
                                                        <w:div w:id="2068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890291">
      <w:bodyDiv w:val="1"/>
      <w:marLeft w:val="0"/>
      <w:marRight w:val="0"/>
      <w:marTop w:val="0"/>
      <w:marBottom w:val="0"/>
      <w:divBdr>
        <w:top w:val="none" w:sz="0" w:space="0" w:color="auto"/>
        <w:left w:val="none" w:sz="0" w:space="0" w:color="auto"/>
        <w:bottom w:val="none" w:sz="0" w:space="0" w:color="auto"/>
        <w:right w:val="none" w:sz="0" w:space="0" w:color="auto"/>
      </w:divBdr>
    </w:div>
    <w:div w:id="772744676">
      <w:bodyDiv w:val="1"/>
      <w:marLeft w:val="0"/>
      <w:marRight w:val="0"/>
      <w:marTop w:val="0"/>
      <w:marBottom w:val="0"/>
      <w:divBdr>
        <w:top w:val="none" w:sz="0" w:space="0" w:color="auto"/>
        <w:left w:val="none" w:sz="0" w:space="0" w:color="auto"/>
        <w:bottom w:val="none" w:sz="0" w:space="0" w:color="auto"/>
        <w:right w:val="none" w:sz="0" w:space="0" w:color="auto"/>
      </w:divBdr>
    </w:div>
    <w:div w:id="797143373">
      <w:bodyDiv w:val="1"/>
      <w:marLeft w:val="0"/>
      <w:marRight w:val="0"/>
      <w:marTop w:val="0"/>
      <w:marBottom w:val="0"/>
      <w:divBdr>
        <w:top w:val="none" w:sz="0" w:space="0" w:color="auto"/>
        <w:left w:val="none" w:sz="0" w:space="0" w:color="auto"/>
        <w:bottom w:val="none" w:sz="0" w:space="0" w:color="auto"/>
        <w:right w:val="none" w:sz="0" w:space="0" w:color="auto"/>
      </w:divBdr>
    </w:div>
    <w:div w:id="850144991">
      <w:bodyDiv w:val="1"/>
      <w:marLeft w:val="0"/>
      <w:marRight w:val="0"/>
      <w:marTop w:val="0"/>
      <w:marBottom w:val="0"/>
      <w:divBdr>
        <w:top w:val="none" w:sz="0" w:space="0" w:color="auto"/>
        <w:left w:val="none" w:sz="0" w:space="0" w:color="auto"/>
        <w:bottom w:val="none" w:sz="0" w:space="0" w:color="auto"/>
        <w:right w:val="none" w:sz="0" w:space="0" w:color="auto"/>
      </w:divBdr>
    </w:div>
    <w:div w:id="941450983">
      <w:bodyDiv w:val="1"/>
      <w:marLeft w:val="0"/>
      <w:marRight w:val="0"/>
      <w:marTop w:val="0"/>
      <w:marBottom w:val="0"/>
      <w:divBdr>
        <w:top w:val="none" w:sz="0" w:space="0" w:color="auto"/>
        <w:left w:val="none" w:sz="0" w:space="0" w:color="auto"/>
        <w:bottom w:val="none" w:sz="0" w:space="0" w:color="auto"/>
        <w:right w:val="none" w:sz="0" w:space="0" w:color="auto"/>
      </w:divBdr>
    </w:div>
    <w:div w:id="1025521769">
      <w:bodyDiv w:val="1"/>
      <w:marLeft w:val="0"/>
      <w:marRight w:val="0"/>
      <w:marTop w:val="0"/>
      <w:marBottom w:val="0"/>
      <w:divBdr>
        <w:top w:val="none" w:sz="0" w:space="0" w:color="auto"/>
        <w:left w:val="none" w:sz="0" w:space="0" w:color="auto"/>
        <w:bottom w:val="none" w:sz="0" w:space="0" w:color="auto"/>
        <w:right w:val="none" w:sz="0" w:space="0" w:color="auto"/>
      </w:divBdr>
    </w:div>
    <w:div w:id="1033964584">
      <w:bodyDiv w:val="1"/>
      <w:marLeft w:val="0"/>
      <w:marRight w:val="0"/>
      <w:marTop w:val="0"/>
      <w:marBottom w:val="0"/>
      <w:divBdr>
        <w:top w:val="none" w:sz="0" w:space="0" w:color="auto"/>
        <w:left w:val="none" w:sz="0" w:space="0" w:color="auto"/>
        <w:bottom w:val="none" w:sz="0" w:space="0" w:color="auto"/>
        <w:right w:val="none" w:sz="0" w:space="0" w:color="auto"/>
      </w:divBdr>
    </w:div>
    <w:div w:id="1073623721">
      <w:bodyDiv w:val="1"/>
      <w:marLeft w:val="0"/>
      <w:marRight w:val="0"/>
      <w:marTop w:val="0"/>
      <w:marBottom w:val="0"/>
      <w:divBdr>
        <w:top w:val="none" w:sz="0" w:space="0" w:color="auto"/>
        <w:left w:val="none" w:sz="0" w:space="0" w:color="auto"/>
        <w:bottom w:val="none" w:sz="0" w:space="0" w:color="auto"/>
        <w:right w:val="none" w:sz="0" w:space="0" w:color="auto"/>
      </w:divBdr>
    </w:div>
    <w:div w:id="1091466410">
      <w:bodyDiv w:val="1"/>
      <w:marLeft w:val="0"/>
      <w:marRight w:val="0"/>
      <w:marTop w:val="0"/>
      <w:marBottom w:val="0"/>
      <w:divBdr>
        <w:top w:val="none" w:sz="0" w:space="0" w:color="auto"/>
        <w:left w:val="none" w:sz="0" w:space="0" w:color="auto"/>
        <w:bottom w:val="none" w:sz="0" w:space="0" w:color="auto"/>
        <w:right w:val="none" w:sz="0" w:space="0" w:color="auto"/>
      </w:divBdr>
    </w:div>
    <w:div w:id="1105224707">
      <w:bodyDiv w:val="1"/>
      <w:marLeft w:val="0"/>
      <w:marRight w:val="0"/>
      <w:marTop w:val="0"/>
      <w:marBottom w:val="0"/>
      <w:divBdr>
        <w:top w:val="none" w:sz="0" w:space="0" w:color="auto"/>
        <w:left w:val="none" w:sz="0" w:space="0" w:color="auto"/>
        <w:bottom w:val="none" w:sz="0" w:space="0" w:color="auto"/>
        <w:right w:val="none" w:sz="0" w:space="0" w:color="auto"/>
      </w:divBdr>
    </w:div>
    <w:div w:id="1118992944">
      <w:bodyDiv w:val="1"/>
      <w:marLeft w:val="0"/>
      <w:marRight w:val="0"/>
      <w:marTop w:val="0"/>
      <w:marBottom w:val="0"/>
      <w:divBdr>
        <w:top w:val="none" w:sz="0" w:space="0" w:color="auto"/>
        <w:left w:val="none" w:sz="0" w:space="0" w:color="auto"/>
        <w:bottom w:val="none" w:sz="0" w:space="0" w:color="auto"/>
        <w:right w:val="none" w:sz="0" w:space="0" w:color="auto"/>
      </w:divBdr>
    </w:div>
    <w:div w:id="1155145369">
      <w:bodyDiv w:val="1"/>
      <w:marLeft w:val="0"/>
      <w:marRight w:val="0"/>
      <w:marTop w:val="0"/>
      <w:marBottom w:val="0"/>
      <w:divBdr>
        <w:top w:val="none" w:sz="0" w:space="0" w:color="auto"/>
        <w:left w:val="none" w:sz="0" w:space="0" w:color="auto"/>
        <w:bottom w:val="none" w:sz="0" w:space="0" w:color="auto"/>
        <w:right w:val="none" w:sz="0" w:space="0" w:color="auto"/>
      </w:divBdr>
    </w:div>
    <w:div w:id="1259873054">
      <w:bodyDiv w:val="1"/>
      <w:marLeft w:val="0"/>
      <w:marRight w:val="0"/>
      <w:marTop w:val="0"/>
      <w:marBottom w:val="0"/>
      <w:divBdr>
        <w:top w:val="none" w:sz="0" w:space="0" w:color="auto"/>
        <w:left w:val="none" w:sz="0" w:space="0" w:color="auto"/>
        <w:bottom w:val="none" w:sz="0" w:space="0" w:color="auto"/>
        <w:right w:val="none" w:sz="0" w:space="0" w:color="auto"/>
      </w:divBdr>
    </w:div>
    <w:div w:id="1321807253">
      <w:bodyDiv w:val="1"/>
      <w:marLeft w:val="0"/>
      <w:marRight w:val="0"/>
      <w:marTop w:val="0"/>
      <w:marBottom w:val="0"/>
      <w:divBdr>
        <w:top w:val="none" w:sz="0" w:space="0" w:color="auto"/>
        <w:left w:val="none" w:sz="0" w:space="0" w:color="auto"/>
        <w:bottom w:val="none" w:sz="0" w:space="0" w:color="auto"/>
        <w:right w:val="none" w:sz="0" w:space="0" w:color="auto"/>
      </w:divBdr>
    </w:div>
    <w:div w:id="1364869179">
      <w:bodyDiv w:val="1"/>
      <w:marLeft w:val="0"/>
      <w:marRight w:val="0"/>
      <w:marTop w:val="0"/>
      <w:marBottom w:val="0"/>
      <w:divBdr>
        <w:top w:val="none" w:sz="0" w:space="0" w:color="auto"/>
        <w:left w:val="none" w:sz="0" w:space="0" w:color="auto"/>
        <w:bottom w:val="none" w:sz="0" w:space="0" w:color="auto"/>
        <w:right w:val="none" w:sz="0" w:space="0" w:color="auto"/>
      </w:divBdr>
    </w:div>
    <w:div w:id="1443721689">
      <w:bodyDiv w:val="1"/>
      <w:marLeft w:val="0"/>
      <w:marRight w:val="0"/>
      <w:marTop w:val="0"/>
      <w:marBottom w:val="0"/>
      <w:divBdr>
        <w:top w:val="none" w:sz="0" w:space="0" w:color="auto"/>
        <w:left w:val="none" w:sz="0" w:space="0" w:color="auto"/>
        <w:bottom w:val="none" w:sz="0" w:space="0" w:color="auto"/>
        <w:right w:val="none" w:sz="0" w:space="0" w:color="auto"/>
      </w:divBdr>
    </w:div>
    <w:div w:id="1456216266">
      <w:bodyDiv w:val="1"/>
      <w:marLeft w:val="0"/>
      <w:marRight w:val="0"/>
      <w:marTop w:val="0"/>
      <w:marBottom w:val="0"/>
      <w:divBdr>
        <w:top w:val="none" w:sz="0" w:space="0" w:color="auto"/>
        <w:left w:val="none" w:sz="0" w:space="0" w:color="auto"/>
        <w:bottom w:val="none" w:sz="0" w:space="0" w:color="auto"/>
        <w:right w:val="none" w:sz="0" w:space="0" w:color="auto"/>
      </w:divBdr>
    </w:div>
    <w:div w:id="1456482708">
      <w:bodyDiv w:val="1"/>
      <w:marLeft w:val="0"/>
      <w:marRight w:val="0"/>
      <w:marTop w:val="0"/>
      <w:marBottom w:val="0"/>
      <w:divBdr>
        <w:top w:val="none" w:sz="0" w:space="0" w:color="auto"/>
        <w:left w:val="none" w:sz="0" w:space="0" w:color="auto"/>
        <w:bottom w:val="none" w:sz="0" w:space="0" w:color="auto"/>
        <w:right w:val="none" w:sz="0" w:space="0" w:color="auto"/>
      </w:divBdr>
    </w:div>
    <w:div w:id="1488588317">
      <w:bodyDiv w:val="1"/>
      <w:marLeft w:val="0"/>
      <w:marRight w:val="0"/>
      <w:marTop w:val="0"/>
      <w:marBottom w:val="0"/>
      <w:divBdr>
        <w:top w:val="none" w:sz="0" w:space="0" w:color="auto"/>
        <w:left w:val="none" w:sz="0" w:space="0" w:color="auto"/>
        <w:bottom w:val="none" w:sz="0" w:space="0" w:color="auto"/>
        <w:right w:val="none" w:sz="0" w:space="0" w:color="auto"/>
      </w:divBdr>
    </w:div>
    <w:div w:id="1497498296">
      <w:bodyDiv w:val="1"/>
      <w:marLeft w:val="0"/>
      <w:marRight w:val="0"/>
      <w:marTop w:val="0"/>
      <w:marBottom w:val="0"/>
      <w:divBdr>
        <w:top w:val="none" w:sz="0" w:space="0" w:color="auto"/>
        <w:left w:val="none" w:sz="0" w:space="0" w:color="auto"/>
        <w:bottom w:val="none" w:sz="0" w:space="0" w:color="auto"/>
        <w:right w:val="none" w:sz="0" w:space="0" w:color="auto"/>
      </w:divBdr>
    </w:div>
    <w:div w:id="1562863958">
      <w:bodyDiv w:val="1"/>
      <w:marLeft w:val="0"/>
      <w:marRight w:val="0"/>
      <w:marTop w:val="0"/>
      <w:marBottom w:val="0"/>
      <w:divBdr>
        <w:top w:val="none" w:sz="0" w:space="0" w:color="auto"/>
        <w:left w:val="none" w:sz="0" w:space="0" w:color="auto"/>
        <w:bottom w:val="none" w:sz="0" w:space="0" w:color="auto"/>
        <w:right w:val="none" w:sz="0" w:space="0" w:color="auto"/>
      </w:divBdr>
    </w:div>
    <w:div w:id="1622421781">
      <w:bodyDiv w:val="1"/>
      <w:marLeft w:val="0"/>
      <w:marRight w:val="0"/>
      <w:marTop w:val="0"/>
      <w:marBottom w:val="0"/>
      <w:divBdr>
        <w:top w:val="none" w:sz="0" w:space="0" w:color="auto"/>
        <w:left w:val="none" w:sz="0" w:space="0" w:color="auto"/>
        <w:bottom w:val="none" w:sz="0" w:space="0" w:color="auto"/>
        <w:right w:val="none" w:sz="0" w:space="0" w:color="auto"/>
      </w:divBdr>
    </w:div>
    <w:div w:id="1622884045">
      <w:bodyDiv w:val="1"/>
      <w:marLeft w:val="0"/>
      <w:marRight w:val="0"/>
      <w:marTop w:val="0"/>
      <w:marBottom w:val="0"/>
      <w:divBdr>
        <w:top w:val="none" w:sz="0" w:space="0" w:color="auto"/>
        <w:left w:val="none" w:sz="0" w:space="0" w:color="auto"/>
        <w:bottom w:val="none" w:sz="0" w:space="0" w:color="auto"/>
        <w:right w:val="none" w:sz="0" w:space="0" w:color="auto"/>
      </w:divBdr>
    </w:div>
    <w:div w:id="1630278933">
      <w:bodyDiv w:val="1"/>
      <w:marLeft w:val="0"/>
      <w:marRight w:val="0"/>
      <w:marTop w:val="0"/>
      <w:marBottom w:val="0"/>
      <w:divBdr>
        <w:top w:val="none" w:sz="0" w:space="0" w:color="auto"/>
        <w:left w:val="none" w:sz="0" w:space="0" w:color="auto"/>
        <w:bottom w:val="none" w:sz="0" w:space="0" w:color="auto"/>
        <w:right w:val="none" w:sz="0" w:space="0" w:color="auto"/>
      </w:divBdr>
    </w:div>
    <w:div w:id="1669402824">
      <w:bodyDiv w:val="1"/>
      <w:marLeft w:val="0"/>
      <w:marRight w:val="0"/>
      <w:marTop w:val="0"/>
      <w:marBottom w:val="0"/>
      <w:divBdr>
        <w:top w:val="none" w:sz="0" w:space="0" w:color="auto"/>
        <w:left w:val="none" w:sz="0" w:space="0" w:color="auto"/>
        <w:bottom w:val="none" w:sz="0" w:space="0" w:color="auto"/>
        <w:right w:val="none" w:sz="0" w:space="0" w:color="auto"/>
      </w:divBdr>
      <w:divsChild>
        <w:div w:id="580214666">
          <w:marLeft w:val="0"/>
          <w:marRight w:val="0"/>
          <w:marTop w:val="0"/>
          <w:marBottom w:val="0"/>
          <w:divBdr>
            <w:top w:val="none" w:sz="0" w:space="0" w:color="auto"/>
            <w:left w:val="none" w:sz="0" w:space="0" w:color="auto"/>
            <w:bottom w:val="none" w:sz="0" w:space="0" w:color="auto"/>
            <w:right w:val="none" w:sz="0" w:space="0" w:color="auto"/>
          </w:divBdr>
          <w:divsChild>
            <w:div w:id="2127312113">
              <w:marLeft w:val="0"/>
              <w:marRight w:val="0"/>
              <w:marTop w:val="0"/>
              <w:marBottom w:val="0"/>
              <w:divBdr>
                <w:top w:val="none" w:sz="0" w:space="0" w:color="auto"/>
                <w:left w:val="none" w:sz="0" w:space="0" w:color="auto"/>
                <w:bottom w:val="none" w:sz="0" w:space="0" w:color="auto"/>
                <w:right w:val="none" w:sz="0" w:space="0" w:color="auto"/>
              </w:divBdr>
              <w:divsChild>
                <w:div w:id="1650817393">
                  <w:marLeft w:val="0"/>
                  <w:marRight w:val="0"/>
                  <w:marTop w:val="0"/>
                  <w:marBottom w:val="0"/>
                  <w:divBdr>
                    <w:top w:val="none" w:sz="0" w:space="0" w:color="auto"/>
                    <w:left w:val="none" w:sz="0" w:space="0" w:color="auto"/>
                    <w:bottom w:val="none" w:sz="0" w:space="0" w:color="auto"/>
                    <w:right w:val="none" w:sz="0" w:space="0" w:color="auto"/>
                  </w:divBdr>
                  <w:divsChild>
                    <w:div w:id="1309628191">
                      <w:marLeft w:val="0"/>
                      <w:marRight w:val="0"/>
                      <w:marTop w:val="0"/>
                      <w:marBottom w:val="0"/>
                      <w:divBdr>
                        <w:top w:val="none" w:sz="0" w:space="0" w:color="auto"/>
                        <w:left w:val="none" w:sz="0" w:space="0" w:color="auto"/>
                        <w:bottom w:val="none" w:sz="0" w:space="0" w:color="auto"/>
                        <w:right w:val="none" w:sz="0" w:space="0" w:color="auto"/>
                      </w:divBdr>
                      <w:divsChild>
                        <w:div w:id="1566066231">
                          <w:marLeft w:val="0"/>
                          <w:marRight w:val="0"/>
                          <w:marTop w:val="0"/>
                          <w:marBottom w:val="0"/>
                          <w:divBdr>
                            <w:top w:val="none" w:sz="0" w:space="0" w:color="auto"/>
                            <w:left w:val="none" w:sz="0" w:space="0" w:color="auto"/>
                            <w:bottom w:val="none" w:sz="0" w:space="0" w:color="auto"/>
                            <w:right w:val="none" w:sz="0" w:space="0" w:color="auto"/>
                          </w:divBdr>
                          <w:divsChild>
                            <w:div w:id="1680620060">
                              <w:marLeft w:val="0"/>
                              <w:marRight w:val="0"/>
                              <w:marTop w:val="0"/>
                              <w:marBottom w:val="0"/>
                              <w:divBdr>
                                <w:top w:val="none" w:sz="0" w:space="0" w:color="auto"/>
                                <w:left w:val="none" w:sz="0" w:space="0" w:color="auto"/>
                                <w:bottom w:val="none" w:sz="0" w:space="0" w:color="auto"/>
                                <w:right w:val="none" w:sz="0" w:space="0" w:color="auto"/>
                              </w:divBdr>
                              <w:divsChild>
                                <w:div w:id="697585392">
                                  <w:marLeft w:val="0"/>
                                  <w:marRight w:val="0"/>
                                  <w:marTop w:val="0"/>
                                  <w:marBottom w:val="0"/>
                                  <w:divBdr>
                                    <w:top w:val="none" w:sz="0" w:space="0" w:color="auto"/>
                                    <w:left w:val="none" w:sz="0" w:space="0" w:color="auto"/>
                                    <w:bottom w:val="none" w:sz="0" w:space="0" w:color="auto"/>
                                    <w:right w:val="none" w:sz="0" w:space="0" w:color="auto"/>
                                  </w:divBdr>
                                  <w:divsChild>
                                    <w:div w:id="1657032855">
                                      <w:marLeft w:val="0"/>
                                      <w:marRight w:val="0"/>
                                      <w:marTop w:val="0"/>
                                      <w:marBottom w:val="0"/>
                                      <w:divBdr>
                                        <w:top w:val="none" w:sz="0" w:space="0" w:color="auto"/>
                                        <w:left w:val="none" w:sz="0" w:space="0" w:color="auto"/>
                                        <w:bottom w:val="none" w:sz="0" w:space="0" w:color="auto"/>
                                        <w:right w:val="none" w:sz="0" w:space="0" w:color="auto"/>
                                      </w:divBdr>
                                    </w:div>
                                    <w:div w:id="13101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161390">
      <w:bodyDiv w:val="1"/>
      <w:marLeft w:val="0"/>
      <w:marRight w:val="0"/>
      <w:marTop w:val="0"/>
      <w:marBottom w:val="0"/>
      <w:divBdr>
        <w:top w:val="none" w:sz="0" w:space="0" w:color="auto"/>
        <w:left w:val="none" w:sz="0" w:space="0" w:color="auto"/>
        <w:bottom w:val="none" w:sz="0" w:space="0" w:color="auto"/>
        <w:right w:val="none" w:sz="0" w:space="0" w:color="auto"/>
      </w:divBdr>
    </w:div>
    <w:div w:id="1808008119">
      <w:bodyDiv w:val="1"/>
      <w:marLeft w:val="0"/>
      <w:marRight w:val="0"/>
      <w:marTop w:val="0"/>
      <w:marBottom w:val="0"/>
      <w:divBdr>
        <w:top w:val="none" w:sz="0" w:space="0" w:color="auto"/>
        <w:left w:val="none" w:sz="0" w:space="0" w:color="auto"/>
        <w:bottom w:val="none" w:sz="0" w:space="0" w:color="auto"/>
        <w:right w:val="none" w:sz="0" w:space="0" w:color="auto"/>
      </w:divBdr>
    </w:div>
    <w:div w:id="1894539418">
      <w:bodyDiv w:val="1"/>
      <w:marLeft w:val="0"/>
      <w:marRight w:val="0"/>
      <w:marTop w:val="0"/>
      <w:marBottom w:val="0"/>
      <w:divBdr>
        <w:top w:val="none" w:sz="0" w:space="0" w:color="auto"/>
        <w:left w:val="none" w:sz="0" w:space="0" w:color="auto"/>
        <w:bottom w:val="none" w:sz="0" w:space="0" w:color="auto"/>
        <w:right w:val="none" w:sz="0" w:space="0" w:color="auto"/>
      </w:divBdr>
    </w:div>
    <w:div w:id="1980184983">
      <w:bodyDiv w:val="1"/>
      <w:marLeft w:val="0"/>
      <w:marRight w:val="0"/>
      <w:marTop w:val="0"/>
      <w:marBottom w:val="0"/>
      <w:divBdr>
        <w:top w:val="none" w:sz="0" w:space="0" w:color="auto"/>
        <w:left w:val="none" w:sz="0" w:space="0" w:color="auto"/>
        <w:bottom w:val="none" w:sz="0" w:space="0" w:color="auto"/>
        <w:right w:val="none" w:sz="0" w:space="0" w:color="auto"/>
      </w:divBdr>
    </w:div>
    <w:div w:id="199198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microsoft.com/office/2007/relationships/hdphoto" Target="media/hdphoto1.wdp"/><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tga.gov.au" TargetMode="External"/><Relationship Id="rId37" Type="http://schemas.openxmlformats.org/officeDocument/2006/relationships/footer" Target="footer4.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1.xml"/><Relationship Id="rId23" Type="http://schemas.microsoft.com/office/2007/relationships/hdphoto" Target="media/hdphoto2.wdp"/><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https://www.tga.gov.au/product-information-pi" TargetMode="External"/><Relationship Id="rId31"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 Id="rId43"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6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A30B976D39D54A8FE8D6EC4970EAD6" ma:contentTypeVersion="8" ma:contentTypeDescription="Create a new document." ma:contentTypeScope="" ma:versionID="2bae5395f991f782b5bd8a5655b87ef1">
  <xsd:schema xmlns:xsd="http://www.w3.org/2001/XMLSchema" xmlns:xs="http://www.w3.org/2001/XMLSchema" xmlns:p="http://schemas.microsoft.com/office/2006/metadata/properties" xmlns:ns2="87385a72-a1c9-40d7-bfd6-f9ee31229ee6" xmlns:ns3="21fadba2-c194-43cb-badb-892bd7373f55" targetNamespace="http://schemas.microsoft.com/office/2006/metadata/properties" ma:root="true" ma:fieldsID="d87905226b69eefef513fb8b47f762af" ns2:_="" ns3:_="">
    <xsd:import namespace="87385a72-a1c9-40d7-bfd6-f9ee31229ee6"/>
    <xsd:import namespace="21fadba2-c194-43cb-badb-892bd7373f55"/>
    <xsd:element name="properties">
      <xsd:complexType>
        <xsd:sequence>
          <xsd:element name="documentManagement">
            <xsd:complexType>
              <xsd:all>
                <xsd:element ref="ns2:d1_p11_94" minOccurs="0"/>
                <xsd:element ref="ns2:hd68aa4e02194580bd84d17754489a77" minOccurs="0"/>
                <xsd:element ref="ns3:TaxCatchAll" minOccurs="0"/>
                <xsd:element ref="ns2:d0c8e85c950846968ac482549d80c0bc" minOccurs="0"/>
                <xsd:element ref="ns2:d35e40d87d4f4274b285d43b6872c6c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85a72-a1c9-40d7-bfd6-f9ee31229ee6" elementFormDefault="qualified">
    <xsd:import namespace="http://schemas.microsoft.com/office/2006/documentManagement/types"/>
    <xsd:import namespace="http://schemas.microsoft.com/office/infopath/2007/PartnerControls"/>
    <xsd:element name="d1_p11_94" ma:index="8" nillable="true" ma:displayName="Document Keywords" ma:internalName="d1_p11_94">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hd68aa4e02194580bd84d17754489a77" ma:index="10" nillable="true" ma:taxonomy="true" ma:internalName="hd68aa4e02194580bd84d17754489a77" ma:taxonomyFieldName="d1_p11_88" ma:displayName="Economic Regions" ma:fieldId="{1d68aa4e-0219-4580-bd84-d17754489a77}" ma:taxonomyMulti="true" ma:sspId="9069350d-75d5-4e7b-8ae1-cb4b5b018eb2" ma:termSetId="c9de63ba-28f2-4ee7-8ed9-e5350bd11456" ma:anchorId="00000000-0000-0000-0000-000000000000" ma:open="false" ma:isKeyword="false">
      <xsd:complexType>
        <xsd:sequence>
          <xsd:element ref="pc:Terms" minOccurs="0" maxOccurs="1"/>
        </xsd:sequence>
      </xsd:complexType>
    </xsd:element>
    <xsd:element name="d0c8e85c950846968ac482549d80c0bc" ma:index="13" nillable="true" ma:taxonomy="true" ma:internalName="d0c8e85c950846968ac482549d80c0bc" ma:taxonomyFieldName="d1_p11_11" ma:displayName="GX Operational Level 1" ma:fieldId="{d0c8e85c-9508-4696-8ac4-82549d80c0bc}" ma:taxonomyMulti="true" ma:sspId="9069350d-75d5-4e7b-8ae1-cb4b5b018eb2" ma:termSetId="9db7094f-84aa-4587-a64a-07921ee8ed24" ma:anchorId="00000000-0000-0000-0000-000000000000" ma:open="false" ma:isKeyword="false">
      <xsd:complexType>
        <xsd:sequence>
          <xsd:element ref="pc:Terms" minOccurs="0" maxOccurs="1"/>
        </xsd:sequence>
      </xsd:complexType>
    </xsd:element>
    <xsd:element name="d35e40d87d4f4274b285d43b6872c6cd" ma:index="15" nillable="true" ma:taxonomy="true" ma:internalName="d35e40d87d4f4274b285d43b6872c6cd" ma:taxonomyFieldName="d1_p11_82" ma:displayName="Brands" ma:fieldId="{d35e40d8-7d4f-4274-b285-d43b6872c6cd}" ma:taxonomyMulti="true" ma:sspId="9069350d-75d5-4e7b-8ae1-cb4b5b018eb2" ma:termSetId="a904eabe-5d44-4c43-9687-5523f42d19e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fadba2-c194-43cb-badb-892bd7373f5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a56a432-4f2e-4c5a-88c7-0b1f098a0407}" ma:internalName="TaxCatchAll" ma:showField="CatchAllData" ma:web="21fadba2-c194-43cb-badb-892bd737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fadba2-c194-43cb-badb-892bd7373f55"/>
    <d0c8e85c950846968ac482549d80c0bc xmlns="87385a72-a1c9-40d7-bfd6-f9ee31229ee6">
      <Terms xmlns="http://schemas.microsoft.com/office/infopath/2007/PartnerControls"/>
    </d0c8e85c950846968ac482549d80c0bc>
    <hd68aa4e02194580bd84d17754489a77 xmlns="87385a72-a1c9-40d7-bfd6-f9ee31229ee6">
      <Terms xmlns="http://schemas.microsoft.com/office/infopath/2007/PartnerControls"/>
    </hd68aa4e02194580bd84d17754489a77>
    <d1_p11_94 xmlns="87385a72-a1c9-40d7-bfd6-f9ee31229ee6"/>
    <d35e40d87d4f4274b285d43b6872c6cd xmlns="87385a72-a1c9-40d7-bfd6-f9ee31229ee6">
      <Terms xmlns="http://schemas.microsoft.com/office/infopath/2007/PartnerControls"/>
    </d35e40d87d4f4274b285d43b6872c6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35D9-A41B-4DED-8069-C0C18BD6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85a72-a1c9-40d7-bfd6-f9ee31229ee6"/>
    <ds:schemaRef ds:uri="21fadba2-c194-43cb-badb-892bd737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D0AE0A-4C40-4DEE-8590-78B87F669203}">
  <ds:schemaRef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21fadba2-c194-43cb-badb-892bd7373f55"/>
    <ds:schemaRef ds:uri="87385a72-a1c9-40d7-bfd6-f9ee31229ee6"/>
  </ds:schemaRefs>
</ds:datastoreItem>
</file>

<file path=customXml/itemProps3.xml><?xml version="1.0" encoding="utf-8"?>
<ds:datastoreItem xmlns:ds="http://schemas.openxmlformats.org/officeDocument/2006/customXml" ds:itemID="{896E62F7-321D-4CFD-B068-E39DEA8BB3CB}">
  <ds:schemaRefs>
    <ds:schemaRef ds:uri="http://schemas.microsoft.com/sharepoint/v3/contenttype/forms"/>
  </ds:schemaRefs>
</ds:datastoreItem>
</file>

<file path=customXml/itemProps4.xml><?xml version="1.0" encoding="utf-8"?>
<ds:datastoreItem xmlns:ds="http://schemas.openxmlformats.org/officeDocument/2006/customXml" ds:itemID="{E54E7186-FE65-4E94-B0E6-64096955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17</TotalTime>
  <Pages>70</Pages>
  <Words>27100</Words>
  <Characters>154475</Characters>
  <Application>Microsoft Office Word</Application>
  <DocSecurity>0</DocSecurity>
  <Lines>3767</Lines>
  <Paragraphs>2214</Paragraphs>
  <ScaleCrop>false</ScaleCrop>
  <HeadingPairs>
    <vt:vector size="2" baseType="variant">
      <vt:variant>
        <vt:lpstr>Title</vt:lpstr>
      </vt:variant>
      <vt:variant>
        <vt:i4>1</vt:i4>
      </vt:variant>
    </vt:vector>
  </HeadingPairs>
  <TitlesOfParts>
    <vt:vector size="1" baseType="lpstr">
      <vt:lpstr>Australian Public Assessment Report for Rituximab</vt:lpstr>
    </vt:vector>
  </TitlesOfParts>
  <Company>Department of Health</Company>
  <LinksUpToDate>false</LinksUpToDate>
  <CharactersWithSpaces>179361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Rituximab</dc:title>
  <dc:subject>prescription medicines</dc:subject>
  <dc:creator> Therapeutic Goods Administration</dc:creator>
  <cp:keywords>AusPARs</cp:keywords>
  <cp:lastPrinted>2018-05-23T02:28:00Z</cp:lastPrinted>
  <dcterms:created xsi:type="dcterms:W3CDTF">2018-09-11T00:25:00Z</dcterms:created>
  <dcterms:modified xsi:type="dcterms:W3CDTF">2018-09-11T00:49:00Z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0x01010096A30B976D39D54A8FE8D6EC4970EAD6</vt:lpwstr>
  </property>
  <property fmtid="{D5CDD505-2E9C-101B-9397-08002B2CF9AE}" pid="3" name="d1_p11_88">
    <vt:lpwstr/>
  </property>
  <property fmtid="{D5CDD505-2E9C-101B-9397-08002B2CF9AE}" pid="4" name="d1_p11_11">
    <vt:lpwstr/>
  </property>
  <property fmtid="{D5CDD505-2E9C-101B-9397-08002B2CF9AE}" pid="5" name="d1_p11_82">
    <vt:lpwstr/>
  </property>
</Properties>
</file>