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338C071" w14:textId="77777777" w:rsidTr="00BF1190">
        <w:trPr>
          <w:trHeight w:val="1863"/>
        </w:trPr>
        <w:tc>
          <w:tcPr>
            <w:tcW w:w="3652" w:type="dxa"/>
            <w:tcBorders>
              <w:top w:val="nil"/>
              <w:left w:val="nil"/>
              <w:bottom w:val="nil"/>
              <w:right w:val="nil"/>
            </w:tcBorders>
          </w:tcPr>
          <w:p w14:paraId="326814BF" w14:textId="026AD56B" w:rsidR="008E7846" w:rsidRPr="00096AA7" w:rsidRDefault="00B0334C" w:rsidP="00096AA7">
            <w:pPr>
              <w:rPr>
                <w:rFonts w:ascii="Arial" w:hAnsi="Arial" w:cs="Arial"/>
                <w:b/>
                <w:color w:val="002C47"/>
                <w:sz w:val="36"/>
                <w:szCs w:val="36"/>
              </w:rPr>
            </w:pPr>
            <w:bookmarkStart w:id="0" w:name="_GoBack"/>
            <w:bookmarkEnd w:id="0"/>
            <w:r>
              <w:rPr>
                <w:rFonts w:ascii="Arial" w:hAnsi="Arial" w:cs="Arial"/>
                <w:b/>
                <w:color w:val="002C47"/>
                <w:sz w:val="36"/>
                <w:szCs w:val="36"/>
              </w:rPr>
              <w:t xml:space="preserve">April </w:t>
            </w:r>
            <w:r w:rsidR="00FB4A94">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723DF70" w14:textId="77777777" w:rsidTr="0032583B">
        <w:trPr>
          <w:trHeight w:val="868"/>
        </w:trPr>
        <w:tc>
          <w:tcPr>
            <w:tcW w:w="9079" w:type="dxa"/>
          </w:tcPr>
          <w:p w14:paraId="47B0A57D" w14:textId="77777777" w:rsidR="0032583B" w:rsidRPr="00A964D1" w:rsidRDefault="0032583B" w:rsidP="00FB4A94">
            <w:pPr>
              <w:pStyle w:val="Title"/>
              <w:rPr>
                <w:color w:val="FFFFFF" w:themeColor="background1"/>
              </w:rPr>
            </w:pPr>
            <w:r w:rsidRPr="00A964D1">
              <w:rPr>
                <w:color w:val="FFFFFF" w:themeColor="background1"/>
              </w:rPr>
              <w:t>Australia</w:t>
            </w:r>
            <w:r w:rsidR="00FB4A94">
              <w:rPr>
                <w:color w:val="FFFFFF" w:themeColor="background1"/>
              </w:rPr>
              <w:t>n Public Assessment Report for R</w:t>
            </w:r>
            <w:r w:rsidR="00FB4A94" w:rsidRPr="00FB4A94">
              <w:rPr>
                <w:color w:val="FFFFFF" w:themeColor="background1"/>
              </w:rPr>
              <w:t>ituximab</w:t>
            </w:r>
          </w:p>
        </w:tc>
      </w:tr>
      <w:tr w:rsidR="0032583B" w:rsidRPr="00B64760" w14:paraId="76A36118" w14:textId="77777777" w:rsidTr="0032583B">
        <w:tc>
          <w:tcPr>
            <w:tcW w:w="9079" w:type="dxa"/>
          </w:tcPr>
          <w:p w14:paraId="58C6C6FA" w14:textId="77777777" w:rsidR="0032583B" w:rsidRPr="008E7846" w:rsidRDefault="00FB4A94" w:rsidP="00FB4A94">
            <w:pPr>
              <w:pStyle w:val="Subtitle"/>
              <w:rPr>
                <w:color w:val="FFFFFF" w:themeColor="background1"/>
              </w:rPr>
            </w:pPr>
            <w:r>
              <w:rPr>
                <w:color w:val="FFFFFF" w:themeColor="background1"/>
              </w:rPr>
              <w:t>Proprietary Product Name: Ruxience</w:t>
            </w:r>
          </w:p>
        </w:tc>
      </w:tr>
      <w:tr w:rsidR="0032583B" w:rsidRPr="00B64760" w14:paraId="15FD3165" w14:textId="77777777" w:rsidTr="0032583B">
        <w:trPr>
          <w:trHeight w:val="486"/>
        </w:trPr>
        <w:tc>
          <w:tcPr>
            <w:tcW w:w="9079" w:type="dxa"/>
          </w:tcPr>
          <w:p w14:paraId="4B656417" w14:textId="77777777" w:rsidR="0032583B" w:rsidRPr="008E7846" w:rsidRDefault="00FB4A94" w:rsidP="00FB4A94">
            <w:pPr>
              <w:pStyle w:val="Subtitle"/>
              <w:rPr>
                <w:color w:val="FFFFFF" w:themeColor="background1"/>
              </w:rPr>
            </w:pPr>
            <w:r>
              <w:rPr>
                <w:color w:val="FFFFFF" w:themeColor="background1"/>
              </w:rPr>
              <w:t>Sponsor: Pfizer Australia Pty Ltd</w:t>
            </w:r>
          </w:p>
        </w:tc>
      </w:tr>
    </w:tbl>
    <w:p w14:paraId="672A6659" w14:textId="77777777" w:rsidR="008E7846" w:rsidRPr="0085156D" w:rsidRDefault="008E7846" w:rsidP="0085156D">
      <w:r w:rsidRPr="0085156D">
        <w:br w:type="page"/>
      </w:r>
    </w:p>
    <w:p w14:paraId="50406010" w14:textId="77777777" w:rsidR="008E7846" w:rsidRPr="001F6CBA" w:rsidRDefault="008E7846" w:rsidP="008E7846">
      <w:pPr>
        <w:pStyle w:val="NonTOCHeading2"/>
      </w:pPr>
      <w:r w:rsidRPr="001F6CBA">
        <w:lastRenderedPageBreak/>
        <w:t>About the Therapeutic Goods Administration (TGA)</w:t>
      </w:r>
    </w:p>
    <w:p w14:paraId="49E8CC81"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8F5EA3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4F55B3E"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08EEE7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DD9D833" w14:textId="2CE4A16C"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1B3F3E39" w14:textId="77777777" w:rsidR="008E7846" w:rsidRDefault="008E7846" w:rsidP="00875A6B">
      <w:pPr>
        <w:pStyle w:val="NonTOCHeading2"/>
      </w:pPr>
      <w:r>
        <w:t>About AusPARs</w:t>
      </w:r>
    </w:p>
    <w:p w14:paraId="4EAF21D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7821F5B" w14:textId="77777777" w:rsidR="008E7846" w:rsidRDefault="008E7846" w:rsidP="008E7846">
      <w:pPr>
        <w:pStyle w:val="ListBullet"/>
        <w:numPr>
          <w:ilvl w:val="0"/>
          <w:numId w:val="3"/>
        </w:numPr>
        <w:ind w:left="357" w:hanging="357"/>
      </w:pPr>
      <w:r>
        <w:t>AusPARs are prepared and published by the TGA.</w:t>
      </w:r>
    </w:p>
    <w:p w14:paraId="369201AB"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71FA60E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2D67FFB"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471884A" w14:textId="77777777" w:rsidR="00924482" w:rsidRPr="00DF1D7F" w:rsidRDefault="00924482" w:rsidP="00F54B65">
      <w:pPr>
        <w:pStyle w:val="LegalSubheading"/>
        <w:spacing w:before="3120"/>
      </w:pPr>
      <w:r w:rsidRPr="00DF1D7F">
        <w:t>Copyright</w:t>
      </w:r>
    </w:p>
    <w:p w14:paraId="651EECB1" w14:textId="5A11687A"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91B3B">
          <w:rPr>
            <w:rStyle w:val="Hyperlink"/>
            <w:rFonts w:cs="Arial"/>
            <w:lang w:val="en-GB"/>
          </w:rPr>
          <w:t>tga.copyright@tga.gov.au</w:t>
        </w:r>
      </w:hyperlink>
      <w:r w:rsidRPr="00191B3B">
        <w:rPr>
          <w:rFonts w:cs="Arial"/>
        </w:rPr>
        <w:t>&gt;.</w:t>
      </w:r>
    </w:p>
    <w:p w14:paraId="0A37501D"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06425CA" w14:textId="77777777" w:rsidR="0089635C" w:rsidRPr="0089635C" w:rsidRDefault="0089635C" w:rsidP="0010788A">
          <w:pPr>
            <w:pStyle w:val="Contents"/>
          </w:pPr>
          <w:r w:rsidRPr="0010788A">
            <w:t>Contents</w:t>
          </w:r>
        </w:p>
        <w:p w14:paraId="46F40ECF" w14:textId="51F94D7C" w:rsidR="005B2C63"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1098521" w:history="1">
            <w:r w:rsidR="005B2C63" w:rsidRPr="00516E05">
              <w:rPr>
                <w:rStyle w:val="Hyperlink"/>
                <w:noProof/>
              </w:rPr>
              <w:t>List of abbreviations</w:t>
            </w:r>
            <w:r w:rsidR="005B2C63">
              <w:rPr>
                <w:noProof/>
                <w:webHidden/>
              </w:rPr>
              <w:tab/>
            </w:r>
            <w:r w:rsidR="005B2C63">
              <w:rPr>
                <w:noProof/>
                <w:webHidden/>
              </w:rPr>
              <w:fldChar w:fldCharType="begin"/>
            </w:r>
            <w:r w:rsidR="005B2C63">
              <w:rPr>
                <w:noProof/>
                <w:webHidden/>
              </w:rPr>
              <w:instrText xml:space="preserve"> PAGEREF _Toc71098521 \h </w:instrText>
            </w:r>
            <w:r w:rsidR="005B2C63">
              <w:rPr>
                <w:noProof/>
                <w:webHidden/>
              </w:rPr>
            </w:r>
            <w:r w:rsidR="005B2C63">
              <w:rPr>
                <w:noProof/>
                <w:webHidden/>
              </w:rPr>
              <w:fldChar w:fldCharType="separate"/>
            </w:r>
            <w:r w:rsidR="005B2C63">
              <w:rPr>
                <w:noProof/>
                <w:webHidden/>
              </w:rPr>
              <w:t>4</w:t>
            </w:r>
            <w:r w:rsidR="005B2C63">
              <w:rPr>
                <w:noProof/>
                <w:webHidden/>
              </w:rPr>
              <w:fldChar w:fldCharType="end"/>
            </w:r>
          </w:hyperlink>
        </w:p>
        <w:p w14:paraId="1BE8F93D" w14:textId="2230CBAF" w:rsidR="005B2C63" w:rsidRDefault="00CE60C5">
          <w:pPr>
            <w:pStyle w:val="TOC1"/>
            <w:rPr>
              <w:rFonts w:asciiTheme="minorHAnsi" w:eastAsiaTheme="minorEastAsia" w:hAnsiTheme="minorHAnsi" w:cstheme="minorBidi"/>
              <w:b w:val="0"/>
              <w:noProof/>
              <w:sz w:val="22"/>
              <w:lang w:eastAsia="en-AU"/>
            </w:rPr>
          </w:pPr>
          <w:hyperlink w:anchor="_Toc71098522" w:history="1">
            <w:r w:rsidR="005B2C63" w:rsidRPr="00516E05">
              <w:rPr>
                <w:rStyle w:val="Hyperlink"/>
                <w:noProof/>
              </w:rPr>
              <w:t>I. Introduction to product submission</w:t>
            </w:r>
            <w:r w:rsidR="005B2C63">
              <w:rPr>
                <w:noProof/>
                <w:webHidden/>
              </w:rPr>
              <w:tab/>
            </w:r>
            <w:r w:rsidR="005B2C63">
              <w:rPr>
                <w:noProof/>
                <w:webHidden/>
              </w:rPr>
              <w:fldChar w:fldCharType="begin"/>
            </w:r>
            <w:r w:rsidR="005B2C63">
              <w:rPr>
                <w:noProof/>
                <w:webHidden/>
              </w:rPr>
              <w:instrText xml:space="preserve"> PAGEREF _Toc71098522 \h </w:instrText>
            </w:r>
            <w:r w:rsidR="005B2C63">
              <w:rPr>
                <w:noProof/>
                <w:webHidden/>
              </w:rPr>
            </w:r>
            <w:r w:rsidR="005B2C63">
              <w:rPr>
                <w:noProof/>
                <w:webHidden/>
              </w:rPr>
              <w:fldChar w:fldCharType="separate"/>
            </w:r>
            <w:r w:rsidR="005B2C63">
              <w:rPr>
                <w:noProof/>
                <w:webHidden/>
              </w:rPr>
              <w:t>7</w:t>
            </w:r>
            <w:r w:rsidR="005B2C63">
              <w:rPr>
                <w:noProof/>
                <w:webHidden/>
              </w:rPr>
              <w:fldChar w:fldCharType="end"/>
            </w:r>
          </w:hyperlink>
        </w:p>
        <w:p w14:paraId="53AE4B10" w14:textId="07891E76" w:rsidR="005B2C63" w:rsidRDefault="00CE60C5">
          <w:pPr>
            <w:pStyle w:val="TOC2"/>
            <w:rPr>
              <w:rFonts w:asciiTheme="minorHAnsi" w:eastAsiaTheme="minorEastAsia" w:hAnsiTheme="minorHAnsi" w:cstheme="minorBidi"/>
              <w:b w:val="0"/>
              <w:noProof/>
              <w:sz w:val="22"/>
              <w:lang w:eastAsia="en-AU"/>
            </w:rPr>
          </w:pPr>
          <w:hyperlink w:anchor="_Toc71098523" w:history="1">
            <w:r w:rsidR="005B2C63" w:rsidRPr="00516E05">
              <w:rPr>
                <w:rStyle w:val="Hyperlink"/>
                <w:noProof/>
                <w:lang w:eastAsia="en-AU"/>
              </w:rPr>
              <w:t>Submission details</w:t>
            </w:r>
            <w:r w:rsidR="005B2C63">
              <w:rPr>
                <w:noProof/>
                <w:webHidden/>
              </w:rPr>
              <w:tab/>
            </w:r>
            <w:r w:rsidR="005B2C63">
              <w:rPr>
                <w:noProof/>
                <w:webHidden/>
              </w:rPr>
              <w:fldChar w:fldCharType="begin"/>
            </w:r>
            <w:r w:rsidR="005B2C63">
              <w:rPr>
                <w:noProof/>
                <w:webHidden/>
              </w:rPr>
              <w:instrText xml:space="preserve"> PAGEREF _Toc71098523 \h </w:instrText>
            </w:r>
            <w:r w:rsidR="005B2C63">
              <w:rPr>
                <w:noProof/>
                <w:webHidden/>
              </w:rPr>
            </w:r>
            <w:r w:rsidR="005B2C63">
              <w:rPr>
                <w:noProof/>
                <w:webHidden/>
              </w:rPr>
              <w:fldChar w:fldCharType="separate"/>
            </w:r>
            <w:r w:rsidR="005B2C63">
              <w:rPr>
                <w:noProof/>
                <w:webHidden/>
              </w:rPr>
              <w:t>7</w:t>
            </w:r>
            <w:r w:rsidR="005B2C63">
              <w:rPr>
                <w:noProof/>
                <w:webHidden/>
              </w:rPr>
              <w:fldChar w:fldCharType="end"/>
            </w:r>
          </w:hyperlink>
        </w:p>
        <w:p w14:paraId="60827D9A" w14:textId="14897519" w:rsidR="005B2C63" w:rsidRDefault="00CE60C5">
          <w:pPr>
            <w:pStyle w:val="TOC2"/>
            <w:rPr>
              <w:rFonts w:asciiTheme="minorHAnsi" w:eastAsiaTheme="minorEastAsia" w:hAnsiTheme="minorHAnsi" w:cstheme="minorBidi"/>
              <w:b w:val="0"/>
              <w:noProof/>
              <w:sz w:val="22"/>
              <w:lang w:eastAsia="en-AU"/>
            </w:rPr>
          </w:pPr>
          <w:hyperlink w:anchor="_Toc71098524" w:history="1">
            <w:r w:rsidR="005B2C63" w:rsidRPr="00516E05">
              <w:rPr>
                <w:rStyle w:val="Hyperlink"/>
                <w:noProof/>
              </w:rPr>
              <w:t>Product background</w:t>
            </w:r>
            <w:r w:rsidR="005B2C63">
              <w:rPr>
                <w:noProof/>
                <w:webHidden/>
              </w:rPr>
              <w:tab/>
            </w:r>
            <w:r w:rsidR="005B2C63">
              <w:rPr>
                <w:noProof/>
                <w:webHidden/>
              </w:rPr>
              <w:fldChar w:fldCharType="begin"/>
            </w:r>
            <w:r w:rsidR="005B2C63">
              <w:rPr>
                <w:noProof/>
                <w:webHidden/>
              </w:rPr>
              <w:instrText xml:space="preserve"> PAGEREF _Toc71098524 \h </w:instrText>
            </w:r>
            <w:r w:rsidR="005B2C63">
              <w:rPr>
                <w:noProof/>
                <w:webHidden/>
              </w:rPr>
            </w:r>
            <w:r w:rsidR="005B2C63">
              <w:rPr>
                <w:noProof/>
                <w:webHidden/>
              </w:rPr>
              <w:fldChar w:fldCharType="separate"/>
            </w:r>
            <w:r w:rsidR="005B2C63">
              <w:rPr>
                <w:noProof/>
                <w:webHidden/>
              </w:rPr>
              <w:t>9</w:t>
            </w:r>
            <w:r w:rsidR="005B2C63">
              <w:rPr>
                <w:noProof/>
                <w:webHidden/>
              </w:rPr>
              <w:fldChar w:fldCharType="end"/>
            </w:r>
          </w:hyperlink>
        </w:p>
        <w:p w14:paraId="09196027" w14:textId="14CD8255" w:rsidR="005B2C63" w:rsidRDefault="00CE60C5">
          <w:pPr>
            <w:pStyle w:val="TOC2"/>
            <w:rPr>
              <w:rFonts w:asciiTheme="minorHAnsi" w:eastAsiaTheme="minorEastAsia" w:hAnsiTheme="minorHAnsi" w:cstheme="minorBidi"/>
              <w:b w:val="0"/>
              <w:noProof/>
              <w:sz w:val="22"/>
              <w:lang w:eastAsia="en-AU"/>
            </w:rPr>
          </w:pPr>
          <w:hyperlink w:anchor="_Toc71098525" w:history="1">
            <w:r w:rsidR="005B2C63" w:rsidRPr="00516E05">
              <w:rPr>
                <w:rStyle w:val="Hyperlink"/>
                <w:noProof/>
              </w:rPr>
              <w:t>Regulatory status</w:t>
            </w:r>
            <w:r w:rsidR="005B2C63">
              <w:rPr>
                <w:noProof/>
                <w:webHidden/>
              </w:rPr>
              <w:tab/>
            </w:r>
            <w:r w:rsidR="005B2C63">
              <w:rPr>
                <w:noProof/>
                <w:webHidden/>
              </w:rPr>
              <w:fldChar w:fldCharType="begin"/>
            </w:r>
            <w:r w:rsidR="005B2C63">
              <w:rPr>
                <w:noProof/>
                <w:webHidden/>
              </w:rPr>
              <w:instrText xml:space="preserve"> PAGEREF _Toc71098525 \h </w:instrText>
            </w:r>
            <w:r w:rsidR="005B2C63">
              <w:rPr>
                <w:noProof/>
                <w:webHidden/>
              </w:rPr>
            </w:r>
            <w:r w:rsidR="005B2C63">
              <w:rPr>
                <w:noProof/>
                <w:webHidden/>
              </w:rPr>
              <w:fldChar w:fldCharType="separate"/>
            </w:r>
            <w:r w:rsidR="005B2C63">
              <w:rPr>
                <w:noProof/>
                <w:webHidden/>
              </w:rPr>
              <w:t>12</w:t>
            </w:r>
            <w:r w:rsidR="005B2C63">
              <w:rPr>
                <w:noProof/>
                <w:webHidden/>
              </w:rPr>
              <w:fldChar w:fldCharType="end"/>
            </w:r>
          </w:hyperlink>
        </w:p>
        <w:p w14:paraId="2D8A7E87" w14:textId="5CFD7F1B" w:rsidR="005B2C63" w:rsidRDefault="00CE60C5">
          <w:pPr>
            <w:pStyle w:val="TOC2"/>
            <w:rPr>
              <w:rFonts w:asciiTheme="minorHAnsi" w:eastAsiaTheme="minorEastAsia" w:hAnsiTheme="minorHAnsi" w:cstheme="minorBidi"/>
              <w:b w:val="0"/>
              <w:noProof/>
              <w:sz w:val="22"/>
              <w:lang w:eastAsia="en-AU"/>
            </w:rPr>
          </w:pPr>
          <w:hyperlink w:anchor="_Toc71098526" w:history="1">
            <w:r w:rsidR="005B2C63" w:rsidRPr="00516E05">
              <w:rPr>
                <w:rStyle w:val="Hyperlink"/>
                <w:noProof/>
              </w:rPr>
              <w:t>Product Information</w:t>
            </w:r>
            <w:r w:rsidR="005B2C63">
              <w:rPr>
                <w:noProof/>
                <w:webHidden/>
              </w:rPr>
              <w:tab/>
            </w:r>
            <w:r w:rsidR="005B2C63">
              <w:rPr>
                <w:noProof/>
                <w:webHidden/>
              </w:rPr>
              <w:fldChar w:fldCharType="begin"/>
            </w:r>
            <w:r w:rsidR="005B2C63">
              <w:rPr>
                <w:noProof/>
                <w:webHidden/>
              </w:rPr>
              <w:instrText xml:space="preserve"> PAGEREF _Toc71098526 \h </w:instrText>
            </w:r>
            <w:r w:rsidR="005B2C63">
              <w:rPr>
                <w:noProof/>
                <w:webHidden/>
              </w:rPr>
            </w:r>
            <w:r w:rsidR="005B2C63">
              <w:rPr>
                <w:noProof/>
                <w:webHidden/>
              </w:rPr>
              <w:fldChar w:fldCharType="separate"/>
            </w:r>
            <w:r w:rsidR="005B2C63">
              <w:rPr>
                <w:noProof/>
                <w:webHidden/>
              </w:rPr>
              <w:t>13</w:t>
            </w:r>
            <w:r w:rsidR="005B2C63">
              <w:rPr>
                <w:noProof/>
                <w:webHidden/>
              </w:rPr>
              <w:fldChar w:fldCharType="end"/>
            </w:r>
          </w:hyperlink>
        </w:p>
        <w:p w14:paraId="3524CA06" w14:textId="34AA9268" w:rsidR="005B2C63" w:rsidRDefault="00CE60C5">
          <w:pPr>
            <w:pStyle w:val="TOC1"/>
            <w:rPr>
              <w:rFonts w:asciiTheme="minorHAnsi" w:eastAsiaTheme="minorEastAsia" w:hAnsiTheme="minorHAnsi" w:cstheme="minorBidi"/>
              <w:b w:val="0"/>
              <w:noProof/>
              <w:sz w:val="22"/>
              <w:lang w:eastAsia="en-AU"/>
            </w:rPr>
          </w:pPr>
          <w:hyperlink w:anchor="_Toc71098527" w:history="1">
            <w:r w:rsidR="005B2C63" w:rsidRPr="00516E05">
              <w:rPr>
                <w:rStyle w:val="Hyperlink"/>
                <w:noProof/>
              </w:rPr>
              <w:t>II. Registration timeline</w:t>
            </w:r>
            <w:r w:rsidR="005B2C63">
              <w:rPr>
                <w:noProof/>
                <w:webHidden/>
              </w:rPr>
              <w:tab/>
            </w:r>
            <w:r w:rsidR="005B2C63">
              <w:rPr>
                <w:noProof/>
                <w:webHidden/>
              </w:rPr>
              <w:fldChar w:fldCharType="begin"/>
            </w:r>
            <w:r w:rsidR="005B2C63">
              <w:rPr>
                <w:noProof/>
                <w:webHidden/>
              </w:rPr>
              <w:instrText xml:space="preserve"> PAGEREF _Toc71098527 \h </w:instrText>
            </w:r>
            <w:r w:rsidR="005B2C63">
              <w:rPr>
                <w:noProof/>
                <w:webHidden/>
              </w:rPr>
            </w:r>
            <w:r w:rsidR="005B2C63">
              <w:rPr>
                <w:noProof/>
                <w:webHidden/>
              </w:rPr>
              <w:fldChar w:fldCharType="separate"/>
            </w:r>
            <w:r w:rsidR="005B2C63">
              <w:rPr>
                <w:noProof/>
                <w:webHidden/>
              </w:rPr>
              <w:t>13</w:t>
            </w:r>
            <w:r w:rsidR="005B2C63">
              <w:rPr>
                <w:noProof/>
                <w:webHidden/>
              </w:rPr>
              <w:fldChar w:fldCharType="end"/>
            </w:r>
          </w:hyperlink>
        </w:p>
        <w:p w14:paraId="5F671EDF" w14:textId="36A5BE63" w:rsidR="005B2C63" w:rsidRDefault="00CE60C5">
          <w:pPr>
            <w:pStyle w:val="TOC1"/>
            <w:rPr>
              <w:rFonts w:asciiTheme="minorHAnsi" w:eastAsiaTheme="minorEastAsia" w:hAnsiTheme="minorHAnsi" w:cstheme="minorBidi"/>
              <w:b w:val="0"/>
              <w:noProof/>
              <w:sz w:val="22"/>
              <w:lang w:eastAsia="en-AU"/>
            </w:rPr>
          </w:pPr>
          <w:hyperlink w:anchor="_Toc71098528" w:history="1">
            <w:r w:rsidR="005B2C63" w:rsidRPr="00516E05">
              <w:rPr>
                <w:rStyle w:val="Hyperlink"/>
                <w:noProof/>
              </w:rPr>
              <w:t>III. Submission overview and risk/benefit assessment</w:t>
            </w:r>
            <w:r w:rsidR="005B2C63">
              <w:rPr>
                <w:noProof/>
                <w:webHidden/>
              </w:rPr>
              <w:tab/>
            </w:r>
            <w:r w:rsidR="005B2C63">
              <w:rPr>
                <w:noProof/>
                <w:webHidden/>
              </w:rPr>
              <w:fldChar w:fldCharType="begin"/>
            </w:r>
            <w:r w:rsidR="005B2C63">
              <w:rPr>
                <w:noProof/>
                <w:webHidden/>
              </w:rPr>
              <w:instrText xml:space="preserve"> PAGEREF _Toc71098528 \h </w:instrText>
            </w:r>
            <w:r w:rsidR="005B2C63">
              <w:rPr>
                <w:noProof/>
                <w:webHidden/>
              </w:rPr>
            </w:r>
            <w:r w:rsidR="005B2C63">
              <w:rPr>
                <w:noProof/>
                <w:webHidden/>
              </w:rPr>
              <w:fldChar w:fldCharType="separate"/>
            </w:r>
            <w:r w:rsidR="005B2C63">
              <w:rPr>
                <w:noProof/>
                <w:webHidden/>
              </w:rPr>
              <w:t>13</w:t>
            </w:r>
            <w:r w:rsidR="005B2C63">
              <w:rPr>
                <w:noProof/>
                <w:webHidden/>
              </w:rPr>
              <w:fldChar w:fldCharType="end"/>
            </w:r>
          </w:hyperlink>
        </w:p>
        <w:p w14:paraId="121830EC" w14:textId="23762FF4" w:rsidR="005B2C63" w:rsidRDefault="00CE60C5">
          <w:pPr>
            <w:pStyle w:val="TOC2"/>
            <w:rPr>
              <w:rFonts w:asciiTheme="minorHAnsi" w:eastAsiaTheme="minorEastAsia" w:hAnsiTheme="minorHAnsi" w:cstheme="minorBidi"/>
              <w:b w:val="0"/>
              <w:noProof/>
              <w:sz w:val="22"/>
              <w:lang w:eastAsia="en-AU"/>
            </w:rPr>
          </w:pPr>
          <w:hyperlink w:anchor="_Toc71098529" w:history="1">
            <w:r w:rsidR="005B2C63" w:rsidRPr="00516E05">
              <w:rPr>
                <w:rStyle w:val="Hyperlink"/>
                <w:noProof/>
              </w:rPr>
              <w:t>Quality</w:t>
            </w:r>
            <w:r w:rsidR="005B2C63">
              <w:rPr>
                <w:noProof/>
                <w:webHidden/>
              </w:rPr>
              <w:tab/>
            </w:r>
            <w:r w:rsidR="005B2C63">
              <w:rPr>
                <w:noProof/>
                <w:webHidden/>
              </w:rPr>
              <w:fldChar w:fldCharType="begin"/>
            </w:r>
            <w:r w:rsidR="005B2C63">
              <w:rPr>
                <w:noProof/>
                <w:webHidden/>
              </w:rPr>
              <w:instrText xml:space="preserve"> PAGEREF _Toc71098529 \h </w:instrText>
            </w:r>
            <w:r w:rsidR="005B2C63">
              <w:rPr>
                <w:noProof/>
                <w:webHidden/>
              </w:rPr>
            </w:r>
            <w:r w:rsidR="005B2C63">
              <w:rPr>
                <w:noProof/>
                <w:webHidden/>
              </w:rPr>
              <w:fldChar w:fldCharType="separate"/>
            </w:r>
            <w:r w:rsidR="005B2C63">
              <w:rPr>
                <w:noProof/>
                <w:webHidden/>
              </w:rPr>
              <w:t>14</w:t>
            </w:r>
            <w:r w:rsidR="005B2C63">
              <w:rPr>
                <w:noProof/>
                <w:webHidden/>
              </w:rPr>
              <w:fldChar w:fldCharType="end"/>
            </w:r>
          </w:hyperlink>
        </w:p>
        <w:p w14:paraId="45199464" w14:textId="1E5D0869" w:rsidR="005B2C63" w:rsidRDefault="00CE60C5">
          <w:pPr>
            <w:pStyle w:val="TOC2"/>
            <w:rPr>
              <w:rFonts w:asciiTheme="minorHAnsi" w:eastAsiaTheme="minorEastAsia" w:hAnsiTheme="minorHAnsi" w:cstheme="minorBidi"/>
              <w:b w:val="0"/>
              <w:noProof/>
              <w:sz w:val="22"/>
              <w:lang w:eastAsia="en-AU"/>
            </w:rPr>
          </w:pPr>
          <w:hyperlink w:anchor="_Toc71098530" w:history="1">
            <w:r w:rsidR="005B2C63" w:rsidRPr="00516E05">
              <w:rPr>
                <w:rStyle w:val="Hyperlink"/>
                <w:noProof/>
              </w:rPr>
              <w:t>Nonclinical</w:t>
            </w:r>
            <w:r w:rsidR="005B2C63">
              <w:rPr>
                <w:noProof/>
                <w:webHidden/>
              </w:rPr>
              <w:tab/>
            </w:r>
            <w:r w:rsidR="005B2C63">
              <w:rPr>
                <w:noProof/>
                <w:webHidden/>
              </w:rPr>
              <w:fldChar w:fldCharType="begin"/>
            </w:r>
            <w:r w:rsidR="005B2C63">
              <w:rPr>
                <w:noProof/>
                <w:webHidden/>
              </w:rPr>
              <w:instrText xml:space="preserve"> PAGEREF _Toc71098530 \h </w:instrText>
            </w:r>
            <w:r w:rsidR="005B2C63">
              <w:rPr>
                <w:noProof/>
                <w:webHidden/>
              </w:rPr>
            </w:r>
            <w:r w:rsidR="005B2C63">
              <w:rPr>
                <w:noProof/>
                <w:webHidden/>
              </w:rPr>
              <w:fldChar w:fldCharType="separate"/>
            </w:r>
            <w:r w:rsidR="005B2C63">
              <w:rPr>
                <w:noProof/>
                <w:webHidden/>
              </w:rPr>
              <w:t>15</w:t>
            </w:r>
            <w:r w:rsidR="005B2C63">
              <w:rPr>
                <w:noProof/>
                <w:webHidden/>
              </w:rPr>
              <w:fldChar w:fldCharType="end"/>
            </w:r>
          </w:hyperlink>
        </w:p>
        <w:p w14:paraId="015EA530" w14:textId="4BCEA3D7" w:rsidR="005B2C63" w:rsidRDefault="00CE60C5">
          <w:pPr>
            <w:pStyle w:val="TOC2"/>
            <w:rPr>
              <w:rFonts w:asciiTheme="minorHAnsi" w:eastAsiaTheme="minorEastAsia" w:hAnsiTheme="minorHAnsi" w:cstheme="minorBidi"/>
              <w:b w:val="0"/>
              <w:noProof/>
              <w:sz w:val="22"/>
              <w:lang w:eastAsia="en-AU"/>
            </w:rPr>
          </w:pPr>
          <w:hyperlink w:anchor="_Toc71098531" w:history="1">
            <w:r w:rsidR="005B2C63" w:rsidRPr="00516E05">
              <w:rPr>
                <w:rStyle w:val="Hyperlink"/>
                <w:noProof/>
              </w:rPr>
              <w:t>Clinical</w:t>
            </w:r>
            <w:r w:rsidR="005B2C63">
              <w:rPr>
                <w:noProof/>
                <w:webHidden/>
              </w:rPr>
              <w:tab/>
            </w:r>
            <w:r w:rsidR="005B2C63">
              <w:rPr>
                <w:noProof/>
                <w:webHidden/>
              </w:rPr>
              <w:fldChar w:fldCharType="begin"/>
            </w:r>
            <w:r w:rsidR="005B2C63">
              <w:rPr>
                <w:noProof/>
                <w:webHidden/>
              </w:rPr>
              <w:instrText xml:space="preserve"> PAGEREF _Toc71098531 \h </w:instrText>
            </w:r>
            <w:r w:rsidR="005B2C63">
              <w:rPr>
                <w:noProof/>
                <w:webHidden/>
              </w:rPr>
            </w:r>
            <w:r w:rsidR="005B2C63">
              <w:rPr>
                <w:noProof/>
                <w:webHidden/>
              </w:rPr>
              <w:fldChar w:fldCharType="separate"/>
            </w:r>
            <w:r w:rsidR="005B2C63">
              <w:rPr>
                <w:noProof/>
                <w:webHidden/>
              </w:rPr>
              <w:t>16</w:t>
            </w:r>
            <w:r w:rsidR="005B2C63">
              <w:rPr>
                <w:noProof/>
                <w:webHidden/>
              </w:rPr>
              <w:fldChar w:fldCharType="end"/>
            </w:r>
          </w:hyperlink>
        </w:p>
        <w:p w14:paraId="26F3C249" w14:textId="18AADD0B" w:rsidR="005B2C63" w:rsidRDefault="00CE60C5">
          <w:pPr>
            <w:pStyle w:val="TOC2"/>
            <w:rPr>
              <w:rFonts w:asciiTheme="minorHAnsi" w:eastAsiaTheme="minorEastAsia" w:hAnsiTheme="minorHAnsi" w:cstheme="minorBidi"/>
              <w:b w:val="0"/>
              <w:noProof/>
              <w:sz w:val="22"/>
              <w:lang w:eastAsia="en-AU"/>
            </w:rPr>
          </w:pPr>
          <w:hyperlink w:anchor="_Toc71098532" w:history="1">
            <w:r w:rsidR="005B2C63" w:rsidRPr="00516E05">
              <w:rPr>
                <w:rStyle w:val="Hyperlink"/>
                <w:noProof/>
                <w:lang w:eastAsia="en-AU"/>
              </w:rPr>
              <w:t>Risk management plan</w:t>
            </w:r>
            <w:r w:rsidR="005B2C63">
              <w:rPr>
                <w:noProof/>
                <w:webHidden/>
              </w:rPr>
              <w:tab/>
            </w:r>
            <w:r w:rsidR="005B2C63">
              <w:rPr>
                <w:noProof/>
                <w:webHidden/>
              </w:rPr>
              <w:fldChar w:fldCharType="begin"/>
            </w:r>
            <w:r w:rsidR="005B2C63">
              <w:rPr>
                <w:noProof/>
                <w:webHidden/>
              </w:rPr>
              <w:instrText xml:space="preserve"> PAGEREF _Toc71098532 \h </w:instrText>
            </w:r>
            <w:r w:rsidR="005B2C63">
              <w:rPr>
                <w:noProof/>
                <w:webHidden/>
              </w:rPr>
            </w:r>
            <w:r w:rsidR="005B2C63">
              <w:rPr>
                <w:noProof/>
                <w:webHidden/>
              </w:rPr>
              <w:fldChar w:fldCharType="separate"/>
            </w:r>
            <w:r w:rsidR="005B2C63">
              <w:rPr>
                <w:noProof/>
                <w:webHidden/>
              </w:rPr>
              <w:t>24</w:t>
            </w:r>
            <w:r w:rsidR="005B2C63">
              <w:rPr>
                <w:noProof/>
                <w:webHidden/>
              </w:rPr>
              <w:fldChar w:fldCharType="end"/>
            </w:r>
          </w:hyperlink>
        </w:p>
        <w:p w14:paraId="70712590" w14:textId="1AD2A2C3" w:rsidR="005B2C63" w:rsidRDefault="00CE60C5">
          <w:pPr>
            <w:pStyle w:val="TOC2"/>
            <w:rPr>
              <w:rFonts w:asciiTheme="minorHAnsi" w:eastAsiaTheme="minorEastAsia" w:hAnsiTheme="minorHAnsi" w:cstheme="minorBidi"/>
              <w:b w:val="0"/>
              <w:noProof/>
              <w:sz w:val="22"/>
              <w:lang w:eastAsia="en-AU"/>
            </w:rPr>
          </w:pPr>
          <w:hyperlink w:anchor="_Toc71098533" w:history="1">
            <w:r w:rsidR="005B2C63" w:rsidRPr="00516E05">
              <w:rPr>
                <w:rStyle w:val="Hyperlink"/>
                <w:noProof/>
              </w:rPr>
              <w:t>Risk-benefit analysis</w:t>
            </w:r>
            <w:r w:rsidR="005B2C63">
              <w:rPr>
                <w:noProof/>
                <w:webHidden/>
              </w:rPr>
              <w:tab/>
            </w:r>
            <w:r w:rsidR="005B2C63">
              <w:rPr>
                <w:noProof/>
                <w:webHidden/>
              </w:rPr>
              <w:fldChar w:fldCharType="begin"/>
            </w:r>
            <w:r w:rsidR="005B2C63">
              <w:rPr>
                <w:noProof/>
                <w:webHidden/>
              </w:rPr>
              <w:instrText xml:space="preserve"> PAGEREF _Toc71098533 \h </w:instrText>
            </w:r>
            <w:r w:rsidR="005B2C63">
              <w:rPr>
                <w:noProof/>
                <w:webHidden/>
              </w:rPr>
            </w:r>
            <w:r w:rsidR="005B2C63">
              <w:rPr>
                <w:noProof/>
                <w:webHidden/>
              </w:rPr>
              <w:fldChar w:fldCharType="separate"/>
            </w:r>
            <w:r w:rsidR="005B2C63">
              <w:rPr>
                <w:noProof/>
                <w:webHidden/>
              </w:rPr>
              <w:t>26</w:t>
            </w:r>
            <w:r w:rsidR="005B2C63">
              <w:rPr>
                <w:noProof/>
                <w:webHidden/>
              </w:rPr>
              <w:fldChar w:fldCharType="end"/>
            </w:r>
          </w:hyperlink>
        </w:p>
        <w:p w14:paraId="3FBAEFC0" w14:textId="29D07D8E" w:rsidR="005B2C63" w:rsidRDefault="00CE60C5">
          <w:pPr>
            <w:pStyle w:val="TOC2"/>
            <w:rPr>
              <w:rFonts w:asciiTheme="minorHAnsi" w:eastAsiaTheme="minorEastAsia" w:hAnsiTheme="minorHAnsi" w:cstheme="minorBidi"/>
              <w:b w:val="0"/>
              <w:noProof/>
              <w:sz w:val="22"/>
              <w:lang w:eastAsia="en-AU"/>
            </w:rPr>
          </w:pPr>
          <w:hyperlink w:anchor="_Toc71098534" w:history="1">
            <w:r w:rsidR="005B2C63" w:rsidRPr="00516E05">
              <w:rPr>
                <w:rStyle w:val="Hyperlink"/>
                <w:noProof/>
              </w:rPr>
              <w:t>Outcome</w:t>
            </w:r>
            <w:r w:rsidR="005B2C63">
              <w:rPr>
                <w:noProof/>
                <w:webHidden/>
              </w:rPr>
              <w:tab/>
            </w:r>
            <w:r w:rsidR="005B2C63">
              <w:rPr>
                <w:noProof/>
                <w:webHidden/>
              </w:rPr>
              <w:fldChar w:fldCharType="begin"/>
            </w:r>
            <w:r w:rsidR="005B2C63">
              <w:rPr>
                <w:noProof/>
                <w:webHidden/>
              </w:rPr>
              <w:instrText xml:space="preserve"> PAGEREF _Toc71098534 \h </w:instrText>
            </w:r>
            <w:r w:rsidR="005B2C63">
              <w:rPr>
                <w:noProof/>
                <w:webHidden/>
              </w:rPr>
            </w:r>
            <w:r w:rsidR="005B2C63">
              <w:rPr>
                <w:noProof/>
                <w:webHidden/>
              </w:rPr>
              <w:fldChar w:fldCharType="separate"/>
            </w:r>
            <w:r w:rsidR="005B2C63">
              <w:rPr>
                <w:noProof/>
                <w:webHidden/>
              </w:rPr>
              <w:t>26</w:t>
            </w:r>
            <w:r w:rsidR="005B2C63">
              <w:rPr>
                <w:noProof/>
                <w:webHidden/>
              </w:rPr>
              <w:fldChar w:fldCharType="end"/>
            </w:r>
          </w:hyperlink>
        </w:p>
        <w:p w14:paraId="018C6050" w14:textId="776122FA" w:rsidR="005B2C63" w:rsidRDefault="00CE60C5">
          <w:pPr>
            <w:pStyle w:val="TOC1"/>
            <w:rPr>
              <w:rFonts w:asciiTheme="minorHAnsi" w:eastAsiaTheme="minorEastAsia" w:hAnsiTheme="minorHAnsi" w:cstheme="minorBidi"/>
              <w:b w:val="0"/>
              <w:noProof/>
              <w:sz w:val="22"/>
              <w:lang w:eastAsia="en-AU"/>
            </w:rPr>
          </w:pPr>
          <w:hyperlink w:anchor="_Toc71098535" w:history="1">
            <w:r w:rsidR="005B2C63" w:rsidRPr="00516E05">
              <w:rPr>
                <w:rStyle w:val="Hyperlink"/>
                <w:noProof/>
              </w:rPr>
              <w:t>Attachment 1. Product Information</w:t>
            </w:r>
            <w:r w:rsidR="005B2C63">
              <w:rPr>
                <w:noProof/>
                <w:webHidden/>
              </w:rPr>
              <w:tab/>
            </w:r>
            <w:r w:rsidR="005B2C63">
              <w:rPr>
                <w:noProof/>
                <w:webHidden/>
              </w:rPr>
              <w:fldChar w:fldCharType="begin"/>
            </w:r>
            <w:r w:rsidR="005B2C63">
              <w:rPr>
                <w:noProof/>
                <w:webHidden/>
              </w:rPr>
              <w:instrText xml:space="preserve"> PAGEREF _Toc71098535 \h </w:instrText>
            </w:r>
            <w:r w:rsidR="005B2C63">
              <w:rPr>
                <w:noProof/>
                <w:webHidden/>
              </w:rPr>
            </w:r>
            <w:r w:rsidR="005B2C63">
              <w:rPr>
                <w:noProof/>
                <w:webHidden/>
              </w:rPr>
              <w:fldChar w:fldCharType="separate"/>
            </w:r>
            <w:r w:rsidR="005B2C63">
              <w:rPr>
                <w:noProof/>
                <w:webHidden/>
              </w:rPr>
              <w:t>27</w:t>
            </w:r>
            <w:r w:rsidR="005B2C63">
              <w:rPr>
                <w:noProof/>
                <w:webHidden/>
              </w:rPr>
              <w:fldChar w:fldCharType="end"/>
            </w:r>
          </w:hyperlink>
        </w:p>
        <w:p w14:paraId="5DAB6C7B" w14:textId="76AC3181" w:rsidR="003A7F6C" w:rsidRPr="00B811C6" w:rsidRDefault="00C525A2" w:rsidP="00B811C6">
          <w:pPr>
            <w:pStyle w:val="TOC2"/>
          </w:pPr>
          <w:r>
            <w:fldChar w:fldCharType="end"/>
          </w:r>
        </w:p>
      </w:sdtContent>
    </w:sdt>
    <w:bookmarkStart w:id="3" w:name="_Toc314842482" w:displacedByCustomXml="prev"/>
    <w:p w14:paraId="02EB378F" w14:textId="77777777" w:rsidR="00FD119B" w:rsidRDefault="00FD119B">
      <w:pPr>
        <w:spacing w:before="0" w:after="200" w:line="0" w:lineRule="auto"/>
      </w:pPr>
      <w:r>
        <w:br w:type="page"/>
      </w:r>
    </w:p>
    <w:p w14:paraId="2CFAA407" w14:textId="77777777" w:rsidR="00C52E24" w:rsidRPr="00C52E24" w:rsidRDefault="00324E45" w:rsidP="00FB4A94">
      <w:pPr>
        <w:pStyle w:val="Heading2"/>
      </w:pPr>
      <w:bookmarkStart w:id="4" w:name="_Toc351716269"/>
      <w:bookmarkStart w:id="5" w:name="_Toc351718881"/>
      <w:bookmarkStart w:id="6" w:name="_Toc355338616"/>
      <w:bookmarkStart w:id="7" w:name="_Toc356306144"/>
      <w:bookmarkStart w:id="8" w:name="_Toc71098521"/>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7"/>
        <w:gridCol w:w="6697"/>
      </w:tblGrid>
      <w:tr w:rsidR="00AF0782" w:rsidRPr="00FD119B" w14:paraId="1663A7FB" w14:textId="77777777" w:rsidTr="00B256C2">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27374343" w14:textId="77777777" w:rsidR="00AF0782" w:rsidRPr="00FD119B" w:rsidRDefault="00AF0782" w:rsidP="008A7597">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0FBE1196" w14:textId="77777777" w:rsidR="00AF0782" w:rsidRPr="00FD119B" w:rsidRDefault="00AF0782" w:rsidP="008A7597">
            <w:pPr>
              <w:keepNext w:val="0"/>
              <w:ind w:left="0" w:right="0"/>
              <w:rPr>
                <w:szCs w:val="22"/>
                <w:lang w:eastAsia="en-US"/>
              </w:rPr>
            </w:pPr>
            <w:r w:rsidRPr="00FD119B">
              <w:rPr>
                <w:szCs w:val="22"/>
                <w:lang w:eastAsia="en-US"/>
              </w:rPr>
              <w:t>Meaning</w:t>
            </w:r>
          </w:p>
        </w:tc>
      </w:tr>
      <w:tr w:rsidR="00AF0782" w:rsidRPr="00FD119B" w14:paraId="6110FB8A" w14:textId="77777777" w:rsidTr="00B256C2">
        <w:tc>
          <w:tcPr>
            <w:tcW w:w="1809" w:type="dxa"/>
            <w:tcBorders>
              <w:top w:val="single" w:sz="4" w:space="0" w:color="auto"/>
            </w:tcBorders>
          </w:tcPr>
          <w:p w14:paraId="16C0203E" w14:textId="77777777" w:rsidR="00AF0782" w:rsidRPr="00FD119B" w:rsidRDefault="00AF0782" w:rsidP="008A7597">
            <w:pPr>
              <w:ind w:left="0" w:right="0"/>
            </w:pPr>
            <w:r>
              <w:t>ACM</w:t>
            </w:r>
          </w:p>
        </w:tc>
        <w:tc>
          <w:tcPr>
            <w:tcW w:w="6911" w:type="dxa"/>
            <w:tcBorders>
              <w:top w:val="single" w:sz="4" w:space="0" w:color="auto"/>
            </w:tcBorders>
          </w:tcPr>
          <w:p w14:paraId="21D17A40" w14:textId="77777777" w:rsidR="00AF0782" w:rsidRPr="00FD119B" w:rsidRDefault="00AF0782" w:rsidP="008A7597">
            <w:pPr>
              <w:ind w:left="0" w:right="0"/>
            </w:pPr>
            <w:r w:rsidRPr="00460036">
              <w:t>Advisory Committee on Medicines</w:t>
            </w:r>
          </w:p>
        </w:tc>
      </w:tr>
      <w:tr w:rsidR="00AF0782" w:rsidRPr="00FD119B" w14:paraId="707D718A" w14:textId="77777777" w:rsidTr="00B256C2">
        <w:tc>
          <w:tcPr>
            <w:tcW w:w="1809" w:type="dxa"/>
          </w:tcPr>
          <w:p w14:paraId="79126677" w14:textId="77777777" w:rsidR="00AF0782" w:rsidRPr="00EA5B6B" w:rsidRDefault="00AF0782" w:rsidP="008A7597">
            <w:pPr>
              <w:ind w:left="0"/>
            </w:pPr>
            <w:r>
              <w:t>ACR</w:t>
            </w:r>
          </w:p>
        </w:tc>
        <w:tc>
          <w:tcPr>
            <w:tcW w:w="6911" w:type="dxa"/>
          </w:tcPr>
          <w:p w14:paraId="1E79340C" w14:textId="77777777" w:rsidR="00AF0782" w:rsidRDefault="00AF0782" w:rsidP="008A7597">
            <w:pPr>
              <w:ind w:left="0"/>
            </w:pPr>
            <w:r w:rsidRPr="00EA5B6B">
              <w:t>American College of Rheumatology</w:t>
            </w:r>
          </w:p>
        </w:tc>
      </w:tr>
      <w:tr w:rsidR="00AF0782" w:rsidRPr="00FD119B" w14:paraId="7C3373A6" w14:textId="77777777" w:rsidTr="00B256C2">
        <w:tc>
          <w:tcPr>
            <w:tcW w:w="1809" w:type="dxa"/>
          </w:tcPr>
          <w:p w14:paraId="4FB26D33" w14:textId="77777777" w:rsidR="00AF0782" w:rsidRDefault="00AF0782" w:rsidP="008A7597">
            <w:pPr>
              <w:ind w:left="0"/>
            </w:pPr>
            <w:r>
              <w:t>ADA</w:t>
            </w:r>
          </w:p>
        </w:tc>
        <w:tc>
          <w:tcPr>
            <w:tcW w:w="6911" w:type="dxa"/>
          </w:tcPr>
          <w:p w14:paraId="5090121E" w14:textId="77777777" w:rsidR="00AF0782" w:rsidRDefault="00AF0782" w:rsidP="008A7597">
            <w:pPr>
              <w:ind w:left="0"/>
            </w:pPr>
            <w:r>
              <w:t>A</w:t>
            </w:r>
            <w:r w:rsidRPr="00114FDC">
              <w:t>nti drug antibody</w:t>
            </w:r>
          </w:p>
        </w:tc>
      </w:tr>
      <w:tr w:rsidR="00AF0782" w:rsidRPr="00FD119B" w14:paraId="03193279" w14:textId="77777777" w:rsidTr="00B256C2">
        <w:tc>
          <w:tcPr>
            <w:tcW w:w="1809" w:type="dxa"/>
          </w:tcPr>
          <w:p w14:paraId="34CB050A" w14:textId="77777777" w:rsidR="00AF0782" w:rsidRPr="00EA5B6B" w:rsidRDefault="00AF0782" w:rsidP="008A7597">
            <w:pPr>
              <w:ind w:left="0"/>
            </w:pPr>
            <w:r>
              <w:t>ADCC</w:t>
            </w:r>
          </w:p>
        </w:tc>
        <w:tc>
          <w:tcPr>
            <w:tcW w:w="6911" w:type="dxa"/>
          </w:tcPr>
          <w:p w14:paraId="1D6FDF9A" w14:textId="77777777" w:rsidR="00AF0782" w:rsidRDefault="00AF0782" w:rsidP="008A7597">
            <w:pPr>
              <w:ind w:left="0"/>
            </w:pPr>
            <w:r>
              <w:t>A</w:t>
            </w:r>
            <w:r w:rsidRPr="007320D3">
              <w:t>ntibody-dependent cell-mediated cytotoxicity</w:t>
            </w:r>
          </w:p>
        </w:tc>
      </w:tr>
      <w:tr w:rsidR="00AF0782" w:rsidRPr="00FD119B" w14:paraId="6BE3423E" w14:textId="77777777" w:rsidTr="00B256C2">
        <w:tc>
          <w:tcPr>
            <w:tcW w:w="1809" w:type="dxa"/>
          </w:tcPr>
          <w:p w14:paraId="679E6B48" w14:textId="77777777" w:rsidR="00AF0782" w:rsidRPr="00EA5B6B" w:rsidRDefault="00AF0782" w:rsidP="008A7597">
            <w:pPr>
              <w:ind w:left="0"/>
            </w:pPr>
            <w:r>
              <w:t>ADCP</w:t>
            </w:r>
          </w:p>
        </w:tc>
        <w:tc>
          <w:tcPr>
            <w:tcW w:w="6911" w:type="dxa"/>
          </w:tcPr>
          <w:p w14:paraId="1B2EAF89" w14:textId="77777777" w:rsidR="00AF0782" w:rsidRDefault="00AF0782" w:rsidP="008A7597">
            <w:pPr>
              <w:ind w:left="0"/>
            </w:pPr>
            <w:r>
              <w:rPr>
                <w:lang w:val="en-GB"/>
              </w:rPr>
              <w:t>A</w:t>
            </w:r>
            <w:r w:rsidRPr="001E0A91">
              <w:rPr>
                <w:lang w:val="en-GB"/>
              </w:rPr>
              <w:t>ntibody-dependent cellular phagocytosis</w:t>
            </w:r>
          </w:p>
        </w:tc>
      </w:tr>
      <w:tr w:rsidR="00AF0782" w:rsidRPr="00FD119B" w14:paraId="23322AC9" w14:textId="77777777" w:rsidTr="00B256C2">
        <w:tc>
          <w:tcPr>
            <w:tcW w:w="1809" w:type="dxa"/>
          </w:tcPr>
          <w:p w14:paraId="46008FF8" w14:textId="77777777" w:rsidR="00AF0782" w:rsidRPr="00EA5B6B" w:rsidRDefault="00AF0782" w:rsidP="008A7597">
            <w:pPr>
              <w:ind w:left="0"/>
            </w:pPr>
            <w:r>
              <w:t>ANCA</w:t>
            </w:r>
          </w:p>
        </w:tc>
        <w:tc>
          <w:tcPr>
            <w:tcW w:w="6911" w:type="dxa"/>
          </w:tcPr>
          <w:p w14:paraId="7B1E5ECC" w14:textId="77777777" w:rsidR="00AF0782" w:rsidRDefault="00AF0782" w:rsidP="008A7597">
            <w:pPr>
              <w:ind w:left="0"/>
            </w:pPr>
            <w:r>
              <w:t>Anti-neutrophil cytoplasmic antibody</w:t>
            </w:r>
          </w:p>
        </w:tc>
      </w:tr>
      <w:tr w:rsidR="00AF0782" w:rsidRPr="00FD119B" w14:paraId="341A2A07" w14:textId="77777777" w:rsidTr="00B256C2">
        <w:tc>
          <w:tcPr>
            <w:tcW w:w="1809" w:type="dxa"/>
          </w:tcPr>
          <w:p w14:paraId="6F91F400" w14:textId="77777777" w:rsidR="00AF0782" w:rsidRPr="00FD119B" w:rsidRDefault="00AF0782" w:rsidP="008A7597">
            <w:pPr>
              <w:ind w:left="0" w:right="0"/>
            </w:pPr>
            <w:r>
              <w:t>ARTG</w:t>
            </w:r>
          </w:p>
        </w:tc>
        <w:tc>
          <w:tcPr>
            <w:tcW w:w="6911" w:type="dxa"/>
          </w:tcPr>
          <w:p w14:paraId="76D04BE5" w14:textId="77777777" w:rsidR="00AF0782" w:rsidRPr="00FD119B" w:rsidRDefault="00AF0782" w:rsidP="008A7597">
            <w:pPr>
              <w:ind w:left="0" w:right="0"/>
            </w:pPr>
            <w:r w:rsidRPr="00460036">
              <w:t>Australian Register of Therapeutic Goods</w:t>
            </w:r>
          </w:p>
        </w:tc>
      </w:tr>
      <w:tr w:rsidR="00AF0782" w:rsidRPr="00FD119B" w14:paraId="6D7E21D5" w14:textId="77777777" w:rsidTr="00B256C2">
        <w:tc>
          <w:tcPr>
            <w:tcW w:w="1809" w:type="dxa"/>
          </w:tcPr>
          <w:p w14:paraId="4E3639A5" w14:textId="77777777" w:rsidR="00AF0782" w:rsidRDefault="00AF0782" w:rsidP="008A7597">
            <w:pPr>
              <w:ind w:left="0"/>
            </w:pPr>
            <w:r>
              <w:t>ASA</w:t>
            </w:r>
          </w:p>
        </w:tc>
        <w:tc>
          <w:tcPr>
            <w:tcW w:w="6911" w:type="dxa"/>
          </w:tcPr>
          <w:p w14:paraId="426DC9E3" w14:textId="3F1CA5E8" w:rsidR="00AF0782" w:rsidRDefault="00AF0782" w:rsidP="008A7597">
            <w:pPr>
              <w:ind w:left="0"/>
            </w:pPr>
            <w:r>
              <w:t>Australian</w:t>
            </w:r>
            <w:r w:rsidR="00631EDF">
              <w:t>-s</w:t>
            </w:r>
            <w:r>
              <w:t>pecific Annex</w:t>
            </w:r>
          </w:p>
        </w:tc>
      </w:tr>
      <w:tr w:rsidR="00AF0782" w:rsidRPr="00FD119B" w14:paraId="09C2B78F" w14:textId="77777777" w:rsidTr="00B256C2">
        <w:tc>
          <w:tcPr>
            <w:tcW w:w="1809" w:type="dxa"/>
          </w:tcPr>
          <w:p w14:paraId="16C0766D" w14:textId="77777777" w:rsidR="00AF0782" w:rsidRPr="00EA5B6B" w:rsidRDefault="00AF0782" w:rsidP="008A7597">
            <w:pPr>
              <w:ind w:left="0" w:right="0"/>
            </w:pPr>
            <w:r>
              <w:rPr>
                <w:lang w:eastAsia="ja-JP"/>
              </w:rPr>
              <w:t>AUC</w:t>
            </w:r>
            <w:r w:rsidRPr="001C2C11">
              <w:rPr>
                <w:vertAlign w:val="subscript"/>
                <w:lang w:eastAsia="ja-JP"/>
              </w:rPr>
              <w:t>0-∞</w:t>
            </w:r>
          </w:p>
        </w:tc>
        <w:tc>
          <w:tcPr>
            <w:tcW w:w="6911" w:type="dxa"/>
          </w:tcPr>
          <w:p w14:paraId="44EE1744" w14:textId="191DA638" w:rsidR="00AF0782" w:rsidRDefault="00AF0782" w:rsidP="008A7597">
            <w:pPr>
              <w:ind w:left="0" w:right="0"/>
            </w:pPr>
            <w:r>
              <w:rPr>
                <w:lang w:eastAsia="ja-JP"/>
              </w:rPr>
              <w:t>A</w:t>
            </w:r>
            <w:r w:rsidRPr="00CC119A">
              <w:rPr>
                <w:lang w:eastAsia="ja-JP"/>
              </w:rPr>
              <w:t>r</w:t>
            </w:r>
            <w:r>
              <w:rPr>
                <w:lang w:eastAsia="ja-JP"/>
              </w:rPr>
              <w:t>ea under the concentration</w:t>
            </w:r>
            <w:r w:rsidR="00631EDF">
              <w:rPr>
                <w:lang w:eastAsia="ja-JP"/>
              </w:rPr>
              <w:noBreakHyphen/>
            </w:r>
            <w:r>
              <w:rPr>
                <w:lang w:eastAsia="ja-JP"/>
              </w:rPr>
              <w:t xml:space="preserve">time </w:t>
            </w:r>
            <w:r w:rsidRPr="00CC119A">
              <w:rPr>
                <w:lang w:eastAsia="ja-JP"/>
              </w:rPr>
              <w:t>curve from time zero to infinity</w:t>
            </w:r>
          </w:p>
        </w:tc>
      </w:tr>
      <w:tr w:rsidR="00AF0782" w:rsidRPr="00FD119B" w14:paraId="77080FEF" w14:textId="77777777" w:rsidTr="00B256C2">
        <w:tc>
          <w:tcPr>
            <w:tcW w:w="1809" w:type="dxa"/>
          </w:tcPr>
          <w:p w14:paraId="56F63F6A" w14:textId="77777777" w:rsidR="00AF0782" w:rsidRDefault="00AF0782" w:rsidP="008A7597">
            <w:pPr>
              <w:ind w:left="0"/>
            </w:pPr>
            <w:r>
              <w:t>AusPAR</w:t>
            </w:r>
          </w:p>
        </w:tc>
        <w:tc>
          <w:tcPr>
            <w:tcW w:w="6911" w:type="dxa"/>
          </w:tcPr>
          <w:p w14:paraId="00DA3084" w14:textId="77777777" w:rsidR="00AF0782" w:rsidRPr="00460036" w:rsidRDefault="00AF0782" w:rsidP="008A7597">
            <w:pPr>
              <w:ind w:left="0"/>
            </w:pPr>
            <w:r>
              <w:t>Australian Public Assessment Report</w:t>
            </w:r>
          </w:p>
        </w:tc>
      </w:tr>
      <w:tr w:rsidR="00AF0782" w:rsidRPr="00FD119B" w14:paraId="1A956034" w14:textId="77777777" w:rsidTr="00B256C2">
        <w:tc>
          <w:tcPr>
            <w:tcW w:w="1809" w:type="dxa"/>
          </w:tcPr>
          <w:p w14:paraId="7877A95C" w14:textId="77777777" w:rsidR="00AF0782" w:rsidRDefault="00AF0782" w:rsidP="008A7597">
            <w:pPr>
              <w:ind w:left="0"/>
            </w:pPr>
            <w:r>
              <w:t>BE</w:t>
            </w:r>
          </w:p>
        </w:tc>
        <w:tc>
          <w:tcPr>
            <w:tcW w:w="6911" w:type="dxa"/>
          </w:tcPr>
          <w:p w14:paraId="40029F42" w14:textId="77777777" w:rsidR="00AF0782" w:rsidRDefault="00AF0782" w:rsidP="008A7597">
            <w:pPr>
              <w:ind w:left="0"/>
            </w:pPr>
            <w:r>
              <w:t xml:space="preserve">Bioequivalent </w:t>
            </w:r>
          </w:p>
        </w:tc>
      </w:tr>
      <w:tr w:rsidR="00AF0782" w:rsidRPr="00FD119B" w14:paraId="224F25D8" w14:textId="77777777" w:rsidTr="00B256C2">
        <w:tc>
          <w:tcPr>
            <w:tcW w:w="1809" w:type="dxa"/>
          </w:tcPr>
          <w:p w14:paraId="1D85DF1F" w14:textId="77777777" w:rsidR="00AF0782" w:rsidRDefault="00AF0782" w:rsidP="008A7597">
            <w:pPr>
              <w:ind w:left="0"/>
            </w:pPr>
            <w:r>
              <w:t>BSA</w:t>
            </w:r>
          </w:p>
        </w:tc>
        <w:tc>
          <w:tcPr>
            <w:tcW w:w="6911" w:type="dxa"/>
          </w:tcPr>
          <w:p w14:paraId="6F6DE3E6" w14:textId="77777777" w:rsidR="00AF0782" w:rsidRDefault="00AF0782" w:rsidP="008A7597">
            <w:pPr>
              <w:ind w:left="0"/>
            </w:pPr>
            <w:r>
              <w:t>Body surface area</w:t>
            </w:r>
          </w:p>
        </w:tc>
      </w:tr>
      <w:tr w:rsidR="00AF0782" w:rsidRPr="00FD119B" w14:paraId="39C88823" w14:textId="77777777" w:rsidTr="00B256C2">
        <w:tc>
          <w:tcPr>
            <w:tcW w:w="1809" w:type="dxa"/>
          </w:tcPr>
          <w:p w14:paraId="578E4003" w14:textId="77777777" w:rsidR="00AF0782" w:rsidRPr="00EA5B6B" w:rsidRDefault="00AF0782" w:rsidP="008A7597">
            <w:pPr>
              <w:ind w:left="0"/>
            </w:pPr>
            <w:r>
              <w:t>C1q</w:t>
            </w:r>
          </w:p>
        </w:tc>
        <w:tc>
          <w:tcPr>
            <w:tcW w:w="6911" w:type="dxa"/>
          </w:tcPr>
          <w:p w14:paraId="15789F40" w14:textId="77777777" w:rsidR="00AF0782" w:rsidRDefault="00AF0782" w:rsidP="008A7597">
            <w:pPr>
              <w:ind w:left="0"/>
            </w:pPr>
            <w:r w:rsidRPr="007320D3">
              <w:t>Complement component 1q</w:t>
            </w:r>
          </w:p>
        </w:tc>
      </w:tr>
      <w:tr w:rsidR="00AF0782" w:rsidRPr="00FD119B" w14:paraId="486E5616" w14:textId="77777777" w:rsidTr="00B256C2">
        <w:tc>
          <w:tcPr>
            <w:tcW w:w="1809" w:type="dxa"/>
          </w:tcPr>
          <w:p w14:paraId="564F9239" w14:textId="77777777" w:rsidR="00AF0782" w:rsidRDefault="00AF0782" w:rsidP="008A7597">
            <w:pPr>
              <w:ind w:left="0"/>
            </w:pPr>
            <w:r>
              <w:t>CCP</w:t>
            </w:r>
          </w:p>
        </w:tc>
        <w:tc>
          <w:tcPr>
            <w:tcW w:w="6911" w:type="dxa"/>
          </w:tcPr>
          <w:p w14:paraId="7787FBA1" w14:textId="77777777" w:rsidR="00AF0782" w:rsidRDefault="00AF0782" w:rsidP="008A7597">
            <w:pPr>
              <w:ind w:left="0"/>
            </w:pPr>
            <w:r>
              <w:t>C</w:t>
            </w:r>
            <w:r w:rsidRPr="008C25F3">
              <w:t>yclic citrullinated peptides</w:t>
            </w:r>
          </w:p>
        </w:tc>
      </w:tr>
      <w:tr w:rsidR="00AF0782" w:rsidRPr="00FD119B" w14:paraId="106B5680" w14:textId="77777777" w:rsidTr="00B256C2">
        <w:tc>
          <w:tcPr>
            <w:tcW w:w="1809" w:type="dxa"/>
          </w:tcPr>
          <w:p w14:paraId="749E44DE" w14:textId="77777777" w:rsidR="00AF0782" w:rsidRPr="00EA5B6B" w:rsidRDefault="00AF0782" w:rsidP="008A7597">
            <w:pPr>
              <w:ind w:left="0"/>
            </w:pPr>
            <w:r>
              <w:t>CDC</w:t>
            </w:r>
          </w:p>
        </w:tc>
        <w:tc>
          <w:tcPr>
            <w:tcW w:w="6911" w:type="dxa"/>
          </w:tcPr>
          <w:p w14:paraId="3F03B595" w14:textId="77777777" w:rsidR="00AF0782" w:rsidRDefault="00AF0782" w:rsidP="008A7597">
            <w:pPr>
              <w:ind w:left="0"/>
            </w:pPr>
            <w:r>
              <w:t>C</w:t>
            </w:r>
            <w:r w:rsidRPr="007320D3">
              <w:t>omplement-dependent cytotoxicity</w:t>
            </w:r>
          </w:p>
        </w:tc>
      </w:tr>
      <w:tr w:rsidR="00AF0782" w:rsidRPr="00FD119B" w14:paraId="7756D375" w14:textId="77777777" w:rsidTr="00B256C2">
        <w:tc>
          <w:tcPr>
            <w:tcW w:w="1809" w:type="dxa"/>
          </w:tcPr>
          <w:p w14:paraId="6F40820F" w14:textId="77777777" w:rsidR="00AF0782" w:rsidRPr="00EA5B6B" w:rsidRDefault="00AF0782" w:rsidP="008A7597">
            <w:pPr>
              <w:ind w:left="0"/>
            </w:pPr>
            <w:r>
              <w:t>CHO</w:t>
            </w:r>
          </w:p>
        </w:tc>
        <w:tc>
          <w:tcPr>
            <w:tcW w:w="6911" w:type="dxa"/>
          </w:tcPr>
          <w:p w14:paraId="0E487F18" w14:textId="77777777" w:rsidR="00AF0782" w:rsidRDefault="00AF0782" w:rsidP="008A7597">
            <w:pPr>
              <w:ind w:left="0"/>
            </w:pPr>
            <w:r>
              <w:rPr>
                <w:lang w:val="en-GB"/>
              </w:rPr>
              <w:t>Chinese hamster ovary</w:t>
            </w:r>
          </w:p>
        </w:tc>
      </w:tr>
      <w:tr w:rsidR="00AF0782" w:rsidRPr="00FD119B" w14:paraId="6E226F00" w14:textId="77777777" w:rsidTr="00B256C2">
        <w:tc>
          <w:tcPr>
            <w:tcW w:w="1809" w:type="dxa"/>
          </w:tcPr>
          <w:p w14:paraId="7BFE204E" w14:textId="77777777" w:rsidR="00AF0782" w:rsidRDefault="00AF0782" w:rsidP="008A7597">
            <w:pPr>
              <w:ind w:left="0"/>
            </w:pPr>
            <w:r>
              <w:t>CHOP</w:t>
            </w:r>
          </w:p>
        </w:tc>
        <w:tc>
          <w:tcPr>
            <w:tcW w:w="6911" w:type="dxa"/>
          </w:tcPr>
          <w:p w14:paraId="33B643C1" w14:textId="3842FDDC" w:rsidR="00AF0782" w:rsidRDefault="00AF0782" w:rsidP="008A7597">
            <w:pPr>
              <w:ind w:left="0"/>
            </w:pPr>
            <w:r>
              <w:t>Cyclophosphamide, hydroxydaunorubicin, oncovin, and prednisone or prednisolone</w:t>
            </w:r>
            <w:r w:rsidR="00631EDF">
              <w:t xml:space="preserve"> (combination treatment)</w:t>
            </w:r>
          </w:p>
        </w:tc>
      </w:tr>
      <w:tr w:rsidR="00AF0782" w:rsidRPr="00FD119B" w14:paraId="2C6291F4" w14:textId="77777777" w:rsidTr="00B256C2">
        <w:tc>
          <w:tcPr>
            <w:tcW w:w="1809" w:type="dxa"/>
          </w:tcPr>
          <w:p w14:paraId="68B0BB42" w14:textId="77777777" w:rsidR="00AF0782" w:rsidRDefault="00AF0782" w:rsidP="008A7597">
            <w:pPr>
              <w:ind w:left="0"/>
            </w:pPr>
            <w:r>
              <w:t>CI</w:t>
            </w:r>
          </w:p>
        </w:tc>
        <w:tc>
          <w:tcPr>
            <w:tcW w:w="6911" w:type="dxa"/>
          </w:tcPr>
          <w:p w14:paraId="0E48619A" w14:textId="77777777" w:rsidR="00AF0782" w:rsidRDefault="00AF0782" w:rsidP="008A7597">
            <w:pPr>
              <w:ind w:left="0"/>
            </w:pPr>
            <w:r>
              <w:t>Confidence interval</w:t>
            </w:r>
          </w:p>
        </w:tc>
      </w:tr>
      <w:tr w:rsidR="00AF0782" w:rsidRPr="00FD119B" w14:paraId="0C7E2E57" w14:textId="77777777" w:rsidTr="00B256C2">
        <w:tc>
          <w:tcPr>
            <w:tcW w:w="1809" w:type="dxa"/>
          </w:tcPr>
          <w:p w14:paraId="1C34DCDC" w14:textId="77777777" w:rsidR="00AF0782" w:rsidRDefault="00AF0782" w:rsidP="008A7597">
            <w:pPr>
              <w:ind w:left="0"/>
            </w:pPr>
            <w:r>
              <w:t>CLL</w:t>
            </w:r>
          </w:p>
        </w:tc>
        <w:tc>
          <w:tcPr>
            <w:tcW w:w="6911" w:type="dxa"/>
          </w:tcPr>
          <w:p w14:paraId="32421A29" w14:textId="77777777" w:rsidR="00AF0782" w:rsidRPr="001F6CBA" w:rsidRDefault="00AF0782" w:rsidP="008A7597">
            <w:pPr>
              <w:ind w:left="0"/>
            </w:pPr>
            <w:r>
              <w:t>C</w:t>
            </w:r>
            <w:r w:rsidRPr="00751AC2">
              <w:t>hronic lymphocytic leukaemia</w:t>
            </w:r>
          </w:p>
        </w:tc>
      </w:tr>
      <w:tr w:rsidR="00AF0782" w:rsidRPr="00FD119B" w14:paraId="005FB160" w14:textId="77777777" w:rsidTr="00B256C2">
        <w:tc>
          <w:tcPr>
            <w:tcW w:w="1809" w:type="dxa"/>
          </w:tcPr>
          <w:p w14:paraId="20332D1E" w14:textId="77777777" w:rsidR="00AF0782" w:rsidRPr="00EA5B6B" w:rsidRDefault="00AF0782" w:rsidP="008A7597">
            <w:pPr>
              <w:ind w:left="0"/>
            </w:pPr>
            <w:r>
              <w:rPr>
                <w:lang w:eastAsia="ja-JP"/>
              </w:rPr>
              <w:t>C</w:t>
            </w:r>
            <w:r w:rsidRPr="001C2C11">
              <w:rPr>
                <w:vertAlign w:val="subscript"/>
                <w:lang w:eastAsia="ja-JP"/>
              </w:rPr>
              <w:t>max</w:t>
            </w:r>
          </w:p>
        </w:tc>
        <w:tc>
          <w:tcPr>
            <w:tcW w:w="6911" w:type="dxa"/>
          </w:tcPr>
          <w:p w14:paraId="6F5047F4" w14:textId="77777777" w:rsidR="00AF0782" w:rsidRDefault="00AF0782" w:rsidP="008A7597">
            <w:pPr>
              <w:ind w:left="0"/>
            </w:pPr>
            <w:r>
              <w:rPr>
                <w:lang w:eastAsia="ja-JP"/>
              </w:rPr>
              <w:t>M</w:t>
            </w:r>
            <w:r w:rsidRPr="00CC119A">
              <w:rPr>
                <w:lang w:eastAsia="ja-JP"/>
              </w:rPr>
              <w:t xml:space="preserve">aximum </w:t>
            </w:r>
            <w:r>
              <w:rPr>
                <w:lang w:eastAsia="ja-JP"/>
              </w:rPr>
              <w:t xml:space="preserve">plasma </w:t>
            </w:r>
            <w:r w:rsidRPr="00CC119A">
              <w:rPr>
                <w:lang w:eastAsia="ja-JP"/>
              </w:rPr>
              <w:t>concentration</w:t>
            </w:r>
          </w:p>
        </w:tc>
      </w:tr>
      <w:tr w:rsidR="00AF0782" w:rsidRPr="00FD119B" w14:paraId="4E372BA4" w14:textId="77777777" w:rsidTr="00B256C2">
        <w:tc>
          <w:tcPr>
            <w:tcW w:w="1809" w:type="dxa"/>
          </w:tcPr>
          <w:p w14:paraId="56F8574A" w14:textId="77777777" w:rsidR="00AF0782" w:rsidRDefault="00AF0782" w:rsidP="008A7597">
            <w:pPr>
              <w:ind w:left="0"/>
            </w:pPr>
            <w:r>
              <w:t>CR</w:t>
            </w:r>
          </w:p>
        </w:tc>
        <w:tc>
          <w:tcPr>
            <w:tcW w:w="6911" w:type="dxa"/>
          </w:tcPr>
          <w:p w14:paraId="66517B96" w14:textId="77777777" w:rsidR="00AF0782" w:rsidRDefault="00AF0782" w:rsidP="008A7597">
            <w:pPr>
              <w:ind w:left="0"/>
            </w:pPr>
            <w:r>
              <w:t>Complete response</w:t>
            </w:r>
          </w:p>
        </w:tc>
      </w:tr>
      <w:tr w:rsidR="00643740" w:rsidRPr="00FD119B" w14:paraId="5D8069E2" w14:textId="77777777" w:rsidTr="00B256C2">
        <w:tc>
          <w:tcPr>
            <w:tcW w:w="1809" w:type="dxa"/>
          </w:tcPr>
          <w:p w14:paraId="743E3ADD" w14:textId="77777777" w:rsidR="00643740" w:rsidRDefault="00643740" w:rsidP="008A7597">
            <w:pPr>
              <w:ind w:left="0"/>
            </w:pPr>
            <w:r>
              <w:t>CSR</w:t>
            </w:r>
          </w:p>
        </w:tc>
        <w:tc>
          <w:tcPr>
            <w:tcW w:w="6911" w:type="dxa"/>
          </w:tcPr>
          <w:p w14:paraId="21B4E29F" w14:textId="2151DD74" w:rsidR="00643740" w:rsidRDefault="00631EDF" w:rsidP="008A7597">
            <w:pPr>
              <w:ind w:left="0"/>
            </w:pPr>
            <w:r>
              <w:t xml:space="preserve">Clinical </w:t>
            </w:r>
            <w:r w:rsidR="00643740">
              <w:t>study report</w:t>
            </w:r>
          </w:p>
        </w:tc>
      </w:tr>
      <w:tr w:rsidR="00AF0782" w:rsidRPr="00FD119B" w14:paraId="32065C7A" w14:textId="77777777" w:rsidTr="00B256C2">
        <w:tc>
          <w:tcPr>
            <w:tcW w:w="1809" w:type="dxa"/>
          </w:tcPr>
          <w:p w14:paraId="4F0EA6CD" w14:textId="77777777" w:rsidR="00AF0782" w:rsidRDefault="00AF0782" w:rsidP="008A7597">
            <w:pPr>
              <w:ind w:left="0"/>
            </w:pPr>
            <w:r>
              <w:t>CVP</w:t>
            </w:r>
          </w:p>
        </w:tc>
        <w:tc>
          <w:tcPr>
            <w:tcW w:w="6911" w:type="dxa"/>
          </w:tcPr>
          <w:p w14:paraId="4C7C6FF3" w14:textId="31257009" w:rsidR="00AF0782" w:rsidRDefault="00631EDF" w:rsidP="008A7597">
            <w:pPr>
              <w:ind w:left="0"/>
            </w:pPr>
            <w:r>
              <w:t>C</w:t>
            </w:r>
            <w:r w:rsidR="00AF0782" w:rsidRPr="00757FE3">
              <w:t>yclophosphamide, vincristine and prednisone</w:t>
            </w:r>
            <w:r>
              <w:t xml:space="preserve"> (combination treatment)</w:t>
            </w:r>
          </w:p>
        </w:tc>
      </w:tr>
      <w:tr w:rsidR="00AF0782" w:rsidRPr="00FD119B" w14:paraId="3EC48CD9" w14:textId="77777777" w:rsidTr="00B256C2">
        <w:tc>
          <w:tcPr>
            <w:tcW w:w="1809" w:type="dxa"/>
          </w:tcPr>
          <w:p w14:paraId="3A8C221B" w14:textId="77777777" w:rsidR="00AF0782" w:rsidRDefault="00AF0782" w:rsidP="008A7597">
            <w:pPr>
              <w:ind w:left="0"/>
            </w:pPr>
            <w:r>
              <w:t>DAS</w:t>
            </w:r>
          </w:p>
        </w:tc>
        <w:tc>
          <w:tcPr>
            <w:tcW w:w="6911" w:type="dxa"/>
          </w:tcPr>
          <w:p w14:paraId="1959673A" w14:textId="1C96F964" w:rsidR="00AF0782" w:rsidRDefault="00AF0782" w:rsidP="008A7597">
            <w:pPr>
              <w:ind w:left="0"/>
            </w:pPr>
            <w:r>
              <w:t xml:space="preserve">Disease </w:t>
            </w:r>
            <w:r w:rsidR="00631EDF">
              <w:t>A</w:t>
            </w:r>
            <w:r>
              <w:t xml:space="preserve">ctivity </w:t>
            </w:r>
            <w:r w:rsidR="00631EDF">
              <w:t>S</w:t>
            </w:r>
            <w:r>
              <w:t>core</w:t>
            </w:r>
          </w:p>
        </w:tc>
      </w:tr>
      <w:tr w:rsidR="00AF0782" w:rsidRPr="00FD119B" w14:paraId="70772E36" w14:textId="77777777" w:rsidTr="00B256C2">
        <w:tc>
          <w:tcPr>
            <w:tcW w:w="1809" w:type="dxa"/>
          </w:tcPr>
          <w:p w14:paraId="26249D2E" w14:textId="77777777" w:rsidR="00AF0782" w:rsidRDefault="00AF0782" w:rsidP="008A7597">
            <w:pPr>
              <w:ind w:left="0"/>
            </w:pPr>
            <w:r>
              <w:t>DCA</w:t>
            </w:r>
          </w:p>
        </w:tc>
        <w:tc>
          <w:tcPr>
            <w:tcW w:w="6911" w:type="dxa"/>
          </w:tcPr>
          <w:p w14:paraId="59A6D8ED" w14:textId="77777777" w:rsidR="00AF0782" w:rsidRDefault="00AF0782" w:rsidP="008A7597">
            <w:pPr>
              <w:ind w:left="0"/>
            </w:pPr>
            <w:r>
              <w:t>Data capture aid</w:t>
            </w:r>
          </w:p>
        </w:tc>
      </w:tr>
      <w:tr w:rsidR="00AF0782" w:rsidRPr="00FD119B" w14:paraId="294FB006" w14:textId="77777777" w:rsidTr="00B256C2">
        <w:tc>
          <w:tcPr>
            <w:tcW w:w="1809" w:type="dxa"/>
          </w:tcPr>
          <w:p w14:paraId="009EF9BF" w14:textId="77777777" w:rsidR="00AF0782" w:rsidRDefault="00AF0782" w:rsidP="008A7597">
            <w:pPr>
              <w:ind w:left="0"/>
            </w:pPr>
            <w:r w:rsidRPr="00EA5B6B">
              <w:t>DMARD</w:t>
            </w:r>
          </w:p>
        </w:tc>
        <w:tc>
          <w:tcPr>
            <w:tcW w:w="6911" w:type="dxa"/>
          </w:tcPr>
          <w:p w14:paraId="0DCCCE59" w14:textId="77777777" w:rsidR="00AF0782" w:rsidRDefault="00AF0782" w:rsidP="008A7597">
            <w:pPr>
              <w:ind w:left="0"/>
            </w:pPr>
            <w:r>
              <w:t>D</w:t>
            </w:r>
            <w:r w:rsidRPr="00EA5B6B">
              <w:t>isease-modifying antirheumatic drug</w:t>
            </w:r>
          </w:p>
        </w:tc>
      </w:tr>
      <w:tr w:rsidR="00AF0782" w:rsidRPr="00FD119B" w14:paraId="42AD3A40" w14:textId="77777777" w:rsidTr="00B256C2">
        <w:tc>
          <w:tcPr>
            <w:tcW w:w="1809" w:type="dxa"/>
          </w:tcPr>
          <w:p w14:paraId="52AAC54A" w14:textId="77777777" w:rsidR="00AF0782" w:rsidRPr="00EA5B6B" w:rsidRDefault="00AF0782" w:rsidP="008A7597">
            <w:pPr>
              <w:ind w:left="0"/>
            </w:pPr>
            <w:r>
              <w:t>DP</w:t>
            </w:r>
          </w:p>
        </w:tc>
        <w:tc>
          <w:tcPr>
            <w:tcW w:w="6911" w:type="dxa"/>
          </w:tcPr>
          <w:p w14:paraId="4AB7F692" w14:textId="77777777" w:rsidR="00AF0782" w:rsidRDefault="00AF0782" w:rsidP="008A7597">
            <w:pPr>
              <w:ind w:left="0"/>
            </w:pPr>
            <w:r>
              <w:t>Durg product</w:t>
            </w:r>
          </w:p>
        </w:tc>
      </w:tr>
      <w:tr w:rsidR="00AF0782" w:rsidRPr="00FD119B" w14:paraId="7DBBF4AF" w14:textId="77777777" w:rsidTr="00B256C2">
        <w:tc>
          <w:tcPr>
            <w:tcW w:w="1809" w:type="dxa"/>
          </w:tcPr>
          <w:p w14:paraId="0A1554FB" w14:textId="77777777" w:rsidR="00AF0782" w:rsidRPr="00EA5B6B" w:rsidRDefault="00AF0782" w:rsidP="008A7597">
            <w:pPr>
              <w:ind w:left="0"/>
            </w:pPr>
            <w:r>
              <w:t>DS</w:t>
            </w:r>
          </w:p>
        </w:tc>
        <w:tc>
          <w:tcPr>
            <w:tcW w:w="6911" w:type="dxa"/>
          </w:tcPr>
          <w:p w14:paraId="3DBA0EEB" w14:textId="77777777" w:rsidR="00AF0782" w:rsidRDefault="00AF0782" w:rsidP="008A7597">
            <w:pPr>
              <w:ind w:left="0"/>
            </w:pPr>
            <w:r>
              <w:t>Drug substance</w:t>
            </w:r>
          </w:p>
        </w:tc>
      </w:tr>
      <w:tr w:rsidR="00AF0782" w:rsidRPr="00FD119B" w14:paraId="37C21C83" w14:textId="77777777" w:rsidTr="00B256C2">
        <w:tc>
          <w:tcPr>
            <w:tcW w:w="1809" w:type="dxa"/>
          </w:tcPr>
          <w:p w14:paraId="4211CD10" w14:textId="77777777" w:rsidR="00AF0782" w:rsidRDefault="00AF0782" w:rsidP="008A7597">
            <w:pPr>
              <w:ind w:left="0"/>
            </w:pPr>
            <w:r>
              <w:t>EMA</w:t>
            </w:r>
          </w:p>
        </w:tc>
        <w:tc>
          <w:tcPr>
            <w:tcW w:w="6911" w:type="dxa"/>
          </w:tcPr>
          <w:p w14:paraId="1F1E6892" w14:textId="48CC722C" w:rsidR="00AF0782" w:rsidRDefault="00AF0782" w:rsidP="008A7597">
            <w:pPr>
              <w:ind w:left="0"/>
            </w:pPr>
            <w:r w:rsidRPr="002E4113">
              <w:t>European Medicines Agency</w:t>
            </w:r>
            <w:r w:rsidR="00631EDF">
              <w:t xml:space="preserve"> (European Union)</w:t>
            </w:r>
          </w:p>
        </w:tc>
      </w:tr>
      <w:tr w:rsidR="00AF0782" w:rsidRPr="00FD119B" w14:paraId="7AC3CE21" w14:textId="77777777" w:rsidTr="00B256C2">
        <w:tc>
          <w:tcPr>
            <w:tcW w:w="1809" w:type="dxa"/>
          </w:tcPr>
          <w:p w14:paraId="206DA330" w14:textId="77777777" w:rsidR="00AF0782" w:rsidRDefault="00AF0782" w:rsidP="008A7597">
            <w:pPr>
              <w:ind w:left="0"/>
            </w:pPr>
            <w:r>
              <w:t>ESMO</w:t>
            </w:r>
          </w:p>
        </w:tc>
        <w:tc>
          <w:tcPr>
            <w:tcW w:w="6911" w:type="dxa"/>
          </w:tcPr>
          <w:p w14:paraId="4E19D8F0" w14:textId="77777777" w:rsidR="00AF0782" w:rsidRDefault="00AF0782" w:rsidP="008A7597">
            <w:pPr>
              <w:ind w:left="0"/>
            </w:pPr>
            <w:r w:rsidRPr="002E4113">
              <w:t>European Society for Medical Oncology</w:t>
            </w:r>
          </w:p>
        </w:tc>
      </w:tr>
      <w:tr w:rsidR="00AF0782" w:rsidRPr="00FD119B" w14:paraId="03547DE6" w14:textId="77777777" w:rsidTr="00B256C2">
        <w:tc>
          <w:tcPr>
            <w:tcW w:w="1809" w:type="dxa"/>
          </w:tcPr>
          <w:p w14:paraId="1EDB50E4" w14:textId="77777777" w:rsidR="00AF0782" w:rsidRPr="00EA5B6B" w:rsidRDefault="00AF0782" w:rsidP="008A7597">
            <w:pPr>
              <w:ind w:left="0"/>
            </w:pPr>
            <w:r>
              <w:t>EU</w:t>
            </w:r>
          </w:p>
        </w:tc>
        <w:tc>
          <w:tcPr>
            <w:tcW w:w="6911" w:type="dxa"/>
          </w:tcPr>
          <w:p w14:paraId="7C8EE658" w14:textId="77777777" w:rsidR="00AF0782" w:rsidRDefault="00AF0782" w:rsidP="008A7597">
            <w:pPr>
              <w:ind w:left="0"/>
            </w:pPr>
            <w:r>
              <w:t>European Union</w:t>
            </w:r>
          </w:p>
        </w:tc>
      </w:tr>
      <w:tr w:rsidR="00AF0782" w:rsidRPr="00FD119B" w14:paraId="6AD6CAFD" w14:textId="77777777" w:rsidTr="00B256C2">
        <w:tc>
          <w:tcPr>
            <w:tcW w:w="1809" w:type="dxa"/>
          </w:tcPr>
          <w:p w14:paraId="54A5B53F" w14:textId="77777777" w:rsidR="00AF0782" w:rsidRDefault="00AF0782" w:rsidP="008A7597">
            <w:pPr>
              <w:ind w:left="0"/>
            </w:pPr>
            <w:r>
              <w:t>EULAR</w:t>
            </w:r>
          </w:p>
        </w:tc>
        <w:tc>
          <w:tcPr>
            <w:tcW w:w="6911" w:type="dxa"/>
          </w:tcPr>
          <w:p w14:paraId="4AC38492" w14:textId="77777777" w:rsidR="00AF0782" w:rsidRDefault="00AF0782" w:rsidP="008A7597">
            <w:pPr>
              <w:ind w:left="0"/>
            </w:pPr>
            <w:r w:rsidRPr="00E42D8B">
              <w:t>European League Against Rheumatism</w:t>
            </w:r>
          </w:p>
        </w:tc>
      </w:tr>
      <w:tr w:rsidR="00AF0782" w:rsidRPr="00FD119B" w14:paraId="252864EE" w14:textId="77777777" w:rsidTr="00B256C2">
        <w:tc>
          <w:tcPr>
            <w:tcW w:w="1809" w:type="dxa"/>
          </w:tcPr>
          <w:p w14:paraId="385ECBE7" w14:textId="77777777" w:rsidR="00AF0782" w:rsidRPr="00EA5B6B" w:rsidRDefault="00AF0782" w:rsidP="008A7597">
            <w:pPr>
              <w:ind w:left="0"/>
            </w:pPr>
            <w:r>
              <w:t>Fc</w:t>
            </w:r>
          </w:p>
        </w:tc>
        <w:tc>
          <w:tcPr>
            <w:tcW w:w="6911" w:type="dxa"/>
          </w:tcPr>
          <w:p w14:paraId="424540D1" w14:textId="77777777" w:rsidR="00AF0782" w:rsidRDefault="00AF0782" w:rsidP="008A7597">
            <w:pPr>
              <w:ind w:left="0"/>
            </w:pPr>
            <w:r>
              <w:rPr>
                <w:lang w:val="en-GB"/>
              </w:rPr>
              <w:t>Fragment crystallis</w:t>
            </w:r>
            <w:r w:rsidRPr="00293005">
              <w:rPr>
                <w:lang w:val="en-GB"/>
              </w:rPr>
              <w:t>able</w:t>
            </w:r>
          </w:p>
        </w:tc>
      </w:tr>
      <w:tr w:rsidR="00AF0782" w:rsidRPr="00FD119B" w14:paraId="633D72E5" w14:textId="77777777" w:rsidTr="00B256C2">
        <w:tc>
          <w:tcPr>
            <w:tcW w:w="1809" w:type="dxa"/>
          </w:tcPr>
          <w:p w14:paraId="52694F7A" w14:textId="77777777" w:rsidR="00AF0782" w:rsidRDefault="00AF0782" w:rsidP="008A7597">
            <w:pPr>
              <w:ind w:left="0"/>
            </w:pPr>
            <w:r>
              <w:t>FDA</w:t>
            </w:r>
          </w:p>
        </w:tc>
        <w:tc>
          <w:tcPr>
            <w:tcW w:w="6911" w:type="dxa"/>
          </w:tcPr>
          <w:p w14:paraId="0354D3F9" w14:textId="77777777" w:rsidR="00AF0782" w:rsidRDefault="00AF0782" w:rsidP="008A7597">
            <w:pPr>
              <w:ind w:left="0"/>
            </w:pPr>
            <w:r w:rsidRPr="002E4113">
              <w:t>Food and Drug Administratio</w:t>
            </w:r>
            <w:r>
              <w:t>n (United States)</w:t>
            </w:r>
          </w:p>
        </w:tc>
      </w:tr>
      <w:tr w:rsidR="00AF0782" w:rsidRPr="00FD119B" w14:paraId="7BD8E7D1" w14:textId="77777777" w:rsidTr="00B256C2">
        <w:tc>
          <w:tcPr>
            <w:tcW w:w="1809" w:type="dxa"/>
          </w:tcPr>
          <w:p w14:paraId="703ED1B6" w14:textId="77777777" w:rsidR="00AF0782" w:rsidRDefault="00AF0782" w:rsidP="008A7597">
            <w:pPr>
              <w:ind w:left="0"/>
            </w:pPr>
            <w:r>
              <w:t>FLIPI2</w:t>
            </w:r>
          </w:p>
        </w:tc>
        <w:tc>
          <w:tcPr>
            <w:tcW w:w="6911" w:type="dxa"/>
          </w:tcPr>
          <w:p w14:paraId="076AC8DB" w14:textId="77777777" w:rsidR="00AF0782" w:rsidRDefault="00AF0782" w:rsidP="008A7597">
            <w:pPr>
              <w:ind w:left="0"/>
            </w:pPr>
            <w:r>
              <w:t>Follicular Lymphoma International Prognostic Index 2</w:t>
            </w:r>
          </w:p>
        </w:tc>
      </w:tr>
      <w:tr w:rsidR="00AF0782" w:rsidRPr="00FD119B" w14:paraId="62B3737E" w14:textId="77777777" w:rsidTr="00B256C2">
        <w:tc>
          <w:tcPr>
            <w:tcW w:w="1809" w:type="dxa"/>
          </w:tcPr>
          <w:p w14:paraId="0F1D938B" w14:textId="77777777" w:rsidR="00AF0782" w:rsidRDefault="00AF0782" w:rsidP="008A7597">
            <w:pPr>
              <w:ind w:left="0"/>
            </w:pPr>
            <w:r>
              <w:t>GPA</w:t>
            </w:r>
          </w:p>
        </w:tc>
        <w:tc>
          <w:tcPr>
            <w:tcW w:w="6911" w:type="dxa"/>
          </w:tcPr>
          <w:p w14:paraId="5D9E0F31" w14:textId="77777777" w:rsidR="00AF0782" w:rsidRPr="001F6CBA" w:rsidRDefault="00AF0782" w:rsidP="008A7597">
            <w:pPr>
              <w:ind w:left="0"/>
            </w:pPr>
            <w:r w:rsidRPr="00751AC2">
              <w:t>Granulomatosis with polyangiitis</w:t>
            </w:r>
          </w:p>
        </w:tc>
      </w:tr>
      <w:tr w:rsidR="00AF0782" w:rsidRPr="00FD119B" w14:paraId="6CFFFCED" w14:textId="77777777" w:rsidTr="00B256C2">
        <w:tc>
          <w:tcPr>
            <w:tcW w:w="1809" w:type="dxa"/>
          </w:tcPr>
          <w:p w14:paraId="32B6563B" w14:textId="77777777" w:rsidR="00AF0782" w:rsidRDefault="00AF0782" w:rsidP="008A7597">
            <w:pPr>
              <w:ind w:left="0"/>
            </w:pPr>
            <w:r>
              <w:t>GVP</w:t>
            </w:r>
          </w:p>
        </w:tc>
        <w:tc>
          <w:tcPr>
            <w:tcW w:w="6911" w:type="dxa"/>
          </w:tcPr>
          <w:p w14:paraId="457C993F" w14:textId="77777777" w:rsidR="00AF0782" w:rsidRDefault="00AF0782" w:rsidP="008A7597">
            <w:pPr>
              <w:ind w:left="0"/>
            </w:pPr>
            <w:r>
              <w:t>Good pharmacovigilance practices</w:t>
            </w:r>
          </w:p>
        </w:tc>
      </w:tr>
      <w:tr w:rsidR="00AF0782" w:rsidRPr="00FD119B" w14:paraId="2FAAC97E" w14:textId="77777777" w:rsidTr="00B256C2">
        <w:tc>
          <w:tcPr>
            <w:tcW w:w="1809" w:type="dxa"/>
          </w:tcPr>
          <w:p w14:paraId="4F6536F6" w14:textId="77777777" w:rsidR="00AF0782" w:rsidRDefault="00AF0782" w:rsidP="008A7597">
            <w:pPr>
              <w:ind w:left="0"/>
            </w:pPr>
            <w:r>
              <w:t>Ig</w:t>
            </w:r>
          </w:p>
        </w:tc>
        <w:tc>
          <w:tcPr>
            <w:tcW w:w="6911" w:type="dxa"/>
          </w:tcPr>
          <w:p w14:paraId="00C2AA5C" w14:textId="77777777" w:rsidR="00AF0782" w:rsidRDefault="00AF0782" w:rsidP="008A7597">
            <w:pPr>
              <w:ind w:left="0"/>
            </w:pPr>
            <w:r>
              <w:t>Immunoglobulin</w:t>
            </w:r>
          </w:p>
        </w:tc>
      </w:tr>
      <w:tr w:rsidR="00A8397C" w:rsidRPr="00FD119B" w14:paraId="07CF7C60" w14:textId="77777777" w:rsidTr="00B256C2">
        <w:tc>
          <w:tcPr>
            <w:tcW w:w="1809" w:type="dxa"/>
          </w:tcPr>
          <w:p w14:paraId="7FF511A0" w14:textId="783E2F5D" w:rsidR="00A8397C" w:rsidRDefault="00A8397C" w:rsidP="008A7597">
            <w:pPr>
              <w:ind w:left="0"/>
            </w:pPr>
            <w:r>
              <w:rPr>
                <w:lang w:eastAsia="ja-JP"/>
              </w:rPr>
              <w:t>IgGκ</w:t>
            </w:r>
          </w:p>
        </w:tc>
        <w:tc>
          <w:tcPr>
            <w:tcW w:w="6911" w:type="dxa"/>
          </w:tcPr>
          <w:p w14:paraId="77B22201" w14:textId="416B9A1A" w:rsidR="00A8397C" w:rsidRDefault="00A8397C" w:rsidP="008A7597">
            <w:pPr>
              <w:ind w:left="0"/>
            </w:pPr>
            <w:r>
              <w:rPr>
                <w:lang w:eastAsia="ja-JP"/>
              </w:rPr>
              <w:t>Immunoglobulin G kappa</w:t>
            </w:r>
          </w:p>
        </w:tc>
      </w:tr>
      <w:tr w:rsidR="00AF0782" w:rsidRPr="00FD119B" w14:paraId="099210DE" w14:textId="77777777" w:rsidTr="00B256C2">
        <w:tc>
          <w:tcPr>
            <w:tcW w:w="1809" w:type="dxa"/>
          </w:tcPr>
          <w:p w14:paraId="1D82CD0E" w14:textId="77777777" w:rsidR="00AF0782" w:rsidRDefault="00AF0782" w:rsidP="008A7597">
            <w:pPr>
              <w:ind w:left="0"/>
            </w:pPr>
            <w:r>
              <w:t>ITT</w:t>
            </w:r>
          </w:p>
        </w:tc>
        <w:tc>
          <w:tcPr>
            <w:tcW w:w="6911" w:type="dxa"/>
          </w:tcPr>
          <w:p w14:paraId="29BF2D46" w14:textId="77777777" w:rsidR="00AF0782" w:rsidRDefault="00AF0782" w:rsidP="008A7597">
            <w:pPr>
              <w:ind w:left="0"/>
            </w:pPr>
            <w:r>
              <w:t>Intent to treat</w:t>
            </w:r>
          </w:p>
        </w:tc>
      </w:tr>
      <w:tr w:rsidR="00AF0782" w:rsidRPr="00FD119B" w14:paraId="53C5A25A" w14:textId="77777777" w:rsidTr="00B256C2">
        <w:tc>
          <w:tcPr>
            <w:tcW w:w="1809" w:type="dxa"/>
          </w:tcPr>
          <w:p w14:paraId="13FABD8D" w14:textId="77777777" w:rsidR="00AF0782" w:rsidRDefault="00AF0782" w:rsidP="008A7597">
            <w:pPr>
              <w:ind w:left="0"/>
            </w:pPr>
            <w:r>
              <w:t>IV</w:t>
            </w:r>
          </w:p>
        </w:tc>
        <w:tc>
          <w:tcPr>
            <w:tcW w:w="6911" w:type="dxa"/>
          </w:tcPr>
          <w:p w14:paraId="3F6DBF34" w14:textId="77777777" w:rsidR="00AF0782" w:rsidRPr="00751AC2" w:rsidRDefault="00AF0782" w:rsidP="008A7597">
            <w:pPr>
              <w:ind w:left="0"/>
            </w:pPr>
            <w:r>
              <w:t>Intravenous</w:t>
            </w:r>
          </w:p>
        </w:tc>
      </w:tr>
      <w:tr w:rsidR="00AF0782" w:rsidRPr="00FD119B" w14:paraId="7BC0A00E" w14:textId="77777777" w:rsidTr="00B256C2">
        <w:tc>
          <w:tcPr>
            <w:tcW w:w="1809" w:type="dxa"/>
          </w:tcPr>
          <w:p w14:paraId="3800A162" w14:textId="77777777" w:rsidR="00AF0782" w:rsidRDefault="00AF0782" w:rsidP="008A7597">
            <w:pPr>
              <w:ind w:left="0"/>
            </w:pPr>
            <w:r>
              <w:t>LTB-FL</w:t>
            </w:r>
          </w:p>
        </w:tc>
        <w:tc>
          <w:tcPr>
            <w:tcW w:w="6911" w:type="dxa"/>
          </w:tcPr>
          <w:p w14:paraId="77AACC28" w14:textId="77777777" w:rsidR="00AF0782" w:rsidRDefault="00AF0782" w:rsidP="008A7597">
            <w:pPr>
              <w:ind w:left="0"/>
            </w:pPr>
            <w:r>
              <w:t>L</w:t>
            </w:r>
            <w:r w:rsidRPr="00AF601B">
              <w:t>ow tumour bur</w:t>
            </w:r>
            <w:r>
              <w:t>den, follicular lymphoma</w:t>
            </w:r>
          </w:p>
        </w:tc>
      </w:tr>
      <w:tr w:rsidR="00AF0782" w:rsidRPr="00FD119B" w14:paraId="04490F28" w14:textId="77777777" w:rsidTr="00B256C2">
        <w:tc>
          <w:tcPr>
            <w:tcW w:w="1809" w:type="dxa"/>
          </w:tcPr>
          <w:p w14:paraId="131A358D" w14:textId="77777777" w:rsidR="00AF0782" w:rsidRPr="00EA5B6B" w:rsidRDefault="00AF0782" w:rsidP="008A7597">
            <w:pPr>
              <w:ind w:left="0"/>
            </w:pPr>
            <w:r>
              <w:t>mAb</w:t>
            </w:r>
          </w:p>
        </w:tc>
        <w:tc>
          <w:tcPr>
            <w:tcW w:w="6911" w:type="dxa"/>
          </w:tcPr>
          <w:p w14:paraId="5FA29117" w14:textId="22AC869F" w:rsidR="00AF0782" w:rsidRDefault="00AF0782" w:rsidP="008A7597">
            <w:pPr>
              <w:ind w:left="0"/>
            </w:pPr>
            <w:r>
              <w:t>Monoclonal antibod</w:t>
            </w:r>
            <w:r w:rsidR="00631EDF">
              <w:t>y</w:t>
            </w:r>
          </w:p>
        </w:tc>
      </w:tr>
      <w:tr w:rsidR="00AF0782" w:rsidRPr="00FD119B" w14:paraId="365B28FF" w14:textId="77777777" w:rsidTr="00B256C2">
        <w:tc>
          <w:tcPr>
            <w:tcW w:w="1809" w:type="dxa"/>
          </w:tcPr>
          <w:p w14:paraId="738405B5" w14:textId="77777777" w:rsidR="00AF0782" w:rsidRDefault="00AF0782" w:rsidP="008A7597">
            <w:pPr>
              <w:ind w:left="0"/>
            </w:pPr>
            <w:r>
              <w:t>MPA</w:t>
            </w:r>
          </w:p>
        </w:tc>
        <w:tc>
          <w:tcPr>
            <w:tcW w:w="6911" w:type="dxa"/>
          </w:tcPr>
          <w:p w14:paraId="2077BCEB" w14:textId="77777777" w:rsidR="00AF0782" w:rsidRPr="00751AC2" w:rsidRDefault="00AF0782" w:rsidP="008A7597">
            <w:pPr>
              <w:ind w:left="0"/>
            </w:pPr>
            <w:r w:rsidRPr="00751AC2">
              <w:t>Microscopic polyangiitis</w:t>
            </w:r>
          </w:p>
        </w:tc>
      </w:tr>
      <w:tr w:rsidR="00AF0782" w:rsidRPr="00FD119B" w14:paraId="7C6F10BD" w14:textId="77777777" w:rsidTr="00B256C2">
        <w:tc>
          <w:tcPr>
            <w:tcW w:w="1809" w:type="dxa"/>
          </w:tcPr>
          <w:p w14:paraId="597193F3" w14:textId="77777777" w:rsidR="00AF0782" w:rsidRPr="00EA5B6B" w:rsidRDefault="00AF0782" w:rsidP="008A7597">
            <w:pPr>
              <w:ind w:left="0"/>
            </w:pPr>
            <w:r>
              <w:t>MTX</w:t>
            </w:r>
          </w:p>
        </w:tc>
        <w:tc>
          <w:tcPr>
            <w:tcW w:w="6911" w:type="dxa"/>
          </w:tcPr>
          <w:p w14:paraId="4556F437" w14:textId="77777777" w:rsidR="00AF0782" w:rsidRDefault="00AF0782" w:rsidP="008A7597">
            <w:pPr>
              <w:ind w:left="0"/>
            </w:pPr>
            <w:r>
              <w:t>Methotrexate</w:t>
            </w:r>
          </w:p>
        </w:tc>
      </w:tr>
      <w:tr w:rsidR="00AF0782" w:rsidRPr="00FD119B" w14:paraId="340C694F" w14:textId="77777777" w:rsidTr="00B256C2">
        <w:tc>
          <w:tcPr>
            <w:tcW w:w="1809" w:type="dxa"/>
          </w:tcPr>
          <w:p w14:paraId="3FB8B379" w14:textId="77777777" w:rsidR="00AF0782" w:rsidRDefault="00AF0782" w:rsidP="008A7597">
            <w:pPr>
              <w:ind w:left="0"/>
            </w:pPr>
            <w:r>
              <w:t>n</w:t>
            </w:r>
          </w:p>
        </w:tc>
        <w:tc>
          <w:tcPr>
            <w:tcW w:w="6911" w:type="dxa"/>
          </w:tcPr>
          <w:p w14:paraId="3533EF65" w14:textId="01F5DE8E" w:rsidR="00AF0782" w:rsidRDefault="00AF0782" w:rsidP="008A7597">
            <w:pPr>
              <w:ind w:left="0"/>
            </w:pPr>
            <w:r>
              <w:t>Number of subject</w:t>
            </w:r>
            <w:r w:rsidR="00631EDF">
              <w:t>s</w:t>
            </w:r>
          </w:p>
        </w:tc>
      </w:tr>
      <w:tr w:rsidR="00AF0782" w:rsidRPr="00FD119B" w14:paraId="4270D8BD" w14:textId="77777777" w:rsidTr="00B256C2">
        <w:tc>
          <w:tcPr>
            <w:tcW w:w="1809" w:type="dxa"/>
          </w:tcPr>
          <w:p w14:paraId="08EC0B7C" w14:textId="77777777" w:rsidR="00AF0782" w:rsidRDefault="00AF0782" w:rsidP="008A7597">
            <w:pPr>
              <w:ind w:left="0"/>
            </w:pPr>
            <w:r>
              <w:t>Nab</w:t>
            </w:r>
          </w:p>
        </w:tc>
        <w:tc>
          <w:tcPr>
            <w:tcW w:w="6911" w:type="dxa"/>
          </w:tcPr>
          <w:p w14:paraId="0B5C8E35" w14:textId="77777777" w:rsidR="00AF0782" w:rsidRDefault="00AF0782" w:rsidP="008A7597">
            <w:pPr>
              <w:ind w:left="0"/>
            </w:pPr>
            <w:r>
              <w:t>Neutralising antibody</w:t>
            </w:r>
          </w:p>
        </w:tc>
      </w:tr>
      <w:tr w:rsidR="00AF0782" w:rsidRPr="00FD119B" w14:paraId="423DA445" w14:textId="77777777" w:rsidTr="00B256C2">
        <w:tc>
          <w:tcPr>
            <w:tcW w:w="1809" w:type="dxa"/>
          </w:tcPr>
          <w:p w14:paraId="20967107" w14:textId="77777777" w:rsidR="00AF0782" w:rsidRDefault="00AF0782" w:rsidP="008A7597">
            <w:pPr>
              <w:ind w:left="0"/>
            </w:pPr>
            <w:r>
              <w:t>NCCN</w:t>
            </w:r>
          </w:p>
        </w:tc>
        <w:tc>
          <w:tcPr>
            <w:tcW w:w="6911" w:type="dxa"/>
          </w:tcPr>
          <w:p w14:paraId="5F0B3DC8" w14:textId="100ECB51" w:rsidR="00AF0782" w:rsidRDefault="00AF0782" w:rsidP="008A7597">
            <w:pPr>
              <w:ind w:left="0"/>
            </w:pPr>
            <w:r>
              <w:t>N</w:t>
            </w:r>
            <w:r w:rsidRPr="002E4113">
              <w:t xml:space="preserve">ational </w:t>
            </w:r>
            <w:r w:rsidR="00631EDF">
              <w:t>C</w:t>
            </w:r>
            <w:r w:rsidRPr="002E4113">
              <w:t xml:space="preserve">omprehensive </w:t>
            </w:r>
            <w:r w:rsidR="00631EDF">
              <w:t>V C</w:t>
            </w:r>
            <w:r w:rsidRPr="002E4113">
              <w:t xml:space="preserve">ancer </w:t>
            </w:r>
            <w:r w:rsidR="00631EDF">
              <w:t>N</w:t>
            </w:r>
            <w:r w:rsidRPr="002E4113">
              <w:t>etwork</w:t>
            </w:r>
            <w:r w:rsidR="00631EDF">
              <w:t xml:space="preserve"> (United States)</w:t>
            </w:r>
          </w:p>
        </w:tc>
      </w:tr>
      <w:tr w:rsidR="00AF0782" w:rsidRPr="00FD119B" w14:paraId="7FADFD6E" w14:textId="77777777" w:rsidTr="00B256C2">
        <w:tc>
          <w:tcPr>
            <w:tcW w:w="1809" w:type="dxa"/>
          </w:tcPr>
          <w:p w14:paraId="4CAC8C19" w14:textId="77777777" w:rsidR="00AF0782" w:rsidRDefault="00AF0782" w:rsidP="008A7597">
            <w:pPr>
              <w:ind w:left="0"/>
            </w:pPr>
            <w:r>
              <w:t>NHL</w:t>
            </w:r>
          </w:p>
        </w:tc>
        <w:tc>
          <w:tcPr>
            <w:tcW w:w="6911" w:type="dxa"/>
          </w:tcPr>
          <w:p w14:paraId="6841667F" w14:textId="2E10B52F" w:rsidR="00AF0782" w:rsidRDefault="00AF0782" w:rsidP="008A7597">
            <w:pPr>
              <w:ind w:left="0"/>
            </w:pPr>
            <w:r w:rsidRPr="00751AC2">
              <w:t xml:space="preserve">Non-Hodgkin’s </w:t>
            </w:r>
            <w:r w:rsidR="00631EDF">
              <w:t>l</w:t>
            </w:r>
            <w:r w:rsidRPr="00751AC2">
              <w:t>ymphoma</w:t>
            </w:r>
          </w:p>
        </w:tc>
      </w:tr>
      <w:tr w:rsidR="00AF0782" w:rsidRPr="00FD119B" w14:paraId="0DA6DEBD" w14:textId="77777777" w:rsidTr="00B256C2">
        <w:tc>
          <w:tcPr>
            <w:tcW w:w="1809" w:type="dxa"/>
          </w:tcPr>
          <w:p w14:paraId="13E4BAAC" w14:textId="77777777" w:rsidR="00AF0782" w:rsidRPr="00EA5B6B" w:rsidRDefault="00AF0782" w:rsidP="008A7597">
            <w:pPr>
              <w:ind w:left="0"/>
            </w:pPr>
            <w:r>
              <w:t>NK</w:t>
            </w:r>
          </w:p>
        </w:tc>
        <w:tc>
          <w:tcPr>
            <w:tcW w:w="6911" w:type="dxa"/>
          </w:tcPr>
          <w:p w14:paraId="62C1F07D" w14:textId="77777777" w:rsidR="00AF0782" w:rsidRDefault="00AF0782" w:rsidP="008A7597">
            <w:pPr>
              <w:ind w:left="0"/>
            </w:pPr>
            <w:r>
              <w:t>Natural killer</w:t>
            </w:r>
          </w:p>
        </w:tc>
      </w:tr>
      <w:tr w:rsidR="00AF0782" w:rsidRPr="00FD119B" w14:paraId="05F874F9" w14:textId="77777777" w:rsidTr="00B256C2">
        <w:tc>
          <w:tcPr>
            <w:tcW w:w="1809" w:type="dxa"/>
          </w:tcPr>
          <w:p w14:paraId="0C1BF0D5" w14:textId="77777777" w:rsidR="00AF0782" w:rsidRDefault="00AF0782" w:rsidP="008A7597">
            <w:pPr>
              <w:ind w:left="0"/>
            </w:pPr>
            <w:r>
              <w:t>ORR</w:t>
            </w:r>
          </w:p>
        </w:tc>
        <w:tc>
          <w:tcPr>
            <w:tcW w:w="6911" w:type="dxa"/>
          </w:tcPr>
          <w:p w14:paraId="16DA17E7" w14:textId="77777777" w:rsidR="00AF0782" w:rsidRDefault="00AF0782" w:rsidP="008A7597">
            <w:pPr>
              <w:ind w:left="0"/>
            </w:pPr>
            <w:r>
              <w:t>Overall response rate</w:t>
            </w:r>
          </w:p>
        </w:tc>
      </w:tr>
      <w:tr w:rsidR="00AF0782" w:rsidRPr="00FD119B" w14:paraId="1694692E" w14:textId="77777777" w:rsidTr="00B256C2">
        <w:tc>
          <w:tcPr>
            <w:tcW w:w="1809" w:type="dxa"/>
          </w:tcPr>
          <w:p w14:paraId="314DC882" w14:textId="77777777" w:rsidR="00AF0782" w:rsidRDefault="00AF0782" w:rsidP="008A7597">
            <w:pPr>
              <w:ind w:left="0"/>
            </w:pPr>
            <w:r>
              <w:t>OS</w:t>
            </w:r>
          </w:p>
        </w:tc>
        <w:tc>
          <w:tcPr>
            <w:tcW w:w="6911" w:type="dxa"/>
          </w:tcPr>
          <w:p w14:paraId="498504FC" w14:textId="77777777" w:rsidR="00AF0782" w:rsidRDefault="00AF0782" w:rsidP="008A7597">
            <w:pPr>
              <w:ind w:left="0"/>
            </w:pPr>
            <w:r>
              <w:t>Overall survival</w:t>
            </w:r>
          </w:p>
        </w:tc>
      </w:tr>
      <w:tr w:rsidR="00AF0782" w:rsidRPr="00FD119B" w14:paraId="1A3AB8C0" w14:textId="77777777" w:rsidTr="00B256C2">
        <w:tc>
          <w:tcPr>
            <w:tcW w:w="1809" w:type="dxa"/>
          </w:tcPr>
          <w:p w14:paraId="278ADFF2" w14:textId="77777777" w:rsidR="00AF0782" w:rsidRPr="00EA5B6B" w:rsidRDefault="00AF0782" w:rsidP="008A7597">
            <w:pPr>
              <w:ind w:left="0"/>
            </w:pPr>
            <w:r>
              <w:t>PD</w:t>
            </w:r>
          </w:p>
        </w:tc>
        <w:tc>
          <w:tcPr>
            <w:tcW w:w="6911" w:type="dxa"/>
          </w:tcPr>
          <w:p w14:paraId="7DBA7A9F" w14:textId="77777777" w:rsidR="00AF0782" w:rsidRDefault="00AF0782" w:rsidP="008A7597">
            <w:pPr>
              <w:ind w:left="0"/>
            </w:pPr>
            <w:r>
              <w:t>Pharmacodynamic(s)</w:t>
            </w:r>
          </w:p>
        </w:tc>
      </w:tr>
      <w:tr w:rsidR="00AF0782" w:rsidRPr="00FD119B" w14:paraId="0AC36E3D" w14:textId="77777777" w:rsidTr="00B256C2">
        <w:tc>
          <w:tcPr>
            <w:tcW w:w="1809" w:type="dxa"/>
          </w:tcPr>
          <w:p w14:paraId="6CB0B6AF" w14:textId="77777777" w:rsidR="00AF0782" w:rsidRPr="00EA5B6B" w:rsidRDefault="00AF0782" w:rsidP="008A7597">
            <w:pPr>
              <w:ind w:left="0"/>
            </w:pPr>
            <w:r w:rsidRPr="00FC2B2A">
              <w:t>PF-05280586</w:t>
            </w:r>
          </w:p>
        </w:tc>
        <w:tc>
          <w:tcPr>
            <w:tcW w:w="6911" w:type="dxa"/>
          </w:tcPr>
          <w:p w14:paraId="36153DB3" w14:textId="59D05E4C" w:rsidR="00AF0782" w:rsidRDefault="00AF0782" w:rsidP="008A7597">
            <w:pPr>
              <w:ind w:left="0"/>
            </w:pPr>
            <w:r>
              <w:rPr>
                <w:lang w:val="en-GB"/>
              </w:rPr>
              <w:t>D</w:t>
            </w:r>
            <w:r>
              <w:t xml:space="preserve">rug development </w:t>
            </w:r>
            <w:r w:rsidR="00631EDF">
              <w:t xml:space="preserve">code </w:t>
            </w:r>
            <w:r>
              <w:t>used by sponsor for Ruxience</w:t>
            </w:r>
            <w:r w:rsidR="00631EDF">
              <w:t xml:space="preserve"> (rituximab)</w:t>
            </w:r>
          </w:p>
        </w:tc>
      </w:tr>
      <w:tr w:rsidR="00AF0782" w:rsidRPr="00FD119B" w14:paraId="2F9C30EE" w14:textId="77777777" w:rsidTr="00B256C2">
        <w:tc>
          <w:tcPr>
            <w:tcW w:w="1809" w:type="dxa"/>
          </w:tcPr>
          <w:p w14:paraId="62C33A7E" w14:textId="77777777" w:rsidR="00AF0782" w:rsidRDefault="00AF0782" w:rsidP="008A7597">
            <w:pPr>
              <w:ind w:left="0"/>
            </w:pPr>
            <w:r>
              <w:t>PI</w:t>
            </w:r>
          </w:p>
        </w:tc>
        <w:tc>
          <w:tcPr>
            <w:tcW w:w="6911" w:type="dxa"/>
          </w:tcPr>
          <w:p w14:paraId="22B8D391" w14:textId="57EC08F7" w:rsidR="00AF0782" w:rsidRDefault="00AF0782" w:rsidP="008A7597">
            <w:pPr>
              <w:ind w:left="0"/>
            </w:pPr>
            <w:r>
              <w:t xml:space="preserve">Product </w:t>
            </w:r>
            <w:r w:rsidR="00631EDF">
              <w:t>I</w:t>
            </w:r>
            <w:r>
              <w:t>nformation</w:t>
            </w:r>
          </w:p>
        </w:tc>
      </w:tr>
      <w:tr w:rsidR="00AF0782" w:rsidRPr="00FD119B" w14:paraId="3072D470" w14:textId="77777777" w:rsidTr="00B256C2">
        <w:tc>
          <w:tcPr>
            <w:tcW w:w="1809" w:type="dxa"/>
          </w:tcPr>
          <w:p w14:paraId="5BA6E627" w14:textId="77777777" w:rsidR="00AF0782" w:rsidRPr="00EA5B6B" w:rsidRDefault="00AF0782" w:rsidP="008A7597">
            <w:pPr>
              <w:ind w:left="0"/>
            </w:pPr>
            <w:r>
              <w:t>PK</w:t>
            </w:r>
          </w:p>
        </w:tc>
        <w:tc>
          <w:tcPr>
            <w:tcW w:w="6911" w:type="dxa"/>
          </w:tcPr>
          <w:p w14:paraId="02E15124" w14:textId="77777777" w:rsidR="00AF0782" w:rsidRDefault="00AF0782" w:rsidP="008A7597">
            <w:pPr>
              <w:ind w:left="0"/>
            </w:pPr>
            <w:r>
              <w:t>Pharmacokinetic(s)</w:t>
            </w:r>
          </w:p>
        </w:tc>
      </w:tr>
      <w:tr w:rsidR="00AF0782" w:rsidRPr="00FD119B" w14:paraId="029A7671" w14:textId="77777777" w:rsidTr="00B256C2">
        <w:tc>
          <w:tcPr>
            <w:tcW w:w="1809" w:type="dxa"/>
          </w:tcPr>
          <w:p w14:paraId="1CA07DC7" w14:textId="77777777" w:rsidR="00AF0782" w:rsidRDefault="00AF0782" w:rsidP="008A7597">
            <w:pPr>
              <w:ind w:left="0"/>
            </w:pPr>
            <w:r>
              <w:t>PMDA</w:t>
            </w:r>
          </w:p>
        </w:tc>
        <w:tc>
          <w:tcPr>
            <w:tcW w:w="6911" w:type="dxa"/>
          </w:tcPr>
          <w:p w14:paraId="1874507A" w14:textId="23F33583" w:rsidR="00AF0782" w:rsidRDefault="00AF0782" w:rsidP="008A7597">
            <w:pPr>
              <w:ind w:left="0"/>
            </w:pPr>
            <w:r>
              <w:t>Pharmaceuticals and Medical Devices Agency</w:t>
            </w:r>
            <w:r w:rsidR="00631EDF">
              <w:t xml:space="preserve"> (Japan)</w:t>
            </w:r>
          </w:p>
        </w:tc>
      </w:tr>
      <w:tr w:rsidR="00AF0782" w:rsidRPr="00FD119B" w14:paraId="1302B63A" w14:textId="77777777" w:rsidTr="00B256C2">
        <w:tc>
          <w:tcPr>
            <w:tcW w:w="1809" w:type="dxa"/>
          </w:tcPr>
          <w:p w14:paraId="7DA055D7" w14:textId="77777777" w:rsidR="00AF0782" w:rsidRPr="00EA5B6B" w:rsidRDefault="00AF0782" w:rsidP="008A7597">
            <w:pPr>
              <w:ind w:left="0"/>
            </w:pPr>
            <w:r>
              <w:t>PP</w:t>
            </w:r>
          </w:p>
        </w:tc>
        <w:tc>
          <w:tcPr>
            <w:tcW w:w="6911" w:type="dxa"/>
          </w:tcPr>
          <w:p w14:paraId="2B031D0A" w14:textId="77777777" w:rsidR="00AF0782" w:rsidRDefault="00AF0782" w:rsidP="008A7597">
            <w:pPr>
              <w:ind w:left="0"/>
            </w:pPr>
            <w:r>
              <w:t>Per protocol</w:t>
            </w:r>
          </w:p>
        </w:tc>
      </w:tr>
      <w:tr w:rsidR="00AF0782" w:rsidRPr="00FD119B" w14:paraId="013D3BA2" w14:textId="77777777" w:rsidTr="00B256C2">
        <w:tc>
          <w:tcPr>
            <w:tcW w:w="1809" w:type="dxa"/>
          </w:tcPr>
          <w:p w14:paraId="2E7D0A77" w14:textId="77777777" w:rsidR="00AF0782" w:rsidRDefault="00AF0782" w:rsidP="008A7597">
            <w:pPr>
              <w:ind w:left="0"/>
            </w:pPr>
            <w:r>
              <w:t>PR</w:t>
            </w:r>
          </w:p>
        </w:tc>
        <w:tc>
          <w:tcPr>
            <w:tcW w:w="6911" w:type="dxa"/>
          </w:tcPr>
          <w:p w14:paraId="700C24C9" w14:textId="77777777" w:rsidR="00AF0782" w:rsidRDefault="00AF0782" w:rsidP="008A7597">
            <w:pPr>
              <w:ind w:left="0"/>
            </w:pPr>
            <w:r>
              <w:t>Partial response</w:t>
            </w:r>
          </w:p>
        </w:tc>
      </w:tr>
      <w:tr w:rsidR="00AF0782" w:rsidRPr="00FD119B" w14:paraId="2DFD69FB" w14:textId="77777777" w:rsidTr="00B256C2">
        <w:tc>
          <w:tcPr>
            <w:tcW w:w="1809" w:type="dxa"/>
          </w:tcPr>
          <w:p w14:paraId="6F6E9258" w14:textId="77777777" w:rsidR="00AF0782" w:rsidRPr="00EA5B6B" w:rsidRDefault="00AF0782" w:rsidP="008A7597">
            <w:pPr>
              <w:ind w:left="0"/>
            </w:pPr>
            <w:r>
              <w:t>Pro</w:t>
            </w:r>
          </w:p>
        </w:tc>
        <w:tc>
          <w:tcPr>
            <w:tcW w:w="6911" w:type="dxa"/>
          </w:tcPr>
          <w:p w14:paraId="35A86728" w14:textId="77777777" w:rsidR="00AF0782" w:rsidRDefault="00AF0782" w:rsidP="008A7597">
            <w:pPr>
              <w:ind w:left="0"/>
            </w:pPr>
            <w:r>
              <w:t>Progenitor</w:t>
            </w:r>
          </w:p>
        </w:tc>
      </w:tr>
      <w:tr w:rsidR="00AF0782" w:rsidRPr="00FD119B" w14:paraId="6BA4A9AB" w14:textId="77777777" w:rsidTr="00B256C2">
        <w:tc>
          <w:tcPr>
            <w:tcW w:w="1809" w:type="dxa"/>
          </w:tcPr>
          <w:p w14:paraId="5C273E16" w14:textId="77777777" w:rsidR="00AF0782" w:rsidRDefault="00AF0782" w:rsidP="008A7597">
            <w:pPr>
              <w:ind w:left="0"/>
            </w:pPr>
            <w:r>
              <w:t>PSUR</w:t>
            </w:r>
          </w:p>
        </w:tc>
        <w:tc>
          <w:tcPr>
            <w:tcW w:w="6911" w:type="dxa"/>
          </w:tcPr>
          <w:p w14:paraId="08012214" w14:textId="77777777" w:rsidR="00AF0782" w:rsidRDefault="00AF0782" w:rsidP="008A7597">
            <w:pPr>
              <w:ind w:left="0"/>
            </w:pPr>
            <w:r>
              <w:t>Periodic safety update report</w:t>
            </w:r>
          </w:p>
        </w:tc>
      </w:tr>
      <w:tr w:rsidR="00AF0782" w:rsidRPr="00FD119B" w14:paraId="00B47B07" w14:textId="77777777" w:rsidTr="00B256C2">
        <w:tc>
          <w:tcPr>
            <w:tcW w:w="1809" w:type="dxa"/>
          </w:tcPr>
          <w:p w14:paraId="799AEFCA" w14:textId="77777777" w:rsidR="00AF0782" w:rsidRDefault="00AF0782" w:rsidP="008A7597">
            <w:pPr>
              <w:ind w:left="0"/>
            </w:pPr>
            <w:r>
              <w:t>RA</w:t>
            </w:r>
          </w:p>
        </w:tc>
        <w:tc>
          <w:tcPr>
            <w:tcW w:w="6911" w:type="dxa"/>
          </w:tcPr>
          <w:p w14:paraId="7DCB7DED" w14:textId="77777777" w:rsidR="00AF0782" w:rsidRDefault="00AF0782" w:rsidP="008A7597">
            <w:pPr>
              <w:ind w:left="0"/>
            </w:pPr>
            <w:r>
              <w:t>Rheumatoid a</w:t>
            </w:r>
            <w:r w:rsidRPr="00757FE3">
              <w:t>rthritis</w:t>
            </w:r>
          </w:p>
        </w:tc>
      </w:tr>
      <w:tr w:rsidR="00AF0782" w:rsidRPr="00FD119B" w14:paraId="407FBEAF" w14:textId="77777777" w:rsidTr="00B256C2">
        <w:tc>
          <w:tcPr>
            <w:tcW w:w="1809" w:type="dxa"/>
          </w:tcPr>
          <w:p w14:paraId="56BDBC10" w14:textId="77777777" w:rsidR="00AF0782" w:rsidRDefault="00AF0782" w:rsidP="008A7597">
            <w:pPr>
              <w:ind w:left="0"/>
            </w:pPr>
            <w:r>
              <w:t>RF</w:t>
            </w:r>
          </w:p>
        </w:tc>
        <w:tc>
          <w:tcPr>
            <w:tcW w:w="6911" w:type="dxa"/>
          </w:tcPr>
          <w:p w14:paraId="50C09685" w14:textId="77777777" w:rsidR="00AF0782" w:rsidRDefault="00AF0782" w:rsidP="008A7597">
            <w:pPr>
              <w:ind w:left="0"/>
            </w:pPr>
            <w:r>
              <w:t>R</w:t>
            </w:r>
            <w:r w:rsidRPr="008C25F3">
              <w:t>heumatoid factor</w:t>
            </w:r>
          </w:p>
        </w:tc>
      </w:tr>
      <w:tr w:rsidR="00AF0782" w:rsidRPr="00FD119B" w14:paraId="48D4D7FA" w14:textId="77777777" w:rsidTr="00B256C2">
        <w:tc>
          <w:tcPr>
            <w:tcW w:w="1809" w:type="dxa"/>
          </w:tcPr>
          <w:p w14:paraId="1C55F1F1" w14:textId="77777777" w:rsidR="00AF0782" w:rsidRPr="00EA5B6B" w:rsidRDefault="00AF0782" w:rsidP="008A7597">
            <w:pPr>
              <w:ind w:left="0"/>
            </w:pPr>
            <w:r>
              <w:t>RGA</w:t>
            </w:r>
          </w:p>
        </w:tc>
        <w:tc>
          <w:tcPr>
            <w:tcW w:w="6911" w:type="dxa"/>
          </w:tcPr>
          <w:p w14:paraId="107A6042" w14:textId="77777777" w:rsidR="00AF0782" w:rsidRDefault="00AF0782" w:rsidP="008A7597">
            <w:pPr>
              <w:ind w:left="0"/>
            </w:pPr>
            <w:r>
              <w:rPr>
                <w:lang w:val="en-GB"/>
              </w:rPr>
              <w:t>Reporter gene assay</w:t>
            </w:r>
          </w:p>
        </w:tc>
      </w:tr>
      <w:tr w:rsidR="00AF0782" w:rsidRPr="00FD119B" w14:paraId="66B81B10" w14:textId="77777777" w:rsidTr="00B256C2">
        <w:tc>
          <w:tcPr>
            <w:tcW w:w="1809" w:type="dxa"/>
          </w:tcPr>
          <w:p w14:paraId="76049547" w14:textId="77777777" w:rsidR="00AF0782" w:rsidRDefault="00AF0782" w:rsidP="008A7597">
            <w:pPr>
              <w:ind w:left="0"/>
            </w:pPr>
            <w:r>
              <w:t>RMP</w:t>
            </w:r>
          </w:p>
        </w:tc>
        <w:tc>
          <w:tcPr>
            <w:tcW w:w="6911" w:type="dxa"/>
          </w:tcPr>
          <w:p w14:paraId="17F2AA9A" w14:textId="77777777" w:rsidR="00AF0782" w:rsidRDefault="00AF0782" w:rsidP="008A7597">
            <w:pPr>
              <w:ind w:left="0"/>
            </w:pPr>
            <w:r>
              <w:t>Risk management plan</w:t>
            </w:r>
          </w:p>
        </w:tc>
      </w:tr>
      <w:tr w:rsidR="00AF0782" w:rsidRPr="00FD119B" w14:paraId="2756D148" w14:textId="77777777" w:rsidTr="00B256C2">
        <w:tc>
          <w:tcPr>
            <w:tcW w:w="1809" w:type="dxa"/>
          </w:tcPr>
          <w:p w14:paraId="7A0C73FE" w14:textId="77777777" w:rsidR="00AF0782" w:rsidRDefault="00AF0782" w:rsidP="008A7597">
            <w:pPr>
              <w:ind w:left="0"/>
            </w:pPr>
            <w:r>
              <w:t>RTX</w:t>
            </w:r>
          </w:p>
        </w:tc>
        <w:tc>
          <w:tcPr>
            <w:tcW w:w="6911" w:type="dxa"/>
          </w:tcPr>
          <w:p w14:paraId="78EC82E2" w14:textId="77777777" w:rsidR="00AF0782" w:rsidRDefault="00AF0782" w:rsidP="008A7597">
            <w:pPr>
              <w:ind w:left="0"/>
            </w:pPr>
            <w:r>
              <w:t>Rituximab</w:t>
            </w:r>
          </w:p>
        </w:tc>
      </w:tr>
      <w:tr w:rsidR="00AF0782" w:rsidRPr="00FD119B" w14:paraId="214C44E9" w14:textId="77777777" w:rsidTr="00B256C2">
        <w:tc>
          <w:tcPr>
            <w:tcW w:w="1809" w:type="dxa"/>
          </w:tcPr>
          <w:p w14:paraId="4C90232F" w14:textId="77777777" w:rsidR="00AF0782" w:rsidRDefault="00AF0782" w:rsidP="008A7597">
            <w:pPr>
              <w:ind w:left="0"/>
            </w:pPr>
            <w:r>
              <w:t>SC</w:t>
            </w:r>
          </w:p>
        </w:tc>
        <w:tc>
          <w:tcPr>
            <w:tcW w:w="6911" w:type="dxa"/>
          </w:tcPr>
          <w:p w14:paraId="40B308F1" w14:textId="77777777" w:rsidR="00AF0782" w:rsidRDefault="00AF0782" w:rsidP="008A7597">
            <w:pPr>
              <w:ind w:left="0"/>
            </w:pPr>
            <w:r>
              <w:t>Subcutaneous</w:t>
            </w:r>
          </w:p>
        </w:tc>
      </w:tr>
      <w:tr w:rsidR="00AF0782" w:rsidRPr="00FD119B" w14:paraId="721EA66E" w14:textId="77777777" w:rsidTr="00B256C2">
        <w:tc>
          <w:tcPr>
            <w:tcW w:w="1809" w:type="dxa"/>
          </w:tcPr>
          <w:p w14:paraId="0BC69756" w14:textId="77777777" w:rsidR="00AF0782" w:rsidRDefault="00AF0782" w:rsidP="008A7597">
            <w:pPr>
              <w:ind w:left="0"/>
            </w:pPr>
            <w:r>
              <w:t>SD</w:t>
            </w:r>
          </w:p>
        </w:tc>
        <w:tc>
          <w:tcPr>
            <w:tcW w:w="6911" w:type="dxa"/>
          </w:tcPr>
          <w:p w14:paraId="76124AF6" w14:textId="77777777" w:rsidR="00AF0782" w:rsidRDefault="00AF0782" w:rsidP="008A7597">
            <w:pPr>
              <w:ind w:left="0"/>
            </w:pPr>
            <w:r>
              <w:t>Standard deviation</w:t>
            </w:r>
          </w:p>
        </w:tc>
      </w:tr>
      <w:tr w:rsidR="00AF0782" w:rsidRPr="00FD119B" w14:paraId="2E75EEF8" w14:textId="77777777" w:rsidTr="00B256C2">
        <w:tc>
          <w:tcPr>
            <w:tcW w:w="1809" w:type="dxa"/>
          </w:tcPr>
          <w:p w14:paraId="5F384487" w14:textId="77777777" w:rsidR="00AF0782" w:rsidRDefault="00AF0782" w:rsidP="008A7597">
            <w:pPr>
              <w:ind w:left="0"/>
            </w:pPr>
            <w:r>
              <w:t>SE</w:t>
            </w:r>
          </w:p>
        </w:tc>
        <w:tc>
          <w:tcPr>
            <w:tcW w:w="6911" w:type="dxa"/>
          </w:tcPr>
          <w:p w14:paraId="3DFFAFEC" w14:textId="77777777" w:rsidR="00AF0782" w:rsidRDefault="00AF0782" w:rsidP="008A7597">
            <w:pPr>
              <w:ind w:left="0"/>
            </w:pPr>
            <w:r>
              <w:t>Standard error</w:t>
            </w:r>
          </w:p>
        </w:tc>
      </w:tr>
      <w:tr w:rsidR="00AF0782" w:rsidRPr="00FD119B" w14:paraId="7F33F932" w14:textId="77777777" w:rsidTr="00B256C2">
        <w:tc>
          <w:tcPr>
            <w:tcW w:w="1809" w:type="dxa"/>
          </w:tcPr>
          <w:p w14:paraId="21599867" w14:textId="77777777" w:rsidR="00AF0782" w:rsidRDefault="00AF0782" w:rsidP="008A7597">
            <w:pPr>
              <w:ind w:left="0"/>
            </w:pPr>
            <w:r>
              <w:t>SMQ</w:t>
            </w:r>
          </w:p>
        </w:tc>
        <w:tc>
          <w:tcPr>
            <w:tcW w:w="6911" w:type="dxa"/>
          </w:tcPr>
          <w:p w14:paraId="53AB0708" w14:textId="77777777" w:rsidR="00AF0782" w:rsidRDefault="00AF0782" w:rsidP="008A7597">
            <w:pPr>
              <w:ind w:left="0"/>
            </w:pPr>
            <w:r>
              <w:t>Standardised MedDRA query</w:t>
            </w:r>
          </w:p>
        </w:tc>
      </w:tr>
      <w:tr w:rsidR="00AF0782" w:rsidRPr="00FD119B" w14:paraId="225FBA53" w14:textId="77777777" w:rsidTr="00B256C2">
        <w:tc>
          <w:tcPr>
            <w:tcW w:w="1809" w:type="dxa"/>
          </w:tcPr>
          <w:p w14:paraId="336383BC" w14:textId="77777777" w:rsidR="00AF0782" w:rsidRPr="00FD119B" w:rsidRDefault="00AF0782" w:rsidP="008A7597">
            <w:pPr>
              <w:ind w:left="0" w:right="0"/>
              <w:rPr>
                <w:color w:val="auto"/>
                <w:szCs w:val="22"/>
                <w:lang w:eastAsia="en-US"/>
              </w:rPr>
            </w:pPr>
            <w:r>
              <w:rPr>
                <w:color w:val="auto"/>
                <w:szCs w:val="22"/>
                <w:lang w:eastAsia="en-US"/>
              </w:rPr>
              <w:t>TGA</w:t>
            </w:r>
          </w:p>
        </w:tc>
        <w:tc>
          <w:tcPr>
            <w:tcW w:w="6911" w:type="dxa"/>
          </w:tcPr>
          <w:p w14:paraId="5D046596" w14:textId="77777777" w:rsidR="00AF0782" w:rsidRPr="00FD119B" w:rsidRDefault="00AF0782" w:rsidP="008A7597">
            <w:pPr>
              <w:ind w:left="0" w:right="0"/>
              <w:rPr>
                <w:color w:val="auto"/>
                <w:szCs w:val="22"/>
                <w:lang w:eastAsia="en-US"/>
              </w:rPr>
            </w:pPr>
            <w:r w:rsidRPr="001F6CBA">
              <w:t>Th</w:t>
            </w:r>
            <w:r>
              <w:t>erapeutic Goods Administration</w:t>
            </w:r>
          </w:p>
        </w:tc>
      </w:tr>
      <w:tr w:rsidR="00AF0782" w:rsidRPr="00FD119B" w14:paraId="62A72D48" w14:textId="77777777" w:rsidTr="00B256C2">
        <w:tc>
          <w:tcPr>
            <w:tcW w:w="1809" w:type="dxa"/>
          </w:tcPr>
          <w:p w14:paraId="428D0F2B" w14:textId="77777777" w:rsidR="00AF0782" w:rsidRDefault="00AF0782" w:rsidP="008A7597">
            <w:pPr>
              <w:ind w:left="0"/>
            </w:pPr>
            <w:r>
              <w:t>TNF</w:t>
            </w:r>
          </w:p>
        </w:tc>
        <w:tc>
          <w:tcPr>
            <w:tcW w:w="6911" w:type="dxa"/>
          </w:tcPr>
          <w:p w14:paraId="324BD183" w14:textId="77777777" w:rsidR="00AF0782" w:rsidRPr="001F6CBA" w:rsidRDefault="00AF0782" w:rsidP="008A7597">
            <w:pPr>
              <w:ind w:left="0"/>
            </w:pPr>
            <w:r>
              <w:t>T</w:t>
            </w:r>
            <w:r w:rsidRPr="00751AC2">
              <w:t>umour necrosis factor</w:t>
            </w:r>
          </w:p>
        </w:tc>
      </w:tr>
      <w:tr w:rsidR="00AF0782" w:rsidRPr="00FD119B" w14:paraId="377C3C7D" w14:textId="77777777" w:rsidTr="00B256C2">
        <w:tc>
          <w:tcPr>
            <w:tcW w:w="1809" w:type="dxa"/>
          </w:tcPr>
          <w:p w14:paraId="6422082A" w14:textId="77777777" w:rsidR="00AF0782" w:rsidRPr="00EA5B6B" w:rsidRDefault="00AF0782" w:rsidP="008A7597">
            <w:pPr>
              <w:ind w:left="0"/>
            </w:pPr>
            <w:r>
              <w:t>US(A)</w:t>
            </w:r>
          </w:p>
        </w:tc>
        <w:tc>
          <w:tcPr>
            <w:tcW w:w="6911" w:type="dxa"/>
          </w:tcPr>
          <w:p w14:paraId="277B6E70" w14:textId="77777777" w:rsidR="00AF0782" w:rsidRDefault="00AF0782" w:rsidP="008A7597">
            <w:pPr>
              <w:ind w:left="0"/>
            </w:pPr>
            <w:r>
              <w:t>United States (of America)</w:t>
            </w:r>
          </w:p>
        </w:tc>
      </w:tr>
    </w:tbl>
    <w:p w14:paraId="6A05A809" w14:textId="77777777" w:rsidR="00FD119B" w:rsidRDefault="00FD119B" w:rsidP="00FD119B"/>
    <w:p w14:paraId="5A39BBE3"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88388E3" w14:textId="77777777" w:rsidR="008E7846" w:rsidRDefault="00F53C07" w:rsidP="008E7846">
      <w:pPr>
        <w:pStyle w:val="Heading2"/>
      </w:pPr>
      <w:bookmarkStart w:id="9" w:name="_Toc71098522"/>
      <w:r>
        <w:t>I.</w:t>
      </w:r>
      <w:r w:rsidR="008E7846">
        <w:t xml:space="preserve"> Introduction to product submission</w:t>
      </w:r>
      <w:bookmarkEnd w:id="9"/>
      <w:bookmarkEnd w:id="3"/>
      <w:bookmarkEnd w:id="1"/>
    </w:p>
    <w:p w14:paraId="47BC0064" w14:textId="77777777" w:rsidR="008E7846" w:rsidRDefault="008E7846" w:rsidP="008E7846">
      <w:pPr>
        <w:pStyle w:val="Heading3"/>
        <w:rPr>
          <w:lang w:eastAsia="en-AU"/>
        </w:rPr>
      </w:pPr>
      <w:bookmarkStart w:id="10" w:name="_Toc247691502"/>
      <w:bookmarkStart w:id="11" w:name="_Toc314842483"/>
      <w:bookmarkStart w:id="12" w:name="_Toc71098523"/>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C96C257" w14:textId="77777777" w:rsidTr="003735BC">
        <w:tc>
          <w:tcPr>
            <w:tcW w:w="2907" w:type="dxa"/>
          </w:tcPr>
          <w:p w14:paraId="2CB41C15"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E32728D" w14:textId="77777777" w:rsidR="008E7846" w:rsidRPr="003D1E62" w:rsidRDefault="008E7846" w:rsidP="00FB4A94">
            <w:r w:rsidRPr="003D1E62">
              <w:t>New</w:t>
            </w:r>
            <w:r w:rsidR="00FB4A94">
              <w:t xml:space="preserve"> biosimilar</w:t>
            </w:r>
          </w:p>
        </w:tc>
      </w:tr>
      <w:tr w:rsidR="00460036" w:rsidRPr="003D1E62" w14:paraId="36BA544A" w14:textId="77777777" w:rsidTr="003735BC">
        <w:tc>
          <w:tcPr>
            <w:tcW w:w="2907" w:type="dxa"/>
          </w:tcPr>
          <w:p w14:paraId="68F5B827" w14:textId="77777777" w:rsidR="00460036" w:rsidRPr="003D1E62" w:rsidRDefault="00423CF5" w:rsidP="003D1E62">
            <w:pPr>
              <w:rPr>
                <w:i/>
              </w:rPr>
            </w:pPr>
            <w:r>
              <w:rPr>
                <w:i/>
              </w:rPr>
              <w:t>Product name</w:t>
            </w:r>
            <w:r w:rsidR="00460036" w:rsidRPr="00460036">
              <w:rPr>
                <w:i/>
              </w:rPr>
              <w:t>:</w:t>
            </w:r>
          </w:p>
        </w:tc>
        <w:tc>
          <w:tcPr>
            <w:tcW w:w="6307" w:type="dxa"/>
          </w:tcPr>
          <w:p w14:paraId="71C607A6" w14:textId="77777777" w:rsidR="00460036" w:rsidRPr="003D1E62" w:rsidRDefault="00FB4A94" w:rsidP="001B5C90">
            <w:r>
              <w:t>Ruxience</w:t>
            </w:r>
          </w:p>
        </w:tc>
      </w:tr>
      <w:tr w:rsidR="00460036" w:rsidRPr="003D1E62" w14:paraId="5F3CCD78" w14:textId="77777777" w:rsidTr="003735BC">
        <w:tc>
          <w:tcPr>
            <w:tcW w:w="2907" w:type="dxa"/>
          </w:tcPr>
          <w:p w14:paraId="11153C97" w14:textId="77777777" w:rsidR="00460036" w:rsidRPr="003D1E62" w:rsidRDefault="00423CF5" w:rsidP="003D1E62">
            <w:pPr>
              <w:rPr>
                <w:i/>
              </w:rPr>
            </w:pPr>
            <w:r>
              <w:rPr>
                <w:i/>
              </w:rPr>
              <w:t>Active ingredient</w:t>
            </w:r>
            <w:r w:rsidR="00460036" w:rsidRPr="00460036">
              <w:rPr>
                <w:i/>
              </w:rPr>
              <w:t>:</w:t>
            </w:r>
          </w:p>
        </w:tc>
        <w:tc>
          <w:tcPr>
            <w:tcW w:w="6307" w:type="dxa"/>
          </w:tcPr>
          <w:p w14:paraId="7BBF0F50" w14:textId="77777777" w:rsidR="00460036" w:rsidRPr="003D1E62" w:rsidRDefault="00FB4A94" w:rsidP="00FB4A94">
            <w:r>
              <w:t>R</w:t>
            </w:r>
            <w:r w:rsidRPr="00FB4A94">
              <w:t>ituximab</w:t>
            </w:r>
          </w:p>
        </w:tc>
      </w:tr>
      <w:tr w:rsidR="008E7846" w:rsidRPr="003D1E62" w14:paraId="0426130C" w14:textId="77777777" w:rsidTr="003735BC">
        <w:tc>
          <w:tcPr>
            <w:tcW w:w="2907" w:type="dxa"/>
          </w:tcPr>
          <w:p w14:paraId="36BB4BD0" w14:textId="77777777" w:rsidR="008E7846" w:rsidRPr="003D1E62" w:rsidRDefault="008E7846" w:rsidP="003D1E62">
            <w:r w:rsidRPr="003D1E62">
              <w:rPr>
                <w:i/>
              </w:rPr>
              <w:t>Decision</w:t>
            </w:r>
            <w:r w:rsidRPr="003D1E62">
              <w:t>:</w:t>
            </w:r>
          </w:p>
        </w:tc>
        <w:tc>
          <w:tcPr>
            <w:tcW w:w="6307" w:type="dxa"/>
          </w:tcPr>
          <w:p w14:paraId="0FEA2CF8" w14:textId="77777777" w:rsidR="008E7846" w:rsidRPr="003D1E62" w:rsidRDefault="00FB4A94" w:rsidP="00FB4A94">
            <w:r>
              <w:t>Approved</w:t>
            </w:r>
          </w:p>
        </w:tc>
      </w:tr>
      <w:tr w:rsidR="008E7846" w:rsidRPr="003D1E62" w14:paraId="5063EA1A" w14:textId="77777777" w:rsidTr="003735BC">
        <w:tc>
          <w:tcPr>
            <w:tcW w:w="2907" w:type="dxa"/>
          </w:tcPr>
          <w:p w14:paraId="0EF28ED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B35D62D" w14:textId="77777777" w:rsidR="008E7846" w:rsidRPr="003D1E62" w:rsidRDefault="00FB4A94" w:rsidP="001B5C90">
            <w:r>
              <w:t>26 February 2021</w:t>
            </w:r>
          </w:p>
        </w:tc>
      </w:tr>
      <w:tr w:rsidR="00ED2922" w:rsidRPr="003D1E62" w14:paraId="0FB10700" w14:textId="77777777" w:rsidTr="003735BC">
        <w:tc>
          <w:tcPr>
            <w:tcW w:w="2907" w:type="dxa"/>
          </w:tcPr>
          <w:p w14:paraId="49B2E7A6" w14:textId="77777777" w:rsidR="00ED2922" w:rsidRPr="00441C3F" w:rsidRDefault="00ED2922" w:rsidP="001B5C90">
            <w:pPr>
              <w:rPr>
                <w:i/>
              </w:rPr>
            </w:pPr>
            <w:r w:rsidRPr="00441C3F">
              <w:rPr>
                <w:i/>
              </w:rPr>
              <w:t>Date of entry onto ARTG</w:t>
            </w:r>
            <w:r w:rsidR="00500337">
              <w:rPr>
                <w:i/>
              </w:rPr>
              <w:t>:</w:t>
            </w:r>
          </w:p>
        </w:tc>
        <w:tc>
          <w:tcPr>
            <w:tcW w:w="6307" w:type="dxa"/>
          </w:tcPr>
          <w:p w14:paraId="7712B5D9" w14:textId="77777777" w:rsidR="00ED2922" w:rsidRPr="00441C3F" w:rsidRDefault="00FB4A94" w:rsidP="00FB4A94">
            <w:pPr>
              <w:rPr>
                <w:i/>
              </w:rPr>
            </w:pPr>
            <w:r>
              <w:t>3 March 2021</w:t>
            </w:r>
          </w:p>
        </w:tc>
      </w:tr>
      <w:tr w:rsidR="00500337" w:rsidRPr="003D1E62" w14:paraId="5A354596" w14:textId="77777777" w:rsidTr="003735BC">
        <w:tc>
          <w:tcPr>
            <w:tcW w:w="2907" w:type="dxa"/>
          </w:tcPr>
          <w:p w14:paraId="7DB9DC38" w14:textId="77777777" w:rsidR="00500337" w:rsidRPr="00441C3F" w:rsidRDefault="00423CF5" w:rsidP="00423CF5">
            <w:pPr>
              <w:rPr>
                <w:i/>
              </w:rPr>
            </w:pPr>
            <w:r>
              <w:rPr>
                <w:i/>
              </w:rPr>
              <w:t>ARTG number</w:t>
            </w:r>
            <w:r w:rsidR="00500337">
              <w:rPr>
                <w:i/>
              </w:rPr>
              <w:t>s:</w:t>
            </w:r>
          </w:p>
        </w:tc>
        <w:tc>
          <w:tcPr>
            <w:tcW w:w="6307" w:type="dxa"/>
          </w:tcPr>
          <w:p w14:paraId="62A96651" w14:textId="77777777" w:rsidR="00500337" w:rsidRPr="00441C3F" w:rsidRDefault="00FB4A94" w:rsidP="00EC463D">
            <w:r>
              <w:t>330537, 330536</w:t>
            </w:r>
          </w:p>
        </w:tc>
      </w:tr>
      <w:tr w:rsidR="003735BC" w:rsidRPr="003D1E62" w14:paraId="2C28E11F" w14:textId="77777777" w:rsidTr="003735BC">
        <w:tc>
          <w:tcPr>
            <w:tcW w:w="2907" w:type="dxa"/>
          </w:tcPr>
          <w:p w14:paraId="3EAEBD38"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65804BD3" w14:textId="77777777" w:rsidR="003735BC" w:rsidRPr="00487162" w:rsidRDefault="00BD5C27" w:rsidP="00BD5C27">
            <w:r>
              <w:t>No</w:t>
            </w:r>
          </w:p>
        </w:tc>
      </w:tr>
      <w:tr w:rsidR="008E7846" w:rsidRPr="00487162" w14:paraId="14353406" w14:textId="77777777" w:rsidTr="00BF1190">
        <w:tc>
          <w:tcPr>
            <w:tcW w:w="2907" w:type="dxa"/>
          </w:tcPr>
          <w:p w14:paraId="6F55337F"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196D1C3" w14:textId="77777777" w:rsidR="00BD5C27" w:rsidRDefault="00BD5C27" w:rsidP="00BD5C27">
            <w:r>
              <w:t>Pfizer Australia Pty Ltd</w:t>
            </w:r>
          </w:p>
          <w:p w14:paraId="29345C30" w14:textId="77777777" w:rsidR="00BD5C27" w:rsidRDefault="00BD5C27" w:rsidP="00BD5C27">
            <w:r>
              <w:t>Level 17, 151 Clarence Street</w:t>
            </w:r>
          </w:p>
          <w:p w14:paraId="5BB88064" w14:textId="77777777" w:rsidR="008E7846" w:rsidRPr="00487162" w:rsidRDefault="00BD5C27" w:rsidP="00BD5C27">
            <w:r>
              <w:t>Sydney NSW 2000</w:t>
            </w:r>
          </w:p>
        </w:tc>
      </w:tr>
      <w:tr w:rsidR="008E7846" w:rsidRPr="00487162" w14:paraId="3DB8E310" w14:textId="77777777" w:rsidTr="00BF1190">
        <w:tc>
          <w:tcPr>
            <w:tcW w:w="2907" w:type="dxa"/>
          </w:tcPr>
          <w:p w14:paraId="1B84300D" w14:textId="77777777" w:rsidR="008E7846" w:rsidRPr="00487162" w:rsidRDefault="00423CF5" w:rsidP="00E45619">
            <w:pPr>
              <w:rPr>
                <w:i/>
              </w:rPr>
            </w:pPr>
            <w:r>
              <w:rPr>
                <w:i/>
              </w:rPr>
              <w:t>Dose form</w:t>
            </w:r>
            <w:r w:rsidR="001B5C90">
              <w:rPr>
                <w:i/>
              </w:rPr>
              <w:t>:</w:t>
            </w:r>
          </w:p>
        </w:tc>
        <w:tc>
          <w:tcPr>
            <w:tcW w:w="6307" w:type="dxa"/>
          </w:tcPr>
          <w:p w14:paraId="0D467241" w14:textId="755FE856" w:rsidR="008E7846" w:rsidRPr="00487162" w:rsidRDefault="00BD5C27" w:rsidP="00373C5D">
            <w:r>
              <w:t>Concentrate</w:t>
            </w:r>
            <w:r w:rsidR="00373C5D">
              <w:t>d</w:t>
            </w:r>
            <w:r>
              <w:t xml:space="preserve"> solution for </w:t>
            </w:r>
            <w:r w:rsidR="00373C5D">
              <w:t>injection</w:t>
            </w:r>
          </w:p>
        </w:tc>
      </w:tr>
      <w:tr w:rsidR="008E7846" w:rsidRPr="00487162" w14:paraId="0D3A1739" w14:textId="77777777" w:rsidTr="00BF1190">
        <w:tc>
          <w:tcPr>
            <w:tcW w:w="2907" w:type="dxa"/>
          </w:tcPr>
          <w:p w14:paraId="6AF29578" w14:textId="77777777" w:rsidR="008E7846" w:rsidRPr="00487162" w:rsidRDefault="00423CF5" w:rsidP="00423CF5">
            <w:pPr>
              <w:rPr>
                <w:i/>
              </w:rPr>
            </w:pPr>
            <w:r>
              <w:rPr>
                <w:i/>
              </w:rPr>
              <w:t>Strengths</w:t>
            </w:r>
            <w:r w:rsidR="00324E45">
              <w:rPr>
                <w:i/>
              </w:rPr>
              <w:t>:</w:t>
            </w:r>
          </w:p>
        </w:tc>
        <w:tc>
          <w:tcPr>
            <w:tcW w:w="6307" w:type="dxa"/>
          </w:tcPr>
          <w:p w14:paraId="6D72276A" w14:textId="77777777" w:rsidR="008E7846" w:rsidRPr="00487162" w:rsidRDefault="00BD5C27" w:rsidP="00E45619">
            <w:r>
              <w:t>100 mg/10 mL, 500 mg/50 mL</w:t>
            </w:r>
          </w:p>
        </w:tc>
      </w:tr>
      <w:tr w:rsidR="008E7846" w:rsidRPr="00487162" w14:paraId="1CA293FE" w14:textId="77777777" w:rsidTr="00BF1190">
        <w:tc>
          <w:tcPr>
            <w:tcW w:w="2907" w:type="dxa"/>
          </w:tcPr>
          <w:p w14:paraId="1F58A049" w14:textId="41FDD20E" w:rsidR="008E7846" w:rsidRPr="00487162" w:rsidRDefault="00423CF5" w:rsidP="00E45619">
            <w:pPr>
              <w:rPr>
                <w:i/>
              </w:rPr>
            </w:pPr>
            <w:r>
              <w:rPr>
                <w:i/>
              </w:rPr>
              <w:t>Container</w:t>
            </w:r>
            <w:r w:rsidR="008E7846" w:rsidRPr="00487162">
              <w:rPr>
                <w:i/>
              </w:rPr>
              <w:t>:</w:t>
            </w:r>
          </w:p>
        </w:tc>
        <w:tc>
          <w:tcPr>
            <w:tcW w:w="6307" w:type="dxa"/>
          </w:tcPr>
          <w:p w14:paraId="1088687D" w14:textId="77777777" w:rsidR="008E7846" w:rsidRPr="00487162" w:rsidRDefault="00BD5C27" w:rsidP="00E45619">
            <w:r>
              <w:t>Vial</w:t>
            </w:r>
          </w:p>
        </w:tc>
      </w:tr>
      <w:tr w:rsidR="008E7846" w:rsidRPr="00487162" w14:paraId="7F3D9CFC" w14:textId="77777777" w:rsidTr="00BF1190">
        <w:tc>
          <w:tcPr>
            <w:tcW w:w="2907" w:type="dxa"/>
          </w:tcPr>
          <w:p w14:paraId="54FA7E16" w14:textId="77777777" w:rsidR="008E7846" w:rsidRPr="00487162" w:rsidRDefault="00423CF5" w:rsidP="00423CF5">
            <w:pPr>
              <w:rPr>
                <w:i/>
              </w:rPr>
            </w:pPr>
            <w:r>
              <w:rPr>
                <w:i/>
              </w:rPr>
              <w:t>Pack size</w:t>
            </w:r>
            <w:r w:rsidR="008E7846" w:rsidRPr="00487162">
              <w:rPr>
                <w:i/>
              </w:rPr>
              <w:t>:</w:t>
            </w:r>
          </w:p>
        </w:tc>
        <w:tc>
          <w:tcPr>
            <w:tcW w:w="6307" w:type="dxa"/>
          </w:tcPr>
          <w:p w14:paraId="4638C84E" w14:textId="77777777" w:rsidR="008E7846" w:rsidRPr="00487162" w:rsidRDefault="00BD5C27" w:rsidP="00BD5C27">
            <w:r>
              <w:t>One</w:t>
            </w:r>
          </w:p>
        </w:tc>
      </w:tr>
      <w:tr w:rsidR="008E7846" w:rsidRPr="00487162" w14:paraId="78133AD4" w14:textId="77777777" w:rsidTr="00BF1190">
        <w:tc>
          <w:tcPr>
            <w:tcW w:w="2907" w:type="dxa"/>
          </w:tcPr>
          <w:p w14:paraId="455E5435"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996F085" w14:textId="77777777" w:rsidR="00BD5C27" w:rsidRPr="00BD5C27" w:rsidRDefault="00BD5C27" w:rsidP="00BD5C27">
            <w:pPr>
              <w:rPr>
                <w:b/>
                <w:i/>
              </w:rPr>
            </w:pPr>
            <w:r w:rsidRPr="00BD5C27">
              <w:rPr>
                <w:b/>
                <w:i/>
              </w:rPr>
              <w:t>Non-Hodgkin’s Lymphoma</w:t>
            </w:r>
          </w:p>
          <w:p w14:paraId="400E07BE" w14:textId="77777777" w:rsidR="00BD5C27" w:rsidRPr="00BD5C27" w:rsidRDefault="00BD5C27" w:rsidP="00BD5C27">
            <w:pPr>
              <w:rPr>
                <w:i/>
              </w:rPr>
            </w:pPr>
            <w:r w:rsidRPr="00BD5C27">
              <w:rPr>
                <w:i/>
              </w:rPr>
              <w:t>Ruxience is indicated for treatment of patients with:</w:t>
            </w:r>
          </w:p>
          <w:p w14:paraId="28A8336D" w14:textId="0D1A7C54" w:rsidR="00BD5C27" w:rsidRPr="00BD5C27" w:rsidRDefault="00BD5C27" w:rsidP="00BD5C27">
            <w:pPr>
              <w:pStyle w:val="ListBullet"/>
              <w:rPr>
                <w:i/>
              </w:rPr>
            </w:pPr>
            <w:r w:rsidRPr="00BD5C27">
              <w:rPr>
                <w:i/>
              </w:rPr>
              <w:t>CD20 positive, previously untreated, Stage III/IV follicular, B</w:t>
            </w:r>
            <w:r w:rsidR="00631EDF">
              <w:rPr>
                <w:i/>
              </w:rPr>
              <w:noBreakHyphen/>
            </w:r>
            <w:r w:rsidRPr="00BD5C27">
              <w:rPr>
                <w:i/>
              </w:rPr>
              <w:t>cell non-Hodgkin’s lymphoma,</w:t>
            </w:r>
          </w:p>
          <w:p w14:paraId="10CC9AC6" w14:textId="77777777" w:rsidR="00BD5C27" w:rsidRPr="00BD5C27" w:rsidRDefault="00BD5C27" w:rsidP="00BD5C27">
            <w:pPr>
              <w:pStyle w:val="ListBullet"/>
              <w:rPr>
                <w:i/>
              </w:rPr>
            </w:pPr>
            <w:r w:rsidRPr="00BD5C27">
              <w:rPr>
                <w:i/>
              </w:rPr>
              <w:t>CD20 positive, relapsed or refractory low grade or follicular, B-cell non-Hodgkin's lymphoma,</w:t>
            </w:r>
          </w:p>
          <w:p w14:paraId="7DED09F0" w14:textId="3A8DB0E4" w:rsidR="00A8397C" w:rsidRPr="008A7597" w:rsidRDefault="00BD5C27" w:rsidP="008A7597">
            <w:pPr>
              <w:pStyle w:val="ListBullet"/>
              <w:rPr>
                <w:b/>
                <w:i/>
              </w:rPr>
            </w:pPr>
            <w:r w:rsidRPr="00BD5C27">
              <w:rPr>
                <w:i/>
              </w:rPr>
              <w:t>CD20 positive, diffuse large B-cell non-Hodgkin’s lymphoma, in</w:t>
            </w:r>
            <w:r w:rsidR="00631EDF">
              <w:rPr>
                <w:i/>
              </w:rPr>
              <w:t> </w:t>
            </w:r>
            <w:r w:rsidRPr="00BD5C27">
              <w:rPr>
                <w:i/>
              </w:rPr>
              <w:t>combination with chemotherapy.</w:t>
            </w:r>
          </w:p>
          <w:p w14:paraId="611DB5E7" w14:textId="376D79F9" w:rsidR="00BD5C27" w:rsidRPr="00BD5C27" w:rsidRDefault="00BD5C27" w:rsidP="00BD5C27">
            <w:pPr>
              <w:rPr>
                <w:b/>
                <w:i/>
              </w:rPr>
            </w:pPr>
            <w:r w:rsidRPr="00BD5C27">
              <w:rPr>
                <w:b/>
                <w:i/>
              </w:rPr>
              <w:t>Chronic Lymphocytic Leukaemia</w:t>
            </w:r>
          </w:p>
          <w:p w14:paraId="4158421C" w14:textId="77777777" w:rsidR="008E7846" w:rsidRPr="00BD5C27" w:rsidRDefault="00BD5C27" w:rsidP="00BD5C27">
            <w:pPr>
              <w:rPr>
                <w:i/>
              </w:rPr>
            </w:pPr>
            <w:r w:rsidRPr="00BD5C27">
              <w:rPr>
                <w:i/>
              </w:rPr>
              <w:t>Ruxience is indicated for the treatment of patients with CD20 positive chronic lymphocytic leukaemia (CLL) in combination with chemotherapy.</w:t>
            </w:r>
          </w:p>
          <w:p w14:paraId="3512CD49" w14:textId="77777777" w:rsidR="00BD5C27" w:rsidRPr="00BD5C27" w:rsidRDefault="00BD5C27" w:rsidP="00BD5C27">
            <w:pPr>
              <w:rPr>
                <w:b/>
                <w:i/>
              </w:rPr>
            </w:pPr>
            <w:r w:rsidRPr="00BD5C27">
              <w:rPr>
                <w:b/>
                <w:i/>
              </w:rPr>
              <w:t>Rheumatoid Arthritis</w:t>
            </w:r>
          </w:p>
          <w:p w14:paraId="3AF33528" w14:textId="77777777" w:rsidR="00BD5C27" w:rsidRPr="00BD5C27" w:rsidRDefault="00BD5C27" w:rsidP="00BD5C27">
            <w:pPr>
              <w:rPr>
                <w:i/>
              </w:rPr>
            </w:pPr>
            <w:r w:rsidRPr="00BD5C27">
              <w:rPr>
                <w:i/>
              </w:rPr>
              <w:t>Ruxience in combination with methotrexate is indicated for the treatment of adult patients with severe, active rheumatoid arthritis who have had an inadequate response or intolerance to at least one tumour necrosis factor (TNF) inhibitor therapy.</w:t>
            </w:r>
          </w:p>
          <w:p w14:paraId="3F0F1791" w14:textId="77777777" w:rsidR="00BD5C27" w:rsidRPr="00BD5C27" w:rsidRDefault="00BD5C27" w:rsidP="00BD5C27">
            <w:pPr>
              <w:rPr>
                <w:i/>
              </w:rPr>
            </w:pPr>
            <w:r w:rsidRPr="00BD5C27">
              <w:rPr>
                <w:i/>
              </w:rPr>
              <w:t>Ruxience has been shown to reduce the rate of progression of joint damage as measured by x-ray when given in combination with methotrexate.</w:t>
            </w:r>
          </w:p>
          <w:p w14:paraId="7A5A2BF4" w14:textId="77777777" w:rsidR="00BD5C27" w:rsidRPr="00BD5C27" w:rsidRDefault="00BD5C27" w:rsidP="00BD5C27">
            <w:pPr>
              <w:rPr>
                <w:b/>
                <w:i/>
              </w:rPr>
            </w:pPr>
            <w:r w:rsidRPr="00BD5C27">
              <w:rPr>
                <w:b/>
                <w:i/>
              </w:rPr>
              <w:t>Granulomatosis with polyangiitis (Wegener’s) (GPA) and Microscopic polyangiitis (MPA)</w:t>
            </w:r>
          </w:p>
          <w:p w14:paraId="78FCAE2D" w14:textId="77777777" w:rsidR="00BD5C27" w:rsidRPr="00BD5C27" w:rsidRDefault="00BD5C27" w:rsidP="00073575">
            <w:pPr>
              <w:rPr>
                <w:i/>
              </w:rPr>
            </w:pPr>
            <w:r w:rsidRPr="00BD5C27">
              <w:rPr>
                <w:i/>
              </w:rPr>
              <w:t>Ruxience in combination with glucocorticoids is indicated for the induction of remission in patients with severely active Granulomatosis with polyangiitis (GPA, also known as Wegener’s granulomatosis) and Microscopic polyangiitis (MPA). The efficacy and safety of retreatment with R</w:t>
            </w:r>
            <w:r w:rsidR="00073575">
              <w:rPr>
                <w:i/>
              </w:rPr>
              <w:t>uxience</w:t>
            </w:r>
            <w:r w:rsidRPr="00BD5C27">
              <w:rPr>
                <w:i/>
              </w:rPr>
              <w:t xml:space="preserve"> have not been established.</w:t>
            </w:r>
          </w:p>
        </w:tc>
      </w:tr>
      <w:tr w:rsidR="008E7846" w:rsidRPr="00487162" w14:paraId="0B88EF6D" w14:textId="77777777" w:rsidTr="00BF1190">
        <w:tc>
          <w:tcPr>
            <w:tcW w:w="2907" w:type="dxa"/>
          </w:tcPr>
          <w:p w14:paraId="1966B9C9" w14:textId="77777777" w:rsidR="008E7846" w:rsidRPr="00487162" w:rsidRDefault="00423CF5" w:rsidP="00E45619">
            <w:pPr>
              <w:rPr>
                <w:i/>
              </w:rPr>
            </w:pPr>
            <w:r>
              <w:rPr>
                <w:i/>
              </w:rPr>
              <w:t>Route</w:t>
            </w:r>
            <w:r w:rsidR="008E7846" w:rsidRPr="00487162">
              <w:rPr>
                <w:i/>
              </w:rPr>
              <w:t xml:space="preserve"> of administration:</w:t>
            </w:r>
          </w:p>
        </w:tc>
        <w:tc>
          <w:tcPr>
            <w:tcW w:w="6307" w:type="dxa"/>
          </w:tcPr>
          <w:p w14:paraId="7B83C75D" w14:textId="77777777" w:rsidR="008E7846" w:rsidRPr="00487162" w:rsidRDefault="00BD5C27" w:rsidP="00E45619">
            <w:r>
              <w:t>Intravenous</w:t>
            </w:r>
            <w:r w:rsidR="00073575">
              <w:t xml:space="preserve"> (IV)</w:t>
            </w:r>
            <w:r>
              <w:t xml:space="preserve"> infusion</w:t>
            </w:r>
          </w:p>
        </w:tc>
      </w:tr>
      <w:tr w:rsidR="008E7846" w:rsidRPr="00487162" w14:paraId="3CA6005E" w14:textId="77777777" w:rsidTr="00BF1190">
        <w:tc>
          <w:tcPr>
            <w:tcW w:w="2907" w:type="dxa"/>
          </w:tcPr>
          <w:p w14:paraId="25E98C73" w14:textId="77777777" w:rsidR="008E7846" w:rsidRPr="00487162" w:rsidRDefault="008E7846" w:rsidP="00E45619">
            <w:pPr>
              <w:rPr>
                <w:i/>
              </w:rPr>
            </w:pPr>
            <w:r w:rsidRPr="00487162">
              <w:rPr>
                <w:i/>
              </w:rPr>
              <w:t>Dosage:</w:t>
            </w:r>
          </w:p>
        </w:tc>
        <w:tc>
          <w:tcPr>
            <w:tcW w:w="6307" w:type="dxa"/>
          </w:tcPr>
          <w:p w14:paraId="25D51865" w14:textId="77777777" w:rsidR="00BD5C27" w:rsidRDefault="00BD5C27" w:rsidP="00BD5C27">
            <w:r>
              <w:t>In order to improve traceability of biological medicinal products, the trade name and the batch number of the administered product should be clearly recorded in the patient dispensing record.</w:t>
            </w:r>
          </w:p>
          <w:p w14:paraId="60115D15" w14:textId="77777777" w:rsidR="00BD5C27" w:rsidRDefault="00BD5C27" w:rsidP="00BD5C27">
            <w:r w:rsidRPr="00BD5C27">
              <w:t>Ruxience</w:t>
            </w:r>
            <w:r>
              <w:t xml:space="preserve"> intravenous formulation is not intended for subcutaneous (SC) administration.</w:t>
            </w:r>
          </w:p>
          <w:p w14:paraId="17C2EAB2" w14:textId="77777777" w:rsidR="008E7846" w:rsidRDefault="00BD5C27" w:rsidP="00BD5C27">
            <w:r w:rsidRPr="00BD5C27">
              <w:t>Ruxience</w:t>
            </w:r>
            <w:r>
              <w:t xml:space="preserve"> may be administered in an outpatient setting. </w:t>
            </w:r>
            <w:r w:rsidRPr="00BD5C27">
              <w:t>Ruxience</w:t>
            </w:r>
            <w:r w:rsidR="00EF36B5">
              <w:t xml:space="preserve"> should be administered </w:t>
            </w:r>
            <w:r>
              <w:t>as an intravenous infusion in an environment where full resuscita</w:t>
            </w:r>
            <w:r w:rsidR="00EF36B5">
              <w:t xml:space="preserve">tion facilities are immediately </w:t>
            </w:r>
            <w:r>
              <w:t>available, and under the close supervision of an experienced healthcare professional</w:t>
            </w:r>
            <w:r w:rsidR="00EF36B5">
              <w:t>.</w:t>
            </w:r>
          </w:p>
          <w:p w14:paraId="04F04B5F" w14:textId="77777777" w:rsidR="00460036" w:rsidRPr="00487162" w:rsidRDefault="00EF36B5" w:rsidP="00E45619">
            <w:r>
              <w:t xml:space="preserve">Dosage of Ruxience depends on multiple factors, including the condition being treated. </w:t>
            </w:r>
            <w:r w:rsidR="00460036" w:rsidRPr="00460036">
              <w:t>For further information regarding dosage, refer to the Product Information.</w:t>
            </w:r>
          </w:p>
        </w:tc>
      </w:tr>
      <w:tr w:rsidR="00460036" w:rsidRPr="00487162" w14:paraId="0000B01C" w14:textId="77777777" w:rsidTr="00BF1190">
        <w:tc>
          <w:tcPr>
            <w:tcW w:w="2907" w:type="dxa"/>
          </w:tcPr>
          <w:p w14:paraId="1EF832DD" w14:textId="77777777" w:rsidR="00460036" w:rsidRPr="00487162" w:rsidRDefault="00460036" w:rsidP="00E45619">
            <w:pPr>
              <w:rPr>
                <w:i/>
              </w:rPr>
            </w:pPr>
            <w:r w:rsidRPr="00460036">
              <w:rPr>
                <w:i/>
              </w:rPr>
              <w:t>Pregnancy category</w:t>
            </w:r>
            <w:r>
              <w:rPr>
                <w:i/>
              </w:rPr>
              <w:t>:</w:t>
            </w:r>
          </w:p>
        </w:tc>
        <w:tc>
          <w:tcPr>
            <w:tcW w:w="6307" w:type="dxa"/>
          </w:tcPr>
          <w:p w14:paraId="37AAF844" w14:textId="77777777" w:rsidR="00460036" w:rsidRDefault="003F3622" w:rsidP="00460036">
            <w:pPr>
              <w:pStyle w:val="Instructions"/>
              <w:rPr>
                <w:i w:val="0"/>
                <w:color w:val="auto"/>
              </w:rPr>
            </w:pPr>
            <w:r w:rsidRPr="003F3622">
              <w:rPr>
                <w:i w:val="0"/>
                <w:color w:val="auto"/>
              </w:rPr>
              <w:t>C</w:t>
            </w:r>
          </w:p>
          <w:p w14:paraId="4086F0A4" w14:textId="77777777" w:rsidR="003F3622" w:rsidRPr="003F3622" w:rsidRDefault="003F3622" w:rsidP="003F3622">
            <w:r w:rsidRPr="003F3622">
              <w:t>Drugs which, owing to their pharmacological effects, have caused or may be suspected of causing, harmful effects on the human fetus or neonate without causing malformations. These effects may be reversible. Accompanying texts should be consulted for further details.</w:t>
            </w:r>
          </w:p>
          <w:p w14:paraId="70262CDE"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321A41F" w14:textId="77777777" w:rsidR="008E7846" w:rsidRDefault="008E7846" w:rsidP="008E7846">
      <w:pPr>
        <w:pStyle w:val="Heading3"/>
      </w:pPr>
      <w:bookmarkStart w:id="13" w:name="_Toc247691503"/>
      <w:bookmarkStart w:id="14" w:name="_Toc314842484"/>
      <w:bookmarkStart w:id="15" w:name="_Toc71098524"/>
      <w:r>
        <w:t>Product background</w:t>
      </w:r>
      <w:bookmarkEnd w:id="13"/>
      <w:bookmarkEnd w:id="14"/>
      <w:bookmarkEnd w:id="15"/>
    </w:p>
    <w:p w14:paraId="2742BAE1" w14:textId="59BD6AA1" w:rsidR="008E7846" w:rsidRDefault="00250271" w:rsidP="00940A89">
      <w:r w:rsidRPr="00250271">
        <w:t>This AusPA</w:t>
      </w:r>
      <w:r w:rsidR="003F3622">
        <w:t>R describes the application by Pfizer Australia Pty Ltd</w:t>
      </w:r>
      <w:r w:rsidRPr="00250271">
        <w:t xml:space="preserve"> (the sponsor) to register </w:t>
      </w:r>
      <w:r w:rsidR="003F3622">
        <w:t>Ruxience</w:t>
      </w:r>
      <w:r w:rsidRPr="00250271">
        <w:t xml:space="preserve"> (</w:t>
      </w:r>
      <w:r w:rsidR="003F3622">
        <w:t xml:space="preserve">rituximab) 100 mg/10 mL, 500 mg/50 mL, concentrate for solution for </w:t>
      </w:r>
      <w:r w:rsidR="00373C5D">
        <w:t xml:space="preserve">injection </w:t>
      </w:r>
      <w:r w:rsidR="00073575">
        <w:t xml:space="preserve">vial </w:t>
      </w:r>
      <w:r w:rsidRPr="00250271">
        <w:t xml:space="preserve">for the </w:t>
      </w:r>
      <w:r w:rsidR="003F3622">
        <w:t>following proposed indication:</w:t>
      </w:r>
    </w:p>
    <w:p w14:paraId="4F46B0C6" w14:textId="77777777" w:rsidR="003F3622" w:rsidRPr="003F3622" w:rsidRDefault="003F3622" w:rsidP="003F3622">
      <w:pPr>
        <w:ind w:left="720"/>
        <w:rPr>
          <w:b/>
          <w:i/>
        </w:rPr>
      </w:pPr>
      <w:r w:rsidRPr="003F3622">
        <w:rPr>
          <w:b/>
          <w:i/>
        </w:rPr>
        <w:t>Non-Hodgkin’s Lymphoma</w:t>
      </w:r>
    </w:p>
    <w:p w14:paraId="4BC26E68" w14:textId="77777777" w:rsidR="003F3622" w:rsidRPr="003F3622" w:rsidRDefault="003F3622" w:rsidP="003F3622">
      <w:pPr>
        <w:ind w:left="720"/>
        <w:rPr>
          <w:i/>
        </w:rPr>
      </w:pPr>
      <w:r w:rsidRPr="003F3622">
        <w:rPr>
          <w:i/>
        </w:rPr>
        <w:t>Ruxience is indicated for treatment of patients with:</w:t>
      </w:r>
    </w:p>
    <w:p w14:paraId="34B8E39A" w14:textId="77777777" w:rsidR="003F3622" w:rsidRPr="003F3622" w:rsidRDefault="003F3622" w:rsidP="003F3622">
      <w:pPr>
        <w:pStyle w:val="ListBullet"/>
        <w:ind w:left="1080"/>
        <w:rPr>
          <w:i/>
        </w:rPr>
      </w:pPr>
      <w:r w:rsidRPr="003F3622">
        <w:rPr>
          <w:i/>
        </w:rPr>
        <w:t>CD20 positive, previously untreated, Stage III/IV follicular, B-cell non-Hodgkin’s lymphoma,</w:t>
      </w:r>
    </w:p>
    <w:p w14:paraId="4F5A44A5" w14:textId="77777777" w:rsidR="003F3622" w:rsidRPr="003F3622" w:rsidRDefault="003F3622" w:rsidP="003F3622">
      <w:pPr>
        <w:pStyle w:val="ListBullet"/>
        <w:ind w:left="1080"/>
        <w:rPr>
          <w:i/>
        </w:rPr>
      </w:pPr>
      <w:r w:rsidRPr="003F3622">
        <w:rPr>
          <w:i/>
        </w:rPr>
        <w:t>CD20 positive, relapsed or refractory low grade or follicular, B-cell non-Hodgkin's lymphoma,</w:t>
      </w:r>
    </w:p>
    <w:p w14:paraId="772DB793" w14:textId="77777777" w:rsidR="003F3622" w:rsidRPr="003F3622" w:rsidRDefault="003F3622" w:rsidP="003F3622">
      <w:pPr>
        <w:pStyle w:val="ListBullet"/>
        <w:ind w:left="1080"/>
        <w:rPr>
          <w:i/>
        </w:rPr>
      </w:pPr>
      <w:r w:rsidRPr="003F3622">
        <w:rPr>
          <w:i/>
        </w:rPr>
        <w:t>CD20 positive, diffuse large B-cell non-Hodgkin’s lymphoma, in combination with chemotherapy.</w:t>
      </w:r>
    </w:p>
    <w:p w14:paraId="73C31A95" w14:textId="77777777" w:rsidR="003F3622" w:rsidRPr="003F3622" w:rsidRDefault="003F3622" w:rsidP="003F3622">
      <w:pPr>
        <w:ind w:left="720"/>
        <w:rPr>
          <w:b/>
          <w:i/>
        </w:rPr>
      </w:pPr>
      <w:r w:rsidRPr="003F3622">
        <w:rPr>
          <w:b/>
          <w:i/>
        </w:rPr>
        <w:t>Chronic Lymphocytic Leukaemia</w:t>
      </w:r>
    </w:p>
    <w:p w14:paraId="2D69ED44" w14:textId="77777777" w:rsidR="003F3622" w:rsidRPr="003F3622" w:rsidRDefault="003F3622" w:rsidP="003F3622">
      <w:pPr>
        <w:ind w:left="720"/>
        <w:rPr>
          <w:i/>
        </w:rPr>
      </w:pPr>
      <w:r w:rsidRPr="003F3622">
        <w:rPr>
          <w:i/>
        </w:rPr>
        <w:t>Ruxience is indicated for the treatment of patients with CD20 positive chronic lymphocytic leukaemia (CLL) in combination with chemotherapy.</w:t>
      </w:r>
    </w:p>
    <w:p w14:paraId="41D1CF3F" w14:textId="77777777" w:rsidR="003F3622" w:rsidRPr="003F3622" w:rsidRDefault="003F3622" w:rsidP="003F3622">
      <w:pPr>
        <w:ind w:left="720"/>
        <w:rPr>
          <w:b/>
          <w:i/>
        </w:rPr>
      </w:pPr>
      <w:r w:rsidRPr="003F3622">
        <w:rPr>
          <w:b/>
          <w:i/>
        </w:rPr>
        <w:t>Rheumatoid Arthritis</w:t>
      </w:r>
    </w:p>
    <w:p w14:paraId="79F64C78" w14:textId="77777777" w:rsidR="003F3622" w:rsidRPr="003F3622" w:rsidRDefault="003F3622" w:rsidP="003F3622">
      <w:pPr>
        <w:ind w:left="720"/>
        <w:rPr>
          <w:i/>
        </w:rPr>
      </w:pPr>
      <w:r w:rsidRPr="003F3622">
        <w:rPr>
          <w:i/>
        </w:rPr>
        <w:t>Ruxience in combination with methotrexate is indicated for the treatment of adult patients with severe, active rheumatoid arthritis who have had an inadequate response or intolerance to at least one tumour necrosis factor (TNF) inhibitor therapy.</w:t>
      </w:r>
    </w:p>
    <w:p w14:paraId="3704F2BF" w14:textId="77777777" w:rsidR="003F3622" w:rsidRPr="003F3622" w:rsidRDefault="003F3622" w:rsidP="003F3622">
      <w:pPr>
        <w:ind w:left="720"/>
        <w:rPr>
          <w:i/>
        </w:rPr>
      </w:pPr>
      <w:r w:rsidRPr="003F3622">
        <w:rPr>
          <w:i/>
        </w:rPr>
        <w:t>Ruxience has been shown to reduce the rate of progression of joint damage as measured by X-ray when given in combination with methotrexate.</w:t>
      </w:r>
    </w:p>
    <w:p w14:paraId="147BE7FF" w14:textId="77777777" w:rsidR="003F3622" w:rsidRPr="003F3622" w:rsidRDefault="003F3622" w:rsidP="003F3622">
      <w:pPr>
        <w:ind w:left="720"/>
        <w:rPr>
          <w:b/>
          <w:i/>
        </w:rPr>
      </w:pPr>
      <w:r w:rsidRPr="003F3622">
        <w:rPr>
          <w:b/>
          <w:i/>
        </w:rPr>
        <w:t>Granulomatosis with polyangiitis (Wegener’s) (GPA) and Microscopic polyangiitis (MPA)</w:t>
      </w:r>
    </w:p>
    <w:p w14:paraId="1A4E6AE6" w14:textId="77777777" w:rsidR="003F3622" w:rsidRPr="003F3622" w:rsidRDefault="003F3622" w:rsidP="003F3622">
      <w:pPr>
        <w:ind w:left="720"/>
        <w:rPr>
          <w:i/>
        </w:rPr>
      </w:pPr>
      <w:r w:rsidRPr="003F3622">
        <w:rPr>
          <w:i/>
        </w:rPr>
        <w:t>Ruxience in combination with glucocorticoids is indicated for the induction of remission in patients with severely active Granulomatosis with polyangiitis (GPA, also known as Wegener’s granulomatosis) and Microscopic polyangiitis (MPA). The efficacy and safety of retreatment with Ruxience have not been established.</w:t>
      </w:r>
    </w:p>
    <w:p w14:paraId="0739A73E" w14:textId="737D6F7F" w:rsidR="004D4E5F" w:rsidRDefault="004D4E5F" w:rsidP="004D4E5F">
      <w:pPr>
        <w:rPr>
          <w:lang w:eastAsia="ja-JP"/>
        </w:rPr>
      </w:pPr>
      <w:r>
        <w:t>Ruxience (</w:t>
      </w:r>
      <w:r>
        <w:rPr>
          <w:lang w:eastAsia="ja-JP"/>
        </w:rPr>
        <w:t>rituximab)</w:t>
      </w:r>
      <w:r>
        <w:t xml:space="preserve"> </w:t>
      </w:r>
      <w:r w:rsidRPr="003A46CD">
        <w:t>is a monoclonal biosimilar antibody of MabThera</w:t>
      </w:r>
      <w:r>
        <w:t xml:space="preserve"> (</w:t>
      </w:r>
      <w:r>
        <w:rPr>
          <w:lang w:eastAsia="ja-JP"/>
        </w:rPr>
        <w:t xml:space="preserve">rituximab). Rituximab is a genetically engineered chimeric mouse/human monoclonal </w:t>
      </w:r>
      <w:r w:rsidR="00A8397C">
        <w:rPr>
          <w:lang w:eastAsia="ja-JP"/>
        </w:rPr>
        <w:t>immunoglobulin G kappa (</w:t>
      </w:r>
      <w:r>
        <w:rPr>
          <w:lang w:eastAsia="ja-JP"/>
        </w:rPr>
        <w:t>IgG</w:t>
      </w:r>
      <w:r w:rsidR="00A8397C">
        <w:rPr>
          <w:lang w:eastAsia="ja-JP"/>
        </w:rPr>
        <w:t>κ)</w:t>
      </w:r>
      <w:r>
        <w:rPr>
          <w:lang w:eastAsia="ja-JP"/>
        </w:rPr>
        <w:t xml:space="preserve"> antibody targeting the transmembrane CD20 antigen. CD20 is a 32-kDa, non-glycosylated transmembrane phosphoprotein, located on the surface of normal precursor B cells, mature B lymphocytes and malignant B cells. The antigen is expressed on &gt; 95% of all B cell non-Hodgkin’s lymphomas. It is found on both normal and malignant B cells, but not on h</w:t>
      </w:r>
      <w:r w:rsidR="00A8397C">
        <w:rPr>
          <w:lang w:eastAsia="ja-JP"/>
        </w:rPr>
        <w:t>a</w:t>
      </w:r>
      <w:r>
        <w:rPr>
          <w:lang w:eastAsia="ja-JP"/>
        </w:rPr>
        <w:t>ematopoietic stem cells, progenitor B</w:t>
      </w:r>
      <w:r w:rsidR="00A8397C">
        <w:rPr>
          <w:lang w:eastAsia="ja-JP"/>
        </w:rPr>
        <w:t> </w:t>
      </w:r>
      <w:r>
        <w:rPr>
          <w:lang w:eastAsia="ja-JP"/>
        </w:rPr>
        <w:t xml:space="preserve">cells, normal plasma cells or other normal </w:t>
      </w:r>
      <w:r w:rsidR="0057261A">
        <w:rPr>
          <w:lang w:eastAsia="ja-JP"/>
        </w:rPr>
        <w:t>tissue. CD20 does not internalis</w:t>
      </w:r>
      <w:r>
        <w:rPr>
          <w:lang w:eastAsia="ja-JP"/>
        </w:rPr>
        <w:t>e upon antibody binding and is not shed from the cell surface. CD20 does not circulate in the plasma as a free antigen and, thus, does not compete for antibody binding. The natural ligand for CD20 has not been identified, and the biological function of CD20 remains unclear. Rituximab binds to a discontinuous conformational epitope on CD20. Upon binding, rituximab initiates multiple immune effector functions leading to target cell lysis.</w:t>
      </w:r>
    </w:p>
    <w:p w14:paraId="0E72B09E" w14:textId="0AC73AC5" w:rsidR="004D4E5F" w:rsidRDefault="004D4E5F" w:rsidP="004D4E5F">
      <w:pPr>
        <w:rPr>
          <w:lang w:eastAsia="ja-JP"/>
        </w:rPr>
      </w:pPr>
      <w:r w:rsidRPr="00757FE3">
        <w:rPr>
          <w:lang w:eastAsia="ja-JP"/>
        </w:rPr>
        <w:t xml:space="preserve">The currently approved indications for licensed rituximab (MabThera) are for </w:t>
      </w:r>
      <w:r>
        <w:t>rheumatoid a</w:t>
      </w:r>
      <w:r w:rsidRPr="00757FE3">
        <w:t>rthritis</w:t>
      </w:r>
      <w:r w:rsidRPr="00757FE3">
        <w:rPr>
          <w:lang w:eastAsia="ja-JP"/>
        </w:rPr>
        <w:t xml:space="preserve"> </w:t>
      </w:r>
      <w:r>
        <w:rPr>
          <w:lang w:eastAsia="ja-JP"/>
        </w:rPr>
        <w:t>(</w:t>
      </w:r>
      <w:r w:rsidRPr="00757FE3">
        <w:rPr>
          <w:lang w:eastAsia="ja-JP"/>
        </w:rPr>
        <w:t>RA</w:t>
      </w:r>
      <w:r>
        <w:rPr>
          <w:lang w:eastAsia="ja-JP"/>
        </w:rPr>
        <w:t>)</w:t>
      </w:r>
      <w:r w:rsidRPr="00757FE3">
        <w:rPr>
          <w:lang w:eastAsia="ja-JP"/>
        </w:rPr>
        <w:t xml:space="preserve">, </w:t>
      </w:r>
      <w:r w:rsidR="00A8397C">
        <w:t>n</w:t>
      </w:r>
      <w:r w:rsidRPr="00751AC2">
        <w:t xml:space="preserve">on-Hodgkin’s </w:t>
      </w:r>
      <w:r w:rsidR="00A8397C">
        <w:t>l</w:t>
      </w:r>
      <w:r w:rsidRPr="00751AC2">
        <w:t>ymphoma</w:t>
      </w:r>
      <w:r w:rsidRPr="00757FE3">
        <w:rPr>
          <w:lang w:eastAsia="ja-JP"/>
        </w:rPr>
        <w:t xml:space="preserve"> </w:t>
      </w:r>
      <w:r>
        <w:rPr>
          <w:lang w:eastAsia="ja-JP"/>
        </w:rPr>
        <w:t>(</w:t>
      </w:r>
      <w:r w:rsidRPr="00757FE3">
        <w:rPr>
          <w:lang w:eastAsia="ja-JP"/>
        </w:rPr>
        <w:t>NHL</w:t>
      </w:r>
      <w:r>
        <w:rPr>
          <w:lang w:eastAsia="ja-JP"/>
        </w:rPr>
        <w:t>)</w:t>
      </w:r>
      <w:r w:rsidRPr="00757FE3">
        <w:rPr>
          <w:lang w:eastAsia="ja-JP"/>
        </w:rPr>
        <w:t xml:space="preserve">, </w:t>
      </w:r>
      <w:r w:rsidR="00A8397C">
        <w:t>c</w:t>
      </w:r>
      <w:r w:rsidRPr="00751AC2">
        <w:t>hronic lymphocytic leukaemia</w:t>
      </w:r>
      <w:r w:rsidRPr="00757FE3">
        <w:rPr>
          <w:lang w:eastAsia="ja-JP"/>
        </w:rPr>
        <w:t xml:space="preserve"> </w:t>
      </w:r>
      <w:r>
        <w:rPr>
          <w:lang w:eastAsia="ja-JP"/>
        </w:rPr>
        <w:t>(</w:t>
      </w:r>
      <w:r w:rsidRPr="00757FE3">
        <w:rPr>
          <w:lang w:eastAsia="ja-JP"/>
        </w:rPr>
        <w:t>CLL</w:t>
      </w:r>
      <w:r>
        <w:rPr>
          <w:lang w:eastAsia="ja-JP"/>
        </w:rPr>
        <w:t>)</w:t>
      </w:r>
      <w:r w:rsidRPr="00757FE3">
        <w:rPr>
          <w:lang w:eastAsia="ja-JP"/>
        </w:rPr>
        <w:t xml:space="preserve">, </w:t>
      </w:r>
      <w:r>
        <w:t>g</w:t>
      </w:r>
      <w:r w:rsidRPr="00751AC2">
        <w:t>ranulomatosis with polyangiitis</w:t>
      </w:r>
      <w:r w:rsidRPr="00757FE3">
        <w:rPr>
          <w:lang w:eastAsia="ja-JP"/>
        </w:rPr>
        <w:t xml:space="preserve"> </w:t>
      </w:r>
      <w:r>
        <w:rPr>
          <w:lang w:eastAsia="ja-JP"/>
        </w:rPr>
        <w:t>(</w:t>
      </w:r>
      <w:r w:rsidRPr="00757FE3">
        <w:rPr>
          <w:lang w:eastAsia="ja-JP"/>
        </w:rPr>
        <w:t>GPA</w:t>
      </w:r>
      <w:r>
        <w:rPr>
          <w:lang w:eastAsia="ja-JP"/>
        </w:rPr>
        <w:t>)</w:t>
      </w:r>
      <w:r w:rsidRPr="00757FE3">
        <w:rPr>
          <w:lang w:eastAsia="ja-JP"/>
        </w:rPr>
        <w:t xml:space="preserve"> and </w:t>
      </w:r>
      <w:r>
        <w:t>m</w:t>
      </w:r>
      <w:r w:rsidRPr="00751AC2">
        <w:t>icroscopic polyangiitis</w:t>
      </w:r>
      <w:r w:rsidRPr="00757FE3">
        <w:rPr>
          <w:lang w:eastAsia="ja-JP"/>
        </w:rPr>
        <w:t xml:space="preserve"> </w:t>
      </w:r>
      <w:r>
        <w:rPr>
          <w:lang w:eastAsia="ja-JP"/>
        </w:rPr>
        <w:t>(</w:t>
      </w:r>
      <w:r w:rsidRPr="00757FE3">
        <w:rPr>
          <w:lang w:eastAsia="ja-JP"/>
        </w:rPr>
        <w:t>MPA</w:t>
      </w:r>
      <w:r>
        <w:rPr>
          <w:lang w:eastAsia="ja-JP"/>
        </w:rPr>
        <w:t>)</w:t>
      </w:r>
      <w:r w:rsidRPr="00757FE3">
        <w:rPr>
          <w:lang w:eastAsia="ja-JP"/>
        </w:rPr>
        <w:t>. The mechanism of action of rituximab in NHL, CLL, RA, GPA, and MPA is the result of specific binding to the transmembrane CD20 antigen.</w:t>
      </w:r>
    </w:p>
    <w:p w14:paraId="750093F0" w14:textId="5CAEF055" w:rsidR="008510C7" w:rsidRPr="008510C7" w:rsidRDefault="008510C7" w:rsidP="00C2412F">
      <w:pPr>
        <w:pStyle w:val="Heading4"/>
      </w:pPr>
      <w:r>
        <w:t xml:space="preserve">Non-Hodgkin’s </w:t>
      </w:r>
      <w:r w:rsidR="00D822FE">
        <w:t>l</w:t>
      </w:r>
      <w:r>
        <w:t>ymphoma</w:t>
      </w:r>
    </w:p>
    <w:p w14:paraId="4EFB495A" w14:textId="12243416" w:rsidR="008510C7" w:rsidRDefault="008510C7" w:rsidP="008510C7">
      <w:r>
        <w:t>Lymphoma is a malignant disease of the lymphoid system, for which there are two main clinico-pathological types, Hodgkin’s disease</w:t>
      </w:r>
      <w:r w:rsidR="00D822FE">
        <w:t xml:space="preserve"> (also known as Hodgkin’s lymphoma)</w:t>
      </w:r>
      <w:r>
        <w:t xml:space="preserve"> and </w:t>
      </w:r>
      <w:r w:rsidR="00D822FE">
        <w:t>non-Hodgkin’s lymphoma (N</w:t>
      </w:r>
      <w:r w:rsidR="00816B57">
        <w:t>HL</w:t>
      </w:r>
      <w:r w:rsidR="00D822FE">
        <w:t>)</w:t>
      </w:r>
      <w:r w:rsidRPr="008510C7">
        <w:t>.</w:t>
      </w:r>
      <w:r>
        <w:t xml:space="preserve"> Depending on where it is located in the body NHL can cause different symptoms, but frequent symptoms include painless lymph node enlargement, weight loss and fever with or without infection, pruritus, splenomegaly and fatigue. The overall incidence of NHL in Australia is 22 cases per 100,000 persons (which is higher in males versus females, 26 versus 18 cases per 100,000, respectively). </w:t>
      </w:r>
      <w:r w:rsidR="00D822FE">
        <w:t>NHL</w:t>
      </w:r>
      <w:r>
        <w:t xml:space="preserve"> can be classified into indolent (low grade), aggressive (intermediate grade) and very aggressive (high grade) subtypes. Approximately 40% of new cases of indolent lymphoma are follicular lymphoma, which is the second most common type of NHL worldwide accounting for 20-25% of all cases. The majority of patients with follicular lymphoma have advanced disease (</w:t>
      </w:r>
      <w:r w:rsidRPr="00643740">
        <w:t>Ann Arbor stage III or IV</w:t>
      </w:r>
      <w:r>
        <w:t>)</w:t>
      </w:r>
      <w:r w:rsidR="00643740">
        <w:rPr>
          <w:rStyle w:val="FootnoteReference"/>
        </w:rPr>
        <w:footnoteReference w:id="2"/>
      </w:r>
      <w:r>
        <w:t xml:space="preserve"> and 50% have bone marrow involvement at diagnosis.</w:t>
      </w:r>
    </w:p>
    <w:p w14:paraId="51366F8E" w14:textId="4E5D2048" w:rsidR="008510C7" w:rsidRDefault="00757FE3" w:rsidP="008510C7">
      <w:r w:rsidRPr="00757FE3">
        <w:t xml:space="preserve">Treatment for NHL depends on the subtype of lymphoma, stage of disease and the expected rate of disease progression. Current treatment options for NHL in Australia include chemotherapy and radiotherapy, alone or in combination. Alkylator based combination chemotherapy with cyclophosphamide has been the standard first line treatment option for patients with advanced indolent lymphoma for 20 years, but in the last 10 years there is published evidence showing improved overall survival (OS) rates with the addition of </w:t>
      </w:r>
      <w:r w:rsidR="00D822FE">
        <w:t>rituximab</w:t>
      </w:r>
      <w:r w:rsidR="00D822FE" w:rsidRPr="00757FE3">
        <w:t xml:space="preserve"> </w:t>
      </w:r>
      <w:r w:rsidRPr="00757FE3">
        <w:t>to combination chemotherapy with cyclophosphamide, vincristine and prednisone (CVP) versus CVP alone (4 year OS of 83% versus 77</w:t>
      </w:r>
      <w:r w:rsidR="00643740">
        <w:t>%</w:t>
      </w:r>
      <w:r w:rsidRPr="00643740">
        <w:t>).</w:t>
      </w:r>
      <w:r w:rsidR="00643740">
        <w:rPr>
          <w:rStyle w:val="FootnoteReference"/>
        </w:rPr>
        <w:footnoteReference w:id="3"/>
      </w:r>
      <w:r w:rsidRPr="00757FE3">
        <w:t xml:space="preserve"> Moreover, the introduction of </w:t>
      </w:r>
      <w:r w:rsidR="00EA5B6B">
        <w:t xml:space="preserve">rituximab </w:t>
      </w:r>
      <w:r w:rsidRPr="00757FE3">
        <w:t xml:space="preserve">maintenance treatment after successful induction treatment with chemotherapy has increased progression free survival rates. Therefore, at present, the recommended treatment for advanced follicular lymphoma involves the use of </w:t>
      </w:r>
      <w:r w:rsidR="00D822FE">
        <w:t>rituximab</w:t>
      </w:r>
      <w:r w:rsidR="00D822FE" w:rsidRPr="00757FE3">
        <w:t xml:space="preserve"> </w:t>
      </w:r>
      <w:r w:rsidRPr="00757FE3">
        <w:t xml:space="preserve">in combination with chemotherapy for induction treatment followed by </w:t>
      </w:r>
      <w:r w:rsidR="00D822FE">
        <w:t>rituximab</w:t>
      </w:r>
      <w:r w:rsidR="00D822FE" w:rsidRPr="00757FE3">
        <w:t xml:space="preserve"> </w:t>
      </w:r>
      <w:r w:rsidRPr="00757FE3">
        <w:t>maintenance therapy.</w:t>
      </w:r>
    </w:p>
    <w:p w14:paraId="69A702F8" w14:textId="03D85859" w:rsidR="008510C7" w:rsidRPr="008510C7" w:rsidRDefault="008510C7" w:rsidP="00C2412F">
      <w:pPr>
        <w:pStyle w:val="Heading4"/>
      </w:pPr>
      <w:r w:rsidRPr="008510C7">
        <w:t xml:space="preserve">Chronic </w:t>
      </w:r>
      <w:r w:rsidR="00D822FE">
        <w:t>l</w:t>
      </w:r>
      <w:r w:rsidRPr="008510C7">
        <w:t xml:space="preserve">ymphocytic </w:t>
      </w:r>
      <w:r w:rsidR="00D822FE">
        <w:t>l</w:t>
      </w:r>
      <w:r w:rsidRPr="008510C7">
        <w:t>eukaemia</w:t>
      </w:r>
    </w:p>
    <w:p w14:paraId="15C526A8" w14:textId="29BB6892" w:rsidR="008510C7" w:rsidRDefault="008510C7" w:rsidP="008510C7">
      <w:r>
        <w:t>Chronic lymphocytic l</w:t>
      </w:r>
      <w:r w:rsidRPr="008510C7">
        <w:t>eukaemia</w:t>
      </w:r>
      <w:r w:rsidR="00D822FE">
        <w:t xml:space="preserve"> (CLL)</w:t>
      </w:r>
      <w:r>
        <w:t xml:space="preserve"> is a neoplasm of activated B lymphocytes, which morphologically resemble mature, small lymphocytes of the peripheral blood, accumulate in the bone marrow, blood, lymph nodes and spleen in large numbers. Onset is frequently insidious, and it is not unusual for CLL to be discovered incidentally after a blood cell count is performed for another reason (25 to 50% of patients will be asymptomatic at presentation). Enlarged lymph nodes are the most common presenting symptom, seen in 87% of patients symptomatic at time of diagnosis. Transformation of CLL into an aggressive large B cell lymphoma is seen in approximately 3 to10% of cases. The incidence of CLL increases with age (usually seen after 50 years of age) and the mean age at diagnosis </w:t>
      </w:r>
      <w:r w:rsidR="00757FE3">
        <w:t>is 70 years</w:t>
      </w:r>
      <w:r>
        <w:t>.</w:t>
      </w:r>
    </w:p>
    <w:p w14:paraId="100A3751" w14:textId="6615EEA0" w:rsidR="00EA5B6B" w:rsidRDefault="00EA5B6B" w:rsidP="008510C7">
      <w:r w:rsidRPr="00EA5B6B">
        <w:t>Treatment for CLL depends on the stage of disease and the expected rate of disease progression. Current treatment options for CLL in Australia include chemotherapy with fludarabine and alkylating agents such as cyclophosphamide. Glucocorticoids are also useful in certain circumstances such as in the treatment of associated Coombs</w:t>
      </w:r>
      <w:r w:rsidR="00643740">
        <w:t xml:space="preserve"> test;</w:t>
      </w:r>
      <w:r w:rsidR="00643740">
        <w:rPr>
          <w:rStyle w:val="FootnoteReference"/>
        </w:rPr>
        <w:footnoteReference w:id="4"/>
      </w:r>
      <w:r w:rsidRPr="00EA5B6B">
        <w:t xml:space="preserve"> positive haemolytic anaemia and immune thrombocytopenia. Radiotherapy may occasionally be useful in palliating localised disease or hypersplenism in the aged. Monoclonal antibodies such as </w:t>
      </w:r>
      <w:r w:rsidR="00D822FE">
        <w:t>rituximab</w:t>
      </w:r>
      <w:r w:rsidR="00D822FE" w:rsidRPr="00EA5B6B">
        <w:t xml:space="preserve"> </w:t>
      </w:r>
      <w:r w:rsidRPr="00EA5B6B">
        <w:t>may be one of the treatment options along with chemotherapy in younger patients with poor prognostic factors such as very high lymphocyte cell numbers or rapid doubling time. An autologous stem cell transplant may also be one of the treatment options in selected cases.</w:t>
      </w:r>
    </w:p>
    <w:p w14:paraId="1125E085" w14:textId="46B59BDD" w:rsidR="008510C7" w:rsidRPr="00757FE3" w:rsidRDefault="008510C7" w:rsidP="00C2412F">
      <w:pPr>
        <w:pStyle w:val="Heading4"/>
      </w:pPr>
      <w:r w:rsidRPr="00757FE3">
        <w:t xml:space="preserve">Rheumatoid </w:t>
      </w:r>
      <w:r w:rsidR="00D822FE">
        <w:t>a</w:t>
      </w:r>
      <w:r w:rsidRPr="00757FE3">
        <w:t>rthritis</w:t>
      </w:r>
    </w:p>
    <w:p w14:paraId="6FE0662B" w14:textId="75C3C69A" w:rsidR="008510C7" w:rsidRDefault="00757FE3" w:rsidP="008510C7">
      <w:r w:rsidRPr="00757FE3">
        <w:t xml:space="preserve">Rheumatoid </w:t>
      </w:r>
      <w:r w:rsidR="00D822FE">
        <w:t>a</w:t>
      </w:r>
      <w:r w:rsidRPr="00757FE3">
        <w:t>rthritis</w:t>
      </w:r>
      <w:r w:rsidR="00D822FE">
        <w:t xml:space="preserve"> (RA)</w:t>
      </w:r>
      <w:r w:rsidR="008510C7">
        <w:t xml:space="preserve"> is a chronic inflammatory autoimmune disease characterised by polyarticular inflammatory synovitis, which is associated with cartilage breakdown, bony erosion and ultimately loss of function of the affected joints. It is the second most common form of arthritis and the most common autoimmune disease in Aus</w:t>
      </w:r>
      <w:r>
        <w:t>tralia with a prevalence of 2%.</w:t>
      </w:r>
    </w:p>
    <w:p w14:paraId="47DC45CF" w14:textId="0D0F568E" w:rsidR="00EA5B6B" w:rsidRDefault="00EA5B6B" w:rsidP="008510C7">
      <w:r w:rsidRPr="00EA5B6B">
        <w:t xml:space="preserve">RA is a heterogeneous condition in terms of clinical presentation, natural history and drug responsiveness. Published evidence and current guidelines for the treatment of RA emphasise the importance of achieving clinical remission, or at least low disease activity, as both of these states are associated with a favourable long term prognosis. In addition to treating the signs and symptoms of RA, an impact on inhibiting the structural bone damage of the condition is highly desirable as this is associated with better long-term patient outcomes, particularly regarding maintenance of physical function and quality of life. Conventional synthetic </w:t>
      </w:r>
      <w:r>
        <w:t>d</w:t>
      </w:r>
      <w:r w:rsidRPr="00EA5B6B">
        <w:t>isease-modifying antirheumatic drug</w:t>
      </w:r>
      <w:r>
        <w:t xml:space="preserve"> (</w:t>
      </w:r>
      <w:r w:rsidRPr="00EA5B6B">
        <w:t>DMARD</w:t>
      </w:r>
      <w:r>
        <w:t>) (in particular, methotrexate (MTX)</w:t>
      </w:r>
      <w:r w:rsidRPr="00EA5B6B">
        <w:t>), alone or in combination with each other, are the initial recommended treatments for RA. Observational studies and meta-analyses of DMARD treatment efficacy and tolerability demonstrate highly variable outcomes to single and combination DMARD thera</w:t>
      </w:r>
      <w:r w:rsidR="004D4E5F">
        <w:t xml:space="preserve">py over time. In 10-year follow </w:t>
      </w:r>
      <w:r w:rsidRPr="00EA5B6B">
        <w:t>up studies, 25% of patients with RA had to discontinue conventional DMARD treatment due to insufficient therapeutic benefit and 20% discontinued treatment due to adverse effects. Biological DMARDs, either as add-on or single drug therapy, is the next recommended line of therapy in active RA after conventional synthetic DMARD failure or intolerability. While anti-TNF drugs and cytokine modulators such as abatacept and tocilizumab have been shown to demonstrate significant efficacy in treating active RA, a substantial proportion of patients are not achieving meaningful American College of Rheumatology (ACR) responses. Based on the current literature for biological therapies, ACR</w:t>
      </w:r>
      <w:r>
        <w:t xml:space="preserve">20 response rates range from 50 to </w:t>
      </w:r>
      <w:r w:rsidRPr="00EA5B6B">
        <w:t xml:space="preserve">65% </w:t>
      </w:r>
      <w:r>
        <w:t xml:space="preserve">and ACR50 response rates are 35 to </w:t>
      </w:r>
      <w:r w:rsidRPr="00EA5B6B">
        <w:t xml:space="preserve">50%. So despite the availability of many therapies with various modes of action for the treatment of RA, a significant proportion of individuals either fail to initially respond to treatment, do not tolerate therapy or lose response over time. </w:t>
      </w:r>
      <w:r w:rsidR="00D822FE">
        <w:t>Rituximab</w:t>
      </w:r>
      <w:r w:rsidR="00D822FE" w:rsidRPr="00EA5B6B">
        <w:t xml:space="preserve"> </w:t>
      </w:r>
      <w:r w:rsidRPr="00EA5B6B">
        <w:t>is approved in Australia and around the world for the treatment of active RA in patients who have an inadequate response to at least one anti</w:t>
      </w:r>
      <w:r w:rsidR="00D822FE">
        <w:noBreakHyphen/>
      </w:r>
      <w:r w:rsidRPr="00EA5B6B">
        <w:t>TNF therapy.</w:t>
      </w:r>
    </w:p>
    <w:p w14:paraId="1AB020F4" w14:textId="2FB8581C" w:rsidR="008510C7" w:rsidRPr="00757FE3" w:rsidRDefault="008510C7" w:rsidP="00C2412F">
      <w:pPr>
        <w:pStyle w:val="Heading4"/>
      </w:pPr>
      <w:r w:rsidRPr="00757FE3">
        <w:t>Gr</w:t>
      </w:r>
      <w:r w:rsidR="00757FE3">
        <w:t>anulomatosis with polyangiitis</w:t>
      </w:r>
      <w:r w:rsidRPr="00757FE3">
        <w:t xml:space="preserve"> an</w:t>
      </w:r>
      <w:r w:rsidR="00757FE3">
        <w:t xml:space="preserve">d </w:t>
      </w:r>
      <w:r w:rsidR="00D822FE">
        <w:t>m</w:t>
      </w:r>
      <w:r w:rsidR="00757FE3">
        <w:t>icroscopic polyangiitis</w:t>
      </w:r>
    </w:p>
    <w:p w14:paraId="5207F99D" w14:textId="358D152D" w:rsidR="008510C7" w:rsidRDefault="00757FE3" w:rsidP="008510C7">
      <w:r w:rsidRPr="00757FE3">
        <w:t>G</w:t>
      </w:r>
      <w:r w:rsidR="004D4E5F">
        <w:t>ranulomatosis with polyangiitis</w:t>
      </w:r>
      <w:r w:rsidR="008510C7">
        <w:t xml:space="preserve"> </w:t>
      </w:r>
      <w:r w:rsidR="00D822FE">
        <w:t xml:space="preserve">(GPA) </w:t>
      </w:r>
      <w:r w:rsidR="008510C7">
        <w:t>and</w:t>
      </w:r>
      <w:r w:rsidR="004D4E5F">
        <w:t xml:space="preserve"> </w:t>
      </w:r>
      <w:r w:rsidR="00D822FE">
        <w:t>microscopic polyangiitis (</w:t>
      </w:r>
      <w:r w:rsidR="004D4E5F">
        <w:t>MPA</w:t>
      </w:r>
      <w:r w:rsidR="00D822FE">
        <w:t>)</w:t>
      </w:r>
      <w:r>
        <w:t xml:space="preserve"> are types of anti-neutrophil cytoplasmic a</w:t>
      </w:r>
      <w:r w:rsidR="008510C7">
        <w:t>ntibody (A</w:t>
      </w:r>
      <w:r>
        <w:t xml:space="preserve">NCA) associated vasculitis, a </w:t>
      </w:r>
      <w:r w:rsidR="008510C7">
        <w:t>rare, multisystem, autoimmune disease characterised by small to medium sized vessel vasculitis, the production of ANCA, and a high occurrence for causing significant respiratory tract and kidney disease in its severe form.</w:t>
      </w:r>
    </w:p>
    <w:p w14:paraId="44D176FA" w14:textId="27339EFB" w:rsidR="00E26E16" w:rsidRDefault="00E26E16" w:rsidP="008510C7">
      <w:r w:rsidRPr="00E26E16">
        <w:t>Patients with GPA and MPA typically have systemic disease at presentation (few have limited disease) and receive induction treat</w:t>
      </w:r>
      <w:r w:rsidR="004D4E5F">
        <w:t xml:space="preserve">ment with high dose </w:t>
      </w:r>
      <w:r w:rsidRPr="00E26E16">
        <w:t xml:space="preserve">IV glucocorticoids together with cyclophosphamide. </w:t>
      </w:r>
      <w:r w:rsidR="00D822FE">
        <w:t>Rituximab</w:t>
      </w:r>
      <w:r w:rsidR="00D822FE" w:rsidRPr="00E26E16">
        <w:t xml:space="preserve"> </w:t>
      </w:r>
      <w:r w:rsidRPr="00E26E16">
        <w:t xml:space="preserve">is an approved alternative induction treatment for severely active GPA and MPA. However, the efficacy and safety of re-treatment with </w:t>
      </w:r>
      <w:r w:rsidR="00D822FE">
        <w:t>rituximab</w:t>
      </w:r>
      <w:r w:rsidR="00D822FE" w:rsidRPr="00E26E16">
        <w:t xml:space="preserve"> </w:t>
      </w:r>
      <w:r w:rsidRPr="00E26E16">
        <w:t>has not been established. After induction of remission treatment, patients with GPA and MPA are recommended to receive ma</w:t>
      </w:r>
      <w:r>
        <w:t>intenance therapy for at least two</w:t>
      </w:r>
      <w:r w:rsidRPr="00E26E16">
        <w:t xml:space="preserve"> years, which may include the drug options of azathioprine, MTX or mycophenolate in conjunction with low dose oral glucocorticoids.</w:t>
      </w:r>
    </w:p>
    <w:p w14:paraId="0A35F399" w14:textId="77777777" w:rsidR="008E7846" w:rsidRPr="003F31A2" w:rsidRDefault="00386150" w:rsidP="008E7846">
      <w:pPr>
        <w:pStyle w:val="Heading3"/>
      </w:pPr>
      <w:bookmarkStart w:id="16" w:name="_Toc314842485"/>
      <w:bookmarkStart w:id="17" w:name="_Toc247691504"/>
      <w:bookmarkStart w:id="18" w:name="_Toc71098525"/>
      <w:r>
        <w:t>Regulatory s</w:t>
      </w:r>
      <w:r w:rsidR="008E7846">
        <w:t>tatus</w:t>
      </w:r>
      <w:bookmarkEnd w:id="16"/>
      <w:bookmarkEnd w:id="17"/>
      <w:bookmarkEnd w:id="18"/>
    </w:p>
    <w:p w14:paraId="02CE32BA" w14:textId="64FC0805" w:rsidR="00940A89" w:rsidRDefault="00006FAB" w:rsidP="00940A89">
      <w:bookmarkStart w:id="19" w:name="_Toc247691505"/>
      <w:bookmarkStart w:id="20" w:name="_Toc314842486"/>
      <w:r w:rsidRPr="00006FAB">
        <w:t>This product is considered a new biosimilar medicine for Australian regulatory purposes.</w:t>
      </w:r>
    </w:p>
    <w:p w14:paraId="33CC887A" w14:textId="2FC83732" w:rsidR="00373C5D" w:rsidRDefault="00DC0FB6" w:rsidP="00940A89">
      <w:r>
        <w:t>Rituximab, as the originator product MabThera,</w:t>
      </w:r>
      <w:r w:rsidR="00373C5D" w:rsidRPr="00373C5D">
        <w:t xml:space="preserve"> received initial </w:t>
      </w:r>
      <w:r>
        <w:t>registration on the Australian Register of Therapeutic Goods (ARTG) on 6 October</w:t>
      </w:r>
      <w:r w:rsidR="00373C5D" w:rsidRPr="00373C5D">
        <w:t xml:space="preserve"> 1998.</w:t>
      </w:r>
    </w:p>
    <w:p w14:paraId="4A45663F" w14:textId="02A885F0" w:rsidR="00006FAB" w:rsidRDefault="00006FAB" w:rsidP="00006FAB">
      <w:r>
        <w:t>At the time the TG</w:t>
      </w:r>
      <w:r w:rsidR="00854CD9">
        <w:t>A considered this application,</w:t>
      </w:r>
      <w:r>
        <w:t xml:space="preserve"> similar</w:t>
      </w:r>
      <w:r w:rsidR="00E90AAC">
        <w:t xml:space="preserve"> application</w:t>
      </w:r>
      <w:r w:rsidR="00854CD9">
        <w:t>s</w:t>
      </w:r>
      <w:r w:rsidR="00E90AAC">
        <w:t xml:space="preserve"> had been approved</w:t>
      </w:r>
      <w:r>
        <w:t xml:space="preserve"> in</w:t>
      </w:r>
      <w:r w:rsidR="00E90AAC">
        <w:t xml:space="preserve"> </w:t>
      </w:r>
      <w:r w:rsidR="00A66FFB">
        <w:t xml:space="preserve">the </w:t>
      </w:r>
      <w:r w:rsidR="00E90AAC">
        <w:t xml:space="preserve">European Union (EU) on 1 April 2020, </w:t>
      </w:r>
      <w:r w:rsidR="00A66FFB">
        <w:t xml:space="preserve">the </w:t>
      </w:r>
      <w:r w:rsidR="00E90AAC">
        <w:t xml:space="preserve">United States of America (USA) </w:t>
      </w:r>
      <w:r w:rsidR="00E32DA0">
        <w:t xml:space="preserve">on 23 </w:t>
      </w:r>
      <w:r w:rsidR="00E90AAC">
        <w:t xml:space="preserve">July 2019, </w:t>
      </w:r>
      <w:r w:rsidR="00A66FFB">
        <w:t xml:space="preserve">in </w:t>
      </w:r>
      <w:r w:rsidR="00E90AAC">
        <w:t xml:space="preserve">Japan </w:t>
      </w:r>
      <w:r w:rsidR="00E32DA0">
        <w:t xml:space="preserve">on 20 </w:t>
      </w:r>
      <w:r w:rsidR="00E90AAC">
        <w:t xml:space="preserve">September 2019, </w:t>
      </w:r>
      <w:r w:rsidR="00A66FFB">
        <w:t xml:space="preserve">in </w:t>
      </w:r>
      <w:r w:rsidR="00E244CE">
        <w:t>Canada</w:t>
      </w:r>
      <w:r w:rsidR="00E90AAC">
        <w:t xml:space="preserve"> on 4 May 2020</w:t>
      </w:r>
      <w:r w:rsidR="00A66FFB">
        <w:t xml:space="preserve">, and in Switzerland in 4 August 2020. A similar application </w:t>
      </w:r>
      <w:r>
        <w:t>w</w:t>
      </w:r>
      <w:r w:rsidR="00A66FFB">
        <w:t>as also</w:t>
      </w:r>
      <w:r>
        <w:t xml:space="preserve"> under consideration in </w:t>
      </w:r>
      <w:r w:rsidR="00E90AAC">
        <w:t>New Zealand.</w:t>
      </w:r>
    </w:p>
    <w:p w14:paraId="2448D0E1" w14:textId="253FD0D6" w:rsidR="00324E45" w:rsidRPr="00F0146F" w:rsidRDefault="00324E45" w:rsidP="00324E45">
      <w:pPr>
        <w:pStyle w:val="TableTitle"/>
      </w:pPr>
      <w:r>
        <w:t xml:space="preserve">Table </w:t>
      </w:r>
      <w:r>
        <w:fldChar w:fldCharType="begin"/>
      </w:r>
      <w:r>
        <w:instrText>SEQ Table \* ARABIC</w:instrText>
      </w:r>
      <w:r>
        <w:fldChar w:fldCharType="separate"/>
      </w:r>
      <w:r w:rsidR="00745EF2">
        <w:rPr>
          <w:noProof/>
        </w:rPr>
        <w:t>1</w:t>
      </w:r>
      <w:r>
        <w:fldChar w:fldCharType="end"/>
      </w:r>
      <w:r>
        <w:t>: International regulatory status</w:t>
      </w:r>
    </w:p>
    <w:tbl>
      <w:tblPr>
        <w:tblStyle w:val="TableTGAblue"/>
        <w:tblW w:w="0" w:type="auto"/>
        <w:tblLayout w:type="fixed"/>
        <w:tblLook w:val="04A0" w:firstRow="1" w:lastRow="0" w:firstColumn="1" w:lastColumn="0" w:noHBand="0" w:noVBand="1"/>
      </w:tblPr>
      <w:tblGrid>
        <w:gridCol w:w="1561"/>
        <w:gridCol w:w="2076"/>
        <w:gridCol w:w="2076"/>
        <w:gridCol w:w="2781"/>
      </w:tblGrid>
      <w:tr w:rsidR="00E90AAC" w14:paraId="146F10E2" w14:textId="77777777" w:rsidTr="00246B1B">
        <w:trPr>
          <w:cnfStyle w:val="100000000000" w:firstRow="1" w:lastRow="0" w:firstColumn="0" w:lastColumn="0" w:oddVBand="0" w:evenVBand="0" w:oddHBand="0" w:evenHBand="0" w:firstRowFirstColumn="0" w:firstRowLastColumn="0" w:lastRowFirstColumn="0" w:lastRowLastColumn="0"/>
        </w:trPr>
        <w:tc>
          <w:tcPr>
            <w:tcW w:w="1561" w:type="dxa"/>
            <w:tcBorders>
              <w:top w:val="single" w:sz="4" w:space="0" w:color="auto"/>
              <w:left w:val="single" w:sz="4" w:space="0" w:color="auto"/>
              <w:bottom w:val="single" w:sz="4" w:space="0" w:color="auto"/>
              <w:right w:val="single" w:sz="4" w:space="0" w:color="auto"/>
            </w:tcBorders>
          </w:tcPr>
          <w:p w14:paraId="455C471F" w14:textId="77777777" w:rsidR="00006FAB" w:rsidRDefault="00006FAB" w:rsidP="00006FAB">
            <w:pPr>
              <w:ind w:left="0" w:right="0"/>
            </w:pPr>
            <w:r>
              <w:t>Region</w:t>
            </w:r>
          </w:p>
        </w:tc>
        <w:tc>
          <w:tcPr>
            <w:tcW w:w="2076" w:type="dxa"/>
            <w:tcBorders>
              <w:top w:val="single" w:sz="4" w:space="0" w:color="auto"/>
              <w:left w:val="single" w:sz="4" w:space="0" w:color="auto"/>
              <w:bottom w:val="single" w:sz="4" w:space="0" w:color="auto"/>
              <w:right w:val="single" w:sz="4" w:space="0" w:color="auto"/>
            </w:tcBorders>
          </w:tcPr>
          <w:p w14:paraId="1C2A3DCC" w14:textId="77777777" w:rsidR="00006FAB" w:rsidRDefault="00006FAB" w:rsidP="00006FAB">
            <w:pPr>
              <w:ind w:left="0" w:right="0"/>
            </w:pPr>
            <w:r>
              <w:t>Submission date</w:t>
            </w:r>
          </w:p>
        </w:tc>
        <w:tc>
          <w:tcPr>
            <w:tcW w:w="2076" w:type="dxa"/>
            <w:tcBorders>
              <w:top w:val="single" w:sz="4" w:space="0" w:color="auto"/>
              <w:left w:val="single" w:sz="4" w:space="0" w:color="auto"/>
              <w:bottom w:val="single" w:sz="4" w:space="0" w:color="auto"/>
              <w:right w:val="single" w:sz="4" w:space="0" w:color="auto"/>
            </w:tcBorders>
          </w:tcPr>
          <w:p w14:paraId="1B9FBFDD" w14:textId="77777777" w:rsidR="00006FAB" w:rsidRDefault="00006FAB" w:rsidP="00006FAB">
            <w:pPr>
              <w:ind w:left="0" w:right="0"/>
            </w:pPr>
            <w:r>
              <w:t>Status</w:t>
            </w:r>
          </w:p>
        </w:tc>
        <w:tc>
          <w:tcPr>
            <w:tcW w:w="2781" w:type="dxa"/>
            <w:tcBorders>
              <w:top w:val="single" w:sz="4" w:space="0" w:color="auto"/>
              <w:left w:val="single" w:sz="4" w:space="0" w:color="auto"/>
              <w:bottom w:val="single" w:sz="4" w:space="0" w:color="auto"/>
              <w:right w:val="single" w:sz="4" w:space="0" w:color="auto"/>
            </w:tcBorders>
          </w:tcPr>
          <w:p w14:paraId="0712B658" w14:textId="77777777" w:rsidR="00006FAB" w:rsidRDefault="00006FAB" w:rsidP="00006FAB">
            <w:pPr>
              <w:ind w:left="0" w:right="0"/>
            </w:pPr>
            <w:r>
              <w:t>Approved indications</w:t>
            </w:r>
          </w:p>
        </w:tc>
      </w:tr>
      <w:tr w:rsidR="00E90AAC" w14:paraId="73CBED97" w14:textId="77777777" w:rsidTr="00246B1B">
        <w:tc>
          <w:tcPr>
            <w:tcW w:w="1561" w:type="dxa"/>
            <w:tcBorders>
              <w:top w:val="single" w:sz="4" w:space="0" w:color="auto"/>
            </w:tcBorders>
          </w:tcPr>
          <w:p w14:paraId="2E8885EE" w14:textId="72EF7662" w:rsidR="00006FAB" w:rsidRDefault="00E90AAC" w:rsidP="00A66FFB">
            <w:pPr>
              <w:ind w:left="0" w:right="0"/>
            </w:pPr>
            <w:r>
              <w:t>EU</w:t>
            </w:r>
          </w:p>
          <w:p w14:paraId="2DD1C3C0" w14:textId="24AE4767" w:rsidR="00E90AAC" w:rsidRDefault="00B15D42" w:rsidP="00A66FFB">
            <w:pPr>
              <w:ind w:left="0" w:right="0"/>
            </w:pPr>
            <w:r>
              <w:t>v</w:t>
            </w:r>
            <w:r w:rsidR="00A66FFB">
              <w:t xml:space="preserve">ia </w:t>
            </w:r>
            <w:r w:rsidR="00E90AAC">
              <w:t>Centralised procedure</w:t>
            </w:r>
          </w:p>
        </w:tc>
        <w:tc>
          <w:tcPr>
            <w:tcW w:w="2076" w:type="dxa"/>
            <w:tcBorders>
              <w:top w:val="single" w:sz="4" w:space="0" w:color="auto"/>
            </w:tcBorders>
          </w:tcPr>
          <w:p w14:paraId="33889229" w14:textId="6F4A15A6" w:rsidR="00006FAB" w:rsidRDefault="00E32DA0" w:rsidP="00A66FFB">
            <w:pPr>
              <w:ind w:left="0" w:right="0"/>
            </w:pPr>
            <w:r>
              <w:t xml:space="preserve">25 </w:t>
            </w:r>
            <w:r w:rsidR="00E90AAC">
              <w:t>July 2018</w:t>
            </w:r>
          </w:p>
        </w:tc>
        <w:tc>
          <w:tcPr>
            <w:tcW w:w="2076" w:type="dxa"/>
            <w:tcBorders>
              <w:top w:val="single" w:sz="4" w:space="0" w:color="auto"/>
            </w:tcBorders>
          </w:tcPr>
          <w:p w14:paraId="39CBF553" w14:textId="2BFFCA0B" w:rsidR="00006FAB" w:rsidRDefault="00006FAB" w:rsidP="00A66FFB">
            <w:pPr>
              <w:ind w:left="0" w:right="0"/>
            </w:pPr>
            <w:r w:rsidRPr="00006FAB">
              <w:t>A</w:t>
            </w:r>
            <w:r w:rsidR="00E90AAC">
              <w:t>pproved on 1</w:t>
            </w:r>
            <w:r w:rsidR="00A66FFB">
              <w:t> </w:t>
            </w:r>
            <w:r w:rsidR="00E90AAC">
              <w:t>April</w:t>
            </w:r>
            <w:r w:rsidR="00A66FFB">
              <w:t> </w:t>
            </w:r>
            <w:r w:rsidR="00E90AAC">
              <w:t>2020</w:t>
            </w:r>
          </w:p>
        </w:tc>
        <w:tc>
          <w:tcPr>
            <w:tcW w:w="2781" w:type="dxa"/>
            <w:tcBorders>
              <w:top w:val="single" w:sz="4" w:space="0" w:color="auto"/>
            </w:tcBorders>
          </w:tcPr>
          <w:p w14:paraId="0F222A09" w14:textId="77777777" w:rsidR="00006FAB" w:rsidRPr="00E90AAC" w:rsidRDefault="00E90AAC" w:rsidP="00E90AAC">
            <w:pPr>
              <w:ind w:left="0"/>
              <w:rPr>
                <w:i/>
              </w:rPr>
            </w:pPr>
            <w:r w:rsidRPr="00E90AAC">
              <w:rPr>
                <w:i/>
              </w:rPr>
              <w:t>All indications held by the reference product: non-Hodgkins lymphoma, chronic lymphocytic leukemia, rhematoid arthritis, granulamatosis with polyangiitis, microscopic polyangiitis and pemphigus vulgaris</w:t>
            </w:r>
          </w:p>
        </w:tc>
      </w:tr>
      <w:tr w:rsidR="00E90AAC" w14:paraId="0ABD30BB" w14:textId="77777777" w:rsidTr="00246B1B">
        <w:tc>
          <w:tcPr>
            <w:tcW w:w="1561" w:type="dxa"/>
            <w:tcBorders>
              <w:top w:val="single" w:sz="4" w:space="0" w:color="auto"/>
            </w:tcBorders>
          </w:tcPr>
          <w:p w14:paraId="0C35460A" w14:textId="77777777" w:rsidR="00E90AAC" w:rsidRDefault="00E90AAC" w:rsidP="00A66FFB">
            <w:pPr>
              <w:ind w:left="0" w:right="0"/>
            </w:pPr>
            <w:r>
              <w:t>USA</w:t>
            </w:r>
          </w:p>
        </w:tc>
        <w:tc>
          <w:tcPr>
            <w:tcW w:w="2076" w:type="dxa"/>
            <w:tcBorders>
              <w:top w:val="single" w:sz="4" w:space="0" w:color="auto"/>
            </w:tcBorders>
          </w:tcPr>
          <w:p w14:paraId="5F38EB08" w14:textId="49CAFB98" w:rsidR="00E90AAC" w:rsidRDefault="00E32DA0" w:rsidP="00A66FFB">
            <w:pPr>
              <w:ind w:left="0" w:right="0"/>
            </w:pPr>
            <w:r>
              <w:t xml:space="preserve">25 </w:t>
            </w:r>
            <w:r w:rsidR="00E90AAC">
              <w:t>July 2018</w:t>
            </w:r>
          </w:p>
        </w:tc>
        <w:tc>
          <w:tcPr>
            <w:tcW w:w="2076" w:type="dxa"/>
            <w:tcBorders>
              <w:top w:val="single" w:sz="4" w:space="0" w:color="auto"/>
            </w:tcBorders>
          </w:tcPr>
          <w:p w14:paraId="4CFCD02B" w14:textId="0EF6D58D" w:rsidR="00E90AAC" w:rsidRDefault="00E90AAC" w:rsidP="00A66FFB">
            <w:pPr>
              <w:ind w:left="0" w:right="0"/>
            </w:pPr>
            <w:r>
              <w:t>Approved</w:t>
            </w:r>
            <w:r w:rsidR="00E32DA0">
              <w:t xml:space="preserve"> on 23</w:t>
            </w:r>
            <w:r w:rsidR="00A66FFB">
              <w:t> </w:t>
            </w:r>
            <w:r>
              <w:t>July 2019</w:t>
            </w:r>
          </w:p>
        </w:tc>
        <w:tc>
          <w:tcPr>
            <w:tcW w:w="2781" w:type="dxa"/>
            <w:tcBorders>
              <w:top w:val="single" w:sz="4" w:space="0" w:color="auto"/>
            </w:tcBorders>
          </w:tcPr>
          <w:p w14:paraId="5B102F69" w14:textId="77777777" w:rsidR="00E90AAC" w:rsidRPr="00DE0043" w:rsidRDefault="00E90AAC" w:rsidP="00E90AAC">
            <w:pPr>
              <w:ind w:left="0"/>
              <w:rPr>
                <w:i/>
              </w:rPr>
            </w:pPr>
            <w:r w:rsidRPr="00DE0043">
              <w:rPr>
                <w:i/>
              </w:rPr>
              <w:t>Non-Hodgkins lymphoma, chronic lymphocytic leukemia, granulamatosis with polyangiitis, microscopic polyangiitis</w:t>
            </w:r>
          </w:p>
        </w:tc>
      </w:tr>
      <w:tr w:rsidR="00E90AAC" w14:paraId="070862F3" w14:textId="77777777" w:rsidTr="00246B1B">
        <w:tc>
          <w:tcPr>
            <w:tcW w:w="1561" w:type="dxa"/>
            <w:tcBorders>
              <w:top w:val="single" w:sz="4" w:space="0" w:color="auto"/>
            </w:tcBorders>
          </w:tcPr>
          <w:p w14:paraId="6AFCE4AF" w14:textId="77777777" w:rsidR="00E90AAC" w:rsidRDefault="00E90AAC" w:rsidP="00C2412F">
            <w:pPr>
              <w:ind w:left="0" w:right="0"/>
            </w:pPr>
            <w:r>
              <w:t>Japan</w:t>
            </w:r>
          </w:p>
        </w:tc>
        <w:tc>
          <w:tcPr>
            <w:tcW w:w="2076" w:type="dxa"/>
            <w:tcBorders>
              <w:top w:val="single" w:sz="4" w:space="0" w:color="auto"/>
            </w:tcBorders>
          </w:tcPr>
          <w:p w14:paraId="0F3CD915" w14:textId="4CE443BB" w:rsidR="00E90AAC" w:rsidRDefault="00E32DA0" w:rsidP="00C2412F">
            <w:pPr>
              <w:ind w:left="0" w:right="0"/>
            </w:pPr>
            <w:r>
              <w:t xml:space="preserve">21 </w:t>
            </w:r>
            <w:r w:rsidR="00E90AAC">
              <w:t>November 2018</w:t>
            </w:r>
          </w:p>
        </w:tc>
        <w:tc>
          <w:tcPr>
            <w:tcW w:w="2076" w:type="dxa"/>
            <w:tcBorders>
              <w:top w:val="single" w:sz="4" w:space="0" w:color="auto"/>
            </w:tcBorders>
          </w:tcPr>
          <w:p w14:paraId="7984DF14" w14:textId="79B55376" w:rsidR="00E90AAC" w:rsidRPr="00006FAB" w:rsidRDefault="00E90AAC" w:rsidP="00C2412F">
            <w:pPr>
              <w:ind w:left="0" w:right="0"/>
            </w:pPr>
            <w:r>
              <w:t>Approved</w:t>
            </w:r>
            <w:r w:rsidR="00E32DA0">
              <w:t xml:space="preserve"> on 20</w:t>
            </w:r>
            <w:r w:rsidR="00A66FFB">
              <w:t> </w:t>
            </w:r>
            <w:r w:rsidR="005D7C4B">
              <w:t>Sept</w:t>
            </w:r>
            <w:r w:rsidR="00C317C8">
              <w:t>ember</w:t>
            </w:r>
            <w:r w:rsidR="00A66FFB">
              <w:rPr>
                <w:rStyle w:val="CommentReference"/>
                <w:color w:val="auto"/>
                <w:lang w:eastAsia="en-US"/>
              </w:rPr>
              <w:t> </w:t>
            </w:r>
            <w:r w:rsidR="00A66FFB" w:rsidRPr="00C2412F">
              <w:rPr>
                <w:rStyle w:val="CommentReference"/>
                <w:sz w:val="22"/>
              </w:rPr>
              <w:t>2</w:t>
            </w:r>
            <w:r>
              <w:t>019</w:t>
            </w:r>
          </w:p>
        </w:tc>
        <w:tc>
          <w:tcPr>
            <w:tcW w:w="2781" w:type="dxa"/>
            <w:tcBorders>
              <w:top w:val="single" w:sz="4" w:space="0" w:color="auto"/>
            </w:tcBorders>
          </w:tcPr>
          <w:p w14:paraId="260E9C14" w14:textId="3C4FDCD0" w:rsidR="00E90AAC" w:rsidRPr="00E90AAC" w:rsidRDefault="00E90AAC" w:rsidP="00E90AAC">
            <w:pPr>
              <w:ind w:left="0"/>
              <w:rPr>
                <w:i/>
              </w:rPr>
            </w:pPr>
            <w:r w:rsidRPr="00E90AAC">
              <w:rPr>
                <w:i/>
              </w:rPr>
              <w:t>CD20-positive, B-cel</w:t>
            </w:r>
            <w:r>
              <w:rPr>
                <w:i/>
              </w:rPr>
              <w:t xml:space="preserve">l non-Hodgkin’s Lymphoma (NHL), </w:t>
            </w:r>
            <w:r w:rsidRPr="00E90AAC">
              <w:rPr>
                <w:i/>
              </w:rPr>
              <w:t>CD20-positive, B</w:t>
            </w:r>
            <w:r w:rsidR="00A66FFB">
              <w:rPr>
                <w:i/>
              </w:rPr>
              <w:noBreakHyphen/>
            </w:r>
            <w:r w:rsidRPr="00E90AAC">
              <w:rPr>
                <w:i/>
              </w:rPr>
              <w:t>cell ly</w:t>
            </w:r>
            <w:r>
              <w:rPr>
                <w:i/>
              </w:rPr>
              <w:t xml:space="preserve">mphoproliferative disease under </w:t>
            </w:r>
            <w:r w:rsidRPr="00E90AAC">
              <w:rPr>
                <w:i/>
              </w:rPr>
              <w:t>immunosuppression, Gr</w:t>
            </w:r>
            <w:r>
              <w:rPr>
                <w:i/>
              </w:rPr>
              <w:t xml:space="preserve">anulomatosis with polyangiitis, </w:t>
            </w:r>
            <w:r w:rsidRPr="00E90AAC">
              <w:rPr>
                <w:i/>
              </w:rPr>
              <w:t>microscopic polyangiitis</w:t>
            </w:r>
          </w:p>
        </w:tc>
      </w:tr>
      <w:tr w:rsidR="00E90AAC" w14:paraId="20BA10B9" w14:textId="77777777" w:rsidTr="00246B1B">
        <w:tc>
          <w:tcPr>
            <w:tcW w:w="1561" w:type="dxa"/>
            <w:tcBorders>
              <w:top w:val="single" w:sz="4" w:space="0" w:color="auto"/>
            </w:tcBorders>
          </w:tcPr>
          <w:p w14:paraId="7F71EC83" w14:textId="77777777" w:rsidR="00E90AAC" w:rsidRDefault="00E90AAC" w:rsidP="00C2412F">
            <w:pPr>
              <w:ind w:left="0" w:right="0"/>
            </w:pPr>
            <w:r>
              <w:t>Canada</w:t>
            </w:r>
          </w:p>
        </w:tc>
        <w:tc>
          <w:tcPr>
            <w:tcW w:w="2076" w:type="dxa"/>
            <w:tcBorders>
              <w:top w:val="single" w:sz="4" w:space="0" w:color="auto"/>
            </w:tcBorders>
          </w:tcPr>
          <w:p w14:paraId="2D9F7D93" w14:textId="5ED6F6A5" w:rsidR="00E90AAC" w:rsidRDefault="00E32DA0" w:rsidP="00C2412F">
            <w:pPr>
              <w:ind w:left="0" w:right="0"/>
            </w:pPr>
            <w:r>
              <w:t xml:space="preserve">6 February </w:t>
            </w:r>
            <w:r w:rsidR="00E90AAC">
              <w:t>2019</w:t>
            </w:r>
          </w:p>
        </w:tc>
        <w:tc>
          <w:tcPr>
            <w:tcW w:w="2076" w:type="dxa"/>
            <w:tcBorders>
              <w:top w:val="single" w:sz="4" w:space="0" w:color="auto"/>
            </w:tcBorders>
          </w:tcPr>
          <w:p w14:paraId="29D0D404" w14:textId="77C10509" w:rsidR="00E90AAC" w:rsidRPr="00006FAB" w:rsidRDefault="00E90AAC" w:rsidP="00C2412F">
            <w:pPr>
              <w:ind w:left="0" w:right="0"/>
            </w:pPr>
            <w:r>
              <w:t>Approved</w:t>
            </w:r>
            <w:r w:rsidR="00E32DA0">
              <w:t xml:space="preserve"> on</w:t>
            </w:r>
            <w:r>
              <w:t xml:space="preserve"> 4</w:t>
            </w:r>
            <w:r w:rsidR="00A66FFB">
              <w:t> </w:t>
            </w:r>
            <w:r>
              <w:t>May 2020</w:t>
            </w:r>
          </w:p>
        </w:tc>
        <w:tc>
          <w:tcPr>
            <w:tcW w:w="2781" w:type="dxa"/>
            <w:tcBorders>
              <w:top w:val="single" w:sz="4" w:space="0" w:color="auto"/>
            </w:tcBorders>
          </w:tcPr>
          <w:p w14:paraId="7B2F27CB" w14:textId="77777777" w:rsidR="00E90AAC" w:rsidRPr="00E90AAC" w:rsidRDefault="00E90AAC" w:rsidP="00E90AAC">
            <w:pPr>
              <w:ind w:left="0"/>
              <w:rPr>
                <w:i/>
              </w:rPr>
            </w:pPr>
            <w:r w:rsidRPr="00E90AAC">
              <w:rPr>
                <w:i/>
              </w:rPr>
              <w:t>All indications held by the reference product</w:t>
            </w:r>
          </w:p>
        </w:tc>
      </w:tr>
      <w:tr w:rsidR="00E90AAC" w14:paraId="1474C5F7" w14:textId="77777777" w:rsidTr="00246B1B">
        <w:tc>
          <w:tcPr>
            <w:tcW w:w="1561" w:type="dxa"/>
            <w:tcBorders>
              <w:top w:val="single" w:sz="4" w:space="0" w:color="auto"/>
            </w:tcBorders>
          </w:tcPr>
          <w:p w14:paraId="635C0836" w14:textId="77777777" w:rsidR="00E90AAC" w:rsidRDefault="00E90AAC" w:rsidP="00C2412F">
            <w:pPr>
              <w:ind w:left="0" w:right="0"/>
            </w:pPr>
            <w:r>
              <w:t>Switzerland</w:t>
            </w:r>
          </w:p>
        </w:tc>
        <w:tc>
          <w:tcPr>
            <w:tcW w:w="2076" w:type="dxa"/>
            <w:tcBorders>
              <w:top w:val="single" w:sz="4" w:space="0" w:color="auto"/>
            </w:tcBorders>
          </w:tcPr>
          <w:p w14:paraId="628747C3" w14:textId="14189A2E" w:rsidR="00E90AAC" w:rsidRDefault="00E32DA0" w:rsidP="00C2412F">
            <w:pPr>
              <w:ind w:left="0" w:right="0"/>
            </w:pPr>
            <w:r>
              <w:t xml:space="preserve">30 </w:t>
            </w:r>
            <w:r w:rsidR="00E90AAC">
              <w:t>March 2020</w:t>
            </w:r>
          </w:p>
        </w:tc>
        <w:tc>
          <w:tcPr>
            <w:tcW w:w="2076" w:type="dxa"/>
            <w:tcBorders>
              <w:top w:val="single" w:sz="4" w:space="0" w:color="auto"/>
            </w:tcBorders>
          </w:tcPr>
          <w:p w14:paraId="081A454F" w14:textId="42EB1617" w:rsidR="00E90AAC" w:rsidRPr="00006FAB" w:rsidRDefault="00483C33" w:rsidP="00C2412F">
            <w:pPr>
              <w:ind w:left="0" w:right="0"/>
            </w:pPr>
            <w:r>
              <w:t>Approved</w:t>
            </w:r>
            <w:r w:rsidR="00E32DA0">
              <w:t xml:space="preserve"> on</w:t>
            </w:r>
            <w:r>
              <w:t xml:space="preserve"> 4 August 2020</w:t>
            </w:r>
          </w:p>
        </w:tc>
        <w:tc>
          <w:tcPr>
            <w:tcW w:w="2781" w:type="dxa"/>
            <w:tcBorders>
              <w:top w:val="single" w:sz="4" w:space="0" w:color="auto"/>
            </w:tcBorders>
          </w:tcPr>
          <w:p w14:paraId="54C7B258" w14:textId="4FBB58E1" w:rsidR="00E90AAC" w:rsidRPr="00E90AAC" w:rsidRDefault="00483C33" w:rsidP="00E90AAC">
            <w:pPr>
              <w:ind w:left="0"/>
              <w:rPr>
                <w:i/>
              </w:rPr>
            </w:pPr>
            <w:r w:rsidRPr="00C2412F">
              <w:rPr>
                <w:i/>
                <w:iCs/>
              </w:rPr>
              <w:t>All indications held by the reference product</w:t>
            </w:r>
          </w:p>
        </w:tc>
      </w:tr>
      <w:tr w:rsidR="00E90AAC" w14:paraId="41EEAB97" w14:textId="77777777" w:rsidTr="00246B1B">
        <w:tc>
          <w:tcPr>
            <w:tcW w:w="1561" w:type="dxa"/>
            <w:tcBorders>
              <w:top w:val="single" w:sz="4" w:space="0" w:color="auto"/>
            </w:tcBorders>
          </w:tcPr>
          <w:p w14:paraId="1846581F" w14:textId="77777777" w:rsidR="00E90AAC" w:rsidRDefault="00E90AAC" w:rsidP="00C2412F">
            <w:pPr>
              <w:ind w:left="0" w:right="0"/>
            </w:pPr>
            <w:r>
              <w:t>New Zealand</w:t>
            </w:r>
          </w:p>
        </w:tc>
        <w:tc>
          <w:tcPr>
            <w:tcW w:w="2076" w:type="dxa"/>
            <w:tcBorders>
              <w:top w:val="single" w:sz="4" w:space="0" w:color="auto"/>
            </w:tcBorders>
          </w:tcPr>
          <w:p w14:paraId="38D2EC43" w14:textId="3A08BAE3" w:rsidR="00E90AAC" w:rsidRDefault="00E32DA0" w:rsidP="00C2412F">
            <w:pPr>
              <w:ind w:left="0" w:right="0"/>
            </w:pPr>
            <w:r>
              <w:t xml:space="preserve">21 </w:t>
            </w:r>
            <w:r w:rsidR="00E90AAC">
              <w:t>May 2020</w:t>
            </w:r>
          </w:p>
        </w:tc>
        <w:tc>
          <w:tcPr>
            <w:tcW w:w="2076" w:type="dxa"/>
            <w:tcBorders>
              <w:top w:val="single" w:sz="4" w:space="0" w:color="auto"/>
            </w:tcBorders>
          </w:tcPr>
          <w:p w14:paraId="4C0E61C7" w14:textId="77777777" w:rsidR="00E90AAC" w:rsidRPr="00006FAB" w:rsidRDefault="00E90AAC" w:rsidP="00C2412F">
            <w:pPr>
              <w:ind w:left="0" w:right="0"/>
            </w:pPr>
            <w:r>
              <w:t>Under consideration</w:t>
            </w:r>
          </w:p>
        </w:tc>
        <w:tc>
          <w:tcPr>
            <w:tcW w:w="2781" w:type="dxa"/>
            <w:tcBorders>
              <w:top w:val="single" w:sz="4" w:space="0" w:color="auto"/>
            </w:tcBorders>
          </w:tcPr>
          <w:p w14:paraId="537622B1" w14:textId="77777777" w:rsidR="00E90AAC" w:rsidRPr="00E90AAC" w:rsidRDefault="00E90AAC" w:rsidP="00E90AAC">
            <w:pPr>
              <w:ind w:left="0"/>
              <w:rPr>
                <w:i/>
              </w:rPr>
            </w:pPr>
            <w:r>
              <w:t>Under consideration</w:t>
            </w:r>
          </w:p>
        </w:tc>
      </w:tr>
    </w:tbl>
    <w:p w14:paraId="2D6ABBDD" w14:textId="77777777" w:rsidR="008E7846" w:rsidRDefault="008E7846" w:rsidP="00940A89">
      <w:pPr>
        <w:pStyle w:val="Heading3"/>
      </w:pPr>
      <w:bookmarkStart w:id="21" w:name="_Toc71098526"/>
      <w:r>
        <w:t>Product Information</w:t>
      </w:r>
      <w:bookmarkEnd w:id="19"/>
      <w:bookmarkEnd w:id="20"/>
      <w:bookmarkEnd w:id="21"/>
    </w:p>
    <w:p w14:paraId="35507C56" w14:textId="1C3B70DE"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691E2B1D" w14:textId="77777777" w:rsidR="00500337" w:rsidRDefault="00500337" w:rsidP="00500337">
      <w:pPr>
        <w:pStyle w:val="Heading2"/>
      </w:pPr>
      <w:bookmarkStart w:id="24" w:name="_Toc504480011"/>
      <w:bookmarkStart w:id="25" w:name="_Toc71098527"/>
      <w:r>
        <w:t>II. Registration timeline</w:t>
      </w:r>
      <w:bookmarkEnd w:id="24"/>
      <w:bookmarkEnd w:id="25"/>
    </w:p>
    <w:p w14:paraId="735C5B33" w14:textId="77777777" w:rsidR="00500337" w:rsidRDefault="00500337" w:rsidP="00500337">
      <w:r>
        <w:t>The following table captures the key steps and dates for this application and which are detailed and discussed in this AusPAR.</w:t>
      </w:r>
    </w:p>
    <w:p w14:paraId="5FC7BC8D" w14:textId="1CE4D8A7" w:rsidR="00500337" w:rsidRPr="00377BD4" w:rsidRDefault="001C2C11" w:rsidP="001C2C11">
      <w:pPr>
        <w:pStyle w:val="TableTitle"/>
      </w:pPr>
      <w:r w:rsidRPr="001C2C11">
        <w:t xml:space="preserve">Table </w:t>
      </w:r>
      <w:r>
        <w:fldChar w:fldCharType="begin"/>
      </w:r>
      <w:r>
        <w:instrText>SEQ Table \* ARABIC</w:instrText>
      </w:r>
      <w:r>
        <w:fldChar w:fldCharType="separate"/>
      </w:r>
      <w:r w:rsidR="00745EF2">
        <w:rPr>
          <w:noProof/>
        </w:rPr>
        <w:t>2</w:t>
      </w:r>
      <w:r>
        <w:fldChar w:fldCharType="end"/>
      </w:r>
      <w:r w:rsidR="00006FAB">
        <w:t>:</w:t>
      </w:r>
      <w:r w:rsidR="006A58A8" w:rsidRPr="006A58A8">
        <w:t xml:space="preserve"> Timeline for Submission PM-20</w:t>
      </w:r>
      <w:r w:rsidR="00324E45">
        <w:t>2</w:t>
      </w:r>
      <w:r w:rsidR="00E90AAC">
        <w:t>0-00593-1-6</w:t>
      </w:r>
    </w:p>
    <w:tbl>
      <w:tblPr>
        <w:tblStyle w:val="TableTGAblue"/>
        <w:tblW w:w="0" w:type="auto"/>
        <w:tblLook w:val="04A0" w:firstRow="1" w:lastRow="0" w:firstColumn="1" w:lastColumn="0" w:noHBand="0" w:noVBand="1"/>
      </w:tblPr>
      <w:tblGrid>
        <w:gridCol w:w="6091"/>
        <w:gridCol w:w="2403"/>
      </w:tblGrid>
      <w:tr w:rsidR="00500337" w14:paraId="516FDBE1" w14:textId="77777777" w:rsidTr="00B91789">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31FF54C8" w14:textId="77777777" w:rsidR="00500337" w:rsidRDefault="00500337" w:rsidP="00500337">
            <w:pPr>
              <w:ind w:left="0" w:right="0"/>
            </w:pPr>
            <w:r>
              <w:t>Description</w:t>
            </w:r>
          </w:p>
        </w:tc>
        <w:tc>
          <w:tcPr>
            <w:tcW w:w="2403" w:type="dxa"/>
            <w:tcBorders>
              <w:top w:val="single" w:sz="4" w:space="0" w:color="auto"/>
              <w:left w:val="single" w:sz="4" w:space="0" w:color="auto"/>
              <w:bottom w:val="single" w:sz="4" w:space="0" w:color="auto"/>
              <w:right w:val="single" w:sz="4" w:space="0" w:color="auto"/>
            </w:tcBorders>
          </w:tcPr>
          <w:p w14:paraId="491072FA" w14:textId="77777777" w:rsidR="00500337" w:rsidRDefault="00500337" w:rsidP="00500337">
            <w:pPr>
              <w:ind w:left="0" w:right="0"/>
            </w:pPr>
            <w:r>
              <w:t>Date</w:t>
            </w:r>
          </w:p>
        </w:tc>
      </w:tr>
      <w:tr w:rsidR="00500337" w14:paraId="3D6BFC7D" w14:textId="77777777" w:rsidTr="00B91789">
        <w:tc>
          <w:tcPr>
            <w:tcW w:w="6091" w:type="dxa"/>
            <w:tcBorders>
              <w:top w:val="single" w:sz="4" w:space="0" w:color="auto"/>
            </w:tcBorders>
          </w:tcPr>
          <w:p w14:paraId="5119D52D" w14:textId="77777777" w:rsidR="00500337" w:rsidRDefault="00500337" w:rsidP="00500337">
            <w:pPr>
              <w:ind w:left="0" w:right="0"/>
            </w:pPr>
            <w:r>
              <w:t>Submission dossier accepted and first round evaluation commenced</w:t>
            </w:r>
          </w:p>
        </w:tc>
        <w:tc>
          <w:tcPr>
            <w:tcW w:w="2403" w:type="dxa"/>
            <w:tcBorders>
              <w:top w:val="single" w:sz="4" w:space="0" w:color="auto"/>
            </w:tcBorders>
          </w:tcPr>
          <w:p w14:paraId="201D45E4" w14:textId="77777777" w:rsidR="00500337" w:rsidRDefault="00E90AAC" w:rsidP="00500337">
            <w:pPr>
              <w:ind w:left="0" w:right="0"/>
            </w:pPr>
            <w:r>
              <w:t>6 April 2020</w:t>
            </w:r>
          </w:p>
        </w:tc>
      </w:tr>
      <w:tr w:rsidR="00500337" w14:paraId="5459F954" w14:textId="77777777" w:rsidTr="00B91789">
        <w:tc>
          <w:tcPr>
            <w:tcW w:w="6091" w:type="dxa"/>
          </w:tcPr>
          <w:p w14:paraId="531B9B70" w14:textId="77777777" w:rsidR="00500337" w:rsidRDefault="00500337" w:rsidP="00500337">
            <w:pPr>
              <w:ind w:left="0" w:right="0"/>
            </w:pPr>
            <w:r>
              <w:t>First round evaluation completed</w:t>
            </w:r>
          </w:p>
        </w:tc>
        <w:tc>
          <w:tcPr>
            <w:tcW w:w="2403" w:type="dxa"/>
          </w:tcPr>
          <w:p w14:paraId="38E00D02" w14:textId="77777777" w:rsidR="00500337" w:rsidRDefault="00E90AAC" w:rsidP="00500337">
            <w:pPr>
              <w:ind w:left="0" w:right="0"/>
            </w:pPr>
            <w:r>
              <w:t>28 August 2020</w:t>
            </w:r>
          </w:p>
        </w:tc>
      </w:tr>
      <w:tr w:rsidR="00500337" w14:paraId="030C0F28" w14:textId="77777777" w:rsidTr="00B91789">
        <w:tc>
          <w:tcPr>
            <w:tcW w:w="6091" w:type="dxa"/>
          </w:tcPr>
          <w:p w14:paraId="189AE450" w14:textId="77777777" w:rsidR="00500337" w:rsidRDefault="00500337" w:rsidP="00500337">
            <w:pPr>
              <w:ind w:left="0" w:right="0"/>
            </w:pPr>
            <w:r>
              <w:t>Sponsor provides responses on questions raised in first round evaluation</w:t>
            </w:r>
          </w:p>
        </w:tc>
        <w:tc>
          <w:tcPr>
            <w:tcW w:w="2403" w:type="dxa"/>
          </w:tcPr>
          <w:p w14:paraId="43DC2151" w14:textId="77777777" w:rsidR="00500337" w:rsidRDefault="00E90AAC" w:rsidP="00500337">
            <w:pPr>
              <w:ind w:left="0" w:right="0"/>
            </w:pPr>
            <w:r>
              <w:t>2 November 2020</w:t>
            </w:r>
          </w:p>
        </w:tc>
      </w:tr>
      <w:tr w:rsidR="00500337" w14:paraId="1573BE72" w14:textId="77777777" w:rsidTr="00B91789">
        <w:tc>
          <w:tcPr>
            <w:tcW w:w="6091" w:type="dxa"/>
          </w:tcPr>
          <w:p w14:paraId="7AC620CB" w14:textId="77777777" w:rsidR="00500337" w:rsidRDefault="00500337" w:rsidP="00500337">
            <w:pPr>
              <w:ind w:left="0" w:right="0"/>
            </w:pPr>
            <w:r>
              <w:t>Second round evaluation completed</w:t>
            </w:r>
          </w:p>
        </w:tc>
        <w:tc>
          <w:tcPr>
            <w:tcW w:w="2403" w:type="dxa"/>
          </w:tcPr>
          <w:p w14:paraId="435CEACA" w14:textId="77777777" w:rsidR="00500337" w:rsidRDefault="00E90AAC" w:rsidP="00500337">
            <w:pPr>
              <w:ind w:left="0" w:right="0"/>
            </w:pPr>
            <w:r>
              <w:t>10 December 2020</w:t>
            </w:r>
          </w:p>
        </w:tc>
      </w:tr>
      <w:tr w:rsidR="00500337" w14:paraId="01BED28A" w14:textId="77777777" w:rsidTr="00B91789">
        <w:tc>
          <w:tcPr>
            <w:tcW w:w="6091" w:type="dxa"/>
          </w:tcPr>
          <w:p w14:paraId="77175283" w14:textId="77777777" w:rsidR="00500337" w:rsidRDefault="00324E45" w:rsidP="003B278F">
            <w:pPr>
              <w:ind w:left="0" w:right="0"/>
            </w:pPr>
            <w:r>
              <w:t>Delegate’s Overall benefit-risk assessment</w:t>
            </w:r>
          </w:p>
        </w:tc>
        <w:tc>
          <w:tcPr>
            <w:tcW w:w="2403" w:type="dxa"/>
          </w:tcPr>
          <w:p w14:paraId="0BD74CDA" w14:textId="77777777" w:rsidR="00500337" w:rsidRDefault="003B278F" w:rsidP="00500337">
            <w:pPr>
              <w:ind w:left="0" w:right="0"/>
            </w:pPr>
            <w:r>
              <w:t>22 February 2021</w:t>
            </w:r>
          </w:p>
        </w:tc>
      </w:tr>
      <w:tr w:rsidR="00500337" w14:paraId="516B86FD" w14:textId="77777777" w:rsidTr="00B91789">
        <w:tc>
          <w:tcPr>
            <w:tcW w:w="6091" w:type="dxa"/>
          </w:tcPr>
          <w:p w14:paraId="44A0B59E" w14:textId="77777777" w:rsidR="00500337" w:rsidRDefault="00500337" w:rsidP="00500337">
            <w:pPr>
              <w:ind w:left="0" w:right="0"/>
            </w:pPr>
            <w:r>
              <w:t>Sponsor’s pre-Advisory Committee response</w:t>
            </w:r>
          </w:p>
        </w:tc>
        <w:tc>
          <w:tcPr>
            <w:tcW w:w="2403" w:type="dxa"/>
          </w:tcPr>
          <w:p w14:paraId="773F148E" w14:textId="77777777" w:rsidR="00500337" w:rsidRDefault="003B278F" w:rsidP="00500337">
            <w:pPr>
              <w:ind w:left="0" w:right="0"/>
            </w:pPr>
            <w:r>
              <w:t>Not applicable</w:t>
            </w:r>
          </w:p>
        </w:tc>
      </w:tr>
      <w:tr w:rsidR="00500337" w14:paraId="2262FA00" w14:textId="77777777" w:rsidTr="00B91789">
        <w:tc>
          <w:tcPr>
            <w:tcW w:w="6091" w:type="dxa"/>
          </w:tcPr>
          <w:p w14:paraId="278EFA10" w14:textId="77777777" w:rsidR="00500337" w:rsidRDefault="00500337" w:rsidP="00500337">
            <w:pPr>
              <w:ind w:left="0" w:right="0"/>
            </w:pPr>
            <w:r>
              <w:t>Advisory Committee meeting</w:t>
            </w:r>
          </w:p>
        </w:tc>
        <w:tc>
          <w:tcPr>
            <w:tcW w:w="2403" w:type="dxa"/>
          </w:tcPr>
          <w:p w14:paraId="5BF9EC20" w14:textId="77777777" w:rsidR="00500337" w:rsidRDefault="003B278F" w:rsidP="00500337">
            <w:pPr>
              <w:ind w:left="0" w:right="0"/>
            </w:pPr>
            <w:r>
              <w:t>Not applicable</w:t>
            </w:r>
          </w:p>
        </w:tc>
      </w:tr>
      <w:tr w:rsidR="00500337" w14:paraId="2C8E09A9" w14:textId="77777777" w:rsidTr="00B91789">
        <w:tc>
          <w:tcPr>
            <w:tcW w:w="6091" w:type="dxa"/>
          </w:tcPr>
          <w:p w14:paraId="2F85C7F6" w14:textId="77777777" w:rsidR="00500337" w:rsidRDefault="00500337" w:rsidP="00500337">
            <w:pPr>
              <w:ind w:left="0" w:right="0"/>
            </w:pPr>
            <w:r>
              <w:t>Registration decision (Outcome)</w:t>
            </w:r>
          </w:p>
        </w:tc>
        <w:tc>
          <w:tcPr>
            <w:tcW w:w="2403" w:type="dxa"/>
          </w:tcPr>
          <w:p w14:paraId="48C6F24A" w14:textId="77777777" w:rsidR="00500337" w:rsidRDefault="00E90AAC" w:rsidP="00500337">
            <w:pPr>
              <w:ind w:left="0" w:right="0"/>
            </w:pPr>
            <w:r>
              <w:t>26 February 2021</w:t>
            </w:r>
          </w:p>
        </w:tc>
      </w:tr>
      <w:tr w:rsidR="00500337" w14:paraId="47C08527" w14:textId="77777777" w:rsidTr="00B91789">
        <w:tc>
          <w:tcPr>
            <w:tcW w:w="6091" w:type="dxa"/>
          </w:tcPr>
          <w:p w14:paraId="4C631A5F" w14:textId="77777777" w:rsidR="00500337" w:rsidRDefault="00500337" w:rsidP="00500337">
            <w:pPr>
              <w:ind w:left="0" w:right="0"/>
            </w:pPr>
            <w:r>
              <w:t xml:space="preserve">Completion of administrative activities and registration on </w:t>
            </w:r>
            <w:r w:rsidR="00006FAB">
              <w:t xml:space="preserve">the </w:t>
            </w:r>
            <w:r>
              <w:t>ARTG</w:t>
            </w:r>
          </w:p>
        </w:tc>
        <w:tc>
          <w:tcPr>
            <w:tcW w:w="2403" w:type="dxa"/>
          </w:tcPr>
          <w:p w14:paraId="2D3313D0" w14:textId="77777777" w:rsidR="00500337" w:rsidRDefault="00E90AAC" w:rsidP="00500337">
            <w:pPr>
              <w:ind w:left="0" w:right="0"/>
            </w:pPr>
            <w:r>
              <w:t>3 March 2021</w:t>
            </w:r>
          </w:p>
        </w:tc>
      </w:tr>
      <w:tr w:rsidR="00500337" w14:paraId="027C8CA5" w14:textId="77777777" w:rsidTr="00B91789">
        <w:tc>
          <w:tcPr>
            <w:tcW w:w="6091" w:type="dxa"/>
          </w:tcPr>
          <w:p w14:paraId="59CCB6AD" w14:textId="77777777" w:rsidR="00500337" w:rsidRDefault="00500337" w:rsidP="00500337">
            <w:pPr>
              <w:ind w:left="0" w:right="0"/>
            </w:pPr>
            <w:r>
              <w:t>Number of working days from submission dossier acceptance to registration decision*</w:t>
            </w:r>
          </w:p>
        </w:tc>
        <w:tc>
          <w:tcPr>
            <w:tcW w:w="2403" w:type="dxa"/>
          </w:tcPr>
          <w:p w14:paraId="3A7F104C" w14:textId="77777777" w:rsidR="00500337" w:rsidRDefault="00E90AAC" w:rsidP="00500337">
            <w:pPr>
              <w:ind w:left="0" w:right="0"/>
            </w:pPr>
            <w:r>
              <w:t>188</w:t>
            </w:r>
          </w:p>
        </w:tc>
      </w:tr>
    </w:tbl>
    <w:p w14:paraId="59922F0D"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6C34E35E" w14:textId="77777777" w:rsidR="008E7846" w:rsidRPr="00792A32" w:rsidRDefault="00456765" w:rsidP="008E7846">
      <w:pPr>
        <w:pStyle w:val="Heading2"/>
      </w:pPr>
      <w:bookmarkStart w:id="26" w:name="_Toc196046504"/>
      <w:bookmarkStart w:id="27" w:name="_Toc247691527"/>
      <w:bookmarkStart w:id="28" w:name="_Toc314842510"/>
      <w:bookmarkStart w:id="29" w:name="_Toc71098528"/>
      <w:bookmarkStart w:id="30" w:name="_Toc163441390"/>
      <w:bookmarkEnd w:id="22"/>
      <w:bookmarkEnd w:id="23"/>
      <w:bookmarkEnd w:id="2"/>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7BA6B84A" w14:textId="77777777" w:rsidR="00006FAB" w:rsidRDefault="00006FAB" w:rsidP="00006FAB">
      <w:bookmarkStart w:id="31" w:name="_Toc247691528"/>
      <w:r>
        <w:t>The submission was summarised in the following Delegate’s overview and recommendations.</w:t>
      </w:r>
    </w:p>
    <w:p w14:paraId="6F9B9670" w14:textId="77777777" w:rsidR="003B278F" w:rsidRPr="003B278F" w:rsidRDefault="003B278F" w:rsidP="003B278F">
      <w:bookmarkStart w:id="32" w:name="_Toc314842511"/>
      <w:r w:rsidRPr="003B278F">
        <w:t>The following guideline documents are considered to be relevant:</w:t>
      </w:r>
    </w:p>
    <w:p w14:paraId="37F48425" w14:textId="77777777" w:rsidR="003B278F" w:rsidRPr="003B278F" w:rsidRDefault="003B278F" w:rsidP="003B278F">
      <w:pPr>
        <w:pStyle w:val="ListBullet"/>
      </w:pPr>
      <w:r w:rsidRPr="003B278F">
        <w:t>Therapeutic Goods Administration: Regulation of biosimilar medicines (vers</w:t>
      </w:r>
      <w:r w:rsidR="00A07F3C">
        <w:t>ion 2.0; December 2015).</w:t>
      </w:r>
    </w:p>
    <w:p w14:paraId="56C10E08" w14:textId="77777777" w:rsidR="003B278F" w:rsidRPr="003B278F" w:rsidRDefault="00DE0043" w:rsidP="00DE0043">
      <w:pPr>
        <w:pStyle w:val="ListBullet"/>
      </w:pPr>
      <w:r>
        <w:t>Clinical investigation of medicinal p</w:t>
      </w:r>
      <w:r w:rsidR="003B278F" w:rsidRPr="003B278F">
        <w:t xml:space="preserve">roducts other than </w:t>
      </w:r>
      <w:r w:rsidRPr="00DE0043">
        <w:t>non-steroidal anti-inflammatory drugs</w:t>
      </w:r>
      <w:r>
        <w:t xml:space="preserve"> for treatment of rheumatoid a</w:t>
      </w:r>
      <w:r w:rsidR="003B278F" w:rsidRPr="003B278F">
        <w:t>rthritis</w:t>
      </w:r>
      <w:r w:rsidR="00A07F3C">
        <w:t xml:space="preserve"> (revision 1)</w:t>
      </w:r>
      <w:r w:rsidR="003B278F" w:rsidRPr="003B278F">
        <w:t>. Effective: 29 January 2007</w:t>
      </w:r>
      <w:r w:rsidR="00A07F3C">
        <w:t>. CPMP/EWP/556/95</w:t>
      </w:r>
    </w:p>
    <w:p w14:paraId="5EC82D31" w14:textId="77777777" w:rsidR="003B278F" w:rsidRPr="003B278F" w:rsidRDefault="003B278F" w:rsidP="003B278F">
      <w:pPr>
        <w:pStyle w:val="ListBullet"/>
      </w:pPr>
      <w:r w:rsidRPr="003B278F">
        <w:t>G</w:t>
      </w:r>
      <w:r w:rsidR="00DE0043">
        <w:t>uideline on similar biological medicinal p</w:t>
      </w:r>
      <w:r w:rsidRPr="003B278F">
        <w:t>roducts</w:t>
      </w:r>
      <w:r w:rsidR="00A07F3C">
        <w:t xml:space="preserve"> (revision 1)</w:t>
      </w:r>
      <w:r w:rsidRPr="003B278F">
        <w:t>. Effective: 25 May 2015</w:t>
      </w:r>
      <w:r w:rsidR="00A07F3C">
        <w:t>. CHMP/437/04</w:t>
      </w:r>
    </w:p>
    <w:p w14:paraId="1CBE32F7" w14:textId="77777777" w:rsidR="003B278F" w:rsidRPr="003B278F" w:rsidRDefault="003B278F" w:rsidP="003B278F">
      <w:pPr>
        <w:pStyle w:val="ListBullet"/>
      </w:pPr>
      <w:r w:rsidRPr="003B278F">
        <w:t>Guideline on immunogenicity assessment of monoclonal antibodies intended for in vivo clinical use. Effective: 1 June 2014</w:t>
      </w:r>
      <w:r w:rsidR="00A07F3C">
        <w:t xml:space="preserve">. </w:t>
      </w:r>
      <w:r w:rsidR="00A07F3C" w:rsidRPr="003B278F">
        <w:t>EMA/CHMP/BMWP/86289/2010:</w:t>
      </w:r>
    </w:p>
    <w:p w14:paraId="36E439C2" w14:textId="77777777" w:rsidR="003B278F" w:rsidRDefault="003B278F" w:rsidP="003B278F">
      <w:pPr>
        <w:pStyle w:val="ListBullet"/>
        <w:rPr>
          <w:b/>
          <w:bCs/>
        </w:rPr>
      </w:pPr>
      <w:r w:rsidRPr="003B278F">
        <w:t>Guideline on similar biological medicinal products containing monoclonal antibodies - non-clinical and clinical issues. Effective: 17 August 2015</w:t>
      </w:r>
      <w:r w:rsidR="00A07F3C">
        <w:t>. EMA/CHMP/BMWP/403543/2010</w:t>
      </w:r>
    </w:p>
    <w:p w14:paraId="60C2B9DF" w14:textId="77777777" w:rsidR="008E7846" w:rsidRDefault="008E7846" w:rsidP="003B278F">
      <w:pPr>
        <w:pStyle w:val="Heading3"/>
      </w:pPr>
      <w:bookmarkStart w:id="33" w:name="_Toc71098529"/>
      <w:r>
        <w:t>Quality</w:t>
      </w:r>
      <w:bookmarkEnd w:id="31"/>
      <w:bookmarkEnd w:id="32"/>
      <w:bookmarkEnd w:id="33"/>
    </w:p>
    <w:p w14:paraId="584353CA" w14:textId="1FF52A77" w:rsidR="0091105E" w:rsidRDefault="0091105E" w:rsidP="00A66FFB">
      <w:pPr>
        <w:rPr>
          <w:lang w:val="en-GB"/>
        </w:rPr>
      </w:pPr>
      <w:r>
        <w:rPr>
          <w:lang w:val="en-GB"/>
        </w:rPr>
        <w:t xml:space="preserve">Ruxience (rituximab) is a recombinant, chimeric, </w:t>
      </w:r>
      <w:r w:rsidRPr="00C2412F">
        <w:t>IgG</w:t>
      </w:r>
      <w:r w:rsidR="00324B28">
        <w:t>1κ</w:t>
      </w:r>
      <w:r>
        <w:rPr>
          <w:lang w:val="en-GB"/>
        </w:rPr>
        <w:t xml:space="preserve"> monoclonal antibody produced from Chinese hamster ovary (CHO) cells and is proposed for registration as a biosimilar to MabThera (rituximab). The drug product is supplied as a 10 mg/m</w:t>
      </w:r>
      <w:r w:rsidR="00324B28">
        <w:rPr>
          <w:lang w:val="en-GB"/>
        </w:rPr>
        <w:t>L</w:t>
      </w:r>
      <w:r>
        <w:rPr>
          <w:lang w:val="en-GB"/>
        </w:rPr>
        <w:t xml:space="preserve"> concentrated solution for intravenous infusion. There are two dosage presentations (10</w:t>
      </w:r>
      <w:r w:rsidR="00324B28">
        <w:rPr>
          <w:lang w:val="en-GB"/>
        </w:rPr>
        <w:t xml:space="preserve"> </w:t>
      </w:r>
      <w:r>
        <w:rPr>
          <w:lang w:val="en-GB"/>
        </w:rPr>
        <w:t>m</w:t>
      </w:r>
      <w:r w:rsidR="00324B28">
        <w:rPr>
          <w:lang w:val="en-GB"/>
        </w:rPr>
        <w:t>L</w:t>
      </w:r>
      <w:r>
        <w:rPr>
          <w:lang w:val="en-GB"/>
        </w:rPr>
        <w:t xml:space="preserve"> and 50</w:t>
      </w:r>
      <w:r w:rsidR="00324B28">
        <w:rPr>
          <w:lang w:val="en-GB"/>
        </w:rPr>
        <w:t> </w:t>
      </w:r>
      <w:r>
        <w:rPr>
          <w:lang w:val="en-GB"/>
        </w:rPr>
        <w:t>m</w:t>
      </w:r>
      <w:r w:rsidR="00324B28">
        <w:rPr>
          <w:lang w:val="en-GB"/>
        </w:rPr>
        <w:t>L</w:t>
      </w:r>
      <w:r>
        <w:rPr>
          <w:lang w:val="en-GB"/>
        </w:rPr>
        <w:t>); both are presented single use in clear glass vials sealed with a stopper and an aluminium seal with a flip-off plastic cap.</w:t>
      </w:r>
    </w:p>
    <w:p w14:paraId="0FE7E56B" w14:textId="6909FFDF" w:rsidR="0091105E" w:rsidRDefault="0091105E" w:rsidP="0091105E">
      <w:pPr>
        <w:rPr>
          <w:lang w:val="en-GB"/>
        </w:rPr>
      </w:pPr>
      <w:r w:rsidRPr="0043311E">
        <w:rPr>
          <w:lang w:val="en-GB"/>
        </w:rPr>
        <w:t>PF-05280586</w:t>
      </w:r>
      <w:r>
        <w:rPr>
          <w:lang w:val="en-GB"/>
        </w:rPr>
        <w:t>;</w:t>
      </w:r>
      <w:bookmarkStart w:id="34" w:name="_Ref66453389"/>
      <w:r>
        <w:rPr>
          <w:rStyle w:val="FootnoteReference"/>
          <w:lang w:val="en-GB"/>
        </w:rPr>
        <w:footnoteReference w:id="5"/>
      </w:r>
      <w:bookmarkEnd w:id="34"/>
      <w:r w:rsidRPr="0043311E">
        <w:rPr>
          <w:lang w:val="en-GB"/>
        </w:rPr>
        <w:t xml:space="preserve"> is </w:t>
      </w:r>
      <w:r w:rsidR="00324B28">
        <w:rPr>
          <w:lang w:val="en-GB"/>
        </w:rPr>
        <w:t xml:space="preserve">also </w:t>
      </w:r>
      <w:r w:rsidRPr="0043311E">
        <w:rPr>
          <w:lang w:val="en-GB"/>
        </w:rPr>
        <w:t>an IgG1</w:t>
      </w:r>
      <w:r w:rsidR="00324B28">
        <w:rPr>
          <w:lang w:val="en-GB"/>
        </w:rPr>
        <w:t>κ</w:t>
      </w:r>
      <w:r w:rsidRPr="0043311E">
        <w:rPr>
          <w:lang w:val="en-GB"/>
        </w:rPr>
        <w:t xml:space="preserve"> monoclonal antibody (m</w:t>
      </w:r>
      <w:r w:rsidR="00DE0043">
        <w:rPr>
          <w:lang w:val="en-GB"/>
        </w:rPr>
        <w:t>Ab) with two identical heavy</w:t>
      </w:r>
      <w:r>
        <w:rPr>
          <w:lang w:val="en-GB"/>
        </w:rPr>
        <w:t xml:space="preserve"> </w:t>
      </w:r>
      <w:r w:rsidRPr="0043311E">
        <w:rPr>
          <w:lang w:val="en-GB"/>
        </w:rPr>
        <w:t>ch</w:t>
      </w:r>
      <w:r w:rsidR="00DE0043">
        <w:rPr>
          <w:lang w:val="en-GB"/>
        </w:rPr>
        <w:t>ains and two identical light</w:t>
      </w:r>
      <w:r w:rsidRPr="0043311E">
        <w:rPr>
          <w:lang w:val="en-GB"/>
        </w:rPr>
        <w:t xml:space="preserve"> chains, covalently linked with four inter-chain </w:t>
      </w:r>
      <w:r>
        <w:rPr>
          <w:lang w:val="en-GB"/>
        </w:rPr>
        <w:t>disulphide bonds.</w:t>
      </w:r>
      <w:r w:rsidR="0062451D">
        <w:rPr>
          <w:lang w:val="en-GB"/>
        </w:rPr>
        <w:t xml:space="preserve"> </w:t>
      </w:r>
      <w:r w:rsidRPr="00BA5F5A">
        <w:rPr>
          <w:lang w:val="en-GB"/>
        </w:rPr>
        <w:t>Each light chain consists of 213 amino acids and each heavy chain 451</w:t>
      </w:r>
      <w:r w:rsidR="00324B28">
        <w:rPr>
          <w:lang w:val="en-GB"/>
        </w:rPr>
        <w:t> </w:t>
      </w:r>
      <w:r w:rsidRPr="00BA5F5A">
        <w:rPr>
          <w:lang w:val="en-GB"/>
        </w:rPr>
        <w:t>amino acids</w:t>
      </w:r>
      <w:r>
        <w:rPr>
          <w:lang w:val="en-GB"/>
        </w:rPr>
        <w:t>.</w:t>
      </w:r>
      <w:r w:rsidR="0062451D">
        <w:rPr>
          <w:lang w:val="en-GB"/>
        </w:rPr>
        <w:t xml:space="preserve"> </w:t>
      </w:r>
      <w:r>
        <w:rPr>
          <w:lang w:val="en-GB"/>
        </w:rPr>
        <w:t>The complete</w:t>
      </w:r>
      <w:r w:rsidRPr="0043311E">
        <w:rPr>
          <w:lang w:val="en-GB"/>
        </w:rPr>
        <w:t xml:space="preserve"> amino acid sequence of PF-05280586 is</w:t>
      </w:r>
      <w:r>
        <w:rPr>
          <w:lang w:val="en-GB"/>
        </w:rPr>
        <w:t xml:space="preserve"> </w:t>
      </w:r>
      <w:r w:rsidRPr="0043311E">
        <w:rPr>
          <w:lang w:val="en-GB"/>
        </w:rPr>
        <w:t>shown</w:t>
      </w:r>
      <w:r w:rsidR="00324B28">
        <w:rPr>
          <w:lang w:val="en-GB"/>
        </w:rPr>
        <w:t xml:space="preserve"> below</w:t>
      </w:r>
      <w:r w:rsidRPr="0043311E">
        <w:rPr>
          <w:lang w:val="en-GB"/>
        </w:rPr>
        <w:t xml:space="preserve"> in</w:t>
      </w:r>
      <w:r w:rsidR="00FC0358">
        <w:rPr>
          <w:lang w:val="en-GB"/>
        </w:rPr>
        <w:t xml:space="preserve"> </w:t>
      </w:r>
      <w:r w:rsidR="00FC0358">
        <w:rPr>
          <w:lang w:val="en-GB"/>
        </w:rPr>
        <w:fldChar w:fldCharType="begin"/>
      </w:r>
      <w:r w:rsidR="00FC0358">
        <w:rPr>
          <w:lang w:val="en-GB"/>
        </w:rPr>
        <w:instrText xml:space="preserve"> REF _Ref66452510 \h </w:instrText>
      </w:r>
      <w:r w:rsidR="00FC0358">
        <w:rPr>
          <w:lang w:val="en-GB"/>
        </w:rPr>
      </w:r>
      <w:r w:rsidR="00FC0358">
        <w:rPr>
          <w:lang w:val="en-GB"/>
        </w:rPr>
        <w:fldChar w:fldCharType="separate"/>
      </w:r>
      <w:r w:rsidR="00745EF2">
        <w:t xml:space="preserve">Figure </w:t>
      </w:r>
      <w:r w:rsidR="00745EF2">
        <w:rPr>
          <w:noProof/>
        </w:rPr>
        <w:t>1</w:t>
      </w:r>
      <w:r w:rsidR="00FC0358">
        <w:rPr>
          <w:lang w:val="en-GB"/>
        </w:rPr>
        <w:fldChar w:fldCharType="end"/>
      </w:r>
      <w:r>
        <w:rPr>
          <w:lang w:val="en-GB"/>
        </w:rPr>
        <w:t>.</w:t>
      </w:r>
    </w:p>
    <w:p w14:paraId="2C3115B6" w14:textId="4C42AF69" w:rsidR="0091105E" w:rsidRDefault="0091105E" w:rsidP="00FC0358">
      <w:pPr>
        <w:pStyle w:val="FigureTitle"/>
      </w:pPr>
      <w:bookmarkStart w:id="35" w:name="_Ref66452510"/>
      <w:r>
        <w:t xml:space="preserve">Figure </w:t>
      </w:r>
      <w:r>
        <w:fldChar w:fldCharType="begin"/>
      </w:r>
      <w:r>
        <w:instrText>SEQ Figure \* ARABIC</w:instrText>
      </w:r>
      <w:r>
        <w:fldChar w:fldCharType="separate"/>
      </w:r>
      <w:r w:rsidR="00745EF2">
        <w:rPr>
          <w:noProof/>
        </w:rPr>
        <w:t>1</w:t>
      </w:r>
      <w:r>
        <w:fldChar w:fldCharType="end"/>
      </w:r>
      <w:bookmarkEnd w:id="35"/>
      <w:r>
        <w:t>: Amino acid sequence of Ruxience</w:t>
      </w:r>
      <w:r w:rsidR="00324B28">
        <w:t xml:space="preserve"> </w:t>
      </w:r>
      <w:r w:rsidR="00C2412F">
        <w:t>(</w:t>
      </w:r>
      <w:r w:rsidR="00324B28">
        <w:t>rituximab</w:t>
      </w:r>
      <w:r w:rsidR="00C2412F">
        <w:t>)</w:t>
      </w:r>
    </w:p>
    <w:p w14:paraId="72A3D3EC" w14:textId="77777777" w:rsidR="0091105E" w:rsidRDefault="0091105E" w:rsidP="0091105E">
      <w:r>
        <w:rPr>
          <w:noProof/>
          <w:lang w:eastAsia="en-AU"/>
        </w:rPr>
        <w:drawing>
          <wp:inline distT="0" distB="0" distL="0" distR="0" wp14:anchorId="00CF5C22" wp14:editId="295AE16D">
            <wp:extent cx="5016974" cy="3927287"/>
            <wp:effectExtent l="0" t="0" r="0" b="0"/>
            <wp:docPr id="1" name="Picture 1" descr="Amino acid sequence of Rux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016974" cy="3927287"/>
                    </a:xfrm>
                    <a:prstGeom prst="rect">
                      <a:avLst/>
                    </a:prstGeom>
                  </pic:spPr>
                </pic:pic>
              </a:graphicData>
            </a:graphic>
          </wp:inline>
        </w:drawing>
      </w:r>
    </w:p>
    <w:p w14:paraId="64187F89" w14:textId="67AA0E4A" w:rsidR="001E0A91" w:rsidRDefault="001E0A91" w:rsidP="001E0A91">
      <w:pPr>
        <w:pStyle w:val="Heading4"/>
        <w:rPr>
          <w:lang w:val="en-GB"/>
        </w:rPr>
      </w:pPr>
      <w:r>
        <w:rPr>
          <w:lang w:val="en-GB"/>
        </w:rPr>
        <w:t>Comparison studies between Ruxience, EU-sourced rituximab and US-sourced rituximab</w:t>
      </w:r>
    </w:p>
    <w:p w14:paraId="4CC48958" w14:textId="23045AA6" w:rsidR="001E0A91" w:rsidRPr="001E0A91" w:rsidRDefault="001E0A91" w:rsidP="001E0A91">
      <w:pPr>
        <w:rPr>
          <w:lang w:val="en-GB"/>
        </w:rPr>
      </w:pPr>
      <w:r w:rsidRPr="001E0A91">
        <w:rPr>
          <w:lang w:val="en-GB"/>
        </w:rPr>
        <w:t xml:space="preserve">55 </w:t>
      </w:r>
      <w:r w:rsidR="00324B28">
        <w:rPr>
          <w:lang w:val="en-GB"/>
        </w:rPr>
        <w:t xml:space="preserve">US-sourced </w:t>
      </w:r>
      <w:r w:rsidRPr="001E0A91">
        <w:rPr>
          <w:lang w:val="en-GB"/>
        </w:rPr>
        <w:t>rituximab drug product lots (100 mg/10 mL and 500 mg/50 mL presentation</w:t>
      </w:r>
      <w:r w:rsidR="00324B28">
        <w:rPr>
          <w:lang w:val="en-GB"/>
        </w:rPr>
        <w:t>s</w:t>
      </w:r>
      <w:r w:rsidRPr="001E0A91">
        <w:rPr>
          <w:lang w:val="en-GB"/>
        </w:rPr>
        <w:t>) and 65 EU</w:t>
      </w:r>
      <w:r w:rsidR="00324B28">
        <w:rPr>
          <w:lang w:val="en-GB"/>
        </w:rPr>
        <w:t>-sourced</w:t>
      </w:r>
      <w:r w:rsidRPr="001E0A91">
        <w:rPr>
          <w:lang w:val="en-GB"/>
        </w:rPr>
        <w:t xml:space="preserve"> drug product lots (100 mg/10 mL and 500</w:t>
      </w:r>
      <w:r w:rsidR="00324B28">
        <w:rPr>
          <w:lang w:val="en-GB"/>
        </w:rPr>
        <w:t> </w:t>
      </w:r>
      <w:r w:rsidRPr="001E0A91">
        <w:rPr>
          <w:lang w:val="en-GB"/>
        </w:rPr>
        <w:t>mg/50 mL presentation) were sourced for comparison. These batch</w:t>
      </w:r>
      <w:r w:rsidR="00643740">
        <w:rPr>
          <w:lang w:val="en-GB"/>
        </w:rPr>
        <w:t xml:space="preserve">es represent nearly the full 30 </w:t>
      </w:r>
      <w:r w:rsidRPr="001E0A91">
        <w:rPr>
          <w:lang w:val="en-GB"/>
        </w:rPr>
        <w:t>month expiry period (stored at 2 ± 8°C) of the licensed rituximab product; at the start of the individual lot testing they had between 1 and 27 months remaining prior to expiry</w:t>
      </w:r>
      <w:r>
        <w:rPr>
          <w:lang w:val="en-GB"/>
        </w:rPr>
        <w:t>.</w:t>
      </w:r>
    </w:p>
    <w:p w14:paraId="411D5B15" w14:textId="4D78EC26" w:rsidR="001E0A91" w:rsidRDefault="001E0A91" w:rsidP="001E0A91">
      <w:pPr>
        <w:rPr>
          <w:lang w:val="en-GB"/>
        </w:rPr>
      </w:pPr>
      <w:r>
        <w:rPr>
          <w:lang w:val="en-GB"/>
        </w:rPr>
        <w:t>Ten</w:t>
      </w:r>
      <w:r w:rsidRPr="001E0A91">
        <w:rPr>
          <w:lang w:val="en-GB"/>
        </w:rPr>
        <w:t xml:space="preserve"> PF-05280586</w:t>
      </w:r>
      <w:r w:rsidR="00643740">
        <w:rPr>
          <w:lang w:val="en-GB"/>
        </w:rPr>
        <w:t>;</w:t>
      </w:r>
      <w:r>
        <w:rPr>
          <w:lang w:val="en-GB"/>
        </w:rPr>
        <w:fldChar w:fldCharType="begin"/>
      </w:r>
      <w:r>
        <w:rPr>
          <w:lang w:val="en-GB"/>
        </w:rPr>
        <w:instrText xml:space="preserve"> NOTEREF _Ref66453389 \f \h </w:instrText>
      </w:r>
      <w:r>
        <w:rPr>
          <w:lang w:val="en-GB"/>
        </w:rPr>
      </w:r>
      <w:r>
        <w:rPr>
          <w:lang w:val="en-GB"/>
        </w:rPr>
        <w:fldChar w:fldCharType="separate"/>
      </w:r>
      <w:r w:rsidR="00745EF2" w:rsidRPr="00745EF2">
        <w:rPr>
          <w:rStyle w:val="FootnoteReference"/>
        </w:rPr>
        <w:t>5</w:t>
      </w:r>
      <w:r>
        <w:rPr>
          <w:lang w:val="en-GB"/>
        </w:rPr>
        <w:fldChar w:fldCharType="end"/>
      </w:r>
      <w:r w:rsidRPr="001E0A91">
        <w:rPr>
          <w:lang w:val="en-GB"/>
        </w:rPr>
        <w:t xml:space="preserve"> </w:t>
      </w:r>
      <w:r>
        <w:rPr>
          <w:lang w:val="en-GB"/>
        </w:rPr>
        <w:t xml:space="preserve">drug substance </w:t>
      </w:r>
      <w:r w:rsidRPr="001E0A91">
        <w:rPr>
          <w:lang w:val="en-GB"/>
        </w:rPr>
        <w:t xml:space="preserve">batches and 12 </w:t>
      </w:r>
      <w:r>
        <w:rPr>
          <w:lang w:val="en-GB"/>
        </w:rPr>
        <w:t xml:space="preserve">drug product </w:t>
      </w:r>
      <w:r w:rsidRPr="001E0A91">
        <w:rPr>
          <w:lang w:val="en-GB"/>
        </w:rPr>
        <w:t>lots produced at the commercial scale have been included in the similarity assessment</w:t>
      </w:r>
      <w:r>
        <w:rPr>
          <w:lang w:val="en-GB"/>
        </w:rPr>
        <w:t>.</w:t>
      </w:r>
      <w:r w:rsidR="0057261A">
        <w:rPr>
          <w:lang w:val="en-GB"/>
        </w:rPr>
        <w:t xml:space="preserve"> </w:t>
      </w:r>
      <w:r>
        <w:rPr>
          <w:lang w:val="en-GB"/>
        </w:rPr>
        <w:t>In addition,</w:t>
      </w:r>
      <w:r w:rsidRPr="001E0A91">
        <w:rPr>
          <w:lang w:val="en-GB"/>
        </w:rPr>
        <w:t xml:space="preserve"> 5</w:t>
      </w:r>
      <w:r w:rsidR="00324B28">
        <w:rPr>
          <w:lang w:val="en-GB"/>
        </w:rPr>
        <w:t> </w:t>
      </w:r>
      <w:r w:rsidRPr="001E0A91">
        <w:rPr>
          <w:lang w:val="en-GB"/>
        </w:rPr>
        <w:t>PF</w:t>
      </w:r>
      <w:r w:rsidR="00324B28">
        <w:rPr>
          <w:lang w:val="en-GB"/>
        </w:rPr>
        <w:noBreakHyphen/>
      </w:r>
      <w:r w:rsidRPr="001E0A91">
        <w:rPr>
          <w:lang w:val="en-GB"/>
        </w:rPr>
        <w:t>05280586</w:t>
      </w:r>
      <w:r>
        <w:rPr>
          <w:lang w:val="en-GB"/>
        </w:rPr>
        <w:t>;</w:t>
      </w:r>
      <w:r>
        <w:rPr>
          <w:lang w:val="en-GB"/>
        </w:rPr>
        <w:fldChar w:fldCharType="begin"/>
      </w:r>
      <w:r>
        <w:rPr>
          <w:lang w:val="en-GB"/>
        </w:rPr>
        <w:instrText xml:space="preserve"> NOTEREF _Ref66453389 \f \h </w:instrText>
      </w:r>
      <w:r>
        <w:rPr>
          <w:lang w:val="en-GB"/>
        </w:rPr>
      </w:r>
      <w:r>
        <w:rPr>
          <w:lang w:val="en-GB"/>
        </w:rPr>
        <w:fldChar w:fldCharType="separate"/>
      </w:r>
      <w:r w:rsidR="00745EF2" w:rsidRPr="00745EF2">
        <w:rPr>
          <w:rStyle w:val="FootnoteReference"/>
        </w:rPr>
        <w:t>5</w:t>
      </w:r>
      <w:r>
        <w:rPr>
          <w:lang w:val="en-GB"/>
        </w:rPr>
        <w:fldChar w:fldCharType="end"/>
      </w:r>
      <w:r>
        <w:rPr>
          <w:lang w:val="en-GB"/>
        </w:rPr>
        <w:t xml:space="preserve"> development scale </w:t>
      </w:r>
      <w:r w:rsidR="00324B28">
        <w:rPr>
          <w:lang w:val="en-GB"/>
        </w:rPr>
        <w:t xml:space="preserve">drug substance </w:t>
      </w:r>
      <w:r>
        <w:rPr>
          <w:lang w:val="en-GB"/>
        </w:rPr>
        <w:t>batches</w:t>
      </w:r>
      <w:r w:rsidRPr="001E0A91">
        <w:rPr>
          <w:lang w:val="en-GB"/>
        </w:rPr>
        <w:t xml:space="preserve"> were also included in the similarity assessment</w:t>
      </w:r>
      <w:r>
        <w:rPr>
          <w:lang w:val="en-GB"/>
        </w:rPr>
        <w:t>.</w:t>
      </w:r>
    </w:p>
    <w:p w14:paraId="7B091953" w14:textId="4E35E924" w:rsidR="001E0A91" w:rsidRPr="001E0A91" w:rsidRDefault="001E0A91" w:rsidP="001E0A91">
      <w:pPr>
        <w:rPr>
          <w:lang w:val="en-GB"/>
        </w:rPr>
      </w:pPr>
      <w:r w:rsidRPr="001E0A91">
        <w:rPr>
          <w:lang w:val="en-GB"/>
        </w:rPr>
        <w:t xml:space="preserve">Comparison studies indicated that PF-05280586, </w:t>
      </w:r>
      <w:r w:rsidR="00324B28">
        <w:rPr>
          <w:lang w:val="en-GB"/>
        </w:rPr>
        <w:t xml:space="preserve">EU-sourced </w:t>
      </w:r>
      <w:r w:rsidRPr="001E0A91">
        <w:rPr>
          <w:lang w:val="en-GB"/>
        </w:rPr>
        <w:t>rituximab</w:t>
      </w:r>
      <w:r w:rsidR="00324B28">
        <w:rPr>
          <w:lang w:val="en-GB"/>
        </w:rPr>
        <w:t xml:space="preserve"> </w:t>
      </w:r>
      <w:r w:rsidRPr="001E0A91">
        <w:rPr>
          <w:lang w:val="en-GB"/>
        </w:rPr>
        <w:t xml:space="preserve">and </w:t>
      </w:r>
      <w:r w:rsidR="00324B28">
        <w:rPr>
          <w:lang w:val="en-GB"/>
        </w:rPr>
        <w:t>US</w:t>
      </w:r>
      <w:r w:rsidR="00324B28">
        <w:rPr>
          <w:lang w:val="en-GB"/>
        </w:rPr>
        <w:noBreakHyphen/>
        <w:t xml:space="preserve">sourced </w:t>
      </w:r>
      <w:r w:rsidRPr="001E0A91">
        <w:rPr>
          <w:lang w:val="en-GB"/>
        </w:rPr>
        <w:t>rituximab:</w:t>
      </w:r>
    </w:p>
    <w:p w14:paraId="5BF94281" w14:textId="4A87BED3" w:rsidR="001E0A91" w:rsidRPr="001E0A91" w:rsidRDefault="00324B28" w:rsidP="001E0A91">
      <w:pPr>
        <w:pStyle w:val="ListBullet"/>
        <w:rPr>
          <w:lang w:val="en-GB"/>
        </w:rPr>
      </w:pPr>
      <w:r>
        <w:rPr>
          <w:lang w:val="en-GB"/>
        </w:rPr>
        <w:t>h</w:t>
      </w:r>
      <w:r w:rsidRPr="001E0A91">
        <w:rPr>
          <w:lang w:val="en-GB"/>
        </w:rPr>
        <w:t xml:space="preserve">ave </w:t>
      </w:r>
      <w:r w:rsidR="001E0A91" w:rsidRPr="001E0A91">
        <w:rPr>
          <w:lang w:val="en-GB"/>
        </w:rPr>
        <w:t>identical primary structure/amino acid sequence and similar post-translational modifications</w:t>
      </w:r>
      <w:r>
        <w:rPr>
          <w:lang w:val="en-GB"/>
        </w:rPr>
        <w:t>;</w:t>
      </w:r>
    </w:p>
    <w:p w14:paraId="7C53A41B" w14:textId="5CE36326" w:rsidR="001E0A91" w:rsidRPr="001E0A91" w:rsidRDefault="00324B28" w:rsidP="001E0A91">
      <w:pPr>
        <w:pStyle w:val="ListBullet"/>
        <w:rPr>
          <w:lang w:val="en-GB"/>
        </w:rPr>
      </w:pPr>
      <w:r>
        <w:rPr>
          <w:lang w:val="en-GB"/>
        </w:rPr>
        <w:t>h</w:t>
      </w:r>
      <w:r w:rsidRPr="001E0A91">
        <w:rPr>
          <w:lang w:val="en-GB"/>
        </w:rPr>
        <w:t xml:space="preserve">ave </w:t>
      </w:r>
      <w:r w:rsidR="001E0A91" w:rsidRPr="001E0A91">
        <w:rPr>
          <w:lang w:val="en-GB"/>
        </w:rPr>
        <w:t xml:space="preserve">comparable size distribution and </w:t>
      </w:r>
      <w:r w:rsidR="00293005">
        <w:rPr>
          <w:lang w:val="en-GB"/>
        </w:rPr>
        <w:t>purity is considered comparable</w:t>
      </w:r>
      <w:r>
        <w:rPr>
          <w:lang w:val="en-GB"/>
        </w:rPr>
        <w:t>;</w:t>
      </w:r>
    </w:p>
    <w:p w14:paraId="242FC50F" w14:textId="55B45E12" w:rsidR="001E0A91" w:rsidRPr="001E0A91" w:rsidRDefault="00324B28" w:rsidP="001E0A91">
      <w:pPr>
        <w:pStyle w:val="ListBullet"/>
        <w:rPr>
          <w:lang w:val="en-GB"/>
        </w:rPr>
      </w:pPr>
      <w:r>
        <w:rPr>
          <w:lang w:val="en-GB"/>
        </w:rPr>
        <w:t>h</w:t>
      </w:r>
      <w:r w:rsidRPr="001E0A91">
        <w:rPr>
          <w:lang w:val="en-GB"/>
        </w:rPr>
        <w:t xml:space="preserve">ave </w:t>
      </w:r>
      <w:r w:rsidR="001E0A91" w:rsidRPr="001E0A91">
        <w:rPr>
          <w:lang w:val="en-GB"/>
        </w:rPr>
        <w:t>comparable higher order structure</w:t>
      </w:r>
      <w:r>
        <w:rPr>
          <w:lang w:val="en-GB"/>
        </w:rPr>
        <w:t>;</w:t>
      </w:r>
    </w:p>
    <w:p w14:paraId="384EE930" w14:textId="0D589880" w:rsidR="001E0A91" w:rsidRPr="001E0A91" w:rsidRDefault="00324B28" w:rsidP="001E0A91">
      <w:pPr>
        <w:pStyle w:val="ListBullet"/>
        <w:rPr>
          <w:lang w:val="en-GB"/>
        </w:rPr>
      </w:pPr>
      <w:r>
        <w:rPr>
          <w:lang w:val="en-GB"/>
        </w:rPr>
        <w:t>h</w:t>
      </w:r>
      <w:r w:rsidRPr="001E0A91">
        <w:rPr>
          <w:lang w:val="en-GB"/>
        </w:rPr>
        <w:t>ave</w:t>
      </w:r>
      <w:r>
        <w:rPr>
          <w:lang w:val="en-GB"/>
        </w:rPr>
        <w:t xml:space="preserve"> </w:t>
      </w:r>
      <w:r w:rsidR="00293005">
        <w:rPr>
          <w:lang w:val="en-GB"/>
        </w:rPr>
        <w:t>highly similar charge variants/</w:t>
      </w:r>
      <w:r w:rsidR="001E0A91" w:rsidRPr="001E0A91">
        <w:rPr>
          <w:lang w:val="en-GB"/>
        </w:rPr>
        <w:t>hydrophobic heterogeneity; although differences in charge variants</w:t>
      </w:r>
      <w:r>
        <w:rPr>
          <w:lang w:val="en-GB"/>
        </w:rPr>
        <w:t>;</w:t>
      </w:r>
    </w:p>
    <w:p w14:paraId="38ADB806" w14:textId="0E3519DF" w:rsidR="001E0A91" w:rsidRPr="001E0A91" w:rsidRDefault="00324B28" w:rsidP="001E0A91">
      <w:pPr>
        <w:pStyle w:val="ListBullet"/>
        <w:rPr>
          <w:lang w:val="en-GB"/>
        </w:rPr>
      </w:pPr>
      <w:r>
        <w:rPr>
          <w:lang w:val="en-GB"/>
        </w:rPr>
        <w:t>h</w:t>
      </w:r>
      <w:r w:rsidRPr="001E0A91">
        <w:rPr>
          <w:lang w:val="en-GB"/>
        </w:rPr>
        <w:t xml:space="preserve">ave </w:t>
      </w:r>
      <w:r w:rsidR="001E0A91" w:rsidRPr="001E0A91">
        <w:rPr>
          <w:lang w:val="en-GB"/>
        </w:rPr>
        <w:t>comparable protein content</w:t>
      </w:r>
      <w:r>
        <w:rPr>
          <w:lang w:val="en-GB"/>
        </w:rPr>
        <w:t>;</w:t>
      </w:r>
    </w:p>
    <w:p w14:paraId="6DF8DE25" w14:textId="10A71AFD" w:rsidR="001E0A91" w:rsidRPr="001E0A91" w:rsidRDefault="00324B28" w:rsidP="001E0A91">
      <w:pPr>
        <w:pStyle w:val="ListBullet"/>
        <w:rPr>
          <w:lang w:val="en-GB"/>
        </w:rPr>
      </w:pPr>
      <w:r>
        <w:rPr>
          <w:lang w:val="en-GB"/>
        </w:rPr>
        <w:t>h</w:t>
      </w:r>
      <w:r w:rsidRPr="495A7789">
        <w:rPr>
          <w:lang w:val="en-GB"/>
        </w:rPr>
        <w:t xml:space="preserve">ave </w:t>
      </w:r>
      <w:r w:rsidR="001E0A91" w:rsidRPr="495A7789">
        <w:rPr>
          <w:lang w:val="en-GB"/>
        </w:rPr>
        <w:t>comparable total afucosylation and total galactosylation in glycan analysis</w:t>
      </w:r>
      <w:r>
        <w:rPr>
          <w:lang w:val="en-GB"/>
        </w:rPr>
        <w:t>; and</w:t>
      </w:r>
    </w:p>
    <w:p w14:paraId="10A8BE0B" w14:textId="2973BD01" w:rsidR="001E0A91" w:rsidRPr="001E0A91" w:rsidRDefault="00324B28" w:rsidP="00293005">
      <w:pPr>
        <w:pStyle w:val="ListBullet"/>
        <w:rPr>
          <w:lang w:val="en-GB"/>
        </w:rPr>
      </w:pPr>
      <w:r>
        <w:rPr>
          <w:lang w:val="en-GB"/>
        </w:rPr>
        <w:t xml:space="preserve">have </w:t>
      </w:r>
      <w:r w:rsidR="00293005">
        <w:rPr>
          <w:lang w:val="en-GB"/>
        </w:rPr>
        <w:t xml:space="preserve">comparable </w:t>
      </w:r>
      <w:r w:rsidR="00293005" w:rsidRPr="00293005">
        <w:rPr>
          <w:i/>
          <w:lang w:val="en-GB"/>
        </w:rPr>
        <w:t>i</w:t>
      </w:r>
      <w:r w:rsidR="001E0A91" w:rsidRPr="00293005">
        <w:rPr>
          <w:i/>
          <w:lang w:val="en-GB"/>
        </w:rPr>
        <w:t>n vitro</w:t>
      </w:r>
      <w:r w:rsidR="001E0A91" w:rsidRPr="001E0A91">
        <w:rPr>
          <w:lang w:val="en-GB"/>
        </w:rPr>
        <w:t xml:space="preserve"> biological activity/potency as in CD20-binding and apoptosis; </w:t>
      </w:r>
      <w:r w:rsidR="001E0A91" w:rsidRPr="00293005">
        <w:rPr>
          <w:i/>
          <w:lang w:val="en-GB"/>
        </w:rPr>
        <w:t>in vitro</w:t>
      </w:r>
      <w:r w:rsidR="001E0A91" w:rsidRPr="001E0A91">
        <w:rPr>
          <w:lang w:val="en-GB"/>
        </w:rPr>
        <w:t xml:space="preserve"> </w:t>
      </w:r>
      <w:r w:rsidR="00293005" w:rsidRPr="00293005">
        <w:rPr>
          <w:lang w:val="en-GB"/>
        </w:rPr>
        <w:t xml:space="preserve">complement-dependent cytotoxicity </w:t>
      </w:r>
      <w:r w:rsidR="00293005">
        <w:rPr>
          <w:lang w:val="en-GB"/>
        </w:rPr>
        <w:t>(</w:t>
      </w:r>
      <w:r w:rsidR="001E0A91" w:rsidRPr="001E0A91">
        <w:rPr>
          <w:lang w:val="en-GB"/>
        </w:rPr>
        <w:t>CDC</w:t>
      </w:r>
      <w:r w:rsidR="00293005">
        <w:rPr>
          <w:lang w:val="en-GB"/>
        </w:rPr>
        <w:t>)</w:t>
      </w:r>
      <w:r w:rsidR="001E0A91" w:rsidRPr="001E0A91">
        <w:rPr>
          <w:lang w:val="en-GB"/>
        </w:rPr>
        <w:t xml:space="preserve"> and </w:t>
      </w:r>
      <w:r w:rsidR="00293005">
        <w:rPr>
          <w:lang w:val="en-GB"/>
        </w:rPr>
        <w:t>c</w:t>
      </w:r>
      <w:r w:rsidR="00293005" w:rsidRPr="00293005">
        <w:rPr>
          <w:lang w:val="en-GB"/>
        </w:rPr>
        <w:t xml:space="preserve">omplement component 1q </w:t>
      </w:r>
      <w:r w:rsidR="00293005">
        <w:rPr>
          <w:lang w:val="en-GB"/>
        </w:rPr>
        <w:t>(</w:t>
      </w:r>
      <w:r w:rsidR="001E0A91" w:rsidRPr="001E0A91">
        <w:rPr>
          <w:lang w:val="en-GB"/>
        </w:rPr>
        <w:t>C1q</w:t>
      </w:r>
      <w:r w:rsidR="00293005">
        <w:rPr>
          <w:lang w:val="en-GB"/>
        </w:rPr>
        <w:t>) binding; fragment crystallis</w:t>
      </w:r>
      <w:r w:rsidR="00293005" w:rsidRPr="00293005">
        <w:rPr>
          <w:lang w:val="en-GB"/>
        </w:rPr>
        <w:t xml:space="preserve">able </w:t>
      </w:r>
      <w:r w:rsidR="00293005">
        <w:rPr>
          <w:lang w:val="en-GB"/>
        </w:rPr>
        <w:t>(Fc)</w:t>
      </w:r>
      <w:r w:rsidR="001E0A91" w:rsidRPr="001E0A91">
        <w:rPr>
          <w:lang w:val="en-GB"/>
        </w:rPr>
        <w:t xml:space="preserve">ɤRIIIa 158V binding and </w:t>
      </w:r>
      <w:r w:rsidR="00293005">
        <w:rPr>
          <w:lang w:val="en-GB"/>
        </w:rPr>
        <w:t>natural killer (</w:t>
      </w:r>
      <w:r w:rsidR="001E0A91" w:rsidRPr="001E0A91">
        <w:rPr>
          <w:lang w:val="en-GB"/>
        </w:rPr>
        <w:t>NK</w:t>
      </w:r>
      <w:r w:rsidR="00293005">
        <w:rPr>
          <w:lang w:val="en-GB"/>
        </w:rPr>
        <w:t>)</w:t>
      </w:r>
      <w:r w:rsidR="001E0A91" w:rsidRPr="001E0A91">
        <w:rPr>
          <w:lang w:val="en-GB"/>
        </w:rPr>
        <w:t xml:space="preserve"> </w:t>
      </w:r>
      <w:r w:rsidR="00293005">
        <w:rPr>
          <w:lang w:val="en-GB"/>
        </w:rPr>
        <w:t>a</w:t>
      </w:r>
      <w:r w:rsidR="00293005" w:rsidRPr="00293005">
        <w:rPr>
          <w:lang w:val="en-GB"/>
        </w:rPr>
        <w:t xml:space="preserve">ntibody-dependent cell-mediated cytotoxicity </w:t>
      </w:r>
      <w:r w:rsidR="00293005">
        <w:rPr>
          <w:lang w:val="en-GB"/>
        </w:rPr>
        <w:t>(</w:t>
      </w:r>
      <w:r w:rsidR="001E0A91" w:rsidRPr="001E0A91">
        <w:rPr>
          <w:lang w:val="en-GB"/>
        </w:rPr>
        <w:t>ADCC</w:t>
      </w:r>
      <w:r w:rsidR="00293005">
        <w:rPr>
          <w:lang w:val="en-GB"/>
        </w:rPr>
        <w:t>)</w:t>
      </w:r>
      <w:r w:rsidR="001E0A91" w:rsidRPr="001E0A91">
        <w:rPr>
          <w:lang w:val="en-GB"/>
        </w:rPr>
        <w:t xml:space="preserve"> (V/V, V/F), FcɤRIIa-binding, FcRn-binding, and a cell based antibody-dependent cellular phagocytosis (A</w:t>
      </w:r>
      <w:r w:rsidR="001E0A91">
        <w:rPr>
          <w:lang w:val="en-GB"/>
        </w:rPr>
        <w:t>DCP) reporter gene assay (RGA).</w:t>
      </w:r>
    </w:p>
    <w:p w14:paraId="10657055" w14:textId="13B83432" w:rsidR="001E0A91" w:rsidRDefault="001E0A91" w:rsidP="001E0A91">
      <w:pPr>
        <w:rPr>
          <w:lang w:val="en-GB"/>
        </w:rPr>
      </w:pPr>
      <w:r w:rsidRPr="001E0A91">
        <w:rPr>
          <w:lang w:val="en-GB"/>
        </w:rPr>
        <w:t xml:space="preserve">Taken all attributes evaluated, PF-05280586, </w:t>
      </w:r>
      <w:r w:rsidR="00B365B0">
        <w:rPr>
          <w:lang w:val="en-GB"/>
        </w:rPr>
        <w:t xml:space="preserve">EU-sourced </w:t>
      </w:r>
      <w:r w:rsidRPr="001E0A91">
        <w:rPr>
          <w:lang w:val="en-GB"/>
        </w:rPr>
        <w:t xml:space="preserve">rituximab and </w:t>
      </w:r>
      <w:r w:rsidR="00B365B0">
        <w:rPr>
          <w:lang w:val="en-GB"/>
        </w:rPr>
        <w:t xml:space="preserve">US-sourced </w:t>
      </w:r>
      <w:r w:rsidRPr="001E0A91">
        <w:rPr>
          <w:lang w:val="en-GB"/>
        </w:rPr>
        <w:t>rituximab are considered highly similar</w:t>
      </w:r>
      <w:r>
        <w:rPr>
          <w:lang w:val="en-GB"/>
        </w:rPr>
        <w:t>.</w:t>
      </w:r>
    </w:p>
    <w:p w14:paraId="4020C446" w14:textId="3EC2D878" w:rsidR="001E0A91" w:rsidRPr="001E0A91" w:rsidRDefault="001E0A91" w:rsidP="001E0A91">
      <w:pPr>
        <w:pStyle w:val="Heading4"/>
        <w:rPr>
          <w:lang w:val="en-GB"/>
        </w:rPr>
      </w:pPr>
      <w:r w:rsidRPr="001E0A91">
        <w:rPr>
          <w:lang w:val="en-GB"/>
        </w:rPr>
        <w:t>Bridging study with Australian</w:t>
      </w:r>
      <w:r w:rsidR="00B365B0">
        <w:rPr>
          <w:lang w:val="en-GB"/>
        </w:rPr>
        <w:t>-sourced rituximab</w:t>
      </w:r>
    </w:p>
    <w:p w14:paraId="6A99B24E" w14:textId="7D348961" w:rsidR="001E0A91" w:rsidRDefault="001E0A91" w:rsidP="001E0A91">
      <w:pPr>
        <w:rPr>
          <w:lang w:val="en-GB"/>
        </w:rPr>
      </w:pPr>
      <w:r w:rsidRPr="495A7789">
        <w:rPr>
          <w:lang w:val="en-GB"/>
        </w:rPr>
        <w:t>The sponsor al</w:t>
      </w:r>
      <w:r w:rsidR="004860DD" w:rsidRPr="495A7789">
        <w:rPr>
          <w:lang w:val="en-GB"/>
        </w:rPr>
        <w:t xml:space="preserve">so sourced </w:t>
      </w:r>
      <w:r w:rsidR="00B365B0">
        <w:rPr>
          <w:lang w:val="en-GB"/>
        </w:rPr>
        <w:t>four</w:t>
      </w:r>
      <w:r w:rsidR="004860DD" w:rsidRPr="495A7789">
        <w:rPr>
          <w:lang w:val="en-GB"/>
        </w:rPr>
        <w:t xml:space="preserve"> batches of</w:t>
      </w:r>
      <w:r w:rsidR="0033401D">
        <w:rPr>
          <w:lang w:val="en-GB"/>
        </w:rPr>
        <w:t xml:space="preserve"> </w:t>
      </w:r>
      <w:r w:rsidR="00B365B0">
        <w:rPr>
          <w:lang w:val="en-GB"/>
        </w:rPr>
        <w:t>rituximab (</w:t>
      </w:r>
      <w:r w:rsidRPr="495A7789">
        <w:rPr>
          <w:lang w:val="en-GB"/>
        </w:rPr>
        <w:t>MabThera</w:t>
      </w:r>
      <w:r w:rsidR="00B365B0">
        <w:rPr>
          <w:lang w:val="en-GB"/>
        </w:rPr>
        <w:t>)</w:t>
      </w:r>
      <w:r w:rsidRPr="495A7789">
        <w:rPr>
          <w:lang w:val="en-GB"/>
        </w:rPr>
        <w:t xml:space="preserve"> from the Australian market for further comparison.</w:t>
      </w:r>
    </w:p>
    <w:p w14:paraId="35F3482E" w14:textId="219B5ED9" w:rsidR="001E0A91" w:rsidRPr="001E0A91" w:rsidRDefault="001E0A91" w:rsidP="001E0A91">
      <w:pPr>
        <w:rPr>
          <w:lang w:val="en-GB"/>
        </w:rPr>
      </w:pPr>
      <w:r w:rsidRPr="217310A4">
        <w:rPr>
          <w:lang w:val="en-GB"/>
        </w:rPr>
        <w:t xml:space="preserve">The bridge study confirmed that </w:t>
      </w:r>
      <w:r w:rsidR="00B365B0">
        <w:rPr>
          <w:lang w:val="en-GB"/>
        </w:rPr>
        <w:t>MabThera (Australian-sourced rituximab)</w:t>
      </w:r>
      <w:r w:rsidRPr="217310A4">
        <w:rPr>
          <w:lang w:val="en-GB"/>
        </w:rPr>
        <w:t xml:space="preserve"> is highly similar to </w:t>
      </w:r>
      <w:r w:rsidR="00483C33">
        <w:rPr>
          <w:lang w:val="en-GB"/>
        </w:rPr>
        <w:t>Rituxan</w:t>
      </w:r>
      <w:r w:rsidR="00B365B0">
        <w:rPr>
          <w:lang w:val="en-GB"/>
        </w:rPr>
        <w:t xml:space="preserve"> and</w:t>
      </w:r>
      <w:r w:rsidR="00483C33">
        <w:rPr>
          <w:lang w:val="en-GB"/>
        </w:rPr>
        <w:t xml:space="preserve"> </w:t>
      </w:r>
      <w:r w:rsidRPr="217310A4">
        <w:rPr>
          <w:lang w:val="en-GB"/>
        </w:rPr>
        <w:t>MabThera sourced from the US and EU markets</w:t>
      </w:r>
      <w:r w:rsidR="00483C33">
        <w:rPr>
          <w:lang w:val="en-GB"/>
        </w:rPr>
        <w:t xml:space="preserve"> respectively</w:t>
      </w:r>
      <w:r w:rsidR="00483C33" w:rsidRPr="217310A4">
        <w:rPr>
          <w:lang w:val="en-GB"/>
        </w:rPr>
        <w:t>.</w:t>
      </w:r>
    </w:p>
    <w:p w14:paraId="0E5AF539" w14:textId="0E2CB500" w:rsidR="001E0A91" w:rsidRDefault="001E0A91" w:rsidP="001E0A91">
      <w:pPr>
        <w:rPr>
          <w:lang w:val="en-GB"/>
        </w:rPr>
      </w:pPr>
      <w:r w:rsidRPr="495A7789">
        <w:rPr>
          <w:lang w:val="en-GB"/>
        </w:rPr>
        <w:t>Overall, it c</w:t>
      </w:r>
      <w:r w:rsidR="004860DD" w:rsidRPr="495A7789">
        <w:rPr>
          <w:lang w:val="en-GB"/>
        </w:rPr>
        <w:t>an be concluded that PF-0528058</w:t>
      </w:r>
      <w:r w:rsidR="00483C33">
        <w:rPr>
          <w:lang w:val="en-GB"/>
        </w:rPr>
        <w:t>6</w:t>
      </w:r>
      <w:r w:rsidR="00B365B0">
        <w:rPr>
          <w:lang w:val="en-GB"/>
        </w:rPr>
        <w:t xml:space="preserve"> (Ruxience)</w:t>
      </w:r>
      <w:r w:rsidRPr="495A7789">
        <w:rPr>
          <w:lang w:val="en-GB"/>
        </w:rPr>
        <w:t xml:space="preserve"> is highly similar to </w:t>
      </w:r>
      <w:r w:rsidR="00B365B0">
        <w:rPr>
          <w:lang w:val="en-GB"/>
        </w:rPr>
        <w:t xml:space="preserve">US-sourced </w:t>
      </w:r>
      <w:r w:rsidR="00483C33">
        <w:rPr>
          <w:lang w:val="en-GB"/>
        </w:rPr>
        <w:t>Rituxan</w:t>
      </w:r>
      <w:r w:rsidR="00B365B0">
        <w:rPr>
          <w:lang w:val="en-GB"/>
        </w:rPr>
        <w:t xml:space="preserve"> and EU</w:t>
      </w:r>
      <w:r w:rsidR="00B365B0">
        <w:rPr>
          <w:lang w:val="en-GB"/>
        </w:rPr>
        <w:noBreakHyphen/>
        <w:t xml:space="preserve"> and Australian</w:t>
      </w:r>
      <w:r w:rsidR="00B365B0">
        <w:rPr>
          <w:lang w:val="en-GB"/>
        </w:rPr>
        <w:noBreakHyphen/>
        <w:t xml:space="preserve">sourced </w:t>
      </w:r>
      <w:r w:rsidRPr="495A7789">
        <w:rPr>
          <w:lang w:val="en-GB"/>
        </w:rPr>
        <w:t>MabThera in term</w:t>
      </w:r>
      <w:r w:rsidR="00B365B0">
        <w:rPr>
          <w:lang w:val="en-GB"/>
        </w:rPr>
        <w:t>s</w:t>
      </w:r>
      <w:r w:rsidRPr="495A7789">
        <w:rPr>
          <w:lang w:val="en-GB"/>
        </w:rPr>
        <w:t xml:space="preserve"> of protein content, amino acid sequence, physical integrity, secondary and higher order structure, charge and glycan isoforms and bioactivity and functionality.</w:t>
      </w:r>
    </w:p>
    <w:p w14:paraId="15C63E88" w14:textId="77777777" w:rsidR="00FC0358" w:rsidRDefault="00FC0358" w:rsidP="00006FAB">
      <w:pPr>
        <w:rPr>
          <w:lang w:val="en-GB"/>
        </w:rPr>
      </w:pPr>
      <w:r>
        <w:rPr>
          <w:lang w:val="en-GB"/>
        </w:rPr>
        <w:t>The quality evaluator has no</w:t>
      </w:r>
      <w:r w:rsidRPr="00FC0358">
        <w:rPr>
          <w:lang w:val="en-GB"/>
        </w:rPr>
        <w:t xml:space="preserve"> objections to marketing of R</w:t>
      </w:r>
      <w:r>
        <w:rPr>
          <w:lang w:val="en-GB"/>
        </w:rPr>
        <w:t>uxience.</w:t>
      </w:r>
    </w:p>
    <w:p w14:paraId="2BAE35FB" w14:textId="77777777" w:rsidR="008E7846" w:rsidRDefault="008E7846" w:rsidP="008E7846">
      <w:pPr>
        <w:pStyle w:val="Heading3"/>
      </w:pPr>
      <w:bookmarkStart w:id="36" w:name="_Toc314842512"/>
      <w:bookmarkStart w:id="37" w:name="_Toc71098530"/>
      <w:r>
        <w:t>Nonclinical</w:t>
      </w:r>
      <w:bookmarkEnd w:id="36"/>
      <w:bookmarkEnd w:id="37"/>
    </w:p>
    <w:p w14:paraId="5347257A" w14:textId="77777777" w:rsidR="00FC0358" w:rsidRDefault="00FC0358" w:rsidP="00FC0358">
      <w:r>
        <w:t>The nonclinical dossier contained comparative data on pharmacokinetics (from toxicity studies), single- and repeat-dose toxicity and a nucleotide polymorphisms (SNP) analysis of samples from the toxicity studies. The scope of the nonclinical program is adequate under the relevant EU guideline. The studies were conducted using EU-sourced Mabthera as the reference product. No data were provided in nonclinical module to verify the comparability of the EU-sourced and Australian-sourced Mabthera.</w:t>
      </w:r>
    </w:p>
    <w:p w14:paraId="3A6526A3" w14:textId="77777777" w:rsidR="00FC0358" w:rsidRDefault="00FC0358" w:rsidP="00FC0358">
      <w:r>
        <w:t>No meaningful differences between Ruxience and Mabthera were observed in the comparative pharmacology, pharmacokinetic and toxicity studies.</w:t>
      </w:r>
    </w:p>
    <w:p w14:paraId="7BD7518A" w14:textId="77777777" w:rsidR="008E7846" w:rsidRDefault="008E3831" w:rsidP="00FC0358">
      <w:r>
        <w:t>T</w:t>
      </w:r>
      <w:r w:rsidR="00FC0358">
        <w:t xml:space="preserve">here are no nonclinical objections to the registration of </w:t>
      </w:r>
      <w:r>
        <w:t>Ruxience</w:t>
      </w:r>
      <w:r w:rsidR="00006FAB">
        <w:t>.</w:t>
      </w:r>
    </w:p>
    <w:p w14:paraId="12EF45D0" w14:textId="77777777" w:rsidR="008E7846" w:rsidRDefault="008E7846" w:rsidP="008E7846">
      <w:pPr>
        <w:pStyle w:val="Heading3"/>
      </w:pPr>
      <w:bookmarkStart w:id="38" w:name="_Toc247691530"/>
      <w:bookmarkStart w:id="39" w:name="_Toc314842513"/>
      <w:bookmarkStart w:id="40" w:name="_Toc71098531"/>
      <w:r>
        <w:t>Clinical</w:t>
      </w:r>
      <w:bookmarkEnd w:id="38"/>
      <w:bookmarkEnd w:id="39"/>
      <w:bookmarkEnd w:id="40"/>
    </w:p>
    <w:p w14:paraId="5A11EDF9" w14:textId="77777777" w:rsidR="00096A7E" w:rsidRDefault="001C2C11" w:rsidP="001C2C11">
      <w:pPr>
        <w:pStyle w:val="Heading4"/>
        <w:rPr>
          <w:lang w:eastAsia="ja-JP"/>
        </w:rPr>
      </w:pPr>
      <w:bookmarkStart w:id="41" w:name="_Toc314842514"/>
      <w:r w:rsidRPr="001C2C11">
        <w:rPr>
          <w:lang w:eastAsia="ja-JP"/>
        </w:rPr>
        <w:t>Pharmacology</w:t>
      </w:r>
    </w:p>
    <w:p w14:paraId="79585F66" w14:textId="5CD7B49E" w:rsidR="001C2C11" w:rsidRDefault="001C2C11" w:rsidP="00096A7E">
      <w:pPr>
        <w:rPr>
          <w:lang w:eastAsia="ja-JP"/>
        </w:rPr>
      </w:pPr>
      <w:r w:rsidRPr="001C2C11">
        <w:rPr>
          <w:lang w:eastAsia="ja-JP"/>
        </w:rPr>
        <w:t>Com</w:t>
      </w:r>
      <w:r w:rsidR="004860DD">
        <w:rPr>
          <w:lang w:eastAsia="ja-JP"/>
        </w:rPr>
        <w:t>parable results of PF-05280586</w:t>
      </w:r>
      <w:r w:rsidR="00B365B0">
        <w:rPr>
          <w:lang w:eastAsia="ja-JP"/>
        </w:rPr>
        <w:t xml:space="preserve"> (Ruxience)</w:t>
      </w:r>
      <w:r w:rsidRPr="001C2C11">
        <w:rPr>
          <w:lang w:eastAsia="ja-JP"/>
        </w:rPr>
        <w:t xml:space="preserve"> with </w:t>
      </w:r>
      <w:r w:rsidR="00B365B0">
        <w:rPr>
          <w:lang w:eastAsia="ja-JP"/>
        </w:rPr>
        <w:t xml:space="preserve">US-sourced </w:t>
      </w:r>
      <w:r w:rsidRPr="001C2C11">
        <w:rPr>
          <w:lang w:eastAsia="ja-JP"/>
        </w:rPr>
        <w:t xml:space="preserve">rituximab, and </w:t>
      </w:r>
      <w:r w:rsidR="00B365B0">
        <w:rPr>
          <w:lang w:eastAsia="ja-JP"/>
        </w:rPr>
        <w:t>EU</w:t>
      </w:r>
      <w:r w:rsidR="00B365B0">
        <w:rPr>
          <w:lang w:eastAsia="ja-JP"/>
        </w:rPr>
        <w:noBreakHyphen/>
        <w:t xml:space="preserve">sourced </w:t>
      </w:r>
      <w:r w:rsidRPr="001C2C11">
        <w:rPr>
          <w:lang w:eastAsia="ja-JP"/>
        </w:rPr>
        <w:t xml:space="preserve">rituximab were found in terms of their ability to bind to CD20, for inducing apoptosis and also for binding to C1q and inducing </w:t>
      </w:r>
      <w:r w:rsidR="004860DD">
        <w:rPr>
          <w:lang w:eastAsia="ja-JP"/>
        </w:rPr>
        <w:t>CDC</w:t>
      </w:r>
      <w:r>
        <w:rPr>
          <w:lang w:eastAsia="ja-JP"/>
        </w:rPr>
        <w:t>.</w:t>
      </w:r>
    </w:p>
    <w:p w14:paraId="5901E542" w14:textId="77777777" w:rsidR="001C2C11" w:rsidRDefault="001C2C11" w:rsidP="001C2C11">
      <w:pPr>
        <w:pStyle w:val="Heading5"/>
        <w:rPr>
          <w:lang w:eastAsia="ja-JP"/>
        </w:rPr>
      </w:pPr>
      <w:r w:rsidRPr="001C2C11">
        <w:rPr>
          <w:lang w:eastAsia="ja-JP"/>
        </w:rPr>
        <w:t>Pharmacokinetics</w:t>
      </w:r>
    </w:p>
    <w:p w14:paraId="79AAF7A2" w14:textId="61FE85D2" w:rsidR="001C2C11" w:rsidRDefault="001C2C11" w:rsidP="001C2C11">
      <w:pPr>
        <w:pStyle w:val="TableTitle"/>
      </w:pPr>
      <w:r w:rsidRPr="001C2C11">
        <w:t xml:space="preserve">Table </w:t>
      </w:r>
      <w:r>
        <w:fldChar w:fldCharType="begin"/>
      </w:r>
      <w:r>
        <w:instrText>SEQ Table \* ARABIC</w:instrText>
      </w:r>
      <w:r>
        <w:fldChar w:fldCharType="separate"/>
      </w:r>
      <w:r w:rsidR="00745EF2">
        <w:rPr>
          <w:noProof/>
        </w:rPr>
        <w:t>3</w:t>
      </w:r>
      <w:r>
        <w:fldChar w:fldCharType="end"/>
      </w:r>
      <w:r>
        <w:t xml:space="preserve">: </w:t>
      </w:r>
      <w:r w:rsidR="004860DD">
        <w:t>Tabular o</w:t>
      </w:r>
      <w:r w:rsidRPr="001C2C11">
        <w:t>verview</w:t>
      </w:r>
      <w:r w:rsidR="004860DD">
        <w:t xml:space="preserve"> of clinical studies conducted for the evaluation of pharmacokinetics, pharmacodynamics, safety, efficacy and i</w:t>
      </w:r>
      <w:r w:rsidRPr="001C2C11">
        <w:t>mmunogenicity</w:t>
      </w:r>
    </w:p>
    <w:tbl>
      <w:tblPr>
        <w:tblStyle w:val="TableTGAblue"/>
        <w:tblW w:w="4840" w:type="pct"/>
        <w:tblLook w:val="04A0" w:firstRow="1" w:lastRow="0" w:firstColumn="1" w:lastColumn="0" w:noHBand="0" w:noVBand="1"/>
      </w:tblPr>
      <w:tblGrid>
        <w:gridCol w:w="1375"/>
        <w:gridCol w:w="3367"/>
        <w:gridCol w:w="1881"/>
        <w:gridCol w:w="1590"/>
      </w:tblGrid>
      <w:tr w:rsidR="004F186D" w:rsidRPr="004F186D" w14:paraId="31143AE8" w14:textId="77777777" w:rsidTr="00B91789">
        <w:trPr>
          <w:cnfStyle w:val="100000000000" w:firstRow="1" w:lastRow="0" w:firstColumn="0" w:lastColumn="0" w:oddVBand="0" w:evenVBand="0" w:oddHBand="0" w:evenHBand="0" w:firstRowFirstColumn="0" w:firstRowLastColumn="0" w:lastRowFirstColumn="0" w:lastRowLastColumn="0"/>
        </w:trPr>
        <w:tc>
          <w:tcPr>
            <w:tcW w:w="837" w:type="pct"/>
            <w:hideMark/>
          </w:tcPr>
          <w:p w14:paraId="3C0BD357" w14:textId="7279349B" w:rsidR="00B365B0" w:rsidRPr="00C2412F" w:rsidRDefault="00B365B0" w:rsidP="00C2412F">
            <w:pPr>
              <w:ind w:left="0"/>
            </w:pPr>
            <w:r w:rsidRPr="00C2412F">
              <w:rPr>
                <w:lang w:eastAsia="en-US"/>
              </w:rPr>
              <w:t xml:space="preserve">Study </w:t>
            </w:r>
            <w:r w:rsidR="00B35DA7">
              <w:t>ID</w:t>
            </w:r>
          </w:p>
        </w:tc>
        <w:tc>
          <w:tcPr>
            <w:tcW w:w="2050" w:type="pct"/>
            <w:hideMark/>
          </w:tcPr>
          <w:p w14:paraId="2CB776E4" w14:textId="6BE7C425" w:rsidR="00B365B0" w:rsidRPr="00C2412F" w:rsidRDefault="00B365B0" w:rsidP="00C2412F">
            <w:pPr>
              <w:ind w:left="0"/>
            </w:pPr>
            <w:r w:rsidRPr="00C2412F">
              <w:rPr>
                <w:lang w:eastAsia="en-US"/>
              </w:rPr>
              <w:t xml:space="preserve">Protocol </w:t>
            </w:r>
            <w:r w:rsidR="004F186D">
              <w:t>t</w:t>
            </w:r>
            <w:r w:rsidRPr="00C2412F">
              <w:rPr>
                <w:lang w:eastAsia="en-US"/>
              </w:rPr>
              <w:t>itle</w:t>
            </w:r>
          </w:p>
        </w:tc>
        <w:tc>
          <w:tcPr>
            <w:tcW w:w="1145" w:type="pct"/>
            <w:hideMark/>
          </w:tcPr>
          <w:p w14:paraId="1558CAD8" w14:textId="77777777" w:rsidR="00B365B0" w:rsidRPr="00C2412F" w:rsidRDefault="00B365B0" w:rsidP="00C2412F">
            <w:pPr>
              <w:ind w:left="0"/>
            </w:pPr>
            <w:r w:rsidRPr="00C2412F">
              <w:rPr>
                <w:lang w:eastAsia="en-US"/>
              </w:rPr>
              <w:t>Status</w:t>
            </w:r>
          </w:p>
        </w:tc>
        <w:tc>
          <w:tcPr>
            <w:tcW w:w="968" w:type="pct"/>
            <w:hideMark/>
          </w:tcPr>
          <w:p w14:paraId="0A6A74EC" w14:textId="77777777" w:rsidR="00B365B0" w:rsidRPr="00C2412F" w:rsidRDefault="00B365B0" w:rsidP="00C2412F">
            <w:pPr>
              <w:ind w:left="0"/>
            </w:pPr>
            <w:r w:rsidRPr="00C2412F">
              <w:rPr>
                <w:lang w:eastAsia="en-US"/>
              </w:rPr>
              <w:t>Number of Subjects or Patients Treated/PK</w:t>
            </w:r>
          </w:p>
        </w:tc>
      </w:tr>
      <w:tr w:rsidR="00B35DA7" w:rsidRPr="004F186D" w14:paraId="717B26C6" w14:textId="77777777" w:rsidTr="00B91789">
        <w:tc>
          <w:tcPr>
            <w:tcW w:w="837" w:type="pct"/>
            <w:hideMark/>
          </w:tcPr>
          <w:p w14:paraId="7024A075" w14:textId="77777777" w:rsidR="00B365B0" w:rsidRPr="00C2412F" w:rsidRDefault="00B365B0" w:rsidP="00C2412F">
            <w:pPr>
              <w:ind w:left="0"/>
            </w:pPr>
            <w:r w:rsidRPr="00C2412F">
              <w:rPr>
                <w:lang w:eastAsia="en-US"/>
              </w:rPr>
              <w:t>Study B3281001</w:t>
            </w:r>
          </w:p>
        </w:tc>
        <w:tc>
          <w:tcPr>
            <w:tcW w:w="2050" w:type="pct"/>
            <w:hideMark/>
          </w:tcPr>
          <w:p w14:paraId="482CA1F6" w14:textId="4CFEE252" w:rsidR="00B365B0" w:rsidRPr="00C2412F" w:rsidRDefault="00B365B0" w:rsidP="00C2412F">
            <w:pPr>
              <w:ind w:left="0"/>
            </w:pPr>
            <w:r w:rsidRPr="00C2412F">
              <w:rPr>
                <w:lang w:eastAsia="en-US"/>
              </w:rPr>
              <w:t xml:space="preserve">A </w:t>
            </w:r>
            <w:r w:rsidR="004F186D" w:rsidRPr="00C2412F">
              <w:rPr>
                <w:lang w:eastAsia="en-US"/>
              </w:rPr>
              <w:t>randomi</w:t>
            </w:r>
            <w:r w:rsidR="004F186D">
              <w:t>s</w:t>
            </w:r>
            <w:r w:rsidR="004F186D" w:rsidRPr="00C2412F">
              <w:rPr>
                <w:lang w:eastAsia="en-US"/>
              </w:rPr>
              <w:t>ed</w:t>
            </w:r>
            <w:r w:rsidRPr="00C2412F">
              <w:rPr>
                <w:lang w:eastAsia="en-US"/>
              </w:rPr>
              <w:t>, double-blind, study comparing the pharmacokinetics and pharmacodynamics, and assessing the safety of PF</w:t>
            </w:r>
            <w:r w:rsidR="004F186D">
              <w:noBreakHyphen/>
            </w:r>
            <w:r w:rsidRPr="00C2412F">
              <w:rPr>
                <w:lang w:eastAsia="en-US"/>
              </w:rPr>
              <w:t>05280586 and rituximab in subjects with active rheumatoid arthritis on a background of methotrexate (MTX) who have had an inadequate response to one or more tumo</w:t>
            </w:r>
            <w:r w:rsidR="004F186D">
              <w:t>u</w:t>
            </w:r>
            <w:r w:rsidRPr="00C2412F">
              <w:rPr>
                <w:lang w:eastAsia="en-US"/>
              </w:rPr>
              <w:t>r necrosis factor (TNF) antagonist therapies.</w:t>
            </w:r>
          </w:p>
        </w:tc>
        <w:tc>
          <w:tcPr>
            <w:tcW w:w="1145" w:type="pct"/>
            <w:hideMark/>
          </w:tcPr>
          <w:p w14:paraId="734E4523" w14:textId="261D2757" w:rsidR="00B365B0" w:rsidRPr="00C2412F" w:rsidRDefault="00B365B0" w:rsidP="00C2412F">
            <w:pPr>
              <w:ind w:left="0"/>
            </w:pPr>
            <w:r w:rsidRPr="00C2412F">
              <w:rPr>
                <w:lang w:eastAsia="en-US"/>
              </w:rPr>
              <w:t>Completed, final CSR issued</w:t>
            </w:r>
            <w:r w:rsidR="004F186D">
              <w:t>;</w:t>
            </w:r>
            <w:r w:rsidRPr="00C2412F">
              <w:rPr>
                <w:vertAlign w:val="superscript"/>
                <w:lang w:eastAsia="en-US"/>
              </w:rPr>
              <w:t>a</w:t>
            </w:r>
          </w:p>
        </w:tc>
        <w:tc>
          <w:tcPr>
            <w:tcW w:w="968" w:type="pct"/>
            <w:hideMark/>
          </w:tcPr>
          <w:p w14:paraId="1CBF49B3" w14:textId="2D994370" w:rsidR="00B365B0" w:rsidRPr="00C2412F" w:rsidRDefault="00B365B0" w:rsidP="00C2412F">
            <w:pPr>
              <w:ind w:left="0"/>
            </w:pPr>
            <w:r w:rsidRPr="00C2412F">
              <w:rPr>
                <w:lang w:eastAsia="en-US"/>
              </w:rPr>
              <w:t>220</w:t>
            </w:r>
            <w:r w:rsidRPr="00C2412F">
              <w:rPr>
                <w:vertAlign w:val="superscript"/>
                <w:lang w:eastAsia="en-US"/>
              </w:rPr>
              <w:t>b</w:t>
            </w:r>
            <w:r w:rsidRPr="00C2412F">
              <w:rPr>
                <w:lang w:eastAsia="en-US"/>
              </w:rPr>
              <w:t>/198</w:t>
            </w:r>
            <w:r w:rsidRPr="00C2412F">
              <w:rPr>
                <w:vertAlign w:val="superscript"/>
                <w:lang w:eastAsia="en-US"/>
              </w:rPr>
              <w:t>c</w:t>
            </w:r>
          </w:p>
        </w:tc>
      </w:tr>
      <w:tr w:rsidR="00B35DA7" w:rsidRPr="004F186D" w14:paraId="536619C8" w14:textId="77777777" w:rsidTr="00B91789">
        <w:tc>
          <w:tcPr>
            <w:tcW w:w="837" w:type="pct"/>
            <w:hideMark/>
          </w:tcPr>
          <w:p w14:paraId="1C8B7677" w14:textId="77777777" w:rsidR="00B365B0" w:rsidRPr="00C2412F" w:rsidRDefault="00B365B0" w:rsidP="00C2412F">
            <w:pPr>
              <w:ind w:left="0"/>
            </w:pPr>
            <w:r w:rsidRPr="00C2412F">
              <w:rPr>
                <w:lang w:eastAsia="en-US"/>
              </w:rPr>
              <w:t>Study B3281004</w:t>
            </w:r>
          </w:p>
        </w:tc>
        <w:tc>
          <w:tcPr>
            <w:tcW w:w="2050" w:type="pct"/>
            <w:hideMark/>
          </w:tcPr>
          <w:p w14:paraId="2D4C6283" w14:textId="77777777" w:rsidR="00B365B0" w:rsidRPr="00C2412F" w:rsidRDefault="00B365B0" w:rsidP="00C2412F">
            <w:pPr>
              <w:ind w:left="0"/>
            </w:pPr>
            <w:r w:rsidRPr="00C2412F">
              <w:rPr>
                <w:lang w:eastAsia="en-US"/>
              </w:rPr>
              <w:t>Extension study evaluating treatment with PF- 05280586 versus rituximab in subjects with active rheumatoid arthritis who have participated in other PF-05280586 clinical trials.</w:t>
            </w:r>
          </w:p>
        </w:tc>
        <w:tc>
          <w:tcPr>
            <w:tcW w:w="1145" w:type="pct"/>
            <w:hideMark/>
          </w:tcPr>
          <w:p w14:paraId="666C06AA" w14:textId="77777777" w:rsidR="00B365B0" w:rsidRPr="00C2412F" w:rsidRDefault="00B365B0" w:rsidP="00C2412F">
            <w:pPr>
              <w:ind w:left="0"/>
            </w:pPr>
            <w:r w:rsidRPr="00C2412F">
              <w:rPr>
                <w:lang w:eastAsia="en-US"/>
              </w:rPr>
              <w:t>Completed, final CSR issued</w:t>
            </w:r>
          </w:p>
        </w:tc>
        <w:tc>
          <w:tcPr>
            <w:tcW w:w="968" w:type="pct"/>
            <w:hideMark/>
          </w:tcPr>
          <w:p w14:paraId="5948A81C" w14:textId="77777777" w:rsidR="00B365B0" w:rsidRPr="00C2412F" w:rsidRDefault="00B365B0" w:rsidP="00C2412F">
            <w:pPr>
              <w:ind w:left="0"/>
            </w:pPr>
            <w:r w:rsidRPr="00C2412F">
              <w:rPr>
                <w:lang w:eastAsia="en-US"/>
              </w:rPr>
              <w:t>183</w:t>
            </w:r>
            <w:r w:rsidRPr="00C2412F">
              <w:rPr>
                <w:vertAlign w:val="superscript"/>
                <w:lang w:eastAsia="en-US"/>
              </w:rPr>
              <w:t>d</w:t>
            </w:r>
            <w:r w:rsidRPr="00C2412F">
              <w:rPr>
                <w:lang w:eastAsia="en-US"/>
              </w:rPr>
              <w:t>/183</w:t>
            </w:r>
          </w:p>
        </w:tc>
      </w:tr>
      <w:tr w:rsidR="00B35DA7" w:rsidRPr="004F186D" w14:paraId="2D5ACF94" w14:textId="77777777" w:rsidTr="00B91789">
        <w:tc>
          <w:tcPr>
            <w:tcW w:w="837" w:type="pct"/>
            <w:hideMark/>
          </w:tcPr>
          <w:p w14:paraId="0EF7DECF" w14:textId="77777777" w:rsidR="00B365B0" w:rsidRPr="00C2412F" w:rsidRDefault="00B365B0" w:rsidP="00C2412F">
            <w:pPr>
              <w:ind w:left="0"/>
            </w:pPr>
            <w:r w:rsidRPr="00C2412F">
              <w:rPr>
                <w:lang w:eastAsia="en-US"/>
              </w:rPr>
              <w:t>Study B3281006</w:t>
            </w:r>
          </w:p>
        </w:tc>
        <w:tc>
          <w:tcPr>
            <w:tcW w:w="2050" w:type="pct"/>
            <w:hideMark/>
          </w:tcPr>
          <w:p w14:paraId="562B53CF" w14:textId="75333F06" w:rsidR="00B365B0" w:rsidRPr="00C2412F" w:rsidRDefault="00B365B0" w:rsidP="00C2412F">
            <w:pPr>
              <w:ind w:left="0"/>
            </w:pPr>
            <w:r w:rsidRPr="00C2412F">
              <w:rPr>
                <w:lang w:eastAsia="en-US"/>
              </w:rPr>
              <w:t xml:space="preserve">A Phase </w:t>
            </w:r>
            <w:r w:rsidR="004F186D">
              <w:t>III</w:t>
            </w:r>
            <w:r w:rsidRPr="00C2412F">
              <w:rPr>
                <w:lang w:eastAsia="en-US"/>
              </w:rPr>
              <w:t>, randomi</w:t>
            </w:r>
            <w:r w:rsidR="004F186D">
              <w:t>s</w:t>
            </w:r>
            <w:r w:rsidRPr="00C2412F">
              <w:rPr>
                <w:lang w:eastAsia="en-US"/>
              </w:rPr>
              <w:t>ed, double-blind study of PF</w:t>
            </w:r>
            <w:r w:rsidR="00B35DA7">
              <w:noBreakHyphen/>
            </w:r>
            <w:r w:rsidRPr="00C2412F">
              <w:rPr>
                <w:lang w:eastAsia="en-US"/>
              </w:rPr>
              <w:t>05280586 versus rituximab for the first-line treatment of patients with CD20-positive, low tumo</w:t>
            </w:r>
            <w:r w:rsidR="00B35DA7">
              <w:t>u</w:t>
            </w:r>
            <w:r w:rsidRPr="00C2412F">
              <w:rPr>
                <w:lang w:eastAsia="en-US"/>
              </w:rPr>
              <w:t>r burden, follicular lymphoma.</w:t>
            </w:r>
          </w:p>
        </w:tc>
        <w:tc>
          <w:tcPr>
            <w:tcW w:w="1145" w:type="pct"/>
            <w:hideMark/>
          </w:tcPr>
          <w:p w14:paraId="573B1745" w14:textId="4A05C243" w:rsidR="00B365B0" w:rsidRPr="00C2412F" w:rsidRDefault="00B365B0" w:rsidP="00C2412F">
            <w:pPr>
              <w:ind w:left="0"/>
            </w:pPr>
            <w:r w:rsidRPr="00C2412F">
              <w:rPr>
                <w:lang w:eastAsia="en-US"/>
              </w:rPr>
              <w:t>Completed; final CSR issued</w:t>
            </w:r>
          </w:p>
        </w:tc>
        <w:tc>
          <w:tcPr>
            <w:tcW w:w="968" w:type="pct"/>
            <w:hideMark/>
          </w:tcPr>
          <w:p w14:paraId="10F8A190" w14:textId="77777777" w:rsidR="00B365B0" w:rsidRPr="00C2412F" w:rsidRDefault="00B365B0" w:rsidP="00C2412F">
            <w:pPr>
              <w:ind w:left="0"/>
            </w:pPr>
            <w:r w:rsidRPr="00C2412F">
              <w:rPr>
                <w:lang w:eastAsia="en-US"/>
              </w:rPr>
              <w:t>393/393</w:t>
            </w:r>
          </w:p>
        </w:tc>
      </w:tr>
    </w:tbl>
    <w:p w14:paraId="09067023" w14:textId="77777777" w:rsidR="00B35DA7" w:rsidRPr="00C2412F" w:rsidRDefault="00B35DA7" w:rsidP="00C2412F">
      <w:pPr>
        <w:pStyle w:val="TableDescription"/>
        <w:rPr>
          <w:lang w:eastAsia="ja-JP"/>
        </w:rPr>
      </w:pPr>
      <w:r w:rsidRPr="00C2412F">
        <w:rPr>
          <w:lang w:eastAsia="ja-JP"/>
        </w:rPr>
        <w:t>CSR = clinical study report; PF-05280586 = drug development code for Ruxience (rituximab); PK = pharmacokinetics.</w:t>
      </w:r>
    </w:p>
    <w:p w14:paraId="5708B12D" w14:textId="77777777" w:rsidR="00B35DA7" w:rsidRPr="00C2412F" w:rsidRDefault="00B35DA7" w:rsidP="00C2412F">
      <w:pPr>
        <w:pStyle w:val="TableDescription"/>
        <w:rPr>
          <w:lang w:eastAsia="ja-JP"/>
        </w:rPr>
      </w:pPr>
      <w:r w:rsidRPr="00C2412F">
        <w:rPr>
          <w:lang w:eastAsia="ja-JP"/>
        </w:rPr>
        <w:t>a) A supplemental CSR (sCSR) reported the post-hoc PK analysis requested by the European Medicines Agency.</w:t>
      </w:r>
    </w:p>
    <w:p w14:paraId="0381E99D" w14:textId="77777777" w:rsidR="00B35DA7" w:rsidRPr="00C2412F" w:rsidRDefault="00B35DA7" w:rsidP="00C2412F">
      <w:pPr>
        <w:pStyle w:val="TableDescription"/>
        <w:rPr>
          <w:lang w:eastAsia="ja-JP"/>
        </w:rPr>
      </w:pPr>
      <w:r w:rsidRPr="00C2412F">
        <w:rPr>
          <w:lang w:eastAsia="ja-JP"/>
        </w:rPr>
        <w:t>b) Intent to treat safety population.</w:t>
      </w:r>
    </w:p>
    <w:p w14:paraId="29EBCC7B" w14:textId="77777777" w:rsidR="00B35DA7" w:rsidRPr="00C2412F" w:rsidRDefault="00B35DA7" w:rsidP="00C2412F">
      <w:pPr>
        <w:pStyle w:val="TableDescription"/>
        <w:rPr>
          <w:lang w:eastAsia="ja-JP"/>
        </w:rPr>
      </w:pPr>
      <w:r w:rsidRPr="00C2412F">
        <w:rPr>
          <w:lang w:eastAsia="ja-JP"/>
        </w:rPr>
        <w:t>c) Per protocol (PP) population.</w:t>
      </w:r>
    </w:p>
    <w:p w14:paraId="5610571C" w14:textId="77777777" w:rsidR="00B35DA7" w:rsidRPr="00C2412F" w:rsidRDefault="00B35DA7" w:rsidP="00C2412F">
      <w:pPr>
        <w:pStyle w:val="TableDescription"/>
        <w:rPr>
          <w:lang w:eastAsia="ja-JP"/>
        </w:rPr>
      </w:pPr>
      <w:r w:rsidRPr="00C2412F">
        <w:rPr>
          <w:lang w:eastAsia="ja-JP"/>
        </w:rPr>
        <w:t>d) Modified intent to treat safety population.</w:t>
      </w:r>
    </w:p>
    <w:p w14:paraId="3DA615B0" w14:textId="0CD8DFFE" w:rsidR="00B365B0" w:rsidRPr="00C2412F" w:rsidRDefault="00B35DA7" w:rsidP="00C2412F">
      <w:pPr>
        <w:pStyle w:val="TableDescription"/>
        <w:rPr>
          <w:lang w:eastAsia="ja-JP"/>
        </w:rPr>
      </w:pPr>
      <w:r w:rsidRPr="00C2412F">
        <w:rPr>
          <w:lang w:eastAsia="ja-JP"/>
        </w:rPr>
        <w:t>e) Following the CSR primary completion date (cutoff date 23 October 2017) at Week 26, data was included in the initial submission. A full CSR (through to Week 52/study completion for all subjects) included data for all primary data endpoints and secondary endpoints.</w:t>
      </w:r>
    </w:p>
    <w:p w14:paraId="03504706" w14:textId="1D6EFB56" w:rsidR="001C2C11" w:rsidRDefault="0062451D" w:rsidP="008D0C98">
      <w:pPr>
        <w:pStyle w:val="Heading6"/>
        <w:rPr>
          <w:lang w:eastAsia="ja-JP"/>
        </w:rPr>
      </w:pPr>
      <w:r>
        <w:rPr>
          <w:lang w:eastAsia="ja-JP"/>
        </w:rPr>
        <w:t>Study</w:t>
      </w:r>
      <w:r w:rsidR="001C2C11" w:rsidRPr="001C2C11">
        <w:rPr>
          <w:lang w:eastAsia="ja-JP"/>
        </w:rPr>
        <w:t xml:space="preserve"> B3281001</w:t>
      </w:r>
      <w:r w:rsidR="00B35DA7">
        <w:rPr>
          <w:lang w:eastAsia="ja-JP"/>
        </w:rPr>
        <w:t xml:space="preserve"> (biosimilarity)</w:t>
      </w:r>
    </w:p>
    <w:p w14:paraId="3749AC35" w14:textId="2F865601" w:rsidR="001C2C11" w:rsidRDefault="001C2C11" w:rsidP="001C2C11">
      <w:pPr>
        <w:rPr>
          <w:lang w:eastAsia="ja-JP"/>
        </w:rPr>
      </w:pPr>
      <w:r>
        <w:rPr>
          <w:lang w:eastAsia="ja-JP"/>
        </w:rPr>
        <w:t xml:space="preserve">Study B3281001 </w:t>
      </w:r>
      <w:r w:rsidR="00B35DA7">
        <w:rPr>
          <w:lang w:eastAsia="ja-JP"/>
        </w:rPr>
        <w:t>wa</w:t>
      </w:r>
      <w:r>
        <w:rPr>
          <w:lang w:eastAsia="ja-JP"/>
        </w:rPr>
        <w:t>s a randomised, double-blind study comparing the pharmacokinetics</w:t>
      </w:r>
      <w:r w:rsidR="000F6523">
        <w:rPr>
          <w:lang w:eastAsia="ja-JP"/>
        </w:rPr>
        <w:t xml:space="preserve"> (PK)</w:t>
      </w:r>
      <w:r>
        <w:rPr>
          <w:lang w:eastAsia="ja-JP"/>
        </w:rPr>
        <w:t xml:space="preserve"> and </w:t>
      </w:r>
      <w:r w:rsidR="000F6523">
        <w:rPr>
          <w:lang w:eastAsia="ja-JP"/>
        </w:rPr>
        <w:t>pharmacodynamics (PD)</w:t>
      </w:r>
      <w:r>
        <w:rPr>
          <w:lang w:eastAsia="ja-JP"/>
        </w:rPr>
        <w:t xml:space="preserve"> and asses</w:t>
      </w:r>
      <w:r w:rsidR="000F6523">
        <w:rPr>
          <w:lang w:eastAsia="ja-JP"/>
        </w:rPr>
        <w:t>sing the safety of PF-05280586</w:t>
      </w:r>
      <w:r>
        <w:rPr>
          <w:lang w:eastAsia="ja-JP"/>
        </w:rPr>
        <w:t xml:space="preserve"> and rituximab </w:t>
      </w:r>
      <w:r w:rsidR="00B35DA7">
        <w:rPr>
          <w:lang w:eastAsia="ja-JP"/>
        </w:rPr>
        <w:t xml:space="preserve">(US- and EU-sourced) </w:t>
      </w:r>
      <w:r>
        <w:rPr>
          <w:lang w:eastAsia="ja-JP"/>
        </w:rPr>
        <w:t>in subjects wi</w:t>
      </w:r>
      <w:r w:rsidR="000F6523">
        <w:rPr>
          <w:lang w:eastAsia="ja-JP"/>
        </w:rPr>
        <w:t>th active RA</w:t>
      </w:r>
      <w:r>
        <w:rPr>
          <w:lang w:eastAsia="ja-JP"/>
        </w:rPr>
        <w:t xml:space="preserve"> on a background of </w:t>
      </w:r>
      <w:r w:rsidR="000F6523">
        <w:rPr>
          <w:lang w:eastAsia="ja-JP"/>
        </w:rPr>
        <w:t>MTX</w:t>
      </w:r>
      <w:r>
        <w:rPr>
          <w:lang w:eastAsia="ja-JP"/>
        </w:rPr>
        <w:t xml:space="preserve"> who have had an inadequate response to one or more </w:t>
      </w:r>
      <w:r w:rsidR="000F6523">
        <w:rPr>
          <w:lang w:eastAsia="ja-JP"/>
        </w:rPr>
        <w:t>TNF</w:t>
      </w:r>
      <w:r>
        <w:rPr>
          <w:lang w:eastAsia="ja-JP"/>
        </w:rPr>
        <w:t xml:space="preserve"> antagonist therapies.</w:t>
      </w:r>
    </w:p>
    <w:p w14:paraId="1A771494" w14:textId="77777777" w:rsidR="001C2C11" w:rsidRDefault="001C2C11" w:rsidP="001C2C11">
      <w:pPr>
        <w:rPr>
          <w:lang w:eastAsia="ja-JP"/>
        </w:rPr>
      </w:pPr>
      <w:r>
        <w:rPr>
          <w:lang w:eastAsia="ja-JP"/>
        </w:rPr>
        <w:t>The study was conducted from 20 March 2012 to 7 May 2014 in 60 centres in 10 countries, including Australia.</w:t>
      </w:r>
    </w:p>
    <w:p w14:paraId="13A6576B" w14:textId="36B08B08" w:rsidR="001C2C11" w:rsidRDefault="001C2C11" w:rsidP="001C2C11">
      <w:pPr>
        <w:rPr>
          <w:lang w:eastAsia="ja-JP"/>
        </w:rPr>
      </w:pPr>
      <w:r>
        <w:rPr>
          <w:lang w:eastAsia="ja-JP"/>
        </w:rPr>
        <w:t xml:space="preserve">The primary objective was to demonstrate the PK similarity of </w:t>
      </w:r>
      <w:r w:rsidR="000F6523">
        <w:rPr>
          <w:lang w:eastAsia="ja-JP"/>
        </w:rPr>
        <w:t>PF-05280586</w:t>
      </w:r>
      <w:r>
        <w:rPr>
          <w:lang w:eastAsia="ja-JP"/>
        </w:rPr>
        <w:t xml:space="preserve">, </w:t>
      </w:r>
      <w:r w:rsidR="00B35DA7">
        <w:rPr>
          <w:lang w:eastAsia="ja-JP"/>
        </w:rPr>
        <w:t xml:space="preserve">EU-sourced </w:t>
      </w:r>
      <w:r>
        <w:rPr>
          <w:lang w:eastAsia="ja-JP"/>
        </w:rPr>
        <w:t xml:space="preserve">rituximab, and </w:t>
      </w:r>
      <w:r w:rsidR="00B35DA7">
        <w:rPr>
          <w:lang w:eastAsia="ja-JP"/>
        </w:rPr>
        <w:t xml:space="preserve">US-sourced </w:t>
      </w:r>
      <w:r>
        <w:rPr>
          <w:lang w:eastAsia="ja-JP"/>
        </w:rPr>
        <w:t>rituxima</w:t>
      </w:r>
      <w:r w:rsidR="00B35DA7">
        <w:rPr>
          <w:lang w:eastAsia="ja-JP"/>
        </w:rPr>
        <w:t>b</w:t>
      </w:r>
      <w:r>
        <w:rPr>
          <w:lang w:eastAsia="ja-JP"/>
        </w:rPr>
        <w:t xml:space="preserve"> in subjects with active RA on a background of </w:t>
      </w:r>
      <w:r w:rsidR="000F6523">
        <w:rPr>
          <w:lang w:eastAsia="ja-JP"/>
        </w:rPr>
        <w:t>MTX</w:t>
      </w:r>
      <w:r>
        <w:rPr>
          <w:lang w:eastAsia="ja-JP"/>
        </w:rPr>
        <w:t xml:space="preserve"> who</w:t>
      </w:r>
      <w:r w:rsidR="00243148">
        <w:rPr>
          <w:lang w:eastAsia="ja-JP"/>
        </w:rPr>
        <w:t xml:space="preserve"> had an inadequate response to one</w:t>
      </w:r>
      <w:r>
        <w:rPr>
          <w:lang w:eastAsia="ja-JP"/>
        </w:rPr>
        <w:t xml:space="preserve"> or more TNF antagonist therapies. Secondary objectives were to use population PK/PD modelling to integrate PK and PD data in order to detect potential differences in PK/PD profiles among </w:t>
      </w:r>
      <w:r w:rsidR="000F6523">
        <w:rPr>
          <w:lang w:eastAsia="ja-JP"/>
        </w:rPr>
        <w:t>PF-05280586</w:t>
      </w:r>
      <w:r>
        <w:rPr>
          <w:lang w:eastAsia="ja-JP"/>
        </w:rPr>
        <w:t xml:space="preserve">, </w:t>
      </w:r>
      <w:r w:rsidR="00B35DA7">
        <w:rPr>
          <w:lang w:eastAsia="ja-JP"/>
        </w:rPr>
        <w:t>EU</w:t>
      </w:r>
      <w:r w:rsidR="00B35DA7">
        <w:rPr>
          <w:lang w:eastAsia="ja-JP"/>
        </w:rPr>
        <w:noBreakHyphen/>
        <w:t xml:space="preserve">sourced </w:t>
      </w:r>
      <w:r>
        <w:rPr>
          <w:lang w:eastAsia="ja-JP"/>
        </w:rPr>
        <w:t xml:space="preserve">rituximab and </w:t>
      </w:r>
      <w:r w:rsidR="00B35DA7">
        <w:rPr>
          <w:lang w:eastAsia="ja-JP"/>
        </w:rPr>
        <w:t xml:space="preserve">US-sourced </w:t>
      </w:r>
      <w:r>
        <w:rPr>
          <w:lang w:eastAsia="ja-JP"/>
        </w:rPr>
        <w:t>rituximab. Some clinical response endpoints and overall safety, tolerabi</w:t>
      </w:r>
      <w:r w:rsidR="00243148">
        <w:rPr>
          <w:lang w:eastAsia="ja-JP"/>
        </w:rPr>
        <w:t>lity and immunogenicity of the three</w:t>
      </w:r>
      <w:r>
        <w:rPr>
          <w:lang w:eastAsia="ja-JP"/>
        </w:rPr>
        <w:t xml:space="preserve"> products were also evaluated.</w:t>
      </w:r>
    </w:p>
    <w:p w14:paraId="76B3A97A" w14:textId="7A9DE828" w:rsidR="001C2C11" w:rsidRDefault="00243148" w:rsidP="001C2C11">
      <w:pPr>
        <w:rPr>
          <w:lang w:eastAsia="ja-JP"/>
        </w:rPr>
      </w:pPr>
      <w:r>
        <w:rPr>
          <w:lang w:eastAsia="ja-JP"/>
        </w:rPr>
        <w:t>Study subjects were to receive one</w:t>
      </w:r>
      <w:r w:rsidR="001C2C11">
        <w:rPr>
          <w:lang w:eastAsia="ja-JP"/>
        </w:rPr>
        <w:t xml:space="preserve"> course of </w:t>
      </w:r>
      <w:r w:rsidR="000F6523">
        <w:rPr>
          <w:lang w:eastAsia="ja-JP"/>
        </w:rPr>
        <w:t>PF-05280586</w:t>
      </w:r>
      <w:r w:rsidR="001C2C11">
        <w:rPr>
          <w:lang w:eastAsia="ja-JP"/>
        </w:rPr>
        <w:t xml:space="preserve">, </w:t>
      </w:r>
      <w:r w:rsidR="00B35DA7">
        <w:rPr>
          <w:lang w:eastAsia="ja-JP"/>
        </w:rPr>
        <w:t>EU</w:t>
      </w:r>
      <w:r w:rsidR="00B35DA7">
        <w:rPr>
          <w:lang w:eastAsia="ja-JP"/>
        </w:rPr>
        <w:noBreakHyphen/>
        <w:t>sourced rituximab and US-sourced rituximab</w:t>
      </w:r>
      <w:r w:rsidR="00B35DA7" w:rsidDel="00B35DA7">
        <w:rPr>
          <w:lang w:eastAsia="ja-JP"/>
        </w:rPr>
        <w:t xml:space="preserve"> </w:t>
      </w:r>
      <w:r w:rsidR="001C2C11">
        <w:rPr>
          <w:lang w:eastAsia="ja-JP"/>
        </w:rPr>
        <w:t>administered b</w:t>
      </w:r>
      <w:r w:rsidR="0057261A">
        <w:rPr>
          <w:lang w:eastAsia="ja-JP"/>
        </w:rPr>
        <w:t>y IV infusion at a dose of 1000 </w:t>
      </w:r>
      <w:r w:rsidR="001C2C11">
        <w:rPr>
          <w:lang w:eastAsia="ja-JP"/>
        </w:rPr>
        <w:t>mg on Days 1 and 15 of the study.</w:t>
      </w:r>
    </w:p>
    <w:p w14:paraId="03D1592F" w14:textId="6E705822" w:rsidR="001C2C11" w:rsidRDefault="001C2C11" w:rsidP="001C2C11">
      <w:pPr>
        <w:rPr>
          <w:lang w:eastAsia="ja-JP"/>
        </w:rPr>
      </w:pPr>
      <w:r>
        <w:rPr>
          <w:lang w:eastAsia="ja-JP"/>
        </w:rPr>
        <w:t xml:space="preserve">For the two primary endpoints, </w:t>
      </w:r>
      <w:r w:rsidR="00B35DA7">
        <w:rPr>
          <w:lang w:eastAsia="ja-JP"/>
        </w:rPr>
        <w:t xml:space="preserve">the </w:t>
      </w:r>
      <w:r w:rsidR="00CC119A">
        <w:rPr>
          <w:lang w:eastAsia="ja-JP"/>
        </w:rPr>
        <w:t>a</w:t>
      </w:r>
      <w:r w:rsidR="00CC119A" w:rsidRPr="00CC119A">
        <w:rPr>
          <w:lang w:eastAsia="ja-JP"/>
        </w:rPr>
        <w:t>r</w:t>
      </w:r>
      <w:r w:rsidR="00CC119A">
        <w:rPr>
          <w:lang w:eastAsia="ja-JP"/>
        </w:rPr>
        <w:t>ea under the concentration</w:t>
      </w:r>
      <w:r w:rsidR="00B35DA7">
        <w:rPr>
          <w:lang w:eastAsia="ja-JP"/>
        </w:rPr>
        <w:noBreakHyphen/>
      </w:r>
      <w:r w:rsidR="00CC119A">
        <w:rPr>
          <w:lang w:eastAsia="ja-JP"/>
        </w:rPr>
        <w:t xml:space="preserve">time </w:t>
      </w:r>
      <w:r w:rsidR="00CC119A" w:rsidRPr="00CC119A">
        <w:rPr>
          <w:lang w:eastAsia="ja-JP"/>
        </w:rPr>
        <w:t>curve from time zero to infinity</w:t>
      </w:r>
      <w:r w:rsidR="00CC119A">
        <w:rPr>
          <w:lang w:eastAsia="ja-JP"/>
        </w:rPr>
        <w:t xml:space="preserve"> (</w:t>
      </w:r>
      <w:r>
        <w:rPr>
          <w:lang w:eastAsia="ja-JP"/>
        </w:rPr>
        <w:t>AUC</w:t>
      </w:r>
      <w:r w:rsidRPr="001C2C11">
        <w:rPr>
          <w:vertAlign w:val="subscript"/>
          <w:lang w:eastAsia="ja-JP"/>
        </w:rPr>
        <w:t>0-∞</w:t>
      </w:r>
      <w:r w:rsidR="00CC119A">
        <w:rPr>
          <w:lang w:eastAsia="ja-JP"/>
        </w:rPr>
        <w:t>)</w:t>
      </w:r>
      <w:r>
        <w:rPr>
          <w:lang w:eastAsia="ja-JP"/>
        </w:rPr>
        <w:t xml:space="preserve"> and </w:t>
      </w:r>
      <w:r w:rsidR="00CC119A">
        <w:rPr>
          <w:lang w:eastAsia="ja-JP"/>
        </w:rPr>
        <w:t>m</w:t>
      </w:r>
      <w:r w:rsidR="00CC119A" w:rsidRPr="00CC119A">
        <w:rPr>
          <w:lang w:eastAsia="ja-JP"/>
        </w:rPr>
        <w:t xml:space="preserve">aximum concentration </w:t>
      </w:r>
      <w:r w:rsidR="00CC119A">
        <w:rPr>
          <w:lang w:eastAsia="ja-JP"/>
        </w:rPr>
        <w:t>(</w:t>
      </w:r>
      <w:r>
        <w:rPr>
          <w:lang w:eastAsia="ja-JP"/>
        </w:rPr>
        <w:t>C</w:t>
      </w:r>
      <w:r w:rsidRPr="001C2C11">
        <w:rPr>
          <w:vertAlign w:val="subscript"/>
          <w:lang w:eastAsia="ja-JP"/>
        </w:rPr>
        <w:t>max</w:t>
      </w:r>
      <w:r w:rsidR="00CC119A">
        <w:rPr>
          <w:lang w:eastAsia="ja-JP"/>
        </w:rPr>
        <w:t>)</w:t>
      </w:r>
      <w:r w:rsidR="00243148">
        <w:rPr>
          <w:lang w:eastAsia="ja-JP"/>
        </w:rPr>
        <w:t>, there are three</w:t>
      </w:r>
      <w:r>
        <w:rPr>
          <w:lang w:eastAsia="ja-JP"/>
        </w:rPr>
        <w:t xml:space="preserve"> co</w:t>
      </w:r>
      <w:r w:rsidR="00B35DA7">
        <w:rPr>
          <w:lang w:eastAsia="ja-JP"/>
        </w:rPr>
        <w:noBreakHyphen/>
      </w:r>
      <w:r>
        <w:rPr>
          <w:lang w:eastAsia="ja-JP"/>
        </w:rPr>
        <w:t>primary analyses:</w:t>
      </w:r>
    </w:p>
    <w:p w14:paraId="5F5B8FF0" w14:textId="176AFFD5" w:rsidR="001C2C11" w:rsidRDefault="00B35DA7" w:rsidP="001C2C11">
      <w:pPr>
        <w:pStyle w:val="ListBullet"/>
        <w:rPr>
          <w:lang w:eastAsia="ja-JP"/>
        </w:rPr>
      </w:pPr>
      <w:r>
        <w:rPr>
          <w:lang w:eastAsia="ja-JP"/>
        </w:rPr>
        <w:t>t</w:t>
      </w:r>
      <w:r w:rsidR="001C2C11">
        <w:rPr>
          <w:lang w:eastAsia="ja-JP"/>
        </w:rPr>
        <w:t>est for bioequivalence of PF-05280586 (</w:t>
      </w:r>
      <w:r w:rsidR="00042FD8">
        <w:rPr>
          <w:lang w:eastAsia="ja-JP"/>
        </w:rPr>
        <w:t>Ruxience</w:t>
      </w:r>
      <w:r w:rsidR="001C2C11">
        <w:rPr>
          <w:lang w:eastAsia="ja-JP"/>
        </w:rPr>
        <w:t xml:space="preserve">) to </w:t>
      </w:r>
      <w:r w:rsidR="00042FD8">
        <w:rPr>
          <w:lang w:eastAsia="ja-JP"/>
        </w:rPr>
        <w:t>US</w:t>
      </w:r>
      <w:r w:rsidR="00042FD8">
        <w:rPr>
          <w:lang w:eastAsia="ja-JP"/>
        </w:rPr>
        <w:noBreakHyphen/>
        <w:t>sourced rituximab;</w:t>
      </w:r>
    </w:p>
    <w:p w14:paraId="1BC18A0F" w14:textId="5BF4FB17" w:rsidR="001C2C11" w:rsidRDefault="00B35DA7" w:rsidP="001C2C11">
      <w:pPr>
        <w:pStyle w:val="ListBullet"/>
        <w:rPr>
          <w:lang w:eastAsia="ja-JP"/>
        </w:rPr>
      </w:pPr>
      <w:r>
        <w:rPr>
          <w:lang w:eastAsia="ja-JP"/>
        </w:rPr>
        <w:t>t</w:t>
      </w:r>
      <w:r w:rsidR="001C2C11">
        <w:rPr>
          <w:lang w:eastAsia="ja-JP"/>
        </w:rPr>
        <w:t>est for bioequivalence of PF-05280586 (</w:t>
      </w:r>
      <w:r w:rsidR="00042FD8">
        <w:rPr>
          <w:lang w:eastAsia="ja-JP"/>
        </w:rPr>
        <w:t>Ruxience</w:t>
      </w:r>
      <w:r w:rsidR="001C2C11">
        <w:rPr>
          <w:lang w:eastAsia="ja-JP"/>
        </w:rPr>
        <w:t xml:space="preserve">) to </w:t>
      </w:r>
      <w:r w:rsidR="00042FD8">
        <w:rPr>
          <w:lang w:eastAsia="ja-JP"/>
        </w:rPr>
        <w:t>EU</w:t>
      </w:r>
      <w:r w:rsidR="00042FD8">
        <w:rPr>
          <w:lang w:eastAsia="ja-JP"/>
        </w:rPr>
        <w:noBreakHyphen/>
        <w:t>sourced rituximab; and</w:t>
      </w:r>
    </w:p>
    <w:p w14:paraId="0EC3E8B0" w14:textId="656FC8D5" w:rsidR="001C2C11" w:rsidRDefault="00B35DA7" w:rsidP="001C2C11">
      <w:pPr>
        <w:pStyle w:val="ListBullet"/>
        <w:rPr>
          <w:lang w:eastAsia="ja-JP"/>
        </w:rPr>
      </w:pPr>
      <w:r>
        <w:rPr>
          <w:lang w:eastAsia="ja-JP"/>
        </w:rPr>
        <w:t>t</w:t>
      </w:r>
      <w:r w:rsidR="001C2C11">
        <w:rPr>
          <w:lang w:eastAsia="ja-JP"/>
        </w:rPr>
        <w:t xml:space="preserve">est for bioequivalence of </w:t>
      </w:r>
      <w:r w:rsidR="00042FD8">
        <w:rPr>
          <w:lang w:eastAsia="ja-JP"/>
        </w:rPr>
        <w:t>US</w:t>
      </w:r>
      <w:r w:rsidR="00042FD8">
        <w:rPr>
          <w:lang w:eastAsia="ja-JP"/>
        </w:rPr>
        <w:noBreakHyphen/>
        <w:t xml:space="preserve">sourced </w:t>
      </w:r>
      <w:r w:rsidR="001C2C11">
        <w:rPr>
          <w:lang w:eastAsia="ja-JP"/>
        </w:rPr>
        <w:t xml:space="preserve">rituximab to </w:t>
      </w:r>
      <w:r w:rsidR="00042FD8">
        <w:rPr>
          <w:lang w:eastAsia="ja-JP"/>
        </w:rPr>
        <w:t xml:space="preserve">EU-sourced </w:t>
      </w:r>
      <w:r w:rsidR="001C2C11">
        <w:rPr>
          <w:lang w:eastAsia="ja-JP"/>
        </w:rPr>
        <w:t>rituximab</w:t>
      </w:r>
      <w:r w:rsidR="00042FD8">
        <w:rPr>
          <w:lang w:eastAsia="ja-JP"/>
        </w:rPr>
        <w:t>.</w:t>
      </w:r>
    </w:p>
    <w:p w14:paraId="36704A0D" w14:textId="77777777" w:rsidR="001C2C11" w:rsidRPr="00AD2249" w:rsidRDefault="001C2C11" w:rsidP="00C2412F">
      <w:pPr>
        <w:pStyle w:val="Heading7"/>
        <w:rPr>
          <w:lang w:eastAsia="ja-JP"/>
        </w:rPr>
      </w:pPr>
      <w:r w:rsidRPr="00C2412F">
        <w:rPr>
          <w:sz w:val="22"/>
          <w:lang w:eastAsia="ja-JP"/>
        </w:rPr>
        <w:t>Results</w:t>
      </w:r>
    </w:p>
    <w:p w14:paraId="72222865" w14:textId="79CBA5A7" w:rsidR="001C2C11" w:rsidRDefault="001C2C11" w:rsidP="001C2C11">
      <w:pPr>
        <w:rPr>
          <w:lang w:eastAsia="ja-JP"/>
        </w:rPr>
      </w:pPr>
      <w:r>
        <w:rPr>
          <w:lang w:eastAsia="ja-JP"/>
        </w:rPr>
        <w:t xml:space="preserve">Overall, 220 subjects were randomised; 73 subjects (33%) to </w:t>
      </w:r>
      <w:r w:rsidR="00042FD8">
        <w:rPr>
          <w:lang w:eastAsia="ja-JP"/>
        </w:rPr>
        <w:t>US</w:t>
      </w:r>
      <w:r w:rsidR="00042FD8">
        <w:rPr>
          <w:lang w:eastAsia="ja-JP"/>
        </w:rPr>
        <w:noBreakHyphen/>
        <w:t xml:space="preserve">sourced </w:t>
      </w:r>
      <w:r>
        <w:rPr>
          <w:lang w:eastAsia="ja-JP"/>
        </w:rPr>
        <w:t>rituximab, 74</w:t>
      </w:r>
      <w:r w:rsidR="00042FD8">
        <w:rPr>
          <w:lang w:eastAsia="ja-JP"/>
        </w:rPr>
        <w:t> </w:t>
      </w:r>
      <w:r>
        <w:rPr>
          <w:lang w:eastAsia="ja-JP"/>
        </w:rPr>
        <w:t xml:space="preserve">subjects (34%) to </w:t>
      </w:r>
      <w:r w:rsidR="00042FD8">
        <w:rPr>
          <w:lang w:eastAsia="ja-JP"/>
        </w:rPr>
        <w:t>EU</w:t>
      </w:r>
      <w:r w:rsidR="00042FD8">
        <w:rPr>
          <w:lang w:eastAsia="ja-JP"/>
        </w:rPr>
        <w:noBreakHyphen/>
        <w:t xml:space="preserve">sourced </w:t>
      </w:r>
      <w:r>
        <w:rPr>
          <w:lang w:eastAsia="ja-JP"/>
        </w:rPr>
        <w:t xml:space="preserve">rituximab, and 73 subjects (33%) to </w:t>
      </w:r>
      <w:r w:rsidR="00AD3CD7">
        <w:rPr>
          <w:lang w:eastAsia="ja-JP"/>
        </w:rPr>
        <w:t>PF-05280586 (</w:t>
      </w:r>
      <w:r w:rsidR="00042FD8">
        <w:rPr>
          <w:lang w:eastAsia="ja-JP"/>
        </w:rPr>
        <w:t>Ruxience</w:t>
      </w:r>
      <w:r w:rsidR="00AD3CD7">
        <w:rPr>
          <w:lang w:eastAsia="ja-JP"/>
        </w:rPr>
        <w:t>)</w:t>
      </w:r>
      <w:r>
        <w:rPr>
          <w:lang w:eastAsia="ja-JP"/>
        </w:rPr>
        <w:t>. 16 (7.3%) subjects discontinued before completing the study with 6 (2.7%) subjects withdrawing before they received the ful</w:t>
      </w:r>
      <w:r w:rsidR="00CC119A">
        <w:rPr>
          <w:lang w:eastAsia="ja-JP"/>
        </w:rPr>
        <w:t>l course of study treatment (that is</w:t>
      </w:r>
      <w:r>
        <w:rPr>
          <w:lang w:eastAsia="ja-JP"/>
        </w:rPr>
        <w:t xml:space="preserve"> withdrew from treatment before completing both doses on Day 1 and Day 15).</w:t>
      </w:r>
    </w:p>
    <w:p w14:paraId="4A5A18BE" w14:textId="77777777" w:rsidR="001C2C11" w:rsidRDefault="001C2C11" w:rsidP="001C2C11">
      <w:pPr>
        <w:rPr>
          <w:lang w:eastAsia="ja-JP"/>
        </w:rPr>
      </w:pPr>
      <w:r>
        <w:rPr>
          <w:lang w:eastAsia="ja-JP"/>
        </w:rPr>
        <w:t xml:space="preserve">Out of the 220 randomised subjects, 198 were included in the </w:t>
      </w:r>
      <w:r w:rsidR="00CC119A">
        <w:rPr>
          <w:lang w:eastAsia="ja-JP"/>
        </w:rPr>
        <w:t>per protocol (</w:t>
      </w:r>
      <w:r>
        <w:rPr>
          <w:lang w:eastAsia="ja-JP"/>
        </w:rPr>
        <w:t>PP</w:t>
      </w:r>
      <w:r w:rsidR="00CC119A">
        <w:rPr>
          <w:lang w:eastAsia="ja-JP"/>
        </w:rPr>
        <w:t>)</w:t>
      </w:r>
      <w:r w:rsidR="00AD3CD7">
        <w:rPr>
          <w:lang w:eastAsia="ja-JP"/>
        </w:rPr>
        <w:t xml:space="preserve"> p</w:t>
      </w:r>
      <w:r>
        <w:rPr>
          <w:lang w:eastAsia="ja-JP"/>
        </w:rPr>
        <w:t>opulation and in the PK analysis.</w:t>
      </w:r>
    </w:p>
    <w:p w14:paraId="67B71883" w14:textId="77866D1F" w:rsidR="00CC119A" w:rsidRPr="00045FBE" w:rsidRDefault="00CC119A" w:rsidP="00045FBE">
      <w:pPr>
        <w:pStyle w:val="TableTitle"/>
      </w:pPr>
      <w:r w:rsidRPr="00CC119A">
        <w:t xml:space="preserve">Table </w:t>
      </w:r>
      <w:r>
        <w:fldChar w:fldCharType="begin"/>
      </w:r>
      <w:r>
        <w:instrText>SEQ Table \* ARABIC</w:instrText>
      </w:r>
      <w:r>
        <w:fldChar w:fldCharType="separate"/>
      </w:r>
      <w:r w:rsidR="00745EF2">
        <w:rPr>
          <w:noProof/>
        </w:rPr>
        <w:t>4</w:t>
      </w:r>
      <w:r>
        <w:fldChar w:fldCharType="end"/>
      </w:r>
      <w:r>
        <w:t>: Study B3281001 Per protocol populati</w:t>
      </w:r>
      <w:r w:rsidR="00045FBE">
        <w:t>on for pharmacokinetic analysis</w:t>
      </w:r>
    </w:p>
    <w:p w14:paraId="0E27B00A" w14:textId="77777777" w:rsidR="00045FBE" w:rsidRDefault="00045FBE" w:rsidP="00042FD8">
      <w:pPr>
        <w:rPr>
          <w:highlight w:val="yellow"/>
          <w:lang w:eastAsia="ja-JP"/>
        </w:rPr>
      </w:pPr>
      <w:r w:rsidRPr="00194A94">
        <w:rPr>
          <w:noProof/>
          <w:lang w:eastAsia="en-AU"/>
        </w:rPr>
        <w:drawing>
          <wp:inline distT="0" distB="0" distL="0" distR="0" wp14:anchorId="7099D1EA" wp14:editId="0B41EFA0">
            <wp:extent cx="5239125" cy="835117"/>
            <wp:effectExtent l="0" t="0" r="0" b="3175"/>
            <wp:docPr id="11" name="Picture 11" descr="Study B3281001 Per protocol population for pharmacokinetic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2937" t="2120" b="30870"/>
                    <a:stretch/>
                  </pic:blipFill>
                  <pic:spPr bwMode="auto">
                    <a:xfrm>
                      <a:off x="0" y="0"/>
                      <a:ext cx="5241436" cy="835485"/>
                    </a:xfrm>
                    <a:prstGeom prst="rect">
                      <a:avLst/>
                    </a:prstGeom>
                    <a:noFill/>
                    <a:ln>
                      <a:noFill/>
                    </a:ln>
                    <a:extLst>
                      <a:ext uri="{53640926-AAD7-44D8-BBD7-CCE9431645EC}">
                        <a14:shadowObscured xmlns:a14="http://schemas.microsoft.com/office/drawing/2010/main"/>
                      </a:ext>
                    </a:extLst>
                  </pic:spPr>
                </pic:pic>
              </a:graphicData>
            </a:graphic>
          </wp:inline>
        </w:drawing>
      </w:r>
    </w:p>
    <w:p w14:paraId="0A3E6A48" w14:textId="77777777" w:rsidR="00CC119A" w:rsidRDefault="00CC119A" w:rsidP="00743FE7">
      <w:pPr>
        <w:pStyle w:val="TableDescription"/>
      </w:pPr>
      <w:r w:rsidRPr="00CC119A">
        <w:t>Abbreviations:</w:t>
      </w:r>
      <w:r w:rsidR="00134079">
        <w:t xml:space="preserve"> EU = Europe</w:t>
      </w:r>
      <w:r w:rsidRPr="00CC119A">
        <w:t>; n = number of subjects; PK = pharamacokinetics, SD = standard deviation; US = United States</w:t>
      </w:r>
    </w:p>
    <w:p w14:paraId="17292F66" w14:textId="7C567831" w:rsidR="00CC119A" w:rsidRDefault="00CC119A" w:rsidP="00C2412F">
      <w:pPr>
        <w:pStyle w:val="TableTitle"/>
      </w:pPr>
      <w:r w:rsidRPr="00CC119A">
        <w:t xml:space="preserve">Figure </w:t>
      </w:r>
      <w:r>
        <w:fldChar w:fldCharType="begin"/>
      </w:r>
      <w:r>
        <w:instrText>SEQ Figure \* ARABIC</w:instrText>
      </w:r>
      <w:r>
        <w:fldChar w:fldCharType="separate"/>
      </w:r>
      <w:r w:rsidR="00745EF2">
        <w:rPr>
          <w:noProof/>
        </w:rPr>
        <w:t>2</w:t>
      </w:r>
      <w:r>
        <w:fldChar w:fldCharType="end"/>
      </w:r>
      <w:r>
        <w:t xml:space="preserve">: </w:t>
      </w:r>
      <w:r w:rsidRPr="00CC119A">
        <w:t>Mean serum concentration-time profiles of</w:t>
      </w:r>
      <w:r w:rsidR="00042FD8">
        <w:t xml:space="preserve"> </w:t>
      </w:r>
      <w:r w:rsidR="00042FD8">
        <w:rPr>
          <w:lang w:eastAsia="ja-JP"/>
        </w:rPr>
        <w:t>PF-05280586 (Ruxience)</w:t>
      </w:r>
      <w:r w:rsidRPr="00CC119A">
        <w:t xml:space="preserve"> </w:t>
      </w:r>
      <w:r w:rsidR="00042FD8">
        <w:t>EU-sourced</w:t>
      </w:r>
      <w:r w:rsidRPr="00CC119A">
        <w:t xml:space="preserve"> rituximab and </w:t>
      </w:r>
      <w:r w:rsidR="00042FD8">
        <w:t xml:space="preserve">US-sourced </w:t>
      </w:r>
      <w:r w:rsidRPr="00CC119A">
        <w:t xml:space="preserve">rituximab in </w:t>
      </w:r>
      <w:r w:rsidR="00042FD8">
        <w:t>rheumatoid arthritis</w:t>
      </w:r>
      <w:r w:rsidRPr="00CC119A">
        <w:t xml:space="preserve"> patients (n</w:t>
      </w:r>
      <w:r>
        <w:t xml:space="preserve"> </w:t>
      </w:r>
      <w:r w:rsidRPr="00CC119A">
        <w:t>=</w:t>
      </w:r>
      <w:r>
        <w:t xml:space="preserve"> 198) receiving two</w:t>
      </w:r>
      <w:r w:rsidR="0057261A">
        <w:t xml:space="preserve"> intravenous doses of 1000 </w:t>
      </w:r>
      <w:r w:rsidRPr="00CC119A">
        <w:t>mg on Day 1 and Day 15</w:t>
      </w:r>
    </w:p>
    <w:p w14:paraId="60061E4C" w14:textId="77777777" w:rsidR="00CC119A" w:rsidRDefault="00045FBE" w:rsidP="00CC119A">
      <w:r w:rsidRPr="00194A94">
        <w:rPr>
          <w:noProof/>
          <w:lang w:eastAsia="en-AU"/>
        </w:rPr>
        <w:drawing>
          <wp:inline distT="0" distB="0" distL="0" distR="0" wp14:anchorId="1768678F" wp14:editId="2D8FDE2F">
            <wp:extent cx="4778136" cy="5882817"/>
            <wp:effectExtent l="0" t="0" r="3810" b="3810"/>
            <wp:docPr id="10" name="Picture 10" descr="Mean serum concentration-time profiles of rituximab-Pfizer, rituximab-EU and rituximab-US in RA patients (n = 198) receiving two intravenous doses of 1000 mg on Day 1 and Da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l="5678" t="865" r="5807" b="11599"/>
                    <a:stretch/>
                  </pic:blipFill>
                  <pic:spPr bwMode="auto">
                    <a:xfrm>
                      <a:off x="0" y="0"/>
                      <a:ext cx="4778136" cy="5882817"/>
                    </a:xfrm>
                    <a:prstGeom prst="rect">
                      <a:avLst/>
                    </a:prstGeom>
                    <a:noFill/>
                    <a:ln>
                      <a:noFill/>
                    </a:ln>
                    <a:extLst>
                      <a:ext uri="{53640926-AAD7-44D8-BBD7-CCE9431645EC}">
                        <a14:shadowObscured xmlns:a14="http://schemas.microsoft.com/office/drawing/2010/main"/>
                      </a:ext>
                    </a:extLst>
                  </pic:spPr>
                </pic:pic>
              </a:graphicData>
            </a:graphic>
          </wp:inline>
        </w:drawing>
      </w:r>
    </w:p>
    <w:p w14:paraId="52E2343C" w14:textId="77777777" w:rsidR="00134079" w:rsidRDefault="00134079" w:rsidP="00B91789">
      <w:pPr>
        <w:pStyle w:val="FigureDescription"/>
      </w:pPr>
      <w:r>
        <w:t>Upper and lower panels are linear and semi-logarithmic scales, respectively. Abbreviations: EU = Europe; US = United States; RA = rheumatoid arthritis; n = number of subjects</w:t>
      </w:r>
    </w:p>
    <w:p w14:paraId="33F55A91" w14:textId="76D9CF9A" w:rsidR="00134079" w:rsidRDefault="00134079" w:rsidP="00134079">
      <w:pPr>
        <w:pStyle w:val="TableTitle"/>
      </w:pPr>
      <w:r w:rsidRPr="00134079">
        <w:t xml:space="preserve">Table </w:t>
      </w:r>
      <w:r>
        <w:fldChar w:fldCharType="begin"/>
      </w:r>
      <w:r>
        <w:instrText>SEQ Table \* ARABIC</w:instrText>
      </w:r>
      <w:r>
        <w:fldChar w:fldCharType="separate"/>
      </w:r>
      <w:r w:rsidR="00745EF2">
        <w:rPr>
          <w:noProof/>
        </w:rPr>
        <w:t>5</w:t>
      </w:r>
      <w:r>
        <w:fldChar w:fldCharType="end"/>
      </w:r>
      <w:r>
        <w:t xml:space="preserve">: </w:t>
      </w:r>
      <w:r w:rsidRPr="00134079">
        <w:t xml:space="preserve">Summary of statistical comparisons of pharmacokinetic exposure parameters between </w:t>
      </w:r>
      <w:r w:rsidR="00743FE7">
        <w:rPr>
          <w:lang w:eastAsia="ja-JP"/>
        </w:rPr>
        <w:t>PF-05280586 (Rituxience)</w:t>
      </w:r>
      <w:r w:rsidRPr="00134079">
        <w:t xml:space="preserve"> and reference product</w:t>
      </w:r>
      <w:r w:rsidR="00743FE7">
        <w:t>s (EU</w:t>
      </w:r>
      <w:r w:rsidR="00743FE7">
        <w:noBreakHyphen/>
        <w:t xml:space="preserve"> and US</w:t>
      </w:r>
      <w:r w:rsidR="00743FE7">
        <w:noBreakHyphen/>
        <w:t>sourced rituximab)</w:t>
      </w:r>
    </w:p>
    <w:p w14:paraId="44EAFD9C" w14:textId="77777777" w:rsidR="00134079" w:rsidRDefault="00045FBE" w:rsidP="00134079">
      <w:r w:rsidRPr="00102030">
        <w:rPr>
          <w:noProof/>
          <w:lang w:eastAsia="en-AU"/>
        </w:rPr>
        <w:drawing>
          <wp:inline distT="0" distB="0" distL="0" distR="0" wp14:anchorId="213367F3" wp14:editId="4C2788C1">
            <wp:extent cx="5246062" cy="3028315"/>
            <wp:effectExtent l="0" t="0" r="0" b="635"/>
            <wp:docPr id="14" name="Picture 14" descr="Summary of statistical comparisons of pharmacokinetic exposure parameters between rituximab-Pfizer and referen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l="2839" b="15345"/>
                    <a:stretch/>
                  </pic:blipFill>
                  <pic:spPr bwMode="auto">
                    <a:xfrm>
                      <a:off x="0" y="0"/>
                      <a:ext cx="5246739" cy="3028706"/>
                    </a:xfrm>
                    <a:prstGeom prst="rect">
                      <a:avLst/>
                    </a:prstGeom>
                    <a:noFill/>
                    <a:ln>
                      <a:noFill/>
                    </a:ln>
                    <a:extLst>
                      <a:ext uri="{53640926-AAD7-44D8-BBD7-CCE9431645EC}">
                        <a14:shadowObscured xmlns:a14="http://schemas.microsoft.com/office/drawing/2010/main"/>
                      </a:ext>
                    </a:extLst>
                  </pic:spPr>
                </pic:pic>
              </a:graphicData>
            </a:graphic>
          </wp:inline>
        </w:drawing>
      </w:r>
    </w:p>
    <w:p w14:paraId="47314AB6" w14:textId="77777777" w:rsidR="00134079" w:rsidRDefault="00134079" w:rsidP="00134079">
      <w:pPr>
        <w:pStyle w:val="TableDescription"/>
      </w:pPr>
      <w:r>
        <w:t>Abbreviations: CI = confidence interval; SD</w:t>
      </w:r>
      <w:r w:rsidR="00B86B88">
        <w:t xml:space="preserve"> = standard deviation; EU = Eur</w:t>
      </w:r>
      <w:r>
        <w:t>ope; US = United States</w:t>
      </w:r>
    </w:p>
    <w:p w14:paraId="658CA3B9" w14:textId="144E202D" w:rsidR="00134079" w:rsidRDefault="00134079" w:rsidP="00134079">
      <w:pPr>
        <w:pStyle w:val="TableDescription"/>
      </w:pPr>
      <w:r>
        <w:t xml:space="preserve"> </w:t>
      </w:r>
      <w:r w:rsidR="00743FE7">
        <w:t xml:space="preserve">a) </w:t>
      </w:r>
      <w:r>
        <w:t>The ratios (and 90% Cis) are expressed as percentages.</w:t>
      </w:r>
    </w:p>
    <w:p w14:paraId="3CB7D8A9" w14:textId="77777777" w:rsidR="00134079" w:rsidRPr="00AD2249" w:rsidRDefault="008D0C98" w:rsidP="00C2412F">
      <w:pPr>
        <w:pStyle w:val="Heading7"/>
      </w:pPr>
      <w:r w:rsidRPr="00C2412F">
        <w:rPr>
          <w:sz w:val="22"/>
        </w:rPr>
        <w:t>Conclusions</w:t>
      </w:r>
    </w:p>
    <w:p w14:paraId="66198BAC" w14:textId="1B088391" w:rsidR="00134079" w:rsidRDefault="00134079" w:rsidP="00134079">
      <w:r w:rsidRPr="00134079">
        <w:t xml:space="preserve">The standard requirements for demonstration of similarity </w:t>
      </w:r>
      <w:r w:rsidR="00F163E7">
        <w:t xml:space="preserve">in PK </w:t>
      </w:r>
      <w:r w:rsidRPr="00134079">
        <w:t>have been convincingly demonstrated for C</w:t>
      </w:r>
      <w:r w:rsidRPr="00134079">
        <w:rPr>
          <w:vertAlign w:val="subscript"/>
        </w:rPr>
        <w:t>max</w:t>
      </w:r>
      <w:r w:rsidRPr="00134079">
        <w:t xml:space="preserve"> and AUC</w:t>
      </w:r>
      <w:r w:rsidRPr="00134079">
        <w:rPr>
          <w:vertAlign w:val="subscript"/>
        </w:rPr>
        <w:t>0-∞</w:t>
      </w:r>
      <w:r w:rsidRPr="00134079">
        <w:t xml:space="preserve"> in Study</w:t>
      </w:r>
      <w:r w:rsidR="00F163E7">
        <w:t> </w:t>
      </w:r>
      <w:r w:rsidRPr="00134079">
        <w:t>B3281001. The ratios were contained within the pre-specified acceptance boundaries of 80.00% to 125.00% for all the p</w:t>
      </w:r>
      <w:r>
        <w:t>air-wise comparisons among the three</w:t>
      </w:r>
      <w:r w:rsidRPr="00134079">
        <w:t xml:space="preserve"> study drugs, demonstrating PK similarity among </w:t>
      </w:r>
      <w:r w:rsidR="00F163E7">
        <w:t xml:space="preserve">US-sourced </w:t>
      </w:r>
      <w:r w:rsidRPr="00134079">
        <w:t xml:space="preserve">rituximab, </w:t>
      </w:r>
      <w:r w:rsidR="00F163E7">
        <w:t xml:space="preserve">EU-sourced </w:t>
      </w:r>
      <w:r w:rsidRPr="00134079">
        <w:t xml:space="preserve">rituximab, and </w:t>
      </w:r>
      <w:r w:rsidR="00F163E7">
        <w:rPr>
          <w:lang w:eastAsia="ja-JP"/>
        </w:rPr>
        <w:t>PF-05280586 (Ruxience)</w:t>
      </w:r>
      <w:r w:rsidRPr="00134079">
        <w:t>.</w:t>
      </w:r>
    </w:p>
    <w:p w14:paraId="33C922BB" w14:textId="101A3566" w:rsidR="008D0C98" w:rsidRDefault="008D0C98" w:rsidP="008D0C98">
      <w:r>
        <w:t xml:space="preserve">In the pivotal biosimilarity </w:t>
      </w:r>
      <w:r w:rsidR="0062451D">
        <w:t>Study</w:t>
      </w:r>
      <w:r w:rsidR="00B86B88">
        <w:t xml:space="preserve"> B3281001, </w:t>
      </w:r>
      <w:r w:rsidR="00F163E7">
        <w:t xml:space="preserve">US-sourced </w:t>
      </w:r>
      <w:r w:rsidR="00B86B88">
        <w:t>r</w:t>
      </w:r>
      <w:r>
        <w:t xml:space="preserve">ituximab, </w:t>
      </w:r>
      <w:r w:rsidR="00F163E7">
        <w:t>EU</w:t>
      </w:r>
      <w:r w:rsidR="00F163E7">
        <w:noBreakHyphen/>
        <w:t xml:space="preserve">sourced </w:t>
      </w:r>
      <w:r>
        <w:t>rituximab, and PF</w:t>
      </w:r>
      <w:r w:rsidR="00F163E7">
        <w:noBreakHyphen/>
      </w:r>
      <w:r>
        <w:t>05280586 exhibited similar PK profiles. More importantly, the 90% CIs for test to reference ratios of C</w:t>
      </w:r>
      <w:r w:rsidRPr="008D0C98">
        <w:rPr>
          <w:vertAlign w:val="subscript"/>
        </w:rPr>
        <w:t>max</w:t>
      </w:r>
      <w:r>
        <w:t xml:space="preserve"> and AUC</w:t>
      </w:r>
      <w:r w:rsidRPr="008D0C98">
        <w:rPr>
          <w:vertAlign w:val="subscript"/>
        </w:rPr>
        <w:t xml:space="preserve">0-∞ </w:t>
      </w:r>
      <w:r>
        <w:t xml:space="preserve">were contained within the pre-specified acceptance boundaries of 80% to 125% for all of the pair-wise comparisons among the three study drugs, demonstrating PK similarity among </w:t>
      </w:r>
      <w:r w:rsidR="00F163E7">
        <w:t xml:space="preserve">US-sourced </w:t>
      </w:r>
      <w:r>
        <w:t xml:space="preserve">rituximab, </w:t>
      </w:r>
      <w:r w:rsidR="00F163E7">
        <w:t>EU</w:t>
      </w:r>
      <w:r w:rsidR="00F163E7">
        <w:noBreakHyphen/>
        <w:t xml:space="preserve">sourced </w:t>
      </w:r>
      <w:r>
        <w:t>rituximab, and PF-05280586 (</w:t>
      </w:r>
      <w:r w:rsidR="00F163E7">
        <w:t>Ruxience</w:t>
      </w:r>
      <w:r>
        <w:t>).</w:t>
      </w:r>
    </w:p>
    <w:p w14:paraId="0B80B620" w14:textId="77777777" w:rsidR="008D0C98" w:rsidRDefault="008D0C98" w:rsidP="008D0C98">
      <w:pPr>
        <w:pStyle w:val="Heading5"/>
      </w:pPr>
      <w:r>
        <w:t>Pharmacodynamics</w:t>
      </w:r>
    </w:p>
    <w:p w14:paraId="7D7C129B" w14:textId="700BE2A1" w:rsidR="008D0C98" w:rsidRDefault="008D0C98" w:rsidP="008D0C98">
      <w:r>
        <w:t>These evaluations have shown a consistently similar effect of the rituximab formulations on timing and extent of reduction in CD19</w:t>
      </w:r>
      <w:r w:rsidRPr="008D0C98">
        <w:rPr>
          <w:vertAlign w:val="superscript"/>
        </w:rPr>
        <w:t>+</w:t>
      </w:r>
      <w:r>
        <w:t xml:space="preserve"> cells. The effect is rapid, being apparent within the first day of treatment commencement in patients with RA. Similar effects on CD19</w:t>
      </w:r>
      <w:r w:rsidRPr="008D0C98">
        <w:rPr>
          <w:vertAlign w:val="superscript"/>
        </w:rPr>
        <w:t>+</w:t>
      </w:r>
      <w:r>
        <w:t xml:space="preserve"> cells </w:t>
      </w:r>
      <w:r w:rsidR="00B86B88">
        <w:t xml:space="preserve">were also demonstrated for </w:t>
      </w:r>
      <w:r w:rsidR="00F163E7">
        <w:rPr>
          <w:lang w:eastAsia="ja-JP"/>
        </w:rPr>
        <w:t xml:space="preserve">PF-05280586 (Ruxience) versus </w:t>
      </w:r>
      <w:r w:rsidR="00F163E7">
        <w:t xml:space="preserve">the EU-sourced </w:t>
      </w:r>
      <w:r>
        <w:t>rituximab</w:t>
      </w:r>
      <w:r w:rsidR="00F163E7">
        <w:t xml:space="preserve"> (reference)</w:t>
      </w:r>
      <w:r w:rsidR="00B15D42">
        <w:t xml:space="preserve"> </w:t>
      </w:r>
      <w:r>
        <w:t xml:space="preserve">comparison in Study B3281006. Secondary PD effects on IgG, IgM, </w:t>
      </w:r>
      <w:r w:rsidR="008C25F3" w:rsidRPr="008C25F3">
        <w:t>rheumatoid factor (</w:t>
      </w:r>
      <w:r w:rsidRPr="008C25F3">
        <w:t>RF</w:t>
      </w:r>
      <w:r w:rsidR="008C25F3" w:rsidRPr="008C25F3">
        <w:t>)</w:t>
      </w:r>
      <w:r w:rsidRPr="008C25F3">
        <w:t>,</w:t>
      </w:r>
      <w:r>
        <w:t xml:space="preserve"> and </w:t>
      </w:r>
      <w:r w:rsidR="008C25F3" w:rsidRPr="008C25F3">
        <w:t xml:space="preserve">cyclic citrullinated peptides </w:t>
      </w:r>
      <w:r w:rsidR="008C25F3">
        <w:t>(</w:t>
      </w:r>
      <w:r>
        <w:t>CCP</w:t>
      </w:r>
      <w:r w:rsidR="008C25F3">
        <w:t>)</w:t>
      </w:r>
      <w:r>
        <w:t xml:space="preserve"> antibody levels were also consistent between the three products.</w:t>
      </w:r>
    </w:p>
    <w:p w14:paraId="062FC04C" w14:textId="77777777" w:rsidR="008D0C98" w:rsidRDefault="008D0C98" w:rsidP="008D0C98">
      <w:r>
        <w:t>A consiste</w:t>
      </w:r>
      <w:r w:rsidR="0052716C">
        <w:t>nt relationship between mean area under the plasma concentration time curve</w:t>
      </w:r>
      <w:r>
        <w:t xml:space="preserve"> and clinical response was also demonstrated for the three products.</w:t>
      </w:r>
    </w:p>
    <w:p w14:paraId="2C9DD77D" w14:textId="4D100EE1" w:rsidR="008D0C98" w:rsidRDefault="008D0C98" w:rsidP="008D0C98">
      <w:r>
        <w:t xml:space="preserve">Immunogenicity with </w:t>
      </w:r>
      <w:r w:rsidR="008C25F3" w:rsidRPr="008C25F3">
        <w:t>neutralising antibodies</w:t>
      </w:r>
      <w:r w:rsidR="008C25F3">
        <w:t xml:space="preserve"> (</w:t>
      </w:r>
      <w:r>
        <w:t>Nab</w:t>
      </w:r>
      <w:r w:rsidR="008C25F3">
        <w:t>)</w:t>
      </w:r>
      <w:r>
        <w:t xml:space="preserve"> does not appear to be of concern in the treatment durations seen in the </w:t>
      </w:r>
      <w:r w:rsidR="00062563">
        <w:t>bioequivalen</w:t>
      </w:r>
      <w:r w:rsidR="003A5457">
        <w:t>ce</w:t>
      </w:r>
      <w:r>
        <w:t xml:space="preserve"> study and its continuation study in patients with RA.</w:t>
      </w:r>
    </w:p>
    <w:p w14:paraId="4966C4D6" w14:textId="77777777" w:rsidR="008D0C98" w:rsidRDefault="008C25F3" w:rsidP="008D0C98">
      <w:r>
        <w:t xml:space="preserve">Biosimilarity with the EU reference product MabThera has been </w:t>
      </w:r>
      <w:r w:rsidR="00D04022">
        <w:t>demonstrated,</w:t>
      </w:r>
      <w:r>
        <w:t xml:space="preserve"> based on the clinical pharmacology data.</w:t>
      </w:r>
    </w:p>
    <w:p w14:paraId="447044BD" w14:textId="77777777" w:rsidR="003D3A72" w:rsidRDefault="003D3A72" w:rsidP="003D3A72">
      <w:pPr>
        <w:pStyle w:val="Heading4"/>
      </w:pPr>
      <w:r>
        <w:t>Efficacy</w:t>
      </w:r>
    </w:p>
    <w:p w14:paraId="364EE345" w14:textId="77777777" w:rsidR="00FA2E75" w:rsidRDefault="00FA2E75" w:rsidP="00FA2E75">
      <w:pPr>
        <w:pStyle w:val="Heading5"/>
      </w:pPr>
      <w:r>
        <w:t>Study B3281006</w:t>
      </w:r>
    </w:p>
    <w:p w14:paraId="5FD24051" w14:textId="7CBC88A5" w:rsidR="00FA2E75" w:rsidRDefault="00FA2E75" w:rsidP="00FA2E75">
      <w:r>
        <w:t>Study B3281006 was the pivotal study for evaluating efficacy of PF-05280586 (</w:t>
      </w:r>
      <w:r w:rsidR="009A54AC">
        <w:t>Ruxience)</w:t>
      </w:r>
      <w:r>
        <w:t>.</w:t>
      </w:r>
    </w:p>
    <w:p w14:paraId="6C296E5E" w14:textId="45E6DA9F" w:rsidR="00FA2E75" w:rsidRDefault="00FA2E75" w:rsidP="00FA2E75">
      <w:pPr>
        <w:pStyle w:val="Heading6"/>
      </w:pPr>
      <w:r>
        <w:t xml:space="preserve">Study </w:t>
      </w:r>
      <w:r w:rsidR="009A54AC">
        <w:t>d</w:t>
      </w:r>
      <w:r>
        <w:t>esign</w:t>
      </w:r>
    </w:p>
    <w:p w14:paraId="0BFAC78C" w14:textId="66FE345D" w:rsidR="00FA2E75" w:rsidRDefault="00FA2E75" w:rsidP="00FA2E75">
      <w:r>
        <w:t>This study was a Phase III, randomised, double-blind study of PF-05280586</w:t>
      </w:r>
      <w:r w:rsidR="00AF43E5">
        <w:t xml:space="preserve"> (</w:t>
      </w:r>
      <w:r w:rsidR="009A54AC">
        <w:t>Ruxience</w:t>
      </w:r>
      <w:r w:rsidR="00AF43E5">
        <w:t>)</w:t>
      </w:r>
      <w:r>
        <w:t xml:space="preserve"> versus </w:t>
      </w:r>
      <w:r w:rsidR="009A54AC">
        <w:t>EU-sourced r</w:t>
      </w:r>
      <w:r>
        <w:t>ituximab</w:t>
      </w:r>
      <w:r w:rsidR="009A54AC">
        <w:t xml:space="preserve"> </w:t>
      </w:r>
      <w:r>
        <w:t>for the first-line treatment of patients with CD20</w:t>
      </w:r>
      <w:r w:rsidRPr="00FA2E75">
        <w:rPr>
          <w:vertAlign w:val="superscript"/>
        </w:rPr>
        <w:t>+</w:t>
      </w:r>
      <w:r>
        <w:t>, low tumour burden, follicular lymphoma.</w:t>
      </w:r>
    </w:p>
    <w:p w14:paraId="2B2DCB38" w14:textId="6EC92DD3" w:rsidR="00FA2E75" w:rsidRDefault="00FA2E75" w:rsidP="00FA2E75">
      <w:r>
        <w:t>The study was performed in patients with CD20</w:t>
      </w:r>
      <w:r w:rsidRPr="00FA2E75">
        <w:rPr>
          <w:vertAlign w:val="superscript"/>
        </w:rPr>
        <w:t>+</w:t>
      </w:r>
      <w:r>
        <w:t>, low tumour burden, follicular lymphoma. Additional comparative efficacy data were available from Studies B3281001, the bioequivalence</w:t>
      </w:r>
      <w:r w:rsidR="00745EF2">
        <w:t xml:space="preserve"> </w:t>
      </w:r>
      <w:r>
        <w:t>study in patients with rheumatoid arthritis and its extension, Study B32881004.</w:t>
      </w:r>
    </w:p>
    <w:p w14:paraId="5F6B3BFE" w14:textId="77777777" w:rsidR="00FA2E75" w:rsidRDefault="00FA2E75" w:rsidP="00FA2E75">
      <w:r>
        <w:t>The first subject visit was in September 2014 and the last subject visit was in April 2018. This is the final report, an interim analysis was performed on data to Week 26 of the study.</w:t>
      </w:r>
    </w:p>
    <w:p w14:paraId="6BBB275B" w14:textId="7BBAF92C" w:rsidR="00FA2E75" w:rsidRDefault="00FA2E75" w:rsidP="00FA2E75">
      <w:r>
        <w:t>The primary objective was to compare the efficacy of PF-05280586 (</w:t>
      </w:r>
      <w:r w:rsidR="009A54AC">
        <w:t>Ruxience</w:t>
      </w:r>
      <w:r>
        <w:t xml:space="preserve">) to </w:t>
      </w:r>
      <w:r w:rsidR="009A54AC">
        <w:t xml:space="preserve">EU-sourced </w:t>
      </w:r>
      <w:r>
        <w:t>rituximab when administered as a first-line treatment to subjects with CD20</w:t>
      </w:r>
      <w:r w:rsidRPr="00FA2E75">
        <w:rPr>
          <w:vertAlign w:val="superscript"/>
        </w:rPr>
        <w:t>+</w:t>
      </w:r>
      <w:r>
        <w:t>, low tumour burden</w:t>
      </w:r>
      <w:r w:rsidR="00AF43E5">
        <w:t>, follicular lymphoma (LTB FL).</w:t>
      </w:r>
    </w:p>
    <w:p w14:paraId="6B000F11" w14:textId="77777777" w:rsidR="00FA2E75" w:rsidRDefault="00FA2E75" w:rsidP="00FA2E75">
      <w:r>
        <w:t>Secondary objectives were:</w:t>
      </w:r>
    </w:p>
    <w:p w14:paraId="5AA027BF" w14:textId="31EFA432" w:rsidR="00FA2E75" w:rsidRDefault="009A54AC" w:rsidP="00FA2E75">
      <w:pPr>
        <w:pStyle w:val="ListBullet"/>
      </w:pPr>
      <w:r>
        <w:t>t</w:t>
      </w:r>
      <w:r w:rsidR="00FA2E75">
        <w:t>o evaluate the safety of PF-05280586</w:t>
      </w:r>
      <w:r w:rsidR="00AF43E5">
        <w:t xml:space="preserve"> (</w:t>
      </w:r>
      <w:r>
        <w:t>Ruxience</w:t>
      </w:r>
      <w:r w:rsidR="00AF43E5">
        <w:t>)</w:t>
      </w:r>
      <w:r w:rsidR="00FA2E75">
        <w:t xml:space="preserve"> and </w:t>
      </w:r>
      <w:r>
        <w:t xml:space="preserve">EU-sourced </w:t>
      </w:r>
      <w:r w:rsidR="00FA2E75">
        <w:t>rituxima</w:t>
      </w:r>
      <w:r>
        <w:t>b;</w:t>
      </w:r>
    </w:p>
    <w:p w14:paraId="62B33F06" w14:textId="3AE0D13A" w:rsidR="00FA2E75" w:rsidRDefault="009A54AC" w:rsidP="00FA2E75">
      <w:pPr>
        <w:pStyle w:val="ListBullet"/>
      </w:pPr>
      <w:r>
        <w:t>t</w:t>
      </w:r>
      <w:r w:rsidR="00FA2E75">
        <w:t xml:space="preserve">o evaluate the population PK of PF-05280586 </w:t>
      </w:r>
      <w:r w:rsidR="00AF43E5">
        <w:t>(</w:t>
      </w:r>
      <w:r>
        <w:t>Ruxience</w:t>
      </w:r>
      <w:r w:rsidR="00AF43E5">
        <w:t xml:space="preserve">) </w:t>
      </w:r>
      <w:r w:rsidR="00FA2E75">
        <w:t>and</w:t>
      </w:r>
      <w:r>
        <w:t xml:space="preserve"> EU-sourced</w:t>
      </w:r>
      <w:r w:rsidR="00FA2E75">
        <w:t xml:space="preserve"> rituximab</w:t>
      </w:r>
      <w:r>
        <w:t>;</w:t>
      </w:r>
    </w:p>
    <w:p w14:paraId="68B26913" w14:textId="520A9A5F" w:rsidR="00FA2E75" w:rsidRDefault="009A54AC" w:rsidP="00FA2E75">
      <w:pPr>
        <w:pStyle w:val="ListBullet"/>
      </w:pPr>
      <w:r>
        <w:t>t</w:t>
      </w:r>
      <w:r w:rsidR="00FA2E75">
        <w:t>o evaluate the immunogenicity of PF-05280586</w:t>
      </w:r>
      <w:r w:rsidR="00AF43E5">
        <w:t xml:space="preserve"> (</w:t>
      </w:r>
      <w:r>
        <w:t>Ruxience</w:t>
      </w:r>
      <w:r w:rsidR="00AF43E5">
        <w:t>)</w:t>
      </w:r>
      <w:r w:rsidR="00FA2E75">
        <w:t xml:space="preserve"> and </w:t>
      </w:r>
      <w:r>
        <w:t xml:space="preserve">EU-sourced </w:t>
      </w:r>
      <w:r w:rsidR="00FA2E75">
        <w:t>rituximab</w:t>
      </w:r>
      <w:r>
        <w:t>; and</w:t>
      </w:r>
    </w:p>
    <w:p w14:paraId="09582786" w14:textId="769CB6B7" w:rsidR="00FA2E75" w:rsidRDefault="009A54AC" w:rsidP="00FA2E75">
      <w:pPr>
        <w:pStyle w:val="ListBullet"/>
      </w:pPr>
      <w:r>
        <w:t>t</w:t>
      </w:r>
      <w:r w:rsidR="0057261A">
        <w:t>o characteris</w:t>
      </w:r>
      <w:r w:rsidR="00FA2E75">
        <w:t>e CD19-positive B</w:t>
      </w:r>
      <w:r>
        <w:t xml:space="preserve"> </w:t>
      </w:r>
      <w:r w:rsidR="00FA2E75">
        <w:t>cell depletion and recovery in subjects receiving PF</w:t>
      </w:r>
      <w:r>
        <w:t> </w:t>
      </w:r>
      <w:r w:rsidR="00FA2E75">
        <w:t>05280586</w:t>
      </w:r>
      <w:r>
        <w:t xml:space="preserve"> (Ruxience)</w:t>
      </w:r>
      <w:r w:rsidR="00FA2E75">
        <w:t xml:space="preserve"> and </w:t>
      </w:r>
      <w:r>
        <w:t xml:space="preserve">EU-sourced </w:t>
      </w:r>
      <w:r w:rsidR="00FA2E75">
        <w:t>rituxima</w:t>
      </w:r>
      <w:r>
        <w:t>b</w:t>
      </w:r>
      <w:r w:rsidR="00FA2E75">
        <w:t>.</w:t>
      </w:r>
    </w:p>
    <w:p w14:paraId="5D29362B" w14:textId="5DB5AED5" w:rsidR="00FA2E75" w:rsidRDefault="00FA2E75" w:rsidP="00FA2E75">
      <w:r>
        <w:t xml:space="preserve">Subjects were randomised in a 1:1 ratio to receive PF-05280586 </w:t>
      </w:r>
      <w:r w:rsidR="00AF43E5">
        <w:t>(</w:t>
      </w:r>
      <w:r w:rsidR="00BE54B5">
        <w:t>Ruxience</w:t>
      </w:r>
      <w:r w:rsidR="00AF43E5">
        <w:t xml:space="preserve">) </w:t>
      </w:r>
      <w:r>
        <w:t xml:space="preserve">or </w:t>
      </w:r>
      <w:r w:rsidR="00BE54B5">
        <w:t xml:space="preserve">EU-sourced </w:t>
      </w:r>
      <w:r>
        <w:t>rituximab. Randomisation was stratified by low, medium and high risk subjects using the Follicular Lymphoma Internationa</w:t>
      </w:r>
      <w:r w:rsidR="003D3A72">
        <w:t>l Prognostic Index 2 (FLIPI2)</w:t>
      </w:r>
      <w:r w:rsidR="00BE54B5">
        <w:t xml:space="preserve"> crieteria</w:t>
      </w:r>
      <w:r w:rsidR="003D3A72">
        <w:t>.</w:t>
      </w:r>
      <w:r w:rsidR="00AF43E5">
        <w:rPr>
          <w:rStyle w:val="FootnoteReference"/>
        </w:rPr>
        <w:footnoteReference w:id="6"/>
      </w:r>
      <w:r w:rsidR="003D3A72">
        <w:t xml:space="preserve"> </w:t>
      </w:r>
      <w:r>
        <w:t>Durin</w:t>
      </w:r>
      <w:r w:rsidR="00AF43E5">
        <w:t>g the study, subjects received four</w:t>
      </w:r>
      <w:r w:rsidR="00BE54B5">
        <w:noBreakHyphen/>
      </w:r>
      <w:r>
        <w:t>weekly doses of PF</w:t>
      </w:r>
      <w:r w:rsidR="00BE54B5">
        <w:noBreakHyphen/>
      </w:r>
      <w:r>
        <w:t>05280586</w:t>
      </w:r>
      <w:r w:rsidR="00AF43E5">
        <w:t xml:space="preserve"> (</w:t>
      </w:r>
      <w:r w:rsidR="00BE54B5">
        <w:t>Ruxience</w:t>
      </w:r>
      <w:r w:rsidR="00AF43E5">
        <w:t>)</w:t>
      </w:r>
      <w:r>
        <w:t xml:space="preserve"> or EU</w:t>
      </w:r>
      <w:r w:rsidR="00BE54B5">
        <w:noBreakHyphen/>
        <w:t>sourced rituximab</w:t>
      </w:r>
      <w:r>
        <w:t xml:space="preserve"> administered via </w:t>
      </w:r>
      <w:r w:rsidR="00BE54B5">
        <w:t xml:space="preserve">IV </w:t>
      </w:r>
      <w:r>
        <w:t xml:space="preserve">infusion. The dose of PF-05280586 </w:t>
      </w:r>
      <w:r w:rsidR="00AF43E5">
        <w:t>(</w:t>
      </w:r>
      <w:r w:rsidR="00BE54B5">
        <w:t>Ruxience</w:t>
      </w:r>
      <w:r w:rsidR="00AF43E5">
        <w:t xml:space="preserve">) </w:t>
      </w:r>
      <w:r>
        <w:t xml:space="preserve">or </w:t>
      </w:r>
      <w:r w:rsidR="00BE54B5">
        <w:t>EU</w:t>
      </w:r>
      <w:r w:rsidR="00BE54B5">
        <w:noBreakHyphen/>
        <w:t xml:space="preserve">sourced </w:t>
      </w:r>
      <w:r>
        <w:t>rituximab was 375 mg/m</w:t>
      </w:r>
      <w:r w:rsidRPr="00FA2E75">
        <w:rPr>
          <w:vertAlign w:val="superscript"/>
        </w:rPr>
        <w:t>2</w:t>
      </w:r>
      <w:r>
        <w:t xml:space="preserve"> of body surface area (BSA).</w:t>
      </w:r>
    </w:p>
    <w:p w14:paraId="2AFC23C0" w14:textId="78C0C408" w:rsidR="00FA2E75" w:rsidRDefault="00FA2E75" w:rsidP="00FA2E75">
      <w:r>
        <w:t>The maximum</w:t>
      </w:r>
      <w:r w:rsidR="00AF43E5">
        <w:t xml:space="preserve"> dose that could be infused in one</w:t>
      </w:r>
      <w:r w:rsidR="0057261A">
        <w:t xml:space="preserve"> day was 1125 </w:t>
      </w:r>
      <w:r>
        <w:t>mg. The primary assessment point was at Week 26 and follow-up continued to Week 5</w:t>
      </w:r>
      <w:r w:rsidR="00AF43E5">
        <w:t xml:space="preserve">2. The study schematic is below in </w:t>
      </w:r>
      <w:r w:rsidR="00AF43E5">
        <w:fldChar w:fldCharType="begin"/>
      </w:r>
      <w:r w:rsidR="00AF43E5">
        <w:instrText xml:space="preserve"> REF _Ref66869824 \h </w:instrText>
      </w:r>
      <w:r w:rsidR="00AF43E5">
        <w:fldChar w:fldCharType="separate"/>
      </w:r>
      <w:r w:rsidR="00745EF2" w:rsidRPr="00FA2E75">
        <w:t xml:space="preserve">Figure </w:t>
      </w:r>
      <w:r w:rsidR="00745EF2">
        <w:rPr>
          <w:noProof/>
        </w:rPr>
        <w:t>3</w:t>
      </w:r>
      <w:r w:rsidR="00AF43E5">
        <w:fldChar w:fldCharType="end"/>
      </w:r>
      <w:r w:rsidR="00AF43E5">
        <w:t>.</w:t>
      </w:r>
    </w:p>
    <w:p w14:paraId="5CCD5AD0" w14:textId="7FCD1D76" w:rsidR="00FA2E75" w:rsidRDefault="00FA2E75" w:rsidP="00045FBE">
      <w:pPr>
        <w:pStyle w:val="TableTitle"/>
      </w:pPr>
      <w:bookmarkStart w:id="42" w:name="_Ref66869824"/>
      <w:r w:rsidRPr="00FA2E75">
        <w:t xml:space="preserve">Figure </w:t>
      </w:r>
      <w:r>
        <w:fldChar w:fldCharType="begin"/>
      </w:r>
      <w:r>
        <w:instrText>SEQ Figure \* ARABIC</w:instrText>
      </w:r>
      <w:r>
        <w:fldChar w:fldCharType="separate"/>
      </w:r>
      <w:r w:rsidR="00745EF2">
        <w:rPr>
          <w:noProof/>
        </w:rPr>
        <w:t>3</w:t>
      </w:r>
      <w:r>
        <w:fldChar w:fldCharType="end"/>
      </w:r>
      <w:bookmarkEnd w:id="42"/>
      <w:r>
        <w:t>:</w:t>
      </w:r>
      <w:r w:rsidR="00045FBE">
        <w:t xml:space="preserve"> Study B3281006 </w:t>
      </w:r>
      <w:r w:rsidR="00BE54B5">
        <w:t>S</w:t>
      </w:r>
      <w:r w:rsidR="00045FBE">
        <w:t>tudy schematic</w:t>
      </w:r>
    </w:p>
    <w:p w14:paraId="4B94D5A5" w14:textId="77777777" w:rsidR="00045FBE" w:rsidRDefault="00045FBE" w:rsidP="00FA2E75">
      <w:r w:rsidRPr="00E05A41">
        <w:rPr>
          <w:noProof/>
          <w:lang w:eastAsia="en-AU"/>
        </w:rPr>
        <w:drawing>
          <wp:inline distT="0" distB="0" distL="0" distR="0" wp14:anchorId="2FF4B2CE" wp14:editId="597C60BA">
            <wp:extent cx="5213350" cy="1485900"/>
            <wp:effectExtent l="0" t="0" r="6350" b="0"/>
            <wp:docPr id="19" name="Picture 19" descr="Study B3281006 study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3350" cy="1485900"/>
                    </a:xfrm>
                    <a:prstGeom prst="rect">
                      <a:avLst/>
                    </a:prstGeom>
                    <a:noFill/>
                    <a:ln>
                      <a:noFill/>
                    </a:ln>
                  </pic:spPr>
                </pic:pic>
              </a:graphicData>
            </a:graphic>
          </wp:inline>
        </w:drawing>
      </w:r>
    </w:p>
    <w:p w14:paraId="5546683A" w14:textId="4FF51CF6" w:rsidR="00AF43E5" w:rsidRDefault="00AF43E5" w:rsidP="00B91789">
      <w:pPr>
        <w:pStyle w:val="FigureDescription"/>
      </w:pPr>
      <w:r>
        <w:t>R-Pfizer = rituximab-Pfizer</w:t>
      </w:r>
      <w:r w:rsidR="00BE54B5">
        <w:t xml:space="preserve"> (Ruxience)</w:t>
      </w:r>
      <w:r>
        <w:t>; R-EU = rituximab sourced from Europe</w:t>
      </w:r>
    </w:p>
    <w:p w14:paraId="596E4433" w14:textId="77777777" w:rsidR="00FA2E75" w:rsidRDefault="00FA2E75" w:rsidP="003D3A72">
      <w:pPr>
        <w:pStyle w:val="Heading6"/>
      </w:pPr>
      <w:r>
        <w:t>Results for the primary efficacy outcome</w:t>
      </w:r>
    </w:p>
    <w:p w14:paraId="5305E559" w14:textId="06A4DE31" w:rsidR="00FA2E75" w:rsidRDefault="00FA2E75" w:rsidP="00FA2E75">
      <w:r>
        <w:t>Stati</w:t>
      </w:r>
      <w:r w:rsidR="00A44DFD">
        <w:t>stical equivalence between the two</w:t>
      </w:r>
      <w:r>
        <w:t xml:space="preserve"> treatment groups was demonstrated. The overall response at Week 26 was 140 (70.7</w:t>
      </w:r>
      <w:r w:rsidR="00A44DFD">
        <w:t>%</w:t>
      </w:r>
      <w:r>
        <w:t xml:space="preserve">) in the </w:t>
      </w:r>
      <w:r w:rsidR="00BE54B5">
        <w:t xml:space="preserve">EU-sourced </w:t>
      </w:r>
      <w:r>
        <w:t>rituxima</w:t>
      </w:r>
      <w:r w:rsidR="00BE54B5">
        <w:t>b</w:t>
      </w:r>
      <w:r>
        <w:t xml:space="preserve"> group and 148 (75.5%) in the PF-05280586 (</w:t>
      </w:r>
      <w:r w:rsidR="00BE54B5">
        <w:t>Ruxience</w:t>
      </w:r>
      <w:r>
        <w:t xml:space="preserve">) group. The estimated difference in </w:t>
      </w:r>
      <w:r w:rsidR="00A44DFD">
        <w:t>o</w:t>
      </w:r>
      <w:r w:rsidR="00A44DFD" w:rsidRPr="00A44DFD">
        <w:t xml:space="preserve">verall response rate, </w:t>
      </w:r>
      <w:r w:rsidR="00A44DFD">
        <w:t>(</w:t>
      </w:r>
      <w:r>
        <w:t>ORR</w:t>
      </w:r>
      <w:r w:rsidR="00A44DFD">
        <w:t>)</w:t>
      </w:r>
      <w:r>
        <w:t xml:space="preserve"> was 4.66% (PF-05280586</w:t>
      </w:r>
      <w:r w:rsidR="00BE54B5">
        <w:t xml:space="preserve"> (Ruxience)</w:t>
      </w:r>
      <w:r>
        <w:t xml:space="preserve"> minus </w:t>
      </w:r>
      <w:r w:rsidR="00BE54B5">
        <w:t>EU</w:t>
      </w:r>
      <w:r w:rsidR="00BE54B5">
        <w:noBreakHyphen/>
        <w:t xml:space="preserve">sourced </w:t>
      </w:r>
      <w:r>
        <w:t>rituximab), with 95% CI</w:t>
      </w:r>
      <w:r w:rsidR="00BE54B5">
        <w:t>s</w:t>
      </w:r>
      <w:r>
        <w:t xml:space="preserve"> of -4.16%</w:t>
      </w:r>
      <w:r w:rsidR="00BE54B5">
        <w:t xml:space="preserve"> to </w:t>
      </w:r>
      <w:r>
        <w:t xml:space="preserve">13.47%, which fell within the -16.0% to 16.0% pre-specified equivalence margin agreed to by the </w:t>
      </w:r>
      <w:r w:rsidR="00BE54B5">
        <w:t xml:space="preserve">US </w:t>
      </w:r>
      <w:r w:rsidR="00595296" w:rsidRPr="002E4113">
        <w:t>Food and Drug Administratio</w:t>
      </w:r>
      <w:r w:rsidR="00595296">
        <w:t>n (</w:t>
      </w:r>
      <w:r>
        <w:t>FDA</w:t>
      </w:r>
      <w:r w:rsidR="00595296">
        <w:t>)</w:t>
      </w:r>
      <w:r>
        <w:t xml:space="preserve"> and </w:t>
      </w:r>
      <w:r w:rsidR="00595296" w:rsidRPr="00595296">
        <w:t>European Medicines Agency</w:t>
      </w:r>
      <w:r w:rsidR="00595296">
        <w:t xml:space="preserve"> (</w:t>
      </w:r>
      <w:r>
        <w:t>EMA</w:t>
      </w:r>
      <w:r w:rsidR="00595296">
        <w:t>)</w:t>
      </w:r>
      <w:r>
        <w:t>, and also within the -14.9% to 14.9% margin agreed to by the Pharmaceuticals and Medical Devices Agency (PMDA)</w:t>
      </w:r>
      <w:r w:rsidR="00BE54B5">
        <w:t xml:space="preserve"> in Japan</w:t>
      </w:r>
      <w:r>
        <w:t>. Summary statistics of response by treatment at Week 26 are shown below</w:t>
      </w:r>
      <w:r w:rsidR="00BE54B5">
        <w:t xml:space="preserve"> in Table 26</w:t>
      </w:r>
      <w:r>
        <w:t>.</w:t>
      </w:r>
    </w:p>
    <w:p w14:paraId="563FFFB4" w14:textId="3883249D" w:rsidR="003D3A72" w:rsidRDefault="003D3A72" w:rsidP="003D3A72">
      <w:pPr>
        <w:pStyle w:val="TableTitle"/>
      </w:pPr>
      <w:r w:rsidRPr="003D3A72">
        <w:t xml:space="preserve">Table </w:t>
      </w:r>
      <w:r>
        <w:fldChar w:fldCharType="begin"/>
      </w:r>
      <w:r>
        <w:instrText>SEQ Table \* ARABIC</w:instrText>
      </w:r>
      <w:r>
        <w:fldChar w:fldCharType="separate"/>
      </w:r>
      <w:r w:rsidR="00745EF2">
        <w:rPr>
          <w:noProof/>
        </w:rPr>
        <w:t>6</w:t>
      </w:r>
      <w:r>
        <w:fldChar w:fldCharType="end"/>
      </w:r>
      <w:r>
        <w:t xml:space="preserve">: Study </w:t>
      </w:r>
      <w:r w:rsidRPr="003D3A72">
        <w:t>B3281006</w:t>
      </w:r>
      <w:r>
        <w:t xml:space="preserve"> </w:t>
      </w:r>
      <w:r w:rsidRPr="003D3A72">
        <w:t xml:space="preserve">Summary statistics of response by treatment at </w:t>
      </w:r>
      <w:r>
        <w:t>Week 26 based on observed data intent to treat</w:t>
      </w:r>
      <w:r w:rsidRPr="003D3A72">
        <w:t xml:space="preserve"> population</w:t>
      </w:r>
    </w:p>
    <w:p w14:paraId="3DEEC669" w14:textId="77777777" w:rsidR="003D3A72" w:rsidRDefault="00045FBE" w:rsidP="003D3A72">
      <w:r w:rsidRPr="00653EF6">
        <w:rPr>
          <w:noProof/>
          <w:lang w:eastAsia="en-AU"/>
        </w:rPr>
        <w:drawing>
          <wp:inline distT="0" distB="0" distL="0" distR="0" wp14:anchorId="51344CDF" wp14:editId="5E75E4D2">
            <wp:extent cx="4676709" cy="2647315"/>
            <wp:effectExtent l="0" t="0" r="0" b="635"/>
            <wp:docPr id="25" name="Picture 25" descr="Study B3281006 Summary statistics of response by treatment at Week 26 based on observed data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l="2350" r="11007" b="23143"/>
                    <a:stretch/>
                  </pic:blipFill>
                  <pic:spPr bwMode="auto">
                    <a:xfrm>
                      <a:off x="0" y="0"/>
                      <a:ext cx="4678785" cy="2648490"/>
                    </a:xfrm>
                    <a:prstGeom prst="rect">
                      <a:avLst/>
                    </a:prstGeom>
                    <a:noFill/>
                    <a:ln>
                      <a:noFill/>
                    </a:ln>
                    <a:extLst>
                      <a:ext uri="{53640926-AAD7-44D8-BBD7-CCE9431645EC}">
                        <a14:shadowObscured xmlns:a14="http://schemas.microsoft.com/office/drawing/2010/main"/>
                      </a:ext>
                    </a:extLst>
                  </pic:spPr>
                </pic:pic>
              </a:graphicData>
            </a:graphic>
          </wp:inline>
        </w:drawing>
      </w:r>
    </w:p>
    <w:p w14:paraId="7FC727F3" w14:textId="77777777" w:rsidR="003D3A72" w:rsidRDefault="003D3A72" w:rsidP="00FE31F7">
      <w:pPr>
        <w:pStyle w:val="TableDescription"/>
      </w:pPr>
      <w:r>
        <w:t>ORR was defined as the proportion of subjects who achieved either CR or PR at the specific time point. Abbreviations: CR = complete response; EU = European Union; ITT = intent to treat; n = number of subjects with the specified response</w:t>
      </w:r>
      <w:r w:rsidR="00FE31F7">
        <w:t>; N = number of subjects in the analysis population; ORR = overall response rate; PR = partial response; SE = standard error.</w:t>
      </w:r>
    </w:p>
    <w:p w14:paraId="794C06FF" w14:textId="77777777" w:rsidR="00FE31F7" w:rsidRDefault="00FE31F7" w:rsidP="00FE31F7">
      <w:pPr>
        <w:pStyle w:val="TableDescription"/>
      </w:pPr>
      <w:r w:rsidRPr="00FE31F7">
        <w:rPr>
          <w:vertAlign w:val="superscript"/>
        </w:rPr>
        <w:t>a</w:t>
      </w:r>
      <w:r>
        <w:t xml:space="preserve"> Based on updates to the central review assessments as of the database lock on 18 May 2018.</w:t>
      </w:r>
    </w:p>
    <w:p w14:paraId="15D6D949" w14:textId="77777777" w:rsidR="00FE31F7" w:rsidRPr="00B0397A" w:rsidRDefault="00FE31F7" w:rsidP="00FE31F7">
      <w:r w:rsidRPr="00B0397A">
        <w:t>Subject selection for this study was not consistent with the approved NHL indications for th</w:t>
      </w:r>
      <w:r>
        <w:t xml:space="preserve">e innovator product, MabThera. </w:t>
      </w:r>
      <w:r w:rsidRPr="00B0397A">
        <w:t>Study subjects were required to have previously untreated, low tumour burden, Stage II, III or IV follicular NHL. The indications for MabThera most similar to this patient group are:</w:t>
      </w:r>
    </w:p>
    <w:p w14:paraId="6BF81028" w14:textId="1C1D26C4" w:rsidR="00FE31F7" w:rsidRPr="00B0397A" w:rsidRDefault="00FE31F7" w:rsidP="00FE31F7">
      <w:pPr>
        <w:pStyle w:val="ListBullet"/>
      </w:pPr>
      <w:r w:rsidRPr="00B0397A">
        <w:t>CD20</w:t>
      </w:r>
      <w:r w:rsidR="00BE54B5">
        <w:noBreakHyphen/>
      </w:r>
      <w:r w:rsidRPr="00B0397A">
        <w:t>positive, previously untreated, Stage III/IV follicular, B</w:t>
      </w:r>
      <w:r w:rsidR="00BE54B5">
        <w:t> </w:t>
      </w:r>
      <w:r w:rsidRPr="00B0397A">
        <w:t>cell non-Hodgkin’s lymphoma</w:t>
      </w:r>
      <w:r w:rsidR="00BE54B5">
        <w:t>; and</w:t>
      </w:r>
    </w:p>
    <w:p w14:paraId="0A48A26F" w14:textId="1940FAA0" w:rsidR="00FE31F7" w:rsidRPr="00B0397A" w:rsidRDefault="00FE31F7" w:rsidP="00FE31F7">
      <w:pPr>
        <w:pStyle w:val="ListBullet"/>
      </w:pPr>
      <w:r w:rsidRPr="00B0397A">
        <w:t>CD20</w:t>
      </w:r>
      <w:r w:rsidR="00BE54B5">
        <w:noBreakHyphen/>
      </w:r>
      <w:r w:rsidRPr="00B0397A">
        <w:t>positive, relapsed or refractory low grade or follicular, B</w:t>
      </w:r>
      <w:r w:rsidR="00BE54B5">
        <w:t> </w:t>
      </w:r>
      <w:r w:rsidRPr="00B0397A">
        <w:t>cell non-Hodgkin's lymphoma.</w:t>
      </w:r>
    </w:p>
    <w:p w14:paraId="61651CE9" w14:textId="29F4764F" w:rsidR="00FE31F7" w:rsidRPr="00B0397A" w:rsidRDefault="00FE31F7" w:rsidP="00700897">
      <w:r w:rsidRPr="00B0397A">
        <w:t>Similarly the indications in the USA and EU are not consistent with the patient group and dose regimen used in this study. Rituximab as monotherap</w:t>
      </w:r>
      <w:r>
        <w:t>y as treatment for symptomatic S</w:t>
      </w:r>
      <w:r w:rsidRPr="00B0397A">
        <w:t xml:space="preserve">tage II/III/IV follicular lymphoma for histological </w:t>
      </w:r>
      <w:r w:rsidR="00BE54B5">
        <w:t>G</w:t>
      </w:r>
      <w:r w:rsidRPr="00B0397A">
        <w:t xml:space="preserve">rades 1 </w:t>
      </w:r>
      <w:r w:rsidR="00BE54B5">
        <w:t>to</w:t>
      </w:r>
      <w:r w:rsidRPr="00B0397A">
        <w:t xml:space="preserve"> 3a is listed in </w:t>
      </w:r>
      <w:r w:rsidR="00595296" w:rsidRPr="002E4113">
        <w:t>European Society for Medical Oncology</w:t>
      </w:r>
      <w:r w:rsidR="00595296" w:rsidRPr="00B0397A">
        <w:t xml:space="preserve"> </w:t>
      </w:r>
      <w:r w:rsidR="00595296">
        <w:t>(</w:t>
      </w:r>
      <w:r w:rsidRPr="00B0397A">
        <w:t>ESMO</w:t>
      </w:r>
      <w:r w:rsidR="00595296">
        <w:t>)</w:t>
      </w:r>
      <w:r w:rsidRPr="00B0397A">
        <w:t xml:space="preserve"> treatment guidelines, the </w:t>
      </w:r>
      <w:r w:rsidR="00BE54B5">
        <w:t>N</w:t>
      </w:r>
      <w:r w:rsidR="00595296">
        <w:t xml:space="preserve">ational </w:t>
      </w:r>
      <w:r w:rsidR="00BE54B5">
        <w:t>C</w:t>
      </w:r>
      <w:r w:rsidR="00595296">
        <w:t xml:space="preserve">omprehensive </w:t>
      </w:r>
      <w:r w:rsidR="00BE54B5">
        <w:t>C</w:t>
      </w:r>
      <w:r w:rsidR="00595296">
        <w:t xml:space="preserve">ancer </w:t>
      </w:r>
      <w:r w:rsidR="00BE54B5">
        <w:t>N</w:t>
      </w:r>
      <w:r w:rsidR="00595296" w:rsidRPr="00595296">
        <w:t xml:space="preserve">etwork </w:t>
      </w:r>
      <w:r w:rsidR="00595296">
        <w:t>(</w:t>
      </w:r>
      <w:r w:rsidRPr="00B0397A">
        <w:t>NCCN</w:t>
      </w:r>
      <w:r w:rsidR="00595296">
        <w:t>)</w:t>
      </w:r>
      <w:r w:rsidRPr="00B0397A">
        <w:t xml:space="preserve"> Clinical Practice Guideline in Oncology. The patient group and dose regimen are considered acceptable.</w:t>
      </w:r>
    </w:p>
    <w:p w14:paraId="27E8E662" w14:textId="77777777" w:rsidR="00FE31F7" w:rsidRPr="00B0397A" w:rsidRDefault="00FE31F7" w:rsidP="00595296">
      <w:r w:rsidRPr="00B0397A">
        <w:t xml:space="preserve">The monotherapy rituximab dose regimen given in this study was the same as is recommended for relapsed or refractory low grade or follicular </w:t>
      </w:r>
      <w:r w:rsidR="00595296">
        <w:t>NHL</w:t>
      </w:r>
      <w:r w:rsidRPr="00B0397A">
        <w:t>. Monotherapy rituximab is not recommended for previously untreated follicular NHL. The recommended dose regimen for previously untreated NHL requires c</w:t>
      </w:r>
      <w:r>
        <w:t xml:space="preserve">ombination treatment with </w:t>
      </w:r>
      <w:r w:rsidR="00595296">
        <w:t>cyclophosphamide, hydroxydaunorubicin, oncovin, and prednisone or prednisolone (CHOP).</w:t>
      </w:r>
    </w:p>
    <w:p w14:paraId="589C0FDB" w14:textId="32636C34" w:rsidR="00FE31F7" w:rsidRPr="00FE31F7" w:rsidRDefault="00FE31F7" w:rsidP="00700897">
      <w:r w:rsidRPr="00B0397A">
        <w:t>While it is not unacceptable to conduct a clinical comparability study with a novel dose regimen of a product</w:t>
      </w:r>
      <w:r w:rsidR="009948A1">
        <w:t xml:space="preserve"> it is not the usual practice. </w:t>
      </w:r>
      <w:r w:rsidRPr="00B0397A">
        <w:t>The patient selection and dose regimen does give a clearer comparison of efficacy and safety of the two products than if one of the indications and its recommended dose regimen had been selected. Patients in this study had not received a range of treatments prior to exposure to one of the rituximab products. Ensuring the patients in</w:t>
      </w:r>
      <w:r>
        <w:t xml:space="preserve"> </w:t>
      </w:r>
      <w:r w:rsidRPr="00FE31F7">
        <w:t>the two groups had similar histories of prior treatment would have been extremely difficult.</w:t>
      </w:r>
      <w:r w:rsidR="0062451D">
        <w:t xml:space="preserve"> </w:t>
      </w:r>
      <w:r w:rsidRPr="00FE31F7">
        <w:t xml:space="preserve">The inclusion of other treatments, such as CHOP which is recommended in combination with rituximab for previously untreated </w:t>
      </w:r>
      <w:r w:rsidR="00BE54B5">
        <w:t>S</w:t>
      </w:r>
      <w:r w:rsidRPr="00FE31F7">
        <w:t>tage III/IV follicular NHL would also have potentially obscured differe</w:t>
      </w:r>
      <w:r>
        <w:t>nces due to rituximab alone.</w:t>
      </w:r>
    </w:p>
    <w:p w14:paraId="08A2FC05" w14:textId="5903DD8B" w:rsidR="00FE31F7" w:rsidRDefault="00FE31F7" w:rsidP="00700897">
      <w:r w:rsidRPr="00FE31F7">
        <w:t xml:space="preserve">The selection of ORR as primary efficacy measure is acceptable and consistent with the primary efficacy measure used in the initial pivotal study for </w:t>
      </w:r>
      <w:r w:rsidR="000B225B">
        <w:t>approval of rituximab to treat relapsed/r</w:t>
      </w:r>
      <w:r w:rsidRPr="00FE31F7">
        <w:t>efracto</w:t>
      </w:r>
      <w:r w:rsidR="000B225B">
        <w:t>ry low grade or f</w:t>
      </w:r>
      <w:r w:rsidRPr="00FE31F7">
        <w:t xml:space="preserve">ollicular </w:t>
      </w:r>
      <w:r w:rsidR="000B225B">
        <w:t>NHL</w:t>
      </w:r>
      <w:r w:rsidRPr="00FE31F7">
        <w:t xml:space="preserve"> with monotherapy rituximab.</w:t>
      </w:r>
      <w:r w:rsidR="0062451D">
        <w:t xml:space="preserve"> </w:t>
      </w:r>
      <w:r w:rsidRPr="00FE31F7">
        <w:t>Selection of the 95%</w:t>
      </w:r>
      <w:r w:rsidR="00483C33">
        <w:t xml:space="preserve"> </w:t>
      </w:r>
      <w:r w:rsidRPr="00FE31F7">
        <w:t>CI</w:t>
      </w:r>
      <w:r w:rsidR="00BE54B5">
        <w:t xml:space="preserve">s </w:t>
      </w:r>
      <w:r w:rsidRPr="00FE31F7">
        <w:t>for the between treatment difference in ORR o</w:t>
      </w:r>
      <w:r w:rsidR="000B225B">
        <w:t>f ±</w:t>
      </w:r>
      <w:r>
        <w:t xml:space="preserve"> </w:t>
      </w:r>
      <w:r w:rsidRPr="00FE31F7">
        <w:t>16% was generous as the 95%</w:t>
      </w:r>
      <w:r w:rsidR="00483C33">
        <w:t xml:space="preserve"> </w:t>
      </w:r>
      <w:r w:rsidRPr="00FE31F7">
        <w:t>CI</w:t>
      </w:r>
      <w:r w:rsidR="00BE54B5">
        <w:t>s</w:t>
      </w:r>
      <w:r w:rsidRPr="00FE31F7">
        <w:t xml:space="preserve"> difference between rituximab and</w:t>
      </w:r>
      <w:r>
        <w:t xml:space="preserve"> watchful waiting was 20% that is. ± 10%. If the ± </w:t>
      </w:r>
      <w:r w:rsidRPr="00FE31F7">
        <w:t>10% margin had been applied to this study then the criteria for equivalence would not have</w:t>
      </w:r>
      <w:r w:rsidR="000B225B">
        <w:t xml:space="preserve"> been met at the upper bound that is</w:t>
      </w:r>
      <w:r w:rsidRPr="00FE31F7">
        <w:t xml:space="preserve"> the ORR for PF-05280586 </w:t>
      </w:r>
      <w:r w:rsidR="00FC27D0">
        <w:t xml:space="preserve">(Ruxience) </w:t>
      </w:r>
      <w:r w:rsidRPr="00FE31F7">
        <w:t>would have been higher than the upper bound fo</w:t>
      </w:r>
      <w:r>
        <w:t>r ORR to conclude equivalence.</w:t>
      </w:r>
    </w:p>
    <w:p w14:paraId="2D76352D" w14:textId="77777777" w:rsidR="009948A1" w:rsidRDefault="009948A1" w:rsidP="00E244CE">
      <w:pPr>
        <w:pStyle w:val="Heading5"/>
      </w:pPr>
      <w:r>
        <w:t>Other efficacy studies</w:t>
      </w:r>
    </w:p>
    <w:p w14:paraId="1C0E2419" w14:textId="77777777" w:rsidR="009948A1" w:rsidRDefault="00E244CE" w:rsidP="00E244CE">
      <w:pPr>
        <w:pStyle w:val="Heading6"/>
      </w:pPr>
      <w:r>
        <w:t xml:space="preserve">Study </w:t>
      </w:r>
      <w:r w:rsidR="009948A1">
        <w:t>B3281001</w:t>
      </w:r>
    </w:p>
    <w:p w14:paraId="35F84625" w14:textId="7767789D" w:rsidR="00E244CE" w:rsidRPr="00E42D8B" w:rsidRDefault="00E244CE" w:rsidP="00E244CE">
      <w:r w:rsidRPr="00E42D8B">
        <w:t xml:space="preserve">This study was a randomised, double-blind, study comparing the pharmacokinetics and pharmacodynamics, and assessing the safety of PF-05280586 </w:t>
      </w:r>
      <w:r w:rsidR="00FC27D0">
        <w:t xml:space="preserve">(Ruxience) </w:t>
      </w:r>
      <w:r w:rsidRPr="00E42D8B">
        <w:t xml:space="preserve">and </w:t>
      </w:r>
      <w:r w:rsidR="00FC27D0">
        <w:t xml:space="preserve">comparator </w:t>
      </w:r>
      <w:r w:rsidRPr="00E42D8B">
        <w:t xml:space="preserve">rituximab in subjects with active rheumatoid </w:t>
      </w:r>
      <w:r>
        <w:t xml:space="preserve">arthritis on a background of </w:t>
      </w:r>
      <w:r w:rsidRPr="00E42D8B">
        <w:t xml:space="preserve">MTX who have had an inadequate response to one </w:t>
      </w:r>
      <w:r>
        <w:t>or more TNF</w:t>
      </w:r>
      <w:r w:rsidRPr="00E42D8B">
        <w:t xml:space="preserve"> antagonist therapies.</w:t>
      </w:r>
    </w:p>
    <w:p w14:paraId="0D5B8718" w14:textId="77777777" w:rsidR="00E244CE" w:rsidRDefault="00E244CE" w:rsidP="00E244CE">
      <w:r w:rsidRPr="00E42D8B">
        <w:t>This was pr</w:t>
      </w:r>
      <w:r>
        <w:t>imarily a PK study.</w:t>
      </w:r>
      <w:r w:rsidRPr="00E42D8B">
        <w:t xml:space="preserve"> I</w:t>
      </w:r>
      <w:r>
        <w:t>t was conducted over 26 weeks.</w:t>
      </w:r>
    </w:p>
    <w:p w14:paraId="6547200D" w14:textId="11B198DF" w:rsidR="00E244CE" w:rsidRDefault="00E244CE" w:rsidP="00E244CE">
      <w:r w:rsidRPr="00E42D8B">
        <w:t xml:space="preserve">Efficacy was assessed using the Disease Activity Score (DAS), </w:t>
      </w:r>
      <w:r w:rsidR="000B225B">
        <w:t>ACR</w:t>
      </w:r>
      <w:r w:rsidRPr="00E42D8B">
        <w:t xml:space="preserve"> responses and European League Against Rheumatism (EULAR) response</w:t>
      </w:r>
      <w:r w:rsidR="000B225B">
        <w:t xml:space="preserve"> (see </w:t>
      </w:r>
      <w:r w:rsidR="000B225B">
        <w:fldChar w:fldCharType="begin"/>
      </w:r>
      <w:r w:rsidR="000B225B">
        <w:instrText xml:space="preserve"> REF _Ref66872264 \h </w:instrText>
      </w:r>
      <w:r w:rsidR="000B225B">
        <w:fldChar w:fldCharType="separate"/>
      </w:r>
      <w:r w:rsidR="00745EF2" w:rsidRPr="00E244CE">
        <w:t xml:space="preserve">Figure </w:t>
      </w:r>
      <w:r w:rsidR="00745EF2">
        <w:rPr>
          <w:noProof/>
        </w:rPr>
        <w:t>4</w:t>
      </w:r>
      <w:r w:rsidR="000B225B">
        <w:fldChar w:fldCharType="end"/>
      </w:r>
      <w:r>
        <w:t xml:space="preserve"> below)</w:t>
      </w:r>
      <w:r w:rsidRPr="00E42D8B">
        <w:t>.</w:t>
      </w:r>
    </w:p>
    <w:p w14:paraId="230EF9EC" w14:textId="13E3E48D" w:rsidR="00E244CE" w:rsidRDefault="00E244CE" w:rsidP="00E244CE">
      <w:pPr>
        <w:pStyle w:val="TableTitle"/>
      </w:pPr>
      <w:bookmarkStart w:id="43" w:name="_Ref66872264"/>
      <w:r w:rsidRPr="00E244CE">
        <w:t xml:space="preserve">Figure </w:t>
      </w:r>
      <w:r>
        <w:fldChar w:fldCharType="begin"/>
      </w:r>
      <w:r>
        <w:instrText>SEQ Figure \* ARABIC</w:instrText>
      </w:r>
      <w:r>
        <w:fldChar w:fldCharType="separate"/>
      </w:r>
      <w:r w:rsidR="00745EF2">
        <w:rPr>
          <w:noProof/>
        </w:rPr>
        <w:t>4</w:t>
      </w:r>
      <w:r>
        <w:fldChar w:fldCharType="end"/>
      </w:r>
      <w:bookmarkEnd w:id="43"/>
      <w:r>
        <w:t xml:space="preserve">: Study B3281001 Overall </w:t>
      </w:r>
      <w:r w:rsidR="00FC27D0">
        <w:t xml:space="preserve">DAS28-CRP </w:t>
      </w:r>
      <w:r>
        <w:t>scores over time</w:t>
      </w:r>
    </w:p>
    <w:p w14:paraId="3656B9AB" w14:textId="77777777" w:rsidR="00E244CE" w:rsidRDefault="00045FBE" w:rsidP="00E244CE">
      <w:r w:rsidRPr="00C110C0">
        <w:rPr>
          <w:noProof/>
          <w:lang w:eastAsia="en-AU"/>
        </w:rPr>
        <w:drawing>
          <wp:inline distT="0" distB="0" distL="0" distR="0" wp14:anchorId="0E27529F" wp14:editId="159961F3">
            <wp:extent cx="5046345" cy="3160759"/>
            <wp:effectExtent l="0" t="0" r="1905" b="1905"/>
            <wp:docPr id="28" name="Picture 28" descr="Study B3281001 Overall Disease Activity Score in 28 joints – C reactive protein scor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1958" t="-1" r="4557" b="582"/>
                    <a:stretch/>
                  </pic:blipFill>
                  <pic:spPr bwMode="auto">
                    <a:xfrm>
                      <a:off x="0" y="0"/>
                      <a:ext cx="5048243" cy="3161948"/>
                    </a:xfrm>
                    <a:prstGeom prst="rect">
                      <a:avLst/>
                    </a:prstGeom>
                    <a:noFill/>
                    <a:ln>
                      <a:noFill/>
                    </a:ln>
                    <a:extLst>
                      <a:ext uri="{53640926-AAD7-44D8-BBD7-CCE9431645EC}">
                        <a14:shadowObscured xmlns:a14="http://schemas.microsoft.com/office/drawing/2010/main"/>
                      </a:ext>
                    </a:extLst>
                  </pic:spPr>
                </pic:pic>
              </a:graphicData>
            </a:graphic>
          </wp:inline>
        </w:drawing>
      </w:r>
    </w:p>
    <w:p w14:paraId="4941DCC9" w14:textId="77777777" w:rsidR="00E244CE" w:rsidRDefault="00E244CE" w:rsidP="00B91789">
      <w:pPr>
        <w:pStyle w:val="FigureDescription"/>
      </w:pPr>
      <w:r>
        <w:t>Abbreviations: DAS28-CRP = Disease Activity Score in 28 joints – C reactive protein; EU = European Union; mITT = modified intent to treat; MTX = methotrexate; US = United States</w:t>
      </w:r>
    </w:p>
    <w:p w14:paraId="58390716" w14:textId="77777777" w:rsidR="00E244CE" w:rsidRPr="003467D0" w:rsidRDefault="00E244CE" w:rsidP="00E244CE">
      <w:pPr>
        <w:pStyle w:val="Heading6"/>
      </w:pPr>
      <w:r w:rsidRPr="003467D0">
        <w:t>S</w:t>
      </w:r>
      <w:r>
        <w:t xml:space="preserve">tudy </w:t>
      </w:r>
      <w:r w:rsidRPr="003467D0">
        <w:t>B3281004</w:t>
      </w:r>
    </w:p>
    <w:p w14:paraId="26D6A46F" w14:textId="019C1AC8" w:rsidR="00E244CE" w:rsidRPr="003467D0" w:rsidRDefault="00E244CE" w:rsidP="00E244CE">
      <w:r w:rsidRPr="003467D0">
        <w:t>This study was an extension to Study B3281001. First subject first visit 16 August 2012, last subject last visit 14 March 2016. There were 48 study centres in 10 countries. This study evaluated the safety (including immunogenicity) of treatment with PF-05280586</w:t>
      </w:r>
      <w:r w:rsidR="00FC27D0">
        <w:t xml:space="preserve"> (Ruxience)</w:t>
      </w:r>
      <w:r w:rsidRPr="003467D0">
        <w:t xml:space="preserve">, as well as the safety and immunogenicity occurring after transitioning from </w:t>
      </w:r>
      <w:r w:rsidR="00FC27D0">
        <w:t>US</w:t>
      </w:r>
      <w:r w:rsidR="00FC27D0">
        <w:noBreakHyphen/>
        <w:t xml:space="preserve">sourced </w:t>
      </w:r>
      <w:r w:rsidRPr="003467D0">
        <w:t xml:space="preserve">rituximab or </w:t>
      </w:r>
      <w:r w:rsidR="00FC27D0">
        <w:t xml:space="preserve">EU-sourced </w:t>
      </w:r>
      <w:r w:rsidRPr="003467D0">
        <w:t>rituximab to PF-05280586</w:t>
      </w:r>
      <w:r w:rsidR="00FC27D0">
        <w:t xml:space="preserve"> (Ruxience)</w:t>
      </w:r>
      <w:r w:rsidRPr="003467D0">
        <w:t>. The objectives were:</w:t>
      </w:r>
    </w:p>
    <w:p w14:paraId="5B702843" w14:textId="36C621DB" w:rsidR="00E244CE" w:rsidRPr="003467D0" w:rsidRDefault="00FC27D0" w:rsidP="00E244CE">
      <w:pPr>
        <w:pStyle w:val="ListBullet"/>
      </w:pPr>
      <w:r>
        <w:t>to</w:t>
      </w:r>
      <w:r w:rsidR="00E244CE" w:rsidRPr="003467D0">
        <w:t>o provide continued treatment access to subjects with active RA who have participated for at least 16 weeks in other protoc</w:t>
      </w:r>
      <w:r w:rsidR="000B225B">
        <w:t>ols in the PF-05280586 program</w:t>
      </w:r>
      <w:r>
        <w:t>;</w:t>
      </w:r>
    </w:p>
    <w:p w14:paraId="082AF07E" w14:textId="05D16DF6" w:rsidR="00E244CE" w:rsidRPr="003467D0" w:rsidRDefault="00FC27D0" w:rsidP="00E244CE">
      <w:pPr>
        <w:pStyle w:val="ListBullet"/>
      </w:pPr>
      <w:r>
        <w:t>t</w:t>
      </w:r>
      <w:r w:rsidR="00E244CE" w:rsidRPr="003467D0">
        <w:t>o evaluate the overall safety, tolerability and immunogenicity of PF-05280586 occurring after transition from a licensed rituximab product to PF-05280586</w:t>
      </w:r>
      <w:r>
        <w:t>; and</w:t>
      </w:r>
    </w:p>
    <w:p w14:paraId="46226236" w14:textId="1309EEA9" w:rsidR="00E244CE" w:rsidRDefault="00FC27D0" w:rsidP="00E244CE">
      <w:pPr>
        <w:pStyle w:val="ListBullet"/>
      </w:pPr>
      <w:r>
        <w:t>t</w:t>
      </w:r>
      <w:r w:rsidR="00E244CE" w:rsidRPr="003467D0">
        <w:t>o continue follow-up of biomarker and effica</w:t>
      </w:r>
      <w:r w:rsidR="000B225B">
        <w:t>cy endpoints of interest in Study</w:t>
      </w:r>
      <w:r>
        <w:t> </w:t>
      </w:r>
      <w:r w:rsidR="000B225B">
        <w:t>B3281001</w:t>
      </w:r>
      <w:r w:rsidR="00E244CE" w:rsidRPr="003467D0">
        <w:t>.</w:t>
      </w:r>
    </w:p>
    <w:p w14:paraId="16EBF39E" w14:textId="55CC7015" w:rsidR="00E244CE" w:rsidRPr="00B0397A" w:rsidRDefault="00E244CE" w:rsidP="00E244CE">
      <w:r w:rsidRPr="00B0397A">
        <w:t>The supportive efficacy studies in patients with RA while not designed to demonstrate equivalence of efficacy have shown similar efficacy for the EU and USA rituximab products and the prop</w:t>
      </w:r>
      <w:r w:rsidR="0062451D">
        <w:t xml:space="preserve">osed </w:t>
      </w:r>
      <w:r w:rsidR="000B225B" w:rsidRPr="003467D0">
        <w:t>PF-05280586</w:t>
      </w:r>
      <w:r w:rsidR="000B225B">
        <w:t xml:space="preserve"> (</w:t>
      </w:r>
      <w:r w:rsidR="00FC27D0">
        <w:t>Ruxience</w:t>
      </w:r>
      <w:r w:rsidR="000B225B">
        <w:t>)</w:t>
      </w:r>
      <w:r w:rsidR="0062451D">
        <w:t xml:space="preserve"> product. </w:t>
      </w:r>
      <w:r w:rsidRPr="00B0397A">
        <w:t>The switching study also provided reassurance that no clinically significant changes in efficacy are likely to occur on switching between</w:t>
      </w:r>
      <w:r>
        <w:t xml:space="preserve"> different rituximab products.</w:t>
      </w:r>
    </w:p>
    <w:p w14:paraId="227A25A4" w14:textId="577E09F4" w:rsidR="00E244CE" w:rsidRDefault="00E244CE" w:rsidP="00E244CE">
      <w:pPr>
        <w:pStyle w:val="Heading6"/>
      </w:pPr>
      <w:r>
        <w:t xml:space="preserve">Conclusion on </w:t>
      </w:r>
      <w:r w:rsidR="00FC27D0">
        <w:t>e</w:t>
      </w:r>
      <w:r>
        <w:t>fficacy</w:t>
      </w:r>
    </w:p>
    <w:p w14:paraId="6CDC5716" w14:textId="3EFABF4F" w:rsidR="00E244CE" w:rsidRDefault="00E244CE" w:rsidP="00E244CE">
      <w:r>
        <w:t xml:space="preserve">Assessment of the similarity of efficacy between </w:t>
      </w:r>
      <w:r w:rsidR="00FC27D0">
        <w:t>Ruxience</w:t>
      </w:r>
      <w:r>
        <w:t xml:space="preserve"> and the innovator product has been comprehensive. It included assessments in both therapeutic areas (oncology and rheumatology), a demonstration of therapeutic comparability, and a lack of clinically significant changes in efficacy outcomes on switching between innovator and the pro</w:t>
      </w:r>
      <w:r w:rsidR="0062451D">
        <w:t xml:space="preserve">posed </w:t>
      </w:r>
      <w:r w:rsidR="00FC27D0">
        <w:t>Ruxience</w:t>
      </w:r>
      <w:r w:rsidR="0062451D">
        <w:t xml:space="preserve"> product.</w:t>
      </w:r>
    </w:p>
    <w:p w14:paraId="57A36832" w14:textId="79EE2FD1" w:rsidR="00E244CE" w:rsidRDefault="00E244CE" w:rsidP="00E244CE">
      <w:r>
        <w:t>Whether the 95%</w:t>
      </w:r>
      <w:r w:rsidR="00483C33">
        <w:t xml:space="preserve"> </w:t>
      </w:r>
      <w:r>
        <w:t>CI</w:t>
      </w:r>
      <w:r w:rsidR="00FC27D0">
        <w:t>s</w:t>
      </w:r>
      <w:r>
        <w:t xml:space="preserve"> for determination of clinical equivalence was sufficiently narrow to be considered not of clinical concern is the main efficacy issue, however taken together with the other efficacy data, particularly the longer term efficacy </w:t>
      </w:r>
      <w:r w:rsidR="0089175D">
        <w:t>comparisons in Study</w:t>
      </w:r>
      <w:r w:rsidR="00FC27D0">
        <w:t> </w:t>
      </w:r>
      <w:r w:rsidR="0089175D">
        <w:t>B3281004, the evaluator</w:t>
      </w:r>
      <w:r>
        <w:t xml:space="preserve"> consider</w:t>
      </w:r>
      <w:r w:rsidR="0089175D">
        <w:t>s</w:t>
      </w:r>
      <w:r>
        <w:t xml:space="preserve"> that similarity of efficacy has </w:t>
      </w:r>
      <w:r w:rsidR="0089175D">
        <w:t>been adequately demonstrated.</w:t>
      </w:r>
    </w:p>
    <w:p w14:paraId="354473C2" w14:textId="77777777" w:rsidR="001E761C" w:rsidRDefault="001E761C" w:rsidP="001E761C">
      <w:pPr>
        <w:pStyle w:val="Heading4"/>
      </w:pPr>
      <w:r>
        <w:t>Safety</w:t>
      </w:r>
    </w:p>
    <w:p w14:paraId="37E30C9B" w14:textId="0D66E051" w:rsidR="004B2E8B" w:rsidRDefault="004B2E8B" w:rsidP="004B2E8B">
      <w:r>
        <w:t>There was no integrated safety assessment which is appropriate given there were two distinct patient groups in the in studies. Safety data fro</w:t>
      </w:r>
      <w:r w:rsidR="009140A8">
        <w:t>m the two</w:t>
      </w:r>
      <w:r>
        <w:t xml:space="preserve"> studies in the same RA patient population (Study B3281001 and its extension, Study B3281004) were not pooled due to differences in the numbe</w:t>
      </w:r>
      <w:r w:rsidR="009140A8">
        <w:t>r of doses administered in the two</w:t>
      </w:r>
      <w:r>
        <w:t xml:space="preserve"> studies, and the re-randomisation and transition from EU</w:t>
      </w:r>
      <w:r w:rsidR="00FC27D0">
        <w:noBreakHyphen/>
        <w:t>sourced rituximab</w:t>
      </w:r>
      <w:r>
        <w:t xml:space="preserve"> or US</w:t>
      </w:r>
      <w:r w:rsidR="00FC27D0">
        <w:noBreakHyphen/>
        <w:t>sourced rituximab</w:t>
      </w:r>
      <w:r>
        <w:t xml:space="preserve"> treatments to PF-05280586</w:t>
      </w:r>
      <w:r w:rsidR="00B2345F">
        <w:t xml:space="preserve"> (</w:t>
      </w:r>
      <w:r w:rsidR="00FC27D0">
        <w:t>Ruxience</w:t>
      </w:r>
      <w:r w:rsidR="00B2345F">
        <w:t>)</w:t>
      </w:r>
      <w:r>
        <w:t xml:space="preserve"> treatment in Study B3281004.</w:t>
      </w:r>
    </w:p>
    <w:p w14:paraId="3BCAE2FA" w14:textId="0985F95B" w:rsidR="004B2E8B" w:rsidRDefault="004B2E8B" w:rsidP="004B2E8B">
      <w:r>
        <w:t xml:space="preserve">The safety population was defined as </w:t>
      </w:r>
      <w:r w:rsidR="009140A8">
        <w:t>subjects who received at least one</w:t>
      </w:r>
      <w:r>
        <w:t xml:space="preserve"> dose of study drug (PF-05280586</w:t>
      </w:r>
      <w:r w:rsidR="00FC27D0">
        <w:t xml:space="preserve"> (Ruxience)</w:t>
      </w:r>
      <w:r>
        <w:t xml:space="preserve">, </w:t>
      </w:r>
      <w:r w:rsidR="00FC27D0">
        <w:t xml:space="preserve">EU-sourced </w:t>
      </w:r>
      <w:r>
        <w:t xml:space="preserve">rituximab, or </w:t>
      </w:r>
      <w:r w:rsidR="00FC27D0">
        <w:t xml:space="preserve">US-sourced </w:t>
      </w:r>
      <w:r>
        <w:t>rituximab).</w:t>
      </w:r>
    </w:p>
    <w:p w14:paraId="2B2A7A39" w14:textId="77777777" w:rsidR="009140A8" w:rsidRDefault="009140A8" w:rsidP="009140A8">
      <w:pPr>
        <w:pStyle w:val="Heading5"/>
      </w:pPr>
      <w:r>
        <w:t>Conclusion</w:t>
      </w:r>
    </w:p>
    <w:p w14:paraId="488CB6E1" w14:textId="116B31DE" w:rsidR="009140A8" w:rsidRDefault="009140A8" w:rsidP="004B2E8B">
      <w:r w:rsidRPr="009140A8">
        <w:t>Quite extensive comparisons of the safety of rituximab products when used a</w:t>
      </w:r>
      <w:r>
        <w:t>s proposed have been performed.</w:t>
      </w:r>
      <w:r w:rsidRPr="009140A8">
        <w:t xml:space="preserve"> There was no evidence that there were clinically significant differences in the safety profiles of </w:t>
      </w:r>
      <w:r w:rsidR="00FC27D0">
        <w:t xml:space="preserve">EU-sourced </w:t>
      </w:r>
      <w:r w:rsidRPr="009140A8">
        <w:t xml:space="preserve">rituximab, </w:t>
      </w:r>
      <w:r w:rsidR="00FC27D0">
        <w:t xml:space="preserve">US-sourced </w:t>
      </w:r>
      <w:r w:rsidRPr="009140A8">
        <w:t xml:space="preserve">rituximab or </w:t>
      </w:r>
      <w:r w:rsidR="00B2345F">
        <w:t>PF-05280586 (</w:t>
      </w:r>
      <w:r w:rsidR="00FC27D0">
        <w:t>Ruxience</w:t>
      </w:r>
      <w:r w:rsidR="00B2345F">
        <w:t>)</w:t>
      </w:r>
      <w:r w:rsidRPr="009140A8">
        <w:t>. Switching between these products did not result in changes to the frequency of immunogenicity-related adverse events.</w:t>
      </w:r>
    </w:p>
    <w:p w14:paraId="22801561" w14:textId="77777777" w:rsidR="009140A8" w:rsidRDefault="009140A8" w:rsidP="009140A8">
      <w:pPr>
        <w:pStyle w:val="Heading6"/>
      </w:pPr>
      <w:r w:rsidRPr="009140A8">
        <w:t>Immunogenicity and immunological events</w:t>
      </w:r>
    </w:p>
    <w:p w14:paraId="7E8C0511" w14:textId="6DE4766F" w:rsidR="009140A8" w:rsidRDefault="009140A8" w:rsidP="009140A8">
      <w:r>
        <w:t xml:space="preserve">Possible immunogenicity effects on switching were examined in Study B3281004. </w:t>
      </w:r>
      <w:r w:rsidR="00B2345F">
        <w:t>A</w:t>
      </w:r>
      <w:r w:rsidR="00B2345F" w:rsidRPr="00B2345F">
        <w:t>nti</w:t>
      </w:r>
      <w:r w:rsidR="00FC27D0">
        <w:noBreakHyphen/>
      </w:r>
      <w:r w:rsidR="00B2345F" w:rsidRPr="00B2345F">
        <w:t>drug antibody</w:t>
      </w:r>
      <w:r w:rsidR="00B2345F">
        <w:t xml:space="preserve"> (</w:t>
      </w:r>
      <w:r>
        <w:t>ADA</w:t>
      </w:r>
      <w:r w:rsidR="00B2345F">
        <w:t>)</w:t>
      </w:r>
      <w:r>
        <w:t xml:space="preserve"> and clinical outcomes associated with immunogenicity for each treatment course. The clinical outcomes associated with immunogeni</w:t>
      </w:r>
      <w:r w:rsidR="00B2345F">
        <w:t xml:space="preserve">city were those from the </w:t>
      </w:r>
      <w:r>
        <w:t>Standardise</w:t>
      </w:r>
      <w:r w:rsidR="00B2345F">
        <w:t>d MedDRA query (SMQ) for anaphylaxis or h</w:t>
      </w:r>
      <w:r>
        <w:t>ypersensitivity.</w:t>
      </w:r>
    </w:p>
    <w:p w14:paraId="144DE700" w14:textId="77777777" w:rsidR="009140A8" w:rsidRPr="009140A8" w:rsidRDefault="009140A8" w:rsidP="009140A8">
      <w:r>
        <w:t>There was no evidence of changes in immunogenicity as a result of switching between the rituximab products.</w:t>
      </w:r>
    </w:p>
    <w:p w14:paraId="273A60C8" w14:textId="77777777" w:rsidR="008E7846" w:rsidRDefault="00386150" w:rsidP="007B6132">
      <w:pPr>
        <w:pStyle w:val="Heading3"/>
        <w:rPr>
          <w:lang w:eastAsia="en-AU"/>
        </w:rPr>
      </w:pPr>
      <w:bookmarkStart w:id="44" w:name="_Toc71098532"/>
      <w:r>
        <w:rPr>
          <w:lang w:eastAsia="en-AU"/>
        </w:rPr>
        <w:t>Risk m</w:t>
      </w:r>
      <w:r w:rsidR="008E7846">
        <w:rPr>
          <w:lang w:eastAsia="en-AU"/>
        </w:rPr>
        <w:t xml:space="preserve">anagement </w:t>
      </w:r>
      <w:r>
        <w:rPr>
          <w:lang w:eastAsia="en-AU"/>
        </w:rPr>
        <w:t>p</w:t>
      </w:r>
      <w:r w:rsidR="008E7846">
        <w:rPr>
          <w:lang w:eastAsia="en-AU"/>
        </w:rPr>
        <w:t>lan</w:t>
      </w:r>
      <w:bookmarkEnd w:id="41"/>
      <w:bookmarkEnd w:id="44"/>
    </w:p>
    <w:p w14:paraId="119672FC" w14:textId="32247E44" w:rsidR="009140A8" w:rsidRDefault="00143095" w:rsidP="004468F9">
      <w:r>
        <w:t>The sponsor</w:t>
      </w:r>
      <w:r w:rsidR="004468F9" w:rsidRPr="004468F9">
        <w:t xml:space="preserve"> has submitted EU-</w:t>
      </w:r>
      <w:r w:rsidR="001E75B3">
        <w:t>risk management plan (</w:t>
      </w:r>
      <w:r w:rsidR="004468F9" w:rsidRPr="004468F9">
        <w:t>RMP</w:t>
      </w:r>
      <w:r w:rsidR="001E75B3">
        <w:t>)</w:t>
      </w:r>
      <w:r w:rsidR="004468F9" w:rsidRPr="004468F9">
        <w:t xml:space="preserve"> version 0.4 (date 18 December 2019; </w:t>
      </w:r>
      <w:r>
        <w:t>data lock point (</w:t>
      </w:r>
      <w:r w:rsidR="004468F9" w:rsidRPr="004468F9">
        <w:t>DLP</w:t>
      </w:r>
      <w:r w:rsidR="00745EF2">
        <w:t xml:space="preserve">) </w:t>
      </w:r>
      <w:r>
        <w:t>(</w:t>
      </w:r>
      <w:r w:rsidR="004468F9" w:rsidRPr="004468F9">
        <w:t>1</w:t>
      </w:r>
      <w:r w:rsidR="004468F9">
        <w:t xml:space="preserve">8 May2018) and </w:t>
      </w:r>
      <w:r w:rsidR="001E75B3" w:rsidRPr="001E75B3">
        <w:t>Australian</w:t>
      </w:r>
      <w:r>
        <w:noBreakHyphen/>
        <w:t>s</w:t>
      </w:r>
      <w:r w:rsidR="001E75B3" w:rsidRPr="001E75B3">
        <w:t xml:space="preserve">pecific Annex </w:t>
      </w:r>
      <w:r w:rsidR="001E75B3">
        <w:t>(</w:t>
      </w:r>
      <w:r w:rsidR="004468F9">
        <w:t>ASA</w:t>
      </w:r>
      <w:r w:rsidR="001E75B3">
        <w:t>)</w:t>
      </w:r>
      <w:r w:rsidR="004468F9">
        <w:t xml:space="preserve"> version 1</w:t>
      </w:r>
      <w:r w:rsidR="004468F9" w:rsidRPr="004468F9">
        <w:t>.0 (date 3 February 2020) in support of this application.</w:t>
      </w:r>
      <w:r w:rsidR="0062451D">
        <w:t xml:space="preserve"> </w:t>
      </w:r>
      <w:r w:rsidR="004468F9">
        <w:t>In response to TGA questions</w:t>
      </w:r>
      <w:r w:rsidR="004468F9" w:rsidRPr="004468F9">
        <w:t>, the sponsor provided an updated ASA version 2.0 (date 1</w:t>
      </w:r>
      <w:r>
        <w:t> </w:t>
      </w:r>
      <w:r w:rsidR="004468F9" w:rsidRPr="004468F9">
        <w:t xml:space="preserve">October 2020). </w:t>
      </w:r>
      <w:r w:rsidR="00B2345F">
        <w:t xml:space="preserve">During evaluation of submitted RMP, </w:t>
      </w:r>
      <w:r w:rsidR="004468F9" w:rsidRPr="004468F9">
        <w:t>the sponsor submitted EU-RMP version 1.0 (date 18 December 2019; DLP 18 May 2018) associated with ASA vers</w:t>
      </w:r>
      <w:r w:rsidR="004468F9">
        <w:t>ion 2.0 (date 1 October 2020). In response to further TGA questions, sponsor submitted</w:t>
      </w:r>
      <w:r w:rsidR="004468F9" w:rsidRPr="004468F9">
        <w:t xml:space="preserve"> ASA version 3.0 (11 January 2021) related to EU-RMP version 1.0 (date 18 December 2019; DLP 18 May2018) to address outstanding recommendations from </w:t>
      </w:r>
      <w:r w:rsidR="004468F9">
        <w:t>RMP evaluation.</w:t>
      </w:r>
    </w:p>
    <w:p w14:paraId="436622F5" w14:textId="12B373BC" w:rsidR="007D53B6" w:rsidRDefault="007D53B6" w:rsidP="007D53B6">
      <w:r>
        <w:t>The summary of safety concerns and their associated risk monitoring and mitigation strat</w:t>
      </w:r>
      <w:r w:rsidR="004468F9">
        <w:t xml:space="preserve">egies are summarised in </w:t>
      </w:r>
      <w:r w:rsidR="004468F9">
        <w:fldChar w:fldCharType="begin"/>
      </w:r>
      <w:r w:rsidR="004468F9">
        <w:instrText xml:space="preserve"> REF _Ref66791887 \h </w:instrText>
      </w:r>
      <w:r w:rsidR="004468F9">
        <w:fldChar w:fldCharType="separate"/>
      </w:r>
      <w:r w:rsidR="00745EF2" w:rsidRPr="005D7C4B">
        <w:t xml:space="preserve">Table </w:t>
      </w:r>
      <w:r w:rsidR="00745EF2">
        <w:rPr>
          <w:noProof/>
        </w:rPr>
        <w:t>7</w:t>
      </w:r>
      <w:r w:rsidR="004468F9">
        <w:fldChar w:fldCharType="end"/>
      </w:r>
      <w:r>
        <w:t>.</w:t>
      </w:r>
      <w:r>
        <w:rPr>
          <w:rStyle w:val="FootnoteReference"/>
        </w:rPr>
        <w:footnoteReference w:id="7"/>
      </w:r>
    </w:p>
    <w:p w14:paraId="565BA088" w14:textId="162D3886" w:rsidR="004468F9" w:rsidRDefault="004468F9" w:rsidP="00483F80">
      <w:pPr>
        <w:pStyle w:val="TableTitle"/>
      </w:pPr>
      <w:bookmarkStart w:id="45" w:name="_Ref66791887"/>
      <w:r w:rsidRPr="005D7C4B">
        <w:t xml:space="preserve">Table </w:t>
      </w:r>
      <w:r w:rsidRPr="005D7C4B">
        <w:fldChar w:fldCharType="begin"/>
      </w:r>
      <w:r w:rsidRPr="00483F80">
        <w:instrText>SEQ Table \* ARABIC</w:instrText>
      </w:r>
      <w:r w:rsidRPr="005D7C4B">
        <w:fldChar w:fldCharType="separate"/>
      </w:r>
      <w:r w:rsidR="00745EF2">
        <w:rPr>
          <w:noProof/>
        </w:rPr>
        <w:t>7</w:t>
      </w:r>
      <w:r w:rsidRPr="005D7C4B">
        <w:fldChar w:fldCharType="end"/>
      </w:r>
      <w:bookmarkEnd w:id="45"/>
      <w:r>
        <w:t>: Summary of safety concern</w:t>
      </w:r>
      <w:r w:rsidR="00483C33">
        <w:t>s</w:t>
      </w:r>
    </w:p>
    <w:tbl>
      <w:tblPr>
        <w:tblStyle w:val="TableTGAblue"/>
        <w:tblW w:w="5000" w:type="pct"/>
        <w:tblLook w:val="04A0" w:firstRow="1" w:lastRow="0" w:firstColumn="1" w:lastColumn="0" w:noHBand="0" w:noVBand="1"/>
      </w:tblPr>
      <w:tblGrid>
        <w:gridCol w:w="1391"/>
        <w:gridCol w:w="2479"/>
        <w:gridCol w:w="1064"/>
        <w:gridCol w:w="1244"/>
        <w:gridCol w:w="1064"/>
        <w:gridCol w:w="1242"/>
      </w:tblGrid>
      <w:tr w:rsidR="004468F9" w:rsidRPr="00BF52F4" w14:paraId="414D1B76" w14:textId="77777777" w:rsidTr="004468F9">
        <w:trPr>
          <w:cnfStyle w:val="100000000000" w:firstRow="1" w:lastRow="0" w:firstColumn="0" w:lastColumn="0" w:oddVBand="0" w:evenVBand="0" w:oddHBand="0" w:evenHBand="0" w:firstRowFirstColumn="0" w:firstRowLastColumn="0" w:lastRowFirstColumn="0" w:lastRowLastColumn="0"/>
          <w:trHeight w:val="131"/>
        </w:trPr>
        <w:tc>
          <w:tcPr>
            <w:tcW w:w="2281" w:type="pct"/>
            <w:gridSpan w:val="2"/>
            <w:vMerge w:val="restart"/>
            <w:tcBorders>
              <w:right w:val="single" w:sz="8" w:space="0" w:color="000000" w:themeColor="text1"/>
            </w:tcBorders>
          </w:tcPr>
          <w:p w14:paraId="24477601" w14:textId="77777777" w:rsidR="004468F9" w:rsidRPr="00BF52F4" w:rsidRDefault="004468F9" w:rsidP="00483F80">
            <w:pPr>
              <w:pStyle w:val="Tabletext"/>
              <w:ind w:left="0" w:right="0"/>
              <w:rPr>
                <w:b w:val="0"/>
              </w:rPr>
            </w:pPr>
            <w:r w:rsidRPr="00BF52F4">
              <w:t>Summary of safety concerns</w:t>
            </w:r>
          </w:p>
        </w:tc>
        <w:tc>
          <w:tcPr>
            <w:tcW w:w="1360" w:type="pct"/>
            <w:gridSpan w:val="2"/>
            <w:tcBorders>
              <w:left w:val="single" w:sz="8" w:space="0" w:color="000000" w:themeColor="text1"/>
              <w:right w:val="single" w:sz="8" w:space="0" w:color="000000" w:themeColor="text1"/>
            </w:tcBorders>
          </w:tcPr>
          <w:p w14:paraId="7709C774" w14:textId="77777777" w:rsidR="004468F9" w:rsidRPr="00BF52F4" w:rsidRDefault="004468F9" w:rsidP="00483F80">
            <w:pPr>
              <w:pStyle w:val="Tabletext"/>
              <w:ind w:left="0" w:right="0"/>
              <w:rPr>
                <w:b w:val="0"/>
                <w:sz w:val="18"/>
              </w:rPr>
            </w:pPr>
            <w:r w:rsidRPr="00BF52F4">
              <w:rPr>
                <w:sz w:val="18"/>
              </w:rPr>
              <w:t>Pharmacovigilance</w:t>
            </w:r>
          </w:p>
        </w:tc>
        <w:tc>
          <w:tcPr>
            <w:tcW w:w="1360" w:type="pct"/>
            <w:gridSpan w:val="2"/>
            <w:tcBorders>
              <w:left w:val="single" w:sz="8" w:space="0" w:color="000000" w:themeColor="text1"/>
            </w:tcBorders>
          </w:tcPr>
          <w:p w14:paraId="24C82485" w14:textId="77777777" w:rsidR="004468F9" w:rsidRPr="00BF52F4" w:rsidRDefault="004468F9" w:rsidP="00483F80">
            <w:pPr>
              <w:pStyle w:val="Tabletext"/>
              <w:ind w:left="0" w:right="0"/>
              <w:rPr>
                <w:b w:val="0"/>
                <w:sz w:val="18"/>
              </w:rPr>
            </w:pPr>
            <w:r w:rsidRPr="00BF52F4">
              <w:rPr>
                <w:sz w:val="18"/>
              </w:rPr>
              <w:t>Risk Minimisation</w:t>
            </w:r>
          </w:p>
        </w:tc>
      </w:tr>
      <w:tr w:rsidR="004468F9" w:rsidRPr="00BF52F4" w14:paraId="04882031" w14:textId="77777777" w:rsidTr="004468F9">
        <w:trPr>
          <w:trHeight w:val="150"/>
        </w:trPr>
        <w:tc>
          <w:tcPr>
            <w:tcW w:w="2281" w:type="pct"/>
            <w:gridSpan w:val="2"/>
            <w:vMerge/>
            <w:tcBorders>
              <w:bottom w:val="single" w:sz="4" w:space="0" w:color="auto"/>
            </w:tcBorders>
          </w:tcPr>
          <w:p w14:paraId="45FB0818" w14:textId="77777777" w:rsidR="004468F9" w:rsidRPr="00BF52F4" w:rsidRDefault="004468F9" w:rsidP="00483F80">
            <w:pPr>
              <w:pStyle w:val="Tabletext"/>
              <w:ind w:left="0" w:right="0"/>
              <w:rPr>
                <w:b/>
              </w:rPr>
            </w:pPr>
          </w:p>
        </w:tc>
        <w:tc>
          <w:tcPr>
            <w:tcW w:w="627" w:type="pct"/>
            <w:tcBorders>
              <w:bottom w:val="single" w:sz="8" w:space="0" w:color="000000" w:themeColor="text1"/>
            </w:tcBorders>
            <w:shd w:val="clear" w:color="auto" w:fill="006DA7"/>
          </w:tcPr>
          <w:p w14:paraId="24C8636D" w14:textId="77777777" w:rsidR="004468F9" w:rsidRPr="00854CD9" w:rsidRDefault="004468F9" w:rsidP="00483F80">
            <w:pPr>
              <w:pStyle w:val="Tabletext"/>
              <w:ind w:left="0" w:right="0"/>
              <w:rPr>
                <w:b/>
                <w:color w:val="FFFFFF" w:themeColor="background1"/>
                <w:sz w:val="18"/>
              </w:rPr>
            </w:pPr>
            <w:r w:rsidRPr="00854CD9">
              <w:rPr>
                <w:b/>
                <w:color w:val="FFFFFF" w:themeColor="background1"/>
                <w:sz w:val="18"/>
              </w:rPr>
              <w:t>Routine</w:t>
            </w:r>
          </w:p>
        </w:tc>
        <w:tc>
          <w:tcPr>
            <w:tcW w:w="733" w:type="pct"/>
            <w:tcBorders>
              <w:bottom w:val="single" w:sz="8" w:space="0" w:color="000000" w:themeColor="text1"/>
            </w:tcBorders>
            <w:shd w:val="clear" w:color="auto" w:fill="006DA7"/>
          </w:tcPr>
          <w:p w14:paraId="04111C38" w14:textId="77777777" w:rsidR="004468F9" w:rsidRPr="00854CD9" w:rsidRDefault="004468F9" w:rsidP="00483F80">
            <w:pPr>
              <w:pStyle w:val="Tabletext"/>
              <w:ind w:left="0" w:right="0"/>
              <w:rPr>
                <w:b/>
                <w:color w:val="FFFFFF" w:themeColor="background1"/>
                <w:sz w:val="18"/>
              </w:rPr>
            </w:pPr>
            <w:r w:rsidRPr="00854CD9">
              <w:rPr>
                <w:b/>
                <w:color w:val="FFFFFF" w:themeColor="background1"/>
                <w:sz w:val="18"/>
              </w:rPr>
              <w:t>Additional</w:t>
            </w:r>
          </w:p>
        </w:tc>
        <w:tc>
          <w:tcPr>
            <w:tcW w:w="627" w:type="pct"/>
            <w:tcBorders>
              <w:bottom w:val="single" w:sz="8" w:space="0" w:color="000000" w:themeColor="text1"/>
            </w:tcBorders>
            <w:shd w:val="clear" w:color="auto" w:fill="006DA7"/>
          </w:tcPr>
          <w:p w14:paraId="0E3CB273" w14:textId="77777777" w:rsidR="004468F9" w:rsidRPr="00854CD9" w:rsidRDefault="004468F9" w:rsidP="00483F80">
            <w:pPr>
              <w:pStyle w:val="Tabletext"/>
              <w:ind w:left="0" w:right="0"/>
              <w:rPr>
                <w:b/>
                <w:color w:val="FFFFFF" w:themeColor="background1"/>
                <w:sz w:val="18"/>
              </w:rPr>
            </w:pPr>
            <w:r w:rsidRPr="00854CD9">
              <w:rPr>
                <w:b/>
                <w:color w:val="FFFFFF" w:themeColor="background1"/>
                <w:sz w:val="18"/>
              </w:rPr>
              <w:t>Routine</w:t>
            </w:r>
          </w:p>
        </w:tc>
        <w:tc>
          <w:tcPr>
            <w:tcW w:w="733" w:type="pct"/>
            <w:tcBorders>
              <w:bottom w:val="single" w:sz="8" w:space="0" w:color="000000" w:themeColor="text1"/>
            </w:tcBorders>
            <w:shd w:val="clear" w:color="auto" w:fill="006DA7"/>
          </w:tcPr>
          <w:p w14:paraId="3386DBB0" w14:textId="77777777" w:rsidR="004468F9" w:rsidRPr="00854CD9" w:rsidRDefault="004468F9" w:rsidP="00483F80">
            <w:pPr>
              <w:pStyle w:val="Tabletext"/>
              <w:ind w:left="0" w:right="0"/>
              <w:rPr>
                <w:b/>
                <w:color w:val="FFFFFF" w:themeColor="background1"/>
                <w:sz w:val="18"/>
              </w:rPr>
            </w:pPr>
            <w:r w:rsidRPr="00854CD9">
              <w:rPr>
                <w:b/>
                <w:color w:val="FFFFFF" w:themeColor="background1"/>
                <w:sz w:val="18"/>
              </w:rPr>
              <w:t>Additional</w:t>
            </w:r>
          </w:p>
        </w:tc>
      </w:tr>
      <w:tr w:rsidR="004468F9" w:rsidRPr="009D1B48" w14:paraId="2520B0B2" w14:textId="77777777" w:rsidTr="004468F9">
        <w:trPr>
          <w:trHeight w:val="137"/>
        </w:trPr>
        <w:tc>
          <w:tcPr>
            <w:tcW w:w="820" w:type="pct"/>
            <w:vMerge w:val="restart"/>
            <w:tcBorders>
              <w:top w:val="single" w:sz="4" w:space="0" w:color="auto"/>
            </w:tcBorders>
          </w:tcPr>
          <w:p w14:paraId="52F96C23" w14:textId="77777777" w:rsidR="004468F9" w:rsidRPr="009D1B48" w:rsidRDefault="004468F9" w:rsidP="00483F80">
            <w:pPr>
              <w:pStyle w:val="Tabletext"/>
              <w:ind w:left="0" w:right="0"/>
            </w:pPr>
            <w:r w:rsidRPr="009D1B48">
              <w:t>Important identified risks</w:t>
            </w:r>
          </w:p>
        </w:tc>
        <w:tc>
          <w:tcPr>
            <w:tcW w:w="1460" w:type="pct"/>
            <w:tcBorders>
              <w:top w:val="single" w:sz="4" w:space="0" w:color="auto"/>
            </w:tcBorders>
          </w:tcPr>
          <w:p w14:paraId="063640BE" w14:textId="77777777" w:rsidR="004468F9" w:rsidRPr="000B0DA7" w:rsidRDefault="004468F9" w:rsidP="00483F80">
            <w:pPr>
              <w:pStyle w:val="Tabletext"/>
              <w:ind w:left="0" w:right="0"/>
            </w:pPr>
            <w:r w:rsidRPr="000B0DA7">
              <w:t>Infusion related reactions ( All Indications)</w:t>
            </w:r>
          </w:p>
        </w:tc>
        <w:tc>
          <w:tcPr>
            <w:tcW w:w="627" w:type="pct"/>
            <w:tcBorders>
              <w:top w:val="single" w:sz="8" w:space="0" w:color="000000" w:themeColor="text1"/>
            </w:tcBorders>
          </w:tcPr>
          <w:p w14:paraId="049F31CB"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Borders>
              <w:top w:val="single" w:sz="8" w:space="0" w:color="000000" w:themeColor="text1"/>
            </w:tcBorders>
          </w:tcPr>
          <w:p w14:paraId="57278C37" w14:textId="77777777" w:rsidR="004468F9" w:rsidRPr="00FE2742" w:rsidRDefault="004468F9" w:rsidP="00483F80">
            <w:pPr>
              <w:pStyle w:val="Tabletext"/>
              <w:ind w:left="0" w:right="0"/>
              <w:jc w:val="center"/>
            </w:pPr>
            <w:r w:rsidRPr="00FE2742">
              <w:t>–</w:t>
            </w:r>
          </w:p>
        </w:tc>
        <w:tc>
          <w:tcPr>
            <w:tcW w:w="627" w:type="pct"/>
            <w:tcBorders>
              <w:top w:val="single" w:sz="8" w:space="0" w:color="000000" w:themeColor="text1"/>
            </w:tcBorders>
          </w:tcPr>
          <w:p w14:paraId="53128261"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Borders>
              <w:top w:val="single" w:sz="8" w:space="0" w:color="000000" w:themeColor="text1"/>
            </w:tcBorders>
          </w:tcPr>
          <w:p w14:paraId="6A09E912" w14:textId="77777777" w:rsidR="004468F9" w:rsidRPr="00FE2742" w:rsidRDefault="004468F9" w:rsidP="00483F80">
            <w:pPr>
              <w:pStyle w:val="Tabletext"/>
              <w:ind w:left="0" w:right="0"/>
              <w:jc w:val="center"/>
            </w:pPr>
            <w:r w:rsidRPr="00FE2742">
              <w:t>-</w:t>
            </w:r>
          </w:p>
        </w:tc>
      </w:tr>
      <w:tr w:rsidR="004468F9" w:rsidRPr="009D1B48" w14:paraId="12BA1EF7" w14:textId="77777777" w:rsidTr="004468F9">
        <w:trPr>
          <w:trHeight w:val="137"/>
        </w:trPr>
        <w:tc>
          <w:tcPr>
            <w:tcW w:w="820" w:type="pct"/>
            <w:vMerge/>
          </w:tcPr>
          <w:p w14:paraId="62486C05" w14:textId="77777777" w:rsidR="004468F9" w:rsidRPr="009D1B48" w:rsidRDefault="004468F9" w:rsidP="00483F80">
            <w:pPr>
              <w:pStyle w:val="Tabletext"/>
              <w:ind w:left="0" w:right="0"/>
            </w:pPr>
          </w:p>
        </w:tc>
        <w:tc>
          <w:tcPr>
            <w:tcW w:w="1460" w:type="pct"/>
          </w:tcPr>
          <w:p w14:paraId="1338340F" w14:textId="77777777" w:rsidR="004468F9" w:rsidRPr="000B0DA7" w:rsidRDefault="004468F9" w:rsidP="00483F80">
            <w:pPr>
              <w:pStyle w:val="Tabletext"/>
              <w:ind w:left="0" w:right="0"/>
            </w:pPr>
            <w:r w:rsidRPr="000B0DA7">
              <w:t>Infections including serious infections ( All Indications)</w:t>
            </w:r>
          </w:p>
        </w:tc>
        <w:tc>
          <w:tcPr>
            <w:tcW w:w="627" w:type="pct"/>
          </w:tcPr>
          <w:p w14:paraId="4101652C"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5B2EDD13" w14:textId="77777777" w:rsidR="004468F9" w:rsidRPr="00FE2742" w:rsidRDefault="004468F9" w:rsidP="00483F80">
            <w:pPr>
              <w:pStyle w:val="Tabletext"/>
              <w:ind w:left="0" w:right="0"/>
              <w:jc w:val="center"/>
            </w:pPr>
            <w:r w:rsidRPr="00FE2742">
              <w:t>–</w:t>
            </w:r>
          </w:p>
        </w:tc>
        <w:tc>
          <w:tcPr>
            <w:tcW w:w="627" w:type="pct"/>
          </w:tcPr>
          <w:p w14:paraId="4B99056E"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381DA618" w14:textId="77777777" w:rsidR="004468F9" w:rsidRPr="00FE2742" w:rsidRDefault="004468F9" w:rsidP="00483F80">
            <w:pPr>
              <w:pStyle w:val="Tabletext"/>
              <w:ind w:left="0" w:right="0"/>
              <w:jc w:val="center"/>
            </w:pPr>
            <w:r w:rsidRPr="00FE2742">
              <w:rPr>
                <w:rFonts w:ascii="Wingdings" w:eastAsia="Wingdings" w:hAnsi="Wingdings" w:cs="Wingdings"/>
              </w:rPr>
              <w:t></w:t>
            </w:r>
            <w:r w:rsidRPr="00FE2742">
              <w:rPr>
                <w:rFonts w:asciiTheme="majorHAnsi" w:hAnsiTheme="majorHAnsi"/>
                <w:szCs w:val="20"/>
                <w:vertAlign w:val="superscript"/>
              </w:rPr>
              <w:t>‡</w:t>
            </w:r>
          </w:p>
        </w:tc>
      </w:tr>
      <w:tr w:rsidR="004468F9" w:rsidRPr="009D1B48" w14:paraId="2C043F10" w14:textId="77777777" w:rsidTr="004468F9">
        <w:trPr>
          <w:trHeight w:val="137"/>
        </w:trPr>
        <w:tc>
          <w:tcPr>
            <w:tcW w:w="820" w:type="pct"/>
            <w:vMerge/>
          </w:tcPr>
          <w:p w14:paraId="1299C43A" w14:textId="77777777" w:rsidR="004468F9" w:rsidRPr="009D1B48" w:rsidRDefault="004468F9" w:rsidP="00483F80">
            <w:pPr>
              <w:pStyle w:val="Tabletext"/>
              <w:ind w:left="0" w:right="0"/>
            </w:pPr>
          </w:p>
        </w:tc>
        <w:tc>
          <w:tcPr>
            <w:tcW w:w="1460" w:type="pct"/>
          </w:tcPr>
          <w:p w14:paraId="17083BCD" w14:textId="77777777" w:rsidR="004468F9" w:rsidRPr="000B0DA7" w:rsidRDefault="004468F9" w:rsidP="00483F80">
            <w:pPr>
              <w:pStyle w:val="Tabletext"/>
              <w:ind w:left="0" w:right="0"/>
            </w:pPr>
            <w:r w:rsidRPr="000B0DA7">
              <w:t>Progressive multifocal leukoencephalopathy (All Indications)</w:t>
            </w:r>
          </w:p>
        </w:tc>
        <w:tc>
          <w:tcPr>
            <w:tcW w:w="627" w:type="pct"/>
          </w:tcPr>
          <w:p w14:paraId="0DBBF13E" w14:textId="77777777" w:rsidR="004468F9" w:rsidRPr="00FE2742" w:rsidRDefault="004468F9" w:rsidP="00483F80">
            <w:pPr>
              <w:pStyle w:val="Tabletext"/>
              <w:ind w:left="0" w:right="0"/>
              <w:jc w:val="center"/>
            </w:pPr>
            <w:r w:rsidRPr="00FE2742">
              <w:rPr>
                <w:rFonts w:ascii="Wingdings" w:eastAsia="Wingdings" w:hAnsi="Wingdings" w:cs="Wingdings"/>
              </w:rPr>
              <w:t></w:t>
            </w:r>
            <w:r w:rsidRPr="00FE2742">
              <w:rPr>
                <w:rFonts w:asciiTheme="majorHAnsi" w:hAnsiTheme="majorHAnsi"/>
                <w:szCs w:val="20"/>
                <w:vertAlign w:val="superscript"/>
              </w:rPr>
              <w:t>†</w:t>
            </w:r>
          </w:p>
        </w:tc>
        <w:tc>
          <w:tcPr>
            <w:tcW w:w="733" w:type="pct"/>
          </w:tcPr>
          <w:p w14:paraId="6A6552F4" w14:textId="77777777" w:rsidR="004468F9" w:rsidRPr="00FE2742" w:rsidRDefault="004468F9" w:rsidP="00483F80">
            <w:pPr>
              <w:pStyle w:val="Tabletext"/>
              <w:ind w:left="0" w:right="0"/>
              <w:jc w:val="center"/>
            </w:pPr>
            <w:r w:rsidRPr="00FE2742">
              <w:t>–</w:t>
            </w:r>
          </w:p>
        </w:tc>
        <w:tc>
          <w:tcPr>
            <w:tcW w:w="627" w:type="pct"/>
          </w:tcPr>
          <w:p w14:paraId="4DDBEF00"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78C219CA" w14:textId="77777777" w:rsidR="004468F9" w:rsidRPr="00FE2742" w:rsidRDefault="004468F9" w:rsidP="00483F80">
            <w:pPr>
              <w:pStyle w:val="Tabletext"/>
              <w:ind w:left="0" w:right="0"/>
              <w:jc w:val="center"/>
            </w:pPr>
            <w:r w:rsidRPr="00FE2742">
              <w:rPr>
                <w:rFonts w:ascii="Wingdings" w:eastAsia="Wingdings" w:hAnsi="Wingdings" w:cs="Wingdings"/>
              </w:rPr>
              <w:t></w:t>
            </w:r>
            <w:r w:rsidRPr="00FE2742">
              <w:rPr>
                <w:rFonts w:asciiTheme="majorHAnsi" w:hAnsiTheme="majorHAnsi"/>
                <w:szCs w:val="20"/>
                <w:vertAlign w:val="superscript"/>
              </w:rPr>
              <w:t>‡</w:t>
            </w:r>
          </w:p>
        </w:tc>
      </w:tr>
      <w:tr w:rsidR="004468F9" w:rsidRPr="009D1B48" w14:paraId="4E97D16B" w14:textId="77777777" w:rsidTr="004468F9">
        <w:trPr>
          <w:trHeight w:val="94"/>
        </w:trPr>
        <w:tc>
          <w:tcPr>
            <w:tcW w:w="820" w:type="pct"/>
            <w:vMerge/>
          </w:tcPr>
          <w:p w14:paraId="3461D779" w14:textId="77777777" w:rsidR="004468F9" w:rsidRPr="009D1B48" w:rsidRDefault="004468F9" w:rsidP="00483F80">
            <w:pPr>
              <w:pStyle w:val="Tabletext"/>
              <w:ind w:left="0" w:right="0"/>
            </w:pPr>
          </w:p>
        </w:tc>
        <w:tc>
          <w:tcPr>
            <w:tcW w:w="1460" w:type="pct"/>
          </w:tcPr>
          <w:p w14:paraId="60AA0542" w14:textId="77777777" w:rsidR="004468F9" w:rsidRPr="000B0DA7" w:rsidRDefault="004468F9" w:rsidP="00483F80">
            <w:pPr>
              <w:pStyle w:val="Tabletext"/>
              <w:ind w:left="0" w:right="0"/>
            </w:pPr>
            <w:r w:rsidRPr="000B0DA7">
              <w:t>Hepatitis B reactivation (All Indications)</w:t>
            </w:r>
          </w:p>
        </w:tc>
        <w:tc>
          <w:tcPr>
            <w:tcW w:w="627" w:type="pct"/>
          </w:tcPr>
          <w:p w14:paraId="3CF2D8B6"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4851089E" w14:textId="77777777" w:rsidR="004468F9" w:rsidRPr="00FE2742" w:rsidRDefault="004468F9" w:rsidP="00483F80">
            <w:pPr>
              <w:pStyle w:val="Tabletext"/>
              <w:ind w:left="0" w:right="0"/>
              <w:jc w:val="center"/>
            </w:pPr>
            <w:r w:rsidRPr="00FE2742">
              <w:t>–</w:t>
            </w:r>
          </w:p>
        </w:tc>
        <w:tc>
          <w:tcPr>
            <w:tcW w:w="627" w:type="pct"/>
          </w:tcPr>
          <w:p w14:paraId="0FB78278"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753486FB" w14:textId="77777777" w:rsidR="004468F9" w:rsidRPr="00FE2742" w:rsidRDefault="004468F9" w:rsidP="00483F80">
            <w:pPr>
              <w:pStyle w:val="Tabletext"/>
              <w:ind w:left="0" w:right="0"/>
              <w:jc w:val="center"/>
            </w:pPr>
            <w:r w:rsidRPr="00FE2742">
              <w:t>–</w:t>
            </w:r>
          </w:p>
        </w:tc>
      </w:tr>
      <w:tr w:rsidR="004468F9" w:rsidRPr="009D1B48" w14:paraId="0B685941" w14:textId="77777777" w:rsidTr="004468F9">
        <w:trPr>
          <w:trHeight w:val="187"/>
        </w:trPr>
        <w:tc>
          <w:tcPr>
            <w:tcW w:w="820" w:type="pct"/>
            <w:vMerge/>
          </w:tcPr>
          <w:p w14:paraId="1FC39945" w14:textId="77777777" w:rsidR="004468F9" w:rsidRPr="009D1B48" w:rsidRDefault="004468F9" w:rsidP="00483F80">
            <w:pPr>
              <w:pStyle w:val="Tabletext"/>
              <w:ind w:left="0" w:right="0"/>
            </w:pPr>
          </w:p>
        </w:tc>
        <w:tc>
          <w:tcPr>
            <w:tcW w:w="1460" w:type="pct"/>
          </w:tcPr>
          <w:p w14:paraId="2551096A" w14:textId="77777777" w:rsidR="004468F9" w:rsidRPr="000B0DA7" w:rsidRDefault="004468F9" w:rsidP="00483F80">
            <w:pPr>
              <w:pStyle w:val="Tabletext"/>
              <w:ind w:left="0" w:right="0"/>
            </w:pPr>
            <w:r w:rsidRPr="000B0DA7">
              <w:t>Hypogammaglobulinaemia (Non-oncology indications)</w:t>
            </w:r>
          </w:p>
        </w:tc>
        <w:tc>
          <w:tcPr>
            <w:tcW w:w="627" w:type="pct"/>
          </w:tcPr>
          <w:p w14:paraId="0562CB0E"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2B29E476" w14:textId="77777777" w:rsidR="004468F9" w:rsidRPr="00FE2742" w:rsidRDefault="004468F9" w:rsidP="00483F80">
            <w:pPr>
              <w:pStyle w:val="Tabletext"/>
              <w:ind w:left="0" w:right="0"/>
              <w:jc w:val="center"/>
            </w:pPr>
            <w:r w:rsidRPr="00FE2742">
              <w:t>–</w:t>
            </w:r>
          </w:p>
        </w:tc>
        <w:tc>
          <w:tcPr>
            <w:tcW w:w="627" w:type="pct"/>
          </w:tcPr>
          <w:p w14:paraId="34CE0A41"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33E67AC6" w14:textId="77777777" w:rsidR="004468F9" w:rsidRPr="00FE2742" w:rsidRDefault="004468F9" w:rsidP="00483F80">
            <w:pPr>
              <w:pStyle w:val="Tabletext"/>
              <w:ind w:left="0" w:right="0"/>
              <w:jc w:val="center"/>
            </w:pPr>
            <w:r w:rsidRPr="00FE2742">
              <w:t>-</w:t>
            </w:r>
          </w:p>
        </w:tc>
      </w:tr>
      <w:tr w:rsidR="004468F9" w:rsidRPr="009D1B48" w14:paraId="13913182" w14:textId="77777777" w:rsidTr="004468F9">
        <w:trPr>
          <w:trHeight w:val="159"/>
        </w:trPr>
        <w:tc>
          <w:tcPr>
            <w:tcW w:w="820" w:type="pct"/>
            <w:vMerge w:val="restart"/>
          </w:tcPr>
          <w:p w14:paraId="78D4BCF8" w14:textId="77777777" w:rsidR="004468F9" w:rsidRPr="009D1B48" w:rsidRDefault="004468F9" w:rsidP="00483F80">
            <w:pPr>
              <w:pStyle w:val="Tabletext"/>
              <w:ind w:left="0" w:right="0"/>
            </w:pPr>
            <w:r w:rsidRPr="009D1B48">
              <w:t>Important potential risks</w:t>
            </w:r>
          </w:p>
        </w:tc>
        <w:tc>
          <w:tcPr>
            <w:tcW w:w="1460" w:type="pct"/>
          </w:tcPr>
          <w:p w14:paraId="2B0A8711" w14:textId="77777777" w:rsidR="004468F9" w:rsidRPr="000B0DA7" w:rsidRDefault="004468F9" w:rsidP="00483F80">
            <w:pPr>
              <w:pStyle w:val="Tabletext"/>
              <w:ind w:left="0" w:right="0"/>
            </w:pPr>
            <w:r w:rsidRPr="000B0DA7">
              <w:t>Malignant events (Non-oncology indications)</w:t>
            </w:r>
          </w:p>
        </w:tc>
        <w:tc>
          <w:tcPr>
            <w:tcW w:w="627" w:type="pct"/>
          </w:tcPr>
          <w:p w14:paraId="1291BCBE" w14:textId="77777777" w:rsidR="004468F9" w:rsidRPr="00FE2742" w:rsidRDefault="004468F9" w:rsidP="00483F80">
            <w:pPr>
              <w:pStyle w:val="Tabletext"/>
              <w:ind w:left="0" w:right="0"/>
              <w:jc w:val="center"/>
            </w:pPr>
            <w:r w:rsidRPr="00FE2742">
              <w:rPr>
                <w:rFonts w:ascii="Wingdings" w:eastAsia="Wingdings" w:hAnsi="Wingdings" w:cs="Wingdings"/>
              </w:rPr>
              <w:t></w:t>
            </w:r>
            <w:r w:rsidRPr="00FE2742">
              <w:rPr>
                <w:rFonts w:asciiTheme="majorHAnsi" w:hAnsiTheme="majorHAnsi"/>
                <w:szCs w:val="20"/>
                <w:vertAlign w:val="superscript"/>
              </w:rPr>
              <w:t>†</w:t>
            </w:r>
          </w:p>
        </w:tc>
        <w:tc>
          <w:tcPr>
            <w:tcW w:w="733" w:type="pct"/>
          </w:tcPr>
          <w:p w14:paraId="2F2D5DAD" w14:textId="77777777" w:rsidR="004468F9" w:rsidRPr="00FE2742" w:rsidRDefault="004468F9" w:rsidP="00483F80">
            <w:pPr>
              <w:pStyle w:val="Tabletext"/>
              <w:ind w:left="0" w:right="0"/>
              <w:jc w:val="center"/>
            </w:pPr>
            <w:r w:rsidRPr="00FE2742">
              <w:t>–</w:t>
            </w:r>
          </w:p>
        </w:tc>
        <w:tc>
          <w:tcPr>
            <w:tcW w:w="627" w:type="pct"/>
          </w:tcPr>
          <w:p w14:paraId="62EBF3C5"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5D676B8E" w14:textId="77777777" w:rsidR="004468F9" w:rsidRPr="00FE2742" w:rsidRDefault="004468F9" w:rsidP="00483F80">
            <w:pPr>
              <w:pStyle w:val="Tabletext"/>
              <w:ind w:left="0" w:right="0"/>
              <w:jc w:val="center"/>
            </w:pPr>
            <w:r w:rsidRPr="00FE2742">
              <w:t>–</w:t>
            </w:r>
          </w:p>
        </w:tc>
      </w:tr>
      <w:tr w:rsidR="004468F9" w:rsidRPr="009D1B48" w14:paraId="5E5C3D8C" w14:textId="77777777" w:rsidTr="004468F9">
        <w:trPr>
          <w:trHeight w:val="122"/>
        </w:trPr>
        <w:tc>
          <w:tcPr>
            <w:tcW w:w="820" w:type="pct"/>
            <w:vMerge/>
          </w:tcPr>
          <w:p w14:paraId="6D98A12B" w14:textId="77777777" w:rsidR="004468F9" w:rsidRPr="009D1B48" w:rsidRDefault="004468F9" w:rsidP="00483F80">
            <w:pPr>
              <w:pStyle w:val="Tabletext"/>
              <w:ind w:left="0" w:right="0"/>
            </w:pPr>
          </w:p>
        </w:tc>
        <w:tc>
          <w:tcPr>
            <w:tcW w:w="1460" w:type="pct"/>
          </w:tcPr>
          <w:p w14:paraId="3E2C878A" w14:textId="77777777" w:rsidR="004468F9" w:rsidRPr="000B0DA7" w:rsidRDefault="004468F9" w:rsidP="00483F80">
            <w:pPr>
              <w:pStyle w:val="Tabletext"/>
              <w:ind w:left="0" w:right="0"/>
            </w:pPr>
            <w:r w:rsidRPr="000B0DA7">
              <w:t>Impact on cardiovascular disease (Non-oncology indications)</w:t>
            </w:r>
          </w:p>
        </w:tc>
        <w:tc>
          <w:tcPr>
            <w:tcW w:w="627" w:type="pct"/>
          </w:tcPr>
          <w:p w14:paraId="2946DB82"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712E0284" w14:textId="77777777" w:rsidR="004468F9" w:rsidRPr="00FE2742" w:rsidRDefault="004468F9" w:rsidP="00483F80">
            <w:pPr>
              <w:pStyle w:val="Tabletext"/>
              <w:ind w:left="0" w:right="0"/>
              <w:jc w:val="center"/>
            </w:pPr>
            <w:r w:rsidRPr="00FE2742">
              <w:t>–</w:t>
            </w:r>
          </w:p>
        </w:tc>
        <w:tc>
          <w:tcPr>
            <w:tcW w:w="627" w:type="pct"/>
          </w:tcPr>
          <w:p w14:paraId="5997CC1D"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5E5DCD40" w14:textId="77777777" w:rsidR="004468F9" w:rsidRPr="00FE2742" w:rsidRDefault="004468F9" w:rsidP="00483F80">
            <w:pPr>
              <w:pStyle w:val="Tabletext"/>
              <w:ind w:left="0" w:right="0"/>
              <w:jc w:val="center"/>
            </w:pPr>
            <w:r w:rsidRPr="00FE2742">
              <w:t>–</w:t>
            </w:r>
          </w:p>
        </w:tc>
      </w:tr>
      <w:tr w:rsidR="004468F9" w:rsidRPr="009D1B48" w14:paraId="4D214006" w14:textId="77777777" w:rsidTr="004468F9">
        <w:trPr>
          <w:trHeight w:val="122"/>
        </w:trPr>
        <w:tc>
          <w:tcPr>
            <w:tcW w:w="820" w:type="pct"/>
            <w:vMerge/>
          </w:tcPr>
          <w:p w14:paraId="110FFD37" w14:textId="77777777" w:rsidR="004468F9" w:rsidRPr="009D1B48" w:rsidRDefault="004468F9" w:rsidP="00483F80">
            <w:pPr>
              <w:pStyle w:val="Tabletext"/>
              <w:ind w:left="0" w:right="0"/>
            </w:pPr>
          </w:p>
        </w:tc>
        <w:tc>
          <w:tcPr>
            <w:tcW w:w="1460" w:type="pct"/>
          </w:tcPr>
          <w:p w14:paraId="3909B653" w14:textId="77777777" w:rsidR="004468F9" w:rsidRPr="000B0DA7" w:rsidRDefault="004468F9" w:rsidP="00483F80">
            <w:pPr>
              <w:pStyle w:val="Tabletext"/>
              <w:ind w:left="0" w:right="0"/>
            </w:pPr>
            <w:r w:rsidRPr="000B0DA7">
              <w:t>Relapses (GPA/MPA only)</w:t>
            </w:r>
          </w:p>
        </w:tc>
        <w:tc>
          <w:tcPr>
            <w:tcW w:w="627" w:type="pct"/>
          </w:tcPr>
          <w:p w14:paraId="6B699379"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218EEB85" w14:textId="77777777" w:rsidR="004468F9" w:rsidRPr="00FE2742" w:rsidRDefault="004468F9" w:rsidP="00483F80">
            <w:pPr>
              <w:pStyle w:val="Tabletext"/>
              <w:ind w:left="0" w:right="0"/>
              <w:jc w:val="center"/>
            </w:pPr>
            <w:r w:rsidRPr="00FE2742">
              <w:t>–</w:t>
            </w:r>
          </w:p>
        </w:tc>
        <w:tc>
          <w:tcPr>
            <w:tcW w:w="627" w:type="pct"/>
          </w:tcPr>
          <w:p w14:paraId="3FE9F23F"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501A7E0C" w14:textId="77777777" w:rsidR="004468F9" w:rsidRPr="00FE2742" w:rsidRDefault="004468F9" w:rsidP="00483F80">
            <w:pPr>
              <w:pStyle w:val="Tabletext"/>
              <w:ind w:left="0" w:right="0"/>
              <w:jc w:val="center"/>
            </w:pPr>
            <w:r w:rsidRPr="00FE2742">
              <w:t>–</w:t>
            </w:r>
          </w:p>
        </w:tc>
      </w:tr>
      <w:tr w:rsidR="004468F9" w:rsidRPr="009D1B48" w14:paraId="7158DCF6" w14:textId="77777777" w:rsidTr="004468F9">
        <w:trPr>
          <w:trHeight w:val="122"/>
        </w:trPr>
        <w:tc>
          <w:tcPr>
            <w:tcW w:w="820" w:type="pct"/>
            <w:vMerge/>
          </w:tcPr>
          <w:p w14:paraId="1F72F646" w14:textId="77777777" w:rsidR="004468F9" w:rsidRPr="009D1B48" w:rsidRDefault="004468F9" w:rsidP="00483F80">
            <w:pPr>
              <w:pStyle w:val="Tabletext"/>
              <w:ind w:left="0" w:right="0"/>
            </w:pPr>
          </w:p>
        </w:tc>
        <w:tc>
          <w:tcPr>
            <w:tcW w:w="1460" w:type="pct"/>
          </w:tcPr>
          <w:p w14:paraId="10ED9F39" w14:textId="77777777" w:rsidR="004468F9" w:rsidRPr="000B0DA7" w:rsidRDefault="004468F9" w:rsidP="00483F80">
            <w:pPr>
              <w:pStyle w:val="Tabletext"/>
              <w:ind w:left="0" w:right="0"/>
            </w:pPr>
            <w:r w:rsidRPr="000B0DA7">
              <w:t>Off-label use in paediatric patients (All Indications)</w:t>
            </w:r>
          </w:p>
        </w:tc>
        <w:tc>
          <w:tcPr>
            <w:tcW w:w="627" w:type="pct"/>
          </w:tcPr>
          <w:p w14:paraId="2E02ED0F" w14:textId="77777777" w:rsidR="004468F9" w:rsidRPr="00FE2742" w:rsidRDefault="004468F9" w:rsidP="00483F80">
            <w:pPr>
              <w:pStyle w:val="Tabletext"/>
              <w:ind w:left="0" w:right="0"/>
              <w:jc w:val="center"/>
            </w:pPr>
            <w:r w:rsidRPr="00FE2742">
              <w:rPr>
                <w:rFonts w:ascii="Wingdings" w:eastAsia="Wingdings" w:hAnsi="Wingdings" w:cs="Wingdings"/>
              </w:rPr>
              <w:t></w:t>
            </w:r>
            <w:r w:rsidRPr="00D94E4B">
              <w:rPr>
                <w:rFonts w:asciiTheme="majorHAnsi" w:hAnsiTheme="majorHAnsi"/>
                <w:color w:val="7030A0"/>
                <w:szCs w:val="20"/>
                <w:vertAlign w:val="superscript"/>
              </w:rPr>
              <w:t>†</w:t>
            </w:r>
          </w:p>
        </w:tc>
        <w:tc>
          <w:tcPr>
            <w:tcW w:w="733" w:type="pct"/>
          </w:tcPr>
          <w:p w14:paraId="34C087E2" w14:textId="77777777" w:rsidR="004468F9" w:rsidRPr="00FE2742" w:rsidRDefault="004468F9" w:rsidP="00483F80">
            <w:pPr>
              <w:pStyle w:val="Tabletext"/>
              <w:ind w:left="0" w:right="0"/>
              <w:jc w:val="center"/>
            </w:pPr>
            <w:r w:rsidRPr="00FE2742">
              <w:t>–</w:t>
            </w:r>
          </w:p>
        </w:tc>
        <w:tc>
          <w:tcPr>
            <w:tcW w:w="627" w:type="pct"/>
          </w:tcPr>
          <w:p w14:paraId="08CE6F91"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52DFDFE5" w14:textId="77777777" w:rsidR="004468F9" w:rsidRPr="00FE2742" w:rsidRDefault="004468F9" w:rsidP="00483F80">
            <w:pPr>
              <w:pStyle w:val="Tabletext"/>
              <w:ind w:left="0" w:right="0"/>
              <w:jc w:val="center"/>
            </w:pPr>
            <w:r w:rsidRPr="00FE2742">
              <w:t>–</w:t>
            </w:r>
          </w:p>
        </w:tc>
      </w:tr>
      <w:tr w:rsidR="004468F9" w:rsidRPr="009D1B48" w14:paraId="1A6B582C" w14:textId="77777777" w:rsidTr="004468F9">
        <w:trPr>
          <w:trHeight w:val="112"/>
        </w:trPr>
        <w:tc>
          <w:tcPr>
            <w:tcW w:w="820" w:type="pct"/>
            <w:vMerge/>
          </w:tcPr>
          <w:p w14:paraId="61CDCEAD" w14:textId="77777777" w:rsidR="004468F9" w:rsidRPr="009D1B48" w:rsidRDefault="004468F9" w:rsidP="00483F80">
            <w:pPr>
              <w:pStyle w:val="Tabletext"/>
              <w:ind w:left="0" w:right="0"/>
            </w:pPr>
          </w:p>
        </w:tc>
        <w:tc>
          <w:tcPr>
            <w:tcW w:w="1460" w:type="pct"/>
          </w:tcPr>
          <w:p w14:paraId="0802B1F3" w14:textId="77777777" w:rsidR="004468F9" w:rsidRPr="000B0DA7" w:rsidRDefault="004468F9" w:rsidP="00483F80">
            <w:pPr>
              <w:pStyle w:val="Tabletext"/>
              <w:ind w:left="0" w:right="0"/>
            </w:pPr>
            <w:r w:rsidRPr="000B0DA7">
              <w:t>Administration route error (NHL/CLL)</w:t>
            </w:r>
          </w:p>
        </w:tc>
        <w:tc>
          <w:tcPr>
            <w:tcW w:w="627" w:type="pct"/>
          </w:tcPr>
          <w:p w14:paraId="6BB9E253"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4E1122B5" w14:textId="77777777" w:rsidR="004468F9" w:rsidRPr="00FE2742" w:rsidRDefault="004468F9" w:rsidP="00483F80">
            <w:pPr>
              <w:pStyle w:val="Tabletext"/>
              <w:ind w:left="0" w:right="0"/>
              <w:jc w:val="center"/>
            </w:pPr>
            <w:r w:rsidRPr="00FE2742">
              <w:t>–</w:t>
            </w:r>
          </w:p>
        </w:tc>
        <w:tc>
          <w:tcPr>
            <w:tcW w:w="627" w:type="pct"/>
          </w:tcPr>
          <w:p w14:paraId="23DE523C"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3F1AE89B" w14:textId="77777777" w:rsidR="004468F9" w:rsidRPr="00FE2742" w:rsidRDefault="004468F9" w:rsidP="00483F80">
            <w:pPr>
              <w:pStyle w:val="Tabletext"/>
              <w:ind w:left="0" w:right="0"/>
              <w:jc w:val="center"/>
            </w:pPr>
            <w:r w:rsidRPr="00FE2742">
              <w:rPr>
                <w:rFonts w:ascii="Wingdings" w:eastAsia="Wingdings" w:hAnsi="Wingdings" w:cs="Wingdings"/>
              </w:rPr>
              <w:t></w:t>
            </w:r>
            <w:r w:rsidRPr="008D29B6">
              <w:rPr>
                <w:rFonts w:asciiTheme="majorHAnsi" w:hAnsiTheme="majorHAnsi"/>
                <w:szCs w:val="20"/>
                <w:vertAlign w:val="superscript"/>
              </w:rPr>
              <w:t>§</w:t>
            </w:r>
          </w:p>
        </w:tc>
      </w:tr>
      <w:tr w:rsidR="004468F9" w:rsidRPr="009D1B48" w14:paraId="2C94FD98" w14:textId="77777777" w:rsidTr="004468F9">
        <w:trPr>
          <w:trHeight w:val="178"/>
        </w:trPr>
        <w:tc>
          <w:tcPr>
            <w:tcW w:w="820" w:type="pct"/>
            <w:vMerge w:val="restart"/>
          </w:tcPr>
          <w:p w14:paraId="0F739028" w14:textId="77777777" w:rsidR="004468F9" w:rsidRPr="009D1B48" w:rsidRDefault="004468F9" w:rsidP="00483F80">
            <w:pPr>
              <w:pStyle w:val="Tabletext"/>
              <w:ind w:left="0" w:right="0"/>
            </w:pPr>
            <w:r w:rsidRPr="009D1B48">
              <w:t>Missing information</w:t>
            </w:r>
          </w:p>
        </w:tc>
        <w:tc>
          <w:tcPr>
            <w:tcW w:w="1460" w:type="pct"/>
          </w:tcPr>
          <w:p w14:paraId="593DCF1D" w14:textId="77777777" w:rsidR="004468F9" w:rsidRPr="000B0DA7" w:rsidRDefault="004468F9" w:rsidP="00483F80">
            <w:pPr>
              <w:pStyle w:val="Tabletext"/>
              <w:ind w:left="0" w:right="0"/>
            </w:pPr>
            <w:r w:rsidRPr="000B0DA7">
              <w:t>Use in pregnancy and lactation (All Indications)</w:t>
            </w:r>
          </w:p>
        </w:tc>
        <w:tc>
          <w:tcPr>
            <w:tcW w:w="627" w:type="pct"/>
          </w:tcPr>
          <w:p w14:paraId="52E56223"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14AB19AF" w14:textId="77777777" w:rsidR="004468F9" w:rsidRPr="00FE2742" w:rsidRDefault="004468F9" w:rsidP="00483F80">
            <w:pPr>
              <w:pStyle w:val="Tabletext"/>
              <w:ind w:left="0" w:right="0"/>
              <w:jc w:val="center"/>
            </w:pPr>
            <w:r w:rsidRPr="00FE2742">
              <w:t>–</w:t>
            </w:r>
          </w:p>
        </w:tc>
        <w:tc>
          <w:tcPr>
            <w:tcW w:w="627" w:type="pct"/>
          </w:tcPr>
          <w:p w14:paraId="07547A01"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03F7841D" w14:textId="77777777" w:rsidR="004468F9" w:rsidRPr="00FE2742" w:rsidRDefault="004468F9" w:rsidP="00483F80">
            <w:pPr>
              <w:pStyle w:val="Tabletext"/>
              <w:ind w:left="0" w:right="0"/>
              <w:jc w:val="center"/>
            </w:pPr>
            <w:r w:rsidRPr="00FE2742">
              <w:t>–</w:t>
            </w:r>
          </w:p>
        </w:tc>
      </w:tr>
      <w:tr w:rsidR="004468F9" w:rsidRPr="009D1B48" w14:paraId="7CB42C31" w14:textId="77777777" w:rsidTr="004468F9">
        <w:trPr>
          <w:trHeight w:val="103"/>
        </w:trPr>
        <w:tc>
          <w:tcPr>
            <w:tcW w:w="820" w:type="pct"/>
            <w:vMerge/>
          </w:tcPr>
          <w:p w14:paraId="5043CB0F" w14:textId="77777777" w:rsidR="004468F9" w:rsidRPr="009D1B48" w:rsidRDefault="004468F9" w:rsidP="00483F80">
            <w:pPr>
              <w:pStyle w:val="Tabletext"/>
              <w:ind w:left="0" w:right="0"/>
            </w:pPr>
          </w:p>
        </w:tc>
        <w:tc>
          <w:tcPr>
            <w:tcW w:w="1460" w:type="pct"/>
          </w:tcPr>
          <w:p w14:paraId="70C1E214" w14:textId="77777777" w:rsidR="004468F9" w:rsidRPr="000B0DA7" w:rsidRDefault="004468F9" w:rsidP="00483F80">
            <w:pPr>
              <w:pStyle w:val="Tabletext"/>
              <w:ind w:left="0" w:right="0"/>
            </w:pPr>
            <w:r w:rsidRPr="000B0DA7">
              <w:t>Long-term use in GPA/MPA patients (GPA/MPA only)</w:t>
            </w:r>
          </w:p>
        </w:tc>
        <w:tc>
          <w:tcPr>
            <w:tcW w:w="627" w:type="pct"/>
          </w:tcPr>
          <w:p w14:paraId="07459315"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73FA60F5" w14:textId="77777777" w:rsidR="004468F9" w:rsidRPr="00FE2742" w:rsidRDefault="004468F9" w:rsidP="00483F80">
            <w:pPr>
              <w:pStyle w:val="Tabletext"/>
              <w:ind w:left="0" w:right="0"/>
              <w:jc w:val="center"/>
            </w:pPr>
            <w:r w:rsidRPr="00FE2742">
              <w:t>–</w:t>
            </w:r>
          </w:p>
        </w:tc>
        <w:tc>
          <w:tcPr>
            <w:tcW w:w="627" w:type="pct"/>
          </w:tcPr>
          <w:p w14:paraId="6537F28F" w14:textId="77777777" w:rsidR="004468F9" w:rsidRPr="00FE2742" w:rsidRDefault="004468F9" w:rsidP="00483F80">
            <w:pPr>
              <w:pStyle w:val="Tabletext"/>
              <w:ind w:left="0" w:right="0"/>
              <w:jc w:val="center"/>
            </w:pPr>
            <w:r w:rsidRPr="00FE2742">
              <w:rPr>
                <w:rFonts w:ascii="Wingdings" w:eastAsia="Wingdings" w:hAnsi="Wingdings" w:cs="Wingdings"/>
              </w:rPr>
              <w:t></w:t>
            </w:r>
          </w:p>
        </w:tc>
        <w:tc>
          <w:tcPr>
            <w:tcW w:w="733" w:type="pct"/>
          </w:tcPr>
          <w:p w14:paraId="1A8248FF" w14:textId="77777777" w:rsidR="004468F9" w:rsidRPr="00FE2742" w:rsidRDefault="004468F9" w:rsidP="00483F80">
            <w:pPr>
              <w:pStyle w:val="Tabletext"/>
              <w:ind w:left="0" w:right="0"/>
              <w:jc w:val="center"/>
            </w:pPr>
            <w:r w:rsidRPr="00FE2742">
              <w:t>–</w:t>
            </w:r>
          </w:p>
        </w:tc>
      </w:tr>
    </w:tbl>
    <w:p w14:paraId="20194E5D" w14:textId="77777777" w:rsidR="004468F9" w:rsidRPr="00FE2742" w:rsidRDefault="004468F9" w:rsidP="004468F9">
      <w:pPr>
        <w:pStyle w:val="TableDescription"/>
      </w:pPr>
      <w:r w:rsidRPr="00FE2742">
        <w:t>† Ad</w:t>
      </w:r>
      <w:r>
        <w:t>verse event follow up form/data capture aid (DCA)</w:t>
      </w:r>
    </w:p>
    <w:p w14:paraId="3B8F002D" w14:textId="45F17CE9" w:rsidR="004468F9" w:rsidRPr="008D29B6" w:rsidRDefault="004468F9" w:rsidP="004468F9">
      <w:pPr>
        <w:pStyle w:val="TableDescription"/>
      </w:pPr>
      <w:r w:rsidRPr="00FE2742">
        <w:t xml:space="preserve">‡ </w:t>
      </w:r>
      <w:r w:rsidRPr="008D29B6">
        <w:t>Guide for healthcare professionals, Patient Alert Card,</w:t>
      </w:r>
      <w:r>
        <w:t xml:space="preserve"> Patient Information Pack, (</w:t>
      </w:r>
      <w:r w:rsidRPr="00FE2742">
        <w:t>Non-</w:t>
      </w:r>
      <w:r w:rsidRPr="008D29B6">
        <w:t>oncology indications only</w:t>
      </w:r>
      <w:r>
        <w:t>)</w:t>
      </w:r>
      <w:r w:rsidR="00745EF2">
        <w:t xml:space="preserve"> </w:t>
      </w:r>
    </w:p>
    <w:p w14:paraId="60478A7C" w14:textId="77777777" w:rsidR="004468F9" w:rsidRPr="008D29B6" w:rsidRDefault="004468F9" w:rsidP="004468F9">
      <w:pPr>
        <w:pStyle w:val="TableDescription"/>
      </w:pPr>
      <w:r w:rsidRPr="008D29B6">
        <w:t>§ Guide for healthcare professionals</w:t>
      </w:r>
    </w:p>
    <w:p w14:paraId="6EB259DA" w14:textId="639A2839" w:rsidR="00612432" w:rsidRDefault="00612432" w:rsidP="00612432">
      <w:r>
        <w:t xml:space="preserve">The summary of safety concerns aligns with the summary of safety concerns for the reference product, apart from the safety concerns relating to the </w:t>
      </w:r>
      <w:r w:rsidR="00143095">
        <w:t>subcutaneous</w:t>
      </w:r>
      <w:r>
        <w:t xml:space="preserve"> presentation, as Ruxience does not have a </w:t>
      </w:r>
      <w:r w:rsidR="00143095">
        <w:t>subcutaneous</w:t>
      </w:r>
      <w:r>
        <w:t xml:space="preserve"> presentation. The summary of safety concerns is acceptable from an RMP perspective.</w:t>
      </w:r>
    </w:p>
    <w:p w14:paraId="37FFFE92" w14:textId="77777777" w:rsidR="00612432" w:rsidRDefault="00612432" w:rsidP="00612432">
      <w:r>
        <w:t>Routine pharmacovigilance is proposed for all safety concerns and missing information including adverse reaction follow-up forms for the safety concerns indicated above. No additional pharmacovigilance activities have been proposed by the sponsor. The proposed pharmacovigilance plan is acceptable.</w:t>
      </w:r>
    </w:p>
    <w:p w14:paraId="7E23E15F" w14:textId="77777777" w:rsidR="00612432" w:rsidRDefault="00612432" w:rsidP="00612432">
      <w:r>
        <w:t xml:space="preserve">Routine risk minimisation is proposed for all safety concerns and missing information, including used enhanced routine risk minimisation for risks </w:t>
      </w:r>
      <w:r w:rsidR="00B435E9" w:rsidRPr="005116AA">
        <w:t>progressive multifocal leukoencephalopathy</w:t>
      </w:r>
      <w:r w:rsidR="00B435E9">
        <w:t xml:space="preserve"> (</w:t>
      </w:r>
      <w:r>
        <w:t>PML</w:t>
      </w:r>
      <w:r w:rsidR="00B435E9">
        <w:t>)</w:t>
      </w:r>
      <w:r>
        <w:t xml:space="preserve"> (Product Information/Consumer Medicines Information, boxed warning and data capture aid (DCA)), malignant events (DCA) and off-label use</w:t>
      </w:r>
      <w:r w:rsidR="00B435E9">
        <w:t xml:space="preserve"> in paediatric patients (DCA).</w:t>
      </w:r>
    </w:p>
    <w:p w14:paraId="5ED0C464" w14:textId="313F3F3F" w:rsidR="004468F9" w:rsidRDefault="00612432" w:rsidP="00612432">
      <w:r>
        <w:t>Additional risk minimisation activities are proposed for specific safety concerns (</w:t>
      </w:r>
      <w:r w:rsidR="00B435E9">
        <w:fldChar w:fldCharType="begin"/>
      </w:r>
      <w:r w:rsidR="00B435E9">
        <w:instrText xml:space="preserve"> REF _Ref66791887 \h </w:instrText>
      </w:r>
      <w:r w:rsidR="00B435E9">
        <w:fldChar w:fldCharType="separate"/>
      </w:r>
      <w:r w:rsidR="00745EF2" w:rsidRPr="005D7C4B">
        <w:t xml:space="preserve">Table </w:t>
      </w:r>
      <w:r w:rsidR="00745EF2">
        <w:rPr>
          <w:noProof/>
        </w:rPr>
        <w:t>7</w:t>
      </w:r>
      <w:r w:rsidR="00B435E9">
        <w:fldChar w:fldCharType="end"/>
      </w:r>
      <w:r>
        <w:t>), and consist of healthcare professional and patient educational materials and a Patient Alert Card (PAC). The proposed risk m</w:t>
      </w:r>
      <w:r w:rsidR="00B435E9">
        <w:t>inimisation plan is acceptable.</w:t>
      </w:r>
    </w:p>
    <w:p w14:paraId="68D049C7" w14:textId="77777777" w:rsidR="00B435E9" w:rsidRDefault="00B435E9" w:rsidP="00B435E9">
      <w:pPr>
        <w:pStyle w:val="Heading4"/>
      </w:pPr>
      <w:r w:rsidRPr="00B435E9">
        <w:t>Wording for conditions of registration</w:t>
      </w:r>
    </w:p>
    <w:p w14:paraId="60667797" w14:textId="77777777" w:rsidR="00B435E9" w:rsidRDefault="00B435E9" w:rsidP="00B435E9">
      <w:r>
        <w:t xml:space="preserve">The suggested wording is: </w:t>
      </w:r>
    </w:p>
    <w:p w14:paraId="4122FC36" w14:textId="77777777" w:rsidR="00B435E9" w:rsidRPr="00B435E9" w:rsidRDefault="00B435E9" w:rsidP="00483F80">
      <w:pPr>
        <w:ind w:left="720"/>
        <w:rPr>
          <w:i/>
        </w:rPr>
      </w:pPr>
      <w:r w:rsidRPr="00B435E9">
        <w:rPr>
          <w:i/>
        </w:rPr>
        <w:t>The R</w:t>
      </w:r>
      <w:r w:rsidR="001E75B3">
        <w:rPr>
          <w:i/>
        </w:rPr>
        <w:t>uxience</w:t>
      </w:r>
      <w:r w:rsidRPr="00B435E9">
        <w:rPr>
          <w:i/>
        </w:rPr>
        <w:t xml:space="preserve"> EU-Risk Management Plan (RMP) (version 1.0, dated 18 December 2019, data lock point 18 May 2018), with Australian Specific Annex (version 3.0, dated 11 January 2021), included with submission PM-2020-00593-1-6, and any subsequent revisions, as agreed with the TGA will be implemented in Australia.</w:t>
      </w:r>
    </w:p>
    <w:p w14:paraId="4063A8FC" w14:textId="77777777" w:rsidR="00B435E9" w:rsidRDefault="00B435E9" w:rsidP="00483F80">
      <w:pPr>
        <w:ind w:left="720"/>
      </w:pPr>
      <w:r>
        <w:t>The following wording is recommended for the PSUR requirement:</w:t>
      </w:r>
    </w:p>
    <w:p w14:paraId="3CD50D98" w14:textId="77777777" w:rsidR="00B435E9" w:rsidRPr="00B435E9" w:rsidRDefault="00B435E9" w:rsidP="00483F80">
      <w:pPr>
        <w:ind w:left="720"/>
        <w:rPr>
          <w:i/>
        </w:rPr>
      </w:pPr>
      <w:r w:rsidRPr="00B435E9">
        <w:rPr>
          <w:i/>
        </w:rPr>
        <w:t xml:space="preserve">An obligatory component of risk management plans is routine pharmacovigilance. Routine pharmacovigilance includes the submission of periodic safety update reports (PSURs). </w:t>
      </w:r>
    </w:p>
    <w:p w14:paraId="0FFA3A8F" w14:textId="77777777" w:rsidR="00B435E9" w:rsidRPr="00B435E9" w:rsidRDefault="00B435E9" w:rsidP="00483F80">
      <w:pPr>
        <w:ind w:left="720"/>
        <w:rPr>
          <w:i/>
        </w:rPr>
      </w:pPr>
      <w:r w:rsidRPr="00B435E9">
        <w:rPr>
          <w:i/>
        </w:rPr>
        <w:t>Reports are to be provided in line with the current published list of EU reference dates and frequency of submission of PSURs until the period covered by such</w:t>
      </w:r>
      <w:r>
        <w:rPr>
          <w:i/>
        </w:rPr>
        <w:t xml:space="preserve"> reports is not less than three </w:t>
      </w:r>
      <w:r w:rsidRPr="00B435E9">
        <w:rPr>
          <w:i/>
        </w:rPr>
        <w:t xml:space="preserve">years from the date of this approval letter. </w:t>
      </w:r>
    </w:p>
    <w:p w14:paraId="5F4CD9B1" w14:textId="77777777" w:rsidR="00B435E9" w:rsidRPr="004468F9" w:rsidRDefault="00B435E9" w:rsidP="00483F80">
      <w:pPr>
        <w:ind w:left="720"/>
      </w:pPr>
      <w:r w:rsidRPr="00B435E9">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207FD4FE" w14:textId="77777777" w:rsidR="008E7846" w:rsidRDefault="00AA0ED0" w:rsidP="008E7846">
      <w:pPr>
        <w:pStyle w:val="Heading3"/>
      </w:pPr>
      <w:bookmarkStart w:id="46" w:name="_Toc247691531"/>
      <w:bookmarkStart w:id="47" w:name="_Toc314842515"/>
      <w:bookmarkStart w:id="48" w:name="_Toc71098533"/>
      <w:bookmarkStart w:id="49" w:name="_Toc196046505"/>
      <w:bookmarkStart w:id="50" w:name="_Toc196046949"/>
      <w:r>
        <w:t>Risk-benefit a</w:t>
      </w:r>
      <w:r w:rsidR="008E7846">
        <w:t>nalysis</w:t>
      </w:r>
      <w:bookmarkEnd w:id="46"/>
      <w:bookmarkEnd w:id="47"/>
      <w:bookmarkEnd w:id="48"/>
    </w:p>
    <w:p w14:paraId="3B847294" w14:textId="77777777" w:rsidR="00D23139" w:rsidRDefault="007D53B6" w:rsidP="00D23139">
      <w:pPr>
        <w:pStyle w:val="Heading4"/>
      </w:pPr>
      <w:r>
        <w:t>Delegate’s considerations</w:t>
      </w:r>
    </w:p>
    <w:p w14:paraId="17B00D25" w14:textId="1013639A" w:rsidR="009140A8" w:rsidRPr="00456765" w:rsidRDefault="009140A8" w:rsidP="009140A8">
      <w:r w:rsidRPr="009140A8">
        <w:t>The risk benefit balance for R</w:t>
      </w:r>
      <w:r>
        <w:t>uxience</w:t>
      </w:r>
      <w:r w:rsidR="00143095">
        <w:t xml:space="preserve"> (rituximab</w:t>
      </w:r>
      <w:r w:rsidRPr="009140A8">
        <w:t>) is favourable</w:t>
      </w:r>
      <w:r>
        <w:t>.</w:t>
      </w:r>
    </w:p>
    <w:p w14:paraId="4CF66E79" w14:textId="77777777" w:rsidR="00D23139" w:rsidRDefault="00D23139" w:rsidP="00D23139">
      <w:pPr>
        <w:pStyle w:val="Heading4"/>
      </w:pPr>
      <w:r w:rsidRPr="00D23139">
        <w:t>Proposed action</w:t>
      </w:r>
    </w:p>
    <w:p w14:paraId="417DC20F" w14:textId="43B5A975" w:rsidR="00456765" w:rsidRPr="00456765" w:rsidRDefault="001E75B3" w:rsidP="001E75B3">
      <w:r w:rsidRPr="001E75B3">
        <w:t>It is recommended that R</w:t>
      </w:r>
      <w:r>
        <w:t>uxience</w:t>
      </w:r>
      <w:r w:rsidR="00143095">
        <w:t xml:space="preserve"> (rituximab</w:t>
      </w:r>
      <w:r w:rsidRPr="001E75B3">
        <w:t xml:space="preserve">) be approved for the same indications that are approved for </w:t>
      </w:r>
      <w:r>
        <w:t>MabThera</w:t>
      </w:r>
      <w:r w:rsidR="00143095">
        <w:t>, the comparator product</w:t>
      </w:r>
      <w:r>
        <w:t>.</w:t>
      </w:r>
    </w:p>
    <w:p w14:paraId="70DE9F48" w14:textId="77777777" w:rsidR="008E7846" w:rsidRPr="002E238E" w:rsidRDefault="008E7846" w:rsidP="008E7846">
      <w:pPr>
        <w:pStyle w:val="Heading3"/>
      </w:pPr>
      <w:bookmarkStart w:id="51" w:name="_Toc247691532"/>
      <w:bookmarkStart w:id="52" w:name="_Toc314842516"/>
      <w:bookmarkStart w:id="53" w:name="_Toc71098534"/>
      <w:bookmarkEnd w:id="30"/>
      <w:bookmarkEnd w:id="49"/>
      <w:bookmarkEnd w:id="50"/>
      <w:r>
        <w:t>Outcome</w:t>
      </w:r>
      <w:bookmarkEnd w:id="51"/>
      <w:bookmarkEnd w:id="52"/>
      <w:bookmarkEnd w:id="53"/>
    </w:p>
    <w:p w14:paraId="602ACDF9" w14:textId="77777777" w:rsidR="00B6093E" w:rsidRDefault="00744121" w:rsidP="00744121">
      <w:bookmarkStart w:id="54" w:name="_Toc247691533"/>
      <w:bookmarkStart w:id="55" w:name="_Toc314842517"/>
      <w:r>
        <w:t xml:space="preserve">Based on a review of quality, safety and efficacy, the TGA approved the registration of </w:t>
      </w:r>
      <w:r w:rsidR="001E75B3">
        <w:t xml:space="preserve">Ruxience </w:t>
      </w:r>
      <w:r w:rsidRPr="00250271">
        <w:t>(</w:t>
      </w:r>
      <w:r w:rsidR="001E75B3">
        <w:t>rituximab</w:t>
      </w:r>
      <w:r w:rsidRPr="00250271">
        <w:t>)</w:t>
      </w:r>
      <w:r w:rsidR="00B6093E" w:rsidRPr="00B6093E">
        <w:t xml:space="preserve"> 100 mg/10 mL, 500 mg/50 mL</w:t>
      </w:r>
      <w:r w:rsidR="00073575" w:rsidRPr="00073575">
        <w:t xml:space="preserve"> </w:t>
      </w:r>
      <w:r w:rsidR="00073575">
        <w:t xml:space="preserve">concentrate for solution for infusion </w:t>
      </w:r>
      <w:r w:rsidR="00B6093E">
        <w:t>vial, indicated for:</w:t>
      </w:r>
    </w:p>
    <w:p w14:paraId="6D785F8F" w14:textId="77777777" w:rsidR="00B6093E" w:rsidRPr="00BD5C27" w:rsidRDefault="00B6093E" w:rsidP="00B6093E">
      <w:pPr>
        <w:ind w:left="720"/>
        <w:rPr>
          <w:b/>
          <w:i/>
        </w:rPr>
      </w:pPr>
      <w:r w:rsidRPr="00BD5C27">
        <w:rPr>
          <w:b/>
          <w:i/>
        </w:rPr>
        <w:t>Non-Hodgkin’s Lymphoma</w:t>
      </w:r>
    </w:p>
    <w:p w14:paraId="507B22DC" w14:textId="77777777" w:rsidR="00B6093E" w:rsidRPr="00BD5C27" w:rsidRDefault="00B6093E" w:rsidP="00B6093E">
      <w:pPr>
        <w:ind w:left="720"/>
        <w:rPr>
          <w:i/>
        </w:rPr>
      </w:pPr>
      <w:r w:rsidRPr="00BD5C27">
        <w:rPr>
          <w:i/>
        </w:rPr>
        <w:t>Ruxience is indicated for treatment of patients with:</w:t>
      </w:r>
    </w:p>
    <w:p w14:paraId="77589F35" w14:textId="77777777" w:rsidR="00B6093E" w:rsidRPr="00BD5C27" w:rsidRDefault="00B6093E" w:rsidP="00B6093E">
      <w:pPr>
        <w:pStyle w:val="ListBullet"/>
        <w:ind w:left="1080"/>
        <w:rPr>
          <w:i/>
        </w:rPr>
      </w:pPr>
      <w:r w:rsidRPr="00BD5C27">
        <w:rPr>
          <w:i/>
        </w:rPr>
        <w:t>CD20 positive, previously untreated, Stage III/IV follicular, B-cell non-Hodgkin’s lymphoma,</w:t>
      </w:r>
    </w:p>
    <w:p w14:paraId="22894583" w14:textId="77777777" w:rsidR="00B6093E" w:rsidRPr="00BD5C27" w:rsidRDefault="00B6093E" w:rsidP="00B6093E">
      <w:pPr>
        <w:pStyle w:val="ListBullet"/>
        <w:ind w:left="1080"/>
        <w:rPr>
          <w:i/>
        </w:rPr>
      </w:pPr>
      <w:r w:rsidRPr="00BD5C27">
        <w:rPr>
          <w:i/>
        </w:rPr>
        <w:t>CD20 positive, relapsed or refractory low grade or follicular, B-cell non-Hodgkin's lymphoma,</w:t>
      </w:r>
    </w:p>
    <w:p w14:paraId="524D2F56" w14:textId="77777777" w:rsidR="00B6093E" w:rsidRPr="00BD5C27" w:rsidRDefault="00B6093E" w:rsidP="00B6093E">
      <w:pPr>
        <w:pStyle w:val="ListBullet"/>
        <w:ind w:left="1080"/>
        <w:rPr>
          <w:i/>
        </w:rPr>
      </w:pPr>
      <w:r w:rsidRPr="00BD5C27">
        <w:rPr>
          <w:i/>
        </w:rPr>
        <w:t>CD20 positive, diffuse large B-cell non-Hodgkin’s lymphoma, in combination with chemotherapy.</w:t>
      </w:r>
    </w:p>
    <w:p w14:paraId="253E014E" w14:textId="77777777" w:rsidR="00B6093E" w:rsidRPr="00BD5C27" w:rsidRDefault="00B6093E" w:rsidP="00B6093E">
      <w:pPr>
        <w:ind w:left="720"/>
        <w:rPr>
          <w:b/>
          <w:i/>
        </w:rPr>
      </w:pPr>
      <w:r w:rsidRPr="00BD5C27">
        <w:rPr>
          <w:b/>
          <w:i/>
        </w:rPr>
        <w:t>Chronic Lymphocytic Leukaemia</w:t>
      </w:r>
    </w:p>
    <w:p w14:paraId="00FF2266" w14:textId="77777777" w:rsidR="00B6093E" w:rsidRPr="00BD5C27" w:rsidRDefault="00B6093E" w:rsidP="00B6093E">
      <w:pPr>
        <w:ind w:left="720"/>
        <w:rPr>
          <w:i/>
        </w:rPr>
      </w:pPr>
      <w:r w:rsidRPr="00BD5C27">
        <w:rPr>
          <w:i/>
        </w:rPr>
        <w:t>Ruxience is indicated for the treatment of patients with CD20 positive chronic lymphocytic leukaemia (CLL) in combination with chemotherapy.</w:t>
      </w:r>
    </w:p>
    <w:p w14:paraId="5FF65852" w14:textId="77777777" w:rsidR="00B6093E" w:rsidRPr="00BD5C27" w:rsidRDefault="00B6093E" w:rsidP="00B6093E">
      <w:pPr>
        <w:ind w:left="720"/>
        <w:rPr>
          <w:b/>
          <w:i/>
        </w:rPr>
      </w:pPr>
      <w:r w:rsidRPr="00BD5C27">
        <w:rPr>
          <w:b/>
          <w:i/>
        </w:rPr>
        <w:t>Rheumatoid Arthritis</w:t>
      </w:r>
    </w:p>
    <w:p w14:paraId="1D74689D" w14:textId="77777777" w:rsidR="00B6093E" w:rsidRPr="00BD5C27" w:rsidRDefault="00B6093E" w:rsidP="00B6093E">
      <w:pPr>
        <w:ind w:left="720"/>
        <w:rPr>
          <w:i/>
        </w:rPr>
      </w:pPr>
      <w:r w:rsidRPr="00BD5C27">
        <w:rPr>
          <w:i/>
        </w:rPr>
        <w:t>Ruxience in combination with methotrexate is indicated for the treatment of adult patients with severe, active rheumatoid arthritis who have had an inadequate response or intolerance to at least one tumour necrosis factor (TNF) inhibitor therapy.</w:t>
      </w:r>
    </w:p>
    <w:p w14:paraId="0A31DB68" w14:textId="77777777" w:rsidR="00B6093E" w:rsidRPr="00BD5C27" w:rsidRDefault="00B6093E" w:rsidP="00B6093E">
      <w:pPr>
        <w:ind w:left="720"/>
        <w:rPr>
          <w:i/>
        </w:rPr>
      </w:pPr>
      <w:r w:rsidRPr="00BD5C27">
        <w:rPr>
          <w:i/>
        </w:rPr>
        <w:t>Ruxience has been shown to reduce the rate of progression of joint damage as measured by x-ray when given in combination with methotrexate.</w:t>
      </w:r>
    </w:p>
    <w:p w14:paraId="21110D55" w14:textId="77777777" w:rsidR="00B6093E" w:rsidRPr="00BD5C27" w:rsidRDefault="00B6093E" w:rsidP="00B6093E">
      <w:pPr>
        <w:ind w:left="720"/>
        <w:rPr>
          <w:b/>
          <w:i/>
        </w:rPr>
      </w:pPr>
      <w:r w:rsidRPr="00BD5C27">
        <w:rPr>
          <w:b/>
          <w:i/>
        </w:rPr>
        <w:t>Granulomatosis with polyangiitis (Wegener’s) (GPA) and Microscopic polyangiitis (MPA)</w:t>
      </w:r>
    </w:p>
    <w:p w14:paraId="4412B6C8" w14:textId="77777777" w:rsidR="00D23139" w:rsidRPr="00D23139" w:rsidRDefault="00B6093E" w:rsidP="00B6093E">
      <w:pPr>
        <w:ind w:left="720"/>
      </w:pPr>
      <w:r w:rsidRPr="00BD5C27">
        <w:rPr>
          <w:i/>
        </w:rPr>
        <w:t>Ruxience in combination with glucocorticoids is indicated for the induction of remission in patients with severely active Granulomatosis with polyangiitis (GPA, also known as Wegener’s granulomatosis) and Microscopic polyangiitis (MPA). The efficacy and safety of retreatment with R</w:t>
      </w:r>
      <w:r w:rsidR="00B2345F">
        <w:rPr>
          <w:i/>
        </w:rPr>
        <w:t xml:space="preserve">uxience </w:t>
      </w:r>
      <w:r w:rsidRPr="00BD5C27">
        <w:rPr>
          <w:i/>
        </w:rPr>
        <w:t>have not been established.</w:t>
      </w:r>
    </w:p>
    <w:p w14:paraId="178AAB83" w14:textId="77777777" w:rsidR="00D23139" w:rsidRPr="00D23139" w:rsidRDefault="00D23139" w:rsidP="00D23139">
      <w:pPr>
        <w:pStyle w:val="Heading4"/>
      </w:pPr>
      <w:r w:rsidRPr="00D23139">
        <w:t>Specific conditions of registration applying to these goods</w:t>
      </w:r>
    </w:p>
    <w:p w14:paraId="62270B77" w14:textId="6455E9EA" w:rsidR="00F44AF0" w:rsidRDefault="00F44AF0" w:rsidP="00F44AF0">
      <w:pPr>
        <w:pStyle w:val="ListBullet"/>
      </w:pPr>
      <w:r>
        <w:t>The R</w:t>
      </w:r>
      <w:r w:rsidR="00EE4F12">
        <w:t>uxience</w:t>
      </w:r>
      <w:r w:rsidR="00C317C8">
        <w:t xml:space="preserve"> EU-RMP</w:t>
      </w:r>
      <w:r>
        <w:t xml:space="preserve"> (version 1.0, dated 18 December 2019, data lock point 18 May 2018), with </w:t>
      </w:r>
      <w:r w:rsidR="00C317C8">
        <w:t>ASA</w:t>
      </w:r>
      <w:r>
        <w:t xml:space="preserve"> (version 3.0, dated 11 January 2021), included with submission PM-2020-00593-1-6, and any subsequent revisions, as agreed with the TGA will be implemented in Australia.</w:t>
      </w:r>
    </w:p>
    <w:p w14:paraId="37435898" w14:textId="77777777" w:rsidR="00F44AF0" w:rsidRDefault="00F44AF0" w:rsidP="00F44AF0">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4314F563" w14:textId="77777777" w:rsidR="00F44AF0" w:rsidRDefault="00F44AF0" w:rsidP="00F44AF0">
      <w:pPr>
        <w:pStyle w:val="ListBullet"/>
        <w:numPr>
          <w:ilvl w:val="0"/>
          <w:numId w:val="0"/>
        </w:numPr>
        <w:ind w:left="360"/>
      </w:pPr>
      <w:r>
        <w:t xml:space="preserve">Reports are to be provided in line with the current published list of EU reference dates and frequency of submission of PSURs until the period covered by such reports is not less than three years from the date of this approval letter. </w:t>
      </w:r>
    </w:p>
    <w:p w14:paraId="2EBFF824" w14:textId="77777777" w:rsidR="00F44AF0" w:rsidRDefault="00F44AF0" w:rsidP="00F44AF0">
      <w:pPr>
        <w:pStyle w:val="ListBullet"/>
        <w:numPr>
          <w:ilvl w:val="0"/>
          <w:numId w:val="0"/>
        </w:numPr>
        <w:ind w:left="360"/>
      </w:pPr>
      <w:r>
        <w:t>The reports are to at least meet the requirements for PSURs as described in the European Medicines Agency’s Guideline on good pharmacovigilance practices (GVP) Module VII periodic safety update report (Rev 1), Part VII.B Structures and processes. Note that submission of a PSUR does not constitute an application to vary the registration.</w:t>
      </w:r>
    </w:p>
    <w:p w14:paraId="2620D86B" w14:textId="77777777" w:rsidR="00EE4F12" w:rsidRDefault="00EE4F12" w:rsidP="00EE4F12">
      <w:pPr>
        <w:pStyle w:val="ListBullet"/>
      </w:pPr>
      <w:r>
        <w:t>For all injectable products the Product Information must be included with the product as a package insert.</w:t>
      </w:r>
    </w:p>
    <w:p w14:paraId="4F3795A1" w14:textId="77777777" w:rsidR="008E7846" w:rsidRDefault="00A80B5B" w:rsidP="00D23139">
      <w:pPr>
        <w:pStyle w:val="Heading2"/>
      </w:pPr>
      <w:bookmarkStart w:id="56" w:name="_Toc71098535"/>
      <w:r>
        <w:t xml:space="preserve">Attachment 1. </w:t>
      </w:r>
      <w:r w:rsidR="008E7846">
        <w:t xml:space="preserve">Product </w:t>
      </w:r>
      <w:r w:rsidR="00AA0ED0">
        <w:t>I</w:t>
      </w:r>
      <w:r w:rsidR="008E7846">
        <w:t>nformation</w:t>
      </w:r>
      <w:bookmarkEnd w:id="54"/>
      <w:bookmarkEnd w:id="55"/>
      <w:bookmarkEnd w:id="56"/>
    </w:p>
    <w:p w14:paraId="1C17CDBF" w14:textId="357ED4CA" w:rsidR="00C80137" w:rsidRDefault="006136D7" w:rsidP="00C80137">
      <w:pPr>
        <w:rPr>
          <w:color w:val="000000"/>
          <w:lang w:eastAsia="en-AU"/>
        </w:rPr>
      </w:pPr>
      <w:r w:rsidRPr="002B3624">
        <w:t xml:space="preserve">The </w:t>
      </w:r>
      <w:r>
        <w:t>PI</w:t>
      </w:r>
      <w:r w:rsidRPr="002B3624">
        <w:t xml:space="preserve"> for </w:t>
      </w:r>
      <w:r w:rsidR="00EE4F12">
        <w:t xml:space="preserve">Ruxience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EE4F12">
        <w:t>&gt;.</w:t>
      </w:r>
    </w:p>
    <w:p w14:paraId="6DFB9E20" w14:textId="77777777" w:rsidR="00744121" w:rsidRDefault="008E7846" w:rsidP="00BF616F">
      <w:pPr>
        <w:autoSpaceDE w:val="0"/>
        <w:autoSpaceDN w:val="0"/>
        <w:adjustRightInd w:val="0"/>
        <w:spacing w:after="0"/>
        <w:rPr>
          <w:lang w:eastAsia="ja-JP"/>
        </w:rPr>
      </w:pPr>
      <w:r w:rsidRPr="00C80137">
        <w:rPr>
          <w:b/>
        </w:rPr>
        <w:br w:type="page"/>
      </w:r>
    </w:p>
    <w:p w14:paraId="70DF9E56"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71F7074" w14:textId="77777777" w:rsidTr="00A05FA4">
        <w:trPr>
          <w:trHeight w:hRule="exact" w:val="704"/>
        </w:trPr>
        <w:tc>
          <w:tcPr>
            <w:tcW w:w="9175" w:type="dxa"/>
          </w:tcPr>
          <w:p w14:paraId="2ED0F7A9" w14:textId="77777777" w:rsidR="001C32CD" w:rsidRPr="00487162" w:rsidRDefault="001C32CD" w:rsidP="00A05FA4">
            <w:pPr>
              <w:pStyle w:val="TGASignoff"/>
            </w:pPr>
            <w:r w:rsidRPr="00487162">
              <w:t>Therapeutic Goods Administration</w:t>
            </w:r>
          </w:p>
        </w:tc>
      </w:tr>
      <w:tr w:rsidR="001C32CD" w:rsidRPr="004C239D" w14:paraId="22C0300D" w14:textId="77777777" w:rsidTr="00A05FA4">
        <w:trPr>
          <w:trHeight w:val="1221"/>
        </w:trPr>
        <w:tc>
          <w:tcPr>
            <w:tcW w:w="9175" w:type="dxa"/>
            <w:tcMar>
              <w:top w:w="28" w:type="dxa"/>
            </w:tcMar>
          </w:tcPr>
          <w:p w14:paraId="472231E3" w14:textId="77777777" w:rsidR="001C32CD" w:rsidRPr="00487162" w:rsidRDefault="001C32CD" w:rsidP="00A05FA4">
            <w:pPr>
              <w:pStyle w:val="Address"/>
            </w:pPr>
            <w:r w:rsidRPr="00487162">
              <w:t>PO Box 100 Woden ACT 2606 Australia</w:t>
            </w:r>
          </w:p>
          <w:p w14:paraId="3D0D3BE0" w14:textId="5DB60F70" w:rsidR="001C32CD" w:rsidRPr="00487162" w:rsidRDefault="001C32CD" w:rsidP="00A05FA4">
            <w:pPr>
              <w:pStyle w:val="Address"/>
            </w:pPr>
            <w:r w:rsidRPr="00487162">
              <w:t xml:space="preserve">Email: </w:t>
            </w:r>
            <w:hyperlink r:id="rId32" w:history="1">
              <w:r w:rsidRPr="004C239D">
                <w:rPr>
                  <w:rStyle w:val="Hyperlink"/>
                </w:rPr>
                <w:t>info@tga.gov.au</w:t>
              </w:r>
            </w:hyperlink>
            <w:r w:rsidRPr="00487162">
              <w:t xml:space="preserve">  Phone: 1800 020 653  Fax: 02 6232 8605</w:t>
            </w:r>
          </w:p>
          <w:p w14:paraId="5711D565" w14:textId="2C7B3586" w:rsidR="001C32CD" w:rsidRPr="004C239D" w:rsidRDefault="00CE60C5"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44E871BC"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8086" w16cex:dateUtc="2021-03-29T23:48:00Z"/>
  <w16cex:commentExtensible w16cex:durableId="240D8098" w16cex:dateUtc="2021-03-29T23:48:00Z"/>
  <w16cex:commentExtensible w16cex:durableId="240D80A2" w16cex:dateUtc="2021-03-29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D5A553" w16cid:durableId="2405EAF3"/>
  <w16cid:commentId w16cid:paraId="1A623447" w16cid:durableId="240D7F44"/>
  <w16cid:commentId w16cid:paraId="7F875C0E" w16cid:durableId="240D8086"/>
  <w16cid:commentId w16cid:paraId="306BBA5D" w16cid:durableId="2405EAFC"/>
  <w16cid:commentId w16cid:paraId="1FB18143" w16cid:durableId="240D7F46"/>
  <w16cid:commentId w16cid:paraId="74DD8D7D" w16cid:durableId="240D8098"/>
  <w16cid:commentId w16cid:paraId="7435499F" w16cid:durableId="240D7F47"/>
  <w16cid:commentId w16cid:paraId="3A20B287" w16cid:durableId="240D80A2"/>
  <w16cid:commentId w16cid:paraId="77088879" w16cid:durableId="2405EAC5"/>
  <w16cid:commentId w16cid:paraId="77786F8E" w16cid:durableId="240D7F49"/>
  <w16cid:commentId w16cid:paraId="76B2BC9C" w16cid:durableId="240D7F4A"/>
  <w16cid:commentId w16cid:paraId="37A9781D" w16cid:durableId="2405E720"/>
  <w16cid:commentId w16cid:paraId="5C1F465D" w16cid:durableId="240D7F4C"/>
  <w16cid:commentId w16cid:paraId="08181AAC" w16cid:durableId="2406DEC9"/>
  <w16cid:commentId w16cid:paraId="2D6D341B" w16cid:durableId="240D7F4E"/>
  <w16cid:commentId w16cid:paraId="0FA1BC13" w16cid:durableId="2405E76A"/>
  <w16cid:commentId w16cid:paraId="57295B04" w16cid:durableId="240D7F50"/>
  <w16cid:commentId w16cid:paraId="584D2326" w16cid:durableId="2405E7BD"/>
  <w16cid:commentId w16cid:paraId="05A2CFDF" w16cid:durableId="240D7F52"/>
  <w16cid:commentId w16cid:paraId="2B8FC25B" w16cid:durableId="2405E817"/>
  <w16cid:commentId w16cid:paraId="7AC633FF" w16cid:durableId="240D7F54"/>
  <w16cid:commentId w16cid:paraId="0AF2599D" w16cid:durableId="2405E80F"/>
  <w16cid:commentId w16cid:paraId="73F0E14D" w16cid:durableId="240D7F56"/>
  <w16cid:commentId w16cid:paraId="66E3C6AA" w16cid:durableId="2405E863"/>
  <w16cid:commentId w16cid:paraId="78B83808" w16cid:durableId="240D7F58"/>
  <w16cid:commentId w16cid:paraId="70582981" w16cid:durableId="2405E887"/>
  <w16cid:commentId w16cid:paraId="486D6011" w16cid:durableId="240D7F5A"/>
  <w16cid:commentId w16cid:paraId="793507C8" w16cid:durableId="2405E899"/>
  <w16cid:commentId w16cid:paraId="7AECE951" w16cid:durableId="240D7F5C"/>
  <w16cid:commentId w16cid:paraId="4664720E" w16cid:durableId="2405E8CF"/>
  <w16cid:commentId w16cid:paraId="0818C29F" w16cid:durableId="240D7F5E"/>
  <w16cid:commentId w16cid:paraId="7CE36FE8" w16cid:durableId="23FDBA1D"/>
  <w16cid:commentId w16cid:paraId="29845424" w16cid:durableId="240D7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10EB" w14:textId="77777777" w:rsidR="00B91789" w:rsidRDefault="00B91789" w:rsidP="00C40A36">
      <w:pPr>
        <w:spacing w:after="0"/>
      </w:pPr>
      <w:r>
        <w:separator/>
      </w:r>
    </w:p>
  </w:endnote>
  <w:endnote w:type="continuationSeparator" w:id="0">
    <w:p w14:paraId="637805D2" w14:textId="77777777" w:rsidR="00B91789" w:rsidRDefault="00B9178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E119" w14:textId="77777777" w:rsidR="00B91789" w:rsidRDefault="00B91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91789" w:rsidRPr="00487162" w14:paraId="7E09E3D2" w14:textId="77777777" w:rsidTr="00DB750B">
      <w:trPr>
        <w:trHeight w:val="269"/>
      </w:trPr>
      <w:tc>
        <w:tcPr>
          <w:tcW w:w="7371" w:type="dxa"/>
          <w:tcMar>
            <w:top w:w="142" w:type="dxa"/>
            <w:bottom w:w="0" w:type="dxa"/>
          </w:tcMar>
        </w:tcPr>
        <w:p w14:paraId="451B66C5" w14:textId="790E1309" w:rsidR="00B91789" w:rsidRPr="00487162" w:rsidRDefault="00B91789" w:rsidP="00487D47">
          <w:pPr>
            <w:pStyle w:val="Footer"/>
          </w:pPr>
          <w:r w:rsidRPr="00487162">
            <w:t>AusPA</w:t>
          </w:r>
          <w:r>
            <w:t xml:space="preserve">R – </w:t>
          </w:r>
          <w:r w:rsidRPr="00FB4A94">
            <w:t>R</w:t>
          </w:r>
          <w:r>
            <w:t>uxience</w:t>
          </w:r>
          <w:r w:rsidRPr="00FB4A94">
            <w:t xml:space="preserve"> - rituximab - Pfizer Australia Pty Ltd - PM-2020-00593-1-6</w:t>
          </w:r>
          <w:r>
            <w:br/>
            <w:t>FINAL 12 April 2021</w:t>
          </w:r>
        </w:p>
      </w:tc>
      <w:tc>
        <w:tcPr>
          <w:tcW w:w="1490" w:type="dxa"/>
          <w:tcMar>
            <w:top w:w="142" w:type="dxa"/>
            <w:bottom w:w="0" w:type="dxa"/>
          </w:tcMar>
        </w:tcPr>
        <w:p w14:paraId="3933B6F7" w14:textId="02AE0D95" w:rsidR="00B91789" w:rsidRPr="00487162" w:rsidRDefault="00B91789" w:rsidP="00DB750B">
          <w:pPr>
            <w:pStyle w:val="Footer"/>
            <w:jc w:val="right"/>
          </w:pPr>
          <w:r w:rsidRPr="00487162">
            <w:t xml:space="preserve">Page </w:t>
          </w:r>
          <w:r>
            <w:fldChar w:fldCharType="begin"/>
          </w:r>
          <w:r>
            <w:instrText xml:space="preserve"> PAGE  \* Arabic </w:instrText>
          </w:r>
          <w:r>
            <w:fldChar w:fldCharType="separate"/>
          </w:r>
          <w:r w:rsidR="00CE60C5">
            <w:rPr>
              <w:noProof/>
            </w:rPr>
            <w:t>2</w:t>
          </w:r>
          <w:r>
            <w:fldChar w:fldCharType="end"/>
          </w:r>
          <w:r w:rsidRPr="00487162">
            <w:t xml:space="preserve"> of </w:t>
          </w:r>
          <w:r>
            <w:fldChar w:fldCharType="begin"/>
          </w:r>
          <w:r>
            <w:instrText>NUMPAGES  \* Arabic</w:instrText>
          </w:r>
          <w:r>
            <w:fldChar w:fldCharType="separate"/>
          </w:r>
          <w:r w:rsidR="00CE60C5">
            <w:rPr>
              <w:noProof/>
            </w:rPr>
            <w:t>28</w:t>
          </w:r>
          <w:r>
            <w:fldChar w:fldCharType="end"/>
          </w:r>
        </w:p>
      </w:tc>
    </w:tr>
  </w:tbl>
  <w:p w14:paraId="2DBF0D7D" w14:textId="77777777" w:rsidR="00B91789" w:rsidRDefault="00B91789"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9A59" w14:textId="77777777" w:rsidR="00B91789" w:rsidRDefault="00B917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91789" w:rsidRPr="00487162" w14:paraId="1C532154" w14:textId="77777777" w:rsidTr="00E45619">
      <w:trPr>
        <w:trHeight w:val="269"/>
      </w:trPr>
      <w:tc>
        <w:tcPr>
          <w:tcW w:w="4519" w:type="dxa"/>
          <w:tcBorders>
            <w:top w:val="single" w:sz="4" w:space="0" w:color="auto"/>
          </w:tcBorders>
          <w:tcMar>
            <w:top w:w="142" w:type="dxa"/>
            <w:bottom w:w="0" w:type="dxa"/>
          </w:tcMar>
        </w:tcPr>
        <w:p w14:paraId="601E602E" w14:textId="77777777" w:rsidR="00B91789" w:rsidRPr="00487162" w:rsidRDefault="00B91789" w:rsidP="00FE1DEE">
          <w:pPr>
            <w:pStyle w:val="Footer"/>
          </w:pPr>
          <w:r w:rsidRPr="00487162">
            <w:t>Document title, Part #, Section # - Section title</w:t>
          </w:r>
        </w:p>
        <w:p w14:paraId="1AD593FD" w14:textId="77777777" w:rsidR="00B91789" w:rsidRPr="00487162" w:rsidRDefault="00B91789" w:rsidP="00FE1DEE">
          <w:pPr>
            <w:pStyle w:val="Footer"/>
          </w:pPr>
          <w:r w:rsidRPr="00487162">
            <w:t>V1.0 October 2010</w:t>
          </w:r>
        </w:p>
      </w:tc>
      <w:tc>
        <w:tcPr>
          <w:tcW w:w="4342" w:type="dxa"/>
          <w:tcBorders>
            <w:top w:val="single" w:sz="4" w:space="0" w:color="auto"/>
          </w:tcBorders>
          <w:tcMar>
            <w:top w:w="142" w:type="dxa"/>
            <w:bottom w:w="0" w:type="dxa"/>
          </w:tcMar>
        </w:tcPr>
        <w:p w14:paraId="79ECB04A" w14:textId="77777777" w:rsidR="00B91789" w:rsidRPr="00487162" w:rsidRDefault="00B9178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w:t>
          </w:r>
          <w:r>
            <w:fldChar w:fldCharType="end"/>
          </w:r>
        </w:p>
      </w:tc>
    </w:tr>
  </w:tbl>
  <w:p w14:paraId="144A5D23" w14:textId="77777777" w:rsidR="00B91789" w:rsidRDefault="00B917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77777777" w:rsidR="00B91789" w:rsidRPr="001C32CD" w:rsidRDefault="00B91789"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91789" w14:paraId="506C0E8E" w14:textId="77777777" w:rsidTr="0010601F">
      <w:trPr>
        <w:trHeight w:val="108"/>
      </w:trPr>
      <w:tc>
        <w:tcPr>
          <w:tcW w:w="8875" w:type="dxa"/>
          <w:gridSpan w:val="2"/>
          <w:tcBorders>
            <w:bottom w:val="single" w:sz="4" w:space="0" w:color="auto"/>
          </w:tcBorders>
          <w:tcMar>
            <w:right w:w="284" w:type="dxa"/>
          </w:tcMar>
        </w:tcPr>
        <w:p w14:paraId="3491DD18" w14:textId="77777777" w:rsidR="00B91789" w:rsidRDefault="00B91789" w:rsidP="006E08B3">
          <w:pPr>
            <w:pStyle w:val="Heading3"/>
          </w:pPr>
          <w:r>
            <w:t>Copyright</w:t>
          </w:r>
        </w:p>
        <w:p w14:paraId="514A83DD" w14:textId="77777777" w:rsidR="00B91789" w:rsidRDefault="00B91789" w:rsidP="006E08B3">
          <w:r>
            <w:rPr>
              <w:rFonts w:cs="Arial"/>
            </w:rPr>
            <w:t>©</w:t>
          </w:r>
          <w:r>
            <w:t xml:space="preserve"> Commonwealth of Australia [add year]</w:t>
          </w:r>
        </w:p>
        <w:p w14:paraId="3B7B4B86" w14:textId="77777777" w:rsidR="00B91789" w:rsidRDefault="00B91789" w:rsidP="006E08B3"/>
        <w:p w14:paraId="20C1A46D" w14:textId="77777777" w:rsidR="00B91789" w:rsidRDefault="00B9178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A0FF5F2" w14:textId="77777777" w:rsidR="00B91789" w:rsidRDefault="00B91789" w:rsidP="006E08B3"/>
        <w:p w14:paraId="0928E0A4" w14:textId="77777777" w:rsidR="00B91789" w:rsidRDefault="00B91789" w:rsidP="006E08B3">
          <w:pPr>
            <w:pStyle w:val="Heading3"/>
          </w:pPr>
          <w:r>
            <w:t>Confidentiality</w:t>
          </w:r>
        </w:p>
        <w:p w14:paraId="70F7E26E" w14:textId="77777777" w:rsidR="00B91789" w:rsidRDefault="00B9178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630AD66" w14:textId="77777777" w:rsidR="00B91789" w:rsidRDefault="00B91789" w:rsidP="006E08B3"/>
        <w:p w14:paraId="775C1E5C" w14:textId="77777777" w:rsidR="00B91789" w:rsidRDefault="00B91789" w:rsidP="006E08B3">
          <w:r>
            <w:t>For submission made by individuals, all personal details, other than your name, will be removed from your submission before it is published on the TGA’s Internet site.</w:t>
          </w:r>
        </w:p>
        <w:p w14:paraId="61829076" w14:textId="77777777" w:rsidR="00B91789" w:rsidRDefault="00B91789" w:rsidP="006E08B3"/>
        <w:p w14:paraId="118A572B" w14:textId="77777777" w:rsidR="00B91789" w:rsidRDefault="00B91789" w:rsidP="006E08B3">
          <w:r>
            <w:t>In addition, a list of parties making submissions will be published. If you do not wish to be identified with your submission you must specifically request this in the space provided ib the submission coversheet.</w:t>
          </w:r>
        </w:p>
      </w:tc>
    </w:tr>
    <w:tr w:rsidR="00B91789" w14:paraId="06C03B1E" w14:textId="77777777" w:rsidTr="0010601F">
      <w:trPr>
        <w:trHeight w:val="417"/>
      </w:trPr>
      <w:tc>
        <w:tcPr>
          <w:tcW w:w="4519" w:type="dxa"/>
          <w:tcBorders>
            <w:top w:val="single" w:sz="4" w:space="0" w:color="auto"/>
          </w:tcBorders>
          <w:tcMar>
            <w:top w:w="142" w:type="dxa"/>
            <w:bottom w:w="0" w:type="dxa"/>
          </w:tcMar>
        </w:tcPr>
        <w:p w14:paraId="12BD3151" w14:textId="77777777" w:rsidR="00B91789" w:rsidRDefault="00B91789" w:rsidP="006E08B3">
          <w:r>
            <w:t>Document title, Part #, Section # - Section title</w:t>
          </w:r>
        </w:p>
        <w:p w14:paraId="0BB378AE" w14:textId="77777777" w:rsidR="00B91789" w:rsidRDefault="00B91789" w:rsidP="006E08B3">
          <w:r>
            <w:t>V1.0 October 2010</w:t>
          </w:r>
        </w:p>
      </w:tc>
      <w:tc>
        <w:tcPr>
          <w:tcW w:w="4356" w:type="dxa"/>
          <w:tcBorders>
            <w:top w:val="single" w:sz="4" w:space="0" w:color="auto"/>
          </w:tcBorders>
          <w:tcMar>
            <w:top w:w="142" w:type="dxa"/>
            <w:bottom w:w="0" w:type="dxa"/>
          </w:tcMar>
        </w:tcPr>
        <w:p w14:paraId="0B7832A7" w14:textId="77777777" w:rsidR="00B91789" w:rsidRDefault="00B9178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w:t>
          </w:r>
          <w:r>
            <w:fldChar w:fldCharType="end"/>
          </w:r>
          <w:r>
            <w:t xml:space="preserve">  </w:t>
          </w:r>
        </w:p>
      </w:tc>
    </w:tr>
  </w:tbl>
  <w:p w14:paraId="2BA226A1" w14:textId="77777777" w:rsidR="00B91789" w:rsidRDefault="00B917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B5B7" w14:textId="77777777" w:rsidR="00B91789" w:rsidRDefault="00B91789" w:rsidP="00C40A36">
      <w:pPr>
        <w:spacing w:after="0"/>
      </w:pPr>
      <w:r>
        <w:separator/>
      </w:r>
    </w:p>
  </w:footnote>
  <w:footnote w:type="continuationSeparator" w:id="0">
    <w:p w14:paraId="66204FF1" w14:textId="77777777" w:rsidR="00B91789" w:rsidRDefault="00B91789" w:rsidP="00C40A36">
      <w:pPr>
        <w:spacing w:after="0"/>
      </w:pPr>
      <w:r>
        <w:continuationSeparator/>
      </w:r>
    </w:p>
  </w:footnote>
  <w:footnote w:id="1">
    <w:p w14:paraId="106B5935" w14:textId="77777777" w:rsidR="00B91789" w:rsidRDefault="00B91789">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3151D1DE" w14:textId="77777777" w:rsidR="00B91789" w:rsidRDefault="00B91789" w:rsidP="00643740">
      <w:pPr>
        <w:pStyle w:val="FootnoteText"/>
      </w:pPr>
      <w:r>
        <w:rPr>
          <w:rStyle w:val="FootnoteReference"/>
        </w:rPr>
        <w:footnoteRef/>
      </w:r>
      <w:r>
        <w:t xml:space="preserve"> </w:t>
      </w:r>
      <w:r w:rsidRPr="00643740">
        <w:t xml:space="preserve">The </w:t>
      </w:r>
      <w:r w:rsidRPr="00483F80">
        <w:rPr>
          <w:b/>
        </w:rPr>
        <w:t>Ann Arbor staging system</w:t>
      </w:r>
      <w:r w:rsidRPr="00643740">
        <w:t xml:space="preserve"> </w:t>
      </w:r>
      <w:r>
        <w:t>is a</w:t>
      </w:r>
      <w:r w:rsidRPr="00643740">
        <w:t xml:space="preserve"> lymphoma staging classification system for both Hodgkin lymphoma and non-Hodgkin lymphoma</w:t>
      </w:r>
      <w:r>
        <w:t>. Stage III: involvement of lymph node regions or structures on both sides of the diaphragm. Stage IV: diffuse or disseminated involvement of one or more extralymphatic organs, or either: isolated extralymphatic organ involvement without adjacent regional lymph node involvement, but with disease in distant sites involvement of the liver, bone marrow, pleura or cerebrospinal fluid.</w:t>
      </w:r>
    </w:p>
  </w:footnote>
  <w:footnote w:id="3">
    <w:p w14:paraId="46144F13" w14:textId="77777777" w:rsidR="00B91789" w:rsidRDefault="00B91789">
      <w:pPr>
        <w:pStyle w:val="FootnoteText"/>
      </w:pPr>
      <w:r>
        <w:rPr>
          <w:rStyle w:val="FootnoteReference"/>
        </w:rPr>
        <w:footnoteRef/>
      </w:r>
      <w:r>
        <w:t xml:space="preserve"> </w:t>
      </w:r>
      <w:r w:rsidRPr="00643740">
        <w:t>Marcus R</w:t>
      </w:r>
      <w:r>
        <w:t xml:space="preserve"> et al</w:t>
      </w:r>
      <w:r w:rsidRPr="00643740">
        <w:t xml:space="preserve">. Phase III study of R-CVP compared with cyclophosphamide, vincristine, and prednisone alone in patients with previously untreated advanced follicular lymphoma. </w:t>
      </w:r>
      <w:r w:rsidRPr="00643740">
        <w:rPr>
          <w:i/>
        </w:rPr>
        <w:t>J Clin Oncol</w:t>
      </w:r>
      <w:r w:rsidRPr="00643740">
        <w:t>. 2008 Oct 1;2</w:t>
      </w:r>
      <w:r>
        <w:t>6(28):4579-86.</w:t>
      </w:r>
    </w:p>
  </w:footnote>
  <w:footnote w:id="4">
    <w:p w14:paraId="70F2253A" w14:textId="39788B1D" w:rsidR="00B91789" w:rsidRDefault="00B91789">
      <w:pPr>
        <w:pStyle w:val="FootnoteText"/>
      </w:pPr>
      <w:r>
        <w:rPr>
          <w:rStyle w:val="FootnoteReference"/>
        </w:rPr>
        <w:footnoteRef/>
      </w:r>
      <w:r>
        <w:t xml:space="preserve"> </w:t>
      </w:r>
      <w:r w:rsidRPr="00483F80">
        <w:rPr>
          <w:b/>
        </w:rPr>
        <w:t>Coombs test</w:t>
      </w:r>
      <w:r w:rsidRPr="00643740">
        <w:t xml:space="preserve">, also known as </w:t>
      </w:r>
      <w:r>
        <w:t xml:space="preserve">an </w:t>
      </w:r>
      <w:r w:rsidRPr="00643740">
        <w:t>antiglobulin tes</w:t>
      </w:r>
      <w:r>
        <w:t xml:space="preserve">t, is an </w:t>
      </w:r>
      <w:r w:rsidRPr="00643740">
        <w:t>immunology laboratory procedure used to detect the presence of antibodies against ci</w:t>
      </w:r>
      <w:r>
        <w:t>rculating red blood cells</w:t>
      </w:r>
      <w:r w:rsidRPr="00643740">
        <w:t xml:space="preserve"> in the body, which then induce h</w:t>
      </w:r>
      <w:r>
        <w:t>a</w:t>
      </w:r>
      <w:r w:rsidRPr="00643740">
        <w:t>emolysis</w:t>
      </w:r>
      <w:r>
        <w:t>.</w:t>
      </w:r>
    </w:p>
  </w:footnote>
  <w:footnote w:id="5">
    <w:p w14:paraId="40E02163" w14:textId="5DCE5C90" w:rsidR="00B91789" w:rsidRDefault="00B91789">
      <w:pPr>
        <w:pStyle w:val="FootnoteText"/>
      </w:pPr>
      <w:r>
        <w:rPr>
          <w:rStyle w:val="FootnoteReference"/>
        </w:rPr>
        <w:footnoteRef/>
      </w:r>
      <w:r>
        <w:t xml:space="preserve"> </w:t>
      </w:r>
      <w:r w:rsidRPr="0043311E">
        <w:rPr>
          <w:lang w:val="en-GB"/>
        </w:rPr>
        <w:t>PF-05280586</w:t>
      </w:r>
      <w:r>
        <w:rPr>
          <w:lang w:val="en-GB"/>
        </w:rPr>
        <w:t xml:space="preserve"> is the d</w:t>
      </w:r>
      <w:r>
        <w:t>rug development code used by the sponsor for Ruxience (rituximab).</w:t>
      </w:r>
    </w:p>
  </w:footnote>
  <w:footnote w:id="6">
    <w:p w14:paraId="7D13C202" w14:textId="7449B1BF" w:rsidR="00B91789" w:rsidRDefault="00B91789" w:rsidP="00AF43E5">
      <w:pPr>
        <w:pStyle w:val="FootnoteText"/>
      </w:pPr>
      <w:r>
        <w:rPr>
          <w:rStyle w:val="FootnoteReference"/>
        </w:rPr>
        <w:footnoteRef/>
      </w:r>
      <w:r>
        <w:t xml:space="preserve"> </w:t>
      </w:r>
      <w:r w:rsidRPr="00483F80">
        <w:rPr>
          <w:b/>
        </w:rPr>
        <w:t>The Follicular Lymphoma International Prognostic Index 2</w:t>
      </w:r>
      <w:r w:rsidRPr="00AF43E5">
        <w:t xml:space="preserve"> is a simple prognostic index based on available clinical data and represent a promising new tool for the identification of patients with FL at different risk in the era of immunochemotherapy. </w:t>
      </w:r>
      <w:r>
        <w:t xml:space="preserve">Stage I: disease is located in a single region, usually one lymph node and the surrounding area. Stage II: disease is located in two separate regions, an affected lymph node or organ and a second affected area. Both affected areas are confined to one side of the diaphragm. </w:t>
      </w:r>
    </w:p>
    <w:p w14:paraId="005C01AF" w14:textId="77777777" w:rsidR="00B91789" w:rsidRDefault="00B91789" w:rsidP="00AF43E5">
      <w:pPr>
        <w:pStyle w:val="FootnoteText"/>
      </w:pPr>
      <w:r>
        <w:t>Stage III: disease involves both sides of the diaphragm, including one organ or area near the lymph nodes or the spleen. Stage IV: diffuse or disseminated involvement of one or more extranodal organs, with or without associated lymph node involvement</w:t>
      </w:r>
    </w:p>
  </w:footnote>
  <w:footnote w:id="7">
    <w:p w14:paraId="41009A14" w14:textId="77777777" w:rsidR="00B91789" w:rsidRDefault="00B91789"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7F2FA512" w14:textId="77777777" w:rsidR="00B91789" w:rsidRDefault="00B91789" w:rsidP="007D53B6">
      <w:pPr>
        <w:pStyle w:val="FootnoteText"/>
      </w:pPr>
      <w:r w:rsidRPr="007D53B6">
        <w:rPr>
          <w:i/>
        </w:rPr>
        <w:t>Routine pharmacovigilance</w:t>
      </w:r>
      <w:r>
        <w:t xml:space="preserve"> practices involve the following activities:</w:t>
      </w:r>
    </w:p>
    <w:p w14:paraId="1CE4FD37" w14:textId="77777777" w:rsidR="00B91789" w:rsidRDefault="00B91789" w:rsidP="007D53B6">
      <w:pPr>
        <w:pStyle w:val="FootnoteText"/>
        <w:numPr>
          <w:ilvl w:val="0"/>
          <w:numId w:val="32"/>
        </w:numPr>
        <w:ind w:left="284" w:hanging="284"/>
      </w:pPr>
      <w:r>
        <w:t>All suspected adverse reactions that are reported to the personnel of the company are collected and collated in an accessible manner;</w:t>
      </w:r>
    </w:p>
    <w:p w14:paraId="4DCDEF1D" w14:textId="77777777" w:rsidR="00B91789" w:rsidRDefault="00B91789" w:rsidP="007D53B6">
      <w:pPr>
        <w:pStyle w:val="FootnoteText"/>
        <w:numPr>
          <w:ilvl w:val="0"/>
          <w:numId w:val="32"/>
        </w:numPr>
        <w:ind w:left="284" w:hanging="284"/>
      </w:pPr>
      <w:r>
        <w:t>Reporting to regulatory authorities;</w:t>
      </w:r>
    </w:p>
    <w:p w14:paraId="57D84A1A" w14:textId="77777777" w:rsidR="00B91789" w:rsidRDefault="00B91789" w:rsidP="007D53B6">
      <w:pPr>
        <w:pStyle w:val="FootnoteText"/>
        <w:numPr>
          <w:ilvl w:val="0"/>
          <w:numId w:val="32"/>
        </w:numPr>
        <w:ind w:left="284" w:hanging="284"/>
      </w:pPr>
      <w:r>
        <w:t>Continuous monitoring of the safety profiles of approved products including signal detection and updating of labelling;</w:t>
      </w:r>
    </w:p>
    <w:p w14:paraId="0BBC6993" w14:textId="77777777" w:rsidR="00B91789" w:rsidRDefault="00B91789" w:rsidP="007D53B6">
      <w:pPr>
        <w:pStyle w:val="FootnoteText"/>
        <w:numPr>
          <w:ilvl w:val="0"/>
          <w:numId w:val="32"/>
        </w:numPr>
        <w:ind w:left="284" w:hanging="284"/>
      </w:pPr>
      <w:r>
        <w:t>Submission of PSURs;</w:t>
      </w:r>
    </w:p>
    <w:p w14:paraId="1B50192D" w14:textId="77777777" w:rsidR="00B91789" w:rsidRDefault="00B91789" w:rsidP="007D53B6">
      <w:pPr>
        <w:pStyle w:val="FootnoteText"/>
        <w:numPr>
          <w:ilvl w:val="0"/>
          <w:numId w:val="32"/>
        </w:numPr>
        <w:ind w:left="284" w:hanging="284"/>
      </w:pPr>
      <w:r>
        <w:t>Meeting other local regulatory agency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7FC97" w14:textId="77777777" w:rsidR="00B91789" w:rsidRDefault="00B91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7E0A" w14:textId="77777777" w:rsidR="00B91789" w:rsidRDefault="00B91789"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7EB5" w14:textId="77777777" w:rsidR="00B91789" w:rsidRDefault="00B91789">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63F29E8" w14:textId="77777777" w:rsidR="00B91789" w:rsidRDefault="00B91789"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C34E" w14:textId="77777777" w:rsidR="00B91789" w:rsidRDefault="00B917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43DD" w14:textId="77777777" w:rsidR="00B91789" w:rsidRDefault="00B91789">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8EB7" w14:textId="77777777" w:rsidR="00B91789" w:rsidRDefault="00B91789">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93B2" w14:textId="77777777" w:rsidR="00B91789" w:rsidRDefault="00B917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77777777" w:rsidR="00B91789" w:rsidRDefault="00B91789"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1F7" w14:textId="77777777" w:rsidR="00B91789" w:rsidRDefault="00B91789" w:rsidP="006E08B3">
    <w:r>
      <w:t>Therapeutic Goods Administration</w:t>
    </w:r>
  </w:p>
  <w:p w14:paraId="6B62F1B3" w14:textId="77777777" w:rsidR="00B91789" w:rsidRDefault="00B91789"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B74C8FF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3F5570"/>
    <w:multiLevelType w:val="hybridMultilevel"/>
    <w:tmpl w:val="ECE0C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50A5974"/>
    <w:multiLevelType w:val="hybridMultilevel"/>
    <w:tmpl w:val="6382C6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3"/>
  </w:num>
  <w:num w:numId="29">
    <w:abstractNumId w:val="6"/>
  </w:num>
  <w:num w:numId="30">
    <w:abstractNumId w:val="8"/>
  </w:num>
  <w:num w:numId="31">
    <w:abstractNumId w:val="4"/>
  </w:num>
  <w:num w:numId="32">
    <w:abstractNumId w:val="11"/>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C0"/>
    <w:rsid w:val="00002031"/>
    <w:rsid w:val="00003D98"/>
    <w:rsid w:val="00004734"/>
    <w:rsid w:val="00006B22"/>
    <w:rsid w:val="00006FAB"/>
    <w:rsid w:val="0001276A"/>
    <w:rsid w:val="000246AE"/>
    <w:rsid w:val="00025C67"/>
    <w:rsid w:val="00042FD8"/>
    <w:rsid w:val="00044772"/>
    <w:rsid w:val="0004541C"/>
    <w:rsid w:val="00045FBE"/>
    <w:rsid w:val="0005532F"/>
    <w:rsid w:val="0005559E"/>
    <w:rsid w:val="000604D6"/>
    <w:rsid w:val="00062563"/>
    <w:rsid w:val="000734D8"/>
    <w:rsid w:val="00073575"/>
    <w:rsid w:val="00077775"/>
    <w:rsid w:val="00090471"/>
    <w:rsid w:val="00096A7E"/>
    <w:rsid w:val="00096AA7"/>
    <w:rsid w:val="000A3AED"/>
    <w:rsid w:val="000B225B"/>
    <w:rsid w:val="000B3532"/>
    <w:rsid w:val="000B3A75"/>
    <w:rsid w:val="000C00C2"/>
    <w:rsid w:val="000C690F"/>
    <w:rsid w:val="000D1295"/>
    <w:rsid w:val="000D223C"/>
    <w:rsid w:val="000D391B"/>
    <w:rsid w:val="000D3D6D"/>
    <w:rsid w:val="000D4FC7"/>
    <w:rsid w:val="000E6196"/>
    <w:rsid w:val="000F4869"/>
    <w:rsid w:val="000F5B42"/>
    <w:rsid w:val="000F6523"/>
    <w:rsid w:val="000F6E6F"/>
    <w:rsid w:val="0010601F"/>
    <w:rsid w:val="0010788A"/>
    <w:rsid w:val="00107A31"/>
    <w:rsid w:val="00110EA5"/>
    <w:rsid w:val="00112F56"/>
    <w:rsid w:val="00122C2E"/>
    <w:rsid w:val="00124ACD"/>
    <w:rsid w:val="00125318"/>
    <w:rsid w:val="001305A2"/>
    <w:rsid w:val="00133238"/>
    <w:rsid w:val="00133A1B"/>
    <w:rsid w:val="00134079"/>
    <w:rsid w:val="0014197B"/>
    <w:rsid w:val="00143095"/>
    <w:rsid w:val="001447CD"/>
    <w:rsid w:val="001516B1"/>
    <w:rsid w:val="00154EBB"/>
    <w:rsid w:val="00156316"/>
    <w:rsid w:val="00161181"/>
    <w:rsid w:val="00162D14"/>
    <w:rsid w:val="00163780"/>
    <w:rsid w:val="00165389"/>
    <w:rsid w:val="0017693F"/>
    <w:rsid w:val="0018110E"/>
    <w:rsid w:val="00181684"/>
    <w:rsid w:val="001843C6"/>
    <w:rsid w:val="001850E0"/>
    <w:rsid w:val="00190590"/>
    <w:rsid w:val="001A03AF"/>
    <w:rsid w:val="001A2158"/>
    <w:rsid w:val="001A525F"/>
    <w:rsid w:val="001B09F9"/>
    <w:rsid w:val="001B5C90"/>
    <w:rsid w:val="001B6448"/>
    <w:rsid w:val="001C2C11"/>
    <w:rsid w:val="001C32CD"/>
    <w:rsid w:val="001D2984"/>
    <w:rsid w:val="001E07CF"/>
    <w:rsid w:val="001E0A91"/>
    <w:rsid w:val="001E59F1"/>
    <w:rsid w:val="001E75B3"/>
    <w:rsid w:val="001E761C"/>
    <w:rsid w:val="001F2CEE"/>
    <w:rsid w:val="001F49EB"/>
    <w:rsid w:val="001F6CBA"/>
    <w:rsid w:val="00201D4E"/>
    <w:rsid w:val="002076C9"/>
    <w:rsid w:val="00220B8A"/>
    <w:rsid w:val="002257F3"/>
    <w:rsid w:val="00233456"/>
    <w:rsid w:val="002339A5"/>
    <w:rsid w:val="00243148"/>
    <w:rsid w:val="00246B1B"/>
    <w:rsid w:val="00250271"/>
    <w:rsid w:val="00257848"/>
    <w:rsid w:val="002578E8"/>
    <w:rsid w:val="0027084A"/>
    <w:rsid w:val="00280265"/>
    <w:rsid w:val="00286434"/>
    <w:rsid w:val="00286C59"/>
    <w:rsid w:val="00291957"/>
    <w:rsid w:val="00293005"/>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4B28"/>
    <w:rsid w:val="00324E45"/>
    <w:rsid w:val="0032583B"/>
    <w:rsid w:val="00327883"/>
    <w:rsid w:val="0033401D"/>
    <w:rsid w:val="003353D6"/>
    <w:rsid w:val="00335504"/>
    <w:rsid w:val="00340C18"/>
    <w:rsid w:val="003442FD"/>
    <w:rsid w:val="00347824"/>
    <w:rsid w:val="00350567"/>
    <w:rsid w:val="003521E8"/>
    <w:rsid w:val="00370CE3"/>
    <w:rsid w:val="003728F3"/>
    <w:rsid w:val="003735BC"/>
    <w:rsid w:val="00373C5D"/>
    <w:rsid w:val="0037496E"/>
    <w:rsid w:val="00383221"/>
    <w:rsid w:val="00386150"/>
    <w:rsid w:val="003874CE"/>
    <w:rsid w:val="00390900"/>
    <w:rsid w:val="00394F48"/>
    <w:rsid w:val="003A46CD"/>
    <w:rsid w:val="003A5457"/>
    <w:rsid w:val="003A7F6C"/>
    <w:rsid w:val="003B0C97"/>
    <w:rsid w:val="003B278F"/>
    <w:rsid w:val="003B4D60"/>
    <w:rsid w:val="003B7E39"/>
    <w:rsid w:val="003C58DC"/>
    <w:rsid w:val="003D1E62"/>
    <w:rsid w:val="003D3A72"/>
    <w:rsid w:val="003E0B99"/>
    <w:rsid w:val="003E2486"/>
    <w:rsid w:val="003E3208"/>
    <w:rsid w:val="003F0B04"/>
    <w:rsid w:val="003F3622"/>
    <w:rsid w:val="0040134E"/>
    <w:rsid w:val="00423CF5"/>
    <w:rsid w:val="004334C7"/>
    <w:rsid w:val="00440A2D"/>
    <w:rsid w:val="00441C3F"/>
    <w:rsid w:val="00444D1A"/>
    <w:rsid w:val="004468F9"/>
    <w:rsid w:val="0045186A"/>
    <w:rsid w:val="004564A7"/>
    <w:rsid w:val="00456765"/>
    <w:rsid w:val="00460036"/>
    <w:rsid w:val="004617BF"/>
    <w:rsid w:val="00463658"/>
    <w:rsid w:val="004637A0"/>
    <w:rsid w:val="004722CC"/>
    <w:rsid w:val="00483C33"/>
    <w:rsid w:val="00483F80"/>
    <w:rsid w:val="004860DD"/>
    <w:rsid w:val="00487D47"/>
    <w:rsid w:val="00490483"/>
    <w:rsid w:val="004936E4"/>
    <w:rsid w:val="00494E60"/>
    <w:rsid w:val="00497487"/>
    <w:rsid w:val="004A2771"/>
    <w:rsid w:val="004A6189"/>
    <w:rsid w:val="004A7390"/>
    <w:rsid w:val="004B2E8B"/>
    <w:rsid w:val="004B7B76"/>
    <w:rsid w:val="004C239D"/>
    <w:rsid w:val="004C2DCA"/>
    <w:rsid w:val="004C4FBE"/>
    <w:rsid w:val="004C61D2"/>
    <w:rsid w:val="004D4E5F"/>
    <w:rsid w:val="004E1FAE"/>
    <w:rsid w:val="004F0C4A"/>
    <w:rsid w:val="004F0F38"/>
    <w:rsid w:val="004F186D"/>
    <w:rsid w:val="004F47D6"/>
    <w:rsid w:val="004F7835"/>
    <w:rsid w:val="00500337"/>
    <w:rsid w:val="00501921"/>
    <w:rsid w:val="0052716C"/>
    <w:rsid w:val="00530354"/>
    <w:rsid w:val="0053625B"/>
    <w:rsid w:val="005434C6"/>
    <w:rsid w:val="00543B39"/>
    <w:rsid w:val="00546154"/>
    <w:rsid w:val="00550096"/>
    <w:rsid w:val="00555280"/>
    <w:rsid w:val="00557FF9"/>
    <w:rsid w:val="00562327"/>
    <w:rsid w:val="005711D5"/>
    <w:rsid w:val="0057261A"/>
    <w:rsid w:val="00576378"/>
    <w:rsid w:val="00577130"/>
    <w:rsid w:val="00577945"/>
    <w:rsid w:val="00577E38"/>
    <w:rsid w:val="00585322"/>
    <w:rsid w:val="005857C6"/>
    <w:rsid w:val="00592F6E"/>
    <w:rsid w:val="00593AD1"/>
    <w:rsid w:val="00595296"/>
    <w:rsid w:val="005A68B6"/>
    <w:rsid w:val="005B2C63"/>
    <w:rsid w:val="005C5570"/>
    <w:rsid w:val="005C5B66"/>
    <w:rsid w:val="005C79A4"/>
    <w:rsid w:val="005D5442"/>
    <w:rsid w:val="005D7C4B"/>
    <w:rsid w:val="00603F32"/>
    <w:rsid w:val="00605AD4"/>
    <w:rsid w:val="00612432"/>
    <w:rsid w:val="006136D7"/>
    <w:rsid w:val="0062451D"/>
    <w:rsid w:val="00625A6E"/>
    <w:rsid w:val="00631EDF"/>
    <w:rsid w:val="00632398"/>
    <w:rsid w:val="0063366A"/>
    <w:rsid w:val="00640FC3"/>
    <w:rsid w:val="00642020"/>
    <w:rsid w:val="006430EE"/>
    <w:rsid w:val="00643740"/>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E4413"/>
    <w:rsid w:val="006F17AC"/>
    <w:rsid w:val="006F25B8"/>
    <w:rsid w:val="006F572E"/>
    <w:rsid w:val="00700897"/>
    <w:rsid w:val="007046D6"/>
    <w:rsid w:val="00705DB0"/>
    <w:rsid w:val="00722B57"/>
    <w:rsid w:val="00730F8A"/>
    <w:rsid w:val="00735A8C"/>
    <w:rsid w:val="0074253D"/>
    <w:rsid w:val="00743FE7"/>
    <w:rsid w:val="00744121"/>
    <w:rsid w:val="0074429B"/>
    <w:rsid w:val="00745EF2"/>
    <w:rsid w:val="00757FE3"/>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7D53B6"/>
    <w:rsid w:val="00805D27"/>
    <w:rsid w:val="00806DCB"/>
    <w:rsid w:val="00816B57"/>
    <w:rsid w:val="00821776"/>
    <w:rsid w:val="008321F5"/>
    <w:rsid w:val="00832369"/>
    <w:rsid w:val="00834660"/>
    <w:rsid w:val="00836BC2"/>
    <w:rsid w:val="008510C7"/>
    <w:rsid w:val="0085156D"/>
    <w:rsid w:val="00852B28"/>
    <w:rsid w:val="00854CD9"/>
    <w:rsid w:val="0085641B"/>
    <w:rsid w:val="00857136"/>
    <w:rsid w:val="00871EC0"/>
    <w:rsid w:val="008749C3"/>
    <w:rsid w:val="00875A6B"/>
    <w:rsid w:val="00885B11"/>
    <w:rsid w:val="00886D15"/>
    <w:rsid w:val="00887DD8"/>
    <w:rsid w:val="0089175D"/>
    <w:rsid w:val="00891BA9"/>
    <w:rsid w:val="00896018"/>
    <w:rsid w:val="008960DD"/>
    <w:rsid w:val="0089635C"/>
    <w:rsid w:val="008A2B9D"/>
    <w:rsid w:val="008A3D9F"/>
    <w:rsid w:val="008A5E0B"/>
    <w:rsid w:val="008A6D59"/>
    <w:rsid w:val="008A7597"/>
    <w:rsid w:val="008B4B03"/>
    <w:rsid w:val="008B596F"/>
    <w:rsid w:val="008C159F"/>
    <w:rsid w:val="008C1623"/>
    <w:rsid w:val="008C1850"/>
    <w:rsid w:val="008C25F3"/>
    <w:rsid w:val="008C51A9"/>
    <w:rsid w:val="008D0C98"/>
    <w:rsid w:val="008E3831"/>
    <w:rsid w:val="008E7846"/>
    <w:rsid w:val="008F02E5"/>
    <w:rsid w:val="008F1CCC"/>
    <w:rsid w:val="008F2967"/>
    <w:rsid w:val="008F6943"/>
    <w:rsid w:val="00902A21"/>
    <w:rsid w:val="0091105E"/>
    <w:rsid w:val="009140A8"/>
    <w:rsid w:val="0091523F"/>
    <w:rsid w:val="00920330"/>
    <w:rsid w:val="009219D7"/>
    <w:rsid w:val="00922D53"/>
    <w:rsid w:val="00923B70"/>
    <w:rsid w:val="00924482"/>
    <w:rsid w:val="00930237"/>
    <w:rsid w:val="00937C17"/>
    <w:rsid w:val="00940A89"/>
    <w:rsid w:val="00941F77"/>
    <w:rsid w:val="009451E0"/>
    <w:rsid w:val="00946EA5"/>
    <w:rsid w:val="00960520"/>
    <w:rsid w:val="00963C08"/>
    <w:rsid w:val="009752A5"/>
    <w:rsid w:val="0098585A"/>
    <w:rsid w:val="009948A1"/>
    <w:rsid w:val="009A4CED"/>
    <w:rsid w:val="009A54AC"/>
    <w:rsid w:val="009A690D"/>
    <w:rsid w:val="009B1D12"/>
    <w:rsid w:val="009B416B"/>
    <w:rsid w:val="009C4BD5"/>
    <w:rsid w:val="009D7B77"/>
    <w:rsid w:val="009E0BB0"/>
    <w:rsid w:val="009E3FBB"/>
    <w:rsid w:val="009E5DD5"/>
    <w:rsid w:val="009F6C3E"/>
    <w:rsid w:val="009F7353"/>
    <w:rsid w:val="00A0221E"/>
    <w:rsid w:val="00A04F85"/>
    <w:rsid w:val="00A05FA4"/>
    <w:rsid w:val="00A07F3C"/>
    <w:rsid w:val="00A102E4"/>
    <w:rsid w:val="00A11212"/>
    <w:rsid w:val="00A1219C"/>
    <w:rsid w:val="00A12C42"/>
    <w:rsid w:val="00A14DF7"/>
    <w:rsid w:val="00A22D57"/>
    <w:rsid w:val="00A3246D"/>
    <w:rsid w:val="00A36FA7"/>
    <w:rsid w:val="00A44DDB"/>
    <w:rsid w:val="00A44DFD"/>
    <w:rsid w:val="00A475B7"/>
    <w:rsid w:val="00A47AF7"/>
    <w:rsid w:val="00A47C3E"/>
    <w:rsid w:val="00A50226"/>
    <w:rsid w:val="00A60BAD"/>
    <w:rsid w:val="00A66835"/>
    <w:rsid w:val="00A66FFB"/>
    <w:rsid w:val="00A77F87"/>
    <w:rsid w:val="00A80B5B"/>
    <w:rsid w:val="00A834A0"/>
    <w:rsid w:val="00A8397C"/>
    <w:rsid w:val="00A84E36"/>
    <w:rsid w:val="00A964D1"/>
    <w:rsid w:val="00AA0ED0"/>
    <w:rsid w:val="00AC2B40"/>
    <w:rsid w:val="00AC2BB2"/>
    <w:rsid w:val="00AC2C3C"/>
    <w:rsid w:val="00AC512D"/>
    <w:rsid w:val="00AD0083"/>
    <w:rsid w:val="00AD2249"/>
    <w:rsid w:val="00AD3935"/>
    <w:rsid w:val="00AD3CD7"/>
    <w:rsid w:val="00AE65EB"/>
    <w:rsid w:val="00AE67A7"/>
    <w:rsid w:val="00AF0782"/>
    <w:rsid w:val="00AF1D94"/>
    <w:rsid w:val="00AF43E5"/>
    <w:rsid w:val="00AF60C5"/>
    <w:rsid w:val="00B009C6"/>
    <w:rsid w:val="00B01548"/>
    <w:rsid w:val="00B0334C"/>
    <w:rsid w:val="00B130C5"/>
    <w:rsid w:val="00B13EBD"/>
    <w:rsid w:val="00B15D42"/>
    <w:rsid w:val="00B21D29"/>
    <w:rsid w:val="00B2345F"/>
    <w:rsid w:val="00B25034"/>
    <w:rsid w:val="00B256C2"/>
    <w:rsid w:val="00B33588"/>
    <w:rsid w:val="00B33863"/>
    <w:rsid w:val="00B35DA7"/>
    <w:rsid w:val="00B365B0"/>
    <w:rsid w:val="00B37D17"/>
    <w:rsid w:val="00B4175E"/>
    <w:rsid w:val="00B41C85"/>
    <w:rsid w:val="00B435E9"/>
    <w:rsid w:val="00B452CE"/>
    <w:rsid w:val="00B54C25"/>
    <w:rsid w:val="00B6093E"/>
    <w:rsid w:val="00B76B91"/>
    <w:rsid w:val="00B77EB1"/>
    <w:rsid w:val="00B811C6"/>
    <w:rsid w:val="00B855B0"/>
    <w:rsid w:val="00B86B88"/>
    <w:rsid w:val="00B91789"/>
    <w:rsid w:val="00B92E08"/>
    <w:rsid w:val="00BC622A"/>
    <w:rsid w:val="00BD5C27"/>
    <w:rsid w:val="00BE0A78"/>
    <w:rsid w:val="00BE54B5"/>
    <w:rsid w:val="00BE79F0"/>
    <w:rsid w:val="00BF046D"/>
    <w:rsid w:val="00BF1190"/>
    <w:rsid w:val="00BF3774"/>
    <w:rsid w:val="00BF5D04"/>
    <w:rsid w:val="00BF616F"/>
    <w:rsid w:val="00C009AA"/>
    <w:rsid w:val="00C1164D"/>
    <w:rsid w:val="00C16861"/>
    <w:rsid w:val="00C2412F"/>
    <w:rsid w:val="00C317C8"/>
    <w:rsid w:val="00C346AB"/>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94CD4"/>
    <w:rsid w:val="00C9747E"/>
    <w:rsid w:val="00CB6BC0"/>
    <w:rsid w:val="00CC119A"/>
    <w:rsid w:val="00CC1B7C"/>
    <w:rsid w:val="00CC727F"/>
    <w:rsid w:val="00CE60C5"/>
    <w:rsid w:val="00CF15C3"/>
    <w:rsid w:val="00CF2B6F"/>
    <w:rsid w:val="00CF2F3E"/>
    <w:rsid w:val="00CF58B6"/>
    <w:rsid w:val="00CF5DAD"/>
    <w:rsid w:val="00D0062D"/>
    <w:rsid w:val="00D017ED"/>
    <w:rsid w:val="00D04022"/>
    <w:rsid w:val="00D040D3"/>
    <w:rsid w:val="00D04C65"/>
    <w:rsid w:val="00D153D8"/>
    <w:rsid w:val="00D201D2"/>
    <w:rsid w:val="00D224FE"/>
    <w:rsid w:val="00D23139"/>
    <w:rsid w:val="00D425BB"/>
    <w:rsid w:val="00D453FA"/>
    <w:rsid w:val="00D6493E"/>
    <w:rsid w:val="00D7195D"/>
    <w:rsid w:val="00D7301E"/>
    <w:rsid w:val="00D822FE"/>
    <w:rsid w:val="00D83AE1"/>
    <w:rsid w:val="00D855D4"/>
    <w:rsid w:val="00D902C9"/>
    <w:rsid w:val="00D93466"/>
    <w:rsid w:val="00DA1124"/>
    <w:rsid w:val="00DA64CB"/>
    <w:rsid w:val="00DB06B8"/>
    <w:rsid w:val="00DB6124"/>
    <w:rsid w:val="00DB750B"/>
    <w:rsid w:val="00DB75B7"/>
    <w:rsid w:val="00DC0A2F"/>
    <w:rsid w:val="00DC0FB6"/>
    <w:rsid w:val="00DC1948"/>
    <w:rsid w:val="00DC6E02"/>
    <w:rsid w:val="00DD28CD"/>
    <w:rsid w:val="00DD5CD5"/>
    <w:rsid w:val="00DE0043"/>
    <w:rsid w:val="00DE02AE"/>
    <w:rsid w:val="00DE39D1"/>
    <w:rsid w:val="00DF1D7F"/>
    <w:rsid w:val="00DF4BE4"/>
    <w:rsid w:val="00E02382"/>
    <w:rsid w:val="00E02FB4"/>
    <w:rsid w:val="00E13FC7"/>
    <w:rsid w:val="00E20571"/>
    <w:rsid w:val="00E235F7"/>
    <w:rsid w:val="00E23659"/>
    <w:rsid w:val="00E239D4"/>
    <w:rsid w:val="00E244CE"/>
    <w:rsid w:val="00E26130"/>
    <w:rsid w:val="00E26E16"/>
    <w:rsid w:val="00E32DA0"/>
    <w:rsid w:val="00E33D42"/>
    <w:rsid w:val="00E40B22"/>
    <w:rsid w:val="00E44ED1"/>
    <w:rsid w:val="00E45619"/>
    <w:rsid w:val="00E4588F"/>
    <w:rsid w:val="00E46DA3"/>
    <w:rsid w:val="00E51BB1"/>
    <w:rsid w:val="00E55CB0"/>
    <w:rsid w:val="00E624A5"/>
    <w:rsid w:val="00E64BA4"/>
    <w:rsid w:val="00E7344E"/>
    <w:rsid w:val="00E82665"/>
    <w:rsid w:val="00E90AAC"/>
    <w:rsid w:val="00E9125B"/>
    <w:rsid w:val="00EA5B6B"/>
    <w:rsid w:val="00EB0798"/>
    <w:rsid w:val="00EB40AD"/>
    <w:rsid w:val="00EB586E"/>
    <w:rsid w:val="00EB5FC8"/>
    <w:rsid w:val="00EC463D"/>
    <w:rsid w:val="00EC7A85"/>
    <w:rsid w:val="00ED2922"/>
    <w:rsid w:val="00ED3CAD"/>
    <w:rsid w:val="00ED5A41"/>
    <w:rsid w:val="00EE1DE8"/>
    <w:rsid w:val="00EE27C2"/>
    <w:rsid w:val="00EE4F12"/>
    <w:rsid w:val="00EF36B5"/>
    <w:rsid w:val="00EF4BAD"/>
    <w:rsid w:val="00EF59DC"/>
    <w:rsid w:val="00F033EC"/>
    <w:rsid w:val="00F04F68"/>
    <w:rsid w:val="00F12670"/>
    <w:rsid w:val="00F14B27"/>
    <w:rsid w:val="00F163E7"/>
    <w:rsid w:val="00F3148D"/>
    <w:rsid w:val="00F325C5"/>
    <w:rsid w:val="00F32FE0"/>
    <w:rsid w:val="00F35298"/>
    <w:rsid w:val="00F44AF0"/>
    <w:rsid w:val="00F47333"/>
    <w:rsid w:val="00F47E37"/>
    <w:rsid w:val="00F53C07"/>
    <w:rsid w:val="00F54B65"/>
    <w:rsid w:val="00F63DBF"/>
    <w:rsid w:val="00F640B6"/>
    <w:rsid w:val="00F66DF2"/>
    <w:rsid w:val="00F80E40"/>
    <w:rsid w:val="00F848D9"/>
    <w:rsid w:val="00FA2E75"/>
    <w:rsid w:val="00FA5069"/>
    <w:rsid w:val="00FA5B82"/>
    <w:rsid w:val="00FA639E"/>
    <w:rsid w:val="00FB4A94"/>
    <w:rsid w:val="00FC0358"/>
    <w:rsid w:val="00FC0ED8"/>
    <w:rsid w:val="00FC1FCA"/>
    <w:rsid w:val="00FC25E4"/>
    <w:rsid w:val="00FC27D0"/>
    <w:rsid w:val="00FC4EF7"/>
    <w:rsid w:val="00FD0824"/>
    <w:rsid w:val="00FD119B"/>
    <w:rsid w:val="00FD1EDC"/>
    <w:rsid w:val="00FE1DEE"/>
    <w:rsid w:val="00FE31F7"/>
    <w:rsid w:val="00FF2126"/>
    <w:rsid w:val="00FF5755"/>
    <w:rsid w:val="00FF69BE"/>
    <w:rsid w:val="00FF7B93"/>
    <w:rsid w:val="1B8D0DB9"/>
    <w:rsid w:val="217310A4"/>
    <w:rsid w:val="3D49778D"/>
    <w:rsid w:val="451CAA0D"/>
    <w:rsid w:val="495A7789"/>
    <w:rsid w:val="4B22797D"/>
    <w:rsid w:val="57483425"/>
    <w:rsid w:val="59FFBEC8"/>
    <w:rsid w:val="5B50378C"/>
    <w:rsid w:val="6B5232E1"/>
    <w:rsid w:val="6CF6A61B"/>
    <w:rsid w:val="736B173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8ADF5"/>
  <w15:docId w15:val="{48F2FD33-0D9F-484B-A083-21B8405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B91789"/>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96A7E"/>
    <w:pPr>
      <w:ind w:left="720"/>
      <w:contextualSpacing/>
    </w:pPr>
  </w:style>
  <w:style w:type="character" w:customStyle="1" w:styleId="TabletextChar">
    <w:name w:val="Table text Char"/>
    <w:basedOn w:val="DefaultParagraphFont"/>
    <w:link w:val="Tabletext"/>
    <w:rsid w:val="004468F9"/>
    <w:rPr>
      <w:rFonts w:ascii="Cambria" w:eastAsia="Cambria" w:hAnsi="Cambria" w:cs="Times New Roman"/>
      <w:sz w:val="19"/>
    </w:rPr>
  </w:style>
  <w:style w:type="paragraph" w:customStyle="1" w:styleId="Standard">
    <w:name w:val="Standard"/>
    <w:basedOn w:val="Normal"/>
    <w:link w:val="StandardChar"/>
    <w:qFormat/>
    <w:rsid w:val="004468F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4468F9"/>
    <w:rPr>
      <w:rFonts w:ascii="Cambria" w:eastAsia="Times New Roman" w:hAnsi="Cambria" w:cs="Times New Roman"/>
      <w:snapToGrid w:val="0"/>
      <w:kern w:val="16"/>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45777">
      <w:bodyDiv w:val="1"/>
      <w:marLeft w:val="0"/>
      <w:marRight w:val="0"/>
      <w:marTop w:val="0"/>
      <w:marBottom w:val="0"/>
      <w:divBdr>
        <w:top w:val="none" w:sz="0" w:space="0" w:color="auto"/>
        <w:left w:val="none" w:sz="0" w:space="0" w:color="auto"/>
        <w:bottom w:val="none" w:sz="0" w:space="0" w:color="auto"/>
        <w:right w:val="none" w:sz="0" w:space="0" w:color="auto"/>
      </w:divBdr>
    </w:div>
    <w:div w:id="1396900319">
      <w:bodyDiv w:val="1"/>
      <w:marLeft w:val="0"/>
      <w:marRight w:val="0"/>
      <w:marTop w:val="0"/>
      <w:marBottom w:val="0"/>
      <w:divBdr>
        <w:top w:val="none" w:sz="0" w:space="0" w:color="auto"/>
        <w:left w:val="none" w:sz="0" w:space="0" w:color="auto"/>
        <w:bottom w:val="none" w:sz="0" w:space="0" w:color="auto"/>
        <w:right w:val="none" w:sz="0" w:space="0" w:color="auto"/>
      </w:divBdr>
    </w:div>
    <w:div w:id="1425148030">
      <w:bodyDiv w:val="1"/>
      <w:marLeft w:val="0"/>
      <w:marRight w:val="0"/>
      <w:marTop w:val="0"/>
      <w:marBottom w:val="0"/>
      <w:divBdr>
        <w:top w:val="none" w:sz="0" w:space="0" w:color="auto"/>
        <w:left w:val="none" w:sz="0" w:space="0" w:color="auto"/>
        <w:bottom w:val="none" w:sz="0" w:space="0" w:color="auto"/>
        <w:right w:val="none" w:sz="0" w:space="0" w:color="auto"/>
      </w:divBdr>
    </w:div>
    <w:div w:id="1508591839">
      <w:bodyDiv w:val="1"/>
      <w:marLeft w:val="0"/>
      <w:marRight w:val="0"/>
      <w:marTop w:val="0"/>
      <w:marBottom w:val="0"/>
      <w:divBdr>
        <w:top w:val="none" w:sz="0" w:space="0" w:color="auto"/>
        <w:left w:val="none" w:sz="0" w:space="0" w:color="auto"/>
        <w:bottom w:val="none" w:sz="0" w:space="0" w:color="auto"/>
        <w:right w:val="none" w:sz="0" w:space="0" w:color="auto"/>
      </w:divBdr>
    </w:div>
    <w:div w:id="1594436493">
      <w:bodyDiv w:val="1"/>
      <w:marLeft w:val="0"/>
      <w:marRight w:val="0"/>
      <w:marTop w:val="0"/>
      <w:marBottom w:val="0"/>
      <w:divBdr>
        <w:top w:val="none" w:sz="0" w:space="0" w:color="auto"/>
        <w:left w:val="none" w:sz="0" w:space="0" w:color="auto"/>
        <w:bottom w:val="none" w:sz="0" w:space="0" w:color="auto"/>
        <w:right w:val="none" w:sz="0" w:space="0" w:color="auto"/>
      </w:divBdr>
    </w:div>
    <w:div w:id="188078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7.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hyperlink" Target="https://www.tga.gov.a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6.emf"/><Relationship Id="rId32" Type="http://schemas.openxmlformats.org/officeDocument/2006/relationships/hyperlink" Target="mailto:info@tga.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header" Target="header8.xml"/><Relationship Id="rId43"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5204\D19-5975236%20%20AusPAR%20-%20template%20-%20streamlined(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75D6DFA9F8A45A009786F5A8E5A22" ma:contentTypeVersion="12" ma:contentTypeDescription="Create a new document." ma:contentTypeScope="" ma:versionID="2a1a8a3da2b6d3aae22f7755df26c1e4">
  <xsd:schema xmlns:xsd="http://www.w3.org/2001/XMLSchema" xmlns:xs="http://www.w3.org/2001/XMLSchema" xmlns:p="http://schemas.microsoft.com/office/2006/metadata/properties" xmlns:ns3="23d79cc6-f232-4bb9-9289-72c30fed9f43" xmlns:ns4="bb83410c-9ea4-4724-a4aa-0cc536919831" targetNamespace="http://schemas.microsoft.com/office/2006/metadata/properties" ma:root="true" ma:fieldsID="33029df43e24b61f8246adff3b8d91d6" ns3:_="" ns4:_="">
    <xsd:import namespace="23d79cc6-f232-4bb9-9289-72c30fed9f43"/>
    <xsd:import namespace="bb83410c-9ea4-4724-a4aa-0cc5369198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79cc6-f232-4bb9-9289-72c30fed9f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3410c-9ea4-4724-a4aa-0cc536919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C2A2-4F36-4FF0-9E08-3BEB6DC0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79cc6-f232-4bb9-9289-72c30fed9f43"/>
    <ds:schemaRef ds:uri="bb83410c-9ea4-4724-a4aa-0cc53691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042BA-8CB6-4F3A-BCE3-4921CC54AC32}">
  <ds:schemaRefs>
    <ds:schemaRef ds:uri="http://schemas.microsoft.com/sharepoint/v3/contenttype/forms"/>
  </ds:schemaRefs>
</ds:datastoreItem>
</file>

<file path=customXml/itemProps3.xml><?xml version="1.0" encoding="utf-8"?>
<ds:datastoreItem xmlns:ds="http://schemas.openxmlformats.org/officeDocument/2006/customXml" ds:itemID="{ECBE5E6C-7101-4C30-A12C-246B657E1A2E}">
  <ds:schemaRefs>
    <ds:schemaRef ds:uri="http://purl.org/dc/elements/1.1/"/>
    <ds:schemaRef ds:uri="23d79cc6-f232-4bb9-9289-72c30fed9f43"/>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bb83410c-9ea4-4724-a4aa-0cc536919831"/>
    <ds:schemaRef ds:uri="http://www.w3.org/XML/1998/namespace"/>
    <ds:schemaRef ds:uri="http://purl.org/dc/dcmitype/"/>
  </ds:schemaRefs>
</ds:datastoreItem>
</file>

<file path=customXml/itemProps4.xml><?xml version="1.0" encoding="utf-8"?>
<ds:datastoreItem xmlns:ds="http://schemas.openxmlformats.org/officeDocument/2006/customXml" ds:itemID="{82BF2025-0ED0-4170-9D5D-3A1E791A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streamlined(2).DOTX</Template>
  <TotalTime>0</TotalTime>
  <Pages>28</Pages>
  <Words>8160</Words>
  <Characters>46351</Characters>
  <Application>Microsoft Office Word</Application>
  <DocSecurity>0</DocSecurity>
  <Lines>1158</Lines>
  <Paragraphs>626</Paragraphs>
  <ScaleCrop>false</ScaleCrop>
  <HeadingPairs>
    <vt:vector size="2" baseType="variant">
      <vt:variant>
        <vt:lpstr>Title</vt:lpstr>
      </vt:variant>
      <vt:variant>
        <vt:i4>1</vt:i4>
      </vt:variant>
    </vt:vector>
  </HeadingPairs>
  <TitlesOfParts>
    <vt:vector size="1" baseType="lpstr">
      <vt:lpstr>Australian public assessment report for Rituximab</vt:lpstr>
    </vt:vector>
  </TitlesOfParts>
  <Company>Department of Health Therapeutic Goods Administration</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Rituximab</dc:title>
  <dc:subject>prescription medicines</dc:subject>
  <dc:creator>Therapeutic Goods Administration</dc:creator>
  <cp:keywords/>
  <cp:lastPrinted>2019-08-14T04:30:00Z</cp:lastPrinted>
  <dcterms:created xsi:type="dcterms:W3CDTF">2021-05-05T00:17:00Z</dcterms:created>
  <dcterms:modified xsi:type="dcterms:W3CDTF">2021-05-05T00:17:00Z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0x01010078875D6DFA9F8A45A009786F5A8E5A22</vt:lpwstr>
  </property>
</Properties>
</file>