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734D0D" w14:textId="54DA969C" w:rsidR="00BB3045" w:rsidRPr="00940071" w:rsidRDefault="00BB3045" w:rsidP="00940071">
      <w:pPr>
        <w:pStyle w:val="BodyText"/>
      </w:pPr>
      <w:r w:rsidRPr="00940071">
        <w:rPr>
          <w:noProof/>
          <w:lang w:eastAsia="en-AU"/>
        </w:rPr>
        <mc:AlternateContent>
          <mc:Choice Requires="wps">
            <w:drawing>
              <wp:inline distT="0" distB="0" distL="0" distR="0" wp14:anchorId="0D5FC198" wp14:editId="2D929DD7">
                <wp:extent cx="180000" cy="154800"/>
                <wp:effectExtent l="0" t="0" r="0" b="0"/>
                <wp:docPr id="2" name="Isosceles Triangle 2"/>
                <wp:cNvGraphicFramePr/>
                <a:graphic xmlns:a="http://schemas.openxmlformats.org/drawingml/2006/main">
                  <a:graphicData uri="http://schemas.microsoft.com/office/word/2010/wordprocessingShape">
                    <wps:wsp>
                      <wps:cNvSpPr/>
                      <wps:spPr>
                        <a:xfrm flipH="1" flipV="1">
                          <a:off x="0" y="0"/>
                          <a:ext cx="180000" cy="154800"/>
                        </a:xfrm>
                        <a:prstGeom prst="triangle">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width:14.15pt;height:12.2pt;flip:x 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0N+iAIAAGUFAAAOAAAAZHJzL2Uyb0RvYy54bWysVFFvEzEMfkfiP0R5Z9dWHYxq16naNJg0&#10;bRMb7DnLJb2IJA5J2mv59TjJ3a2M8YK4h8iO7S+277NPz3ZGk63wQYGt6fRoQomwHBpl1zX9+nD5&#10;7oSSEJltmAYraroXgZ4t37457dxCzKAF3QhPEMSGRedq2sboFlUVeCsMC0fghEWjBG9YRNWvq8az&#10;DtGNrmaTyfuqA984D1yEgLcXxUiXGV9KweOtlEFEomuKucV8+nw+pbNanrLF2jPXKt6nwf4hC8OU&#10;xUdHqAsWGdl49QeUUdxDABmPOJgKpFRc5BqwmunkRTX3LXMi14LNCW5sU/h/sPxme+eJamo6o8Qy&#10;g7/oKkDgQotAHrxidq0FmaU+dS4s0P3e3fleCyimonfSGyK1cp+RAjRL35KUbFgi2eV+78d+i10k&#10;HC+nJxP8KOFomh7PUUvvVAUwBTsf4icBhiShprHPJwOz7XWIxX1wSyHaptPCpdK6WNNNlZIv6WYp&#10;7rUo3l+ExPIxmVlGzcQT59qTLUPKNN9LFaFljShXxznnAj1656y1RbCEKvHtEbcHSIT+HbdA9L4p&#10;TGS+joGTvyVUAkfv/CLYOAYaZcG/FqzjtG+wLP5DY0o7UmeeoNkjITyUSQmOXyrs/TUL8Y55HA38&#10;XTju8RYPqaGrKfQSJS34n6/dJ39kLFop6XDUahp+bJgXlOgri1z+OJ3P02xmZX78YYaKP7Q8HVrs&#10;xpwD/hokGmaXxeQf9SBKD+YRt8IqvYomZjm+XVMe/aCcx7ICcK9wsVplN5xHx+K1vXd84G7i1cPu&#10;kXk3EBCZewPDWLLFCw4W3/Q/LKw2EaTKBH3ua99vnOVMmH7vpGVxqGev5+24/AUAAP//AwBQSwME&#10;FAAGAAgAAAAhADzBKRTaAAAAAwEAAA8AAABkcnMvZG93bnJldi54bWxMj0FLw0AQhe+C/2EZwZvd&#10;GEsoMZtSlYInwVjwOs1uk9Dd2bi7aaO/3tGLXuYxvOG9b6r17Kw4mRAHTwpuFxkIQ63XA3UKdm/b&#10;mxWImJA0Wk9GwaeJsK4vLyostT/Tqzk1qRMcQrFEBX1KYyllbHvjMC78aIi9gw8OE6+hkzrgmcOd&#10;lXmWFdLhQNzQ42gee9Mem8kpmLrDNrx/5F/PO5waengp7PRUKHV9NW/uQSQzp79j+MFndKiZae8n&#10;0lFYBfxI+p3s5as7EHvW5RJkXcn/7PU3AAAA//8DAFBLAQItABQABgAIAAAAIQC2gziS/gAAAOEB&#10;AAATAAAAAAAAAAAAAAAAAAAAAABbQ29udGVudF9UeXBlc10ueG1sUEsBAi0AFAAGAAgAAAAhADj9&#10;If/WAAAAlAEAAAsAAAAAAAAAAAAAAAAALwEAAF9yZWxzLy5yZWxzUEsBAi0AFAAGAAgAAAAhAGij&#10;Q36IAgAAZQUAAA4AAAAAAAAAAAAAAAAALgIAAGRycy9lMm9Eb2MueG1sUEsBAi0AFAAGAAgAAAAh&#10;ADzBKRTaAAAAAwEAAA8AAAAAAAAAAAAAAAAA4gQAAGRycy9kb3ducmV2LnhtbFBLBQYAAAAABAAE&#10;APMAAADpBQAAAAA=&#10;" fillcolor="black [3200]" stroked="f" strokeweight="2pt">
                <w10:anchorlock/>
              </v:shape>
            </w:pict>
          </mc:Fallback>
        </mc:AlternateContent>
      </w:r>
      <w:r w:rsidRPr="00940071">
        <w:t xml:space="preserve">  This medicinal product is subject to additional monitoring in Australia. This will allow quick identification of new safety information. Healthcare professionals are asked to report any suspected adverse events at </w:t>
      </w:r>
      <w:hyperlink r:id="rId9" w:history="1">
        <w:r w:rsidR="00940071" w:rsidRPr="003E359F">
          <w:rPr>
            <w:rStyle w:val="Hyperlink"/>
          </w:rPr>
          <w:t>https://www.tga.gov.au/reporting-problems</w:t>
        </w:r>
      </w:hyperlink>
      <w:r w:rsidRPr="00940071">
        <w:t>.</w:t>
      </w:r>
    </w:p>
    <w:p w14:paraId="62336C78" w14:textId="77777777" w:rsidR="0058331B" w:rsidRPr="00375DF3" w:rsidRDefault="0058331B" w:rsidP="00940071">
      <w:pPr>
        <w:pStyle w:val="BodyText"/>
      </w:pPr>
    </w:p>
    <w:p w14:paraId="129F8600" w14:textId="3C51F5AE" w:rsidR="00835476" w:rsidRPr="00722821" w:rsidRDefault="00144E75" w:rsidP="00144E75">
      <w:pPr>
        <w:pStyle w:val="Heading1"/>
        <w:numPr>
          <w:ilvl w:val="0"/>
          <w:numId w:val="0"/>
        </w:numPr>
        <w:jc w:val="center"/>
      </w:pPr>
      <w:r w:rsidRPr="00722821">
        <w:t>Australian</w:t>
      </w:r>
      <w:r w:rsidR="00252BBC" w:rsidRPr="00722821">
        <w:t xml:space="preserve"> Product Information</w:t>
      </w:r>
      <w:r w:rsidRPr="00722821">
        <w:t xml:space="preserve"> - Inovelon</w:t>
      </w:r>
      <w:r w:rsidRPr="00722821">
        <w:rPr>
          <w:vertAlign w:val="superscript"/>
        </w:rPr>
        <w:t>®</w:t>
      </w:r>
      <w:r w:rsidRPr="00722821">
        <w:t xml:space="preserve"> rufinamide</w:t>
      </w:r>
      <w:r w:rsidR="001A1FDB" w:rsidRPr="00722821">
        <w:t xml:space="preserve"> film coated tablets</w:t>
      </w:r>
    </w:p>
    <w:p w14:paraId="129F8601" w14:textId="30410ECD" w:rsidR="00835476" w:rsidRPr="00722821" w:rsidRDefault="00835476" w:rsidP="00144E75">
      <w:pPr>
        <w:pStyle w:val="Heading1"/>
      </w:pPr>
      <w:r w:rsidRPr="00722821">
        <w:t xml:space="preserve">Name of the </w:t>
      </w:r>
      <w:r w:rsidR="00252BBC" w:rsidRPr="00722821">
        <w:t>Medicine</w:t>
      </w:r>
      <w:bookmarkStart w:id="0" w:name="_GoBack"/>
      <w:bookmarkEnd w:id="0"/>
    </w:p>
    <w:p w14:paraId="129F8602" w14:textId="77777777" w:rsidR="00835476" w:rsidRPr="00722821" w:rsidRDefault="00402320" w:rsidP="00144E75">
      <w:pPr>
        <w:pStyle w:val="BodyText"/>
      </w:pPr>
      <w:r w:rsidRPr="00722821">
        <w:t>Rufinamide</w:t>
      </w:r>
    </w:p>
    <w:p w14:paraId="129F8603" w14:textId="77777777" w:rsidR="0020202A" w:rsidRPr="00722821" w:rsidRDefault="0020202A" w:rsidP="00144E75">
      <w:pPr>
        <w:pStyle w:val="BodyText"/>
      </w:pPr>
    </w:p>
    <w:p w14:paraId="129F8604" w14:textId="77777777" w:rsidR="008F0175" w:rsidRPr="00722821" w:rsidRDefault="008F0175" w:rsidP="008F0175">
      <w:pPr>
        <w:pStyle w:val="Heading1"/>
        <w:ind w:left="431" w:hanging="431"/>
      </w:pPr>
      <w:r w:rsidRPr="00722821">
        <w:t>Qualitative and quantitative composition</w:t>
      </w:r>
    </w:p>
    <w:p w14:paraId="129F8606" w14:textId="5D4ED194" w:rsidR="008F0175" w:rsidRPr="00722821" w:rsidRDefault="008F0175" w:rsidP="00144E75">
      <w:pPr>
        <w:pStyle w:val="BodyText"/>
        <w:rPr>
          <w:szCs w:val="24"/>
        </w:rPr>
      </w:pPr>
      <w:r w:rsidRPr="00722821">
        <w:rPr>
          <w:szCs w:val="24"/>
        </w:rPr>
        <w:t>Each INOVELON 100 mg tablet contains 100 mg rufinamide</w:t>
      </w:r>
    </w:p>
    <w:p w14:paraId="129F8607" w14:textId="77777777" w:rsidR="008F0175" w:rsidRPr="00722821" w:rsidRDefault="008F0175" w:rsidP="00144E75">
      <w:pPr>
        <w:pStyle w:val="BodyText"/>
      </w:pPr>
    </w:p>
    <w:p w14:paraId="129F8608" w14:textId="77777777" w:rsidR="008F0175" w:rsidRPr="00722821" w:rsidRDefault="008F0175" w:rsidP="00144E75">
      <w:pPr>
        <w:pStyle w:val="BodyText"/>
      </w:pPr>
      <w:r w:rsidRPr="00722821">
        <w:rPr>
          <w:szCs w:val="24"/>
        </w:rPr>
        <w:t>Each INOVELON 200 mg tablet contains 200 mg rufinamide</w:t>
      </w:r>
    </w:p>
    <w:p w14:paraId="129F8609" w14:textId="77777777" w:rsidR="008F0175" w:rsidRPr="00722821" w:rsidRDefault="008F0175" w:rsidP="00144E75">
      <w:pPr>
        <w:pStyle w:val="BodyText"/>
      </w:pPr>
    </w:p>
    <w:p w14:paraId="129F860A" w14:textId="77777777" w:rsidR="008E1523" w:rsidRDefault="008F0175" w:rsidP="00144E75">
      <w:pPr>
        <w:pStyle w:val="BodyText"/>
        <w:rPr>
          <w:szCs w:val="24"/>
        </w:rPr>
      </w:pPr>
      <w:r w:rsidRPr="00722821">
        <w:rPr>
          <w:szCs w:val="24"/>
        </w:rPr>
        <w:t>Each INOVELON 400 mg tablet contains 400 mg rufinamide</w:t>
      </w:r>
    </w:p>
    <w:p w14:paraId="64894CBB" w14:textId="642474DC" w:rsidR="0058331B" w:rsidRDefault="0058331B" w:rsidP="00144E75">
      <w:pPr>
        <w:pStyle w:val="BodyText"/>
        <w:rPr>
          <w:szCs w:val="24"/>
        </w:rPr>
      </w:pPr>
    </w:p>
    <w:p w14:paraId="2B16A3FE" w14:textId="77777777" w:rsidR="0058331B" w:rsidRPr="00940071" w:rsidRDefault="0058331B" w:rsidP="0058331B">
      <w:pPr>
        <w:pStyle w:val="BodyText"/>
        <w:rPr>
          <w:szCs w:val="24"/>
        </w:rPr>
      </w:pPr>
      <w:r w:rsidRPr="00940071">
        <w:rPr>
          <w:szCs w:val="24"/>
        </w:rPr>
        <w:t>Excipients with known effects:</w:t>
      </w:r>
    </w:p>
    <w:p w14:paraId="1E9E2071" w14:textId="77777777" w:rsidR="0058331B" w:rsidRPr="0058331B" w:rsidRDefault="0058331B" w:rsidP="0058331B">
      <w:pPr>
        <w:pStyle w:val="BodyText"/>
        <w:rPr>
          <w:szCs w:val="24"/>
        </w:rPr>
      </w:pPr>
    </w:p>
    <w:p w14:paraId="334F485F" w14:textId="3043EDB5" w:rsidR="0058331B" w:rsidRPr="0058331B" w:rsidRDefault="0058331B" w:rsidP="0058331B">
      <w:pPr>
        <w:pStyle w:val="BodyText"/>
        <w:rPr>
          <w:szCs w:val="24"/>
        </w:rPr>
      </w:pPr>
      <w:r w:rsidRPr="0058331B">
        <w:rPr>
          <w:szCs w:val="24"/>
        </w:rPr>
        <w:t>Each 100 mg film coated tablet contains 20 mg lactose monohydrate</w:t>
      </w:r>
    </w:p>
    <w:p w14:paraId="03983CA2" w14:textId="77777777" w:rsidR="0058331B" w:rsidRPr="0058331B" w:rsidRDefault="0058331B" w:rsidP="0058331B">
      <w:pPr>
        <w:pStyle w:val="BodyText"/>
        <w:rPr>
          <w:szCs w:val="24"/>
        </w:rPr>
      </w:pPr>
    </w:p>
    <w:p w14:paraId="025AB759" w14:textId="0F43C0B0" w:rsidR="0058331B" w:rsidRPr="0058331B" w:rsidRDefault="0058331B" w:rsidP="0058331B">
      <w:pPr>
        <w:pStyle w:val="BodyText"/>
        <w:rPr>
          <w:szCs w:val="24"/>
        </w:rPr>
      </w:pPr>
      <w:r w:rsidRPr="0058331B">
        <w:rPr>
          <w:szCs w:val="24"/>
        </w:rPr>
        <w:t>Each 200 mg film coated tablet contain</w:t>
      </w:r>
      <w:r w:rsidR="00F31585">
        <w:rPr>
          <w:szCs w:val="24"/>
        </w:rPr>
        <w:t>s 40 mg lactose monohydrate</w:t>
      </w:r>
    </w:p>
    <w:p w14:paraId="6D38700D" w14:textId="77777777" w:rsidR="0058331B" w:rsidRPr="0058331B" w:rsidRDefault="0058331B" w:rsidP="0058331B">
      <w:pPr>
        <w:pStyle w:val="BodyText"/>
        <w:rPr>
          <w:szCs w:val="24"/>
        </w:rPr>
      </w:pPr>
    </w:p>
    <w:p w14:paraId="2F763037" w14:textId="61D53855" w:rsidR="0058331B" w:rsidRPr="00722821" w:rsidRDefault="0058331B" w:rsidP="0058331B">
      <w:pPr>
        <w:pStyle w:val="BodyText"/>
        <w:rPr>
          <w:szCs w:val="24"/>
        </w:rPr>
      </w:pPr>
      <w:r w:rsidRPr="0058331B">
        <w:rPr>
          <w:szCs w:val="24"/>
        </w:rPr>
        <w:t>Each 400 mg film coated tablet contains 80 mg lactose monohydrate</w:t>
      </w:r>
    </w:p>
    <w:p w14:paraId="129F860B" w14:textId="77777777" w:rsidR="008E1523" w:rsidRPr="00722821" w:rsidRDefault="008E1523" w:rsidP="008E1523">
      <w:pPr>
        <w:pStyle w:val="BodyText"/>
      </w:pPr>
    </w:p>
    <w:p w14:paraId="129F860C" w14:textId="14E4693C" w:rsidR="008E1523" w:rsidRPr="00722821" w:rsidRDefault="008E1523" w:rsidP="008E1523">
      <w:pPr>
        <w:pStyle w:val="BodyText"/>
      </w:pPr>
      <w:r w:rsidRPr="00722821">
        <w:t xml:space="preserve">For the full list of excipients, </w:t>
      </w:r>
      <w:r w:rsidR="00252BBC" w:rsidRPr="00722821">
        <w:t>see Section </w:t>
      </w:r>
      <w:r w:rsidRPr="00722821">
        <w:fldChar w:fldCharType="begin"/>
      </w:r>
      <w:r w:rsidRPr="00722821">
        <w:instrText xml:space="preserve"> REF _Ref503187308 \r \h </w:instrText>
      </w:r>
      <w:r w:rsidRPr="00722821">
        <w:fldChar w:fldCharType="separate"/>
      </w:r>
      <w:r w:rsidRPr="00722821">
        <w:t>6.1</w:t>
      </w:r>
      <w:r w:rsidRPr="00722821">
        <w:fldChar w:fldCharType="end"/>
      </w:r>
      <w:r w:rsidRPr="00722821">
        <w:t>.</w:t>
      </w:r>
    </w:p>
    <w:p w14:paraId="129F861E" w14:textId="77777777" w:rsidR="008E1523" w:rsidRPr="00722821" w:rsidRDefault="008E1523" w:rsidP="008E1523">
      <w:pPr>
        <w:pStyle w:val="BodyText"/>
      </w:pPr>
    </w:p>
    <w:p w14:paraId="129F861F" w14:textId="77777777" w:rsidR="008E1523" w:rsidRPr="00722821" w:rsidRDefault="008E1523" w:rsidP="008E1523">
      <w:pPr>
        <w:pStyle w:val="Heading1"/>
        <w:numPr>
          <w:ilvl w:val="0"/>
          <w:numId w:val="5"/>
        </w:numPr>
        <w:ind w:left="431" w:hanging="431"/>
      </w:pPr>
      <w:r w:rsidRPr="00722821">
        <w:t>Pharmaceutical form</w:t>
      </w:r>
    </w:p>
    <w:p w14:paraId="129F8621" w14:textId="492870D3" w:rsidR="008E1523" w:rsidRPr="00722821" w:rsidRDefault="008E1523" w:rsidP="008E1523">
      <w:pPr>
        <w:pStyle w:val="BodyText"/>
      </w:pPr>
      <w:r w:rsidRPr="00722821">
        <w:t>INOVELON 100 mg film coated tablets: Pink, oval, slightly convex, scor</w:t>
      </w:r>
      <w:r w:rsidR="00C110CB">
        <w:t>ed on both sides, embossed ‘Є261</w:t>
      </w:r>
      <w:r w:rsidRPr="00722821">
        <w:t>’ on one side and blank on the other side. The tablet can be divided into</w:t>
      </w:r>
      <w:r w:rsidR="00C110CB">
        <w:t xml:space="preserve"> </w:t>
      </w:r>
      <w:r w:rsidRPr="00722821">
        <w:t>equal doses.</w:t>
      </w:r>
    </w:p>
    <w:p w14:paraId="129F8622" w14:textId="77777777" w:rsidR="008E1523" w:rsidRPr="00722821" w:rsidRDefault="008E1523" w:rsidP="008E1523">
      <w:pPr>
        <w:pStyle w:val="BodyText"/>
      </w:pPr>
    </w:p>
    <w:p w14:paraId="129F8623" w14:textId="1BED12F3" w:rsidR="008E1523" w:rsidRPr="00722821" w:rsidRDefault="008E1523" w:rsidP="008E1523">
      <w:pPr>
        <w:pStyle w:val="BodyText"/>
      </w:pPr>
      <w:r w:rsidRPr="00722821">
        <w:t>INOVELON 200 mg film coated tablets: Pink, oval, slightly convex, scored on bot</w:t>
      </w:r>
      <w:r w:rsidR="00C110CB">
        <w:t>h sides, embossed ‘Є262’</w:t>
      </w:r>
      <w:r w:rsidRPr="00722821">
        <w:t xml:space="preserve"> on one side and blank on the other side.</w:t>
      </w:r>
      <w:r w:rsidR="00C110CB">
        <w:t xml:space="preserve"> The tablet can be divided into </w:t>
      </w:r>
      <w:r w:rsidRPr="00722821">
        <w:t>equal doses.</w:t>
      </w:r>
    </w:p>
    <w:p w14:paraId="129F8624" w14:textId="77777777" w:rsidR="008E1523" w:rsidRPr="00722821" w:rsidRDefault="008E1523" w:rsidP="008E1523">
      <w:pPr>
        <w:pStyle w:val="BodyText"/>
      </w:pPr>
    </w:p>
    <w:p w14:paraId="129F8625" w14:textId="1F1D9F3E" w:rsidR="008E1523" w:rsidRPr="00722821" w:rsidRDefault="008E1523" w:rsidP="008E1523">
      <w:pPr>
        <w:pStyle w:val="BodyText"/>
      </w:pPr>
      <w:r w:rsidRPr="00722821">
        <w:lastRenderedPageBreak/>
        <w:t xml:space="preserve">INOVELON 400 mg film coated tablets: Pink, oval, slightly convex, scored on both sides, embossed </w:t>
      </w:r>
      <w:r w:rsidR="00C110CB">
        <w:t>‘</w:t>
      </w:r>
      <w:r w:rsidRPr="00722821">
        <w:t>Є263</w:t>
      </w:r>
      <w:r w:rsidR="00C110CB">
        <w:t>’</w:t>
      </w:r>
      <w:r w:rsidRPr="00722821">
        <w:t xml:space="preserve"> on one side and blank on the other side. The tablet can be divided into equal doses.</w:t>
      </w:r>
    </w:p>
    <w:p w14:paraId="129F862D" w14:textId="5146FC62" w:rsidR="00566632" w:rsidRPr="00722821" w:rsidRDefault="00566632" w:rsidP="008F0175">
      <w:pPr>
        <w:pStyle w:val="BodyText"/>
      </w:pPr>
    </w:p>
    <w:p w14:paraId="129F862E" w14:textId="77777777" w:rsidR="00753A40" w:rsidRPr="00722821" w:rsidRDefault="00753A40" w:rsidP="00753A40">
      <w:pPr>
        <w:pStyle w:val="Heading1"/>
        <w:ind w:left="431" w:hanging="431"/>
      </w:pPr>
      <w:r w:rsidRPr="00722821">
        <w:t>Clinical particulars</w:t>
      </w:r>
    </w:p>
    <w:p w14:paraId="129F862F" w14:textId="77777777" w:rsidR="00753A40" w:rsidRPr="00722821" w:rsidRDefault="00753A40" w:rsidP="00753A40">
      <w:pPr>
        <w:pStyle w:val="Heading2"/>
        <w:ind w:left="578" w:hanging="578"/>
      </w:pPr>
      <w:r w:rsidRPr="00722821">
        <w:t xml:space="preserve">Therapeutic indications </w:t>
      </w:r>
    </w:p>
    <w:p w14:paraId="129F8630" w14:textId="2B4D21CE" w:rsidR="0064422E" w:rsidRPr="00722821" w:rsidRDefault="00254140" w:rsidP="00753A40">
      <w:pPr>
        <w:pStyle w:val="BodyText"/>
      </w:pPr>
      <w:r w:rsidRPr="00722821">
        <w:t xml:space="preserve">INOVELON is indicated as adjunctive therapy in the treatment of seizures associated with Lennox Gastaut syndrome in patients </w:t>
      </w:r>
      <w:r w:rsidR="00BB3045">
        <w:t>4</w:t>
      </w:r>
      <w:r w:rsidRPr="00722821">
        <w:t xml:space="preserve"> year</w:t>
      </w:r>
      <w:r w:rsidR="00BB3045">
        <w:t>s</w:t>
      </w:r>
      <w:r w:rsidRPr="00722821">
        <w:t xml:space="preserve"> of age and older</w:t>
      </w:r>
    </w:p>
    <w:p w14:paraId="129F8631" w14:textId="77777777" w:rsidR="00753A40" w:rsidRPr="00722821" w:rsidRDefault="00753A40" w:rsidP="00753A40">
      <w:pPr>
        <w:pStyle w:val="BodyText"/>
      </w:pPr>
    </w:p>
    <w:p w14:paraId="129F8632" w14:textId="77777777" w:rsidR="00753A40" w:rsidRPr="00722821" w:rsidRDefault="00753A40" w:rsidP="00722821">
      <w:pPr>
        <w:pStyle w:val="Heading2"/>
        <w:ind w:left="578" w:hanging="578"/>
      </w:pPr>
      <w:bookmarkStart w:id="1" w:name="_Ref506279103"/>
      <w:r w:rsidRPr="00722821">
        <w:t>Dose and method of administration</w:t>
      </w:r>
      <w:bookmarkEnd w:id="1"/>
      <w:r w:rsidRPr="00722821">
        <w:t xml:space="preserve"> </w:t>
      </w:r>
    </w:p>
    <w:p w14:paraId="5DD5BEE1" w14:textId="77777777" w:rsidR="00412492" w:rsidRDefault="00412492" w:rsidP="00412492">
      <w:pPr>
        <w:pStyle w:val="BodyText"/>
        <w:keepNext/>
      </w:pPr>
      <w:r w:rsidRPr="0067114B">
        <w:t xml:space="preserve">Treatment with </w:t>
      </w:r>
      <w:r w:rsidRPr="00722821">
        <w:t>INOVELON</w:t>
      </w:r>
      <w:r w:rsidRPr="0067114B">
        <w:t xml:space="preserve"> should be initiated by a physician specialised in paediatrics or neurology with experience in the treatment of epilepsy.</w:t>
      </w:r>
    </w:p>
    <w:p w14:paraId="6C08B758" w14:textId="77777777" w:rsidR="00412492" w:rsidRDefault="00412492" w:rsidP="00C110CB">
      <w:pPr>
        <w:pStyle w:val="BodyText"/>
        <w:keepNext/>
      </w:pPr>
    </w:p>
    <w:p w14:paraId="129F8633" w14:textId="0AC5B523" w:rsidR="00753A40" w:rsidRPr="00722821" w:rsidRDefault="00753A40" w:rsidP="00C110CB">
      <w:pPr>
        <w:pStyle w:val="BodyText"/>
        <w:keepNext/>
      </w:pPr>
      <w:r w:rsidRPr="00722821">
        <w:t>I</w:t>
      </w:r>
      <w:r w:rsidR="009B18C2" w:rsidRPr="00722821">
        <w:t>NOVELON</w:t>
      </w:r>
      <w:r w:rsidRPr="00722821">
        <w:t xml:space="preserve"> should be taken twice daily in two equally divided doses</w:t>
      </w:r>
      <w:r w:rsidR="006202F5">
        <w:t>, one</w:t>
      </w:r>
      <w:r w:rsidR="006202F5" w:rsidRPr="006202F5">
        <w:t xml:space="preserve"> </w:t>
      </w:r>
      <w:r w:rsidR="006202F5" w:rsidRPr="00722821">
        <w:t xml:space="preserve">in the morning and </w:t>
      </w:r>
      <w:r w:rsidR="006202F5">
        <w:t xml:space="preserve">one </w:t>
      </w:r>
      <w:r w:rsidR="006202F5" w:rsidRPr="00722821">
        <w:t>in the evening</w:t>
      </w:r>
      <w:r w:rsidRPr="00722821">
        <w:t>.</w:t>
      </w:r>
    </w:p>
    <w:p w14:paraId="129F8634" w14:textId="77777777" w:rsidR="00753A40" w:rsidRPr="00722821" w:rsidRDefault="00753A40" w:rsidP="00C110CB">
      <w:pPr>
        <w:pStyle w:val="BodyText"/>
        <w:keepNext/>
        <w:rPr>
          <w:noProof/>
        </w:rPr>
      </w:pPr>
    </w:p>
    <w:p w14:paraId="129F8635" w14:textId="18DBB904" w:rsidR="00753A40" w:rsidRPr="00722821" w:rsidRDefault="00753A40" w:rsidP="00753A40">
      <w:pPr>
        <w:pStyle w:val="Heading3"/>
      </w:pPr>
      <w:r w:rsidRPr="00722821">
        <w:t xml:space="preserve">Use in children </w:t>
      </w:r>
      <w:r w:rsidR="00BB3045">
        <w:t>four</w:t>
      </w:r>
      <w:r w:rsidRPr="00722821">
        <w:t xml:space="preserve"> year</w:t>
      </w:r>
      <w:r w:rsidR="00BB3045">
        <w:t>s</w:t>
      </w:r>
      <w:r w:rsidRPr="00722821">
        <w:t xml:space="preserve"> of age or older and less than 30 kg </w:t>
      </w:r>
    </w:p>
    <w:p w14:paraId="129F8636" w14:textId="77777777" w:rsidR="00753A40" w:rsidRPr="00722821" w:rsidRDefault="00753A40" w:rsidP="00753A40">
      <w:pPr>
        <w:pStyle w:val="Heading4"/>
      </w:pPr>
      <w:r w:rsidRPr="00722821">
        <w:t>Patients not receiving valproate:</w:t>
      </w:r>
    </w:p>
    <w:p w14:paraId="129F8637" w14:textId="1C3C4DD8" w:rsidR="00753A40" w:rsidRDefault="00753A40" w:rsidP="00753A40">
      <w:pPr>
        <w:pStyle w:val="BodyText"/>
      </w:pPr>
      <w:r w:rsidRPr="00722821">
        <w:t xml:space="preserve">Treatment should be initiated at a total daily dose of </w:t>
      </w:r>
      <w:r w:rsidR="00940071">
        <w:t>200 mg</w:t>
      </w:r>
      <w:r w:rsidRPr="00722821">
        <w:t xml:space="preserve">. </w:t>
      </w:r>
      <w:r w:rsidR="00582549">
        <w:t>According to clinical response and tolerability, t</w:t>
      </w:r>
      <w:r w:rsidRPr="00722821">
        <w:t xml:space="preserve">he total daily dose </w:t>
      </w:r>
      <w:r w:rsidR="00582549">
        <w:t>may</w:t>
      </w:r>
      <w:r w:rsidR="00582549" w:rsidRPr="00722821">
        <w:t xml:space="preserve"> </w:t>
      </w:r>
      <w:r w:rsidRPr="00722821">
        <w:t xml:space="preserve">be increased by </w:t>
      </w:r>
      <w:r w:rsidR="00C00DB7">
        <w:t>200 </w:t>
      </w:r>
      <w:r w:rsidR="00582549">
        <w:t>mg/day</w:t>
      </w:r>
      <w:r w:rsidR="005F0869">
        <w:t xml:space="preserve"> increments</w:t>
      </w:r>
      <w:r w:rsidR="00582549">
        <w:t xml:space="preserve">, as frequently as </w:t>
      </w:r>
      <w:r w:rsidRPr="00722821">
        <w:t>every third day</w:t>
      </w:r>
      <w:r w:rsidR="00582549">
        <w:t xml:space="preserve"> up</w:t>
      </w:r>
      <w:r w:rsidRPr="00722821">
        <w:t xml:space="preserve"> to a maximum recommended total daily dose </w:t>
      </w:r>
      <w:r w:rsidR="00582549">
        <w:t>of</w:t>
      </w:r>
      <w:r w:rsidRPr="00722821">
        <w:t xml:space="preserve"> </w:t>
      </w:r>
      <w:r w:rsidR="00582549">
        <w:t>1000</w:t>
      </w:r>
      <w:r w:rsidRPr="00722821">
        <w:t> mg/day.</w:t>
      </w:r>
    </w:p>
    <w:p w14:paraId="31828FD7" w14:textId="77777777" w:rsidR="00582549" w:rsidRDefault="00582549" w:rsidP="00753A40">
      <w:pPr>
        <w:pStyle w:val="BodyText"/>
      </w:pPr>
    </w:p>
    <w:p w14:paraId="1B1258CB" w14:textId="216E6012" w:rsidR="00582549" w:rsidRPr="00722821" w:rsidRDefault="00CE1257" w:rsidP="00753A40">
      <w:pPr>
        <w:pStyle w:val="BodyText"/>
      </w:pPr>
      <w:r>
        <w:t>Total daily d</w:t>
      </w:r>
      <w:r w:rsidR="00582549" w:rsidRPr="00A02AAE">
        <w:t>oses of up to 3600 mg/day have been studied in a limited number of patients.</w:t>
      </w:r>
    </w:p>
    <w:p w14:paraId="129F8638" w14:textId="77777777" w:rsidR="00753A40" w:rsidRPr="00722821" w:rsidRDefault="00753A40" w:rsidP="00753A40">
      <w:pPr>
        <w:pStyle w:val="BodyText"/>
      </w:pPr>
    </w:p>
    <w:p w14:paraId="129F8639" w14:textId="77777777" w:rsidR="00753A40" w:rsidRPr="00722821" w:rsidRDefault="00753A40" w:rsidP="00753A40">
      <w:pPr>
        <w:pStyle w:val="Heading4"/>
      </w:pPr>
      <w:r w:rsidRPr="00722821">
        <w:t>Patients also receiving valproate:</w:t>
      </w:r>
    </w:p>
    <w:p w14:paraId="129F863A" w14:textId="487754D2" w:rsidR="00753A40" w:rsidRPr="00722821" w:rsidRDefault="00753A40" w:rsidP="00753A40">
      <w:pPr>
        <w:pStyle w:val="BodyText"/>
      </w:pPr>
      <w:r w:rsidRPr="00722821">
        <w:t xml:space="preserve">As valproate significantly decreases clearance of rufinamide, a lower maximum total daily dose of INOVELON is recommended for patients </w:t>
      </w:r>
      <w:r w:rsidR="00582549">
        <w:t xml:space="preserve">&lt;30 kg </w:t>
      </w:r>
      <w:r w:rsidRPr="00722821">
        <w:t>being co</w:t>
      </w:r>
      <w:r w:rsidR="00C00DB7">
        <w:noBreakHyphen/>
      </w:r>
      <w:r w:rsidRPr="00722821">
        <w:t xml:space="preserve">administered valproate.  Treatment should be initiated at a total daily dose of </w:t>
      </w:r>
      <w:r w:rsidR="00582549">
        <w:t>200 mg</w:t>
      </w:r>
      <w:r w:rsidRPr="00722821">
        <w:t xml:space="preserve">. </w:t>
      </w:r>
      <w:r w:rsidR="00582549">
        <w:t>According to clinical response and tolerability, after a minimum of two days t</w:t>
      </w:r>
      <w:r w:rsidRPr="00722821">
        <w:t xml:space="preserve">he total daily dose </w:t>
      </w:r>
      <w:r w:rsidR="00582549">
        <w:t xml:space="preserve">may </w:t>
      </w:r>
      <w:r w:rsidRPr="00722821">
        <w:t>be increased by</w:t>
      </w:r>
      <w:r w:rsidR="00582549">
        <w:t xml:space="preserve"> 200 mg/day, to</w:t>
      </w:r>
      <w:r w:rsidRPr="00722821">
        <w:t xml:space="preserve"> the maximum recommended total daily dose </w:t>
      </w:r>
      <w:r w:rsidR="006202F5">
        <w:t>of 600 </w:t>
      </w:r>
      <w:r w:rsidR="00582549">
        <w:t>mg/day</w:t>
      </w:r>
      <w:r w:rsidRPr="00722821">
        <w:t xml:space="preserve">. </w:t>
      </w:r>
    </w:p>
    <w:p w14:paraId="129F863B" w14:textId="77777777" w:rsidR="00753A40" w:rsidRPr="00722821" w:rsidRDefault="00753A40" w:rsidP="00753A40">
      <w:pPr>
        <w:pStyle w:val="BodyText"/>
        <w:rPr>
          <w:lang w:eastAsia="ja-JP"/>
        </w:rPr>
      </w:pPr>
    </w:p>
    <w:p w14:paraId="129F863C" w14:textId="71EB90E6" w:rsidR="00753A40" w:rsidRPr="00722821" w:rsidRDefault="00753A40" w:rsidP="00753A40">
      <w:pPr>
        <w:pStyle w:val="Heading3"/>
      </w:pPr>
      <w:r w:rsidRPr="00722821">
        <w:lastRenderedPageBreak/>
        <w:t xml:space="preserve">Use in adults, adolescents and children </w:t>
      </w:r>
      <w:r w:rsidR="006202F5">
        <w:t>four</w:t>
      </w:r>
      <w:r w:rsidR="006202F5" w:rsidRPr="00722821">
        <w:t xml:space="preserve"> year</w:t>
      </w:r>
      <w:r w:rsidR="006202F5">
        <w:t>s</w:t>
      </w:r>
      <w:r w:rsidR="00C00DB7">
        <w:t xml:space="preserve"> of age or older</w:t>
      </w:r>
      <w:r w:rsidR="006202F5">
        <w:t xml:space="preserve"> and </w:t>
      </w:r>
      <w:r w:rsidRPr="00722821">
        <w:t>30 kg or over</w:t>
      </w:r>
    </w:p>
    <w:p w14:paraId="129F863D" w14:textId="77777777" w:rsidR="00753A40" w:rsidRPr="00722821" w:rsidRDefault="00753A40" w:rsidP="00753A40">
      <w:pPr>
        <w:pStyle w:val="Heading4"/>
      </w:pPr>
      <w:r w:rsidRPr="00722821">
        <w:t>Patients not receiving valproate:</w:t>
      </w:r>
    </w:p>
    <w:p w14:paraId="129F863E" w14:textId="754CD734" w:rsidR="00753A40" w:rsidRPr="00722821" w:rsidRDefault="00753A40" w:rsidP="00753A40">
      <w:pPr>
        <w:pStyle w:val="BodyText"/>
      </w:pPr>
      <w:r w:rsidRPr="00722821">
        <w:t xml:space="preserve">Treatment should be initiated at a total daily dose of </w:t>
      </w:r>
      <w:r w:rsidR="005F0869">
        <w:t>400 mg</w:t>
      </w:r>
      <w:r w:rsidRPr="00722821">
        <w:t xml:space="preserve">. </w:t>
      </w:r>
      <w:r w:rsidR="005F0869">
        <w:t>According to clinical response and tolerability, t</w:t>
      </w:r>
      <w:r w:rsidRPr="00722821">
        <w:t xml:space="preserve">he total daily dose </w:t>
      </w:r>
      <w:r w:rsidR="005F0869">
        <w:t xml:space="preserve">may </w:t>
      </w:r>
      <w:r w:rsidRPr="00722821">
        <w:t xml:space="preserve">be increased by </w:t>
      </w:r>
      <w:r w:rsidR="006202F5">
        <w:t>400 </w:t>
      </w:r>
      <w:r w:rsidR="00CE1257">
        <w:t xml:space="preserve">mg/day increments, as frequently as </w:t>
      </w:r>
      <w:r w:rsidRPr="00722821">
        <w:t>every other day</w:t>
      </w:r>
      <w:r w:rsidR="00940071">
        <w:t xml:space="preserve"> up</w:t>
      </w:r>
      <w:r w:rsidRPr="00722821">
        <w:t xml:space="preserve"> to a maximum recommended </w:t>
      </w:r>
      <w:r w:rsidR="00CE1257">
        <w:t xml:space="preserve">total daily </w:t>
      </w:r>
      <w:r w:rsidRPr="00722821">
        <w:t xml:space="preserve">dose as </w:t>
      </w:r>
      <w:r w:rsidR="00CE1257">
        <w:t xml:space="preserve">indicated in </w:t>
      </w:r>
      <w:r w:rsidRPr="00722821">
        <w:t xml:space="preserve">the table below. </w:t>
      </w:r>
    </w:p>
    <w:p w14:paraId="129F863F" w14:textId="77777777" w:rsidR="00753A40" w:rsidRPr="00722821" w:rsidRDefault="00753A40" w:rsidP="00753A40">
      <w:pPr>
        <w:pStyle w:val="BodyText"/>
      </w:pPr>
    </w:p>
    <w:tbl>
      <w:tblPr>
        <w:tblW w:w="0" w:type="auto"/>
        <w:jc w:val="center"/>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5"/>
        <w:gridCol w:w="2025"/>
        <w:gridCol w:w="2025"/>
        <w:gridCol w:w="2025"/>
      </w:tblGrid>
      <w:tr w:rsidR="00753A40" w:rsidRPr="00722821" w14:paraId="129F8644" w14:textId="77777777" w:rsidTr="00BA107F">
        <w:trPr>
          <w:jc w:val="center"/>
        </w:trPr>
        <w:tc>
          <w:tcPr>
            <w:tcW w:w="2025" w:type="dxa"/>
            <w:tcBorders>
              <w:bottom w:val="nil"/>
            </w:tcBorders>
          </w:tcPr>
          <w:p w14:paraId="129F8640" w14:textId="77777777" w:rsidR="00753A40" w:rsidRPr="00722821" w:rsidRDefault="00753A40" w:rsidP="00C110CB">
            <w:pPr>
              <w:pStyle w:val="TableText"/>
              <w:keepNext/>
            </w:pPr>
            <w:r w:rsidRPr="00722821">
              <w:t>Weight range</w:t>
            </w:r>
          </w:p>
        </w:tc>
        <w:tc>
          <w:tcPr>
            <w:tcW w:w="2025" w:type="dxa"/>
          </w:tcPr>
          <w:p w14:paraId="129F8641" w14:textId="77777777" w:rsidR="00753A40" w:rsidRPr="00722821" w:rsidRDefault="00753A40" w:rsidP="00C110CB">
            <w:pPr>
              <w:pStyle w:val="TableText"/>
              <w:keepNext/>
            </w:pPr>
            <w:r w:rsidRPr="00722821">
              <w:t>30.0 – 50.0 kg</w:t>
            </w:r>
          </w:p>
        </w:tc>
        <w:tc>
          <w:tcPr>
            <w:tcW w:w="2025" w:type="dxa"/>
          </w:tcPr>
          <w:p w14:paraId="129F8642" w14:textId="77777777" w:rsidR="00753A40" w:rsidRPr="00722821" w:rsidRDefault="00753A40" w:rsidP="00C110CB">
            <w:pPr>
              <w:pStyle w:val="TableText"/>
              <w:keepNext/>
            </w:pPr>
            <w:r w:rsidRPr="00722821">
              <w:t>50.1 – 70.0 kg</w:t>
            </w:r>
          </w:p>
        </w:tc>
        <w:tc>
          <w:tcPr>
            <w:tcW w:w="2025" w:type="dxa"/>
          </w:tcPr>
          <w:p w14:paraId="129F8643" w14:textId="77777777" w:rsidR="00753A40" w:rsidRPr="00722821" w:rsidRDefault="00753A40" w:rsidP="00C110CB">
            <w:pPr>
              <w:pStyle w:val="TableText"/>
              <w:keepNext/>
            </w:pPr>
            <w:r w:rsidRPr="00722821">
              <w:sym w:font="Symbol" w:char="F0B3"/>
            </w:r>
            <w:r w:rsidRPr="00722821">
              <w:t>70.1 kg</w:t>
            </w:r>
          </w:p>
        </w:tc>
      </w:tr>
      <w:tr w:rsidR="00753A40" w:rsidRPr="00722821" w14:paraId="129F8649" w14:textId="77777777" w:rsidTr="00BA107F">
        <w:trPr>
          <w:jc w:val="center"/>
        </w:trPr>
        <w:tc>
          <w:tcPr>
            <w:tcW w:w="2025" w:type="dxa"/>
          </w:tcPr>
          <w:p w14:paraId="129F8645" w14:textId="77777777" w:rsidR="00753A40" w:rsidRPr="00722821" w:rsidRDefault="00753A40" w:rsidP="00C110CB">
            <w:pPr>
              <w:pStyle w:val="TableText"/>
              <w:keepNext/>
            </w:pPr>
            <w:r w:rsidRPr="00722821">
              <w:t xml:space="preserve">Maximum recommended total daily dose </w:t>
            </w:r>
          </w:p>
        </w:tc>
        <w:tc>
          <w:tcPr>
            <w:tcW w:w="2025" w:type="dxa"/>
          </w:tcPr>
          <w:p w14:paraId="129F8646" w14:textId="1FE8D097" w:rsidR="00753A40" w:rsidRPr="00722821" w:rsidRDefault="00753A40" w:rsidP="00C110CB">
            <w:pPr>
              <w:pStyle w:val="TableText"/>
              <w:keepNext/>
            </w:pPr>
            <w:r w:rsidRPr="00722821">
              <w:t xml:space="preserve">1,800 mg/day </w:t>
            </w:r>
          </w:p>
        </w:tc>
        <w:tc>
          <w:tcPr>
            <w:tcW w:w="2025" w:type="dxa"/>
          </w:tcPr>
          <w:p w14:paraId="129F8647" w14:textId="4196FD82" w:rsidR="00753A40" w:rsidRPr="00722821" w:rsidRDefault="00753A40" w:rsidP="00C110CB">
            <w:pPr>
              <w:pStyle w:val="TableText"/>
              <w:keepNext/>
            </w:pPr>
            <w:r w:rsidRPr="00722821">
              <w:t xml:space="preserve">2,400 mg/day </w:t>
            </w:r>
          </w:p>
        </w:tc>
        <w:tc>
          <w:tcPr>
            <w:tcW w:w="2025" w:type="dxa"/>
          </w:tcPr>
          <w:p w14:paraId="129F8648" w14:textId="7CB68FDF" w:rsidR="00753A40" w:rsidRPr="00722821" w:rsidRDefault="00753A40" w:rsidP="00C110CB">
            <w:pPr>
              <w:pStyle w:val="TableText"/>
              <w:keepNext/>
            </w:pPr>
            <w:r w:rsidRPr="00722821">
              <w:t xml:space="preserve">3,200 mg/day </w:t>
            </w:r>
          </w:p>
        </w:tc>
      </w:tr>
    </w:tbl>
    <w:p w14:paraId="129F864A" w14:textId="77777777" w:rsidR="00753A40" w:rsidRPr="00722821" w:rsidRDefault="00753A40" w:rsidP="00753A40">
      <w:pPr>
        <w:pStyle w:val="BodyText"/>
      </w:pPr>
    </w:p>
    <w:p w14:paraId="129F864B" w14:textId="77777777" w:rsidR="00753A40" w:rsidRPr="00722821" w:rsidRDefault="00753A40" w:rsidP="00753A40">
      <w:pPr>
        <w:pStyle w:val="BodyText"/>
      </w:pPr>
      <w:r w:rsidRPr="00722821">
        <w:t xml:space="preserve">Total daily doses of up to 4,000 mg/day (in the 30 -50 kg range) or 4,800 mg/day (in the over 50 kg range) have been studied in a limited number of patients. </w:t>
      </w:r>
    </w:p>
    <w:p w14:paraId="129F864C" w14:textId="77777777" w:rsidR="00753A40" w:rsidRPr="00722821" w:rsidRDefault="00753A40" w:rsidP="00753A40">
      <w:pPr>
        <w:pStyle w:val="BodyText"/>
      </w:pPr>
    </w:p>
    <w:p w14:paraId="129F864D" w14:textId="77777777" w:rsidR="00753A40" w:rsidRPr="00722821" w:rsidRDefault="00753A40" w:rsidP="00753A40">
      <w:pPr>
        <w:pStyle w:val="Heading4"/>
      </w:pPr>
      <w:r w:rsidRPr="00722821">
        <w:t>Patients receiving valproate:</w:t>
      </w:r>
    </w:p>
    <w:p w14:paraId="129F864E" w14:textId="42487BBD" w:rsidR="00753A40" w:rsidRPr="00722821" w:rsidRDefault="006202F5" w:rsidP="00753A40">
      <w:pPr>
        <w:pStyle w:val="BodyText"/>
      </w:pPr>
      <w:r w:rsidRPr="00722821">
        <w:t xml:space="preserve">As valproate significantly decreases clearance of rufinamide, a lower maximum total daily dose of INOVELON is recommended for </w:t>
      </w:r>
      <w:proofErr w:type="gramStart"/>
      <w:r w:rsidRPr="00722821">
        <w:t>patients</w:t>
      </w:r>
      <w:proofErr w:type="gramEnd"/>
      <w:r w:rsidRPr="00722821">
        <w:t xml:space="preserve"> </w:t>
      </w:r>
      <w:r>
        <w:rPr>
          <w:rFonts w:cs="Times New Roman"/>
        </w:rPr>
        <w:t>≥</w:t>
      </w:r>
      <w:r>
        <w:t xml:space="preserve">30 kg </w:t>
      </w:r>
      <w:r w:rsidR="00C00DB7">
        <w:t>being co</w:t>
      </w:r>
      <w:r w:rsidR="00C00DB7">
        <w:noBreakHyphen/>
      </w:r>
      <w:r w:rsidRPr="00722821">
        <w:t>administered valproate.</w:t>
      </w:r>
      <w:r>
        <w:t xml:space="preserve"> </w:t>
      </w:r>
      <w:r w:rsidR="00753A40" w:rsidRPr="00722821">
        <w:t xml:space="preserve">Treatment should be initiated at a total daily dose of </w:t>
      </w:r>
      <w:r w:rsidR="00940071">
        <w:t>400 mg</w:t>
      </w:r>
      <w:r w:rsidR="00753A40" w:rsidRPr="00722821">
        <w:t xml:space="preserve">. </w:t>
      </w:r>
      <w:r w:rsidR="00940071">
        <w:t>According to clinical response and tolerability, t</w:t>
      </w:r>
      <w:r w:rsidR="00753A40" w:rsidRPr="00722821">
        <w:t>he total daily dose</w:t>
      </w:r>
      <w:r w:rsidR="00940071">
        <w:t xml:space="preserve"> may</w:t>
      </w:r>
      <w:r w:rsidR="00753A40" w:rsidRPr="00722821">
        <w:t xml:space="preserve"> be increased by </w:t>
      </w:r>
      <w:r w:rsidR="00940071">
        <w:t>400</w:t>
      </w:r>
      <w:r w:rsidR="00C00DB7">
        <w:t> </w:t>
      </w:r>
      <w:r w:rsidR="00940071">
        <w:t>mg/day increments,</w:t>
      </w:r>
      <w:r w:rsidR="00753A40" w:rsidRPr="00722821">
        <w:t xml:space="preserve"> </w:t>
      </w:r>
      <w:r w:rsidR="00940071">
        <w:t xml:space="preserve">as frequently as </w:t>
      </w:r>
      <w:r w:rsidR="00753A40" w:rsidRPr="00722821">
        <w:t>every other day</w:t>
      </w:r>
      <w:r w:rsidR="00940071">
        <w:t xml:space="preserve"> up</w:t>
      </w:r>
      <w:r w:rsidR="00753A40" w:rsidRPr="00722821">
        <w:t xml:space="preserve"> to a maximum recommended </w:t>
      </w:r>
      <w:r w:rsidR="00940071">
        <w:t xml:space="preserve">total daily </w:t>
      </w:r>
      <w:r w:rsidR="00753A40" w:rsidRPr="00722821">
        <w:t xml:space="preserve">dose as </w:t>
      </w:r>
      <w:r w:rsidR="00940071">
        <w:t>indicated in</w:t>
      </w:r>
      <w:r w:rsidR="00753A40" w:rsidRPr="00722821">
        <w:t xml:space="preserve"> the table below</w:t>
      </w:r>
    </w:p>
    <w:p w14:paraId="129F864F" w14:textId="77777777" w:rsidR="00753A40" w:rsidRPr="00722821" w:rsidRDefault="00753A40" w:rsidP="000A05F2">
      <w:pPr>
        <w:pStyle w:val="BodyText"/>
      </w:pPr>
    </w:p>
    <w:tbl>
      <w:tblPr>
        <w:tblW w:w="8347" w:type="dxa"/>
        <w:tblInd w:w="383" w:type="dxa"/>
        <w:tblCellMar>
          <w:top w:w="38" w:type="dxa"/>
          <w:left w:w="83" w:type="dxa"/>
          <w:right w:w="127" w:type="dxa"/>
        </w:tblCellMar>
        <w:tblLook w:val="04A0" w:firstRow="1" w:lastRow="0" w:firstColumn="1" w:lastColumn="0" w:noHBand="0" w:noVBand="1"/>
      </w:tblPr>
      <w:tblGrid>
        <w:gridCol w:w="2252"/>
        <w:gridCol w:w="1984"/>
        <w:gridCol w:w="1985"/>
        <w:gridCol w:w="2126"/>
      </w:tblGrid>
      <w:tr w:rsidR="00753A40" w:rsidRPr="00722821" w14:paraId="129F8654" w14:textId="77777777" w:rsidTr="00BA107F">
        <w:trPr>
          <w:cantSplit/>
          <w:trHeight w:val="223"/>
        </w:trPr>
        <w:tc>
          <w:tcPr>
            <w:tcW w:w="2252" w:type="dxa"/>
            <w:tcBorders>
              <w:top w:val="single" w:sz="3" w:space="0" w:color="000000"/>
              <w:left w:val="single" w:sz="3" w:space="0" w:color="000000"/>
              <w:bottom w:val="single" w:sz="3" w:space="0" w:color="000000"/>
              <w:right w:val="single" w:sz="4" w:space="0" w:color="000000"/>
            </w:tcBorders>
          </w:tcPr>
          <w:p w14:paraId="129F8650" w14:textId="77777777" w:rsidR="00753A40" w:rsidRPr="00722821" w:rsidRDefault="00753A40" w:rsidP="00753A40">
            <w:pPr>
              <w:pStyle w:val="TableText"/>
            </w:pPr>
            <w:r w:rsidRPr="00722821">
              <w:t>Weight range</w:t>
            </w:r>
          </w:p>
        </w:tc>
        <w:tc>
          <w:tcPr>
            <w:tcW w:w="1984" w:type="dxa"/>
            <w:tcBorders>
              <w:top w:val="single" w:sz="3" w:space="0" w:color="000000"/>
              <w:left w:val="single" w:sz="4" w:space="0" w:color="000000"/>
              <w:bottom w:val="single" w:sz="3" w:space="0" w:color="000000"/>
              <w:right w:val="single" w:sz="3" w:space="0" w:color="000000"/>
            </w:tcBorders>
          </w:tcPr>
          <w:p w14:paraId="129F8651" w14:textId="77777777" w:rsidR="00753A40" w:rsidRPr="00722821" w:rsidRDefault="00753A40" w:rsidP="00753A40">
            <w:pPr>
              <w:pStyle w:val="TableText"/>
            </w:pPr>
            <w:r w:rsidRPr="00722821">
              <w:t>30.0 – 50.0 kg</w:t>
            </w:r>
          </w:p>
        </w:tc>
        <w:tc>
          <w:tcPr>
            <w:tcW w:w="1985" w:type="dxa"/>
            <w:tcBorders>
              <w:top w:val="single" w:sz="3" w:space="0" w:color="000000"/>
              <w:left w:val="single" w:sz="3" w:space="0" w:color="000000"/>
              <w:bottom w:val="single" w:sz="3" w:space="0" w:color="000000"/>
              <w:right w:val="single" w:sz="3" w:space="0" w:color="000000"/>
            </w:tcBorders>
          </w:tcPr>
          <w:p w14:paraId="129F8652" w14:textId="77777777" w:rsidR="00753A40" w:rsidRPr="00722821" w:rsidRDefault="00753A40" w:rsidP="00753A40">
            <w:pPr>
              <w:pStyle w:val="TableText"/>
            </w:pPr>
            <w:r w:rsidRPr="00722821">
              <w:t>50.1 – 70.0 kg</w:t>
            </w:r>
          </w:p>
        </w:tc>
        <w:tc>
          <w:tcPr>
            <w:tcW w:w="2126" w:type="dxa"/>
            <w:tcBorders>
              <w:top w:val="single" w:sz="3" w:space="0" w:color="000000"/>
              <w:left w:val="single" w:sz="3" w:space="0" w:color="000000"/>
              <w:bottom w:val="single" w:sz="3" w:space="0" w:color="000000"/>
              <w:right w:val="single" w:sz="3" w:space="0" w:color="000000"/>
            </w:tcBorders>
          </w:tcPr>
          <w:p w14:paraId="129F8653" w14:textId="77777777" w:rsidR="00753A40" w:rsidRPr="00722821" w:rsidRDefault="00753A40" w:rsidP="00753A40">
            <w:pPr>
              <w:pStyle w:val="TableText"/>
            </w:pPr>
            <w:r w:rsidRPr="00722821">
              <w:t>≥70.1 kg</w:t>
            </w:r>
          </w:p>
        </w:tc>
      </w:tr>
      <w:tr w:rsidR="00753A40" w:rsidRPr="00722821" w14:paraId="129F8659" w14:textId="77777777" w:rsidTr="00BA107F">
        <w:trPr>
          <w:cantSplit/>
          <w:trHeight w:val="408"/>
        </w:trPr>
        <w:tc>
          <w:tcPr>
            <w:tcW w:w="2252" w:type="dxa"/>
            <w:tcBorders>
              <w:top w:val="single" w:sz="3" w:space="0" w:color="000000"/>
              <w:left w:val="single" w:sz="3" w:space="0" w:color="000000"/>
              <w:bottom w:val="single" w:sz="3" w:space="0" w:color="000000"/>
              <w:right w:val="single" w:sz="4" w:space="0" w:color="000000"/>
            </w:tcBorders>
          </w:tcPr>
          <w:p w14:paraId="129F8655" w14:textId="77777777" w:rsidR="00753A40" w:rsidRPr="00722821" w:rsidRDefault="00753A40" w:rsidP="00753A40">
            <w:pPr>
              <w:pStyle w:val="TableText"/>
            </w:pPr>
            <w:r w:rsidRPr="00722821">
              <w:t xml:space="preserve">Maximum recommended total daily dose </w:t>
            </w:r>
          </w:p>
        </w:tc>
        <w:tc>
          <w:tcPr>
            <w:tcW w:w="1984" w:type="dxa"/>
            <w:tcBorders>
              <w:top w:val="single" w:sz="3" w:space="0" w:color="000000"/>
              <w:left w:val="single" w:sz="4" w:space="0" w:color="000000"/>
              <w:bottom w:val="single" w:sz="3" w:space="0" w:color="000000"/>
              <w:right w:val="single" w:sz="3" w:space="0" w:color="000000"/>
            </w:tcBorders>
          </w:tcPr>
          <w:p w14:paraId="129F8656" w14:textId="667D2461" w:rsidR="00753A40" w:rsidRPr="00722821" w:rsidRDefault="00753A40" w:rsidP="004C606A">
            <w:pPr>
              <w:pStyle w:val="TableText"/>
            </w:pPr>
            <w:r w:rsidRPr="00722821">
              <w:t>1,</w:t>
            </w:r>
            <w:r w:rsidR="00940071">
              <w:t>2</w:t>
            </w:r>
            <w:r w:rsidRPr="00722821">
              <w:t xml:space="preserve">00 mg/day </w:t>
            </w:r>
          </w:p>
        </w:tc>
        <w:tc>
          <w:tcPr>
            <w:tcW w:w="1985" w:type="dxa"/>
            <w:tcBorders>
              <w:top w:val="single" w:sz="3" w:space="0" w:color="000000"/>
              <w:left w:val="single" w:sz="3" w:space="0" w:color="000000"/>
              <w:bottom w:val="single" w:sz="3" w:space="0" w:color="000000"/>
              <w:right w:val="single" w:sz="3" w:space="0" w:color="000000"/>
            </w:tcBorders>
          </w:tcPr>
          <w:p w14:paraId="129F8657" w14:textId="203D09AF" w:rsidR="00753A40" w:rsidRPr="00722821" w:rsidRDefault="00940071" w:rsidP="004C606A">
            <w:pPr>
              <w:pStyle w:val="TableText"/>
            </w:pPr>
            <w:r>
              <w:t>1</w:t>
            </w:r>
            <w:r w:rsidR="00753A40" w:rsidRPr="00722821">
              <w:t>,</w:t>
            </w:r>
            <w:r>
              <w:t>6</w:t>
            </w:r>
            <w:r w:rsidR="00753A40" w:rsidRPr="00722821">
              <w:t xml:space="preserve">00 mg/day </w:t>
            </w:r>
          </w:p>
        </w:tc>
        <w:tc>
          <w:tcPr>
            <w:tcW w:w="2126" w:type="dxa"/>
            <w:tcBorders>
              <w:top w:val="single" w:sz="3" w:space="0" w:color="000000"/>
              <w:left w:val="single" w:sz="3" w:space="0" w:color="000000"/>
              <w:bottom w:val="single" w:sz="3" w:space="0" w:color="000000"/>
              <w:right w:val="single" w:sz="3" w:space="0" w:color="000000"/>
            </w:tcBorders>
          </w:tcPr>
          <w:p w14:paraId="129F8658" w14:textId="5A1C5E6A" w:rsidR="00753A40" w:rsidRPr="00722821" w:rsidRDefault="00753A40" w:rsidP="004C606A">
            <w:pPr>
              <w:pStyle w:val="TableText"/>
            </w:pPr>
            <w:r w:rsidRPr="00722821">
              <w:t>2,</w:t>
            </w:r>
            <w:r w:rsidR="00940071">
              <w:t>2</w:t>
            </w:r>
            <w:r w:rsidRPr="00722821">
              <w:t xml:space="preserve">00 mg/day </w:t>
            </w:r>
          </w:p>
        </w:tc>
      </w:tr>
    </w:tbl>
    <w:p w14:paraId="129F865A" w14:textId="77777777" w:rsidR="00753A40" w:rsidRPr="00722821" w:rsidRDefault="00753A40" w:rsidP="00753A40">
      <w:pPr>
        <w:pStyle w:val="BodyText"/>
      </w:pPr>
    </w:p>
    <w:p w14:paraId="129F865F" w14:textId="07DE63A1" w:rsidR="00753A40" w:rsidRPr="00722821" w:rsidRDefault="00753A40" w:rsidP="00753A40">
      <w:pPr>
        <w:pStyle w:val="Heading3"/>
      </w:pPr>
      <w:r w:rsidRPr="00722821">
        <w:t>Dosage adjustment in renal impairment</w:t>
      </w:r>
    </w:p>
    <w:p w14:paraId="129F8660" w14:textId="79A0C9C3" w:rsidR="00753A40" w:rsidRPr="00722821" w:rsidRDefault="00753A40" w:rsidP="00753A40">
      <w:pPr>
        <w:pStyle w:val="BodyText"/>
      </w:pPr>
      <w:r w:rsidRPr="00722821">
        <w:t>A study in patients with severe renal impairment indicated that no dose adjustments are required for these patients (</w:t>
      </w:r>
      <w:r w:rsidR="00252BBC" w:rsidRPr="00722821">
        <w:t>see Section </w:t>
      </w:r>
      <w:r w:rsidR="00252BBC" w:rsidRPr="00722821">
        <w:fldChar w:fldCharType="begin"/>
      </w:r>
      <w:r w:rsidR="00252BBC" w:rsidRPr="00722821">
        <w:instrText xml:space="preserve"> REF _Ref506278832 \r \h </w:instrText>
      </w:r>
      <w:r w:rsidR="00252BBC" w:rsidRPr="00722821">
        <w:fldChar w:fldCharType="separate"/>
      </w:r>
      <w:r w:rsidR="00252BBC" w:rsidRPr="00722821">
        <w:t>5.2</w:t>
      </w:r>
      <w:r w:rsidR="00252BBC" w:rsidRPr="00722821">
        <w:fldChar w:fldCharType="end"/>
      </w:r>
      <w:r w:rsidR="00BB3045">
        <w:t xml:space="preserve"> Pharmacokinetic properties</w:t>
      </w:r>
      <w:r w:rsidRPr="00722821">
        <w:t xml:space="preserve">). </w:t>
      </w:r>
    </w:p>
    <w:p w14:paraId="129F8661" w14:textId="77777777" w:rsidR="00753A40" w:rsidRPr="00722821" w:rsidRDefault="00753A40" w:rsidP="000A05F2">
      <w:pPr>
        <w:pStyle w:val="BodyText"/>
      </w:pPr>
    </w:p>
    <w:p w14:paraId="129F8662" w14:textId="77777777" w:rsidR="00753A40" w:rsidRPr="00722821" w:rsidRDefault="00753A40" w:rsidP="00753A40">
      <w:pPr>
        <w:pStyle w:val="Heading3"/>
      </w:pPr>
      <w:r w:rsidRPr="00722821">
        <w:t>Dosage adjustment in hepatic impairment</w:t>
      </w:r>
    </w:p>
    <w:p w14:paraId="129F8663" w14:textId="28693979" w:rsidR="00753A40" w:rsidRPr="00722821" w:rsidRDefault="00753A40" w:rsidP="00753A40">
      <w:pPr>
        <w:pStyle w:val="BodyText"/>
      </w:pPr>
      <w:r w:rsidRPr="00722821">
        <w:rPr>
          <w:lang w:eastAsia="en-GB"/>
        </w:rPr>
        <w:t>Use in patients with hepatic impairment has not been studied. Caution and careful dose titration is recommended when</w:t>
      </w:r>
      <w:r w:rsidRPr="00722821">
        <w:t xml:space="preserve"> treating patients with mild to moderate hepatic impairment. </w:t>
      </w:r>
      <w:r w:rsidR="00412492" w:rsidRPr="00722821">
        <w:t>INOVELON</w:t>
      </w:r>
      <w:r w:rsidR="00412492" w:rsidRPr="00722821">
        <w:rPr>
          <w:lang w:eastAsia="en-GB"/>
        </w:rPr>
        <w:t xml:space="preserve"> </w:t>
      </w:r>
      <w:r w:rsidR="00412492">
        <w:rPr>
          <w:lang w:eastAsia="en-GB"/>
        </w:rPr>
        <w:t xml:space="preserve">should not be used </w:t>
      </w:r>
      <w:r w:rsidR="00412492" w:rsidRPr="00722821">
        <w:rPr>
          <w:lang w:eastAsia="en-GB"/>
        </w:rPr>
        <w:t>in patients with severe hepatic impairment</w:t>
      </w:r>
      <w:r w:rsidR="00412492">
        <w:rPr>
          <w:lang w:eastAsia="en-GB"/>
        </w:rPr>
        <w:t>.</w:t>
      </w:r>
    </w:p>
    <w:p w14:paraId="129F8664" w14:textId="77777777" w:rsidR="00753A40" w:rsidRPr="00722821" w:rsidRDefault="00753A40" w:rsidP="00753A40">
      <w:pPr>
        <w:pStyle w:val="BodyText"/>
        <w:rPr>
          <w:i/>
        </w:rPr>
      </w:pPr>
    </w:p>
    <w:p w14:paraId="129F8665" w14:textId="77777777" w:rsidR="00753A40" w:rsidRPr="00722821" w:rsidRDefault="00753A40" w:rsidP="00753A40">
      <w:pPr>
        <w:pStyle w:val="Heading3"/>
      </w:pPr>
      <w:r w:rsidRPr="00722821">
        <w:lastRenderedPageBreak/>
        <w:t>Discontinuation of treatment</w:t>
      </w:r>
    </w:p>
    <w:p w14:paraId="129F8666" w14:textId="67CEA58E" w:rsidR="00753A40" w:rsidRPr="00722821" w:rsidRDefault="00753A40" w:rsidP="00753A40">
      <w:pPr>
        <w:pStyle w:val="BodyText"/>
      </w:pPr>
      <w:r w:rsidRPr="00722821">
        <w:t xml:space="preserve">When INOVELON treatment is to be discontinued, it should be withdrawn gradually. In clinical trials INOVELON discontinuation was achieved by reducing the dose by approximately 25% every two days (see </w:t>
      </w:r>
      <w:r w:rsidR="00252BBC" w:rsidRPr="00722821">
        <w:t>Section </w:t>
      </w:r>
      <w:r w:rsidR="00252BBC" w:rsidRPr="00722821">
        <w:fldChar w:fldCharType="begin"/>
      </w:r>
      <w:r w:rsidR="00252BBC" w:rsidRPr="00722821">
        <w:instrText xml:space="preserve"> REF _Ref503187146 \r \h </w:instrText>
      </w:r>
      <w:r w:rsidR="00252BBC" w:rsidRPr="00722821">
        <w:fldChar w:fldCharType="separate"/>
      </w:r>
      <w:r w:rsidR="00252BBC" w:rsidRPr="00722821">
        <w:t>4.4</w:t>
      </w:r>
      <w:r w:rsidR="00252BBC" w:rsidRPr="00722821">
        <w:fldChar w:fldCharType="end"/>
      </w:r>
      <w:r w:rsidR="00BB3045">
        <w:t xml:space="preserve"> Special warnings and precautions for use</w:t>
      </w:r>
      <w:r w:rsidRPr="00722821">
        <w:t>).</w:t>
      </w:r>
    </w:p>
    <w:p w14:paraId="129F8667" w14:textId="77777777" w:rsidR="00753A40" w:rsidRPr="00722821" w:rsidRDefault="00753A40" w:rsidP="000A05F2">
      <w:pPr>
        <w:pStyle w:val="BodyText"/>
      </w:pPr>
    </w:p>
    <w:p w14:paraId="129F8668" w14:textId="77777777" w:rsidR="00753A40" w:rsidRPr="00722821" w:rsidRDefault="00753A40" w:rsidP="00753A40">
      <w:pPr>
        <w:pStyle w:val="BodyText"/>
        <w:rPr>
          <w:lang w:eastAsia="en-GB"/>
        </w:rPr>
      </w:pPr>
      <w:r w:rsidRPr="00722821">
        <w:rPr>
          <w:lang w:eastAsia="en-GB"/>
        </w:rPr>
        <w:t>In the case of one or more missed doses, individualised clinical judgement is necessary.</w:t>
      </w:r>
    </w:p>
    <w:p w14:paraId="129F8669" w14:textId="77777777" w:rsidR="00753A40" w:rsidRPr="00722821" w:rsidRDefault="00753A40" w:rsidP="00753A40">
      <w:pPr>
        <w:pStyle w:val="BodyText"/>
        <w:rPr>
          <w:lang w:eastAsia="en-GB"/>
        </w:rPr>
      </w:pPr>
    </w:p>
    <w:p w14:paraId="129F866A" w14:textId="3695ED72" w:rsidR="00753A40" w:rsidRPr="00722821" w:rsidRDefault="00753A40" w:rsidP="00753A40">
      <w:pPr>
        <w:pStyle w:val="BodyText"/>
        <w:rPr>
          <w:i/>
        </w:rPr>
      </w:pPr>
      <w:r w:rsidRPr="00722821">
        <w:t>Recent uncontrolled, open-label studies have suggested that treatment may provide long-term efficacy over a two year period.</w:t>
      </w:r>
    </w:p>
    <w:p w14:paraId="129F866B" w14:textId="77777777" w:rsidR="00753A40" w:rsidRPr="00722821" w:rsidRDefault="00753A40" w:rsidP="00753A40">
      <w:pPr>
        <w:pStyle w:val="BodyText"/>
        <w:rPr>
          <w:i/>
        </w:rPr>
      </w:pPr>
    </w:p>
    <w:p w14:paraId="129F866C" w14:textId="77777777" w:rsidR="00753A40" w:rsidRPr="00722821" w:rsidDel="00EE593B" w:rsidRDefault="00753A40" w:rsidP="00753A40">
      <w:pPr>
        <w:pStyle w:val="Heading3"/>
      </w:pPr>
      <w:r w:rsidRPr="00722821" w:rsidDel="00EE593B">
        <w:t>Paediatric population</w:t>
      </w:r>
    </w:p>
    <w:p w14:paraId="129F866D" w14:textId="77777777" w:rsidR="00753A40" w:rsidRPr="00722821" w:rsidRDefault="00753A40" w:rsidP="00753A40">
      <w:pPr>
        <w:pStyle w:val="BodyText"/>
        <w:rPr>
          <w:noProof/>
        </w:rPr>
      </w:pPr>
      <w:r w:rsidRPr="00722821">
        <w:rPr>
          <w:noProof/>
        </w:rPr>
        <w:t>The population PK analysis of INOVELON in a total of 115 patients, including 85 paediatric patients (24 patients ages 1 to 3 years, 40 patients ages 4 to 11 years, and 21 patients ages 12 to 17 years) indicated that no dose adjustment is required for paediatric patients because of age.</w:t>
      </w:r>
    </w:p>
    <w:p w14:paraId="129F866E" w14:textId="77777777" w:rsidR="00753A40" w:rsidRPr="00722821" w:rsidRDefault="00753A40" w:rsidP="00753A40">
      <w:pPr>
        <w:pStyle w:val="BodyText"/>
        <w:rPr>
          <w:noProof/>
        </w:rPr>
      </w:pPr>
    </w:p>
    <w:p w14:paraId="570D3DBC" w14:textId="61116DFE" w:rsidR="00E318D4" w:rsidRDefault="00E318D4" w:rsidP="00753A40">
      <w:pPr>
        <w:pStyle w:val="BodyText"/>
      </w:pPr>
      <w:r w:rsidRPr="00E318D4">
        <w:t xml:space="preserve">The efficacy of </w:t>
      </w:r>
      <w:r>
        <w:t xml:space="preserve">INOVELON </w:t>
      </w:r>
      <w:r w:rsidRPr="00E318D4">
        <w:t xml:space="preserve">in children aged 4 years and less has not yet been established. Currently available data are described in </w:t>
      </w:r>
      <w:r w:rsidR="00F31585">
        <w:t>S</w:t>
      </w:r>
      <w:r w:rsidRPr="00E318D4">
        <w:t xml:space="preserve">ection </w:t>
      </w:r>
      <w:r w:rsidR="00F31585">
        <w:fldChar w:fldCharType="begin"/>
      </w:r>
      <w:r w:rsidR="00F31585">
        <w:instrText xml:space="preserve"> REF _Ref513814768 \r \h </w:instrText>
      </w:r>
      <w:r w:rsidR="00F31585">
        <w:fldChar w:fldCharType="separate"/>
      </w:r>
      <w:r w:rsidR="00F31585">
        <w:t>4.8</w:t>
      </w:r>
      <w:r w:rsidR="00F31585">
        <w:fldChar w:fldCharType="end"/>
      </w:r>
      <w:r w:rsidR="00F31585">
        <w:t xml:space="preserve"> Adverse Effects </w:t>
      </w:r>
      <w:r w:rsidRPr="00E318D4">
        <w:t xml:space="preserve">and </w:t>
      </w:r>
      <w:r w:rsidR="00F31585">
        <w:fldChar w:fldCharType="begin"/>
      </w:r>
      <w:r w:rsidR="00F31585">
        <w:instrText xml:space="preserve"> REF _Ref513814776 \r \h </w:instrText>
      </w:r>
      <w:r w:rsidR="00F31585">
        <w:fldChar w:fldCharType="separate"/>
      </w:r>
      <w:r w:rsidR="00F31585">
        <w:t>5.1</w:t>
      </w:r>
      <w:r w:rsidR="00F31585">
        <w:fldChar w:fldCharType="end"/>
      </w:r>
      <w:r w:rsidR="00F31585">
        <w:t xml:space="preserve"> </w:t>
      </w:r>
      <w:proofErr w:type="spellStart"/>
      <w:r w:rsidR="00F31585">
        <w:t>Pharmacodynamic</w:t>
      </w:r>
      <w:proofErr w:type="spellEnd"/>
      <w:r w:rsidR="00F31585">
        <w:t xml:space="preserve"> properties </w:t>
      </w:r>
      <w:r w:rsidRPr="00E318D4">
        <w:t>but no recommendation on a posology can be made.</w:t>
      </w:r>
      <w:r w:rsidRPr="00E318D4" w:rsidDel="00E318D4">
        <w:t xml:space="preserve"> </w:t>
      </w:r>
    </w:p>
    <w:p w14:paraId="129F8670" w14:textId="0DC7C534" w:rsidR="00753A40" w:rsidRPr="00722821" w:rsidRDefault="00753A40" w:rsidP="00753A40">
      <w:pPr>
        <w:pStyle w:val="BodyText"/>
        <w:rPr>
          <w:lang w:eastAsia="en-GB"/>
        </w:rPr>
      </w:pPr>
    </w:p>
    <w:p w14:paraId="129F8671" w14:textId="77777777" w:rsidR="00753A40" w:rsidRPr="00722821" w:rsidRDefault="00753A40" w:rsidP="00753A40">
      <w:pPr>
        <w:pStyle w:val="Heading3"/>
        <w:rPr>
          <w:lang w:eastAsia="en-GB"/>
        </w:rPr>
      </w:pPr>
      <w:r w:rsidRPr="00722821">
        <w:rPr>
          <w:lang w:eastAsia="en-GB"/>
        </w:rPr>
        <w:t>Method of administration</w:t>
      </w:r>
    </w:p>
    <w:p w14:paraId="129F8672" w14:textId="1DD2CD77" w:rsidR="00753A40" w:rsidRPr="00722821" w:rsidRDefault="00753A40" w:rsidP="00753A40">
      <w:pPr>
        <w:pStyle w:val="BodyText"/>
      </w:pPr>
      <w:r w:rsidRPr="00722821">
        <w:t>INOVELON is for oral use. INOVELON should be taken twice daily in the morning and in the evening, in two equally divided doses. INOVELON should be administered with food (</w:t>
      </w:r>
      <w:r w:rsidR="00252BBC" w:rsidRPr="00722821">
        <w:t>see Section </w:t>
      </w:r>
      <w:r w:rsidR="00252BBC" w:rsidRPr="00722821">
        <w:fldChar w:fldCharType="begin"/>
      </w:r>
      <w:r w:rsidR="00252BBC" w:rsidRPr="00722821">
        <w:instrText xml:space="preserve"> REF _Ref506278832 \r \h </w:instrText>
      </w:r>
      <w:r w:rsidR="00252BBC" w:rsidRPr="00722821">
        <w:fldChar w:fldCharType="separate"/>
      </w:r>
      <w:r w:rsidR="00252BBC" w:rsidRPr="00722821">
        <w:t>5.2</w:t>
      </w:r>
      <w:r w:rsidR="00252BBC" w:rsidRPr="00722821">
        <w:fldChar w:fldCharType="end"/>
      </w:r>
      <w:r w:rsidR="00AA2766">
        <w:t xml:space="preserve"> Pharmacokinetic properties</w:t>
      </w:r>
      <w:r w:rsidRPr="00722821">
        <w:t>). If the patient has difficulty with swallowing, tablets can be crushed and administered in half a glass of water.</w:t>
      </w:r>
    </w:p>
    <w:p w14:paraId="129F8675" w14:textId="77777777" w:rsidR="00753A40" w:rsidRPr="00722821" w:rsidRDefault="00753A40" w:rsidP="00753A40">
      <w:pPr>
        <w:pStyle w:val="BodyText"/>
      </w:pPr>
    </w:p>
    <w:p w14:paraId="129F8676" w14:textId="58619034" w:rsidR="0064422E" w:rsidRPr="00722821" w:rsidRDefault="00AE5A19" w:rsidP="00753A40">
      <w:pPr>
        <w:pStyle w:val="Heading2"/>
      </w:pPr>
      <w:r w:rsidRPr="00722821">
        <w:t>C</w:t>
      </w:r>
      <w:r w:rsidR="00753A40" w:rsidRPr="00722821">
        <w:t>ontraindication</w:t>
      </w:r>
    </w:p>
    <w:p w14:paraId="129F8677" w14:textId="31E5F016" w:rsidR="00486AF6" w:rsidRPr="00722821" w:rsidRDefault="00254140" w:rsidP="00753A40">
      <w:pPr>
        <w:pStyle w:val="BodyText"/>
      </w:pPr>
      <w:proofErr w:type="gramStart"/>
      <w:r w:rsidRPr="00722821">
        <w:t xml:space="preserve">Hypersensitivity to the active substance, triazole derivatives or to any of the excipients </w:t>
      </w:r>
      <w:r w:rsidR="0064422E" w:rsidRPr="00722821">
        <w:t>(</w:t>
      </w:r>
      <w:r w:rsidR="00252BBC" w:rsidRPr="00722821">
        <w:t>see Section </w:t>
      </w:r>
      <w:r w:rsidR="00252BBC" w:rsidRPr="00722821">
        <w:fldChar w:fldCharType="begin"/>
      </w:r>
      <w:r w:rsidR="00252BBC" w:rsidRPr="00722821">
        <w:instrText xml:space="preserve"> REF _Ref503187308 \r \h </w:instrText>
      </w:r>
      <w:r w:rsidR="00252BBC" w:rsidRPr="00722821">
        <w:fldChar w:fldCharType="separate"/>
      </w:r>
      <w:r w:rsidR="00252BBC" w:rsidRPr="00722821">
        <w:t>6.1</w:t>
      </w:r>
      <w:r w:rsidR="00252BBC" w:rsidRPr="00722821">
        <w:fldChar w:fldCharType="end"/>
      </w:r>
      <w:r w:rsidR="00AA2766">
        <w:t xml:space="preserve"> List of excipients</w:t>
      </w:r>
      <w:r w:rsidR="0064422E" w:rsidRPr="00722821">
        <w:t>)</w:t>
      </w:r>
      <w:r w:rsidRPr="00722821">
        <w:t>.</w:t>
      </w:r>
      <w:proofErr w:type="gramEnd"/>
      <w:r w:rsidR="0064422E" w:rsidRPr="00722821">
        <w:t xml:space="preserve"> </w:t>
      </w:r>
    </w:p>
    <w:p w14:paraId="129F8678" w14:textId="77777777" w:rsidR="00486AF6" w:rsidRPr="00722821" w:rsidRDefault="00486AF6" w:rsidP="00753A40">
      <w:pPr>
        <w:pStyle w:val="BodyText"/>
      </w:pPr>
    </w:p>
    <w:p w14:paraId="129F8679" w14:textId="77777777" w:rsidR="00753A40" w:rsidRPr="00722821" w:rsidRDefault="00753A40" w:rsidP="00753A40">
      <w:pPr>
        <w:pStyle w:val="Heading2"/>
        <w:ind w:left="578" w:hanging="578"/>
      </w:pPr>
      <w:bookmarkStart w:id="2" w:name="_Ref503187146"/>
      <w:r w:rsidRPr="00722821">
        <w:t>Special warnings and precautions for use</w:t>
      </w:r>
      <w:bookmarkEnd w:id="2"/>
    </w:p>
    <w:p w14:paraId="129F867A" w14:textId="77777777" w:rsidR="00C27D25" w:rsidRPr="00722821" w:rsidRDefault="00C27D25" w:rsidP="00753A40">
      <w:pPr>
        <w:pStyle w:val="Heading3"/>
        <w:rPr>
          <w:noProof/>
        </w:rPr>
      </w:pPr>
      <w:r w:rsidRPr="00722821">
        <w:rPr>
          <w:noProof/>
        </w:rPr>
        <w:t>Status epilepticus</w:t>
      </w:r>
    </w:p>
    <w:p w14:paraId="129F867B" w14:textId="77777777" w:rsidR="00C27D25" w:rsidRPr="00722821" w:rsidRDefault="00C27D25" w:rsidP="00753A40">
      <w:pPr>
        <w:pStyle w:val="BodyText"/>
      </w:pPr>
      <w:r w:rsidRPr="00722821">
        <w:t xml:space="preserve">Status epilepticus cases have been observed during </w:t>
      </w:r>
      <w:r w:rsidR="00F04123" w:rsidRPr="00722821">
        <w:t xml:space="preserve">treatment with </w:t>
      </w:r>
      <w:r w:rsidR="00511A1F" w:rsidRPr="00722821">
        <w:t>INOVELON</w:t>
      </w:r>
      <w:r w:rsidR="00F04123" w:rsidRPr="00722821">
        <w:t xml:space="preserve"> in</w:t>
      </w:r>
      <w:r w:rsidRPr="00722821">
        <w:t xml:space="preserve"> clinical development studies, whereas no such cases </w:t>
      </w:r>
      <w:r w:rsidR="00F04123" w:rsidRPr="00722821">
        <w:t>were</w:t>
      </w:r>
      <w:r w:rsidRPr="00722821">
        <w:t xml:space="preserve"> observed </w:t>
      </w:r>
      <w:r w:rsidR="00F04123" w:rsidRPr="00722821">
        <w:t>with</w:t>
      </w:r>
      <w:r w:rsidRPr="00722821">
        <w:t xml:space="preserve"> placebo. These events led to </w:t>
      </w:r>
      <w:r w:rsidR="00511A1F" w:rsidRPr="00722821">
        <w:t>INOVELON</w:t>
      </w:r>
      <w:r w:rsidRPr="00722821">
        <w:t xml:space="preserve"> discontinuation in</w:t>
      </w:r>
      <w:r w:rsidR="001F41E6" w:rsidRPr="00722821">
        <w:t xml:space="preserve"> approximately</w:t>
      </w:r>
      <w:r w:rsidRPr="00722821">
        <w:t xml:space="preserve"> 20% of the cases</w:t>
      </w:r>
      <w:r w:rsidR="00DC5920" w:rsidRPr="00722821">
        <w:t xml:space="preserve"> of status epilepticus</w:t>
      </w:r>
      <w:r w:rsidR="001F41E6" w:rsidRPr="00722821">
        <w:t xml:space="preserve"> (2 out of 11 patients)</w:t>
      </w:r>
      <w:r w:rsidRPr="00722821">
        <w:t xml:space="preserve">. If patients develop new seizure types and/or experience an increased frequency </w:t>
      </w:r>
      <w:r w:rsidRPr="00722821">
        <w:lastRenderedPageBreak/>
        <w:t>of status epilepticus that is different from the patient’s baseline condition, then the benefit-risk ratio of the therapy should be reassessed.</w:t>
      </w:r>
    </w:p>
    <w:p w14:paraId="129F867C" w14:textId="77777777" w:rsidR="00C27D25" w:rsidRPr="00722821" w:rsidRDefault="00C27D25" w:rsidP="00753A40">
      <w:pPr>
        <w:pStyle w:val="BodyText"/>
        <w:rPr>
          <w:lang w:eastAsia="ja-JP"/>
        </w:rPr>
      </w:pPr>
    </w:p>
    <w:p w14:paraId="129F867D" w14:textId="77777777" w:rsidR="00C27D25" w:rsidRPr="00722821" w:rsidRDefault="00C27D25" w:rsidP="001A1FDB">
      <w:pPr>
        <w:pStyle w:val="Heading3"/>
        <w:rPr>
          <w:lang w:eastAsia="ja-JP"/>
        </w:rPr>
      </w:pPr>
      <w:r w:rsidRPr="00722821">
        <w:rPr>
          <w:lang w:eastAsia="ja-JP"/>
        </w:rPr>
        <w:t xml:space="preserve">Withdrawal of </w:t>
      </w:r>
      <w:r w:rsidR="00511A1F" w:rsidRPr="00722821">
        <w:rPr>
          <w:lang w:eastAsia="ja-JP"/>
        </w:rPr>
        <w:t>INOVELON</w:t>
      </w:r>
    </w:p>
    <w:p w14:paraId="129F867E" w14:textId="77777777" w:rsidR="00C27D25" w:rsidRPr="00722821" w:rsidRDefault="00511A1F" w:rsidP="001A1FDB">
      <w:pPr>
        <w:pStyle w:val="BodyText"/>
        <w:rPr>
          <w:lang w:eastAsia="ja-JP"/>
        </w:rPr>
      </w:pPr>
      <w:r w:rsidRPr="00722821">
        <w:rPr>
          <w:lang w:eastAsia="ja-JP"/>
        </w:rPr>
        <w:t>INOVELON</w:t>
      </w:r>
      <w:r w:rsidR="00C27D25" w:rsidRPr="00722821">
        <w:rPr>
          <w:lang w:eastAsia="ja-JP"/>
        </w:rPr>
        <w:t xml:space="preserve"> should be withdrawn gradually to reduce the possibility of seizures on withdrawal. </w:t>
      </w:r>
      <w:r w:rsidR="00C27D25" w:rsidRPr="00722821">
        <w:t>In clinical studies discontinuation was achieved by reducing the dose by approximately 25% every two days.</w:t>
      </w:r>
      <w:r w:rsidR="00C27D25" w:rsidRPr="00722821">
        <w:rPr>
          <w:lang w:eastAsia="ja-JP"/>
        </w:rPr>
        <w:t xml:space="preserve"> There are insufficient data on the withdrawal of concomitant antiepileptic medicinal products once seizure control has been achieved with the addition of </w:t>
      </w:r>
      <w:r w:rsidRPr="00722821">
        <w:rPr>
          <w:lang w:eastAsia="ja-JP"/>
        </w:rPr>
        <w:t>INOVELON</w:t>
      </w:r>
      <w:r w:rsidR="00C27D25" w:rsidRPr="00722821">
        <w:rPr>
          <w:lang w:eastAsia="ja-JP"/>
        </w:rPr>
        <w:t xml:space="preserve">. </w:t>
      </w:r>
    </w:p>
    <w:p w14:paraId="129F867F" w14:textId="77777777" w:rsidR="00C27D25" w:rsidRPr="00722821" w:rsidRDefault="00C27D25" w:rsidP="001A1FDB">
      <w:pPr>
        <w:pStyle w:val="BodyText"/>
      </w:pPr>
    </w:p>
    <w:p w14:paraId="129F8680" w14:textId="77777777" w:rsidR="00C27D25" w:rsidRPr="00722821" w:rsidRDefault="00C27D25" w:rsidP="001A1FDB">
      <w:pPr>
        <w:pStyle w:val="Heading3"/>
      </w:pPr>
      <w:r w:rsidRPr="00722821">
        <w:t>Central Nervous System reactions</w:t>
      </w:r>
    </w:p>
    <w:p w14:paraId="129F8681" w14:textId="5D38439F" w:rsidR="00C27D25" w:rsidRPr="00722821" w:rsidRDefault="00511A1F" w:rsidP="001A1FDB">
      <w:pPr>
        <w:pStyle w:val="BodyText"/>
      </w:pPr>
      <w:r w:rsidRPr="00722821">
        <w:t>INOVELON</w:t>
      </w:r>
      <w:r w:rsidR="00C27D25" w:rsidRPr="00722821">
        <w:t xml:space="preserve"> treatment has been associated with dizziness, somnolence, ataxia and gait disturbances, which could increase the occurrence of accidental falls in this population (</w:t>
      </w:r>
      <w:r w:rsidR="00252BBC" w:rsidRPr="00722821">
        <w:t>see Section </w:t>
      </w:r>
      <w:r w:rsidR="00252BBC" w:rsidRPr="00722821">
        <w:fldChar w:fldCharType="begin"/>
      </w:r>
      <w:r w:rsidR="00252BBC" w:rsidRPr="00722821">
        <w:instrText xml:space="preserve"> REF _Ref506278908 \r \h </w:instrText>
      </w:r>
      <w:r w:rsidR="00252BBC" w:rsidRPr="00722821">
        <w:fldChar w:fldCharType="separate"/>
      </w:r>
      <w:r w:rsidR="00252BBC" w:rsidRPr="00722821">
        <w:t>4.8</w:t>
      </w:r>
      <w:r w:rsidR="00252BBC" w:rsidRPr="00722821">
        <w:fldChar w:fldCharType="end"/>
      </w:r>
      <w:r w:rsidR="00AA2766">
        <w:t xml:space="preserve"> Adverse effects</w:t>
      </w:r>
      <w:r w:rsidR="00C27D25" w:rsidRPr="00722821">
        <w:t xml:space="preserve">). Patients and carers should exercise caution until they are familiar with the potential effects of this </w:t>
      </w:r>
      <w:r w:rsidR="00C27D25" w:rsidRPr="00722821">
        <w:rPr>
          <w:lang w:eastAsia="ja-JP"/>
        </w:rPr>
        <w:t>medicinal product.</w:t>
      </w:r>
    </w:p>
    <w:p w14:paraId="129F8682" w14:textId="77777777" w:rsidR="00C27D25" w:rsidRPr="00722821" w:rsidRDefault="00C27D25" w:rsidP="001A1FDB">
      <w:pPr>
        <w:pStyle w:val="BodyText"/>
      </w:pPr>
    </w:p>
    <w:p w14:paraId="129F8683" w14:textId="77777777" w:rsidR="00C27D25" w:rsidRPr="00722821" w:rsidRDefault="00C27D25" w:rsidP="001A1FDB">
      <w:pPr>
        <w:pStyle w:val="Heading3"/>
      </w:pPr>
      <w:r w:rsidRPr="00722821">
        <w:t>Hypersensitivity reactions</w:t>
      </w:r>
    </w:p>
    <w:p w14:paraId="129F8684" w14:textId="77777777" w:rsidR="00C27D25" w:rsidRPr="00722821" w:rsidRDefault="00C27D25" w:rsidP="001A1FDB">
      <w:pPr>
        <w:pStyle w:val="BodyText"/>
        <w:rPr>
          <w:lang w:eastAsia="ja-JP"/>
        </w:rPr>
      </w:pPr>
      <w:r w:rsidRPr="00722821">
        <w:rPr>
          <w:lang w:eastAsia="ja-JP"/>
        </w:rPr>
        <w:t>Serious antiepileptic medicinal product hypersensitivity syndrome</w:t>
      </w:r>
      <w:r w:rsidRPr="00722821">
        <w:t xml:space="preserve"> </w:t>
      </w:r>
      <w:r w:rsidRPr="00722821">
        <w:rPr>
          <w:lang w:eastAsia="ja-JP"/>
        </w:rPr>
        <w:t xml:space="preserve">including DRESS (Drug Reaction with Eosinophilia and Systemic Symptoms) and Stevens-Johnson syndrome have occurred in association with </w:t>
      </w:r>
      <w:r w:rsidR="00511A1F" w:rsidRPr="00722821">
        <w:rPr>
          <w:lang w:eastAsia="ja-JP"/>
        </w:rPr>
        <w:t>INOVELON</w:t>
      </w:r>
      <w:r w:rsidRPr="00722821">
        <w:rPr>
          <w:lang w:eastAsia="ja-JP"/>
        </w:rPr>
        <w:t xml:space="preserve"> therapy. Signs and symptoms of this disorder were diverse; however, patients typically, although not exclusively, presented with fever and rash associated with other organ system involvement. Other associated manifestations included lymphadenopathy, liver function tests abnormalities, and haematuria. Because the disorder is variable in its expression, other organ system signs and symptoms not noted here may occur. The antiepileptic drug hypersensitivity syndrome occurred in close temporal association to the initiation of </w:t>
      </w:r>
      <w:r w:rsidR="00511A1F" w:rsidRPr="00722821">
        <w:rPr>
          <w:lang w:eastAsia="ja-JP"/>
        </w:rPr>
        <w:t>INOVELON</w:t>
      </w:r>
      <w:r w:rsidRPr="00722821">
        <w:rPr>
          <w:lang w:eastAsia="ja-JP"/>
        </w:rPr>
        <w:t xml:space="preserve"> therapy and in the paediatric population. If this reaction is suspected, </w:t>
      </w:r>
      <w:r w:rsidR="00511A1F" w:rsidRPr="00722821">
        <w:rPr>
          <w:lang w:eastAsia="ja-JP"/>
        </w:rPr>
        <w:t>INOVELON</w:t>
      </w:r>
      <w:r w:rsidRPr="00722821">
        <w:rPr>
          <w:lang w:eastAsia="ja-JP"/>
        </w:rPr>
        <w:t xml:space="preserve"> should be discontinued and alternative treatment started.  All patients who develop a rash while taking </w:t>
      </w:r>
      <w:r w:rsidR="00511A1F" w:rsidRPr="00722821">
        <w:rPr>
          <w:lang w:eastAsia="ja-JP"/>
        </w:rPr>
        <w:t>INOVELON</w:t>
      </w:r>
      <w:r w:rsidRPr="00722821">
        <w:rPr>
          <w:lang w:eastAsia="ja-JP"/>
        </w:rPr>
        <w:t xml:space="preserve"> must be closely monitored.</w:t>
      </w:r>
    </w:p>
    <w:p w14:paraId="129F8685" w14:textId="77777777" w:rsidR="00C27D25" w:rsidRPr="00722821" w:rsidRDefault="00C27D25" w:rsidP="001A1FDB">
      <w:pPr>
        <w:pStyle w:val="BodyText"/>
        <w:rPr>
          <w:noProof/>
        </w:rPr>
      </w:pPr>
    </w:p>
    <w:p w14:paraId="129F8686" w14:textId="77777777" w:rsidR="00C27D25" w:rsidRPr="00722821" w:rsidRDefault="00C27D25" w:rsidP="001A1FDB">
      <w:pPr>
        <w:pStyle w:val="Heading3"/>
        <w:rPr>
          <w:noProof/>
        </w:rPr>
      </w:pPr>
      <w:r w:rsidRPr="00722821">
        <w:rPr>
          <w:noProof/>
        </w:rPr>
        <w:t>QT shortening</w:t>
      </w:r>
    </w:p>
    <w:p w14:paraId="129F8687" w14:textId="77777777" w:rsidR="00C27D25" w:rsidRPr="00722821" w:rsidRDefault="00C27D25" w:rsidP="001A1FDB">
      <w:pPr>
        <w:pStyle w:val="BodyText"/>
        <w:rPr>
          <w:noProof/>
        </w:rPr>
      </w:pPr>
      <w:r w:rsidRPr="00722821">
        <w:rPr>
          <w:noProof/>
        </w:rPr>
        <w:t xml:space="preserve">In a thorough QT study, </w:t>
      </w:r>
      <w:r w:rsidR="00511A1F" w:rsidRPr="00722821">
        <w:rPr>
          <w:noProof/>
        </w:rPr>
        <w:t>INOVELON</w:t>
      </w:r>
      <w:r w:rsidRPr="00722821">
        <w:rPr>
          <w:noProof/>
        </w:rPr>
        <w:t xml:space="preserve"> produced a decrease in QTc interval proportional to concentration.  Although the underlying mechanism and safety relevance of this finding is not known, clinicians should use clinical judgment when assessing whether to prescribe </w:t>
      </w:r>
      <w:r w:rsidR="00511A1F" w:rsidRPr="00722821">
        <w:rPr>
          <w:noProof/>
        </w:rPr>
        <w:t>INOVELON</w:t>
      </w:r>
      <w:r w:rsidRPr="00722821">
        <w:rPr>
          <w:noProof/>
        </w:rPr>
        <w:t xml:space="preserve"> to patients at risk from further shortening their QTc duration (e.g. Congenital Short QT Syndrome or patients with a family history of such a syndrome).</w:t>
      </w:r>
    </w:p>
    <w:p w14:paraId="129F8688" w14:textId="77777777" w:rsidR="00A1105A" w:rsidRPr="00722821" w:rsidRDefault="00A1105A" w:rsidP="001A1FDB">
      <w:pPr>
        <w:pStyle w:val="BodyText"/>
        <w:rPr>
          <w:noProof/>
        </w:rPr>
      </w:pPr>
    </w:p>
    <w:p w14:paraId="129F8689" w14:textId="77777777" w:rsidR="00A1105A" w:rsidRPr="00722821" w:rsidRDefault="00A1105A" w:rsidP="001A1FDB">
      <w:pPr>
        <w:pStyle w:val="Heading3"/>
        <w:rPr>
          <w:noProof/>
        </w:rPr>
      </w:pPr>
      <w:r w:rsidRPr="00722821">
        <w:rPr>
          <w:noProof/>
        </w:rPr>
        <w:lastRenderedPageBreak/>
        <w:t>Women of childbearing potential</w:t>
      </w:r>
    </w:p>
    <w:p w14:paraId="129F868A" w14:textId="3C4054EE" w:rsidR="00A1105A" w:rsidRPr="00722821" w:rsidRDefault="00A1105A" w:rsidP="001A1FDB">
      <w:pPr>
        <w:pStyle w:val="BodyText"/>
        <w:rPr>
          <w:noProof/>
        </w:rPr>
      </w:pPr>
      <w:r w:rsidRPr="00722821">
        <w:rPr>
          <w:noProof/>
        </w:rPr>
        <w:t xml:space="preserve">Women of childbearing potential must use contraceptive measures during treatment with </w:t>
      </w:r>
      <w:r w:rsidR="00A74F0F" w:rsidRPr="00722821">
        <w:rPr>
          <w:noProof/>
        </w:rPr>
        <w:t>INOVELON</w:t>
      </w:r>
      <w:r w:rsidRPr="00722821">
        <w:rPr>
          <w:noProof/>
        </w:rPr>
        <w:t xml:space="preserve">.  Physicians should try to ensure that appropriate contraception is used, and should use clinical judgement when assessing whether oral contraceptives, or the doses of the oral contraceptive components, are adequate based on the individual patients clinical situation (see </w:t>
      </w:r>
      <w:r w:rsidR="00252BBC" w:rsidRPr="00722821">
        <w:rPr>
          <w:noProof/>
        </w:rPr>
        <w:t>Section</w:t>
      </w:r>
      <w:r w:rsidR="00B74BCA" w:rsidRPr="00722821">
        <w:rPr>
          <w:noProof/>
        </w:rPr>
        <w:t> </w:t>
      </w:r>
      <w:r w:rsidR="00AE5A19" w:rsidRPr="00722821">
        <w:rPr>
          <w:noProof/>
        </w:rPr>
        <w:fldChar w:fldCharType="begin"/>
      </w:r>
      <w:r w:rsidR="00AE5A19" w:rsidRPr="00722821">
        <w:rPr>
          <w:noProof/>
        </w:rPr>
        <w:instrText xml:space="preserve"> REF _Ref506279816 \r \h </w:instrText>
      </w:r>
      <w:r w:rsidR="00AE5A19" w:rsidRPr="00722821">
        <w:rPr>
          <w:noProof/>
        </w:rPr>
      </w:r>
      <w:r w:rsidR="00AE5A19" w:rsidRPr="00722821">
        <w:rPr>
          <w:noProof/>
        </w:rPr>
        <w:fldChar w:fldCharType="separate"/>
      </w:r>
      <w:r w:rsidR="00AE5A19" w:rsidRPr="00722821">
        <w:rPr>
          <w:noProof/>
        </w:rPr>
        <w:t>4.6</w:t>
      </w:r>
      <w:r w:rsidR="00AE5A19" w:rsidRPr="00722821">
        <w:rPr>
          <w:noProof/>
        </w:rPr>
        <w:fldChar w:fldCharType="end"/>
      </w:r>
      <w:r w:rsidR="00AA2766">
        <w:rPr>
          <w:noProof/>
        </w:rPr>
        <w:t xml:space="preserve"> Fertility, pregnancy and lactation</w:t>
      </w:r>
      <w:r w:rsidR="00AE5A19" w:rsidRPr="00722821">
        <w:rPr>
          <w:noProof/>
        </w:rPr>
        <w:t xml:space="preserve"> </w:t>
      </w:r>
      <w:r w:rsidR="00A04C68" w:rsidRPr="00722821">
        <w:rPr>
          <w:noProof/>
        </w:rPr>
        <w:t xml:space="preserve">– Use in Pregnancy and </w:t>
      </w:r>
      <w:r w:rsidR="00B74BCA" w:rsidRPr="00722821">
        <w:rPr>
          <w:noProof/>
        </w:rPr>
        <w:t>Section </w:t>
      </w:r>
      <w:r w:rsidR="00B74BCA" w:rsidRPr="00722821">
        <w:rPr>
          <w:noProof/>
        </w:rPr>
        <w:fldChar w:fldCharType="begin"/>
      </w:r>
      <w:r w:rsidR="00B74BCA" w:rsidRPr="00722821">
        <w:rPr>
          <w:noProof/>
        </w:rPr>
        <w:instrText xml:space="preserve"> REF _Ref503187121 \r \h </w:instrText>
      </w:r>
      <w:r w:rsidR="00B74BCA" w:rsidRPr="00722821">
        <w:rPr>
          <w:noProof/>
        </w:rPr>
      </w:r>
      <w:r w:rsidR="00B74BCA" w:rsidRPr="00722821">
        <w:rPr>
          <w:noProof/>
        </w:rPr>
        <w:fldChar w:fldCharType="separate"/>
      </w:r>
      <w:r w:rsidR="00B74BCA" w:rsidRPr="00722821">
        <w:rPr>
          <w:noProof/>
        </w:rPr>
        <w:t>4.5</w:t>
      </w:r>
      <w:r w:rsidR="00B74BCA" w:rsidRPr="00722821">
        <w:rPr>
          <w:noProof/>
        </w:rPr>
        <w:fldChar w:fldCharType="end"/>
      </w:r>
      <w:r w:rsidR="00AA2766">
        <w:rPr>
          <w:noProof/>
        </w:rPr>
        <w:t xml:space="preserve"> Interactions with other medicines</w:t>
      </w:r>
      <w:r w:rsidRPr="00722821">
        <w:rPr>
          <w:noProof/>
        </w:rPr>
        <w:t>).</w:t>
      </w:r>
    </w:p>
    <w:p w14:paraId="129F868B" w14:textId="77777777" w:rsidR="00C27D25" w:rsidRPr="00722821" w:rsidRDefault="00C27D25" w:rsidP="001A1FDB">
      <w:pPr>
        <w:pStyle w:val="BodyText"/>
      </w:pPr>
    </w:p>
    <w:p w14:paraId="129F868C" w14:textId="77777777" w:rsidR="00C27D25" w:rsidRPr="00722821" w:rsidRDefault="00C27D25" w:rsidP="001A1FDB">
      <w:pPr>
        <w:pStyle w:val="Heading3"/>
        <w:rPr>
          <w:noProof/>
        </w:rPr>
      </w:pPr>
      <w:r w:rsidRPr="00722821">
        <w:rPr>
          <w:noProof/>
        </w:rPr>
        <w:t>Lactose</w:t>
      </w:r>
    </w:p>
    <w:p w14:paraId="129F868D" w14:textId="0B071484" w:rsidR="00C27D25" w:rsidRPr="00722821" w:rsidRDefault="00A74F0F" w:rsidP="001A1FDB">
      <w:pPr>
        <w:pStyle w:val="BodyText"/>
        <w:rPr>
          <w:noProof/>
        </w:rPr>
      </w:pPr>
      <w:r w:rsidRPr="00722821">
        <w:t>INOVELON</w:t>
      </w:r>
      <w:r w:rsidR="00C27D25" w:rsidRPr="00722821">
        <w:t xml:space="preserve"> film coated tablets contain lactose, therefore patients with rare hereditary problems of galactose intolerance, the Lapp lactase deficiency or glucose-galactose malabsorption should not take the film coated tablets.</w:t>
      </w:r>
    </w:p>
    <w:p w14:paraId="129F8694" w14:textId="77777777" w:rsidR="00C27D25" w:rsidRPr="00722821" w:rsidRDefault="00C27D25" w:rsidP="001A1FDB">
      <w:pPr>
        <w:pStyle w:val="BodyText"/>
        <w:rPr>
          <w:noProof/>
        </w:rPr>
      </w:pPr>
    </w:p>
    <w:p w14:paraId="129F8695" w14:textId="77777777" w:rsidR="00C27D25" w:rsidRPr="00722821" w:rsidRDefault="00C27D25" w:rsidP="001A1FDB">
      <w:pPr>
        <w:pStyle w:val="Heading3"/>
        <w:rPr>
          <w:noProof/>
        </w:rPr>
      </w:pPr>
      <w:r w:rsidRPr="00722821">
        <w:rPr>
          <w:noProof/>
        </w:rPr>
        <w:t>Suicidal ideation</w:t>
      </w:r>
    </w:p>
    <w:p w14:paraId="129F8696" w14:textId="606DF272" w:rsidR="00C27D25" w:rsidRPr="00722821" w:rsidRDefault="00C27D25" w:rsidP="001A1FDB">
      <w:pPr>
        <w:pStyle w:val="BodyText"/>
        <w:rPr>
          <w:noProof/>
        </w:rPr>
      </w:pPr>
      <w:r w:rsidRPr="00722821">
        <w:rPr>
          <w:noProof/>
        </w:rPr>
        <w:t xml:space="preserve">Suicidal ideation and behaviour have been reported in patients treated with antiepileptic agents in several indications. A meta-analysis of randomised placebo-controlled trials of anti-epileptic medicinal products has also shown a small increased risk of suicidal ideation and behaviour. The mechanism of this risk is not known and the available data do not exclude the possibility of an increased risk for </w:t>
      </w:r>
      <w:r w:rsidR="00A74F0F" w:rsidRPr="00722821">
        <w:rPr>
          <w:noProof/>
        </w:rPr>
        <w:t>INOVELON</w:t>
      </w:r>
      <w:r w:rsidRPr="00722821">
        <w:rPr>
          <w:noProof/>
        </w:rPr>
        <w:t xml:space="preserve">. </w:t>
      </w:r>
    </w:p>
    <w:p w14:paraId="129F8697" w14:textId="77777777" w:rsidR="00C27D25" w:rsidRPr="00722821" w:rsidRDefault="00C27D25" w:rsidP="001A1FDB">
      <w:pPr>
        <w:pStyle w:val="BodyText"/>
        <w:rPr>
          <w:noProof/>
        </w:rPr>
      </w:pPr>
    </w:p>
    <w:p w14:paraId="129F8698" w14:textId="77777777" w:rsidR="0087779B" w:rsidRDefault="00C27D25" w:rsidP="001A1FDB">
      <w:pPr>
        <w:pStyle w:val="BodyText"/>
        <w:rPr>
          <w:noProof/>
        </w:rPr>
      </w:pPr>
      <w:r w:rsidRPr="00722821">
        <w:rPr>
          <w:noProof/>
        </w:rPr>
        <w:t>Therefore patients should be monitored for signs of suicidal ideation and behaviours and appropriate treatment should be considered. Patients (and caregivers of patients) should be advised to seek medical advice should signs of suicidal ideation or behaviour emerge.</w:t>
      </w:r>
    </w:p>
    <w:p w14:paraId="4BDEFAC6" w14:textId="0F77F468" w:rsidR="00F31585" w:rsidRDefault="00F31585" w:rsidP="001A1FDB">
      <w:pPr>
        <w:pStyle w:val="BodyText"/>
        <w:rPr>
          <w:szCs w:val="24"/>
        </w:rPr>
      </w:pPr>
    </w:p>
    <w:p w14:paraId="2A8F0938" w14:textId="77777777" w:rsidR="00F31585" w:rsidRPr="00F31585" w:rsidRDefault="00F31585" w:rsidP="00F31585">
      <w:pPr>
        <w:pStyle w:val="Heading3"/>
        <w:rPr>
          <w:noProof/>
        </w:rPr>
      </w:pPr>
      <w:r w:rsidRPr="00F31585">
        <w:rPr>
          <w:noProof/>
        </w:rPr>
        <w:t>Use in the elderly</w:t>
      </w:r>
    </w:p>
    <w:p w14:paraId="048FADC5" w14:textId="77777777" w:rsidR="00F31585" w:rsidRPr="00722821" w:rsidRDefault="00F31585" w:rsidP="00F31585">
      <w:pPr>
        <w:pStyle w:val="BodyText"/>
      </w:pPr>
      <w:r w:rsidRPr="00722821">
        <w:t>There is limited information on the use of INOVELON in older people.  Since the pharmacokinetics of INOVELON are not altered in older people (see Section </w:t>
      </w:r>
      <w:r w:rsidRPr="00722821">
        <w:fldChar w:fldCharType="begin"/>
      </w:r>
      <w:r w:rsidRPr="00722821">
        <w:instrText xml:space="preserve"> REF _Ref506278832 \r \h </w:instrText>
      </w:r>
      <w:r w:rsidRPr="00722821">
        <w:fldChar w:fldCharType="separate"/>
      </w:r>
      <w:r w:rsidRPr="00722821">
        <w:t>5.2</w:t>
      </w:r>
      <w:r w:rsidRPr="00722821">
        <w:fldChar w:fldCharType="end"/>
      </w:r>
      <w:r>
        <w:t xml:space="preserve"> Pharmacokinetic properties</w:t>
      </w:r>
      <w:r w:rsidRPr="00722821">
        <w:t>), dosage adjustment is not required in patients over 65 years of age.</w:t>
      </w:r>
    </w:p>
    <w:p w14:paraId="5B927417" w14:textId="77777777" w:rsidR="00F31585" w:rsidRPr="00F31585" w:rsidRDefault="00F31585" w:rsidP="00F31585">
      <w:pPr>
        <w:pStyle w:val="BodyText"/>
        <w:rPr>
          <w:szCs w:val="24"/>
        </w:rPr>
      </w:pPr>
    </w:p>
    <w:p w14:paraId="5237C7A9" w14:textId="77777777" w:rsidR="00F31585" w:rsidRPr="00F31585" w:rsidRDefault="00F31585" w:rsidP="00F31585">
      <w:pPr>
        <w:pStyle w:val="Heading3"/>
        <w:rPr>
          <w:noProof/>
        </w:rPr>
      </w:pPr>
      <w:r w:rsidRPr="00F31585">
        <w:rPr>
          <w:noProof/>
        </w:rPr>
        <w:t>Paediatric use</w:t>
      </w:r>
    </w:p>
    <w:p w14:paraId="2C5A29D5" w14:textId="1CCB69ED" w:rsidR="00F31585" w:rsidRDefault="00F31585" w:rsidP="00F31585">
      <w:pPr>
        <w:pStyle w:val="BodyText"/>
      </w:pPr>
      <w:r w:rsidRPr="00E318D4">
        <w:t xml:space="preserve">The efficacy of </w:t>
      </w:r>
      <w:r>
        <w:t xml:space="preserve">INOVELON </w:t>
      </w:r>
      <w:r w:rsidRPr="00E318D4">
        <w:t xml:space="preserve">in children aged 4 years and less has not yet been established. Currently available data are described in </w:t>
      </w:r>
      <w:r>
        <w:t>S</w:t>
      </w:r>
      <w:r w:rsidRPr="00E318D4">
        <w:t xml:space="preserve">ection </w:t>
      </w:r>
      <w:r>
        <w:fldChar w:fldCharType="begin"/>
      </w:r>
      <w:r>
        <w:instrText xml:space="preserve"> REF _Ref513814768 \r \h </w:instrText>
      </w:r>
      <w:r>
        <w:fldChar w:fldCharType="separate"/>
      </w:r>
      <w:r>
        <w:t>4.8</w:t>
      </w:r>
      <w:r>
        <w:fldChar w:fldCharType="end"/>
      </w:r>
      <w:r>
        <w:t xml:space="preserve"> Adverse Effects </w:t>
      </w:r>
      <w:r w:rsidRPr="00E318D4">
        <w:t xml:space="preserve">and </w:t>
      </w:r>
      <w:r>
        <w:fldChar w:fldCharType="begin"/>
      </w:r>
      <w:r>
        <w:instrText xml:space="preserve"> REF _Ref513814776 \r \h </w:instrText>
      </w:r>
      <w:r>
        <w:fldChar w:fldCharType="separate"/>
      </w:r>
      <w:r>
        <w:t>5.1</w:t>
      </w:r>
      <w:r>
        <w:fldChar w:fldCharType="end"/>
      </w:r>
      <w:r>
        <w:t xml:space="preserve"> </w:t>
      </w:r>
      <w:proofErr w:type="spellStart"/>
      <w:r>
        <w:t>Pharmacodynamic</w:t>
      </w:r>
      <w:proofErr w:type="spellEnd"/>
      <w:r>
        <w:t xml:space="preserve"> properties </w:t>
      </w:r>
      <w:r w:rsidRPr="00E318D4">
        <w:t>but no recommendation on a posology can be made.</w:t>
      </w:r>
      <w:r w:rsidRPr="00E318D4" w:rsidDel="00E318D4">
        <w:t xml:space="preserve"> </w:t>
      </w:r>
    </w:p>
    <w:p w14:paraId="1CB1F474" w14:textId="77777777" w:rsidR="00F31585" w:rsidRPr="00F31585" w:rsidRDefault="00F31585" w:rsidP="00F31585">
      <w:pPr>
        <w:pStyle w:val="BodyText"/>
        <w:rPr>
          <w:szCs w:val="24"/>
        </w:rPr>
      </w:pPr>
    </w:p>
    <w:p w14:paraId="5A66444A" w14:textId="77777777" w:rsidR="00F31585" w:rsidRPr="00F31585" w:rsidRDefault="00F31585" w:rsidP="00F31585">
      <w:pPr>
        <w:pStyle w:val="Heading3"/>
        <w:rPr>
          <w:szCs w:val="24"/>
        </w:rPr>
      </w:pPr>
      <w:r w:rsidRPr="00F31585">
        <w:rPr>
          <w:szCs w:val="24"/>
        </w:rPr>
        <w:t>Effects on laboratory tests</w:t>
      </w:r>
    </w:p>
    <w:p w14:paraId="76EA241A" w14:textId="71FBB80A" w:rsidR="00F31585" w:rsidRPr="00722821" w:rsidRDefault="00F31585" w:rsidP="00F31585">
      <w:pPr>
        <w:pStyle w:val="BodyText"/>
        <w:rPr>
          <w:szCs w:val="24"/>
        </w:rPr>
      </w:pPr>
      <w:r w:rsidRPr="00F31585">
        <w:rPr>
          <w:szCs w:val="24"/>
        </w:rPr>
        <w:t>No data available</w:t>
      </w:r>
      <w:r>
        <w:rPr>
          <w:szCs w:val="24"/>
        </w:rPr>
        <w:t>.</w:t>
      </w:r>
    </w:p>
    <w:p w14:paraId="129F8699" w14:textId="77777777" w:rsidR="00386878" w:rsidRPr="00722821" w:rsidRDefault="00386878" w:rsidP="001A1FDB">
      <w:pPr>
        <w:pStyle w:val="BodyText"/>
        <w:rPr>
          <w:szCs w:val="24"/>
        </w:rPr>
      </w:pPr>
    </w:p>
    <w:p w14:paraId="129F869A" w14:textId="77777777" w:rsidR="001A1FDB" w:rsidRPr="00722821" w:rsidRDefault="001A1FDB" w:rsidP="001A1FDB">
      <w:pPr>
        <w:pStyle w:val="Heading2"/>
        <w:rPr>
          <w:szCs w:val="24"/>
        </w:rPr>
      </w:pPr>
      <w:bookmarkStart w:id="3" w:name="_Ref503187121"/>
      <w:r w:rsidRPr="00722821">
        <w:lastRenderedPageBreak/>
        <w:t>Interactions with other medicines and other forms of interactions</w:t>
      </w:r>
      <w:bookmarkEnd w:id="3"/>
    </w:p>
    <w:p w14:paraId="129F869B" w14:textId="77777777" w:rsidR="001A1FDB" w:rsidRPr="00722821" w:rsidRDefault="001A1FDB" w:rsidP="001A1FDB">
      <w:pPr>
        <w:pStyle w:val="Heading3"/>
      </w:pPr>
      <w:r w:rsidRPr="00722821">
        <w:t>Potential for other medicinal products to affect INOVELON</w:t>
      </w:r>
    </w:p>
    <w:p w14:paraId="129F869C" w14:textId="77777777" w:rsidR="001A1FDB" w:rsidRPr="00722821" w:rsidRDefault="001A1FDB" w:rsidP="001A1FDB">
      <w:pPr>
        <w:pStyle w:val="Heading4"/>
      </w:pPr>
      <w:r w:rsidRPr="00722821">
        <w:t>Other antiepileptic medicinal products</w:t>
      </w:r>
    </w:p>
    <w:p w14:paraId="129F869D" w14:textId="77777777" w:rsidR="001A1FDB" w:rsidRPr="00722821" w:rsidRDefault="001A1FDB" w:rsidP="001A1FDB">
      <w:pPr>
        <w:pStyle w:val="BodyText"/>
      </w:pPr>
      <w:r w:rsidRPr="00722821">
        <w:t>Rufinamide concentrations are not subject to clinically relevant changes on co-administration with known enzyme inducing antiepileptic medicinal products.</w:t>
      </w:r>
    </w:p>
    <w:p w14:paraId="129F869E" w14:textId="77777777" w:rsidR="001A1FDB" w:rsidRPr="00722821" w:rsidRDefault="001A1FDB" w:rsidP="001A1FDB">
      <w:pPr>
        <w:pStyle w:val="BodyText"/>
      </w:pPr>
    </w:p>
    <w:p w14:paraId="129F86A1" w14:textId="281533F4" w:rsidR="001A1FDB" w:rsidRPr="00722821" w:rsidRDefault="001A1FDB" w:rsidP="001A1FDB">
      <w:pPr>
        <w:pStyle w:val="BodyText"/>
      </w:pPr>
      <w:r w:rsidRPr="00722821">
        <w:t xml:space="preserve">For patients on INOVELON treatment who have administration of valproate initiated, significant increases in rufinamide plasma concentrations may occur. </w:t>
      </w:r>
      <w:r w:rsidR="007D3F88">
        <w:t xml:space="preserve">Population modelling </w:t>
      </w:r>
      <w:r w:rsidR="007D3F88" w:rsidRPr="007D3F88">
        <w:t xml:space="preserve">predicted </w:t>
      </w:r>
      <w:r w:rsidR="006202F5">
        <w:t>increased concentrations of 55-</w:t>
      </w:r>
      <w:r w:rsidR="007D3F88" w:rsidRPr="007D3F88">
        <w:t>70% in children, 23-26% in adolescents and &lt;16% in adults</w:t>
      </w:r>
      <w:r w:rsidR="007D3F88">
        <w:t>.</w:t>
      </w:r>
      <w:r w:rsidR="007D3F88" w:rsidRPr="007D3F88" w:rsidDel="004B204A">
        <w:t xml:space="preserve"> </w:t>
      </w:r>
      <w:r w:rsidRPr="00722821">
        <w:t>Therefore, consideration should be given to a dose reduction of INOVELON in patients who are initiated on valproate therapy (</w:t>
      </w:r>
      <w:r w:rsidR="00252BBC" w:rsidRPr="00722821">
        <w:t>see Section </w:t>
      </w:r>
      <w:r w:rsidR="00252BBC" w:rsidRPr="00722821">
        <w:fldChar w:fldCharType="begin"/>
      </w:r>
      <w:r w:rsidR="00252BBC" w:rsidRPr="00722821">
        <w:instrText xml:space="preserve"> REF _Ref506279103 \r \h </w:instrText>
      </w:r>
      <w:r w:rsidR="00252BBC" w:rsidRPr="00722821">
        <w:fldChar w:fldCharType="separate"/>
      </w:r>
      <w:r w:rsidR="00252BBC" w:rsidRPr="00722821">
        <w:t>4.2</w:t>
      </w:r>
      <w:r w:rsidR="00252BBC" w:rsidRPr="00722821">
        <w:fldChar w:fldCharType="end"/>
      </w:r>
      <w:r w:rsidR="00AA2766">
        <w:t xml:space="preserve"> Dose and method of administration</w:t>
      </w:r>
      <w:r w:rsidRPr="00722821">
        <w:t xml:space="preserve">). </w:t>
      </w:r>
    </w:p>
    <w:p w14:paraId="129F86A2" w14:textId="77777777" w:rsidR="001A1FDB" w:rsidRPr="00722821" w:rsidRDefault="001A1FDB" w:rsidP="001A1FDB">
      <w:pPr>
        <w:pStyle w:val="BodyText"/>
      </w:pPr>
    </w:p>
    <w:p w14:paraId="54FF2136" w14:textId="69AD3102" w:rsidR="000A2661" w:rsidRDefault="000A2661" w:rsidP="000A2661">
      <w:pPr>
        <w:pStyle w:val="BodyText"/>
      </w:pPr>
      <w:r>
        <w:t>In a population pharmacokinetic model, analyses of rufinamide administration and concurrent administration of phenytoin, phenobarbital or primidone identified increased rufinamide clearance, which would result in a decrease in rufinamide concentrations of 43-46% in children, 30-32% in adolescent and 25-26% in adults. The clinical significance of this modelling is unknown.</w:t>
      </w:r>
    </w:p>
    <w:p w14:paraId="14465673" w14:textId="77777777" w:rsidR="000A2661" w:rsidRDefault="000A2661" w:rsidP="000A2661">
      <w:pPr>
        <w:pStyle w:val="BodyText"/>
      </w:pPr>
    </w:p>
    <w:p w14:paraId="1EDB8E3F" w14:textId="028D92BE" w:rsidR="000A2661" w:rsidRDefault="000A2661" w:rsidP="000A2661">
      <w:pPr>
        <w:pStyle w:val="BodyText"/>
      </w:pPr>
      <w:r>
        <w:t>In a population pharmacokinetic model, analyses of rufinamide administration and concurrent administration of carbamazepine or vigabatrin resulted in increased rufinamide clearance, which would be expected to lead to a decrease in rufinamide concentrations of &lt; 30%. The clinical significance of this modelling is unknown.</w:t>
      </w:r>
    </w:p>
    <w:p w14:paraId="6199C673" w14:textId="77777777" w:rsidR="000A2661" w:rsidRDefault="000A2661" w:rsidP="000A2661">
      <w:pPr>
        <w:pStyle w:val="BodyText"/>
      </w:pPr>
    </w:p>
    <w:p w14:paraId="129F86A4" w14:textId="796383AB" w:rsidR="001A1FDB" w:rsidRPr="00722821" w:rsidRDefault="001A1FDB" w:rsidP="001A1FDB">
      <w:pPr>
        <w:pStyle w:val="BodyText"/>
      </w:pPr>
      <w:r w:rsidRPr="00722821">
        <w:t>The addition or withdrawal of these medicinal products or adjusting of the dose of these medicinal products during INOVELON therapy may require an adjustment in dosage of INOVELON (</w:t>
      </w:r>
      <w:r w:rsidR="00252BBC" w:rsidRPr="00722821">
        <w:t>see Section </w:t>
      </w:r>
      <w:r w:rsidR="00252BBC" w:rsidRPr="00722821">
        <w:fldChar w:fldCharType="begin"/>
      </w:r>
      <w:r w:rsidR="00252BBC" w:rsidRPr="00722821">
        <w:instrText xml:space="preserve"> REF _Ref506279103 \r \h </w:instrText>
      </w:r>
      <w:r w:rsidR="00252BBC" w:rsidRPr="00722821">
        <w:fldChar w:fldCharType="separate"/>
      </w:r>
      <w:r w:rsidR="00252BBC" w:rsidRPr="00722821">
        <w:t>4.2</w:t>
      </w:r>
      <w:r w:rsidR="00252BBC" w:rsidRPr="00722821">
        <w:fldChar w:fldCharType="end"/>
      </w:r>
      <w:r w:rsidR="00AA2766">
        <w:t xml:space="preserve"> Dose and method of administration</w:t>
      </w:r>
      <w:r w:rsidRPr="00722821">
        <w:t xml:space="preserve">). </w:t>
      </w:r>
    </w:p>
    <w:p w14:paraId="129F86A5" w14:textId="77777777" w:rsidR="001A1FDB" w:rsidRPr="00722821" w:rsidRDefault="001A1FDB" w:rsidP="001A1FDB">
      <w:pPr>
        <w:pStyle w:val="BodyText"/>
      </w:pPr>
      <w:r w:rsidRPr="00722821">
        <w:t>No significant changes in rufinamide concentration are observed following co-administration with lamotrigine, topiramate or benzodiazepines.</w:t>
      </w:r>
    </w:p>
    <w:p w14:paraId="129F86A6" w14:textId="77777777" w:rsidR="001A1FDB" w:rsidRPr="00722821" w:rsidRDefault="001A1FDB" w:rsidP="001A1FDB">
      <w:pPr>
        <w:pStyle w:val="BodyText"/>
        <w:rPr>
          <w:highlight w:val="green"/>
        </w:rPr>
      </w:pPr>
    </w:p>
    <w:p w14:paraId="129F86A7" w14:textId="77777777" w:rsidR="001A1FDB" w:rsidRPr="00722821" w:rsidRDefault="001A1FDB" w:rsidP="001A1FDB">
      <w:pPr>
        <w:pStyle w:val="Heading3"/>
      </w:pPr>
      <w:r w:rsidRPr="00722821">
        <w:t>Potential for INOVELON to affect other medicinal products</w:t>
      </w:r>
    </w:p>
    <w:p w14:paraId="129F86A8" w14:textId="77777777" w:rsidR="001A1FDB" w:rsidRPr="00722821" w:rsidRDefault="001A1FDB" w:rsidP="001A1FDB">
      <w:pPr>
        <w:pStyle w:val="Heading4"/>
      </w:pPr>
      <w:r w:rsidRPr="00722821">
        <w:t>Other antiepileptic medicinal products</w:t>
      </w:r>
    </w:p>
    <w:p w14:paraId="129F86A9" w14:textId="77777777" w:rsidR="001A1FDB" w:rsidRPr="00722821" w:rsidRDefault="001A1FDB" w:rsidP="001A1FDB">
      <w:pPr>
        <w:pStyle w:val="BodyText"/>
      </w:pPr>
      <w:r w:rsidRPr="00722821">
        <w:t xml:space="preserve">The pharmacokinetic interactions between rufinamide and other antiepileptic medicinal products have been evaluated in patients with epilepsy, using population pharmacokinetic modelling. Rufinamide appears not to have a clinically relevant effect on carbamazepine, lamotrigine, phenobarbital, topiramate, phenytoin or valproate steady state concentrations. </w:t>
      </w:r>
    </w:p>
    <w:p w14:paraId="129F86AA" w14:textId="77777777" w:rsidR="001A1FDB" w:rsidRPr="00722821" w:rsidRDefault="001A1FDB" w:rsidP="001A1FDB">
      <w:pPr>
        <w:pStyle w:val="BodyText"/>
        <w:rPr>
          <w:noProof/>
        </w:rPr>
      </w:pPr>
    </w:p>
    <w:p w14:paraId="129F86AB" w14:textId="77777777" w:rsidR="001A1FDB" w:rsidRPr="00722821" w:rsidRDefault="001A1FDB" w:rsidP="001A1FDB">
      <w:pPr>
        <w:pStyle w:val="Heading4"/>
      </w:pPr>
      <w:r w:rsidRPr="00722821">
        <w:lastRenderedPageBreak/>
        <w:t xml:space="preserve">Oral contraceptives </w:t>
      </w:r>
    </w:p>
    <w:p w14:paraId="129F86AC" w14:textId="79BF3B5E" w:rsidR="001A1FDB" w:rsidRPr="00722821" w:rsidRDefault="001A1FDB" w:rsidP="001A1FDB">
      <w:pPr>
        <w:pStyle w:val="BodyText"/>
        <w:rPr>
          <w:lang w:eastAsia="sv-SE"/>
        </w:rPr>
      </w:pPr>
      <w:r w:rsidRPr="00722821">
        <w:t>Co-administration of rufinamide 800 mg b.i.d. and a combined oral contraceptive (ethinyloestradiol 35 μg and norethindrone 1 mg) for 14 days resulted in a mean decrease in the ethinyl estradiol AUC</w:t>
      </w:r>
      <w:r w:rsidRPr="00722821">
        <w:rPr>
          <w:vertAlign w:val="subscript"/>
        </w:rPr>
        <w:t>0-24</w:t>
      </w:r>
      <w:r w:rsidRPr="00722821">
        <w:t xml:space="preserve"> of 22% and in norethindrone AUC</w:t>
      </w:r>
      <w:r w:rsidRPr="00722821">
        <w:rPr>
          <w:vertAlign w:val="subscript"/>
        </w:rPr>
        <w:t>0-24</w:t>
      </w:r>
      <w:r w:rsidRPr="00722821">
        <w:t xml:space="preserve"> of 14%. Studies with other oral or implant contraceptives have not been conducted. </w:t>
      </w:r>
      <w:r w:rsidRPr="00722821">
        <w:rPr>
          <w:lang w:eastAsia="sv-SE"/>
        </w:rPr>
        <w:t>Women of child-bearing potential using hormonal contraceptives are advised to use an additional safe and effective contraceptive method</w:t>
      </w:r>
      <w:r w:rsidRPr="00722821">
        <w:t xml:space="preserve"> (see </w:t>
      </w:r>
      <w:r w:rsidR="00252BBC" w:rsidRPr="00722821">
        <w:t>Section</w:t>
      </w:r>
      <w:r w:rsidR="00B74BCA" w:rsidRPr="00722821">
        <w:t> </w:t>
      </w:r>
      <w:r w:rsidR="00252BBC" w:rsidRPr="00722821">
        <w:fldChar w:fldCharType="begin"/>
      </w:r>
      <w:r w:rsidR="00252BBC" w:rsidRPr="00722821">
        <w:instrText xml:space="preserve"> REF _Ref503187146 \r \h </w:instrText>
      </w:r>
      <w:r w:rsidR="00252BBC" w:rsidRPr="00722821">
        <w:fldChar w:fldCharType="separate"/>
      </w:r>
      <w:r w:rsidR="00252BBC" w:rsidRPr="00722821">
        <w:t>4.4</w:t>
      </w:r>
      <w:r w:rsidR="00252BBC" w:rsidRPr="00722821">
        <w:fldChar w:fldCharType="end"/>
      </w:r>
      <w:r w:rsidR="00AA2766">
        <w:t xml:space="preserve"> Special warnings and precautions for use</w:t>
      </w:r>
      <w:r w:rsidRPr="00722821">
        <w:t>).</w:t>
      </w:r>
    </w:p>
    <w:p w14:paraId="129F86AD" w14:textId="77777777" w:rsidR="001A1FDB" w:rsidRPr="00722821" w:rsidRDefault="001A1FDB" w:rsidP="000A05F2">
      <w:pPr>
        <w:pStyle w:val="BodyText"/>
      </w:pPr>
    </w:p>
    <w:p w14:paraId="129F86AE" w14:textId="77777777" w:rsidR="001A1FDB" w:rsidRPr="00722821" w:rsidRDefault="001A1FDB" w:rsidP="001A1FDB">
      <w:pPr>
        <w:pStyle w:val="Heading4"/>
      </w:pPr>
      <w:r w:rsidRPr="00722821">
        <w:t>Cytochrome P450 enzymes</w:t>
      </w:r>
    </w:p>
    <w:p w14:paraId="129F86AF" w14:textId="385575EB" w:rsidR="001A1FDB" w:rsidRPr="00722821" w:rsidRDefault="001A1FDB" w:rsidP="001A1FDB">
      <w:pPr>
        <w:pStyle w:val="BodyText"/>
      </w:pPr>
      <w:r w:rsidRPr="00722821">
        <w:t>Rufinamide is metabolised by hydrolysis, and is not metabolised to any notable degree by cytochrome P450 enzymes. Furthermore, rufinamide does not inhibit the activity of cytochrome P450 enzymes (</w:t>
      </w:r>
      <w:r w:rsidR="00252BBC" w:rsidRPr="00722821">
        <w:t>see Section </w:t>
      </w:r>
      <w:r w:rsidR="00252BBC" w:rsidRPr="00722821">
        <w:fldChar w:fldCharType="begin"/>
      </w:r>
      <w:r w:rsidR="00252BBC" w:rsidRPr="00722821">
        <w:instrText xml:space="preserve"> REF _Ref506278832 \r \h </w:instrText>
      </w:r>
      <w:r w:rsidR="00252BBC" w:rsidRPr="00722821">
        <w:fldChar w:fldCharType="separate"/>
      </w:r>
      <w:r w:rsidR="00252BBC" w:rsidRPr="00722821">
        <w:t>5.2</w:t>
      </w:r>
      <w:r w:rsidR="00252BBC" w:rsidRPr="00722821">
        <w:fldChar w:fldCharType="end"/>
      </w:r>
      <w:r w:rsidR="00AA2766">
        <w:t xml:space="preserve"> Pharmacokinetic properties</w:t>
      </w:r>
      <w:r w:rsidRPr="00722821">
        <w:t>). Thus, clinically significant interactions mediated through inhibition of cytochrome P450 system by rufinamide are unlikely to occur.</w:t>
      </w:r>
      <w:r w:rsidRPr="00722821">
        <w:rPr>
          <w:i/>
        </w:rPr>
        <w:t xml:space="preserve"> </w:t>
      </w:r>
      <w:r w:rsidRPr="00722821">
        <w:rPr>
          <w:lang w:eastAsia="en-GB"/>
        </w:rPr>
        <w:t>Rufinamide has been shown to induce the cytochrome P450 enzyme CYP3A4 and may therefore reduce the plasma concentrations of substances which are metabolised by this enzyme. The effect was modest to moderate. The mean CYP3A4 activity, assessed as clearance of triazolam, was increased by 55% after 11 days of treatment with INOVELON 400 mg b.i.d. The exposure of triazolam was reduced by 36%. Higher INOVELON doses may result in a more pronounced induction.</w:t>
      </w:r>
      <w:r w:rsidRPr="00722821">
        <w:t xml:space="preserve"> It may not be excluded that INOVELON may also decrease the exposure of substances metabolized by other enzymes, or transported by transport proteins such as P</w:t>
      </w:r>
      <w:r w:rsidRPr="00722821">
        <w:noBreakHyphen/>
        <w:t>glycoprotein.</w:t>
      </w:r>
    </w:p>
    <w:p w14:paraId="129F86B0" w14:textId="77777777" w:rsidR="001A1FDB" w:rsidRPr="00722821" w:rsidRDefault="001A1FDB" w:rsidP="001A1FDB">
      <w:pPr>
        <w:pStyle w:val="BodyText"/>
      </w:pPr>
    </w:p>
    <w:p w14:paraId="129F86B1" w14:textId="77777777" w:rsidR="001A1FDB" w:rsidRPr="00722821" w:rsidRDefault="001A1FDB" w:rsidP="001A1FDB">
      <w:pPr>
        <w:pStyle w:val="BodyText"/>
        <w:rPr>
          <w:lang w:eastAsia="ja-JP"/>
        </w:rPr>
      </w:pPr>
      <w:r w:rsidRPr="00722821">
        <w:rPr>
          <w:lang w:eastAsia="ja-JP"/>
        </w:rPr>
        <w:t>It is recommended that patients treated with substances that are metabolised by the CYP3A4 enzyme system are to be carefully monitored for two weeks at the start of, or after the end of treatment with INOVELON, or after any marked change in the dose. A dose adjustment of the concomitantly administered medicinal product may need to be considered. These recommendations should also be considered when INOVELON is used concomitantly with substances with a narrow therapeutic window such as warfarin and digoxin.</w:t>
      </w:r>
    </w:p>
    <w:p w14:paraId="129F86B2" w14:textId="77777777" w:rsidR="001A1FDB" w:rsidRPr="00722821" w:rsidRDefault="001A1FDB" w:rsidP="001A1FDB">
      <w:pPr>
        <w:pStyle w:val="BodyText"/>
        <w:rPr>
          <w:lang w:eastAsia="en-GB"/>
        </w:rPr>
      </w:pPr>
    </w:p>
    <w:p w14:paraId="129F86B3" w14:textId="77777777" w:rsidR="001A1FDB" w:rsidRPr="00722821" w:rsidRDefault="001A1FDB" w:rsidP="001A1FDB">
      <w:pPr>
        <w:pStyle w:val="BodyText"/>
        <w:rPr>
          <w:lang w:eastAsia="en-GB"/>
        </w:rPr>
      </w:pPr>
      <w:r w:rsidRPr="00722821">
        <w:rPr>
          <w:lang w:eastAsia="en-GB"/>
        </w:rPr>
        <w:t>A specific interaction study in healthy subjects revealed no influence of INOVELON at a dose of 400 mg bid on the pharmacokinetics of olanzapine, a CYP1A2 substrate.</w:t>
      </w:r>
    </w:p>
    <w:p w14:paraId="129F86B4" w14:textId="77777777" w:rsidR="001A1FDB" w:rsidRPr="00722821" w:rsidRDefault="001A1FDB" w:rsidP="001A1FDB">
      <w:pPr>
        <w:pStyle w:val="BodyText"/>
        <w:rPr>
          <w:lang w:eastAsia="ja-JP"/>
        </w:rPr>
      </w:pPr>
    </w:p>
    <w:p w14:paraId="129F86B5" w14:textId="77777777" w:rsidR="001A1FDB" w:rsidRPr="00722821" w:rsidRDefault="001A1FDB" w:rsidP="001A1FDB">
      <w:pPr>
        <w:pStyle w:val="BodyText"/>
        <w:rPr>
          <w:szCs w:val="24"/>
        </w:rPr>
      </w:pPr>
      <w:r w:rsidRPr="00722821">
        <w:rPr>
          <w:lang w:eastAsia="ja-JP"/>
        </w:rPr>
        <w:t>No data on the interaction of INOVELON with alcohol are available.</w:t>
      </w:r>
    </w:p>
    <w:p w14:paraId="129F86B6" w14:textId="77777777" w:rsidR="001A1FDB" w:rsidRPr="00722821" w:rsidRDefault="001A1FDB" w:rsidP="001A1FDB">
      <w:pPr>
        <w:pStyle w:val="BodyText"/>
        <w:rPr>
          <w:szCs w:val="24"/>
        </w:rPr>
      </w:pPr>
    </w:p>
    <w:p w14:paraId="129F86B7" w14:textId="77777777" w:rsidR="001A1FDB" w:rsidRPr="00722821" w:rsidRDefault="001A1FDB" w:rsidP="001A1FDB">
      <w:pPr>
        <w:pStyle w:val="Heading2"/>
        <w:ind w:left="578" w:hanging="578"/>
      </w:pPr>
      <w:bookmarkStart w:id="4" w:name="_Ref506279816"/>
      <w:r w:rsidRPr="00722821">
        <w:t>Fertility, pregnancy and lactation</w:t>
      </w:r>
      <w:bookmarkEnd w:id="4"/>
      <w:r w:rsidRPr="00722821">
        <w:t xml:space="preserve"> </w:t>
      </w:r>
    </w:p>
    <w:p w14:paraId="129F86B8" w14:textId="77777777" w:rsidR="00303B57" w:rsidRPr="00722821" w:rsidRDefault="00303B57" w:rsidP="001A1FDB">
      <w:pPr>
        <w:pStyle w:val="Heading3"/>
      </w:pPr>
      <w:r w:rsidRPr="00722821">
        <w:t>Effects on Fertility</w:t>
      </w:r>
    </w:p>
    <w:p w14:paraId="129F86B9" w14:textId="77777777" w:rsidR="00B65324" w:rsidRPr="00722821" w:rsidRDefault="00B65324" w:rsidP="001A1FDB">
      <w:pPr>
        <w:pStyle w:val="BodyText"/>
        <w:rPr>
          <w:lang w:eastAsia="en-GB"/>
        </w:rPr>
      </w:pPr>
      <w:r w:rsidRPr="00722821">
        <w:rPr>
          <w:lang w:eastAsia="en-GB"/>
        </w:rPr>
        <w:t xml:space="preserve">No data are available on the effects on </w:t>
      </w:r>
      <w:r w:rsidR="005A73F3" w:rsidRPr="00722821">
        <w:rPr>
          <w:lang w:eastAsia="en-GB"/>
        </w:rPr>
        <w:t xml:space="preserve">human </w:t>
      </w:r>
      <w:r w:rsidRPr="00722821">
        <w:rPr>
          <w:lang w:eastAsia="en-GB"/>
        </w:rPr>
        <w:t xml:space="preserve">fertility following treatment with </w:t>
      </w:r>
      <w:r w:rsidR="00511A1F" w:rsidRPr="00722821">
        <w:rPr>
          <w:lang w:eastAsia="en-GB"/>
        </w:rPr>
        <w:t>INOVELON</w:t>
      </w:r>
      <w:r w:rsidRPr="00722821">
        <w:rPr>
          <w:lang w:eastAsia="en-GB"/>
        </w:rPr>
        <w:t>.</w:t>
      </w:r>
      <w:r w:rsidR="005A73F3" w:rsidRPr="00722821">
        <w:rPr>
          <w:lang w:eastAsia="en-GB"/>
        </w:rPr>
        <w:t xml:space="preserve"> </w:t>
      </w:r>
      <w:r w:rsidR="00B80C5A" w:rsidRPr="00722821">
        <w:rPr>
          <w:lang w:eastAsia="en-GB"/>
        </w:rPr>
        <w:t xml:space="preserve"> </w:t>
      </w:r>
      <w:r w:rsidR="005A73F3" w:rsidRPr="00722821">
        <w:rPr>
          <w:lang w:eastAsia="en-GB"/>
        </w:rPr>
        <w:t xml:space="preserve">Rats exposed to clinical concentrations of INOVELON and above showed decreased fertility, reduced fertility index in females and decreased spermatozoa counts in males at </w:t>
      </w:r>
      <w:r w:rsidR="00811482" w:rsidRPr="00722821">
        <w:rPr>
          <w:lang w:eastAsia="en-GB"/>
        </w:rPr>
        <w:t>3</w:t>
      </w:r>
      <w:r w:rsidR="005A73F3" w:rsidRPr="00722821">
        <w:rPr>
          <w:lang w:eastAsia="en-GB"/>
        </w:rPr>
        <w:t xml:space="preserve"> times </w:t>
      </w:r>
      <w:r w:rsidR="005A73F3" w:rsidRPr="00722821">
        <w:rPr>
          <w:lang w:eastAsia="en-GB"/>
        </w:rPr>
        <w:lastRenderedPageBreak/>
        <w:t>clinical exposure and decrease</w:t>
      </w:r>
      <w:r w:rsidR="00157E08" w:rsidRPr="00722821">
        <w:rPr>
          <w:lang w:eastAsia="en-GB"/>
        </w:rPr>
        <w:t>s</w:t>
      </w:r>
      <w:r w:rsidR="005A73F3" w:rsidRPr="00722821">
        <w:rPr>
          <w:lang w:eastAsia="en-GB"/>
        </w:rPr>
        <w:t xml:space="preserve"> in implants and live embryos at </w:t>
      </w:r>
      <w:r w:rsidR="00811482" w:rsidRPr="00722821">
        <w:rPr>
          <w:lang w:eastAsia="en-GB"/>
        </w:rPr>
        <w:t>approximately 2</w:t>
      </w:r>
      <w:r w:rsidR="005A73F3" w:rsidRPr="00722821">
        <w:rPr>
          <w:lang w:eastAsia="en-GB"/>
        </w:rPr>
        <w:t> times clinical exposure.</w:t>
      </w:r>
    </w:p>
    <w:p w14:paraId="129F86BA" w14:textId="77777777" w:rsidR="00421E0E" w:rsidRPr="00722821" w:rsidRDefault="00421E0E" w:rsidP="001A1FDB">
      <w:pPr>
        <w:pStyle w:val="BodyText"/>
        <w:rPr>
          <w:lang w:eastAsia="en-GB"/>
        </w:rPr>
      </w:pPr>
    </w:p>
    <w:p w14:paraId="129F86BB" w14:textId="41997A15" w:rsidR="00C6307C" w:rsidRPr="00722821" w:rsidRDefault="00C6307C" w:rsidP="001A1FDB">
      <w:pPr>
        <w:pStyle w:val="Heading3"/>
      </w:pPr>
      <w:r w:rsidRPr="00722821">
        <w:t xml:space="preserve">Use in Pregnancy (Category </w:t>
      </w:r>
      <w:r w:rsidR="00FF5630" w:rsidRPr="00722821">
        <w:t>B3</w:t>
      </w:r>
      <w:r w:rsidRPr="00722821">
        <w:t>)</w:t>
      </w:r>
    </w:p>
    <w:p w14:paraId="129F86BC" w14:textId="77777777" w:rsidR="00A1105A" w:rsidRPr="00722821" w:rsidRDefault="00A1105A" w:rsidP="001A1FDB">
      <w:pPr>
        <w:pStyle w:val="Heading4"/>
        <w:rPr>
          <w:lang w:eastAsia="en-GB"/>
        </w:rPr>
      </w:pPr>
      <w:r w:rsidRPr="00722821">
        <w:rPr>
          <w:lang w:eastAsia="en-GB"/>
        </w:rPr>
        <w:t>Risk related to epilepsy and antiepileptic medicinal products in general</w:t>
      </w:r>
    </w:p>
    <w:p w14:paraId="129F86BD" w14:textId="77777777" w:rsidR="00A1105A" w:rsidRPr="00722821" w:rsidRDefault="00A1105A" w:rsidP="001A1FDB">
      <w:pPr>
        <w:pStyle w:val="BodyText"/>
        <w:rPr>
          <w:lang w:eastAsia="en-GB"/>
        </w:rPr>
      </w:pPr>
      <w:r w:rsidRPr="00722821">
        <w:rPr>
          <w:lang w:eastAsia="en-GB"/>
        </w:rPr>
        <w:t xml:space="preserve">It has been shown that in the offspring of women with epilepsy, the prevalence of malformations is two to three times greater than the rate of approximately 3% in the general population. In the treated population, an increase in malformations has been noted with polytherapy; however, the extent to which the treatment and/or the illness </w:t>
      </w:r>
      <w:proofErr w:type="gramStart"/>
      <w:r w:rsidRPr="00722821">
        <w:rPr>
          <w:lang w:eastAsia="en-GB"/>
        </w:rPr>
        <w:t>is</w:t>
      </w:r>
      <w:proofErr w:type="gramEnd"/>
      <w:r w:rsidRPr="00722821">
        <w:rPr>
          <w:lang w:eastAsia="en-GB"/>
        </w:rPr>
        <w:t xml:space="preserve"> responsible has not been elucidated.</w:t>
      </w:r>
    </w:p>
    <w:p w14:paraId="129F86BE" w14:textId="77777777" w:rsidR="00A1105A" w:rsidRPr="00722821" w:rsidRDefault="00A1105A" w:rsidP="001A1FDB">
      <w:pPr>
        <w:pStyle w:val="BodyText"/>
        <w:rPr>
          <w:lang w:eastAsia="en-GB"/>
        </w:rPr>
      </w:pPr>
    </w:p>
    <w:p w14:paraId="129F86BF" w14:textId="77777777" w:rsidR="00A1105A" w:rsidRPr="00722821" w:rsidRDefault="00A1105A" w:rsidP="001A1FDB">
      <w:pPr>
        <w:pStyle w:val="BodyText"/>
        <w:rPr>
          <w:lang w:eastAsia="en-GB"/>
        </w:rPr>
      </w:pPr>
      <w:r w:rsidRPr="00722821">
        <w:rPr>
          <w:lang w:eastAsia="en-GB"/>
        </w:rPr>
        <w:t xml:space="preserve">Moreover, effective antiepileptic therapy </w:t>
      </w:r>
      <w:r w:rsidR="00F04123" w:rsidRPr="00722821">
        <w:rPr>
          <w:lang w:eastAsia="en-GB"/>
        </w:rPr>
        <w:t>should</w:t>
      </w:r>
      <w:r w:rsidRPr="00722821">
        <w:rPr>
          <w:lang w:eastAsia="en-GB"/>
        </w:rPr>
        <w:t xml:space="preserve"> not be abruptly interrupted, since the aggravation of the illness is detrimental to both the mother and the foetus. </w:t>
      </w:r>
      <w:r w:rsidR="00EC236C" w:rsidRPr="00722821">
        <w:rPr>
          <w:lang w:eastAsia="en-GB"/>
        </w:rPr>
        <w:t xml:space="preserve">Anti Epileptic Drug (AED) </w:t>
      </w:r>
      <w:r w:rsidRPr="00722821">
        <w:rPr>
          <w:lang w:eastAsia="en-GB"/>
        </w:rPr>
        <w:t>treatment during pregnancy should be carefully discussed with the treating physician.</w:t>
      </w:r>
    </w:p>
    <w:p w14:paraId="129F86C0" w14:textId="77777777" w:rsidR="00A1105A" w:rsidRPr="00722821" w:rsidRDefault="00A1105A" w:rsidP="001A1FDB">
      <w:pPr>
        <w:pStyle w:val="BodyText"/>
        <w:rPr>
          <w:lang w:eastAsia="en-GB"/>
        </w:rPr>
      </w:pPr>
    </w:p>
    <w:p w14:paraId="129F86C1" w14:textId="77777777" w:rsidR="00A1105A" w:rsidRPr="00722821" w:rsidRDefault="00A1105A" w:rsidP="001A1FDB">
      <w:pPr>
        <w:pStyle w:val="Heading4"/>
        <w:rPr>
          <w:lang w:eastAsia="en-GB"/>
        </w:rPr>
      </w:pPr>
      <w:r w:rsidRPr="00722821">
        <w:rPr>
          <w:lang w:eastAsia="en-GB"/>
        </w:rPr>
        <w:t xml:space="preserve">Risk related to </w:t>
      </w:r>
      <w:r w:rsidR="00511A1F" w:rsidRPr="00722821">
        <w:rPr>
          <w:lang w:eastAsia="en-GB"/>
        </w:rPr>
        <w:t>INOVELON</w:t>
      </w:r>
    </w:p>
    <w:p w14:paraId="129F86C2" w14:textId="77777777" w:rsidR="00A1105A" w:rsidRPr="00722821" w:rsidRDefault="00A1105A" w:rsidP="001A1FDB">
      <w:pPr>
        <w:pStyle w:val="BodyText"/>
        <w:rPr>
          <w:lang w:eastAsia="en-GB"/>
        </w:rPr>
      </w:pPr>
      <w:r w:rsidRPr="00722821">
        <w:rPr>
          <w:lang w:eastAsia="en-GB"/>
        </w:rPr>
        <w:t xml:space="preserve">Studies in animals revealed no teratogenic effect, but foetotoxicity in the presence of maternal toxicity was observed. </w:t>
      </w:r>
      <w:r w:rsidR="00BD7B56" w:rsidRPr="00722821">
        <w:t>In reproductive and developmental toxicity studies, there were reductions in foetal growth and survival, and some stillbirths secondary to maternal toxicity</w:t>
      </w:r>
      <w:r w:rsidR="00FF5630" w:rsidRPr="00722821">
        <w:t xml:space="preserve"> at exposures that were several-fold greater than clinical</w:t>
      </w:r>
      <w:r w:rsidR="00BD7B56" w:rsidRPr="00722821">
        <w:t xml:space="preserve">.  However, no effects on morphology and function, including learning or memory, were observed in the offspring.  Rufinamide was not teratogenic in mice, rats or rabbits. </w:t>
      </w:r>
      <w:r w:rsidRPr="00722821">
        <w:rPr>
          <w:lang w:eastAsia="en-GB"/>
        </w:rPr>
        <w:t>The potential risk for humans is unknown.</w:t>
      </w:r>
    </w:p>
    <w:p w14:paraId="129F86C3" w14:textId="77777777" w:rsidR="00A1105A" w:rsidRPr="00722821" w:rsidRDefault="00A1105A" w:rsidP="001A1FDB">
      <w:pPr>
        <w:pStyle w:val="BodyText"/>
        <w:rPr>
          <w:lang w:eastAsia="en-GB"/>
        </w:rPr>
      </w:pPr>
    </w:p>
    <w:p w14:paraId="129F86C4" w14:textId="77777777" w:rsidR="00A1105A" w:rsidRPr="00722821" w:rsidRDefault="00A1105A" w:rsidP="001A1FDB">
      <w:pPr>
        <w:pStyle w:val="BodyText"/>
        <w:rPr>
          <w:lang w:eastAsia="en-GB"/>
        </w:rPr>
      </w:pPr>
      <w:r w:rsidRPr="00722821">
        <w:rPr>
          <w:lang w:eastAsia="fr-FR"/>
        </w:rPr>
        <w:t xml:space="preserve">For </w:t>
      </w:r>
      <w:r w:rsidR="00511A1F" w:rsidRPr="00722821">
        <w:rPr>
          <w:lang w:eastAsia="fr-FR"/>
        </w:rPr>
        <w:t>INOVELON</w:t>
      </w:r>
      <w:r w:rsidRPr="00722821">
        <w:rPr>
          <w:lang w:eastAsia="fr-FR"/>
        </w:rPr>
        <w:t>, no clinical data on exposed pregnancies are available.</w:t>
      </w:r>
    </w:p>
    <w:p w14:paraId="129F86C5" w14:textId="77777777" w:rsidR="00A1105A" w:rsidRPr="00722821" w:rsidRDefault="00A1105A" w:rsidP="001A1FDB">
      <w:pPr>
        <w:pStyle w:val="BodyText"/>
        <w:rPr>
          <w:lang w:eastAsia="en-GB"/>
        </w:rPr>
      </w:pPr>
    </w:p>
    <w:p w14:paraId="129F86C6" w14:textId="77777777" w:rsidR="00A1105A" w:rsidRPr="00722821" w:rsidRDefault="00A1105A" w:rsidP="001A1FDB">
      <w:pPr>
        <w:pStyle w:val="BodyText"/>
        <w:rPr>
          <w:lang w:eastAsia="en-GB"/>
        </w:rPr>
      </w:pPr>
      <w:r w:rsidRPr="00722821">
        <w:rPr>
          <w:lang w:eastAsia="en-GB"/>
        </w:rPr>
        <w:t xml:space="preserve">Taking these data into consideration, </w:t>
      </w:r>
      <w:r w:rsidR="00511A1F" w:rsidRPr="00722821">
        <w:rPr>
          <w:lang w:eastAsia="en-GB"/>
        </w:rPr>
        <w:t>INOVELON</w:t>
      </w:r>
      <w:r w:rsidRPr="00722821">
        <w:rPr>
          <w:lang w:eastAsia="en-GB"/>
        </w:rPr>
        <w:t xml:space="preserve"> should not be used during pregnancy, or in women of childbearing age not using contraceptive measures, unless clearly necessary.</w:t>
      </w:r>
    </w:p>
    <w:p w14:paraId="129F86C7" w14:textId="77777777" w:rsidR="00A1105A" w:rsidRPr="00722821" w:rsidRDefault="00A1105A" w:rsidP="001A1FDB">
      <w:pPr>
        <w:pStyle w:val="BodyText"/>
        <w:rPr>
          <w:lang w:eastAsia="en-GB"/>
        </w:rPr>
      </w:pPr>
    </w:p>
    <w:p w14:paraId="129F86C8" w14:textId="2813067B" w:rsidR="00A1105A" w:rsidRPr="00722821" w:rsidRDefault="00A1105A" w:rsidP="001A1FDB">
      <w:pPr>
        <w:pStyle w:val="BodyText"/>
      </w:pPr>
      <w:r w:rsidRPr="00722821">
        <w:t xml:space="preserve">Women of childbearing potential must use contraceptive measures during treatment with </w:t>
      </w:r>
      <w:r w:rsidR="00511A1F" w:rsidRPr="00722821">
        <w:t>INOVELON</w:t>
      </w:r>
      <w:r w:rsidRPr="00722821">
        <w:t xml:space="preserve">. Physicians should try to ensure that appropriate contraception is used, and should use clinical judgement when assessing whether oral contraceptives, or the doses of the oral contraceptive components, are adequate based on the individual patients clinical situation (see </w:t>
      </w:r>
      <w:r w:rsidR="00252BBC" w:rsidRPr="00722821">
        <w:t xml:space="preserve"> Section</w:t>
      </w:r>
      <w:r w:rsidR="00B74BCA" w:rsidRPr="00722821">
        <w:t> </w:t>
      </w:r>
      <w:r w:rsidR="00252BBC" w:rsidRPr="00722821">
        <w:fldChar w:fldCharType="begin"/>
      </w:r>
      <w:r w:rsidR="00252BBC" w:rsidRPr="00722821">
        <w:instrText xml:space="preserve"> REF _Ref503187146 \r \h </w:instrText>
      </w:r>
      <w:r w:rsidR="00252BBC" w:rsidRPr="00722821">
        <w:fldChar w:fldCharType="separate"/>
      </w:r>
      <w:r w:rsidR="00252BBC" w:rsidRPr="00722821">
        <w:t>4.4</w:t>
      </w:r>
      <w:r w:rsidR="00252BBC" w:rsidRPr="00722821">
        <w:fldChar w:fldCharType="end"/>
      </w:r>
      <w:r w:rsidR="00BD7B56" w:rsidRPr="00722821">
        <w:t xml:space="preserve"> </w:t>
      </w:r>
      <w:r w:rsidR="00AA2766">
        <w:t>Special warnings and precautions for use</w:t>
      </w:r>
      <w:r w:rsidR="00AA2766" w:rsidRPr="00722821">
        <w:t xml:space="preserve"> </w:t>
      </w:r>
      <w:r w:rsidR="00BD7B56" w:rsidRPr="00722821">
        <w:t xml:space="preserve">and </w:t>
      </w:r>
      <w:r w:rsidR="00AE5A19" w:rsidRPr="00722821">
        <w:t xml:space="preserve">Section </w:t>
      </w:r>
      <w:r w:rsidR="00AE5A19" w:rsidRPr="00722821">
        <w:fldChar w:fldCharType="begin"/>
      </w:r>
      <w:r w:rsidR="00AE5A19" w:rsidRPr="00722821">
        <w:instrText xml:space="preserve"> REF _Ref503187121 \r \h </w:instrText>
      </w:r>
      <w:r w:rsidR="00AE5A19" w:rsidRPr="00722821">
        <w:fldChar w:fldCharType="separate"/>
      </w:r>
      <w:r w:rsidR="00AE5A19" w:rsidRPr="00722821">
        <w:t>4.5</w:t>
      </w:r>
      <w:r w:rsidR="00AE5A19" w:rsidRPr="00722821">
        <w:fldChar w:fldCharType="end"/>
      </w:r>
      <w:r w:rsidR="00AA2766">
        <w:t xml:space="preserve"> </w:t>
      </w:r>
      <w:r w:rsidR="00AA2766">
        <w:rPr>
          <w:noProof/>
        </w:rPr>
        <w:t>Interactions with other medicines</w:t>
      </w:r>
      <w:r w:rsidRPr="00722821">
        <w:t>).</w:t>
      </w:r>
    </w:p>
    <w:p w14:paraId="129F86C9" w14:textId="77777777" w:rsidR="00A1105A" w:rsidRPr="00722821" w:rsidRDefault="00A1105A" w:rsidP="001A1FDB">
      <w:pPr>
        <w:pStyle w:val="BodyText"/>
        <w:rPr>
          <w:lang w:eastAsia="en-GB"/>
        </w:rPr>
      </w:pPr>
    </w:p>
    <w:p w14:paraId="129F86CA" w14:textId="77777777" w:rsidR="00A1105A" w:rsidRPr="00722821" w:rsidRDefault="00A1105A" w:rsidP="001A1FDB">
      <w:pPr>
        <w:pStyle w:val="BodyText"/>
        <w:rPr>
          <w:lang w:eastAsia="en-GB"/>
        </w:rPr>
      </w:pPr>
      <w:r w:rsidRPr="00722821">
        <w:rPr>
          <w:lang w:eastAsia="en-GB"/>
        </w:rPr>
        <w:t xml:space="preserve">If women treated with </w:t>
      </w:r>
      <w:r w:rsidR="00511A1F" w:rsidRPr="00722821">
        <w:rPr>
          <w:lang w:eastAsia="en-GB"/>
        </w:rPr>
        <w:t>INOVELON</w:t>
      </w:r>
      <w:r w:rsidRPr="00722821">
        <w:rPr>
          <w:lang w:eastAsia="en-GB"/>
        </w:rPr>
        <w:t xml:space="preserve"> plan to become pregnant, the </w:t>
      </w:r>
      <w:r w:rsidR="00F04123" w:rsidRPr="00722821">
        <w:rPr>
          <w:lang w:eastAsia="en-GB"/>
        </w:rPr>
        <w:t>continued use</w:t>
      </w:r>
      <w:r w:rsidRPr="00722821">
        <w:rPr>
          <w:lang w:eastAsia="en-GB"/>
        </w:rPr>
        <w:t xml:space="preserve"> of this product should be carefully weighed. During pregnancy, </w:t>
      </w:r>
      <w:r w:rsidR="00F04123" w:rsidRPr="00722821">
        <w:rPr>
          <w:lang w:eastAsia="en-GB"/>
        </w:rPr>
        <w:t xml:space="preserve">interruption of </w:t>
      </w:r>
      <w:r w:rsidRPr="00722821">
        <w:rPr>
          <w:lang w:eastAsia="en-GB"/>
        </w:rPr>
        <w:t xml:space="preserve">an effective </w:t>
      </w:r>
      <w:r w:rsidRPr="00722821">
        <w:rPr>
          <w:lang w:eastAsia="en-GB"/>
        </w:rPr>
        <w:lastRenderedPageBreak/>
        <w:t xml:space="preserve">antiepileptic </w:t>
      </w:r>
      <w:r w:rsidR="0078540F" w:rsidRPr="00722821">
        <w:rPr>
          <w:lang w:eastAsia="en-GB"/>
        </w:rPr>
        <w:t xml:space="preserve">such as </w:t>
      </w:r>
      <w:r w:rsidR="00511A1F" w:rsidRPr="00722821">
        <w:rPr>
          <w:lang w:eastAsia="en-GB"/>
        </w:rPr>
        <w:t>INOVELON</w:t>
      </w:r>
      <w:r w:rsidRPr="00722821">
        <w:rPr>
          <w:lang w:eastAsia="en-GB"/>
        </w:rPr>
        <w:t xml:space="preserve"> </w:t>
      </w:r>
      <w:r w:rsidR="00F04123" w:rsidRPr="00722821">
        <w:rPr>
          <w:lang w:eastAsia="en-GB"/>
        </w:rPr>
        <w:t>can be</w:t>
      </w:r>
      <w:r w:rsidRPr="00722821">
        <w:rPr>
          <w:lang w:eastAsia="en-GB"/>
        </w:rPr>
        <w:t xml:space="preserve"> detrimental to both the mother and the foetus</w:t>
      </w:r>
      <w:r w:rsidR="00F04123" w:rsidRPr="00722821">
        <w:rPr>
          <w:lang w:eastAsia="en-GB"/>
        </w:rPr>
        <w:t xml:space="preserve"> if it results in aggravation of illness</w:t>
      </w:r>
      <w:r w:rsidRPr="00722821">
        <w:rPr>
          <w:lang w:eastAsia="en-GB"/>
        </w:rPr>
        <w:t>.</w:t>
      </w:r>
    </w:p>
    <w:p w14:paraId="129F86CB" w14:textId="77777777" w:rsidR="002670AF" w:rsidRPr="00722821" w:rsidRDefault="002670AF" w:rsidP="001A1FDB">
      <w:pPr>
        <w:pStyle w:val="BodyText"/>
        <w:rPr>
          <w:lang w:eastAsia="en-GB"/>
        </w:rPr>
      </w:pPr>
    </w:p>
    <w:p w14:paraId="129F86CC" w14:textId="77777777" w:rsidR="002670AF" w:rsidRPr="00722821" w:rsidRDefault="00952894" w:rsidP="001A1FDB">
      <w:pPr>
        <w:pStyle w:val="BodyText"/>
        <w:rPr>
          <w:lang w:eastAsia="en-GB"/>
        </w:rPr>
      </w:pPr>
      <w:r w:rsidRPr="00722821">
        <w:rPr>
          <w:lang w:eastAsia="en-GB"/>
        </w:rPr>
        <w:t xml:space="preserve">Should any patients taking INOVELON become pregnant, </w:t>
      </w:r>
      <w:r w:rsidR="002670AF" w:rsidRPr="00722821">
        <w:rPr>
          <w:lang w:eastAsia="en-GB"/>
        </w:rPr>
        <w:t xml:space="preserve">it is encouraged to register </w:t>
      </w:r>
      <w:r w:rsidRPr="00722821">
        <w:rPr>
          <w:lang w:eastAsia="en-GB"/>
        </w:rPr>
        <w:t xml:space="preserve">the patient </w:t>
      </w:r>
      <w:r w:rsidR="002670AF" w:rsidRPr="00722821">
        <w:rPr>
          <w:lang w:eastAsia="en-GB"/>
        </w:rPr>
        <w:t>on the Australian Pregnancy Register for Women on Antiepileptic Medication by calling 1800 069 722.</w:t>
      </w:r>
    </w:p>
    <w:p w14:paraId="129F86CD" w14:textId="77777777" w:rsidR="00C6307C" w:rsidRPr="00722821" w:rsidRDefault="00C6307C" w:rsidP="001A1FDB">
      <w:pPr>
        <w:pStyle w:val="BodyText"/>
        <w:rPr>
          <w:szCs w:val="24"/>
        </w:rPr>
      </w:pPr>
    </w:p>
    <w:p w14:paraId="129F86CE" w14:textId="77777777" w:rsidR="00C6307C" w:rsidRPr="00722821" w:rsidRDefault="00C6307C" w:rsidP="001A1FDB">
      <w:pPr>
        <w:pStyle w:val="Heading3"/>
      </w:pPr>
      <w:r w:rsidRPr="00722821">
        <w:t xml:space="preserve">Use </w:t>
      </w:r>
      <w:proofErr w:type="gramStart"/>
      <w:r w:rsidRPr="00722821">
        <w:t>In</w:t>
      </w:r>
      <w:proofErr w:type="gramEnd"/>
      <w:r w:rsidRPr="00722821">
        <w:t xml:space="preserve"> Lactation</w:t>
      </w:r>
    </w:p>
    <w:p w14:paraId="129F86CF" w14:textId="13F981F8" w:rsidR="00BB2D53" w:rsidRPr="00722821" w:rsidRDefault="00FF5630" w:rsidP="001A1FDB">
      <w:pPr>
        <w:pStyle w:val="BodyText"/>
      </w:pPr>
      <w:r w:rsidRPr="00722821">
        <w:t xml:space="preserve">Animal studies suggest that rufinamide is likely to be excreted in human milk. </w:t>
      </w:r>
      <w:r w:rsidR="004C0F34" w:rsidRPr="00722821">
        <w:t xml:space="preserve"> </w:t>
      </w:r>
      <w:r w:rsidR="00BB2D53" w:rsidRPr="00722821">
        <w:t>Because of the potential for serious adverse reactions in nursing infants from rufinamide, a decision should be made whether to discontinue nursing or discontinue the drug taking into account the importance of the drug to the mother</w:t>
      </w:r>
    </w:p>
    <w:p w14:paraId="129F86D0" w14:textId="77777777" w:rsidR="00BB2D53" w:rsidRPr="00722821" w:rsidRDefault="00BB2D53" w:rsidP="001A1FDB">
      <w:pPr>
        <w:pStyle w:val="BodyText"/>
      </w:pPr>
    </w:p>
    <w:p w14:paraId="129F86D1" w14:textId="77777777" w:rsidR="00CB2DC4" w:rsidRPr="00722821" w:rsidRDefault="00CB2DC4" w:rsidP="001A1FDB">
      <w:pPr>
        <w:pStyle w:val="Heading2"/>
      </w:pPr>
      <w:r w:rsidRPr="00722821">
        <w:t>Effects on ability to drive and use machines</w:t>
      </w:r>
    </w:p>
    <w:p w14:paraId="129F86D2" w14:textId="08955DA8" w:rsidR="00BB2D53" w:rsidRPr="00722821" w:rsidRDefault="00A74F0F" w:rsidP="001A1FDB">
      <w:pPr>
        <w:pStyle w:val="BodyText"/>
        <w:rPr>
          <w:lang w:eastAsia="en-GB"/>
        </w:rPr>
      </w:pPr>
      <w:r w:rsidRPr="00722821">
        <w:rPr>
          <w:lang w:eastAsia="en-GB"/>
        </w:rPr>
        <w:t>INOVELON</w:t>
      </w:r>
      <w:r w:rsidR="00BB2D53" w:rsidRPr="00722821">
        <w:rPr>
          <w:lang w:eastAsia="en-GB"/>
        </w:rPr>
        <w:t xml:space="preserve"> may cause dizziness, somnolence and blurred vision. Depending on the individual sensitivity, </w:t>
      </w:r>
      <w:r w:rsidRPr="00722821">
        <w:rPr>
          <w:lang w:eastAsia="en-GB"/>
        </w:rPr>
        <w:t>INOVELON</w:t>
      </w:r>
      <w:r w:rsidR="00BB2D53" w:rsidRPr="00722821">
        <w:rPr>
          <w:lang w:eastAsia="en-GB"/>
        </w:rPr>
        <w:t xml:space="preserve"> may have a minor to major influence on the ability to drive and use machines. </w:t>
      </w:r>
      <w:r w:rsidR="00BB2D53" w:rsidRPr="00722821">
        <w:t>Patients must be advised to exercise caution during activities requiring a high degree of alertness, e.g., driving or operating machinery.</w:t>
      </w:r>
    </w:p>
    <w:p w14:paraId="129F86D3" w14:textId="77777777" w:rsidR="00CB2DC4" w:rsidRPr="00722821" w:rsidRDefault="00CB2DC4" w:rsidP="001A1FDB">
      <w:pPr>
        <w:pStyle w:val="BodyText"/>
        <w:rPr>
          <w:rFonts w:eastAsia="TimesNewRoman,Bold"/>
          <w:szCs w:val="24"/>
        </w:rPr>
      </w:pPr>
    </w:p>
    <w:p w14:paraId="129F86D4" w14:textId="41932044" w:rsidR="00026C88" w:rsidRPr="00722821" w:rsidRDefault="00026C88" w:rsidP="001A1FDB">
      <w:pPr>
        <w:pStyle w:val="Heading2"/>
      </w:pPr>
      <w:bookmarkStart w:id="5" w:name="_Ref506278908"/>
      <w:bookmarkStart w:id="6" w:name="_Ref513814768"/>
      <w:r w:rsidRPr="00722821">
        <w:t>A</w:t>
      </w:r>
      <w:r w:rsidR="00252BBC" w:rsidRPr="00722821">
        <w:t>dverse effects</w:t>
      </w:r>
      <w:r w:rsidR="001A1FDB" w:rsidRPr="00722821">
        <w:t xml:space="preserve"> (Undesirable Effects</w:t>
      </w:r>
      <w:bookmarkEnd w:id="5"/>
      <w:r w:rsidR="00252BBC" w:rsidRPr="00722821">
        <w:t>)</w:t>
      </w:r>
      <w:bookmarkEnd w:id="6"/>
    </w:p>
    <w:p w14:paraId="129F86D5" w14:textId="77777777" w:rsidR="00026C88" w:rsidRPr="00722821" w:rsidRDefault="00026C88" w:rsidP="001A1FDB">
      <w:pPr>
        <w:pStyle w:val="Heading3"/>
      </w:pPr>
      <w:r w:rsidRPr="00722821">
        <w:t>Clinical Trials</w:t>
      </w:r>
    </w:p>
    <w:p w14:paraId="129F86D6" w14:textId="77777777" w:rsidR="00441EAC" w:rsidRPr="00722821" w:rsidRDefault="00441EAC" w:rsidP="001A1FDB">
      <w:pPr>
        <w:pStyle w:val="Heading4"/>
        <w:rPr>
          <w:noProof/>
        </w:rPr>
      </w:pPr>
      <w:r w:rsidRPr="00722821">
        <w:rPr>
          <w:noProof/>
        </w:rPr>
        <w:t>Summary of the safety profile</w:t>
      </w:r>
    </w:p>
    <w:p w14:paraId="129F86D7" w14:textId="77777777" w:rsidR="00441EAC" w:rsidRPr="00722821" w:rsidRDefault="00441EAC" w:rsidP="001A1FDB">
      <w:pPr>
        <w:pStyle w:val="BodyText"/>
      </w:pPr>
      <w:r w:rsidRPr="00722821">
        <w:t xml:space="preserve">The clinical development program has included over 1,900 patients, with different types of epilepsy, exposed to </w:t>
      </w:r>
      <w:r w:rsidR="005E658B" w:rsidRPr="00722821">
        <w:t>INOVELON</w:t>
      </w:r>
      <w:r w:rsidRPr="00722821">
        <w:t>. The most commonly reported adverse reactions overall were headache, dizziness, fatigue, and somnolence. The most common adverse reactions observed at a higher incidence than placebo in patients with Lennox-Gastaut syndrome were somnolence and vomiting. Adverse reactions were usually mild to moderate in severity. The discontinuation rate in Lennox</w:t>
      </w:r>
      <w:r w:rsidRPr="00722821">
        <w:noBreakHyphen/>
        <w:t xml:space="preserve">Gastaut syndrome due to adverse reactions was 8.2% for patients receiving </w:t>
      </w:r>
      <w:r w:rsidR="005E658B" w:rsidRPr="00722821">
        <w:t>INOVELON</w:t>
      </w:r>
      <w:r w:rsidRPr="00722821">
        <w:t xml:space="preserve"> and 0% for patients receiving placebo. The most common adverse reactions resulting in discontinuation from the </w:t>
      </w:r>
      <w:r w:rsidR="005E658B" w:rsidRPr="00722821">
        <w:t>INOVELON</w:t>
      </w:r>
      <w:r w:rsidRPr="00722821">
        <w:t xml:space="preserve"> treatment group were rash and vomiting.</w:t>
      </w:r>
    </w:p>
    <w:p w14:paraId="129F86D8" w14:textId="77777777" w:rsidR="00441EAC" w:rsidRPr="00722821" w:rsidRDefault="00441EAC" w:rsidP="001A1FDB">
      <w:pPr>
        <w:pStyle w:val="BodyText"/>
      </w:pPr>
    </w:p>
    <w:p w14:paraId="129F86D9" w14:textId="77777777" w:rsidR="00441EAC" w:rsidRPr="00722821" w:rsidRDefault="00441EAC" w:rsidP="001A1FDB">
      <w:pPr>
        <w:pStyle w:val="Heading4"/>
      </w:pPr>
      <w:r w:rsidRPr="00722821">
        <w:t>Tabulated list of adverse reactions</w:t>
      </w:r>
    </w:p>
    <w:p w14:paraId="129F86DA" w14:textId="77777777" w:rsidR="00441EAC" w:rsidRPr="00722821" w:rsidRDefault="00441EAC" w:rsidP="000A05F2">
      <w:pPr>
        <w:pStyle w:val="BodyText"/>
      </w:pPr>
      <w:r w:rsidRPr="00722821">
        <w:t xml:space="preserve">Adverse reactions reported with an incidence greater than placebo, during the Lennox-Gastaut syndrome double-blind studies or in the overall </w:t>
      </w:r>
      <w:r w:rsidR="005E658B" w:rsidRPr="00722821">
        <w:t>INOVELON</w:t>
      </w:r>
      <w:r w:rsidRPr="00722821">
        <w:t xml:space="preserve">-exposed population, are listed in the table below by MedDRA preferred term, system organ class and by frequency.  </w:t>
      </w:r>
    </w:p>
    <w:p w14:paraId="129F86DB" w14:textId="77777777" w:rsidR="00441EAC" w:rsidRPr="00722821" w:rsidRDefault="00441EAC" w:rsidP="000A05F2">
      <w:pPr>
        <w:pStyle w:val="BodyText"/>
      </w:pPr>
    </w:p>
    <w:p w14:paraId="129F86DC" w14:textId="77777777" w:rsidR="00441EAC" w:rsidRPr="00722821" w:rsidRDefault="00441EAC" w:rsidP="000A05F2">
      <w:pPr>
        <w:pStyle w:val="BodyText"/>
      </w:pPr>
      <w:r w:rsidRPr="00722821">
        <w:lastRenderedPageBreak/>
        <w:t xml:space="preserve">Frequencies are defined as:  very common (≥ 1/10), common (≥ 1/100 </w:t>
      </w:r>
      <w:r w:rsidR="00551B74" w:rsidRPr="00722821">
        <w:t xml:space="preserve">to </w:t>
      </w:r>
      <w:r w:rsidRPr="00722821">
        <w:t xml:space="preserve">&lt; 1/10), uncommon (≥ 1/1,000 </w:t>
      </w:r>
      <w:r w:rsidR="00551B74" w:rsidRPr="00722821">
        <w:t xml:space="preserve">to </w:t>
      </w:r>
      <w:r w:rsidRPr="00722821">
        <w:t>&lt; 1/100), rare (≥1/10,000 to &lt;1/1,000),</w:t>
      </w:r>
    </w:p>
    <w:p w14:paraId="129F86DD" w14:textId="77777777" w:rsidR="007B31D9" w:rsidRPr="00722821" w:rsidRDefault="007B31D9" w:rsidP="000A05F2">
      <w:pPr>
        <w:pStyle w:val="BodyText"/>
        <w:rPr>
          <w:szCs w:val="24"/>
        </w:rPr>
      </w:pPr>
    </w:p>
    <w:p w14:paraId="7F8EB8B1" w14:textId="37CFAABA" w:rsidR="00722821" w:rsidRPr="00722821" w:rsidRDefault="00722821" w:rsidP="00722821">
      <w:pPr>
        <w:pStyle w:val="Caption"/>
      </w:pPr>
      <w:r w:rsidRPr="00722821">
        <w:t>Table </w:t>
      </w:r>
      <w:fldSimple w:instr=" SEQ Table \* ARABIC ">
        <w:r w:rsidRPr="00722821">
          <w:rPr>
            <w:noProof/>
          </w:rPr>
          <w:t>1</w:t>
        </w:r>
      </w:fldSimple>
      <w:r w:rsidRPr="00722821">
        <w:t xml:space="preserve"> </w:t>
      </w:r>
      <w:r w:rsidRPr="00722821">
        <w:tab/>
        <w:t>Adverse reactions reported in patients in clinical trials</w:t>
      </w:r>
    </w:p>
    <w:tbl>
      <w:tblPr>
        <w:tblW w:w="8769" w:type="dxa"/>
        <w:tblInd w:w="15" w:type="dxa"/>
        <w:tblLayout w:type="fixed"/>
        <w:tblCellMar>
          <w:left w:w="0" w:type="dxa"/>
          <w:right w:w="0" w:type="dxa"/>
        </w:tblCellMar>
        <w:tblLook w:val="0000" w:firstRow="0" w:lastRow="0" w:firstColumn="0" w:lastColumn="0" w:noHBand="0" w:noVBand="0"/>
      </w:tblPr>
      <w:tblGrid>
        <w:gridCol w:w="2957"/>
        <w:gridCol w:w="1701"/>
        <w:gridCol w:w="2126"/>
        <w:gridCol w:w="1985"/>
      </w:tblGrid>
      <w:tr w:rsidR="00EF5826" w:rsidRPr="00722821" w14:paraId="129F86E3" w14:textId="77777777" w:rsidTr="00E87AE1">
        <w:trPr>
          <w:trHeight w:val="360"/>
          <w:tblHeader/>
        </w:trPr>
        <w:tc>
          <w:tcPr>
            <w:tcW w:w="295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29F86DF" w14:textId="77777777" w:rsidR="00EF5826" w:rsidRPr="00722821" w:rsidRDefault="00EF5826" w:rsidP="000A05F2">
            <w:pPr>
              <w:pStyle w:val="TableHeading"/>
              <w:rPr>
                <w:rFonts w:eastAsia="Arial Unicode MS"/>
              </w:rPr>
            </w:pPr>
            <w:r w:rsidRPr="00722821">
              <w:t>System Organ Class</w:t>
            </w:r>
          </w:p>
        </w:tc>
        <w:tc>
          <w:tcPr>
            <w:tcW w:w="1701"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129F86E0" w14:textId="77777777" w:rsidR="00EF5826" w:rsidRPr="00722821" w:rsidRDefault="00EF5826" w:rsidP="000A05F2">
            <w:pPr>
              <w:pStyle w:val="TableHeading"/>
              <w:rPr>
                <w:rFonts w:eastAsia="Arial Unicode MS"/>
              </w:rPr>
            </w:pPr>
            <w:r w:rsidRPr="00722821">
              <w:t>Very Common</w:t>
            </w:r>
          </w:p>
        </w:tc>
        <w:tc>
          <w:tcPr>
            <w:tcW w:w="2126"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129F86E1" w14:textId="77777777" w:rsidR="00EF5826" w:rsidRPr="00722821" w:rsidRDefault="00EF5826" w:rsidP="000A05F2">
            <w:pPr>
              <w:pStyle w:val="TableHeading"/>
              <w:rPr>
                <w:rFonts w:eastAsia="Arial Unicode MS"/>
              </w:rPr>
            </w:pPr>
            <w:r w:rsidRPr="00722821">
              <w:t>Common</w:t>
            </w:r>
          </w:p>
        </w:tc>
        <w:tc>
          <w:tcPr>
            <w:tcW w:w="198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129F86E2" w14:textId="77777777" w:rsidR="00EF5826" w:rsidRPr="00722821" w:rsidRDefault="00EF5826" w:rsidP="000A05F2">
            <w:pPr>
              <w:pStyle w:val="TableHeading"/>
              <w:rPr>
                <w:rFonts w:eastAsia="Arial Unicode MS"/>
              </w:rPr>
            </w:pPr>
            <w:r w:rsidRPr="00722821">
              <w:t>Uncommon</w:t>
            </w:r>
          </w:p>
        </w:tc>
      </w:tr>
      <w:tr w:rsidR="00EF5826" w:rsidRPr="00722821" w14:paraId="129F86ED" w14:textId="77777777" w:rsidTr="00E87AE1">
        <w:trPr>
          <w:cantSplit/>
          <w:trHeight w:val="1358"/>
        </w:trPr>
        <w:tc>
          <w:tcPr>
            <w:tcW w:w="2957" w:type="dxa"/>
            <w:tcBorders>
              <w:top w:val="nil"/>
              <w:left w:val="single" w:sz="4" w:space="0" w:color="auto"/>
              <w:bottom w:val="single" w:sz="4" w:space="0" w:color="000000"/>
              <w:right w:val="single" w:sz="4" w:space="0" w:color="auto"/>
            </w:tcBorders>
            <w:tcMar>
              <w:top w:w="15" w:type="dxa"/>
              <w:left w:w="15" w:type="dxa"/>
              <w:bottom w:w="0" w:type="dxa"/>
              <w:right w:w="15" w:type="dxa"/>
            </w:tcMar>
          </w:tcPr>
          <w:p w14:paraId="129F86E4" w14:textId="77777777" w:rsidR="00EF5826" w:rsidRPr="00722821" w:rsidRDefault="00EF5826" w:rsidP="000A05F2">
            <w:pPr>
              <w:pStyle w:val="TableText"/>
              <w:rPr>
                <w:rFonts w:eastAsia="Arial Unicode MS"/>
              </w:rPr>
            </w:pPr>
            <w:r w:rsidRPr="00722821">
              <w:t>Infections and infestations</w:t>
            </w:r>
          </w:p>
        </w:tc>
        <w:tc>
          <w:tcPr>
            <w:tcW w:w="1701" w:type="dxa"/>
            <w:tcBorders>
              <w:top w:val="nil"/>
              <w:left w:val="single" w:sz="4" w:space="0" w:color="auto"/>
              <w:bottom w:val="single" w:sz="4" w:space="0" w:color="000000"/>
              <w:right w:val="single" w:sz="4" w:space="0" w:color="auto"/>
            </w:tcBorders>
            <w:noWrap/>
            <w:tcMar>
              <w:top w:w="15" w:type="dxa"/>
              <w:left w:w="15" w:type="dxa"/>
              <w:bottom w:w="0" w:type="dxa"/>
              <w:right w:w="15" w:type="dxa"/>
            </w:tcMar>
          </w:tcPr>
          <w:p w14:paraId="129F86E5" w14:textId="77777777" w:rsidR="00EF5826" w:rsidRPr="00722821" w:rsidRDefault="00EF5826" w:rsidP="000A05F2">
            <w:pPr>
              <w:pStyle w:val="TableText"/>
              <w:rPr>
                <w:rFonts w:eastAsia="Arial Unicode MS"/>
              </w:rPr>
            </w:pPr>
            <w:r w:rsidRPr="00722821">
              <w:t> </w:t>
            </w:r>
          </w:p>
        </w:tc>
        <w:tc>
          <w:tcPr>
            <w:tcW w:w="2126"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29F86E6" w14:textId="77777777" w:rsidR="00EF5826" w:rsidRPr="00722821" w:rsidRDefault="00EF5826" w:rsidP="000A05F2">
            <w:pPr>
              <w:pStyle w:val="TableText"/>
            </w:pPr>
            <w:r w:rsidRPr="00722821">
              <w:t>Pneumonia</w:t>
            </w:r>
          </w:p>
          <w:p w14:paraId="129F86E7" w14:textId="77777777" w:rsidR="00EF5826" w:rsidRPr="00722821" w:rsidRDefault="00EF5826" w:rsidP="000A05F2">
            <w:pPr>
              <w:pStyle w:val="TableText"/>
            </w:pPr>
            <w:r w:rsidRPr="00722821">
              <w:t>Influenza</w:t>
            </w:r>
          </w:p>
          <w:p w14:paraId="129F86E8" w14:textId="77777777" w:rsidR="00EF5826" w:rsidRPr="00722821" w:rsidRDefault="00EF5826" w:rsidP="000A05F2">
            <w:pPr>
              <w:pStyle w:val="TableText"/>
            </w:pPr>
            <w:r w:rsidRPr="00722821">
              <w:t>Nasopharyngitis</w:t>
            </w:r>
          </w:p>
          <w:p w14:paraId="129F86E9" w14:textId="77777777" w:rsidR="00EF5826" w:rsidRPr="00722821" w:rsidRDefault="00EF5826" w:rsidP="000A05F2">
            <w:pPr>
              <w:pStyle w:val="TableText"/>
            </w:pPr>
            <w:r w:rsidRPr="00722821">
              <w:t>Ear infection</w:t>
            </w:r>
          </w:p>
          <w:p w14:paraId="129F86EA" w14:textId="77777777" w:rsidR="00EF5826" w:rsidRPr="00722821" w:rsidRDefault="00EF5826" w:rsidP="000A05F2">
            <w:pPr>
              <w:pStyle w:val="TableText"/>
            </w:pPr>
            <w:r w:rsidRPr="00722821">
              <w:t>Sinusitis</w:t>
            </w:r>
          </w:p>
          <w:p w14:paraId="129F86EB" w14:textId="77777777" w:rsidR="00EF5826" w:rsidRPr="00722821" w:rsidRDefault="00EF5826" w:rsidP="000A05F2">
            <w:pPr>
              <w:pStyle w:val="TableText"/>
              <w:rPr>
                <w:rFonts w:eastAsia="Arial Unicode MS"/>
              </w:rPr>
            </w:pPr>
            <w:r w:rsidRPr="00722821">
              <w:t>Rhinitis</w:t>
            </w:r>
          </w:p>
        </w:tc>
        <w:tc>
          <w:tcPr>
            <w:tcW w:w="1985"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14:paraId="129F86EC" w14:textId="77777777" w:rsidR="00EF5826" w:rsidRPr="00722821" w:rsidRDefault="00EF5826" w:rsidP="000A05F2">
            <w:pPr>
              <w:pStyle w:val="TableText"/>
              <w:rPr>
                <w:rFonts w:eastAsia="Arial Unicode MS"/>
              </w:rPr>
            </w:pPr>
            <w:r w:rsidRPr="00722821">
              <w:t> </w:t>
            </w:r>
          </w:p>
        </w:tc>
      </w:tr>
      <w:tr w:rsidR="00EF5826" w:rsidRPr="00722821" w14:paraId="129F86F3" w14:textId="77777777" w:rsidTr="00E87AE1">
        <w:trPr>
          <w:trHeight w:val="555"/>
        </w:trPr>
        <w:tc>
          <w:tcPr>
            <w:tcW w:w="2957" w:type="dxa"/>
            <w:tcBorders>
              <w:top w:val="nil"/>
              <w:left w:val="single" w:sz="4" w:space="0" w:color="auto"/>
              <w:bottom w:val="nil"/>
              <w:right w:val="single" w:sz="4" w:space="0" w:color="auto"/>
            </w:tcBorders>
            <w:tcMar>
              <w:top w:w="15" w:type="dxa"/>
              <w:left w:w="15" w:type="dxa"/>
              <w:bottom w:w="0" w:type="dxa"/>
              <w:right w:w="15" w:type="dxa"/>
            </w:tcMar>
          </w:tcPr>
          <w:p w14:paraId="129F86EE" w14:textId="77777777" w:rsidR="00EF5826" w:rsidRPr="00722821" w:rsidRDefault="00EF5826" w:rsidP="000A05F2">
            <w:pPr>
              <w:pStyle w:val="TableText"/>
              <w:rPr>
                <w:rFonts w:eastAsia="Arial Unicode MS"/>
              </w:rPr>
            </w:pPr>
            <w:r w:rsidRPr="00722821">
              <w:t>Immune system disorders</w:t>
            </w:r>
          </w:p>
        </w:tc>
        <w:tc>
          <w:tcPr>
            <w:tcW w:w="1701" w:type="dxa"/>
            <w:tcBorders>
              <w:top w:val="nil"/>
              <w:left w:val="nil"/>
              <w:bottom w:val="nil"/>
              <w:right w:val="single" w:sz="4" w:space="0" w:color="auto"/>
            </w:tcBorders>
            <w:noWrap/>
            <w:tcMar>
              <w:top w:w="15" w:type="dxa"/>
              <w:left w:w="15" w:type="dxa"/>
              <w:bottom w:w="0" w:type="dxa"/>
              <w:right w:w="15" w:type="dxa"/>
            </w:tcMar>
          </w:tcPr>
          <w:p w14:paraId="129F86EF" w14:textId="77777777" w:rsidR="00EF5826" w:rsidRPr="00722821" w:rsidRDefault="00EF5826" w:rsidP="000A05F2">
            <w:pPr>
              <w:pStyle w:val="TableText"/>
              <w:rPr>
                <w:rFonts w:eastAsia="Arial Unicode MS"/>
              </w:rPr>
            </w:pPr>
            <w:r w:rsidRPr="00722821">
              <w:t> </w:t>
            </w:r>
          </w:p>
        </w:tc>
        <w:tc>
          <w:tcPr>
            <w:tcW w:w="2126" w:type="dxa"/>
            <w:tcBorders>
              <w:top w:val="single" w:sz="4" w:space="0" w:color="auto"/>
              <w:left w:val="nil"/>
              <w:bottom w:val="nil"/>
              <w:right w:val="single" w:sz="4" w:space="0" w:color="auto"/>
            </w:tcBorders>
            <w:tcMar>
              <w:top w:w="15" w:type="dxa"/>
              <w:left w:w="15" w:type="dxa"/>
              <w:bottom w:w="0" w:type="dxa"/>
              <w:right w:w="15" w:type="dxa"/>
            </w:tcMar>
          </w:tcPr>
          <w:p w14:paraId="129F86F0" w14:textId="77777777" w:rsidR="00EF5826" w:rsidRPr="00722821" w:rsidRDefault="00EF5826" w:rsidP="000A05F2">
            <w:pPr>
              <w:pStyle w:val="TableText"/>
              <w:rPr>
                <w:rFonts w:eastAsia="Arial Unicode MS"/>
              </w:rPr>
            </w:pPr>
            <w:r w:rsidRPr="00722821">
              <w:t> </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tcPr>
          <w:p w14:paraId="129F86F1" w14:textId="77777777" w:rsidR="00EF5826" w:rsidRPr="00722821" w:rsidRDefault="00EF5826" w:rsidP="000A05F2">
            <w:pPr>
              <w:pStyle w:val="TableText"/>
              <w:rPr>
                <w:iCs/>
                <w:lang w:eastAsia="en-GB"/>
              </w:rPr>
            </w:pPr>
            <w:r w:rsidRPr="00722821">
              <w:rPr>
                <w:iCs/>
                <w:lang w:eastAsia="en-GB"/>
              </w:rPr>
              <w:t>Hypersensitivity*</w:t>
            </w:r>
          </w:p>
          <w:p w14:paraId="129F86F2" w14:textId="77777777" w:rsidR="00EF5826" w:rsidRPr="00722821" w:rsidRDefault="00EF5826" w:rsidP="000A05F2">
            <w:pPr>
              <w:pStyle w:val="TableText"/>
              <w:rPr>
                <w:rFonts w:eastAsia="Arial Unicode MS"/>
                <w:strike/>
              </w:rPr>
            </w:pPr>
          </w:p>
        </w:tc>
      </w:tr>
      <w:tr w:rsidR="00EF5826" w:rsidRPr="00722821" w14:paraId="129F86FA" w14:textId="77777777" w:rsidTr="00E87AE1">
        <w:trPr>
          <w:cantSplit/>
          <w:trHeight w:val="781"/>
        </w:trPr>
        <w:tc>
          <w:tcPr>
            <w:tcW w:w="2957" w:type="dxa"/>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tcPr>
          <w:p w14:paraId="129F86F4" w14:textId="77777777" w:rsidR="00EF5826" w:rsidRPr="00722821" w:rsidRDefault="00EF5826" w:rsidP="000A05F2">
            <w:pPr>
              <w:pStyle w:val="TableText"/>
              <w:rPr>
                <w:rFonts w:eastAsia="Arial Unicode MS"/>
              </w:rPr>
            </w:pPr>
            <w:r w:rsidRPr="00722821">
              <w:t>Metabolism and nutrition disorders</w:t>
            </w:r>
          </w:p>
        </w:tc>
        <w:tc>
          <w:tcPr>
            <w:tcW w:w="1701" w:type="dxa"/>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tcPr>
          <w:p w14:paraId="129F86F5" w14:textId="77777777" w:rsidR="00EF5826" w:rsidRPr="00722821" w:rsidRDefault="00EF5826" w:rsidP="000A05F2">
            <w:pPr>
              <w:pStyle w:val="TableText"/>
              <w:rPr>
                <w:rFonts w:eastAsia="Arial Unicode MS"/>
              </w:rPr>
            </w:pPr>
            <w:r w:rsidRPr="00722821">
              <w:t> </w:t>
            </w:r>
          </w:p>
        </w:tc>
        <w:tc>
          <w:tcPr>
            <w:tcW w:w="2126" w:type="dxa"/>
            <w:tcBorders>
              <w:top w:val="single" w:sz="4" w:space="0" w:color="auto"/>
              <w:left w:val="nil"/>
              <w:right w:val="single" w:sz="4" w:space="0" w:color="auto"/>
            </w:tcBorders>
            <w:tcMar>
              <w:top w:w="15" w:type="dxa"/>
              <w:left w:w="15" w:type="dxa"/>
              <w:bottom w:w="0" w:type="dxa"/>
              <w:right w:w="15" w:type="dxa"/>
            </w:tcMar>
          </w:tcPr>
          <w:p w14:paraId="129F86F6" w14:textId="77777777" w:rsidR="00EF5826" w:rsidRPr="00722821" w:rsidRDefault="00EF5826" w:rsidP="000A05F2">
            <w:pPr>
              <w:pStyle w:val="TableText"/>
            </w:pPr>
            <w:r w:rsidRPr="00722821">
              <w:t>Anorexia</w:t>
            </w:r>
          </w:p>
          <w:p w14:paraId="129F86F7" w14:textId="77777777" w:rsidR="00EF5826" w:rsidRPr="00722821" w:rsidRDefault="00EF5826" w:rsidP="000A05F2">
            <w:pPr>
              <w:pStyle w:val="TableText"/>
            </w:pPr>
            <w:r w:rsidRPr="00722821">
              <w:t>Eating disorder</w:t>
            </w:r>
          </w:p>
          <w:p w14:paraId="129F86F8" w14:textId="77777777" w:rsidR="00EF5826" w:rsidRPr="00722821" w:rsidRDefault="00EF5826" w:rsidP="000A05F2">
            <w:pPr>
              <w:pStyle w:val="TableText"/>
              <w:rPr>
                <w:rFonts w:eastAsia="Arial Unicode MS"/>
              </w:rPr>
            </w:pPr>
            <w:r w:rsidRPr="00722821">
              <w:t>Decreased appetite</w:t>
            </w:r>
          </w:p>
        </w:tc>
        <w:tc>
          <w:tcPr>
            <w:tcW w:w="1985"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14:paraId="129F86F9" w14:textId="77777777" w:rsidR="00EF5826" w:rsidRPr="00722821" w:rsidRDefault="00EF5826" w:rsidP="000A05F2">
            <w:pPr>
              <w:pStyle w:val="TableText"/>
              <w:rPr>
                <w:rFonts w:eastAsia="Arial Unicode MS"/>
              </w:rPr>
            </w:pPr>
            <w:r w:rsidRPr="00722821">
              <w:t> </w:t>
            </w:r>
          </w:p>
        </w:tc>
      </w:tr>
      <w:tr w:rsidR="00EF5826" w:rsidRPr="00722821" w14:paraId="129F8700" w14:textId="77777777" w:rsidTr="00E41862">
        <w:trPr>
          <w:cantSplit/>
          <w:trHeight w:val="435"/>
        </w:trPr>
        <w:tc>
          <w:tcPr>
            <w:tcW w:w="2957" w:type="dxa"/>
            <w:tcBorders>
              <w:top w:val="nil"/>
              <w:left w:val="single" w:sz="4" w:space="0" w:color="auto"/>
              <w:bottom w:val="single" w:sz="4" w:space="0" w:color="000000"/>
              <w:right w:val="single" w:sz="4" w:space="0" w:color="auto"/>
            </w:tcBorders>
            <w:tcMar>
              <w:top w:w="15" w:type="dxa"/>
              <w:left w:w="15" w:type="dxa"/>
              <w:bottom w:w="0" w:type="dxa"/>
              <w:right w:w="15" w:type="dxa"/>
            </w:tcMar>
          </w:tcPr>
          <w:p w14:paraId="129F86FB" w14:textId="77777777" w:rsidR="00EF5826" w:rsidRPr="00722821" w:rsidRDefault="00EF5826" w:rsidP="000A05F2">
            <w:pPr>
              <w:pStyle w:val="TableText"/>
              <w:rPr>
                <w:rFonts w:eastAsia="Arial Unicode MS"/>
              </w:rPr>
            </w:pPr>
            <w:r w:rsidRPr="00722821">
              <w:t>Psychiatric disorders</w:t>
            </w:r>
          </w:p>
        </w:tc>
        <w:tc>
          <w:tcPr>
            <w:tcW w:w="1701"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14:paraId="129F86FC" w14:textId="77777777" w:rsidR="00EF5826" w:rsidRPr="00722821" w:rsidRDefault="00EF5826" w:rsidP="000A05F2">
            <w:pPr>
              <w:pStyle w:val="TableText"/>
              <w:rPr>
                <w:rFonts w:eastAsia="Arial Unicode MS"/>
              </w:rPr>
            </w:pPr>
            <w:r w:rsidRPr="00722821">
              <w:t> </w:t>
            </w:r>
          </w:p>
        </w:tc>
        <w:tc>
          <w:tcPr>
            <w:tcW w:w="2126"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29F86FD" w14:textId="77777777" w:rsidR="00EF5826" w:rsidRPr="00722821" w:rsidRDefault="00EF5826" w:rsidP="000A05F2">
            <w:pPr>
              <w:pStyle w:val="TableText"/>
              <w:rPr>
                <w:rFonts w:eastAsia="Arial Unicode MS"/>
              </w:rPr>
            </w:pPr>
            <w:r w:rsidRPr="00722821">
              <w:t>Anxiety</w:t>
            </w:r>
          </w:p>
          <w:p w14:paraId="129F86FE" w14:textId="77777777" w:rsidR="00EF5826" w:rsidRPr="00722821" w:rsidRDefault="00EF5826" w:rsidP="000A05F2">
            <w:pPr>
              <w:pStyle w:val="TableText"/>
              <w:rPr>
                <w:rFonts w:eastAsia="Arial Unicode MS"/>
              </w:rPr>
            </w:pPr>
            <w:r w:rsidRPr="00722821">
              <w:t>Insomnia</w:t>
            </w:r>
          </w:p>
        </w:tc>
        <w:tc>
          <w:tcPr>
            <w:tcW w:w="19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29F86FF" w14:textId="77777777" w:rsidR="00EF5826" w:rsidRPr="00722821" w:rsidRDefault="00EF5826" w:rsidP="000A05F2">
            <w:pPr>
              <w:pStyle w:val="TableText"/>
              <w:rPr>
                <w:rFonts w:eastAsia="Arial Unicode MS"/>
              </w:rPr>
            </w:pPr>
          </w:p>
        </w:tc>
      </w:tr>
      <w:tr w:rsidR="00EF5826" w:rsidRPr="00722821" w14:paraId="129F870C" w14:textId="77777777" w:rsidTr="00E87AE1">
        <w:trPr>
          <w:cantSplit/>
          <w:trHeight w:val="2099"/>
        </w:trPr>
        <w:tc>
          <w:tcPr>
            <w:tcW w:w="2957" w:type="dxa"/>
            <w:tcBorders>
              <w:top w:val="nil"/>
              <w:left w:val="single" w:sz="4" w:space="0" w:color="auto"/>
              <w:bottom w:val="single" w:sz="4" w:space="0" w:color="000000"/>
              <w:right w:val="single" w:sz="4" w:space="0" w:color="auto"/>
            </w:tcBorders>
            <w:tcMar>
              <w:top w:w="15" w:type="dxa"/>
              <w:left w:w="15" w:type="dxa"/>
              <w:bottom w:w="0" w:type="dxa"/>
              <w:right w:w="15" w:type="dxa"/>
            </w:tcMar>
          </w:tcPr>
          <w:p w14:paraId="129F8701" w14:textId="77777777" w:rsidR="00EF5826" w:rsidRPr="00722821" w:rsidRDefault="00EF5826" w:rsidP="000A05F2">
            <w:pPr>
              <w:pStyle w:val="TableText"/>
              <w:rPr>
                <w:rFonts w:eastAsia="Arial Unicode MS"/>
              </w:rPr>
            </w:pPr>
            <w:r w:rsidRPr="00722821">
              <w:t>Nervous system disorders</w:t>
            </w: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29F8702" w14:textId="77777777" w:rsidR="00EF5826" w:rsidRPr="00722821" w:rsidRDefault="00EF5826" w:rsidP="000A05F2">
            <w:pPr>
              <w:pStyle w:val="TableText"/>
              <w:rPr>
                <w:rFonts w:eastAsia="Arial Unicode MS"/>
              </w:rPr>
            </w:pPr>
            <w:r w:rsidRPr="00722821">
              <w:t>Somnolence*</w:t>
            </w:r>
          </w:p>
          <w:p w14:paraId="129F8703" w14:textId="77777777" w:rsidR="00EF5826" w:rsidRPr="00722821" w:rsidRDefault="00EF5826" w:rsidP="000A05F2">
            <w:pPr>
              <w:pStyle w:val="TableText"/>
              <w:rPr>
                <w:rFonts w:eastAsia="Arial Unicode MS"/>
              </w:rPr>
            </w:pPr>
            <w:r w:rsidRPr="00722821">
              <w:t>Headache</w:t>
            </w:r>
          </w:p>
          <w:p w14:paraId="129F8704" w14:textId="77777777" w:rsidR="00EF5826" w:rsidRPr="00722821" w:rsidRDefault="00EF5826" w:rsidP="000A05F2">
            <w:pPr>
              <w:pStyle w:val="TableText"/>
              <w:rPr>
                <w:rFonts w:eastAsia="Arial Unicode MS"/>
              </w:rPr>
            </w:pPr>
            <w:r w:rsidRPr="00722821">
              <w:t>Dizziness* </w:t>
            </w:r>
          </w:p>
        </w:tc>
        <w:tc>
          <w:tcPr>
            <w:tcW w:w="2126"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29F8705" w14:textId="77777777" w:rsidR="00EF5826" w:rsidRPr="00722821" w:rsidRDefault="00EF5826" w:rsidP="000A05F2">
            <w:pPr>
              <w:pStyle w:val="TableText"/>
              <w:rPr>
                <w:rFonts w:eastAsia="Arial Unicode MS"/>
              </w:rPr>
            </w:pPr>
            <w:r w:rsidRPr="00722821">
              <w:t>Status epilepticus*</w:t>
            </w:r>
          </w:p>
          <w:p w14:paraId="129F8706" w14:textId="77777777" w:rsidR="00EF5826" w:rsidRPr="00722821" w:rsidRDefault="00EF5826" w:rsidP="000A05F2">
            <w:pPr>
              <w:pStyle w:val="TableText"/>
              <w:rPr>
                <w:rFonts w:eastAsia="Arial Unicode MS"/>
              </w:rPr>
            </w:pPr>
            <w:r w:rsidRPr="00722821">
              <w:t>Convulsion</w:t>
            </w:r>
          </w:p>
          <w:p w14:paraId="129F8707" w14:textId="77777777" w:rsidR="00EF5826" w:rsidRPr="00722821" w:rsidRDefault="00EF5826" w:rsidP="000A05F2">
            <w:pPr>
              <w:pStyle w:val="TableText"/>
              <w:rPr>
                <w:rFonts w:eastAsia="Arial Unicode MS"/>
              </w:rPr>
            </w:pPr>
            <w:r w:rsidRPr="00722821">
              <w:t xml:space="preserve">Coordination </w:t>
            </w:r>
            <w:r w:rsidR="00000A58" w:rsidRPr="00722821">
              <w:t>a</w:t>
            </w:r>
            <w:r w:rsidRPr="00722821">
              <w:t>bnormal*</w:t>
            </w:r>
          </w:p>
          <w:p w14:paraId="129F8708" w14:textId="77777777" w:rsidR="00EF5826" w:rsidRPr="00722821" w:rsidRDefault="00EF5826" w:rsidP="000A05F2">
            <w:pPr>
              <w:pStyle w:val="TableText"/>
            </w:pPr>
            <w:r w:rsidRPr="00722821">
              <w:t>Nystagmus</w:t>
            </w:r>
          </w:p>
          <w:p w14:paraId="129F8709" w14:textId="77777777" w:rsidR="00EF5826" w:rsidRPr="00722821" w:rsidRDefault="00EF5826" w:rsidP="000A05F2">
            <w:pPr>
              <w:pStyle w:val="TableText"/>
            </w:pPr>
            <w:r w:rsidRPr="00722821">
              <w:t>Psychomotor hyperactivity</w:t>
            </w:r>
          </w:p>
          <w:p w14:paraId="129F870A" w14:textId="77777777" w:rsidR="00EF5826" w:rsidRPr="00722821" w:rsidRDefault="00EF5826" w:rsidP="000A05F2">
            <w:pPr>
              <w:pStyle w:val="TableText"/>
              <w:rPr>
                <w:rFonts w:eastAsia="Arial Unicode MS"/>
              </w:rPr>
            </w:pPr>
            <w:r w:rsidRPr="00722821">
              <w:t>Tremor</w:t>
            </w:r>
          </w:p>
        </w:tc>
        <w:tc>
          <w:tcPr>
            <w:tcW w:w="1985" w:type="dxa"/>
            <w:tcBorders>
              <w:top w:val="single" w:sz="4" w:space="0" w:color="auto"/>
              <w:left w:val="single" w:sz="4" w:space="0" w:color="auto"/>
              <w:right w:val="single" w:sz="4" w:space="0" w:color="auto"/>
            </w:tcBorders>
          </w:tcPr>
          <w:p w14:paraId="129F870B" w14:textId="77777777" w:rsidR="00EF5826" w:rsidRPr="00722821" w:rsidRDefault="00EF5826" w:rsidP="000A05F2">
            <w:pPr>
              <w:pStyle w:val="TableText"/>
              <w:rPr>
                <w:rFonts w:eastAsia="Arial Unicode MS"/>
              </w:rPr>
            </w:pPr>
          </w:p>
        </w:tc>
      </w:tr>
      <w:tr w:rsidR="00EF5826" w:rsidRPr="00722821" w14:paraId="129F8712" w14:textId="77777777" w:rsidTr="00E87AE1">
        <w:trPr>
          <w:cantSplit/>
          <w:trHeight w:val="429"/>
        </w:trPr>
        <w:tc>
          <w:tcPr>
            <w:tcW w:w="2957"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129F870D" w14:textId="77777777" w:rsidR="00EF5826" w:rsidRPr="00722821" w:rsidRDefault="00EF5826" w:rsidP="000A05F2">
            <w:pPr>
              <w:pStyle w:val="TableText"/>
              <w:rPr>
                <w:rFonts w:eastAsia="Arial Unicode MS"/>
              </w:rPr>
            </w:pPr>
            <w:r w:rsidRPr="00722821">
              <w:t>Eye Disorders</w:t>
            </w:r>
          </w:p>
        </w:tc>
        <w:tc>
          <w:tcPr>
            <w:tcW w:w="1701"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129F870E" w14:textId="77777777" w:rsidR="00EF5826" w:rsidRPr="00722821" w:rsidRDefault="00EF5826" w:rsidP="000A05F2">
            <w:pPr>
              <w:pStyle w:val="TableText"/>
              <w:rPr>
                <w:rFonts w:eastAsia="Arial Unicode MS"/>
              </w:rPr>
            </w:pPr>
            <w:r w:rsidRPr="00722821">
              <w:t> </w:t>
            </w:r>
          </w:p>
        </w:tc>
        <w:tc>
          <w:tcPr>
            <w:tcW w:w="2126"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129F870F" w14:textId="77777777" w:rsidR="00EF5826" w:rsidRPr="00722821" w:rsidRDefault="00EF5826" w:rsidP="000A05F2">
            <w:pPr>
              <w:pStyle w:val="TableText"/>
              <w:rPr>
                <w:rFonts w:eastAsia="Arial Unicode MS"/>
              </w:rPr>
            </w:pPr>
            <w:r w:rsidRPr="00722821">
              <w:t>Diplopia</w:t>
            </w:r>
          </w:p>
          <w:p w14:paraId="129F8710" w14:textId="77777777" w:rsidR="00EF5826" w:rsidRPr="00722821" w:rsidRDefault="00EF5826" w:rsidP="000A05F2">
            <w:pPr>
              <w:pStyle w:val="TableText"/>
              <w:rPr>
                <w:rFonts w:eastAsia="Arial Unicode MS"/>
              </w:rPr>
            </w:pPr>
            <w:r w:rsidRPr="00722821">
              <w:t>Vision blurred</w:t>
            </w:r>
          </w:p>
        </w:tc>
        <w:tc>
          <w:tcPr>
            <w:tcW w:w="198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129F8711" w14:textId="77777777" w:rsidR="00EF5826" w:rsidRPr="00722821" w:rsidRDefault="00EF5826" w:rsidP="000A05F2">
            <w:pPr>
              <w:pStyle w:val="TableText"/>
              <w:rPr>
                <w:rFonts w:eastAsia="Arial Unicode MS"/>
              </w:rPr>
            </w:pPr>
            <w:r w:rsidRPr="00722821">
              <w:t> </w:t>
            </w:r>
          </w:p>
        </w:tc>
      </w:tr>
      <w:tr w:rsidR="00EF5826" w:rsidRPr="00722821" w14:paraId="129F8717" w14:textId="77777777" w:rsidTr="00E87AE1">
        <w:trPr>
          <w:cantSplit/>
          <w:trHeight w:val="255"/>
        </w:trPr>
        <w:tc>
          <w:tcPr>
            <w:tcW w:w="2957" w:type="dxa"/>
            <w:tcBorders>
              <w:top w:val="nil"/>
              <w:left w:val="single" w:sz="4" w:space="0" w:color="auto"/>
              <w:bottom w:val="single" w:sz="4" w:space="0" w:color="000000"/>
              <w:right w:val="single" w:sz="4" w:space="0" w:color="auto"/>
            </w:tcBorders>
          </w:tcPr>
          <w:p w14:paraId="129F8713" w14:textId="77777777" w:rsidR="00EF5826" w:rsidRPr="00722821" w:rsidRDefault="00EF5826" w:rsidP="000A05F2">
            <w:pPr>
              <w:pStyle w:val="TableText"/>
              <w:rPr>
                <w:rFonts w:eastAsia="Arial Unicode MS"/>
              </w:rPr>
            </w:pPr>
            <w:r w:rsidRPr="00722821">
              <w:t>Ear and Labyrinth disorders</w:t>
            </w:r>
          </w:p>
        </w:tc>
        <w:tc>
          <w:tcPr>
            <w:tcW w:w="1701" w:type="dxa"/>
            <w:tcBorders>
              <w:top w:val="nil"/>
              <w:left w:val="single" w:sz="4" w:space="0" w:color="auto"/>
              <w:bottom w:val="single" w:sz="4" w:space="0" w:color="000000"/>
              <w:right w:val="single" w:sz="4" w:space="0" w:color="auto"/>
            </w:tcBorders>
          </w:tcPr>
          <w:p w14:paraId="129F8714" w14:textId="77777777" w:rsidR="00EF5826" w:rsidRPr="00722821" w:rsidRDefault="00EF5826" w:rsidP="000A05F2">
            <w:pPr>
              <w:pStyle w:val="TableText"/>
              <w:rPr>
                <w:rFonts w:eastAsia="Arial Unicode MS"/>
              </w:rPr>
            </w:pPr>
            <w:r w:rsidRPr="00722821">
              <w:t> </w:t>
            </w:r>
          </w:p>
        </w:tc>
        <w:tc>
          <w:tcPr>
            <w:tcW w:w="2126"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129F8715" w14:textId="77777777" w:rsidR="00EF5826" w:rsidRPr="00722821" w:rsidRDefault="00EF5826" w:rsidP="000A05F2">
            <w:pPr>
              <w:pStyle w:val="TableText"/>
              <w:rPr>
                <w:rFonts w:eastAsia="Arial Unicode MS"/>
              </w:rPr>
            </w:pPr>
            <w:r w:rsidRPr="00722821">
              <w:t>Vertigo</w:t>
            </w:r>
          </w:p>
        </w:tc>
        <w:tc>
          <w:tcPr>
            <w:tcW w:w="1985" w:type="dxa"/>
            <w:tcBorders>
              <w:top w:val="nil"/>
              <w:left w:val="single" w:sz="4" w:space="0" w:color="auto"/>
              <w:bottom w:val="single" w:sz="4" w:space="0" w:color="auto"/>
              <w:right w:val="single" w:sz="4" w:space="0" w:color="auto"/>
            </w:tcBorders>
          </w:tcPr>
          <w:p w14:paraId="129F8716" w14:textId="77777777" w:rsidR="00EF5826" w:rsidRPr="00722821" w:rsidRDefault="00EF5826" w:rsidP="000A05F2">
            <w:pPr>
              <w:pStyle w:val="TableText"/>
              <w:rPr>
                <w:rFonts w:eastAsia="Arial Unicode MS"/>
              </w:rPr>
            </w:pPr>
          </w:p>
        </w:tc>
      </w:tr>
      <w:tr w:rsidR="00EF5826" w:rsidRPr="00722821" w14:paraId="129F871C" w14:textId="77777777" w:rsidTr="00E87AE1">
        <w:trPr>
          <w:trHeight w:val="780"/>
        </w:trPr>
        <w:tc>
          <w:tcPr>
            <w:tcW w:w="2957"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129F8718" w14:textId="77777777" w:rsidR="00EF5826" w:rsidRPr="00722821" w:rsidRDefault="00EF5826" w:rsidP="000A05F2">
            <w:pPr>
              <w:pStyle w:val="TableText"/>
              <w:rPr>
                <w:rFonts w:eastAsia="Arial Unicode MS"/>
              </w:rPr>
            </w:pPr>
            <w:r w:rsidRPr="00722821">
              <w:t>Respiratory, thoracic and mediastinal disorders</w:t>
            </w:r>
          </w:p>
        </w:tc>
        <w:tc>
          <w:tcPr>
            <w:tcW w:w="1701" w:type="dxa"/>
            <w:tcBorders>
              <w:top w:val="nil"/>
              <w:left w:val="nil"/>
              <w:bottom w:val="single" w:sz="4" w:space="0" w:color="auto"/>
              <w:right w:val="single" w:sz="4" w:space="0" w:color="auto"/>
            </w:tcBorders>
            <w:noWrap/>
            <w:tcMar>
              <w:top w:w="15" w:type="dxa"/>
              <w:left w:w="15" w:type="dxa"/>
              <w:bottom w:w="0" w:type="dxa"/>
              <w:right w:w="15" w:type="dxa"/>
            </w:tcMar>
          </w:tcPr>
          <w:p w14:paraId="129F8719" w14:textId="77777777" w:rsidR="00EF5826" w:rsidRPr="00722821" w:rsidRDefault="00EF5826" w:rsidP="000A05F2">
            <w:pPr>
              <w:pStyle w:val="TableText"/>
              <w:rPr>
                <w:rFonts w:eastAsia="Arial Unicode MS"/>
              </w:rPr>
            </w:pPr>
            <w:r w:rsidRPr="00722821">
              <w:t> </w:t>
            </w:r>
          </w:p>
        </w:tc>
        <w:tc>
          <w:tcPr>
            <w:tcW w:w="2126" w:type="dxa"/>
            <w:tcBorders>
              <w:top w:val="nil"/>
              <w:left w:val="nil"/>
              <w:bottom w:val="single" w:sz="4" w:space="0" w:color="auto"/>
              <w:right w:val="single" w:sz="4" w:space="0" w:color="auto"/>
            </w:tcBorders>
            <w:tcMar>
              <w:top w:w="15" w:type="dxa"/>
              <w:left w:w="15" w:type="dxa"/>
              <w:bottom w:w="0" w:type="dxa"/>
              <w:right w:w="15" w:type="dxa"/>
            </w:tcMar>
          </w:tcPr>
          <w:p w14:paraId="129F871A" w14:textId="77777777" w:rsidR="00EF5826" w:rsidRPr="00722821" w:rsidRDefault="00EF5826" w:rsidP="000A05F2">
            <w:pPr>
              <w:pStyle w:val="TableText"/>
              <w:rPr>
                <w:rFonts w:eastAsia="Arial Unicode MS"/>
              </w:rPr>
            </w:pPr>
            <w:r w:rsidRPr="00722821">
              <w:t>Epistaxis</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tcPr>
          <w:p w14:paraId="129F871B" w14:textId="77777777" w:rsidR="00EF5826" w:rsidRPr="00722821" w:rsidRDefault="00EF5826" w:rsidP="000A05F2">
            <w:pPr>
              <w:pStyle w:val="TableText"/>
              <w:rPr>
                <w:rFonts w:eastAsia="Arial Unicode MS"/>
              </w:rPr>
            </w:pPr>
            <w:r w:rsidRPr="00722821">
              <w:t> </w:t>
            </w:r>
          </w:p>
        </w:tc>
      </w:tr>
      <w:tr w:rsidR="00EF5826" w:rsidRPr="00722821" w14:paraId="129F8726" w14:textId="77777777" w:rsidTr="00E87AE1">
        <w:trPr>
          <w:cantSplit/>
          <w:trHeight w:val="1260"/>
        </w:trPr>
        <w:tc>
          <w:tcPr>
            <w:tcW w:w="2957" w:type="dxa"/>
            <w:tcBorders>
              <w:top w:val="nil"/>
              <w:left w:val="single" w:sz="4" w:space="0" w:color="auto"/>
              <w:bottom w:val="single" w:sz="4" w:space="0" w:color="000000"/>
              <w:right w:val="single" w:sz="4" w:space="0" w:color="auto"/>
            </w:tcBorders>
            <w:tcMar>
              <w:top w:w="15" w:type="dxa"/>
              <w:left w:w="15" w:type="dxa"/>
              <w:bottom w:w="0" w:type="dxa"/>
              <w:right w:w="15" w:type="dxa"/>
            </w:tcMar>
          </w:tcPr>
          <w:p w14:paraId="129F871D" w14:textId="77777777" w:rsidR="00EF5826" w:rsidRPr="00722821" w:rsidRDefault="00EF5826" w:rsidP="000A05F2">
            <w:pPr>
              <w:pStyle w:val="TableText"/>
              <w:rPr>
                <w:rFonts w:eastAsia="Arial Unicode MS"/>
              </w:rPr>
            </w:pPr>
            <w:r w:rsidRPr="00722821">
              <w:t>Gastrointestinal disorders</w:t>
            </w:r>
          </w:p>
        </w:tc>
        <w:tc>
          <w:tcPr>
            <w:tcW w:w="1701" w:type="dxa"/>
            <w:tcBorders>
              <w:top w:val="nil"/>
              <w:left w:val="nil"/>
              <w:right w:val="single" w:sz="4" w:space="0" w:color="auto"/>
            </w:tcBorders>
            <w:tcMar>
              <w:top w:w="15" w:type="dxa"/>
              <w:left w:w="15" w:type="dxa"/>
              <w:bottom w:w="0" w:type="dxa"/>
              <w:right w:w="15" w:type="dxa"/>
            </w:tcMar>
          </w:tcPr>
          <w:p w14:paraId="129F871E" w14:textId="77777777" w:rsidR="00EF5826" w:rsidRPr="00722821" w:rsidRDefault="00EF5826" w:rsidP="000A05F2">
            <w:pPr>
              <w:pStyle w:val="TableText"/>
            </w:pPr>
            <w:r w:rsidRPr="00722821">
              <w:t>Nausea</w:t>
            </w:r>
          </w:p>
          <w:p w14:paraId="129F871F" w14:textId="77777777" w:rsidR="00EF5826" w:rsidRPr="00722821" w:rsidRDefault="00EF5826" w:rsidP="000A05F2">
            <w:pPr>
              <w:pStyle w:val="TableText"/>
              <w:rPr>
                <w:rFonts w:eastAsia="Arial Unicode MS"/>
              </w:rPr>
            </w:pPr>
            <w:r w:rsidRPr="00722821">
              <w:t>Vomiting</w:t>
            </w:r>
          </w:p>
          <w:p w14:paraId="129F8720" w14:textId="77777777" w:rsidR="00EF5826" w:rsidRPr="00722821" w:rsidRDefault="00EF5826" w:rsidP="000A05F2">
            <w:pPr>
              <w:pStyle w:val="TableText"/>
              <w:rPr>
                <w:rFonts w:eastAsia="Arial Unicode MS"/>
              </w:rPr>
            </w:pPr>
          </w:p>
        </w:tc>
        <w:tc>
          <w:tcPr>
            <w:tcW w:w="2126"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29F8721" w14:textId="77777777" w:rsidR="00EF5826" w:rsidRPr="00722821" w:rsidRDefault="00EF5826" w:rsidP="000A05F2">
            <w:pPr>
              <w:pStyle w:val="TableText"/>
            </w:pPr>
            <w:r w:rsidRPr="00722821">
              <w:t>Abdominal pain upper</w:t>
            </w:r>
          </w:p>
          <w:p w14:paraId="129F8722" w14:textId="77777777" w:rsidR="00EF5826" w:rsidRPr="00722821" w:rsidRDefault="00EF5826" w:rsidP="000A05F2">
            <w:pPr>
              <w:pStyle w:val="TableText"/>
            </w:pPr>
            <w:r w:rsidRPr="00722821">
              <w:t>Constipation</w:t>
            </w:r>
          </w:p>
          <w:p w14:paraId="129F8723" w14:textId="77777777" w:rsidR="00EF5826" w:rsidRPr="00722821" w:rsidRDefault="00EF5826" w:rsidP="000A05F2">
            <w:pPr>
              <w:pStyle w:val="TableText"/>
            </w:pPr>
            <w:r w:rsidRPr="00722821">
              <w:t>Dyspepsia</w:t>
            </w:r>
          </w:p>
          <w:p w14:paraId="129F8724" w14:textId="77777777" w:rsidR="00EF5826" w:rsidRPr="00722821" w:rsidRDefault="00EF5826" w:rsidP="000A05F2">
            <w:pPr>
              <w:pStyle w:val="TableText"/>
              <w:rPr>
                <w:rFonts w:eastAsia="Arial Unicode MS"/>
              </w:rPr>
            </w:pPr>
            <w:r w:rsidRPr="00722821">
              <w:t>Diarrhoea</w:t>
            </w:r>
          </w:p>
        </w:tc>
        <w:tc>
          <w:tcPr>
            <w:tcW w:w="1985"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14:paraId="129F8725" w14:textId="77777777" w:rsidR="00EF5826" w:rsidRPr="00722821" w:rsidRDefault="00EF5826" w:rsidP="000A05F2">
            <w:pPr>
              <w:pStyle w:val="TableText"/>
              <w:rPr>
                <w:rFonts w:eastAsia="Arial Unicode MS"/>
              </w:rPr>
            </w:pPr>
            <w:r w:rsidRPr="00722821">
              <w:t> </w:t>
            </w:r>
          </w:p>
        </w:tc>
      </w:tr>
      <w:tr w:rsidR="00EF5826" w:rsidRPr="00722821" w14:paraId="129F872B" w14:textId="77777777" w:rsidTr="00E87AE1">
        <w:trPr>
          <w:trHeight w:val="255"/>
        </w:trPr>
        <w:tc>
          <w:tcPr>
            <w:tcW w:w="2957" w:type="dxa"/>
            <w:tcBorders>
              <w:top w:val="single" w:sz="4" w:space="0" w:color="000000"/>
              <w:left w:val="single" w:sz="4" w:space="0" w:color="auto"/>
              <w:bottom w:val="single" w:sz="4" w:space="0" w:color="auto"/>
              <w:right w:val="single" w:sz="4" w:space="0" w:color="auto"/>
            </w:tcBorders>
            <w:tcMar>
              <w:top w:w="15" w:type="dxa"/>
              <w:left w:w="15" w:type="dxa"/>
              <w:bottom w:w="0" w:type="dxa"/>
              <w:right w:w="15" w:type="dxa"/>
            </w:tcMar>
          </w:tcPr>
          <w:p w14:paraId="129F8727" w14:textId="77777777" w:rsidR="00EF5826" w:rsidRPr="00722821" w:rsidRDefault="00EF5826" w:rsidP="000A05F2">
            <w:pPr>
              <w:pStyle w:val="TableText"/>
              <w:rPr>
                <w:rFonts w:eastAsia="Arial Unicode MS"/>
              </w:rPr>
            </w:pPr>
            <w:r w:rsidRPr="00722821">
              <w:t>Hepatobiliary disorders</w:t>
            </w:r>
          </w:p>
        </w:tc>
        <w:tc>
          <w:tcPr>
            <w:tcW w:w="1701" w:type="dxa"/>
            <w:tcBorders>
              <w:top w:val="single" w:sz="4" w:space="0" w:color="000000"/>
              <w:left w:val="nil"/>
              <w:bottom w:val="single" w:sz="4" w:space="0" w:color="auto"/>
              <w:right w:val="single" w:sz="4" w:space="0" w:color="auto"/>
            </w:tcBorders>
            <w:noWrap/>
            <w:tcMar>
              <w:top w:w="15" w:type="dxa"/>
              <w:left w:w="15" w:type="dxa"/>
              <w:bottom w:w="0" w:type="dxa"/>
              <w:right w:w="15" w:type="dxa"/>
            </w:tcMar>
          </w:tcPr>
          <w:p w14:paraId="129F8728" w14:textId="77777777" w:rsidR="00EF5826" w:rsidRPr="00722821" w:rsidRDefault="00EF5826" w:rsidP="000A05F2">
            <w:pPr>
              <w:pStyle w:val="TableText"/>
              <w:rPr>
                <w:rFonts w:eastAsia="Arial Unicode MS"/>
              </w:rPr>
            </w:pPr>
            <w:r w:rsidRPr="00722821">
              <w:t> </w:t>
            </w:r>
          </w:p>
        </w:tc>
        <w:tc>
          <w:tcPr>
            <w:tcW w:w="2126"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29F8729" w14:textId="77777777" w:rsidR="00EF5826" w:rsidRPr="00722821" w:rsidRDefault="00EF5826" w:rsidP="000A05F2">
            <w:pPr>
              <w:pStyle w:val="TableText"/>
              <w:rPr>
                <w:rFonts w:eastAsia="Arial Unicode MS"/>
              </w:rPr>
            </w:pPr>
            <w:r w:rsidRPr="00722821">
              <w:t> </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tcPr>
          <w:p w14:paraId="129F872A" w14:textId="77777777" w:rsidR="00EF5826" w:rsidRPr="00722821" w:rsidRDefault="00EF5826" w:rsidP="000A05F2">
            <w:pPr>
              <w:pStyle w:val="TableText"/>
              <w:rPr>
                <w:rFonts w:eastAsia="Arial Unicode MS"/>
              </w:rPr>
            </w:pPr>
            <w:r w:rsidRPr="00722821">
              <w:t>Hepatic enzyme increase</w:t>
            </w:r>
          </w:p>
        </w:tc>
      </w:tr>
      <w:tr w:rsidR="00EF5826" w:rsidRPr="00722821" w14:paraId="129F8731" w14:textId="77777777" w:rsidTr="00E87AE1">
        <w:trPr>
          <w:cantSplit/>
          <w:trHeight w:val="693"/>
        </w:trPr>
        <w:tc>
          <w:tcPr>
            <w:tcW w:w="2957" w:type="dxa"/>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tcPr>
          <w:p w14:paraId="129F872C" w14:textId="77777777" w:rsidR="00EF5826" w:rsidRPr="00722821" w:rsidRDefault="00EF5826" w:rsidP="000A05F2">
            <w:pPr>
              <w:pStyle w:val="TableText"/>
              <w:rPr>
                <w:rFonts w:eastAsia="Arial Unicode MS"/>
              </w:rPr>
            </w:pPr>
            <w:r w:rsidRPr="00722821">
              <w:t>Skin and subcutaneous tissue disorders</w:t>
            </w:r>
          </w:p>
        </w:tc>
        <w:tc>
          <w:tcPr>
            <w:tcW w:w="1701" w:type="dxa"/>
            <w:tcBorders>
              <w:top w:val="single" w:sz="4" w:space="0" w:color="auto"/>
              <w:left w:val="single" w:sz="4" w:space="0" w:color="auto"/>
              <w:bottom w:val="single" w:sz="4" w:space="0" w:color="000000"/>
              <w:right w:val="single" w:sz="4" w:space="0" w:color="auto"/>
            </w:tcBorders>
            <w:noWrap/>
            <w:tcMar>
              <w:top w:w="15" w:type="dxa"/>
              <w:left w:w="15" w:type="dxa"/>
              <w:bottom w:w="0" w:type="dxa"/>
              <w:right w:w="15" w:type="dxa"/>
            </w:tcMar>
          </w:tcPr>
          <w:p w14:paraId="129F872D" w14:textId="77777777" w:rsidR="00EF5826" w:rsidRPr="00722821" w:rsidRDefault="00EF5826" w:rsidP="000A05F2">
            <w:pPr>
              <w:pStyle w:val="TableText"/>
              <w:rPr>
                <w:rFonts w:eastAsia="Arial Unicode MS"/>
              </w:rPr>
            </w:pPr>
            <w:r w:rsidRPr="00722821">
              <w:t> </w:t>
            </w:r>
          </w:p>
        </w:tc>
        <w:tc>
          <w:tcPr>
            <w:tcW w:w="2126"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29F872E" w14:textId="77777777" w:rsidR="00EF5826" w:rsidRPr="00722821" w:rsidRDefault="00EF5826" w:rsidP="000A05F2">
            <w:pPr>
              <w:pStyle w:val="TableText"/>
            </w:pPr>
            <w:r w:rsidRPr="00722821">
              <w:t>Rash*</w:t>
            </w:r>
          </w:p>
          <w:p w14:paraId="129F872F" w14:textId="77777777" w:rsidR="00EF5826" w:rsidRPr="00722821" w:rsidRDefault="00EF5826" w:rsidP="000A05F2">
            <w:pPr>
              <w:pStyle w:val="TableText"/>
              <w:rPr>
                <w:rFonts w:eastAsia="Arial Unicode MS"/>
              </w:rPr>
            </w:pPr>
            <w:r w:rsidRPr="00722821">
              <w:t>Acne</w:t>
            </w:r>
          </w:p>
        </w:tc>
        <w:tc>
          <w:tcPr>
            <w:tcW w:w="19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29F8730" w14:textId="77777777" w:rsidR="00EF5826" w:rsidRPr="00722821" w:rsidRDefault="00EF5826" w:rsidP="000A05F2">
            <w:pPr>
              <w:pStyle w:val="TableText"/>
              <w:rPr>
                <w:rFonts w:eastAsia="Arial Unicode MS"/>
              </w:rPr>
            </w:pPr>
            <w:r w:rsidRPr="00722821">
              <w:t> </w:t>
            </w:r>
          </w:p>
        </w:tc>
      </w:tr>
      <w:tr w:rsidR="00EF5826" w:rsidRPr="00722821" w14:paraId="129F8736" w14:textId="77777777" w:rsidTr="00E87AE1">
        <w:trPr>
          <w:trHeight w:val="765"/>
        </w:trPr>
        <w:tc>
          <w:tcPr>
            <w:tcW w:w="2957"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129F8732" w14:textId="77777777" w:rsidR="00EF5826" w:rsidRPr="00722821" w:rsidRDefault="00EF5826" w:rsidP="000A05F2">
            <w:pPr>
              <w:pStyle w:val="TableText"/>
              <w:rPr>
                <w:rFonts w:eastAsia="Arial Unicode MS"/>
              </w:rPr>
            </w:pPr>
            <w:r w:rsidRPr="00722821">
              <w:t>Musculoskeletal and connective tissue and bone disorders</w:t>
            </w:r>
          </w:p>
        </w:tc>
        <w:tc>
          <w:tcPr>
            <w:tcW w:w="1701" w:type="dxa"/>
            <w:tcBorders>
              <w:top w:val="nil"/>
              <w:left w:val="nil"/>
              <w:bottom w:val="single" w:sz="4" w:space="0" w:color="auto"/>
              <w:right w:val="single" w:sz="4" w:space="0" w:color="auto"/>
            </w:tcBorders>
            <w:noWrap/>
            <w:tcMar>
              <w:top w:w="15" w:type="dxa"/>
              <w:left w:w="15" w:type="dxa"/>
              <w:bottom w:w="0" w:type="dxa"/>
              <w:right w:w="15" w:type="dxa"/>
            </w:tcMar>
          </w:tcPr>
          <w:p w14:paraId="129F8733" w14:textId="77777777" w:rsidR="00EF5826" w:rsidRPr="00722821" w:rsidRDefault="00EF5826" w:rsidP="000A05F2">
            <w:pPr>
              <w:pStyle w:val="TableText"/>
              <w:rPr>
                <w:rFonts w:eastAsia="Arial Unicode MS"/>
              </w:rPr>
            </w:pPr>
            <w:r w:rsidRPr="00722821">
              <w:t> </w:t>
            </w:r>
          </w:p>
        </w:tc>
        <w:tc>
          <w:tcPr>
            <w:tcW w:w="2126"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29F8734" w14:textId="77777777" w:rsidR="00EF5826" w:rsidRPr="00722821" w:rsidRDefault="00EF5826" w:rsidP="000A05F2">
            <w:pPr>
              <w:pStyle w:val="TableText"/>
              <w:rPr>
                <w:rFonts w:eastAsia="Arial Unicode MS"/>
              </w:rPr>
            </w:pPr>
            <w:r w:rsidRPr="00722821">
              <w:t>Back pain</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tcPr>
          <w:p w14:paraId="129F8735" w14:textId="77777777" w:rsidR="00EF5826" w:rsidRPr="00722821" w:rsidRDefault="00EF5826" w:rsidP="000A05F2">
            <w:pPr>
              <w:pStyle w:val="TableText"/>
              <w:rPr>
                <w:rFonts w:eastAsia="Arial Unicode MS"/>
              </w:rPr>
            </w:pPr>
            <w:r w:rsidRPr="00722821">
              <w:t> </w:t>
            </w:r>
          </w:p>
        </w:tc>
      </w:tr>
      <w:tr w:rsidR="00EF5826" w:rsidRPr="00722821" w14:paraId="129F873B" w14:textId="77777777" w:rsidTr="00E87AE1">
        <w:trPr>
          <w:trHeight w:val="585"/>
        </w:trPr>
        <w:tc>
          <w:tcPr>
            <w:tcW w:w="2957"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129F8737" w14:textId="77777777" w:rsidR="00EF5826" w:rsidRPr="00722821" w:rsidRDefault="00EF5826" w:rsidP="000A05F2">
            <w:pPr>
              <w:pStyle w:val="TableText"/>
              <w:rPr>
                <w:rFonts w:eastAsia="Arial Unicode MS"/>
              </w:rPr>
            </w:pPr>
            <w:r w:rsidRPr="00722821">
              <w:t>Reproductive system and breast disorders</w:t>
            </w:r>
          </w:p>
        </w:tc>
        <w:tc>
          <w:tcPr>
            <w:tcW w:w="1701" w:type="dxa"/>
            <w:tcBorders>
              <w:top w:val="nil"/>
              <w:left w:val="nil"/>
              <w:bottom w:val="single" w:sz="4" w:space="0" w:color="auto"/>
              <w:right w:val="single" w:sz="4" w:space="0" w:color="auto"/>
            </w:tcBorders>
            <w:noWrap/>
            <w:tcMar>
              <w:top w:w="15" w:type="dxa"/>
              <w:left w:w="15" w:type="dxa"/>
              <w:bottom w:w="0" w:type="dxa"/>
              <w:right w:w="15" w:type="dxa"/>
            </w:tcMar>
          </w:tcPr>
          <w:p w14:paraId="129F8738" w14:textId="77777777" w:rsidR="00EF5826" w:rsidRPr="00722821" w:rsidRDefault="00EF5826" w:rsidP="000A05F2">
            <w:pPr>
              <w:pStyle w:val="TableText"/>
              <w:rPr>
                <w:rFonts w:eastAsia="Arial Unicode MS"/>
              </w:rPr>
            </w:pPr>
            <w:r w:rsidRPr="00722821">
              <w:t> </w:t>
            </w:r>
          </w:p>
        </w:tc>
        <w:tc>
          <w:tcPr>
            <w:tcW w:w="2126" w:type="dxa"/>
            <w:tcBorders>
              <w:top w:val="nil"/>
              <w:left w:val="nil"/>
              <w:bottom w:val="single" w:sz="4" w:space="0" w:color="auto"/>
              <w:right w:val="single" w:sz="4" w:space="0" w:color="auto"/>
            </w:tcBorders>
            <w:tcMar>
              <w:top w:w="15" w:type="dxa"/>
              <w:left w:w="15" w:type="dxa"/>
              <w:bottom w:w="0" w:type="dxa"/>
              <w:right w:w="15" w:type="dxa"/>
            </w:tcMar>
          </w:tcPr>
          <w:p w14:paraId="129F8739" w14:textId="77777777" w:rsidR="00EF5826" w:rsidRPr="00722821" w:rsidRDefault="00EF5826" w:rsidP="000A05F2">
            <w:pPr>
              <w:pStyle w:val="TableText"/>
              <w:rPr>
                <w:rFonts w:eastAsia="Arial Unicode MS"/>
              </w:rPr>
            </w:pPr>
            <w:r w:rsidRPr="00722821">
              <w:t>Oligomenorrhoea</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tcPr>
          <w:p w14:paraId="129F873A" w14:textId="77777777" w:rsidR="00EF5826" w:rsidRPr="00722821" w:rsidRDefault="00EF5826" w:rsidP="000A05F2">
            <w:pPr>
              <w:pStyle w:val="TableText"/>
              <w:rPr>
                <w:rFonts w:eastAsia="Arial Unicode MS"/>
              </w:rPr>
            </w:pPr>
            <w:r w:rsidRPr="00722821">
              <w:t> </w:t>
            </w:r>
          </w:p>
        </w:tc>
      </w:tr>
      <w:tr w:rsidR="00EF5826" w:rsidRPr="00722821" w14:paraId="129F8740" w14:textId="77777777" w:rsidTr="00E87AE1">
        <w:trPr>
          <w:trHeight w:val="765"/>
        </w:trPr>
        <w:tc>
          <w:tcPr>
            <w:tcW w:w="2957"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129F873C" w14:textId="77777777" w:rsidR="00EF5826" w:rsidRPr="00722821" w:rsidRDefault="00EF5826" w:rsidP="000A05F2">
            <w:pPr>
              <w:pStyle w:val="TableText"/>
              <w:rPr>
                <w:rFonts w:eastAsia="Arial Unicode MS"/>
              </w:rPr>
            </w:pPr>
            <w:r w:rsidRPr="00722821">
              <w:t>General disorders and administration site conditions</w:t>
            </w:r>
          </w:p>
        </w:tc>
        <w:tc>
          <w:tcPr>
            <w:tcW w:w="1701" w:type="dxa"/>
            <w:tcBorders>
              <w:top w:val="nil"/>
              <w:left w:val="nil"/>
              <w:bottom w:val="single" w:sz="4" w:space="0" w:color="auto"/>
              <w:right w:val="single" w:sz="4" w:space="0" w:color="auto"/>
            </w:tcBorders>
            <w:tcMar>
              <w:top w:w="15" w:type="dxa"/>
              <w:left w:w="15" w:type="dxa"/>
              <w:bottom w:w="0" w:type="dxa"/>
              <w:right w:w="15" w:type="dxa"/>
            </w:tcMar>
          </w:tcPr>
          <w:p w14:paraId="129F873D" w14:textId="77777777" w:rsidR="00EF5826" w:rsidRPr="00722821" w:rsidRDefault="00EF5826" w:rsidP="000A05F2">
            <w:pPr>
              <w:pStyle w:val="TableText"/>
              <w:rPr>
                <w:rFonts w:eastAsia="Arial Unicode MS"/>
              </w:rPr>
            </w:pPr>
            <w:r w:rsidRPr="00722821">
              <w:t>Fatigue</w:t>
            </w:r>
          </w:p>
        </w:tc>
        <w:tc>
          <w:tcPr>
            <w:tcW w:w="2126" w:type="dxa"/>
            <w:tcBorders>
              <w:top w:val="nil"/>
              <w:left w:val="nil"/>
              <w:bottom w:val="single" w:sz="4" w:space="0" w:color="auto"/>
              <w:right w:val="single" w:sz="4" w:space="0" w:color="auto"/>
            </w:tcBorders>
            <w:tcMar>
              <w:top w:w="15" w:type="dxa"/>
              <w:left w:w="15" w:type="dxa"/>
              <w:bottom w:w="0" w:type="dxa"/>
              <w:right w:w="15" w:type="dxa"/>
            </w:tcMar>
          </w:tcPr>
          <w:p w14:paraId="129F873E" w14:textId="77777777" w:rsidR="00EF5826" w:rsidRPr="00722821" w:rsidRDefault="00EF5826" w:rsidP="000A05F2">
            <w:pPr>
              <w:pStyle w:val="TableText"/>
              <w:rPr>
                <w:rFonts w:eastAsia="Arial Unicode MS"/>
              </w:rPr>
            </w:pPr>
            <w:r w:rsidRPr="00722821">
              <w:t>Gait disturbance*</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tcPr>
          <w:p w14:paraId="129F873F" w14:textId="77777777" w:rsidR="00EF5826" w:rsidRPr="00722821" w:rsidRDefault="00EF5826" w:rsidP="000A05F2">
            <w:pPr>
              <w:pStyle w:val="TableText"/>
              <w:rPr>
                <w:rFonts w:eastAsia="Arial Unicode MS"/>
              </w:rPr>
            </w:pPr>
            <w:r w:rsidRPr="00722821">
              <w:t> </w:t>
            </w:r>
          </w:p>
        </w:tc>
      </w:tr>
      <w:tr w:rsidR="00EF5826" w:rsidRPr="00722821" w14:paraId="129F8745" w14:textId="77777777" w:rsidTr="00E87AE1">
        <w:trPr>
          <w:cantSplit/>
          <w:trHeight w:val="255"/>
        </w:trPr>
        <w:tc>
          <w:tcPr>
            <w:tcW w:w="295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29F8741" w14:textId="77777777" w:rsidR="00EF5826" w:rsidRPr="00722821" w:rsidRDefault="00EF5826" w:rsidP="000A05F2">
            <w:pPr>
              <w:pStyle w:val="TableText"/>
            </w:pPr>
            <w:r w:rsidRPr="00722821">
              <w:lastRenderedPageBreak/>
              <w:t>Investigations</w:t>
            </w: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29F8742" w14:textId="77777777" w:rsidR="00EF5826" w:rsidRPr="00722821" w:rsidRDefault="00EF5826" w:rsidP="000A05F2">
            <w:pPr>
              <w:pStyle w:val="TableText"/>
            </w:pPr>
          </w:p>
        </w:tc>
        <w:tc>
          <w:tcPr>
            <w:tcW w:w="2126"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29F8743" w14:textId="77777777" w:rsidR="00EF5826" w:rsidRPr="00722821" w:rsidRDefault="00EF5826" w:rsidP="000A05F2">
            <w:pPr>
              <w:pStyle w:val="TableText"/>
              <w:rPr>
                <w:rFonts w:eastAsia="Arial Unicode MS"/>
              </w:rPr>
            </w:pPr>
            <w:r w:rsidRPr="00722821">
              <w:t>Weight decrease</w:t>
            </w:r>
          </w:p>
        </w:tc>
        <w:tc>
          <w:tcPr>
            <w:tcW w:w="19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29F8744" w14:textId="77777777" w:rsidR="00EF5826" w:rsidRPr="00722821" w:rsidRDefault="00EF5826" w:rsidP="000A05F2">
            <w:pPr>
              <w:pStyle w:val="TableText"/>
              <w:rPr>
                <w:b/>
                <w:bCs/>
              </w:rPr>
            </w:pPr>
          </w:p>
        </w:tc>
      </w:tr>
      <w:tr w:rsidR="00EF5826" w:rsidRPr="00722821" w14:paraId="129F874B" w14:textId="77777777" w:rsidTr="00E87AE1">
        <w:trPr>
          <w:cantSplit/>
          <w:trHeight w:val="853"/>
        </w:trPr>
        <w:tc>
          <w:tcPr>
            <w:tcW w:w="2957" w:type="dxa"/>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tcPr>
          <w:p w14:paraId="129F8746" w14:textId="77777777" w:rsidR="00EF5826" w:rsidRPr="00722821" w:rsidRDefault="00EF5826" w:rsidP="000A05F2">
            <w:pPr>
              <w:pStyle w:val="TableText"/>
              <w:rPr>
                <w:rFonts w:eastAsia="Arial Unicode MS"/>
              </w:rPr>
            </w:pPr>
            <w:r w:rsidRPr="00722821">
              <w:t xml:space="preserve">Injury, poisoning and procedural complications </w:t>
            </w:r>
          </w:p>
        </w:tc>
        <w:tc>
          <w:tcPr>
            <w:tcW w:w="1701" w:type="dxa"/>
            <w:tcBorders>
              <w:top w:val="single" w:sz="4" w:space="0" w:color="auto"/>
              <w:left w:val="single" w:sz="4" w:space="0" w:color="auto"/>
              <w:bottom w:val="single" w:sz="4" w:space="0" w:color="000000"/>
              <w:right w:val="single" w:sz="4" w:space="0" w:color="auto"/>
            </w:tcBorders>
            <w:noWrap/>
            <w:tcMar>
              <w:top w:w="15" w:type="dxa"/>
              <w:left w:w="15" w:type="dxa"/>
              <w:bottom w:w="0" w:type="dxa"/>
              <w:right w:w="15" w:type="dxa"/>
            </w:tcMar>
          </w:tcPr>
          <w:p w14:paraId="129F8747" w14:textId="77777777" w:rsidR="00EF5826" w:rsidRPr="00722821" w:rsidRDefault="00EF5826" w:rsidP="000A05F2">
            <w:pPr>
              <w:pStyle w:val="TableText"/>
              <w:rPr>
                <w:rFonts w:eastAsia="Arial Unicode MS"/>
              </w:rPr>
            </w:pPr>
            <w:r w:rsidRPr="00722821">
              <w:t> </w:t>
            </w:r>
          </w:p>
        </w:tc>
        <w:tc>
          <w:tcPr>
            <w:tcW w:w="2126"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29F8748" w14:textId="77777777" w:rsidR="00EF5826" w:rsidRPr="00722821" w:rsidRDefault="00EF5826" w:rsidP="000A05F2">
            <w:pPr>
              <w:pStyle w:val="TableText"/>
            </w:pPr>
            <w:r w:rsidRPr="00722821">
              <w:t>Head injury</w:t>
            </w:r>
          </w:p>
          <w:p w14:paraId="129F8749" w14:textId="77777777" w:rsidR="00EF5826" w:rsidRPr="00722821" w:rsidRDefault="00EF5826" w:rsidP="000A05F2">
            <w:pPr>
              <w:pStyle w:val="TableText"/>
              <w:rPr>
                <w:rFonts w:eastAsia="Arial Unicode MS"/>
              </w:rPr>
            </w:pPr>
            <w:r w:rsidRPr="00722821">
              <w:t>Contusion</w:t>
            </w:r>
          </w:p>
        </w:tc>
        <w:tc>
          <w:tcPr>
            <w:tcW w:w="19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29F874A" w14:textId="77777777" w:rsidR="00EF5826" w:rsidRPr="00722821" w:rsidRDefault="00EF5826" w:rsidP="000A05F2">
            <w:pPr>
              <w:pStyle w:val="TableText"/>
              <w:rPr>
                <w:rFonts w:eastAsia="Arial Unicode MS"/>
              </w:rPr>
            </w:pPr>
            <w:r w:rsidRPr="00722821">
              <w:t> </w:t>
            </w:r>
          </w:p>
        </w:tc>
      </w:tr>
    </w:tbl>
    <w:p w14:paraId="129F874C" w14:textId="00368DB1" w:rsidR="002178CE" w:rsidRPr="00722821" w:rsidRDefault="00441EAC" w:rsidP="000A05F2">
      <w:pPr>
        <w:pStyle w:val="TableFootnote"/>
      </w:pPr>
      <w:r w:rsidRPr="00722821">
        <w:t xml:space="preserve">*Cross reference to </w:t>
      </w:r>
      <w:r w:rsidR="00252BBC" w:rsidRPr="00722821">
        <w:t>Section</w:t>
      </w:r>
      <w:r w:rsidR="00B74BCA" w:rsidRPr="00722821">
        <w:t> </w:t>
      </w:r>
      <w:r w:rsidR="00252BBC" w:rsidRPr="00722821">
        <w:fldChar w:fldCharType="begin"/>
      </w:r>
      <w:r w:rsidR="00252BBC" w:rsidRPr="00722821">
        <w:instrText xml:space="preserve"> REF _Ref503187146 \r \h </w:instrText>
      </w:r>
      <w:r w:rsidR="00252BBC" w:rsidRPr="00722821">
        <w:fldChar w:fldCharType="separate"/>
      </w:r>
      <w:r w:rsidR="00252BBC" w:rsidRPr="00722821">
        <w:t>4.4</w:t>
      </w:r>
      <w:r w:rsidR="00252BBC" w:rsidRPr="00722821">
        <w:fldChar w:fldCharType="end"/>
      </w:r>
      <w:r w:rsidR="00AA2766">
        <w:t xml:space="preserve"> Special warnings and precautions for use</w:t>
      </w:r>
    </w:p>
    <w:p w14:paraId="129F874D" w14:textId="77777777" w:rsidR="002A69DF" w:rsidRPr="00722821" w:rsidRDefault="002A69DF" w:rsidP="000A05F2">
      <w:pPr>
        <w:pStyle w:val="BodyText"/>
      </w:pPr>
    </w:p>
    <w:p w14:paraId="129F874E" w14:textId="1FCF6F68" w:rsidR="00734FE1" w:rsidRPr="00722821" w:rsidRDefault="002A69DF" w:rsidP="000A05F2">
      <w:pPr>
        <w:pStyle w:val="BodyText"/>
      </w:pPr>
      <w:r w:rsidRPr="00722821">
        <w:t xml:space="preserve">Adverse events that were reported in at least 2% of patients with LGS treated with </w:t>
      </w:r>
      <w:r w:rsidR="005E658B" w:rsidRPr="00722821">
        <w:t>INOVELON</w:t>
      </w:r>
      <w:r w:rsidRPr="00722821">
        <w:t xml:space="preserve"> or placebo as adjunctive therapy in double-blind trials and were numerically more common in the patients treated with any dose of </w:t>
      </w:r>
      <w:r w:rsidR="005E658B" w:rsidRPr="00722821">
        <w:t>INOVELON</w:t>
      </w:r>
      <w:r w:rsidRPr="00722821">
        <w:t xml:space="preserve"> are summari</w:t>
      </w:r>
      <w:r w:rsidR="001D641F" w:rsidRPr="00722821">
        <w:t>s</w:t>
      </w:r>
      <w:r w:rsidRPr="00722821">
        <w:t xml:space="preserve">ed in </w:t>
      </w:r>
      <w:r w:rsidR="00722821" w:rsidRPr="00722821">
        <w:fldChar w:fldCharType="begin"/>
      </w:r>
      <w:r w:rsidR="00722821" w:rsidRPr="00722821">
        <w:instrText xml:space="preserve"> REF _Ref508186436 \h </w:instrText>
      </w:r>
      <w:r w:rsidR="00722821" w:rsidRPr="00722821">
        <w:fldChar w:fldCharType="separate"/>
      </w:r>
      <w:r w:rsidR="00722821" w:rsidRPr="00722821">
        <w:t>Table </w:t>
      </w:r>
      <w:r w:rsidR="00722821" w:rsidRPr="00722821">
        <w:rPr>
          <w:noProof/>
        </w:rPr>
        <w:t>2</w:t>
      </w:r>
      <w:r w:rsidR="00722821" w:rsidRPr="00722821">
        <w:fldChar w:fldCharType="end"/>
      </w:r>
      <w:r w:rsidRPr="00722821">
        <w:t>.</w:t>
      </w:r>
    </w:p>
    <w:p w14:paraId="129F874F" w14:textId="77777777" w:rsidR="002A69DF" w:rsidRPr="00722821" w:rsidRDefault="002A69DF" w:rsidP="000A05F2">
      <w:pPr>
        <w:pStyle w:val="BodyText"/>
      </w:pPr>
    </w:p>
    <w:p w14:paraId="3C4FB1D2" w14:textId="6E2053FA" w:rsidR="00722821" w:rsidRPr="00722821" w:rsidRDefault="00722821" w:rsidP="00722821">
      <w:pPr>
        <w:pStyle w:val="Caption"/>
      </w:pPr>
      <w:bookmarkStart w:id="7" w:name="_Ref508186436"/>
      <w:r w:rsidRPr="00722821">
        <w:t>Table </w:t>
      </w:r>
      <w:fldSimple w:instr=" SEQ Table \* ARABIC ">
        <w:r w:rsidRPr="00722821">
          <w:rPr>
            <w:noProof/>
          </w:rPr>
          <w:t>2</w:t>
        </w:r>
      </w:fldSimple>
      <w:bookmarkEnd w:id="7"/>
      <w:r w:rsidRPr="00722821">
        <w:tab/>
        <w:t>Percentage of Patients with Adverse Events that Occurred in more than 2.0% of INOVELON-treated Patients at Higher Incidences with INOVELON than Placebo, listed by MedDRA Preferred Term (Double-blind, adjunctive therapy study in LGS)</w:t>
      </w:r>
    </w:p>
    <w:tbl>
      <w:tblPr>
        <w:tblStyle w:val="TableGrid"/>
        <w:tblW w:w="8188" w:type="dxa"/>
        <w:jc w:val="center"/>
        <w:tblLook w:val="04A0" w:firstRow="1" w:lastRow="0" w:firstColumn="1" w:lastColumn="0" w:noHBand="0" w:noVBand="1"/>
      </w:tblPr>
      <w:tblGrid>
        <w:gridCol w:w="5353"/>
        <w:gridCol w:w="1559"/>
        <w:gridCol w:w="1276"/>
      </w:tblGrid>
      <w:tr w:rsidR="00734FE1" w:rsidRPr="00722821" w14:paraId="129F8754" w14:textId="77777777" w:rsidTr="002A69DF">
        <w:trPr>
          <w:jc w:val="center"/>
        </w:trPr>
        <w:tc>
          <w:tcPr>
            <w:tcW w:w="5353" w:type="dxa"/>
          </w:tcPr>
          <w:p w14:paraId="129F8751" w14:textId="77777777" w:rsidR="00734FE1" w:rsidRPr="00722821" w:rsidRDefault="00734FE1" w:rsidP="000A05F2">
            <w:pPr>
              <w:pStyle w:val="TableHeading"/>
            </w:pPr>
          </w:p>
        </w:tc>
        <w:tc>
          <w:tcPr>
            <w:tcW w:w="1559" w:type="dxa"/>
          </w:tcPr>
          <w:p w14:paraId="129F8752" w14:textId="77777777" w:rsidR="00734FE1" w:rsidRPr="00722821" w:rsidRDefault="005E658B" w:rsidP="000A05F2">
            <w:pPr>
              <w:pStyle w:val="TableHeading"/>
            </w:pPr>
            <w:r w:rsidRPr="00722821">
              <w:t>INOVELON</w:t>
            </w:r>
          </w:p>
        </w:tc>
        <w:tc>
          <w:tcPr>
            <w:tcW w:w="1276" w:type="dxa"/>
          </w:tcPr>
          <w:p w14:paraId="129F8753" w14:textId="77777777" w:rsidR="00734FE1" w:rsidRPr="00722821" w:rsidRDefault="00734FE1" w:rsidP="000A05F2">
            <w:pPr>
              <w:pStyle w:val="TableHeading"/>
            </w:pPr>
            <w:r w:rsidRPr="00722821">
              <w:t>Placebo</w:t>
            </w:r>
          </w:p>
        </w:tc>
      </w:tr>
      <w:tr w:rsidR="00734FE1" w:rsidRPr="00722821" w14:paraId="129F875A" w14:textId="77777777" w:rsidTr="002A69DF">
        <w:trPr>
          <w:jc w:val="center"/>
        </w:trPr>
        <w:tc>
          <w:tcPr>
            <w:tcW w:w="5353" w:type="dxa"/>
          </w:tcPr>
          <w:p w14:paraId="129F8755" w14:textId="77777777" w:rsidR="00734FE1" w:rsidRPr="00722821" w:rsidRDefault="00734FE1" w:rsidP="000A05F2">
            <w:pPr>
              <w:pStyle w:val="TableText"/>
              <w:rPr>
                <w:bCs/>
              </w:rPr>
            </w:pPr>
            <w:r w:rsidRPr="00722821">
              <w:t>Total number of patients studied</w:t>
            </w:r>
          </w:p>
        </w:tc>
        <w:tc>
          <w:tcPr>
            <w:tcW w:w="1559" w:type="dxa"/>
          </w:tcPr>
          <w:p w14:paraId="129F8756" w14:textId="77777777" w:rsidR="00734FE1" w:rsidRPr="00722821" w:rsidRDefault="00734FE1" w:rsidP="000A05F2">
            <w:pPr>
              <w:pStyle w:val="TableCentre"/>
            </w:pPr>
            <w:r w:rsidRPr="00722821">
              <w:t>N=74</w:t>
            </w:r>
          </w:p>
          <w:p w14:paraId="129F8757" w14:textId="77777777" w:rsidR="00734FE1" w:rsidRPr="00722821" w:rsidRDefault="00734FE1" w:rsidP="000A05F2">
            <w:pPr>
              <w:pStyle w:val="TableCentre"/>
              <w:rPr>
                <w:bCs/>
              </w:rPr>
            </w:pPr>
            <w:r w:rsidRPr="00722821">
              <w:t>(%)</w:t>
            </w:r>
          </w:p>
        </w:tc>
        <w:tc>
          <w:tcPr>
            <w:tcW w:w="1276" w:type="dxa"/>
          </w:tcPr>
          <w:p w14:paraId="129F8758" w14:textId="77777777" w:rsidR="00734FE1" w:rsidRPr="00722821" w:rsidRDefault="00734FE1" w:rsidP="000A05F2">
            <w:pPr>
              <w:pStyle w:val="TableCentre"/>
            </w:pPr>
            <w:r w:rsidRPr="00722821">
              <w:t>N=64</w:t>
            </w:r>
          </w:p>
          <w:p w14:paraId="129F8759" w14:textId="77777777" w:rsidR="00734FE1" w:rsidRPr="00722821" w:rsidRDefault="00734FE1" w:rsidP="000A05F2">
            <w:pPr>
              <w:pStyle w:val="TableCentre"/>
              <w:rPr>
                <w:bCs/>
              </w:rPr>
            </w:pPr>
            <w:r w:rsidRPr="00722821">
              <w:t>(%)</w:t>
            </w:r>
          </w:p>
        </w:tc>
      </w:tr>
      <w:tr w:rsidR="00734FE1" w:rsidRPr="00722821" w14:paraId="129F875E" w14:textId="77777777" w:rsidTr="002A69DF">
        <w:trPr>
          <w:jc w:val="center"/>
        </w:trPr>
        <w:tc>
          <w:tcPr>
            <w:tcW w:w="5353" w:type="dxa"/>
          </w:tcPr>
          <w:p w14:paraId="129F875B" w14:textId="77777777" w:rsidR="00734FE1" w:rsidRPr="00722821" w:rsidRDefault="00734FE1" w:rsidP="000A05F2">
            <w:pPr>
              <w:pStyle w:val="TableText"/>
            </w:pPr>
            <w:r w:rsidRPr="00722821">
              <w:t xml:space="preserve">Percentage of patients with any adverse event </w:t>
            </w:r>
          </w:p>
        </w:tc>
        <w:tc>
          <w:tcPr>
            <w:tcW w:w="1559" w:type="dxa"/>
          </w:tcPr>
          <w:p w14:paraId="129F875C" w14:textId="77777777" w:rsidR="00734FE1" w:rsidRPr="00722821" w:rsidRDefault="00734FE1" w:rsidP="000A05F2">
            <w:pPr>
              <w:pStyle w:val="TableCentre"/>
              <w:rPr>
                <w:bCs/>
              </w:rPr>
            </w:pPr>
            <w:r w:rsidRPr="00722821">
              <w:t>81.1</w:t>
            </w:r>
          </w:p>
        </w:tc>
        <w:tc>
          <w:tcPr>
            <w:tcW w:w="1276" w:type="dxa"/>
          </w:tcPr>
          <w:p w14:paraId="129F875D" w14:textId="77777777" w:rsidR="00734FE1" w:rsidRPr="00722821" w:rsidRDefault="00734FE1" w:rsidP="000A05F2">
            <w:pPr>
              <w:pStyle w:val="TableCentre"/>
              <w:rPr>
                <w:bCs/>
              </w:rPr>
            </w:pPr>
            <w:r w:rsidRPr="00722821">
              <w:t>81.3</w:t>
            </w:r>
          </w:p>
        </w:tc>
      </w:tr>
      <w:tr w:rsidR="00734FE1" w:rsidRPr="00722821" w14:paraId="129F8762" w14:textId="77777777" w:rsidTr="002A69DF">
        <w:trPr>
          <w:jc w:val="center"/>
        </w:trPr>
        <w:tc>
          <w:tcPr>
            <w:tcW w:w="5353" w:type="dxa"/>
          </w:tcPr>
          <w:p w14:paraId="129F875F" w14:textId="77777777" w:rsidR="00734FE1" w:rsidRPr="00722821" w:rsidRDefault="00734FE1" w:rsidP="000A05F2">
            <w:pPr>
              <w:pStyle w:val="TableText"/>
            </w:pPr>
            <w:r w:rsidRPr="00722821">
              <w:t>Somnolence</w:t>
            </w:r>
          </w:p>
        </w:tc>
        <w:tc>
          <w:tcPr>
            <w:tcW w:w="1559" w:type="dxa"/>
          </w:tcPr>
          <w:p w14:paraId="129F8760" w14:textId="77777777" w:rsidR="00734FE1" w:rsidRPr="00722821" w:rsidRDefault="00734FE1" w:rsidP="000A05F2">
            <w:pPr>
              <w:pStyle w:val="TableCentre"/>
              <w:rPr>
                <w:bCs/>
              </w:rPr>
            </w:pPr>
            <w:r w:rsidRPr="00722821">
              <w:t>24.3</w:t>
            </w:r>
          </w:p>
        </w:tc>
        <w:tc>
          <w:tcPr>
            <w:tcW w:w="1276" w:type="dxa"/>
          </w:tcPr>
          <w:p w14:paraId="129F8761" w14:textId="77777777" w:rsidR="00734FE1" w:rsidRPr="00722821" w:rsidRDefault="00734FE1" w:rsidP="000A05F2">
            <w:pPr>
              <w:pStyle w:val="TableCentre"/>
              <w:rPr>
                <w:bCs/>
              </w:rPr>
            </w:pPr>
            <w:r w:rsidRPr="00722821">
              <w:rPr>
                <w:bCs/>
              </w:rPr>
              <w:t>12.5</w:t>
            </w:r>
          </w:p>
        </w:tc>
      </w:tr>
      <w:tr w:rsidR="00734FE1" w:rsidRPr="00722821" w14:paraId="129F8766" w14:textId="77777777" w:rsidTr="002A69DF">
        <w:trPr>
          <w:jc w:val="center"/>
        </w:trPr>
        <w:tc>
          <w:tcPr>
            <w:tcW w:w="5353" w:type="dxa"/>
          </w:tcPr>
          <w:p w14:paraId="129F8763" w14:textId="77777777" w:rsidR="00734FE1" w:rsidRPr="00722821" w:rsidRDefault="00734FE1" w:rsidP="000A05F2">
            <w:pPr>
              <w:pStyle w:val="TableText"/>
            </w:pPr>
            <w:r w:rsidRPr="00722821">
              <w:t>Vomiting</w:t>
            </w:r>
          </w:p>
        </w:tc>
        <w:tc>
          <w:tcPr>
            <w:tcW w:w="1559" w:type="dxa"/>
          </w:tcPr>
          <w:p w14:paraId="129F8764" w14:textId="77777777" w:rsidR="00734FE1" w:rsidRPr="00722821" w:rsidRDefault="00734FE1" w:rsidP="000A05F2">
            <w:pPr>
              <w:pStyle w:val="TableCentre"/>
              <w:rPr>
                <w:bCs/>
              </w:rPr>
            </w:pPr>
            <w:r w:rsidRPr="00722821">
              <w:rPr>
                <w:bCs/>
              </w:rPr>
              <w:t>21.6</w:t>
            </w:r>
          </w:p>
        </w:tc>
        <w:tc>
          <w:tcPr>
            <w:tcW w:w="1276" w:type="dxa"/>
          </w:tcPr>
          <w:p w14:paraId="129F8765" w14:textId="77777777" w:rsidR="00734FE1" w:rsidRPr="00722821" w:rsidRDefault="00734FE1" w:rsidP="000A05F2">
            <w:pPr>
              <w:pStyle w:val="TableCentre"/>
              <w:rPr>
                <w:bCs/>
              </w:rPr>
            </w:pPr>
            <w:r w:rsidRPr="00722821">
              <w:rPr>
                <w:bCs/>
              </w:rPr>
              <w:t>6.3</w:t>
            </w:r>
          </w:p>
        </w:tc>
      </w:tr>
      <w:tr w:rsidR="00734FE1" w:rsidRPr="00722821" w14:paraId="129F876A" w14:textId="77777777" w:rsidTr="002A69DF">
        <w:trPr>
          <w:jc w:val="center"/>
        </w:trPr>
        <w:tc>
          <w:tcPr>
            <w:tcW w:w="5353" w:type="dxa"/>
          </w:tcPr>
          <w:p w14:paraId="129F8767" w14:textId="77777777" w:rsidR="00734FE1" w:rsidRPr="00722821" w:rsidRDefault="00734FE1" w:rsidP="000A05F2">
            <w:pPr>
              <w:pStyle w:val="TableText"/>
            </w:pPr>
            <w:r w:rsidRPr="00722821">
              <w:t>Fatigue</w:t>
            </w:r>
          </w:p>
        </w:tc>
        <w:tc>
          <w:tcPr>
            <w:tcW w:w="1559" w:type="dxa"/>
          </w:tcPr>
          <w:p w14:paraId="129F8768" w14:textId="77777777" w:rsidR="00734FE1" w:rsidRPr="00722821" w:rsidRDefault="00734FE1" w:rsidP="000A05F2">
            <w:pPr>
              <w:pStyle w:val="TableCentre"/>
              <w:rPr>
                <w:bCs/>
              </w:rPr>
            </w:pPr>
            <w:r w:rsidRPr="00722821">
              <w:rPr>
                <w:bCs/>
              </w:rPr>
              <w:t>9.5</w:t>
            </w:r>
          </w:p>
        </w:tc>
        <w:tc>
          <w:tcPr>
            <w:tcW w:w="1276" w:type="dxa"/>
          </w:tcPr>
          <w:p w14:paraId="129F8769" w14:textId="77777777" w:rsidR="00734FE1" w:rsidRPr="00722821" w:rsidRDefault="00734FE1" w:rsidP="000A05F2">
            <w:pPr>
              <w:pStyle w:val="TableCentre"/>
              <w:rPr>
                <w:bCs/>
              </w:rPr>
            </w:pPr>
            <w:r w:rsidRPr="00722821">
              <w:rPr>
                <w:bCs/>
              </w:rPr>
              <w:t>7.8</w:t>
            </w:r>
          </w:p>
        </w:tc>
      </w:tr>
      <w:tr w:rsidR="00734FE1" w:rsidRPr="00722821" w14:paraId="129F876E" w14:textId="77777777" w:rsidTr="002A69DF">
        <w:trPr>
          <w:jc w:val="center"/>
        </w:trPr>
        <w:tc>
          <w:tcPr>
            <w:tcW w:w="5353" w:type="dxa"/>
          </w:tcPr>
          <w:p w14:paraId="129F876B" w14:textId="77777777" w:rsidR="00734FE1" w:rsidRPr="00722821" w:rsidRDefault="00734FE1" w:rsidP="000A05F2">
            <w:pPr>
              <w:pStyle w:val="TableText"/>
            </w:pPr>
            <w:r w:rsidRPr="00722821">
              <w:t>Decreased appetite</w:t>
            </w:r>
          </w:p>
        </w:tc>
        <w:tc>
          <w:tcPr>
            <w:tcW w:w="1559" w:type="dxa"/>
          </w:tcPr>
          <w:p w14:paraId="129F876C" w14:textId="77777777" w:rsidR="00734FE1" w:rsidRPr="00722821" w:rsidRDefault="00734FE1" w:rsidP="000A05F2">
            <w:pPr>
              <w:pStyle w:val="TableCentre"/>
              <w:rPr>
                <w:bCs/>
              </w:rPr>
            </w:pPr>
            <w:r w:rsidRPr="00722821">
              <w:rPr>
                <w:bCs/>
              </w:rPr>
              <w:t>9.5</w:t>
            </w:r>
          </w:p>
        </w:tc>
        <w:tc>
          <w:tcPr>
            <w:tcW w:w="1276" w:type="dxa"/>
          </w:tcPr>
          <w:p w14:paraId="129F876D" w14:textId="77777777" w:rsidR="00734FE1" w:rsidRPr="00722821" w:rsidRDefault="00734FE1" w:rsidP="000A05F2">
            <w:pPr>
              <w:pStyle w:val="TableCentre"/>
              <w:rPr>
                <w:bCs/>
              </w:rPr>
            </w:pPr>
            <w:r w:rsidRPr="00722821">
              <w:rPr>
                <w:bCs/>
              </w:rPr>
              <w:t>4.7</w:t>
            </w:r>
          </w:p>
        </w:tc>
      </w:tr>
      <w:tr w:rsidR="00734FE1" w:rsidRPr="00722821" w14:paraId="129F8772" w14:textId="77777777" w:rsidTr="002A69DF">
        <w:trPr>
          <w:jc w:val="center"/>
        </w:trPr>
        <w:tc>
          <w:tcPr>
            <w:tcW w:w="5353" w:type="dxa"/>
          </w:tcPr>
          <w:p w14:paraId="129F876F" w14:textId="77777777" w:rsidR="00734FE1" w:rsidRPr="00722821" w:rsidRDefault="00734FE1" w:rsidP="000A05F2">
            <w:pPr>
              <w:pStyle w:val="TableText"/>
            </w:pPr>
            <w:r w:rsidRPr="00722821">
              <w:t>Nasopharyngitis</w:t>
            </w:r>
          </w:p>
        </w:tc>
        <w:tc>
          <w:tcPr>
            <w:tcW w:w="1559" w:type="dxa"/>
          </w:tcPr>
          <w:p w14:paraId="129F8770" w14:textId="77777777" w:rsidR="00734FE1" w:rsidRPr="00722821" w:rsidRDefault="00734FE1" w:rsidP="000A05F2">
            <w:pPr>
              <w:pStyle w:val="TableCentre"/>
              <w:rPr>
                <w:bCs/>
              </w:rPr>
            </w:pPr>
            <w:r w:rsidRPr="00722821">
              <w:rPr>
                <w:bCs/>
              </w:rPr>
              <w:t>9.5</w:t>
            </w:r>
          </w:p>
        </w:tc>
        <w:tc>
          <w:tcPr>
            <w:tcW w:w="1276" w:type="dxa"/>
          </w:tcPr>
          <w:p w14:paraId="129F8771" w14:textId="77777777" w:rsidR="00734FE1" w:rsidRPr="00722821" w:rsidRDefault="00734FE1" w:rsidP="000A05F2">
            <w:pPr>
              <w:pStyle w:val="TableCentre"/>
              <w:rPr>
                <w:bCs/>
              </w:rPr>
            </w:pPr>
            <w:r w:rsidRPr="00722821">
              <w:rPr>
                <w:bCs/>
              </w:rPr>
              <w:t>3.1</w:t>
            </w:r>
          </w:p>
        </w:tc>
      </w:tr>
      <w:tr w:rsidR="00734FE1" w:rsidRPr="00722821" w14:paraId="129F8776" w14:textId="77777777" w:rsidTr="002A69DF">
        <w:trPr>
          <w:jc w:val="center"/>
        </w:trPr>
        <w:tc>
          <w:tcPr>
            <w:tcW w:w="5353" w:type="dxa"/>
          </w:tcPr>
          <w:p w14:paraId="129F8773" w14:textId="77777777" w:rsidR="00734FE1" w:rsidRPr="00722821" w:rsidRDefault="00734FE1" w:rsidP="000A05F2">
            <w:pPr>
              <w:pStyle w:val="TableText"/>
            </w:pPr>
            <w:r w:rsidRPr="00722821">
              <w:t>Headache</w:t>
            </w:r>
          </w:p>
        </w:tc>
        <w:tc>
          <w:tcPr>
            <w:tcW w:w="1559" w:type="dxa"/>
          </w:tcPr>
          <w:p w14:paraId="129F8774" w14:textId="77777777" w:rsidR="00734FE1" w:rsidRPr="00722821" w:rsidRDefault="00734FE1" w:rsidP="000A05F2">
            <w:pPr>
              <w:pStyle w:val="TableCentre"/>
              <w:rPr>
                <w:bCs/>
              </w:rPr>
            </w:pPr>
            <w:r w:rsidRPr="00722821">
              <w:rPr>
                <w:bCs/>
              </w:rPr>
              <w:t>6.8</w:t>
            </w:r>
          </w:p>
        </w:tc>
        <w:tc>
          <w:tcPr>
            <w:tcW w:w="1276" w:type="dxa"/>
          </w:tcPr>
          <w:p w14:paraId="129F8775" w14:textId="77777777" w:rsidR="00734FE1" w:rsidRPr="00722821" w:rsidRDefault="00734FE1" w:rsidP="000A05F2">
            <w:pPr>
              <w:pStyle w:val="TableCentre"/>
              <w:rPr>
                <w:bCs/>
              </w:rPr>
            </w:pPr>
            <w:r w:rsidRPr="00722821">
              <w:rPr>
                <w:bCs/>
              </w:rPr>
              <w:t>4.7</w:t>
            </w:r>
          </w:p>
        </w:tc>
      </w:tr>
      <w:tr w:rsidR="00734FE1" w:rsidRPr="00722821" w14:paraId="129F877A" w14:textId="77777777" w:rsidTr="002A69DF">
        <w:trPr>
          <w:jc w:val="center"/>
        </w:trPr>
        <w:tc>
          <w:tcPr>
            <w:tcW w:w="5353" w:type="dxa"/>
          </w:tcPr>
          <w:p w14:paraId="129F8777" w14:textId="77777777" w:rsidR="00734FE1" w:rsidRPr="00722821" w:rsidRDefault="00734FE1" w:rsidP="000A05F2">
            <w:pPr>
              <w:pStyle w:val="TableText"/>
            </w:pPr>
            <w:r w:rsidRPr="00722821">
              <w:t>Rash</w:t>
            </w:r>
          </w:p>
        </w:tc>
        <w:tc>
          <w:tcPr>
            <w:tcW w:w="1559" w:type="dxa"/>
          </w:tcPr>
          <w:p w14:paraId="129F8778" w14:textId="77777777" w:rsidR="00734FE1" w:rsidRPr="00722821" w:rsidRDefault="00734FE1" w:rsidP="000A05F2">
            <w:pPr>
              <w:pStyle w:val="TableCentre"/>
              <w:rPr>
                <w:bCs/>
              </w:rPr>
            </w:pPr>
            <w:r w:rsidRPr="00722821">
              <w:rPr>
                <w:bCs/>
              </w:rPr>
              <w:t>6.8</w:t>
            </w:r>
          </w:p>
        </w:tc>
        <w:tc>
          <w:tcPr>
            <w:tcW w:w="1276" w:type="dxa"/>
          </w:tcPr>
          <w:p w14:paraId="129F8779" w14:textId="77777777" w:rsidR="00734FE1" w:rsidRPr="00722821" w:rsidRDefault="00734FE1" w:rsidP="000A05F2">
            <w:pPr>
              <w:pStyle w:val="TableCentre"/>
              <w:rPr>
                <w:bCs/>
              </w:rPr>
            </w:pPr>
            <w:r w:rsidRPr="00722821">
              <w:rPr>
                <w:bCs/>
              </w:rPr>
              <w:t>1.6</w:t>
            </w:r>
          </w:p>
        </w:tc>
      </w:tr>
      <w:tr w:rsidR="00734FE1" w:rsidRPr="00722821" w14:paraId="129F877E" w14:textId="77777777" w:rsidTr="002A69DF">
        <w:trPr>
          <w:jc w:val="center"/>
        </w:trPr>
        <w:tc>
          <w:tcPr>
            <w:tcW w:w="5353" w:type="dxa"/>
          </w:tcPr>
          <w:p w14:paraId="129F877B" w14:textId="77777777" w:rsidR="00734FE1" w:rsidRPr="00722821" w:rsidRDefault="00734FE1" w:rsidP="000A05F2">
            <w:pPr>
              <w:pStyle w:val="TableText"/>
            </w:pPr>
            <w:r w:rsidRPr="00722821">
              <w:t>Rhinitis</w:t>
            </w:r>
          </w:p>
        </w:tc>
        <w:tc>
          <w:tcPr>
            <w:tcW w:w="1559" w:type="dxa"/>
          </w:tcPr>
          <w:p w14:paraId="129F877C" w14:textId="77777777" w:rsidR="00734FE1" w:rsidRPr="00722821" w:rsidRDefault="00734FE1" w:rsidP="000A05F2">
            <w:pPr>
              <w:pStyle w:val="TableCentre"/>
              <w:rPr>
                <w:bCs/>
              </w:rPr>
            </w:pPr>
            <w:r w:rsidRPr="00722821">
              <w:rPr>
                <w:bCs/>
              </w:rPr>
              <w:t>5.4</w:t>
            </w:r>
          </w:p>
        </w:tc>
        <w:tc>
          <w:tcPr>
            <w:tcW w:w="1276" w:type="dxa"/>
          </w:tcPr>
          <w:p w14:paraId="129F877D" w14:textId="77777777" w:rsidR="00734FE1" w:rsidRPr="00722821" w:rsidRDefault="00734FE1" w:rsidP="000A05F2">
            <w:pPr>
              <w:pStyle w:val="TableCentre"/>
              <w:rPr>
                <w:bCs/>
              </w:rPr>
            </w:pPr>
            <w:r w:rsidRPr="00722821">
              <w:rPr>
                <w:bCs/>
              </w:rPr>
              <w:t>4.7</w:t>
            </w:r>
          </w:p>
        </w:tc>
      </w:tr>
      <w:tr w:rsidR="00734FE1" w:rsidRPr="00722821" w14:paraId="129F8782" w14:textId="77777777" w:rsidTr="002A69DF">
        <w:trPr>
          <w:jc w:val="center"/>
        </w:trPr>
        <w:tc>
          <w:tcPr>
            <w:tcW w:w="5353" w:type="dxa"/>
          </w:tcPr>
          <w:p w14:paraId="129F877F" w14:textId="77777777" w:rsidR="00734FE1" w:rsidRPr="00722821" w:rsidRDefault="00734FE1" w:rsidP="000A05F2">
            <w:pPr>
              <w:pStyle w:val="TableText"/>
            </w:pPr>
            <w:r w:rsidRPr="00722821">
              <w:t>Ataxia</w:t>
            </w:r>
          </w:p>
        </w:tc>
        <w:tc>
          <w:tcPr>
            <w:tcW w:w="1559" w:type="dxa"/>
          </w:tcPr>
          <w:p w14:paraId="129F8780" w14:textId="77777777" w:rsidR="00734FE1" w:rsidRPr="00722821" w:rsidRDefault="00734FE1" w:rsidP="000A05F2">
            <w:pPr>
              <w:pStyle w:val="TableCentre"/>
              <w:rPr>
                <w:bCs/>
              </w:rPr>
            </w:pPr>
            <w:r w:rsidRPr="00722821">
              <w:rPr>
                <w:bCs/>
              </w:rPr>
              <w:t>5.4</w:t>
            </w:r>
          </w:p>
        </w:tc>
        <w:tc>
          <w:tcPr>
            <w:tcW w:w="1276" w:type="dxa"/>
          </w:tcPr>
          <w:p w14:paraId="129F8781" w14:textId="77777777" w:rsidR="00734FE1" w:rsidRPr="00722821" w:rsidRDefault="00734FE1" w:rsidP="000A05F2">
            <w:pPr>
              <w:pStyle w:val="TableCentre"/>
              <w:rPr>
                <w:bCs/>
              </w:rPr>
            </w:pPr>
            <w:r w:rsidRPr="00722821">
              <w:rPr>
                <w:bCs/>
              </w:rPr>
              <w:t>0</w:t>
            </w:r>
          </w:p>
        </w:tc>
      </w:tr>
      <w:tr w:rsidR="00734FE1" w:rsidRPr="00722821" w14:paraId="129F8786" w14:textId="77777777" w:rsidTr="002A69DF">
        <w:trPr>
          <w:jc w:val="center"/>
        </w:trPr>
        <w:tc>
          <w:tcPr>
            <w:tcW w:w="5353" w:type="dxa"/>
          </w:tcPr>
          <w:p w14:paraId="129F8783" w14:textId="77777777" w:rsidR="00734FE1" w:rsidRPr="00722821" w:rsidRDefault="00734FE1" w:rsidP="000A05F2">
            <w:pPr>
              <w:pStyle w:val="TableText"/>
            </w:pPr>
            <w:r w:rsidRPr="00722821">
              <w:t>Psychomotor hyperactivity</w:t>
            </w:r>
          </w:p>
        </w:tc>
        <w:tc>
          <w:tcPr>
            <w:tcW w:w="1559" w:type="dxa"/>
          </w:tcPr>
          <w:p w14:paraId="129F8784" w14:textId="77777777" w:rsidR="00734FE1" w:rsidRPr="00722821" w:rsidRDefault="00734FE1" w:rsidP="000A05F2">
            <w:pPr>
              <w:pStyle w:val="TableCentre"/>
              <w:rPr>
                <w:bCs/>
              </w:rPr>
            </w:pPr>
            <w:r w:rsidRPr="00722821">
              <w:rPr>
                <w:bCs/>
              </w:rPr>
              <w:t>4.1</w:t>
            </w:r>
          </w:p>
        </w:tc>
        <w:tc>
          <w:tcPr>
            <w:tcW w:w="1276" w:type="dxa"/>
          </w:tcPr>
          <w:p w14:paraId="129F8785" w14:textId="77777777" w:rsidR="00734FE1" w:rsidRPr="00722821" w:rsidRDefault="00734FE1" w:rsidP="000A05F2">
            <w:pPr>
              <w:pStyle w:val="TableCentre"/>
              <w:rPr>
                <w:bCs/>
              </w:rPr>
            </w:pPr>
            <w:r w:rsidRPr="00722821">
              <w:rPr>
                <w:bCs/>
              </w:rPr>
              <w:t>3.1</w:t>
            </w:r>
          </w:p>
        </w:tc>
      </w:tr>
      <w:tr w:rsidR="00734FE1" w:rsidRPr="00722821" w14:paraId="129F878A" w14:textId="77777777" w:rsidTr="002A69DF">
        <w:trPr>
          <w:jc w:val="center"/>
        </w:trPr>
        <w:tc>
          <w:tcPr>
            <w:tcW w:w="5353" w:type="dxa"/>
          </w:tcPr>
          <w:p w14:paraId="129F8787" w14:textId="77777777" w:rsidR="00734FE1" w:rsidRPr="00722821" w:rsidRDefault="00734FE1" w:rsidP="000A05F2">
            <w:pPr>
              <w:pStyle w:val="TableText"/>
            </w:pPr>
            <w:r w:rsidRPr="00722821">
              <w:t>Convulsion</w:t>
            </w:r>
          </w:p>
        </w:tc>
        <w:tc>
          <w:tcPr>
            <w:tcW w:w="1559" w:type="dxa"/>
          </w:tcPr>
          <w:p w14:paraId="129F8788" w14:textId="77777777" w:rsidR="00734FE1" w:rsidRPr="00722821" w:rsidRDefault="00734FE1" w:rsidP="000A05F2">
            <w:pPr>
              <w:pStyle w:val="TableCentre"/>
              <w:rPr>
                <w:bCs/>
              </w:rPr>
            </w:pPr>
            <w:r w:rsidRPr="00722821">
              <w:rPr>
                <w:bCs/>
              </w:rPr>
              <w:t>4.1</w:t>
            </w:r>
          </w:p>
        </w:tc>
        <w:tc>
          <w:tcPr>
            <w:tcW w:w="1276" w:type="dxa"/>
          </w:tcPr>
          <w:p w14:paraId="129F8789" w14:textId="77777777" w:rsidR="00734FE1" w:rsidRPr="00722821" w:rsidRDefault="00734FE1" w:rsidP="000A05F2">
            <w:pPr>
              <w:pStyle w:val="TableCentre"/>
              <w:rPr>
                <w:bCs/>
              </w:rPr>
            </w:pPr>
            <w:r w:rsidRPr="00722821">
              <w:rPr>
                <w:bCs/>
              </w:rPr>
              <w:t>1.6</w:t>
            </w:r>
          </w:p>
        </w:tc>
      </w:tr>
      <w:tr w:rsidR="00734FE1" w:rsidRPr="00722821" w14:paraId="129F878E" w14:textId="77777777" w:rsidTr="002A69DF">
        <w:trPr>
          <w:jc w:val="center"/>
        </w:trPr>
        <w:tc>
          <w:tcPr>
            <w:tcW w:w="5353" w:type="dxa"/>
          </w:tcPr>
          <w:p w14:paraId="129F878B" w14:textId="77777777" w:rsidR="00734FE1" w:rsidRPr="00722821" w:rsidRDefault="00734FE1" w:rsidP="000A05F2">
            <w:pPr>
              <w:pStyle w:val="TableText"/>
            </w:pPr>
            <w:r w:rsidRPr="00722821">
              <w:t>Ear infection</w:t>
            </w:r>
          </w:p>
        </w:tc>
        <w:tc>
          <w:tcPr>
            <w:tcW w:w="1559" w:type="dxa"/>
          </w:tcPr>
          <w:p w14:paraId="129F878C" w14:textId="77777777" w:rsidR="00734FE1" w:rsidRPr="00722821" w:rsidRDefault="00734FE1" w:rsidP="000A05F2">
            <w:pPr>
              <w:pStyle w:val="TableCentre"/>
              <w:rPr>
                <w:bCs/>
              </w:rPr>
            </w:pPr>
            <w:r w:rsidRPr="00722821">
              <w:rPr>
                <w:bCs/>
              </w:rPr>
              <w:t>4.1</w:t>
            </w:r>
          </w:p>
        </w:tc>
        <w:tc>
          <w:tcPr>
            <w:tcW w:w="1276" w:type="dxa"/>
          </w:tcPr>
          <w:p w14:paraId="129F878D" w14:textId="77777777" w:rsidR="00734FE1" w:rsidRPr="00722821" w:rsidRDefault="00734FE1" w:rsidP="000A05F2">
            <w:pPr>
              <w:pStyle w:val="TableCentre"/>
              <w:rPr>
                <w:bCs/>
              </w:rPr>
            </w:pPr>
            <w:r w:rsidRPr="00722821">
              <w:rPr>
                <w:bCs/>
              </w:rPr>
              <w:t>1.6</w:t>
            </w:r>
          </w:p>
        </w:tc>
      </w:tr>
      <w:tr w:rsidR="00734FE1" w:rsidRPr="00722821" w14:paraId="129F8792" w14:textId="77777777" w:rsidTr="002A69DF">
        <w:trPr>
          <w:jc w:val="center"/>
        </w:trPr>
        <w:tc>
          <w:tcPr>
            <w:tcW w:w="5353" w:type="dxa"/>
          </w:tcPr>
          <w:p w14:paraId="129F878F" w14:textId="77777777" w:rsidR="00734FE1" w:rsidRPr="00722821" w:rsidRDefault="00734FE1" w:rsidP="000A05F2">
            <w:pPr>
              <w:pStyle w:val="TableText"/>
            </w:pPr>
            <w:r w:rsidRPr="00722821">
              <w:t>Epistaxis</w:t>
            </w:r>
          </w:p>
        </w:tc>
        <w:tc>
          <w:tcPr>
            <w:tcW w:w="1559" w:type="dxa"/>
          </w:tcPr>
          <w:p w14:paraId="129F8790" w14:textId="77777777" w:rsidR="00734FE1" w:rsidRPr="00722821" w:rsidRDefault="00734FE1" w:rsidP="000A05F2">
            <w:pPr>
              <w:pStyle w:val="TableCentre"/>
              <w:rPr>
                <w:bCs/>
              </w:rPr>
            </w:pPr>
            <w:r w:rsidRPr="00722821">
              <w:rPr>
                <w:bCs/>
              </w:rPr>
              <w:t>4.1</w:t>
            </w:r>
          </w:p>
        </w:tc>
        <w:tc>
          <w:tcPr>
            <w:tcW w:w="1276" w:type="dxa"/>
          </w:tcPr>
          <w:p w14:paraId="129F8791" w14:textId="77777777" w:rsidR="00734FE1" w:rsidRPr="00722821" w:rsidRDefault="00734FE1" w:rsidP="000A05F2">
            <w:pPr>
              <w:pStyle w:val="TableCentre"/>
              <w:rPr>
                <w:bCs/>
              </w:rPr>
            </w:pPr>
            <w:r w:rsidRPr="00722821">
              <w:rPr>
                <w:bCs/>
              </w:rPr>
              <w:t>0</w:t>
            </w:r>
          </w:p>
        </w:tc>
      </w:tr>
      <w:tr w:rsidR="00734FE1" w:rsidRPr="00722821" w14:paraId="129F8796" w14:textId="77777777" w:rsidTr="002A69DF">
        <w:trPr>
          <w:jc w:val="center"/>
        </w:trPr>
        <w:tc>
          <w:tcPr>
            <w:tcW w:w="5353" w:type="dxa"/>
          </w:tcPr>
          <w:p w14:paraId="129F8793" w14:textId="77777777" w:rsidR="00734FE1" w:rsidRPr="00722821" w:rsidRDefault="00734FE1" w:rsidP="000A05F2">
            <w:pPr>
              <w:pStyle w:val="TableText"/>
            </w:pPr>
            <w:r w:rsidRPr="00722821">
              <w:t>Nystagmus</w:t>
            </w:r>
          </w:p>
        </w:tc>
        <w:tc>
          <w:tcPr>
            <w:tcW w:w="1559" w:type="dxa"/>
          </w:tcPr>
          <w:p w14:paraId="129F8794" w14:textId="77777777" w:rsidR="00734FE1" w:rsidRPr="00722821" w:rsidRDefault="00734FE1" w:rsidP="000A05F2">
            <w:pPr>
              <w:pStyle w:val="TableCentre"/>
              <w:rPr>
                <w:bCs/>
              </w:rPr>
            </w:pPr>
            <w:r w:rsidRPr="00722821">
              <w:rPr>
                <w:bCs/>
              </w:rPr>
              <w:t>4.1</w:t>
            </w:r>
          </w:p>
        </w:tc>
        <w:tc>
          <w:tcPr>
            <w:tcW w:w="1276" w:type="dxa"/>
          </w:tcPr>
          <w:p w14:paraId="129F8795" w14:textId="77777777" w:rsidR="00734FE1" w:rsidRPr="00722821" w:rsidRDefault="00734FE1" w:rsidP="000A05F2">
            <w:pPr>
              <w:pStyle w:val="TableCentre"/>
              <w:rPr>
                <w:bCs/>
              </w:rPr>
            </w:pPr>
            <w:r w:rsidRPr="00722821">
              <w:rPr>
                <w:bCs/>
              </w:rPr>
              <w:t>0</w:t>
            </w:r>
          </w:p>
        </w:tc>
      </w:tr>
      <w:tr w:rsidR="00734FE1" w:rsidRPr="00722821" w14:paraId="129F879A" w14:textId="77777777" w:rsidTr="002A69DF">
        <w:trPr>
          <w:jc w:val="center"/>
        </w:trPr>
        <w:tc>
          <w:tcPr>
            <w:tcW w:w="5353" w:type="dxa"/>
          </w:tcPr>
          <w:p w14:paraId="129F8797" w14:textId="77777777" w:rsidR="00734FE1" w:rsidRPr="00722821" w:rsidRDefault="00734FE1" w:rsidP="000A05F2">
            <w:pPr>
              <w:pStyle w:val="TableText"/>
            </w:pPr>
            <w:r w:rsidRPr="00722821">
              <w:t>Status epilepticus</w:t>
            </w:r>
          </w:p>
        </w:tc>
        <w:tc>
          <w:tcPr>
            <w:tcW w:w="1559" w:type="dxa"/>
          </w:tcPr>
          <w:p w14:paraId="129F8798" w14:textId="77777777" w:rsidR="00734FE1" w:rsidRPr="00722821" w:rsidRDefault="00734FE1" w:rsidP="000A05F2">
            <w:pPr>
              <w:pStyle w:val="TableCentre"/>
              <w:rPr>
                <w:bCs/>
              </w:rPr>
            </w:pPr>
            <w:r w:rsidRPr="00722821">
              <w:rPr>
                <w:bCs/>
              </w:rPr>
              <w:t>4.1</w:t>
            </w:r>
          </w:p>
        </w:tc>
        <w:tc>
          <w:tcPr>
            <w:tcW w:w="1276" w:type="dxa"/>
          </w:tcPr>
          <w:p w14:paraId="129F8799" w14:textId="77777777" w:rsidR="00734FE1" w:rsidRPr="00722821" w:rsidRDefault="00734FE1" w:rsidP="000A05F2">
            <w:pPr>
              <w:pStyle w:val="TableCentre"/>
              <w:rPr>
                <w:bCs/>
              </w:rPr>
            </w:pPr>
            <w:r w:rsidRPr="00722821">
              <w:rPr>
                <w:bCs/>
              </w:rPr>
              <w:t>0</w:t>
            </w:r>
          </w:p>
        </w:tc>
      </w:tr>
      <w:tr w:rsidR="00734FE1" w:rsidRPr="00722821" w14:paraId="129F879E" w14:textId="77777777" w:rsidTr="002A69DF">
        <w:trPr>
          <w:jc w:val="center"/>
        </w:trPr>
        <w:tc>
          <w:tcPr>
            <w:tcW w:w="5353" w:type="dxa"/>
          </w:tcPr>
          <w:p w14:paraId="129F879B" w14:textId="77777777" w:rsidR="00734FE1" w:rsidRPr="00722821" w:rsidRDefault="00734FE1" w:rsidP="000A05F2">
            <w:pPr>
              <w:pStyle w:val="TableText"/>
            </w:pPr>
            <w:r w:rsidRPr="00722821">
              <w:t>Contusion</w:t>
            </w:r>
          </w:p>
        </w:tc>
        <w:tc>
          <w:tcPr>
            <w:tcW w:w="1559" w:type="dxa"/>
          </w:tcPr>
          <w:p w14:paraId="129F879C" w14:textId="77777777" w:rsidR="00734FE1" w:rsidRPr="00722821" w:rsidRDefault="00734FE1" w:rsidP="000A05F2">
            <w:pPr>
              <w:pStyle w:val="TableCentre"/>
              <w:rPr>
                <w:bCs/>
              </w:rPr>
            </w:pPr>
            <w:r w:rsidRPr="00722821">
              <w:rPr>
                <w:bCs/>
              </w:rPr>
              <w:t>2.7</w:t>
            </w:r>
          </w:p>
        </w:tc>
        <w:tc>
          <w:tcPr>
            <w:tcW w:w="1276" w:type="dxa"/>
          </w:tcPr>
          <w:p w14:paraId="129F879D" w14:textId="77777777" w:rsidR="00734FE1" w:rsidRPr="00722821" w:rsidRDefault="00734FE1" w:rsidP="000A05F2">
            <w:pPr>
              <w:pStyle w:val="TableCentre"/>
              <w:rPr>
                <w:bCs/>
              </w:rPr>
            </w:pPr>
            <w:r w:rsidRPr="00722821">
              <w:rPr>
                <w:bCs/>
              </w:rPr>
              <w:t>1.6</w:t>
            </w:r>
          </w:p>
        </w:tc>
      </w:tr>
      <w:tr w:rsidR="00734FE1" w:rsidRPr="00722821" w14:paraId="129F87A2" w14:textId="77777777" w:rsidTr="002A69DF">
        <w:trPr>
          <w:jc w:val="center"/>
        </w:trPr>
        <w:tc>
          <w:tcPr>
            <w:tcW w:w="5353" w:type="dxa"/>
          </w:tcPr>
          <w:p w14:paraId="129F879F" w14:textId="77777777" w:rsidR="00734FE1" w:rsidRPr="00722821" w:rsidRDefault="00734FE1" w:rsidP="000A05F2">
            <w:pPr>
              <w:pStyle w:val="TableText"/>
              <w:rPr>
                <w:bCs/>
              </w:rPr>
            </w:pPr>
            <w:r w:rsidRPr="00722821">
              <w:rPr>
                <w:bCs/>
              </w:rPr>
              <w:t>Head injury</w:t>
            </w:r>
          </w:p>
        </w:tc>
        <w:tc>
          <w:tcPr>
            <w:tcW w:w="1559" w:type="dxa"/>
          </w:tcPr>
          <w:p w14:paraId="129F87A0" w14:textId="77777777" w:rsidR="00734FE1" w:rsidRPr="00722821" w:rsidRDefault="00734FE1" w:rsidP="000A05F2">
            <w:pPr>
              <w:pStyle w:val="TableCentre"/>
              <w:rPr>
                <w:bCs/>
              </w:rPr>
            </w:pPr>
            <w:r w:rsidRPr="00722821">
              <w:rPr>
                <w:bCs/>
              </w:rPr>
              <w:t>2.7</w:t>
            </w:r>
          </w:p>
        </w:tc>
        <w:tc>
          <w:tcPr>
            <w:tcW w:w="1276" w:type="dxa"/>
          </w:tcPr>
          <w:p w14:paraId="129F87A1" w14:textId="77777777" w:rsidR="00734FE1" w:rsidRPr="00722821" w:rsidRDefault="00734FE1" w:rsidP="000A05F2">
            <w:pPr>
              <w:pStyle w:val="TableCentre"/>
              <w:rPr>
                <w:bCs/>
              </w:rPr>
            </w:pPr>
            <w:r w:rsidRPr="00722821">
              <w:rPr>
                <w:bCs/>
              </w:rPr>
              <w:t>1.6</w:t>
            </w:r>
          </w:p>
        </w:tc>
      </w:tr>
      <w:tr w:rsidR="00734FE1" w:rsidRPr="00722821" w14:paraId="129F87A6" w14:textId="77777777" w:rsidTr="002A69DF">
        <w:trPr>
          <w:jc w:val="center"/>
        </w:trPr>
        <w:tc>
          <w:tcPr>
            <w:tcW w:w="5353" w:type="dxa"/>
          </w:tcPr>
          <w:p w14:paraId="129F87A3" w14:textId="77777777" w:rsidR="00734FE1" w:rsidRPr="00722821" w:rsidRDefault="00734FE1" w:rsidP="000A05F2">
            <w:pPr>
              <w:pStyle w:val="TableText"/>
              <w:rPr>
                <w:bCs/>
              </w:rPr>
            </w:pPr>
            <w:r w:rsidRPr="00722821">
              <w:rPr>
                <w:bCs/>
              </w:rPr>
              <w:t>Loose stools</w:t>
            </w:r>
          </w:p>
        </w:tc>
        <w:tc>
          <w:tcPr>
            <w:tcW w:w="1559" w:type="dxa"/>
          </w:tcPr>
          <w:p w14:paraId="129F87A4" w14:textId="77777777" w:rsidR="00734FE1" w:rsidRPr="00722821" w:rsidRDefault="00734FE1" w:rsidP="000A05F2">
            <w:pPr>
              <w:pStyle w:val="TableCentre"/>
              <w:rPr>
                <w:bCs/>
              </w:rPr>
            </w:pPr>
            <w:r w:rsidRPr="00722821">
              <w:rPr>
                <w:bCs/>
              </w:rPr>
              <w:t>2.7</w:t>
            </w:r>
          </w:p>
        </w:tc>
        <w:tc>
          <w:tcPr>
            <w:tcW w:w="1276" w:type="dxa"/>
          </w:tcPr>
          <w:p w14:paraId="129F87A5" w14:textId="77777777" w:rsidR="00734FE1" w:rsidRPr="00722821" w:rsidRDefault="00734FE1" w:rsidP="000A05F2">
            <w:pPr>
              <w:pStyle w:val="TableCentre"/>
              <w:rPr>
                <w:bCs/>
              </w:rPr>
            </w:pPr>
            <w:r w:rsidRPr="00722821">
              <w:rPr>
                <w:bCs/>
              </w:rPr>
              <w:t>1.6</w:t>
            </w:r>
          </w:p>
        </w:tc>
      </w:tr>
      <w:tr w:rsidR="00734FE1" w:rsidRPr="00722821" w14:paraId="129F87AA" w14:textId="77777777" w:rsidTr="002A69DF">
        <w:trPr>
          <w:jc w:val="center"/>
        </w:trPr>
        <w:tc>
          <w:tcPr>
            <w:tcW w:w="5353" w:type="dxa"/>
          </w:tcPr>
          <w:p w14:paraId="129F87A7" w14:textId="77777777" w:rsidR="00734FE1" w:rsidRPr="00722821" w:rsidRDefault="00734FE1" w:rsidP="000A05F2">
            <w:pPr>
              <w:pStyle w:val="TableText"/>
              <w:rPr>
                <w:bCs/>
              </w:rPr>
            </w:pPr>
            <w:r w:rsidRPr="00722821">
              <w:rPr>
                <w:bCs/>
              </w:rPr>
              <w:t>Sinusitis</w:t>
            </w:r>
          </w:p>
        </w:tc>
        <w:tc>
          <w:tcPr>
            <w:tcW w:w="1559" w:type="dxa"/>
          </w:tcPr>
          <w:p w14:paraId="129F87A8" w14:textId="77777777" w:rsidR="00734FE1" w:rsidRPr="00722821" w:rsidRDefault="00734FE1" w:rsidP="000A05F2">
            <w:pPr>
              <w:pStyle w:val="TableCentre"/>
              <w:rPr>
                <w:bCs/>
              </w:rPr>
            </w:pPr>
            <w:r w:rsidRPr="00722821">
              <w:rPr>
                <w:bCs/>
              </w:rPr>
              <w:t>2.7</w:t>
            </w:r>
          </w:p>
        </w:tc>
        <w:tc>
          <w:tcPr>
            <w:tcW w:w="1276" w:type="dxa"/>
          </w:tcPr>
          <w:p w14:paraId="129F87A9" w14:textId="77777777" w:rsidR="00734FE1" w:rsidRPr="00722821" w:rsidRDefault="00734FE1" w:rsidP="000A05F2">
            <w:pPr>
              <w:pStyle w:val="TableCentre"/>
              <w:rPr>
                <w:bCs/>
              </w:rPr>
            </w:pPr>
            <w:r w:rsidRPr="00722821">
              <w:rPr>
                <w:bCs/>
              </w:rPr>
              <w:t>1.6</w:t>
            </w:r>
          </w:p>
        </w:tc>
      </w:tr>
      <w:tr w:rsidR="00734FE1" w:rsidRPr="00722821" w14:paraId="129F87AE" w14:textId="77777777" w:rsidTr="002A69DF">
        <w:trPr>
          <w:jc w:val="center"/>
        </w:trPr>
        <w:tc>
          <w:tcPr>
            <w:tcW w:w="5353" w:type="dxa"/>
          </w:tcPr>
          <w:p w14:paraId="129F87AB" w14:textId="77777777" w:rsidR="00734FE1" w:rsidRPr="00722821" w:rsidRDefault="00734FE1" w:rsidP="000A05F2">
            <w:pPr>
              <w:pStyle w:val="TableText"/>
              <w:rPr>
                <w:bCs/>
              </w:rPr>
            </w:pPr>
            <w:r w:rsidRPr="00722821">
              <w:rPr>
                <w:bCs/>
              </w:rPr>
              <w:t>Acne</w:t>
            </w:r>
          </w:p>
        </w:tc>
        <w:tc>
          <w:tcPr>
            <w:tcW w:w="1559" w:type="dxa"/>
          </w:tcPr>
          <w:p w14:paraId="129F87AC" w14:textId="77777777" w:rsidR="00734FE1" w:rsidRPr="00722821" w:rsidRDefault="00734FE1" w:rsidP="000A05F2">
            <w:pPr>
              <w:pStyle w:val="TableCentre"/>
              <w:rPr>
                <w:bCs/>
              </w:rPr>
            </w:pPr>
            <w:r w:rsidRPr="00722821">
              <w:rPr>
                <w:bCs/>
              </w:rPr>
              <w:t>2.7</w:t>
            </w:r>
          </w:p>
        </w:tc>
        <w:tc>
          <w:tcPr>
            <w:tcW w:w="1276" w:type="dxa"/>
          </w:tcPr>
          <w:p w14:paraId="129F87AD" w14:textId="77777777" w:rsidR="00734FE1" w:rsidRPr="00722821" w:rsidRDefault="00734FE1" w:rsidP="000A05F2">
            <w:pPr>
              <w:pStyle w:val="TableCentre"/>
              <w:rPr>
                <w:bCs/>
              </w:rPr>
            </w:pPr>
            <w:r w:rsidRPr="00722821">
              <w:rPr>
                <w:bCs/>
              </w:rPr>
              <w:t>0</w:t>
            </w:r>
          </w:p>
        </w:tc>
      </w:tr>
      <w:tr w:rsidR="00734FE1" w:rsidRPr="00722821" w14:paraId="129F87B2" w14:textId="77777777" w:rsidTr="002A69DF">
        <w:trPr>
          <w:jc w:val="center"/>
        </w:trPr>
        <w:tc>
          <w:tcPr>
            <w:tcW w:w="5353" w:type="dxa"/>
          </w:tcPr>
          <w:p w14:paraId="129F87AF" w14:textId="77777777" w:rsidR="00734FE1" w:rsidRPr="00722821" w:rsidRDefault="00734FE1" w:rsidP="000A05F2">
            <w:pPr>
              <w:pStyle w:val="TableText"/>
              <w:rPr>
                <w:bCs/>
              </w:rPr>
            </w:pPr>
            <w:r w:rsidRPr="00722821">
              <w:rPr>
                <w:bCs/>
              </w:rPr>
              <w:t>Dizziness</w:t>
            </w:r>
          </w:p>
        </w:tc>
        <w:tc>
          <w:tcPr>
            <w:tcW w:w="1559" w:type="dxa"/>
          </w:tcPr>
          <w:p w14:paraId="129F87B0" w14:textId="77777777" w:rsidR="00734FE1" w:rsidRPr="00722821" w:rsidRDefault="00734FE1" w:rsidP="000A05F2">
            <w:pPr>
              <w:pStyle w:val="TableCentre"/>
              <w:rPr>
                <w:bCs/>
              </w:rPr>
            </w:pPr>
            <w:r w:rsidRPr="00722821">
              <w:rPr>
                <w:bCs/>
              </w:rPr>
              <w:t>2.7</w:t>
            </w:r>
          </w:p>
        </w:tc>
        <w:tc>
          <w:tcPr>
            <w:tcW w:w="1276" w:type="dxa"/>
          </w:tcPr>
          <w:p w14:paraId="129F87B1" w14:textId="77777777" w:rsidR="00734FE1" w:rsidRPr="00722821" w:rsidRDefault="00734FE1" w:rsidP="000A05F2">
            <w:pPr>
              <w:pStyle w:val="TableCentre"/>
              <w:rPr>
                <w:bCs/>
              </w:rPr>
            </w:pPr>
            <w:r w:rsidRPr="00722821">
              <w:rPr>
                <w:bCs/>
              </w:rPr>
              <w:t>0</w:t>
            </w:r>
          </w:p>
        </w:tc>
      </w:tr>
      <w:tr w:rsidR="00734FE1" w:rsidRPr="00722821" w14:paraId="129F87B6" w14:textId="77777777" w:rsidTr="002A69DF">
        <w:trPr>
          <w:jc w:val="center"/>
        </w:trPr>
        <w:tc>
          <w:tcPr>
            <w:tcW w:w="5353" w:type="dxa"/>
          </w:tcPr>
          <w:p w14:paraId="129F87B3" w14:textId="77777777" w:rsidR="00734FE1" w:rsidRPr="00722821" w:rsidRDefault="00734FE1" w:rsidP="000A05F2">
            <w:pPr>
              <w:pStyle w:val="TableText"/>
              <w:rPr>
                <w:bCs/>
              </w:rPr>
            </w:pPr>
            <w:r w:rsidRPr="00722821">
              <w:rPr>
                <w:bCs/>
              </w:rPr>
              <w:t>Eating disorder</w:t>
            </w:r>
          </w:p>
        </w:tc>
        <w:tc>
          <w:tcPr>
            <w:tcW w:w="1559" w:type="dxa"/>
          </w:tcPr>
          <w:p w14:paraId="129F87B4" w14:textId="77777777" w:rsidR="00734FE1" w:rsidRPr="00722821" w:rsidRDefault="00734FE1" w:rsidP="000A05F2">
            <w:pPr>
              <w:pStyle w:val="TableCentre"/>
              <w:rPr>
                <w:bCs/>
              </w:rPr>
            </w:pPr>
            <w:r w:rsidRPr="00722821">
              <w:rPr>
                <w:bCs/>
              </w:rPr>
              <w:t>2.7</w:t>
            </w:r>
          </w:p>
        </w:tc>
        <w:tc>
          <w:tcPr>
            <w:tcW w:w="1276" w:type="dxa"/>
          </w:tcPr>
          <w:p w14:paraId="129F87B5" w14:textId="77777777" w:rsidR="00734FE1" w:rsidRPr="00722821" w:rsidRDefault="00734FE1" w:rsidP="000A05F2">
            <w:pPr>
              <w:pStyle w:val="TableCentre"/>
              <w:rPr>
                <w:bCs/>
              </w:rPr>
            </w:pPr>
            <w:r w:rsidRPr="00722821">
              <w:rPr>
                <w:bCs/>
              </w:rPr>
              <w:t>0</w:t>
            </w:r>
          </w:p>
        </w:tc>
      </w:tr>
      <w:tr w:rsidR="00734FE1" w:rsidRPr="00722821" w14:paraId="129F87BA" w14:textId="77777777" w:rsidTr="002A69DF">
        <w:trPr>
          <w:jc w:val="center"/>
        </w:trPr>
        <w:tc>
          <w:tcPr>
            <w:tcW w:w="5353" w:type="dxa"/>
          </w:tcPr>
          <w:p w14:paraId="129F87B7" w14:textId="77777777" w:rsidR="00734FE1" w:rsidRPr="00722821" w:rsidRDefault="00734FE1" w:rsidP="000A05F2">
            <w:pPr>
              <w:pStyle w:val="TableText"/>
              <w:rPr>
                <w:bCs/>
              </w:rPr>
            </w:pPr>
            <w:r w:rsidRPr="00722821">
              <w:rPr>
                <w:bCs/>
              </w:rPr>
              <w:t xml:space="preserve">Exanthema </w:t>
            </w:r>
          </w:p>
        </w:tc>
        <w:tc>
          <w:tcPr>
            <w:tcW w:w="1559" w:type="dxa"/>
          </w:tcPr>
          <w:p w14:paraId="129F87B8" w14:textId="77777777" w:rsidR="00734FE1" w:rsidRPr="00722821" w:rsidRDefault="00734FE1" w:rsidP="000A05F2">
            <w:pPr>
              <w:pStyle w:val="TableCentre"/>
              <w:rPr>
                <w:bCs/>
              </w:rPr>
            </w:pPr>
            <w:r w:rsidRPr="00722821">
              <w:rPr>
                <w:bCs/>
              </w:rPr>
              <w:t>2.7</w:t>
            </w:r>
          </w:p>
        </w:tc>
        <w:tc>
          <w:tcPr>
            <w:tcW w:w="1276" w:type="dxa"/>
          </w:tcPr>
          <w:p w14:paraId="129F87B9" w14:textId="77777777" w:rsidR="00734FE1" w:rsidRPr="00722821" w:rsidRDefault="00734FE1" w:rsidP="000A05F2">
            <w:pPr>
              <w:pStyle w:val="TableCentre"/>
              <w:rPr>
                <w:bCs/>
              </w:rPr>
            </w:pPr>
            <w:r w:rsidRPr="00722821">
              <w:rPr>
                <w:bCs/>
              </w:rPr>
              <w:t>0</w:t>
            </w:r>
          </w:p>
        </w:tc>
      </w:tr>
      <w:tr w:rsidR="00734FE1" w:rsidRPr="00722821" w14:paraId="129F87BE" w14:textId="77777777" w:rsidTr="002A69DF">
        <w:trPr>
          <w:jc w:val="center"/>
        </w:trPr>
        <w:tc>
          <w:tcPr>
            <w:tcW w:w="5353" w:type="dxa"/>
          </w:tcPr>
          <w:p w14:paraId="129F87BB" w14:textId="77777777" w:rsidR="00734FE1" w:rsidRPr="00722821" w:rsidRDefault="00734FE1" w:rsidP="000A05F2">
            <w:pPr>
              <w:pStyle w:val="TableText"/>
              <w:rPr>
                <w:bCs/>
              </w:rPr>
            </w:pPr>
            <w:r w:rsidRPr="00722821">
              <w:rPr>
                <w:bCs/>
              </w:rPr>
              <w:t>Influenza</w:t>
            </w:r>
          </w:p>
        </w:tc>
        <w:tc>
          <w:tcPr>
            <w:tcW w:w="1559" w:type="dxa"/>
          </w:tcPr>
          <w:p w14:paraId="129F87BC" w14:textId="77777777" w:rsidR="00734FE1" w:rsidRPr="00722821" w:rsidRDefault="00734FE1" w:rsidP="000A05F2">
            <w:pPr>
              <w:pStyle w:val="TableCentre"/>
              <w:rPr>
                <w:bCs/>
              </w:rPr>
            </w:pPr>
            <w:r w:rsidRPr="00722821">
              <w:rPr>
                <w:bCs/>
              </w:rPr>
              <w:t>2.7</w:t>
            </w:r>
          </w:p>
        </w:tc>
        <w:tc>
          <w:tcPr>
            <w:tcW w:w="1276" w:type="dxa"/>
          </w:tcPr>
          <w:p w14:paraId="129F87BD" w14:textId="77777777" w:rsidR="00734FE1" w:rsidRPr="00722821" w:rsidRDefault="00734FE1" w:rsidP="000A05F2">
            <w:pPr>
              <w:pStyle w:val="TableCentre"/>
              <w:rPr>
                <w:bCs/>
              </w:rPr>
            </w:pPr>
            <w:r w:rsidRPr="00722821">
              <w:rPr>
                <w:bCs/>
              </w:rPr>
              <w:t>0</w:t>
            </w:r>
          </w:p>
        </w:tc>
      </w:tr>
      <w:tr w:rsidR="00734FE1" w:rsidRPr="00722821" w14:paraId="129F87C2" w14:textId="77777777" w:rsidTr="002A69DF">
        <w:trPr>
          <w:jc w:val="center"/>
        </w:trPr>
        <w:tc>
          <w:tcPr>
            <w:tcW w:w="5353" w:type="dxa"/>
          </w:tcPr>
          <w:p w14:paraId="129F87BF" w14:textId="77777777" w:rsidR="00734FE1" w:rsidRPr="00722821" w:rsidRDefault="00734FE1" w:rsidP="000A05F2">
            <w:pPr>
              <w:pStyle w:val="TableText"/>
              <w:rPr>
                <w:bCs/>
              </w:rPr>
            </w:pPr>
            <w:r w:rsidRPr="00722821">
              <w:rPr>
                <w:bCs/>
              </w:rPr>
              <w:t>Oligomenorrhea</w:t>
            </w:r>
          </w:p>
        </w:tc>
        <w:tc>
          <w:tcPr>
            <w:tcW w:w="1559" w:type="dxa"/>
          </w:tcPr>
          <w:p w14:paraId="129F87C0" w14:textId="77777777" w:rsidR="00734FE1" w:rsidRPr="00722821" w:rsidRDefault="00734FE1" w:rsidP="000A05F2">
            <w:pPr>
              <w:pStyle w:val="TableCentre"/>
              <w:rPr>
                <w:bCs/>
              </w:rPr>
            </w:pPr>
            <w:r w:rsidRPr="00722821">
              <w:rPr>
                <w:bCs/>
              </w:rPr>
              <w:t>2.7</w:t>
            </w:r>
          </w:p>
        </w:tc>
        <w:tc>
          <w:tcPr>
            <w:tcW w:w="1276" w:type="dxa"/>
          </w:tcPr>
          <w:p w14:paraId="129F87C1" w14:textId="77777777" w:rsidR="00734FE1" w:rsidRPr="00722821" w:rsidRDefault="00734FE1" w:rsidP="000A05F2">
            <w:pPr>
              <w:pStyle w:val="TableCentre"/>
              <w:rPr>
                <w:bCs/>
              </w:rPr>
            </w:pPr>
            <w:r w:rsidRPr="00722821">
              <w:rPr>
                <w:bCs/>
              </w:rPr>
              <w:t>0</w:t>
            </w:r>
          </w:p>
        </w:tc>
      </w:tr>
      <w:tr w:rsidR="00734FE1" w:rsidRPr="00722821" w14:paraId="129F87C6" w14:textId="77777777" w:rsidTr="002A69DF">
        <w:trPr>
          <w:jc w:val="center"/>
        </w:trPr>
        <w:tc>
          <w:tcPr>
            <w:tcW w:w="5353" w:type="dxa"/>
          </w:tcPr>
          <w:p w14:paraId="129F87C3" w14:textId="77777777" w:rsidR="00734FE1" w:rsidRPr="00722821" w:rsidRDefault="00734FE1" w:rsidP="000A05F2">
            <w:pPr>
              <w:pStyle w:val="TableText"/>
              <w:rPr>
                <w:bCs/>
              </w:rPr>
            </w:pPr>
            <w:r w:rsidRPr="00722821">
              <w:rPr>
                <w:bCs/>
              </w:rPr>
              <w:t>Pneumonia</w:t>
            </w:r>
          </w:p>
        </w:tc>
        <w:tc>
          <w:tcPr>
            <w:tcW w:w="1559" w:type="dxa"/>
          </w:tcPr>
          <w:p w14:paraId="129F87C4" w14:textId="77777777" w:rsidR="00734FE1" w:rsidRPr="00722821" w:rsidRDefault="00734FE1" w:rsidP="000A05F2">
            <w:pPr>
              <w:pStyle w:val="TableCentre"/>
              <w:rPr>
                <w:bCs/>
              </w:rPr>
            </w:pPr>
            <w:r w:rsidRPr="00722821">
              <w:rPr>
                <w:bCs/>
              </w:rPr>
              <w:t>2.7</w:t>
            </w:r>
          </w:p>
        </w:tc>
        <w:tc>
          <w:tcPr>
            <w:tcW w:w="1276" w:type="dxa"/>
          </w:tcPr>
          <w:p w14:paraId="129F87C5" w14:textId="77777777" w:rsidR="00734FE1" w:rsidRPr="00722821" w:rsidRDefault="00734FE1" w:rsidP="000A05F2">
            <w:pPr>
              <w:pStyle w:val="TableCentre"/>
              <w:rPr>
                <w:bCs/>
              </w:rPr>
            </w:pPr>
            <w:r w:rsidRPr="00722821">
              <w:rPr>
                <w:bCs/>
              </w:rPr>
              <w:t>0</w:t>
            </w:r>
          </w:p>
        </w:tc>
      </w:tr>
    </w:tbl>
    <w:p w14:paraId="129F87C7" w14:textId="77777777" w:rsidR="00734FE1" w:rsidRPr="00722821" w:rsidRDefault="00734FE1" w:rsidP="000A05F2">
      <w:pPr>
        <w:pStyle w:val="BodyText"/>
      </w:pPr>
    </w:p>
    <w:p w14:paraId="129F87C8" w14:textId="77777777" w:rsidR="00734FE1" w:rsidRPr="00722821" w:rsidRDefault="00734FE1" w:rsidP="000A05F2">
      <w:pPr>
        <w:pStyle w:val="Heading3"/>
      </w:pPr>
      <w:r w:rsidRPr="00722821">
        <w:lastRenderedPageBreak/>
        <w:t>Other special populations</w:t>
      </w:r>
    </w:p>
    <w:p w14:paraId="129F87C9" w14:textId="77777777" w:rsidR="00441EAC" w:rsidRPr="00722821" w:rsidRDefault="00441EAC" w:rsidP="000A05F2">
      <w:pPr>
        <w:pStyle w:val="Heading4"/>
      </w:pPr>
      <w:r w:rsidRPr="00722821">
        <w:t>Paediatric Population (age 1 to less than 4 years)</w:t>
      </w:r>
    </w:p>
    <w:p w14:paraId="129F87CA" w14:textId="1962E65D" w:rsidR="00FE0563" w:rsidRPr="00722821" w:rsidRDefault="00441EAC" w:rsidP="000A05F2">
      <w:pPr>
        <w:pStyle w:val="BodyText"/>
      </w:pPr>
      <w:r w:rsidRPr="00722821">
        <w:t xml:space="preserve">In a multicentre, open-label study comparing the addition of </w:t>
      </w:r>
      <w:r w:rsidR="005E658B" w:rsidRPr="00722821">
        <w:t>INOVELON</w:t>
      </w:r>
      <w:r w:rsidRPr="00722821">
        <w:t xml:space="preserve"> to the addition of any other AED of the investigator’s choice in paediatric patients, 1 to less than 4 years of age with inadequately controlled LGS, 25 patients </w:t>
      </w:r>
      <w:r w:rsidR="00FE0563" w:rsidRPr="00722821">
        <w:t xml:space="preserve">of which 10 subjects were age 1 to 2 years, were exposed to </w:t>
      </w:r>
      <w:r w:rsidR="000B66E9" w:rsidRPr="00722821">
        <w:t>INOVELON</w:t>
      </w:r>
      <w:r w:rsidR="00FE0563" w:rsidRPr="00722821">
        <w:t xml:space="preserve"> as adjunctive therapy for 24 weeks at a dose of up to 45 mg/kg/day, in 2 divided doses.  The most frequently reported TEAEs in the </w:t>
      </w:r>
      <w:r w:rsidR="000B66E9" w:rsidRPr="00722821">
        <w:t>INOVELON</w:t>
      </w:r>
      <w:r w:rsidR="00FE0563" w:rsidRPr="00722821">
        <w:t xml:space="preserve"> treatment group (occurring in ≥10% of subjects) were upper respiratory tract infection and vomiting (28.0% each), pneumonia and somnolence (20.0% each), sinusitis, otitis media, diarrhoea, cough, and pyrexia (16.0% each), and bronchitis, constipation, nasal congestion, rash, irritability, and decreased appetite (12.0% each).</w:t>
      </w:r>
      <w:r w:rsidR="00FE0563" w:rsidRPr="00722821" w:rsidDel="00C03B1D">
        <w:t xml:space="preserve"> </w:t>
      </w:r>
      <w:r w:rsidR="00FE0563" w:rsidRPr="00722821">
        <w:t>The frequency, type and severity of these adverse reactions were similar to that in children 4 years of age and older, adolescents and adult</w:t>
      </w:r>
      <w:r w:rsidR="003668C4" w:rsidRPr="00722821">
        <w:t>s</w:t>
      </w:r>
      <w:r w:rsidR="00FE0563" w:rsidRPr="00722821">
        <w:t xml:space="preserve">. Age characterisation in patients less than 4 years </w:t>
      </w:r>
      <w:r w:rsidR="001D641F" w:rsidRPr="00722821">
        <w:t>was</w:t>
      </w:r>
      <w:r w:rsidR="00FE0563" w:rsidRPr="00722821">
        <w:t xml:space="preserve"> not identified in the limited safety database due to </w:t>
      </w:r>
      <w:r w:rsidR="003668C4" w:rsidRPr="00722821">
        <w:t xml:space="preserve">the </w:t>
      </w:r>
      <w:r w:rsidR="00FE0563" w:rsidRPr="00722821">
        <w:t>small number of patients in the study.</w:t>
      </w:r>
    </w:p>
    <w:p w14:paraId="129F87CB" w14:textId="77777777" w:rsidR="00946012" w:rsidRDefault="00946012" w:rsidP="000A05F2">
      <w:pPr>
        <w:pStyle w:val="BodyText"/>
        <w:rPr>
          <w:szCs w:val="24"/>
        </w:rPr>
      </w:pPr>
    </w:p>
    <w:p w14:paraId="6F25154E" w14:textId="7D16BA05" w:rsidR="009E4DCF" w:rsidRPr="009E4DCF" w:rsidRDefault="009E4DCF" w:rsidP="00C110CB">
      <w:pPr>
        <w:pStyle w:val="Heading3"/>
      </w:pPr>
      <w:r w:rsidRPr="009E4DCF">
        <w:t>Repo</w:t>
      </w:r>
      <w:r>
        <w:t>rting suspected adverse effects</w:t>
      </w:r>
    </w:p>
    <w:p w14:paraId="4853F4B6" w14:textId="41420433" w:rsidR="009E4DCF" w:rsidRDefault="009E4DCF" w:rsidP="009E4DCF">
      <w:pPr>
        <w:pStyle w:val="BodyText"/>
        <w:rPr>
          <w:szCs w:val="24"/>
        </w:rPr>
      </w:pPr>
      <w:r w:rsidRPr="009E4DCF">
        <w:rPr>
          <w:szCs w:val="24"/>
        </w:rPr>
        <w:t xml:space="preserve">Reporting suspected adverse reactions after registration of the medicinal product is important. It allows continued monitoring of the benefit-risk balance of the medicinal product. Healthcare professionals are asked to report any suspected adverse reactions at </w:t>
      </w:r>
      <w:hyperlink r:id="rId10" w:history="1">
        <w:r w:rsidRPr="000D7C5E">
          <w:rPr>
            <w:rStyle w:val="Hyperlink"/>
            <w:szCs w:val="24"/>
          </w:rPr>
          <w:t>http://www.tga.gov.au/reporting-problems</w:t>
        </w:r>
      </w:hyperlink>
      <w:r>
        <w:rPr>
          <w:szCs w:val="24"/>
        </w:rPr>
        <w:t>.</w:t>
      </w:r>
    </w:p>
    <w:p w14:paraId="7B8474CF" w14:textId="77777777" w:rsidR="009E4DCF" w:rsidRPr="00722821" w:rsidRDefault="009E4DCF" w:rsidP="009E4DCF">
      <w:pPr>
        <w:pStyle w:val="BodyText"/>
        <w:rPr>
          <w:szCs w:val="24"/>
        </w:rPr>
      </w:pPr>
    </w:p>
    <w:p w14:paraId="129F87CC" w14:textId="57A7E493" w:rsidR="00E52433" w:rsidRPr="00722821" w:rsidRDefault="00252BBC" w:rsidP="008F0175">
      <w:pPr>
        <w:pStyle w:val="Heading2"/>
      </w:pPr>
      <w:bookmarkStart w:id="8" w:name="_Ref506279239"/>
      <w:r w:rsidRPr="00722821">
        <w:t>Overdose</w:t>
      </w:r>
      <w:bookmarkEnd w:id="8"/>
    </w:p>
    <w:p w14:paraId="129F87CD" w14:textId="77777777" w:rsidR="008F0175" w:rsidRPr="00722821" w:rsidRDefault="008F0175" w:rsidP="008F0175">
      <w:pPr>
        <w:pStyle w:val="BodyText"/>
      </w:pPr>
      <w:r w:rsidRPr="00722821">
        <w:t>For information on the management of overdose, contact the Poison Information Centre on 131126 (Australia).</w:t>
      </w:r>
    </w:p>
    <w:p w14:paraId="129F87CE" w14:textId="77777777" w:rsidR="002A69DF" w:rsidRPr="00722821" w:rsidRDefault="002A69DF" w:rsidP="00864522">
      <w:pPr>
        <w:pStyle w:val="BodyText"/>
      </w:pPr>
    </w:p>
    <w:p w14:paraId="129F87CF" w14:textId="7647D38A" w:rsidR="002A69DF" w:rsidRPr="00722821" w:rsidRDefault="002A69DF" w:rsidP="00864522">
      <w:pPr>
        <w:pStyle w:val="BodyText"/>
      </w:pPr>
      <w:r w:rsidRPr="00722821">
        <w:t xml:space="preserve">There is no specific antidote for </w:t>
      </w:r>
      <w:r w:rsidR="005E658B" w:rsidRPr="00722821">
        <w:t>INOVELON</w:t>
      </w:r>
      <w:r w:rsidRPr="00722821">
        <w:t>.  Treatment should be supportive and may include haemodialysis (</w:t>
      </w:r>
      <w:r w:rsidR="00252BBC" w:rsidRPr="00722821">
        <w:t>see Section </w:t>
      </w:r>
      <w:r w:rsidR="00252BBC" w:rsidRPr="00722821">
        <w:fldChar w:fldCharType="begin"/>
      </w:r>
      <w:r w:rsidR="00252BBC" w:rsidRPr="00722821">
        <w:instrText xml:space="preserve"> REF _Ref506278832 \r \h </w:instrText>
      </w:r>
      <w:r w:rsidR="00252BBC" w:rsidRPr="00722821">
        <w:fldChar w:fldCharType="separate"/>
      </w:r>
      <w:r w:rsidR="00252BBC" w:rsidRPr="00722821">
        <w:t>5.2</w:t>
      </w:r>
      <w:r w:rsidR="00252BBC" w:rsidRPr="00722821">
        <w:fldChar w:fldCharType="end"/>
      </w:r>
      <w:r w:rsidR="00AA2766">
        <w:t xml:space="preserve"> Pharmacokinetic properties</w:t>
      </w:r>
      <w:r w:rsidRPr="00722821">
        <w:t>).</w:t>
      </w:r>
    </w:p>
    <w:p w14:paraId="129F87D0" w14:textId="77777777" w:rsidR="002A69DF" w:rsidRPr="00722821" w:rsidRDefault="002A69DF" w:rsidP="00864522">
      <w:pPr>
        <w:pStyle w:val="BodyText"/>
      </w:pPr>
    </w:p>
    <w:p w14:paraId="129F87D1" w14:textId="77777777" w:rsidR="002A69DF" w:rsidRPr="00722821" w:rsidRDefault="002A69DF" w:rsidP="00864522">
      <w:pPr>
        <w:pStyle w:val="BodyText"/>
      </w:pPr>
      <w:r w:rsidRPr="00722821">
        <w:t xml:space="preserve">Multiple dosing of 7,200 mg/day was associated with no major signs or symptoms. </w:t>
      </w:r>
    </w:p>
    <w:p w14:paraId="129F87D2" w14:textId="77777777" w:rsidR="008F0175" w:rsidRPr="00722821" w:rsidRDefault="008F0175" w:rsidP="00864522">
      <w:pPr>
        <w:pStyle w:val="BodyText"/>
      </w:pPr>
    </w:p>
    <w:p w14:paraId="129F87D3" w14:textId="77777777" w:rsidR="008F0175" w:rsidRPr="00722821" w:rsidRDefault="008F0175" w:rsidP="008C4BD9">
      <w:pPr>
        <w:pStyle w:val="Heading1"/>
        <w:ind w:left="431" w:hanging="431"/>
      </w:pPr>
      <w:r w:rsidRPr="00722821">
        <w:t>Pharmacological properties</w:t>
      </w:r>
    </w:p>
    <w:p w14:paraId="129F87D4" w14:textId="77777777" w:rsidR="008F0175" w:rsidRPr="00722821" w:rsidRDefault="008F0175" w:rsidP="008C4BD9">
      <w:pPr>
        <w:pStyle w:val="Heading2"/>
        <w:ind w:left="578" w:hanging="578"/>
      </w:pPr>
      <w:bookmarkStart w:id="9" w:name="_Ref513814776"/>
      <w:r w:rsidRPr="00722821">
        <w:t>Pharmacodynamic properties</w:t>
      </w:r>
      <w:bookmarkEnd w:id="9"/>
      <w:r w:rsidRPr="00722821">
        <w:t xml:space="preserve"> </w:t>
      </w:r>
    </w:p>
    <w:p w14:paraId="129F87D5" w14:textId="77777777" w:rsidR="008E1523" w:rsidRPr="00722821" w:rsidRDefault="008E1523" w:rsidP="00C110CB">
      <w:pPr>
        <w:pStyle w:val="BodyText"/>
        <w:keepNext/>
      </w:pPr>
      <w:r w:rsidRPr="00722821">
        <w:t>Pharmacotherapeutic group: antiepileptics, carboxamide derivatives; ATC code: N03AF03.</w:t>
      </w:r>
    </w:p>
    <w:p w14:paraId="129F87D6" w14:textId="77777777" w:rsidR="008E1523" w:rsidRPr="00722821" w:rsidRDefault="008E1523" w:rsidP="008E1523">
      <w:pPr>
        <w:pStyle w:val="BodyText"/>
      </w:pPr>
    </w:p>
    <w:p w14:paraId="129F87D7" w14:textId="77777777" w:rsidR="008F0175" w:rsidRPr="00722821" w:rsidRDefault="008F0175" w:rsidP="008F0175">
      <w:pPr>
        <w:pStyle w:val="Heading3"/>
      </w:pPr>
      <w:r w:rsidRPr="00722821">
        <w:t>Mechanism of action</w:t>
      </w:r>
    </w:p>
    <w:p w14:paraId="129F87D8" w14:textId="77777777" w:rsidR="008E1523" w:rsidRPr="00722821" w:rsidRDefault="008E1523" w:rsidP="008E1523">
      <w:pPr>
        <w:pStyle w:val="BodyText"/>
      </w:pPr>
      <w:r w:rsidRPr="00722821">
        <w:t>Rufinamide modulates the activity of sodium channels, prolonging their inactive state. Rufinamide is active in a range of animal models of epilepsy.</w:t>
      </w:r>
    </w:p>
    <w:p w14:paraId="129F87D9" w14:textId="77777777" w:rsidR="00864522" w:rsidRPr="00722821" w:rsidRDefault="00864522" w:rsidP="00864522">
      <w:pPr>
        <w:pStyle w:val="BodyText"/>
      </w:pPr>
    </w:p>
    <w:p w14:paraId="129F87DA" w14:textId="77777777" w:rsidR="008F0175" w:rsidRPr="00722821" w:rsidRDefault="008F0175" w:rsidP="008F0175">
      <w:pPr>
        <w:pStyle w:val="Heading3"/>
      </w:pPr>
      <w:r w:rsidRPr="00722821">
        <w:t>Clinical trials</w:t>
      </w:r>
    </w:p>
    <w:p w14:paraId="129F87DB" w14:textId="0FD89AF3" w:rsidR="008E1523" w:rsidRPr="00722821" w:rsidRDefault="008E1523" w:rsidP="008E1523">
      <w:pPr>
        <w:pStyle w:val="BodyText"/>
      </w:pPr>
      <w:r w:rsidRPr="00722821">
        <w:t xml:space="preserve">INOVELON (rufinamide tablets) was administered in a double blind, placebo-controlled study, at total daily doses of up to 45 mg/kg/day in 2 divided doses for 84 days, to 139 patients with inadequately controlled seizures associated with Lennox-Gastaut Syndrome (including both atypical absence seizures and drop attacks). Male or female patients (between 4 and 30 years of age) were included if they were being treated with 1 to 3 concomitant fixed-dose antiepileptic medicinal products; a minimum of 90 seizures in the month before the 28-day baseline period; an EEG within 6 months of study entry demonstrating a pattern of slow spike-and-wave complexes (2.5 Hz); a weight of at least 18 kg; and a CT scan or MRI study confirming the absence of a progressive lesion.  All seizures were classified according to the International League </w:t>
      </w:r>
      <w:proofErr w:type="gramStart"/>
      <w:r w:rsidRPr="00722821">
        <w:t>Against</w:t>
      </w:r>
      <w:proofErr w:type="gramEnd"/>
      <w:r w:rsidRPr="00722821">
        <w:t xml:space="preserve"> Epilepsy Revised Classification of Seizures. Because it is difficult for caregivers to precisely separate tonic and atonic seizures, the international expert panel of child neurologists agreed to group these seizure types and call them tonic–atonic seizures or “drop attacks”. As such, drop attacks were used as one of the primary end points.  A significant improvement was observed for all three primary variables: the percentage change in total seizure frequency per 28 days during the maintenance phase relative to baseline (-35.8% on INOVELON vs. –1.6% on placebo, p= 0.0006), the number of tonic-atonic seizures (-42.9% on INOVELON vs. 2.2% on placebo, p = 0.0002), and the seizure severity rating from the Global Evaluation performed by the parent/guardian at the end of the double-blind phase (much or very much improved in 32.2% on INOVELON vs. 14.5% on the placebo arm, p=0.0041).</w:t>
      </w:r>
    </w:p>
    <w:p w14:paraId="129F87DC" w14:textId="77777777" w:rsidR="008E1523" w:rsidRPr="00722821" w:rsidRDefault="008E1523" w:rsidP="008E1523">
      <w:pPr>
        <w:pStyle w:val="BodyText"/>
      </w:pPr>
    </w:p>
    <w:p w14:paraId="129F87DD" w14:textId="26504C6C" w:rsidR="008E1523" w:rsidRPr="00722821" w:rsidRDefault="008E1523" w:rsidP="008E1523">
      <w:pPr>
        <w:pStyle w:val="BodyText"/>
      </w:pPr>
      <w:r w:rsidRPr="00722821">
        <w:t>Additionally, INOVELON was administered in a multicentre, open-label study comparing the addition of INOVELON to the addition of any other AED of the investigator’s choice to the existing regimen of 1 to 3 AEDs in paediatric patients, 1 to less than 4 years of age with inadequately controlled LGS. In this study, 25 patients were exposed to INOVELON as adjunctive therapy for 24 weeks at a total daily dose of up to 45 mg/kg/day, in 2 divided doses.  A total of 12 patients received any-other AED at the investigator’s discretion in the control arm. The study was mainly designed for safety and not adequately powered to show a difference with regards to the seizure efficacy variables. The adverse event profile was similar to that in children 4 years of age and older, adolescents, and adults.  In addition, the study investigated the cognitive development, behaviour, and language development of subjects treated with INOVELON compared to subjects receiving any-other-AED.  The Least Square mean change of the Child Behaviour Checklist (CBCL) Total Problems score after 2 years of treatment were 53.75 for the any other AED group and 56.35 for the INOVELON group (LS mean difference [95% CI] +2.60 [-10.5,15.7]; P=0.6928), and the difference between treatments was -2.776 (95% CI: -13.3, 7.8, P=0.5939).  However, due to the limitations of the available data the study was inconclusive in respect of efficacy.</w:t>
      </w:r>
      <w:r w:rsidR="007736BE" w:rsidRPr="00722821">
        <w:t xml:space="preserve"> </w:t>
      </w:r>
    </w:p>
    <w:p w14:paraId="129F87DE" w14:textId="77777777" w:rsidR="008E1523" w:rsidRPr="00722821" w:rsidRDefault="008E1523" w:rsidP="008E1523">
      <w:pPr>
        <w:pStyle w:val="BodyText"/>
      </w:pPr>
    </w:p>
    <w:p w14:paraId="129F87DF" w14:textId="77777777" w:rsidR="008E1523" w:rsidRPr="00722821" w:rsidRDefault="008E1523" w:rsidP="008E1523">
      <w:pPr>
        <w:pStyle w:val="BodyText"/>
      </w:pPr>
      <w:r w:rsidRPr="00722821">
        <w:lastRenderedPageBreak/>
        <w:t>Population pharmacokinetic/pharmacodynamic modelling demonstrated that the reduction of total and tonic-atonic seizure frequencies, the improvement of the global evaluation of seizure severity and the increase in probability of reduction of seizure frequency were dependent on rufinamide concentrations.</w:t>
      </w:r>
    </w:p>
    <w:p w14:paraId="129F87E0" w14:textId="77777777" w:rsidR="008F0175" w:rsidRPr="00722821" w:rsidRDefault="008F0175" w:rsidP="008E1523">
      <w:pPr>
        <w:pStyle w:val="BodyText"/>
      </w:pPr>
    </w:p>
    <w:p w14:paraId="129F87E1" w14:textId="77777777" w:rsidR="008F0175" w:rsidRPr="00722821" w:rsidRDefault="008F0175" w:rsidP="008F0175">
      <w:pPr>
        <w:pStyle w:val="Heading2"/>
        <w:ind w:left="578" w:hanging="578"/>
      </w:pPr>
      <w:bookmarkStart w:id="10" w:name="_Ref506278832"/>
      <w:r w:rsidRPr="00722821">
        <w:t>Pharmacokinetic properties</w:t>
      </w:r>
      <w:bookmarkEnd w:id="10"/>
      <w:r w:rsidRPr="00722821">
        <w:t xml:space="preserve"> </w:t>
      </w:r>
    </w:p>
    <w:p w14:paraId="129F87E2" w14:textId="77777777" w:rsidR="008E1523" w:rsidRPr="00722821" w:rsidRDefault="008E1523" w:rsidP="008E1523">
      <w:pPr>
        <w:pStyle w:val="Heading3"/>
      </w:pPr>
      <w:r w:rsidRPr="00722821">
        <w:t>Absorption</w:t>
      </w:r>
    </w:p>
    <w:p w14:paraId="129F87E3" w14:textId="71908646" w:rsidR="008E1523" w:rsidRPr="00722821" w:rsidRDefault="008E1523" w:rsidP="008E1523">
      <w:pPr>
        <w:pStyle w:val="BodyText"/>
      </w:pPr>
      <w:r w:rsidRPr="00722821">
        <w:t>Maximum plasma levels are reached approximately 6 hours after administration.  Peak concentration (C</w:t>
      </w:r>
      <w:r w:rsidRPr="00722821">
        <w:rPr>
          <w:vertAlign w:val="subscript"/>
        </w:rPr>
        <w:t>max</w:t>
      </w:r>
      <w:r w:rsidRPr="00722821">
        <w:t xml:space="preserve">) and plasma AUC of rufinamide increase less than proportionally with dose in both fasted and fed healthy subjects and in patients, probably due to dose-limited absorption behaviour.  After single doses, food increases the bioavailability (AUC) of rufinamide by approximately 34% and the peak plasma concentration by 56%. </w:t>
      </w:r>
    </w:p>
    <w:p w14:paraId="129F87E4" w14:textId="77777777" w:rsidR="008E1523" w:rsidRPr="00722821" w:rsidRDefault="008E1523" w:rsidP="008E1523">
      <w:pPr>
        <w:pStyle w:val="BodyText"/>
        <w:rPr>
          <w:szCs w:val="24"/>
        </w:rPr>
      </w:pPr>
    </w:p>
    <w:p w14:paraId="129F87E5" w14:textId="77777777" w:rsidR="008E1523" w:rsidRPr="00722821" w:rsidRDefault="008E1523" w:rsidP="008E1523">
      <w:pPr>
        <w:pStyle w:val="Heading3"/>
      </w:pPr>
      <w:r w:rsidRPr="00722821">
        <w:t>Distribution</w:t>
      </w:r>
    </w:p>
    <w:p w14:paraId="129F87E6" w14:textId="77777777" w:rsidR="008E1523" w:rsidRPr="00722821" w:rsidRDefault="008E1523" w:rsidP="008E1523">
      <w:pPr>
        <w:pStyle w:val="BodyText"/>
      </w:pPr>
      <w:r w:rsidRPr="00722821">
        <w:t xml:space="preserve">In </w:t>
      </w:r>
      <w:r w:rsidRPr="00722821">
        <w:rPr>
          <w:i/>
          <w:iCs/>
        </w:rPr>
        <w:t>in-vitro</w:t>
      </w:r>
      <w:r w:rsidRPr="00722821">
        <w:t xml:space="preserve"> studies, only a small fraction of rufinamide (34%) was bound to human serum proteins with albumin accounting for approximately 80% of this binding.  This indicates minimal risk of drug</w:t>
      </w:r>
      <w:r w:rsidRPr="00722821">
        <w:noBreakHyphen/>
        <w:t>drug interactions by displacement from binding sites during concomitant administration of other substances. Rufinamide was evenly distributed between erythrocytes and plasma.</w:t>
      </w:r>
    </w:p>
    <w:p w14:paraId="129F87E7" w14:textId="77777777" w:rsidR="008E1523" w:rsidRPr="00722821" w:rsidRDefault="008E1523" w:rsidP="008E1523">
      <w:pPr>
        <w:pStyle w:val="BodyText"/>
        <w:rPr>
          <w:szCs w:val="24"/>
        </w:rPr>
      </w:pPr>
    </w:p>
    <w:p w14:paraId="129F87E8" w14:textId="77777777" w:rsidR="008E1523" w:rsidRPr="00722821" w:rsidRDefault="008E1523" w:rsidP="008E1523">
      <w:pPr>
        <w:pStyle w:val="Heading3"/>
      </w:pPr>
      <w:r w:rsidRPr="00722821">
        <w:t>Metabolism</w:t>
      </w:r>
    </w:p>
    <w:p w14:paraId="129F87E9" w14:textId="77777777" w:rsidR="008E1523" w:rsidRPr="00722821" w:rsidRDefault="008E1523" w:rsidP="008E1523">
      <w:pPr>
        <w:pStyle w:val="BodyText"/>
      </w:pPr>
      <w:r w:rsidRPr="00722821">
        <w:t>Rufinamide is almost exclusively eliminated by metabolism.  The main pathway of metabolism is hydrolysis of the carboxylamide group to the pharmacologically inactive acid derivative CGP 47292.  Cytochrome P450-mediated metabolism is very minor. The formation of small amounts of glutathione conjugates cannot be completely excluded.</w:t>
      </w:r>
    </w:p>
    <w:p w14:paraId="129F87EA" w14:textId="77777777" w:rsidR="008E1523" w:rsidRPr="00722821" w:rsidRDefault="008E1523" w:rsidP="008E1523">
      <w:pPr>
        <w:pStyle w:val="BodyText"/>
      </w:pPr>
    </w:p>
    <w:p w14:paraId="129F87EB" w14:textId="77777777" w:rsidR="008E1523" w:rsidRPr="00722821" w:rsidRDefault="008E1523" w:rsidP="008E1523">
      <w:pPr>
        <w:pStyle w:val="BodyText"/>
      </w:pPr>
      <w:r w:rsidRPr="00722821">
        <w:t xml:space="preserve">Rufinamide has demonstrated little or no significant capacity </w:t>
      </w:r>
      <w:r w:rsidRPr="00722821">
        <w:rPr>
          <w:i/>
        </w:rPr>
        <w:t>in-vitro</w:t>
      </w:r>
      <w:r w:rsidRPr="00722821">
        <w:t xml:space="preserve"> to act as a competitive or mechanism-based inhibitor of the following human P450 enzymes: CYP1A2, CYP2A6, CYP2C9, CYP2C19, CYP2D6, CYP2E1, CYP3A4/5 or CYP4A9/11-2.  </w:t>
      </w:r>
    </w:p>
    <w:p w14:paraId="129F87EC" w14:textId="77777777" w:rsidR="008E1523" w:rsidRPr="00722821" w:rsidRDefault="008E1523" w:rsidP="008E1523">
      <w:pPr>
        <w:pStyle w:val="BodyText"/>
        <w:rPr>
          <w:szCs w:val="24"/>
        </w:rPr>
      </w:pPr>
    </w:p>
    <w:p w14:paraId="129F87ED" w14:textId="77777777" w:rsidR="008E1523" w:rsidRPr="00722821" w:rsidRDefault="008E1523" w:rsidP="008E1523">
      <w:pPr>
        <w:pStyle w:val="Heading3"/>
      </w:pPr>
      <w:r w:rsidRPr="00722821">
        <w:t>Excretion</w:t>
      </w:r>
    </w:p>
    <w:p w14:paraId="129F87EE" w14:textId="77777777" w:rsidR="008E1523" w:rsidRPr="00722821" w:rsidRDefault="008E1523" w:rsidP="008E1523">
      <w:pPr>
        <w:pStyle w:val="BodyText"/>
      </w:pPr>
      <w:r w:rsidRPr="00722821">
        <w:t xml:space="preserve">The plasma elimination half-life is approximately 6-10 hours in healthy subjects and patients with epilepsy. When given twice daily at 12-hourly intervals, rufinamide accumulates to the extent predicted by its terminal half-life, indicating that the pharmacokinetics of rufinamide are time-independent (i.e. no autoinduction of metabolism).  </w:t>
      </w:r>
    </w:p>
    <w:p w14:paraId="129F87EF" w14:textId="77777777" w:rsidR="008E1523" w:rsidRPr="00722821" w:rsidRDefault="008E1523" w:rsidP="008E1523">
      <w:pPr>
        <w:pStyle w:val="BodyText"/>
      </w:pPr>
    </w:p>
    <w:p w14:paraId="129F87F0" w14:textId="77777777" w:rsidR="008E1523" w:rsidRPr="00722821" w:rsidRDefault="008E1523" w:rsidP="008E1523">
      <w:pPr>
        <w:pStyle w:val="BodyText"/>
      </w:pPr>
      <w:r w:rsidRPr="00722821">
        <w:t xml:space="preserve">In a radiotracer study in three healthy volunteers, the parent compound (rufinamide) was the main radioactive component in plasma, representing about 80% of the total radioactivity, and the metabolite CGP 47292 constituting only about 15%.  Renal excretion was the </w:t>
      </w:r>
      <w:r w:rsidRPr="00722821">
        <w:lastRenderedPageBreak/>
        <w:t xml:space="preserve">predominant route of elimination for active substance related material, accounting for 84.7% of the dose. </w:t>
      </w:r>
    </w:p>
    <w:p w14:paraId="129F87F1" w14:textId="77777777" w:rsidR="008E1523" w:rsidRPr="00722821" w:rsidRDefault="008E1523" w:rsidP="008E1523">
      <w:pPr>
        <w:pStyle w:val="BodyText"/>
        <w:rPr>
          <w:szCs w:val="24"/>
        </w:rPr>
      </w:pPr>
    </w:p>
    <w:p w14:paraId="129F87F2" w14:textId="77777777" w:rsidR="008E1523" w:rsidRPr="00722821" w:rsidRDefault="008E1523" w:rsidP="008E1523">
      <w:pPr>
        <w:pStyle w:val="Heading3"/>
      </w:pPr>
      <w:r w:rsidRPr="00722821">
        <w:t>Linearity/non-linearity</w:t>
      </w:r>
    </w:p>
    <w:p w14:paraId="129F87F3" w14:textId="77777777" w:rsidR="008E1523" w:rsidRPr="00722821" w:rsidRDefault="008E1523" w:rsidP="008E1523">
      <w:pPr>
        <w:pStyle w:val="Heading4"/>
      </w:pPr>
      <w:r w:rsidRPr="00722821">
        <w:t>Dose proportionality</w:t>
      </w:r>
    </w:p>
    <w:p w14:paraId="129F87F4" w14:textId="77777777" w:rsidR="008E1523" w:rsidRPr="00722821" w:rsidRDefault="008E1523" w:rsidP="008E1523">
      <w:pPr>
        <w:pStyle w:val="BodyText"/>
      </w:pPr>
      <w:r w:rsidRPr="00722821">
        <w:t xml:space="preserve">The bioavailability of rufinamide is dependent on dose. As dose increases, the bioavailability decreases. </w:t>
      </w:r>
    </w:p>
    <w:p w14:paraId="129F87F8" w14:textId="77777777" w:rsidR="008E1523" w:rsidRPr="00722821" w:rsidRDefault="008E1523" w:rsidP="008E1523">
      <w:pPr>
        <w:pStyle w:val="BodyText"/>
      </w:pPr>
    </w:p>
    <w:p w14:paraId="129F87F9" w14:textId="77777777" w:rsidR="008E1523" w:rsidRPr="00722821" w:rsidRDefault="008E1523" w:rsidP="000A05F2">
      <w:pPr>
        <w:pStyle w:val="Heading3"/>
      </w:pPr>
      <w:r w:rsidRPr="00722821">
        <w:t>Special populations</w:t>
      </w:r>
    </w:p>
    <w:p w14:paraId="129F87FA" w14:textId="77777777" w:rsidR="008E1523" w:rsidRPr="00722821" w:rsidRDefault="008E1523" w:rsidP="000A05F2">
      <w:pPr>
        <w:pStyle w:val="Heading4"/>
      </w:pPr>
      <w:r w:rsidRPr="00722821">
        <w:t>Hepatic impairment</w:t>
      </w:r>
    </w:p>
    <w:p w14:paraId="129F87FB" w14:textId="7EDD08E6" w:rsidR="008E1523" w:rsidRPr="00722821" w:rsidRDefault="008E1523" w:rsidP="008E1523">
      <w:pPr>
        <w:pStyle w:val="BodyText"/>
      </w:pPr>
      <w:r w:rsidRPr="00722821">
        <w:t xml:space="preserve">No studies have been performed in patients with hepatic impairment. </w:t>
      </w:r>
      <w:r w:rsidRPr="00722821">
        <w:rPr>
          <w:lang w:eastAsia="en-GB"/>
        </w:rPr>
        <w:t>Caution and careful dose titration is recommended when</w:t>
      </w:r>
      <w:r w:rsidRPr="00722821">
        <w:t xml:space="preserve"> treating patients with mild to moderate hepatic impairment. </w:t>
      </w:r>
      <w:r w:rsidR="00412492" w:rsidRPr="00722821">
        <w:t>INOVELON</w:t>
      </w:r>
      <w:r w:rsidR="00412492" w:rsidRPr="00722821">
        <w:rPr>
          <w:lang w:eastAsia="en-GB"/>
        </w:rPr>
        <w:t xml:space="preserve"> </w:t>
      </w:r>
      <w:r w:rsidR="00412492">
        <w:rPr>
          <w:lang w:eastAsia="en-GB"/>
        </w:rPr>
        <w:t>should not be used</w:t>
      </w:r>
      <w:r w:rsidR="00412492" w:rsidRPr="00722821">
        <w:rPr>
          <w:lang w:eastAsia="en-GB"/>
        </w:rPr>
        <w:t xml:space="preserve"> </w:t>
      </w:r>
      <w:r w:rsidRPr="00722821">
        <w:rPr>
          <w:lang w:eastAsia="en-GB"/>
        </w:rPr>
        <w:t xml:space="preserve">in patients with severe hepatic impairment </w:t>
      </w:r>
      <w:r w:rsidRPr="00722821">
        <w:t>(</w:t>
      </w:r>
      <w:r w:rsidR="00252BBC" w:rsidRPr="00722821">
        <w:t>see Section </w:t>
      </w:r>
      <w:r w:rsidR="00252BBC" w:rsidRPr="00722821">
        <w:fldChar w:fldCharType="begin"/>
      </w:r>
      <w:r w:rsidR="00252BBC" w:rsidRPr="00722821">
        <w:instrText xml:space="preserve"> REF _Ref506279103 \r \h </w:instrText>
      </w:r>
      <w:r w:rsidR="00252BBC" w:rsidRPr="00722821">
        <w:fldChar w:fldCharType="separate"/>
      </w:r>
      <w:r w:rsidR="00252BBC" w:rsidRPr="00722821">
        <w:t>4.2</w:t>
      </w:r>
      <w:r w:rsidR="00252BBC" w:rsidRPr="00722821">
        <w:fldChar w:fldCharType="end"/>
      </w:r>
      <w:r w:rsidR="00AA2766">
        <w:t xml:space="preserve"> Dose and method of administration</w:t>
      </w:r>
      <w:r w:rsidRPr="00722821">
        <w:t xml:space="preserve">). </w:t>
      </w:r>
    </w:p>
    <w:p w14:paraId="129F87FC" w14:textId="77777777" w:rsidR="008E1523" w:rsidRPr="00722821" w:rsidRDefault="008E1523" w:rsidP="008E1523">
      <w:pPr>
        <w:pStyle w:val="BodyText"/>
        <w:rPr>
          <w:i/>
          <w:iCs/>
        </w:rPr>
      </w:pPr>
    </w:p>
    <w:p w14:paraId="129F87FD" w14:textId="77777777" w:rsidR="008E1523" w:rsidRPr="00722821" w:rsidRDefault="008E1523" w:rsidP="000A05F2">
      <w:pPr>
        <w:pStyle w:val="Heading4"/>
      </w:pPr>
      <w:r w:rsidRPr="00722821">
        <w:t>Renal impairment</w:t>
      </w:r>
    </w:p>
    <w:p w14:paraId="129F87FE" w14:textId="430DE95F" w:rsidR="008E1523" w:rsidRPr="00722821" w:rsidRDefault="008E1523" w:rsidP="008E1523">
      <w:pPr>
        <w:pStyle w:val="BodyText"/>
      </w:pPr>
      <w:r w:rsidRPr="00722821">
        <w:t>The pharmacokinetics of a single 400 mg dose of INOVELON was not altered in subjects with chronic and severe renal failure compared to healthy volunteers. However, plasma levels were reduced by approximately 30% when haemodialysis was applied after administration of INOVELON, suggesting that this may be a useful procedure in case of overdose (</w:t>
      </w:r>
      <w:r w:rsidR="00252BBC" w:rsidRPr="00722821">
        <w:t>see Section </w:t>
      </w:r>
      <w:r w:rsidR="00252BBC" w:rsidRPr="00722821">
        <w:fldChar w:fldCharType="begin"/>
      </w:r>
      <w:r w:rsidR="00252BBC" w:rsidRPr="00722821">
        <w:instrText xml:space="preserve"> REF _Ref506279103 \r \h </w:instrText>
      </w:r>
      <w:r w:rsidR="00252BBC" w:rsidRPr="00722821">
        <w:fldChar w:fldCharType="separate"/>
      </w:r>
      <w:r w:rsidR="00252BBC" w:rsidRPr="00722821">
        <w:t>4.2</w:t>
      </w:r>
      <w:r w:rsidR="00252BBC" w:rsidRPr="00722821">
        <w:fldChar w:fldCharType="end"/>
      </w:r>
      <w:r w:rsidR="00AA2766">
        <w:t xml:space="preserve"> Dose and method of administration </w:t>
      </w:r>
      <w:r w:rsidRPr="00722821">
        <w:t xml:space="preserve">and </w:t>
      </w:r>
      <w:r w:rsidR="00252BBC" w:rsidRPr="00722821">
        <w:t>Section</w:t>
      </w:r>
      <w:r w:rsidR="00B74BCA" w:rsidRPr="00722821">
        <w:t> </w:t>
      </w:r>
      <w:r w:rsidR="00252BBC" w:rsidRPr="00722821">
        <w:fldChar w:fldCharType="begin"/>
      </w:r>
      <w:r w:rsidR="00252BBC" w:rsidRPr="00722821">
        <w:instrText xml:space="preserve"> REF _Ref506279239 \r \h </w:instrText>
      </w:r>
      <w:r w:rsidR="00252BBC" w:rsidRPr="00722821">
        <w:fldChar w:fldCharType="separate"/>
      </w:r>
      <w:r w:rsidR="00252BBC" w:rsidRPr="00722821">
        <w:t>4.9</w:t>
      </w:r>
      <w:r w:rsidR="00252BBC" w:rsidRPr="00722821">
        <w:fldChar w:fldCharType="end"/>
      </w:r>
      <w:r w:rsidR="00AA2766">
        <w:t xml:space="preserve"> Overdose</w:t>
      </w:r>
      <w:r w:rsidRPr="00722821">
        <w:t>).</w:t>
      </w:r>
    </w:p>
    <w:p w14:paraId="129F87FF" w14:textId="77777777" w:rsidR="008E1523" w:rsidRPr="00722821" w:rsidRDefault="008E1523" w:rsidP="008E1523">
      <w:pPr>
        <w:pStyle w:val="BodyText"/>
        <w:rPr>
          <w:i/>
          <w:iCs/>
        </w:rPr>
      </w:pPr>
    </w:p>
    <w:p w14:paraId="129F8800" w14:textId="77777777" w:rsidR="008E1523" w:rsidRPr="00722821" w:rsidRDefault="008E1523" w:rsidP="000A05F2">
      <w:pPr>
        <w:pStyle w:val="Heading4"/>
      </w:pPr>
      <w:r w:rsidRPr="00722821">
        <w:t>Age, sex, weight, race</w:t>
      </w:r>
    </w:p>
    <w:p w14:paraId="129F8801" w14:textId="77777777" w:rsidR="008E1523" w:rsidRPr="00722821" w:rsidRDefault="008E1523" w:rsidP="008E1523">
      <w:pPr>
        <w:pStyle w:val="BodyText"/>
      </w:pPr>
      <w:r w:rsidRPr="00722821">
        <w:t>Population pharmacokinetic modelling has been used to evaluate the influence of sex on the pharmacokinetics of rufinamide.  Such evaluations indicate that sex does not affect the pharmacokinetics of rufinamide to a clinically relevant extent.</w:t>
      </w:r>
    </w:p>
    <w:p w14:paraId="129F8802" w14:textId="77777777" w:rsidR="008E1523" w:rsidRPr="00722821" w:rsidRDefault="008E1523" w:rsidP="008E1523">
      <w:pPr>
        <w:pStyle w:val="BodyText"/>
      </w:pPr>
    </w:p>
    <w:p w14:paraId="129F8803" w14:textId="77777777" w:rsidR="008E1523" w:rsidRPr="00722821" w:rsidDel="004B51ED" w:rsidRDefault="008E1523" w:rsidP="008E1523">
      <w:pPr>
        <w:pStyle w:val="BodyText"/>
      </w:pPr>
      <w:r w:rsidRPr="00722821" w:rsidDel="004B51ED">
        <w:t>A pharmacokinetic study in older healthy volunteers did not show a significant difference in pharmacokinetic parameters compared with younger adults.</w:t>
      </w:r>
    </w:p>
    <w:p w14:paraId="129F8804" w14:textId="77777777" w:rsidR="008E1523" w:rsidRPr="00722821" w:rsidRDefault="008E1523" w:rsidP="008E1523">
      <w:pPr>
        <w:pStyle w:val="BodyText"/>
        <w:rPr>
          <w:i/>
          <w:iCs/>
        </w:rPr>
      </w:pPr>
    </w:p>
    <w:p w14:paraId="129F8805" w14:textId="77777777" w:rsidR="008E1523" w:rsidRPr="00722821" w:rsidRDefault="008E1523" w:rsidP="000A05F2">
      <w:pPr>
        <w:pStyle w:val="Heading4"/>
      </w:pPr>
      <w:r w:rsidRPr="00722821">
        <w:t>Paediatric Population</w:t>
      </w:r>
    </w:p>
    <w:p w14:paraId="129F8806" w14:textId="50E43119" w:rsidR="008E1523" w:rsidRPr="00722821" w:rsidRDefault="008E1523" w:rsidP="008E1523">
      <w:pPr>
        <w:pStyle w:val="BodyText"/>
      </w:pPr>
      <w:r w:rsidRPr="00722821">
        <w:t xml:space="preserve">Children generally have lower clearance of rufinamide than adults, and this difference is related to body size with rufinamide clearance increasing linearly with body weight. The population PK analysis of rufinamide on data pooled from 1182 subjects, including 287 paediatric patients (11 patients ages 1 to &lt;2 years, 19 patients ages 2 to &lt;4 years, 59 patients ages 4 to &lt;8 years, 80 patients ages 8 to &lt;12 and 118 patients ages 12 to &lt;18 years) indicated </w:t>
      </w:r>
      <w:r w:rsidRPr="00722821">
        <w:lastRenderedPageBreak/>
        <w:t>that when rufinamide is dosed on a mg/kg basis, comparable exposure is achieved in all age groups and no dose adjustment is required for paediatric patients because of age.</w:t>
      </w:r>
    </w:p>
    <w:p w14:paraId="1DA310D3" w14:textId="77777777" w:rsidR="00722821" w:rsidRPr="00722821" w:rsidRDefault="00722821" w:rsidP="008E1523">
      <w:pPr>
        <w:pStyle w:val="BodyText"/>
      </w:pPr>
    </w:p>
    <w:p w14:paraId="129F8807" w14:textId="70D7EC7F" w:rsidR="008E1523" w:rsidRPr="00722821" w:rsidRDefault="008E1523" w:rsidP="008E1523">
      <w:pPr>
        <w:pStyle w:val="BodyText"/>
      </w:pPr>
      <w:r w:rsidRPr="00722821">
        <w:t>Studies in new-born infants or infants and toddlers under 1 year of age have not been conducted.</w:t>
      </w:r>
    </w:p>
    <w:p w14:paraId="129F8808" w14:textId="77777777" w:rsidR="008F0175" w:rsidRPr="00722821" w:rsidRDefault="008F0175" w:rsidP="00864522">
      <w:pPr>
        <w:pStyle w:val="BodyText"/>
      </w:pPr>
    </w:p>
    <w:p w14:paraId="129F8809" w14:textId="77777777" w:rsidR="00864522" w:rsidRPr="00722821" w:rsidRDefault="00864522" w:rsidP="00864522">
      <w:pPr>
        <w:pStyle w:val="Heading2"/>
        <w:ind w:left="578" w:hanging="578"/>
      </w:pPr>
      <w:r w:rsidRPr="00722821">
        <w:t>Preclinical safety data</w:t>
      </w:r>
    </w:p>
    <w:p w14:paraId="129F880A" w14:textId="77777777" w:rsidR="001A1FDB" w:rsidRPr="00722821" w:rsidRDefault="001A1FDB" w:rsidP="001A1FDB">
      <w:pPr>
        <w:pStyle w:val="Heading3"/>
      </w:pPr>
      <w:r w:rsidRPr="00722821">
        <w:t>Genotoxicity</w:t>
      </w:r>
    </w:p>
    <w:p w14:paraId="129F880B" w14:textId="77777777" w:rsidR="001A1FDB" w:rsidRPr="00722821" w:rsidRDefault="001A1FDB" w:rsidP="001A1FDB">
      <w:pPr>
        <w:pStyle w:val="BodyText"/>
      </w:pPr>
      <w:r w:rsidRPr="00722821">
        <w:t>Rufinamide showed no evidence for mutagenicity in assays using bacterial or mammalian cells.  Similarly, rufinamide showed no evidence for clastogenicity in an in vitro assay with mammalian cells or in a micronucleus assay using rats.</w:t>
      </w:r>
    </w:p>
    <w:p w14:paraId="129F880C" w14:textId="77777777" w:rsidR="001A1FDB" w:rsidRPr="00722821" w:rsidRDefault="001A1FDB" w:rsidP="001A1FDB">
      <w:pPr>
        <w:pStyle w:val="BodyText"/>
      </w:pPr>
    </w:p>
    <w:p w14:paraId="129F880D" w14:textId="2E9BC082" w:rsidR="001A1FDB" w:rsidRPr="00722821" w:rsidRDefault="001A1FDB" w:rsidP="001A1FDB">
      <w:pPr>
        <w:pStyle w:val="BodyText"/>
      </w:pPr>
      <w:r w:rsidRPr="00722821">
        <w:t>These results suggest that rufinamide is not of genotoxic concern.</w:t>
      </w:r>
    </w:p>
    <w:p w14:paraId="129F8810" w14:textId="77777777" w:rsidR="001A1FDB" w:rsidRPr="00722821" w:rsidRDefault="001A1FDB" w:rsidP="001A1FDB">
      <w:pPr>
        <w:pStyle w:val="BodyText"/>
      </w:pPr>
    </w:p>
    <w:p w14:paraId="129F8811" w14:textId="77777777" w:rsidR="001A1FDB" w:rsidRPr="00722821" w:rsidRDefault="001A1FDB" w:rsidP="001A1FDB">
      <w:pPr>
        <w:pStyle w:val="Heading3"/>
      </w:pPr>
      <w:r w:rsidRPr="00722821">
        <w:t>Carcinogenicity</w:t>
      </w:r>
    </w:p>
    <w:p w14:paraId="129F8812" w14:textId="77777777" w:rsidR="001A1FDB" w:rsidRPr="00722821" w:rsidRDefault="001A1FDB" w:rsidP="001A1FDB">
      <w:pPr>
        <w:pStyle w:val="BodyText"/>
      </w:pPr>
      <w:r w:rsidRPr="00722821">
        <w:t xml:space="preserve">Mice and rats received dietary rufinamide for two years at exposure ratios up to about 2-and 4-fold, respectively.  The mouse study indicated dosing-related increases in the incidences of osteoma and of hepatocellular adenoma and carcinoma.  The osteomas were correlated with the induction of murine oncogenic viruses and the hepatic tumours with hepatic microsomal enzyme induction.  The induction of these tumours was not considered relevant to the clinical safety of rufinamide.  Male rats showed a treatment-related increase in the incidence of thyroid follicular adenomas.  This tumour is produced by an effect on the pituitary-thyroid axis and is a well-known, rat-specific phenomenon of no relevance to clinical use. </w:t>
      </w:r>
    </w:p>
    <w:p w14:paraId="129F8813" w14:textId="77777777" w:rsidR="001A1FDB" w:rsidRPr="00722821" w:rsidRDefault="001A1FDB" w:rsidP="001A1FDB">
      <w:pPr>
        <w:pStyle w:val="BodyText"/>
      </w:pPr>
    </w:p>
    <w:p w14:paraId="129F8814" w14:textId="77777777" w:rsidR="001A1FDB" w:rsidRPr="00722821" w:rsidRDefault="001A1FDB" w:rsidP="001A1FDB">
      <w:pPr>
        <w:pStyle w:val="BodyText"/>
      </w:pPr>
      <w:r w:rsidRPr="00722821">
        <w:t>These results, in combination with those for genotoxicity, suggest that rufinamide is not of carcinogenic concern for human use.</w:t>
      </w:r>
    </w:p>
    <w:p w14:paraId="129F8815" w14:textId="5A89A49D" w:rsidR="001A1FDB" w:rsidRPr="00722821" w:rsidRDefault="001A1FDB" w:rsidP="001A1FDB">
      <w:pPr>
        <w:pStyle w:val="BodyText"/>
      </w:pPr>
    </w:p>
    <w:p w14:paraId="129F8817" w14:textId="77777777" w:rsidR="000A05F2" w:rsidRPr="00C110CB" w:rsidRDefault="000A05F2" w:rsidP="000A05F2">
      <w:pPr>
        <w:pStyle w:val="Heading3"/>
      </w:pPr>
      <w:r w:rsidRPr="00C110CB">
        <w:t>Paediatric Use</w:t>
      </w:r>
    </w:p>
    <w:p w14:paraId="129F8818" w14:textId="77777777" w:rsidR="000A05F2" w:rsidRPr="00722821" w:rsidRDefault="000A05F2" w:rsidP="000A05F2">
      <w:pPr>
        <w:pStyle w:val="BodyText"/>
      </w:pPr>
      <w:r w:rsidRPr="00722821">
        <w:t xml:space="preserve">The toxicity profile of rufinamide in juvenile animals was similar to that in adult animals. Decreased body weight gain was observed in both juvenile rats and dogs.  In juvenile rats, adaptive centrilobular hepatocellular hypertrophy was observed at 150 mg/kg (exposure ratio of 2), and pituitary cytoplasmic vacuolation was observed at 50 (exposure ratio of 1) and 150 mg/kg.  These findings are unlikely to be relevant to humans.  Findings in juvenile dogs included elevated serum alanine aminotransferase values, and deposition of brown pigment in the liver.  These findings are also unlikely to be relevant to humans as hepatotoxicity and formation of insoluble metabolites has not been detected in humans.  Additional findings at 200 mg/kg in juvenile dogs in which dosing initiated at 6 weeks of age included increased liver weights and slightly lower growth measurements and food intake compared with controls.  Reversibility of all findings was demonstrated during the 4- or 10-week recovery </w:t>
      </w:r>
      <w:r w:rsidRPr="00722821">
        <w:lastRenderedPageBreak/>
        <w:t>periods.  There was no indication from the dog study that rufinamide dosing affects neural development or responses in various neurological tests.</w:t>
      </w:r>
    </w:p>
    <w:p w14:paraId="129F881A" w14:textId="77777777" w:rsidR="001A1FDB" w:rsidRPr="00722821" w:rsidRDefault="001A1FDB" w:rsidP="001A1FDB">
      <w:pPr>
        <w:pStyle w:val="BodyText"/>
      </w:pPr>
    </w:p>
    <w:p w14:paraId="129F881B" w14:textId="77777777" w:rsidR="00864522" w:rsidRPr="00722821" w:rsidRDefault="00864522" w:rsidP="00864522">
      <w:pPr>
        <w:pStyle w:val="Heading1"/>
        <w:ind w:left="431" w:hanging="431"/>
      </w:pPr>
      <w:r w:rsidRPr="00722821">
        <w:t>Pharmaceutical particulars</w:t>
      </w:r>
    </w:p>
    <w:p w14:paraId="129F881C" w14:textId="77777777" w:rsidR="00864522" w:rsidRPr="00722821" w:rsidRDefault="00864522" w:rsidP="00864522">
      <w:pPr>
        <w:pStyle w:val="Heading2"/>
        <w:ind w:left="578" w:hanging="578"/>
      </w:pPr>
      <w:bookmarkStart w:id="11" w:name="_Ref503187308"/>
      <w:r w:rsidRPr="00722821">
        <w:t>List of excipients</w:t>
      </w:r>
      <w:bookmarkEnd w:id="11"/>
      <w:r w:rsidRPr="00722821">
        <w:t xml:space="preserve"> </w:t>
      </w:r>
    </w:p>
    <w:p w14:paraId="129F881D" w14:textId="77777777" w:rsidR="008F0175" w:rsidRPr="00722821" w:rsidRDefault="008F0175" w:rsidP="008F0175">
      <w:pPr>
        <w:pStyle w:val="BodyText"/>
      </w:pPr>
      <w:r w:rsidRPr="00722821">
        <w:t>The tablets contain sodium lauryl sulfate, maize starch, hypromellose, lactose monohydrate, microcrystalline cellulose, croscarmellose sodium, colloidal anhydrous silica and magnesium stearate. The film coating contains hypromellose, macrogol 8000, titanium dioxide, purified talc and iron oxide red.</w:t>
      </w:r>
    </w:p>
    <w:p w14:paraId="129F8821" w14:textId="77777777" w:rsidR="008F0175" w:rsidRPr="00722821" w:rsidRDefault="008F0175" w:rsidP="00864522">
      <w:pPr>
        <w:pStyle w:val="BodyText"/>
      </w:pPr>
    </w:p>
    <w:p w14:paraId="129F8823" w14:textId="77777777" w:rsidR="00864522" w:rsidRPr="00722821" w:rsidRDefault="00864522" w:rsidP="00864522">
      <w:pPr>
        <w:pStyle w:val="Heading2"/>
        <w:ind w:left="578" w:hanging="578"/>
      </w:pPr>
      <w:r w:rsidRPr="00722821">
        <w:t xml:space="preserve">Incompatibilities </w:t>
      </w:r>
    </w:p>
    <w:p w14:paraId="129F8824" w14:textId="77777777" w:rsidR="00864522" w:rsidRPr="00722821" w:rsidRDefault="00864522" w:rsidP="00864522">
      <w:pPr>
        <w:pStyle w:val="BodyText"/>
      </w:pPr>
      <w:r w:rsidRPr="00722821">
        <w:t>Incompatibilities were either not assessed or not identified as part of the registration of this medicine.</w:t>
      </w:r>
    </w:p>
    <w:p w14:paraId="129F8825" w14:textId="77777777" w:rsidR="00864522" w:rsidRPr="00722821" w:rsidRDefault="00864522" w:rsidP="00864522">
      <w:pPr>
        <w:pStyle w:val="BodyText"/>
      </w:pPr>
    </w:p>
    <w:p w14:paraId="129F8826" w14:textId="77777777" w:rsidR="00864522" w:rsidRPr="00722821" w:rsidRDefault="00864522" w:rsidP="00864522">
      <w:pPr>
        <w:pStyle w:val="Heading2"/>
        <w:ind w:left="578" w:hanging="578"/>
      </w:pPr>
      <w:r w:rsidRPr="00722821">
        <w:t xml:space="preserve">Shelf life </w:t>
      </w:r>
    </w:p>
    <w:p w14:paraId="129F8827" w14:textId="77777777" w:rsidR="00864522" w:rsidRPr="00722821" w:rsidRDefault="00864522" w:rsidP="00864522">
      <w:pPr>
        <w:pStyle w:val="BodyText"/>
      </w:pPr>
      <w:r w:rsidRPr="00722821">
        <w:t>In Australia, information on the shelf life can be found on the public summary of the Australian Register of Therapeutic Goods (ARTG). The expiry date can be found on the packaging.</w:t>
      </w:r>
    </w:p>
    <w:p w14:paraId="129F8828" w14:textId="77777777" w:rsidR="00E52433" w:rsidRPr="00722821" w:rsidRDefault="00E52433" w:rsidP="00864522">
      <w:pPr>
        <w:pStyle w:val="BodyText"/>
      </w:pPr>
    </w:p>
    <w:p w14:paraId="129F8829" w14:textId="77777777" w:rsidR="00E52433" w:rsidRPr="00722821" w:rsidRDefault="00864522" w:rsidP="00864522">
      <w:pPr>
        <w:pStyle w:val="Heading2"/>
      </w:pPr>
      <w:r w:rsidRPr="00722821">
        <w:t>Special Precautions for Storage</w:t>
      </w:r>
    </w:p>
    <w:p w14:paraId="129F882A" w14:textId="77777777" w:rsidR="00864522" w:rsidRPr="00722821" w:rsidRDefault="00864522" w:rsidP="00864522">
      <w:pPr>
        <w:pStyle w:val="BodyText"/>
      </w:pPr>
      <w:r w:rsidRPr="00722821">
        <w:t>Store below 30°C.</w:t>
      </w:r>
    </w:p>
    <w:p w14:paraId="129F882B" w14:textId="77777777" w:rsidR="00E52433" w:rsidRPr="00722821" w:rsidRDefault="00E52433" w:rsidP="00864522">
      <w:pPr>
        <w:pStyle w:val="BodyText"/>
      </w:pPr>
    </w:p>
    <w:p w14:paraId="129F882C" w14:textId="77777777" w:rsidR="00864522" w:rsidRPr="00722821" w:rsidRDefault="00864522" w:rsidP="00864522">
      <w:pPr>
        <w:pStyle w:val="Heading2"/>
        <w:ind w:left="578" w:hanging="578"/>
      </w:pPr>
      <w:r w:rsidRPr="00722821">
        <w:t xml:space="preserve">Nature and contents of container </w:t>
      </w:r>
    </w:p>
    <w:p w14:paraId="129F882E" w14:textId="523C90AB" w:rsidR="005E658B" w:rsidRPr="00722821" w:rsidRDefault="00A74F0F" w:rsidP="00864522">
      <w:pPr>
        <w:pStyle w:val="BodyText"/>
      </w:pPr>
      <w:r w:rsidRPr="00722821">
        <w:t>INOVELON</w:t>
      </w:r>
      <w:r w:rsidR="00535A53" w:rsidRPr="00722821">
        <w:t xml:space="preserve"> 100 mg film coated tablets are available in cold-formed polyamide/aluminium/PVC </w:t>
      </w:r>
      <w:r w:rsidR="005E658B" w:rsidRPr="00722821">
        <w:t>foil laminate blisters</w:t>
      </w:r>
      <w:r w:rsidR="00535A53" w:rsidRPr="00722821">
        <w:t xml:space="preserve"> in packs of 10, 30, 50, 60 and 100 film-coated tablets</w:t>
      </w:r>
      <w:r w:rsidR="005E658B" w:rsidRPr="00722821">
        <w:t>.</w:t>
      </w:r>
    </w:p>
    <w:p w14:paraId="129F882F" w14:textId="77777777" w:rsidR="005E658B" w:rsidRPr="00722821" w:rsidRDefault="005E658B" w:rsidP="00864522">
      <w:pPr>
        <w:pStyle w:val="BodyText"/>
      </w:pPr>
    </w:p>
    <w:p w14:paraId="129F8830" w14:textId="7886C829" w:rsidR="00535A53" w:rsidRPr="00722821" w:rsidRDefault="00A74F0F" w:rsidP="00864522">
      <w:pPr>
        <w:pStyle w:val="BodyText"/>
      </w:pPr>
      <w:r w:rsidRPr="00722821">
        <w:t>INOVELON</w:t>
      </w:r>
      <w:r w:rsidR="00535A53" w:rsidRPr="00722821">
        <w:t xml:space="preserve"> 200 mg film coated tablets are available in cold-formed polyamide/aluminium/PVC foil laminate blisters in packs of 10, 30, 50, 60 and 100 film-coated tablets.</w:t>
      </w:r>
    </w:p>
    <w:p w14:paraId="129F8831" w14:textId="77777777" w:rsidR="00535A53" w:rsidRPr="00722821" w:rsidRDefault="00535A53" w:rsidP="00864522">
      <w:pPr>
        <w:pStyle w:val="BodyText"/>
      </w:pPr>
    </w:p>
    <w:p w14:paraId="129F8832" w14:textId="65B9B724" w:rsidR="00535A53" w:rsidRPr="00722821" w:rsidRDefault="00A74F0F" w:rsidP="00864522">
      <w:pPr>
        <w:pStyle w:val="BodyText"/>
      </w:pPr>
      <w:r w:rsidRPr="00722821">
        <w:t>INOVELON</w:t>
      </w:r>
      <w:r w:rsidR="00535A53" w:rsidRPr="00722821">
        <w:t xml:space="preserve"> 400 mg film coated tablets are available in cold-formed polyamide/aluminium/PVC foil laminate blisters in packs of 10, 30, 50, 60 and 100 film-coated tablets.</w:t>
      </w:r>
    </w:p>
    <w:p w14:paraId="129F8833" w14:textId="77777777" w:rsidR="00BE78D8" w:rsidRPr="00722821" w:rsidRDefault="00BE78D8" w:rsidP="00864522">
      <w:pPr>
        <w:pStyle w:val="BodyText"/>
      </w:pPr>
    </w:p>
    <w:p w14:paraId="129F8834" w14:textId="77777777" w:rsidR="00535A53" w:rsidRPr="00722821" w:rsidRDefault="00535A53" w:rsidP="00864522">
      <w:pPr>
        <w:pStyle w:val="BodyText"/>
      </w:pPr>
      <w:r w:rsidRPr="00722821">
        <w:t>Not all pack sizes may be marketed.</w:t>
      </w:r>
    </w:p>
    <w:p w14:paraId="129F883C" w14:textId="77777777" w:rsidR="00144E75" w:rsidRPr="00722821" w:rsidRDefault="00144E75" w:rsidP="00144E75">
      <w:pPr>
        <w:pStyle w:val="BodyText"/>
      </w:pPr>
    </w:p>
    <w:p w14:paraId="129F883D" w14:textId="77777777" w:rsidR="00864522" w:rsidRPr="00722821" w:rsidRDefault="00864522" w:rsidP="00864522">
      <w:pPr>
        <w:pStyle w:val="Heading2"/>
        <w:ind w:left="578" w:hanging="578"/>
      </w:pPr>
      <w:r w:rsidRPr="00722821">
        <w:lastRenderedPageBreak/>
        <w:t xml:space="preserve">Special precautions for disposal </w:t>
      </w:r>
    </w:p>
    <w:p w14:paraId="129F883E" w14:textId="77777777" w:rsidR="00864522" w:rsidRPr="00722821" w:rsidRDefault="00864522" w:rsidP="00864522">
      <w:pPr>
        <w:pStyle w:val="BodyText"/>
      </w:pPr>
      <w:r w:rsidRPr="00722821">
        <w:t>In Australia, any unused medicine or waste material should be disposed of by taking to your local pharmacy.</w:t>
      </w:r>
    </w:p>
    <w:p w14:paraId="129F883F" w14:textId="77777777" w:rsidR="00864522" w:rsidRPr="00722821" w:rsidRDefault="00864522" w:rsidP="00144E75">
      <w:pPr>
        <w:pStyle w:val="BodyText"/>
      </w:pPr>
    </w:p>
    <w:p w14:paraId="129F8840" w14:textId="77777777" w:rsidR="00864522" w:rsidRPr="00722821" w:rsidRDefault="00864522" w:rsidP="00864522">
      <w:pPr>
        <w:pStyle w:val="Heading2"/>
      </w:pPr>
      <w:r w:rsidRPr="00722821">
        <w:t>Physicochemical properties</w:t>
      </w:r>
    </w:p>
    <w:p w14:paraId="631A605F" w14:textId="77777777" w:rsidR="009B1FC2" w:rsidRDefault="009B1FC2" w:rsidP="009B1FC2">
      <w:pPr>
        <w:pStyle w:val="BodyText"/>
      </w:pPr>
      <w:r>
        <w:t>Rufinamide is a white, crystalline, odourless and slightly bitter tasting neutral powder. Rufinamide is practically insoluble in water, slightly soluble in tetrahydrofuran and in methanol, and very slightly soluble in ethanol and acetonitrile.</w:t>
      </w:r>
    </w:p>
    <w:p w14:paraId="129F8841" w14:textId="77777777" w:rsidR="00144E75" w:rsidRPr="00722821" w:rsidRDefault="00144E75" w:rsidP="00144E75">
      <w:pPr>
        <w:pStyle w:val="Heading3"/>
      </w:pPr>
      <w:r w:rsidRPr="00722821">
        <w:t>Chemical Structure</w:t>
      </w:r>
    </w:p>
    <w:p w14:paraId="129F8842" w14:textId="77777777" w:rsidR="00144E75" w:rsidRPr="00722821" w:rsidRDefault="00144E75" w:rsidP="00144E75">
      <w:pPr>
        <w:pStyle w:val="BodyText"/>
      </w:pPr>
      <w:r w:rsidRPr="00722821">
        <w:t>Chemical Name: 1-[(2</w:t>
      </w:r>
      <w:proofErr w:type="gramStart"/>
      <w:r w:rsidRPr="00722821">
        <w:t>,6</w:t>
      </w:r>
      <w:proofErr w:type="gramEnd"/>
      <w:r w:rsidRPr="00722821">
        <w:t>-Difluorophenyl)methyl]-1</w:t>
      </w:r>
      <w:r w:rsidRPr="00722821">
        <w:rPr>
          <w:i/>
          <w:iCs/>
        </w:rPr>
        <w:t>H</w:t>
      </w:r>
      <w:r w:rsidRPr="00722821">
        <w:t>-1,2,3-triazole-4-carboxamide.</w:t>
      </w:r>
    </w:p>
    <w:p w14:paraId="129F8843" w14:textId="77777777" w:rsidR="00144E75" w:rsidRPr="00722821" w:rsidRDefault="00144E75" w:rsidP="00144E75">
      <w:pPr>
        <w:pStyle w:val="BodyText"/>
      </w:pPr>
    </w:p>
    <w:p w14:paraId="129F8844" w14:textId="77777777" w:rsidR="00144E75" w:rsidRPr="00722821" w:rsidRDefault="00144E75" w:rsidP="00144E75">
      <w:pPr>
        <w:pStyle w:val="BodyText"/>
      </w:pPr>
      <w:r w:rsidRPr="00722821">
        <w:t>The empirical formula of rufinamide is C</w:t>
      </w:r>
      <w:r w:rsidRPr="00722821">
        <w:rPr>
          <w:vertAlign w:val="subscript"/>
        </w:rPr>
        <w:t>10</w:t>
      </w:r>
      <w:r w:rsidRPr="00722821">
        <w:t>H</w:t>
      </w:r>
      <w:r w:rsidRPr="00722821">
        <w:rPr>
          <w:vertAlign w:val="subscript"/>
        </w:rPr>
        <w:t>8</w:t>
      </w:r>
      <w:r w:rsidRPr="00722821">
        <w:t>F</w:t>
      </w:r>
      <w:r w:rsidRPr="00722821">
        <w:rPr>
          <w:vertAlign w:val="subscript"/>
        </w:rPr>
        <w:t>2</w:t>
      </w:r>
      <w:r w:rsidRPr="00722821">
        <w:t>N</w:t>
      </w:r>
      <w:r w:rsidRPr="00722821">
        <w:rPr>
          <w:vertAlign w:val="subscript"/>
        </w:rPr>
        <w:t>4</w:t>
      </w:r>
      <w:r w:rsidRPr="00722821">
        <w:t>O</w:t>
      </w:r>
    </w:p>
    <w:p w14:paraId="129F8845" w14:textId="77777777" w:rsidR="00144E75" w:rsidRPr="00722821" w:rsidRDefault="00144E75" w:rsidP="00144E75">
      <w:pPr>
        <w:pStyle w:val="BodyText"/>
      </w:pPr>
    </w:p>
    <w:p w14:paraId="129F8846" w14:textId="085ACFD9" w:rsidR="00144E75" w:rsidRPr="00722821" w:rsidRDefault="00194DA2" w:rsidP="00144E75">
      <w:pPr>
        <w:pStyle w:val="BodyText"/>
      </w:pPr>
      <w:r w:rsidRPr="00722821">
        <w:rPr>
          <w:sz w:val="20"/>
        </w:rPr>
        <w:object w:dxaOrig="2550" w:dyaOrig="1650" w14:anchorId="129F88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hemical Structure" style="width:178.5pt;height:114.75pt" o:ole="" fillcolor="window">
            <v:imagedata r:id="rId11" o:title=""/>
          </v:shape>
          <o:OLEObject Type="Embed" ProgID="ISISServer" ShapeID="_x0000_i1025" DrawAspect="Content" ObjectID="_1621862596" r:id="rId12">
            <o:FieldCodes>\s \* mergeformat</o:FieldCodes>
          </o:OLEObject>
        </w:object>
      </w:r>
    </w:p>
    <w:p w14:paraId="129F8847" w14:textId="77777777" w:rsidR="00144E75" w:rsidRPr="00722821" w:rsidRDefault="00144E75" w:rsidP="00144E75">
      <w:pPr>
        <w:pStyle w:val="BodyText"/>
      </w:pPr>
    </w:p>
    <w:p w14:paraId="129F8848" w14:textId="77777777" w:rsidR="00144E75" w:rsidRPr="00722821" w:rsidRDefault="00144E75" w:rsidP="00144E75">
      <w:pPr>
        <w:pStyle w:val="Heading3"/>
      </w:pPr>
      <w:r w:rsidRPr="00722821">
        <w:t>CAS number</w:t>
      </w:r>
    </w:p>
    <w:p w14:paraId="129F8849" w14:textId="77777777" w:rsidR="00144E75" w:rsidRPr="00722821" w:rsidRDefault="00144E75" w:rsidP="00144E75">
      <w:pPr>
        <w:pStyle w:val="BodyText"/>
      </w:pPr>
      <w:r w:rsidRPr="00722821">
        <w:t>CAS Number: 106308-44-5</w:t>
      </w:r>
    </w:p>
    <w:p w14:paraId="129F884A" w14:textId="77777777" w:rsidR="00144E75" w:rsidRPr="00722821" w:rsidRDefault="00144E75" w:rsidP="00144E75">
      <w:pPr>
        <w:pStyle w:val="BodyText"/>
      </w:pPr>
    </w:p>
    <w:p w14:paraId="129F884B" w14:textId="77777777" w:rsidR="00144E75" w:rsidRPr="00722821" w:rsidRDefault="00144E75" w:rsidP="00144E75">
      <w:pPr>
        <w:pStyle w:val="Heading1"/>
        <w:ind w:left="431" w:hanging="431"/>
      </w:pPr>
      <w:r w:rsidRPr="00722821">
        <w:t>Medicine schedule (Poisons Standard)</w:t>
      </w:r>
    </w:p>
    <w:p w14:paraId="129F884C" w14:textId="77777777" w:rsidR="00144E75" w:rsidRPr="00722821" w:rsidRDefault="00144E75" w:rsidP="00144E75">
      <w:pPr>
        <w:pStyle w:val="BodyText"/>
      </w:pPr>
      <w:r w:rsidRPr="00722821">
        <w:t>Schedule 4 – Prescription only medicine</w:t>
      </w:r>
    </w:p>
    <w:p w14:paraId="129F884D" w14:textId="77777777" w:rsidR="00144E75" w:rsidRPr="00722821" w:rsidRDefault="00144E75" w:rsidP="00144E75">
      <w:pPr>
        <w:pStyle w:val="BodyText"/>
      </w:pPr>
    </w:p>
    <w:p w14:paraId="129F884E" w14:textId="4A5AD7C8" w:rsidR="00BE78D8" w:rsidRPr="00722821" w:rsidRDefault="00252BBC" w:rsidP="00144E75">
      <w:pPr>
        <w:pStyle w:val="Heading1"/>
      </w:pPr>
      <w:r w:rsidRPr="00722821">
        <w:t>S</w:t>
      </w:r>
      <w:r w:rsidR="00BE78D8" w:rsidRPr="00722821">
        <w:t>ponsor</w:t>
      </w:r>
    </w:p>
    <w:p w14:paraId="129F884F" w14:textId="7D306E72" w:rsidR="00BE78D8" w:rsidRPr="00722821" w:rsidRDefault="00BE78D8" w:rsidP="000A05F2">
      <w:pPr>
        <w:pStyle w:val="BodyText"/>
      </w:pPr>
      <w:r w:rsidRPr="00722821">
        <w:t>Eisai Australia Pty</w:t>
      </w:r>
      <w:r w:rsidR="00AA2766">
        <w:t>.</w:t>
      </w:r>
      <w:r w:rsidRPr="00722821">
        <w:t xml:space="preserve"> Ltd</w:t>
      </w:r>
      <w:r w:rsidR="00AA2766">
        <w:t>.</w:t>
      </w:r>
    </w:p>
    <w:p w14:paraId="129F8850" w14:textId="77777777" w:rsidR="00BE78D8" w:rsidRPr="00722821" w:rsidRDefault="00BE78D8" w:rsidP="000A05F2">
      <w:pPr>
        <w:pStyle w:val="BodyText"/>
      </w:pPr>
      <w:r w:rsidRPr="00722821">
        <w:t>Level 2, 437 St Kilda Road</w:t>
      </w:r>
    </w:p>
    <w:p w14:paraId="129F8851" w14:textId="77777777" w:rsidR="00BE78D8" w:rsidRPr="00722821" w:rsidRDefault="00BE78D8" w:rsidP="000A05F2">
      <w:pPr>
        <w:pStyle w:val="BodyText"/>
      </w:pPr>
      <w:r w:rsidRPr="00722821">
        <w:t>Melbourne, VIC, 3004</w:t>
      </w:r>
    </w:p>
    <w:p w14:paraId="129F8852" w14:textId="77777777" w:rsidR="00BE78D8" w:rsidRPr="00722821" w:rsidRDefault="00BE78D8" w:rsidP="000A05F2">
      <w:pPr>
        <w:pStyle w:val="BodyText"/>
      </w:pPr>
    </w:p>
    <w:p w14:paraId="129F8853" w14:textId="460A0EC3" w:rsidR="00144E75" w:rsidRPr="00722821" w:rsidRDefault="00144E75" w:rsidP="00144E75">
      <w:pPr>
        <w:pStyle w:val="Heading1"/>
        <w:ind w:left="431" w:hanging="431"/>
      </w:pPr>
      <w:r w:rsidRPr="00722821">
        <w:t>Date of first approval</w:t>
      </w:r>
    </w:p>
    <w:p w14:paraId="129F8855" w14:textId="2B0B9C3B" w:rsidR="007A1D6F" w:rsidRPr="00722821" w:rsidRDefault="00B12EE6" w:rsidP="00144E75">
      <w:pPr>
        <w:pStyle w:val="BodyText"/>
      </w:pPr>
      <w:r>
        <w:t>22 June 2018</w:t>
      </w:r>
    </w:p>
    <w:sectPr w:rsidR="007A1D6F" w:rsidRPr="00722821" w:rsidSect="0088349C">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A4B96A" w14:textId="77777777" w:rsidR="006202F5" w:rsidRDefault="006202F5" w:rsidP="00984B4D">
      <w:r>
        <w:separator/>
      </w:r>
    </w:p>
  </w:endnote>
  <w:endnote w:type="continuationSeparator" w:id="0">
    <w:p w14:paraId="6330E8E7" w14:textId="77777777" w:rsidR="006202F5" w:rsidRDefault="006202F5" w:rsidP="00984B4D">
      <w:r>
        <w:continuationSeparator/>
      </w:r>
    </w:p>
  </w:endnote>
  <w:endnote w:type="continuationNotice" w:id="1">
    <w:p w14:paraId="1DCE4F7C" w14:textId="77777777" w:rsidR="006202F5" w:rsidRDefault="006202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NewRoman,Bold">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66274004"/>
      <w:docPartObj>
        <w:docPartGallery w:val="Page Numbers (Bottom of Page)"/>
        <w:docPartUnique/>
      </w:docPartObj>
    </w:sdtPr>
    <w:sdtEndPr>
      <w:rPr>
        <w:noProof/>
      </w:rPr>
    </w:sdtEndPr>
    <w:sdtContent>
      <w:p w14:paraId="129F88E0" w14:textId="77777777" w:rsidR="006202F5" w:rsidRPr="005C4E46" w:rsidRDefault="006202F5" w:rsidP="005C4E46">
        <w:pPr>
          <w:pStyle w:val="Footer"/>
          <w:rPr>
            <w:sz w:val="20"/>
          </w:rPr>
        </w:pPr>
        <w:r>
          <w:rPr>
            <w:sz w:val="20"/>
          </w:rPr>
          <w:t>Inovelon</w:t>
        </w:r>
        <w:r w:rsidRPr="005C4E46">
          <w:rPr>
            <w:sz w:val="20"/>
          </w:rPr>
          <w:t xml:space="preserve"> PI </w:t>
        </w:r>
        <w:r>
          <w:rPr>
            <w:sz w:val="20"/>
          </w:rPr>
          <w:t>Version 1</w:t>
        </w:r>
        <w:r w:rsidRPr="005C4E46">
          <w:rPr>
            <w:sz w:val="20"/>
          </w:rPr>
          <w:tab/>
        </w:r>
        <w:r w:rsidRPr="005C4E46">
          <w:rPr>
            <w:sz w:val="20"/>
          </w:rPr>
          <w:tab/>
          <w:t xml:space="preserve">Page </w:t>
        </w:r>
        <w:r w:rsidRPr="005C4E46">
          <w:rPr>
            <w:sz w:val="20"/>
          </w:rPr>
          <w:fldChar w:fldCharType="begin"/>
        </w:r>
        <w:r w:rsidRPr="005C4E46">
          <w:rPr>
            <w:sz w:val="20"/>
          </w:rPr>
          <w:instrText xml:space="preserve"> PAGE   \* MERGEFORMAT </w:instrText>
        </w:r>
        <w:r w:rsidRPr="005C4E46">
          <w:rPr>
            <w:sz w:val="20"/>
          </w:rPr>
          <w:fldChar w:fldCharType="separate"/>
        </w:r>
        <w:r w:rsidR="003E359F">
          <w:rPr>
            <w:noProof/>
            <w:sz w:val="20"/>
          </w:rPr>
          <w:t>19</w:t>
        </w:r>
        <w:r w:rsidRPr="005C4E46">
          <w:rPr>
            <w:noProof/>
            <w:sz w:val="20"/>
          </w:rPr>
          <w:fldChar w:fldCharType="end"/>
        </w:r>
      </w:p>
    </w:sdtContent>
  </w:sdt>
  <w:p w14:paraId="129F88E1" w14:textId="77777777" w:rsidR="006202F5" w:rsidRDefault="006202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C640C9" w14:textId="77777777" w:rsidR="006202F5" w:rsidRDefault="006202F5" w:rsidP="00984B4D">
      <w:r>
        <w:separator/>
      </w:r>
    </w:p>
  </w:footnote>
  <w:footnote w:type="continuationSeparator" w:id="0">
    <w:p w14:paraId="418A3EAD" w14:textId="77777777" w:rsidR="006202F5" w:rsidRDefault="006202F5" w:rsidP="00984B4D">
      <w:r>
        <w:continuationSeparator/>
      </w:r>
    </w:p>
  </w:footnote>
  <w:footnote w:type="continuationNotice" w:id="1">
    <w:p w14:paraId="00DACEA6" w14:textId="77777777" w:rsidR="006202F5" w:rsidRDefault="006202F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shd w:val="clear" w:color="auto" w:fill="E4F2E0"/>
      <w:tblLook w:val="04A0" w:firstRow="1" w:lastRow="0" w:firstColumn="1" w:lastColumn="0" w:noHBand="0" w:noVBand="1"/>
    </w:tblPr>
    <w:tblGrid>
      <w:gridCol w:w="8897"/>
    </w:tblGrid>
    <w:tr w:rsidR="00884C19" w:rsidRPr="00884C19" w14:paraId="789D3BAC" w14:textId="77777777" w:rsidTr="00884C19">
      <w:tc>
        <w:tcPr>
          <w:tcW w:w="8897" w:type="dxa"/>
          <w:shd w:val="clear" w:color="auto" w:fill="E4F2E0"/>
        </w:tcPr>
        <w:p w14:paraId="6CEA6E7A" w14:textId="77777777" w:rsidR="00884C19" w:rsidRPr="00884C19" w:rsidRDefault="00884C19" w:rsidP="002B1415">
          <w:pPr>
            <w:spacing w:before="40" w:after="40"/>
            <w:rPr>
              <w:rFonts w:ascii="Cambria" w:hAnsi="Cambria"/>
              <w:b/>
              <w:sz w:val="18"/>
              <w:szCs w:val="18"/>
            </w:rPr>
          </w:pPr>
          <w:r w:rsidRPr="00884C19">
            <w:rPr>
              <w:rFonts w:ascii="Cambria" w:hAnsi="Cambria"/>
              <w:b/>
              <w:sz w:val="18"/>
              <w:szCs w:val="18"/>
            </w:rPr>
            <w:t xml:space="preserve">Attachment 1: Product information for </w:t>
          </w:r>
          <w:proofErr w:type="spellStart"/>
          <w:r w:rsidRPr="00884C19">
            <w:rPr>
              <w:rFonts w:ascii="Cambria" w:hAnsi="Cambria"/>
              <w:b/>
              <w:sz w:val="18"/>
              <w:szCs w:val="18"/>
            </w:rPr>
            <w:t>AusPAR</w:t>
          </w:r>
          <w:proofErr w:type="spellEnd"/>
          <w:r w:rsidRPr="00884C19">
            <w:rPr>
              <w:rFonts w:ascii="Cambria" w:hAnsi="Cambria"/>
              <w:b/>
              <w:sz w:val="18"/>
              <w:szCs w:val="18"/>
            </w:rPr>
            <w:t xml:space="preserve"> </w:t>
          </w:r>
          <w:proofErr w:type="spellStart"/>
          <w:r w:rsidRPr="00884C19">
            <w:rPr>
              <w:rFonts w:ascii="Cambria" w:hAnsi="Cambria"/>
              <w:b/>
              <w:sz w:val="18"/>
              <w:szCs w:val="18"/>
            </w:rPr>
            <w:t>Rufinamide</w:t>
          </w:r>
          <w:proofErr w:type="spellEnd"/>
          <w:r w:rsidRPr="00884C19">
            <w:rPr>
              <w:rFonts w:ascii="Cambria" w:hAnsi="Cambria"/>
              <w:b/>
              <w:sz w:val="18"/>
              <w:szCs w:val="18"/>
            </w:rPr>
            <w:t xml:space="preserve"> Eisai Australia Pty. Ltd. PM-2017-01037-1-1 - FINAL 21 March 2019. This is the Product Information that was approved with the submission described in this </w:t>
          </w:r>
          <w:proofErr w:type="spellStart"/>
          <w:r w:rsidRPr="00884C19">
            <w:rPr>
              <w:rFonts w:ascii="Cambria" w:hAnsi="Cambria"/>
              <w:b/>
              <w:sz w:val="18"/>
              <w:szCs w:val="18"/>
            </w:rPr>
            <w:t>AusPAR</w:t>
          </w:r>
          <w:proofErr w:type="spellEnd"/>
          <w:r w:rsidRPr="00884C19">
            <w:rPr>
              <w:rFonts w:ascii="Cambria" w:hAnsi="Cambria"/>
              <w:b/>
              <w:sz w:val="18"/>
              <w:szCs w:val="18"/>
            </w:rPr>
            <w:t>. It may have been superseded. For the most recent PI, please refer to the TGA website at &lt;</w:t>
          </w:r>
          <w:hyperlink r:id="rId1" w:history="1">
            <w:r w:rsidRPr="00884C19">
              <w:rPr>
                <w:rStyle w:val="Hyperlink"/>
                <w:rFonts w:ascii="Cambria" w:hAnsi="Cambria"/>
                <w:b/>
                <w:sz w:val="18"/>
                <w:szCs w:val="18"/>
              </w:rPr>
              <w:t>https://www.tga.gov.au/product-information-pi</w:t>
            </w:r>
          </w:hyperlink>
          <w:r w:rsidRPr="00884C19">
            <w:rPr>
              <w:rFonts w:ascii="Cambria" w:hAnsi="Cambria"/>
              <w:b/>
              <w:sz w:val="18"/>
              <w:szCs w:val="18"/>
            </w:rPr>
            <w:t>&gt;</w:t>
          </w:r>
        </w:p>
      </w:tc>
    </w:tr>
  </w:tbl>
  <w:p w14:paraId="244AC794" w14:textId="77777777" w:rsidR="00884C19" w:rsidRDefault="00884C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6AEAFEC"/>
    <w:lvl w:ilvl="0">
      <w:start w:val="1"/>
      <w:numFmt w:val="decimal"/>
      <w:lvlText w:val="%1."/>
      <w:lvlJc w:val="left"/>
      <w:pPr>
        <w:tabs>
          <w:tab w:val="num" w:pos="1492"/>
        </w:tabs>
        <w:ind w:left="1492" w:hanging="360"/>
      </w:pPr>
    </w:lvl>
  </w:abstractNum>
  <w:abstractNum w:abstractNumId="1">
    <w:nsid w:val="FFFFFF7D"/>
    <w:multiLevelType w:val="singleLevel"/>
    <w:tmpl w:val="4AB8F5A0"/>
    <w:lvl w:ilvl="0">
      <w:start w:val="1"/>
      <w:numFmt w:val="decimal"/>
      <w:lvlText w:val="%1."/>
      <w:lvlJc w:val="left"/>
      <w:pPr>
        <w:tabs>
          <w:tab w:val="num" w:pos="1209"/>
        </w:tabs>
        <w:ind w:left="1209" w:hanging="360"/>
      </w:pPr>
    </w:lvl>
  </w:abstractNum>
  <w:abstractNum w:abstractNumId="2">
    <w:nsid w:val="FFFFFF7E"/>
    <w:multiLevelType w:val="singleLevel"/>
    <w:tmpl w:val="B1F0C2E8"/>
    <w:lvl w:ilvl="0">
      <w:start w:val="1"/>
      <w:numFmt w:val="decimal"/>
      <w:lvlText w:val="%1."/>
      <w:lvlJc w:val="left"/>
      <w:pPr>
        <w:tabs>
          <w:tab w:val="num" w:pos="926"/>
        </w:tabs>
        <w:ind w:left="926" w:hanging="360"/>
      </w:pPr>
    </w:lvl>
  </w:abstractNum>
  <w:abstractNum w:abstractNumId="3">
    <w:nsid w:val="FFFFFF7F"/>
    <w:multiLevelType w:val="singleLevel"/>
    <w:tmpl w:val="B39A8DF0"/>
    <w:lvl w:ilvl="0">
      <w:start w:val="1"/>
      <w:numFmt w:val="decimal"/>
      <w:lvlText w:val="%1."/>
      <w:lvlJc w:val="left"/>
      <w:pPr>
        <w:tabs>
          <w:tab w:val="num" w:pos="643"/>
        </w:tabs>
        <w:ind w:left="643" w:hanging="360"/>
      </w:pPr>
    </w:lvl>
  </w:abstractNum>
  <w:abstractNum w:abstractNumId="4">
    <w:nsid w:val="FFFFFF80"/>
    <w:multiLevelType w:val="singleLevel"/>
    <w:tmpl w:val="79DA1B0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A401F2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70410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C2230D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C081298"/>
    <w:lvl w:ilvl="0">
      <w:start w:val="1"/>
      <w:numFmt w:val="decimal"/>
      <w:lvlText w:val="%1."/>
      <w:lvlJc w:val="left"/>
      <w:pPr>
        <w:tabs>
          <w:tab w:val="num" w:pos="360"/>
        </w:tabs>
        <w:ind w:left="360" w:hanging="360"/>
      </w:pPr>
    </w:lvl>
  </w:abstractNum>
  <w:abstractNum w:abstractNumId="9">
    <w:nsid w:val="FFFFFF89"/>
    <w:multiLevelType w:val="singleLevel"/>
    <w:tmpl w:val="D108BD84"/>
    <w:lvl w:ilvl="0">
      <w:start w:val="1"/>
      <w:numFmt w:val="bullet"/>
      <w:lvlText w:val=""/>
      <w:lvlJc w:val="left"/>
      <w:pPr>
        <w:tabs>
          <w:tab w:val="num" w:pos="360"/>
        </w:tabs>
        <w:ind w:left="360" w:hanging="360"/>
      </w:pPr>
      <w:rPr>
        <w:rFonts w:ascii="Symbol" w:hAnsi="Symbol" w:hint="default"/>
      </w:rPr>
    </w:lvl>
  </w:abstractNum>
  <w:abstractNum w:abstractNumId="10">
    <w:nsid w:val="033E052D"/>
    <w:multiLevelType w:val="hybridMultilevel"/>
    <w:tmpl w:val="914ED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8EF5E98"/>
    <w:multiLevelType w:val="multilevel"/>
    <w:tmpl w:val="7EEA55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405F443E"/>
    <w:multiLevelType w:val="hybridMultilevel"/>
    <w:tmpl w:val="86526BD4"/>
    <w:lvl w:ilvl="0" w:tplc="3C2CCA90">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6E32B0D"/>
    <w:multiLevelType w:val="singleLevel"/>
    <w:tmpl w:val="59B625FA"/>
    <w:name w:val="WWtf"/>
    <w:lvl w:ilvl="0">
      <w:start w:val="1"/>
      <w:numFmt w:val="lowerLetter"/>
      <w:lvlText w:val="%1"/>
      <w:lvlJc w:val="left"/>
      <w:pPr>
        <w:tabs>
          <w:tab w:val="num" w:pos="360"/>
        </w:tabs>
        <w:ind w:left="360" w:hanging="360"/>
      </w:pPr>
      <w:rPr>
        <w:rFonts w:ascii="Times New Roman" w:hAnsi="Times New Roman" w:cs="Times New Roman" w:hint="default"/>
        <w:b w:val="0"/>
        <w:i w:val="0"/>
        <w:caps w:val="0"/>
        <w:sz w:val="20"/>
        <w:u w:val="none"/>
        <w:vertAlign w:val="superscript"/>
      </w:rPr>
    </w:lvl>
  </w:abstractNum>
  <w:abstractNum w:abstractNumId="14">
    <w:nsid w:val="63D949D4"/>
    <w:multiLevelType w:val="hybridMultilevel"/>
    <w:tmpl w:val="1836265C"/>
    <w:lvl w:ilvl="0" w:tplc="8490EB6A">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70332797"/>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0"/>
  </w:num>
  <w:num w:numId="2">
    <w:abstractNumId w:val="13"/>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5"/>
  </w:num>
  <w:num w:numId="6">
    <w:abstractNumId w:val="15"/>
  </w:num>
  <w:num w:numId="7">
    <w:abstractNumId w:val="15"/>
  </w:num>
  <w:num w:numId="8">
    <w:abstractNumId w:val="15"/>
  </w:num>
  <w:num w:numId="9">
    <w:abstractNumId w:val="15"/>
  </w:num>
  <w:num w:numId="10">
    <w:abstractNumId w:val="15"/>
  </w:num>
  <w:num w:numId="11">
    <w:abstractNumId w:val="15"/>
  </w:num>
  <w:num w:numId="12">
    <w:abstractNumId w:val="9"/>
  </w:num>
  <w:num w:numId="13">
    <w:abstractNumId w:val="12"/>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476"/>
    <w:rsid w:val="00000A58"/>
    <w:rsid w:val="00017F3A"/>
    <w:rsid w:val="00026C88"/>
    <w:rsid w:val="0003664E"/>
    <w:rsid w:val="00037683"/>
    <w:rsid w:val="00071E07"/>
    <w:rsid w:val="00071F48"/>
    <w:rsid w:val="00073AA6"/>
    <w:rsid w:val="000773B9"/>
    <w:rsid w:val="0007759C"/>
    <w:rsid w:val="00085717"/>
    <w:rsid w:val="00092849"/>
    <w:rsid w:val="000A05F2"/>
    <w:rsid w:val="000A0E85"/>
    <w:rsid w:val="000A2661"/>
    <w:rsid w:val="000A3363"/>
    <w:rsid w:val="000A425F"/>
    <w:rsid w:val="000A5296"/>
    <w:rsid w:val="000A6D5D"/>
    <w:rsid w:val="000A76C2"/>
    <w:rsid w:val="000B66E9"/>
    <w:rsid w:val="000C2000"/>
    <w:rsid w:val="000D50FE"/>
    <w:rsid w:val="000E199D"/>
    <w:rsid w:val="000E1EA1"/>
    <w:rsid w:val="0010372A"/>
    <w:rsid w:val="00110B6D"/>
    <w:rsid w:val="00110D34"/>
    <w:rsid w:val="001200B3"/>
    <w:rsid w:val="00121C00"/>
    <w:rsid w:val="001234FC"/>
    <w:rsid w:val="001250F6"/>
    <w:rsid w:val="00126D06"/>
    <w:rsid w:val="00135867"/>
    <w:rsid w:val="00136D83"/>
    <w:rsid w:val="00144E75"/>
    <w:rsid w:val="00145B50"/>
    <w:rsid w:val="0014721C"/>
    <w:rsid w:val="00157E08"/>
    <w:rsid w:val="001620CE"/>
    <w:rsid w:val="00162C64"/>
    <w:rsid w:val="001641B7"/>
    <w:rsid w:val="00164F35"/>
    <w:rsid w:val="001702C6"/>
    <w:rsid w:val="00177033"/>
    <w:rsid w:val="001819EB"/>
    <w:rsid w:val="0018221D"/>
    <w:rsid w:val="001946D6"/>
    <w:rsid w:val="00194DA2"/>
    <w:rsid w:val="001A119C"/>
    <w:rsid w:val="001A1FDB"/>
    <w:rsid w:val="001B4FAE"/>
    <w:rsid w:val="001B6080"/>
    <w:rsid w:val="001D641F"/>
    <w:rsid w:val="001D79E4"/>
    <w:rsid w:val="001E3922"/>
    <w:rsid w:val="001F270B"/>
    <w:rsid w:val="001F41E6"/>
    <w:rsid w:val="0020202A"/>
    <w:rsid w:val="00202DCD"/>
    <w:rsid w:val="0020425D"/>
    <w:rsid w:val="00204FD1"/>
    <w:rsid w:val="00206E95"/>
    <w:rsid w:val="002125F6"/>
    <w:rsid w:val="002178CE"/>
    <w:rsid w:val="00221E35"/>
    <w:rsid w:val="002326AA"/>
    <w:rsid w:val="00234095"/>
    <w:rsid w:val="00236B3C"/>
    <w:rsid w:val="00240ADF"/>
    <w:rsid w:val="00240F7C"/>
    <w:rsid w:val="0024107B"/>
    <w:rsid w:val="002501EF"/>
    <w:rsid w:val="00251DEA"/>
    <w:rsid w:val="002524C7"/>
    <w:rsid w:val="00252BBC"/>
    <w:rsid w:val="00254140"/>
    <w:rsid w:val="002541A9"/>
    <w:rsid w:val="00257015"/>
    <w:rsid w:val="002640E6"/>
    <w:rsid w:val="002670AF"/>
    <w:rsid w:val="002725D4"/>
    <w:rsid w:val="00274433"/>
    <w:rsid w:val="00286CE9"/>
    <w:rsid w:val="002939D0"/>
    <w:rsid w:val="002956FD"/>
    <w:rsid w:val="002A2B3B"/>
    <w:rsid w:val="002A69DF"/>
    <w:rsid w:val="002B1E01"/>
    <w:rsid w:val="002B69E6"/>
    <w:rsid w:val="002C25D1"/>
    <w:rsid w:val="002C32A5"/>
    <w:rsid w:val="002C5D3A"/>
    <w:rsid w:val="002D14A0"/>
    <w:rsid w:val="002D48D3"/>
    <w:rsid w:val="002D4EF2"/>
    <w:rsid w:val="002E6C48"/>
    <w:rsid w:val="002F0784"/>
    <w:rsid w:val="002F1872"/>
    <w:rsid w:val="002F42E8"/>
    <w:rsid w:val="002F5578"/>
    <w:rsid w:val="003038F8"/>
    <w:rsid w:val="00303B57"/>
    <w:rsid w:val="003154E4"/>
    <w:rsid w:val="00315C01"/>
    <w:rsid w:val="00341F3B"/>
    <w:rsid w:val="00342B5A"/>
    <w:rsid w:val="00342C7D"/>
    <w:rsid w:val="003441AD"/>
    <w:rsid w:val="00346E9F"/>
    <w:rsid w:val="00352697"/>
    <w:rsid w:val="00357B61"/>
    <w:rsid w:val="003641D5"/>
    <w:rsid w:val="00365948"/>
    <w:rsid w:val="003663AC"/>
    <w:rsid w:val="003668C4"/>
    <w:rsid w:val="00366E64"/>
    <w:rsid w:val="00367A23"/>
    <w:rsid w:val="00371A33"/>
    <w:rsid w:val="00374143"/>
    <w:rsid w:val="00376B8A"/>
    <w:rsid w:val="00386878"/>
    <w:rsid w:val="00387F52"/>
    <w:rsid w:val="003966B6"/>
    <w:rsid w:val="00396ADC"/>
    <w:rsid w:val="00397B41"/>
    <w:rsid w:val="003A0068"/>
    <w:rsid w:val="003A020B"/>
    <w:rsid w:val="003A2D53"/>
    <w:rsid w:val="003A7EF9"/>
    <w:rsid w:val="003B47AB"/>
    <w:rsid w:val="003B50B3"/>
    <w:rsid w:val="003C2F01"/>
    <w:rsid w:val="003E05F2"/>
    <w:rsid w:val="003E359F"/>
    <w:rsid w:val="003F755A"/>
    <w:rsid w:val="00402320"/>
    <w:rsid w:val="00412492"/>
    <w:rsid w:val="00421E0E"/>
    <w:rsid w:val="00422ECB"/>
    <w:rsid w:val="00426553"/>
    <w:rsid w:val="00431655"/>
    <w:rsid w:val="00436ED5"/>
    <w:rsid w:val="00441EAC"/>
    <w:rsid w:val="00443D7A"/>
    <w:rsid w:val="00443F80"/>
    <w:rsid w:val="00445A84"/>
    <w:rsid w:val="00455667"/>
    <w:rsid w:val="004619F3"/>
    <w:rsid w:val="00472DD1"/>
    <w:rsid w:val="0047610F"/>
    <w:rsid w:val="004828F3"/>
    <w:rsid w:val="00485C28"/>
    <w:rsid w:val="00486AF6"/>
    <w:rsid w:val="00494902"/>
    <w:rsid w:val="00497646"/>
    <w:rsid w:val="004A71F0"/>
    <w:rsid w:val="004B02DE"/>
    <w:rsid w:val="004B1638"/>
    <w:rsid w:val="004B204A"/>
    <w:rsid w:val="004C0F34"/>
    <w:rsid w:val="004C606A"/>
    <w:rsid w:val="004C768E"/>
    <w:rsid w:val="004C7C82"/>
    <w:rsid w:val="004D4EB9"/>
    <w:rsid w:val="004D57A0"/>
    <w:rsid w:val="004D6141"/>
    <w:rsid w:val="004E074D"/>
    <w:rsid w:val="004E0BBD"/>
    <w:rsid w:val="004E7671"/>
    <w:rsid w:val="004F22BF"/>
    <w:rsid w:val="004F4E71"/>
    <w:rsid w:val="005004F6"/>
    <w:rsid w:val="00511A1F"/>
    <w:rsid w:val="005132D1"/>
    <w:rsid w:val="0051673F"/>
    <w:rsid w:val="0052249D"/>
    <w:rsid w:val="00527492"/>
    <w:rsid w:val="00527EC3"/>
    <w:rsid w:val="005338A5"/>
    <w:rsid w:val="00535A53"/>
    <w:rsid w:val="005407FB"/>
    <w:rsid w:val="0054379E"/>
    <w:rsid w:val="005472C0"/>
    <w:rsid w:val="00551B74"/>
    <w:rsid w:val="00554495"/>
    <w:rsid w:val="005576DA"/>
    <w:rsid w:val="005610C2"/>
    <w:rsid w:val="00566632"/>
    <w:rsid w:val="00566A8D"/>
    <w:rsid w:val="005750C9"/>
    <w:rsid w:val="005752D5"/>
    <w:rsid w:val="0057560E"/>
    <w:rsid w:val="00582549"/>
    <w:rsid w:val="0058331B"/>
    <w:rsid w:val="005856A8"/>
    <w:rsid w:val="00587B28"/>
    <w:rsid w:val="005A492A"/>
    <w:rsid w:val="005A73F3"/>
    <w:rsid w:val="005B642D"/>
    <w:rsid w:val="005C29FE"/>
    <w:rsid w:val="005C3A97"/>
    <w:rsid w:val="005C4E46"/>
    <w:rsid w:val="005D2656"/>
    <w:rsid w:val="005D2B38"/>
    <w:rsid w:val="005E03F0"/>
    <w:rsid w:val="005E658B"/>
    <w:rsid w:val="005F0869"/>
    <w:rsid w:val="005F529A"/>
    <w:rsid w:val="005F5F87"/>
    <w:rsid w:val="005F6A99"/>
    <w:rsid w:val="0061193C"/>
    <w:rsid w:val="006123C4"/>
    <w:rsid w:val="00612FAB"/>
    <w:rsid w:val="006135FD"/>
    <w:rsid w:val="00620106"/>
    <w:rsid w:val="006202F5"/>
    <w:rsid w:val="00623064"/>
    <w:rsid w:val="0063580A"/>
    <w:rsid w:val="0064373A"/>
    <w:rsid w:val="00643F41"/>
    <w:rsid w:val="0064422E"/>
    <w:rsid w:val="006444F1"/>
    <w:rsid w:val="00645715"/>
    <w:rsid w:val="00645B48"/>
    <w:rsid w:val="0065012E"/>
    <w:rsid w:val="00650F56"/>
    <w:rsid w:val="0065153D"/>
    <w:rsid w:val="00651E17"/>
    <w:rsid w:val="006540F9"/>
    <w:rsid w:val="0066424C"/>
    <w:rsid w:val="00665700"/>
    <w:rsid w:val="0067563F"/>
    <w:rsid w:val="00681D12"/>
    <w:rsid w:val="00685AFF"/>
    <w:rsid w:val="006A39BA"/>
    <w:rsid w:val="006B3F09"/>
    <w:rsid w:val="006C7153"/>
    <w:rsid w:val="006D740D"/>
    <w:rsid w:val="006E772B"/>
    <w:rsid w:val="006E780D"/>
    <w:rsid w:val="006F4263"/>
    <w:rsid w:val="006F62F3"/>
    <w:rsid w:val="00702990"/>
    <w:rsid w:val="0070338E"/>
    <w:rsid w:val="00710C6D"/>
    <w:rsid w:val="00712381"/>
    <w:rsid w:val="00722821"/>
    <w:rsid w:val="00732AFF"/>
    <w:rsid w:val="00734FE1"/>
    <w:rsid w:val="00740730"/>
    <w:rsid w:val="0075381F"/>
    <w:rsid w:val="00753A40"/>
    <w:rsid w:val="00753B48"/>
    <w:rsid w:val="00764259"/>
    <w:rsid w:val="007655C9"/>
    <w:rsid w:val="007664F3"/>
    <w:rsid w:val="00767BCD"/>
    <w:rsid w:val="007736BE"/>
    <w:rsid w:val="007739E4"/>
    <w:rsid w:val="00780349"/>
    <w:rsid w:val="0078540F"/>
    <w:rsid w:val="00786A1E"/>
    <w:rsid w:val="00786A6A"/>
    <w:rsid w:val="00790EA5"/>
    <w:rsid w:val="007A02CA"/>
    <w:rsid w:val="007A1D6F"/>
    <w:rsid w:val="007B0EF2"/>
    <w:rsid w:val="007B31D9"/>
    <w:rsid w:val="007B654C"/>
    <w:rsid w:val="007C36D5"/>
    <w:rsid w:val="007C448B"/>
    <w:rsid w:val="007C5E73"/>
    <w:rsid w:val="007D3F88"/>
    <w:rsid w:val="007D44C5"/>
    <w:rsid w:val="007D47A5"/>
    <w:rsid w:val="007D4D46"/>
    <w:rsid w:val="007E74B2"/>
    <w:rsid w:val="00804EA0"/>
    <w:rsid w:val="00806A04"/>
    <w:rsid w:val="008070EE"/>
    <w:rsid w:val="00811482"/>
    <w:rsid w:val="0081257D"/>
    <w:rsid w:val="0081468A"/>
    <w:rsid w:val="0081551F"/>
    <w:rsid w:val="0081628D"/>
    <w:rsid w:val="00827DE3"/>
    <w:rsid w:val="00835476"/>
    <w:rsid w:val="00841782"/>
    <w:rsid w:val="0084459E"/>
    <w:rsid w:val="008466B1"/>
    <w:rsid w:val="00854358"/>
    <w:rsid w:val="00862320"/>
    <w:rsid w:val="00864522"/>
    <w:rsid w:val="0087779B"/>
    <w:rsid w:val="0088349C"/>
    <w:rsid w:val="00884C19"/>
    <w:rsid w:val="008919D4"/>
    <w:rsid w:val="0089759B"/>
    <w:rsid w:val="008A7290"/>
    <w:rsid w:val="008A7BEC"/>
    <w:rsid w:val="008B1A90"/>
    <w:rsid w:val="008B658A"/>
    <w:rsid w:val="008C4BD9"/>
    <w:rsid w:val="008D1F24"/>
    <w:rsid w:val="008E1523"/>
    <w:rsid w:val="008E4446"/>
    <w:rsid w:val="008F0175"/>
    <w:rsid w:val="008F3E9D"/>
    <w:rsid w:val="008F3ED3"/>
    <w:rsid w:val="00902A05"/>
    <w:rsid w:val="00910A3E"/>
    <w:rsid w:val="00912F98"/>
    <w:rsid w:val="00920EBA"/>
    <w:rsid w:val="00940071"/>
    <w:rsid w:val="0094416B"/>
    <w:rsid w:val="00946012"/>
    <w:rsid w:val="00951577"/>
    <w:rsid w:val="00952894"/>
    <w:rsid w:val="00973571"/>
    <w:rsid w:val="0098196D"/>
    <w:rsid w:val="00984B4D"/>
    <w:rsid w:val="009909D5"/>
    <w:rsid w:val="009919B6"/>
    <w:rsid w:val="009A1D5E"/>
    <w:rsid w:val="009A35A0"/>
    <w:rsid w:val="009B18C2"/>
    <w:rsid w:val="009B1FC2"/>
    <w:rsid w:val="009B7610"/>
    <w:rsid w:val="009D592B"/>
    <w:rsid w:val="009D65DC"/>
    <w:rsid w:val="009E4DCF"/>
    <w:rsid w:val="009F4525"/>
    <w:rsid w:val="00A02711"/>
    <w:rsid w:val="00A04C68"/>
    <w:rsid w:val="00A1105A"/>
    <w:rsid w:val="00A201F2"/>
    <w:rsid w:val="00A255ED"/>
    <w:rsid w:val="00A27C80"/>
    <w:rsid w:val="00A34C10"/>
    <w:rsid w:val="00A37C49"/>
    <w:rsid w:val="00A40939"/>
    <w:rsid w:val="00A51E6E"/>
    <w:rsid w:val="00A52589"/>
    <w:rsid w:val="00A52F04"/>
    <w:rsid w:val="00A552CF"/>
    <w:rsid w:val="00A562CE"/>
    <w:rsid w:val="00A57B23"/>
    <w:rsid w:val="00A6627D"/>
    <w:rsid w:val="00A74F0F"/>
    <w:rsid w:val="00A81449"/>
    <w:rsid w:val="00AA031C"/>
    <w:rsid w:val="00AA1F9E"/>
    <w:rsid w:val="00AA2766"/>
    <w:rsid w:val="00AA2DFC"/>
    <w:rsid w:val="00AB1224"/>
    <w:rsid w:val="00AB6C19"/>
    <w:rsid w:val="00AB7027"/>
    <w:rsid w:val="00AC5478"/>
    <w:rsid w:val="00AE5A19"/>
    <w:rsid w:val="00AF5F6B"/>
    <w:rsid w:val="00AF6DF1"/>
    <w:rsid w:val="00AF76C4"/>
    <w:rsid w:val="00B02B58"/>
    <w:rsid w:val="00B1014D"/>
    <w:rsid w:val="00B12EE6"/>
    <w:rsid w:val="00B148AA"/>
    <w:rsid w:val="00B22524"/>
    <w:rsid w:val="00B24044"/>
    <w:rsid w:val="00B27DF9"/>
    <w:rsid w:val="00B31DEA"/>
    <w:rsid w:val="00B37CC7"/>
    <w:rsid w:val="00B405EF"/>
    <w:rsid w:val="00B53142"/>
    <w:rsid w:val="00B53FFF"/>
    <w:rsid w:val="00B54B66"/>
    <w:rsid w:val="00B556BE"/>
    <w:rsid w:val="00B64000"/>
    <w:rsid w:val="00B65324"/>
    <w:rsid w:val="00B7331A"/>
    <w:rsid w:val="00B74BCA"/>
    <w:rsid w:val="00B80C5A"/>
    <w:rsid w:val="00B83E5B"/>
    <w:rsid w:val="00BA107F"/>
    <w:rsid w:val="00BA1B54"/>
    <w:rsid w:val="00BB2D53"/>
    <w:rsid w:val="00BB3045"/>
    <w:rsid w:val="00BB5299"/>
    <w:rsid w:val="00BD7B56"/>
    <w:rsid w:val="00BD7E2E"/>
    <w:rsid w:val="00BE179A"/>
    <w:rsid w:val="00BE78D8"/>
    <w:rsid w:val="00BF3F09"/>
    <w:rsid w:val="00BF6DCD"/>
    <w:rsid w:val="00BF7107"/>
    <w:rsid w:val="00C00DB7"/>
    <w:rsid w:val="00C0413B"/>
    <w:rsid w:val="00C06BEC"/>
    <w:rsid w:val="00C07E1F"/>
    <w:rsid w:val="00C110CB"/>
    <w:rsid w:val="00C20B13"/>
    <w:rsid w:val="00C213C7"/>
    <w:rsid w:val="00C27D25"/>
    <w:rsid w:val="00C36036"/>
    <w:rsid w:val="00C378AD"/>
    <w:rsid w:val="00C60FDC"/>
    <w:rsid w:val="00C6307C"/>
    <w:rsid w:val="00C669C3"/>
    <w:rsid w:val="00C761CE"/>
    <w:rsid w:val="00C92DDE"/>
    <w:rsid w:val="00C93D52"/>
    <w:rsid w:val="00CA072E"/>
    <w:rsid w:val="00CB10E7"/>
    <w:rsid w:val="00CB2DC4"/>
    <w:rsid w:val="00CC121A"/>
    <w:rsid w:val="00CC3641"/>
    <w:rsid w:val="00CC745D"/>
    <w:rsid w:val="00CD0B85"/>
    <w:rsid w:val="00CE1257"/>
    <w:rsid w:val="00CE4A29"/>
    <w:rsid w:val="00CF3E4F"/>
    <w:rsid w:val="00D017A4"/>
    <w:rsid w:val="00D17B5A"/>
    <w:rsid w:val="00D30DAD"/>
    <w:rsid w:val="00D35A23"/>
    <w:rsid w:val="00D37FB0"/>
    <w:rsid w:val="00D43DDE"/>
    <w:rsid w:val="00D50D6C"/>
    <w:rsid w:val="00D52723"/>
    <w:rsid w:val="00D61A3B"/>
    <w:rsid w:val="00D61E88"/>
    <w:rsid w:val="00D712C4"/>
    <w:rsid w:val="00D756B0"/>
    <w:rsid w:val="00D86AD6"/>
    <w:rsid w:val="00D93D65"/>
    <w:rsid w:val="00D93F2D"/>
    <w:rsid w:val="00DA5545"/>
    <w:rsid w:val="00DA6D5B"/>
    <w:rsid w:val="00DB1D72"/>
    <w:rsid w:val="00DC5920"/>
    <w:rsid w:val="00DE0435"/>
    <w:rsid w:val="00DE5022"/>
    <w:rsid w:val="00DE5051"/>
    <w:rsid w:val="00DE685C"/>
    <w:rsid w:val="00DF207C"/>
    <w:rsid w:val="00E00B24"/>
    <w:rsid w:val="00E01E31"/>
    <w:rsid w:val="00E07AED"/>
    <w:rsid w:val="00E14350"/>
    <w:rsid w:val="00E318D4"/>
    <w:rsid w:val="00E37739"/>
    <w:rsid w:val="00E41862"/>
    <w:rsid w:val="00E4492C"/>
    <w:rsid w:val="00E47F61"/>
    <w:rsid w:val="00E51773"/>
    <w:rsid w:val="00E52433"/>
    <w:rsid w:val="00E544B2"/>
    <w:rsid w:val="00E61FBF"/>
    <w:rsid w:val="00E62CF9"/>
    <w:rsid w:val="00E64FCC"/>
    <w:rsid w:val="00E662C3"/>
    <w:rsid w:val="00E6671F"/>
    <w:rsid w:val="00E757D7"/>
    <w:rsid w:val="00E77B56"/>
    <w:rsid w:val="00E77F13"/>
    <w:rsid w:val="00E84DC8"/>
    <w:rsid w:val="00E87AE1"/>
    <w:rsid w:val="00E90849"/>
    <w:rsid w:val="00E90915"/>
    <w:rsid w:val="00E914F6"/>
    <w:rsid w:val="00E951BD"/>
    <w:rsid w:val="00EA041B"/>
    <w:rsid w:val="00EC236C"/>
    <w:rsid w:val="00EC4E77"/>
    <w:rsid w:val="00ED7231"/>
    <w:rsid w:val="00EE42B2"/>
    <w:rsid w:val="00EE4CD6"/>
    <w:rsid w:val="00EE5DA3"/>
    <w:rsid w:val="00EE7D1F"/>
    <w:rsid w:val="00EF36F0"/>
    <w:rsid w:val="00EF5826"/>
    <w:rsid w:val="00F04123"/>
    <w:rsid w:val="00F23DD1"/>
    <w:rsid w:val="00F25C08"/>
    <w:rsid w:val="00F31088"/>
    <w:rsid w:val="00F31585"/>
    <w:rsid w:val="00F3164B"/>
    <w:rsid w:val="00F37D48"/>
    <w:rsid w:val="00F428DC"/>
    <w:rsid w:val="00F505C8"/>
    <w:rsid w:val="00F508B1"/>
    <w:rsid w:val="00F5689B"/>
    <w:rsid w:val="00F631CA"/>
    <w:rsid w:val="00F71377"/>
    <w:rsid w:val="00F7763E"/>
    <w:rsid w:val="00F8140B"/>
    <w:rsid w:val="00F84BD3"/>
    <w:rsid w:val="00F8688B"/>
    <w:rsid w:val="00F941EC"/>
    <w:rsid w:val="00F95C1B"/>
    <w:rsid w:val="00FA17AE"/>
    <w:rsid w:val="00FA1F3E"/>
    <w:rsid w:val="00FB0A2C"/>
    <w:rsid w:val="00FE0563"/>
    <w:rsid w:val="00FE621C"/>
    <w:rsid w:val="00FF0E17"/>
    <w:rsid w:val="00FF5630"/>
    <w:rsid w:val="00FF63B7"/>
    <w:rsid w:val="00FF77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29F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31B"/>
  </w:style>
  <w:style w:type="paragraph" w:styleId="Heading1">
    <w:name w:val="heading 1"/>
    <w:basedOn w:val="Normal"/>
    <w:next w:val="BodyText"/>
    <w:link w:val="Heading1Char"/>
    <w:uiPriority w:val="9"/>
    <w:qFormat/>
    <w:rsid w:val="00144E75"/>
    <w:pPr>
      <w:keepNext/>
      <w:keepLines/>
      <w:numPr>
        <w:numId w:val="11"/>
      </w:numPr>
      <w:spacing w:before="120" w:after="240"/>
      <w:outlineLvl w:val="0"/>
    </w:pPr>
    <w:rPr>
      <w:rFonts w:asciiTheme="majorHAnsi" w:eastAsiaTheme="majorEastAsia" w:hAnsiTheme="majorHAnsi" w:cstheme="majorBidi"/>
      <w:b/>
      <w:bCs/>
      <w:caps/>
      <w:sz w:val="28"/>
      <w:szCs w:val="28"/>
    </w:rPr>
  </w:style>
  <w:style w:type="paragraph" w:styleId="Heading2">
    <w:name w:val="heading 2"/>
    <w:basedOn w:val="Normal"/>
    <w:next w:val="BodyText"/>
    <w:link w:val="Heading2Char"/>
    <w:uiPriority w:val="9"/>
    <w:unhideWhenUsed/>
    <w:qFormat/>
    <w:rsid w:val="00144E75"/>
    <w:pPr>
      <w:keepNext/>
      <w:numPr>
        <w:ilvl w:val="1"/>
        <w:numId w:val="11"/>
      </w:numPr>
      <w:spacing w:before="120" w:after="120"/>
      <w:outlineLvl w:val="1"/>
    </w:pPr>
    <w:rPr>
      <w:rFonts w:asciiTheme="majorHAnsi" w:hAnsiTheme="majorHAnsi"/>
      <w:b/>
      <w:smallCaps/>
      <w:sz w:val="24"/>
    </w:rPr>
  </w:style>
  <w:style w:type="paragraph" w:styleId="Heading3">
    <w:name w:val="heading 3"/>
    <w:basedOn w:val="Normal"/>
    <w:next w:val="BodyText"/>
    <w:link w:val="Heading3Char"/>
    <w:uiPriority w:val="9"/>
    <w:unhideWhenUsed/>
    <w:qFormat/>
    <w:rsid w:val="00144E75"/>
    <w:pPr>
      <w:keepNext/>
      <w:keepLines/>
      <w:spacing w:before="120" w:after="120"/>
      <w:ind w:left="227"/>
      <w:outlineLvl w:val="2"/>
    </w:pPr>
    <w:rPr>
      <w:rFonts w:asciiTheme="majorHAnsi" w:eastAsiaTheme="majorEastAsia" w:hAnsiTheme="majorHAnsi" w:cstheme="majorBidi"/>
      <w:b/>
      <w:bCs/>
      <w:sz w:val="24"/>
    </w:rPr>
  </w:style>
  <w:style w:type="paragraph" w:styleId="Heading4">
    <w:name w:val="heading 4"/>
    <w:basedOn w:val="Heading3"/>
    <w:next w:val="Normal"/>
    <w:link w:val="Heading4Char"/>
    <w:uiPriority w:val="9"/>
    <w:unhideWhenUsed/>
    <w:qFormat/>
    <w:rsid w:val="00144E75"/>
    <w:pPr>
      <w:outlineLvl w:val="3"/>
    </w:pPr>
    <w:rPr>
      <w:b w:val="0"/>
      <w:i/>
      <w:u w:val="single"/>
    </w:rPr>
  </w:style>
  <w:style w:type="paragraph" w:styleId="Heading5">
    <w:name w:val="heading 5"/>
    <w:basedOn w:val="Normal"/>
    <w:next w:val="Normal"/>
    <w:link w:val="Heading5Char"/>
    <w:uiPriority w:val="9"/>
    <w:semiHidden/>
    <w:unhideWhenUsed/>
    <w:qFormat/>
    <w:rsid w:val="00144E75"/>
    <w:pPr>
      <w:keepNext/>
      <w:keepLines/>
      <w:numPr>
        <w:ilvl w:val="4"/>
        <w:numId w:val="1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44E75"/>
    <w:pPr>
      <w:keepNext/>
      <w:keepLines/>
      <w:numPr>
        <w:ilvl w:val="5"/>
        <w:numId w:val="1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44E75"/>
    <w:pPr>
      <w:keepNext/>
      <w:keepLines/>
      <w:numPr>
        <w:ilvl w:val="6"/>
        <w:numId w:val="1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44E75"/>
    <w:pPr>
      <w:keepNext/>
      <w:keepLines/>
      <w:numPr>
        <w:ilvl w:val="7"/>
        <w:numId w:val="1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44E75"/>
    <w:pPr>
      <w:keepNext/>
      <w:keepLines/>
      <w:numPr>
        <w:ilvl w:val="8"/>
        <w:numId w:val="1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144E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44E75"/>
    <w:rPr>
      <w:rFonts w:ascii="Tahoma" w:hAnsi="Tahoma" w:cs="Tahoma"/>
      <w:sz w:val="16"/>
      <w:szCs w:val="16"/>
    </w:rPr>
  </w:style>
  <w:style w:type="table" w:styleId="TableGrid">
    <w:name w:val="Table Grid"/>
    <w:basedOn w:val="TableNormal"/>
    <w:uiPriority w:val="59"/>
    <w:rsid w:val="00144E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6">
    <w:name w:val="CM26"/>
    <w:basedOn w:val="Normal"/>
    <w:next w:val="Normal"/>
    <w:uiPriority w:val="99"/>
    <w:rsid w:val="0064422E"/>
    <w:pPr>
      <w:widowControl w:val="0"/>
      <w:autoSpaceDE w:val="0"/>
      <w:autoSpaceDN w:val="0"/>
      <w:adjustRightInd w:val="0"/>
    </w:pPr>
    <w:rPr>
      <w:rFonts w:eastAsiaTheme="minorEastAsia"/>
      <w:szCs w:val="24"/>
      <w:lang w:val="en-US"/>
    </w:rPr>
  </w:style>
  <w:style w:type="paragraph" w:customStyle="1" w:styleId="CM10">
    <w:name w:val="CM10"/>
    <w:basedOn w:val="Normal"/>
    <w:next w:val="Normal"/>
    <w:uiPriority w:val="99"/>
    <w:rsid w:val="00BE78D8"/>
    <w:pPr>
      <w:widowControl w:val="0"/>
      <w:autoSpaceDE w:val="0"/>
      <w:autoSpaceDN w:val="0"/>
      <w:adjustRightInd w:val="0"/>
      <w:spacing w:line="471" w:lineRule="atLeast"/>
    </w:pPr>
    <w:rPr>
      <w:rFonts w:eastAsiaTheme="minorEastAsia"/>
      <w:szCs w:val="24"/>
      <w:lang w:eastAsia="en-AU"/>
    </w:rPr>
  </w:style>
  <w:style w:type="paragraph" w:customStyle="1" w:styleId="Default">
    <w:name w:val="Default"/>
    <w:rsid w:val="00BE78D8"/>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styleId="CommentReference">
    <w:name w:val="annotation reference"/>
    <w:basedOn w:val="DefaultParagraphFont"/>
    <w:uiPriority w:val="99"/>
    <w:semiHidden/>
    <w:unhideWhenUsed/>
    <w:rsid w:val="00144E75"/>
    <w:rPr>
      <w:sz w:val="16"/>
      <w:szCs w:val="16"/>
    </w:rPr>
  </w:style>
  <w:style w:type="paragraph" w:styleId="CommentText">
    <w:name w:val="annotation text"/>
    <w:basedOn w:val="Normal"/>
    <w:link w:val="CommentTextChar"/>
    <w:uiPriority w:val="99"/>
    <w:unhideWhenUsed/>
    <w:rsid w:val="00144E75"/>
    <w:pPr>
      <w:spacing w:line="240" w:lineRule="auto"/>
    </w:pPr>
    <w:rPr>
      <w:rFonts w:ascii="Cambria" w:hAnsi="Cambria"/>
      <w:sz w:val="20"/>
      <w:szCs w:val="20"/>
    </w:rPr>
  </w:style>
  <w:style w:type="character" w:customStyle="1" w:styleId="CommentTextChar">
    <w:name w:val="Comment Text Char"/>
    <w:basedOn w:val="DefaultParagraphFont"/>
    <w:link w:val="CommentText"/>
    <w:uiPriority w:val="99"/>
    <w:rsid w:val="00144E75"/>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144E75"/>
    <w:rPr>
      <w:b/>
      <w:bCs/>
    </w:rPr>
  </w:style>
  <w:style w:type="character" w:customStyle="1" w:styleId="CommentSubjectChar">
    <w:name w:val="Comment Subject Char"/>
    <w:basedOn w:val="CommentTextChar"/>
    <w:link w:val="CommentSubject"/>
    <w:uiPriority w:val="99"/>
    <w:semiHidden/>
    <w:rsid w:val="00144E75"/>
    <w:rPr>
      <w:rFonts w:ascii="Cambria" w:hAnsi="Cambria"/>
      <w:b/>
      <w:bCs/>
      <w:sz w:val="20"/>
      <w:szCs w:val="20"/>
    </w:rPr>
  </w:style>
  <w:style w:type="paragraph" w:styleId="Caption">
    <w:name w:val="caption"/>
    <w:basedOn w:val="Normal"/>
    <w:next w:val="Normal"/>
    <w:link w:val="CaptionChar"/>
    <w:unhideWhenUsed/>
    <w:qFormat/>
    <w:rsid w:val="00144E75"/>
    <w:pPr>
      <w:keepNext/>
      <w:spacing w:after="0" w:line="240" w:lineRule="auto"/>
    </w:pPr>
    <w:rPr>
      <w:rFonts w:ascii="Times New Roman" w:eastAsia="MS Mincho" w:hAnsi="Times New Roman" w:cs="Times New Roman"/>
      <w:b/>
      <w:bCs/>
      <w:sz w:val="24"/>
      <w:szCs w:val="20"/>
    </w:rPr>
  </w:style>
  <w:style w:type="paragraph" w:customStyle="1" w:styleId="Paragraph">
    <w:name w:val="Paragraph"/>
    <w:basedOn w:val="Normal"/>
    <w:link w:val="ParagraphChar"/>
    <w:rsid w:val="00144E75"/>
    <w:pPr>
      <w:spacing w:after="240" w:line="280" w:lineRule="exact"/>
    </w:pPr>
    <w:rPr>
      <w:rFonts w:ascii="Times New Roman" w:eastAsia="MS Mincho" w:hAnsi="Times New Roman" w:cs="Times New Roman"/>
      <w:sz w:val="24"/>
      <w:szCs w:val="20"/>
      <w:lang w:val="en-US"/>
    </w:rPr>
  </w:style>
  <w:style w:type="character" w:customStyle="1" w:styleId="ParagraphChar">
    <w:name w:val="Paragraph Char"/>
    <w:link w:val="Paragraph"/>
    <w:rsid w:val="007B31D9"/>
    <w:rPr>
      <w:rFonts w:ascii="Times New Roman" w:eastAsia="MS Mincho" w:hAnsi="Times New Roman" w:cs="Times New Roman"/>
      <w:sz w:val="24"/>
      <w:szCs w:val="20"/>
      <w:lang w:val="en-US"/>
    </w:rPr>
  </w:style>
  <w:style w:type="character" w:customStyle="1" w:styleId="CaptionChar">
    <w:name w:val="Caption Char"/>
    <w:link w:val="Caption"/>
    <w:rsid w:val="007B31D9"/>
    <w:rPr>
      <w:rFonts w:ascii="Times New Roman" w:eastAsia="MS Mincho" w:hAnsi="Times New Roman" w:cs="Times New Roman"/>
      <w:b/>
      <w:bCs/>
      <w:sz w:val="24"/>
      <w:szCs w:val="20"/>
    </w:rPr>
  </w:style>
  <w:style w:type="paragraph" w:styleId="Header">
    <w:name w:val="header"/>
    <w:basedOn w:val="Normal"/>
    <w:link w:val="HeaderChar"/>
    <w:uiPriority w:val="99"/>
    <w:unhideWhenUsed/>
    <w:rsid w:val="00144E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4E75"/>
  </w:style>
  <w:style w:type="paragraph" w:styleId="Footer">
    <w:name w:val="footer"/>
    <w:basedOn w:val="Normal"/>
    <w:link w:val="FooterChar"/>
    <w:uiPriority w:val="99"/>
    <w:unhideWhenUsed/>
    <w:rsid w:val="00144E75"/>
    <w:pPr>
      <w:tabs>
        <w:tab w:val="center" w:pos="4513"/>
        <w:tab w:val="right" w:pos="9026"/>
      </w:tabs>
      <w:spacing w:after="0" w:line="240" w:lineRule="auto"/>
    </w:pPr>
    <w:rPr>
      <w:rFonts w:ascii="Cambria" w:hAnsi="Cambria"/>
    </w:rPr>
  </w:style>
  <w:style w:type="character" w:customStyle="1" w:styleId="FooterChar">
    <w:name w:val="Footer Char"/>
    <w:basedOn w:val="DefaultParagraphFont"/>
    <w:link w:val="Footer"/>
    <w:uiPriority w:val="99"/>
    <w:rsid w:val="00144E75"/>
    <w:rPr>
      <w:rFonts w:ascii="Cambria" w:hAnsi="Cambria"/>
    </w:rPr>
  </w:style>
  <w:style w:type="paragraph" w:customStyle="1" w:styleId="TableTitle">
    <w:name w:val="Table Title"/>
    <w:next w:val="TableHead"/>
    <w:rsid w:val="002178CE"/>
    <w:pPr>
      <w:keepNext/>
      <w:keepLines/>
      <w:tabs>
        <w:tab w:val="left" w:pos="1440"/>
      </w:tabs>
      <w:spacing w:before="60" w:after="120" w:line="240" w:lineRule="auto"/>
      <w:ind w:left="1440" w:hanging="1440"/>
    </w:pPr>
    <w:rPr>
      <w:rFonts w:ascii="Arial" w:eastAsia="Times New Roman" w:hAnsi="Arial" w:cs="Times New Roman"/>
      <w:b/>
      <w:color w:val="000000"/>
      <w:sz w:val="24"/>
      <w:szCs w:val="24"/>
      <w:lang w:val="en-US"/>
    </w:rPr>
  </w:style>
  <w:style w:type="paragraph" w:customStyle="1" w:styleId="TableHead">
    <w:name w:val="Table Head"/>
    <w:basedOn w:val="Normal"/>
    <w:rsid w:val="002178CE"/>
    <w:pPr>
      <w:spacing w:before="60" w:after="60"/>
      <w:jc w:val="center"/>
    </w:pPr>
    <w:rPr>
      <w:b/>
      <w:szCs w:val="48"/>
      <w:lang w:val="en-US"/>
    </w:rPr>
  </w:style>
  <w:style w:type="paragraph" w:customStyle="1" w:styleId="TableCenter">
    <w:name w:val="Table Center"/>
    <w:basedOn w:val="Normal"/>
    <w:rsid w:val="002178CE"/>
    <w:pPr>
      <w:spacing w:before="60" w:after="60"/>
      <w:jc w:val="center"/>
    </w:pPr>
    <w:rPr>
      <w:szCs w:val="24"/>
      <w:lang w:val="en-US"/>
    </w:rPr>
  </w:style>
  <w:style w:type="paragraph" w:styleId="EndnoteText">
    <w:name w:val="endnote text"/>
    <w:basedOn w:val="Normal"/>
    <w:link w:val="EndnoteTextChar"/>
    <w:semiHidden/>
    <w:rsid w:val="002178CE"/>
    <w:pPr>
      <w:spacing w:before="60"/>
    </w:pPr>
    <w:rPr>
      <w:sz w:val="20"/>
      <w:lang w:val="en-US"/>
    </w:rPr>
  </w:style>
  <w:style w:type="character" w:customStyle="1" w:styleId="EndnoteTextChar">
    <w:name w:val="Endnote Text Char"/>
    <w:basedOn w:val="DefaultParagraphFont"/>
    <w:link w:val="EndnoteText"/>
    <w:semiHidden/>
    <w:rsid w:val="002178CE"/>
    <w:rPr>
      <w:rFonts w:ascii="Times New Roman" w:eastAsia="Times New Roman" w:hAnsi="Times New Roman" w:cs="Times New Roman"/>
      <w:sz w:val="20"/>
      <w:szCs w:val="20"/>
      <w:lang w:val="en-US"/>
    </w:rPr>
  </w:style>
  <w:style w:type="character" w:styleId="EndnoteReference">
    <w:name w:val="endnote reference"/>
    <w:basedOn w:val="DefaultParagraphFont"/>
    <w:semiHidden/>
    <w:rsid w:val="002178CE"/>
    <w:rPr>
      <w:vertAlign w:val="superscript"/>
    </w:rPr>
  </w:style>
  <w:style w:type="paragraph" w:customStyle="1" w:styleId="TableFootnote">
    <w:name w:val="Table Footnote"/>
    <w:basedOn w:val="Normal"/>
    <w:qFormat/>
    <w:rsid w:val="00144E75"/>
    <w:pPr>
      <w:spacing w:after="0" w:line="240" w:lineRule="auto"/>
    </w:pPr>
    <w:rPr>
      <w:rFonts w:ascii="Arial" w:hAnsi="Arial"/>
      <w:sz w:val="18"/>
      <w:szCs w:val="20"/>
    </w:rPr>
  </w:style>
  <w:style w:type="paragraph" w:styleId="Revision">
    <w:name w:val="Revision"/>
    <w:hidden/>
    <w:uiPriority w:val="99"/>
    <w:semiHidden/>
    <w:rsid w:val="00920EBA"/>
    <w:pPr>
      <w:spacing w:after="0" w:line="240" w:lineRule="auto"/>
    </w:pPr>
    <w:rPr>
      <w:rFonts w:ascii="Times New Roman" w:eastAsia="Times New Roman" w:hAnsi="Times New Roman" w:cs="Times New Roman"/>
      <w:color w:val="000000"/>
      <w:sz w:val="24"/>
      <w:szCs w:val="20"/>
      <w:lang w:val="en-GB" w:eastAsia="de-DE"/>
    </w:rPr>
  </w:style>
  <w:style w:type="paragraph" w:customStyle="1" w:styleId="TableText">
    <w:name w:val="Table Text"/>
    <w:basedOn w:val="Normal"/>
    <w:qFormat/>
    <w:rsid w:val="00144E75"/>
    <w:pPr>
      <w:spacing w:after="0" w:line="240" w:lineRule="auto"/>
    </w:pPr>
    <w:rPr>
      <w:rFonts w:ascii="Arial" w:hAnsi="Arial"/>
      <w:sz w:val="20"/>
      <w:szCs w:val="20"/>
    </w:rPr>
  </w:style>
  <w:style w:type="paragraph" w:styleId="BodyText">
    <w:name w:val="Body Text"/>
    <w:basedOn w:val="Normal"/>
    <w:link w:val="BodyTextChar"/>
    <w:uiPriority w:val="99"/>
    <w:unhideWhenUsed/>
    <w:rsid w:val="00144E75"/>
    <w:pPr>
      <w:spacing w:after="0"/>
    </w:pPr>
    <w:rPr>
      <w:rFonts w:ascii="Times New Roman" w:hAnsi="Times New Roman"/>
      <w:sz w:val="24"/>
    </w:rPr>
  </w:style>
  <w:style w:type="character" w:customStyle="1" w:styleId="BodyTextChar">
    <w:name w:val="Body Text Char"/>
    <w:basedOn w:val="DefaultParagraphFont"/>
    <w:link w:val="BodyText"/>
    <w:uiPriority w:val="99"/>
    <w:rsid w:val="00144E75"/>
    <w:rPr>
      <w:rFonts w:ascii="Times New Roman" w:hAnsi="Times New Roman"/>
      <w:sz w:val="24"/>
    </w:rPr>
  </w:style>
  <w:style w:type="character" w:customStyle="1" w:styleId="Heading4Char">
    <w:name w:val="Heading 4 Char"/>
    <w:basedOn w:val="DefaultParagraphFont"/>
    <w:link w:val="Heading4"/>
    <w:uiPriority w:val="9"/>
    <w:rsid w:val="00144E75"/>
    <w:rPr>
      <w:rFonts w:asciiTheme="majorHAnsi" w:eastAsiaTheme="majorEastAsia" w:hAnsiTheme="majorHAnsi" w:cstheme="majorBidi"/>
      <w:bCs/>
      <w:i/>
      <w:sz w:val="24"/>
      <w:u w:val="single"/>
    </w:rPr>
  </w:style>
  <w:style w:type="character" w:customStyle="1" w:styleId="Heading1Char">
    <w:name w:val="Heading 1 Char"/>
    <w:basedOn w:val="DefaultParagraphFont"/>
    <w:link w:val="Heading1"/>
    <w:uiPriority w:val="9"/>
    <w:rsid w:val="00144E75"/>
    <w:rPr>
      <w:rFonts w:asciiTheme="majorHAnsi" w:eastAsiaTheme="majorEastAsia" w:hAnsiTheme="majorHAnsi" w:cstheme="majorBidi"/>
      <w:b/>
      <w:bCs/>
      <w:caps/>
      <w:sz w:val="28"/>
      <w:szCs w:val="28"/>
    </w:rPr>
  </w:style>
  <w:style w:type="paragraph" w:styleId="BodyText2">
    <w:name w:val="Body Text 2"/>
    <w:basedOn w:val="Normal"/>
    <w:link w:val="BodyText2Char"/>
    <w:uiPriority w:val="99"/>
    <w:unhideWhenUsed/>
    <w:rsid w:val="00144E75"/>
    <w:pPr>
      <w:spacing w:after="120" w:line="480" w:lineRule="auto"/>
    </w:pPr>
  </w:style>
  <w:style w:type="character" w:customStyle="1" w:styleId="BodyText2Char">
    <w:name w:val="Body Text 2 Char"/>
    <w:basedOn w:val="DefaultParagraphFont"/>
    <w:link w:val="BodyText2"/>
    <w:uiPriority w:val="99"/>
    <w:rsid w:val="00144E75"/>
  </w:style>
  <w:style w:type="paragraph" w:styleId="BodyText3">
    <w:name w:val="Body Text 3"/>
    <w:basedOn w:val="Normal"/>
    <w:link w:val="BodyText3Char"/>
    <w:uiPriority w:val="99"/>
    <w:semiHidden/>
    <w:unhideWhenUsed/>
    <w:rsid w:val="00144E75"/>
    <w:pPr>
      <w:spacing w:after="120"/>
    </w:pPr>
    <w:rPr>
      <w:sz w:val="16"/>
      <w:szCs w:val="16"/>
    </w:rPr>
  </w:style>
  <w:style w:type="character" w:customStyle="1" w:styleId="BodyText3Char">
    <w:name w:val="Body Text 3 Char"/>
    <w:basedOn w:val="DefaultParagraphFont"/>
    <w:link w:val="BodyText3"/>
    <w:uiPriority w:val="99"/>
    <w:semiHidden/>
    <w:rsid w:val="00144E75"/>
    <w:rPr>
      <w:sz w:val="16"/>
      <w:szCs w:val="16"/>
    </w:rPr>
  </w:style>
  <w:style w:type="character" w:styleId="FootnoteReference">
    <w:name w:val="footnote reference"/>
    <w:basedOn w:val="DefaultParagraphFont"/>
    <w:uiPriority w:val="99"/>
    <w:unhideWhenUsed/>
    <w:rsid w:val="00144E75"/>
    <w:rPr>
      <w:vertAlign w:val="superscript"/>
    </w:rPr>
  </w:style>
  <w:style w:type="paragraph" w:styleId="FootnoteText">
    <w:name w:val="footnote text"/>
    <w:basedOn w:val="Normal"/>
    <w:link w:val="FootnoteTextChar"/>
    <w:uiPriority w:val="99"/>
    <w:rsid w:val="00144E75"/>
    <w:pPr>
      <w:keepLines/>
      <w:spacing w:before="180" w:after="180"/>
    </w:pPr>
    <w:rPr>
      <w:rFonts w:ascii="Calibri" w:eastAsia="Calibri" w:hAnsi="Calibri" w:cs="Times New Roman"/>
      <w:sz w:val="20"/>
    </w:rPr>
  </w:style>
  <w:style w:type="character" w:customStyle="1" w:styleId="FootnoteTextChar">
    <w:name w:val="Footnote Text Char"/>
    <w:basedOn w:val="DefaultParagraphFont"/>
    <w:link w:val="FootnoteText"/>
    <w:uiPriority w:val="99"/>
    <w:rsid w:val="00144E75"/>
    <w:rPr>
      <w:rFonts w:ascii="Calibri" w:eastAsia="Calibri" w:hAnsi="Calibri" w:cs="Times New Roman"/>
      <w:sz w:val="20"/>
    </w:rPr>
  </w:style>
  <w:style w:type="character" w:customStyle="1" w:styleId="Heading2Char">
    <w:name w:val="Heading 2 Char"/>
    <w:basedOn w:val="DefaultParagraphFont"/>
    <w:link w:val="Heading2"/>
    <w:uiPriority w:val="9"/>
    <w:rsid w:val="00144E75"/>
    <w:rPr>
      <w:rFonts w:asciiTheme="majorHAnsi" w:hAnsiTheme="majorHAnsi"/>
      <w:b/>
      <w:smallCaps/>
      <w:sz w:val="24"/>
    </w:rPr>
  </w:style>
  <w:style w:type="character" w:customStyle="1" w:styleId="Heading3Char">
    <w:name w:val="Heading 3 Char"/>
    <w:basedOn w:val="DefaultParagraphFont"/>
    <w:link w:val="Heading3"/>
    <w:uiPriority w:val="9"/>
    <w:rsid w:val="00144E75"/>
    <w:rPr>
      <w:rFonts w:asciiTheme="majorHAnsi" w:eastAsiaTheme="majorEastAsia" w:hAnsiTheme="majorHAnsi" w:cstheme="majorBidi"/>
      <w:b/>
      <w:bCs/>
      <w:sz w:val="24"/>
    </w:rPr>
  </w:style>
  <w:style w:type="character" w:customStyle="1" w:styleId="Heading5Char">
    <w:name w:val="Heading 5 Char"/>
    <w:basedOn w:val="DefaultParagraphFont"/>
    <w:link w:val="Heading5"/>
    <w:uiPriority w:val="9"/>
    <w:semiHidden/>
    <w:rsid w:val="00144E7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44E7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44E7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44E7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44E75"/>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144E75"/>
    <w:rPr>
      <w:color w:val="0000FF" w:themeColor="hyperlink"/>
      <w:u w:val="single"/>
    </w:rPr>
  </w:style>
  <w:style w:type="table" w:styleId="LightGrid">
    <w:name w:val="Light Grid"/>
    <w:basedOn w:val="TableNormal"/>
    <w:uiPriority w:val="62"/>
    <w:rsid w:val="00144E7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3">
    <w:name w:val="List 3"/>
    <w:basedOn w:val="Normal"/>
    <w:uiPriority w:val="99"/>
    <w:unhideWhenUsed/>
    <w:rsid w:val="00144E75"/>
    <w:pPr>
      <w:ind w:left="849" w:hanging="283"/>
      <w:contextualSpacing/>
    </w:pPr>
  </w:style>
  <w:style w:type="paragraph" w:styleId="ListBullet">
    <w:name w:val="List Bullet"/>
    <w:basedOn w:val="Normal"/>
    <w:uiPriority w:val="99"/>
    <w:unhideWhenUsed/>
    <w:rsid w:val="00144E75"/>
    <w:pPr>
      <w:numPr>
        <w:numId w:val="13"/>
      </w:numPr>
      <w:spacing w:after="0"/>
      <w:contextualSpacing/>
    </w:pPr>
    <w:rPr>
      <w:rFonts w:ascii="Times New Roman" w:hAnsi="Times New Roman"/>
      <w:sz w:val="24"/>
    </w:rPr>
  </w:style>
  <w:style w:type="paragraph" w:styleId="ListParagraph">
    <w:name w:val="List Paragraph"/>
    <w:basedOn w:val="Normal"/>
    <w:uiPriority w:val="34"/>
    <w:qFormat/>
    <w:rsid w:val="00144E75"/>
    <w:pPr>
      <w:ind w:left="720"/>
      <w:contextualSpacing/>
    </w:pPr>
    <w:rPr>
      <w:rFonts w:ascii="Cambria" w:hAnsi="Cambria"/>
    </w:rPr>
  </w:style>
  <w:style w:type="paragraph" w:styleId="PlainText">
    <w:name w:val="Plain Text"/>
    <w:basedOn w:val="Normal"/>
    <w:link w:val="PlainTextChar"/>
    <w:rsid w:val="00144E75"/>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144E75"/>
    <w:rPr>
      <w:rFonts w:ascii="Courier New" w:eastAsia="Times New Roman" w:hAnsi="Courier New" w:cs="Courier New"/>
      <w:sz w:val="20"/>
      <w:szCs w:val="20"/>
      <w:lang w:val="en-US"/>
    </w:rPr>
  </w:style>
  <w:style w:type="paragraph" w:customStyle="1" w:styleId="TableCellCenter">
    <w:name w:val="Table Cell Center"/>
    <w:basedOn w:val="Paragraph"/>
    <w:rsid w:val="00144E75"/>
    <w:pPr>
      <w:keepLines/>
      <w:spacing w:before="50" w:after="50" w:line="240" w:lineRule="exact"/>
      <w:jc w:val="center"/>
    </w:pPr>
    <w:rPr>
      <w:rFonts w:eastAsia="Times New Roman"/>
      <w:sz w:val="20"/>
      <w:lang w:val="en-GB"/>
    </w:rPr>
  </w:style>
  <w:style w:type="paragraph" w:customStyle="1" w:styleId="TableCellLeft">
    <w:name w:val="Table Cell Left"/>
    <w:basedOn w:val="Paragraph"/>
    <w:rsid w:val="00144E75"/>
    <w:pPr>
      <w:keepLines/>
      <w:spacing w:before="50" w:after="50" w:line="240" w:lineRule="exact"/>
    </w:pPr>
    <w:rPr>
      <w:rFonts w:eastAsia="Times New Roman"/>
      <w:sz w:val="20"/>
      <w:lang w:val="en-GB"/>
    </w:rPr>
  </w:style>
  <w:style w:type="paragraph" w:customStyle="1" w:styleId="TableCentre">
    <w:name w:val="Table Centre"/>
    <w:basedOn w:val="TableText"/>
    <w:qFormat/>
    <w:rsid w:val="00144E75"/>
    <w:pPr>
      <w:jc w:val="center"/>
    </w:pPr>
  </w:style>
  <w:style w:type="paragraph" w:customStyle="1" w:styleId="TableHeading">
    <w:name w:val="Table Heading"/>
    <w:basedOn w:val="BodyText"/>
    <w:next w:val="TableText"/>
    <w:qFormat/>
    <w:rsid w:val="00144E75"/>
    <w:pPr>
      <w:keepNext/>
      <w:spacing w:line="240" w:lineRule="auto"/>
    </w:pPr>
    <w:rPr>
      <w:rFonts w:ascii="Arial" w:hAnsi="Arial"/>
      <w:b/>
      <w:sz w:val="20"/>
    </w:rPr>
  </w:style>
  <w:style w:type="paragraph" w:styleId="TOAHeading">
    <w:name w:val="toa heading"/>
    <w:basedOn w:val="Normal"/>
    <w:next w:val="Normal"/>
    <w:uiPriority w:val="99"/>
    <w:unhideWhenUsed/>
    <w:rsid w:val="00144E75"/>
    <w:pPr>
      <w:spacing w:before="120"/>
    </w:pPr>
    <w:rPr>
      <w:rFonts w:asciiTheme="majorHAnsi" w:eastAsiaTheme="majorEastAsia" w:hAnsiTheme="majorHAnsi" w:cstheme="majorBidi"/>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31B"/>
  </w:style>
  <w:style w:type="paragraph" w:styleId="Heading1">
    <w:name w:val="heading 1"/>
    <w:basedOn w:val="Normal"/>
    <w:next w:val="BodyText"/>
    <w:link w:val="Heading1Char"/>
    <w:uiPriority w:val="9"/>
    <w:qFormat/>
    <w:rsid w:val="00144E75"/>
    <w:pPr>
      <w:keepNext/>
      <w:keepLines/>
      <w:numPr>
        <w:numId w:val="11"/>
      </w:numPr>
      <w:spacing w:before="120" w:after="240"/>
      <w:outlineLvl w:val="0"/>
    </w:pPr>
    <w:rPr>
      <w:rFonts w:asciiTheme="majorHAnsi" w:eastAsiaTheme="majorEastAsia" w:hAnsiTheme="majorHAnsi" w:cstheme="majorBidi"/>
      <w:b/>
      <w:bCs/>
      <w:caps/>
      <w:sz w:val="28"/>
      <w:szCs w:val="28"/>
    </w:rPr>
  </w:style>
  <w:style w:type="paragraph" w:styleId="Heading2">
    <w:name w:val="heading 2"/>
    <w:basedOn w:val="Normal"/>
    <w:next w:val="BodyText"/>
    <w:link w:val="Heading2Char"/>
    <w:uiPriority w:val="9"/>
    <w:unhideWhenUsed/>
    <w:qFormat/>
    <w:rsid w:val="00144E75"/>
    <w:pPr>
      <w:keepNext/>
      <w:numPr>
        <w:ilvl w:val="1"/>
        <w:numId w:val="11"/>
      </w:numPr>
      <w:spacing w:before="120" w:after="120"/>
      <w:outlineLvl w:val="1"/>
    </w:pPr>
    <w:rPr>
      <w:rFonts w:asciiTheme="majorHAnsi" w:hAnsiTheme="majorHAnsi"/>
      <w:b/>
      <w:smallCaps/>
      <w:sz w:val="24"/>
    </w:rPr>
  </w:style>
  <w:style w:type="paragraph" w:styleId="Heading3">
    <w:name w:val="heading 3"/>
    <w:basedOn w:val="Normal"/>
    <w:next w:val="BodyText"/>
    <w:link w:val="Heading3Char"/>
    <w:uiPriority w:val="9"/>
    <w:unhideWhenUsed/>
    <w:qFormat/>
    <w:rsid w:val="00144E75"/>
    <w:pPr>
      <w:keepNext/>
      <w:keepLines/>
      <w:spacing w:before="120" w:after="120"/>
      <w:ind w:left="227"/>
      <w:outlineLvl w:val="2"/>
    </w:pPr>
    <w:rPr>
      <w:rFonts w:asciiTheme="majorHAnsi" w:eastAsiaTheme="majorEastAsia" w:hAnsiTheme="majorHAnsi" w:cstheme="majorBidi"/>
      <w:b/>
      <w:bCs/>
      <w:sz w:val="24"/>
    </w:rPr>
  </w:style>
  <w:style w:type="paragraph" w:styleId="Heading4">
    <w:name w:val="heading 4"/>
    <w:basedOn w:val="Heading3"/>
    <w:next w:val="Normal"/>
    <w:link w:val="Heading4Char"/>
    <w:uiPriority w:val="9"/>
    <w:unhideWhenUsed/>
    <w:qFormat/>
    <w:rsid w:val="00144E75"/>
    <w:pPr>
      <w:outlineLvl w:val="3"/>
    </w:pPr>
    <w:rPr>
      <w:b w:val="0"/>
      <w:i/>
      <w:u w:val="single"/>
    </w:rPr>
  </w:style>
  <w:style w:type="paragraph" w:styleId="Heading5">
    <w:name w:val="heading 5"/>
    <w:basedOn w:val="Normal"/>
    <w:next w:val="Normal"/>
    <w:link w:val="Heading5Char"/>
    <w:uiPriority w:val="9"/>
    <w:semiHidden/>
    <w:unhideWhenUsed/>
    <w:qFormat/>
    <w:rsid w:val="00144E75"/>
    <w:pPr>
      <w:keepNext/>
      <w:keepLines/>
      <w:numPr>
        <w:ilvl w:val="4"/>
        <w:numId w:val="1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44E75"/>
    <w:pPr>
      <w:keepNext/>
      <w:keepLines/>
      <w:numPr>
        <w:ilvl w:val="5"/>
        <w:numId w:val="1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44E75"/>
    <w:pPr>
      <w:keepNext/>
      <w:keepLines/>
      <w:numPr>
        <w:ilvl w:val="6"/>
        <w:numId w:val="1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44E75"/>
    <w:pPr>
      <w:keepNext/>
      <w:keepLines/>
      <w:numPr>
        <w:ilvl w:val="7"/>
        <w:numId w:val="1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44E75"/>
    <w:pPr>
      <w:keepNext/>
      <w:keepLines/>
      <w:numPr>
        <w:ilvl w:val="8"/>
        <w:numId w:val="1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144E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44E75"/>
    <w:rPr>
      <w:rFonts w:ascii="Tahoma" w:hAnsi="Tahoma" w:cs="Tahoma"/>
      <w:sz w:val="16"/>
      <w:szCs w:val="16"/>
    </w:rPr>
  </w:style>
  <w:style w:type="table" w:styleId="TableGrid">
    <w:name w:val="Table Grid"/>
    <w:basedOn w:val="TableNormal"/>
    <w:uiPriority w:val="59"/>
    <w:rsid w:val="00144E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6">
    <w:name w:val="CM26"/>
    <w:basedOn w:val="Normal"/>
    <w:next w:val="Normal"/>
    <w:uiPriority w:val="99"/>
    <w:rsid w:val="0064422E"/>
    <w:pPr>
      <w:widowControl w:val="0"/>
      <w:autoSpaceDE w:val="0"/>
      <w:autoSpaceDN w:val="0"/>
      <w:adjustRightInd w:val="0"/>
    </w:pPr>
    <w:rPr>
      <w:rFonts w:eastAsiaTheme="minorEastAsia"/>
      <w:szCs w:val="24"/>
      <w:lang w:val="en-US"/>
    </w:rPr>
  </w:style>
  <w:style w:type="paragraph" w:customStyle="1" w:styleId="CM10">
    <w:name w:val="CM10"/>
    <w:basedOn w:val="Normal"/>
    <w:next w:val="Normal"/>
    <w:uiPriority w:val="99"/>
    <w:rsid w:val="00BE78D8"/>
    <w:pPr>
      <w:widowControl w:val="0"/>
      <w:autoSpaceDE w:val="0"/>
      <w:autoSpaceDN w:val="0"/>
      <w:adjustRightInd w:val="0"/>
      <w:spacing w:line="471" w:lineRule="atLeast"/>
    </w:pPr>
    <w:rPr>
      <w:rFonts w:eastAsiaTheme="minorEastAsia"/>
      <w:szCs w:val="24"/>
      <w:lang w:eastAsia="en-AU"/>
    </w:rPr>
  </w:style>
  <w:style w:type="paragraph" w:customStyle="1" w:styleId="Default">
    <w:name w:val="Default"/>
    <w:rsid w:val="00BE78D8"/>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styleId="CommentReference">
    <w:name w:val="annotation reference"/>
    <w:basedOn w:val="DefaultParagraphFont"/>
    <w:uiPriority w:val="99"/>
    <w:semiHidden/>
    <w:unhideWhenUsed/>
    <w:rsid w:val="00144E75"/>
    <w:rPr>
      <w:sz w:val="16"/>
      <w:szCs w:val="16"/>
    </w:rPr>
  </w:style>
  <w:style w:type="paragraph" w:styleId="CommentText">
    <w:name w:val="annotation text"/>
    <w:basedOn w:val="Normal"/>
    <w:link w:val="CommentTextChar"/>
    <w:uiPriority w:val="99"/>
    <w:unhideWhenUsed/>
    <w:rsid w:val="00144E75"/>
    <w:pPr>
      <w:spacing w:line="240" w:lineRule="auto"/>
    </w:pPr>
    <w:rPr>
      <w:rFonts w:ascii="Cambria" w:hAnsi="Cambria"/>
      <w:sz w:val="20"/>
      <w:szCs w:val="20"/>
    </w:rPr>
  </w:style>
  <w:style w:type="character" w:customStyle="1" w:styleId="CommentTextChar">
    <w:name w:val="Comment Text Char"/>
    <w:basedOn w:val="DefaultParagraphFont"/>
    <w:link w:val="CommentText"/>
    <w:uiPriority w:val="99"/>
    <w:rsid w:val="00144E75"/>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144E75"/>
    <w:rPr>
      <w:b/>
      <w:bCs/>
    </w:rPr>
  </w:style>
  <w:style w:type="character" w:customStyle="1" w:styleId="CommentSubjectChar">
    <w:name w:val="Comment Subject Char"/>
    <w:basedOn w:val="CommentTextChar"/>
    <w:link w:val="CommentSubject"/>
    <w:uiPriority w:val="99"/>
    <w:semiHidden/>
    <w:rsid w:val="00144E75"/>
    <w:rPr>
      <w:rFonts w:ascii="Cambria" w:hAnsi="Cambria"/>
      <w:b/>
      <w:bCs/>
      <w:sz w:val="20"/>
      <w:szCs w:val="20"/>
    </w:rPr>
  </w:style>
  <w:style w:type="paragraph" w:styleId="Caption">
    <w:name w:val="caption"/>
    <w:basedOn w:val="Normal"/>
    <w:next w:val="Normal"/>
    <w:link w:val="CaptionChar"/>
    <w:unhideWhenUsed/>
    <w:qFormat/>
    <w:rsid w:val="00144E75"/>
    <w:pPr>
      <w:keepNext/>
      <w:spacing w:after="0" w:line="240" w:lineRule="auto"/>
    </w:pPr>
    <w:rPr>
      <w:rFonts w:ascii="Times New Roman" w:eastAsia="MS Mincho" w:hAnsi="Times New Roman" w:cs="Times New Roman"/>
      <w:b/>
      <w:bCs/>
      <w:sz w:val="24"/>
      <w:szCs w:val="20"/>
    </w:rPr>
  </w:style>
  <w:style w:type="paragraph" w:customStyle="1" w:styleId="Paragraph">
    <w:name w:val="Paragraph"/>
    <w:basedOn w:val="Normal"/>
    <w:link w:val="ParagraphChar"/>
    <w:rsid w:val="00144E75"/>
    <w:pPr>
      <w:spacing w:after="240" w:line="280" w:lineRule="exact"/>
    </w:pPr>
    <w:rPr>
      <w:rFonts w:ascii="Times New Roman" w:eastAsia="MS Mincho" w:hAnsi="Times New Roman" w:cs="Times New Roman"/>
      <w:sz w:val="24"/>
      <w:szCs w:val="20"/>
      <w:lang w:val="en-US"/>
    </w:rPr>
  </w:style>
  <w:style w:type="character" w:customStyle="1" w:styleId="ParagraphChar">
    <w:name w:val="Paragraph Char"/>
    <w:link w:val="Paragraph"/>
    <w:rsid w:val="007B31D9"/>
    <w:rPr>
      <w:rFonts w:ascii="Times New Roman" w:eastAsia="MS Mincho" w:hAnsi="Times New Roman" w:cs="Times New Roman"/>
      <w:sz w:val="24"/>
      <w:szCs w:val="20"/>
      <w:lang w:val="en-US"/>
    </w:rPr>
  </w:style>
  <w:style w:type="character" w:customStyle="1" w:styleId="CaptionChar">
    <w:name w:val="Caption Char"/>
    <w:link w:val="Caption"/>
    <w:rsid w:val="007B31D9"/>
    <w:rPr>
      <w:rFonts w:ascii="Times New Roman" w:eastAsia="MS Mincho" w:hAnsi="Times New Roman" w:cs="Times New Roman"/>
      <w:b/>
      <w:bCs/>
      <w:sz w:val="24"/>
      <w:szCs w:val="20"/>
    </w:rPr>
  </w:style>
  <w:style w:type="paragraph" w:styleId="Header">
    <w:name w:val="header"/>
    <w:basedOn w:val="Normal"/>
    <w:link w:val="HeaderChar"/>
    <w:uiPriority w:val="99"/>
    <w:unhideWhenUsed/>
    <w:rsid w:val="00144E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4E75"/>
  </w:style>
  <w:style w:type="paragraph" w:styleId="Footer">
    <w:name w:val="footer"/>
    <w:basedOn w:val="Normal"/>
    <w:link w:val="FooterChar"/>
    <w:uiPriority w:val="99"/>
    <w:unhideWhenUsed/>
    <w:rsid w:val="00144E75"/>
    <w:pPr>
      <w:tabs>
        <w:tab w:val="center" w:pos="4513"/>
        <w:tab w:val="right" w:pos="9026"/>
      </w:tabs>
      <w:spacing w:after="0" w:line="240" w:lineRule="auto"/>
    </w:pPr>
    <w:rPr>
      <w:rFonts w:ascii="Cambria" w:hAnsi="Cambria"/>
    </w:rPr>
  </w:style>
  <w:style w:type="character" w:customStyle="1" w:styleId="FooterChar">
    <w:name w:val="Footer Char"/>
    <w:basedOn w:val="DefaultParagraphFont"/>
    <w:link w:val="Footer"/>
    <w:uiPriority w:val="99"/>
    <w:rsid w:val="00144E75"/>
    <w:rPr>
      <w:rFonts w:ascii="Cambria" w:hAnsi="Cambria"/>
    </w:rPr>
  </w:style>
  <w:style w:type="paragraph" w:customStyle="1" w:styleId="TableTitle">
    <w:name w:val="Table Title"/>
    <w:next w:val="TableHead"/>
    <w:rsid w:val="002178CE"/>
    <w:pPr>
      <w:keepNext/>
      <w:keepLines/>
      <w:tabs>
        <w:tab w:val="left" w:pos="1440"/>
      </w:tabs>
      <w:spacing w:before="60" w:after="120" w:line="240" w:lineRule="auto"/>
      <w:ind w:left="1440" w:hanging="1440"/>
    </w:pPr>
    <w:rPr>
      <w:rFonts w:ascii="Arial" w:eastAsia="Times New Roman" w:hAnsi="Arial" w:cs="Times New Roman"/>
      <w:b/>
      <w:color w:val="000000"/>
      <w:sz w:val="24"/>
      <w:szCs w:val="24"/>
      <w:lang w:val="en-US"/>
    </w:rPr>
  </w:style>
  <w:style w:type="paragraph" w:customStyle="1" w:styleId="TableHead">
    <w:name w:val="Table Head"/>
    <w:basedOn w:val="Normal"/>
    <w:rsid w:val="002178CE"/>
    <w:pPr>
      <w:spacing w:before="60" w:after="60"/>
      <w:jc w:val="center"/>
    </w:pPr>
    <w:rPr>
      <w:b/>
      <w:szCs w:val="48"/>
      <w:lang w:val="en-US"/>
    </w:rPr>
  </w:style>
  <w:style w:type="paragraph" w:customStyle="1" w:styleId="TableCenter">
    <w:name w:val="Table Center"/>
    <w:basedOn w:val="Normal"/>
    <w:rsid w:val="002178CE"/>
    <w:pPr>
      <w:spacing w:before="60" w:after="60"/>
      <w:jc w:val="center"/>
    </w:pPr>
    <w:rPr>
      <w:szCs w:val="24"/>
      <w:lang w:val="en-US"/>
    </w:rPr>
  </w:style>
  <w:style w:type="paragraph" w:styleId="EndnoteText">
    <w:name w:val="endnote text"/>
    <w:basedOn w:val="Normal"/>
    <w:link w:val="EndnoteTextChar"/>
    <w:semiHidden/>
    <w:rsid w:val="002178CE"/>
    <w:pPr>
      <w:spacing w:before="60"/>
    </w:pPr>
    <w:rPr>
      <w:sz w:val="20"/>
      <w:lang w:val="en-US"/>
    </w:rPr>
  </w:style>
  <w:style w:type="character" w:customStyle="1" w:styleId="EndnoteTextChar">
    <w:name w:val="Endnote Text Char"/>
    <w:basedOn w:val="DefaultParagraphFont"/>
    <w:link w:val="EndnoteText"/>
    <w:semiHidden/>
    <w:rsid w:val="002178CE"/>
    <w:rPr>
      <w:rFonts w:ascii="Times New Roman" w:eastAsia="Times New Roman" w:hAnsi="Times New Roman" w:cs="Times New Roman"/>
      <w:sz w:val="20"/>
      <w:szCs w:val="20"/>
      <w:lang w:val="en-US"/>
    </w:rPr>
  </w:style>
  <w:style w:type="character" w:styleId="EndnoteReference">
    <w:name w:val="endnote reference"/>
    <w:basedOn w:val="DefaultParagraphFont"/>
    <w:semiHidden/>
    <w:rsid w:val="002178CE"/>
    <w:rPr>
      <w:vertAlign w:val="superscript"/>
    </w:rPr>
  </w:style>
  <w:style w:type="paragraph" w:customStyle="1" w:styleId="TableFootnote">
    <w:name w:val="Table Footnote"/>
    <w:basedOn w:val="Normal"/>
    <w:qFormat/>
    <w:rsid w:val="00144E75"/>
    <w:pPr>
      <w:spacing w:after="0" w:line="240" w:lineRule="auto"/>
    </w:pPr>
    <w:rPr>
      <w:rFonts w:ascii="Arial" w:hAnsi="Arial"/>
      <w:sz w:val="18"/>
      <w:szCs w:val="20"/>
    </w:rPr>
  </w:style>
  <w:style w:type="paragraph" w:styleId="Revision">
    <w:name w:val="Revision"/>
    <w:hidden/>
    <w:uiPriority w:val="99"/>
    <w:semiHidden/>
    <w:rsid w:val="00920EBA"/>
    <w:pPr>
      <w:spacing w:after="0" w:line="240" w:lineRule="auto"/>
    </w:pPr>
    <w:rPr>
      <w:rFonts w:ascii="Times New Roman" w:eastAsia="Times New Roman" w:hAnsi="Times New Roman" w:cs="Times New Roman"/>
      <w:color w:val="000000"/>
      <w:sz w:val="24"/>
      <w:szCs w:val="20"/>
      <w:lang w:val="en-GB" w:eastAsia="de-DE"/>
    </w:rPr>
  </w:style>
  <w:style w:type="paragraph" w:customStyle="1" w:styleId="TableText">
    <w:name w:val="Table Text"/>
    <w:basedOn w:val="Normal"/>
    <w:qFormat/>
    <w:rsid w:val="00144E75"/>
    <w:pPr>
      <w:spacing w:after="0" w:line="240" w:lineRule="auto"/>
    </w:pPr>
    <w:rPr>
      <w:rFonts w:ascii="Arial" w:hAnsi="Arial"/>
      <w:sz w:val="20"/>
      <w:szCs w:val="20"/>
    </w:rPr>
  </w:style>
  <w:style w:type="paragraph" w:styleId="BodyText">
    <w:name w:val="Body Text"/>
    <w:basedOn w:val="Normal"/>
    <w:link w:val="BodyTextChar"/>
    <w:uiPriority w:val="99"/>
    <w:unhideWhenUsed/>
    <w:rsid w:val="00144E75"/>
    <w:pPr>
      <w:spacing w:after="0"/>
    </w:pPr>
    <w:rPr>
      <w:rFonts w:ascii="Times New Roman" w:hAnsi="Times New Roman"/>
      <w:sz w:val="24"/>
    </w:rPr>
  </w:style>
  <w:style w:type="character" w:customStyle="1" w:styleId="BodyTextChar">
    <w:name w:val="Body Text Char"/>
    <w:basedOn w:val="DefaultParagraphFont"/>
    <w:link w:val="BodyText"/>
    <w:uiPriority w:val="99"/>
    <w:rsid w:val="00144E75"/>
    <w:rPr>
      <w:rFonts w:ascii="Times New Roman" w:hAnsi="Times New Roman"/>
      <w:sz w:val="24"/>
    </w:rPr>
  </w:style>
  <w:style w:type="character" w:customStyle="1" w:styleId="Heading4Char">
    <w:name w:val="Heading 4 Char"/>
    <w:basedOn w:val="DefaultParagraphFont"/>
    <w:link w:val="Heading4"/>
    <w:uiPriority w:val="9"/>
    <w:rsid w:val="00144E75"/>
    <w:rPr>
      <w:rFonts w:asciiTheme="majorHAnsi" w:eastAsiaTheme="majorEastAsia" w:hAnsiTheme="majorHAnsi" w:cstheme="majorBidi"/>
      <w:bCs/>
      <w:i/>
      <w:sz w:val="24"/>
      <w:u w:val="single"/>
    </w:rPr>
  </w:style>
  <w:style w:type="character" w:customStyle="1" w:styleId="Heading1Char">
    <w:name w:val="Heading 1 Char"/>
    <w:basedOn w:val="DefaultParagraphFont"/>
    <w:link w:val="Heading1"/>
    <w:uiPriority w:val="9"/>
    <w:rsid w:val="00144E75"/>
    <w:rPr>
      <w:rFonts w:asciiTheme="majorHAnsi" w:eastAsiaTheme="majorEastAsia" w:hAnsiTheme="majorHAnsi" w:cstheme="majorBidi"/>
      <w:b/>
      <w:bCs/>
      <w:caps/>
      <w:sz w:val="28"/>
      <w:szCs w:val="28"/>
    </w:rPr>
  </w:style>
  <w:style w:type="paragraph" w:styleId="BodyText2">
    <w:name w:val="Body Text 2"/>
    <w:basedOn w:val="Normal"/>
    <w:link w:val="BodyText2Char"/>
    <w:uiPriority w:val="99"/>
    <w:unhideWhenUsed/>
    <w:rsid w:val="00144E75"/>
    <w:pPr>
      <w:spacing w:after="120" w:line="480" w:lineRule="auto"/>
    </w:pPr>
  </w:style>
  <w:style w:type="character" w:customStyle="1" w:styleId="BodyText2Char">
    <w:name w:val="Body Text 2 Char"/>
    <w:basedOn w:val="DefaultParagraphFont"/>
    <w:link w:val="BodyText2"/>
    <w:uiPriority w:val="99"/>
    <w:rsid w:val="00144E75"/>
  </w:style>
  <w:style w:type="paragraph" w:styleId="BodyText3">
    <w:name w:val="Body Text 3"/>
    <w:basedOn w:val="Normal"/>
    <w:link w:val="BodyText3Char"/>
    <w:uiPriority w:val="99"/>
    <w:semiHidden/>
    <w:unhideWhenUsed/>
    <w:rsid w:val="00144E75"/>
    <w:pPr>
      <w:spacing w:after="120"/>
    </w:pPr>
    <w:rPr>
      <w:sz w:val="16"/>
      <w:szCs w:val="16"/>
    </w:rPr>
  </w:style>
  <w:style w:type="character" w:customStyle="1" w:styleId="BodyText3Char">
    <w:name w:val="Body Text 3 Char"/>
    <w:basedOn w:val="DefaultParagraphFont"/>
    <w:link w:val="BodyText3"/>
    <w:uiPriority w:val="99"/>
    <w:semiHidden/>
    <w:rsid w:val="00144E75"/>
    <w:rPr>
      <w:sz w:val="16"/>
      <w:szCs w:val="16"/>
    </w:rPr>
  </w:style>
  <w:style w:type="character" w:styleId="FootnoteReference">
    <w:name w:val="footnote reference"/>
    <w:basedOn w:val="DefaultParagraphFont"/>
    <w:uiPriority w:val="99"/>
    <w:unhideWhenUsed/>
    <w:rsid w:val="00144E75"/>
    <w:rPr>
      <w:vertAlign w:val="superscript"/>
    </w:rPr>
  </w:style>
  <w:style w:type="paragraph" w:styleId="FootnoteText">
    <w:name w:val="footnote text"/>
    <w:basedOn w:val="Normal"/>
    <w:link w:val="FootnoteTextChar"/>
    <w:uiPriority w:val="99"/>
    <w:rsid w:val="00144E75"/>
    <w:pPr>
      <w:keepLines/>
      <w:spacing w:before="180" w:after="180"/>
    </w:pPr>
    <w:rPr>
      <w:rFonts w:ascii="Calibri" w:eastAsia="Calibri" w:hAnsi="Calibri" w:cs="Times New Roman"/>
      <w:sz w:val="20"/>
    </w:rPr>
  </w:style>
  <w:style w:type="character" w:customStyle="1" w:styleId="FootnoteTextChar">
    <w:name w:val="Footnote Text Char"/>
    <w:basedOn w:val="DefaultParagraphFont"/>
    <w:link w:val="FootnoteText"/>
    <w:uiPriority w:val="99"/>
    <w:rsid w:val="00144E75"/>
    <w:rPr>
      <w:rFonts w:ascii="Calibri" w:eastAsia="Calibri" w:hAnsi="Calibri" w:cs="Times New Roman"/>
      <w:sz w:val="20"/>
    </w:rPr>
  </w:style>
  <w:style w:type="character" w:customStyle="1" w:styleId="Heading2Char">
    <w:name w:val="Heading 2 Char"/>
    <w:basedOn w:val="DefaultParagraphFont"/>
    <w:link w:val="Heading2"/>
    <w:uiPriority w:val="9"/>
    <w:rsid w:val="00144E75"/>
    <w:rPr>
      <w:rFonts w:asciiTheme="majorHAnsi" w:hAnsiTheme="majorHAnsi"/>
      <w:b/>
      <w:smallCaps/>
      <w:sz w:val="24"/>
    </w:rPr>
  </w:style>
  <w:style w:type="character" w:customStyle="1" w:styleId="Heading3Char">
    <w:name w:val="Heading 3 Char"/>
    <w:basedOn w:val="DefaultParagraphFont"/>
    <w:link w:val="Heading3"/>
    <w:uiPriority w:val="9"/>
    <w:rsid w:val="00144E75"/>
    <w:rPr>
      <w:rFonts w:asciiTheme="majorHAnsi" w:eastAsiaTheme="majorEastAsia" w:hAnsiTheme="majorHAnsi" w:cstheme="majorBidi"/>
      <w:b/>
      <w:bCs/>
      <w:sz w:val="24"/>
    </w:rPr>
  </w:style>
  <w:style w:type="character" w:customStyle="1" w:styleId="Heading5Char">
    <w:name w:val="Heading 5 Char"/>
    <w:basedOn w:val="DefaultParagraphFont"/>
    <w:link w:val="Heading5"/>
    <w:uiPriority w:val="9"/>
    <w:semiHidden/>
    <w:rsid w:val="00144E7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44E7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44E7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44E7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44E75"/>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144E75"/>
    <w:rPr>
      <w:color w:val="0000FF" w:themeColor="hyperlink"/>
      <w:u w:val="single"/>
    </w:rPr>
  </w:style>
  <w:style w:type="table" w:styleId="LightGrid">
    <w:name w:val="Light Grid"/>
    <w:basedOn w:val="TableNormal"/>
    <w:uiPriority w:val="62"/>
    <w:rsid w:val="00144E7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3">
    <w:name w:val="List 3"/>
    <w:basedOn w:val="Normal"/>
    <w:uiPriority w:val="99"/>
    <w:unhideWhenUsed/>
    <w:rsid w:val="00144E75"/>
    <w:pPr>
      <w:ind w:left="849" w:hanging="283"/>
      <w:contextualSpacing/>
    </w:pPr>
  </w:style>
  <w:style w:type="paragraph" w:styleId="ListBullet">
    <w:name w:val="List Bullet"/>
    <w:basedOn w:val="Normal"/>
    <w:uiPriority w:val="99"/>
    <w:unhideWhenUsed/>
    <w:rsid w:val="00144E75"/>
    <w:pPr>
      <w:numPr>
        <w:numId w:val="13"/>
      </w:numPr>
      <w:spacing w:after="0"/>
      <w:contextualSpacing/>
    </w:pPr>
    <w:rPr>
      <w:rFonts w:ascii="Times New Roman" w:hAnsi="Times New Roman"/>
      <w:sz w:val="24"/>
    </w:rPr>
  </w:style>
  <w:style w:type="paragraph" w:styleId="ListParagraph">
    <w:name w:val="List Paragraph"/>
    <w:basedOn w:val="Normal"/>
    <w:uiPriority w:val="34"/>
    <w:qFormat/>
    <w:rsid w:val="00144E75"/>
    <w:pPr>
      <w:ind w:left="720"/>
      <w:contextualSpacing/>
    </w:pPr>
    <w:rPr>
      <w:rFonts w:ascii="Cambria" w:hAnsi="Cambria"/>
    </w:rPr>
  </w:style>
  <w:style w:type="paragraph" w:styleId="PlainText">
    <w:name w:val="Plain Text"/>
    <w:basedOn w:val="Normal"/>
    <w:link w:val="PlainTextChar"/>
    <w:rsid w:val="00144E75"/>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144E75"/>
    <w:rPr>
      <w:rFonts w:ascii="Courier New" w:eastAsia="Times New Roman" w:hAnsi="Courier New" w:cs="Courier New"/>
      <w:sz w:val="20"/>
      <w:szCs w:val="20"/>
      <w:lang w:val="en-US"/>
    </w:rPr>
  </w:style>
  <w:style w:type="paragraph" w:customStyle="1" w:styleId="TableCellCenter">
    <w:name w:val="Table Cell Center"/>
    <w:basedOn w:val="Paragraph"/>
    <w:rsid w:val="00144E75"/>
    <w:pPr>
      <w:keepLines/>
      <w:spacing w:before="50" w:after="50" w:line="240" w:lineRule="exact"/>
      <w:jc w:val="center"/>
    </w:pPr>
    <w:rPr>
      <w:rFonts w:eastAsia="Times New Roman"/>
      <w:sz w:val="20"/>
      <w:lang w:val="en-GB"/>
    </w:rPr>
  </w:style>
  <w:style w:type="paragraph" w:customStyle="1" w:styleId="TableCellLeft">
    <w:name w:val="Table Cell Left"/>
    <w:basedOn w:val="Paragraph"/>
    <w:rsid w:val="00144E75"/>
    <w:pPr>
      <w:keepLines/>
      <w:spacing w:before="50" w:after="50" w:line="240" w:lineRule="exact"/>
    </w:pPr>
    <w:rPr>
      <w:rFonts w:eastAsia="Times New Roman"/>
      <w:sz w:val="20"/>
      <w:lang w:val="en-GB"/>
    </w:rPr>
  </w:style>
  <w:style w:type="paragraph" w:customStyle="1" w:styleId="TableCentre">
    <w:name w:val="Table Centre"/>
    <w:basedOn w:val="TableText"/>
    <w:qFormat/>
    <w:rsid w:val="00144E75"/>
    <w:pPr>
      <w:jc w:val="center"/>
    </w:pPr>
  </w:style>
  <w:style w:type="paragraph" w:customStyle="1" w:styleId="TableHeading">
    <w:name w:val="Table Heading"/>
    <w:basedOn w:val="BodyText"/>
    <w:next w:val="TableText"/>
    <w:qFormat/>
    <w:rsid w:val="00144E75"/>
    <w:pPr>
      <w:keepNext/>
      <w:spacing w:line="240" w:lineRule="auto"/>
    </w:pPr>
    <w:rPr>
      <w:rFonts w:ascii="Arial" w:hAnsi="Arial"/>
      <w:b/>
      <w:sz w:val="20"/>
    </w:rPr>
  </w:style>
  <w:style w:type="paragraph" w:styleId="TOAHeading">
    <w:name w:val="toa heading"/>
    <w:basedOn w:val="Normal"/>
    <w:next w:val="Normal"/>
    <w:uiPriority w:val="99"/>
    <w:unhideWhenUsed/>
    <w:rsid w:val="00144E75"/>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08395">
      <w:bodyDiv w:val="1"/>
      <w:marLeft w:val="0"/>
      <w:marRight w:val="0"/>
      <w:marTop w:val="0"/>
      <w:marBottom w:val="0"/>
      <w:divBdr>
        <w:top w:val="none" w:sz="0" w:space="0" w:color="auto"/>
        <w:left w:val="none" w:sz="0" w:space="0" w:color="auto"/>
        <w:bottom w:val="none" w:sz="0" w:space="0" w:color="auto"/>
        <w:right w:val="none" w:sz="0" w:space="0" w:color="auto"/>
      </w:divBdr>
    </w:div>
    <w:div w:id="1907645748">
      <w:bodyDiv w:val="1"/>
      <w:marLeft w:val="0"/>
      <w:marRight w:val="0"/>
      <w:marTop w:val="0"/>
      <w:marBottom w:val="0"/>
      <w:divBdr>
        <w:top w:val="none" w:sz="0" w:space="0" w:color="auto"/>
        <w:left w:val="none" w:sz="0" w:space="0" w:color="auto"/>
        <w:bottom w:val="none" w:sz="0" w:space="0" w:color="auto"/>
        <w:right w:val="none" w:sz="0" w:space="0" w:color="auto"/>
      </w:divBdr>
    </w:div>
    <w:div w:id="2037540935">
      <w:bodyDiv w:val="1"/>
      <w:marLeft w:val="0"/>
      <w:marRight w:val="0"/>
      <w:marTop w:val="0"/>
      <w:marBottom w:val="0"/>
      <w:divBdr>
        <w:top w:val="none" w:sz="0" w:space="0" w:color="auto"/>
        <w:left w:val="none" w:sz="0" w:space="0" w:color="auto"/>
        <w:bottom w:val="none" w:sz="0" w:space="0" w:color="auto"/>
        <w:right w:val="none" w:sz="0" w:space="0" w:color="auto"/>
      </w:divBdr>
      <w:divsChild>
        <w:div w:id="774330841">
          <w:marLeft w:val="0"/>
          <w:marRight w:val="0"/>
          <w:marTop w:val="0"/>
          <w:marBottom w:val="0"/>
          <w:divBdr>
            <w:top w:val="none" w:sz="0" w:space="0" w:color="auto"/>
            <w:left w:val="none" w:sz="0" w:space="0" w:color="auto"/>
            <w:bottom w:val="none" w:sz="0" w:space="0" w:color="auto"/>
            <w:right w:val="none" w:sz="0" w:space="0" w:color="auto"/>
          </w:divBdr>
          <w:divsChild>
            <w:div w:id="80570196">
              <w:marLeft w:val="-225"/>
              <w:marRight w:val="-225"/>
              <w:marTop w:val="0"/>
              <w:marBottom w:val="0"/>
              <w:divBdr>
                <w:top w:val="none" w:sz="0" w:space="0" w:color="auto"/>
                <w:left w:val="none" w:sz="0" w:space="0" w:color="auto"/>
                <w:bottom w:val="none" w:sz="0" w:space="0" w:color="auto"/>
                <w:right w:val="none" w:sz="0" w:space="0" w:color="auto"/>
              </w:divBdr>
              <w:divsChild>
                <w:div w:id="120878248">
                  <w:marLeft w:val="0"/>
                  <w:marRight w:val="0"/>
                  <w:marTop w:val="0"/>
                  <w:marBottom w:val="0"/>
                  <w:divBdr>
                    <w:top w:val="none" w:sz="0" w:space="0" w:color="auto"/>
                    <w:left w:val="none" w:sz="0" w:space="0" w:color="auto"/>
                    <w:bottom w:val="none" w:sz="0" w:space="0" w:color="auto"/>
                    <w:right w:val="none" w:sz="0" w:space="0" w:color="auto"/>
                  </w:divBdr>
                  <w:divsChild>
                    <w:div w:id="1728718904">
                      <w:marLeft w:val="0"/>
                      <w:marRight w:val="0"/>
                      <w:marTop w:val="0"/>
                      <w:marBottom w:val="0"/>
                      <w:divBdr>
                        <w:top w:val="none" w:sz="0" w:space="0" w:color="auto"/>
                        <w:left w:val="none" w:sz="0" w:space="0" w:color="auto"/>
                        <w:bottom w:val="none" w:sz="0" w:space="0" w:color="auto"/>
                        <w:right w:val="none" w:sz="0" w:space="0" w:color="auto"/>
                      </w:divBdr>
                      <w:divsChild>
                        <w:div w:id="945304629">
                          <w:marLeft w:val="0"/>
                          <w:marRight w:val="0"/>
                          <w:marTop w:val="0"/>
                          <w:marBottom w:val="0"/>
                          <w:divBdr>
                            <w:top w:val="none" w:sz="0" w:space="0" w:color="auto"/>
                            <w:left w:val="none" w:sz="0" w:space="0" w:color="auto"/>
                            <w:bottom w:val="none" w:sz="0" w:space="0" w:color="auto"/>
                            <w:right w:val="none" w:sz="0" w:space="0" w:color="auto"/>
                          </w:divBdr>
                          <w:divsChild>
                            <w:div w:id="561789797">
                              <w:marLeft w:val="0"/>
                              <w:marRight w:val="0"/>
                              <w:marTop w:val="0"/>
                              <w:marBottom w:val="0"/>
                              <w:divBdr>
                                <w:top w:val="none" w:sz="0" w:space="0" w:color="auto"/>
                                <w:left w:val="none" w:sz="0" w:space="0" w:color="auto"/>
                                <w:bottom w:val="none" w:sz="0" w:space="0" w:color="auto"/>
                                <w:right w:val="none" w:sz="0" w:space="0" w:color="auto"/>
                              </w:divBdr>
                              <w:divsChild>
                                <w:div w:id="1305430502">
                                  <w:marLeft w:val="0"/>
                                  <w:marRight w:val="0"/>
                                  <w:marTop w:val="0"/>
                                  <w:marBottom w:val="0"/>
                                  <w:divBdr>
                                    <w:top w:val="none" w:sz="0" w:space="0" w:color="auto"/>
                                    <w:left w:val="none" w:sz="0" w:space="0" w:color="auto"/>
                                    <w:bottom w:val="none" w:sz="0" w:space="0" w:color="auto"/>
                                    <w:right w:val="none" w:sz="0" w:space="0" w:color="auto"/>
                                  </w:divBdr>
                                  <w:divsChild>
                                    <w:div w:id="171692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542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tga.gov.au/reporting-problems" TargetMode="External"/><Relationship Id="rId4" Type="http://schemas.microsoft.com/office/2007/relationships/stylesWithEffects" Target="stylesWithEffects.xml"/><Relationship Id="rId9" Type="http://schemas.openxmlformats.org/officeDocument/2006/relationships/hyperlink" Target="https://www.tga.gov.au/reporting-problem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0366FA-6ED7-47D3-AC03-8B0555C92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5720</Words>
  <Characters>32606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AusPAR Attachment 1: Product Information for Rufinamide</vt:lpstr>
    </vt:vector>
  </TitlesOfParts>
  <Company>Therapeutic Goods Administration</Company>
  <LinksUpToDate>false</LinksUpToDate>
  <CharactersWithSpaces>38250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Rufinamide</dc:title>
  <dc:subject>Prescription medicines</dc:subject>
  <dc:creator>Simon Cornish</dc:creator>
  <cp:keywords>AusPARs</cp:keywords>
  <cp:lastPrinted>2018-03-06T12:27:00Z</cp:lastPrinted>
  <dcterms:created xsi:type="dcterms:W3CDTF">2019-06-05T04:35:00Z</dcterms:created>
  <dcterms:modified xsi:type="dcterms:W3CDTF">2019-06-12T06:37:00Z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-513011772</vt:i4>
  </property>
  <property fmtid="{D5CDD505-2E9C-101B-9397-08002B2CF9AE}" pid="3" name="_NewReviewCycle">
    <vt:lpwstr/>
  </property>
  <property fmtid="{D5CDD505-2E9C-101B-9397-08002B2CF9AE}" pid="4" name="_EmailSubject">
    <vt:lpwstr>re Draft AusPAR for - INOVELON - Rufinamide - PM-2017-01037-1-1 [SEC=UNCLASSIFIED]</vt:lpwstr>
  </property>
  <property fmtid="{D5CDD505-2E9C-101B-9397-08002B2CF9AE}" pid="5" name="_AuthorEmail">
    <vt:lpwstr>Simon_Cornish@eisai.net</vt:lpwstr>
  </property>
  <property fmtid="{D5CDD505-2E9C-101B-9397-08002B2CF9AE}" pid="6" name="_AuthorEmailDisplayName">
    <vt:lpwstr>Simon Cornish</vt:lpwstr>
  </property>
  <property fmtid="{D5CDD505-2E9C-101B-9397-08002B2CF9AE}" pid="7" name="_ReviewingToolsShownOnce">
    <vt:lpwstr/>
  </property>
</Properties>
</file>